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E894A" w14:textId="77777777" w:rsidR="00E75FCA" w:rsidRPr="00E75FCA" w:rsidRDefault="00E75FCA" w:rsidP="00E75FCA">
      <w:pPr>
        <w:pStyle w:val="Toggle"/>
        <w:rPr>
          <w:b w:val="0"/>
          <w:bCs/>
        </w:rPr>
      </w:pPr>
    </w:p>
    <w:p w14:paraId="7BF5CB39" w14:textId="3FACDFC7" w:rsidR="00A53F38" w:rsidRDefault="00A53F38" w:rsidP="00A53F38">
      <w:pPr>
        <w:pStyle w:val="Agencyinformation"/>
      </w:pPr>
      <w:r>
        <w:t xml:space="preserve">Information for </w:t>
      </w:r>
      <w:sdt>
        <w:sdtPr>
          <w:id w:val="-1971114257"/>
          <w:placeholder>
            <w:docPart w:val="3F655736DC7A407081DE594DAB9BAB3B"/>
          </w:placeholder>
          <w:comboBox>
            <w:listItem w:displayText="agencies" w:value="agencies"/>
            <w:listItem w:displayText="the public" w:value="the public"/>
          </w:comboBox>
        </w:sdtPr>
        <w:sdtContent>
          <w:r w:rsidR="00E803E9">
            <w:t>agencies</w:t>
          </w:r>
        </w:sdtContent>
      </w:sdt>
      <w:r>
        <w:t xml:space="preserve"> </w:t>
      </w:r>
    </w:p>
    <w:p w14:paraId="1F8246C4" w14:textId="04528243" w:rsidR="00EA3594" w:rsidRPr="00281560" w:rsidRDefault="00E803E9" w:rsidP="00EA3594">
      <w:pPr>
        <w:pStyle w:val="Title"/>
      </w:pPr>
      <w:r>
        <w:t>Incident Insights Report</w:t>
      </w:r>
    </w:p>
    <w:p w14:paraId="63E186D2" w14:textId="5F05CC94" w:rsidR="00EA3594" w:rsidRDefault="00E803E9" w:rsidP="009A49D1">
      <w:pPr>
        <w:pStyle w:val="Subtitle"/>
      </w:pPr>
      <w:r>
        <w:t>1 J</w:t>
      </w:r>
      <w:r w:rsidR="008E364B">
        <w:t>uly</w:t>
      </w:r>
      <w:r>
        <w:t xml:space="preserve"> 202</w:t>
      </w:r>
      <w:r w:rsidR="00D82E00">
        <w:t>5</w:t>
      </w:r>
      <w:r>
        <w:t xml:space="preserve"> – </w:t>
      </w:r>
      <w:r w:rsidR="00E40B25">
        <w:t>3</w:t>
      </w:r>
      <w:r w:rsidR="008E364B">
        <w:t>1 December</w:t>
      </w:r>
      <w:r>
        <w:t xml:space="preserve"> 202</w:t>
      </w:r>
      <w:r w:rsidR="00D82E00">
        <w:t>5</w:t>
      </w:r>
    </w:p>
    <w:p w14:paraId="38B097DC" w14:textId="25C5645F" w:rsidR="00E803E9" w:rsidRDefault="00E803E9" w:rsidP="00A01C6A">
      <w:r>
        <w:t>T</w:t>
      </w:r>
      <w:r w:rsidRPr="001D1FE7">
        <w:t>he</w:t>
      </w:r>
      <w:r>
        <w:t xml:space="preserve"> information security</w:t>
      </w:r>
      <w:r w:rsidRPr="001D1FE7">
        <w:t xml:space="preserve"> incident notification scheme</w:t>
      </w:r>
      <w:r>
        <w:t xml:space="preserve"> (</w:t>
      </w:r>
      <w:r w:rsidRPr="00C86B59">
        <w:rPr>
          <w:b/>
          <w:bCs/>
        </w:rPr>
        <w:t>the scheme</w:t>
      </w:r>
      <w:r>
        <w:t>)</w:t>
      </w:r>
      <w:r w:rsidRPr="001D1FE7">
        <w:t xml:space="preserve"> provide</w:t>
      </w:r>
      <w:r>
        <w:t>s</w:t>
      </w:r>
      <w:r w:rsidRPr="001D1FE7">
        <w:t xml:space="preserve"> resources, trends analysis and risk reporting.</w:t>
      </w:r>
    </w:p>
    <w:p w14:paraId="5DFE1A47" w14:textId="56132CF5" w:rsidR="00BF3799" w:rsidRPr="00FB0D65" w:rsidRDefault="00E803E9" w:rsidP="00BF3799">
      <w:pPr>
        <w:pStyle w:val="Heading2"/>
      </w:pPr>
      <w:r>
        <w:t>Overview of this report</w:t>
      </w:r>
    </w:p>
    <w:p w14:paraId="7F712256" w14:textId="33BDD007" w:rsidR="00E803E9" w:rsidRDefault="00E803E9" w:rsidP="00E803E9">
      <w:r>
        <w:t xml:space="preserve">The Incident Insights Report provides a summary and analysis of the information security incident notifications </w:t>
      </w:r>
      <w:r w:rsidR="002E244F">
        <w:t xml:space="preserve">OVIC </w:t>
      </w:r>
      <w:r>
        <w:t xml:space="preserve">received between </w:t>
      </w:r>
      <w:r w:rsidRPr="00956F61">
        <w:rPr>
          <w:b/>
          <w:bCs/>
        </w:rPr>
        <w:t xml:space="preserve">1 </w:t>
      </w:r>
      <w:r>
        <w:rPr>
          <w:b/>
          <w:bCs/>
        </w:rPr>
        <w:t>J</w:t>
      </w:r>
      <w:r w:rsidR="00BF0033">
        <w:rPr>
          <w:b/>
          <w:bCs/>
        </w:rPr>
        <w:t>uly</w:t>
      </w:r>
      <w:r w:rsidRPr="00D015C3">
        <w:rPr>
          <w:b/>
          <w:bCs/>
        </w:rPr>
        <w:t xml:space="preserve"> </w:t>
      </w:r>
      <w:r w:rsidRPr="000F023D">
        <w:rPr>
          <w:b/>
          <w:bCs/>
        </w:rPr>
        <w:t>202</w:t>
      </w:r>
      <w:r w:rsidR="000F023D" w:rsidRPr="000F023D">
        <w:rPr>
          <w:b/>
          <w:bCs/>
        </w:rPr>
        <w:t>5</w:t>
      </w:r>
      <w:r w:rsidRPr="00D015C3">
        <w:rPr>
          <w:b/>
          <w:bCs/>
        </w:rPr>
        <w:t xml:space="preserve"> </w:t>
      </w:r>
      <w:r w:rsidR="002E244F">
        <w:t>and</w:t>
      </w:r>
      <w:r w:rsidRPr="00D015C3">
        <w:rPr>
          <w:b/>
          <w:bCs/>
        </w:rPr>
        <w:t xml:space="preserve"> </w:t>
      </w:r>
      <w:r w:rsidR="00BF0033">
        <w:rPr>
          <w:b/>
          <w:bCs/>
        </w:rPr>
        <w:t>31 December</w:t>
      </w:r>
      <w:r w:rsidRPr="00D015C3">
        <w:rPr>
          <w:b/>
          <w:bCs/>
        </w:rPr>
        <w:t xml:space="preserve"> 202</w:t>
      </w:r>
      <w:r w:rsidR="000F023D">
        <w:rPr>
          <w:b/>
          <w:bCs/>
        </w:rPr>
        <w:t>5</w:t>
      </w:r>
      <w:r>
        <w:t>.</w:t>
      </w:r>
    </w:p>
    <w:p w14:paraId="323F2C36" w14:textId="77777777" w:rsidR="00E803E9" w:rsidRPr="004650C0" w:rsidRDefault="00E803E9" w:rsidP="00E803E9">
      <w:r w:rsidRPr="004650C0">
        <w:t xml:space="preserve">The analysis in this report is based on comparing the statistics published in previous </w:t>
      </w:r>
      <w:r w:rsidRPr="004650C0">
        <w:rPr>
          <w:u w:color="430098"/>
        </w:rPr>
        <w:t>Incident Insights Reports</w:t>
      </w:r>
      <w:r w:rsidRPr="004650C0">
        <w:t xml:space="preserve"> with the notifications received by our office under the scheme. </w:t>
      </w:r>
    </w:p>
    <w:p w14:paraId="3C8FEDE8" w14:textId="3F7BAA6A" w:rsidR="00E803E9" w:rsidRDefault="007E52A9" w:rsidP="00E803E9">
      <w:r w:rsidRPr="004650C0">
        <w:t xml:space="preserve">Victoria Police incident statistics are reported annually, consistent with existing reporting commitments. </w:t>
      </w:r>
      <w:r w:rsidR="008A292E" w:rsidRPr="008A292E">
        <w:t xml:space="preserve">For the latest incident statistics from Victoria Police refer to OVIC’s </w:t>
      </w:r>
      <w:hyperlink r:id="rId9" w:history="1">
        <w:r w:rsidR="008A292E" w:rsidRPr="00294BA4">
          <w:rPr>
            <w:rStyle w:val="Hyperlink"/>
          </w:rPr>
          <w:t>Incident Insights Report for 1 January – 30 June 202</w:t>
        </w:r>
        <w:r w:rsidR="002D6C20" w:rsidRPr="00294BA4">
          <w:rPr>
            <w:rStyle w:val="Hyperlink"/>
          </w:rPr>
          <w:t>5</w:t>
        </w:r>
      </w:hyperlink>
      <w:r w:rsidR="008A292E" w:rsidRPr="008A292E">
        <w:t>.</w:t>
      </w:r>
    </w:p>
    <w:tbl>
      <w:tblPr>
        <w:tblStyle w:val="OVICDefaulttable"/>
        <w:tblW w:w="0" w:type="auto"/>
        <w:tblLook w:val="04A0" w:firstRow="1" w:lastRow="0" w:firstColumn="1" w:lastColumn="0" w:noHBand="0" w:noVBand="1"/>
      </w:tblPr>
      <w:tblGrid>
        <w:gridCol w:w="9288"/>
      </w:tblGrid>
      <w:tr w:rsidR="000500D6" w14:paraId="4E93F963" w14:textId="77777777" w:rsidTr="000500D6">
        <w:trPr>
          <w:cnfStyle w:val="100000000000" w:firstRow="1" w:lastRow="0" w:firstColumn="0" w:lastColumn="0" w:oddVBand="0" w:evenVBand="0" w:oddHBand="0" w:evenHBand="0" w:firstRowFirstColumn="0" w:firstRowLastColumn="0" w:lastRowFirstColumn="0" w:lastRowLastColumn="0"/>
        </w:trPr>
        <w:tc>
          <w:tcPr>
            <w:tcW w:w="9288" w:type="dxa"/>
          </w:tcPr>
          <w:p w14:paraId="208E7E39" w14:textId="5CF0DBD8" w:rsidR="000500D6" w:rsidRPr="000500D6" w:rsidRDefault="000500D6" w:rsidP="000500D6">
            <w:pPr>
              <w:rPr>
                <w:b w:val="0"/>
                <w:bCs/>
              </w:rPr>
            </w:pPr>
            <w:r>
              <w:t xml:space="preserve">Note: </w:t>
            </w:r>
            <w:r w:rsidRPr="000500D6">
              <w:rPr>
                <w:b w:val="0"/>
                <w:bCs/>
              </w:rPr>
              <w:t xml:space="preserve">The incident notification form allows for </w:t>
            </w:r>
            <w:r w:rsidRPr="000500D6">
              <w:t>more than one response</w:t>
            </w:r>
            <w:r w:rsidRPr="000500D6">
              <w:rPr>
                <w:b w:val="0"/>
                <w:bCs/>
              </w:rPr>
              <w:t xml:space="preserve"> to be selected for the </w:t>
            </w:r>
            <w:r w:rsidR="00C41023">
              <w:rPr>
                <w:b w:val="0"/>
                <w:bCs/>
              </w:rPr>
              <w:t xml:space="preserve">following </w:t>
            </w:r>
            <w:r w:rsidRPr="000500D6">
              <w:rPr>
                <w:b w:val="0"/>
                <w:bCs/>
              </w:rPr>
              <w:t xml:space="preserve">fields: </w:t>
            </w:r>
          </w:p>
          <w:p w14:paraId="158D0430" w14:textId="359106F8" w:rsidR="000500D6" w:rsidRPr="00CC5830" w:rsidRDefault="000500D6" w:rsidP="00CC5830">
            <w:pPr>
              <w:pStyle w:val="ListParagraph"/>
              <w:numPr>
                <w:ilvl w:val="0"/>
                <w:numId w:val="37"/>
              </w:numPr>
              <w:rPr>
                <w:b w:val="0"/>
              </w:rPr>
            </w:pPr>
            <w:r w:rsidRPr="00CC5830">
              <w:rPr>
                <w:b w:val="0"/>
              </w:rPr>
              <w:t xml:space="preserve">information format </w:t>
            </w:r>
          </w:p>
          <w:p w14:paraId="5DE650BF" w14:textId="26C5BC4E" w:rsidR="000500D6" w:rsidRPr="00CC5830" w:rsidRDefault="000500D6" w:rsidP="00CC5830">
            <w:pPr>
              <w:pStyle w:val="ListParagraph"/>
              <w:numPr>
                <w:ilvl w:val="0"/>
                <w:numId w:val="37"/>
              </w:numPr>
              <w:rPr>
                <w:b w:val="0"/>
              </w:rPr>
            </w:pPr>
            <w:r w:rsidRPr="00CC5830">
              <w:rPr>
                <w:b w:val="0"/>
              </w:rPr>
              <w:t xml:space="preserve">type of information </w:t>
            </w:r>
          </w:p>
          <w:p w14:paraId="67B488C6" w14:textId="7B815E65" w:rsidR="000500D6" w:rsidRPr="00CC5830" w:rsidRDefault="000500D6" w:rsidP="00CC5830">
            <w:pPr>
              <w:pStyle w:val="ListParagraph"/>
              <w:numPr>
                <w:ilvl w:val="0"/>
                <w:numId w:val="37"/>
              </w:numPr>
              <w:rPr>
                <w:b w:val="0"/>
              </w:rPr>
            </w:pPr>
            <w:r w:rsidRPr="00CC5830">
              <w:rPr>
                <w:b w:val="0"/>
              </w:rPr>
              <w:t xml:space="preserve">security attributes </w:t>
            </w:r>
          </w:p>
          <w:p w14:paraId="78511C78" w14:textId="688C81D7" w:rsidR="00CE092D" w:rsidRPr="00CC5830" w:rsidRDefault="000500D6" w:rsidP="00CC5830">
            <w:pPr>
              <w:pStyle w:val="ListParagraph"/>
              <w:numPr>
                <w:ilvl w:val="0"/>
                <w:numId w:val="37"/>
              </w:numPr>
              <w:rPr>
                <w:b w:val="0"/>
              </w:rPr>
            </w:pPr>
            <w:r w:rsidRPr="00CC5830">
              <w:rPr>
                <w:b w:val="0"/>
              </w:rPr>
              <w:t xml:space="preserve">control area </w:t>
            </w:r>
          </w:p>
          <w:p w14:paraId="13F00885" w14:textId="3C327F79" w:rsidR="000500D6" w:rsidRPr="00CC5830" w:rsidRDefault="000500D6" w:rsidP="00CC5830">
            <w:pPr>
              <w:pStyle w:val="ListParagraph"/>
              <w:numPr>
                <w:ilvl w:val="0"/>
                <w:numId w:val="37"/>
              </w:numPr>
              <w:rPr>
                <w:b w:val="0"/>
              </w:rPr>
            </w:pPr>
            <w:r w:rsidRPr="00CC5830">
              <w:rPr>
                <w:b w:val="0"/>
              </w:rPr>
              <w:t xml:space="preserve">threat actor </w:t>
            </w:r>
          </w:p>
          <w:p w14:paraId="7A83A211" w14:textId="715E1322" w:rsidR="000500D6" w:rsidRPr="00CC5830" w:rsidRDefault="000500D6" w:rsidP="00CC5830">
            <w:pPr>
              <w:pStyle w:val="ListParagraph"/>
              <w:numPr>
                <w:ilvl w:val="0"/>
                <w:numId w:val="37"/>
              </w:numPr>
              <w:rPr>
                <w:b w:val="0"/>
              </w:rPr>
            </w:pPr>
            <w:r w:rsidRPr="00CC5830">
              <w:rPr>
                <w:b w:val="0"/>
              </w:rPr>
              <w:t xml:space="preserve">threat type </w:t>
            </w:r>
          </w:p>
          <w:p w14:paraId="4453669A" w14:textId="26ED5885" w:rsidR="000500D6" w:rsidRDefault="000500D6" w:rsidP="000500D6">
            <w:r w:rsidRPr="000500D6">
              <w:rPr>
                <w:b w:val="0"/>
                <w:bCs/>
              </w:rPr>
              <w:t>The sum of percentages for these fields will exceed 100% (as expected) reflecting the nature of multiple responses for each question. These sections are marked accordingly in this report.</w:t>
            </w:r>
          </w:p>
        </w:tc>
      </w:tr>
    </w:tbl>
    <w:p w14:paraId="3BF85FA0" w14:textId="682AD16F" w:rsidR="00BF3799" w:rsidRDefault="00E803E9" w:rsidP="00CE1EBE">
      <w:pPr>
        <w:pStyle w:val="Heading2"/>
        <w:spacing w:after="240"/>
      </w:pPr>
      <w:r w:rsidRPr="00E803E9">
        <w:lastRenderedPageBreak/>
        <w:t>Information security incident notification insights from J</w:t>
      </w:r>
      <w:r w:rsidR="00291177">
        <w:t xml:space="preserve">uly </w:t>
      </w:r>
      <w:r w:rsidRPr="00E803E9">
        <w:t xml:space="preserve">– </w:t>
      </w:r>
      <w:r w:rsidR="00291177">
        <w:t>December</w:t>
      </w:r>
      <w:r w:rsidRPr="00E803E9">
        <w:t xml:space="preserve"> 202</w:t>
      </w:r>
      <w:r w:rsidR="00FB7E63">
        <w:t>5</w:t>
      </w:r>
    </w:p>
    <w:p w14:paraId="4D9224A3" w14:textId="1343E67B" w:rsidR="00894E59" w:rsidRDefault="00E803E9" w:rsidP="00CE1EBE">
      <w:pPr>
        <w:pStyle w:val="Heading2"/>
        <w:spacing w:before="360" w:after="240"/>
      </w:pPr>
      <w:r>
        <w:t>Notifications by month</w:t>
      </w:r>
    </w:p>
    <w:p w14:paraId="64F0AADE" w14:textId="7FD804E6" w:rsidR="00F8069D" w:rsidRPr="00894E59" w:rsidRDefault="00F8069D" w:rsidP="0094653A">
      <w:pPr>
        <w:jc w:val="center"/>
      </w:pPr>
      <w:r>
        <w:rPr>
          <w:noProof/>
        </w:rPr>
        <w:drawing>
          <wp:inline distT="0" distB="0" distL="0" distR="0" wp14:anchorId="1D40EE3B" wp14:editId="03D796C4">
            <wp:extent cx="5486400" cy="2895600"/>
            <wp:effectExtent l="0" t="0" r="0" b="0"/>
            <wp:docPr id="33427179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95A901D" w14:textId="412878D0" w:rsidR="00A01C6A" w:rsidRDefault="00DE68E7" w:rsidP="00CE1EBE">
      <w:pPr>
        <w:pStyle w:val="Heading3"/>
        <w:spacing w:before="0"/>
      </w:pPr>
      <w:r w:rsidRPr="00DE68E7">
        <w:t>Insights:</w:t>
      </w:r>
    </w:p>
    <w:p w14:paraId="365D07CE" w14:textId="268CA7E9" w:rsidR="00E803E9" w:rsidRPr="000167D5" w:rsidRDefault="00E803E9" w:rsidP="00E803E9">
      <w:r w:rsidRPr="000167D5">
        <w:t xml:space="preserve">OVIC received </w:t>
      </w:r>
      <w:r w:rsidR="00CB6BE9" w:rsidRPr="000178D7">
        <w:rPr>
          <w:b/>
          <w:bCs/>
        </w:rPr>
        <w:t>5</w:t>
      </w:r>
      <w:r w:rsidR="0055078D">
        <w:rPr>
          <w:b/>
          <w:bCs/>
        </w:rPr>
        <w:t>29</w:t>
      </w:r>
      <w:r w:rsidRPr="000178D7">
        <w:t xml:space="preserve"> notifications between </w:t>
      </w:r>
      <w:r w:rsidRPr="000178D7">
        <w:rPr>
          <w:b/>
          <w:bCs/>
        </w:rPr>
        <w:t xml:space="preserve">1 </w:t>
      </w:r>
      <w:r w:rsidR="00D666D0" w:rsidRPr="000178D7">
        <w:rPr>
          <w:b/>
          <w:bCs/>
        </w:rPr>
        <w:t>J</w:t>
      </w:r>
      <w:r w:rsidR="00721C92">
        <w:rPr>
          <w:b/>
          <w:bCs/>
        </w:rPr>
        <w:t>uly</w:t>
      </w:r>
      <w:r w:rsidR="006D4CCF" w:rsidRPr="000178D7">
        <w:rPr>
          <w:b/>
          <w:bCs/>
        </w:rPr>
        <w:t xml:space="preserve"> </w:t>
      </w:r>
      <w:r w:rsidRPr="000178D7">
        <w:t xml:space="preserve">to </w:t>
      </w:r>
      <w:r w:rsidRPr="000178D7">
        <w:rPr>
          <w:b/>
          <w:bCs/>
        </w:rPr>
        <w:t>3</w:t>
      </w:r>
      <w:r w:rsidR="00721C92">
        <w:rPr>
          <w:b/>
          <w:bCs/>
        </w:rPr>
        <w:t>1 December</w:t>
      </w:r>
      <w:r w:rsidRPr="000178D7">
        <w:rPr>
          <w:b/>
          <w:bCs/>
        </w:rPr>
        <w:t xml:space="preserve"> 202</w:t>
      </w:r>
      <w:r w:rsidR="00860536">
        <w:rPr>
          <w:b/>
          <w:bCs/>
        </w:rPr>
        <w:t>5</w:t>
      </w:r>
      <w:r w:rsidRPr="000178D7">
        <w:t xml:space="preserve"> (inclusive). Th</w:t>
      </w:r>
      <w:r w:rsidR="009C6E4A" w:rsidRPr="000178D7">
        <w:t>ere was</w:t>
      </w:r>
      <w:r w:rsidR="00D666D0" w:rsidRPr="000178D7">
        <w:t xml:space="preserve"> a </w:t>
      </w:r>
      <w:r w:rsidR="00D33EB3">
        <w:rPr>
          <w:b/>
          <w:bCs/>
        </w:rPr>
        <w:t>5</w:t>
      </w:r>
      <w:r w:rsidR="00FE1108">
        <w:rPr>
          <w:b/>
          <w:bCs/>
        </w:rPr>
        <w:t>.7</w:t>
      </w:r>
      <w:r w:rsidR="00DE0B46" w:rsidRPr="000178D7">
        <w:rPr>
          <w:b/>
          <w:bCs/>
        </w:rPr>
        <w:t>%</w:t>
      </w:r>
      <w:r w:rsidR="00D666D0" w:rsidRPr="000178D7">
        <w:t xml:space="preserve"> </w:t>
      </w:r>
      <w:r w:rsidR="00FE1108">
        <w:t>decrease</w:t>
      </w:r>
      <w:r w:rsidR="00D666D0" w:rsidRPr="00A15B25">
        <w:t xml:space="preserve"> in notifications </w:t>
      </w:r>
      <w:r w:rsidRPr="000A55F3">
        <w:t xml:space="preserve">compared to </w:t>
      </w:r>
      <w:r w:rsidR="00D666D0" w:rsidRPr="000A55F3">
        <w:t xml:space="preserve">the previous </w:t>
      </w:r>
      <w:r w:rsidR="00820E52" w:rsidRPr="000A55F3">
        <w:t>notification</w:t>
      </w:r>
      <w:r w:rsidR="00D666D0" w:rsidRPr="000A55F3">
        <w:t xml:space="preserve"> period </w:t>
      </w:r>
      <w:r w:rsidR="00D33EB3">
        <w:t>J</w:t>
      </w:r>
      <w:r w:rsidR="00FE1108">
        <w:t>anuary</w:t>
      </w:r>
      <w:r w:rsidR="00D33EB3">
        <w:t xml:space="preserve"> to </w:t>
      </w:r>
      <w:r w:rsidR="00FE1108">
        <w:t>June</w:t>
      </w:r>
      <w:r w:rsidRPr="000A55F3">
        <w:t xml:space="preserve"> 202</w:t>
      </w:r>
      <w:r w:rsidR="00FE1108">
        <w:t>5</w:t>
      </w:r>
      <w:r w:rsidRPr="000A55F3">
        <w:t xml:space="preserve"> </w:t>
      </w:r>
      <w:r w:rsidRPr="00D8223A">
        <w:t>(</w:t>
      </w:r>
      <w:r w:rsidR="00D33EB3" w:rsidRPr="008A3A85">
        <w:t>5</w:t>
      </w:r>
      <w:r w:rsidR="00E15152" w:rsidRPr="008A3A85">
        <w:t>61</w:t>
      </w:r>
      <w:r w:rsidRPr="00D8223A">
        <w:t>)</w:t>
      </w:r>
      <w:r w:rsidR="00A15B25" w:rsidRPr="00D8223A">
        <w:t>.</w:t>
      </w:r>
      <w:r w:rsidR="00A15B25" w:rsidRPr="000A55F3">
        <w:t xml:space="preserve"> </w:t>
      </w:r>
    </w:p>
    <w:p w14:paraId="6EC29C20" w14:textId="5C17C82D" w:rsidR="000167D5" w:rsidRPr="00817EED" w:rsidRDefault="00357B6B" w:rsidP="000167D5">
      <w:r>
        <w:t xml:space="preserve">For the </w:t>
      </w:r>
      <w:r w:rsidR="004655FF">
        <w:t xml:space="preserve">July – December 2025 period, </w:t>
      </w:r>
      <w:r w:rsidR="00E95F37">
        <w:t>OVIC</w:t>
      </w:r>
      <w:r w:rsidR="00E95F37" w:rsidRPr="000167D5">
        <w:t xml:space="preserve"> </w:t>
      </w:r>
      <w:r w:rsidR="00E803E9" w:rsidRPr="000167D5">
        <w:t xml:space="preserve">received the highest number of notifications in </w:t>
      </w:r>
      <w:r w:rsidR="004655FF">
        <w:t>July</w:t>
      </w:r>
      <w:r w:rsidR="00C55960" w:rsidRPr="00C55960">
        <w:t xml:space="preserve"> </w:t>
      </w:r>
      <w:r w:rsidR="004D22A6" w:rsidRPr="000167D5">
        <w:t>(</w:t>
      </w:r>
      <w:r w:rsidR="004D22A6" w:rsidRPr="008C1BAB">
        <w:rPr>
          <w:b/>
          <w:bCs/>
        </w:rPr>
        <w:t>1</w:t>
      </w:r>
      <w:r w:rsidR="004655FF">
        <w:rPr>
          <w:b/>
          <w:bCs/>
        </w:rPr>
        <w:t>28</w:t>
      </w:r>
      <w:r w:rsidR="004D22A6" w:rsidRPr="000167D5">
        <w:t xml:space="preserve">) </w:t>
      </w:r>
      <w:r w:rsidR="002C0DB9">
        <w:t xml:space="preserve">and </w:t>
      </w:r>
      <w:r w:rsidR="006918FA">
        <w:t>August</w:t>
      </w:r>
      <w:r w:rsidR="002C0DB9">
        <w:t xml:space="preserve"> </w:t>
      </w:r>
      <w:r w:rsidR="002C0DB9" w:rsidRPr="00A41A94">
        <w:t>(</w:t>
      </w:r>
      <w:r w:rsidR="002C0DB9" w:rsidRPr="00A41A94">
        <w:rPr>
          <w:b/>
          <w:bCs/>
        </w:rPr>
        <w:t>1</w:t>
      </w:r>
      <w:r w:rsidR="006918FA">
        <w:rPr>
          <w:b/>
          <w:bCs/>
        </w:rPr>
        <w:t>22</w:t>
      </w:r>
      <w:r w:rsidR="002C0DB9" w:rsidRPr="00A41A94">
        <w:t xml:space="preserve">) </w:t>
      </w:r>
      <w:r w:rsidR="00C55960" w:rsidRPr="00E41E0E">
        <w:t xml:space="preserve">which is </w:t>
      </w:r>
      <w:r w:rsidR="00BA2931" w:rsidRPr="00E41E0E">
        <w:t>a</w:t>
      </w:r>
      <w:r w:rsidR="002F7C55">
        <w:t xml:space="preserve">n </w:t>
      </w:r>
      <w:r w:rsidR="00C55960" w:rsidRPr="00E41E0E">
        <w:t xml:space="preserve">increase from </w:t>
      </w:r>
      <w:r w:rsidR="00820D96">
        <w:t>July</w:t>
      </w:r>
      <w:r w:rsidR="00C55960" w:rsidRPr="00E41E0E">
        <w:t xml:space="preserve"> 202</w:t>
      </w:r>
      <w:r w:rsidR="006D5F67" w:rsidRPr="00E41E0E">
        <w:t>4</w:t>
      </w:r>
      <w:r w:rsidR="00C55960" w:rsidRPr="00E41E0E">
        <w:t xml:space="preserve"> (</w:t>
      </w:r>
      <w:r w:rsidR="00DD1850">
        <w:rPr>
          <w:b/>
          <w:bCs/>
        </w:rPr>
        <w:t>43</w:t>
      </w:r>
      <w:r w:rsidR="00C55960" w:rsidRPr="00E41E0E">
        <w:t xml:space="preserve">) </w:t>
      </w:r>
      <w:r w:rsidR="002C0DB9">
        <w:t xml:space="preserve">and </w:t>
      </w:r>
      <w:r w:rsidR="00DD1850">
        <w:t>August</w:t>
      </w:r>
      <w:r w:rsidR="002C0DB9" w:rsidRPr="00A41A94">
        <w:t xml:space="preserve"> 2024 (</w:t>
      </w:r>
      <w:r w:rsidR="00DD1850">
        <w:rPr>
          <w:b/>
          <w:bCs/>
        </w:rPr>
        <w:t>111</w:t>
      </w:r>
      <w:r w:rsidR="002C0DB9" w:rsidRPr="00A41A94">
        <w:t>)</w:t>
      </w:r>
      <w:r w:rsidR="009F6C7E">
        <w:t>,</w:t>
      </w:r>
      <w:r w:rsidR="002C0DB9" w:rsidRPr="00A41A94">
        <w:t xml:space="preserve"> </w:t>
      </w:r>
      <w:r w:rsidR="00C55960" w:rsidRPr="00E41E0E">
        <w:t xml:space="preserve">and higher than </w:t>
      </w:r>
      <w:r w:rsidR="00193557">
        <w:t>July</w:t>
      </w:r>
      <w:r w:rsidR="00C55960" w:rsidRPr="00E41E0E">
        <w:t xml:space="preserve"> </w:t>
      </w:r>
      <w:r w:rsidR="0047490E">
        <w:t xml:space="preserve">and </w:t>
      </w:r>
      <w:r w:rsidR="00193557">
        <w:t>August</w:t>
      </w:r>
      <w:r w:rsidR="0047490E">
        <w:t xml:space="preserve"> </w:t>
      </w:r>
      <w:r w:rsidR="00C55960" w:rsidRPr="00E41E0E">
        <w:t xml:space="preserve">in any previous year since the </w:t>
      </w:r>
      <w:r w:rsidR="003D11BD" w:rsidRPr="00E41E0E">
        <w:t>scheme began</w:t>
      </w:r>
      <w:r w:rsidR="00E803E9" w:rsidRPr="00E41E0E">
        <w:t>.</w:t>
      </w:r>
      <w:r w:rsidR="000167D5" w:rsidRPr="00817EED">
        <w:t xml:space="preserve"> </w:t>
      </w:r>
    </w:p>
    <w:p w14:paraId="34DCAB8F" w14:textId="53C320FC" w:rsidR="007A0288" w:rsidRPr="00FD4C26" w:rsidRDefault="00E803E9" w:rsidP="00F4430E">
      <w:r w:rsidRPr="00817EED">
        <w:t xml:space="preserve">The higher numbers in </w:t>
      </w:r>
      <w:r w:rsidR="0062312C">
        <w:t>July</w:t>
      </w:r>
      <w:r w:rsidRPr="00817EED">
        <w:t xml:space="preserve"> mostly came from </w:t>
      </w:r>
      <w:r w:rsidR="00CD7445">
        <w:t>the water sector</w:t>
      </w:r>
      <w:r w:rsidR="00C40A8E">
        <w:t>.</w:t>
      </w:r>
    </w:p>
    <w:p w14:paraId="32787322" w14:textId="77E8B201" w:rsidR="000B489B" w:rsidRDefault="00512987" w:rsidP="007867EE">
      <w:r>
        <w:t xml:space="preserve">The lowest number of </w:t>
      </w:r>
      <w:r w:rsidR="009C74D2">
        <w:t xml:space="preserve">notifications were received in </w:t>
      </w:r>
      <w:r w:rsidR="00BF5540">
        <w:t>November</w:t>
      </w:r>
      <w:r w:rsidR="009C74D2">
        <w:t xml:space="preserve"> (</w:t>
      </w:r>
      <w:r w:rsidR="00BF5540">
        <w:rPr>
          <w:b/>
          <w:bCs/>
        </w:rPr>
        <w:t>45</w:t>
      </w:r>
      <w:r w:rsidR="009C74D2">
        <w:t>)</w:t>
      </w:r>
      <w:r w:rsidR="00CB79E2">
        <w:t xml:space="preserve">. This is the lowest number of November notifications received </w:t>
      </w:r>
      <w:r w:rsidR="00C60753">
        <w:t>since the scheme began</w:t>
      </w:r>
      <w:r w:rsidR="00C0219C">
        <w:t>,</w:t>
      </w:r>
      <w:r w:rsidR="00B6500F">
        <w:t xml:space="preserve"> which </w:t>
      </w:r>
      <w:r w:rsidR="00E029FB">
        <w:t xml:space="preserve">is </w:t>
      </w:r>
      <w:r w:rsidR="00914396">
        <w:t xml:space="preserve">when OVIC </w:t>
      </w:r>
      <w:r w:rsidR="00D234C7">
        <w:t xml:space="preserve">has </w:t>
      </w:r>
      <w:r w:rsidR="00142295">
        <w:t xml:space="preserve">typically </w:t>
      </w:r>
      <w:r w:rsidR="008428F4">
        <w:t xml:space="preserve">received </w:t>
      </w:r>
      <w:r w:rsidR="00D234C7">
        <w:t>a</w:t>
      </w:r>
      <w:r w:rsidR="00055995">
        <w:t xml:space="preserve"> higher number of</w:t>
      </w:r>
      <w:r w:rsidR="00166997">
        <w:t xml:space="preserve"> </w:t>
      </w:r>
      <w:r w:rsidR="009E7F9B">
        <w:t>notifications.</w:t>
      </w:r>
    </w:p>
    <w:tbl>
      <w:tblPr>
        <w:tblStyle w:val="OVICDefaulttable"/>
        <w:tblW w:w="0" w:type="auto"/>
        <w:tblLook w:val="04A0" w:firstRow="1" w:lastRow="0" w:firstColumn="1" w:lastColumn="0" w:noHBand="0" w:noVBand="1"/>
      </w:tblPr>
      <w:tblGrid>
        <w:gridCol w:w="9288"/>
      </w:tblGrid>
      <w:tr w:rsidR="000B4652" w14:paraId="6C4304DA" w14:textId="77777777" w:rsidTr="00E307CB">
        <w:trPr>
          <w:cnfStyle w:val="100000000000" w:firstRow="1" w:lastRow="0" w:firstColumn="0" w:lastColumn="0" w:oddVBand="0" w:evenVBand="0" w:oddHBand="0" w:evenHBand="0" w:firstRowFirstColumn="0" w:firstRowLastColumn="0" w:lastRowFirstColumn="0" w:lastRowLastColumn="0"/>
          <w:trHeight w:val="1757"/>
        </w:trPr>
        <w:tc>
          <w:tcPr>
            <w:tcW w:w="9288" w:type="dxa"/>
          </w:tcPr>
          <w:p w14:paraId="0915AC03" w14:textId="77777777" w:rsidR="00E84A51" w:rsidRPr="00A63C5D" w:rsidRDefault="00E84A51" w:rsidP="00352399">
            <w:pPr>
              <w:spacing w:before="0" w:after="120"/>
            </w:pPr>
            <w:r w:rsidRPr="00A63C5D">
              <w:t>Note:</w:t>
            </w:r>
          </w:p>
          <w:p w14:paraId="1F74A198" w14:textId="74D8F8C9" w:rsidR="00E84A51" w:rsidRPr="00203739" w:rsidRDefault="0025539A" w:rsidP="00352399">
            <w:pPr>
              <w:pStyle w:val="ListParagraph"/>
              <w:numPr>
                <w:ilvl w:val="0"/>
                <w:numId w:val="45"/>
              </w:numPr>
              <w:spacing w:before="0" w:after="120"/>
              <w:rPr>
                <w:b w:val="0"/>
              </w:rPr>
            </w:pPr>
            <w:r w:rsidRPr="00203739">
              <w:rPr>
                <w:b w:val="0"/>
              </w:rPr>
              <w:t>T</w:t>
            </w:r>
            <w:r w:rsidR="00E84A51" w:rsidRPr="00203739">
              <w:rPr>
                <w:b w:val="0"/>
              </w:rPr>
              <w:t xml:space="preserve">he date of notification </w:t>
            </w:r>
            <w:r w:rsidR="006B5063" w:rsidRPr="00203739">
              <w:rPr>
                <w:b w:val="0"/>
              </w:rPr>
              <w:t xml:space="preserve">reflects when a notification was made to OVIC </w:t>
            </w:r>
            <w:r w:rsidR="006B5063">
              <w:rPr>
                <w:b w:val="0"/>
              </w:rPr>
              <w:t xml:space="preserve">and may </w:t>
            </w:r>
            <w:r w:rsidR="00E84A51" w:rsidRPr="00203739">
              <w:rPr>
                <w:b w:val="0"/>
              </w:rPr>
              <w:t xml:space="preserve">not necessarily </w:t>
            </w:r>
            <w:r w:rsidR="006B5063">
              <w:rPr>
                <w:b w:val="0"/>
              </w:rPr>
              <w:t>be</w:t>
            </w:r>
            <w:r w:rsidR="006B5063" w:rsidRPr="00203739">
              <w:rPr>
                <w:b w:val="0"/>
              </w:rPr>
              <w:t xml:space="preserve"> </w:t>
            </w:r>
            <w:r w:rsidR="00E84A51" w:rsidRPr="00203739">
              <w:rPr>
                <w:b w:val="0"/>
              </w:rPr>
              <w:t xml:space="preserve">when an incident </w:t>
            </w:r>
            <w:r w:rsidR="00C40A8E" w:rsidRPr="00203739">
              <w:rPr>
                <w:b w:val="0"/>
              </w:rPr>
              <w:t>occurred</w:t>
            </w:r>
            <w:r w:rsidR="006B5063">
              <w:rPr>
                <w:b w:val="0"/>
              </w:rPr>
              <w:t>.</w:t>
            </w:r>
          </w:p>
          <w:p w14:paraId="60F9DA92" w14:textId="46E2F2CA" w:rsidR="00164644" w:rsidRPr="00C308B1" w:rsidRDefault="00CE67CB" w:rsidP="00CC6944">
            <w:pPr>
              <w:pStyle w:val="ListParagraph"/>
              <w:numPr>
                <w:ilvl w:val="0"/>
                <w:numId w:val="45"/>
              </w:numPr>
              <w:spacing w:before="0" w:after="120"/>
              <w:rPr>
                <w:bCs/>
              </w:rPr>
            </w:pPr>
            <w:bookmarkStart w:id="0" w:name="_Hlk191642723"/>
            <w:r>
              <w:rPr>
                <w:b w:val="0"/>
              </w:rPr>
              <w:t>Organisations with</w:t>
            </w:r>
            <w:r w:rsidR="00E84A51" w:rsidRPr="00203739">
              <w:rPr>
                <w:b w:val="0"/>
              </w:rPr>
              <w:t xml:space="preserve"> higher number</w:t>
            </w:r>
            <w:r>
              <w:rPr>
                <w:b w:val="0"/>
              </w:rPr>
              <w:t>s</w:t>
            </w:r>
            <w:r w:rsidR="00E84A51" w:rsidRPr="00203739">
              <w:rPr>
                <w:b w:val="0"/>
              </w:rPr>
              <w:t xml:space="preserve"> of notifications </w:t>
            </w:r>
            <w:r w:rsidR="007632B8">
              <w:rPr>
                <w:b w:val="0"/>
              </w:rPr>
              <w:t>may</w:t>
            </w:r>
            <w:r w:rsidR="00E84A51" w:rsidRPr="00203739">
              <w:rPr>
                <w:b w:val="0"/>
              </w:rPr>
              <w:t xml:space="preserve"> reflect established or improved incident management and reporting processes</w:t>
            </w:r>
            <w:bookmarkEnd w:id="0"/>
            <w:r w:rsidR="00936C4F">
              <w:rPr>
                <w:b w:val="0"/>
              </w:rPr>
              <w:t xml:space="preserve"> and not </w:t>
            </w:r>
            <w:r w:rsidR="00505C18">
              <w:rPr>
                <w:b w:val="0"/>
              </w:rPr>
              <w:t xml:space="preserve">necessarily a </w:t>
            </w:r>
            <w:r w:rsidR="004D2CDA">
              <w:rPr>
                <w:b w:val="0"/>
              </w:rPr>
              <w:t>higher number of incidents</w:t>
            </w:r>
            <w:r w:rsidR="00936C4F">
              <w:rPr>
                <w:b w:val="0"/>
              </w:rPr>
              <w:t>.</w:t>
            </w:r>
            <w:r w:rsidR="00985231">
              <w:rPr>
                <w:b w:val="0"/>
              </w:rPr>
              <w:t xml:space="preserve"> Similarly, organisations with a lower </w:t>
            </w:r>
            <w:r w:rsidR="00985231" w:rsidRPr="00815879">
              <w:rPr>
                <w:b w:val="0"/>
              </w:rPr>
              <w:t>number of notifications may reflect a less mature incident management and reporting process.</w:t>
            </w:r>
            <w:r w:rsidR="008854AB">
              <w:rPr>
                <w:b w:val="0"/>
              </w:rPr>
              <w:t xml:space="preserve"> It should also be noted that </w:t>
            </w:r>
            <w:r w:rsidR="00B74FA5" w:rsidRPr="00882502">
              <w:t xml:space="preserve">reporting by agencies under the scheme </w:t>
            </w:r>
            <w:r w:rsidR="00031218" w:rsidRPr="00882502">
              <w:t>is voluntary</w:t>
            </w:r>
            <w:r w:rsidR="00CC6944">
              <w:rPr>
                <w:b w:val="0"/>
              </w:rPr>
              <w:t xml:space="preserve"> making </w:t>
            </w:r>
            <w:r w:rsidR="003C39FA" w:rsidRPr="00882502">
              <w:t xml:space="preserve">trend analysis </w:t>
            </w:r>
            <w:r w:rsidR="00CC6944">
              <w:rPr>
                <w:b w:val="0"/>
              </w:rPr>
              <w:t>somewhat subjective.</w:t>
            </w:r>
            <w:r w:rsidR="00031218" w:rsidRPr="00882502">
              <w:t xml:space="preserve"> </w:t>
            </w:r>
          </w:p>
        </w:tc>
      </w:tr>
    </w:tbl>
    <w:p w14:paraId="2E08625D" w14:textId="77777777" w:rsidR="00E307CB" w:rsidRDefault="00E307CB">
      <w:pPr>
        <w:spacing w:before="0" w:after="160" w:line="259" w:lineRule="auto"/>
        <w:rPr>
          <w:rFonts w:eastAsiaTheme="majorEastAsia" w:cstheme="majorBidi"/>
          <w:color w:val="430098" w:themeColor="text2"/>
          <w:sz w:val="30"/>
          <w:szCs w:val="26"/>
        </w:rPr>
      </w:pPr>
      <w:bookmarkStart w:id="1" w:name="_Hlk130903686"/>
      <w:r>
        <w:br w:type="page"/>
      </w:r>
    </w:p>
    <w:p w14:paraId="7B92A6C2" w14:textId="4C0319FA" w:rsidR="00E803E9" w:rsidRPr="00C16877" w:rsidRDefault="00E803E9" w:rsidP="00C16877">
      <w:pPr>
        <w:pStyle w:val="Heading2"/>
      </w:pPr>
      <w:r w:rsidRPr="00C16877">
        <w:lastRenderedPageBreak/>
        <w:t>Notifications by portfolio</w:t>
      </w:r>
    </w:p>
    <w:p w14:paraId="7C8D72CB" w14:textId="5979C790" w:rsidR="00894E59" w:rsidRPr="00894E59" w:rsidRDefault="00894E59" w:rsidP="0094653A">
      <w:pPr>
        <w:jc w:val="center"/>
      </w:pPr>
      <w:r>
        <w:rPr>
          <w:noProof/>
        </w:rPr>
        <w:drawing>
          <wp:inline distT="0" distB="0" distL="0" distR="0" wp14:anchorId="2FE9B5DB" wp14:editId="2D37ACE3">
            <wp:extent cx="5486400" cy="3590925"/>
            <wp:effectExtent l="0" t="0" r="0" b="0"/>
            <wp:docPr id="27895146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bookmarkEnd w:id="1"/>
    <w:p w14:paraId="3D31536E" w14:textId="1D3CDFAD" w:rsidR="001B0C78" w:rsidRDefault="00DE68E7" w:rsidP="00AC47F1">
      <w:pPr>
        <w:pStyle w:val="Heading3"/>
      </w:pPr>
      <w:r>
        <w:t>Insights:</w:t>
      </w:r>
    </w:p>
    <w:p w14:paraId="24CB63D1" w14:textId="6C2FC355" w:rsidR="00E803E9" w:rsidRDefault="001E6518" w:rsidP="00E803E9">
      <w:proofErr w:type="gramStart"/>
      <w:r>
        <w:t>Similar to</w:t>
      </w:r>
      <w:proofErr w:type="gramEnd"/>
      <w:r>
        <w:t xml:space="preserve"> the previous </w:t>
      </w:r>
      <w:r w:rsidR="009B4055">
        <w:t xml:space="preserve">notification </w:t>
      </w:r>
      <w:r w:rsidR="00C0295B">
        <w:t>period</w:t>
      </w:r>
      <w:r w:rsidR="00832AF7">
        <w:t>, m</w:t>
      </w:r>
      <w:r w:rsidR="00C279D5">
        <w:t>ost of the</w:t>
      </w:r>
      <w:r w:rsidR="00E803E9" w:rsidRPr="00E803E9">
        <w:t xml:space="preserve"> </w:t>
      </w:r>
      <w:r w:rsidR="00C0295B">
        <w:rPr>
          <w:b/>
          <w:bCs/>
        </w:rPr>
        <w:t>5</w:t>
      </w:r>
      <w:r w:rsidR="00D350B9">
        <w:rPr>
          <w:b/>
          <w:bCs/>
        </w:rPr>
        <w:t>29</w:t>
      </w:r>
      <w:r w:rsidR="00512240">
        <w:rPr>
          <w:b/>
          <w:bCs/>
        </w:rPr>
        <w:t xml:space="preserve"> </w:t>
      </w:r>
      <w:r w:rsidR="00E803E9" w:rsidRPr="00E803E9">
        <w:t xml:space="preserve">notifications received by OVIC came from </w:t>
      </w:r>
      <w:r w:rsidR="00E979A1">
        <w:t xml:space="preserve">the </w:t>
      </w:r>
      <w:r w:rsidR="001307F7">
        <w:t>T</w:t>
      </w:r>
      <w:r w:rsidR="00D350B9" w:rsidRPr="002C7933">
        <w:t xml:space="preserve">reasury and </w:t>
      </w:r>
      <w:r w:rsidR="001307F7">
        <w:t>F</w:t>
      </w:r>
      <w:r w:rsidR="00D350B9" w:rsidRPr="002C7933">
        <w:t xml:space="preserve">inance </w:t>
      </w:r>
      <w:r w:rsidR="00D350B9">
        <w:t>portfolio (</w:t>
      </w:r>
      <w:r w:rsidR="00D350B9" w:rsidRPr="00D725CC">
        <w:rPr>
          <w:b/>
          <w:bCs/>
        </w:rPr>
        <w:t>1</w:t>
      </w:r>
      <w:r w:rsidR="00D350B9">
        <w:rPr>
          <w:b/>
          <w:bCs/>
        </w:rPr>
        <w:t>66</w:t>
      </w:r>
      <w:r w:rsidR="00D350B9">
        <w:t xml:space="preserve">) followed by the </w:t>
      </w:r>
      <w:r w:rsidR="00816BDF">
        <w:t>E</w:t>
      </w:r>
      <w:r w:rsidR="00832AF7" w:rsidRPr="00832AF7">
        <w:t xml:space="preserve">nergy, </w:t>
      </w:r>
      <w:r w:rsidR="00816BDF">
        <w:t>E</w:t>
      </w:r>
      <w:r w:rsidR="00832AF7" w:rsidRPr="00832AF7">
        <w:t xml:space="preserve">nvironment, and </w:t>
      </w:r>
      <w:r w:rsidR="00816BDF">
        <w:t>C</w:t>
      </w:r>
      <w:r w:rsidR="00832AF7" w:rsidRPr="00832AF7">
        <w:t xml:space="preserve">limate </w:t>
      </w:r>
      <w:r w:rsidR="00816BDF">
        <w:t>A</w:t>
      </w:r>
      <w:r w:rsidR="00832AF7" w:rsidRPr="00832AF7">
        <w:t>ction</w:t>
      </w:r>
      <w:r w:rsidR="00E803E9" w:rsidRPr="00E803E9">
        <w:t xml:space="preserve"> </w:t>
      </w:r>
      <w:r w:rsidR="00D056F4">
        <w:t xml:space="preserve">portfolio </w:t>
      </w:r>
      <w:r w:rsidR="00D725CC">
        <w:t>(</w:t>
      </w:r>
      <w:r w:rsidR="00D350B9">
        <w:rPr>
          <w:b/>
          <w:bCs/>
        </w:rPr>
        <w:t>112</w:t>
      </w:r>
      <w:r w:rsidR="00D725CC">
        <w:t>)</w:t>
      </w:r>
      <w:r w:rsidR="00E803E9" w:rsidRPr="00E803E9">
        <w:t xml:space="preserve">. </w:t>
      </w:r>
    </w:p>
    <w:p w14:paraId="6FF4162E" w14:textId="302A2D5F" w:rsidR="00DE68E7" w:rsidRPr="00C46B2F" w:rsidRDefault="00B11226" w:rsidP="00915301">
      <w:r>
        <w:t>N</w:t>
      </w:r>
      <w:r w:rsidR="009233C7">
        <w:t>otification</w:t>
      </w:r>
      <w:r w:rsidR="003C6641">
        <w:t xml:space="preserve"> number</w:t>
      </w:r>
      <w:r w:rsidR="009233C7">
        <w:t xml:space="preserve">s </w:t>
      </w:r>
      <w:r w:rsidR="00D452E6" w:rsidRPr="00C46B2F">
        <w:t xml:space="preserve">across </w:t>
      </w:r>
      <w:r w:rsidR="00733ABA">
        <w:t>several</w:t>
      </w:r>
      <w:r w:rsidR="009526B7" w:rsidRPr="00C46B2F">
        <w:t xml:space="preserve"> </w:t>
      </w:r>
      <w:r w:rsidR="00D452E6" w:rsidRPr="00C46B2F">
        <w:t>portfolios</w:t>
      </w:r>
      <w:r w:rsidR="009526B7" w:rsidRPr="00C46B2F">
        <w:t xml:space="preserve"> </w:t>
      </w:r>
      <w:r>
        <w:t>appear</w:t>
      </w:r>
      <w:r w:rsidR="007C3FDC">
        <w:t xml:space="preserve"> consistent</w:t>
      </w:r>
      <w:r w:rsidR="00C51D33">
        <w:t>, for example</w:t>
      </w:r>
      <w:r w:rsidR="009526B7" w:rsidRPr="00C46B2F">
        <w:t xml:space="preserve"> </w:t>
      </w:r>
      <w:r w:rsidR="007F0493">
        <w:t>P</w:t>
      </w:r>
      <w:r w:rsidR="00FC0A1D" w:rsidRPr="00FC0A1D">
        <w:t xml:space="preserve">remier and </w:t>
      </w:r>
      <w:r w:rsidR="007F0493">
        <w:t>C</w:t>
      </w:r>
      <w:r w:rsidR="00FC0A1D" w:rsidRPr="00FC0A1D">
        <w:t xml:space="preserve">abinet </w:t>
      </w:r>
      <w:r w:rsidR="009526B7" w:rsidRPr="00C46B2F">
        <w:t>(</w:t>
      </w:r>
      <w:r w:rsidR="009951A7" w:rsidRPr="00733ABA">
        <w:rPr>
          <w:b/>
          <w:bCs/>
        </w:rPr>
        <w:t>4</w:t>
      </w:r>
      <w:r w:rsidR="009526B7" w:rsidRPr="00C46B2F">
        <w:t>)</w:t>
      </w:r>
      <w:r w:rsidR="00DD2304" w:rsidRPr="00C46B2F">
        <w:t xml:space="preserve">, </w:t>
      </w:r>
      <w:r w:rsidR="007F0493">
        <w:t>J</w:t>
      </w:r>
      <w:r w:rsidR="006E041A">
        <w:t xml:space="preserve">ustice and </w:t>
      </w:r>
      <w:r w:rsidR="007F0493">
        <w:t>C</w:t>
      </w:r>
      <w:r w:rsidR="006E041A">
        <w:t xml:space="preserve">ommunity </w:t>
      </w:r>
      <w:r w:rsidR="007F0493">
        <w:t>S</w:t>
      </w:r>
      <w:r w:rsidR="006E041A">
        <w:t>afety (</w:t>
      </w:r>
      <w:r w:rsidR="006E041A" w:rsidRPr="00733ABA">
        <w:rPr>
          <w:b/>
          <w:bCs/>
        </w:rPr>
        <w:t>86</w:t>
      </w:r>
      <w:r w:rsidR="006E041A">
        <w:t>)</w:t>
      </w:r>
      <w:r w:rsidR="007F0493">
        <w:t>,</w:t>
      </w:r>
      <w:r w:rsidR="006E041A">
        <w:t xml:space="preserve"> </w:t>
      </w:r>
      <w:r w:rsidR="007F0493">
        <w:t>J</w:t>
      </w:r>
      <w:r w:rsidR="00BA49C2">
        <w:t>ob</w:t>
      </w:r>
      <w:r w:rsidR="00D41598">
        <w:t>s</w:t>
      </w:r>
      <w:r w:rsidR="00FF3C71">
        <w:t xml:space="preserve">, </w:t>
      </w:r>
      <w:r w:rsidR="007F0493">
        <w:t>S</w:t>
      </w:r>
      <w:r w:rsidR="00FF3C71">
        <w:t xml:space="preserve">kills, </w:t>
      </w:r>
      <w:r w:rsidR="007F0493">
        <w:t>I</w:t>
      </w:r>
      <w:r w:rsidR="00FF3C71">
        <w:t xml:space="preserve">ndustry and </w:t>
      </w:r>
      <w:r w:rsidR="007F0493">
        <w:t>R</w:t>
      </w:r>
      <w:r w:rsidR="00FF3C71">
        <w:t>egions</w:t>
      </w:r>
      <w:r w:rsidR="00691DA0" w:rsidRPr="00C46B2F">
        <w:t xml:space="preserve"> (</w:t>
      </w:r>
      <w:r w:rsidR="00FF3C71" w:rsidRPr="00733ABA">
        <w:rPr>
          <w:b/>
          <w:bCs/>
        </w:rPr>
        <w:t>11</w:t>
      </w:r>
      <w:r w:rsidR="00691DA0" w:rsidRPr="00C46B2F">
        <w:t>)</w:t>
      </w:r>
      <w:r w:rsidR="0050078B">
        <w:t xml:space="preserve">, and </w:t>
      </w:r>
      <w:r w:rsidR="007F0493">
        <w:t>L</w:t>
      </w:r>
      <w:r w:rsidR="0050078B">
        <w:t xml:space="preserve">ocal </w:t>
      </w:r>
      <w:r w:rsidR="007F0493">
        <w:t>G</w:t>
      </w:r>
      <w:r w:rsidR="0050078B">
        <w:t>overnment (</w:t>
      </w:r>
      <w:r w:rsidR="002F23B1" w:rsidRPr="002F23B1">
        <w:rPr>
          <w:b/>
          <w:bCs/>
        </w:rPr>
        <w:t>3</w:t>
      </w:r>
      <w:r w:rsidR="00733ABA">
        <w:rPr>
          <w:b/>
          <w:bCs/>
        </w:rPr>
        <w:t>2</w:t>
      </w:r>
      <w:r w:rsidR="002F23B1">
        <w:t>)</w:t>
      </w:r>
      <w:r w:rsidR="009526B7" w:rsidRPr="00C46B2F">
        <w:t xml:space="preserve"> c</w:t>
      </w:r>
      <w:r w:rsidR="00C63E89" w:rsidRPr="00C46B2F">
        <w:t xml:space="preserve">ompared to the </w:t>
      </w:r>
      <w:r w:rsidR="00324A2F">
        <w:t>previous</w:t>
      </w:r>
      <w:r w:rsidR="00C63E89" w:rsidRPr="00C46B2F">
        <w:t xml:space="preserve"> </w:t>
      </w:r>
      <w:r w:rsidR="009B28EA" w:rsidRPr="00C46B2F">
        <w:t>notification</w:t>
      </w:r>
      <w:r w:rsidR="00C63E89" w:rsidRPr="00C46B2F">
        <w:t xml:space="preserve"> period which were </w:t>
      </w:r>
      <w:r w:rsidR="009951A7">
        <w:t>5</w:t>
      </w:r>
      <w:r w:rsidR="00423822" w:rsidRPr="00423822">
        <w:t>,</w:t>
      </w:r>
      <w:r w:rsidR="00691DA0" w:rsidRPr="00423822">
        <w:t xml:space="preserve"> </w:t>
      </w:r>
      <w:r w:rsidR="006E041A">
        <w:t>88</w:t>
      </w:r>
      <w:r w:rsidR="003A63F5" w:rsidRPr="00423822">
        <w:t>,</w:t>
      </w:r>
      <w:r w:rsidR="00C63E89" w:rsidRPr="00423822">
        <w:t xml:space="preserve"> </w:t>
      </w:r>
      <w:r w:rsidR="00FF3C71">
        <w:t>8</w:t>
      </w:r>
      <w:r w:rsidR="00733ABA">
        <w:t xml:space="preserve"> and 34</w:t>
      </w:r>
      <w:r w:rsidR="00C63E89" w:rsidRPr="006B37CB">
        <w:t xml:space="preserve"> respectively</w:t>
      </w:r>
      <w:r w:rsidR="00C63E89" w:rsidRPr="00C46B2F">
        <w:t>.</w:t>
      </w:r>
      <w:r w:rsidR="00D452E6" w:rsidRPr="00C46B2F">
        <w:t xml:space="preserve"> </w:t>
      </w:r>
    </w:p>
    <w:p w14:paraId="7D55294C" w14:textId="261CB0CA" w:rsidR="00C50C56" w:rsidRDefault="00C50C56" w:rsidP="001F7E3C">
      <w:pPr>
        <w:rPr>
          <w:rStyle w:val="Emphasis"/>
          <w:rFonts w:cstheme="minorHAnsi"/>
          <w:i w:val="0"/>
          <w:iCs w:val="0"/>
          <w:shd w:val="clear" w:color="auto" w:fill="FFFFFF"/>
        </w:rPr>
      </w:pPr>
      <w:r>
        <w:rPr>
          <w:rStyle w:val="Emphasis"/>
          <w:rFonts w:cstheme="minorHAnsi"/>
          <w:i w:val="0"/>
          <w:iCs w:val="0"/>
          <w:shd w:val="clear" w:color="auto" w:fill="FFFFFF"/>
        </w:rPr>
        <w:t>There was a</w:t>
      </w:r>
      <w:r w:rsidR="005646C4">
        <w:rPr>
          <w:rStyle w:val="Emphasis"/>
          <w:rFonts w:cstheme="minorHAnsi"/>
          <w:i w:val="0"/>
          <w:iCs w:val="0"/>
          <w:shd w:val="clear" w:color="auto" w:fill="FFFFFF"/>
        </w:rPr>
        <w:t xml:space="preserve">n </w:t>
      </w:r>
      <w:r>
        <w:rPr>
          <w:rStyle w:val="Emphasis"/>
          <w:rFonts w:cstheme="minorHAnsi"/>
          <w:i w:val="0"/>
          <w:iCs w:val="0"/>
          <w:shd w:val="clear" w:color="auto" w:fill="FFFFFF"/>
        </w:rPr>
        <w:t>increase in notifications received from</w:t>
      </w:r>
      <w:r w:rsidR="006D1A06">
        <w:rPr>
          <w:rStyle w:val="Emphasis"/>
          <w:rFonts w:cstheme="minorHAnsi"/>
          <w:i w:val="0"/>
          <w:iCs w:val="0"/>
          <w:shd w:val="clear" w:color="auto" w:fill="FFFFFF"/>
        </w:rPr>
        <w:t xml:space="preserve"> H</w:t>
      </w:r>
      <w:r w:rsidR="00716365">
        <w:rPr>
          <w:rStyle w:val="Emphasis"/>
          <w:rFonts w:cstheme="minorHAnsi"/>
          <w:i w:val="0"/>
          <w:iCs w:val="0"/>
          <w:shd w:val="clear" w:color="auto" w:fill="FFFFFF"/>
        </w:rPr>
        <w:t>ealth (</w:t>
      </w:r>
      <w:r w:rsidR="00716365" w:rsidRPr="00340168">
        <w:rPr>
          <w:rStyle w:val="Emphasis"/>
          <w:rFonts w:cstheme="minorHAnsi"/>
          <w:b/>
          <w:bCs/>
          <w:i w:val="0"/>
          <w:iCs w:val="0"/>
          <w:shd w:val="clear" w:color="auto" w:fill="FFFFFF"/>
        </w:rPr>
        <w:t>30</w:t>
      </w:r>
      <w:r w:rsidR="00716365">
        <w:rPr>
          <w:rStyle w:val="Emphasis"/>
          <w:rFonts w:cstheme="minorHAnsi"/>
          <w:i w:val="0"/>
          <w:iCs w:val="0"/>
          <w:shd w:val="clear" w:color="auto" w:fill="FFFFFF"/>
        </w:rPr>
        <w:t>)</w:t>
      </w:r>
      <w:r w:rsidR="008D0021">
        <w:rPr>
          <w:rStyle w:val="Emphasis"/>
          <w:rFonts w:cstheme="minorHAnsi"/>
          <w:i w:val="0"/>
          <w:iCs w:val="0"/>
          <w:shd w:val="clear" w:color="auto" w:fill="FFFFFF"/>
        </w:rPr>
        <w:t>,</w:t>
      </w:r>
      <w:r w:rsidR="00716365">
        <w:rPr>
          <w:rStyle w:val="Emphasis"/>
          <w:rFonts w:cstheme="minorHAnsi"/>
          <w:i w:val="0"/>
          <w:iCs w:val="0"/>
          <w:shd w:val="clear" w:color="auto" w:fill="FFFFFF"/>
        </w:rPr>
        <w:t xml:space="preserve"> </w:t>
      </w:r>
      <w:r w:rsidR="006D1A06">
        <w:rPr>
          <w:rStyle w:val="Emphasis"/>
          <w:rFonts w:cstheme="minorHAnsi"/>
          <w:i w:val="0"/>
          <w:iCs w:val="0"/>
          <w:shd w:val="clear" w:color="auto" w:fill="FFFFFF"/>
        </w:rPr>
        <w:t>F</w:t>
      </w:r>
      <w:r w:rsidR="00802415">
        <w:rPr>
          <w:rStyle w:val="Emphasis"/>
          <w:rFonts w:cstheme="minorHAnsi"/>
          <w:i w:val="0"/>
          <w:iCs w:val="0"/>
          <w:shd w:val="clear" w:color="auto" w:fill="FFFFFF"/>
        </w:rPr>
        <w:t xml:space="preserve">amilies, </w:t>
      </w:r>
      <w:r w:rsidR="006D1A06">
        <w:rPr>
          <w:rStyle w:val="Emphasis"/>
          <w:rFonts w:cstheme="minorHAnsi"/>
          <w:i w:val="0"/>
          <w:iCs w:val="0"/>
          <w:shd w:val="clear" w:color="auto" w:fill="FFFFFF"/>
        </w:rPr>
        <w:t>F</w:t>
      </w:r>
      <w:r w:rsidR="00802415">
        <w:rPr>
          <w:rStyle w:val="Emphasis"/>
          <w:rFonts w:cstheme="minorHAnsi"/>
          <w:i w:val="0"/>
          <w:iCs w:val="0"/>
          <w:shd w:val="clear" w:color="auto" w:fill="FFFFFF"/>
        </w:rPr>
        <w:t xml:space="preserve">airness and </w:t>
      </w:r>
      <w:r w:rsidR="006D1A06">
        <w:rPr>
          <w:rStyle w:val="Emphasis"/>
          <w:rFonts w:cstheme="minorHAnsi"/>
          <w:i w:val="0"/>
          <w:iCs w:val="0"/>
          <w:shd w:val="clear" w:color="auto" w:fill="FFFFFF"/>
        </w:rPr>
        <w:t>H</w:t>
      </w:r>
      <w:r w:rsidR="00802415">
        <w:rPr>
          <w:rStyle w:val="Emphasis"/>
          <w:rFonts w:cstheme="minorHAnsi"/>
          <w:i w:val="0"/>
          <w:iCs w:val="0"/>
          <w:shd w:val="clear" w:color="auto" w:fill="FFFFFF"/>
        </w:rPr>
        <w:t>ousing (</w:t>
      </w:r>
      <w:r w:rsidR="00802415" w:rsidRPr="00340168">
        <w:rPr>
          <w:rStyle w:val="Emphasis"/>
          <w:rFonts w:cstheme="minorHAnsi"/>
          <w:b/>
          <w:bCs/>
          <w:i w:val="0"/>
          <w:iCs w:val="0"/>
          <w:shd w:val="clear" w:color="auto" w:fill="FFFFFF"/>
        </w:rPr>
        <w:t>32</w:t>
      </w:r>
      <w:r w:rsidR="00802415">
        <w:rPr>
          <w:rStyle w:val="Emphasis"/>
          <w:rFonts w:cstheme="minorHAnsi"/>
          <w:i w:val="0"/>
          <w:iCs w:val="0"/>
          <w:shd w:val="clear" w:color="auto" w:fill="FFFFFF"/>
        </w:rPr>
        <w:t>)</w:t>
      </w:r>
      <w:r w:rsidR="008D0021">
        <w:rPr>
          <w:rStyle w:val="Emphasis"/>
          <w:rFonts w:cstheme="minorHAnsi"/>
          <w:i w:val="0"/>
          <w:iCs w:val="0"/>
          <w:shd w:val="clear" w:color="auto" w:fill="FFFFFF"/>
        </w:rPr>
        <w:t xml:space="preserve">, </w:t>
      </w:r>
      <w:r w:rsidR="006D1A06">
        <w:rPr>
          <w:rStyle w:val="Emphasis"/>
          <w:rFonts w:cstheme="minorHAnsi"/>
          <w:i w:val="0"/>
          <w:iCs w:val="0"/>
          <w:shd w:val="clear" w:color="auto" w:fill="FFFFFF"/>
        </w:rPr>
        <w:t>T</w:t>
      </w:r>
      <w:r w:rsidR="008D0021">
        <w:rPr>
          <w:rStyle w:val="Emphasis"/>
          <w:rFonts w:cstheme="minorHAnsi"/>
          <w:i w:val="0"/>
          <w:iCs w:val="0"/>
          <w:shd w:val="clear" w:color="auto" w:fill="FFFFFF"/>
        </w:rPr>
        <w:t xml:space="preserve">ransport and </w:t>
      </w:r>
      <w:r w:rsidR="006D1A06">
        <w:rPr>
          <w:rStyle w:val="Emphasis"/>
          <w:rFonts w:cstheme="minorHAnsi"/>
          <w:i w:val="0"/>
          <w:iCs w:val="0"/>
          <w:shd w:val="clear" w:color="auto" w:fill="FFFFFF"/>
        </w:rPr>
        <w:t>P</w:t>
      </w:r>
      <w:r w:rsidR="008D0021">
        <w:rPr>
          <w:rStyle w:val="Emphasis"/>
          <w:rFonts w:cstheme="minorHAnsi"/>
          <w:i w:val="0"/>
          <w:iCs w:val="0"/>
          <w:shd w:val="clear" w:color="auto" w:fill="FFFFFF"/>
        </w:rPr>
        <w:t>lanning (</w:t>
      </w:r>
      <w:r w:rsidR="008D0021" w:rsidRPr="00340168">
        <w:rPr>
          <w:rStyle w:val="Emphasis"/>
          <w:rFonts w:cstheme="minorHAnsi"/>
          <w:b/>
          <w:bCs/>
          <w:i w:val="0"/>
          <w:iCs w:val="0"/>
          <w:shd w:val="clear" w:color="auto" w:fill="FFFFFF"/>
        </w:rPr>
        <w:t>23</w:t>
      </w:r>
      <w:r w:rsidR="008D0021">
        <w:rPr>
          <w:rStyle w:val="Emphasis"/>
          <w:rFonts w:cstheme="minorHAnsi"/>
          <w:i w:val="0"/>
          <w:iCs w:val="0"/>
          <w:shd w:val="clear" w:color="auto" w:fill="FFFFFF"/>
        </w:rPr>
        <w:t xml:space="preserve">) and </w:t>
      </w:r>
      <w:r w:rsidR="006D1A06">
        <w:rPr>
          <w:rStyle w:val="Emphasis"/>
          <w:rFonts w:cstheme="minorHAnsi"/>
          <w:i w:val="0"/>
          <w:iCs w:val="0"/>
          <w:shd w:val="clear" w:color="auto" w:fill="FFFFFF"/>
        </w:rPr>
        <w:t>E</w:t>
      </w:r>
      <w:r w:rsidR="008D0021">
        <w:rPr>
          <w:rStyle w:val="Emphasis"/>
          <w:rFonts w:cstheme="minorHAnsi"/>
          <w:i w:val="0"/>
          <w:iCs w:val="0"/>
          <w:shd w:val="clear" w:color="auto" w:fill="FFFFFF"/>
        </w:rPr>
        <w:t>ducation (</w:t>
      </w:r>
      <w:r w:rsidR="008D0021" w:rsidRPr="00340168">
        <w:rPr>
          <w:rStyle w:val="Emphasis"/>
          <w:rFonts w:cstheme="minorHAnsi"/>
          <w:b/>
          <w:bCs/>
          <w:i w:val="0"/>
          <w:iCs w:val="0"/>
          <w:shd w:val="clear" w:color="auto" w:fill="FFFFFF"/>
        </w:rPr>
        <w:t>18</w:t>
      </w:r>
      <w:r w:rsidR="008D0021">
        <w:rPr>
          <w:rStyle w:val="Emphasis"/>
          <w:rFonts w:cstheme="minorHAnsi"/>
          <w:i w:val="0"/>
          <w:iCs w:val="0"/>
          <w:shd w:val="clear" w:color="auto" w:fill="FFFFFF"/>
        </w:rPr>
        <w:t>)</w:t>
      </w:r>
      <w:r w:rsidR="00802415">
        <w:rPr>
          <w:rStyle w:val="Emphasis"/>
          <w:rFonts w:cstheme="minorHAnsi"/>
          <w:i w:val="0"/>
          <w:iCs w:val="0"/>
          <w:shd w:val="clear" w:color="auto" w:fill="FFFFFF"/>
        </w:rPr>
        <w:t xml:space="preserve"> portfolios</w:t>
      </w:r>
      <w:r w:rsidR="00BB6D5C">
        <w:rPr>
          <w:rStyle w:val="Emphasis"/>
          <w:rFonts w:cstheme="minorHAnsi"/>
          <w:i w:val="0"/>
          <w:iCs w:val="0"/>
          <w:shd w:val="clear" w:color="auto" w:fill="FFFFFF"/>
        </w:rPr>
        <w:t xml:space="preserve"> </w:t>
      </w:r>
      <w:r w:rsidR="00BB6D5C">
        <w:t>compared to the previous</w:t>
      </w:r>
      <w:r w:rsidR="00BB6D5C" w:rsidRPr="00C46B2F">
        <w:t xml:space="preserve"> notification period which were </w:t>
      </w:r>
      <w:r w:rsidR="00BB6D5C">
        <w:t>17</w:t>
      </w:r>
      <w:r w:rsidR="00BB6D5C" w:rsidRPr="00423822">
        <w:t xml:space="preserve">, </w:t>
      </w:r>
      <w:r w:rsidR="00BB6D5C">
        <w:t>22,</w:t>
      </w:r>
      <w:r w:rsidR="00BB6D5C" w:rsidRPr="00423822">
        <w:t xml:space="preserve"> </w:t>
      </w:r>
      <w:r w:rsidR="005646C4">
        <w:t>17,</w:t>
      </w:r>
      <w:r w:rsidR="00BB6D5C">
        <w:t xml:space="preserve"> and </w:t>
      </w:r>
      <w:r w:rsidR="005646C4">
        <w:t>13</w:t>
      </w:r>
      <w:r w:rsidR="00BB6D5C" w:rsidRPr="006B37CB">
        <w:t xml:space="preserve"> respectively</w:t>
      </w:r>
      <w:r w:rsidR="00BB6D5C" w:rsidRPr="00C46B2F">
        <w:t>.</w:t>
      </w:r>
    </w:p>
    <w:p w14:paraId="1112B3AB" w14:textId="71A7A3B3" w:rsidR="00EF5041" w:rsidRDefault="00D82186" w:rsidP="001F7E3C">
      <w:pPr>
        <w:rPr>
          <w:rStyle w:val="Emphasis"/>
          <w:rFonts w:cstheme="minorHAnsi"/>
          <w:i w:val="0"/>
          <w:iCs w:val="0"/>
          <w:shd w:val="clear" w:color="auto" w:fill="FFFFFF"/>
        </w:rPr>
      </w:pPr>
      <w:r>
        <w:rPr>
          <w:rStyle w:val="Emphasis"/>
          <w:rFonts w:cstheme="minorHAnsi"/>
          <w:i w:val="0"/>
          <w:iCs w:val="0"/>
          <w:shd w:val="clear" w:color="auto" w:fill="FFFFFF"/>
        </w:rPr>
        <w:t xml:space="preserve">There was </w:t>
      </w:r>
      <w:r w:rsidR="00A67E6F" w:rsidRPr="00C46B2F">
        <w:rPr>
          <w:rStyle w:val="Emphasis"/>
          <w:rFonts w:cstheme="minorHAnsi"/>
          <w:i w:val="0"/>
          <w:iCs w:val="0"/>
          <w:shd w:val="clear" w:color="auto" w:fill="FFFFFF"/>
        </w:rPr>
        <w:t xml:space="preserve">a decrease in notifications from the </w:t>
      </w:r>
      <w:r w:rsidR="006D1A06">
        <w:rPr>
          <w:rStyle w:val="Emphasis"/>
          <w:rFonts w:cstheme="minorHAnsi"/>
          <w:i w:val="0"/>
          <w:iCs w:val="0"/>
          <w:shd w:val="clear" w:color="auto" w:fill="FFFFFF"/>
        </w:rPr>
        <w:t>G</w:t>
      </w:r>
      <w:r w:rsidR="00155DAC">
        <w:rPr>
          <w:rStyle w:val="Emphasis"/>
          <w:rFonts w:cstheme="minorHAnsi"/>
          <w:i w:val="0"/>
          <w:iCs w:val="0"/>
          <w:shd w:val="clear" w:color="auto" w:fill="FFFFFF"/>
        </w:rPr>
        <w:t xml:space="preserve">overnment </w:t>
      </w:r>
      <w:r w:rsidR="006D1A06">
        <w:rPr>
          <w:rStyle w:val="Emphasis"/>
          <w:rFonts w:cstheme="minorHAnsi"/>
          <w:i w:val="0"/>
          <w:iCs w:val="0"/>
          <w:shd w:val="clear" w:color="auto" w:fill="FFFFFF"/>
        </w:rPr>
        <w:t>S</w:t>
      </w:r>
      <w:r w:rsidR="00155DAC">
        <w:rPr>
          <w:rStyle w:val="Emphasis"/>
          <w:rFonts w:cstheme="minorHAnsi"/>
          <w:i w:val="0"/>
          <w:iCs w:val="0"/>
          <w:shd w:val="clear" w:color="auto" w:fill="FFFFFF"/>
        </w:rPr>
        <w:t>ervices</w:t>
      </w:r>
      <w:r w:rsidR="009A1279">
        <w:rPr>
          <w:rStyle w:val="Emphasis"/>
          <w:rFonts w:cstheme="minorHAnsi"/>
          <w:i w:val="0"/>
          <w:iCs w:val="0"/>
          <w:shd w:val="clear" w:color="auto" w:fill="FFFFFF"/>
        </w:rPr>
        <w:t xml:space="preserve"> </w:t>
      </w:r>
      <w:r w:rsidR="00A67E6F" w:rsidRPr="00C46B2F">
        <w:rPr>
          <w:rStyle w:val="Emphasis"/>
          <w:rFonts w:cstheme="minorHAnsi"/>
          <w:i w:val="0"/>
          <w:iCs w:val="0"/>
          <w:shd w:val="clear" w:color="auto" w:fill="FFFFFF"/>
        </w:rPr>
        <w:t>(</w:t>
      </w:r>
      <w:r w:rsidR="00786634" w:rsidRPr="009A1279">
        <w:rPr>
          <w:rStyle w:val="Emphasis"/>
          <w:rFonts w:cstheme="minorHAnsi"/>
          <w:b/>
          <w:bCs/>
          <w:i w:val="0"/>
          <w:iCs w:val="0"/>
          <w:shd w:val="clear" w:color="auto" w:fill="FFFFFF"/>
        </w:rPr>
        <w:t>10</w:t>
      </w:r>
      <w:r w:rsidR="00A67E6F" w:rsidRPr="00C46B2F">
        <w:rPr>
          <w:rStyle w:val="Emphasis"/>
          <w:rFonts w:cstheme="minorHAnsi"/>
          <w:i w:val="0"/>
          <w:iCs w:val="0"/>
          <w:shd w:val="clear" w:color="auto" w:fill="FFFFFF"/>
        </w:rPr>
        <w:t xml:space="preserve">) portfolio compared to </w:t>
      </w:r>
      <w:r w:rsidR="00A67E6F" w:rsidRPr="00AD5F5D">
        <w:rPr>
          <w:rStyle w:val="Emphasis"/>
          <w:rFonts w:cstheme="minorHAnsi"/>
          <w:i w:val="0"/>
          <w:iCs w:val="0"/>
          <w:shd w:val="clear" w:color="auto" w:fill="FFFFFF"/>
        </w:rPr>
        <w:t xml:space="preserve">the </w:t>
      </w:r>
      <w:r w:rsidR="001F7E3C">
        <w:rPr>
          <w:rStyle w:val="Emphasis"/>
          <w:rFonts w:cstheme="minorHAnsi"/>
          <w:i w:val="0"/>
          <w:iCs w:val="0"/>
          <w:shd w:val="clear" w:color="auto" w:fill="FFFFFF"/>
        </w:rPr>
        <w:t>previous</w:t>
      </w:r>
      <w:r w:rsidR="00A67E6F" w:rsidRPr="00AD5F5D">
        <w:rPr>
          <w:rStyle w:val="Emphasis"/>
          <w:rFonts w:cstheme="minorHAnsi"/>
          <w:i w:val="0"/>
          <w:iCs w:val="0"/>
          <w:shd w:val="clear" w:color="auto" w:fill="FFFFFF"/>
        </w:rPr>
        <w:t xml:space="preserve"> notification period </w:t>
      </w:r>
      <w:r w:rsidR="00C774FF">
        <w:rPr>
          <w:rStyle w:val="Emphasis"/>
          <w:rFonts w:cstheme="minorHAnsi"/>
          <w:i w:val="0"/>
          <w:iCs w:val="0"/>
          <w:shd w:val="clear" w:color="auto" w:fill="FFFFFF"/>
        </w:rPr>
        <w:t>(23)</w:t>
      </w:r>
      <w:r w:rsidR="00A67E6F" w:rsidRPr="00AD5F5D">
        <w:rPr>
          <w:rStyle w:val="Emphasis"/>
          <w:rFonts w:cstheme="minorHAnsi"/>
          <w:i w:val="0"/>
          <w:iCs w:val="0"/>
          <w:shd w:val="clear" w:color="auto" w:fill="FFFFFF"/>
        </w:rPr>
        <w:t>.</w:t>
      </w:r>
      <w:r w:rsidR="001F7E3C">
        <w:rPr>
          <w:rStyle w:val="Emphasis"/>
          <w:rFonts w:cstheme="minorHAnsi"/>
          <w:i w:val="0"/>
          <w:iCs w:val="0"/>
          <w:shd w:val="clear" w:color="auto" w:fill="FFFFFF"/>
        </w:rPr>
        <w:t xml:space="preserve"> </w:t>
      </w:r>
    </w:p>
    <w:p w14:paraId="250B5B44" w14:textId="6D0341B5" w:rsidR="002A7DE4" w:rsidRDefault="00180F21" w:rsidP="00EF5041">
      <w:pPr>
        <w:rPr>
          <w:rFonts w:eastAsiaTheme="majorEastAsia" w:cstheme="majorBidi"/>
          <w:color w:val="430098" w:themeColor="text2"/>
          <w:sz w:val="30"/>
          <w:szCs w:val="26"/>
        </w:rPr>
      </w:pPr>
      <w:r w:rsidRPr="001A12FF">
        <w:rPr>
          <w:rStyle w:val="Emphasis"/>
          <w:b/>
          <w:bCs/>
          <w:i w:val="0"/>
          <w:iCs w:val="0"/>
        </w:rPr>
        <w:t>Five</w:t>
      </w:r>
      <w:r>
        <w:rPr>
          <w:rStyle w:val="Emphasis"/>
          <w:i w:val="0"/>
          <w:iCs w:val="0"/>
        </w:rPr>
        <w:t xml:space="preserve"> notifications were received from </w:t>
      </w:r>
      <w:r w:rsidR="001A12FF">
        <w:rPr>
          <w:rStyle w:val="Emphasis"/>
          <w:i w:val="0"/>
          <w:iCs w:val="0"/>
        </w:rPr>
        <w:t>organisations</w:t>
      </w:r>
      <w:r w:rsidR="004F23CE">
        <w:rPr>
          <w:rStyle w:val="Emphasis"/>
          <w:i w:val="0"/>
          <w:iCs w:val="0"/>
        </w:rPr>
        <w:t xml:space="preserve"> </w:t>
      </w:r>
      <w:r w:rsidR="00883C28">
        <w:rPr>
          <w:rStyle w:val="Emphasis"/>
          <w:i w:val="0"/>
          <w:iCs w:val="0"/>
        </w:rPr>
        <w:t>categorised under</w:t>
      </w:r>
      <w:r w:rsidR="004F23CE">
        <w:rPr>
          <w:rStyle w:val="Emphasis"/>
          <w:i w:val="0"/>
          <w:iCs w:val="0"/>
        </w:rPr>
        <w:t xml:space="preserve"> the portfolio</w:t>
      </w:r>
      <w:r w:rsidR="001A12FF">
        <w:rPr>
          <w:rStyle w:val="Emphasis"/>
          <w:i w:val="0"/>
          <w:iCs w:val="0"/>
        </w:rPr>
        <w:t xml:space="preserve"> </w:t>
      </w:r>
      <w:r w:rsidR="004F23CE">
        <w:rPr>
          <w:rStyle w:val="Emphasis"/>
          <w:i w:val="0"/>
          <w:iCs w:val="0"/>
        </w:rPr>
        <w:t>‘</w:t>
      </w:r>
      <w:r w:rsidR="008C1824">
        <w:rPr>
          <w:rStyle w:val="Emphasis"/>
          <w:b/>
          <w:bCs/>
          <w:i w:val="0"/>
          <w:iCs w:val="0"/>
        </w:rPr>
        <w:t>o</w:t>
      </w:r>
      <w:r w:rsidR="00E803E9" w:rsidRPr="0041301F">
        <w:rPr>
          <w:rStyle w:val="Emphasis"/>
          <w:b/>
          <w:bCs/>
          <w:i w:val="0"/>
          <w:iCs w:val="0"/>
        </w:rPr>
        <w:t>ther</w:t>
      </w:r>
      <w:r w:rsidR="004F23CE">
        <w:rPr>
          <w:rStyle w:val="Emphasis"/>
          <w:b/>
          <w:bCs/>
          <w:i w:val="0"/>
          <w:iCs w:val="0"/>
        </w:rPr>
        <w:t>’</w:t>
      </w:r>
      <w:r w:rsidR="006178BC">
        <w:rPr>
          <w:rStyle w:val="Emphasis"/>
          <w:i w:val="0"/>
          <w:iCs w:val="0"/>
        </w:rPr>
        <w:t>.</w:t>
      </w:r>
      <w:r w:rsidR="0096004C" w:rsidRPr="0041301F">
        <w:rPr>
          <w:rStyle w:val="Emphasis"/>
          <w:i w:val="0"/>
          <w:iCs w:val="0"/>
        </w:rPr>
        <w:t xml:space="preserve"> </w:t>
      </w:r>
      <w:r w:rsidR="007A08C6">
        <w:rPr>
          <w:rStyle w:val="Emphasis"/>
          <w:i w:val="0"/>
          <w:iCs w:val="0"/>
        </w:rPr>
        <w:t xml:space="preserve">These </w:t>
      </w:r>
      <w:r w:rsidR="00E84ECF">
        <w:rPr>
          <w:rStyle w:val="Emphasis"/>
          <w:i w:val="0"/>
          <w:iCs w:val="0"/>
        </w:rPr>
        <w:t xml:space="preserve">organisations </w:t>
      </w:r>
      <w:r w:rsidR="00B12699">
        <w:rPr>
          <w:rStyle w:val="Emphasis"/>
          <w:i w:val="0"/>
          <w:iCs w:val="0"/>
        </w:rPr>
        <w:t xml:space="preserve">are </w:t>
      </w:r>
      <w:r w:rsidR="00E84ECF">
        <w:rPr>
          <w:rStyle w:val="Emphasis"/>
          <w:i w:val="0"/>
          <w:iCs w:val="0"/>
        </w:rPr>
        <w:t xml:space="preserve">either </w:t>
      </w:r>
      <w:r w:rsidR="002E76E0">
        <w:rPr>
          <w:rStyle w:val="Emphasis"/>
          <w:i w:val="0"/>
          <w:iCs w:val="0"/>
        </w:rPr>
        <w:t xml:space="preserve">Victorian </w:t>
      </w:r>
      <w:r w:rsidR="00D21BCC">
        <w:rPr>
          <w:rStyle w:val="Emphasis"/>
          <w:i w:val="0"/>
          <w:iCs w:val="0"/>
        </w:rPr>
        <w:t>G</w:t>
      </w:r>
      <w:r w:rsidR="002E76E0">
        <w:rPr>
          <w:rStyle w:val="Emphasis"/>
          <w:i w:val="0"/>
          <w:iCs w:val="0"/>
        </w:rPr>
        <w:t xml:space="preserve">overnment organisations but do not reside under a </w:t>
      </w:r>
      <w:r w:rsidR="00543262">
        <w:rPr>
          <w:rStyle w:val="Emphasis"/>
          <w:i w:val="0"/>
          <w:iCs w:val="0"/>
        </w:rPr>
        <w:t>portfolio or are</w:t>
      </w:r>
      <w:r w:rsidR="002E76E0">
        <w:rPr>
          <w:rStyle w:val="Emphasis"/>
          <w:i w:val="0"/>
          <w:iCs w:val="0"/>
        </w:rPr>
        <w:t xml:space="preserve"> </w:t>
      </w:r>
      <w:r w:rsidR="00E84ECF">
        <w:rPr>
          <w:rStyle w:val="Emphasis"/>
          <w:i w:val="0"/>
          <w:iCs w:val="0"/>
        </w:rPr>
        <w:t xml:space="preserve">out of jurisdiction </w:t>
      </w:r>
      <w:r w:rsidR="00E84509">
        <w:rPr>
          <w:rStyle w:val="Emphasis"/>
          <w:i w:val="0"/>
          <w:iCs w:val="0"/>
        </w:rPr>
        <w:t>for</w:t>
      </w:r>
      <w:r w:rsidR="00C7076B">
        <w:rPr>
          <w:rStyle w:val="Emphasis"/>
          <w:i w:val="0"/>
          <w:iCs w:val="0"/>
        </w:rPr>
        <w:t xml:space="preserve"> Part 4 of the </w:t>
      </w:r>
      <w:r w:rsidR="002E76E0" w:rsidRPr="0004495A">
        <w:rPr>
          <w:rFonts w:cs="Calibri Light"/>
          <w:i/>
          <w:iCs/>
          <w:color w:val="262626" w:themeColor="text1" w:themeTint="D9"/>
          <w:lang w:val="en-GB"/>
        </w:rPr>
        <w:t>Privacy and Data Protection Act 2014</w:t>
      </w:r>
      <w:r w:rsidR="002E76E0">
        <w:rPr>
          <w:rFonts w:cs="Calibri Light"/>
          <w:color w:val="262626" w:themeColor="text1" w:themeTint="D9"/>
          <w:lang w:val="en-GB"/>
        </w:rPr>
        <w:t xml:space="preserve"> (Vic)</w:t>
      </w:r>
      <w:r w:rsidR="00B921CF">
        <w:rPr>
          <w:rStyle w:val="Emphasis"/>
          <w:i w:val="0"/>
          <w:iCs w:val="0"/>
        </w:rPr>
        <w:t>.</w:t>
      </w:r>
      <w:r w:rsidR="002A7DE4">
        <w:br w:type="page"/>
      </w:r>
    </w:p>
    <w:p w14:paraId="34B64D02" w14:textId="36AE477F" w:rsidR="00F4430E" w:rsidRPr="00474F2E" w:rsidRDefault="00F4430E" w:rsidP="00474F2E">
      <w:pPr>
        <w:pStyle w:val="Heading2"/>
      </w:pPr>
      <w:r w:rsidRPr="00474F2E">
        <w:lastRenderedPageBreak/>
        <w:t>Information format</w:t>
      </w:r>
      <w:r w:rsidR="00B3352B">
        <w:t xml:space="preserve"> (</w:t>
      </w:r>
      <w:r w:rsidR="009E60A4">
        <w:t>m</w:t>
      </w:r>
      <w:r w:rsidR="00B3352B" w:rsidRPr="00B3352B">
        <w:t>ultiple options can be selected</w:t>
      </w:r>
      <w:r w:rsidR="00B3352B">
        <w:t>)</w:t>
      </w:r>
    </w:p>
    <w:p w14:paraId="0AB32BA9" w14:textId="169EAF2A" w:rsidR="00894E59" w:rsidRDefault="00894E59" w:rsidP="0094653A">
      <w:pPr>
        <w:jc w:val="center"/>
      </w:pPr>
      <w:r>
        <w:rPr>
          <w:noProof/>
        </w:rPr>
        <w:drawing>
          <wp:inline distT="0" distB="0" distL="0" distR="0" wp14:anchorId="60B29DA5" wp14:editId="4EBA052B">
            <wp:extent cx="4616450" cy="2428407"/>
            <wp:effectExtent l="0" t="0" r="0" b="0"/>
            <wp:docPr id="106752414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19746F1" w14:textId="4FC29C0F" w:rsidR="003567E4" w:rsidRDefault="00A4119B" w:rsidP="00AC47F1">
      <w:pPr>
        <w:pStyle w:val="Heading3"/>
      </w:pPr>
      <w:r>
        <w:t>Insights:</w:t>
      </w:r>
    </w:p>
    <w:p w14:paraId="714CE2BA" w14:textId="01D06B15" w:rsidR="007E7CB6" w:rsidRPr="00F60C84" w:rsidRDefault="00CA6D50" w:rsidP="00F4430E">
      <w:r w:rsidRPr="00CA6D50">
        <w:t xml:space="preserve">Most </w:t>
      </w:r>
      <w:r w:rsidR="00BC4E15">
        <w:t>incidents related to</w:t>
      </w:r>
      <w:r w:rsidRPr="00CA6D50">
        <w:t xml:space="preserve"> compromises of </w:t>
      </w:r>
      <w:r w:rsidRPr="00AC6D78">
        <w:rPr>
          <w:b/>
          <w:bCs/>
        </w:rPr>
        <w:t>electronic</w:t>
      </w:r>
      <w:r w:rsidRPr="00CA6D50">
        <w:t xml:space="preserve"> information (</w:t>
      </w:r>
      <w:r w:rsidR="00235A27" w:rsidRPr="00235A27">
        <w:rPr>
          <w:b/>
          <w:bCs/>
        </w:rPr>
        <w:t>405</w:t>
      </w:r>
      <w:r w:rsidRPr="00CA6D50">
        <w:t>)</w:t>
      </w:r>
      <w:r w:rsidR="005679DC">
        <w:t xml:space="preserve">, </w:t>
      </w:r>
      <w:r w:rsidRPr="00CA6D50">
        <w:t xml:space="preserve">followed by </w:t>
      </w:r>
      <w:r w:rsidRPr="00AC6D78">
        <w:rPr>
          <w:b/>
          <w:bCs/>
        </w:rPr>
        <w:t>hard copy</w:t>
      </w:r>
      <w:r w:rsidRPr="00CA6D50">
        <w:t xml:space="preserve"> information (</w:t>
      </w:r>
      <w:r w:rsidRPr="001704AF">
        <w:rPr>
          <w:b/>
          <w:bCs/>
        </w:rPr>
        <w:t>1</w:t>
      </w:r>
      <w:r w:rsidR="00235A27">
        <w:rPr>
          <w:b/>
          <w:bCs/>
        </w:rPr>
        <w:t>23</w:t>
      </w:r>
      <w:r w:rsidRPr="00CA6D50">
        <w:t xml:space="preserve">). </w:t>
      </w:r>
      <w:r w:rsidR="004E49E4">
        <w:t xml:space="preserve">These numbers </w:t>
      </w:r>
      <w:r w:rsidR="00791FC2">
        <w:t xml:space="preserve">differ </w:t>
      </w:r>
      <w:r w:rsidR="003C3FC0">
        <w:t xml:space="preserve">compared </w:t>
      </w:r>
      <w:r w:rsidR="004E49E4">
        <w:t>to the</w:t>
      </w:r>
      <w:r w:rsidR="00686F81">
        <w:t xml:space="preserve"> previous notification period</w:t>
      </w:r>
      <w:r w:rsidR="00244BDB">
        <w:t>. Th</w:t>
      </w:r>
      <w:r w:rsidR="00E70EF6">
        <w:t xml:space="preserve">is notification period saw an </w:t>
      </w:r>
      <w:r w:rsidR="002005F6">
        <w:t xml:space="preserve">increase </w:t>
      </w:r>
      <w:r w:rsidR="00382E09">
        <w:t xml:space="preserve">in </w:t>
      </w:r>
      <w:r w:rsidR="00CD416E">
        <w:t xml:space="preserve">electronic information </w:t>
      </w:r>
      <w:r w:rsidR="00382E09">
        <w:t xml:space="preserve">incidents </w:t>
      </w:r>
      <w:r w:rsidR="002A58DB">
        <w:t xml:space="preserve">compared to the previous notification period </w:t>
      </w:r>
      <w:r w:rsidR="00686F81" w:rsidRPr="00F60C84">
        <w:t xml:space="preserve">of </w:t>
      </w:r>
      <w:r w:rsidR="00CD416E" w:rsidRPr="00F60C84">
        <w:t>360</w:t>
      </w:r>
      <w:r w:rsidR="00686F81" w:rsidRPr="00F60C84">
        <w:t>,</w:t>
      </w:r>
      <w:r w:rsidR="00C90F4C" w:rsidRPr="00F60C84">
        <w:t xml:space="preserve"> and </w:t>
      </w:r>
      <w:r w:rsidR="008C7185" w:rsidRPr="00F60C84">
        <w:t>a</w:t>
      </w:r>
      <w:r w:rsidR="002005F6" w:rsidRPr="00F60C84">
        <w:t xml:space="preserve"> decrease </w:t>
      </w:r>
      <w:r w:rsidR="008C7185" w:rsidRPr="00F60C84">
        <w:t>in</w:t>
      </w:r>
      <w:r w:rsidR="00271C92" w:rsidRPr="00F60C84">
        <w:t xml:space="preserve"> hard copy incidents </w:t>
      </w:r>
      <w:r w:rsidR="00686F81" w:rsidRPr="00F60C84">
        <w:t xml:space="preserve">which </w:t>
      </w:r>
      <w:r w:rsidR="00752B89" w:rsidRPr="00F60C84">
        <w:t xml:space="preserve">was </w:t>
      </w:r>
      <w:r w:rsidR="00AC6534" w:rsidRPr="00F60C84">
        <w:t xml:space="preserve">previously </w:t>
      </w:r>
      <w:r w:rsidR="00752B89" w:rsidRPr="00F60C84">
        <w:t>1</w:t>
      </w:r>
      <w:r w:rsidR="00C90F4C" w:rsidRPr="00F60C84">
        <w:t>9</w:t>
      </w:r>
      <w:r w:rsidR="00752B89" w:rsidRPr="00F60C84">
        <w:t>7</w:t>
      </w:r>
      <w:r w:rsidR="00C90F4C" w:rsidRPr="00F60C84">
        <w:t>.</w:t>
      </w:r>
    </w:p>
    <w:p w14:paraId="52DA1398" w14:textId="5A939C7A" w:rsidR="00133493" w:rsidRDefault="00510666" w:rsidP="00F2226B">
      <w:r w:rsidRPr="00F60C84">
        <w:t>The number of i</w:t>
      </w:r>
      <w:r w:rsidR="0072278C" w:rsidRPr="00F60C84">
        <w:t xml:space="preserve">ncidents involving </w:t>
      </w:r>
      <w:r w:rsidR="0072278C" w:rsidRPr="00F60C84">
        <w:rPr>
          <w:b/>
          <w:bCs/>
        </w:rPr>
        <w:t>verbal</w:t>
      </w:r>
      <w:r w:rsidR="0072278C" w:rsidRPr="00F60C84">
        <w:t xml:space="preserve"> information </w:t>
      </w:r>
      <w:r w:rsidR="001954C2" w:rsidRPr="00F60C84">
        <w:t>(</w:t>
      </w:r>
      <w:r w:rsidR="00860701" w:rsidRPr="00F60C84">
        <w:rPr>
          <w:b/>
          <w:bCs/>
        </w:rPr>
        <w:t>1</w:t>
      </w:r>
      <w:r w:rsidR="00053B25" w:rsidRPr="00F60C84">
        <w:rPr>
          <w:b/>
          <w:bCs/>
        </w:rPr>
        <w:t>6</w:t>
      </w:r>
      <w:r w:rsidR="001954C2" w:rsidRPr="00F60C84">
        <w:t xml:space="preserve">) </w:t>
      </w:r>
      <w:r w:rsidR="00A510E8" w:rsidRPr="00F60C84">
        <w:t>w</w:t>
      </w:r>
      <w:r w:rsidR="006B6E71">
        <w:t>as</w:t>
      </w:r>
      <w:r w:rsidR="00A510E8" w:rsidRPr="00F60C84">
        <w:t xml:space="preserve"> </w:t>
      </w:r>
      <w:r w:rsidR="00860701" w:rsidRPr="00F60C84">
        <w:t>consistent with</w:t>
      </w:r>
      <w:r w:rsidR="00A510E8" w:rsidRPr="00F60C84">
        <w:t xml:space="preserve"> </w:t>
      </w:r>
      <w:r w:rsidR="0072278C" w:rsidRPr="00F60C84">
        <w:t xml:space="preserve">the previous </w:t>
      </w:r>
      <w:r w:rsidR="00A27530" w:rsidRPr="00F60C84">
        <w:t>notification</w:t>
      </w:r>
      <w:r w:rsidR="0072278C" w:rsidRPr="00F60C84">
        <w:t xml:space="preserve"> period</w:t>
      </w:r>
      <w:r w:rsidR="00860701" w:rsidRPr="00F60C84">
        <w:t xml:space="preserve">s </w:t>
      </w:r>
      <w:r w:rsidR="00F60C84" w:rsidRPr="00F60C84">
        <w:t xml:space="preserve">January to </w:t>
      </w:r>
      <w:r w:rsidR="00F60C84" w:rsidRPr="006F7FBA">
        <w:t xml:space="preserve">July 2025 (15), </w:t>
      </w:r>
      <w:r w:rsidR="009A2C08" w:rsidRPr="006F7FBA">
        <w:t xml:space="preserve">July to December 2024 (18), </w:t>
      </w:r>
      <w:r w:rsidR="00860701" w:rsidRPr="006F7FBA">
        <w:t>Jan</w:t>
      </w:r>
      <w:r w:rsidR="009C4CE8" w:rsidRPr="006F7FBA">
        <w:t>uary to June 2024 (16) and July to December 2023</w:t>
      </w:r>
      <w:r w:rsidR="0072278C" w:rsidRPr="006F7FBA">
        <w:t xml:space="preserve"> </w:t>
      </w:r>
      <w:r w:rsidR="00A510E8" w:rsidRPr="006F7FBA">
        <w:t>(</w:t>
      </w:r>
      <w:r w:rsidR="0072278C" w:rsidRPr="006F7FBA">
        <w:t>17</w:t>
      </w:r>
      <w:r w:rsidR="00A510E8" w:rsidRPr="006F7FBA">
        <w:t>)</w:t>
      </w:r>
      <w:r w:rsidR="00DE221D" w:rsidRPr="006F7FBA">
        <w:t xml:space="preserve">. </w:t>
      </w:r>
      <w:proofErr w:type="gramStart"/>
      <w:r w:rsidR="00DE221D" w:rsidRPr="006F7FBA">
        <w:t>All of</w:t>
      </w:r>
      <w:proofErr w:type="gramEnd"/>
      <w:r w:rsidR="00DE221D" w:rsidRPr="006F7FBA">
        <w:t xml:space="preserve"> these</w:t>
      </w:r>
      <w:r w:rsidR="00B11E1A">
        <w:t xml:space="preserve"> incidents</w:t>
      </w:r>
      <w:r w:rsidR="00DE221D" w:rsidRPr="006F7FBA">
        <w:t xml:space="preserve"> relate to unauthorised disclosure/</w:t>
      </w:r>
      <w:r w:rsidR="00DE221D" w:rsidRPr="00396528">
        <w:t>oversharing of public sector information. Some examples</w:t>
      </w:r>
      <w:r w:rsidR="00DE221D">
        <w:t xml:space="preserve"> of verbal disclosures include</w:t>
      </w:r>
      <w:r w:rsidR="00F2226B">
        <w:t xml:space="preserve"> </w:t>
      </w:r>
      <w:r w:rsidR="00EB4E10">
        <w:t xml:space="preserve">using an incorrect name when speaking on the phone and </w:t>
      </w:r>
      <w:r w:rsidR="000651F9">
        <w:t xml:space="preserve">disclosing personal information </w:t>
      </w:r>
      <w:r w:rsidR="00396528">
        <w:t>to another person prior to consent being provided</w:t>
      </w:r>
      <w:r w:rsidR="000E73B9">
        <w:t>.</w:t>
      </w:r>
      <w:r w:rsidR="00E13B40">
        <w:t xml:space="preserve"> </w:t>
      </w:r>
    </w:p>
    <w:p w14:paraId="4D55D1B3" w14:textId="7F1E30DF" w:rsidR="007E7CB6" w:rsidRPr="001706CC" w:rsidRDefault="007070F4" w:rsidP="00DF4408">
      <w:r>
        <w:rPr>
          <w:b/>
          <w:bCs/>
        </w:rPr>
        <w:t>6</w:t>
      </w:r>
      <w:r w:rsidR="00CD5F74">
        <w:rPr>
          <w:b/>
          <w:bCs/>
        </w:rPr>
        <w:t>6</w:t>
      </w:r>
      <w:r w:rsidR="002C6DFE">
        <w:rPr>
          <w:b/>
          <w:bCs/>
        </w:rPr>
        <w:t>%</w:t>
      </w:r>
      <w:r w:rsidR="0060203B" w:rsidRPr="00E77588">
        <w:t xml:space="preserve"> </w:t>
      </w:r>
      <w:r w:rsidR="00F4430E" w:rsidRPr="00581D78">
        <w:t>of the incidents affecting electronic information related to emails</w:t>
      </w:r>
      <w:r w:rsidR="00B97038">
        <w:t>,</w:t>
      </w:r>
      <w:r w:rsidR="00935C80" w:rsidRPr="00581D78">
        <w:t xml:space="preserve"> </w:t>
      </w:r>
      <w:r w:rsidR="00334164">
        <w:t xml:space="preserve">which is </w:t>
      </w:r>
      <w:proofErr w:type="gramStart"/>
      <w:r w:rsidR="00C224BC">
        <w:t>similar to</w:t>
      </w:r>
      <w:proofErr w:type="gramEnd"/>
      <w:r w:rsidR="00C224BC">
        <w:t xml:space="preserve"> </w:t>
      </w:r>
      <w:r w:rsidR="00A334DC">
        <w:t>the previous notification period</w:t>
      </w:r>
      <w:r w:rsidR="0005653C">
        <w:t xml:space="preserve"> with</w:t>
      </w:r>
      <w:r w:rsidR="00334164" w:rsidRPr="00F96AF0">
        <w:t xml:space="preserve"> 6</w:t>
      </w:r>
      <w:r w:rsidR="00A334DC">
        <w:t>4</w:t>
      </w:r>
      <w:r w:rsidR="00334164" w:rsidRPr="00F96AF0">
        <w:t>%</w:t>
      </w:r>
      <w:r w:rsidR="002319E2">
        <w:t xml:space="preserve">. </w:t>
      </w:r>
      <w:r w:rsidR="00020DC1">
        <w:t xml:space="preserve">There was a slight decrease in </w:t>
      </w:r>
      <w:r w:rsidR="004A5FE7">
        <w:t>i</w:t>
      </w:r>
      <w:r w:rsidR="00992217" w:rsidRPr="00992217">
        <w:t xml:space="preserve">ncidents </w:t>
      </w:r>
      <w:r w:rsidR="00992217" w:rsidRPr="00554933">
        <w:t>involving hard copy mail</w:t>
      </w:r>
      <w:r w:rsidR="002A7A4A">
        <w:t xml:space="preserve"> </w:t>
      </w:r>
      <w:r w:rsidR="004A5FE7">
        <w:t xml:space="preserve">with </w:t>
      </w:r>
      <w:r w:rsidR="002A7A4A" w:rsidRPr="002A7A4A">
        <w:rPr>
          <w:b/>
          <w:bCs/>
        </w:rPr>
        <w:t>7</w:t>
      </w:r>
      <w:r w:rsidR="00426F2A">
        <w:rPr>
          <w:b/>
          <w:bCs/>
        </w:rPr>
        <w:t>3</w:t>
      </w:r>
      <w:r w:rsidR="002A7A4A" w:rsidRPr="002A7A4A">
        <w:rPr>
          <w:b/>
          <w:bCs/>
        </w:rPr>
        <w:t>%</w:t>
      </w:r>
      <w:r w:rsidR="004A5FE7">
        <w:rPr>
          <w:b/>
          <w:bCs/>
        </w:rPr>
        <w:t xml:space="preserve"> </w:t>
      </w:r>
      <w:r w:rsidR="00AE01C1" w:rsidRPr="00AE01C1">
        <w:t>in</w:t>
      </w:r>
      <w:r w:rsidR="00AE01C1">
        <w:rPr>
          <w:b/>
          <w:bCs/>
        </w:rPr>
        <w:t xml:space="preserve"> </w:t>
      </w:r>
      <w:r w:rsidR="00706D64" w:rsidRPr="001706CC">
        <w:t xml:space="preserve">this notification period compared with </w:t>
      </w:r>
      <w:r w:rsidR="002C6DFE" w:rsidRPr="001706CC">
        <w:t>7</w:t>
      </w:r>
      <w:r w:rsidR="00426F2A" w:rsidRPr="001706CC">
        <w:t>9</w:t>
      </w:r>
      <w:r w:rsidR="002C6DFE" w:rsidRPr="001706CC">
        <w:t>%</w:t>
      </w:r>
      <w:r w:rsidR="00F4430E" w:rsidRPr="001706CC">
        <w:t xml:space="preserve">. </w:t>
      </w:r>
    </w:p>
    <w:p w14:paraId="399105EC" w14:textId="10FE0006" w:rsidR="00E070BB" w:rsidRDefault="00CE6DCF" w:rsidP="00DF4408">
      <w:r w:rsidRPr="001706CC">
        <w:t>Most (</w:t>
      </w:r>
      <w:r w:rsidR="0064188B" w:rsidRPr="001706CC">
        <w:rPr>
          <w:b/>
          <w:bCs/>
        </w:rPr>
        <w:t>9</w:t>
      </w:r>
      <w:r w:rsidR="004D5BEB" w:rsidRPr="001706CC">
        <w:rPr>
          <w:b/>
          <w:bCs/>
        </w:rPr>
        <w:t>2</w:t>
      </w:r>
      <w:r w:rsidR="0064188B" w:rsidRPr="001706CC">
        <w:rPr>
          <w:b/>
          <w:bCs/>
        </w:rPr>
        <w:t>%</w:t>
      </w:r>
      <w:r w:rsidR="0064188B" w:rsidRPr="001706CC">
        <w:t>) of incidents had an element of un</w:t>
      </w:r>
      <w:r w:rsidR="00A27530" w:rsidRPr="001706CC">
        <w:t>authorised release/disclosure of information</w:t>
      </w:r>
      <w:r w:rsidR="00581D78" w:rsidRPr="001706CC">
        <w:t>, regardless of information format</w:t>
      </w:r>
      <w:r w:rsidR="0064188B" w:rsidRPr="001706CC">
        <w:t xml:space="preserve">. This is </w:t>
      </w:r>
      <w:proofErr w:type="gramStart"/>
      <w:r w:rsidR="004D5BEB" w:rsidRPr="001706CC">
        <w:t>similar to</w:t>
      </w:r>
      <w:proofErr w:type="gramEnd"/>
      <w:r w:rsidR="004D5BEB" w:rsidRPr="001706CC">
        <w:t xml:space="preserve"> </w:t>
      </w:r>
      <w:r w:rsidR="00070BFF" w:rsidRPr="001706CC">
        <w:t>the</w:t>
      </w:r>
      <w:r w:rsidR="00581D78" w:rsidRPr="001706CC">
        <w:t xml:space="preserve"> previous </w:t>
      </w:r>
      <w:r w:rsidR="00041BC8" w:rsidRPr="001706CC">
        <w:t xml:space="preserve">notification </w:t>
      </w:r>
      <w:r w:rsidR="00581D78" w:rsidRPr="001706CC">
        <w:t xml:space="preserve">period </w:t>
      </w:r>
      <w:r w:rsidR="00070BFF" w:rsidRPr="001706CC">
        <w:t xml:space="preserve">which was </w:t>
      </w:r>
      <w:r w:rsidR="004D5BEB" w:rsidRPr="001706CC">
        <w:t>91</w:t>
      </w:r>
      <w:r w:rsidR="00581D78" w:rsidRPr="001706CC">
        <w:t xml:space="preserve">%. </w:t>
      </w:r>
      <w:r w:rsidR="00197DB5">
        <w:t>Typical</w:t>
      </w:r>
      <w:r w:rsidR="00DC23FE" w:rsidRPr="001706CC">
        <w:t xml:space="preserve"> </w:t>
      </w:r>
      <w:r w:rsidR="0044703E" w:rsidRPr="001706CC">
        <w:t>e</w:t>
      </w:r>
      <w:r w:rsidR="00581D78" w:rsidRPr="001706CC">
        <w:t xml:space="preserve">xamples </w:t>
      </w:r>
      <w:r w:rsidR="00442430">
        <w:t>include</w:t>
      </w:r>
      <w:r w:rsidR="0044703E" w:rsidRPr="001706CC">
        <w:t xml:space="preserve"> </w:t>
      </w:r>
      <w:r w:rsidR="00CF1C01" w:rsidRPr="001706CC">
        <w:t xml:space="preserve">misdirected emails and </w:t>
      </w:r>
      <w:proofErr w:type="gramStart"/>
      <w:r w:rsidR="00CF1C01" w:rsidRPr="001706CC">
        <w:t>mail,</w:t>
      </w:r>
      <w:proofErr w:type="gramEnd"/>
      <w:r w:rsidR="00CF1C01" w:rsidRPr="001706CC">
        <w:t xml:space="preserve"> </w:t>
      </w:r>
      <w:r w:rsidR="00442430">
        <w:t xml:space="preserve">however additional </w:t>
      </w:r>
      <w:r w:rsidR="00CF1C01" w:rsidRPr="001706CC">
        <w:t xml:space="preserve">examples </w:t>
      </w:r>
      <w:r w:rsidR="00A27530" w:rsidRPr="001706CC">
        <w:t>includ</w:t>
      </w:r>
      <w:r w:rsidR="00581D78" w:rsidRPr="001706CC">
        <w:t>e</w:t>
      </w:r>
      <w:r w:rsidR="00930D4B" w:rsidRPr="001706CC">
        <w:t>:</w:t>
      </w:r>
      <w:r w:rsidR="00A27530" w:rsidRPr="00554933">
        <w:t xml:space="preserve"> </w:t>
      </w:r>
    </w:p>
    <w:p w14:paraId="54756D07" w14:textId="12444247" w:rsidR="00E070BB" w:rsidRDefault="00BD64D0" w:rsidP="00E070BB">
      <w:pPr>
        <w:pStyle w:val="ListParagraph"/>
        <w:numPr>
          <w:ilvl w:val="0"/>
          <w:numId w:val="27"/>
        </w:numPr>
      </w:pPr>
      <w:r>
        <w:t>v</w:t>
      </w:r>
      <w:r w:rsidR="00676D1E">
        <w:t xml:space="preserve">isitor slips </w:t>
      </w:r>
      <w:r w:rsidR="00C1746C">
        <w:t>falling out</w:t>
      </w:r>
      <w:r w:rsidR="00676D1E">
        <w:t xml:space="preserve"> of </w:t>
      </w:r>
      <w:r w:rsidR="00C1746C">
        <w:t xml:space="preserve">an </w:t>
      </w:r>
      <w:r w:rsidR="00676D1E">
        <w:t>unsecured</w:t>
      </w:r>
      <w:r>
        <w:t xml:space="preserve"> rubbish truck</w:t>
      </w:r>
    </w:p>
    <w:p w14:paraId="731AA6B1" w14:textId="1E83C79D" w:rsidR="003B39B5" w:rsidRDefault="0011514F" w:rsidP="00E070BB">
      <w:pPr>
        <w:pStyle w:val="ListParagraph"/>
        <w:numPr>
          <w:ilvl w:val="0"/>
          <w:numId w:val="27"/>
        </w:numPr>
      </w:pPr>
      <w:r>
        <w:t xml:space="preserve">hard copy </w:t>
      </w:r>
      <w:r w:rsidR="00DB11D4">
        <w:t xml:space="preserve">paper </w:t>
      </w:r>
      <w:r>
        <w:t xml:space="preserve">that already had </w:t>
      </w:r>
      <w:r w:rsidR="001513C2">
        <w:t xml:space="preserve">information on it </w:t>
      </w:r>
      <w:r>
        <w:t>was</w:t>
      </w:r>
      <w:r w:rsidR="00C1746C">
        <w:t xml:space="preserve"> </w:t>
      </w:r>
      <w:r w:rsidR="00DB11D4">
        <w:t>re-used to print</w:t>
      </w:r>
      <w:r w:rsidR="002E6BDB">
        <w:t xml:space="preserve"> a new document</w:t>
      </w:r>
    </w:p>
    <w:p w14:paraId="5601DDEA" w14:textId="23A672FB" w:rsidR="00897ADB" w:rsidRDefault="00300BC0" w:rsidP="00E070BB">
      <w:pPr>
        <w:pStyle w:val="ListParagraph"/>
        <w:numPr>
          <w:ilvl w:val="0"/>
          <w:numId w:val="27"/>
        </w:numPr>
      </w:pPr>
      <w:r>
        <w:t xml:space="preserve">paperwork </w:t>
      </w:r>
      <w:r w:rsidR="00084000">
        <w:t xml:space="preserve">lost when left on top of </w:t>
      </w:r>
      <w:r w:rsidR="000F6867">
        <w:t xml:space="preserve">a </w:t>
      </w:r>
      <w:r w:rsidR="00084000">
        <w:t>vehicle</w:t>
      </w:r>
    </w:p>
    <w:p w14:paraId="7A6397FF" w14:textId="77777777" w:rsidR="00C624D3" w:rsidRDefault="00273A22" w:rsidP="00BC1149">
      <w:pPr>
        <w:pStyle w:val="ListParagraph"/>
        <w:numPr>
          <w:ilvl w:val="0"/>
          <w:numId w:val="27"/>
        </w:numPr>
      </w:pPr>
      <w:r>
        <w:t xml:space="preserve">documents printed to </w:t>
      </w:r>
      <w:r w:rsidR="00C624D3">
        <w:t>another agency’s printer</w:t>
      </w:r>
    </w:p>
    <w:p w14:paraId="30A9A4F6" w14:textId="71EB4CA7" w:rsidR="00F4430E" w:rsidRPr="0088129C" w:rsidRDefault="000B3C71" w:rsidP="00BC1149">
      <w:pPr>
        <w:pStyle w:val="ListParagraph"/>
        <w:numPr>
          <w:ilvl w:val="0"/>
          <w:numId w:val="27"/>
        </w:numPr>
      </w:pPr>
      <w:r>
        <w:t>mail mer</w:t>
      </w:r>
      <w:r w:rsidR="00210270">
        <w:t xml:space="preserve">ge error with </w:t>
      </w:r>
      <w:r w:rsidR="00350A36">
        <w:t>infringement notices</w:t>
      </w:r>
      <w:r w:rsidR="00553D01">
        <w:t xml:space="preserve"> printed double sided</w:t>
      </w:r>
      <w:r w:rsidR="00A27530" w:rsidRPr="0088129C">
        <w:t>.</w:t>
      </w:r>
    </w:p>
    <w:p w14:paraId="772A4C41" w14:textId="05A15A54" w:rsidR="00F4430E" w:rsidRPr="0088129C" w:rsidRDefault="00F4430E" w:rsidP="00F4430E">
      <w:r w:rsidRPr="0088129C">
        <w:lastRenderedPageBreak/>
        <w:t xml:space="preserve">Although it is uncommon for multiple information formats to be affected in the same incident, multiple options can be selected for this field. There were </w:t>
      </w:r>
      <w:r w:rsidR="000701B4">
        <w:rPr>
          <w:b/>
          <w:bCs/>
        </w:rPr>
        <w:t>1</w:t>
      </w:r>
      <w:r w:rsidR="0058710F">
        <w:rPr>
          <w:b/>
          <w:bCs/>
        </w:rPr>
        <w:t>5</w:t>
      </w:r>
      <w:r w:rsidR="00EA7A8A" w:rsidRPr="0088129C">
        <w:t xml:space="preserve"> </w:t>
      </w:r>
      <w:r w:rsidR="00770E02">
        <w:t>incidents</w:t>
      </w:r>
      <w:r w:rsidRPr="0088129C">
        <w:t xml:space="preserve"> that </w:t>
      </w:r>
      <w:r w:rsidR="00770E02">
        <w:t>affected</w:t>
      </w:r>
      <w:r w:rsidRPr="0088129C">
        <w:t xml:space="preserve"> </w:t>
      </w:r>
      <w:r w:rsidR="000F6867">
        <w:t>2</w:t>
      </w:r>
      <w:r w:rsidR="000F6867" w:rsidRPr="0088129C">
        <w:t xml:space="preserve"> </w:t>
      </w:r>
      <w:r w:rsidRPr="0088129C">
        <w:t>information format attribute</w:t>
      </w:r>
      <w:r w:rsidR="004B52D6" w:rsidRPr="0088129C">
        <w:t>s</w:t>
      </w:r>
      <w:r w:rsidR="00DF0746" w:rsidRPr="0088129C">
        <w:t xml:space="preserve"> compared to the previous </w:t>
      </w:r>
      <w:r w:rsidR="00893D8A">
        <w:t xml:space="preserve">notification </w:t>
      </w:r>
      <w:r w:rsidR="00DF0746" w:rsidRPr="0088129C">
        <w:t>period (</w:t>
      </w:r>
      <w:r w:rsidR="00594DB1">
        <w:t>11</w:t>
      </w:r>
      <w:r w:rsidR="00DF0746" w:rsidRPr="0088129C">
        <w:t>)</w:t>
      </w:r>
      <w:r w:rsidRPr="0088129C">
        <w:t xml:space="preserve">. </w:t>
      </w:r>
    </w:p>
    <w:p w14:paraId="2613447A" w14:textId="0538D17F" w:rsidR="00581D78" w:rsidRPr="0088129C" w:rsidRDefault="00581D78" w:rsidP="00F4430E">
      <w:r w:rsidRPr="0088129C">
        <w:t xml:space="preserve">Some </w:t>
      </w:r>
      <w:r w:rsidR="00F4430E" w:rsidRPr="0088129C">
        <w:t>example</w:t>
      </w:r>
      <w:r w:rsidRPr="0088129C">
        <w:t xml:space="preserve">s of incidents involving </w:t>
      </w:r>
      <w:r w:rsidR="006168A6">
        <w:t>2</w:t>
      </w:r>
      <w:r w:rsidR="006168A6" w:rsidRPr="0088129C">
        <w:t xml:space="preserve"> </w:t>
      </w:r>
      <w:r w:rsidRPr="0088129C">
        <w:t>information formats include:</w:t>
      </w:r>
    </w:p>
    <w:p w14:paraId="1A3FFD7C" w14:textId="747B0D72" w:rsidR="003277FF" w:rsidRDefault="00F32103" w:rsidP="00540664">
      <w:pPr>
        <w:pStyle w:val="ListParagraph"/>
        <w:numPr>
          <w:ilvl w:val="0"/>
          <w:numId w:val="14"/>
        </w:numPr>
      </w:pPr>
      <w:r>
        <w:t xml:space="preserve">tender documents </w:t>
      </w:r>
      <w:r w:rsidR="00156333">
        <w:t>emailed to Officeworks to print</w:t>
      </w:r>
      <w:r w:rsidR="005D79CF" w:rsidRPr="005D79CF">
        <w:t xml:space="preserve"> </w:t>
      </w:r>
      <w:r w:rsidR="00B80FBB" w:rsidRPr="00313A5E">
        <w:t>(</w:t>
      </w:r>
      <w:r w:rsidR="00B80FBB" w:rsidRPr="00B80FBB">
        <w:rPr>
          <w:b/>
          <w:bCs/>
        </w:rPr>
        <w:t>electronic</w:t>
      </w:r>
      <w:r w:rsidR="00156333">
        <w:rPr>
          <w:b/>
          <w:bCs/>
        </w:rPr>
        <w:t xml:space="preserve"> and hard copy</w:t>
      </w:r>
      <w:r w:rsidR="00B80FBB" w:rsidRPr="00313A5E">
        <w:t>)</w:t>
      </w:r>
      <w:r w:rsidR="00B80FBB">
        <w:t xml:space="preserve"> </w:t>
      </w:r>
    </w:p>
    <w:p w14:paraId="1DCB1A2D" w14:textId="7DB3C3ED" w:rsidR="00545AF5" w:rsidRDefault="00C57BD9" w:rsidP="00590DCA">
      <w:pPr>
        <w:pStyle w:val="ListParagraph"/>
        <w:numPr>
          <w:ilvl w:val="0"/>
          <w:numId w:val="14"/>
        </w:numPr>
      </w:pPr>
      <w:r>
        <w:t xml:space="preserve">inappropriate system access by </w:t>
      </w:r>
      <w:r w:rsidR="008770A1">
        <w:t xml:space="preserve">employee and subsequent sharing of information </w:t>
      </w:r>
      <w:r w:rsidR="007C75F3">
        <w:t>to a third party</w:t>
      </w:r>
      <w:r w:rsidR="004B4119">
        <w:t xml:space="preserve"> (</w:t>
      </w:r>
      <w:r w:rsidR="004B4119" w:rsidRPr="004B4119">
        <w:rPr>
          <w:b/>
          <w:bCs/>
        </w:rPr>
        <w:t>electronic</w:t>
      </w:r>
      <w:r w:rsidR="007C75F3">
        <w:rPr>
          <w:b/>
          <w:bCs/>
        </w:rPr>
        <w:t xml:space="preserve"> and verbal</w:t>
      </w:r>
      <w:r w:rsidR="004B4119">
        <w:t>)</w:t>
      </w:r>
      <w:r w:rsidR="003277FF">
        <w:t xml:space="preserve"> </w:t>
      </w:r>
    </w:p>
    <w:p w14:paraId="08DB4E60" w14:textId="563D5F38" w:rsidR="00822921" w:rsidRPr="003A2826" w:rsidRDefault="00816CA1" w:rsidP="00590DCA">
      <w:pPr>
        <w:pStyle w:val="ListParagraph"/>
        <w:numPr>
          <w:ilvl w:val="0"/>
          <w:numId w:val="14"/>
        </w:numPr>
      </w:pPr>
      <w:r>
        <w:t xml:space="preserve">mental health session </w:t>
      </w:r>
      <w:r w:rsidR="00177A85">
        <w:t xml:space="preserve">automatically recorded leading </w:t>
      </w:r>
      <w:r w:rsidR="00040D09">
        <w:t xml:space="preserve">to </w:t>
      </w:r>
      <w:r w:rsidR="00F17A25">
        <w:t xml:space="preserve">overcollection of </w:t>
      </w:r>
      <w:r w:rsidR="00EB0B44">
        <w:t>information (</w:t>
      </w:r>
      <w:r w:rsidR="00EB0B44" w:rsidRPr="00EB0B44">
        <w:rPr>
          <w:b/>
          <w:bCs/>
        </w:rPr>
        <w:t>verbal and electronic</w:t>
      </w:r>
      <w:r w:rsidR="00EB0B44">
        <w:t>)</w:t>
      </w:r>
    </w:p>
    <w:p w14:paraId="3FB69871" w14:textId="22CF0980" w:rsidR="0088129C" w:rsidRDefault="00C13E5D" w:rsidP="00545AF5">
      <w:pPr>
        <w:pStyle w:val="ListParagraph"/>
        <w:numPr>
          <w:ilvl w:val="0"/>
          <w:numId w:val="14"/>
        </w:numPr>
      </w:pPr>
      <w:r>
        <w:t xml:space="preserve">licence </w:t>
      </w:r>
      <w:r w:rsidR="00466025">
        <w:t>(</w:t>
      </w:r>
      <w:r w:rsidR="00F501B0" w:rsidRPr="008956AE">
        <w:rPr>
          <w:b/>
          <w:bCs/>
        </w:rPr>
        <w:t>physical and digital</w:t>
      </w:r>
      <w:r w:rsidR="00F501B0">
        <w:t xml:space="preserve">) </w:t>
      </w:r>
      <w:r>
        <w:t>with incorrect details</w:t>
      </w:r>
      <w:r w:rsidR="00C25C77">
        <w:t>.</w:t>
      </w:r>
    </w:p>
    <w:p w14:paraId="44E5AA2D" w14:textId="3709F82D" w:rsidR="008A71C9" w:rsidRPr="000A7EDC" w:rsidRDefault="008A71C9" w:rsidP="000A7EDC">
      <w:pPr>
        <w:pStyle w:val="ListParagraph"/>
        <w:numPr>
          <w:ilvl w:val="0"/>
          <w:numId w:val="14"/>
        </w:numPr>
      </w:pPr>
      <w:r>
        <w:br w:type="page"/>
      </w:r>
    </w:p>
    <w:p w14:paraId="176ADDD9" w14:textId="680798B5" w:rsidR="00A6671C" w:rsidRDefault="00A6671C" w:rsidP="00FA1B6A">
      <w:pPr>
        <w:pStyle w:val="Heading2"/>
      </w:pPr>
      <w:r>
        <w:lastRenderedPageBreak/>
        <w:t xml:space="preserve">Type of information impacted </w:t>
      </w:r>
      <w:r w:rsidRPr="002C6E03">
        <w:t>(</w:t>
      </w:r>
      <w:r w:rsidR="00C25C77">
        <w:t>m</w:t>
      </w:r>
      <w:r w:rsidR="00C25C77" w:rsidRPr="002C6E03">
        <w:t xml:space="preserve">ultiple </w:t>
      </w:r>
      <w:r w:rsidRPr="002C6E03">
        <w:t>options can be selected)</w:t>
      </w:r>
    </w:p>
    <w:p w14:paraId="1A441FDB" w14:textId="2C5490E8" w:rsidR="00894E59" w:rsidRPr="00894E59" w:rsidRDefault="008E4411" w:rsidP="00894E59">
      <w:r>
        <w:rPr>
          <w:noProof/>
        </w:rPr>
        <w:drawing>
          <wp:inline distT="0" distB="0" distL="0" distR="0" wp14:anchorId="222B7AD0" wp14:editId="6599B56F">
            <wp:extent cx="5486400" cy="3200400"/>
            <wp:effectExtent l="0" t="0" r="0" b="0"/>
            <wp:docPr id="84349058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BF9A6A7" w14:textId="32C6BD79" w:rsidR="00A4119B" w:rsidRDefault="00A4119B" w:rsidP="00AC47F1">
      <w:pPr>
        <w:pStyle w:val="Heading3"/>
      </w:pPr>
      <w:r>
        <w:t>Insights:</w:t>
      </w:r>
    </w:p>
    <w:p w14:paraId="3B3C1179" w14:textId="2A804240" w:rsidR="007D23E3" w:rsidRDefault="004C24F8" w:rsidP="00A6671C">
      <w:r>
        <w:t>M</w:t>
      </w:r>
      <w:r w:rsidR="00A6671C" w:rsidRPr="007D289F">
        <w:t>ost (</w:t>
      </w:r>
      <w:r w:rsidR="00A6671C" w:rsidRPr="007D289F">
        <w:rPr>
          <w:b/>
          <w:bCs/>
        </w:rPr>
        <w:t>9</w:t>
      </w:r>
      <w:r>
        <w:rPr>
          <w:b/>
          <w:bCs/>
        </w:rPr>
        <w:t>2</w:t>
      </w:r>
      <w:r w:rsidR="00A6671C" w:rsidRPr="007D289F">
        <w:rPr>
          <w:b/>
          <w:bCs/>
        </w:rPr>
        <w:t>%</w:t>
      </w:r>
      <w:r w:rsidR="00A6671C" w:rsidRPr="007D289F">
        <w:t xml:space="preserve">) </w:t>
      </w:r>
      <w:r w:rsidR="00027AE8">
        <w:t>incidents related</w:t>
      </w:r>
      <w:r w:rsidR="009A7911">
        <w:t xml:space="preserve"> to</w:t>
      </w:r>
      <w:r w:rsidR="00A6671C" w:rsidRPr="007D289F">
        <w:t xml:space="preserve"> compromises of </w:t>
      </w:r>
      <w:r w:rsidR="00A6671C" w:rsidRPr="007D289F">
        <w:rPr>
          <w:b/>
          <w:bCs/>
        </w:rPr>
        <w:t>personal</w:t>
      </w:r>
      <w:r w:rsidR="00A6671C" w:rsidRPr="007D289F">
        <w:t xml:space="preserve"> information</w:t>
      </w:r>
      <w:r w:rsidR="00D27CAF" w:rsidRPr="007D289F">
        <w:t>, that is</w:t>
      </w:r>
      <w:r w:rsidR="00A461F2">
        <w:t>,</w:t>
      </w:r>
      <w:r w:rsidR="00D27CAF" w:rsidRPr="007D289F">
        <w:t xml:space="preserve"> </w:t>
      </w:r>
      <w:r w:rsidR="00A01CB2">
        <w:rPr>
          <w:b/>
          <w:bCs/>
        </w:rPr>
        <w:t>487</w:t>
      </w:r>
      <w:r w:rsidR="00D27CAF" w:rsidRPr="007D289F">
        <w:t xml:space="preserve"> out of the 5</w:t>
      </w:r>
      <w:r w:rsidR="00A01CB2">
        <w:t>29</w:t>
      </w:r>
      <w:r w:rsidR="00D27CAF" w:rsidRPr="007D289F">
        <w:t xml:space="preserve"> notifications</w:t>
      </w:r>
      <w:r w:rsidR="008B7427" w:rsidRPr="007D289F">
        <w:t>.</w:t>
      </w:r>
      <w:r w:rsidR="00A003A8" w:rsidRPr="007D289F">
        <w:t xml:space="preserve"> </w:t>
      </w:r>
    </w:p>
    <w:p w14:paraId="55147E0C" w14:textId="0FC416BF" w:rsidR="008A7D4B" w:rsidRPr="00713027" w:rsidRDefault="008A7D4B" w:rsidP="00E862C9">
      <w:r>
        <w:t>There was a large increase in the number of incidents a</w:t>
      </w:r>
      <w:r w:rsidR="00D33D13">
        <w:t>ffecting health information (</w:t>
      </w:r>
      <w:r w:rsidR="00D33D13" w:rsidRPr="004E3DB1">
        <w:rPr>
          <w:b/>
          <w:bCs/>
        </w:rPr>
        <w:t>199</w:t>
      </w:r>
      <w:r w:rsidR="00D33D13">
        <w:t xml:space="preserve">) compared to </w:t>
      </w:r>
      <w:r w:rsidR="002415F4">
        <w:t>the</w:t>
      </w:r>
      <w:r w:rsidR="00D33D13">
        <w:t xml:space="preserve"> previous </w:t>
      </w:r>
      <w:r w:rsidR="002415F4">
        <w:t xml:space="preserve">notification </w:t>
      </w:r>
      <w:r w:rsidR="00D33D13">
        <w:t>period</w:t>
      </w:r>
      <w:r w:rsidR="002415F4">
        <w:t xml:space="preserve"> (43) and any other periods</w:t>
      </w:r>
      <w:r w:rsidR="00283612">
        <w:t>. This</w:t>
      </w:r>
      <w:r w:rsidR="00CD40B2">
        <w:t xml:space="preserve"> increase</w:t>
      </w:r>
      <w:r w:rsidR="00283612">
        <w:t xml:space="preserve"> </w:t>
      </w:r>
      <w:r w:rsidR="00CD40B2">
        <w:t xml:space="preserve">reflects </w:t>
      </w:r>
      <w:r w:rsidR="00CD40B2" w:rsidRPr="00713027">
        <w:t>process improvement change</w:t>
      </w:r>
      <w:r w:rsidR="006F01B8">
        <w:t>s</w:t>
      </w:r>
      <w:r w:rsidR="00CD40B2" w:rsidRPr="00713027">
        <w:t xml:space="preserve"> </w:t>
      </w:r>
      <w:r w:rsidR="00A470FD">
        <w:t xml:space="preserve">by </w:t>
      </w:r>
      <w:r w:rsidR="00A470FD" w:rsidRPr="00713027">
        <w:t xml:space="preserve">some </w:t>
      </w:r>
      <w:r w:rsidR="00A470FD">
        <w:t xml:space="preserve">organisations </w:t>
      </w:r>
      <w:r w:rsidR="00A625F6">
        <w:t>rather than an increase in health-related incidents</w:t>
      </w:r>
      <w:r w:rsidR="00A470FD">
        <w:t>, where</w:t>
      </w:r>
      <w:r w:rsidR="00CD40B2" w:rsidRPr="00713027">
        <w:t xml:space="preserve"> this information type </w:t>
      </w:r>
      <w:r w:rsidR="003D4DEE">
        <w:t xml:space="preserve">has now been included in notifications </w:t>
      </w:r>
      <w:r w:rsidR="00CD40B2" w:rsidRPr="00713027">
        <w:t>going forward</w:t>
      </w:r>
      <w:r w:rsidR="00CD40B2">
        <w:t>.</w:t>
      </w:r>
      <w:r w:rsidR="000B7F63" w:rsidRPr="00713027">
        <w:t xml:space="preserve"> All but 3 </w:t>
      </w:r>
      <w:r w:rsidR="006131F7" w:rsidRPr="00713027">
        <w:t xml:space="preserve">of the </w:t>
      </w:r>
      <w:r w:rsidR="005C63EB" w:rsidRPr="00713027">
        <w:t>199 health</w:t>
      </w:r>
      <w:r w:rsidR="004D7394">
        <w:t>-</w:t>
      </w:r>
      <w:r w:rsidR="005C63EB" w:rsidRPr="00713027">
        <w:t xml:space="preserve">related </w:t>
      </w:r>
      <w:r w:rsidR="000B7F63" w:rsidRPr="00713027">
        <w:t>notifications</w:t>
      </w:r>
      <w:r w:rsidR="006413D4" w:rsidRPr="00713027">
        <w:t xml:space="preserve"> also </w:t>
      </w:r>
      <w:r w:rsidR="00C47A27" w:rsidRPr="00713027">
        <w:t>involved personal information.</w:t>
      </w:r>
    </w:p>
    <w:p w14:paraId="106EAD9B" w14:textId="654883BE" w:rsidR="00E71B4E" w:rsidRPr="00CF61FA" w:rsidRDefault="0080318C" w:rsidP="00E862C9">
      <w:r w:rsidRPr="00713027">
        <w:t>This notification period saw a</w:t>
      </w:r>
      <w:r w:rsidR="00810EBD" w:rsidRPr="00713027">
        <w:t>n increase</w:t>
      </w:r>
      <w:r w:rsidRPr="00713027">
        <w:t xml:space="preserve"> in </w:t>
      </w:r>
      <w:r w:rsidR="00954B4C" w:rsidRPr="00713027">
        <w:t>all information types except for</w:t>
      </w:r>
      <w:r w:rsidRPr="00713027">
        <w:t xml:space="preserve"> </w:t>
      </w:r>
      <w:r w:rsidR="00DD1D4E" w:rsidRPr="00713027">
        <w:rPr>
          <w:b/>
          <w:bCs/>
        </w:rPr>
        <w:t>policy</w:t>
      </w:r>
      <w:r w:rsidRPr="00713027">
        <w:t xml:space="preserve"> information</w:t>
      </w:r>
      <w:r w:rsidR="009F4653" w:rsidRPr="00713027">
        <w:t xml:space="preserve"> </w:t>
      </w:r>
      <w:r w:rsidR="00800A4A" w:rsidRPr="00713027">
        <w:t xml:space="preserve">which decreased </w:t>
      </w:r>
      <w:r w:rsidR="009F4653" w:rsidRPr="00713027">
        <w:t xml:space="preserve">from </w:t>
      </w:r>
      <w:r w:rsidR="00800A4A" w:rsidRPr="00713027">
        <w:t>7</w:t>
      </w:r>
      <w:r w:rsidR="006A5BD0" w:rsidRPr="00713027">
        <w:t xml:space="preserve"> in the previous notification period </w:t>
      </w:r>
      <w:r w:rsidR="00597CA6" w:rsidRPr="00713027">
        <w:t xml:space="preserve">to </w:t>
      </w:r>
      <w:r w:rsidR="00800A4A" w:rsidRPr="00713027">
        <w:rPr>
          <w:b/>
          <w:bCs/>
        </w:rPr>
        <w:t>3</w:t>
      </w:r>
      <w:r w:rsidR="008860AF" w:rsidRPr="00713027">
        <w:t>.</w:t>
      </w:r>
      <w:r w:rsidR="005A5D40" w:rsidRPr="00713027">
        <w:t xml:space="preserve"> </w:t>
      </w:r>
      <w:r w:rsidR="00860B5A" w:rsidRPr="00713027">
        <w:t xml:space="preserve">In all these instances, </w:t>
      </w:r>
      <w:r w:rsidR="00E7128F" w:rsidRPr="00713027">
        <w:t xml:space="preserve">policy </w:t>
      </w:r>
      <w:r w:rsidR="00D668FD" w:rsidRPr="00713027">
        <w:t xml:space="preserve">information was </w:t>
      </w:r>
      <w:r w:rsidR="00D668FD" w:rsidRPr="00CF61FA">
        <w:t>affected along with other information types.</w:t>
      </w:r>
      <w:r w:rsidR="00E71B4E" w:rsidRPr="00CF61FA">
        <w:t xml:space="preserve"> </w:t>
      </w:r>
    </w:p>
    <w:p w14:paraId="3DD46997" w14:textId="25F1B7CE" w:rsidR="001F1E1B" w:rsidRDefault="00A16817" w:rsidP="00A6671C">
      <w:r>
        <w:t xml:space="preserve">There were </w:t>
      </w:r>
      <w:r w:rsidR="001F1E1B" w:rsidRPr="00D46EC2">
        <w:rPr>
          <w:b/>
          <w:bCs/>
        </w:rPr>
        <w:t>7</w:t>
      </w:r>
      <w:r w:rsidR="001F1E1B">
        <w:t xml:space="preserve"> incidents affecting law enforcement information </w:t>
      </w:r>
      <w:r w:rsidR="00C64B5A">
        <w:t xml:space="preserve">compared to </w:t>
      </w:r>
      <w:r w:rsidR="00674577">
        <w:t>4 in the previous notification period</w:t>
      </w:r>
      <w:r w:rsidR="00484391">
        <w:t xml:space="preserve">. These </w:t>
      </w:r>
      <w:r w:rsidR="00360F13">
        <w:t>were not Victoria Police</w:t>
      </w:r>
      <w:r w:rsidR="00A87C1B">
        <w:t xml:space="preserve"> incidents</w:t>
      </w:r>
      <w:r w:rsidR="00360F13">
        <w:t xml:space="preserve"> and </w:t>
      </w:r>
      <w:r w:rsidR="00484391">
        <w:t xml:space="preserve">include </w:t>
      </w:r>
      <w:r w:rsidR="00DB0197">
        <w:t>infringement notices, an accident report</w:t>
      </w:r>
      <w:r w:rsidR="004A610F">
        <w:t>,</w:t>
      </w:r>
      <w:r w:rsidR="00E360CD">
        <w:t xml:space="preserve"> and a GenAI meeting recording that captured a conversation</w:t>
      </w:r>
      <w:r w:rsidR="004A610F">
        <w:t xml:space="preserve"> </w:t>
      </w:r>
      <w:r w:rsidR="00AB34D9">
        <w:t>discussing law enforcement matters</w:t>
      </w:r>
      <w:r w:rsidR="00E360CD">
        <w:t>.</w:t>
      </w:r>
    </w:p>
    <w:p w14:paraId="02F6C3DE" w14:textId="77777777" w:rsidR="00477C92" w:rsidRPr="00CF61FA" w:rsidRDefault="00477C92" w:rsidP="00477C92">
      <w:r w:rsidRPr="00CF61FA">
        <w:t xml:space="preserve">There were </w:t>
      </w:r>
      <w:r w:rsidRPr="00CF61FA">
        <w:rPr>
          <w:b/>
          <w:bCs/>
        </w:rPr>
        <w:t xml:space="preserve">21 </w:t>
      </w:r>
      <w:r w:rsidRPr="00CF61FA">
        <w:t xml:space="preserve">incidents affecting the </w:t>
      </w:r>
      <w:r w:rsidRPr="00CF61FA">
        <w:rPr>
          <w:b/>
          <w:bCs/>
        </w:rPr>
        <w:t>other</w:t>
      </w:r>
      <w:r w:rsidRPr="00CF61FA">
        <w:t xml:space="preserve"> information type compared to 6 in the previous notification period. Examples include:</w:t>
      </w:r>
    </w:p>
    <w:p w14:paraId="4FC4DB7D" w14:textId="77777777" w:rsidR="00477C92" w:rsidRPr="00CF61FA" w:rsidRDefault="00477C92" w:rsidP="00477C92">
      <w:pPr>
        <w:pStyle w:val="ListParagraph"/>
        <w:numPr>
          <w:ilvl w:val="0"/>
          <w:numId w:val="46"/>
        </w:numPr>
      </w:pPr>
      <w:r w:rsidRPr="00CF61FA">
        <w:t>cabinet information</w:t>
      </w:r>
    </w:p>
    <w:p w14:paraId="4E251AF6" w14:textId="77777777" w:rsidR="00477C92" w:rsidRPr="00CF61FA" w:rsidRDefault="00477C92" w:rsidP="00477C92">
      <w:pPr>
        <w:pStyle w:val="ListParagraph"/>
        <w:numPr>
          <w:ilvl w:val="0"/>
          <w:numId w:val="46"/>
        </w:numPr>
      </w:pPr>
      <w:r w:rsidRPr="00CF61FA">
        <w:t>credentials for a test mailbox</w:t>
      </w:r>
    </w:p>
    <w:p w14:paraId="008823F7" w14:textId="77777777" w:rsidR="00477C92" w:rsidRPr="00CF61FA" w:rsidRDefault="00477C92" w:rsidP="00477C92">
      <w:pPr>
        <w:pStyle w:val="ListParagraph"/>
        <w:numPr>
          <w:ilvl w:val="0"/>
          <w:numId w:val="46"/>
        </w:numPr>
      </w:pPr>
      <w:r w:rsidRPr="00CF61FA">
        <w:t>hacked website</w:t>
      </w:r>
    </w:p>
    <w:p w14:paraId="01D870FC" w14:textId="77777777" w:rsidR="00477C92" w:rsidRPr="00CF61FA" w:rsidRDefault="00477C92" w:rsidP="00477C92">
      <w:pPr>
        <w:pStyle w:val="ListParagraph"/>
        <w:numPr>
          <w:ilvl w:val="0"/>
          <w:numId w:val="46"/>
        </w:numPr>
      </w:pPr>
      <w:r w:rsidRPr="00CF61FA">
        <w:lastRenderedPageBreak/>
        <w:t>API keys</w:t>
      </w:r>
    </w:p>
    <w:p w14:paraId="4CEA5822" w14:textId="7B3E885A" w:rsidR="00A6671C" w:rsidRDefault="00A6671C" w:rsidP="00A6671C">
      <w:r w:rsidRPr="002429EC">
        <w:t>There w</w:t>
      </w:r>
      <w:r w:rsidR="00B61349" w:rsidRPr="002429EC">
        <w:t>ere</w:t>
      </w:r>
      <w:r w:rsidR="00363921" w:rsidRPr="002429EC">
        <w:t xml:space="preserve"> </w:t>
      </w:r>
      <w:r w:rsidR="00B61349" w:rsidRPr="002429EC">
        <w:rPr>
          <w:b/>
          <w:bCs/>
        </w:rPr>
        <w:t>2</w:t>
      </w:r>
      <w:r w:rsidRPr="002429EC">
        <w:t xml:space="preserve"> </w:t>
      </w:r>
      <w:r w:rsidR="00A4119B" w:rsidRPr="002429EC">
        <w:t>incident</w:t>
      </w:r>
      <w:r w:rsidR="00B61349" w:rsidRPr="002429EC">
        <w:t>s</w:t>
      </w:r>
      <w:r w:rsidR="00A4119B" w:rsidRPr="002429EC">
        <w:t xml:space="preserve"> </w:t>
      </w:r>
      <w:r w:rsidRPr="002429EC">
        <w:t xml:space="preserve">where the type of information involved was </w:t>
      </w:r>
      <w:r w:rsidR="00363921" w:rsidRPr="002429EC">
        <w:rPr>
          <w:b/>
          <w:bCs/>
        </w:rPr>
        <w:t>u</w:t>
      </w:r>
      <w:r w:rsidRPr="002429EC">
        <w:rPr>
          <w:b/>
          <w:bCs/>
        </w:rPr>
        <w:t>nknown</w:t>
      </w:r>
      <w:r w:rsidR="00363921" w:rsidRPr="002429EC">
        <w:rPr>
          <w:b/>
          <w:bCs/>
        </w:rPr>
        <w:t xml:space="preserve"> </w:t>
      </w:r>
      <w:r w:rsidR="006F5934" w:rsidRPr="002429EC">
        <w:t xml:space="preserve">due to the organisation not knowing exactly what information </w:t>
      </w:r>
      <w:r w:rsidR="005F2262" w:rsidRPr="002429EC">
        <w:t xml:space="preserve">was </w:t>
      </w:r>
      <w:r w:rsidR="00B534BA" w:rsidRPr="002429EC">
        <w:t>stolen</w:t>
      </w:r>
      <w:r w:rsidR="001D715B" w:rsidRPr="002429EC">
        <w:t xml:space="preserve"> after </w:t>
      </w:r>
      <w:r w:rsidR="00B534BA" w:rsidRPr="002429EC">
        <w:t xml:space="preserve">the </w:t>
      </w:r>
      <w:hyperlink r:id="rId14" w:history="1">
        <w:r w:rsidR="00B534BA" w:rsidRPr="004402E3">
          <w:rPr>
            <w:rStyle w:val="Hyperlink"/>
          </w:rPr>
          <w:t>Australia Post</w:t>
        </w:r>
        <w:r w:rsidR="001D715B" w:rsidRPr="004402E3">
          <w:rPr>
            <w:rStyle w:val="Hyperlink"/>
          </w:rPr>
          <w:t xml:space="preserve"> break-in</w:t>
        </w:r>
      </w:hyperlink>
      <w:r w:rsidR="004402E3">
        <w:t>.</w:t>
      </w:r>
    </w:p>
    <w:p w14:paraId="261AD9CF" w14:textId="3C9C17DF" w:rsidR="00C03711" w:rsidRDefault="004325BD" w:rsidP="00A6671C">
      <w:r>
        <w:t xml:space="preserve">Multiple options can be </w:t>
      </w:r>
      <w:r w:rsidR="009A7BDE">
        <w:t>selected for this field.</w:t>
      </w:r>
      <w:r w:rsidR="008F4ADC">
        <w:t xml:space="preserve"> </w:t>
      </w:r>
      <w:r w:rsidR="00B52188">
        <w:t xml:space="preserve">There were </w:t>
      </w:r>
      <w:r w:rsidR="00734FFD">
        <w:rPr>
          <w:b/>
          <w:bCs/>
        </w:rPr>
        <w:t>2</w:t>
      </w:r>
      <w:r w:rsidR="00425BAF">
        <w:rPr>
          <w:b/>
          <w:bCs/>
        </w:rPr>
        <w:t>5</w:t>
      </w:r>
      <w:r w:rsidR="00B52188" w:rsidRPr="00247620">
        <w:rPr>
          <w:b/>
          <w:bCs/>
        </w:rPr>
        <w:t xml:space="preserve"> </w:t>
      </w:r>
      <w:r w:rsidR="009B5F4F">
        <w:t>incidents</w:t>
      </w:r>
      <w:r w:rsidR="006F2B5B">
        <w:t xml:space="preserve"> where </w:t>
      </w:r>
      <w:r w:rsidR="00A0787B">
        <w:t xml:space="preserve">3 </w:t>
      </w:r>
      <w:r w:rsidR="006F2B5B">
        <w:t>or more information type</w:t>
      </w:r>
      <w:r w:rsidR="00475888">
        <w:t>s</w:t>
      </w:r>
      <w:r w:rsidR="006F2B5B">
        <w:t xml:space="preserve"> were </w:t>
      </w:r>
      <w:r w:rsidR="00247620">
        <w:t>affected</w:t>
      </w:r>
      <w:r w:rsidR="005A032E">
        <w:t xml:space="preserve"> in a single incident</w:t>
      </w:r>
      <w:r w:rsidR="00DA2BD3">
        <w:t>,</w:t>
      </w:r>
      <w:r w:rsidR="00247620">
        <w:t xml:space="preserve"> </w:t>
      </w:r>
      <w:r w:rsidR="00C03711">
        <w:t>for example:</w:t>
      </w:r>
    </w:p>
    <w:p w14:paraId="4D338125" w14:textId="73093A07" w:rsidR="00AA40F4" w:rsidRPr="00AA40F4" w:rsidRDefault="00496A4F" w:rsidP="00C03711">
      <w:pPr>
        <w:pStyle w:val="ListParagraph"/>
        <w:numPr>
          <w:ilvl w:val="0"/>
          <w:numId w:val="39"/>
        </w:numPr>
      </w:pPr>
      <w:r>
        <w:rPr>
          <w:b/>
          <w:bCs/>
        </w:rPr>
        <w:t>P</w:t>
      </w:r>
      <w:r w:rsidR="009E4094" w:rsidRPr="009E4094">
        <w:rPr>
          <w:b/>
          <w:bCs/>
        </w:rPr>
        <w:t xml:space="preserve">ersonal, </w:t>
      </w:r>
      <w:r w:rsidR="009E4094">
        <w:rPr>
          <w:b/>
          <w:bCs/>
        </w:rPr>
        <w:t>h</w:t>
      </w:r>
      <w:r w:rsidR="009E4094" w:rsidRPr="009E4094">
        <w:rPr>
          <w:b/>
          <w:bCs/>
        </w:rPr>
        <w:t xml:space="preserve">ealth, </w:t>
      </w:r>
      <w:r w:rsidR="009E4094">
        <w:rPr>
          <w:b/>
          <w:bCs/>
        </w:rPr>
        <w:t>o</w:t>
      </w:r>
      <w:r w:rsidR="00B3550F">
        <w:rPr>
          <w:b/>
          <w:bCs/>
        </w:rPr>
        <w:t>ther</w:t>
      </w:r>
      <w:r w:rsidR="009E4094">
        <w:rPr>
          <w:b/>
          <w:bCs/>
        </w:rPr>
        <w:t xml:space="preserve"> </w:t>
      </w:r>
      <w:r w:rsidR="004B35C7" w:rsidRPr="00AA40F4">
        <w:t xml:space="preserve">information was affected when </w:t>
      </w:r>
      <w:r w:rsidR="000269CA">
        <w:t>an online complaint form was misconfigured</w:t>
      </w:r>
      <w:r>
        <w:t>.</w:t>
      </w:r>
    </w:p>
    <w:p w14:paraId="00DF464C" w14:textId="775E7D8C" w:rsidR="00B25088" w:rsidRPr="00B25088" w:rsidRDefault="00496A4F" w:rsidP="00C03711">
      <w:pPr>
        <w:pStyle w:val="ListParagraph"/>
        <w:numPr>
          <w:ilvl w:val="0"/>
          <w:numId w:val="39"/>
        </w:numPr>
      </w:pPr>
      <w:r>
        <w:rPr>
          <w:b/>
          <w:bCs/>
        </w:rPr>
        <w:t>P</w:t>
      </w:r>
      <w:r w:rsidR="00C2685D">
        <w:rPr>
          <w:b/>
          <w:bCs/>
        </w:rPr>
        <w:t>ersonal</w:t>
      </w:r>
      <w:r w:rsidR="00B25088">
        <w:rPr>
          <w:b/>
          <w:bCs/>
        </w:rPr>
        <w:t xml:space="preserve">, health, </w:t>
      </w:r>
      <w:r w:rsidR="00976F54">
        <w:rPr>
          <w:b/>
          <w:bCs/>
        </w:rPr>
        <w:t>legal</w:t>
      </w:r>
      <w:r w:rsidR="00B25088">
        <w:rPr>
          <w:b/>
          <w:bCs/>
        </w:rPr>
        <w:t xml:space="preserve"> </w:t>
      </w:r>
      <w:r w:rsidR="00B25088" w:rsidRPr="008F4ADC">
        <w:t xml:space="preserve">information was affected </w:t>
      </w:r>
      <w:r w:rsidR="00976F54">
        <w:t>when client case information was sent to a personal email address</w:t>
      </w:r>
      <w:r>
        <w:t>.</w:t>
      </w:r>
    </w:p>
    <w:p w14:paraId="6376ECDA" w14:textId="6EF6E1D8" w:rsidR="00143C1B" w:rsidRDefault="00496A4F" w:rsidP="008F4ADC">
      <w:pPr>
        <w:pStyle w:val="ListParagraph"/>
        <w:numPr>
          <w:ilvl w:val="0"/>
          <w:numId w:val="39"/>
        </w:numPr>
      </w:pPr>
      <w:r>
        <w:rPr>
          <w:b/>
          <w:bCs/>
        </w:rPr>
        <w:t>P</w:t>
      </w:r>
      <w:r w:rsidR="00860C3D" w:rsidRPr="00C03711">
        <w:rPr>
          <w:b/>
          <w:bCs/>
        </w:rPr>
        <w:t xml:space="preserve">ersonal, </w:t>
      </w:r>
      <w:r w:rsidR="00C413F1">
        <w:rPr>
          <w:b/>
          <w:bCs/>
        </w:rPr>
        <w:t>financial, operational</w:t>
      </w:r>
      <w:r w:rsidR="00860C3D">
        <w:t xml:space="preserve"> </w:t>
      </w:r>
      <w:r w:rsidR="00624A66">
        <w:t>information w</w:t>
      </w:r>
      <w:r w:rsidR="00CD4C70">
        <w:t>as</w:t>
      </w:r>
      <w:r w:rsidR="00624A66">
        <w:t xml:space="preserve"> affected in </w:t>
      </w:r>
      <w:r w:rsidR="005310AA">
        <w:t>the</w:t>
      </w:r>
      <w:r w:rsidR="00EB1E9D">
        <w:t xml:space="preserve"> </w:t>
      </w:r>
      <w:r w:rsidR="00BB7704">
        <w:t>disclosure of an internal audit report</w:t>
      </w:r>
      <w:r>
        <w:t>.</w:t>
      </w:r>
    </w:p>
    <w:p w14:paraId="13D835B7" w14:textId="6E9BE956" w:rsidR="00A6671C" w:rsidRDefault="00496A4F" w:rsidP="008F4ADC">
      <w:pPr>
        <w:pStyle w:val="ListParagraph"/>
        <w:numPr>
          <w:ilvl w:val="0"/>
          <w:numId w:val="39"/>
        </w:numPr>
      </w:pPr>
      <w:r>
        <w:rPr>
          <w:b/>
          <w:bCs/>
        </w:rPr>
        <w:t>P</w:t>
      </w:r>
      <w:r w:rsidR="00143C1B" w:rsidRPr="000E2AD5">
        <w:rPr>
          <w:b/>
          <w:bCs/>
        </w:rPr>
        <w:t>ersonal, health, financial, legal, policy, operation</w:t>
      </w:r>
      <w:r w:rsidR="007F3B0A" w:rsidRPr="000E2AD5">
        <w:rPr>
          <w:b/>
          <w:bCs/>
        </w:rPr>
        <w:t>al</w:t>
      </w:r>
      <w:r w:rsidR="007F3B0A">
        <w:t xml:space="preserve"> information was stored in a backup offshore without gaining consent from the organisation</w:t>
      </w:r>
      <w:r w:rsidR="008F4ADC">
        <w:t>.</w:t>
      </w:r>
    </w:p>
    <w:p w14:paraId="3710EF7E" w14:textId="77777777" w:rsidR="004161E1" w:rsidRDefault="004161E1">
      <w:pPr>
        <w:spacing w:before="0" w:after="160" w:line="259" w:lineRule="auto"/>
        <w:rPr>
          <w:rFonts w:eastAsiaTheme="majorEastAsia" w:cstheme="majorBidi"/>
          <w:color w:val="430098" w:themeColor="text2"/>
          <w:sz w:val="30"/>
          <w:szCs w:val="26"/>
        </w:rPr>
      </w:pPr>
      <w:r>
        <w:br w:type="page"/>
      </w:r>
    </w:p>
    <w:p w14:paraId="2E1D9BE6" w14:textId="18420044" w:rsidR="00A6671C" w:rsidRDefault="00A6671C" w:rsidP="00FA1B6A">
      <w:pPr>
        <w:pStyle w:val="Heading2"/>
      </w:pPr>
      <w:r w:rsidRPr="009D2AB2">
        <w:lastRenderedPageBreak/>
        <w:t xml:space="preserve">Information </w:t>
      </w:r>
      <w:r>
        <w:t>Business Impact Level (</w:t>
      </w:r>
      <w:r w:rsidRPr="00B413CC">
        <w:rPr>
          <w:b/>
          <w:bCs/>
        </w:rPr>
        <w:t>BIL</w:t>
      </w:r>
      <w:r>
        <w:t>)</w:t>
      </w:r>
      <w:r>
        <w:rPr>
          <w:rStyle w:val="FootnoteReference"/>
          <w:sz w:val="24"/>
        </w:rPr>
        <w:footnoteReference w:id="1"/>
      </w:r>
      <w:r>
        <w:t xml:space="preserve"> </w:t>
      </w:r>
    </w:p>
    <w:p w14:paraId="186A9A8A" w14:textId="4CB770AE" w:rsidR="00735D45" w:rsidRPr="00735D45" w:rsidRDefault="00735D45" w:rsidP="0037282E">
      <w:pPr>
        <w:jc w:val="center"/>
      </w:pPr>
      <w:r>
        <w:rPr>
          <w:noProof/>
        </w:rPr>
        <w:drawing>
          <wp:inline distT="0" distB="0" distL="0" distR="0" wp14:anchorId="346AA72B" wp14:editId="0E27CC6E">
            <wp:extent cx="5051685" cy="2923082"/>
            <wp:effectExtent l="0" t="0" r="0" b="0"/>
            <wp:docPr id="717952120"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A24A022" w14:textId="33723BA1" w:rsidR="00A4119B" w:rsidRDefault="00A4119B" w:rsidP="00AC47F1">
      <w:pPr>
        <w:pStyle w:val="Heading3"/>
      </w:pPr>
      <w:r>
        <w:t>Insights:</w:t>
      </w:r>
    </w:p>
    <w:p w14:paraId="42A54E67" w14:textId="494B054A" w:rsidR="00B43782" w:rsidRDefault="009E7ED9" w:rsidP="00A6671C">
      <w:r>
        <w:t>The Business Impact Level (</w:t>
      </w:r>
      <w:r w:rsidRPr="00E4653C">
        <w:rPr>
          <w:b/>
          <w:bCs/>
        </w:rPr>
        <w:t>BIL</w:t>
      </w:r>
      <w:r>
        <w:t>)</w:t>
      </w:r>
      <w:r w:rsidRPr="007323B2">
        <w:t xml:space="preserve"> </w:t>
      </w:r>
      <w:r>
        <w:t xml:space="preserve">statistics for this </w:t>
      </w:r>
      <w:r w:rsidR="00E02C93">
        <w:t>notification</w:t>
      </w:r>
      <w:r>
        <w:t xml:space="preserve"> period are </w:t>
      </w:r>
      <w:proofErr w:type="gramStart"/>
      <w:r w:rsidR="00B3358A">
        <w:t>similar to</w:t>
      </w:r>
      <w:proofErr w:type="gramEnd"/>
      <w:r>
        <w:t xml:space="preserve"> the previous </w:t>
      </w:r>
      <w:r w:rsidR="00012FA3">
        <w:t xml:space="preserve">notification </w:t>
      </w:r>
      <w:r w:rsidR="00E02C93">
        <w:t>period</w:t>
      </w:r>
      <w:r>
        <w:t xml:space="preserve">. </w:t>
      </w:r>
      <w:r w:rsidR="00A6671C" w:rsidRPr="006D3CD4">
        <w:t xml:space="preserve">The number </w:t>
      </w:r>
      <w:r w:rsidR="00CE7313">
        <w:t xml:space="preserve">of </w:t>
      </w:r>
      <w:r w:rsidR="00A6671C" w:rsidRPr="006D3CD4">
        <w:t>incidents a</w:t>
      </w:r>
      <w:r w:rsidR="00A6671C" w:rsidRPr="007323B2">
        <w:t xml:space="preserve">ffecting information assessed as </w:t>
      </w:r>
      <w:r w:rsidR="00A6671C">
        <w:t xml:space="preserve">having a </w:t>
      </w:r>
      <w:r w:rsidR="00082842">
        <w:rPr>
          <w:b/>
          <w:bCs/>
        </w:rPr>
        <w:t>l</w:t>
      </w:r>
      <w:r w:rsidR="00A6671C" w:rsidRPr="00E721D1">
        <w:rPr>
          <w:b/>
          <w:bCs/>
        </w:rPr>
        <w:t>imited</w:t>
      </w:r>
      <w:r w:rsidR="00A6671C">
        <w:t xml:space="preserve"> impact or </w:t>
      </w:r>
      <w:r w:rsidRPr="00E721D1">
        <w:rPr>
          <w:b/>
          <w:bCs/>
        </w:rPr>
        <w:t xml:space="preserve">BIL </w:t>
      </w:r>
      <w:r w:rsidR="00A6671C" w:rsidRPr="00E721D1">
        <w:rPr>
          <w:b/>
          <w:bCs/>
        </w:rPr>
        <w:t>2</w:t>
      </w:r>
      <w:r w:rsidR="00A6671C">
        <w:t xml:space="preserve"> </w:t>
      </w:r>
      <w:r>
        <w:t>is</w:t>
      </w:r>
      <w:r w:rsidR="00A6671C" w:rsidRPr="007323B2">
        <w:t xml:space="preserve"> </w:t>
      </w:r>
      <w:r w:rsidR="008B2079" w:rsidRPr="00393698">
        <w:rPr>
          <w:b/>
          <w:bCs/>
        </w:rPr>
        <w:t>3</w:t>
      </w:r>
      <w:r w:rsidR="001B23ED">
        <w:rPr>
          <w:b/>
          <w:bCs/>
        </w:rPr>
        <w:t>65</w:t>
      </w:r>
      <w:r w:rsidR="00572152">
        <w:t xml:space="preserve"> or </w:t>
      </w:r>
      <w:r w:rsidR="000C5913" w:rsidRPr="000C5913">
        <w:rPr>
          <w:b/>
          <w:bCs/>
        </w:rPr>
        <w:t>6</w:t>
      </w:r>
      <w:r w:rsidR="00723B72">
        <w:rPr>
          <w:b/>
          <w:bCs/>
        </w:rPr>
        <w:t>9</w:t>
      </w:r>
      <w:r w:rsidR="000C5913" w:rsidRPr="000C5913">
        <w:rPr>
          <w:b/>
          <w:bCs/>
        </w:rPr>
        <w:t>%</w:t>
      </w:r>
      <w:r w:rsidR="000C5913">
        <w:t xml:space="preserve"> </w:t>
      </w:r>
      <w:r w:rsidR="000C5913" w:rsidRPr="00A21F93">
        <w:t xml:space="preserve">compared with </w:t>
      </w:r>
      <w:r w:rsidR="00114468">
        <w:t xml:space="preserve">347 or </w:t>
      </w:r>
      <w:r w:rsidR="00D736D2">
        <w:t>6</w:t>
      </w:r>
      <w:r w:rsidR="00723B72">
        <w:t>2</w:t>
      </w:r>
      <w:r w:rsidR="00A6671C" w:rsidRPr="004C26EA">
        <w:t>%</w:t>
      </w:r>
      <w:r w:rsidR="004C26EA" w:rsidRPr="004C26EA">
        <w:t xml:space="preserve"> </w:t>
      </w:r>
      <w:r w:rsidR="000C5913" w:rsidRPr="004C26EA">
        <w:t>in</w:t>
      </w:r>
      <w:r w:rsidR="000C5913">
        <w:rPr>
          <w:b/>
          <w:bCs/>
        </w:rPr>
        <w:t xml:space="preserve"> </w:t>
      </w:r>
      <w:r w:rsidR="000C5913" w:rsidRPr="000C5913">
        <w:t xml:space="preserve">the </w:t>
      </w:r>
      <w:r w:rsidR="00D52F4D">
        <w:t>previous notification</w:t>
      </w:r>
      <w:r w:rsidR="000C5913" w:rsidRPr="000C5913">
        <w:t xml:space="preserve"> period</w:t>
      </w:r>
      <w:r w:rsidR="0092742C">
        <w:t xml:space="preserve">. </w:t>
      </w:r>
    </w:p>
    <w:p w14:paraId="4A15338B" w14:textId="75656C21" w:rsidR="00A6671C" w:rsidRPr="00882079" w:rsidRDefault="0092742C" w:rsidP="00A6671C">
      <w:r>
        <w:t xml:space="preserve">There was a </w:t>
      </w:r>
      <w:r w:rsidR="00D61B17">
        <w:t xml:space="preserve">large </w:t>
      </w:r>
      <w:r>
        <w:t>decrease</w:t>
      </w:r>
      <w:r w:rsidR="00F12C1A">
        <w:t xml:space="preserve"> in incidents affecting information assessed </w:t>
      </w:r>
      <w:r w:rsidR="00D52F4D">
        <w:t>as having a</w:t>
      </w:r>
      <w:r w:rsidR="009E7ED9" w:rsidRPr="009E7ED9">
        <w:t xml:space="preserve"> </w:t>
      </w:r>
      <w:r w:rsidR="00082842">
        <w:rPr>
          <w:b/>
          <w:bCs/>
        </w:rPr>
        <w:t>m</w:t>
      </w:r>
      <w:r w:rsidR="009E7ED9" w:rsidRPr="00E721D1">
        <w:rPr>
          <w:b/>
          <w:bCs/>
        </w:rPr>
        <w:t>inor</w:t>
      </w:r>
      <w:r w:rsidR="009E7ED9" w:rsidRPr="009E7ED9">
        <w:t xml:space="preserve"> impact or </w:t>
      </w:r>
      <w:r w:rsidR="009E7ED9" w:rsidRPr="00E721D1">
        <w:rPr>
          <w:b/>
          <w:bCs/>
        </w:rPr>
        <w:t>BIL 1</w:t>
      </w:r>
      <w:r w:rsidR="009E7ED9" w:rsidRPr="009E7ED9">
        <w:t xml:space="preserve"> </w:t>
      </w:r>
      <w:r w:rsidR="004C26EA">
        <w:rPr>
          <w:b/>
          <w:bCs/>
        </w:rPr>
        <w:t>23</w:t>
      </w:r>
      <w:r w:rsidR="00A21F93" w:rsidRPr="00A21F93">
        <w:rPr>
          <w:b/>
          <w:bCs/>
        </w:rPr>
        <w:t>%</w:t>
      </w:r>
      <w:r w:rsidR="00100478">
        <w:rPr>
          <w:b/>
          <w:bCs/>
        </w:rPr>
        <w:t xml:space="preserve"> </w:t>
      </w:r>
      <w:r w:rsidR="00100478">
        <w:t>(</w:t>
      </w:r>
      <w:r w:rsidR="00100478" w:rsidRPr="007E7D01">
        <w:rPr>
          <w:b/>
          <w:bCs/>
        </w:rPr>
        <w:t>120</w:t>
      </w:r>
      <w:r w:rsidR="00100478">
        <w:t xml:space="preserve">) </w:t>
      </w:r>
      <w:r w:rsidR="00A21F93">
        <w:t xml:space="preserve">compared with </w:t>
      </w:r>
      <w:r w:rsidR="00B02319">
        <w:t>3</w:t>
      </w:r>
      <w:r w:rsidR="00D52F4D">
        <w:t>6</w:t>
      </w:r>
      <w:r w:rsidR="009E7ED9" w:rsidRPr="004C26EA">
        <w:t>%</w:t>
      </w:r>
      <w:r w:rsidR="00A21F93" w:rsidRPr="004C26EA">
        <w:t xml:space="preserve"> </w:t>
      </w:r>
      <w:r w:rsidR="004C26EA" w:rsidRPr="004C26EA">
        <w:t>(203)</w:t>
      </w:r>
      <w:r w:rsidR="004C26EA">
        <w:rPr>
          <w:b/>
          <w:bCs/>
        </w:rPr>
        <w:t xml:space="preserve"> </w:t>
      </w:r>
      <w:r w:rsidR="00A21F93" w:rsidRPr="00A21F93">
        <w:t xml:space="preserve">in the </w:t>
      </w:r>
      <w:r w:rsidR="00D52F4D">
        <w:t>previous notification</w:t>
      </w:r>
      <w:r w:rsidR="00A21F93" w:rsidRPr="00A21F93">
        <w:t xml:space="preserve"> period</w:t>
      </w:r>
      <w:r w:rsidR="00A6671C" w:rsidRPr="00A21F93">
        <w:t>.</w:t>
      </w:r>
      <w:r w:rsidR="00047F73">
        <w:t xml:space="preserve"> This is because GWW stopped their </w:t>
      </w:r>
      <w:r w:rsidR="00977FD3">
        <w:t xml:space="preserve">regular </w:t>
      </w:r>
      <w:r w:rsidR="00047F73">
        <w:t xml:space="preserve">monthly </w:t>
      </w:r>
      <w:r w:rsidR="00E96811">
        <w:t xml:space="preserve">reporting to OVIC </w:t>
      </w:r>
      <w:r w:rsidR="00195D08">
        <w:t xml:space="preserve">in October </w:t>
      </w:r>
      <w:r w:rsidR="00977FD3">
        <w:t xml:space="preserve">regarding their </w:t>
      </w:r>
      <w:hyperlink r:id="rId16" w:history="1">
        <w:r w:rsidR="00977FD3" w:rsidRPr="0045241B">
          <w:rPr>
            <w:rStyle w:val="Hyperlink"/>
          </w:rPr>
          <w:t xml:space="preserve">2024 </w:t>
        </w:r>
        <w:r w:rsidR="002D788B" w:rsidRPr="0045241B">
          <w:rPr>
            <w:rStyle w:val="Hyperlink"/>
          </w:rPr>
          <w:t>migration to a new billing and payment system</w:t>
        </w:r>
      </w:hyperlink>
      <w:r w:rsidR="00320846">
        <w:t xml:space="preserve"> as they resumed normal operations</w:t>
      </w:r>
      <w:r w:rsidR="0045241B">
        <w:t>.</w:t>
      </w:r>
      <w:r w:rsidR="00A06E1C">
        <w:t xml:space="preserve"> </w:t>
      </w:r>
      <w:r w:rsidR="00026379">
        <w:t>OVIC expects incident notification</w:t>
      </w:r>
      <w:r w:rsidR="001C665E">
        <w:t xml:space="preserve">s </w:t>
      </w:r>
      <w:r w:rsidR="00026379">
        <w:t>related to BIL</w:t>
      </w:r>
      <w:r w:rsidR="00CE7DAD">
        <w:t xml:space="preserve"> </w:t>
      </w:r>
      <w:r w:rsidR="00026379">
        <w:t>1 information to re</w:t>
      </w:r>
      <w:r w:rsidR="001C665E">
        <w:t xml:space="preserve">store to </w:t>
      </w:r>
      <w:r w:rsidR="009724B7">
        <w:t xml:space="preserve">similar </w:t>
      </w:r>
      <w:r w:rsidR="009724B7" w:rsidRPr="00882079">
        <w:t xml:space="preserve">numbers </w:t>
      </w:r>
      <w:r w:rsidR="00631959" w:rsidRPr="00882079">
        <w:t xml:space="preserve">that were </w:t>
      </w:r>
      <w:r w:rsidR="00DD2723" w:rsidRPr="00882079">
        <w:t>reported</w:t>
      </w:r>
      <w:r w:rsidR="00631959" w:rsidRPr="00882079">
        <w:t xml:space="preserve"> prior to the GWW billing and payment system </w:t>
      </w:r>
      <w:r w:rsidR="004B219D" w:rsidRPr="00882079">
        <w:t>migration</w:t>
      </w:r>
      <w:r w:rsidR="00F67A2B">
        <w:t xml:space="preserve"> incident</w:t>
      </w:r>
      <w:r w:rsidR="004B219D" w:rsidRPr="00882079">
        <w:t>.</w:t>
      </w:r>
      <w:r w:rsidR="001429BA" w:rsidRPr="00882079">
        <w:t xml:space="preserve"> </w:t>
      </w:r>
    </w:p>
    <w:p w14:paraId="241BF609" w14:textId="585874BA" w:rsidR="007927A8" w:rsidRPr="00882079" w:rsidRDefault="00B57667" w:rsidP="00EA7FB0">
      <w:r w:rsidRPr="00882079">
        <w:rPr>
          <w:b/>
          <w:bCs/>
        </w:rPr>
        <w:t>Eight</w:t>
      </w:r>
      <w:r w:rsidR="00DB4E33" w:rsidRPr="00882079">
        <w:rPr>
          <w:b/>
          <w:bCs/>
        </w:rPr>
        <w:t xml:space="preserve"> per</w:t>
      </w:r>
      <w:r w:rsidR="00CE7313" w:rsidRPr="00882079">
        <w:rPr>
          <w:b/>
          <w:bCs/>
        </w:rPr>
        <w:t xml:space="preserve"> </w:t>
      </w:r>
      <w:r w:rsidR="00DB4E33" w:rsidRPr="00882079">
        <w:rPr>
          <w:b/>
          <w:bCs/>
        </w:rPr>
        <w:t>cent</w:t>
      </w:r>
      <w:r w:rsidR="00DB4E33" w:rsidRPr="00882079">
        <w:t xml:space="preserve"> of </w:t>
      </w:r>
      <w:r w:rsidR="001833DF" w:rsidRPr="00882079">
        <w:t>incidents affected</w:t>
      </w:r>
      <w:r w:rsidR="00DB4E33" w:rsidRPr="00882079">
        <w:t xml:space="preserve"> </w:t>
      </w:r>
      <w:r w:rsidR="00DB4E33" w:rsidRPr="00882079">
        <w:rPr>
          <w:b/>
          <w:bCs/>
        </w:rPr>
        <w:t>BIL 3</w:t>
      </w:r>
      <w:r w:rsidR="00DB4E33" w:rsidRPr="00882079">
        <w:t xml:space="preserve"> information. </w:t>
      </w:r>
      <w:r w:rsidR="00EE55BD" w:rsidRPr="00882079">
        <w:t xml:space="preserve">In terms of numbers, </w:t>
      </w:r>
      <w:r w:rsidR="00ED777C" w:rsidRPr="00882079">
        <w:t xml:space="preserve">incidents affecting </w:t>
      </w:r>
      <w:r w:rsidR="00A6671C" w:rsidRPr="00882079">
        <w:t xml:space="preserve">BIL 3 </w:t>
      </w:r>
      <w:r w:rsidR="00DA046B" w:rsidRPr="00882079">
        <w:t xml:space="preserve">information </w:t>
      </w:r>
      <w:r w:rsidR="007C2912" w:rsidRPr="00882079">
        <w:t>continues to increase</w:t>
      </w:r>
      <w:r w:rsidR="00A87C22" w:rsidRPr="00882079">
        <w:t xml:space="preserve"> with </w:t>
      </w:r>
      <w:r w:rsidR="00A87C22" w:rsidRPr="00882079">
        <w:rPr>
          <w:b/>
          <w:bCs/>
        </w:rPr>
        <w:t>43</w:t>
      </w:r>
      <w:r w:rsidR="00A87C22" w:rsidRPr="00882079">
        <w:t xml:space="preserve"> </w:t>
      </w:r>
      <w:r w:rsidR="00474CCA" w:rsidRPr="00882079">
        <w:t xml:space="preserve">incidents </w:t>
      </w:r>
      <w:r w:rsidR="007279B4">
        <w:t>in this notification period</w:t>
      </w:r>
      <w:r w:rsidR="00474CCA" w:rsidRPr="00882079">
        <w:t xml:space="preserve"> compared to the previous </w:t>
      </w:r>
      <w:r w:rsidR="008B57D6">
        <w:t>2</w:t>
      </w:r>
      <w:r w:rsidR="008B57D6" w:rsidRPr="00882079">
        <w:t xml:space="preserve"> </w:t>
      </w:r>
      <w:r w:rsidR="00474CCA" w:rsidRPr="00882079">
        <w:t xml:space="preserve">notification periods </w:t>
      </w:r>
      <w:r w:rsidR="006C6F78" w:rsidRPr="00882079">
        <w:t>having 11 and 5 incidents</w:t>
      </w:r>
      <w:r w:rsidR="00BF1230" w:rsidRPr="00882079">
        <w:t xml:space="preserve">. </w:t>
      </w:r>
      <w:r w:rsidR="008474EA" w:rsidRPr="00882079">
        <w:t>Some examples</w:t>
      </w:r>
      <w:r w:rsidR="00BC3673" w:rsidRPr="00882079">
        <w:t xml:space="preserve"> of incidents affecting BIL</w:t>
      </w:r>
      <w:r w:rsidR="003C3E40" w:rsidRPr="00882079">
        <w:t xml:space="preserve"> </w:t>
      </w:r>
      <w:r w:rsidR="00BC3673" w:rsidRPr="00882079">
        <w:t>3 information</w:t>
      </w:r>
      <w:r w:rsidR="008474EA" w:rsidRPr="00882079">
        <w:t xml:space="preserve"> include</w:t>
      </w:r>
      <w:r w:rsidR="007927A8" w:rsidRPr="00882079">
        <w:t>:</w:t>
      </w:r>
    </w:p>
    <w:p w14:paraId="221CA779" w14:textId="0C6F1F2F" w:rsidR="00877E7A" w:rsidRPr="00CC0D7F" w:rsidRDefault="00D5130F" w:rsidP="007927A8">
      <w:pPr>
        <w:pStyle w:val="ListParagraph"/>
        <w:numPr>
          <w:ilvl w:val="0"/>
          <w:numId w:val="13"/>
        </w:numPr>
      </w:pPr>
      <w:r>
        <w:t xml:space="preserve">critical infrastructure information </w:t>
      </w:r>
      <w:r w:rsidR="00B929A9">
        <w:t>sent to personal account</w:t>
      </w:r>
    </w:p>
    <w:p w14:paraId="637BD29F" w14:textId="06DB9E86" w:rsidR="007927A8" w:rsidRPr="00CC0D7F" w:rsidRDefault="00686080" w:rsidP="007927A8">
      <w:pPr>
        <w:pStyle w:val="ListParagraph"/>
        <w:numPr>
          <w:ilvl w:val="0"/>
          <w:numId w:val="13"/>
        </w:numPr>
      </w:pPr>
      <w:r>
        <w:t>i</w:t>
      </w:r>
      <w:r w:rsidRPr="00686080">
        <w:t>nsecure disposal of financial documents</w:t>
      </w:r>
      <w:r w:rsidR="008474EA" w:rsidRPr="00CC0D7F">
        <w:t xml:space="preserve"> </w:t>
      </w:r>
    </w:p>
    <w:p w14:paraId="1EEB4DD9" w14:textId="2205052A" w:rsidR="00EA7FB0" w:rsidRPr="00CC0D7F" w:rsidRDefault="002B78F2" w:rsidP="000F7E75">
      <w:pPr>
        <w:pStyle w:val="ListParagraph"/>
        <w:numPr>
          <w:ilvl w:val="0"/>
          <w:numId w:val="13"/>
        </w:numPr>
      </w:pPr>
      <w:r>
        <w:t xml:space="preserve">confidential </w:t>
      </w:r>
      <w:r w:rsidR="0064612D">
        <w:t>information input into Notion AI software without authorisation</w:t>
      </w:r>
      <w:r w:rsidR="00ED45C4">
        <w:t>.</w:t>
      </w:r>
    </w:p>
    <w:p w14:paraId="00AAC9A8" w14:textId="22A7C905" w:rsidR="00FF33BB" w:rsidRPr="005829F6" w:rsidRDefault="00AA2185" w:rsidP="00FF33BB">
      <w:r w:rsidRPr="005829F6">
        <w:t>T</w:t>
      </w:r>
      <w:r w:rsidR="00FF33BB" w:rsidRPr="005829F6">
        <w:t xml:space="preserve">here </w:t>
      </w:r>
      <w:r w:rsidRPr="005829F6">
        <w:t xml:space="preserve">was </w:t>
      </w:r>
      <w:r w:rsidRPr="003018F9">
        <w:rPr>
          <w:b/>
          <w:bCs/>
        </w:rPr>
        <w:t>one</w:t>
      </w:r>
      <w:r w:rsidR="00FF33BB" w:rsidRPr="005829F6">
        <w:t xml:space="preserve"> </w:t>
      </w:r>
      <w:r w:rsidR="006A5FD8" w:rsidRPr="005829F6">
        <w:t>incident</w:t>
      </w:r>
      <w:r w:rsidR="00FF33BB" w:rsidRPr="005829F6">
        <w:t xml:space="preserve"> affecting </w:t>
      </w:r>
      <w:r w:rsidR="00FF33BB" w:rsidRPr="005829F6">
        <w:rPr>
          <w:b/>
          <w:bCs/>
        </w:rPr>
        <w:t>BIL 4</w:t>
      </w:r>
      <w:r w:rsidR="00FF33BB" w:rsidRPr="005829F6">
        <w:t xml:space="preserve"> information</w:t>
      </w:r>
      <w:r w:rsidR="006A5FD8" w:rsidRPr="005829F6">
        <w:t xml:space="preserve"> related to an outage affecting financial systems</w:t>
      </w:r>
      <w:r w:rsidR="005829F6" w:rsidRPr="005829F6">
        <w:t xml:space="preserve"> that had the ability to have </w:t>
      </w:r>
      <w:r w:rsidR="00ED45C4">
        <w:t>s</w:t>
      </w:r>
      <w:r w:rsidR="005829F6" w:rsidRPr="005829F6">
        <w:t>tate-wide impact if secondary systems did</w:t>
      </w:r>
      <w:r w:rsidR="00F331D2">
        <w:t xml:space="preserve"> not</w:t>
      </w:r>
      <w:r w:rsidR="005829F6" w:rsidRPr="005829F6">
        <w:t xml:space="preserve"> work</w:t>
      </w:r>
      <w:r w:rsidR="00FF33BB" w:rsidRPr="005829F6">
        <w:t>.</w:t>
      </w:r>
    </w:p>
    <w:tbl>
      <w:tblPr>
        <w:tblStyle w:val="OVICDefaulttable"/>
        <w:tblW w:w="0" w:type="auto"/>
        <w:tblLook w:val="04A0" w:firstRow="1" w:lastRow="0" w:firstColumn="1" w:lastColumn="0" w:noHBand="0" w:noVBand="1"/>
      </w:tblPr>
      <w:tblGrid>
        <w:gridCol w:w="9288"/>
      </w:tblGrid>
      <w:tr w:rsidR="00D45516" w14:paraId="3C6209B2" w14:textId="77777777" w:rsidTr="00D45516">
        <w:trPr>
          <w:cnfStyle w:val="100000000000" w:firstRow="1" w:lastRow="0" w:firstColumn="0" w:lastColumn="0" w:oddVBand="0" w:evenVBand="0" w:oddHBand="0" w:evenHBand="0" w:firstRowFirstColumn="0" w:firstRowLastColumn="0" w:lastRowFirstColumn="0" w:lastRowLastColumn="0"/>
        </w:trPr>
        <w:tc>
          <w:tcPr>
            <w:tcW w:w="9288" w:type="dxa"/>
          </w:tcPr>
          <w:p w14:paraId="13E2B7BD" w14:textId="7BCA3080" w:rsidR="00C849C4" w:rsidRPr="005829F6" w:rsidRDefault="00D45516" w:rsidP="00EA7FB0">
            <w:pPr>
              <w:rPr>
                <w:b w:val="0"/>
              </w:rPr>
            </w:pPr>
            <w:r w:rsidRPr="005829F6">
              <w:lastRenderedPageBreak/>
              <w:t xml:space="preserve">Note: The BIL field in the incident notification form relates to the information (e.g., BIL 2 / Limited / OFFICIAL: Sensitive) affected in the incident and does not relate to the severity of the incident itself. </w:t>
            </w:r>
          </w:p>
          <w:p w14:paraId="7D40DCC2" w14:textId="1CCFB649" w:rsidR="00D45516" w:rsidRPr="00C849C4" w:rsidRDefault="00D45516" w:rsidP="00EA7FB0">
            <w:pPr>
              <w:rPr>
                <w:b w:val="0"/>
                <w:bCs/>
              </w:rPr>
            </w:pPr>
            <w:r w:rsidRPr="005829F6">
              <w:rPr>
                <w:b w:val="0"/>
                <w:bCs/>
              </w:rPr>
              <w:t>For example, an incident relating to inadvertently sending an email attachment containing sensitive personal information to the incorrect recipient should be notified under the scheme, because it impacts BIL 2 information. This is true even though the severity of the incident itself may be assessed as LOW because it was managed locally with minimal adverse impact e.g., incident was contained quickly, swiftly acted upon, deleted, affected person notified</w:t>
            </w:r>
            <w:r w:rsidR="00714736" w:rsidRPr="005829F6">
              <w:rPr>
                <w:b w:val="0"/>
                <w:bCs/>
              </w:rPr>
              <w:t>.</w:t>
            </w:r>
          </w:p>
        </w:tc>
      </w:tr>
    </w:tbl>
    <w:p w14:paraId="24C3E198" w14:textId="77777777" w:rsidR="003E4043" w:rsidRDefault="003E4043">
      <w:pPr>
        <w:spacing w:before="0" w:after="160" w:line="259" w:lineRule="auto"/>
        <w:rPr>
          <w:rFonts w:eastAsiaTheme="majorEastAsia" w:cstheme="majorBidi"/>
          <w:color w:val="430098" w:themeColor="text2"/>
          <w:sz w:val="30"/>
          <w:szCs w:val="26"/>
        </w:rPr>
      </w:pPr>
      <w:r>
        <w:br w:type="page"/>
      </w:r>
    </w:p>
    <w:p w14:paraId="32866EC7" w14:textId="25BB0D65" w:rsidR="00A6671C" w:rsidRDefault="00A6671C" w:rsidP="00FA1B6A">
      <w:pPr>
        <w:pStyle w:val="Heading2"/>
      </w:pPr>
      <w:r w:rsidRPr="009D2AB2">
        <w:lastRenderedPageBreak/>
        <w:t>Security attributes impacted</w:t>
      </w:r>
      <w:r>
        <w:t xml:space="preserve"> </w:t>
      </w:r>
      <w:r w:rsidRPr="002C6E03">
        <w:t>(</w:t>
      </w:r>
      <w:r w:rsidR="00AA1900">
        <w:t>m</w:t>
      </w:r>
      <w:r w:rsidR="00AA1900" w:rsidRPr="002C6E03">
        <w:t xml:space="preserve">ultiple </w:t>
      </w:r>
      <w:r w:rsidRPr="002C6E03">
        <w:t>options can be selected)</w:t>
      </w:r>
    </w:p>
    <w:p w14:paraId="79CADBA2" w14:textId="04256DF8" w:rsidR="000A35D5" w:rsidRPr="00735D45" w:rsidRDefault="00735D45" w:rsidP="004639E2">
      <w:pPr>
        <w:jc w:val="center"/>
      </w:pPr>
      <w:r>
        <w:rPr>
          <w:noProof/>
        </w:rPr>
        <w:drawing>
          <wp:inline distT="0" distB="0" distL="0" distR="0" wp14:anchorId="2C7116E9" wp14:editId="6739B2EF">
            <wp:extent cx="2578100" cy="2962275"/>
            <wp:effectExtent l="0" t="0" r="0" b="0"/>
            <wp:docPr id="246220843"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D87D886" w14:textId="200D27AA" w:rsidR="00A4119B" w:rsidRDefault="00A4119B" w:rsidP="00AC47F1">
      <w:pPr>
        <w:pStyle w:val="Heading3"/>
      </w:pPr>
      <w:bookmarkStart w:id="2" w:name="_Hlk57107159"/>
      <w:r>
        <w:t>Insights:</w:t>
      </w:r>
    </w:p>
    <w:p w14:paraId="43F5E17B" w14:textId="5AF75D17" w:rsidR="00F5267D" w:rsidRDefault="00086778" w:rsidP="00A6671C">
      <w:proofErr w:type="gramStart"/>
      <w:r>
        <w:t>Similar to</w:t>
      </w:r>
      <w:proofErr w:type="gramEnd"/>
      <w:r>
        <w:t xml:space="preserve"> the</w:t>
      </w:r>
      <w:r w:rsidR="00D90621" w:rsidRPr="00AE7D7F">
        <w:t xml:space="preserve"> previous </w:t>
      </w:r>
      <w:r w:rsidR="00AE7D7F" w:rsidRPr="00AE7D7F">
        <w:t>notification period</w:t>
      </w:r>
      <w:r w:rsidR="00A42BA0">
        <w:t xml:space="preserve"> </w:t>
      </w:r>
      <w:r w:rsidR="00142115">
        <w:t>where 9</w:t>
      </w:r>
      <w:r w:rsidR="00B36205">
        <w:t>9</w:t>
      </w:r>
      <w:r w:rsidR="00142115">
        <w:t xml:space="preserve">% of </w:t>
      </w:r>
      <w:r w:rsidR="00C607BE">
        <w:t xml:space="preserve">incident notifications indicated compromises of </w:t>
      </w:r>
      <w:r w:rsidR="00BC0195">
        <w:t xml:space="preserve">information </w:t>
      </w:r>
      <w:r w:rsidR="00C607BE" w:rsidRPr="003A0175">
        <w:rPr>
          <w:b/>
          <w:bCs/>
        </w:rPr>
        <w:t>confidentiality</w:t>
      </w:r>
      <w:r w:rsidR="00AE7D7F" w:rsidRPr="00AE7D7F">
        <w:t xml:space="preserve">, </w:t>
      </w:r>
      <w:r w:rsidR="003A0175">
        <w:t>th</w:t>
      </w:r>
      <w:r w:rsidR="00C45C30">
        <w:t xml:space="preserve">ere were </w:t>
      </w:r>
      <w:r w:rsidR="00C45C30" w:rsidRPr="001E7141">
        <w:rPr>
          <w:b/>
          <w:bCs/>
        </w:rPr>
        <w:t>9</w:t>
      </w:r>
      <w:r w:rsidR="00B36205">
        <w:rPr>
          <w:b/>
          <w:bCs/>
        </w:rPr>
        <w:t>7</w:t>
      </w:r>
      <w:r w:rsidR="00C45C30" w:rsidRPr="001E7141">
        <w:rPr>
          <w:b/>
          <w:bCs/>
        </w:rPr>
        <w:t>%</w:t>
      </w:r>
      <w:r w:rsidR="00C45C30">
        <w:t xml:space="preserve"> in this</w:t>
      </w:r>
      <w:r w:rsidR="003A0175">
        <w:t xml:space="preserve"> notification period </w:t>
      </w:r>
      <w:r w:rsidR="001954C2">
        <w:t>(</w:t>
      </w:r>
      <w:r w:rsidR="00AE7D7F">
        <w:rPr>
          <w:b/>
          <w:bCs/>
        </w:rPr>
        <w:t>5</w:t>
      </w:r>
      <w:r w:rsidR="00B36205">
        <w:rPr>
          <w:b/>
          <w:bCs/>
        </w:rPr>
        <w:t>13</w:t>
      </w:r>
      <w:r w:rsidR="001954C2">
        <w:t>)</w:t>
      </w:r>
      <w:r w:rsidR="003A0175">
        <w:t xml:space="preserve">. </w:t>
      </w:r>
    </w:p>
    <w:p w14:paraId="534D4AF7" w14:textId="07275F75" w:rsidR="0081031C" w:rsidRDefault="00F5267D" w:rsidP="00A6671C">
      <w:r>
        <w:t>There was a decrease in the number of incidents affecting</w:t>
      </w:r>
      <w:r w:rsidR="00BC0195">
        <w:t xml:space="preserve"> information</w:t>
      </w:r>
      <w:r>
        <w:t xml:space="preserve"> </w:t>
      </w:r>
      <w:r w:rsidR="00273224" w:rsidRPr="00273224">
        <w:rPr>
          <w:b/>
          <w:bCs/>
        </w:rPr>
        <w:t>integrity</w:t>
      </w:r>
      <w:r w:rsidR="00273224" w:rsidRPr="00273224">
        <w:t xml:space="preserve"> (</w:t>
      </w:r>
      <w:r w:rsidR="00106826" w:rsidRPr="00106826">
        <w:rPr>
          <w:b/>
          <w:bCs/>
        </w:rPr>
        <w:t>128</w:t>
      </w:r>
      <w:r w:rsidR="00273224" w:rsidRPr="00273224">
        <w:t xml:space="preserve">) compared to the previous </w:t>
      </w:r>
      <w:r w:rsidR="0042176B">
        <w:t xml:space="preserve">notification </w:t>
      </w:r>
      <w:r w:rsidR="00273224" w:rsidRPr="00273224">
        <w:t>period (2</w:t>
      </w:r>
      <w:r w:rsidR="00106826">
        <w:t>24</w:t>
      </w:r>
      <w:r w:rsidR="00273224" w:rsidRPr="00273224">
        <w:t xml:space="preserve">). </w:t>
      </w:r>
      <w:r w:rsidR="00106826">
        <w:t xml:space="preserve">This </w:t>
      </w:r>
      <w:r w:rsidR="00F6587C">
        <w:t>is</w:t>
      </w:r>
      <w:r w:rsidR="00106826">
        <w:t xml:space="preserve"> because most of the integrity incidents from the last </w:t>
      </w:r>
      <w:r w:rsidR="0069255F">
        <w:t xml:space="preserve">few notification periods have come from </w:t>
      </w:r>
      <w:r w:rsidR="00273224" w:rsidRPr="00273224">
        <w:t>GWW</w:t>
      </w:r>
      <w:r w:rsidR="00227C46">
        <w:t xml:space="preserve"> that</w:t>
      </w:r>
      <w:r w:rsidR="0069255F">
        <w:t xml:space="preserve"> related to the </w:t>
      </w:r>
      <w:r w:rsidR="00273224" w:rsidRPr="00273224">
        <w:t xml:space="preserve">data quality issues they </w:t>
      </w:r>
      <w:r w:rsidR="0047443F">
        <w:t>experienced</w:t>
      </w:r>
      <w:r w:rsidR="00273224" w:rsidRPr="00273224">
        <w:t xml:space="preserve"> during their billing system upgrade project</w:t>
      </w:r>
      <w:r w:rsidR="00FD717E">
        <w:t xml:space="preserve">. </w:t>
      </w:r>
      <w:r w:rsidR="009E2C97">
        <w:t xml:space="preserve">GWW stopped their regular monthly reporting to OVIC in October as they resumed normal operations. OVIC expects incidents related to </w:t>
      </w:r>
      <w:r w:rsidR="002539E0">
        <w:t xml:space="preserve">information </w:t>
      </w:r>
      <w:r w:rsidR="00EE5343">
        <w:t>integrity</w:t>
      </w:r>
      <w:r w:rsidR="00922F27">
        <w:t xml:space="preserve"> </w:t>
      </w:r>
      <w:r w:rsidR="009E2C97">
        <w:t xml:space="preserve">to restore to similar </w:t>
      </w:r>
      <w:r w:rsidR="009E2C97" w:rsidRPr="00882079">
        <w:t>numbers that were reported prior to the GWW billing and payment system migration</w:t>
      </w:r>
      <w:r w:rsidR="00A36BE4">
        <w:t xml:space="preserve"> incident</w:t>
      </w:r>
      <w:r w:rsidR="009E2C97" w:rsidRPr="00882079">
        <w:t>.</w:t>
      </w:r>
      <w:r w:rsidR="00FD35AE">
        <w:t xml:space="preserve"> Some examples of other incidents affecting </w:t>
      </w:r>
      <w:r w:rsidR="002539E0">
        <w:t xml:space="preserve">information </w:t>
      </w:r>
      <w:r w:rsidR="00FD35AE">
        <w:t>integrity include</w:t>
      </w:r>
      <w:r w:rsidR="0081031C">
        <w:t>:</w:t>
      </w:r>
      <w:r w:rsidR="00E4492E">
        <w:t xml:space="preserve"> </w:t>
      </w:r>
    </w:p>
    <w:p w14:paraId="4EFDC114" w14:textId="188577B0" w:rsidR="004641AD" w:rsidRDefault="00E4492E" w:rsidP="0081031C">
      <w:pPr>
        <w:pStyle w:val="ListParagraph"/>
        <w:numPr>
          <w:ilvl w:val="0"/>
          <w:numId w:val="47"/>
        </w:numPr>
      </w:pPr>
      <w:r>
        <w:t>using an incorrect distribution list</w:t>
      </w:r>
    </w:p>
    <w:p w14:paraId="7A7877C9" w14:textId="5E8A1E86" w:rsidR="0081031C" w:rsidRDefault="0081031C" w:rsidP="0081031C">
      <w:pPr>
        <w:pStyle w:val="ListParagraph"/>
        <w:numPr>
          <w:ilvl w:val="0"/>
          <w:numId w:val="47"/>
        </w:numPr>
      </w:pPr>
      <w:r>
        <w:t xml:space="preserve">changing account details without </w:t>
      </w:r>
      <w:r w:rsidR="006C4073">
        <w:t>receiving formal consent first</w:t>
      </w:r>
    </w:p>
    <w:p w14:paraId="74D47EA9" w14:textId="48B06F84" w:rsidR="006C4073" w:rsidRDefault="006C4073" w:rsidP="0081031C">
      <w:pPr>
        <w:pStyle w:val="ListParagraph"/>
        <w:numPr>
          <w:ilvl w:val="0"/>
          <w:numId w:val="47"/>
        </w:numPr>
      </w:pPr>
      <w:r>
        <w:t>tampering of laptop settings</w:t>
      </w:r>
      <w:r w:rsidR="000E039E">
        <w:t xml:space="preserve"> without permission</w:t>
      </w:r>
    </w:p>
    <w:p w14:paraId="758808D8" w14:textId="29028190" w:rsidR="000E039E" w:rsidRDefault="000E039E" w:rsidP="0081031C">
      <w:pPr>
        <w:pStyle w:val="ListParagraph"/>
        <w:numPr>
          <w:ilvl w:val="0"/>
          <w:numId w:val="47"/>
        </w:numPr>
      </w:pPr>
      <w:r>
        <w:t>incorrect name used when speaking on the phone</w:t>
      </w:r>
      <w:r w:rsidR="001D0C6F">
        <w:t>.</w:t>
      </w:r>
    </w:p>
    <w:p w14:paraId="17DF8719" w14:textId="52E881B1" w:rsidR="00A6671C" w:rsidRDefault="008011F9" w:rsidP="00A6671C">
      <w:r>
        <w:t>T</w:t>
      </w:r>
      <w:r w:rsidR="00190D10">
        <w:t>here was an increase in incidents</w:t>
      </w:r>
      <w:r w:rsidR="006E76CC">
        <w:t xml:space="preserve"> affecting </w:t>
      </w:r>
      <w:r w:rsidR="001D0C6F">
        <w:t xml:space="preserve">information </w:t>
      </w:r>
      <w:r w:rsidR="006E76CC" w:rsidRPr="006E76CC">
        <w:rPr>
          <w:b/>
          <w:bCs/>
        </w:rPr>
        <w:t>availability</w:t>
      </w:r>
      <w:r w:rsidR="001D0C6F">
        <w:t xml:space="preserve"> </w:t>
      </w:r>
      <w:r w:rsidR="00A3335E">
        <w:t>(</w:t>
      </w:r>
      <w:r w:rsidR="00A3335E" w:rsidRPr="008011F9">
        <w:rPr>
          <w:b/>
          <w:bCs/>
        </w:rPr>
        <w:t>31</w:t>
      </w:r>
      <w:r w:rsidR="00A3335E">
        <w:t>)</w:t>
      </w:r>
      <w:r w:rsidR="006E76CC">
        <w:t xml:space="preserve"> </w:t>
      </w:r>
      <w:r w:rsidR="00A3335E">
        <w:t xml:space="preserve">compared with 21 in the </w:t>
      </w:r>
      <w:r>
        <w:t>previous notification</w:t>
      </w:r>
      <w:r w:rsidR="00005204">
        <w:t xml:space="preserve"> </w:t>
      </w:r>
      <w:r w:rsidR="00626B7E" w:rsidRPr="00626B7E">
        <w:t>period</w:t>
      </w:r>
      <w:r w:rsidR="00A6671C" w:rsidRPr="001949C1">
        <w:t>.</w:t>
      </w:r>
      <w:bookmarkEnd w:id="2"/>
      <w:r w:rsidR="00027FFE">
        <w:t xml:space="preserve"> </w:t>
      </w:r>
      <w:r w:rsidR="00842F68">
        <w:t>For example:</w:t>
      </w:r>
    </w:p>
    <w:p w14:paraId="01D73D37" w14:textId="37AD61C4" w:rsidR="00842F68" w:rsidRDefault="00842F68" w:rsidP="00842F68">
      <w:pPr>
        <w:pStyle w:val="ListParagraph"/>
        <w:numPr>
          <w:ilvl w:val="0"/>
          <w:numId w:val="48"/>
        </w:numPr>
      </w:pPr>
      <w:r>
        <w:t>i</w:t>
      </w:r>
      <w:r w:rsidRPr="00842F68">
        <w:t>nadvertent deletion of emails in system</w:t>
      </w:r>
    </w:p>
    <w:p w14:paraId="7033A878" w14:textId="6249AB4D" w:rsidR="00842F68" w:rsidRDefault="00842F68" w:rsidP="00842F68">
      <w:pPr>
        <w:pStyle w:val="ListParagraph"/>
        <w:numPr>
          <w:ilvl w:val="0"/>
          <w:numId w:val="48"/>
        </w:numPr>
      </w:pPr>
      <w:r>
        <w:t>lost book</w:t>
      </w:r>
    </w:p>
    <w:p w14:paraId="557F4B52" w14:textId="06DDC42F" w:rsidR="00842F68" w:rsidRDefault="00A5512E" w:rsidP="00842F68">
      <w:pPr>
        <w:pStyle w:val="ListParagraph"/>
        <w:numPr>
          <w:ilvl w:val="0"/>
          <w:numId w:val="48"/>
        </w:numPr>
      </w:pPr>
      <w:r>
        <w:t xml:space="preserve">Westpac </w:t>
      </w:r>
      <w:r w:rsidR="005F4460">
        <w:t xml:space="preserve">financial services </w:t>
      </w:r>
      <w:r>
        <w:t>outage</w:t>
      </w:r>
    </w:p>
    <w:p w14:paraId="1D733C2E" w14:textId="07B44103" w:rsidR="00A5512E" w:rsidRDefault="00A5512E" w:rsidP="00842F68">
      <w:pPr>
        <w:pStyle w:val="ListParagraph"/>
        <w:numPr>
          <w:ilvl w:val="0"/>
          <w:numId w:val="48"/>
        </w:numPr>
      </w:pPr>
      <w:r>
        <w:t xml:space="preserve">Australia Post </w:t>
      </w:r>
      <w:r w:rsidR="005F4460">
        <w:t xml:space="preserve">mail </w:t>
      </w:r>
      <w:r>
        <w:t>break-in</w:t>
      </w:r>
      <w:r w:rsidR="001D0C6F">
        <w:t>.</w:t>
      </w:r>
    </w:p>
    <w:p w14:paraId="2EB6C6F1" w14:textId="6585E1AF" w:rsidR="00843734" w:rsidRPr="00027FFE" w:rsidRDefault="00843734" w:rsidP="00A6671C">
      <w:r w:rsidRPr="00027FFE">
        <w:lastRenderedPageBreak/>
        <w:t>Unauthorised disclosure (</w:t>
      </w:r>
      <w:r w:rsidRPr="00027FFE">
        <w:rPr>
          <w:b/>
          <w:bCs/>
        </w:rPr>
        <w:t>confidentiality</w:t>
      </w:r>
      <w:r w:rsidRPr="00027FFE">
        <w:t xml:space="preserve">) of public sector information regardless of information format (hard copy, electronic, verbal) continues to dominate the incidents for this period accounting for </w:t>
      </w:r>
      <w:r w:rsidR="00EB52DE" w:rsidRPr="00027FFE">
        <w:rPr>
          <w:b/>
          <w:bCs/>
        </w:rPr>
        <w:t>9</w:t>
      </w:r>
      <w:r w:rsidR="00EF0E4B" w:rsidRPr="00027FFE">
        <w:rPr>
          <w:b/>
          <w:bCs/>
        </w:rPr>
        <w:t>2</w:t>
      </w:r>
      <w:r w:rsidRPr="00027FFE">
        <w:rPr>
          <w:b/>
          <w:bCs/>
        </w:rPr>
        <w:t>%</w:t>
      </w:r>
      <w:r w:rsidRPr="00027FFE">
        <w:t>.</w:t>
      </w:r>
    </w:p>
    <w:p w14:paraId="5CD3971B" w14:textId="32249E01" w:rsidR="0075052C" w:rsidRDefault="00E74B5C" w:rsidP="0040757A">
      <w:r>
        <w:t xml:space="preserve">There were </w:t>
      </w:r>
      <w:r w:rsidR="00381D78">
        <w:rPr>
          <w:b/>
          <w:bCs/>
        </w:rPr>
        <w:t>14</w:t>
      </w:r>
      <w:r w:rsidR="0034140F">
        <w:t xml:space="preserve"> </w:t>
      </w:r>
      <w:r w:rsidR="000F2411">
        <w:t xml:space="preserve">incidents </w:t>
      </w:r>
      <w:r w:rsidR="00281FC3">
        <w:t>affecting</w:t>
      </w:r>
      <w:r w:rsidR="00444247">
        <w:t xml:space="preserve"> all </w:t>
      </w:r>
      <w:r w:rsidR="00776B1C">
        <w:t xml:space="preserve">3 </w:t>
      </w:r>
      <w:r w:rsidR="00444247">
        <w:t>security attributes (</w:t>
      </w:r>
      <w:r w:rsidR="00281FC3" w:rsidRPr="00D35690">
        <w:rPr>
          <w:b/>
          <w:bCs/>
        </w:rPr>
        <w:t xml:space="preserve">confidentiality, integrity </w:t>
      </w:r>
      <w:r w:rsidR="00281FC3" w:rsidRPr="00D35690">
        <w:t>and</w:t>
      </w:r>
      <w:r w:rsidR="00281FC3" w:rsidRPr="00D35690">
        <w:rPr>
          <w:b/>
          <w:bCs/>
        </w:rPr>
        <w:t xml:space="preserve"> availability</w:t>
      </w:r>
      <w:r w:rsidR="00444247" w:rsidRPr="004B63C8">
        <w:t>)</w:t>
      </w:r>
      <w:r w:rsidR="00281FC3">
        <w:t xml:space="preserve"> </w:t>
      </w:r>
      <w:r w:rsidR="00D35690">
        <w:t>of information</w:t>
      </w:r>
      <w:r w:rsidR="00381D78">
        <w:t xml:space="preserve"> compared to 9 </w:t>
      </w:r>
      <w:r w:rsidR="008A4A34">
        <w:t>in the previous notification period</w:t>
      </w:r>
      <w:r w:rsidR="004A0AD7">
        <w:t>. For example:</w:t>
      </w:r>
    </w:p>
    <w:p w14:paraId="4DA52FE9" w14:textId="5A7BC023" w:rsidR="004A0AD7" w:rsidRDefault="00FA6656" w:rsidP="004A0AD7">
      <w:pPr>
        <w:pStyle w:val="ListParagraph"/>
        <w:numPr>
          <w:ilvl w:val="0"/>
          <w:numId w:val="40"/>
        </w:numPr>
      </w:pPr>
      <w:r>
        <w:t>e</w:t>
      </w:r>
      <w:r w:rsidR="008C71CB">
        <w:t xml:space="preserve">mployee provided with their </w:t>
      </w:r>
      <w:r w:rsidR="000979F8">
        <w:t>personnel file</w:t>
      </w:r>
      <w:r w:rsidR="008C71CB">
        <w:t xml:space="preserve"> which contained documents </w:t>
      </w:r>
      <w:r>
        <w:t>relating to someone else</w:t>
      </w:r>
    </w:p>
    <w:p w14:paraId="2210D1B8" w14:textId="112224DA" w:rsidR="00D703F1" w:rsidRDefault="002735FC" w:rsidP="004A0AD7">
      <w:pPr>
        <w:pStyle w:val="ListParagraph"/>
        <w:numPr>
          <w:ilvl w:val="0"/>
          <w:numId w:val="40"/>
        </w:numPr>
      </w:pPr>
      <w:r>
        <w:t>p</w:t>
      </w:r>
      <w:r w:rsidRPr="002735FC">
        <w:t>ersonal email address of committee members published</w:t>
      </w:r>
      <w:r>
        <w:t xml:space="preserve"> in error</w:t>
      </w:r>
    </w:p>
    <w:p w14:paraId="6CA53B5B" w14:textId="2796E04E" w:rsidR="00847090" w:rsidRPr="0040757A" w:rsidRDefault="00D82792" w:rsidP="004A0AD7">
      <w:pPr>
        <w:pStyle w:val="ListParagraph"/>
        <w:numPr>
          <w:ilvl w:val="0"/>
          <w:numId w:val="40"/>
        </w:numPr>
      </w:pPr>
      <w:r>
        <w:t>m</w:t>
      </w:r>
      <w:r w:rsidR="006D487D" w:rsidRPr="006D487D">
        <w:t xml:space="preserve">alfunctioning system workflow sent client referrals to </w:t>
      </w:r>
      <w:r w:rsidR="003F03AA">
        <w:t xml:space="preserve">incorrect </w:t>
      </w:r>
      <w:r w:rsidR="006D487D" w:rsidRPr="006D487D">
        <w:t>third party</w:t>
      </w:r>
      <w:r w:rsidR="003038DE">
        <w:t>.</w:t>
      </w:r>
    </w:p>
    <w:p w14:paraId="5C365970" w14:textId="77777777" w:rsidR="00844C5F" w:rsidRDefault="00844C5F">
      <w:pPr>
        <w:spacing w:before="0" w:after="160" w:line="259" w:lineRule="auto"/>
        <w:rPr>
          <w:rFonts w:eastAsiaTheme="majorEastAsia" w:cstheme="majorBidi"/>
          <w:color w:val="430098" w:themeColor="text2"/>
          <w:sz w:val="30"/>
          <w:szCs w:val="26"/>
        </w:rPr>
      </w:pPr>
      <w:r>
        <w:br w:type="page"/>
      </w:r>
    </w:p>
    <w:p w14:paraId="61B5078D" w14:textId="31C6C5F7" w:rsidR="00A6671C" w:rsidRDefault="00A6671C" w:rsidP="00FA1B6A">
      <w:pPr>
        <w:pStyle w:val="Heading2"/>
      </w:pPr>
      <w:r w:rsidRPr="000D528B">
        <w:lastRenderedPageBreak/>
        <w:t xml:space="preserve">Control area(s) </w:t>
      </w:r>
      <w:r w:rsidRPr="0058357D">
        <w:t>affected (</w:t>
      </w:r>
      <w:r w:rsidR="00822F35">
        <w:t>m</w:t>
      </w:r>
      <w:r w:rsidR="00822F35" w:rsidRPr="0058357D">
        <w:t xml:space="preserve">ultiple </w:t>
      </w:r>
      <w:r w:rsidRPr="0058357D">
        <w:t>options can</w:t>
      </w:r>
      <w:r w:rsidRPr="000D528B">
        <w:t xml:space="preserve"> be selected)</w:t>
      </w:r>
    </w:p>
    <w:p w14:paraId="23B560A5" w14:textId="00494F72" w:rsidR="00735D45" w:rsidRDefault="00735D45" w:rsidP="00B864B5">
      <w:pPr>
        <w:jc w:val="center"/>
      </w:pPr>
      <w:r>
        <w:rPr>
          <w:noProof/>
        </w:rPr>
        <w:drawing>
          <wp:inline distT="0" distB="0" distL="0" distR="0" wp14:anchorId="1779700E" wp14:editId="22B8B020">
            <wp:extent cx="3717561" cy="3200400"/>
            <wp:effectExtent l="0" t="0" r="3810" b="0"/>
            <wp:docPr id="194354736"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C97FDDB" w14:textId="44A42A18" w:rsidR="00A4119B" w:rsidRDefault="00A4119B" w:rsidP="00AC47F1">
      <w:pPr>
        <w:pStyle w:val="Heading3"/>
      </w:pPr>
      <w:r>
        <w:t>Insights:</w:t>
      </w:r>
    </w:p>
    <w:p w14:paraId="72033D2B" w14:textId="77777777" w:rsidR="005A1388" w:rsidRDefault="00A4119B" w:rsidP="0097657C">
      <w:r w:rsidRPr="00A4119B">
        <w:t>The key causal factors for security incidents remain</w:t>
      </w:r>
      <w:r w:rsidR="00053D74">
        <w:t xml:space="preserve"> as</w:t>
      </w:r>
      <w:r w:rsidR="00BC1B87">
        <w:t xml:space="preserve"> </w:t>
      </w:r>
      <w:r w:rsidRPr="00E8732A">
        <w:rPr>
          <w:b/>
          <w:bCs/>
        </w:rPr>
        <w:t>people</w:t>
      </w:r>
      <w:r w:rsidRPr="004556DC">
        <w:t xml:space="preserve">, </w:t>
      </w:r>
      <w:r w:rsidRPr="00E8732A">
        <w:rPr>
          <w:b/>
          <w:bCs/>
        </w:rPr>
        <w:t>internal</w:t>
      </w:r>
      <w:r w:rsidRPr="004556DC">
        <w:t xml:space="preserve">, and </w:t>
      </w:r>
      <w:r w:rsidRPr="00E8732A">
        <w:rPr>
          <w:b/>
          <w:bCs/>
        </w:rPr>
        <w:t>accidental</w:t>
      </w:r>
      <w:r w:rsidR="003B116E">
        <w:t xml:space="preserve">. </w:t>
      </w:r>
    </w:p>
    <w:p w14:paraId="41EDB4D5" w14:textId="710E03A0" w:rsidR="00802BAC" w:rsidRDefault="00802BAC" w:rsidP="0097657C">
      <w:r w:rsidRPr="00F33262">
        <w:t xml:space="preserve">This </w:t>
      </w:r>
      <w:r>
        <w:t>notification</w:t>
      </w:r>
      <w:r w:rsidRPr="00F33262">
        <w:t xml:space="preserve"> period </w:t>
      </w:r>
      <w:r w:rsidR="00D42A3B">
        <w:t xml:space="preserve">saw </w:t>
      </w:r>
      <w:r>
        <w:t>an increase in the</w:t>
      </w:r>
      <w:r w:rsidRPr="00F33262">
        <w:t xml:space="preserve"> percentage of incidents caused by </w:t>
      </w:r>
      <w:r w:rsidRPr="00F33262">
        <w:rPr>
          <w:b/>
          <w:bCs/>
        </w:rPr>
        <w:t>people</w:t>
      </w:r>
      <w:r w:rsidRPr="00F33262">
        <w:t xml:space="preserve"> (</w:t>
      </w:r>
      <w:r w:rsidRPr="00B30B66">
        <w:rPr>
          <w:b/>
          <w:bCs/>
        </w:rPr>
        <w:t>84</w:t>
      </w:r>
      <w:r w:rsidRPr="00F33262">
        <w:rPr>
          <w:b/>
          <w:bCs/>
        </w:rPr>
        <w:t>%</w:t>
      </w:r>
      <w:r w:rsidRPr="00F33262">
        <w:t xml:space="preserve">) </w:t>
      </w:r>
      <w:r>
        <w:t xml:space="preserve">compared with </w:t>
      </w:r>
      <w:r w:rsidRPr="00F33262">
        <w:t xml:space="preserve">the previous </w:t>
      </w:r>
      <w:r>
        <w:t>notification</w:t>
      </w:r>
      <w:r w:rsidRPr="00F33262">
        <w:t xml:space="preserve"> period</w:t>
      </w:r>
      <w:r>
        <w:t xml:space="preserve"> (67</w:t>
      </w:r>
      <w:r w:rsidRPr="00711D56">
        <w:t>%</w:t>
      </w:r>
      <w:r>
        <w:t>)</w:t>
      </w:r>
      <w:r w:rsidRPr="00F33262">
        <w:t xml:space="preserve">. </w:t>
      </w:r>
    </w:p>
    <w:p w14:paraId="46A76947" w14:textId="135647D9" w:rsidR="00A4119B" w:rsidRDefault="006026BF" w:rsidP="0097657C">
      <w:r>
        <w:t>M</w:t>
      </w:r>
      <w:r w:rsidR="007153BB" w:rsidRPr="007153BB">
        <w:t xml:space="preserve">ail </w:t>
      </w:r>
      <w:r w:rsidR="0064006B">
        <w:t>errors</w:t>
      </w:r>
      <w:r w:rsidR="00466C56">
        <w:t>,</w:t>
      </w:r>
      <w:r w:rsidR="007153BB" w:rsidRPr="007153BB">
        <w:t xml:space="preserve"> whether it is postal mail or email</w:t>
      </w:r>
      <w:r w:rsidR="00466C56">
        <w:t>,</w:t>
      </w:r>
      <w:r w:rsidR="00B0231B">
        <w:t xml:space="preserve"> </w:t>
      </w:r>
      <w:r w:rsidR="008642EA">
        <w:t xml:space="preserve">accounted for </w:t>
      </w:r>
      <w:r w:rsidR="004B1321" w:rsidRPr="004B1321">
        <w:rPr>
          <w:b/>
          <w:bCs/>
        </w:rPr>
        <w:t>6</w:t>
      </w:r>
      <w:r w:rsidR="00484003">
        <w:rPr>
          <w:b/>
          <w:bCs/>
        </w:rPr>
        <w:t>8</w:t>
      </w:r>
      <w:r w:rsidR="007153BB" w:rsidRPr="004B1321">
        <w:rPr>
          <w:b/>
          <w:bCs/>
        </w:rPr>
        <w:t>%</w:t>
      </w:r>
      <w:r w:rsidR="00B0231B" w:rsidRPr="00B0231B">
        <w:t xml:space="preserve"> of incidents received this notification period.</w:t>
      </w:r>
      <w:r w:rsidR="00554F9F">
        <w:t xml:space="preserve"> </w:t>
      </w:r>
      <w:r w:rsidR="00A35150">
        <w:t>The</w:t>
      </w:r>
      <w:r w:rsidR="009B5D06">
        <w:t>re</w:t>
      </w:r>
      <w:r w:rsidR="00A35150">
        <w:t xml:space="preserve"> were </w:t>
      </w:r>
      <w:r w:rsidR="00A35150" w:rsidRPr="009417DF">
        <w:rPr>
          <w:b/>
          <w:bCs/>
        </w:rPr>
        <w:t>11</w:t>
      </w:r>
      <w:r w:rsidR="00A35150">
        <w:t xml:space="preserve"> incidents related to SMS</w:t>
      </w:r>
      <w:r w:rsidR="00CA2AEE">
        <w:t xml:space="preserve"> </w:t>
      </w:r>
      <w:r w:rsidR="0014446C">
        <w:t xml:space="preserve">errors </w:t>
      </w:r>
      <w:r w:rsidR="00371163">
        <w:t xml:space="preserve">(incorrect recipient or incorrect information) </w:t>
      </w:r>
      <w:r w:rsidR="00CA2AEE">
        <w:t>compare</w:t>
      </w:r>
      <w:r w:rsidR="0014446C">
        <w:t xml:space="preserve">d </w:t>
      </w:r>
      <w:r w:rsidR="008809C0">
        <w:t>with</w:t>
      </w:r>
      <w:r w:rsidR="0014446C">
        <w:t xml:space="preserve"> the previous notification period (9).</w:t>
      </w:r>
    </w:p>
    <w:p w14:paraId="3BD31A31" w14:textId="216E873D" w:rsidR="009759F2" w:rsidRDefault="00C60623" w:rsidP="00A6671C">
      <w:r>
        <w:t xml:space="preserve">There was </w:t>
      </w:r>
      <w:r w:rsidR="00371163">
        <w:t>a</w:t>
      </w:r>
      <w:r w:rsidR="00781A33">
        <w:t xml:space="preserve"> </w:t>
      </w:r>
      <w:r w:rsidR="00371163">
        <w:t>de</w:t>
      </w:r>
      <w:r w:rsidR="00781A33">
        <w:t>crease</w:t>
      </w:r>
      <w:r>
        <w:t xml:space="preserve"> in </w:t>
      </w:r>
      <w:r w:rsidR="00A6671C" w:rsidRPr="00F33262">
        <w:rPr>
          <w:b/>
          <w:bCs/>
        </w:rPr>
        <w:t>process</w:t>
      </w:r>
      <w:r w:rsidR="005F6672">
        <w:rPr>
          <w:b/>
          <w:bCs/>
        </w:rPr>
        <w:t>-</w:t>
      </w:r>
      <w:r w:rsidR="00AD2098">
        <w:t>related incidents</w:t>
      </w:r>
      <w:r w:rsidR="005F6672">
        <w:t xml:space="preserve"> </w:t>
      </w:r>
      <w:r w:rsidR="005F6672" w:rsidRPr="00F33262">
        <w:t>(</w:t>
      </w:r>
      <w:r w:rsidR="005F6672">
        <w:rPr>
          <w:b/>
          <w:bCs/>
        </w:rPr>
        <w:t>119</w:t>
      </w:r>
      <w:r w:rsidR="005F6672" w:rsidRPr="00F33262">
        <w:t>)</w:t>
      </w:r>
      <w:r w:rsidR="00F33262" w:rsidRPr="00F33262">
        <w:rPr>
          <w:b/>
          <w:bCs/>
        </w:rPr>
        <w:t xml:space="preserve"> </w:t>
      </w:r>
      <w:r w:rsidRPr="00C60623">
        <w:t xml:space="preserve">compared to the </w:t>
      </w:r>
      <w:r w:rsidR="006B77DB">
        <w:t>previous</w:t>
      </w:r>
      <w:r w:rsidRPr="00C60623">
        <w:t xml:space="preserve"> notification period (</w:t>
      </w:r>
      <w:r w:rsidR="000B21EF">
        <w:t>232</w:t>
      </w:r>
      <w:r w:rsidRPr="00C60623">
        <w:t>)</w:t>
      </w:r>
      <w:r>
        <w:t xml:space="preserve"> </w:t>
      </w:r>
      <w:r w:rsidR="00BA3614">
        <w:t>as well as</w:t>
      </w:r>
      <w:r>
        <w:t xml:space="preserve"> </w:t>
      </w:r>
      <w:r w:rsidR="00F33262" w:rsidRPr="00F33262">
        <w:rPr>
          <w:b/>
          <w:bCs/>
        </w:rPr>
        <w:t>technology</w:t>
      </w:r>
      <w:r w:rsidR="005F6672">
        <w:rPr>
          <w:b/>
          <w:bCs/>
        </w:rPr>
        <w:t>-</w:t>
      </w:r>
      <w:r w:rsidR="00DD2867">
        <w:t xml:space="preserve">related incidents </w:t>
      </w:r>
      <w:r w:rsidR="005F6672" w:rsidRPr="00F33262">
        <w:t>(</w:t>
      </w:r>
      <w:r w:rsidR="005F6672">
        <w:rPr>
          <w:b/>
          <w:bCs/>
        </w:rPr>
        <w:t>82</w:t>
      </w:r>
      <w:r w:rsidR="005F6672" w:rsidRPr="00F33262">
        <w:t>)</w:t>
      </w:r>
      <w:r w:rsidR="005F6672">
        <w:t xml:space="preserve"> </w:t>
      </w:r>
      <w:r w:rsidR="005718A6">
        <w:t>c</w:t>
      </w:r>
      <w:r w:rsidR="005718A6" w:rsidRPr="00C60623">
        <w:t xml:space="preserve">ompared to the </w:t>
      </w:r>
      <w:r w:rsidR="006B77DB">
        <w:t>previous</w:t>
      </w:r>
      <w:r w:rsidR="005718A6" w:rsidRPr="00C60623">
        <w:t xml:space="preserve"> notification period </w:t>
      </w:r>
      <w:r w:rsidR="00396679">
        <w:t>(</w:t>
      </w:r>
      <w:r w:rsidR="000B21EF">
        <w:t>204</w:t>
      </w:r>
      <w:r w:rsidR="00396679">
        <w:t>)</w:t>
      </w:r>
      <w:r w:rsidR="00A6671C" w:rsidRPr="00B625EA">
        <w:t xml:space="preserve">. </w:t>
      </w:r>
      <w:r w:rsidR="006B77DB">
        <w:t xml:space="preserve">This </w:t>
      </w:r>
      <w:r w:rsidR="00F6587C">
        <w:t>is</w:t>
      </w:r>
      <w:r w:rsidR="006B77DB">
        <w:t xml:space="preserve"> because most of the process and technology incidents from the last few notification periods have come from </w:t>
      </w:r>
      <w:r w:rsidR="006B77DB" w:rsidRPr="00273224">
        <w:t>GWW</w:t>
      </w:r>
      <w:r w:rsidR="00515D41">
        <w:t>’s</w:t>
      </w:r>
      <w:r w:rsidR="006B77DB">
        <w:t xml:space="preserve"> </w:t>
      </w:r>
      <w:r w:rsidR="006B77DB" w:rsidRPr="00273224">
        <w:t xml:space="preserve">data quality issues they </w:t>
      </w:r>
      <w:r w:rsidR="00DE216C">
        <w:t>experienced</w:t>
      </w:r>
      <w:r w:rsidR="006B77DB" w:rsidRPr="00273224">
        <w:t xml:space="preserve"> during their billing system upgrade project</w:t>
      </w:r>
      <w:r w:rsidR="006B77DB">
        <w:t xml:space="preserve">. GWW stopped their regular monthly reporting to OVIC in October as they resumed normal operations. OVIC expects process and technology incidents to restore to similar </w:t>
      </w:r>
      <w:r w:rsidR="006B77DB" w:rsidRPr="00882079">
        <w:t>numbers that were reported prior to the GWW billing and payment system migration</w:t>
      </w:r>
      <w:r w:rsidR="000E0944">
        <w:t xml:space="preserve"> incident</w:t>
      </w:r>
      <w:r w:rsidR="006B77DB" w:rsidRPr="00882079">
        <w:t>.</w:t>
      </w:r>
      <w:r w:rsidR="00D41294">
        <w:t xml:space="preserve"> </w:t>
      </w:r>
    </w:p>
    <w:p w14:paraId="2CA0AA29" w14:textId="1A641D41" w:rsidR="009759F2" w:rsidRDefault="009759F2" w:rsidP="009759F2">
      <w:r w:rsidRPr="00B625EA">
        <w:t xml:space="preserve">There were </w:t>
      </w:r>
      <w:r w:rsidR="00B1030C" w:rsidRPr="00B1030C">
        <w:rPr>
          <w:b/>
          <w:bCs/>
        </w:rPr>
        <w:t>13</w:t>
      </w:r>
      <w:r w:rsidRPr="00B625EA">
        <w:t xml:space="preserve"> </w:t>
      </w:r>
      <w:r>
        <w:t>incidents related to</w:t>
      </w:r>
      <w:r w:rsidRPr="00B625EA">
        <w:t xml:space="preserve"> </w:t>
      </w:r>
      <w:r w:rsidRPr="00B625EA">
        <w:rPr>
          <w:b/>
          <w:bCs/>
        </w:rPr>
        <w:t>process</w:t>
      </w:r>
      <w:r w:rsidRPr="00B625EA">
        <w:t xml:space="preserve"> on</w:t>
      </w:r>
      <w:r>
        <w:t>ly</w:t>
      </w:r>
      <w:r w:rsidRPr="00B625EA">
        <w:t xml:space="preserve"> and </w:t>
      </w:r>
      <w:r w:rsidR="00B1030C">
        <w:rPr>
          <w:b/>
          <w:bCs/>
        </w:rPr>
        <w:t>9</w:t>
      </w:r>
      <w:r w:rsidRPr="00B625EA">
        <w:t xml:space="preserve"> </w:t>
      </w:r>
      <w:r>
        <w:t>incidents related to</w:t>
      </w:r>
      <w:r w:rsidRPr="00B625EA">
        <w:t xml:space="preserve"> </w:t>
      </w:r>
      <w:r w:rsidRPr="00B625EA">
        <w:rPr>
          <w:b/>
          <w:bCs/>
        </w:rPr>
        <w:t>technology</w:t>
      </w:r>
      <w:r w:rsidRPr="00B625EA">
        <w:t xml:space="preserve"> on</w:t>
      </w:r>
      <w:r>
        <w:t>ly</w:t>
      </w:r>
      <w:r w:rsidRPr="00B625EA">
        <w:t xml:space="preserve"> as </w:t>
      </w:r>
      <w:r>
        <w:t>the</w:t>
      </w:r>
      <w:r w:rsidRPr="00B625EA">
        <w:t xml:space="preserve"> cause of </w:t>
      </w:r>
      <w:r>
        <w:t>the</w:t>
      </w:r>
      <w:r w:rsidRPr="00B625EA">
        <w:t xml:space="preserve"> incident</w:t>
      </w:r>
      <w:r w:rsidR="0054610C">
        <w:t xml:space="preserve"> without other controls areas being </w:t>
      </w:r>
      <w:r w:rsidR="00CC1C86">
        <w:t>involved</w:t>
      </w:r>
      <w:r w:rsidRPr="00B625EA">
        <w:t>.</w:t>
      </w:r>
      <w:r>
        <w:t xml:space="preserve"> Examples of process-related incidents include:</w:t>
      </w:r>
    </w:p>
    <w:p w14:paraId="3E0F1921" w14:textId="315600D8" w:rsidR="009759F2" w:rsidRDefault="009759F2" w:rsidP="009759F2">
      <w:pPr>
        <w:pStyle w:val="ListParagraph"/>
        <w:numPr>
          <w:ilvl w:val="0"/>
          <w:numId w:val="43"/>
        </w:numPr>
      </w:pPr>
      <w:r>
        <w:t xml:space="preserve">process not followed when </w:t>
      </w:r>
      <w:r w:rsidR="00B9400A">
        <w:t xml:space="preserve">publishing </w:t>
      </w:r>
      <w:r w:rsidR="009B7F58">
        <w:t>website content</w:t>
      </w:r>
      <w:r w:rsidRPr="00CB19A6">
        <w:t xml:space="preserve"> leading to unauthorised disclosure</w:t>
      </w:r>
      <w:r w:rsidR="009B7F58">
        <w:t xml:space="preserve"> of email addresses</w:t>
      </w:r>
    </w:p>
    <w:p w14:paraId="6BFCF920" w14:textId="561E13A1" w:rsidR="009B7F58" w:rsidRDefault="00CA07C2" w:rsidP="009759F2">
      <w:pPr>
        <w:pStyle w:val="ListParagraph"/>
        <w:numPr>
          <w:ilvl w:val="0"/>
          <w:numId w:val="43"/>
        </w:numPr>
      </w:pPr>
      <w:r>
        <w:lastRenderedPageBreak/>
        <w:t>process not followed when granting permissions to a mailbox</w:t>
      </w:r>
    </w:p>
    <w:p w14:paraId="64A26CC8" w14:textId="3265A723" w:rsidR="00760CD5" w:rsidRDefault="00760CD5" w:rsidP="009759F2">
      <w:pPr>
        <w:pStyle w:val="ListParagraph"/>
        <w:numPr>
          <w:ilvl w:val="0"/>
          <w:numId w:val="43"/>
        </w:numPr>
      </w:pPr>
      <w:r>
        <w:t>verification process not followed leading to disclosure of information to the incorrect person</w:t>
      </w:r>
      <w:r w:rsidR="00984379">
        <w:t>.</w:t>
      </w:r>
    </w:p>
    <w:p w14:paraId="4365ABD5" w14:textId="0F487044" w:rsidR="00A6671C" w:rsidRDefault="00A04C0D" w:rsidP="00A6671C">
      <w:r>
        <w:t>E</w:t>
      </w:r>
      <w:r w:rsidR="00D41294">
        <w:t>xamples of technology</w:t>
      </w:r>
      <w:r w:rsidR="00CC1C86">
        <w:t>-</w:t>
      </w:r>
      <w:r w:rsidR="00D41294">
        <w:t>related incidents include</w:t>
      </w:r>
      <w:r w:rsidR="005E09D2">
        <w:t>:</w:t>
      </w:r>
    </w:p>
    <w:p w14:paraId="2A8A399F" w14:textId="138398A4" w:rsidR="005E09D2" w:rsidRDefault="00361222" w:rsidP="005E09D2">
      <w:pPr>
        <w:pStyle w:val="ListParagraph"/>
        <w:numPr>
          <w:ilvl w:val="0"/>
          <w:numId w:val="49"/>
        </w:numPr>
      </w:pPr>
      <w:r>
        <w:t>u</w:t>
      </w:r>
      <w:r w:rsidRPr="00361222">
        <w:t>nauthorised disclosure of complaint information on online form due to caching</w:t>
      </w:r>
    </w:p>
    <w:p w14:paraId="604C7DAA" w14:textId="4576C911" w:rsidR="00361222" w:rsidRDefault="00361222" w:rsidP="005E09D2">
      <w:pPr>
        <w:pStyle w:val="ListParagraph"/>
        <w:numPr>
          <w:ilvl w:val="0"/>
          <w:numId w:val="49"/>
        </w:numPr>
      </w:pPr>
      <w:hyperlink r:id="rId19" w:history="1">
        <w:r w:rsidRPr="00FA0916">
          <w:rPr>
            <w:rStyle w:val="Hyperlink"/>
          </w:rPr>
          <w:t>supply chain attack</w:t>
        </w:r>
      </w:hyperlink>
      <w:r w:rsidRPr="00361222">
        <w:t xml:space="preserve"> using </w:t>
      </w:r>
      <w:r w:rsidR="00BF744D">
        <w:t>c</w:t>
      </w:r>
      <w:r w:rsidRPr="00361222">
        <w:t xml:space="preserve">ompromised </w:t>
      </w:r>
      <w:proofErr w:type="spellStart"/>
      <w:r w:rsidRPr="00361222">
        <w:t>Salesloft</w:t>
      </w:r>
      <w:proofErr w:type="spellEnd"/>
      <w:r w:rsidRPr="00361222">
        <w:t xml:space="preserve"> OAuth tokens to access and exfiltrate data from </w:t>
      </w:r>
      <w:r w:rsidR="002A3260">
        <w:t>Drift/</w:t>
      </w:r>
      <w:r w:rsidRPr="00361222">
        <w:t>Salesforce tenant</w:t>
      </w:r>
      <w:r w:rsidR="00E52DFB">
        <w:t>(s)</w:t>
      </w:r>
    </w:p>
    <w:p w14:paraId="3C239D1B" w14:textId="623C1832" w:rsidR="00BF744D" w:rsidRPr="006628E5" w:rsidRDefault="00D246D5" w:rsidP="005E09D2">
      <w:pPr>
        <w:pStyle w:val="ListParagraph"/>
        <w:numPr>
          <w:ilvl w:val="0"/>
          <w:numId w:val="49"/>
        </w:numPr>
      </w:pPr>
      <w:r w:rsidRPr="006628E5">
        <w:t>sensitive information ended up in a public SharePoint site due to an IT syncing error</w:t>
      </w:r>
      <w:r w:rsidR="00984379">
        <w:t>.</w:t>
      </w:r>
    </w:p>
    <w:p w14:paraId="0EF909E8" w14:textId="75F3CAAE" w:rsidR="00BA16F1" w:rsidRDefault="00BA16F1" w:rsidP="0015730E">
      <w:r w:rsidRPr="006628E5">
        <w:t xml:space="preserve">Like the previous notification period, there were </w:t>
      </w:r>
      <w:r w:rsidRPr="006628E5">
        <w:rPr>
          <w:b/>
          <w:bCs/>
        </w:rPr>
        <w:t>12</w:t>
      </w:r>
      <w:r w:rsidRPr="006628E5">
        <w:t xml:space="preserve"> notifications where </w:t>
      </w:r>
      <w:r w:rsidRPr="006628E5">
        <w:rPr>
          <w:b/>
          <w:bCs/>
        </w:rPr>
        <w:t>no control(s) in place</w:t>
      </w:r>
      <w:r w:rsidRPr="006628E5">
        <w:t xml:space="preserve"> was </w:t>
      </w:r>
      <w:r w:rsidR="00E52DFB">
        <w:t>the cause of the incident</w:t>
      </w:r>
      <w:r w:rsidRPr="006628E5">
        <w:t>.</w:t>
      </w:r>
      <w:r w:rsidR="006628E5" w:rsidRPr="006628E5">
        <w:t xml:space="preserve"> There were</w:t>
      </w:r>
      <w:r w:rsidR="006628E5" w:rsidRPr="00A33691">
        <w:t xml:space="preserve"> </w:t>
      </w:r>
      <w:r w:rsidR="006628E5">
        <w:rPr>
          <w:b/>
          <w:bCs/>
        </w:rPr>
        <w:t>2</w:t>
      </w:r>
      <w:r w:rsidR="006628E5" w:rsidRPr="00A33691">
        <w:t xml:space="preserve"> </w:t>
      </w:r>
      <w:r w:rsidR="006628E5">
        <w:t xml:space="preserve">incidents </w:t>
      </w:r>
      <w:r w:rsidR="006628E5" w:rsidRPr="00A33691">
        <w:t xml:space="preserve">where the control area affected was </w:t>
      </w:r>
      <w:r w:rsidR="006628E5" w:rsidRPr="00A33691">
        <w:rPr>
          <w:b/>
          <w:bCs/>
        </w:rPr>
        <w:t>unknown</w:t>
      </w:r>
      <w:r w:rsidR="006628E5">
        <w:rPr>
          <w:b/>
          <w:bCs/>
        </w:rPr>
        <w:t>.</w:t>
      </w:r>
    </w:p>
    <w:p w14:paraId="407B09BE" w14:textId="2964B3A9" w:rsidR="00B13BBD" w:rsidRDefault="00E6558F" w:rsidP="004473AC">
      <w:r w:rsidRPr="00CA672B">
        <w:t>Multiple options can be selected for this field.</w:t>
      </w:r>
      <w:r w:rsidRPr="00CC1807">
        <w:t xml:space="preserve"> </w:t>
      </w:r>
      <w:r w:rsidR="008C3D17">
        <w:t xml:space="preserve">There were </w:t>
      </w:r>
      <w:r w:rsidR="008C3D17" w:rsidRPr="008F0DC2">
        <w:rPr>
          <w:b/>
          <w:bCs/>
        </w:rPr>
        <w:t>56</w:t>
      </w:r>
      <w:r w:rsidR="008C3D17">
        <w:t xml:space="preserve"> incidents </w:t>
      </w:r>
      <w:r w:rsidR="00CA19B6">
        <w:t>related to process and technology</w:t>
      </w:r>
      <w:r w:rsidR="001D38E5">
        <w:t xml:space="preserve"> </w:t>
      </w:r>
      <w:r w:rsidR="00AD307A">
        <w:t>control areas</w:t>
      </w:r>
      <w:r w:rsidR="00CA19B6">
        <w:t xml:space="preserve">, for example a system with </w:t>
      </w:r>
      <w:r w:rsidR="00AD307A">
        <w:t xml:space="preserve">an </w:t>
      </w:r>
      <w:r w:rsidR="00CA19B6">
        <w:t>incorrect</w:t>
      </w:r>
      <w:r w:rsidR="00AD307A">
        <w:t>ly saved</w:t>
      </w:r>
      <w:r w:rsidR="00CA19B6">
        <w:t xml:space="preserve"> email address </w:t>
      </w:r>
      <w:r w:rsidR="002613B8">
        <w:t xml:space="preserve">was then </w:t>
      </w:r>
      <w:r w:rsidR="00CA19B6">
        <w:t xml:space="preserve">prefilled </w:t>
      </w:r>
      <w:r w:rsidR="002613B8">
        <w:t xml:space="preserve">into an </w:t>
      </w:r>
      <w:r w:rsidR="00CA19B6">
        <w:t>email</w:t>
      </w:r>
      <w:r w:rsidR="00287A5A">
        <w:t xml:space="preserve"> </w:t>
      </w:r>
      <w:r w:rsidR="00A644AB">
        <w:t>which was sent in e</w:t>
      </w:r>
      <w:r w:rsidR="00756BBE">
        <w:t xml:space="preserve">rror </w:t>
      </w:r>
      <w:r w:rsidR="00287A5A">
        <w:t xml:space="preserve">and </w:t>
      </w:r>
      <w:r w:rsidR="00B13BBD">
        <w:t xml:space="preserve">another example is </w:t>
      </w:r>
      <w:r w:rsidR="00287A5A">
        <w:t xml:space="preserve">a customer account mapping error in </w:t>
      </w:r>
      <w:r w:rsidR="0023688D">
        <w:t>a database</w:t>
      </w:r>
      <w:r w:rsidR="003B6B89">
        <w:t xml:space="preserve"> </w:t>
      </w:r>
      <w:r w:rsidR="00756BBE">
        <w:t xml:space="preserve">that </w:t>
      </w:r>
      <w:r w:rsidR="003B6B89">
        <w:t xml:space="preserve">led to the distribution of </w:t>
      </w:r>
      <w:r w:rsidR="00DF7323">
        <w:t>incorrect notices</w:t>
      </w:r>
      <w:r w:rsidR="00287A5A">
        <w:t xml:space="preserve">. </w:t>
      </w:r>
    </w:p>
    <w:p w14:paraId="3F7126A9" w14:textId="5C90DC9D" w:rsidR="000322C1" w:rsidRDefault="007B497F" w:rsidP="004473AC">
      <w:r>
        <w:t xml:space="preserve">There were </w:t>
      </w:r>
      <w:r w:rsidRPr="00F21F01">
        <w:rPr>
          <w:b/>
          <w:bCs/>
        </w:rPr>
        <w:t>5</w:t>
      </w:r>
      <w:r>
        <w:t xml:space="preserve"> incidents related to </w:t>
      </w:r>
      <w:r w:rsidRPr="00F21F01">
        <w:rPr>
          <w:b/>
          <w:bCs/>
        </w:rPr>
        <w:t xml:space="preserve">people </w:t>
      </w:r>
      <w:r w:rsidRPr="00F80241">
        <w:t>and</w:t>
      </w:r>
      <w:r w:rsidRPr="00F21F01">
        <w:rPr>
          <w:b/>
          <w:bCs/>
        </w:rPr>
        <w:t xml:space="preserve"> no control(s)</w:t>
      </w:r>
      <w:r>
        <w:t xml:space="preserve"> in place</w:t>
      </w:r>
      <w:r w:rsidR="00986B50">
        <w:t>, for example informat</w:t>
      </w:r>
      <w:r w:rsidR="00EF70B4">
        <w:t>i</w:t>
      </w:r>
      <w:r w:rsidR="00986B50">
        <w:t xml:space="preserve">on </w:t>
      </w:r>
      <w:r w:rsidR="00C961DA">
        <w:t>input into</w:t>
      </w:r>
      <w:r w:rsidR="00986B50">
        <w:t xml:space="preserve"> ChatGPT. There were </w:t>
      </w:r>
      <w:r w:rsidR="00986B50" w:rsidRPr="00F21F01">
        <w:rPr>
          <w:b/>
          <w:bCs/>
        </w:rPr>
        <w:t>2</w:t>
      </w:r>
      <w:r w:rsidR="00986B50">
        <w:t xml:space="preserve"> incidents related to </w:t>
      </w:r>
      <w:r w:rsidR="00986B50" w:rsidRPr="00F21F01">
        <w:rPr>
          <w:b/>
          <w:bCs/>
        </w:rPr>
        <w:t>people</w:t>
      </w:r>
      <w:r w:rsidR="00EF70B4" w:rsidRPr="00F21F01">
        <w:rPr>
          <w:b/>
          <w:bCs/>
        </w:rPr>
        <w:t xml:space="preserve">, technology </w:t>
      </w:r>
      <w:r w:rsidR="00EF70B4" w:rsidRPr="00C961DA">
        <w:t>and</w:t>
      </w:r>
      <w:r w:rsidR="00EF70B4" w:rsidRPr="00F21F01">
        <w:rPr>
          <w:b/>
          <w:bCs/>
        </w:rPr>
        <w:t xml:space="preserve"> no control(s) in place</w:t>
      </w:r>
      <w:r w:rsidR="005A2C05">
        <w:t xml:space="preserve"> for example </w:t>
      </w:r>
      <w:r w:rsidR="00F015FE">
        <w:t xml:space="preserve">a </w:t>
      </w:r>
      <w:r w:rsidR="005A2C05">
        <w:t xml:space="preserve">GenAI </w:t>
      </w:r>
      <w:r w:rsidR="00F21F01">
        <w:t>application recorded a meeting.</w:t>
      </w:r>
    </w:p>
    <w:p w14:paraId="49E5C52F" w14:textId="28B17CC8" w:rsidR="009A710C" w:rsidRDefault="00A4119B" w:rsidP="00887E91">
      <w:r w:rsidRPr="00553C23">
        <w:t>There w</w:t>
      </w:r>
      <w:r w:rsidR="00852097">
        <w:t>as</w:t>
      </w:r>
      <w:r w:rsidR="002B25A3">
        <w:t xml:space="preserve"> </w:t>
      </w:r>
      <w:r w:rsidR="003342F5">
        <w:rPr>
          <w:b/>
          <w:bCs/>
        </w:rPr>
        <w:t>one</w:t>
      </w:r>
      <w:r w:rsidR="00C573B9">
        <w:rPr>
          <w:b/>
          <w:bCs/>
        </w:rPr>
        <w:t xml:space="preserve"> </w:t>
      </w:r>
      <w:r w:rsidR="00020961" w:rsidRPr="001A4ABE">
        <w:t xml:space="preserve">incident </w:t>
      </w:r>
      <w:r w:rsidR="00887E91">
        <w:t xml:space="preserve">regarding incorrect folder permissions which </w:t>
      </w:r>
      <w:r w:rsidR="00020961" w:rsidRPr="001A4ABE">
        <w:t>related to</w:t>
      </w:r>
      <w:r w:rsidRPr="001A4ABE">
        <w:t xml:space="preserve"> all control areas</w:t>
      </w:r>
      <w:r w:rsidR="003342F5">
        <w:t>,</w:t>
      </w:r>
      <w:r w:rsidRPr="001A4ABE">
        <w:t xml:space="preserve"> </w:t>
      </w:r>
      <w:r w:rsidRPr="001A4ABE">
        <w:rPr>
          <w:b/>
          <w:bCs/>
        </w:rPr>
        <w:t>people</w:t>
      </w:r>
      <w:r w:rsidRPr="001A4ABE">
        <w:t xml:space="preserve">, </w:t>
      </w:r>
      <w:r w:rsidRPr="001A4ABE">
        <w:rPr>
          <w:b/>
          <w:bCs/>
        </w:rPr>
        <w:t>process</w:t>
      </w:r>
      <w:r w:rsidRPr="001A4ABE">
        <w:t xml:space="preserve">, </w:t>
      </w:r>
      <w:r w:rsidRPr="001A4ABE">
        <w:rPr>
          <w:b/>
          <w:bCs/>
        </w:rPr>
        <w:t>technology</w:t>
      </w:r>
      <w:r w:rsidR="006A3EF5" w:rsidRPr="001A4ABE">
        <w:rPr>
          <w:b/>
          <w:bCs/>
        </w:rPr>
        <w:t xml:space="preserve"> </w:t>
      </w:r>
      <w:r w:rsidR="006A3EF5" w:rsidRPr="001A4ABE">
        <w:t>and</w:t>
      </w:r>
      <w:r w:rsidR="006A3EF5" w:rsidRPr="001A4ABE">
        <w:rPr>
          <w:b/>
          <w:bCs/>
        </w:rPr>
        <w:t xml:space="preserve"> no control(s)</w:t>
      </w:r>
      <w:r w:rsidR="00497F80" w:rsidRPr="001A4ABE">
        <w:rPr>
          <w:b/>
          <w:bCs/>
        </w:rPr>
        <w:t xml:space="preserve"> in place</w:t>
      </w:r>
      <w:r w:rsidRPr="001A4ABE">
        <w:t>.</w:t>
      </w:r>
      <w:r w:rsidR="004F23DB" w:rsidRPr="001A4ABE">
        <w:t xml:space="preserve"> </w:t>
      </w:r>
      <w:r w:rsidR="00A6671C" w:rsidRPr="00553C23">
        <w:br/>
      </w:r>
    </w:p>
    <w:p w14:paraId="3C0CCA44" w14:textId="77777777" w:rsidR="009A710C" w:rsidRDefault="009A710C">
      <w:pPr>
        <w:spacing w:before="0" w:after="160" w:line="259" w:lineRule="auto"/>
      </w:pPr>
      <w:r>
        <w:br w:type="page"/>
      </w:r>
    </w:p>
    <w:p w14:paraId="5F49CE9E" w14:textId="317AA748" w:rsidR="00A6671C" w:rsidRDefault="00A6671C" w:rsidP="00FA1B6A">
      <w:pPr>
        <w:pStyle w:val="Heading2"/>
      </w:pPr>
      <w:bookmarkStart w:id="3" w:name="_Hlk115940024"/>
      <w:r>
        <w:lastRenderedPageBreak/>
        <w:t>Threat actor(s)</w:t>
      </w:r>
      <w:bookmarkEnd w:id="3"/>
      <w:r>
        <w:t xml:space="preserve"> </w:t>
      </w:r>
      <w:r w:rsidRPr="002C6E03">
        <w:t>(</w:t>
      </w:r>
      <w:r w:rsidR="00AE4623">
        <w:t>m</w:t>
      </w:r>
      <w:r w:rsidR="00AE4623" w:rsidRPr="00F55D80">
        <w:t xml:space="preserve">ultiple </w:t>
      </w:r>
      <w:r w:rsidRPr="00F55D80">
        <w:t>options</w:t>
      </w:r>
      <w:r w:rsidRPr="002C6E03">
        <w:t xml:space="preserve"> can be selected)</w:t>
      </w:r>
    </w:p>
    <w:p w14:paraId="69E8824B" w14:textId="0F4C5F12" w:rsidR="00181E19" w:rsidRPr="00735D45" w:rsidRDefault="00735D45" w:rsidP="00BC2A77">
      <w:pPr>
        <w:jc w:val="center"/>
      </w:pPr>
      <w:r>
        <w:rPr>
          <w:noProof/>
        </w:rPr>
        <w:drawing>
          <wp:inline distT="0" distB="0" distL="0" distR="0" wp14:anchorId="139B605A" wp14:editId="2247D07B">
            <wp:extent cx="3095469" cy="3200400"/>
            <wp:effectExtent l="0" t="0" r="3810" b="0"/>
            <wp:docPr id="107514497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C6CAE2D" w14:textId="44ECFF9F" w:rsidR="00A4119B" w:rsidRDefault="00A4119B" w:rsidP="00AC47F1">
      <w:pPr>
        <w:pStyle w:val="Heading3"/>
      </w:pPr>
      <w:r>
        <w:t>Insights:</w:t>
      </w:r>
    </w:p>
    <w:p w14:paraId="37608944" w14:textId="12DB7CA8" w:rsidR="00B968B1" w:rsidRDefault="00B968B1" w:rsidP="00A6671C">
      <w:r w:rsidRPr="00587D9D">
        <w:t>The key causal factors of security incidents remain</w:t>
      </w:r>
      <w:r w:rsidR="000C1FBD" w:rsidRPr="00587D9D">
        <w:t xml:space="preserve"> as</w:t>
      </w:r>
      <w:r w:rsidRPr="00587D9D">
        <w:t xml:space="preserve"> </w:t>
      </w:r>
      <w:r w:rsidRPr="00587D9D">
        <w:rPr>
          <w:b/>
          <w:bCs/>
        </w:rPr>
        <w:t>people</w:t>
      </w:r>
      <w:r w:rsidRPr="00587D9D">
        <w:t xml:space="preserve">, </w:t>
      </w:r>
      <w:r w:rsidRPr="00587D9D">
        <w:rPr>
          <w:b/>
          <w:bCs/>
        </w:rPr>
        <w:t>internal</w:t>
      </w:r>
      <w:r w:rsidRPr="00587D9D">
        <w:t xml:space="preserve">, and </w:t>
      </w:r>
      <w:r w:rsidRPr="00587D9D">
        <w:rPr>
          <w:b/>
          <w:bCs/>
        </w:rPr>
        <w:t>accidental</w:t>
      </w:r>
      <w:r w:rsidRPr="00B968B1">
        <w:t>.</w:t>
      </w:r>
    </w:p>
    <w:p w14:paraId="6BA869BA" w14:textId="5C0CC30C" w:rsidR="00447EC9" w:rsidRDefault="00A10256" w:rsidP="00A6671C">
      <w:proofErr w:type="gramStart"/>
      <w:r w:rsidRPr="003334E4">
        <w:t>Similar to</w:t>
      </w:r>
      <w:proofErr w:type="gramEnd"/>
      <w:r w:rsidRPr="003334E4">
        <w:t xml:space="preserve"> </w:t>
      </w:r>
      <w:r w:rsidR="00211B1D" w:rsidRPr="003334E4">
        <w:t>the previous notification period,</w:t>
      </w:r>
      <w:r w:rsidR="00211B1D">
        <w:rPr>
          <w:b/>
          <w:bCs/>
        </w:rPr>
        <w:t xml:space="preserve"> 8</w:t>
      </w:r>
      <w:r w:rsidR="0072028E">
        <w:rPr>
          <w:b/>
          <w:bCs/>
        </w:rPr>
        <w:t>8</w:t>
      </w:r>
      <w:r w:rsidR="00211B1D">
        <w:rPr>
          <w:b/>
          <w:bCs/>
        </w:rPr>
        <w:t xml:space="preserve">% </w:t>
      </w:r>
      <w:r w:rsidR="00447EC9">
        <w:t>of incidents</w:t>
      </w:r>
      <w:r w:rsidR="00017E01">
        <w:t xml:space="preserve"> </w:t>
      </w:r>
      <w:r w:rsidR="006E6882">
        <w:t xml:space="preserve">in this notification </w:t>
      </w:r>
      <w:r w:rsidR="00A22D67">
        <w:t xml:space="preserve">period </w:t>
      </w:r>
      <w:r w:rsidR="009C6E4A">
        <w:t xml:space="preserve">were </w:t>
      </w:r>
      <w:r w:rsidR="00863F87" w:rsidRPr="00F33262">
        <w:t xml:space="preserve">caused by </w:t>
      </w:r>
      <w:r w:rsidR="00863F87" w:rsidRPr="00863F87">
        <w:rPr>
          <w:b/>
          <w:bCs/>
        </w:rPr>
        <w:t>internal</w:t>
      </w:r>
      <w:r w:rsidR="00863F87">
        <w:t xml:space="preserve"> staff</w:t>
      </w:r>
      <w:r w:rsidR="00211B1D">
        <w:t xml:space="preserve"> </w:t>
      </w:r>
      <w:r w:rsidR="0032729E">
        <w:t>(</w:t>
      </w:r>
      <w:r w:rsidR="0072028E">
        <w:rPr>
          <w:b/>
          <w:bCs/>
        </w:rPr>
        <w:t>464</w:t>
      </w:r>
      <w:r w:rsidR="0032729E">
        <w:t xml:space="preserve">) </w:t>
      </w:r>
      <w:r w:rsidR="00211B1D">
        <w:t xml:space="preserve">compared to </w:t>
      </w:r>
      <w:r w:rsidR="00E62E34">
        <w:t>89</w:t>
      </w:r>
      <w:r w:rsidR="003334E4">
        <w:t>%</w:t>
      </w:r>
      <w:r w:rsidR="007168F7">
        <w:t xml:space="preserve"> (</w:t>
      </w:r>
      <w:r w:rsidR="0072028E">
        <w:t>502</w:t>
      </w:r>
      <w:r w:rsidR="007168F7">
        <w:t>)</w:t>
      </w:r>
      <w:r w:rsidR="00447EC9">
        <w:t>.</w:t>
      </w:r>
    </w:p>
    <w:p w14:paraId="0F31EFDD" w14:textId="5DE8C38D" w:rsidR="000C077E" w:rsidRDefault="002A48AC" w:rsidP="000174F8">
      <w:r>
        <w:t>There was an increase in i</w:t>
      </w:r>
      <w:r w:rsidR="00BF1939">
        <w:t xml:space="preserve">ncidents caused by </w:t>
      </w:r>
      <w:r w:rsidR="00BF1939" w:rsidRPr="00780C51">
        <w:rPr>
          <w:b/>
          <w:bCs/>
        </w:rPr>
        <w:t>authorised third parties</w:t>
      </w:r>
      <w:r w:rsidR="00BF1939">
        <w:t xml:space="preserve"> </w:t>
      </w:r>
      <w:r>
        <w:t>(</w:t>
      </w:r>
      <w:r w:rsidRPr="002A48AC">
        <w:rPr>
          <w:b/>
          <w:bCs/>
        </w:rPr>
        <w:t>43</w:t>
      </w:r>
      <w:r>
        <w:t>)</w:t>
      </w:r>
      <w:r w:rsidR="00A105F2">
        <w:t xml:space="preserve">, </w:t>
      </w:r>
      <w:r>
        <w:t xml:space="preserve">compared </w:t>
      </w:r>
      <w:r w:rsidR="00096BBE">
        <w:t>to</w:t>
      </w:r>
      <w:r w:rsidR="00EE695B">
        <w:t xml:space="preserve"> </w:t>
      </w:r>
      <w:r w:rsidR="00EE695B" w:rsidRPr="00C94D9D">
        <w:t>26</w:t>
      </w:r>
      <w:r w:rsidR="00EE695B">
        <w:t xml:space="preserve"> </w:t>
      </w:r>
      <w:r w:rsidR="00C94D9D">
        <w:t>in the previous notification</w:t>
      </w:r>
      <w:r w:rsidR="00EE695B">
        <w:t xml:space="preserve"> period</w:t>
      </w:r>
      <w:r w:rsidR="000174F8" w:rsidRPr="005B2CF1">
        <w:t>.</w:t>
      </w:r>
      <w:r w:rsidR="00300FC1">
        <w:t xml:space="preserve"> </w:t>
      </w:r>
      <w:r w:rsidR="00904019">
        <w:t>For example:</w:t>
      </w:r>
    </w:p>
    <w:p w14:paraId="303B6CEB" w14:textId="0EAC0BF8" w:rsidR="006A09CB" w:rsidRDefault="002A79EE" w:rsidP="004412D3">
      <w:pPr>
        <w:pStyle w:val="ListParagraph"/>
        <w:numPr>
          <w:ilvl w:val="0"/>
          <w:numId w:val="25"/>
        </w:numPr>
      </w:pPr>
      <w:r>
        <w:t xml:space="preserve">a </w:t>
      </w:r>
      <w:r w:rsidR="00EB4809">
        <w:t>third</w:t>
      </w:r>
      <w:r w:rsidR="00053BFB">
        <w:t>-</w:t>
      </w:r>
      <w:r w:rsidR="00EB4809">
        <w:t xml:space="preserve">party provider </w:t>
      </w:r>
      <w:r w:rsidR="004412D3">
        <w:t xml:space="preserve">stored </w:t>
      </w:r>
      <w:r w:rsidR="006A09CB">
        <w:t xml:space="preserve">backup data offshore without informing </w:t>
      </w:r>
      <w:r w:rsidR="00B41D28">
        <w:t xml:space="preserve">the </w:t>
      </w:r>
      <w:r w:rsidR="006A09CB">
        <w:t>organisation</w:t>
      </w:r>
    </w:p>
    <w:p w14:paraId="76BB8D34" w14:textId="77777777" w:rsidR="003739BD" w:rsidRDefault="003739BD" w:rsidP="003739BD">
      <w:pPr>
        <w:pStyle w:val="ListParagraph"/>
        <w:numPr>
          <w:ilvl w:val="0"/>
          <w:numId w:val="25"/>
        </w:numPr>
      </w:pPr>
      <w:r>
        <w:t>visitor slips fell out of unsecured rubbish truck</w:t>
      </w:r>
    </w:p>
    <w:p w14:paraId="5BFC885C" w14:textId="77777777" w:rsidR="00525DC3" w:rsidRDefault="00525DC3" w:rsidP="00525DC3">
      <w:pPr>
        <w:pStyle w:val="ListParagraph"/>
        <w:numPr>
          <w:ilvl w:val="0"/>
          <w:numId w:val="25"/>
        </w:numPr>
      </w:pPr>
      <w:hyperlink r:id="rId21" w:history="1">
        <w:r w:rsidRPr="00FA0916">
          <w:rPr>
            <w:rStyle w:val="Hyperlink"/>
          </w:rPr>
          <w:t>supply chain attack</w:t>
        </w:r>
      </w:hyperlink>
      <w:r w:rsidRPr="00361222">
        <w:t xml:space="preserve"> using </w:t>
      </w:r>
      <w:r>
        <w:t>c</w:t>
      </w:r>
      <w:r w:rsidRPr="00361222">
        <w:t xml:space="preserve">ompromised </w:t>
      </w:r>
      <w:proofErr w:type="spellStart"/>
      <w:r w:rsidRPr="00361222">
        <w:t>Salesloft</w:t>
      </w:r>
      <w:proofErr w:type="spellEnd"/>
      <w:r w:rsidRPr="00361222">
        <w:t xml:space="preserve"> OAuth tokens to access and exfiltrate data from </w:t>
      </w:r>
      <w:r>
        <w:t>Drift/</w:t>
      </w:r>
      <w:r w:rsidRPr="00361222">
        <w:t>Salesforce tenant</w:t>
      </w:r>
    </w:p>
    <w:p w14:paraId="2F8EBB46" w14:textId="6F866EBD" w:rsidR="00DA431F" w:rsidRDefault="0095685E" w:rsidP="004412D3">
      <w:pPr>
        <w:pStyle w:val="ListParagraph"/>
        <w:numPr>
          <w:ilvl w:val="0"/>
          <w:numId w:val="25"/>
        </w:numPr>
      </w:pPr>
      <w:r>
        <w:t>Westpac</w:t>
      </w:r>
      <w:r w:rsidR="00A1641D">
        <w:t xml:space="preserve"> financial services</w:t>
      </w:r>
      <w:r>
        <w:t xml:space="preserve"> outage</w:t>
      </w:r>
      <w:r w:rsidR="00CE7313">
        <w:t>.</w:t>
      </w:r>
    </w:p>
    <w:p w14:paraId="470CE905" w14:textId="150AFA53" w:rsidR="000C077E" w:rsidRDefault="006B4ED3" w:rsidP="000C077E">
      <w:pPr>
        <w:ind w:left="50"/>
      </w:pPr>
      <w:r w:rsidRPr="006B4ED3">
        <w:t xml:space="preserve">There </w:t>
      </w:r>
      <w:r w:rsidR="00455E98">
        <w:t xml:space="preserve">were </w:t>
      </w:r>
      <w:r w:rsidR="00E62366">
        <w:rPr>
          <w:b/>
          <w:bCs/>
        </w:rPr>
        <w:t>2</w:t>
      </w:r>
      <w:r w:rsidR="002141D1">
        <w:rPr>
          <w:b/>
          <w:bCs/>
        </w:rPr>
        <w:t>4</w:t>
      </w:r>
      <w:r w:rsidRPr="006B4ED3">
        <w:t xml:space="preserve"> </w:t>
      </w:r>
      <w:r w:rsidR="004F627B">
        <w:t>incidents caused by</w:t>
      </w:r>
      <w:r w:rsidR="00F03545" w:rsidRPr="006B4ED3">
        <w:t xml:space="preserve"> </w:t>
      </w:r>
      <w:r w:rsidRPr="000C077E">
        <w:rPr>
          <w:b/>
          <w:bCs/>
        </w:rPr>
        <w:t>other external</w:t>
      </w:r>
      <w:r w:rsidRPr="006B4ED3">
        <w:t xml:space="preserve"> threat actors</w:t>
      </w:r>
      <w:r w:rsidR="00E5322E">
        <w:t>,</w:t>
      </w:r>
      <w:r w:rsidRPr="006B4ED3">
        <w:t xml:space="preserve"> </w:t>
      </w:r>
      <w:r>
        <w:t xml:space="preserve">compared </w:t>
      </w:r>
      <w:r w:rsidRPr="006B4ED3">
        <w:t xml:space="preserve">to </w:t>
      </w:r>
      <w:r w:rsidR="002141D1">
        <w:t>28</w:t>
      </w:r>
      <w:r w:rsidRPr="006B4ED3">
        <w:t xml:space="preserve"> in </w:t>
      </w:r>
      <w:r>
        <w:t>the previous</w:t>
      </w:r>
      <w:r w:rsidRPr="006B4ED3">
        <w:t xml:space="preserve"> notification period.</w:t>
      </w:r>
      <w:r>
        <w:t xml:space="preserve"> Examples of incidents </w:t>
      </w:r>
      <w:r w:rsidR="00B8791C">
        <w:t xml:space="preserve">caused by </w:t>
      </w:r>
      <w:r w:rsidR="00B8791C" w:rsidRPr="009C3C05">
        <w:t>other external</w:t>
      </w:r>
      <w:r w:rsidR="00277104">
        <w:t xml:space="preserve"> threat actors</w:t>
      </w:r>
      <w:r w:rsidR="00B8791C">
        <w:t xml:space="preserve"> </w:t>
      </w:r>
      <w:r w:rsidR="000C077E">
        <w:t xml:space="preserve">include: </w:t>
      </w:r>
    </w:p>
    <w:p w14:paraId="2E4A6475" w14:textId="3652E0D4" w:rsidR="00082B11" w:rsidRDefault="003944E5" w:rsidP="00A924B9">
      <w:pPr>
        <w:pStyle w:val="ListParagraph"/>
        <w:numPr>
          <w:ilvl w:val="0"/>
          <w:numId w:val="20"/>
        </w:numPr>
      </w:pPr>
      <w:r>
        <w:t>m</w:t>
      </w:r>
      <w:r w:rsidR="00BF14BE">
        <w:t xml:space="preserve">ail stolen by thieves </w:t>
      </w:r>
      <w:r w:rsidR="00994B5D">
        <w:t>in</w:t>
      </w:r>
      <w:r w:rsidR="00BF14BE">
        <w:t xml:space="preserve"> </w:t>
      </w:r>
      <w:r w:rsidR="00082B11">
        <w:t>Australia Post</w:t>
      </w:r>
      <w:r w:rsidR="00994B5D">
        <w:t xml:space="preserve"> break-in</w:t>
      </w:r>
    </w:p>
    <w:p w14:paraId="7DB816D7" w14:textId="10C483AC" w:rsidR="003944E5" w:rsidRDefault="003944E5" w:rsidP="00A924B9">
      <w:pPr>
        <w:pStyle w:val="ListParagraph"/>
        <w:numPr>
          <w:ilvl w:val="0"/>
          <w:numId w:val="20"/>
        </w:numPr>
      </w:pPr>
      <w:r>
        <w:t>c</w:t>
      </w:r>
      <w:r w:rsidR="005F6011">
        <w:t xml:space="preserve">redentials </w:t>
      </w:r>
      <w:r>
        <w:t>for a test mailbox were published on the dark web</w:t>
      </w:r>
    </w:p>
    <w:p w14:paraId="31E01D18" w14:textId="16A3DC08" w:rsidR="00887BC4" w:rsidRPr="000174F8" w:rsidRDefault="00CF362C" w:rsidP="00A924B9">
      <w:pPr>
        <w:pStyle w:val="ListParagraph"/>
        <w:numPr>
          <w:ilvl w:val="0"/>
          <w:numId w:val="20"/>
        </w:numPr>
      </w:pPr>
      <w:r>
        <w:t>Victorian government website hacked with content modified</w:t>
      </w:r>
      <w:r w:rsidR="00CE7313">
        <w:t>.</w:t>
      </w:r>
    </w:p>
    <w:p w14:paraId="63947820" w14:textId="5720B19B" w:rsidR="00A6671C" w:rsidRDefault="00A6671C" w:rsidP="00A6671C">
      <w:r w:rsidRPr="00103F80">
        <w:lastRenderedPageBreak/>
        <w:t xml:space="preserve">There </w:t>
      </w:r>
      <w:r w:rsidRPr="000E399A">
        <w:t xml:space="preserve">were </w:t>
      </w:r>
      <w:r w:rsidR="00263034" w:rsidRPr="00263034">
        <w:rPr>
          <w:b/>
          <w:bCs/>
        </w:rPr>
        <w:t>10</w:t>
      </w:r>
      <w:r w:rsidRPr="000E399A">
        <w:t xml:space="preserve"> </w:t>
      </w:r>
      <w:r w:rsidR="00BC2755">
        <w:t>incidents</w:t>
      </w:r>
      <w:r w:rsidR="00BC2755" w:rsidRPr="000E399A">
        <w:t xml:space="preserve"> </w:t>
      </w:r>
      <w:r w:rsidRPr="000E399A">
        <w:t xml:space="preserve">where the threat actor </w:t>
      </w:r>
      <w:r w:rsidR="00BF5551">
        <w:t xml:space="preserve">was </w:t>
      </w:r>
      <w:r w:rsidR="001B22FE" w:rsidRPr="001B22FE">
        <w:rPr>
          <w:b/>
          <w:bCs/>
        </w:rPr>
        <w:t>other</w:t>
      </w:r>
      <w:r w:rsidR="007F0117">
        <w:rPr>
          <w:b/>
          <w:bCs/>
        </w:rPr>
        <w:t xml:space="preserve"> </w:t>
      </w:r>
      <w:r w:rsidR="001B22FE" w:rsidRPr="001B22FE">
        <w:rPr>
          <w:b/>
          <w:bCs/>
        </w:rPr>
        <w:t>/</w:t>
      </w:r>
      <w:r w:rsidR="001B22FE">
        <w:t xml:space="preserve"> </w:t>
      </w:r>
      <w:r w:rsidR="00BF5551" w:rsidRPr="00BF5551">
        <w:rPr>
          <w:b/>
          <w:bCs/>
        </w:rPr>
        <w:t>unknown</w:t>
      </w:r>
      <w:r w:rsidR="00123336">
        <w:rPr>
          <w:b/>
          <w:bCs/>
        </w:rPr>
        <w:t xml:space="preserve"> </w:t>
      </w:r>
      <w:r w:rsidR="00123336" w:rsidRPr="00123336">
        <w:t>compared to the previous notification period (</w:t>
      </w:r>
      <w:r w:rsidR="00290762">
        <w:t>17</w:t>
      </w:r>
      <w:r w:rsidR="00123336" w:rsidRPr="00123336">
        <w:t>)</w:t>
      </w:r>
      <w:r w:rsidRPr="00123336">
        <w:t>.</w:t>
      </w:r>
      <w:r w:rsidR="001206B3">
        <w:t xml:space="preserve"> For example, it was unclear </w:t>
      </w:r>
      <w:r w:rsidR="00A96371">
        <w:t xml:space="preserve">who was behind an </w:t>
      </w:r>
      <w:r w:rsidR="00AE1A96">
        <w:t xml:space="preserve">incident related to </w:t>
      </w:r>
      <w:r w:rsidR="00D969C8">
        <w:t xml:space="preserve">insecure disposal of </w:t>
      </w:r>
      <w:r w:rsidR="005B6D2C">
        <w:t>financial</w:t>
      </w:r>
      <w:r w:rsidR="00D969C8">
        <w:t xml:space="preserve"> records</w:t>
      </w:r>
      <w:r w:rsidR="0064055E">
        <w:t>,</w:t>
      </w:r>
      <w:r w:rsidR="00D969C8">
        <w:t xml:space="preserve"> and</w:t>
      </w:r>
      <w:r w:rsidR="0064055E">
        <w:t>,</w:t>
      </w:r>
      <w:r w:rsidR="00D969C8">
        <w:t xml:space="preserve"> </w:t>
      </w:r>
      <w:r w:rsidR="0064055E">
        <w:t xml:space="preserve">in another example, </w:t>
      </w:r>
      <w:r w:rsidR="00D969C8">
        <w:t>a lost USB storage device in the mail</w:t>
      </w:r>
      <w:r w:rsidR="00690F28">
        <w:t>.</w:t>
      </w:r>
    </w:p>
    <w:p w14:paraId="023B39AC" w14:textId="5EB8928D" w:rsidR="008A7F13" w:rsidRPr="0088133B" w:rsidRDefault="00AF36C2" w:rsidP="0088133B">
      <w:r w:rsidRPr="000E399A">
        <w:t>A</w:t>
      </w:r>
      <w:r w:rsidR="00A6671C" w:rsidRPr="000E399A">
        <w:t xml:space="preserve">lthough </w:t>
      </w:r>
      <w:r w:rsidR="003A62E1">
        <w:t>it is un</w:t>
      </w:r>
      <w:r w:rsidR="00A6671C" w:rsidRPr="000E399A">
        <w:t xml:space="preserve">common for more than one threat actor to be involved in an incident, there were </w:t>
      </w:r>
      <w:r w:rsidR="001F5DF2" w:rsidRPr="0088133B">
        <w:rPr>
          <w:b/>
          <w:bCs/>
        </w:rPr>
        <w:t>1</w:t>
      </w:r>
      <w:r w:rsidR="00926383">
        <w:rPr>
          <w:b/>
          <w:bCs/>
        </w:rPr>
        <w:t>2</w:t>
      </w:r>
      <w:r w:rsidR="001F5DF2">
        <w:t xml:space="preserve"> </w:t>
      </w:r>
      <w:r w:rsidR="00BC2755">
        <w:t xml:space="preserve">incidents caused by </w:t>
      </w:r>
      <w:r w:rsidRPr="000E399A">
        <w:t>multiple threat actors</w:t>
      </w:r>
      <w:r w:rsidR="00926383">
        <w:t xml:space="preserve"> which is the same as the previous notification period</w:t>
      </w:r>
      <w:r w:rsidR="008872EB">
        <w:t>.</w:t>
      </w:r>
      <w:r w:rsidRPr="000E399A">
        <w:t xml:space="preserve"> For example, </w:t>
      </w:r>
      <w:r w:rsidR="00216411">
        <w:t xml:space="preserve">an </w:t>
      </w:r>
      <w:r w:rsidR="00216411" w:rsidRPr="00B8791C">
        <w:rPr>
          <w:b/>
          <w:bCs/>
        </w:rPr>
        <w:t>external</w:t>
      </w:r>
      <w:r w:rsidR="00216411">
        <w:t xml:space="preserve"> </w:t>
      </w:r>
      <w:r w:rsidR="009855A1">
        <w:t xml:space="preserve">threat </w:t>
      </w:r>
      <w:r w:rsidR="00216411">
        <w:t>actor</w:t>
      </w:r>
      <w:r w:rsidR="009855A1">
        <w:t xml:space="preserve"> impersonat</w:t>
      </w:r>
      <w:r w:rsidR="00E924F2">
        <w:t>ed</w:t>
      </w:r>
      <w:r w:rsidR="009855A1">
        <w:t xml:space="preserve"> someone</w:t>
      </w:r>
      <w:r w:rsidR="003C01D3">
        <w:t>,</w:t>
      </w:r>
      <w:r w:rsidR="009855A1">
        <w:t xml:space="preserve"> leading </w:t>
      </w:r>
      <w:r w:rsidR="0088087C">
        <w:t>to</w:t>
      </w:r>
      <w:r w:rsidR="009855A1">
        <w:t xml:space="preserve"> an </w:t>
      </w:r>
      <w:r w:rsidR="009855A1" w:rsidRPr="0088133B">
        <w:rPr>
          <w:b/>
          <w:bCs/>
        </w:rPr>
        <w:t>internal</w:t>
      </w:r>
      <w:r w:rsidR="0088087C">
        <w:rPr>
          <w:b/>
          <w:bCs/>
        </w:rPr>
        <w:t xml:space="preserve"> </w:t>
      </w:r>
      <w:r w:rsidR="0088087C" w:rsidRPr="0088087C">
        <w:t>staff member disclosing information</w:t>
      </w:r>
      <w:r w:rsidR="0088087C">
        <w:t xml:space="preserve"> when they should</w:t>
      </w:r>
      <w:r w:rsidR="003C01D3">
        <w:t xml:space="preserve"> not have</w:t>
      </w:r>
      <w:r w:rsidR="00E435D1">
        <w:t>.</w:t>
      </w:r>
      <w:r w:rsidR="007F0117">
        <w:t xml:space="preserve"> Another example was where</w:t>
      </w:r>
      <w:r w:rsidR="006C6355">
        <w:t xml:space="preserve"> an</w:t>
      </w:r>
      <w:r w:rsidR="007F0117">
        <w:t xml:space="preserve"> </w:t>
      </w:r>
      <w:r w:rsidR="00E8087E" w:rsidRPr="00780C51">
        <w:rPr>
          <w:b/>
          <w:bCs/>
        </w:rPr>
        <w:t>authorised third part</w:t>
      </w:r>
      <w:r w:rsidR="007F40EC">
        <w:rPr>
          <w:b/>
          <w:bCs/>
        </w:rPr>
        <w:t xml:space="preserve">y </w:t>
      </w:r>
      <w:r w:rsidR="0009555D">
        <w:t xml:space="preserve">uploaded </w:t>
      </w:r>
      <w:r w:rsidR="006C6355">
        <w:t xml:space="preserve">documents </w:t>
      </w:r>
      <w:r w:rsidR="0009555D">
        <w:t>to the incorrect file and then</w:t>
      </w:r>
      <w:r w:rsidR="000811E1">
        <w:t xml:space="preserve"> an</w:t>
      </w:r>
      <w:r w:rsidR="0009555D">
        <w:t xml:space="preserve"> </w:t>
      </w:r>
      <w:r w:rsidR="006C6355" w:rsidRPr="0043329A">
        <w:rPr>
          <w:b/>
          <w:bCs/>
        </w:rPr>
        <w:t>internal</w:t>
      </w:r>
      <w:r w:rsidR="006C6355">
        <w:t xml:space="preserve"> </w:t>
      </w:r>
      <w:r w:rsidR="0050388B">
        <w:t>staff member did</w:t>
      </w:r>
      <w:r w:rsidR="00E824D9">
        <w:t xml:space="preserve"> not</w:t>
      </w:r>
      <w:r w:rsidR="0050388B">
        <w:t xml:space="preserve"> check the contents of the file before </w:t>
      </w:r>
      <w:r w:rsidR="0009555D">
        <w:t>disclos</w:t>
      </w:r>
      <w:r w:rsidR="0050388B">
        <w:t xml:space="preserve">ing </w:t>
      </w:r>
      <w:r w:rsidR="007F40EC">
        <w:t>the contents</w:t>
      </w:r>
      <w:r w:rsidR="009C44C3">
        <w:t>.</w:t>
      </w:r>
    </w:p>
    <w:p w14:paraId="6504A545" w14:textId="77777777" w:rsidR="00D21095" w:rsidRDefault="00D21095">
      <w:pPr>
        <w:spacing w:before="0" w:after="160" w:line="259" w:lineRule="auto"/>
        <w:rPr>
          <w:rFonts w:eastAsiaTheme="majorEastAsia" w:cstheme="majorBidi"/>
          <w:color w:val="430098" w:themeColor="text2"/>
          <w:sz w:val="30"/>
          <w:szCs w:val="26"/>
        </w:rPr>
      </w:pPr>
      <w:r>
        <w:br w:type="page"/>
      </w:r>
    </w:p>
    <w:p w14:paraId="3ABDD28F" w14:textId="392FF9E5" w:rsidR="00A6671C" w:rsidRDefault="0075052C" w:rsidP="00FA1B6A">
      <w:pPr>
        <w:pStyle w:val="Heading2"/>
      </w:pPr>
      <w:r w:rsidRPr="008A7F13">
        <w:lastRenderedPageBreak/>
        <w:t>T</w:t>
      </w:r>
      <w:r w:rsidR="00A6671C" w:rsidRPr="008A7F13">
        <w:t>hreat type(s) (</w:t>
      </w:r>
      <w:r w:rsidR="001B6B05">
        <w:t>m</w:t>
      </w:r>
      <w:r w:rsidR="00A6671C" w:rsidRPr="008A7F13">
        <w:t>ultiple options can be selected)</w:t>
      </w:r>
    </w:p>
    <w:p w14:paraId="739B86CB" w14:textId="308F0067" w:rsidR="00EA2D06" w:rsidRDefault="00EA2D06" w:rsidP="00820D1E">
      <w:pPr>
        <w:jc w:val="center"/>
      </w:pPr>
      <w:r>
        <w:rPr>
          <w:noProof/>
        </w:rPr>
        <w:drawing>
          <wp:inline distT="0" distB="0" distL="0" distR="0" wp14:anchorId="790F2B6F" wp14:editId="5FEFC617">
            <wp:extent cx="4017364" cy="3200400"/>
            <wp:effectExtent l="0" t="0" r="0" b="0"/>
            <wp:docPr id="9938476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2D34D11" w14:textId="206D76EC" w:rsidR="00B968B1" w:rsidRPr="00AD47C6" w:rsidRDefault="00B968B1" w:rsidP="00AC47F1">
      <w:pPr>
        <w:pStyle w:val="Heading3"/>
      </w:pPr>
      <w:r w:rsidRPr="00AD47C6">
        <w:t>Insights:</w:t>
      </w:r>
    </w:p>
    <w:p w14:paraId="26950F78" w14:textId="57FE25C6" w:rsidR="00B968B1" w:rsidRDefault="00B968B1" w:rsidP="00A6671C">
      <w:r w:rsidRPr="00B968B1">
        <w:t>The key causal factors of security incidents remain</w:t>
      </w:r>
      <w:r w:rsidR="00F1284B">
        <w:t xml:space="preserve"> as</w:t>
      </w:r>
      <w:r w:rsidRPr="00B968B1">
        <w:t xml:space="preserve"> </w:t>
      </w:r>
      <w:r w:rsidRPr="001077BF">
        <w:rPr>
          <w:b/>
          <w:bCs/>
        </w:rPr>
        <w:t>people</w:t>
      </w:r>
      <w:r w:rsidRPr="00B968B1">
        <w:t xml:space="preserve">, </w:t>
      </w:r>
      <w:r w:rsidRPr="001077BF">
        <w:rPr>
          <w:b/>
          <w:bCs/>
        </w:rPr>
        <w:t>internal</w:t>
      </w:r>
      <w:r w:rsidRPr="00B968B1">
        <w:t xml:space="preserve">, and </w:t>
      </w:r>
      <w:r w:rsidRPr="001077BF">
        <w:rPr>
          <w:b/>
          <w:bCs/>
        </w:rPr>
        <w:t>accidental</w:t>
      </w:r>
      <w:r w:rsidRPr="00B968B1">
        <w:t>.</w:t>
      </w:r>
    </w:p>
    <w:p w14:paraId="04258515" w14:textId="052FE747" w:rsidR="003D66EA" w:rsidRDefault="00A438CC" w:rsidP="00A6671C">
      <w:r>
        <w:t>There was a</w:t>
      </w:r>
      <w:r w:rsidR="00510CA0">
        <w:t>n increase in i</w:t>
      </w:r>
      <w:r w:rsidR="004960E0">
        <w:t xml:space="preserve">ncidents </w:t>
      </w:r>
      <w:r w:rsidR="00EE7513">
        <w:t>caused</w:t>
      </w:r>
      <w:r w:rsidR="004960E0">
        <w:t xml:space="preserve"> </w:t>
      </w:r>
      <w:r w:rsidR="00EE7513">
        <w:t>by</w:t>
      </w:r>
      <w:r w:rsidR="004960E0">
        <w:t xml:space="preserve"> </w:t>
      </w:r>
      <w:r w:rsidR="004960E0" w:rsidRPr="00AF3BCF">
        <w:rPr>
          <w:b/>
          <w:bCs/>
        </w:rPr>
        <w:t>accidental</w:t>
      </w:r>
      <w:r w:rsidR="00AB7959">
        <w:rPr>
          <w:b/>
          <w:bCs/>
        </w:rPr>
        <w:t>/ error</w:t>
      </w:r>
      <w:r w:rsidR="004960E0">
        <w:t xml:space="preserve"> actions</w:t>
      </w:r>
      <w:r w:rsidR="00AD4233">
        <w:t xml:space="preserve"> (</w:t>
      </w:r>
      <w:r w:rsidR="00510CA0">
        <w:rPr>
          <w:b/>
          <w:bCs/>
        </w:rPr>
        <w:t>421</w:t>
      </w:r>
      <w:r w:rsidR="00AD4233">
        <w:t>)</w:t>
      </w:r>
      <w:r w:rsidR="004960E0">
        <w:t xml:space="preserve"> </w:t>
      </w:r>
      <w:r w:rsidR="00510CA0">
        <w:t xml:space="preserve">compared with the previous notification </w:t>
      </w:r>
      <w:r w:rsidR="00DE6667">
        <w:t>period</w:t>
      </w:r>
      <w:r w:rsidR="00510CA0">
        <w:t xml:space="preserve"> (335)</w:t>
      </w:r>
      <w:r w:rsidR="00DE6667">
        <w:t xml:space="preserve">. </w:t>
      </w:r>
    </w:p>
    <w:p w14:paraId="1D660A4C" w14:textId="2EC812C7" w:rsidR="00A6671C" w:rsidRDefault="002B6459" w:rsidP="00A6671C">
      <w:r>
        <w:t>There was a decrease in i</w:t>
      </w:r>
      <w:r w:rsidR="003D66EA">
        <w:t>ncidents caused by</w:t>
      </w:r>
      <w:r w:rsidR="00954B0F">
        <w:t xml:space="preserve"> </w:t>
      </w:r>
      <w:r w:rsidR="00954B0F" w:rsidRPr="00AF3BCF">
        <w:rPr>
          <w:b/>
          <w:bCs/>
        </w:rPr>
        <w:t>intentional</w:t>
      </w:r>
      <w:r w:rsidR="00AB7959">
        <w:rPr>
          <w:b/>
          <w:bCs/>
        </w:rPr>
        <w:t>/ malicious</w:t>
      </w:r>
      <w:r w:rsidR="00A66EC7">
        <w:t xml:space="preserve"> </w:t>
      </w:r>
      <w:r w:rsidR="00FC6B7F" w:rsidRPr="00FC6B7F">
        <w:t xml:space="preserve">actions </w:t>
      </w:r>
      <w:r w:rsidR="00554FEA">
        <w:t>(</w:t>
      </w:r>
      <w:r w:rsidR="00554FEA" w:rsidRPr="00554FEA">
        <w:rPr>
          <w:b/>
          <w:bCs/>
        </w:rPr>
        <w:t>35</w:t>
      </w:r>
      <w:r w:rsidR="00554FEA">
        <w:t>) compared with the previous notification period (</w:t>
      </w:r>
      <w:r w:rsidR="00A93E6B">
        <w:t>40</w:t>
      </w:r>
      <w:r w:rsidR="00554FEA">
        <w:t>)</w:t>
      </w:r>
      <w:r w:rsidR="003227BA">
        <w:t>.</w:t>
      </w:r>
      <w:r w:rsidR="008A5D4F">
        <w:t xml:space="preserve"> </w:t>
      </w:r>
      <w:proofErr w:type="gramStart"/>
      <w:r w:rsidR="00145E24">
        <w:t>Similar to</w:t>
      </w:r>
      <w:proofErr w:type="gramEnd"/>
      <w:r w:rsidR="00145E24">
        <w:t xml:space="preserve"> the previous notification period, a</w:t>
      </w:r>
      <w:r w:rsidR="002377A0">
        <w:t xml:space="preserve">lmost half of </w:t>
      </w:r>
      <w:r w:rsidR="00C22C49">
        <w:t xml:space="preserve">these incidents were caused by </w:t>
      </w:r>
      <w:r w:rsidR="009C1B95">
        <w:t xml:space="preserve">intentional actions of </w:t>
      </w:r>
      <w:r w:rsidR="00C22C49">
        <w:t>internal staff</w:t>
      </w:r>
      <w:r w:rsidR="009C1B95">
        <w:t xml:space="preserve"> with a common theme of unauthorised access to information</w:t>
      </w:r>
      <w:r w:rsidR="00F6083E">
        <w:t xml:space="preserve"> and systems</w:t>
      </w:r>
      <w:r w:rsidR="009C1B95">
        <w:t>.</w:t>
      </w:r>
      <w:r w:rsidR="00F6083E">
        <w:t xml:space="preserve"> For example:</w:t>
      </w:r>
    </w:p>
    <w:p w14:paraId="727E1E17" w14:textId="749E8D54" w:rsidR="005E0DFC" w:rsidRDefault="00880A37" w:rsidP="00106E61">
      <w:pPr>
        <w:pStyle w:val="ListParagraph"/>
        <w:numPr>
          <w:ilvl w:val="0"/>
          <w:numId w:val="50"/>
        </w:numPr>
      </w:pPr>
      <w:r>
        <w:t>inappropriate</w:t>
      </w:r>
      <w:r w:rsidR="00FA1507">
        <w:t xml:space="preserve"> access to </w:t>
      </w:r>
      <w:r w:rsidR="00D232CB">
        <w:t xml:space="preserve">client </w:t>
      </w:r>
      <w:r w:rsidR="00BC766F">
        <w:t>record</w:t>
      </w:r>
      <w:r w:rsidR="00BC7F49">
        <w:t>s</w:t>
      </w:r>
      <w:r w:rsidR="00BC766F">
        <w:t xml:space="preserve"> by</w:t>
      </w:r>
      <w:r w:rsidR="0097276B">
        <w:t xml:space="preserve"> a</w:t>
      </w:r>
      <w:r w:rsidR="00BC766F">
        <w:t xml:space="preserve"> staff member without legitimate business need</w:t>
      </w:r>
    </w:p>
    <w:p w14:paraId="38CFBC19" w14:textId="69A88C90" w:rsidR="00BC766F" w:rsidRDefault="00880A37" w:rsidP="00106E61">
      <w:pPr>
        <w:pStyle w:val="ListParagraph"/>
        <w:numPr>
          <w:ilvl w:val="0"/>
          <w:numId w:val="50"/>
        </w:numPr>
      </w:pPr>
      <w:r>
        <w:t>u</w:t>
      </w:r>
      <w:r w:rsidRPr="00880A37">
        <w:t>nauthorised access to SharePoint and OneDrive</w:t>
      </w:r>
    </w:p>
    <w:p w14:paraId="6D74D680" w14:textId="02C8AFC6" w:rsidR="00880A37" w:rsidRDefault="0094236A" w:rsidP="0094236A">
      <w:pPr>
        <w:pStyle w:val="ListParagraph"/>
        <w:numPr>
          <w:ilvl w:val="0"/>
          <w:numId w:val="50"/>
        </w:numPr>
      </w:pPr>
      <w:r>
        <w:t>tampering of laptop settings without permission</w:t>
      </w:r>
    </w:p>
    <w:p w14:paraId="65A93E61" w14:textId="5E159E19" w:rsidR="008F3709" w:rsidRDefault="004B18AB" w:rsidP="0094236A">
      <w:pPr>
        <w:pStyle w:val="ListParagraph"/>
        <w:numPr>
          <w:ilvl w:val="0"/>
          <w:numId w:val="50"/>
        </w:numPr>
      </w:pPr>
      <w:r>
        <w:t>input confidential information into ChatGPT to produce content for report</w:t>
      </w:r>
      <w:r w:rsidR="00BE43AF">
        <w:t>.</w:t>
      </w:r>
    </w:p>
    <w:p w14:paraId="1C6C9859" w14:textId="7CBE7003" w:rsidR="00785A9D" w:rsidRPr="00EE11D6" w:rsidRDefault="00AC504A" w:rsidP="00A6671C">
      <w:r>
        <w:t>I</w:t>
      </w:r>
      <w:r w:rsidR="00EE7513">
        <w:t>ncidents</w:t>
      </w:r>
      <w:r w:rsidR="00075194">
        <w:t xml:space="preserve"> </w:t>
      </w:r>
      <w:r w:rsidR="00FE4DBB">
        <w:t>due to</w:t>
      </w:r>
      <w:r w:rsidR="00075194">
        <w:t xml:space="preserve"> </w:t>
      </w:r>
      <w:r w:rsidR="00BB0C53" w:rsidRPr="00BB0C53">
        <w:rPr>
          <w:b/>
          <w:bCs/>
        </w:rPr>
        <w:t>failure</w:t>
      </w:r>
      <w:r w:rsidR="00174D61">
        <w:t xml:space="preserve"> </w:t>
      </w:r>
      <w:r w:rsidR="008C29B7">
        <w:t>decreased</w:t>
      </w:r>
      <w:r w:rsidR="00174D61">
        <w:t xml:space="preserve"> </w:t>
      </w:r>
      <w:r w:rsidR="00D4519E">
        <w:t>from</w:t>
      </w:r>
      <w:r w:rsidR="00174D61">
        <w:t xml:space="preserve"> </w:t>
      </w:r>
      <w:r w:rsidR="00D74944">
        <w:t>1</w:t>
      </w:r>
      <w:r w:rsidR="008C29B7">
        <w:t>91</w:t>
      </w:r>
      <w:r w:rsidR="004A753A">
        <w:t xml:space="preserve"> in the previous notification period</w:t>
      </w:r>
      <w:r w:rsidR="00D4519E">
        <w:t xml:space="preserve"> to </w:t>
      </w:r>
      <w:r w:rsidR="00D4519E" w:rsidRPr="00D4519E">
        <w:rPr>
          <w:b/>
          <w:bCs/>
        </w:rPr>
        <w:t>73</w:t>
      </w:r>
      <w:r w:rsidR="00D4519E">
        <w:t xml:space="preserve"> in this notification period</w:t>
      </w:r>
      <w:r w:rsidR="008C29B7">
        <w:t xml:space="preserve">. This </w:t>
      </w:r>
      <w:r w:rsidR="00300C74">
        <w:t>is</w:t>
      </w:r>
      <w:r w:rsidR="008C29B7">
        <w:t xml:space="preserve"> because most of the </w:t>
      </w:r>
      <w:r w:rsidR="004A753A">
        <w:t>failure</w:t>
      </w:r>
      <w:r w:rsidR="008C29B7">
        <w:t xml:space="preserve"> incidents from the last few notification periods have come from </w:t>
      </w:r>
      <w:r w:rsidR="008C29B7" w:rsidRPr="00273224">
        <w:t>GWW</w:t>
      </w:r>
      <w:r w:rsidR="008C29B7">
        <w:t xml:space="preserve"> </w:t>
      </w:r>
      <w:r w:rsidR="00AF212F">
        <w:t xml:space="preserve">that </w:t>
      </w:r>
      <w:r w:rsidR="008C29B7">
        <w:t xml:space="preserve">related to the </w:t>
      </w:r>
      <w:r w:rsidR="008C29B7" w:rsidRPr="00273224">
        <w:t xml:space="preserve">data quality issues they </w:t>
      </w:r>
      <w:r w:rsidR="00AF212F">
        <w:t>experienced</w:t>
      </w:r>
      <w:r w:rsidR="008C29B7" w:rsidRPr="00273224">
        <w:t xml:space="preserve"> during their billing system upgrade project</w:t>
      </w:r>
      <w:r w:rsidR="008C29B7">
        <w:t>. GWW stopped their regular monthly reporting to OVIC in October as they resumed normal operations. OVIC expects incidents</w:t>
      </w:r>
      <w:r w:rsidR="002E09FC">
        <w:t xml:space="preserve"> caused by failure</w:t>
      </w:r>
      <w:r w:rsidR="008C29B7">
        <w:t xml:space="preserve"> to restore to similar </w:t>
      </w:r>
      <w:r w:rsidR="008C29B7" w:rsidRPr="00882079">
        <w:t>numbers that were reported prior to the GWW billing and payment system migration</w:t>
      </w:r>
      <w:r w:rsidR="00300C74">
        <w:t xml:space="preserve"> incident</w:t>
      </w:r>
      <w:r w:rsidR="00574844" w:rsidRPr="00EE11D6">
        <w:t>.</w:t>
      </w:r>
      <w:r w:rsidR="0017295F" w:rsidRPr="00EE11D6">
        <w:t xml:space="preserve"> </w:t>
      </w:r>
    </w:p>
    <w:p w14:paraId="666FFD48" w14:textId="7A375F44" w:rsidR="00E07703" w:rsidRDefault="00E07703" w:rsidP="00F55C10">
      <w:r w:rsidRPr="00E07703">
        <w:t xml:space="preserve">Once again, there were no </w:t>
      </w:r>
      <w:r w:rsidR="000F126B">
        <w:t>incidents</w:t>
      </w:r>
      <w:r w:rsidRPr="00E07703">
        <w:t xml:space="preserve"> in this </w:t>
      </w:r>
      <w:r w:rsidR="005E4424">
        <w:t xml:space="preserve">notification </w:t>
      </w:r>
      <w:r w:rsidRPr="00E07703">
        <w:t xml:space="preserve">period that were due to </w:t>
      </w:r>
      <w:r w:rsidRPr="00E07703">
        <w:rPr>
          <w:b/>
          <w:bCs/>
        </w:rPr>
        <w:t>natural</w:t>
      </w:r>
      <w:r w:rsidRPr="00E07703">
        <w:t xml:space="preserve"> causes.</w:t>
      </w:r>
    </w:p>
    <w:p w14:paraId="5561C0A8" w14:textId="3A58C4A8" w:rsidR="00F55C10" w:rsidRPr="00EF08A7" w:rsidRDefault="00BD117D" w:rsidP="00F55C10">
      <w:r w:rsidRPr="00EF08A7">
        <w:lastRenderedPageBreak/>
        <w:t xml:space="preserve">There were </w:t>
      </w:r>
      <w:r w:rsidR="009E5CC5">
        <w:rPr>
          <w:b/>
          <w:bCs/>
        </w:rPr>
        <w:t>7</w:t>
      </w:r>
      <w:r w:rsidR="00F1456C" w:rsidRPr="00EF08A7">
        <w:t xml:space="preserve"> incidents </w:t>
      </w:r>
      <w:r w:rsidR="00F55C10" w:rsidRPr="00EF08A7">
        <w:t xml:space="preserve">where the threat type was </w:t>
      </w:r>
      <w:r w:rsidR="00F55C10" w:rsidRPr="00EF08A7">
        <w:rPr>
          <w:b/>
          <w:bCs/>
        </w:rPr>
        <w:t>unknow</w:t>
      </w:r>
      <w:r w:rsidR="00F1456C" w:rsidRPr="00EF08A7">
        <w:rPr>
          <w:b/>
          <w:bCs/>
        </w:rPr>
        <w:t>n</w:t>
      </w:r>
      <w:r w:rsidR="00F55C10" w:rsidRPr="00EF08A7">
        <w:t xml:space="preserve">. </w:t>
      </w:r>
      <w:r w:rsidR="005F17A8" w:rsidRPr="00EF08A7">
        <w:t>For example,</w:t>
      </w:r>
      <w:r w:rsidR="005903B0" w:rsidRPr="00EF08A7">
        <w:t xml:space="preserve"> </w:t>
      </w:r>
      <w:r w:rsidR="00A61C51" w:rsidRPr="00EF08A7">
        <w:t>the</w:t>
      </w:r>
      <w:r w:rsidR="00510C44" w:rsidRPr="00EF08A7">
        <w:t xml:space="preserve"> organisation was unable to determine </w:t>
      </w:r>
      <w:r w:rsidR="00A742C3">
        <w:t>the threat type behind a lost USB storage device in the mail</w:t>
      </w:r>
      <w:r w:rsidR="00453563">
        <w:t xml:space="preserve"> or the motivation behind the alleged </w:t>
      </w:r>
      <w:r w:rsidR="00C14E73">
        <w:t xml:space="preserve">unauthorised </w:t>
      </w:r>
      <w:r w:rsidR="00453563">
        <w:t>release of documents under a Freedom of Information request</w:t>
      </w:r>
      <w:r w:rsidR="00F55C10" w:rsidRPr="00EF08A7">
        <w:t xml:space="preserve">. </w:t>
      </w:r>
    </w:p>
    <w:p w14:paraId="2D2B4CA5" w14:textId="2F1FEF97" w:rsidR="00D330FB" w:rsidRPr="00F04092" w:rsidRDefault="00A6671C" w:rsidP="00F55C10">
      <w:r w:rsidRPr="00EC70BE">
        <w:t xml:space="preserve">Although multiple options can be selected for this field, there is usually one threat type associated with each incident. There were </w:t>
      </w:r>
      <w:r w:rsidR="00650712">
        <w:rPr>
          <w:b/>
          <w:bCs/>
        </w:rPr>
        <w:t>7</w:t>
      </w:r>
      <w:r w:rsidRPr="00EC70BE">
        <w:t xml:space="preserve"> </w:t>
      </w:r>
      <w:r w:rsidR="002B4B79" w:rsidRPr="00EC70BE">
        <w:t>incidents</w:t>
      </w:r>
      <w:r w:rsidRPr="00EC70BE">
        <w:t xml:space="preserve"> </w:t>
      </w:r>
      <w:r w:rsidR="006F740B" w:rsidRPr="00EC70BE">
        <w:t xml:space="preserve">caused by </w:t>
      </w:r>
      <w:r w:rsidRPr="00EC70BE">
        <w:t xml:space="preserve">more than one threat type. </w:t>
      </w:r>
      <w:r w:rsidR="000A1036" w:rsidRPr="00EC70BE">
        <w:t>Most of</w:t>
      </w:r>
      <w:r w:rsidR="004B658A" w:rsidRPr="00EC70BE">
        <w:t xml:space="preserve"> </w:t>
      </w:r>
      <w:r w:rsidR="00F04092" w:rsidRPr="00EC70BE">
        <w:t xml:space="preserve">these </w:t>
      </w:r>
      <w:r w:rsidR="006F740B" w:rsidRPr="00EC70BE">
        <w:t>incidents</w:t>
      </w:r>
      <w:r w:rsidR="00F04092" w:rsidRPr="00EC70BE">
        <w:t xml:space="preserve"> </w:t>
      </w:r>
      <w:r w:rsidR="000A1036" w:rsidRPr="00EC70BE">
        <w:t>included</w:t>
      </w:r>
      <w:r w:rsidR="00F04092" w:rsidRPr="00EC70BE">
        <w:t xml:space="preserve"> both </w:t>
      </w:r>
      <w:r w:rsidR="00F04092" w:rsidRPr="00EC70BE">
        <w:rPr>
          <w:b/>
          <w:bCs/>
        </w:rPr>
        <w:t>accidental</w:t>
      </w:r>
      <w:r w:rsidR="00F04092" w:rsidRPr="00EC70BE">
        <w:t xml:space="preserve"> and </w:t>
      </w:r>
      <w:r w:rsidR="00CD1EE9" w:rsidRPr="00EC70BE">
        <w:rPr>
          <w:b/>
          <w:bCs/>
        </w:rPr>
        <w:t>failure</w:t>
      </w:r>
      <w:r w:rsidR="00BD27E7" w:rsidRPr="00EC70BE">
        <w:rPr>
          <w:b/>
          <w:bCs/>
        </w:rPr>
        <w:t xml:space="preserve"> </w:t>
      </w:r>
      <w:r w:rsidR="00BD27E7" w:rsidRPr="00EC70BE">
        <w:t>(where failure related to a failure of process as opposed to a system failure)</w:t>
      </w:r>
      <w:r w:rsidR="006F740B" w:rsidRPr="00EC70BE">
        <w:t>. F</w:t>
      </w:r>
      <w:r w:rsidR="00F04092" w:rsidRPr="00EC70BE">
        <w:t>or example</w:t>
      </w:r>
      <w:r w:rsidR="009A3D8E" w:rsidRPr="00EC70BE">
        <w:t>,</w:t>
      </w:r>
      <w:r w:rsidR="00F04092" w:rsidRPr="00EC70BE">
        <w:t xml:space="preserve"> </w:t>
      </w:r>
      <w:r w:rsidR="00F809CE">
        <w:t xml:space="preserve">a staff member </w:t>
      </w:r>
      <w:r w:rsidR="00846EDE">
        <w:t>w</w:t>
      </w:r>
      <w:r w:rsidR="00604A3A">
        <w:t xml:space="preserve">ent to email themselves to </w:t>
      </w:r>
      <w:r w:rsidR="00D01B2E">
        <w:t>work around</w:t>
      </w:r>
      <w:r w:rsidR="00604A3A">
        <w:t xml:space="preserve"> an issue but accidentally emailed someone else.</w:t>
      </w:r>
      <w:bookmarkStart w:id="4" w:name="_Toc30502211"/>
      <w:bookmarkStart w:id="5" w:name="_Toc87857020"/>
    </w:p>
    <w:p w14:paraId="0381D204" w14:textId="2D6FEC5D" w:rsidR="00D330FB" w:rsidRPr="0034268B" w:rsidRDefault="00D330FB" w:rsidP="00604A3A">
      <w:pPr>
        <w:spacing w:before="0" w:after="160" w:line="259" w:lineRule="auto"/>
      </w:pPr>
      <w:r>
        <w:br w:type="page"/>
      </w:r>
    </w:p>
    <w:p w14:paraId="2CF0CC04" w14:textId="28B16DEB" w:rsidR="00BF3799" w:rsidRDefault="00A6671C" w:rsidP="00BF3799">
      <w:pPr>
        <w:pStyle w:val="Heading2"/>
      </w:pPr>
      <w:r>
        <w:lastRenderedPageBreak/>
        <w:t>Risk statements</w:t>
      </w:r>
    </w:p>
    <w:p w14:paraId="16ABF936" w14:textId="57EC2235" w:rsidR="00A6671C" w:rsidRDefault="00A6671C" w:rsidP="00A6671C">
      <w:r>
        <w:t xml:space="preserve">Based on the incident notifications received by OVIC, the following risk statements </w:t>
      </w:r>
      <w:r w:rsidR="00915F6F">
        <w:t xml:space="preserve">have been developed </w:t>
      </w:r>
      <w:r>
        <w:t>for consideration by VPS organisations when reviewing their information security risks:</w:t>
      </w:r>
    </w:p>
    <w:tbl>
      <w:tblPr>
        <w:tblStyle w:val="OVICDefaulttable"/>
        <w:tblW w:w="0" w:type="auto"/>
        <w:tblLook w:val="04A0" w:firstRow="1" w:lastRow="0" w:firstColumn="1" w:lastColumn="0" w:noHBand="0" w:noVBand="1"/>
      </w:tblPr>
      <w:tblGrid>
        <w:gridCol w:w="2980"/>
        <w:gridCol w:w="2981"/>
        <w:gridCol w:w="2980"/>
      </w:tblGrid>
      <w:tr w:rsidR="0097704C" w:rsidRPr="00D565D6" w14:paraId="256D75D0" w14:textId="77777777" w:rsidTr="0097704C">
        <w:trPr>
          <w:cnfStyle w:val="100000000000" w:firstRow="1" w:lastRow="0" w:firstColumn="0" w:lastColumn="0" w:oddVBand="0" w:evenVBand="0" w:oddHBand="0" w:evenHBand="0" w:firstRowFirstColumn="0" w:firstRowLastColumn="0" w:lastRowFirstColumn="0" w:lastRowLastColumn="0"/>
          <w:trHeight w:val="252"/>
        </w:trPr>
        <w:tc>
          <w:tcPr>
            <w:tcW w:w="2980" w:type="dxa"/>
          </w:tcPr>
          <w:bookmarkEnd w:id="4"/>
          <w:bookmarkEnd w:id="5"/>
          <w:p w14:paraId="21A813B3" w14:textId="184D7D08" w:rsidR="0097704C" w:rsidRPr="00D565D6" w:rsidRDefault="0097704C" w:rsidP="002E4AEB">
            <w:pPr>
              <w:pStyle w:val="TableText0"/>
              <w:rPr>
                <w:szCs w:val="18"/>
              </w:rPr>
            </w:pPr>
            <w:r w:rsidRPr="00D565D6">
              <w:rPr>
                <w:szCs w:val="18"/>
              </w:rPr>
              <w:t>The risk of…</w:t>
            </w:r>
          </w:p>
        </w:tc>
        <w:tc>
          <w:tcPr>
            <w:tcW w:w="2981" w:type="dxa"/>
          </w:tcPr>
          <w:p w14:paraId="4808907F" w14:textId="03842E27" w:rsidR="0097704C" w:rsidRPr="00D565D6" w:rsidRDefault="0097704C" w:rsidP="002E4AEB">
            <w:pPr>
              <w:pStyle w:val="TableText0"/>
              <w:rPr>
                <w:szCs w:val="18"/>
              </w:rPr>
            </w:pPr>
            <w:r w:rsidRPr="00D565D6">
              <w:rPr>
                <w:szCs w:val="18"/>
              </w:rPr>
              <w:t>Caused by…</w:t>
            </w:r>
          </w:p>
        </w:tc>
        <w:tc>
          <w:tcPr>
            <w:tcW w:w="2980" w:type="dxa"/>
          </w:tcPr>
          <w:p w14:paraId="0B9C2325" w14:textId="0B1A29B8" w:rsidR="0097704C" w:rsidRPr="00D565D6" w:rsidRDefault="0097704C" w:rsidP="002E4AEB">
            <w:pPr>
              <w:pStyle w:val="TableText0"/>
              <w:rPr>
                <w:szCs w:val="18"/>
              </w:rPr>
            </w:pPr>
            <w:r w:rsidRPr="00D565D6">
              <w:rPr>
                <w:szCs w:val="18"/>
              </w:rPr>
              <w:t>Resulting in…</w:t>
            </w:r>
            <w:r w:rsidRPr="00D565D6">
              <w:rPr>
                <w:rStyle w:val="FootnoteReference"/>
                <w:szCs w:val="18"/>
              </w:rPr>
              <w:footnoteReference w:id="2"/>
            </w:r>
          </w:p>
        </w:tc>
      </w:tr>
      <w:tr w:rsidR="00367E12" w:rsidRPr="00D565D6" w14:paraId="5D3D3929" w14:textId="77777777" w:rsidTr="0097704C">
        <w:trPr>
          <w:trHeight w:val="505"/>
        </w:trPr>
        <w:tc>
          <w:tcPr>
            <w:tcW w:w="2980" w:type="dxa"/>
          </w:tcPr>
          <w:p w14:paraId="5A38519E" w14:textId="37F4FDA7" w:rsidR="00367E12" w:rsidRPr="00D565D6" w:rsidRDefault="00367E12" w:rsidP="00367E12">
            <w:pPr>
              <w:pStyle w:val="Tabletext"/>
              <w:rPr>
                <w:szCs w:val="18"/>
              </w:rPr>
            </w:pPr>
            <w:r w:rsidRPr="00D565D6">
              <w:rPr>
                <w:szCs w:val="18"/>
              </w:rPr>
              <w:t xml:space="preserve">Unauthorised </w:t>
            </w:r>
            <w:r w:rsidR="007D1862">
              <w:rPr>
                <w:szCs w:val="18"/>
              </w:rPr>
              <w:t>use of corporate system</w:t>
            </w:r>
            <w:r w:rsidR="007807EE">
              <w:rPr>
                <w:szCs w:val="18"/>
              </w:rPr>
              <w:t>(</w:t>
            </w:r>
            <w:r w:rsidR="007D1862">
              <w:rPr>
                <w:szCs w:val="18"/>
              </w:rPr>
              <w:t>s</w:t>
            </w:r>
            <w:r w:rsidR="007807EE">
              <w:rPr>
                <w:szCs w:val="18"/>
              </w:rPr>
              <w:t>)</w:t>
            </w:r>
            <w:r w:rsidR="007D1862">
              <w:rPr>
                <w:szCs w:val="18"/>
              </w:rPr>
              <w:t xml:space="preserve"> </w:t>
            </w:r>
            <w:r w:rsidR="009C61B0">
              <w:rPr>
                <w:szCs w:val="18"/>
              </w:rPr>
              <w:t xml:space="preserve">to evade detection of </w:t>
            </w:r>
            <w:r w:rsidR="007807EE">
              <w:rPr>
                <w:szCs w:val="18"/>
              </w:rPr>
              <w:t>inappropriate actions</w:t>
            </w:r>
          </w:p>
          <w:p w14:paraId="734D7D68" w14:textId="5BE7D36A" w:rsidR="00367E12" w:rsidRPr="00D565D6" w:rsidRDefault="00367E12" w:rsidP="00367E12">
            <w:pPr>
              <w:pStyle w:val="Tabletext"/>
              <w:rPr>
                <w:b/>
                <w:bCs/>
                <w:i/>
                <w:iCs/>
                <w:szCs w:val="18"/>
              </w:rPr>
            </w:pPr>
            <w:r w:rsidRPr="00D565D6">
              <w:rPr>
                <w:b/>
                <w:bCs/>
                <w:i/>
                <w:iCs/>
                <w:szCs w:val="18"/>
              </w:rPr>
              <w:t xml:space="preserve">(Compromise of </w:t>
            </w:r>
            <w:r w:rsidR="0038606F">
              <w:rPr>
                <w:b/>
                <w:bCs/>
                <w:i/>
                <w:iCs/>
                <w:szCs w:val="18"/>
              </w:rPr>
              <w:t>integrity</w:t>
            </w:r>
            <w:r w:rsidRPr="00D565D6">
              <w:rPr>
                <w:b/>
                <w:bCs/>
                <w:i/>
                <w:iCs/>
                <w:szCs w:val="18"/>
              </w:rPr>
              <w:t>)</w:t>
            </w:r>
          </w:p>
        </w:tc>
        <w:tc>
          <w:tcPr>
            <w:tcW w:w="2981" w:type="dxa"/>
          </w:tcPr>
          <w:p w14:paraId="7ED0FE9B" w14:textId="733DF1C2" w:rsidR="00367E12" w:rsidRPr="00D565D6" w:rsidRDefault="002658F4" w:rsidP="00367E12">
            <w:pPr>
              <w:pStyle w:val="Tabletext"/>
              <w:rPr>
                <w:szCs w:val="18"/>
              </w:rPr>
            </w:pPr>
            <w:r>
              <w:rPr>
                <w:szCs w:val="18"/>
              </w:rPr>
              <w:t xml:space="preserve">Intentional actions of a </w:t>
            </w:r>
            <w:r w:rsidR="00B12C30">
              <w:rPr>
                <w:szCs w:val="18"/>
              </w:rPr>
              <w:t>staff member</w:t>
            </w:r>
            <w:r w:rsidR="00CB4AE2">
              <w:rPr>
                <w:szCs w:val="18"/>
              </w:rPr>
              <w:t xml:space="preserve"> </w:t>
            </w:r>
            <w:r w:rsidR="00656C09">
              <w:rPr>
                <w:szCs w:val="18"/>
              </w:rPr>
              <w:t>installing unauthorised software and disabling multiple security controls on their computer</w:t>
            </w:r>
          </w:p>
        </w:tc>
        <w:tc>
          <w:tcPr>
            <w:tcW w:w="2980" w:type="dxa"/>
          </w:tcPr>
          <w:p w14:paraId="32C47C04" w14:textId="1D9CE71A" w:rsidR="001B1E83" w:rsidRPr="00D565D6" w:rsidRDefault="001B1E83" w:rsidP="00367E12">
            <w:pPr>
              <w:pStyle w:val="Tabletext"/>
              <w:rPr>
                <w:szCs w:val="18"/>
              </w:rPr>
            </w:pPr>
            <w:r w:rsidRPr="00D565D6">
              <w:rPr>
                <w:szCs w:val="18"/>
              </w:rPr>
              <w:t>Impact on public services (reputation of, and confidence in, the organisation)</w:t>
            </w:r>
          </w:p>
        </w:tc>
      </w:tr>
      <w:tr w:rsidR="00367E12" w:rsidRPr="00D565D6" w14:paraId="6D22EDEF" w14:textId="77777777" w:rsidTr="0097704C">
        <w:trPr>
          <w:trHeight w:val="268"/>
        </w:trPr>
        <w:tc>
          <w:tcPr>
            <w:tcW w:w="2980" w:type="dxa"/>
          </w:tcPr>
          <w:p w14:paraId="74ECC6E9" w14:textId="0133438B" w:rsidR="00367E12" w:rsidRPr="00A8427A" w:rsidRDefault="00E2451B" w:rsidP="00367E12">
            <w:pPr>
              <w:pStyle w:val="Tabletext"/>
              <w:rPr>
                <w:szCs w:val="18"/>
              </w:rPr>
            </w:pPr>
            <w:r>
              <w:rPr>
                <w:szCs w:val="18"/>
              </w:rPr>
              <w:t>D</w:t>
            </w:r>
            <w:r w:rsidR="003E7546">
              <w:rPr>
                <w:szCs w:val="18"/>
              </w:rPr>
              <w:t>efaced</w:t>
            </w:r>
            <w:r w:rsidR="00577F99">
              <w:rPr>
                <w:szCs w:val="18"/>
              </w:rPr>
              <w:t xml:space="preserve"> </w:t>
            </w:r>
            <w:r>
              <w:rPr>
                <w:szCs w:val="18"/>
              </w:rPr>
              <w:t>Victorian government</w:t>
            </w:r>
            <w:r w:rsidR="008C7D18">
              <w:rPr>
                <w:szCs w:val="18"/>
              </w:rPr>
              <w:t xml:space="preserve"> </w:t>
            </w:r>
            <w:r w:rsidR="00EB57F8">
              <w:rPr>
                <w:szCs w:val="18"/>
              </w:rPr>
              <w:t>website</w:t>
            </w:r>
          </w:p>
          <w:p w14:paraId="2D61D0EC" w14:textId="68A09538" w:rsidR="0010208B" w:rsidRPr="0010208B" w:rsidRDefault="0010208B" w:rsidP="00367E12">
            <w:pPr>
              <w:pStyle w:val="Tabletext"/>
              <w:rPr>
                <w:b/>
                <w:bCs/>
                <w:i/>
                <w:iCs/>
                <w:szCs w:val="18"/>
              </w:rPr>
            </w:pPr>
            <w:r w:rsidRPr="0010208B">
              <w:rPr>
                <w:b/>
                <w:bCs/>
                <w:i/>
                <w:iCs/>
                <w:szCs w:val="18"/>
              </w:rPr>
              <w:t xml:space="preserve">(Compromise of </w:t>
            </w:r>
            <w:r w:rsidR="006E46BA">
              <w:rPr>
                <w:b/>
                <w:bCs/>
                <w:i/>
                <w:iCs/>
                <w:szCs w:val="18"/>
              </w:rPr>
              <w:t>integrity</w:t>
            </w:r>
            <w:r w:rsidR="00876A54">
              <w:rPr>
                <w:b/>
                <w:bCs/>
                <w:i/>
                <w:iCs/>
                <w:szCs w:val="18"/>
              </w:rPr>
              <w:t xml:space="preserve"> and availability</w:t>
            </w:r>
            <w:r w:rsidRPr="0010208B">
              <w:rPr>
                <w:b/>
                <w:bCs/>
                <w:i/>
                <w:iCs/>
                <w:szCs w:val="18"/>
              </w:rPr>
              <w:t>)</w:t>
            </w:r>
          </w:p>
        </w:tc>
        <w:tc>
          <w:tcPr>
            <w:tcW w:w="2981" w:type="dxa"/>
          </w:tcPr>
          <w:p w14:paraId="1C98AF26" w14:textId="2EFD1E17" w:rsidR="00367E12" w:rsidRPr="00D565D6" w:rsidRDefault="008C7D18" w:rsidP="00367E12">
            <w:pPr>
              <w:pStyle w:val="Tabletext"/>
              <w:rPr>
                <w:szCs w:val="18"/>
              </w:rPr>
            </w:pPr>
            <w:r>
              <w:rPr>
                <w:szCs w:val="18"/>
              </w:rPr>
              <w:t>Malicious</w:t>
            </w:r>
            <w:r w:rsidR="00886BA0">
              <w:rPr>
                <w:szCs w:val="18"/>
              </w:rPr>
              <w:t xml:space="preserve"> external threat actor hacking a website and replacing </w:t>
            </w:r>
            <w:r w:rsidR="004702F5">
              <w:rPr>
                <w:szCs w:val="18"/>
              </w:rPr>
              <w:t>Victorian government information</w:t>
            </w:r>
            <w:r w:rsidR="00886BA0">
              <w:rPr>
                <w:szCs w:val="18"/>
              </w:rPr>
              <w:t xml:space="preserve"> with </w:t>
            </w:r>
            <w:r w:rsidR="00492389">
              <w:rPr>
                <w:szCs w:val="18"/>
              </w:rPr>
              <w:t>inappropriate content</w:t>
            </w:r>
          </w:p>
        </w:tc>
        <w:tc>
          <w:tcPr>
            <w:tcW w:w="2980" w:type="dxa"/>
          </w:tcPr>
          <w:p w14:paraId="435C528C" w14:textId="77777777" w:rsidR="00492389" w:rsidRDefault="00492389" w:rsidP="00492389">
            <w:pPr>
              <w:pStyle w:val="Tabletext"/>
              <w:rPr>
                <w:szCs w:val="18"/>
              </w:rPr>
            </w:pPr>
            <w:r w:rsidRPr="008143CE">
              <w:rPr>
                <w:szCs w:val="18"/>
              </w:rPr>
              <w:t>Impact to service delivery</w:t>
            </w:r>
          </w:p>
          <w:p w14:paraId="28840E3C" w14:textId="015B8C40" w:rsidR="00367E12" w:rsidRPr="00D565D6" w:rsidRDefault="00D565D6" w:rsidP="00367E12">
            <w:pPr>
              <w:pStyle w:val="Tabletext"/>
              <w:rPr>
                <w:szCs w:val="18"/>
              </w:rPr>
            </w:pPr>
            <w:r w:rsidRPr="00D565D6">
              <w:rPr>
                <w:szCs w:val="18"/>
              </w:rPr>
              <w:t>Impact on public services (reputation of, and confidence in, the organisation)</w:t>
            </w:r>
          </w:p>
        </w:tc>
      </w:tr>
      <w:tr w:rsidR="00367E12" w:rsidRPr="00D565D6" w14:paraId="3C766770" w14:textId="77777777" w:rsidTr="0097704C">
        <w:trPr>
          <w:trHeight w:val="268"/>
        </w:trPr>
        <w:tc>
          <w:tcPr>
            <w:tcW w:w="2980" w:type="dxa"/>
          </w:tcPr>
          <w:p w14:paraId="2B984622" w14:textId="51106E46" w:rsidR="00367E12" w:rsidRDefault="002C5EB4" w:rsidP="00367E12">
            <w:pPr>
              <w:pStyle w:val="Tabletext"/>
              <w:rPr>
                <w:szCs w:val="18"/>
              </w:rPr>
            </w:pPr>
            <w:r>
              <w:rPr>
                <w:szCs w:val="18"/>
              </w:rPr>
              <w:t xml:space="preserve">Unauthorised </w:t>
            </w:r>
            <w:r w:rsidR="009D32AE">
              <w:rPr>
                <w:szCs w:val="18"/>
              </w:rPr>
              <w:t xml:space="preserve">access </w:t>
            </w:r>
            <w:r w:rsidR="00D66F97">
              <w:rPr>
                <w:szCs w:val="18"/>
              </w:rPr>
              <w:t xml:space="preserve">to </w:t>
            </w:r>
            <w:r w:rsidR="009D32AE">
              <w:rPr>
                <w:szCs w:val="18"/>
              </w:rPr>
              <w:t xml:space="preserve">and use of ChatGPT to produce </w:t>
            </w:r>
            <w:r w:rsidR="00E2451B">
              <w:rPr>
                <w:szCs w:val="18"/>
              </w:rPr>
              <w:t>reports</w:t>
            </w:r>
          </w:p>
          <w:p w14:paraId="1F34FA1D" w14:textId="073C1E01" w:rsidR="00A72052" w:rsidRPr="00A72052" w:rsidRDefault="00A72052" w:rsidP="00367E12">
            <w:pPr>
              <w:pStyle w:val="Tabletext"/>
              <w:rPr>
                <w:b/>
                <w:bCs/>
                <w:i/>
                <w:iCs/>
                <w:szCs w:val="18"/>
              </w:rPr>
            </w:pPr>
            <w:r w:rsidRPr="00A72052">
              <w:rPr>
                <w:b/>
                <w:bCs/>
                <w:i/>
                <w:iCs/>
                <w:szCs w:val="18"/>
              </w:rPr>
              <w:t xml:space="preserve">(Compromise of </w:t>
            </w:r>
            <w:r w:rsidR="00784BFF">
              <w:rPr>
                <w:b/>
                <w:bCs/>
                <w:i/>
                <w:iCs/>
                <w:szCs w:val="18"/>
              </w:rPr>
              <w:t>confidentiality</w:t>
            </w:r>
            <w:r w:rsidRPr="00A72052">
              <w:rPr>
                <w:b/>
                <w:bCs/>
                <w:i/>
                <w:iCs/>
                <w:szCs w:val="18"/>
              </w:rPr>
              <w:t>)</w:t>
            </w:r>
          </w:p>
        </w:tc>
        <w:tc>
          <w:tcPr>
            <w:tcW w:w="2981" w:type="dxa"/>
          </w:tcPr>
          <w:p w14:paraId="4E6BE77D" w14:textId="7366D893" w:rsidR="00367E12" w:rsidRPr="00D565D6" w:rsidRDefault="00EC44FF" w:rsidP="00367E12">
            <w:pPr>
              <w:pStyle w:val="Tabletext"/>
              <w:rPr>
                <w:szCs w:val="18"/>
              </w:rPr>
            </w:pPr>
            <w:r>
              <w:rPr>
                <w:szCs w:val="18"/>
              </w:rPr>
              <w:t>Staff member uploading confidential information onto</w:t>
            </w:r>
            <w:r w:rsidR="00C02141">
              <w:rPr>
                <w:szCs w:val="18"/>
              </w:rPr>
              <w:t xml:space="preserve"> commercial large language model</w:t>
            </w:r>
            <w:r w:rsidR="00512231">
              <w:rPr>
                <w:szCs w:val="18"/>
              </w:rPr>
              <w:t xml:space="preserve"> and copying output</w:t>
            </w:r>
            <w:r w:rsidR="00800619">
              <w:rPr>
                <w:szCs w:val="18"/>
              </w:rPr>
              <w:t xml:space="preserve"> into a new document</w:t>
            </w:r>
          </w:p>
        </w:tc>
        <w:tc>
          <w:tcPr>
            <w:tcW w:w="2980" w:type="dxa"/>
          </w:tcPr>
          <w:p w14:paraId="20A43FA2" w14:textId="77777777" w:rsidR="00B54871" w:rsidRPr="00D565D6" w:rsidRDefault="00B54871" w:rsidP="00B54871">
            <w:pPr>
              <w:pStyle w:val="Tabletext"/>
              <w:rPr>
                <w:szCs w:val="18"/>
              </w:rPr>
            </w:pPr>
            <w:r w:rsidRPr="00D565D6">
              <w:rPr>
                <w:szCs w:val="18"/>
              </w:rPr>
              <w:t xml:space="preserve">Impact to individuals whose personal information was affected </w:t>
            </w:r>
          </w:p>
          <w:p w14:paraId="1C9C8A68" w14:textId="725E5975" w:rsidR="00367E12" w:rsidRPr="00D565D6" w:rsidRDefault="008143CE" w:rsidP="008143CE">
            <w:pPr>
              <w:pStyle w:val="Tabletext"/>
              <w:rPr>
                <w:szCs w:val="18"/>
              </w:rPr>
            </w:pPr>
            <w:r w:rsidRPr="008143CE">
              <w:rPr>
                <w:szCs w:val="18"/>
              </w:rPr>
              <w:t>Impact on public services (reputation of, and confidence in, the organisation)</w:t>
            </w:r>
          </w:p>
        </w:tc>
      </w:tr>
    </w:tbl>
    <w:p w14:paraId="16EC2272" w14:textId="04059D74" w:rsidR="001A791E" w:rsidRPr="001A791E" w:rsidRDefault="00A6671C" w:rsidP="001A791E">
      <w:pPr>
        <w:pStyle w:val="Heading2"/>
      </w:pPr>
      <w:r>
        <w:t xml:space="preserve">More information </w:t>
      </w:r>
    </w:p>
    <w:p w14:paraId="5978F725" w14:textId="1779615E" w:rsidR="00A01C6A" w:rsidRDefault="00A6671C" w:rsidP="00A01C6A">
      <w:bookmarkStart w:id="6" w:name="_Toc30502218"/>
      <w:bookmarkStart w:id="7" w:name="_Toc87857027"/>
      <w:bookmarkStart w:id="8" w:name="_Toc116036529"/>
      <w:r>
        <w:t>For further information on the information security incident notification scheme and to download a notification form visit our website:</w:t>
      </w:r>
      <w:r>
        <w:br/>
      </w:r>
      <w:hyperlink r:id="rId23" w:anchor="information-security-incident-notification-scheme" w:history="1">
        <w:r w:rsidR="00CF77E7" w:rsidRPr="00C02827">
          <w:rPr>
            <w:rStyle w:val="Hyperlink"/>
          </w:rPr>
          <w:t>https://ovic.vic.gov.au/information-security/agency-reporting-obligations/#information-security-incident-notification-scheme</w:t>
        </w:r>
      </w:hyperlink>
      <w:r w:rsidR="00CF77E7">
        <w:t xml:space="preserve"> </w:t>
      </w:r>
      <w:r>
        <w:t xml:space="preserve"> </w:t>
      </w:r>
    </w:p>
    <w:p w14:paraId="5180C86B" w14:textId="6A40F80D" w:rsidR="001A791E" w:rsidRPr="00167077" w:rsidRDefault="00A6671C" w:rsidP="00A01C6A">
      <w:r>
        <w:t xml:space="preserve">We welcome your feedback on this report. </w:t>
      </w:r>
      <w:r w:rsidRPr="001F3DC9">
        <w:t xml:space="preserve">Contact OVIC at </w:t>
      </w:r>
      <w:hyperlink r:id="rId24" w:history="1">
        <w:r w:rsidRPr="00A6671C">
          <w:rPr>
            <w:rStyle w:val="Hyperlink"/>
            <w:color w:val="430098" w:themeColor="text2"/>
          </w:rPr>
          <w:t>security@ovic.vic.gov.au</w:t>
        </w:r>
      </w:hyperlink>
      <w:r>
        <w:t xml:space="preserve"> to discuss this report further.</w:t>
      </w:r>
      <w:bookmarkEnd w:id="6"/>
      <w:bookmarkEnd w:id="7"/>
      <w:bookmarkEnd w:id="8"/>
    </w:p>
    <w:sectPr w:rsidR="001A791E" w:rsidRPr="00167077" w:rsidSect="00E307CB">
      <w:headerReference w:type="even" r:id="rId25"/>
      <w:headerReference w:type="default" r:id="rId26"/>
      <w:footerReference w:type="even" r:id="rId27"/>
      <w:footerReference w:type="default" r:id="rId28"/>
      <w:headerReference w:type="first" r:id="rId29"/>
      <w:footerReference w:type="first" r:id="rId30"/>
      <w:pgSz w:w="11906" w:h="16838" w:code="9"/>
      <w:pgMar w:top="1304" w:right="1304" w:bottom="70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8751C" w14:textId="77777777" w:rsidR="00B41314" w:rsidRDefault="00B41314" w:rsidP="00C37A29">
      <w:pPr>
        <w:spacing w:after="0"/>
      </w:pPr>
      <w:r>
        <w:separator/>
      </w:r>
    </w:p>
    <w:p w14:paraId="3F715DF5" w14:textId="77777777" w:rsidR="00B41314" w:rsidRDefault="00B41314"/>
  </w:endnote>
  <w:endnote w:type="continuationSeparator" w:id="0">
    <w:p w14:paraId="3A98C35C" w14:textId="77777777" w:rsidR="00B41314" w:rsidRDefault="00B41314" w:rsidP="00C37A29">
      <w:pPr>
        <w:spacing w:after="0"/>
      </w:pPr>
      <w:r>
        <w:continuationSeparator/>
      </w:r>
    </w:p>
    <w:p w14:paraId="118B61B0" w14:textId="77777777" w:rsidR="00B41314" w:rsidRDefault="00B413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PostGrotesk-Book">
    <w:altName w:val="Times New Roman"/>
    <w:charset w:val="00"/>
    <w:family w:val="auto"/>
    <w:pitch w:val="variable"/>
    <w:sig w:usb0="00000001" w:usb1="500160FB" w:usb2="00000000" w:usb3="00000000" w:csb0="0000009B" w:csb1="00000000"/>
  </w:font>
  <w:font w:name="PostGrotesk-Medium">
    <w:altName w:val="Times New Roman"/>
    <w:charset w:val="00"/>
    <w:family w:val="auto"/>
    <w:pitch w:val="variable"/>
    <w:sig w:usb0="00000001" w:usb1="5001607B" w:usb2="00000000" w:usb3="00000000" w:csb0="00000193" w:csb1="00000000"/>
  </w:font>
  <w:font w:name="National-Book">
    <w:altName w:val="Times New Roman"/>
    <w:panose1 w:val="00000000000000000000"/>
    <w:charset w:val="4D"/>
    <w:family w:val="auto"/>
    <w:notTrueType/>
    <w:pitch w:val="variable"/>
    <w:sig w:usb0="A00000FF" w:usb1="5000207B" w:usb2="0000001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117ED" w14:textId="77777777" w:rsidR="00DD72B8" w:rsidRDefault="00DD72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61" w:type="dxa"/>
      <w:tblBorders>
        <w:top w:val="single" w:sz="4" w:space="0" w:color="430098" w:themeColor="text2"/>
        <w:left w:val="none" w:sz="0" w:space="0" w:color="auto"/>
        <w:bottom w:val="none" w:sz="0" w:space="0" w:color="auto"/>
        <w:right w:val="none" w:sz="0" w:space="0" w:color="auto"/>
        <w:insideH w:val="single" w:sz="4" w:space="0" w:color="430098" w:themeColor="text2"/>
        <w:insideV w:val="none" w:sz="0" w:space="0" w:color="auto"/>
      </w:tblBorders>
      <w:tblLook w:val="04A0" w:firstRow="1" w:lastRow="0" w:firstColumn="1" w:lastColumn="0" w:noHBand="0" w:noVBand="1"/>
    </w:tblPr>
    <w:tblGrid>
      <w:gridCol w:w="3261"/>
      <w:gridCol w:w="2831"/>
      <w:gridCol w:w="3269"/>
    </w:tblGrid>
    <w:tr w:rsidR="002744D6" w14:paraId="3E73E739" w14:textId="77777777" w:rsidTr="00031095">
      <w:tc>
        <w:tcPr>
          <w:tcW w:w="3261" w:type="dxa"/>
          <w:vAlign w:val="center"/>
        </w:tcPr>
        <w:p w14:paraId="66ADDC6F" w14:textId="329457CB" w:rsidR="002744D6" w:rsidRPr="002744D6" w:rsidRDefault="002744D6" w:rsidP="002744D6">
          <w:pPr>
            <w:spacing w:before="0" w:after="0"/>
            <w:rPr>
              <w:color w:val="430098" w:themeColor="text2"/>
              <w:sz w:val="16"/>
              <w:szCs w:val="16"/>
            </w:rPr>
          </w:pPr>
          <w:r w:rsidRPr="00E55CAE">
            <w:rPr>
              <w:color w:val="430098" w:themeColor="text2"/>
              <w:sz w:val="16"/>
              <w:szCs w:val="16"/>
            </w:rPr>
            <w:t>www.ovic.vic.gov.au</w:t>
          </w:r>
          <w:r w:rsidRPr="00ED59AB">
            <w:rPr>
              <w:bCs/>
            </w:rPr>
            <w:t xml:space="preserve"> </w:t>
          </w:r>
          <w:r w:rsidRPr="00ED59AB">
            <w:rPr>
              <w:b/>
              <w:bCs/>
            </w:rPr>
            <w:fldChar w:fldCharType="begin"/>
          </w:r>
          <w:r w:rsidRPr="00ED59AB">
            <w:rPr>
              <w:bCs/>
            </w:rPr>
            <w:instrText xml:space="preserve"> TITLE   \* MERGEFORMAT </w:instrText>
          </w:r>
          <w:r w:rsidRPr="00ED59AB">
            <w:rPr>
              <w:b/>
              <w:bCs/>
            </w:rPr>
            <w:fldChar w:fldCharType="end"/>
          </w:r>
        </w:p>
      </w:tc>
      <w:tc>
        <w:tcPr>
          <w:tcW w:w="2831" w:type="dxa"/>
          <w:vAlign w:val="center"/>
        </w:tcPr>
        <w:p w14:paraId="36EE86BC" w14:textId="77777777" w:rsidR="002744D6" w:rsidRPr="00E55CAE" w:rsidRDefault="002744D6" w:rsidP="002744D6">
          <w:pPr>
            <w:pStyle w:val="FooterToggle"/>
            <w:spacing w:line="259" w:lineRule="auto"/>
            <w:rPr>
              <w:b w:val="0"/>
              <w:bCs/>
            </w:rPr>
          </w:pPr>
          <w:r w:rsidRPr="00E55CAE">
            <w:rPr>
              <w:b w:val="0"/>
              <w:bCs/>
            </w:rPr>
            <w:t>Disclaimer</w:t>
          </w:r>
        </w:p>
        <w:p w14:paraId="77B3B029" w14:textId="77777777" w:rsidR="002744D6" w:rsidRPr="00A3584F" w:rsidRDefault="002744D6" w:rsidP="002744D6">
          <w:pPr>
            <w:spacing w:before="0" w:after="0" w:line="259" w:lineRule="auto"/>
            <w:rPr>
              <w:sz w:val="14"/>
              <w:szCs w:val="14"/>
            </w:rPr>
          </w:pPr>
          <w:r w:rsidRPr="00A3584F">
            <w:rPr>
              <w:sz w:val="14"/>
              <w:szCs w:val="14"/>
            </w:rPr>
            <w:t>The information in this document is general in nature and does not constitute legal advice.</w:t>
          </w:r>
        </w:p>
      </w:tc>
      <w:tc>
        <w:tcPr>
          <w:tcW w:w="3269" w:type="dxa"/>
          <w:vAlign w:val="center"/>
        </w:tcPr>
        <w:p w14:paraId="437A1B3E" w14:textId="77777777" w:rsidR="002744D6" w:rsidRDefault="002744D6" w:rsidP="002744D6">
          <w:pPr>
            <w:pStyle w:val="PageNumber-right"/>
            <w:framePr w:hSpace="0" w:wrap="auto" w:vAnchor="margin" w:hAnchor="text" w:yAlign="inline"/>
            <w:suppressOverlap w:val="0"/>
          </w:pPr>
          <w:r w:rsidRPr="00A3584F">
            <w:rPr>
              <w:lang w:val="en-GB"/>
            </w:rPr>
            <w:fldChar w:fldCharType="begin"/>
          </w:r>
          <w:r w:rsidRPr="00A3584F">
            <w:rPr>
              <w:lang w:val="en-GB"/>
            </w:rPr>
            <w:instrText>PAGE  \* Arabic  \* MERGEFORMAT</w:instrText>
          </w:r>
          <w:r w:rsidRPr="00A3584F">
            <w:rPr>
              <w:lang w:val="en-GB"/>
            </w:rPr>
            <w:fldChar w:fldCharType="separate"/>
          </w:r>
          <w:r>
            <w:rPr>
              <w:lang w:val="en-GB"/>
            </w:rPr>
            <w:t>2</w:t>
          </w:r>
          <w:r w:rsidRPr="00A3584F">
            <w:rPr>
              <w:lang w:val="en-GB"/>
            </w:rPr>
            <w:fldChar w:fldCharType="end"/>
          </w:r>
          <w:r w:rsidRPr="00A3584F">
            <w:rPr>
              <w:lang w:val="en-GB"/>
            </w:rPr>
            <w:t xml:space="preserve"> /</w:t>
          </w:r>
          <w:r>
            <w:rPr>
              <w:lang w:val="en-GB"/>
            </w:rPr>
            <w:t xml:space="preserve"> </w:t>
          </w:r>
          <w:r>
            <w:rPr>
              <w:lang w:val="en-GB"/>
            </w:rPr>
            <w:fldChar w:fldCharType="begin"/>
          </w:r>
          <w:r w:rsidRPr="00A3584F">
            <w:rPr>
              <w:lang w:val="en-GB"/>
            </w:rPr>
            <w:instrText>NUMPAGES  \* Arabic  \* MERGEFORMAT</w:instrText>
          </w:r>
          <w:r>
            <w:rPr>
              <w:lang w:val="en-GB"/>
            </w:rPr>
            <w:fldChar w:fldCharType="separate"/>
          </w:r>
          <w:r>
            <w:rPr>
              <w:lang w:val="en-GB"/>
            </w:rPr>
            <w:t>2</w:t>
          </w:r>
          <w:r>
            <w:rPr>
              <w:lang w:val="en-GB"/>
            </w:rPr>
            <w:fldChar w:fldCharType="end"/>
          </w:r>
        </w:p>
      </w:tc>
    </w:tr>
  </w:tbl>
  <w:sdt>
    <w:sdtPr>
      <w:rPr>
        <w:caps w:val="0"/>
        <w:sz w:val="44"/>
        <w:szCs w:val="44"/>
      </w:rPr>
      <w:id w:val="-487555969"/>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7F7A5D67" w14:textId="15367219" w:rsidR="002744D6" w:rsidRPr="00FA1B6A" w:rsidRDefault="002744D6" w:rsidP="002744D6">
        <w:pPr>
          <w:pStyle w:val="ProtectiveMarking"/>
          <w:framePr w:wrap="around" w:y="16036"/>
          <w:spacing w:before="0" w:after="0"/>
          <w:rPr>
            <w:caps w:val="0"/>
            <w:sz w:val="44"/>
            <w:szCs w:val="44"/>
          </w:rPr>
        </w:pPr>
        <w:r w:rsidRPr="00FA1B6A">
          <w:rPr>
            <w:caps w:val="0"/>
            <w:sz w:val="44"/>
            <w:szCs w:val="44"/>
          </w:rPr>
          <w:t>OFFICIAL</w:t>
        </w:r>
      </w:p>
    </w:sdtContent>
  </w:sdt>
  <w:p w14:paraId="3A19B48A" w14:textId="77777777" w:rsidR="00CB1E32" w:rsidRPr="00A81CCD" w:rsidRDefault="00CB1E32" w:rsidP="002744D6">
    <w:pPr>
      <w:pStyle w:val="Footer"/>
      <w:spacing w:befor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19" w:type="dxa"/>
      <w:tblBorders>
        <w:top w:val="single" w:sz="4" w:space="0" w:color="430098" w:themeColor="text2"/>
        <w:left w:val="none" w:sz="0" w:space="0" w:color="auto"/>
        <w:bottom w:val="none" w:sz="0" w:space="0" w:color="auto"/>
        <w:right w:val="none" w:sz="0" w:space="0" w:color="auto"/>
        <w:insideH w:val="single" w:sz="4" w:space="0" w:color="430098" w:themeColor="text2"/>
        <w:insideV w:val="none" w:sz="0" w:space="0" w:color="auto"/>
      </w:tblBorders>
      <w:tblLook w:val="04A0" w:firstRow="1" w:lastRow="0" w:firstColumn="1" w:lastColumn="0" w:noHBand="0" w:noVBand="1"/>
    </w:tblPr>
    <w:tblGrid>
      <w:gridCol w:w="3261"/>
      <w:gridCol w:w="2831"/>
      <w:gridCol w:w="3127"/>
    </w:tblGrid>
    <w:tr w:rsidR="002744D6" w14:paraId="78E5F078" w14:textId="77777777" w:rsidTr="00031095">
      <w:tc>
        <w:tcPr>
          <w:tcW w:w="3261" w:type="dxa"/>
          <w:vAlign w:val="center"/>
        </w:tcPr>
        <w:p w14:paraId="073D9D8D" w14:textId="01362F16" w:rsidR="002744D6" w:rsidRDefault="002744D6" w:rsidP="002744D6">
          <w:pPr>
            <w:pStyle w:val="FooterToggle"/>
            <w:rPr>
              <w:b w:val="0"/>
              <w:bCs/>
            </w:rPr>
          </w:pPr>
          <w:r w:rsidRPr="00E55CAE">
            <w:rPr>
              <w:b w:val="0"/>
              <w:bCs/>
            </w:rPr>
            <w:t xml:space="preserve">CM: </w:t>
          </w:r>
          <w:r>
            <w:rPr>
              <w:b w:val="0"/>
              <w:bCs/>
            </w:rPr>
            <w:t>D2</w:t>
          </w:r>
          <w:r w:rsidR="0070719F">
            <w:rPr>
              <w:b w:val="0"/>
              <w:bCs/>
            </w:rPr>
            <w:t>6</w:t>
          </w:r>
          <w:r w:rsidR="004477D2">
            <w:rPr>
              <w:b w:val="0"/>
              <w:bCs/>
            </w:rPr>
            <w:t>/</w:t>
          </w:r>
          <w:r w:rsidR="00DD72B8">
            <w:rPr>
              <w:b w:val="0"/>
              <w:bCs/>
            </w:rPr>
            <w:t>564</w:t>
          </w:r>
        </w:p>
        <w:p w14:paraId="4FAC2C83" w14:textId="4D41E76D" w:rsidR="002744D6" w:rsidRDefault="00C5386D" w:rsidP="002744D6">
          <w:pPr>
            <w:spacing w:before="0" w:after="0"/>
            <w:rPr>
              <w:bCs/>
              <w:color w:val="430098" w:themeColor="text2"/>
              <w:sz w:val="16"/>
              <w:szCs w:val="16"/>
            </w:rPr>
          </w:pPr>
          <w:r>
            <w:rPr>
              <w:bCs/>
              <w:color w:val="430098" w:themeColor="text2"/>
              <w:sz w:val="16"/>
              <w:szCs w:val="16"/>
            </w:rPr>
            <w:t>March</w:t>
          </w:r>
          <w:r w:rsidR="004477D2">
            <w:rPr>
              <w:bCs/>
              <w:color w:val="430098" w:themeColor="text2"/>
              <w:sz w:val="16"/>
              <w:szCs w:val="16"/>
            </w:rPr>
            <w:t xml:space="preserve"> 202</w:t>
          </w:r>
          <w:r>
            <w:rPr>
              <w:bCs/>
              <w:color w:val="430098" w:themeColor="text2"/>
              <w:sz w:val="16"/>
              <w:szCs w:val="16"/>
            </w:rPr>
            <w:t>6</w:t>
          </w:r>
        </w:p>
        <w:p w14:paraId="4BBA079F" w14:textId="1E236A27" w:rsidR="002744D6" w:rsidRDefault="002744D6" w:rsidP="002744D6">
          <w:pPr>
            <w:spacing w:before="0" w:after="0"/>
          </w:pPr>
          <w:r w:rsidRPr="00E55CAE">
            <w:rPr>
              <w:bCs/>
              <w:color w:val="430098" w:themeColor="text2"/>
              <w:sz w:val="16"/>
              <w:szCs w:val="16"/>
            </w:rPr>
            <w:t>www.ovic.vic.gov.au</w:t>
          </w:r>
        </w:p>
      </w:tc>
      <w:tc>
        <w:tcPr>
          <w:tcW w:w="2831" w:type="dxa"/>
          <w:vAlign w:val="center"/>
        </w:tcPr>
        <w:p w14:paraId="3AC33647" w14:textId="77777777" w:rsidR="002744D6" w:rsidRPr="00E55CAE" w:rsidRDefault="002744D6" w:rsidP="002744D6">
          <w:pPr>
            <w:pStyle w:val="FooterToggle"/>
            <w:spacing w:line="259" w:lineRule="auto"/>
            <w:rPr>
              <w:b w:val="0"/>
              <w:bCs/>
            </w:rPr>
          </w:pPr>
          <w:r w:rsidRPr="00E55CAE">
            <w:rPr>
              <w:b w:val="0"/>
              <w:bCs/>
            </w:rPr>
            <w:t>Disclaimer</w:t>
          </w:r>
        </w:p>
        <w:p w14:paraId="6E0621A0" w14:textId="77777777" w:rsidR="002744D6" w:rsidRPr="00A3584F" w:rsidRDefault="002744D6" w:rsidP="002744D6">
          <w:pPr>
            <w:spacing w:before="0" w:after="0" w:line="259" w:lineRule="auto"/>
            <w:rPr>
              <w:sz w:val="14"/>
              <w:szCs w:val="14"/>
            </w:rPr>
          </w:pPr>
          <w:r w:rsidRPr="00A3584F">
            <w:rPr>
              <w:sz w:val="14"/>
              <w:szCs w:val="14"/>
            </w:rPr>
            <w:t>The information in this document is general in nature and does not constitute legal advice.</w:t>
          </w:r>
        </w:p>
      </w:tc>
      <w:tc>
        <w:tcPr>
          <w:tcW w:w="3127" w:type="dxa"/>
          <w:vAlign w:val="center"/>
        </w:tcPr>
        <w:p w14:paraId="7C44DD2D" w14:textId="77777777" w:rsidR="002744D6" w:rsidRDefault="002744D6" w:rsidP="002744D6">
          <w:pPr>
            <w:pStyle w:val="PageNumber-right"/>
            <w:framePr w:hSpace="0" w:wrap="auto" w:vAnchor="margin" w:hAnchor="text" w:yAlign="inline"/>
            <w:suppressOverlap w:val="0"/>
          </w:pPr>
          <w:r w:rsidRPr="00A3584F">
            <w:rPr>
              <w:lang w:val="en-GB"/>
            </w:rPr>
            <w:fldChar w:fldCharType="begin"/>
          </w:r>
          <w:r w:rsidRPr="00A3584F">
            <w:rPr>
              <w:lang w:val="en-GB"/>
            </w:rPr>
            <w:instrText>PAGE  \* Arabic  \* MERGEFORMAT</w:instrText>
          </w:r>
          <w:r w:rsidRPr="00A3584F">
            <w:rPr>
              <w:lang w:val="en-GB"/>
            </w:rPr>
            <w:fldChar w:fldCharType="separate"/>
          </w:r>
          <w:r>
            <w:rPr>
              <w:lang w:val="en-GB"/>
            </w:rPr>
            <w:t>1</w:t>
          </w:r>
          <w:r w:rsidRPr="00A3584F">
            <w:rPr>
              <w:lang w:val="en-GB"/>
            </w:rPr>
            <w:fldChar w:fldCharType="end"/>
          </w:r>
          <w:r w:rsidRPr="00A3584F">
            <w:rPr>
              <w:lang w:val="en-GB"/>
            </w:rPr>
            <w:t xml:space="preserve"> /</w:t>
          </w:r>
          <w:r>
            <w:rPr>
              <w:lang w:val="en-GB"/>
            </w:rPr>
            <w:t xml:space="preserve"> </w:t>
          </w:r>
          <w:r>
            <w:rPr>
              <w:lang w:val="en-GB"/>
            </w:rPr>
            <w:fldChar w:fldCharType="begin"/>
          </w:r>
          <w:r w:rsidRPr="00A3584F">
            <w:rPr>
              <w:lang w:val="en-GB"/>
            </w:rPr>
            <w:instrText>NUMPAGES  \* Arabic  \* MERGEFORMAT</w:instrText>
          </w:r>
          <w:r>
            <w:rPr>
              <w:lang w:val="en-GB"/>
            </w:rPr>
            <w:fldChar w:fldCharType="separate"/>
          </w:r>
          <w:r>
            <w:rPr>
              <w:lang w:val="en-GB"/>
            </w:rPr>
            <w:t>2</w:t>
          </w:r>
          <w:r>
            <w:rPr>
              <w:lang w:val="en-GB"/>
            </w:rPr>
            <w:fldChar w:fldCharType="end"/>
          </w:r>
        </w:p>
      </w:tc>
    </w:tr>
  </w:tbl>
  <w:sdt>
    <w:sdtPr>
      <w:rPr>
        <w:caps w:val="0"/>
        <w:sz w:val="44"/>
        <w:szCs w:val="44"/>
      </w:rPr>
      <w:id w:val="908579802"/>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284725CE" w14:textId="34CE3D3E" w:rsidR="002744D6" w:rsidRPr="00FA1B6A" w:rsidRDefault="002744D6" w:rsidP="002744D6">
        <w:pPr>
          <w:pStyle w:val="ProtectiveMarking"/>
          <w:framePr w:wrap="around" w:y="16036"/>
          <w:spacing w:before="0" w:after="0"/>
          <w:rPr>
            <w:caps w:val="0"/>
            <w:sz w:val="44"/>
            <w:szCs w:val="44"/>
          </w:rPr>
        </w:pPr>
        <w:r w:rsidRPr="00FA1B6A">
          <w:rPr>
            <w:caps w:val="0"/>
            <w:sz w:val="44"/>
            <w:szCs w:val="44"/>
          </w:rPr>
          <w:t>OFFICIAL</w:t>
        </w:r>
      </w:p>
    </w:sdtContent>
  </w:sdt>
  <w:p w14:paraId="2E0007CD" w14:textId="77777777" w:rsidR="003B0240" w:rsidRDefault="003B02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9B9E5" w14:textId="77777777" w:rsidR="00B41314" w:rsidRDefault="00B41314" w:rsidP="004C5DAA">
      <w:pPr>
        <w:spacing w:after="120"/>
      </w:pPr>
      <w:r>
        <w:separator/>
      </w:r>
    </w:p>
  </w:footnote>
  <w:footnote w:type="continuationSeparator" w:id="0">
    <w:p w14:paraId="0A3E0FFB" w14:textId="77777777" w:rsidR="00B41314" w:rsidRDefault="00B41314" w:rsidP="00C37A29">
      <w:pPr>
        <w:spacing w:after="0"/>
      </w:pPr>
      <w:r>
        <w:continuationSeparator/>
      </w:r>
    </w:p>
    <w:p w14:paraId="09F7B4E7" w14:textId="77777777" w:rsidR="00B41314" w:rsidRDefault="00B41314"/>
  </w:footnote>
  <w:footnote w:id="1">
    <w:p w14:paraId="40F296BA" w14:textId="77777777" w:rsidR="00A6671C" w:rsidRDefault="00A6671C" w:rsidP="00A6671C">
      <w:pPr>
        <w:pStyle w:val="FootnoteText"/>
      </w:pPr>
      <w:r>
        <w:rPr>
          <w:rStyle w:val="FootnoteReference"/>
        </w:rPr>
        <w:footnoteRef/>
      </w:r>
      <w:r>
        <w:t xml:space="preserve"> </w:t>
      </w:r>
      <w:r w:rsidRPr="009F2C07">
        <w:rPr>
          <w:sz w:val="18"/>
          <w:szCs w:val="18"/>
        </w:rPr>
        <w:t xml:space="preserve">Refer to </w:t>
      </w:r>
      <w:hyperlink r:id="rId1" w:history="1">
        <w:r w:rsidRPr="00A6671C">
          <w:rPr>
            <w:rStyle w:val="Hyperlink"/>
            <w:color w:val="430098" w:themeColor="text2"/>
            <w:sz w:val="18"/>
            <w:szCs w:val="18"/>
          </w:rPr>
          <w:t>https://ovic.vic.gov.au/data-protection/victorian-protective-data-security-framework-business-impact-level-table-v2-1/</w:t>
        </w:r>
      </w:hyperlink>
    </w:p>
  </w:footnote>
  <w:footnote w:id="2">
    <w:p w14:paraId="05BF24BB" w14:textId="77777777" w:rsidR="0097704C" w:rsidRPr="00637791" w:rsidRDefault="0097704C" w:rsidP="0097704C">
      <w:pPr>
        <w:pStyle w:val="Body"/>
        <w:rPr>
          <w:rFonts w:asciiTheme="majorHAnsi" w:hAnsiTheme="majorHAnsi" w:cstheme="majorHAnsi"/>
          <w:sz w:val="18"/>
          <w:szCs w:val="18"/>
        </w:rPr>
      </w:pPr>
      <w:r w:rsidRPr="00637791">
        <w:rPr>
          <w:rStyle w:val="FootnoteReference"/>
          <w:rFonts w:asciiTheme="majorHAnsi" w:hAnsiTheme="majorHAnsi" w:cstheme="majorHAnsi"/>
          <w:color w:val="auto"/>
          <w:sz w:val="18"/>
          <w:szCs w:val="18"/>
        </w:rPr>
        <w:footnoteRef/>
      </w:r>
      <w:r w:rsidRPr="00637791">
        <w:rPr>
          <w:rFonts w:asciiTheme="majorHAnsi" w:hAnsiTheme="majorHAnsi" w:cstheme="majorHAnsi"/>
          <w:color w:val="auto"/>
          <w:sz w:val="18"/>
          <w:szCs w:val="18"/>
        </w:rPr>
        <w:t xml:space="preserve"> The extent of the impact could be “limited” or higher depending on the context and nature of the incident and is left for an organisation to determine.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38B3F" w14:textId="77777777" w:rsidR="00DD72B8" w:rsidRDefault="00DD72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aps w:val="0"/>
        <w:sz w:val="44"/>
        <w:szCs w:val="44"/>
      </w:rPr>
      <w:id w:val="-391735166"/>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0BE23A93" w14:textId="07C13E6F" w:rsidR="002744D6" w:rsidRPr="00FA1B6A" w:rsidRDefault="002744D6" w:rsidP="002744D6">
        <w:pPr>
          <w:pStyle w:val="ProtectiveMarking"/>
          <w:framePr w:wrap="around"/>
          <w:spacing w:before="0" w:after="0"/>
          <w:rPr>
            <w:caps w:val="0"/>
            <w:sz w:val="44"/>
            <w:szCs w:val="44"/>
          </w:rPr>
        </w:pPr>
        <w:r w:rsidRPr="00FA1B6A">
          <w:rPr>
            <w:caps w:val="0"/>
            <w:sz w:val="44"/>
            <w:szCs w:val="44"/>
          </w:rPr>
          <w:t>OFFICIAL</w:t>
        </w:r>
      </w:p>
    </w:sdtContent>
  </w:sdt>
  <w:p w14:paraId="554278A7" w14:textId="72BD6264" w:rsidR="00CB1E32" w:rsidRPr="002744D6" w:rsidRDefault="00CB1E32" w:rsidP="002744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aps w:val="0"/>
        <w:sz w:val="44"/>
        <w:szCs w:val="44"/>
      </w:rPr>
      <w:id w:val="872343476"/>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35FED51D" w14:textId="10C9D574" w:rsidR="002744D6" w:rsidRPr="00FA1B6A" w:rsidRDefault="002744D6" w:rsidP="002744D6">
        <w:pPr>
          <w:pStyle w:val="ProtectiveMarking"/>
          <w:framePr w:wrap="around"/>
          <w:spacing w:before="0" w:after="0"/>
          <w:rPr>
            <w:caps w:val="0"/>
            <w:sz w:val="44"/>
            <w:szCs w:val="44"/>
          </w:rPr>
        </w:pPr>
        <w:r w:rsidRPr="00FA1B6A">
          <w:rPr>
            <w:caps w:val="0"/>
            <w:sz w:val="44"/>
            <w:szCs w:val="44"/>
          </w:rPr>
          <w:t>OFFICIAL</w:t>
        </w:r>
      </w:p>
    </w:sdtContent>
  </w:sdt>
  <w:p w14:paraId="512C8747" w14:textId="77777777" w:rsidR="009A1E02" w:rsidRDefault="001C0D28">
    <w:pPr>
      <w:pStyle w:val="Header"/>
    </w:pPr>
    <w:r>
      <w:rPr>
        <w:noProof/>
      </w:rPr>
      <w:drawing>
        <wp:anchor distT="4320540" distB="107950" distL="114300" distR="114300" simplePos="0" relativeHeight="251674624" behindDoc="0" locked="1" layoutInCell="1" allowOverlap="1" wp14:anchorId="1608FA04" wp14:editId="716C1E8D">
          <wp:simplePos x="0" y="0"/>
          <wp:positionH relativeFrom="margin">
            <wp:align>left</wp:align>
          </wp:positionH>
          <wp:positionV relativeFrom="page">
            <wp:posOffset>756285</wp:posOffset>
          </wp:positionV>
          <wp:extent cx="1472400" cy="648000"/>
          <wp:effectExtent l="0" t="0" r="0" b="0"/>
          <wp:wrapTopAndBottom/>
          <wp:docPr id="2007281803" name="Graphic 2007281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724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801DD"/>
    <w:multiLevelType w:val="hybridMultilevel"/>
    <w:tmpl w:val="78D4E6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431BD9"/>
    <w:multiLevelType w:val="multilevel"/>
    <w:tmpl w:val="3252CBE4"/>
    <w:numStyleLink w:val="Numbering"/>
  </w:abstractNum>
  <w:abstractNum w:abstractNumId="2" w15:restartNumberingAfterBreak="0">
    <w:nsid w:val="08182509"/>
    <w:multiLevelType w:val="hybridMultilevel"/>
    <w:tmpl w:val="09622FF2"/>
    <w:lvl w:ilvl="0" w:tplc="46745710">
      <w:numFmt w:val="bullet"/>
      <w:lvlText w:val="•"/>
      <w:lvlJc w:val="left"/>
      <w:pPr>
        <w:ind w:left="1080" w:hanging="72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CC2E6B"/>
    <w:multiLevelType w:val="hybridMultilevel"/>
    <w:tmpl w:val="D55CB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C2735F"/>
    <w:multiLevelType w:val="multilevel"/>
    <w:tmpl w:val="50041352"/>
    <w:styleLink w:val="ListHeadings"/>
    <w:lvl w:ilvl="0">
      <w:start w:val="1"/>
      <w:numFmt w:val="decimal"/>
      <w:lvlText w:val="%1."/>
      <w:lvlJc w:val="left"/>
      <w:pPr>
        <w:tabs>
          <w:tab w:val="num" w:pos="360"/>
        </w:tabs>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F6F37EA"/>
    <w:multiLevelType w:val="multilevel"/>
    <w:tmpl w:val="3252CBE4"/>
    <w:styleLink w:val="Numbering"/>
    <w:lvl w:ilvl="0">
      <w:start w:val="1"/>
      <w:numFmt w:val="decimal"/>
      <w:pStyle w:val="ListNumber"/>
      <w:lvlText w:val="%1."/>
      <w:lvlJc w:val="left"/>
      <w:pPr>
        <w:tabs>
          <w:tab w:val="num" w:pos="284"/>
        </w:tabs>
        <w:ind w:left="567" w:hanging="283"/>
      </w:pPr>
      <w:rPr>
        <w:rFonts w:hint="default"/>
      </w:rPr>
    </w:lvl>
    <w:lvl w:ilvl="1">
      <w:start w:val="1"/>
      <w:numFmt w:val="decimal"/>
      <w:pStyle w:val="ListNumber2"/>
      <w:lvlText w:val="%1.%2."/>
      <w:lvlJc w:val="left"/>
      <w:pPr>
        <w:ind w:left="1134" w:hanging="567"/>
      </w:pPr>
      <w:rPr>
        <w:rFonts w:hint="default"/>
      </w:rPr>
    </w:lvl>
    <w:lvl w:ilvl="2">
      <w:start w:val="1"/>
      <w:numFmt w:val="decimal"/>
      <w:pStyle w:val="ListNumber3"/>
      <w:lvlText w:val="%1.%2.%3."/>
      <w:lvlJc w:val="left"/>
      <w:pPr>
        <w:tabs>
          <w:tab w:val="num" w:pos="1134"/>
        </w:tabs>
        <w:ind w:left="1701" w:hanging="56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6" w15:restartNumberingAfterBreak="0">
    <w:nsid w:val="10CB6964"/>
    <w:multiLevelType w:val="hybridMultilevel"/>
    <w:tmpl w:val="BDA02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74402F"/>
    <w:multiLevelType w:val="hybridMultilevel"/>
    <w:tmpl w:val="16AE9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1DE1E3F"/>
    <w:multiLevelType w:val="hybridMultilevel"/>
    <w:tmpl w:val="F836B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7E1DD3"/>
    <w:multiLevelType w:val="hybridMultilevel"/>
    <w:tmpl w:val="D2F6A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155739"/>
    <w:multiLevelType w:val="multilevel"/>
    <w:tmpl w:val="B6542242"/>
    <w:styleLink w:val="LetteredList"/>
    <w:lvl w:ilvl="0">
      <w:start w:val="1"/>
      <w:numFmt w:val="lowerLetter"/>
      <w:pStyle w:val="List"/>
      <w:lvlText w:val="(%1)."/>
      <w:lvlJc w:val="left"/>
      <w:pPr>
        <w:ind w:left="1701" w:hanging="567"/>
      </w:pPr>
      <w:rPr>
        <w:rFonts w:hint="default"/>
      </w:rPr>
    </w:lvl>
    <w:lvl w:ilvl="1">
      <w:start w:val="1"/>
      <w:numFmt w:val="lowerRoman"/>
      <w:pStyle w:val="List2"/>
      <w:lvlText w:val="(%2)."/>
      <w:lvlJc w:val="left"/>
      <w:pPr>
        <w:ind w:left="1701"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92305CC"/>
    <w:multiLevelType w:val="hybridMultilevel"/>
    <w:tmpl w:val="2E886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A6F539E"/>
    <w:multiLevelType w:val="hybridMultilevel"/>
    <w:tmpl w:val="26528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6A555D"/>
    <w:multiLevelType w:val="hybridMultilevel"/>
    <w:tmpl w:val="15A259FC"/>
    <w:lvl w:ilvl="0" w:tplc="46745710">
      <w:numFmt w:val="bullet"/>
      <w:lvlText w:val="•"/>
      <w:lvlJc w:val="left"/>
      <w:pPr>
        <w:ind w:left="1080" w:hanging="72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9365FB"/>
    <w:multiLevelType w:val="hybridMultilevel"/>
    <w:tmpl w:val="5B9A9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E56C51"/>
    <w:multiLevelType w:val="hybridMultilevel"/>
    <w:tmpl w:val="6B982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9B3867"/>
    <w:multiLevelType w:val="hybridMultilevel"/>
    <w:tmpl w:val="EDD23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0215C86"/>
    <w:multiLevelType w:val="multilevel"/>
    <w:tmpl w:val="7B2236E6"/>
    <w:numStyleLink w:val="Bullets"/>
  </w:abstractNum>
  <w:abstractNum w:abstractNumId="18" w15:restartNumberingAfterBreak="0">
    <w:nsid w:val="23B62BED"/>
    <w:multiLevelType w:val="hybridMultilevel"/>
    <w:tmpl w:val="D2581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59166FB"/>
    <w:multiLevelType w:val="hybridMultilevel"/>
    <w:tmpl w:val="F0A6D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8AC15AD"/>
    <w:multiLevelType w:val="hybridMultilevel"/>
    <w:tmpl w:val="A8600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D5D0799"/>
    <w:multiLevelType w:val="hybridMultilevel"/>
    <w:tmpl w:val="D07CC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EA35B28"/>
    <w:multiLevelType w:val="hybridMultilevel"/>
    <w:tmpl w:val="A608110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3" w15:restartNumberingAfterBreak="0">
    <w:nsid w:val="32CB4FA3"/>
    <w:multiLevelType w:val="hybridMultilevel"/>
    <w:tmpl w:val="EB968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4136B2F"/>
    <w:multiLevelType w:val="hybridMultilevel"/>
    <w:tmpl w:val="56BCE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ADE0C10"/>
    <w:multiLevelType w:val="hybridMultilevel"/>
    <w:tmpl w:val="CC045B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AE34E51"/>
    <w:multiLevelType w:val="hybridMultilevel"/>
    <w:tmpl w:val="693A3E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101058C"/>
    <w:multiLevelType w:val="hybridMultilevel"/>
    <w:tmpl w:val="D8886D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2B6077A"/>
    <w:multiLevelType w:val="hybridMultilevel"/>
    <w:tmpl w:val="0F9AE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7473389"/>
    <w:multiLevelType w:val="hybridMultilevel"/>
    <w:tmpl w:val="8A1CC438"/>
    <w:lvl w:ilvl="0" w:tplc="8D8EF3BE">
      <w:numFmt w:val="bullet"/>
      <w:lvlText w:val="•"/>
      <w:lvlJc w:val="left"/>
      <w:pPr>
        <w:ind w:left="1080" w:hanging="72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99067FA"/>
    <w:multiLevelType w:val="hybridMultilevel"/>
    <w:tmpl w:val="576EA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EFE35E2"/>
    <w:multiLevelType w:val="hybridMultilevel"/>
    <w:tmpl w:val="C108D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10C0407"/>
    <w:multiLevelType w:val="hybridMultilevel"/>
    <w:tmpl w:val="47A64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2FA1525"/>
    <w:multiLevelType w:val="hybridMultilevel"/>
    <w:tmpl w:val="AC3E7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5166FB2"/>
    <w:multiLevelType w:val="hybridMultilevel"/>
    <w:tmpl w:val="AA98F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5462616"/>
    <w:multiLevelType w:val="hybridMultilevel"/>
    <w:tmpl w:val="B762A2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98F1835"/>
    <w:multiLevelType w:val="hybridMultilevel"/>
    <w:tmpl w:val="B5C26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B290B31"/>
    <w:multiLevelType w:val="hybridMultilevel"/>
    <w:tmpl w:val="0F0ED4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D0138FB"/>
    <w:multiLevelType w:val="hybridMultilevel"/>
    <w:tmpl w:val="7A70908C"/>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9" w15:restartNumberingAfterBreak="0">
    <w:nsid w:val="5D043D17"/>
    <w:multiLevelType w:val="hybridMultilevel"/>
    <w:tmpl w:val="D89A1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DD03E26"/>
    <w:multiLevelType w:val="hybridMultilevel"/>
    <w:tmpl w:val="EE40C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E564A01"/>
    <w:multiLevelType w:val="hybridMultilevel"/>
    <w:tmpl w:val="9BA82AA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2" w15:restartNumberingAfterBreak="0">
    <w:nsid w:val="5FB27D56"/>
    <w:multiLevelType w:val="hybridMultilevel"/>
    <w:tmpl w:val="1B281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0E1502C"/>
    <w:multiLevelType w:val="multilevel"/>
    <w:tmpl w:val="7B2236E6"/>
    <w:styleLink w:val="Bullets"/>
    <w:lvl w:ilvl="0">
      <w:start w:val="1"/>
      <w:numFmt w:val="bullet"/>
      <w:pStyle w:val="ListBullet"/>
      <w:lvlText w:val=""/>
      <w:lvlJc w:val="left"/>
      <w:pPr>
        <w:tabs>
          <w:tab w:val="num" w:pos="340"/>
        </w:tabs>
        <w:ind w:left="567" w:hanging="283"/>
      </w:pPr>
      <w:rPr>
        <w:rFonts w:ascii="Symbol" w:hAnsi="Symbol" w:hint="default"/>
        <w:color w:val="auto"/>
      </w:rPr>
    </w:lvl>
    <w:lvl w:ilvl="1">
      <w:start w:val="1"/>
      <w:numFmt w:val="bullet"/>
      <w:pStyle w:val="ListBullet2"/>
      <w:lvlText w:val="–"/>
      <w:lvlJc w:val="left"/>
      <w:pPr>
        <w:tabs>
          <w:tab w:val="num" w:pos="680"/>
        </w:tabs>
        <w:ind w:left="851" w:hanging="284"/>
      </w:pPr>
      <w:rPr>
        <w:rFonts w:ascii="Calibri" w:hAnsi="Calibri" w:hint="default"/>
        <w:color w:val="auto"/>
      </w:rPr>
    </w:lvl>
    <w:lvl w:ilvl="2">
      <w:start w:val="1"/>
      <w:numFmt w:val="bullet"/>
      <w:pStyle w:val="ListBullet3"/>
      <w:lvlText w:val="–"/>
      <w:lvlJc w:val="left"/>
      <w:pPr>
        <w:ind w:left="1134" w:hanging="283"/>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44" w15:restartNumberingAfterBreak="0">
    <w:nsid w:val="62DE355B"/>
    <w:multiLevelType w:val="hybridMultilevel"/>
    <w:tmpl w:val="5748D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E0D40EA"/>
    <w:multiLevelType w:val="multilevel"/>
    <w:tmpl w:val="B6542242"/>
    <w:numStyleLink w:val="LetteredList"/>
  </w:abstractNum>
  <w:abstractNum w:abstractNumId="46" w15:restartNumberingAfterBreak="0">
    <w:nsid w:val="7897009D"/>
    <w:multiLevelType w:val="hybridMultilevel"/>
    <w:tmpl w:val="740425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CE70A73"/>
    <w:multiLevelType w:val="hybridMultilevel"/>
    <w:tmpl w:val="11703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E305BD1"/>
    <w:multiLevelType w:val="hybridMultilevel"/>
    <w:tmpl w:val="5542183E"/>
    <w:lvl w:ilvl="0" w:tplc="46745710">
      <w:numFmt w:val="bullet"/>
      <w:lvlText w:val="•"/>
      <w:lvlJc w:val="left"/>
      <w:pPr>
        <w:ind w:left="1080" w:hanging="72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E3E770C"/>
    <w:multiLevelType w:val="hybridMultilevel"/>
    <w:tmpl w:val="B4188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03418277">
    <w:abstractNumId w:val="43"/>
  </w:num>
  <w:num w:numId="2" w16cid:durableId="846598071">
    <w:abstractNumId w:val="5"/>
  </w:num>
  <w:num w:numId="3" w16cid:durableId="659580476">
    <w:abstractNumId w:val="4"/>
  </w:num>
  <w:num w:numId="4" w16cid:durableId="444039133">
    <w:abstractNumId w:val="10"/>
  </w:num>
  <w:num w:numId="5" w16cid:durableId="725029349">
    <w:abstractNumId w:val="17"/>
  </w:num>
  <w:num w:numId="6" w16cid:durableId="1773672465">
    <w:abstractNumId w:val="1"/>
  </w:num>
  <w:num w:numId="7" w16cid:durableId="1487628207">
    <w:abstractNumId w:val="45"/>
  </w:num>
  <w:num w:numId="8" w16cid:durableId="93940029">
    <w:abstractNumId w:val="8"/>
  </w:num>
  <w:num w:numId="9" w16cid:durableId="74936319">
    <w:abstractNumId w:val="44"/>
  </w:num>
  <w:num w:numId="10" w16cid:durableId="430047757">
    <w:abstractNumId w:val="33"/>
  </w:num>
  <w:num w:numId="11" w16cid:durableId="217018096">
    <w:abstractNumId w:val="30"/>
  </w:num>
  <w:num w:numId="12" w16cid:durableId="1319650601">
    <w:abstractNumId w:val="49"/>
  </w:num>
  <w:num w:numId="13" w16cid:durableId="426389565">
    <w:abstractNumId w:val="35"/>
  </w:num>
  <w:num w:numId="14" w16cid:durableId="426191421">
    <w:abstractNumId w:val="21"/>
  </w:num>
  <w:num w:numId="15" w16cid:durableId="562059193">
    <w:abstractNumId w:val="12"/>
  </w:num>
  <w:num w:numId="16" w16cid:durableId="816917655">
    <w:abstractNumId w:val="32"/>
  </w:num>
  <w:num w:numId="17" w16cid:durableId="319235541">
    <w:abstractNumId w:val="19"/>
  </w:num>
  <w:num w:numId="18" w16cid:durableId="2023043961">
    <w:abstractNumId w:val="34"/>
  </w:num>
  <w:num w:numId="19" w16cid:durableId="2034380099">
    <w:abstractNumId w:val="16"/>
  </w:num>
  <w:num w:numId="20" w16cid:durableId="833642657">
    <w:abstractNumId w:val="38"/>
  </w:num>
  <w:num w:numId="21" w16cid:durableId="1634871879">
    <w:abstractNumId w:val="20"/>
  </w:num>
  <w:num w:numId="22" w16cid:durableId="1527985545">
    <w:abstractNumId w:val="9"/>
  </w:num>
  <w:num w:numId="23" w16cid:durableId="1086272534">
    <w:abstractNumId w:val="42"/>
  </w:num>
  <w:num w:numId="24" w16cid:durableId="697851638">
    <w:abstractNumId w:val="27"/>
  </w:num>
  <w:num w:numId="25" w16cid:durableId="770705370">
    <w:abstractNumId w:val="41"/>
  </w:num>
  <w:num w:numId="26" w16cid:durableId="1765608548">
    <w:abstractNumId w:val="46"/>
  </w:num>
  <w:num w:numId="27" w16cid:durableId="1802379759">
    <w:abstractNumId w:val="11"/>
  </w:num>
  <w:num w:numId="28" w16cid:durableId="160123011">
    <w:abstractNumId w:val="15"/>
  </w:num>
  <w:num w:numId="29" w16cid:durableId="1540359050">
    <w:abstractNumId w:val="2"/>
  </w:num>
  <w:num w:numId="30" w16cid:durableId="301690476">
    <w:abstractNumId w:val="48"/>
  </w:num>
  <w:num w:numId="31" w16cid:durableId="486675187">
    <w:abstractNumId w:val="13"/>
  </w:num>
  <w:num w:numId="32" w16cid:durableId="1405840455">
    <w:abstractNumId w:val="25"/>
  </w:num>
  <w:num w:numId="33" w16cid:durableId="1071848747">
    <w:abstractNumId w:val="18"/>
  </w:num>
  <w:num w:numId="34" w16cid:durableId="1662267458">
    <w:abstractNumId w:val="6"/>
  </w:num>
  <w:num w:numId="35" w16cid:durableId="877082807">
    <w:abstractNumId w:val="3"/>
  </w:num>
  <w:num w:numId="36" w16cid:durableId="1998150777">
    <w:abstractNumId w:val="29"/>
  </w:num>
  <w:num w:numId="37" w16cid:durableId="339506345">
    <w:abstractNumId w:val="26"/>
  </w:num>
  <w:num w:numId="38" w16cid:durableId="604508688">
    <w:abstractNumId w:val="24"/>
  </w:num>
  <w:num w:numId="39" w16cid:durableId="767164443">
    <w:abstractNumId w:val="22"/>
  </w:num>
  <w:num w:numId="40" w16cid:durableId="1128819774">
    <w:abstractNumId w:val="40"/>
  </w:num>
  <w:num w:numId="41" w16cid:durableId="896745197">
    <w:abstractNumId w:val="37"/>
  </w:num>
  <w:num w:numId="42" w16cid:durableId="1879392019">
    <w:abstractNumId w:val="0"/>
  </w:num>
  <w:num w:numId="43" w16cid:durableId="948897726">
    <w:abstractNumId w:val="23"/>
  </w:num>
  <w:num w:numId="44" w16cid:durableId="1519656074">
    <w:abstractNumId w:val="7"/>
  </w:num>
  <w:num w:numId="45" w16cid:durableId="953638808">
    <w:abstractNumId w:val="14"/>
  </w:num>
  <w:num w:numId="46" w16cid:durableId="799416927">
    <w:abstractNumId w:val="39"/>
  </w:num>
  <w:num w:numId="47" w16cid:durableId="364792048">
    <w:abstractNumId w:val="36"/>
  </w:num>
  <w:num w:numId="48" w16cid:durableId="1824925084">
    <w:abstractNumId w:val="47"/>
  </w:num>
  <w:num w:numId="49" w16cid:durableId="1125125188">
    <w:abstractNumId w:val="31"/>
  </w:num>
  <w:num w:numId="50" w16cid:durableId="821893503">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E9"/>
    <w:rsid w:val="00001092"/>
    <w:rsid w:val="0000130F"/>
    <w:rsid w:val="0000167E"/>
    <w:rsid w:val="000016BA"/>
    <w:rsid w:val="000016E9"/>
    <w:rsid w:val="00002442"/>
    <w:rsid w:val="00003205"/>
    <w:rsid w:val="000033F0"/>
    <w:rsid w:val="00003503"/>
    <w:rsid w:val="00005204"/>
    <w:rsid w:val="00005489"/>
    <w:rsid w:val="00006D8B"/>
    <w:rsid w:val="00007C58"/>
    <w:rsid w:val="00007F96"/>
    <w:rsid w:val="00010CD1"/>
    <w:rsid w:val="00011CC0"/>
    <w:rsid w:val="00012403"/>
    <w:rsid w:val="00012FA3"/>
    <w:rsid w:val="00014517"/>
    <w:rsid w:val="00015B53"/>
    <w:rsid w:val="00015CA0"/>
    <w:rsid w:val="000167D5"/>
    <w:rsid w:val="000174F8"/>
    <w:rsid w:val="000178D7"/>
    <w:rsid w:val="00017E01"/>
    <w:rsid w:val="00020961"/>
    <w:rsid w:val="00020DC1"/>
    <w:rsid w:val="00021236"/>
    <w:rsid w:val="00021E09"/>
    <w:rsid w:val="000226E1"/>
    <w:rsid w:val="000239FE"/>
    <w:rsid w:val="000244CA"/>
    <w:rsid w:val="00025677"/>
    <w:rsid w:val="00026379"/>
    <w:rsid w:val="000269CA"/>
    <w:rsid w:val="00026D97"/>
    <w:rsid w:val="00027AE8"/>
    <w:rsid w:val="00027FFE"/>
    <w:rsid w:val="000300AF"/>
    <w:rsid w:val="00031218"/>
    <w:rsid w:val="0003148A"/>
    <w:rsid w:val="00031793"/>
    <w:rsid w:val="000322C1"/>
    <w:rsid w:val="00033DBA"/>
    <w:rsid w:val="0003476F"/>
    <w:rsid w:val="00035919"/>
    <w:rsid w:val="0003740C"/>
    <w:rsid w:val="0003763A"/>
    <w:rsid w:val="00040D09"/>
    <w:rsid w:val="0004164B"/>
    <w:rsid w:val="00041A4C"/>
    <w:rsid w:val="00041BC8"/>
    <w:rsid w:val="00042FBA"/>
    <w:rsid w:val="00046414"/>
    <w:rsid w:val="00046A3E"/>
    <w:rsid w:val="00046BC2"/>
    <w:rsid w:val="00047083"/>
    <w:rsid w:val="00047F73"/>
    <w:rsid w:val="000500D6"/>
    <w:rsid w:val="00050677"/>
    <w:rsid w:val="000507AC"/>
    <w:rsid w:val="00051CD8"/>
    <w:rsid w:val="000529D1"/>
    <w:rsid w:val="00052CBF"/>
    <w:rsid w:val="00053B25"/>
    <w:rsid w:val="00053BFB"/>
    <w:rsid w:val="00053D74"/>
    <w:rsid w:val="000553AC"/>
    <w:rsid w:val="00055995"/>
    <w:rsid w:val="0005653C"/>
    <w:rsid w:val="00056B42"/>
    <w:rsid w:val="000621EF"/>
    <w:rsid w:val="0006259A"/>
    <w:rsid w:val="00062784"/>
    <w:rsid w:val="00062E20"/>
    <w:rsid w:val="00064B8F"/>
    <w:rsid w:val="000651F9"/>
    <w:rsid w:val="000701B4"/>
    <w:rsid w:val="00070BFF"/>
    <w:rsid w:val="00070F9D"/>
    <w:rsid w:val="000724AE"/>
    <w:rsid w:val="000729CE"/>
    <w:rsid w:val="00073090"/>
    <w:rsid w:val="00074749"/>
    <w:rsid w:val="00074A0B"/>
    <w:rsid w:val="00075194"/>
    <w:rsid w:val="00075628"/>
    <w:rsid w:val="000764C0"/>
    <w:rsid w:val="0007747C"/>
    <w:rsid w:val="0008037D"/>
    <w:rsid w:val="00080D3A"/>
    <w:rsid w:val="000811E1"/>
    <w:rsid w:val="0008240F"/>
    <w:rsid w:val="00082546"/>
    <w:rsid w:val="00082842"/>
    <w:rsid w:val="00082B11"/>
    <w:rsid w:val="00083D90"/>
    <w:rsid w:val="00084000"/>
    <w:rsid w:val="00084ABC"/>
    <w:rsid w:val="00085D14"/>
    <w:rsid w:val="00086778"/>
    <w:rsid w:val="00086F51"/>
    <w:rsid w:val="000910E4"/>
    <w:rsid w:val="00092062"/>
    <w:rsid w:val="00092650"/>
    <w:rsid w:val="000950FE"/>
    <w:rsid w:val="00095443"/>
    <w:rsid w:val="0009555D"/>
    <w:rsid w:val="00095855"/>
    <w:rsid w:val="00096BBE"/>
    <w:rsid w:val="0009751A"/>
    <w:rsid w:val="000979F8"/>
    <w:rsid w:val="000A0BED"/>
    <w:rsid w:val="000A1036"/>
    <w:rsid w:val="000A167F"/>
    <w:rsid w:val="000A29E1"/>
    <w:rsid w:val="000A3227"/>
    <w:rsid w:val="000A3384"/>
    <w:rsid w:val="000A35D5"/>
    <w:rsid w:val="000A44DE"/>
    <w:rsid w:val="000A55F3"/>
    <w:rsid w:val="000A584D"/>
    <w:rsid w:val="000A5876"/>
    <w:rsid w:val="000A789C"/>
    <w:rsid w:val="000A7DEA"/>
    <w:rsid w:val="000A7EDC"/>
    <w:rsid w:val="000B13B9"/>
    <w:rsid w:val="000B1A0F"/>
    <w:rsid w:val="000B21EF"/>
    <w:rsid w:val="000B3C71"/>
    <w:rsid w:val="000B4652"/>
    <w:rsid w:val="000B489B"/>
    <w:rsid w:val="000B497F"/>
    <w:rsid w:val="000B4BD2"/>
    <w:rsid w:val="000B5238"/>
    <w:rsid w:val="000B7484"/>
    <w:rsid w:val="000B7A69"/>
    <w:rsid w:val="000B7F63"/>
    <w:rsid w:val="000B7FAF"/>
    <w:rsid w:val="000C077E"/>
    <w:rsid w:val="000C1AA9"/>
    <w:rsid w:val="000C1FBD"/>
    <w:rsid w:val="000C263C"/>
    <w:rsid w:val="000C2687"/>
    <w:rsid w:val="000C2B34"/>
    <w:rsid w:val="000C3319"/>
    <w:rsid w:val="000C5913"/>
    <w:rsid w:val="000D1C75"/>
    <w:rsid w:val="000D299C"/>
    <w:rsid w:val="000D3081"/>
    <w:rsid w:val="000D3DF9"/>
    <w:rsid w:val="000D528B"/>
    <w:rsid w:val="000D580C"/>
    <w:rsid w:val="000D7777"/>
    <w:rsid w:val="000D7F8F"/>
    <w:rsid w:val="000E039E"/>
    <w:rsid w:val="000E0944"/>
    <w:rsid w:val="000E0973"/>
    <w:rsid w:val="000E2AD5"/>
    <w:rsid w:val="000E399A"/>
    <w:rsid w:val="000E4693"/>
    <w:rsid w:val="000E4731"/>
    <w:rsid w:val="000E66F5"/>
    <w:rsid w:val="000E73B9"/>
    <w:rsid w:val="000F023D"/>
    <w:rsid w:val="000F062F"/>
    <w:rsid w:val="000F126B"/>
    <w:rsid w:val="000F1449"/>
    <w:rsid w:val="000F2411"/>
    <w:rsid w:val="000F2D16"/>
    <w:rsid w:val="000F3D39"/>
    <w:rsid w:val="000F3EF1"/>
    <w:rsid w:val="000F40AC"/>
    <w:rsid w:val="000F4F51"/>
    <w:rsid w:val="000F527C"/>
    <w:rsid w:val="000F6867"/>
    <w:rsid w:val="000F711C"/>
    <w:rsid w:val="000F7BCC"/>
    <w:rsid w:val="000F7E75"/>
    <w:rsid w:val="00100478"/>
    <w:rsid w:val="00100B43"/>
    <w:rsid w:val="0010129F"/>
    <w:rsid w:val="00101487"/>
    <w:rsid w:val="0010208B"/>
    <w:rsid w:val="00103F80"/>
    <w:rsid w:val="00104DF5"/>
    <w:rsid w:val="00106826"/>
    <w:rsid w:val="00106E61"/>
    <w:rsid w:val="001077BF"/>
    <w:rsid w:val="00110345"/>
    <w:rsid w:val="00110AC2"/>
    <w:rsid w:val="00110AD3"/>
    <w:rsid w:val="001117C9"/>
    <w:rsid w:val="00112E8F"/>
    <w:rsid w:val="00113AF1"/>
    <w:rsid w:val="00114468"/>
    <w:rsid w:val="0011514F"/>
    <w:rsid w:val="001161D3"/>
    <w:rsid w:val="00116C5B"/>
    <w:rsid w:val="0012026D"/>
    <w:rsid w:val="001206B3"/>
    <w:rsid w:val="00120BE5"/>
    <w:rsid w:val="00120D5D"/>
    <w:rsid w:val="001213BA"/>
    <w:rsid w:val="00121B29"/>
    <w:rsid w:val="0012224E"/>
    <w:rsid w:val="00123336"/>
    <w:rsid w:val="00123EB8"/>
    <w:rsid w:val="00125A14"/>
    <w:rsid w:val="001268BC"/>
    <w:rsid w:val="00126BE9"/>
    <w:rsid w:val="00126CA0"/>
    <w:rsid w:val="0012780D"/>
    <w:rsid w:val="001305F0"/>
    <w:rsid w:val="001307F7"/>
    <w:rsid w:val="001312EA"/>
    <w:rsid w:val="00131C83"/>
    <w:rsid w:val="001320BB"/>
    <w:rsid w:val="001327DE"/>
    <w:rsid w:val="00133493"/>
    <w:rsid w:val="00133E7D"/>
    <w:rsid w:val="00136475"/>
    <w:rsid w:val="0013722B"/>
    <w:rsid w:val="001377C5"/>
    <w:rsid w:val="001378E0"/>
    <w:rsid w:val="00137F8D"/>
    <w:rsid w:val="00142115"/>
    <w:rsid w:val="00142295"/>
    <w:rsid w:val="001429BA"/>
    <w:rsid w:val="00143C1B"/>
    <w:rsid w:val="00144192"/>
    <w:rsid w:val="0014446C"/>
    <w:rsid w:val="00144968"/>
    <w:rsid w:val="00145E24"/>
    <w:rsid w:val="0014640E"/>
    <w:rsid w:val="001469B7"/>
    <w:rsid w:val="00147657"/>
    <w:rsid w:val="001505A5"/>
    <w:rsid w:val="00150E35"/>
    <w:rsid w:val="001513C2"/>
    <w:rsid w:val="00151C8F"/>
    <w:rsid w:val="001550AC"/>
    <w:rsid w:val="001552E9"/>
    <w:rsid w:val="001553E4"/>
    <w:rsid w:val="001558AA"/>
    <w:rsid w:val="00155DAC"/>
    <w:rsid w:val="00155F5B"/>
    <w:rsid w:val="00156333"/>
    <w:rsid w:val="00156A8C"/>
    <w:rsid w:val="001570B0"/>
    <w:rsid w:val="0015730E"/>
    <w:rsid w:val="00160370"/>
    <w:rsid w:val="00160759"/>
    <w:rsid w:val="001608D0"/>
    <w:rsid w:val="00160BAA"/>
    <w:rsid w:val="00160C31"/>
    <w:rsid w:val="00160F93"/>
    <w:rsid w:val="001623D4"/>
    <w:rsid w:val="00162843"/>
    <w:rsid w:val="00163454"/>
    <w:rsid w:val="00164644"/>
    <w:rsid w:val="00166524"/>
    <w:rsid w:val="00166997"/>
    <w:rsid w:val="00166E12"/>
    <w:rsid w:val="00166F43"/>
    <w:rsid w:val="00167A03"/>
    <w:rsid w:val="001704AF"/>
    <w:rsid w:val="001706CC"/>
    <w:rsid w:val="00171890"/>
    <w:rsid w:val="0017295F"/>
    <w:rsid w:val="00174375"/>
    <w:rsid w:val="00174D61"/>
    <w:rsid w:val="00176469"/>
    <w:rsid w:val="0017744A"/>
    <w:rsid w:val="0017797B"/>
    <w:rsid w:val="00177A85"/>
    <w:rsid w:val="00180F21"/>
    <w:rsid w:val="001816EE"/>
    <w:rsid w:val="00181E19"/>
    <w:rsid w:val="00181F0D"/>
    <w:rsid w:val="001833DF"/>
    <w:rsid w:val="00190D10"/>
    <w:rsid w:val="00191EE3"/>
    <w:rsid w:val="00192725"/>
    <w:rsid w:val="001928EC"/>
    <w:rsid w:val="00193557"/>
    <w:rsid w:val="00193EE3"/>
    <w:rsid w:val="00194316"/>
    <w:rsid w:val="00194792"/>
    <w:rsid w:val="001954C2"/>
    <w:rsid w:val="001957DF"/>
    <w:rsid w:val="00195D08"/>
    <w:rsid w:val="0019678C"/>
    <w:rsid w:val="00197AC1"/>
    <w:rsid w:val="00197DB5"/>
    <w:rsid w:val="001A015D"/>
    <w:rsid w:val="001A067F"/>
    <w:rsid w:val="001A0D77"/>
    <w:rsid w:val="001A12FF"/>
    <w:rsid w:val="001A291D"/>
    <w:rsid w:val="001A2B2E"/>
    <w:rsid w:val="001A3628"/>
    <w:rsid w:val="001A3B62"/>
    <w:rsid w:val="001A3E94"/>
    <w:rsid w:val="001A4940"/>
    <w:rsid w:val="001A4ABE"/>
    <w:rsid w:val="001A65DB"/>
    <w:rsid w:val="001A6792"/>
    <w:rsid w:val="001A791E"/>
    <w:rsid w:val="001B05FD"/>
    <w:rsid w:val="001B0C78"/>
    <w:rsid w:val="001B1E83"/>
    <w:rsid w:val="001B22FE"/>
    <w:rsid w:val="001B23ED"/>
    <w:rsid w:val="001B4891"/>
    <w:rsid w:val="001B6A93"/>
    <w:rsid w:val="001B6B05"/>
    <w:rsid w:val="001B7099"/>
    <w:rsid w:val="001B7719"/>
    <w:rsid w:val="001B7DE8"/>
    <w:rsid w:val="001C0D28"/>
    <w:rsid w:val="001C1936"/>
    <w:rsid w:val="001C19AB"/>
    <w:rsid w:val="001C665E"/>
    <w:rsid w:val="001C6F58"/>
    <w:rsid w:val="001C7041"/>
    <w:rsid w:val="001C781E"/>
    <w:rsid w:val="001C7835"/>
    <w:rsid w:val="001D0C6F"/>
    <w:rsid w:val="001D12EF"/>
    <w:rsid w:val="001D3574"/>
    <w:rsid w:val="001D38E5"/>
    <w:rsid w:val="001D3F9A"/>
    <w:rsid w:val="001D700F"/>
    <w:rsid w:val="001D715B"/>
    <w:rsid w:val="001E0128"/>
    <w:rsid w:val="001E1FF8"/>
    <w:rsid w:val="001E2018"/>
    <w:rsid w:val="001E221A"/>
    <w:rsid w:val="001E312F"/>
    <w:rsid w:val="001E4D01"/>
    <w:rsid w:val="001E4E6C"/>
    <w:rsid w:val="001E4FAF"/>
    <w:rsid w:val="001E5ABE"/>
    <w:rsid w:val="001E6518"/>
    <w:rsid w:val="001E7141"/>
    <w:rsid w:val="001E73D1"/>
    <w:rsid w:val="001E75DB"/>
    <w:rsid w:val="001E7744"/>
    <w:rsid w:val="001F0E8B"/>
    <w:rsid w:val="001F13C1"/>
    <w:rsid w:val="001F1E1B"/>
    <w:rsid w:val="001F1EA8"/>
    <w:rsid w:val="001F2054"/>
    <w:rsid w:val="001F2430"/>
    <w:rsid w:val="001F246E"/>
    <w:rsid w:val="001F266C"/>
    <w:rsid w:val="001F436B"/>
    <w:rsid w:val="001F446D"/>
    <w:rsid w:val="001F5058"/>
    <w:rsid w:val="001F55D2"/>
    <w:rsid w:val="001F5DF2"/>
    <w:rsid w:val="001F6EA5"/>
    <w:rsid w:val="001F7E3C"/>
    <w:rsid w:val="002005F6"/>
    <w:rsid w:val="00201387"/>
    <w:rsid w:val="00202DB0"/>
    <w:rsid w:val="002030FB"/>
    <w:rsid w:val="00203739"/>
    <w:rsid w:val="00204F7B"/>
    <w:rsid w:val="00205850"/>
    <w:rsid w:val="00210270"/>
    <w:rsid w:val="002117B6"/>
    <w:rsid w:val="002119CF"/>
    <w:rsid w:val="00211B1D"/>
    <w:rsid w:val="00211CAF"/>
    <w:rsid w:val="00211F7B"/>
    <w:rsid w:val="0021245D"/>
    <w:rsid w:val="002126D0"/>
    <w:rsid w:val="002141D1"/>
    <w:rsid w:val="00214FD1"/>
    <w:rsid w:val="00216411"/>
    <w:rsid w:val="0021674C"/>
    <w:rsid w:val="0021766F"/>
    <w:rsid w:val="00221AB7"/>
    <w:rsid w:val="0022246B"/>
    <w:rsid w:val="00222577"/>
    <w:rsid w:val="0022356D"/>
    <w:rsid w:val="00223EBF"/>
    <w:rsid w:val="0022487C"/>
    <w:rsid w:val="002251DB"/>
    <w:rsid w:val="0022532C"/>
    <w:rsid w:val="002254A1"/>
    <w:rsid w:val="00225D41"/>
    <w:rsid w:val="00226BD5"/>
    <w:rsid w:val="00227883"/>
    <w:rsid w:val="00227BB5"/>
    <w:rsid w:val="00227BD4"/>
    <w:rsid w:val="00227C46"/>
    <w:rsid w:val="002319E2"/>
    <w:rsid w:val="00233FE6"/>
    <w:rsid w:val="00234B3C"/>
    <w:rsid w:val="00235A27"/>
    <w:rsid w:val="00236215"/>
    <w:rsid w:val="0023670F"/>
    <w:rsid w:val="0023688D"/>
    <w:rsid w:val="002377A0"/>
    <w:rsid w:val="0024141D"/>
    <w:rsid w:val="002415F4"/>
    <w:rsid w:val="00241D38"/>
    <w:rsid w:val="00242252"/>
    <w:rsid w:val="002422A9"/>
    <w:rsid w:val="002429EC"/>
    <w:rsid w:val="00242DB9"/>
    <w:rsid w:val="0024312C"/>
    <w:rsid w:val="00244BDB"/>
    <w:rsid w:val="0024570C"/>
    <w:rsid w:val="00245ED6"/>
    <w:rsid w:val="0024604D"/>
    <w:rsid w:val="00246153"/>
    <w:rsid w:val="00246435"/>
    <w:rsid w:val="002469B0"/>
    <w:rsid w:val="00246BCF"/>
    <w:rsid w:val="00247620"/>
    <w:rsid w:val="002528B4"/>
    <w:rsid w:val="002539E0"/>
    <w:rsid w:val="0025539A"/>
    <w:rsid w:val="002557FC"/>
    <w:rsid w:val="00256BA0"/>
    <w:rsid w:val="002576B9"/>
    <w:rsid w:val="0025786F"/>
    <w:rsid w:val="00257C60"/>
    <w:rsid w:val="002613B8"/>
    <w:rsid w:val="00263034"/>
    <w:rsid w:val="00263265"/>
    <w:rsid w:val="00264972"/>
    <w:rsid w:val="002658F4"/>
    <w:rsid w:val="00265D26"/>
    <w:rsid w:val="00267BFB"/>
    <w:rsid w:val="00270834"/>
    <w:rsid w:val="00270843"/>
    <w:rsid w:val="002712B4"/>
    <w:rsid w:val="0027131C"/>
    <w:rsid w:val="00271C92"/>
    <w:rsid w:val="00273224"/>
    <w:rsid w:val="002735FC"/>
    <w:rsid w:val="00273A22"/>
    <w:rsid w:val="00273C8C"/>
    <w:rsid w:val="0027430A"/>
    <w:rsid w:val="002744D6"/>
    <w:rsid w:val="00274DA9"/>
    <w:rsid w:val="002758BF"/>
    <w:rsid w:val="0027618D"/>
    <w:rsid w:val="002761DC"/>
    <w:rsid w:val="002770C5"/>
    <w:rsid w:val="00277104"/>
    <w:rsid w:val="002804CF"/>
    <w:rsid w:val="00280AAA"/>
    <w:rsid w:val="002814E6"/>
    <w:rsid w:val="00281560"/>
    <w:rsid w:val="00281644"/>
    <w:rsid w:val="00281A79"/>
    <w:rsid w:val="00281FC3"/>
    <w:rsid w:val="00283612"/>
    <w:rsid w:val="00284D49"/>
    <w:rsid w:val="00285557"/>
    <w:rsid w:val="00286382"/>
    <w:rsid w:val="00287A5A"/>
    <w:rsid w:val="00290762"/>
    <w:rsid w:val="00291177"/>
    <w:rsid w:val="002921E5"/>
    <w:rsid w:val="0029317F"/>
    <w:rsid w:val="00293912"/>
    <w:rsid w:val="00294BA4"/>
    <w:rsid w:val="00294EBB"/>
    <w:rsid w:val="00295963"/>
    <w:rsid w:val="00295C59"/>
    <w:rsid w:val="00296F32"/>
    <w:rsid w:val="00297A9E"/>
    <w:rsid w:val="002A1E1C"/>
    <w:rsid w:val="002A2098"/>
    <w:rsid w:val="002A3260"/>
    <w:rsid w:val="002A48AC"/>
    <w:rsid w:val="002A49AC"/>
    <w:rsid w:val="002A5443"/>
    <w:rsid w:val="002A58DB"/>
    <w:rsid w:val="002A5DD5"/>
    <w:rsid w:val="002A6AE1"/>
    <w:rsid w:val="002A79EE"/>
    <w:rsid w:val="002A7A4A"/>
    <w:rsid w:val="002A7DE4"/>
    <w:rsid w:val="002B0312"/>
    <w:rsid w:val="002B07DF"/>
    <w:rsid w:val="002B0C7A"/>
    <w:rsid w:val="002B0ED1"/>
    <w:rsid w:val="002B25A3"/>
    <w:rsid w:val="002B4B79"/>
    <w:rsid w:val="002B544E"/>
    <w:rsid w:val="002B6459"/>
    <w:rsid w:val="002B770A"/>
    <w:rsid w:val="002B78F2"/>
    <w:rsid w:val="002C0DB9"/>
    <w:rsid w:val="002C0E48"/>
    <w:rsid w:val="002C226F"/>
    <w:rsid w:val="002C22DD"/>
    <w:rsid w:val="002C2D55"/>
    <w:rsid w:val="002C2DB4"/>
    <w:rsid w:val="002C2E33"/>
    <w:rsid w:val="002C5EB4"/>
    <w:rsid w:val="002C6DFE"/>
    <w:rsid w:val="002C7933"/>
    <w:rsid w:val="002C7AF1"/>
    <w:rsid w:val="002D0032"/>
    <w:rsid w:val="002D1840"/>
    <w:rsid w:val="002D1A5B"/>
    <w:rsid w:val="002D49A9"/>
    <w:rsid w:val="002D4A10"/>
    <w:rsid w:val="002D4F6D"/>
    <w:rsid w:val="002D52B3"/>
    <w:rsid w:val="002D5619"/>
    <w:rsid w:val="002D604E"/>
    <w:rsid w:val="002D6C20"/>
    <w:rsid w:val="002D788B"/>
    <w:rsid w:val="002E026C"/>
    <w:rsid w:val="002E034D"/>
    <w:rsid w:val="002E09FC"/>
    <w:rsid w:val="002E0EDA"/>
    <w:rsid w:val="002E0FEB"/>
    <w:rsid w:val="002E12B9"/>
    <w:rsid w:val="002E244F"/>
    <w:rsid w:val="002E34E7"/>
    <w:rsid w:val="002E394D"/>
    <w:rsid w:val="002E3C35"/>
    <w:rsid w:val="002E6363"/>
    <w:rsid w:val="002E6BDB"/>
    <w:rsid w:val="002E6E95"/>
    <w:rsid w:val="002E76E0"/>
    <w:rsid w:val="002F07B4"/>
    <w:rsid w:val="002F23B1"/>
    <w:rsid w:val="002F36FA"/>
    <w:rsid w:val="002F4A35"/>
    <w:rsid w:val="002F4DD8"/>
    <w:rsid w:val="002F590B"/>
    <w:rsid w:val="002F631F"/>
    <w:rsid w:val="002F64E5"/>
    <w:rsid w:val="002F65E1"/>
    <w:rsid w:val="002F748D"/>
    <w:rsid w:val="002F7C55"/>
    <w:rsid w:val="00300BC0"/>
    <w:rsid w:val="00300C74"/>
    <w:rsid w:val="00300FC1"/>
    <w:rsid w:val="003018F9"/>
    <w:rsid w:val="00302D6F"/>
    <w:rsid w:val="00302E65"/>
    <w:rsid w:val="00303246"/>
    <w:rsid w:val="003038DE"/>
    <w:rsid w:val="00305094"/>
    <w:rsid w:val="00305171"/>
    <w:rsid w:val="00305395"/>
    <w:rsid w:val="00310F9B"/>
    <w:rsid w:val="0031157A"/>
    <w:rsid w:val="003126A4"/>
    <w:rsid w:val="00313A5E"/>
    <w:rsid w:val="003149B8"/>
    <w:rsid w:val="003169BF"/>
    <w:rsid w:val="00320132"/>
    <w:rsid w:val="00320846"/>
    <w:rsid w:val="003209E3"/>
    <w:rsid w:val="00320AA5"/>
    <w:rsid w:val="003218B9"/>
    <w:rsid w:val="00322006"/>
    <w:rsid w:val="003227BA"/>
    <w:rsid w:val="0032305D"/>
    <w:rsid w:val="00323A4F"/>
    <w:rsid w:val="00324A2F"/>
    <w:rsid w:val="00324FA2"/>
    <w:rsid w:val="00325001"/>
    <w:rsid w:val="0032549D"/>
    <w:rsid w:val="0032645D"/>
    <w:rsid w:val="003268C3"/>
    <w:rsid w:val="0032729E"/>
    <w:rsid w:val="003277FF"/>
    <w:rsid w:val="00330D0E"/>
    <w:rsid w:val="00331483"/>
    <w:rsid w:val="00331A2A"/>
    <w:rsid w:val="00332A81"/>
    <w:rsid w:val="003334E4"/>
    <w:rsid w:val="00334164"/>
    <w:rsid w:val="003342F5"/>
    <w:rsid w:val="0033468B"/>
    <w:rsid w:val="00335442"/>
    <w:rsid w:val="00335715"/>
    <w:rsid w:val="00336D90"/>
    <w:rsid w:val="00337047"/>
    <w:rsid w:val="00340168"/>
    <w:rsid w:val="00340A7D"/>
    <w:rsid w:val="0034139E"/>
    <w:rsid w:val="0034140F"/>
    <w:rsid w:val="00341A6A"/>
    <w:rsid w:val="0034268B"/>
    <w:rsid w:val="00342EAE"/>
    <w:rsid w:val="003437F3"/>
    <w:rsid w:val="0034412A"/>
    <w:rsid w:val="003457A7"/>
    <w:rsid w:val="0034680A"/>
    <w:rsid w:val="00346FC1"/>
    <w:rsid w:val="00350A36"/>
    <w:rsid w:val="00350C23"/>
    <w:rsid w:val="0035186E"/>
    <w:rsid w:val="00352399"/>
    <w:rsid w:val="00353172"/>
    <w:rsid w:val="00354804"/>
    <w:rsid w:val="00356139"/>
    <w:rsid w:val="003561AE"/>
    <w:rsid w:val="003567E4"/>
    <w:rsid w:val="00357B6B"/>
    <w:rsid w:val="00360F13"/>
    <w:rsid w:val="00361222"/>
    <w:rsid w:val="003615F6"/>
    <w:rsid w:val="00362F8D"/>
    <w:rsid w:val="00363921"/>
    <w:rsid w:val="00363FF8"/>
    <w:rsid w:val="0036462C"/>
    <w:rsid w:val="00364E31"/>
    <w:rsid w:val="00366347"/>
    <w:rsid w:val="003668E2"/>
    <w:rsid w:val="003676E4"/>
    <w:rsid w:val="00367E12"/>
    <w:rsid w:val="0037024F"/>
    <w:rsid w:val="00370731"/>
    <w:rsid w:val="00371163"/>
    <w:rsid w:val="00371C04"/>
    <w:rsid w:val="0037282E"/>
    <w:rsid w:val="00372BDC"/>
    <w:rsid w:val="003739BD"/>
    <w:rsid w:val="0037516E"/>
    <w:rsid w:val="00376A56"/>
    <w:rsid w:val="0037721D"/>
    <w:rsid w:val="0038102A"/>
    <w:rsid w:val="00381D78"/>
    <w:rsid w:val="00381FDC"/>
    <w:rsid w:val="00382874"/>
    <w:rsid w:val="00382E09"/>
    <w:rsid w:val="00384051"/>
    <w:rsid w:val="00384A34"/>
    <w:rsid w:val="0038606F"/>
    <w:rsid w:val="00387B01"/>
    <w:rsid w:val="00390BB8"/>
    <w:rsid w:val="00390CE3"/>
    <w:rsid w:val="003915A7"/>
    <w:rsid w:val="00391B2A"/>
    <w:rsid w:val="00391D23"/>
    <w:rsid w:val="00393698"/>
    <w:rsid w:val="003944E5"/>
    <w:rsid w:val="00396528"/>
    <w:rsid w:val="00396679"/>
    <w:rsid w:val="003A0175"/>
    <w:rsid w:val="003A115F"/>
    <w:rsid w:val="003A265C"/>
    <w:rsid w:val="003A2826"/>
    <w:rsid w:val="003A2A91"/>
    <w:rsid w:val="003A3C41"/>
    <w:rsid w:val="003A490D"/>
    <w:rsid w:val="003A62E1"/>
    <w:rsid w:val="003A63F5"/>
    <w:rsid w:val="003A7BE7"/>
    <w:rsid w:val="003B0240"/>
    <w:rsid w:val="003B0A03"/>
    <w:rsid w:val="003B1124"/>
    <w:rsid w:val="003B116E"/>
    <w:rsid w:val="003B1533"/>
    <w:rsid w:val="003B1BB4"/>
    <w:rsid w:val="003B2787"/>
    <w:rsid w:val="003B3439"/>
    <w:rsid w:val="003B39B5"/>
    <w:rsid w:val="003B4A8D"/>
    <w:rsid w:val="003B5584"/>
    <w:rsid w:val="003B5FC5"/>
    <w:rsid w:val="003B680F"/>
    <w:rsid w:val="003B6B89"/>
    <w:rsid w:val="003C01D3"/>
    <w:rsid w:val="003C0802"/>
    <w:rsid w:val="003C08E9"/>
    <w:rsid w:val="003C0BD3"/>
    <w:rsid w:val="003C1548"/>
    <w:rsid w:val="003C2761"/>
    <w:rsid w:val="003C287A"/>
    <w:rsid w:val="003C39FA"/>
    <w:rsid w:val="003C3A9C"/>
    <w:rsid w:val="003C3D4F"/>
    <w:rsid w:val="003C3E40"/>
    <w:rsid w:val="003C3FC0"/>
    <w:rsid w:val="003C4AF3"/>
    <w:rsid w:val="003C4C0E"/>
    <w:rsid w:val="003C5B8B"/>
    <w:rsid w:val="003C5D00"/>
    <w:rsid w:val="003C6641"/>
    <w:rsid w:val="003C6881"/>
    <w:rsid w:val="003C7695"/>
    <w:rsid w:val="003C7D6B"/>
    <w:rsid w:val="003D0865"/>
    <w:rsid w:val="003D08A5"/>
    <w:rsid w:val="003D0A3A"/>
    <w:rsid w:val="003D11BD"/>
    <w:rsid w:val="003D23A3"/>
    <w:rsid w:val="003D24E0"/>
    <w:rsid w:val="003D3729"/>
    <w:rsid w:val="003D4DEE"/>
    <w:rsid w:val="003D5856"/>
    <w:rsid w:val="003D63E9"/>
    <w:rsid w:val="003D66EA"/>
    <w:rsid w:val="003D76EC"/>
    <w:rsid w:val="003D7986"/>
    <w:rsid w:val="003E17D1"/>
    <w:rsid w:val="003E1DC7"/>
    <w:rsid w:val="003E4043"/>
    <w:rsid w:val="003E4203"/>
    <w:rsid w:val="003E4460"/>
    <w:rsid w:val="003E5C0E"/>
    <w:rsid w:val="003E735D"/>
    <w:rsid w:val="003E7546"/>
    <w:rsid w:val="003F0249"/>
    <w:rsid w:val="003F02AC"/>
    <w:rsid w:val="003F03AA"/>
    <w:rsid w:val="003F209C"/>
    <w:rsid w:val="003F33A9"/>
    <w:rsid w:val="003F57CF"/>
    <w:rsid w:val="003F590A"/>
    <w:rsid w:val="00400BEB"/>
    <w:rsid w:val="00402EC8"/>
    <w:rsid w:val="00404E4F"/>
    <w:rsid w:val="00405B85"/>
    <w:rsid w:val="0040757A"/>
    <w:rsid w:val="00407A7B"/>
    <w:rsid w:val="00411654"/>
    <w:rsid w:val="0041301F"/>
    <w:rsid w:val="0041356A"/>
    <w:rsid w:val="00415233"/>
    <w:rsid w:val="004161E1"/>
    <w:rsid w:val="00417B8B"/>
    <w:rsid w:val="004206B2"/>
    <w:rsid w:val="00420A01"/>
    <w:rsid w:val="0042145E"/>
    <w:rsid w:val="00421592"/>
    <w:rsid w:val="0042176B"/>
    <w:rsid w:val="0042264F"/>
    <w:rsid w:val="00422994"/>
    <w:rsid w:val="0042339A"/>
    <w:rsid w:val="00423822"/>
    <w:rsid w:val="00424246"/>
    <w:rsid w:val="004247AD"/>
    <w:rsid w:val="00424C4D"/>
    <w:rsid w:val="0042508F"/>
    <w:rsid w:val="00425BAF"/>
    <w:rsid w:val="00426F2A"/>
    <w:rsid w:val="00427268"/>
    <w:rsid w:val="004272EF"/>
    <w:rsid w:val="004301A2"/>
    <w:rsid w:val="004306AC"/>
    <w:rsid w:val="00430AE6"/>
    <w:rsid w:val="00430E95"/>
    <w:rsid w:val="00431116"/>
    <w:rsid w:val="004325BD"/>
    <w:rsid w:val="00432F7A"/>
    <w:rsid w:val="0043329A"/>
    <w:rsid w:val="00434C31"/>
    <w:rsid w:val="00435AA2"/>
    <w:rsid w:val="00437492"/>
    <w:rsid w:val="004377FD"/>
    <w:rsid w:val="0043780B"/>
    <w:rsid w:val="004402E3"/>
    <w:rsid w:val="004403A3"/>
    <w:rsid w:val="00440B5D"/>
    <w:rsid w:val="004412D3"/>
    <w:rsid w:val="00441D13"/>
    <w:rsid w:val="00442430"/>
    <w:rsid w:val="00444247"/>
    <w:rsid w:val="004446A7"/>
    <w:rsid w:val="0044538C"/>
    <w:rsid w:val="004453E4"/>
    <w:rsid w:val="004464CF"/>
    <w:rsid w:val="00446666"/>
    <w:rsid w:val="0044703E"/>
    <w:rsid w:val="004473AC"/>
    <w:rsid w:val="00447761"/>
    <w:rsid w:val="004477D2"/>
    <w:rsid w:val="00447A18"/>
    <w:rsid w:val="00447EC9"/>
    <w:rsid w:val="0045016E"/>
    <w:rsid w:val="004519CE"/>
    <w:rsid w:val="0045241B"/>
    <w:rsid w:val="00453563"/>
    <w:rsid w:val="00455000"/>
    <w:rsid w:val="004556DC"/>
    <w:rsid w:val="00455E98"/>
    <w:rsid w:val="00457813"/>
    <w:rsid w:val="0046088E"/>
    <w:rsid w:val="00460CB8"/>
    <w:rsid w:val="0046137F"/>
    <w:rsid w:val="00461C6B"/>
    <w:rsid w:val="00462285"/>
    <w:rsid w:val="00462836"/>
    <w:rsid w:val="00463128"/>
    <w:rsid w:val="004635FD"/>
    <w:rsid w:val="004639E2"/>
    <w:rsid w:val="00464049"/>
    <w:rsid w:val="004641AD"/>
    <w:rsid w:val="00464F34"/>
    <w:rsid w:val="004650C0"/>
    <w:rsid w:val="004655FF"/>
    <w:rsid w:val="00466025"/>
    <w:rsid w:val="00466C56"/>
    <w:rsid w:val="00467EA8"/>
    <w:rsid w:val="004702F5"/>
    <w:rsid w:val="00471426"/>
    <w:rsid w:val="00472829"/>
    <w:rsid w:val="00472D70"/>
    <w:rsid w:val="0047384D"/>
    <w:rsid w:val="0047440A"/>
    <w:rsid w:val="0047443F"/>
    <w:rsid w:val="0047490E"/>
    <w:rsid w:val="00474CCA"/>
    <w:rsid w:val="00474F2E"/>
    <w:rsid w:val="00474FEE"/>
    <w:rsid w:val="00475888"/>
    <w:rsid w:val="00477A9B"/>
    <w:rsid w:val="00477C92"/>
    <w:rsid w:val="00480A11"/>
    <w:rsid w:val="004833EF"/>
    <w:rsid w:val="00484003"/>
    <w:rsid w:val="00484391"/>
    <w:rsid w:val="004843D5"/>
    <w:rsid w:val="0048684C"/>
    <w:rsid w:val="004870F4"/>
    <w:rsid w:val="00490371"/>
    <w:rsid w:val="00492389"/>
    <w:rsid w:val="0049271D"/>
    <w:rsid w:val="00493799"/>
    <w:rsid w:val="0049531D"/>
    <w:rsid w:val="004960E0"/>
    <w:rsid w:val="00496A4F"/>
    <w:rsid w:val="004978B2"/>
    <w:rsid w:val="00497F80"/>
    <w:rsid w:val="004A0A5F"/>
    <w:rsid w:val="004A0AD7"/>
    <w:rsid w:val="004A333E"/>
    <w:rsid w:val="004A3DE4"/>
    <w:rsid w:val="004A4350"/>
    <w:rsid w:val="004A47E4"/>
    <w:rsid w:val="004A4D26"/>
    <w:rsid w:val="004A58DF"/>
    <w:rsid w:val="004A5FE7"/>
    <w:rsid w:val="004A610F"/>
    <w:rsid w:val="004A65E6"/>
    <w:rsid w:val="004A6B8C"/>
    <w:rsid w:val="004A753A"/>
    <w:rsid w:val="004B0EB4"/>
    <w:rsid w:val="004B1321"/>
    <w:rsid w:val="004B18AB"/>
    <w:rsid w:val="004B1EC5"/>
    <w:rsid w:val="004B219D"/>
    <w:rsid w:val="004B2820"/>
    <w:rsid w:val="004B35C7"/>
    <w:rsid w:val="004B3839"/>
    <w:rsid w:val="004B4119"/>
    <w:rsid w:val="004B4AE7"/>
    <w:rsid w:val="004B52D6"/>
    <w:rsid w:val="004B609E"/>
    <w:rsid w:val="004B63C8"/>
    <w:rsid w:val="004B658A"/>
    <w:rsid w:val="004B6CD6"/>
    <w:rsid w:val="004C1847"/>
    <w:rsid w:val="004C24F8"/>
    <w:rsid w:val="004C26EA"/>
    <w:rsid w:val="004C425F"/>
    <w:rsid w:val="004C481A"/>
    <w:rsid w:val="004C5177"/>
    <w:rsid w:val="004C57A9"/>
    <w:rsid w:val="004C5DAA"/>
    <w:rsid w:val="004C5E02"/>
    <w:rsid w:val="004C6EAF"/>
    <w:rsid w:val="004D1683"/>
    <w:rsid w:val="004D1958"/>
    <w:rsid w:val="004D22A6"/>
    <w:rsid w:val="004D2630"/>
    <w:rsid w:val="004D2A3F"/>
    <w:rsid w:val="004D2B93"/>
    <w:rsid w:val="004D2CDA"/>
    <w:rsid w:val="004D2D26"/>
    <w:rsid w:val="004D34FA"/>
    <w:rsid w:val="004D5BEB"/>
    <w:rsid w:val="004D6FD9"/>
    <w:rsid w:val="004D7394"/>
    <w:rsid w:val="004E0833"/>
    <w:rsid w:val="004E1276"/>
    <w:rsid w:val="004E1E42"/>
    <w:rsid w:val="004E28C6"/>
    <w:rsid w:val="004E2AC0"/>
    <w:rsid w:val="004E2D44"/>
    <w:rsid w:val="004E3342"/>
    <w:rsid w:val="004E386E"/>
    <w:rsid w:val="004E3DB1"/>
    <w:rsid w:val="004E47C6"/>
    <w:rsid w:val="004E49E4"/>
    <w:rsid w:val="004E6250"/>
    <w:rsid w:val="004F00F3"/>
    <w:rsid w:val="004F138F"/>
    <w:rsid w:val="004F1540"/>
    <w:rsid w:val="004F23CE"/>
    <w:rsid w:val="004F23DB"/>
    <w:rsid w:val="004F2927"/>
    <w:rsid w:val="004F2EB2"/>
    <w:rsid w:val="004F3751"/>
    <w:rsid w:val="004F4E9E"/>
    <w:rsid w:val="004F5D6B"/>
    <w:rsid w:val="004F627B"/>
    <w:rsid w:val="0050078B"/>
    <w:rsid w:val="00500CEA"/>
    <w:rsid w:val="00500FBF"/>
    <w:rsid w:val="0050124F"/>
    <w:rsid w:val="005020CE"/>
    <w:rsid w:val="0050377D"/>
    <w:rsid w:val="0050388B"/>
    <w:rsid w:val="00504167"/>
    <w:rsid w:val="00504B48"/>
    <w:rsid w:val="00504BB6"/>
    <w:rsid w:val="00505C18"/>
    <w:rsid w:val="00505CA9"/>
    <w:rsid w:val="0050670B"/>
    <w:rsid w:val="005069C2"/>
    <w:rsid w:val="00506E29"/>
    <w:rsid w:val="0050763C"/>
    <w:rsid w:val="00510666"/>
    <w:rsid w:val="00510C44"/>
    <w:rsid w:val="00510CA0"/>
    <w:rsid w:val="00512231"/>
    <w:rsid w:val="00512240"/>
    <w:rsid w:val="005122D9"/>
    <w:rsid w:val="00512987"/>
    <w:rsid w:val="00513508"/>
    <w:rsid w:val="00513A1D"/>
    <w:rsid w:val="00513BA7"/>
    <w:rsid w:val="00513F16"/>
    <w:rsid w:val="005141E8"/>
    <w:rsid w:val="0051479E"/>
    <w:rsid w:val="00515D41"/>
    <w:rsid w:val="005169F4"/>
    <w:rsid w:val="00516E6C"/>
    <w:rsid w:val="00520447"/>
    <w:rsid w:val="0052054E"/>
    <w:rsid w:val="00520DBE"/>
    <w:rsid w:val="005227F2"/>
    <w:rsid w:val="00525B04"/>
    <w:rsid w:val="00525DC3"/>
    <w:rsid w:val="00527325"/>
    <w:rsid w:val="00530DAB"/>
    <w:rsid w:val="005310AA"/>
    <w:rsid w:val="00533496"/>
    <w:rsid w:val="00537D47"/>
    <w:rsid w:val="00540664"/>
    <w:rsid w:val="005431EC"/>
    <w:rsid w:val="00543262"/>
    <w:rsid w:val="00543F1E"/>
    <w:rsid w:val="00545855"/>
    <w:rsid w:val="00545AF5"/>
    <w:rsid w:val="0054610C"/>
    <w:rsid w:val="005465D2"/>
    <w:rsid w:val="0054698D"/>
    <w:rsid w:val="0055001C"/>
    <w:rsid w:val="00550565"/>
    <w:rsid w:val="0055078D"/>
    <w:rsid w:val="00550C99"/>
    <w:rsid w:val="005512BC"/>
    <w:rsid w:val="00551509"/>
    <w:rsid w:val="00552264"/>
    <w:rsid w:val="005526D4"/>
    <w:rsid w:val="00553202"/>
    <w:rsid w:val="00553413"/>
    <w:rsid w:val="00553C23"/>
    <w:rsid w:val="00553D01"/>
    <w:rsid w:val="00554725"/>
    <w:rsid w:val="00554933"/>
    <w:rsid w:val="00554F9F"/>
    <w:rsid w:val="00554FEA"/>
    <w:rsid w:val="00557896"/>
    <w:rsid w:val="005616A9"/>
    <w:rsid w:val="0056214A"/>
    <w:rsid w:val="005632FA"/>
    <w:rsid w:val="00563D34"/>
    <w:rsid w:val="005642B7"/>
    <w:rsid w:val="00564392"/>
    <w:rsid w:val="005646C4"/>
    <w:rsid w:val="00565F29"/>
    <w:rsid w:val="005679DC"/>
    <w:rsid w:val="005718A6"/>
    <w:rsid w:val="00572152"/>
    <w:rsid w:val="00573B53"/>
    <w:rsid w:val="005744B5"/>
    <w:rsid w:val="00574844"/>
    <w:rsid w:val="00575A1F"/>
    <w:rsid w:val="00575DA5"/>
    <w:rsid w:val="00577F99"/>
    <w:rsid w:val="00581D78"/>
    <w:rsid w:val="005829F6"/>
    <w:rsid w:val="00583135"/>
    <w:rsid w:val="0058357D"/>
    <w:rsid w:val="0058369E"/>
    <w:rsid w:val="00583984"/>
    <w:rsid w:val="0058449B"/>
    <w:rsid w:val="00585A7F"/>
    <w:rsid w:val="00586DD1"/>
    <w:rsid w:val="0058710F"/>
    <w:rsid w:val="00587D9D"/>
    <w:rsid w:val="00587F73"/>
    <w:rsid w:val="005903B0"/>
    <w:rsid w:val="00590DCA"/>
    <w:rsid w:val="005913EA"/>
    <w:rsid w:val="005918C3"/>
    <w:rsid w:val="005921BF"/>
    <w:rsid w:val="00593314"/>
    <w:rsid w:val="00594496"/>
    <w:rsid w:val="00594DB1"/>
    <w:rsid w:val="00594FB3"/>
    <w:rsid w:val="00596EDE"/>
    <w:rsid w:val="005977AC"/>
    <w:rsid w:val="00597805"/>
    <w:rsid w:val="00597A1F"/>
    <w:rsid w:val="00597CA6"/>
    <w:rsid w:val="005A032E"/>
    <w:rsid w:val="005A0995"/>
    <w:rsid w:val="005A1388"/>
    <w:rsid w:val="005A19CC"/>
    <w:rsid w:val="005A19D7"/>
    <w:rsid w:val="005A2C05"/>
    <w:rsid w:val="005A519A"/>
    <w:rsid w:val="005A51A0"/>
    <w:rsid w:val="005A5D40"/>
    <w:rsid w:val="005A5D7D"/>
    <w:rsid w:val="005A6B24"/>
    <w:rsid w:val="005A6EEF"/>
    <w:rsid w:val="005A79EE"/>
    <w:rsid w:val="005B0A63"/>
    <w:rsid w:val="005B0F80"/>
    <w:rsid w:val="005B290C"/>
    <w:rsid w:val="005B2CF1"/>
    <w:rsid w:val="005B2DC9"/>
    <w:rsid w:val="005B436B"/>
    <w:rsid w:val="005B6D2C"/>
    <w:rsid w:val="005C0424"/>
    <w:rsid w:val="005C0E5C"/>
    <w:rsid w:val="005C1FC6"/>
    <w:rsid w:val="005C245F"/>
    <w:rsid w:val="005C2F0B"/>
    <w:rsid w:val="005C45C9"/>
    <w:rsid w:val="005C5DE5"/>
    <w:rsid w:val="005C63EB"/>
    <w:rsid w:val="005C6618"/>
    <w:rsid w:val="005C6A27"/>
    <w:rsid w:val="005C7082"/>
    <w:rsid w:val="005C7A12"/>
    <w:rsid w:val="005D13E4"/>
    <w:rsid w:val="005D1B07"/>
    <w:rsid w:val="005D2552"/>
    <w:rsid w:val="005D3BE6"/>
    <w:rsid w:val="005D4123"/>
    <w:rsid w:val="005D62E2"/>
    <w:rsid w:val="005D7960"/>
    <w:rsid w:val="005D79CF"/>
    <w:rsid w:val="005D79E1"/>
    <w:rsid w:val="005E09D2"/>
    <w:rsid w:val="005E0DFC"/>
    <w:rsid w:val="005E1001"/>
    <w:rsid w:val="005E22F0"/>
    <w:rsid w:val="005E4424"/>
    <w:rsid w:val="005E471D"/>
    <w:rsid w:val="005E7F54"/>
    <w:rsid w:val="005F17A8"/>
    <w:rsid w:val="005F1A08"/>
    <w:rsid w:val="005F1FAC"/>
    <w:rsid w:val="005F2262"/>
    <w:rsid w:val="005F3C2C"/>
    <w:rsid w:val="005F4460"/>
    <w:rsid w:val="005F456E"/>
    <w:rsid w:val="005F48E2"/>
    <w:rsid w:val="005F4A25"/>
    <w:rsid w:val="005F6011"/>
    <w:rsid w:val="005F6672"/>
    <w:rsid w:val="00600A1E"/>
    <w:rsid w:val="0060203B"/>
    <w:rsid w:val="006026BF"/>
    <w:rsid w:val="00603E39"/>
    <w:rsid w:val="00603FD5"/>
    <w:rsid w:val="00604A3A"/>
    <w:rsid w:val="006053F3"/>
    <w:rsid w:val="0060679A"/>
    <w:rsid w:val="0060716A"/>
    <w:rsid w:val="00610BAB"/>
    <w:rsid w:val="00611C21"/>
    <w:rsid w:val="00612556"/>
    <w:rsid w:val="006131F7"/>
    <w:rsid w:val="006148E0"/>
    <w:rsid w:val="00616268"/>
    <w:rsid w:val="006168A6"/>
    <w:rsid w:val="00616DC8"/>
    <w:rsid w:val="00617591"/>
    <w:rsid w:val="006178BC"/>
    <w:rsid w:val="006206EC"/>
    <w:rsid w:val="0062312C"/>
    <w:rsid w:val="00623601"/>
    <w:rsid w:val="006238BD"/>
    <w:rsid w:val="00623F27"/>
    <w:rsid w:val="00624A66"/>
    <w:rsid w:val="00624EF0"/>
    <w:rsid w:val="00625943"/>
    <w:rsid w:val="00625AB4"/>
    <w:rsid w:val="00626689"/>
    <w:rsid w:val="00626B7E"/>
    <w:rsid w:val="00627D29"/>
    <w:rsid w:val="006315C4"/>
    <w:rsid w:val="00631959"/>
    <w:rsid w:val="00631A11"/>
    <w:rsid w:val="00631E16"/>
    <w:rsid w:val="0063212C"/>
    <w:rsid w:val="0063311C"/>
    <w:rsid w:val="00633186"/>
    <w:rsid w:val="00633B91"/>
    <w:rsid w:val="00633C77"/>
    <w:rsid w:val="0063445F"/>
    <w:rsid w:val="006376FC"/>
    <w:rsid w:val="00637791"/>
    <w:rsid w:val="0064006B"/>
    <w:rsid w:val="0064055E"/>
    <w:rsid w:val="006405E6"/>
    <w:rsid w:val="006413D4"/>
    <w:rsid w:val="0064188B"/>
    <w:rsid w:val="0064480D"/>
    <w:rsid w:val="006459D7"/>
    <w:rsid w:val="00645F25"/>
    <w:rsid w:val="0064612D"/>
    <w:rsid w:val="00646F3B"/>
    <w:rsid w:val="006471C1"/>
    <w:rsid w:val="0064736E"/>
    <w:rsid w:val="00650712"/>
    <w:rsid w:val="006533E8"/>
    <w:rsid w:val="00654529"/>
    <w:rsid w:val="00655715"/>
    <w:rsid w:val="006563DB"/>
    <w:rsid w:val="00656C09"/>
    <w:rsid w:val="00656C80"/>
    <w:rsid w:val="00656E57"/>
    <w:rsid w:val="00657DE5"/>
    <w:rsid w:val="00657F9C"/>
    <w:rsid w:val="00660087"/>
    <w:rsid w:val="0066094D"/>
    <w:rsid w:val="00661619"/>
    <w:rsid w:val="006628E5"/>
    <w:rsid w:val="00663B5E"/>
    <w:rsid w:val="0066561E"/>
    <w:rsid w:val="00666E12"/>
    <w:rsid w:val="00667F07"/>
    <w:rsid w:val="00667FC8"/>
    <w:rsid w:val="0067023F"/>
    <w:rsid w:val="0067198D"/>
    <w:rsid w:val="00672401"/>
    <w:rsid w:val="00673BEC"/>
    <w:rsid w:val="00674159"/>
    <w:rsid w:val="00674577"/>
    <w:rsid w:val="00675B0C"/>
    <w:rsid w:val="0067623B"/>
    <w:rsid w:val="00676D1E"/>
    <w:rsid w:val="00677998"/>
    <w:rsid w:val="00677EB5"/>
    <w:rsid w:val="00680E7C"/>
    <w:rsid w:val="006814C4"/>
    <w:rsid w:val="00683AEA"/>
    <w:rsid w:val="00684A5F"/>
    <w:rsid w:val="00685C8B"/>
    <w:rsid w:val="00686080"/>
    <w:rsid w:val="00686669"/>
    <w:rsid w:val="00686699"/>
    <w:rsid w:val="006868CC"/>
    <w:rsid w:val="00686F81"/>
    <w:rsid w:val="0068724F"/>
    <w:rsid w:val="00690F28"/>
    <w:rsid w:val="006918FA"/>
    <w:rsid w:val="00691D7C"/>
    <w:rsid w:val="00691DA0"/>
    <w:rsid w:val="0069255F"/>
    <w:rsid w:val="006926CB"/>
    <w:rsid w:val="00692735"/>
    <w:rsid w:val="00693F10"/>
    <w:rsid w:val="00694040"/>
    <w:rsid w:val="00697035"/>
    <w:rsid w:val="006A02D9"/>
    <w:rsid w:val="006A09CB"/>
    <w:rsid w:val="006A12BC"/>
    <w:rsid w:val="006A1DEF"/>
    <w:rsid w:val="006A38F4"/>
    <w:rsid w:val="006A3CC0"/>
    <w:rsid w:val="006A3EF5"/>
    <w:rsid w:val="006A5094"/>
    <w:rsid w:val="006A5BD0"/>
    <w:rsid w:val="006A5FD8"/>
    <w:rsid w:val="006A657D"/>
    <w:rsid w:val="006A6928"/>
    <w:rsid w:val="006A6B41"/>
    <w:rsid w:val="006A73A3"/>
    <w:rsid w:val="006B059C"/>
    <w:rsid w:val="006B0A18"/>
    <w:rsid w:val="006B190E"/>
    <w:rsid w:val="006B2499"/>
    <w:rsid w:val="006B258F"/>
    <w:rsid w:val="006B37CB"/>
    <w:rsid w:val="006B4ED3"/>
    <w:rsid w:val="006B5063"/>
    <w:rsid w:val="006B5402"/>
    <w:rsid w:val="006B5716"/>
    <w:rsid w:val="006B5F72"/>
    <w:rsid w:val="006B6517"/>
    <w:rsid w:val="006B6664"/>
    <w:rsid w:val="006B6AD5"/>
    <w:rsid w:val="006B6D03"/>
    <w:rsid w:val="006B6E71"/>
    <w:rsid w:val="006B6F9A"/>
    <w:rsid w:val="006B77DB"/>
    <w:rsid w:val="006B799E"/>
    <w:rsid w:val="006B7D55"/>
    <w:rsid w:val="006C04E5"/>
    <w:rsid w:val="006C15F3"/>
    <w:rsid w:val="006C3733"/>
    <w:rsid w:val="006C4073"/>
    <w:rsid w:val="006C44DE"/>
    <w:rsid w:val="006C461E"/>
    <w:rsid w:val="006C4AF4"/>
    <w:rsid w:val="006C4C43"/>
    <w:rsid w:val="006C583F"/>
    <w:rsid w:val="006C599A"/>
    <w:rsid w:val="006C6355"/>
    <w:rsid w:val="006C6F78"/>
    <w:rsid w:val="006C7ABE"/>
    <w:rsid w:val="006D0168"/>
    <w:rsid w:val="006D0556"/>
    <w:rsid w:val="006D0883"/>
    <w:rsid w:val="006D1A06"/>
    <w:rsid w:val="006D1AB4"/>
    <w:rsid w:val="006D3CD4"/>
    <w:rsid w:val="006D3F2F"/>
    <w:rsid w:val="006D487D"/>
    <w:rsid w:val="006D489B"/>
    <w:rsid w:val="006D48A0"/>
    <w:rsid w:val="006D4CCF"/>
    <w:rsid w:val="006D50C0"/>
    <w:rsid w:val="006D5F67"/>
    <w:rsid w:val="006D6592"/>
    <w:rsid w:val="006E041A"/>
    <w:rsid w:val="006E1823"/>
    <w:rsid w:val="006E18C8"/>
    <w:rsid w:val="006E1F45"/>
    <w:rsid w:val="006E2FF4"/>
    <w:rsid w:val="006E3080"/>
    <w:rsid w:val="006E3536"/>
    <w:rsid w:val="006E46BA"/>
    <w:rsid w:val="006E47B3"/>
    <w:rsid w:val="006E6882"/>
    <w:rsid w:val="006E6D2E"/>
    <w:rsid w:val="006E76CC"/>
    <w:rsid w:val="006F01B8"/>
    <w:rsid w:val="006F1FC9"/>
    <w:rsid w:val="006F208E"/>
    <w:rsid w:val="006F2B5B"/>
    <w:rsid w:val="006F57FA"/>
    <w:rsid w:val="006F5934"/>
    <w:rsid w:val="006F740B"/>
    <w:rsid w:val="006F794B"/>
    <w:rsid w:val="006F7E6B"/>
    <w:rsid w:val="006F7FBA"/>
    <w:rsid w:val="007000F8"/>
    <w:rsid w:val="007008D1"/>
    <w:rsid w:val="00700AF5"/>
    <w:rsid w:val="007018BA"/>
    <w:rsid w:val="00701D90"/>
    <w:rsid w:val="00703F3D"/>
    <w:rsid w:val="0070570A"/>
    <w:rsid w:val="00706991"/>
    <w:rsid w:val="00706D64"/>
    <w:rsid w:val="007070F4"/>
    <w:rsid w:val="0070719F"/>
    <w:rsid w:val="007071AE"/>
    <w:rsid w:val="00707EBC"/>
    <w:rsid w:val="00711D56"/>
    <w:rsid w:val="00713027"/>
    <w:rsid w:val="00714488"/>
    <w:rsid w:val="00714736"/>
    <w:rsid w:val="007153BB"/>
    <w:rsid w:val="007159D8"/>
    <w:rsid w:val="00716365"/>
    <w:rsid w:val="007168F7"/>
    <w:rsid w:val="00716FA5"/>
    <w:rsid w:val="00717E2C"/>
    <w:rsid w:val="00717F79"/>
    <w:rsid w:val="0072028E"/>
    <w:rsid w:val="00721853"/>
    <w:rsid w:val="00721C92"/>
    <w:rsid w:val="0072278C"/>
    <w:rsid w:val="007238AF"/>
    <w:rsid w:val="00723B72"/>
    <w:rsid w:val="00724574"/>
    <w:rsid w:val="007254A7"/>
    <w:rsid w:val="007279B4"/>
    <w:rsid w:val="00730CC8"/>
    <w:rsid w:val="0073126F"/>
    <w:rsid w:val="00733A5A"/>
    <w:rsid w:val="00733ABA"/>
    <w:rsid w:val="0073421C"/>
    <w:rsid w:val="007342FA"/>
    <w:rsid w:val="007343DD"/>
    <w:rsid w:val="00734EE2"/>
    <w:rsid w:val="00734FFD"/>
    <w:rsid w:val="00735843"/>
    <w:rsid w:val="00735D45"/>
    <w:rsid w:val="00736CA0"/>
    <w:rsid w:val="00736E48"/>
    <w:rsid w:val="00737055"/>
    <w:rsid w:val="007404D5"/>
    <w:rsid w:val="00743405"/>
    <w:rsid w:val="007436A4"/>
    <w:rsid w:val="00746888"/>
    <w:rsid w:val="00750068"/>
    <w:rsid w:val="0075052C"/>
    <w:rsid w:val="00750C30"/>
    <w:rsid w:val="00750C4D"/>
    <w:rsid w:val="00751946"/>
    <w:rsid w:val="00752B71"/>
    <w:rsid w:val="00752B89"/>
    <w:rsid w:val="0075415C"/>
    <w:rsid w:val="00754CA6"/>
    <w:rsid w:val="00756BBE"/>
    <w:rsid w:val="00760CD5"/>
    <w:rsid w:val="00761EF5"/>
    <w:rsid w:val="007622B0"/>
    <w:rsid w:val="007632B8"/>
    <w:rsid w:val="00763A61"/>
    <w:rsid w:val="00766DD2"/>
    <w:rsid w:val="007672C6"/>
    <w:rsid w:val="00770896"/>
    <w:rsid w:val="00770E02"/>
    <w:rsid w:val="0077209C"/>
    <w:rsid w:val="00772DBC"/>
    <w:rsid w:val="00772E4D"/>
    <w:rsid w:val="00775E79"/>
    <w:rsid w:val="0077623D"/>
    <w:rsid w:val="00776B1C"/>
    <w:rsid w:val="00777F89"/>
    <w:rsid w:val="00780716"/>
    <w:rsid w:val="007807EE"/>
    <w:rsid w:val="00780C51"/>
    <w:rsid w:val="00780D70"/>
    <w:rsid w:val="007813EE"/>
    <w:rsid w:val="0078153E"/>
    <w:rsid w:val="00781A33"/>
    <w:rsid w:val="00784BFF"/>
    <w:rsid w:val="00785A1D"/>
    <w:rsid w:val="00785A9D"/>
    <w:rsid w:val="00786318"/>
    <w:rsid w:val="0078635E"/>
    <w:rsid w:val="00786634"/>
    <w:rsid w:val="007867EE"/>
    <w:rsid w:val="00786FBB"/>
    <w:rsid w:val="007903A4"/>
    <w:rsid w:val="00791FC2"/>
    <w:rsid w:val="007927A8"/>
    <w:rsid w:val="00792868"/>
    <w:rsid w:val="00793FB5"/>
    <w:rsid w:val="00794EE2"/>
    <w:rsid w:val="0079751C"/>
    <w:rsid w:val="007977EB"/>
    <w:rsid w:val="007A0288"/>
    <w:rsid w:val="007A0363"/>
    <w:rsid w:val="007A0820"/>
    <w:rsid w:val="007A08C6"/>
    <w:rsid w:val="007A0A5F"/>
    <w:rsid w:val="007A0D14"/>
    <w:rsid w:val="007A0F6B"/>
    <w:rsid w:val="007A1B89"/>
    <w:rsid w:val="007A22ED"/>
    <w:rsid w:val="007A2641"/>
    <w:rsid w:val="007A274D"/>
    <w:rsid w:val="007A2803"/>
    <w:rsid w:val="007A4647"/>
    <w:rsid w:val="007A5F28"/>
    <w:rsid w:val="007A6B55"/>
    <w:rsid w:val="007A6D02"/>
    <w:rsid w:val="007A7DBF"/>
    <w:rsid w:val="007B0855"/>
    <w:rsid w:val="007B3F03"/>
    <w:rsid w:val="007B497F"/>
    <w:rsid w:val="007B503B"/>
    <w:rsid w:val="007B561D"/>
    <w:rsid w:val="007B5C19"/>
    <w:rsid w:val="007B691B"/>
    <w:rsid w:val="007C17EF"/>
    <w:rsid w:val="007C267A"/>
    <w:rsid w:val="007C2912"/>
    <w:rsid w:val="007C2B61"/>
    <w:rsid w:val="007C2EB8"/>
    <w:rsid w:val="007C324E"/>
    <w:rsid w:val="007C3FC5"/>
    <w:rsid w:val="007C3FDC"/>
    <w:rsid w:val="007C4937"/>
    <w:rsid w:val="007C61C7"/>
    <w:rsid w:val="007C75F3"/>
    <w:rsid w:val="007C7A87"/>
    <w:rsid w:val="007D109E"/>
    <w:rsid w:val="007D1482"/>
    <w:rsid w:val="007D1862"/>
    <w:rsid w:val="007D23E3"/>
    <w:rsid w:val="007D289F"/>
    <w:rsid w:val="007D44B3"/>
    <w:rsid w:val="007D55A7"/>
    <w:rsid w:val="007D55C4"/>
    <w:rsid w:val="007D5981"/>
    <w:rsid w:val="007D606A"/>
    <w:rsid w:val="007D69C5"/>
    <w:rsid w:val="007E048F"/>
    <w:rsid w:val="007E52A9"/>
    <w:rsid w:val="007E627B"/>
    <w:rsid w:val="007E677E"/>
    <w:rsid w:val="007E738F"/>
    <w:rsid w:val="007E761B"/>
    <w:rsid w:val="007E7CB6"/>
    <w:rsid w:val="007E7D01"/>
    <w:rsid w:val="007E7FE4"/>
    <w:rsid w:val="007F0117"/>
    <w:rsid w:val="007F0493"/>
    <w:rsid w:val="007F08F0"/>
    <w:rsid w:val="007F299E"/>
    <w:rsid w:val="007F30E8"/>
    <w:rsid w:val="007F3100"/>
    <w:rsid w:val="007F3B0A"/>
    <w:rsid w:val="007F40EC"/>
    <w:rsid w:val="007F76B1"/>
    <w:rsid w:val="00800443"/>
    <w:rsid w:val="00800619"/>
    <w:rsid w:val="00800A4A"/>
    <w:rsid w:val="008011F9"/>
    <w:rsid w:val="0080186A"/>
    <w:rsid w:val="00802415"/>
    <w:rsid w:val="00802517"/>
    <w:rsid w:val="008026F7"/>
    <w:rsid w:val="00802763"/>
    <w:rsid w:val="00802BAC"/>
    <w:rsid w:val="0080318C"/>
    <w:rsid w:val="00803536"/>
    <w:rsid w:val="008043D7"/>
    <w:rsid w:val="00804BA0"/>
    <w:rsid w:val="00806F01"/>
    <w:rsid w:val="0081031C"/>
    <w:rsid w:val="00810EBD"/>
    <w:rsid w:val="008114EF"/>
    <w:rsid w:val="008121C2"/>
    <w:rsid w:val="00812257"/>
    <w:rsid w:val="008143CE"/>
    <w:rsid w:val="0081533C"/>
    <w:rsid w:val="00815879"/>
    <w:rsid w:val="0081591F"/>
    <w:rsid w:val="0081611A"/>
    <w:rsid w:val="00816BDF"/>
    <w:rsid w:val="00816CA1"/>
    <w:rsid w:val="00817436"/>
    <w:rsid w:val="00817EED"/>
    <w:rsid w:val="00820D1E"/>
    <w:rsid w:val="00820D96"/>
    <w:rsid w:val="00820E52"/>
    <w:rsid w:val="00822921"/>
    <w:rsid w:val="00822F35"/>
    <w:rsid w:val="00826E8D"/>
    <w:rsid w:val="008277D2"/>
    <w:rsid w:val="00831D2B"/>
    <w:rsid w:val="00832AF7"/>
    <w:rsid w:val="00832C63"/>
    <w:rsid w:val="00833186"/>
    <w:rsid w:val="0083416E"/>
    <w:rsid w:val="008404E9"/>
    <w:rsid w:val="00840691"/>
    <w:rsid w:val="008407A7"/>
    <w:rsid w:val="00842101"/>
    <w:rsid w:val="00842398"/>
    <w:rsid w:val="008428F4"/>
    <w:rsid w:val="00842F68"/>
    <w:rsid w:val="00843734"/>
    <w:rsid w:val="00844C5F"/>
    <w:rsid w:val="0084564A"/>
    <w:rsid w:val="00845A6C"/>
    <w:rsid w:val="00845C1F"/>
    <w:rsid w:val="00846DC4"/>
    <w:rsid w:val="00846EDE"/>
    <w:rsid w:val="00847090"/>
    <w:rsid w:val="008474EA"/>
    <w:rsid w:val="00847777"/>
    <w:rsid w:val="0085098A"/>
    <w:rsid w:val="008511EF"/>
    <w:rsid w:val="00851734"/>
    <w:rsid w:val="00852097"/>
    <w:rsid w:val="0085364B"/>
    <w:rsid w:val="008536C6"/>
    <w:rsid w:val="0085372C"/>
    <w:rsid w:val="008541C9"/>
    <w:rsid w:val="0085439B"/>
    <w:rsid w:val="008573AC"/>
    <w:rsid w:val="00860040"/>
    <w:rsid w:val="00860536"/>
    <w:rsid w:val="00860701"/>
    <w:rsid w:val="00860B5A"/>
    <w:rsid w:val="00860C20"/>
    <w:rsid w:val="00860C3D"/>
    <w:rsid w:val="00861022"/>
    <w:rsid w:val="00862C4C"/>
    <w:rsid w:val="00862C66"/>
    <w:rsid w:val="008634EC"/>
    <w:rsid w:val="00863F87"/>
    <w:rsid w:val="008642EA"/>
    <w:rsid w:val="0086444B"/>
    <w:rsid w:val="00865F78"/>
    <w:rsid w:val="00867A20"/>
    <w:rsid w:val="00870021"/>
    <w:rsid w:val="00873899"/>
    <w:rsid w:val="0087497C"/>
    <w:rsid w:val="00874C56"/>
    <w:rsid w:val="0087519B"/>
    <w:rsid w:val="008751BD"/>
    <w:rsid w:val="00876766"/>
    <w:rsid w:val="00876A54"/>
    <w:rsid w:val="008770A1"/>
    <w:rsid w:val="0087753A"/>
    <w:rsid w:val="00877A45"/>
    <w:rsid w:val="00877E7A"/>
    <w:rsid w:val="008801B1"/>
    <w:rsid w:val="00880342"/>
    <w:rsid w:val="00880353"/>
    <w:rsid w:val="0088087C"/>
    <w:rsid w:val="008809C0"/>
    <w:rsid w:val="00880A37"/>
    <w:rsid w:val="0088129C"/>
    <w:rsid w:val="0088133B"/>
    <w:rsid w:val="00882079"/>
    <w:rsid w:val="00882502"/>
    <w:rsid w:val="00883C28"/>
    <w:rsid w:val="008844A1"/>
    <w:rsid w:val="008854AB"/>
    <w:rsid w:val="008856EA"/>
    <w:rsid w:val="00885D5A"/>
    <w:rsid w:val="008860AF"/>
    <w:rsid w:val="008869B9"/>
    <w:rsid w:val="00886BA0"/>
    <w:rsid w:val="00886DB5"/>
    <w:rsid w:val="008872EB"/>
    <w:rsid w:val="00887BC4"/>
    <w:rsid w:val="00887E91"/>
    <w:rsid w:val="00890F23"/>
    <w:rsid w:val="00891A01"/>
    <w:rsid w:val="00891CF7"/>
    <w:rsid w:val="00893414"/>
    <w:rsid w:val="00893A64"/>
    <w:rsid w:val="00893D8A"/>
    <w:rsid w:val="00894C8A"/>
    <w:rsid w:val="00894E59"/>
    <w:rsid w:val="008956AE"/>
    <w:rsid w:val="008964E5"/>
    <w:rsid w:val="00896CBB"/>
    <w:rsid w:val="00897ADB"/>
    <w:rsid w:val="00897F77"/>
    <w:rsid w:val="008A0877"/>
    <w:rsid w:val="008A292E"/>
    <w:rsid w:val="008A2BB2"/>
    <w:rsid w:val="008A3724"/>
    <w:rsid w:val="008A3A85"/>
    <w:rsid w:val="008A3B90"/>
    <w:rsid w:val="008A4256"/>
    <w:rsid w:val="008A4A34"/>
    <w:rsid w:val="008A4E3A"/>
    <w:rsid w:val="008A5D4F"/>
    <w:rsid w:val="008A71C9"/>
    <w:rsid w:val="008A7820"/>
    <w:rsid w:val="008A7D4B"/>
    <w:rsid w:val="008A7F13"/>
    <w:rsid w:val="008B05C3"/>
    <w:rsid w:val="008B0ADF"/>
    <w:rsid w:val="008B1C63"/>
    <w:rsid w:val="008B1D43"/>
    <w:rsid w:val="008B1FE6"/>
    <w:rsid w:val="008B2079"/>
    <w:rsid w:val="008B4965"/>
    <w:rsid w:val="008B523F"/>
    <w:rsid w:val="008B57D6"/>
    <w:rsid w:val="008B5CC5"/>
    <w:rsid w:val="008B637D"/>
    <w:rsid w:val="008B645A"/>
    <w:rsid w:val="008B6708"/>
    <w:rsid w:val="008B7427"/>
    <w:rsid w:val="008B772C"/>
    <w:rsid w:val="008B7D11"/>
    <w:rsid w:val="008C0019"/>
    <w:rsid w:val="008C1615"/>
    <w:rsid w:val="008C1824"/>
    <w:rsid w:val="008C1BAB"/>
    <w:rsid w:val="008C29B7"/>
    <w:rsid w:val="008C3D17"/>
    <w:rsid w:val="008C3DA4"/>
    <w:rsid w:val="008C5978"/>
    <w:rsid w:val="008C6520"/>
    <w:rsid w:val="008C6825"/>
    <w:rsid w:val="008C705D"/>
    <w:rsid w:val="008C7185"/>
    <w:rsid w:val="008C71CB"/>
    <w:rsid w:val="008C71E1"/>
    <w:rsid w:val="008C7D18"/>
    <w:rsid w:val="008D0021"/>
    <w:rsid w:val="008D0423"/>
    <w:rsid w:val="008D1638"/>
    <w:rsid w:val="008D1ABD"/>
    <w:rsid w:val="008D296B"/>
    <w:rsid w:val="008D3495"/>
    <w:rsid w:val="008D65AB"/>
    <w:rsid w:val="008D6A4D"/>
    <w:rsid w:val="008D760A"/>
    <w:rsid w:val="008E0735"/>
    <w:rsid w:val="008E135F"/>
    <w:rsid w:val="008E2221"/>
    <w:rsid w:val="008E364B"/>
    <w:rsid w:val="008E4411"/>
    <w:rsid w:val="008E48A0"/>
    <w:rsid w:val="008E6762"/>
    <w:rsid w:val="008E691A"/>
    <w:rsid w:val="008E7115"/>
    <w:rsid w:val="008F0DC2"/>
    <w:rsid w:val="008F1E53"/>
    <w:rsid w:val="008F3709"/>
    <w:rsid w:val="008F3A58"/>
    <w:rsid w:val="008F4ADC"/>
    <w:rsid w:val="008F4B6E"/>
    <w:rsid w:val="008F5250"/>
    <w:rsid w:val="008F6DAC"/>
    <w:rsid w:val="008F6EC8"/>
    <w:rsid w:val="008F6EFE"/>
    <w:rsid w:val="008F70D1"/>
    <w:rsid w:val="008F71C8"/>
    <w:rsid w:val="008F7247"/>
    <w:rsid w:val="008F7905"/>
    <w:rsid w:val="008F7BBB"/>
    <w:rsid w:val="009003B0"/>
    <w:rsid w:val="0090137A"/>
    <w:rsid w:val="00901602"/>
    <w:rsid w:val="009017BE"/>
    <w:rsid w:val="00903437"/>
    <w:rsid w:val="00904019"/>
    <w:rsid w:val="0090420C"/>
    <w:rsid w:val="00905346"/>
    <w:rsid w:val="00910468"/>
    <w:rsid w:val="00910570"/>
    <w:rsid w:val="00911112"/>
    <w:rsid w:val="00914396"/>
    <w:rsid w:val="00915301"/>
    <w:rsid w:val="00915F6F"/>
    <w:rsid w:val="009179D9"/>
    <w:rsid w:val="00920A34"/>
    <w:rsid w:val="00920C35"/>
    <w:rsid w:val="00920F7E"/>
    <w:rsid w:val="00921C5E"/>
    <w:rsid w:val="00921F14"/>
    <w:rsid w:val="00922843"/>
    <w:rsid w:val="00922C2D"/>
    <w:rsid w:val="00922C2F"/>
    <w:rsid w:val="00922F27"/>
    <w:rsid w:val="009233C7"/>
    <w:rsid w:val="00923AEF"/>
    <w:rsid w:val="0092405B"/>
    <w:rsid w:val="009240B2"/>
    <w:rsid w:val="00924E79"/>
    <w:rsid w:val="009254B8"/>
    <w:rsid w:val="00926383"/>
    <w:rsid w:val="00926B3F"/>
    <w:rsid w:val="00926DEE"/>
    <w:rsid w:val="00926DF7"/>
    <w:rsid w:val="0092742C"/>
    <w:rsid w:val="00927C6B"/>
    <w:rsid w:val="00927FDE"/>
    <w:rsid w:val="00930D4B"/>
    <w:rsid w:val="009320E3"/>
    <w:rsid w:val="00934DF7"/>
    <w:rsid w:val="00934EEB"/>
    <w:rsid w:val="00935C80"/>
    <w:rsid w:val="00936068"/>
    <w:rsid w:val="00936C4F"/>
    <w:rsid w:val="00936E5C"/>
    <w:rsid w:val="00936FB0"/>
    <w:rsid w:val="009371C3"/>
    <w:rsid w:val="00937342"/>
    <w:rsid w:val="009417B2"/>
    <w:rsid w:val="009417DF"/>
    <w:rsid w:val="00941BB2"/>
    <w:rsid w:val="00941D24"/>
    <w:rsid w:val="0094236A"/>
    <w:rsid w:val="009432F9"/>
    <w:rsid w:val="00943619"/>
    <w:rsid w:val="0094585F"/>
    <w:rsid w:val="00945AB0"/>
    <w:rsid w:val="0094653A"/>
    <w:rsid w:val="00947807"/>
    <w:rsid w:val="00950EB5"/>
    <w:rsid w:val="009517CC"/>
    <w:rsid w:val="009526B7"/>
    <w:rsid w:val="00954B0F"/>
    <w:rsid w:val="00954B4C"/>
    <w:rsid w:val="00955AC1"/>
    <w:rsid w:val="00956378"/>
    <w:rsid w:val="0095685E"/>
    <w:rsid w:val="0096004C"/>
    <w:rsid w:val="009600B0"/>
    <w:rsid w:val="0096087B"/>
    <w:rsid w:val="009615D4"/>
    <w:rsid w:val="00962BA9"/>
    <w:rsid w:val="00962C7E"/>
    <w:rsid w:val="009634F7"/>
    <w:rsid w:val="009636BB"/>
    <w:rsid w:val="009638B8"/>
    <w:rsid w:val="00964D2F"/>
    <w:rsid w:val="00966E41"/>
    <w:rsid w:val="00966E83"/>
    <w:rsid w:val="00970819"/>
    <w:rsid w:val="009718B3"/>
    <w:rsid w:val="009724B7"/>
    <w:rsid w:val="0097276B"/>
    <w:rsid w:val="00972B1E"/>
    <w:rsid w:val="009733AC"/>
    <w:rsid w:val="00973774"/>
    <w:rsid w:val="00973832"/>
    <w:rsid w:val="00973B47"/>
    <w:rsid w:val="00974677"/>
    <w:rsid w:val="009759F2"/>
    <w:rsid w:val="00975AE6"/>
    <w:rsid w:val="0097657C"/>
    <w:rsid w:val="00976C50"/>
    <w:rsid w:val="00976F54"/>
    <w:rsid w:val="0097704C"/>
    <w:rsid w:val="00977FD3"/>
    <w:rsid w:val="00980685"/>
    <w:rsid w:val="00980B57"/>
    <w:rsid w:val="009823E4"/>
    <w:rsid w:val="00983D00"/>
    <w:rsid w:val="00984379"/>
    <w:rsid w:val="00984C6C"/>
    <w:rsid w:val="00985231"/>
    <w:rsid w:val="009855A1"/>
    <w:rsid w:val="00986B50"/>
    <w:rsid w:val="00986FAE"/>
    <w:rsid w:val="00987268"/>
    <w:rsid w:val="00987D35"/>
    <w:rsid w:val="00990D47"/>
    <w:rsid w:val="00991462"/>
    <w:rsid w:val="00991F9E"/>
    <w:rsid w:val="00992217"/>
    <w:rsid w:val="00992D11"/>
    <w:rsid w:val="0099444B"/>
    <w:rsid w:val="00994B5D"/>
    <w:rsid w:val="009951A7"/>
    <w:rsid w:val="009957FF"/>
    <w:rsid w:val="00996186"/>
    <w:rsid w:val="009A1093"/>
    <w:rsid w:val="009A1279"/>
    <w:rsid w:val="009A1E02"/>
    <w:rsid w:val="009A1F3C"/>
    <w:rsid w:val="009A2081"/>
    <w:rsid w:val="009A22C1"/>
    <w:rsid w:val="009A28A9"/>
    <w:rsid w:val="009A2C08"/>
    <w:rsid w:val="009A2F17"/>
    <w:rsid w:val="009A360F"/>
    <w:rsid w:val="009A3D8E"/>
    <w:rsid w:val="009A49D1"/>
    <w:rsid w:val="009A710C"/>
    <w:rsid w:val="009A7911"/>
    <w:rsid w:val="009A7BDE"/>
    <w:rsid w:val="009B02AB"/>
    <w:rsid w:val="009B1276"/>
    <w:rsid w:val="009B1AFE"/>
    <w:rsid w:val="009B2231"/>
    <w:rsid w:val="009B25EB"/>
    <w:rsid w:val="009B2823"/>
    <w:rsid w:val="009B28EA"/>
    <w:rsid w:val="009B31D2"/>
    <w:rsid w:val="009B4055"/>
    <w:rsid w:val="009B5448"/>
    <w:rsid w:val="009B5D06"/>
    <w:rsid w:val="009B5F4F"/>
    <w:rsid w:val="009B637D"/>
    <w:rsid w:val="009B7541"/>
    <w:rsid w:val="009B7F58"/>
    <w:rsid w:val="009B7F5D"/>
    <w:rsid w:val="009C0347"/>
    <w:rsid w:val="009C0FDE"/>
    <w:rsid w:val="009C12B5"/>
    <w:rsid w:val="009C1447"/>
    <w:rsid w:val="009C1B95"/>
    <w:rsid w:val="009C2331"/>
    <w:rsid w:val="009C2F73"/>
    <w:rsid w:val="009C3732"/>
    <w:rsid w:val="009C3C05"/>
    <w:rsid w:val="009C44C3"/>
    <w:rsid w:val="009C46A8"/>
    <w:rsid w:val="009C4AE4"/>
    <w:rsid w:val="009C4CE8"/>
    <w:rsid w:val="009C57EE"/>
    <w:rsid w:val="009C5C05"/>
    <w:rsid w:val="009C61B0"/>
    <w:rsid w:val="009C69CD"/>
    <w:rsid w:val="009C6E4A"/>
    <w:rsid w:val="009C74D2"/>
    <w:rsid w:val="009C752B"/>
    <w:rsid w:val="009D24F5"/>
    <w:rsid w:val="009D28A2"/>
    <w:rsid w:val="009D32AE"/>
    <w:rsid w:val="009D368D"/>
    <w:rsid w:val="009D3BA0"/>
    <w:rsid w:val="009D3F24"/>
    <w:rsid w:val="009D439E"/>
    <w:rsid w:val="009D4531"/>
    <w:rsid w:val="009D4CCF"/>
    <w:rsid w:val="009D5C5E"/>
    <w:rsid w:val="009D5FF0"/>
    <w:rsid w:val="009D652D"/>
    <w:rsid w:val="009D6934"/>
    <w:rsid w:val="009D7521"/>
    <w:rsid w:val="009E0472"/>
    <w:rsid w:val="009E2121"/>
    <w:rsid w:val="009E2C97"/>
    <w:rsid w:val="009E4094"/>
    <w:rsid w:val="009E4CAE"/>
    <w:rsid w:val="009E5CC5"/>
    <w:rsid w:val="009E5E24"/>
    <w:rsid w:val="009E5F56"/>
    <w:rsid w:val="009E60A4"/>
    <w:rsid w:val="009E684B"/>
    <w:rsid w:val="009E6BE5"/>
    <w:rsid w:val="009E6D1A"/>
    <w:rsid w:val="009E71CA"/>
    <w:rsid w:val="009E7ED9"/>
    <w:rsid w:val="009E7F9B"/>
    <w:rsid w:val="009F1A77"/>
    <w:rsid w:val="009F1AF2"/>
    <w:rsid w:val="009F36E7"/>
    <w:rsid w:val="009F3A68"/>
    <w:rsid w:val="009F4390"/>
    <w:rsid w:val="009F4637"/>
    <w:rsid w:val="009F4653"/>
    <w:rsid w:val="009F58C4"/>
    <w:rsid w:val="009F5B49"/>
    <w:rsid w:val="009F6C7E"/>
    <w:rsid w:val="009F7585"/>
    <w:rsid w:val="00A003A8"/>
    <w:rsid w:val="00A0089A"/>
    <w:rsid w:val="00A01B13"/>
    <w:rsid w:val="00A01C6A"/>
    <w:rsid w:val="00A01CB2"/>
    <w:rsid w:val="00A01DAC"/>
    <w:rsid w:val="00A01FE8"/>
    <w:rsid w:val="00A03AC0"/>
    <w:rsid w:val="00A04C0D"/>
    <w:rsid w:val="00A05E3B"/>
    <w:rsid w:val="00A06369"/>
    <w:rsid w:val="00A064FD"/>
    <w:rsid w:val="00A068D6"/>
    <w:rsid w:val="00A06E1C"/>
    <w:rsid w:val="00A0787B"/>
    <w:rsid w:val="00A07CDF"/>
    <w:rsid w:val="00A07D53"/>
    <w:rsid w:val="00A07E98"/>
    <w:rsid w:val="00A07FE8"/>
    <w:rsid w:val="00A10256"/>
    <w:rsid w:val="00A105F2"/>
    <w:rsid w:val="00A12635"/>
    <w:rsid w:val="00A13664"/>
    <w:rsid w:val="00A14B66"/>
    <w:rsid w:val="00A15B25"/>
    <w:rsid w:val="00A1641D"/>
    <w:rsid w:val="00A16808"/>
    <w:rsid w:val="00A16817"/>
    <w:rsid w:val="00A17764"/>
    <w:rsid w:val="00A206E8"/>
    <w:rsid w:val="00A20BA0"/>
    <w:rsid w:val="00A21F93"/>
    <w:rsid w:val="00A22229"/>
    <w:rsid w:val="00A22D67"/>
    <w:rsid w:val="00A2308B"/>
    <w:rsid w:val="00A2403E"/>
    <w:rsid w:val="00A24EF4"/>
    <w:rsid w:val="00A2636E"/>
    <w:rsid w:val="00A26910"/>
    <w:rsid w:val="00A2716F"/>
    <w:rsid w:val="00A27530"/>
    <w:rsid w:val="00A27613"/>
    <w:rsid w:val="00A308A7"/>
    <w:rsid w:val="00A31C51"/>
    <w:rsid w:val="00A3335E"/>
    <w:rsid w:val="00A334DC"/>
    <w:rsid w:val="00A33691"/>
    <w:rsid w:val="00A35150"/>
    <w:rsid w:val="00A35A35"/>
    <w:rsid w:val="00A362D8"/>
    <w:rsid w:val="00A36BE4"/>
    <w:rsid w:val="00A36C06"/>
    <w:rsid w:val="00A36F9D"/>
    <w:rsid w:val="00A37561"/>
    <w:rsid w:val="00A37C11"/>
    <w:rsid w:val="00A37C31"/>
    <w:rsid w:val="00A4119B"/>
    <w:rsid w:val="00A4195B"/>
    <w:rsid w:val="00A41A94"/>
    <w:rsid w:val="00A41BF8"/>
    <w:rsid w:val="00A42BA0"/>
    <w:rsid w:val="00A42CAA"/>
    <w:rsid w:val="00A438CC"/>
    <w:rsid w:val="00A44344"/>
    <w:rsid w:val="00A446C8"/>
    <w:rsid w:val="00A457A9"/>
    <w:rsid w:val="00A4599A"/>
    <w:rsid w:val="00A461F2"/>
    <w:rsid w:val="00A46229"/>
    <w:rsid w:val="00A46A3D"/>
    <w:rsid w:val="00A4705C"/>
    <w:rsid w:val="00A470FD"/>
    <w:rsid w:val="00A47F30"/>
    <w:rsid w:val="00A500C6"/>
    <w:rsid w:val="00A50158"/>
    <w:rsid w:val="00A510E8"/>
    <w:rsid w:val="00A51C57"/>
    <w:rsid w:val="00A5293B"/>
    <w:rsid w:val="00A529B2"/>
    <w:rsid w:val="00A53F38"/>
    <w:rsid w:val="00A5512E"/>
    <w:rsid w:val="00A560B4"/>
    <w:rsid w:val="00A5700B"/>
    <w:rsid w:val="00A60161"/>
    <w:rsid w:val="00A60334"/>
    <w:rsid w:val="00A60CBA"/>
    <w:rsid w:val="00A60DA0"/>
    <w:rsid w:val="00A61C51"/>
    <w:rsid w:val="00A625F6"/>
    <w:rsid w:val="00A63C5D"/>
    <w:rsid w:val="00A64056"/>
    <w:rsid w:val="00A644AB"/>
    <w:rsid w:val="00A6671C"/>
    <w:rsid w:val="00A66EC7"/>
    <w:rsid w:val="00A67E6F"/>
    <w:rsid w:val="00A70864"/>
    <w:rsid w:val="00A71426"/>
    <w:rsid w:val="00A7146A"/>
    <w:rsid w:val="00A7184B"/>
    <w:rsid w:val="00A718E3"/>
    <w:rsid w:val="00A72052"/>
    <w:rsid w:val="00A72376"/>
    <w:rsid w:val="00A742C3"/>
    <w:rsid w:val="00A74828"/>
    <w:rsid w:val="00A74A2C"/>
    <w:rsid w:val="00A75111"/>
    <w:rsid w:val="00A75B0E"/>
    <w:rsid w:val="00A804FE"/>
    <w:rsid w:val="00A8084E"/>
    <w:rsid w:val="00A81CCD"/>
    <w:rsid w:val="00A83D60"/>
    <w:rsid w:val="00A8427A"/>
    <w:rsid w:val="00A84E01"/>
    <w:rsid w:val="00A86FA0"/>
    <w:rsid w:val="00A87C1B"/>
    <w:rsid w:val="00A87C22"/>
    <w:rsid w:val="00A90151"/>
    <w:rsid w:val="00A90B18"/>
    <w:rsid w:val="00A90EA5"/>
    <w:rsid w:val="00A91786"/>
    <w:rsid w:val="00A92319"/>
    <w:rsid w:val="00A924B9"/>
    <w:rsid w:val="00A9359B"/>
    <w:rsid w:val="00A938C4"/>
    <w:rsid w:val="00A939E8"/>
    <w:rsid w:val="00A93E6B"/>
    <w:rsid w:val="00A94790"/>
    <w:rsid w:val="00A95AC0"/>
    <w:rsid w:val="00A95B9C"/>
    <w:rsid w:val="00A95D2B"/>
    <w:rsid w:val="00A96371"/>
    <w:rsid w:val="00A96A91"/>
    <w:rsid w:val="00A96DB8"/>
    <w:rsid w:val="00A970C4"/>
    <w:rsid w:val="00A974AA"/>
    <w:rsid w:val="00AA163B"/>
    <w:rsid w:val="00AA1900"/>
    <w:rsid w:val="00AA20FF"/>
    <w:rsid w:val="00AA2185"/>
    <w:rsid w:val="00AA40F4"/>
    <w:rsid w:val="00AA4110"/>
    <w:rsid w:val="00AA465B"/>
    <w:rsid w:val="00AA535E"/>
    <w:rsid w:val="00AA5BD8"/>
    <w:rsid w:val="00AA7661"/>
    <w:rsid w:val="00AB1BF4"/>
    <w:rsid w:val="00AB2570"/>
    <w:rsid w:val="00AB2641"/>
    <w:rsid w:val="00AB2C2E"/>
    <w:rsid w:val="00AB3479"/>
    <w:rsid w:val="00AB34D9"/>
    <w:rsid w:val="00AB5F12"/>
    <w:rsid w:val="00AB634C"/>
    <w:rsid w:val="00AB7959"/>
    <w:rsid w:val="00AB7A9E"/>
    <w:rsid w:val="00AC0558"/>
    <w:rsid w:val="00AC08E3"/>
    <w:rsid w:val="00AC2373"/>
    <w:rsid w:val="00AC24BE"/>
    <w:rsid w:val="00AC2ACF"/>
    <w:rsid w:val="00AC2EA8"/>
    <w:rsid w:val="00AC41C4"/>
    <w:rsid w:val="00AC47F1"/>
    <w:rsid w:val="00AC4BB1"/>
    <w:rsid w:val="00AC504A"/>
    <w:rsid w:val="00AC5634"/>
    <w:rsid w:val="00AC5D36"/>
    <w:rsid w:val="00AC6534"/>
    <w:rsid w:val="00AC69EB"/>
    <w:rsid w:val="00AC6D78"/>
    <w:rsid w:val="00AC6F6A"/>
    <w:rsid w:val="00AC7A6F"/>
    <w:rsid w:val="00AD10C5"/>
    <w:rsid w:val="00AD1AA6"/>
    <w:rsid w:val="00AD2098"/>
    <w:rsid w:val="00AD2352"/>
    <w:rsid w:val="00AD307A"/>
    <w:rsid w:val="00AD3A56"/>
    <w:rsid w:val="00AD4233"/>
    <w:rsid w:val="00AD47C6"/>
    <w:rsid w:val="00AD5095"/>
    <w:rsid w:val="00AD5F5D"/>
    <w:rsid w:val="00AD7659"/>
    <w:rsid w:val="00AE008A"/>
    <w:rsid w:val="00AE01C1"/>
    <w:rsid w:val="00AE1A96"/>
    <w:rsid w:val="00AE3519"/>
    <w:rsid w:val="00AE4123"/>
    <w:rsid w:val="00AE417E"/>
    <w:rsid w:val="00AE4623"/>
    <w:rsid w:val="00AE482F"/>
    <w:rsid w:val="00AE4AE4"/>
    <w:rsid w:val="00AE548F"/>
    <w:rsid w:val="00AE7C4C"/>
    <w:rsid w:val="00AE7D7F"/>
    <w:rsid w:val="00AF1E23"/>
    <w:rsid w:val="00AF212F"/>
    <w:rsid w:val="00AF2E7F"/>
    <w:rsid w:val="00AF36C2"/>
    <w:rsid w:val="00AF392B"/>
    <w:rsid w:val="00AF3BCF"/>
    <w:rsid w:val="00AF50B7"/>
    <w:rsid w:val="00AF587C"/>
    <w:rsid w:val="00AF7956"/>
    <w:rsid w:val="00B008FD"/>
    <w:rsid w:val="00B02319"/>
    <w:rsid w:val="00B0231B"/>
    <w:rsid w:val="00B0285B"/>
    <w:rsid w:val="00B02F5E"/>
    <w:rsid w:val="00B03379"/>
    <w:rsid w:val="00B04D29"/>
    <w:rsid w:val="00B05399"/>
    <w:rsid w:val="00B05E93"/>
    <w:rsid w:val="00B1030C"/>
    <w:rsid w:val="00B1042F"/>
    <w:rsid w:val="00B11226"/>
    <w:rsid w:val="00B11AC8"/>
    <w:rsid w:val="00B11E1A"/>
    <w:rsid w:val="00B124C7"/>
    <w:rsid w:val="00B12699"/>
    <w:rsid w:val="00B126F7"/>
    <w:rsid w:val="00B12C30"/>
    <w:rsid w:val="00B13107"/>
    <w:rsid w:val="00B13BBD"/>
    <w:rsid w:val="00B147E6"/>
    <w:rsid w:val="00B160EF"/>
    <w:rsid w:val="00B1658E"/>
    <w:rsid w:val="00B207EF"/>
    <w:rsid w:val="00B21167"/>
    <w:rsid w:val="00B22A1D"/>
    <w:rsid w:val="00B22D9D"/>
    <w:rsid w:val="00B233EA"/>
    <w:rsid w:val="00B23603"/>
    <w:rsid w:val="00B24FBE"/>
    <w:rsid w:val="00B25088"/>
    <w:rsid w:val="00B25616"/>
    <w:rsid w:val="00B26E14"/>
    <w:rsid w:val="00B27C0F"/>
    <w:rsid w:val="00B304FE"/>
    <w:rsid w:val="00B30B66"/>
    <w:rsid w:val="00B32068"/>
    <w:rsid w:val="00B32409"/>
    <w:rsid w:val="00B32D6C"/>
    <w:rsid w:val="00B3352B"/>
    <w:rsid w:val="00B3358A"/>
    <w:rsid w:val="00B3365C"/>
    <w:rsid w:val="00B3550F"/>
    <w:rsid w:val="00B36205"/>
    <w:rsid w:val="00B3749D"/>
    <w:rsid w:val="00B37982"/>
    <w:rsid w:val="00B40CB2"/>
    <w:rsid w:val="00B40D4F"/>
    <w:rsid w:val="00B410A7"/>
    <w:rsid w:val="00B4128F"/>
    <w:rsid w:val="00B41314"/>
    <w:rsid w:val="00B41D28"/>
    <w:rsid w:val="00B424B7"/>
    <w:rsid w:val="00B43782"/>
    <w:rsid w:val="00B44103"/>
    <w:rsid w:val="00B445E3"/>
    <w:rsid w:val="00B45FC7"/>
    <w:rsid w:val="00B467F6"/>
    <w:rsid w:val="00B50665"/>
    <w:rsid w:val="00B51223"/>
    <w:rsid w:val="00B5211D"/>
    <w:rsid w:val="00B52188"/>
    <w:rsid w:val="00B52B1F"/>
    <w:rsid w:val="00B531FA"/>
    <w:rsid w:val="00B534BA"/>
    <w:rsid w:val="00B54871"/>
    <w:rsid w:val="00B556D1"/>
    <w:rsid w:val="00B56365"/>
    <w:rsid w:val="00B57667"/>
    <w:rsid w:val="00B57C8C"/>
    <w:rsid w:val="00B606DF"/>
    <w:rsid w:val="00B6087F"/>
    <w:rsid w:val="00B61108"/>
    <w:rsid w:val="00B61349"/>
    <w:rsid w:val="00B61EFE"/>
    <w:rsid w:val="00B6239A"/>
    <w:rsid w:val="00B625EA"/>
    <w:rsid w:val="00B639F8"/>
    <w:rsid w:val="00B6500F"/>
    <w:rsid w:val="00B65DAA"/>
    <w:rsid w:val="00B6628B"/>
    <w:rsid w:val="00B667AB"/>
    <w:rsid w:val="00B66B2F"/>
    <w:rsid w:val="00B66B3C"/>
    <w:rsid w:val="00B67895"/>
    <w:rsid w:val="00B67DE1"/>
    <w:rsid w:val="00B711F0"/>
    <w:rsid w:val="00B7120E"/>
    <w:rsid w:val="00B747FF"/>
    <w:rsid w:val="00B74F7F"/>
    <w:rsid w:val="00B74FA5"/>
    <w:rsid w:val="00B75B08"/>
    <w:rsid w:val="00B76126"/>
    <w:rsid w:val="00B80FBB"/>
    <w:rsid w:val="00B84944"/>
    <w:rsid w:val="00B849A9"/>
    <w:rsid w:val="00B8527B"/>
    <w:rsid w:val="00B8543E"/>
    <w:rsid w:val="00B864B5"/>
    <w:rsid w:val="00B8695B"/>
    <w:rsid w:val="00B86DB1"/>
    <w:rsid w:val="00B87859"/>
    <w:rsid w:val="00B8791C"/>
    <w:rsid w:val="00B87EE0"/>
    <w:rsid w:val="00B90B8F"/>
    <w:rsid w:val="00B91051"/>
    <w:rsid w:val="00B9161E"/>
    <w:rsid w:val="00B91C79"/>
    <w:rsid w:val="00B91D47"/>
    <w:rsid w:val="00B921CF"/>
    <w:rsid w:val="00B929A9"/>
    <w:rsid w:val="00B92FA8"/>
    <w:rsid w:val="00B937D3"/>
    <w:rsid w:val="00B9400A"/>
    <w:rsid w:val="00B95FBF"/>
    <w:rsid w:val="00B968B1"/>
    <w:rsid w:val="00B96FA0"/>
    <w:rsid w:val="00B97038"/>
    <w:rsid w:val="00BA135F"/>
    <w:rsid w:val="00BA15A3"/>
    <w:rsid w:val="00BA16F1"/>
    <w:rsid w:val="00BA222F"/>
    <w:rsid w:val="00BA2931"/>
    <w:rsid w:val="00BA3614"/>
    <w:rsid w:val="00BA3B72"/>
    <w:rsid w:val="00BA3CB8"/>
    <w:rsid w:val="00BA49C0"/>
    <w:rsid w:val="00BA49C2"/>
    <w:rsid w:val="00BA715F"/>
    <w:rsid w:val="00BA7623"/>
    <w:rsid w:val="00BA771A"/>
    <w:rsid w:val="00BA7BA9"/>
    <w:rsid w:val="00BB0BE9"/>
    <w:rsid w:val="00BB0C53"/>
    <w:rsid w:val="00BB1C63"/>
    <w:rsid w:val="00BB1CAC"/>
    <w:rsid w:val="00BB1EB8"/>
    <w:rsid w:val="00BB31F0"/>
    <w:rsid w:val="00BB345B"/>
    <w:rsid w:val="00BB56EE"/>
    <w:rsid w:val="00BB5D30"/>
    <w:rsid w:val="00BB6D5C"/>
    <w:rsid w:val="00BB7704"/>
    <w:rsid w:val="00BC0195"/>
    <w:rsid w:val="00BC1149"/>
    <w:rsid w:val="00BC125A"/>
    <w:rsid w:val="00BC1B87"/>
    <w:rsid w:val="00BC2755"/>
    <w:rsid w:val="00BC2A77"/>
    <w:rsid w:val="00BC2B1F"/>
    <w:rsid w:val="00BC3673"/>
    <w:rsid w:val="00BC4E15"/>
    <w:rsid w:val="00BC6404"/>
    <w:rsid w:val="00BC766F"/>
    <w:rsid w:val="00BC7F49"/>
    <w:rsid w:val="00BD0AC0"/>
    <w:rsid w:val="00BD117D"/>
    <w:rsid w:val="00BD1228"/>
    <w:rsid w:val="00BD1AEE"/>
    <w:rsid w:val="00BD1C46"/>
    <w:rsid w:val="00BD27E7"/>
    <w:rsid w:val="00BD5969"/>
    <w:rsid w:val="00BD5A90"/>
    <w:rsid w:val="00BD64D0"/>
    <w:rsid w:val="00BD6C9B"/>
    <w:rsid w:val="00BD6D44"/>
    <w:rsid w:val="00BD760A"/>
    <w:rsid w:val="00BD7B80"/>
    <w:rsid w:val="00BD7D56"/>
    <w:rsid w:val="00BE082A"/>
    <w:rsid w:val="00BE0CE8"/>
    <w:rsid w:val="00BE2B45"/>
    <w:rsid w:val="00BE31A0"/>
    <w:rsid w:val="00BE35DA"/>
    <w:rsid w:val="00BE43AF"/>
    <w:rsid w:val="00BE5062"/>
    <w:rsid w:val="00BE5654"/>
    <w:rsid w:val="00BE571C"/>
    <w:rsid w:val="00BF0033"/>
    <w:rsid w:val="00BF040A"/>
    <w:rsid w:val="00BF1230"/>
    <w:rsid w:val="00BF14BE"/>
    <w:rsid w:val="00BF1939"/>
    <w:rsid w:val="00BF1CD1"/>
    <w:rsid w:val="00BF205A"/>
    <w:rsid w:val="00BF24B9"/>
    <w:rsid w:val="00BF3799"/>
    <w:rsid w:val="00BF439B"/>
    <w:rsid w:val="00BF5137"/>
    <w:rsid w:val="00BF5540"/>
    <w:rsid w:val="00BF5551"/>
    <w:rsid w:val="00BF5678"/>
    <w:rsid w:val="00BF5F12"/>
    <w:rsid w:val="00BF68C8"/>
    <w:rsid w:val="00BF6C0D"/>
    <w:rsid w:val="00BF744D"/>
    <w:rsid w:val="00C0070A"/>
    <w:rsid w:val="00C01E68"/>
    <w:rsid w:val="00C02141"/>
    <w:rsid w:val="00C0219C"/>
    <w:rsid w:val="00C0295B"/>
    <w:rsid w:val="00C03711"/>
    <w:rsid w:val="00C0472E"/>
    <w:rsid w:val="00C057BD"/>
    <w:rsid w:val="00C05F5D"/>
    <w:rsid w:val="00C1093B"/>
    <w:rsid w:val="00C110A4"/>
    <w:rsid w:val="00C11924"/>
    <w:rsid w:val="00C12232"/>
    <w:rsid w:val="00C12CF1"/>
    <w:rsid w:val="00C13E5D"/>
    <w:rsid w:val="00C13EBC"/>
    <w:rsid w:val="00C14E73"/>
    <w:rsid w:val="00C16877"/>
    <w:rsid w:val="00C16B25"/>
    <w:rsid w:val="00C1746C"/>
    <w:rsid w:val="00C177DC"/>
    <w:rsid w:val="00C2094D"/>
    <w:rsid w:val="00C21935"/>
    <w:rsid w:val="00C224BC"/>
    <w:rsid w:val="00C22C49"/>
    <w:rsid w:val="00C25816"/>
    <w:rsid w:val="00C25C77"/>
    <w:rsid w:val="00C2685D"/>
    <w:rsid w:val="00C26CF8"/>
    <w:rsid w:val="00C279D5"/>
    <w:rsid w:val="00C308B1"/>
    <w:rsid w:val="00C31656"/>
    <w:rsid w:val="00C3264D"/>
    <w:rsid w:val="00C326F9"/>
    <w:rsid w:val="00C329D0"/>
    <w:rsid w:val="00C32C61"/>
    <w:rsid w:val="00C331D3"/>
    <w:rsid w:val="00C34C8E"/>
    <w:rsid w:val="00C356AC"/>
    <w:rsid w:val="00C35876"/>
    <w:rsid w:val="00C3693C"/>
    <w:rsid w:val="00C36B3B"/>
    <w:rsid w:val="00C37A29"/>
    <w:rsid w:val="00C409AB"/>
    <w:rsid w:val="00C40A8E"/>
    <w:rsid w:val="00C41023"/>
    <w:rsid w:val="00C413F1"/>
    <w:rsid w:val="00C41603"/>
    <w:rsid w:val="00C41ADD"/>
    <w:rsid w:val="00C41DED"/>
    <w:rsid w:val="00C43FC2"/>
    <w:rsid w:val="00C45C30"/>
    <w:rsid w:val="00C45C7A"/>
    <w:rsid w:val="00C46B2F"/>
    <w:rsid w:val="00C47A27"/>
    <w:rsid w:val="00C504EB"/>
    <w:rsid w:val="00C50A6A"/>
    <w:rsid w:val="00C50C56"/>
    <w:rsid w:val="00C51BAA"/>
    <w:rsid w:val="00C51D2D"/>
    <w:rsid w:val="00C51D33"/>
    <w:rsid w:val="00C5238A"/>
    <w:rsid w:val="00C5289D"/>
    <w:rsid w:val="00C5347C"/>
    <w:rsid w:val="00C535CC"/>
    <w:rsid w:val="00C5386D"/>
    <w:rsid w:val="00C55960"/>
    <w:rsid w:val="00C55EE8"/>
    <w:rsid w:val="00C573B9"/>
    <w:rsid w:val="00C57BD9"/>
    <w:rsid w:val="00C57DCA"/>
    <w:rsid w:val="00C60623"/>
    <w:rsid w:val="00C60753"/>
    <w:rsid w:val="00C607BE"/>
    <w:rsid w:val="00C61D4A"/>
    <w:rsid w:val="00C624D3"/>
    <w:rsid w:val="00C63E89"/>
    <w:rsid w:val="00C64B5A"/>
    <w:rsid w:val="00C655EA"/>
    <w:rsid w:val="00C66236"/>
    <w:rsid w:val="00C662FC"/>
    <w:rsid w:val="00C67267"/>
    <w:rsid w:val="00C67A45"/>
    <w:rsid w:val="00C706DF"/>
    <w:rsid w:val="00C7076B"/>
    <w:rsid w:val="00C70EFC"/>
    <w:rsid w:val="00C71E7E"/>
    <w:rsid w:val="00C75101"/>
    <w:rsid w:val="00C75F79"/>
    <w:rsid w:val="00C760E3"/>
    <w:rsid w:val="00C76166"/>
    <w:rsid w:val="00C76EC7"/>
    <w:rsid w:val="00C774FF"/>
    <w:rsid w:val="00C7757E"/>
    <w:rsid w:val="00C77D4A"/>
    <w:rsid w:val="00C812C7"/>
    <w:rsid w:val="00C83362"/>
    <w:rsid w:val="00C83589"/>
    <w:rsid w:val="00C8367B"/>
    <w:rsid w:val="00C84153"/>
    <w:rsid w:val="00C841D0"/>
    <w:rsid w:val="00C848C5"/>
    <w:rsid w:val="00C849C4"/>
    <w:rsid w:val="00C85031"/>
    <w:rsid w:val="00C85AFF"/>
    <w:rsid w:val="00C85C6D"/>
    <w:rsid w:val="00C90AA5"/>
    <w:rsid w:val="00C90F4C"/>
    <w:rsid w:val="00C930F4"/>
    <w:rsid w:val="00C932F3"/>
    <w:rsid w:val="00C9436C"/>
    <w:rsid w:val="00C9493F"/>
    <w:rsid w:val="00C94D9D"/>
    <w:rsid w:val="00C951FD"/>
    <w:rsid w:val="00C961DA"/>
    <w:rsid w:val="00CA07C2"/>
    <w:rsid w:val="00CA0CCD"/>
    <w:rsid w:val="00CA19B6"/>
    <w:rsid w:val="00CA1FCA"/>
    <w:rsid w:val="00CA215A"/>
    <w:rsid w:val="00CA2AEE"/>
    <w:rsid w:val="00CA31B2"/>
    <w:rsid w:val="00CA32B0"/>
    <w:rsid w:val="00CA3C79"/>
    <w:rsid w:val="00CA41C7"/>
    <w:rsid w:val="00CA625F"/>
    <w:rsid w:val="00CA672B"/>
    <w:rsid w:val="00CA6CB5"/>
    <w:rsid w:val="00CA6D50"/>
    <w:rsid w:val="00CA70B1"/>
    <w:rsid w:val="00CA70E4"/>
    <w:rsid w:val="00CB01B8"/>
    <w:rsid w:val="00CB02DD"/>
    <w:rsid w:val="00CB19A6"/>
    <w:rsid w:val="00CB1E32"/>
    <w:rsid w:val="00CB458A"/>
    <w:rsid w:val="00CB4AE2"/>
    <w:rsid w:val="00CB66F7"/>
    <w:rsid w:val="00CB6BE9"/>
    <w:rsid w:val="00CB79E2"/>
    <w:rsid w:val="00CC0397"/>
    <w:rsid w:val="00CC0D7F"/>
    <w:rsid w:val="00CC1807"/>
    <w:rsid w:val="00CC1C86"/>
    <w:rsid w:val="00CC2920"/>
    <w:rsid w:val="00CC2C0E"/>
    <w:rsid w:val="00CC2C14"/>
    <w:rsid w:val="00CC5830"/>
    <w:rsid w:val="00CC6642"/>
    <w:rsid w:val="00CC6944"/>
    <w:rsid w:val="00CC6AD9"/>
    <w:rsid w:val="00CD044B"/>
    <w:rsid w:val="00CD11F2"/>
    <w:rsid w:val="00CD1EE9"/>
    <w:rsid w:val="00CD1FA0"/>
    <w:rsid w:val="00CD40B2"/>
    <w:rsid w:val="00CD416E"/>
    <w:rsid w:val="00CD4C70"/>
    <w:rsid w:val="00CD5253"/>
    <w:rsid w:val="00CD5E75"/>
    <w:rsid w:val="00CD5F74"/>
    <w:rsid w:val="00CD61EB"/>
    <w:rsid w:val="00CD63F6"/>
    <w:rsid w:val="00CD6448"/>
    <w:rsid w:val="00CD682A"/>
    <w:rsid w:val="00CD7445"/>
    <w:rsid w:val="00CE092D"/>
    <w:rsid w:val="00CE0B71"/>
    <w:rsid w:val="00CE0E00"/>
    <w:rsid w:val="00CE1847"/>
    <w:rsid w:val="00CE1EBE"/>
    <w:rsid w:val="00CE230A"/>
    <w:rsid w:val="00CE2719"/>
    <w:rsid w:val="00CE326C"/>
    <w:rsid w:val="00CE44E4"/>
    <w:rsid w:val="00CE5419"/>
    <w:rsid w:val="00CE67CB"/>
    <w:rsid w:val="00CE6DCF"/>
    <w:rsid w:val="00CE7313"/>
    <w:rsid w:val="00CE7DAD"/>
    <w:rsid w:val="00CF02F0"/>
    <w:rsid w:val="00CF0656"/>
    <w:rsid w:val="00CF1C01"/>
    <w:rsid w:val="00CF1FC6"/>
    <w:rsid w:val="00CF35D4"/>
    <w:rsid w:val="00CF362C"/>
    <w:rsid w:val="00CF3A20"/>
    <w:rsid w:val="00CF52B1"/>
    <w:rsid w:val="00CF551D"/>
    <w:rsid w:val="00CF565F"/>
    <w:rsid w:val="00CF61FA"/>
    <w:rsid w:val="00CF77E7"/>
    <w:rsid w:val="00D005A9"/>
    <w:rsid w:val="00D01B2E"/>
    <w:rsid w:val="00D023C4"/>
    <w:rsid w:val="00D02892"/>
    <w:rsid w:val="00D02CCA"/>
    <w:rsid w:val="00D043A5"/>
    <w:rsid w:val="00D04F27"/>
    <w:rsid w:val="00D056F4"/>
    <w:rsid w:val="00D0731A"/>
    <w:rsid w:val="00D103E7"/>
    <w:rsid w:val="00D10470"/>
    <w:rsid w:val="00D106A8"/>
    <w:rsid w:val="00D10D3E"/>
    <w:rsid w:val="00D1185A"/>
    <w:rsid w:val="00D122BD"/>
    <w:rsid w:val="00D13B3E"/>
    <w:rsid w:val="00D158AE"/>
    <w:rsid w:val="00D16F29"/>
    <w:rsid w:val="00D16F74"/>
    <w:rsid w:val="00D1762F"/>
    <w:rsid w:val="00D17D93"/>
    <w:rsid w:val="00D20AD1"/>
    <w:rsid w:val="00D21095"/>
    <w:rsid w:val="00D215C3"/>
    <w:rsid w:val="00D21BCC"/>
    <w:rsid w:val="00D21D51"/>
    <w:rsid w:val="00D2316B"/>
    <w:rsid w:val="00D232CB"/>
    <w:rsid w:val="00D234C7"/>
    <w:rsid w:val="00D246D5"/>
    <w:rsid w:val="00D261C9"/>
    <w:rsid w:val="00D27CAF"/>
    <w:rsid w:val="00D32376"/>
    <w:rsid w:val="00D330FB"/>
    <w:rsid w:val="00D33660"/>
    <w:rsid w:val="00D33D13"/>
    <w:rsid w:val="00D33EB3"/>
    <w:rsid w:val="00D3451B"/>
    <w:rsid w:val="00D34FB0"/>
    <w:rsid w:val="00D350B9"/>
    <w:rsid w:val="00D35690"/>
    <w:rsid w:val="00D356C6"/>
    <w:rsid w:val="00D36FC3"/>
    <w:rsid w:val="00D37E78"/>
    <w:rsid w:val="00D408CC"/>
    <w:rsid w:val="00D40CA6"/>
    <w:rsid w:val="00D41294"/>
    <w:rsid w:val="00D41598"/>
    <w:rsid w:val="00D417F5"/>
    <w:rsid w:val="00D42A3B"/>
    <w:rsid w:val="00D42E63"/>
    <w:rsid w:val="00D44534"/>
    <w:rsid w:val="00D4519E"/>
    <w:rsid w:val="00D452E6"/>
    <w:rsid w:val="00D45516"/>
    <w:rsid w:val="00D457D4"/>
    <w:rsid w:val="00D46BB2"/>
    <w:rsid w:val="00D46EC2"/>
    <w:rsid w:val="00D47B03"/>
    <w:rsid w:val="00D47BCB"/>
    <w:rsid w:val="00D5130F"/>
    <w:rsid w:val="00D52F4D"/>
    <w:rsid w:val="00D5363B"/>
    <w:rsid w:val="00D55166"/>
    <w:rsid w:val="00D55A6D"/>
    <w:rsid w:val="00D565D6"/>
    <w:rsid w:val="00D56ACC"/>
    <w:rsid w:val="00D57253"/>
    <w:rsid w:val="00D572D9"/>
    <w:rsid w:val="00D5791A"/>
    <w:rsid w:val="00D57ED8"/>
    <w:rsid w:val="00D60649"/>
    <w:rsid w:val="00D60A85"/>
    <w:rsid w:val="00D60F64"/>
    <w:rsid w:val="00D61B17"/>
    <w:rsid w:val="00D61DEA"/>
    <w:rsid w:val="00D61E88"/>
    <w:rsid w:val="00D62A68"/>
    <w:rsid w:val="00D62DA7"/>
    <w:rsid w:val="00D63C08"/>
    <w:rsid w:val="00D649D4"/>
    <w:rsid w:val="00D6504B"/>
    <w:rsid w:val="00D65E2E"/>
    <w:rsid w:val="00D666D0"/>
    <w:rsid w:val="00D668FD"/>
    <w:rsid w:val="00D66F97"/>
    <w:rsid w:val="00D67238"/>
    <w:rsid w:val="00D67925"/>
    <w:rsid w:val="00D703F1"/>
    <w:rsid w:val="00D725CC"/>
    <w:rsid w:val="00D736D2"/>
    <w:rsid w:val="00D73854"/>
    <w:rsid w:val="00D738C2"/>
    <w:rsid w:val="00D74944"/>
    <w:rsid w:val="00D74D4B"/>
    <w:rsid w:val="00D750FF"/>
    <w:rsid w:val="00D7734E"/>
    <w:rsid w:val="00D77A36"/>
    <w:rsid w:val="00D77BB5"/>
    <w:rsid w:val="00D77DAF"/>
    <w:rsid w:val="00D80AE6"/>
    <w:rsid w:val="00D80CBE"/>
    <w:rsid w:val="00D81495"/>
    <w:rsid w:val="00D82186"/>
    <w:rsid w:val="00D8223A"/>
    <w:rsid w:val="00D82792"/>
    <w:rsid w:val="00D82880"/>
    <w:rsid w:val="00D82E00"/>
    <w:rsid w:val="00D8317C"/>
    <w:rsid w:val="00D83923"/>
    <w:rsid w:val="00D83C83"/>
    <w:rsid w:val="00D84D5C"/>
    <w:rsid w:val="00D85E6D"/>
    <w:rsid w:val="00D90621"/>
    <w:rsid w:val="00D90817"/>
    <w:rsid w:val="00D91674"/>
    <w:rsid w:val="00D926EB"/>
    <w:rsid w:val="00D93331"/>
    <w:rsid w:val="00D9419D"/>
    <w:rsid w:val="00D94CDF"/>
    <w:rsid w:val="00D96340"/>
    <w:rsid w:val="00D969C8"/>
    <w:rsid w:val="00D976B5"/>
    <w:rsid w:val="00DA046B"/>
    <w:rsid w:val="00DA2BD3"/>
    <w:rsid w:val="00DA3107"/>
    <w:rsid w:val="00DA3474"/>
    <w:rsid w:val="00DA3600"/>
    <w:rsid w:val="00DA36E2"/>
    <w:rsid w:val="00DA431F"/>
    <w:rsid w:val="00DA4B37"/>
    <w:rsid w:val="00DA7E40"/>
    <w:rsid w:val="00DB0197"/>
    <w:rsid w:val="00DB0265"/>
    <w:rsid w:val="00DB0F6C"/>
    <w:rsid w:val="00DB11D4"/>
    <w:rsid w:val="00DB1BE4"/>
    <w:rsid w:val="00DB357F"/>
    <w:rsid w:val="00DB4E33"/>
    <w:rsid w:val="00DB5C7B"/>
    <w:rsid w:val="00DB7434"/>
    <w:rsid w:val="00DC23FE"/>
    <w:rsid w:val="00DC2C7F"/>
    <w:rsid w:val="00DC2DE0"/>
    <w:rsid w:val="00DC3890"/>
    <w:rsid w:val="00DC3C76"/>
    <w:rsid w:val="00DC5743"/>
    <w:rsid w:val="00DC5CFA"/>
    <w:rsid w:val="00DC7DA5"/>
    <w:rsid w:val="00DD1850"/>
    <w:rsid w:val="00DD1D4E"/>
    <w:rsid w:val="00DD2304"/>
    <w:rsid w:val="00DD2723"/>
    <w:rsid w:val="00DD2867"/>
    <w:rsid w:val="00DD3447"/>
    <w:rsid w:val="00DD3C7C"/>
    <w:rsid w:val="00DD670C"/>
    <w:rsid w:val="00DD6C48"/>
    <w:rsid w:val="00DD6CCD"/>
    <w:rsid w:val="00DD711F"/>
    <w:rsid w:val="00DD72B8"/>
    <w:rsid w:val="00DE0ABE"/>
    <w:rsid w:val="00DE0B46"/>
    <w:rsid w:val="00DE103B"/>
    <w:rsid w:val="00DE1DCC"/>
    <w:rsid w:val="00DE216C"/>
    <w:rsid w:val="00DE221D"/>
    <w:rsid w:val="00DE2943"/>
    <w:rsid w:val="00DE4809"/>
    <w:rsid w:val="00DE59FB"/>
    <w:rsid w:val="00DE602B"/>
    <w:rsid w:val="00DE6667"/>
    <w:rsid w:val="00DE68E7"/>
    <w:rsid w:val="00DE7C61"/>
    <w:rsid w:val="00DF05D2"/>
    <w:rsid w:val="00DF05DD"/>
    <w:rsid w:val="00DF0746"/>
    <w:rsid w:val="00DF1B0F"/>
    <w:rsid w:val="00DF4408"/>
    <w:rsid w:val="00DF4930"/>
    <w:rsid w:val="00DF4E3E"/>
    <w:rsid w:val="00DF57C2"/>
    <w:rsid w:val="00DF7323"/>
    <w:rsid w:val="00E000EB"/>
    <w:rsid w:val="00E01D35"/>
    <w:rsid w:val="00E029FB"/>
    <w:rsid w:val="00E02C93"/>
    <w:rsid w:val="00E0453D"/>
    <w:rsid w:val="00E04E61"/>
    <w:rsid w:val="00E0556B"/>
    <w:rsid w:val="00E05FA6"/>
    <w:rsid w:val="00E070BB"/>
    <w:rsid w:val="00E07703"/>
    <w:rsid w:val="00E07B51"/>
    <w:rsid w:val="00E10CD8"/>
    <w:rsid w:val="00E12E0F"/>
    <w:rsid w:val="00E13B40"/>
    <w:rsid w:val="00E13F50"/>
    <w:rsid w:val="00E14DB6"/>
    <w:rsid w:val="00E15152"/>
    <w:rsid w:val="00E161D7"/>
    <w:rsid w:val="00E1623A"/>
    <w:rsid w:val="00E1647C"/>
    <w:rsid w:val="00E1784F"/>
    <w:rsid w:val="00E20218"/>
    <w:rsid w:val="00E20FB9"/>
    <w:rsid w:val="00E22850"/>
    <w:rsid w:val="00E22D86"/>
    <w:rsid w:val="00E2451B"/>
    <w:rsid w:val="00E25474"/>
    <w:rsid w:val="00E267D3"/>
    <w:rsid w:val="00E307CB"/>
    <w:rsid w:val="00E318E2"/>
    <w:rsid w:val="00E32F93"/>
    <w:rsid w:val="00E333C3"/>
    <w:rsid w:val="00E342AF"/>
    <w:rsid w:val="00E35B59"/>
    <w:rsid w:val="00E360CD"/>
    <w:rsid w:val="00E36419"/>
    <w:rsid w:val="00E367BF"/>
    <w:rsid w:val="00E37516"/>
    <w:rsid w:val="00E406F8"/>
    <w:rsid w:val="00E40B25"/>
    <w:rsid w:val="00E41395"/>
    <w:rsid w:val="00E415FD"/>
    <w:rsid w:val="00E41E0E"/>
    <w:rsid w:val="00E42031"/>
    <w:rsid w:val="00E4235C"/>
    <w:rsid w:val="00E42A20"/>
    <w:rsid w:val="00E42A3C"/>
    <w:rsid w:val="00E42A61"/>
    <w:rsid w:val="00E42EC9"/>
    <w:rsid w:val="00E435D1"/>
    <w:rsid w:val="00E4492E"/>
    <w:rsid w:val="00E46ADD"/>
    <w:rsid w:val="00E47C57"/>
    <w:rsid w:val="00E47F28"/>
    <w:rsid w:val="00E519EC"/>
    <w:rsid w:val="00E51BD9"/>
    <w:rsid w:val="00E528F4"/>
    <w:rsid w:val="00E52DFB"/>
    <w:rsid w:val="00E5322E"/>
    <w:rsid w:val="00E53C51"/>
    <w:rsid w:val="00E54B2B"/>
    <w:rsid w:val="00E56A45"/>
    <w:rsid w:val="00E57CEC"/>
    <w:rsid w:val="00E615F0"/>
    <w:rsid w:val="00E616A2"/>
    <w:rsid w:val="00E61984"/>
    <w:rsid w:val="00E62366"/>
    <w:rsid w:val="00E62E2B"/>
    <w:rsid w:val="00E62E34"/>
    <w:rsid w:val="00E634F4"/>
    <w:rsid w:val="00E637A7"/>
    <w:rsid w:val="00E64955"/>
    <w:rsid w:val="00E6558F"/>
    <w:rsid w:val="00E660B3"/>
    <w:rsid w:val="00E663F1"/>
    <w:rsid w:val="00E6693B"/>
    <w:rsid w:val="00E66D3C"/>
    <w:rsid w:val="00E66F79"/>
    <w:rsid w:val="00E67091"/>
    <w:rsid w:val="00E70EF6"/>
    <w:rsid w:val="00E7128F"/>
    <w:rsid w:val="00E71B4E"/>
    <w:rsid w:val="00E721D1"/>
    <w:rsid w:val="00E72458"/>
    <w:rsid w:val="00E72BB4"/>
    <w:rsid w:val="00E72CBE"/>
    <w:rsid w:val="00E72E1A"/>
    <w:rsid w:val="00E73C1C"/>
    <w:rsid w:val="00E74B5C"/>
    <w:rsid w:val="00E7503F"/>
    <w:rsid w:val="00E7522A"/>
    <w:rsid w:val="00E755F3"/>
    <w:rsid w:val="00E75DBD"/>
    <w:rsid w:val="00E75FCA"/>
    <w:rsid w:val="00E7697D"/>
    <w:rsid w:val="00E774E2"/>
    <w:rsid w:val="00E77588"/>
    <w:rsid w:val="00E803E9"/>
    <w:rsid w:val="00E8087E"/>
    <w:rsid w:val="00E824D9"/>
    <w:rsid w:val="00E82F72"/>
    <w:rsid w:val="00E84509"/>
    <w:rsid w:val="00E84A51"/>
    <w:rsid w:val="00E84ECF"/>
    <w:rsid w:val="00E862C9"/>
    <w:rsid w:val="00E86B76"/>
    <w:rsid w:val="00E870F9"/>
    <w:rsid w:val="00E8732A"/>
    <w:rsid w:val="00E9091D"/>
    <w:rsid w:val="00E90E1C"/>
    <w:rsid w:val="00E9236B"/>
    <w:rsid w:val="00E924F2"/>
    <w:rsid w:val="00E92B1A"/>
    <w:rsid w:val="00E93527"/>
    <w:rsid w:val="00E94717"/>
    <w:rsid w:val="00E94CB3"/>
    <w:rsid w:val="00E94E24"/>
    <w:rsid w:val="00E95766"/>
    <w:rsid w:val="00E95F37"/>
    <w:rsid w:val="00E96755"/>
    <w:rsid w:val="00E96811"/>
    <w:rsid w:val="00E979A1"/>
    <w:rsid w:val="00EA084C"/>
    <w:rsid w:val="00EA1446"/>
    <w:rsid w:val="00EA149A"/>
    <w:rsid w:val="00EA1943"/>
    <w:rsid w:val="00EA2D06"/>
    <w:rsid w:val="00EA30F7"/>
    <w:rsid w:val="00EA3594"/>
    <w:rsid w:val="00EA67FF"/>
    <w:rsid w:val="00EA7A8A"/>
    <w:rsid w:val="00EA7FB0"/>
    <w:rsid w:val="00EB0B44"/>
    <w:rsid w:val="00EB1001"/>
    <w:rsid w:val="00EB1E9D"/>
    <w:rsid w:val="00EB1EB9"/>
    <w:rsid w:val="00EB3376"/>
    <w:rsid w:val="00EB3B26"/>
    <w:rsid w:val="00EB3E8E"/>
    <w:rsid w:val="00EB3F0B"/>
    <w:rsid w:val="00EB4809"/>
    <w:rsid w:val="00EB4BAD"/>
    <w:rsid w:val="00EB4E10"/>
    <w:rsid w:val="00EB52DE"/>
    <w:rsid w:val="00EB57F8"/>
    <w:rsid w:val="00EB73BB"/>
    <w:rsid w:val="00EB7E08"/>
    <w:rsid w:val="00EC1EF3"/>
    <w:rsid w:val="00EC3C37"/>
    <w:rsid w:val="00EC421C"/>
    <w:rsid w:val="00EC44FF"/>
    <w:rsid w:val="00EC5B91"/>
    <w:rsid w:val="00EC70BE"/>
    <w:rsid w:val="00ED2565"/>
    <w:rsid w:val="00ED2E73"/>
    <w:rsid w:val="00ED2F61"/>
    <w:rsid w:val="00ED3574"/>
    <w:rsid w:val="00ED45C4"/>
    <w:rsid w:val="00ED471C"/>
    <w:rsid w:val="00ED47B4"/>
    <w:rsid w:val="00ED5C0B"/>
    <w:rsid w:val="00ED777C"/>
    <w:rsid w:val="00EE046D"/>
    <w:rsid w:val="00EE11D6"/>
    <w:rsid w:val="00EE15D6"/>
    <w:rsid w:val="00EE1665"/>
    <w:rsid w:val="00EE29C9"/>
    <w:rsid w:val="00EE4DFE"/>
    <w:rsid w:val="00EE5343"/>
    <w:rsid w:val="00EE55BD"/>
    <w:rsid w:val="00EE695B"/>
    <w:rsid w:val="00EE6F14"/>
    <w:rsid w:val="00EE71B4"/>
    <w:rsid w:val="00EE7513"/>
    <w:rsid w:val="00EE7B51"/>
    <w:rsid w:val="00EF08A7"/>
    <w:rsid w:val="00EF0E4B"/>
    <w:rsid w:val="00EF0EDF"/>
    <w:rsid w:val="00EF16B7"/>
    <w:rsid w:val="00EF26EE"/>
    <w:rsid w:val="00EF2DD4"/>
    <w:rsid w:val="00EF3F12"/>
    <w:rsid w:val="00EF3F23"/>
    <w:rsid w:val="00EF4208"/>
    <w:rsid w:val="00EF4324"/>
    <w:rsid w:val="00EF4B0B"/>
    <w:rsid w:val="00EF5041"/>
    <w:rsid w:val="00EF5E09"/>
    <w:rsid w:val="00EF5EBC"/>
    <w:rsid w:val="00EF6C7B"/>
    <w:rsid w:val="00EF70B4"/>
    <w:rsid w:val="00F004C6"/>
    <w:rsid w:val="00F00CE6"/>
    <w:rsid w:val="00F011D7"/>
    <w:rsid w:val="00F015FE"/>
    <w:rsid w:val="00F01628"/>
    <w:rsid w:val="00F03545"/>
    <w:rsid w:val="00F04092"/>
    <w:rsid w:val="00F041D8"/>
    <w:rsid w:val="00F05225"/>
    <w:rsid w:val="00F05A27"/>
    <w:rsid w:val="00F05A49"/>
    <w:rsid w:val="00F063C5"/>
    <w:rsid w:val="00F110E0"/>
    <w:rsid w:val="00F111D4"/>
    <w:rsid w:val="00F114B8"/>
    <w:rsid w:val="00F1191C"/>
    <w:rsid w:val="00F1284B"/>
    <w:rsid w:val="00F12BF2"/>
    <w:rsid w:val="00F12C1A"/>
    <w:rsid w:val="00F1301D"/>
    <w:rsid w:val="00F1352B"/>
    <w:rsid w:val="00F1456C"/>
    <w:rsid w:val="00F15F37"/>
    <w:rsid w:val="00F162D4"/>
    <w:rsid w:val="00F17A25"/>
    <w:rsid w:val="00F21F01"/>
    <w:rsid w:val="00F2226B"/>
    <w:rsid w:val="00F2338E"/>
    <w:rsid w:val="00F24268"/>
    <w:rsid w:val="00F24923"/>
    <w:rsid w:val="00F24EEA"/>
    <w:rsid w:val="00F27228"/>
    <w:rsid w:val="00F27EDB"/>
    <w:rsid w:val="00F3144A"/>
    <w:rsid w:val="00F31A69"/>
    <w:rsid w:val="00F32103"/>
    <w:rsid w:val="00F331D2"/>
    <w:rsid w:val="00F33262"/>
    <w:rsid w:val="00F33DB6"/>
    <w:rsid w:val="00F3590A"/>
    <w:rsid w:val="00F36255"/>
    <w:rsid w:val="00F36E9A"/>
    <w:rsid w:val="00F370AE"/>
    <w:rsid w:val="00F4010B"/>
    <w:rsid w:val="00F407BD"/>
    <w:rsid w:val="00F41775"/>
    <w:rsid w:val="00F433F9"/>
    <w:rsid w:val="00F43E94"/>
    <w:rsid w:val="00F441E0"/>
    <w:rsid w:val="00F4430E"/>
    <w:rsid w:val="00F451D8"/>
    <w:rsid w:val="00F4562A"/>
    <w:rsid w:val="00F4695C"/>
    <w:rsid w:val="00F4702C"/>
    <w:rsid w:val="00F47F1C"/>
    <w:rsid w:val="00F501B0"/>
    <w:rsid w:val="00F505B8"/>
    <w:rsid w:val="00F5267D"/>
    <w:rsid w:val="00F530B8"/>
    <w:rsid w:val="00F53397"/>
    <w:rsid w:val="00F54AF7"/>
    <w:rsid w:val="00F55C10"/>
    <w:rsid w:val="00F55D80"/>
    <w:rsid w:val="00F5663D"/>
    <w:rsid w:val="00F578DC"/>
    <w:rsid w:val="00F605D7"/>
    <w:rsid w:val="00F6083E"/>
    <w:rsid w:val="00F60C84"/>
    <w:rsid w:val="00F61A05"/>
    <w:rsid w:val="00F61B9C"/>
    <w:rsid w:val="00F625FE"/>
    <w:rsid w:val="00F62CA8"/>
    <w:rsid w:val="00F634F6"/>
    <w:rsid w:val="00F6447A"/>
    <w:rsid w:val="00F649E5"/>
    <w:rsid w:val="00F6587C"/>
    <w:rsid w:val="00F67A2B"/>
    <w:rsid w:val="00F71869"/>
    <w:rsid w:val="00F71C99"/>
    <w:rsid w:val="00F73C0A"/>
    <w:rsid w:val="00F74482"/>
    <w:rsid w:val="00F74703"/>
    <w:rsid w:val="00F74D48"/>
    <w:rsid w:val="00F76A9D"/>
    <w:rsid w:val="00F77C61"/>
    <w:rsid w:val="00F80241"/>
    <w:rsid w:val="00F8069D"/>
    <w:rsid w:val="00F809CE"/>
    <w:rsid w:val="00F82603"/>
    <w:rsid w:val="00F831E2"/>
    <w:rsid w:val="00F83614"/>
    <w:rsid w:val="00F86800"/>
    <w:rsid w:val="00F8728D"/>
    <w:rsid w:val="00F87B07"/>
    <w:rsid w:val="00F87DA0"/>
    <w:rsid w:val="00F92739"/>
    <w:rsid w:val="00F92D4F"/>
    <w:rsid w:val="00F934BC"/>
    <w:rsid w:val="00F94880"/>
    <w:rsid w:val="00F96996"/>
    <w:rsid w:val="00F96A7F"/>
    <w:rsid w:val="00F96AF0"/>
    <w:rsid w:val="00FA0916"/>
    <w:rsid w:val="00FA09F2"/>
    <w:rsid w:val="00FA0AB0"/>
    <w:rsid w:val="00FA0D1F"/>
    <w:rsid w:val="00FA1507"/>
    <w:rsid w:val="00FA1B6A"/>
    <w:rsid w:val="00FA36DE"/>
    <w:rsid w:val="00FA42A6"/>
    <w:rsid w:val="00FA4A2D"/>
    <w:rsid w:val="00FA6656"/>
    <w:rsid w:val="00FA7898"/>
    <w:rsid w:val="00FB0D65"/>
    <w:rsid w:val="00FB1EA0"/>
    <w:rsid w:val="00FB497A"/>
    <w:rsid w:val="00FB4AF0"/>
    <w:rsid w:val="00FB5DF7"/>
    <w:rsid w:val="00FB5FFF"/>
    <w:rsid w:val="00FB6F84"/>
    <w:rsid w:val="00FB7E63"/>
    <w:rsid w:val="00FC079E"/>
    <w:rsid w:val="00FC0A1D"/>
    <w:rsid w:val="00FC1603"/>
    <w:rsid w:val="00FC24D3"/>
    <w:rsid w:val="00FC2D8B"/>
    <w:rsid w:val="00FC3F7C"/>
    <w:rsid w:val="00FC5B10"/>
    <w:rsid w:val="00FC5CD4"/>
    <w:rsid w:val="00FC66B5"/>
    <w:rsid w:val="00FC66E1"/>
    <w:rsid w:val="00FC6B7F"/>
    <w:rsid w:val="00FC7515"/>
    <w:rsid w:val="00FC7E47"/>
    <w:rsid w:val="00FD04CA"/>
    <w:rsid w:val="00FD2FF6"/>
    <w:rsid w:val="00FD3306"/>
    <w:rsid w:val="00FD35AE"/>
    <w:rsid w:val="00FD4C26"/>
    <w:rsid w:val="00FD5720"/>
    <w:rsid w:val="00FD6C03"/>
    <w:rsid w:val="00FD717E"/>
    <w:rsid w:val="00FE068E"/>
    <w:rsid w:val="00FE1108"/>
    <w:rsid w:val="00FE1E52"/>
    <w:rsid w:val="00FE22BA"/>
    <w:rsid w:val="00FE2F05"/>
    <w:rsid w:val="00FE35D0"/>
    <w:rsid w:val="00FE36E3"/>
    <w:rsid w:val="00FE3E6D"/>
    <w:rsid w:val="00FE4DBB"/>
    <w:rsid w:val="00FE4E8E"/>
    <w:rsid w:val="00FE57CB"/>
    <w:rsid w:val="00FE57D8"/>
    <w:rsid w:val="00FE5DCC"/>
    <w:rsid w:val="00FE5DD3"/>
    <w:rsid w:val="00FE5FF4"/>
    <w:rsid w:val="00FE70B9"/>
    <w:rsid w:val="00FE723D"/>
    <w:rsid w:val="00FF0EA5"/>
    <w:rsid w:val="00FF23BE"/>
    <w:rsid w:val="00FF2749"/>
    <w:rsid w:val="00FF33BB"/>
    <w:rsid w:val="00FF3C71"/>
    <w:rsid w:val="00FF3D72"/>
    <w:rsid w:val="00FF4CC7"/>
    <w:rsid w:val="00FF5577"/>
    <w:rsid w:val="00FF5A39"/>
    <w:rsid w:val="00FF5F73"/>
    <w:rsid w:val="00FF6932"/>
    <w:rsid w:val="00FF729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C61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91E"/>
    <w:pPr>
      <w:spacing w:before="120" w:after="240" w:line="264" w:lineRule="auto"/>
    </w:pPr>
    <w:rPr>
      <w:rFonts w:asciiTheme="majorHAnsi" w:hAnsiTheme="majorHAnsi"/>
    </w:rPr>
  </w:style>
  <w:style w:type="paragraph" w:styleId="Heading1">
    <w:name w:val="heading 1"/>
    <w:basedOn w:val="Normal"/>
    <w:next w:val="Normal"/>
    <w:link w:val="Heading1Char"/>
    <w:uiPriority w:val="9"/>
    <w:qFormat/>
    <w:rsid w:val="002F07B4"/>
    <w:pPr>
      <w:keepNext/>
      <w:keepLines/>
      <w:spacing w:before="600" w:after="440"/>
      <w:outlineLvl w:val="0"/>
    </w:pPr>
    <w:rPr>
      <w:rFonts w:eastAsiaTheme="majorEastAsia" w:cstheme="majorBidi"/>
      <w:color w:val="430098" w:themeColor="text2"/>
      <w:sz w:val="40"/>
      <w:szCs w:val="32"/>
    </w:rPr>
  </w:style>
  <w:style w:type="paragraph" w:styleId="Heading2">
    <w:name w:val="heading 2"/>
    <w:basedOn w:val="Normal"/>
    <w:next w:val="Normal"/>
    <w:link w:val="Heading2Char"/>
    <w:uiPriority w:val="9"/>
    <w:qFormat/>
    <w:rsid w:val="002F07B4"/>
    <w:pPr>
      <w:keepNext/>
      <w:keepLines/>
      <w:spacing w:before="480" w:after="360"/>
      <w:outlineLvl w:val="1"/>
    </w:pPr>
    <w:rPr>
      <w:rFonts w:eastAsiaTheme="majorEastAsia" w:cstheme="majorBidi"/>
      <w:color w:val="430098" w:themeColor="text2"/>
      <w:sz w:val="30"/>
      <w:szCs w:val="26"/>
    </w:rPr>
  </w:style>
  <w:style w:type="paragraph" w:styleId="Heading3">
    <w:name w:val="heading 3"/>
    <w:basedOn w:val="Normal"/>
    <w:next w:val="Normal"/>
    <w:link w:val="Heading3Char"/>
    <w:uiPriority w:val="9"/>
    <w:qFormat/>
    <w:rsid w:val="002F07B4"/>
    <w:pPr>
      <w:keepNext/>
      <w:keepLines/>
      <w:spacing w:before="360"/>
      <w:outlineLvl w:val="2"/>
    </w:pPr>
    <w:rPr>
      <w:rFonts w:eastAsiaTheme="majorEastAsia" w:cstheme="majorBidi"/>
      <w:sz w:val="26"/>
      <w:szCs w:val="24"/>
    </w:rPr>
  </w:style>
  <w:style w:type="paragraph" w:styleId="Heading4">
    <w:name w:val="heading 4"/>
    <w:basedOn w:val="Normal"/>
    <w:next w:val="Normal"/>
    <w:link w:val="Heading4Char"/>
    <w:uiPriority w:val="9"/>
    <w:rsid w:val="000D3DF9"/>
    <w:pPr>
      <w:keepNext/>
      <w:keepLines/>
      <w:spacing w:after="120"/>
      <w:outlineLvl w:val="3"/>
    </w:pPr>
    <w:rPr>
      <w:rFonts w:eastAsiaTheme="majorEastAsia" w:cstheme="majorBidi"/>
      <w:i/>
      <w:iCs/>
      <w:sz w:val="24"/>
    </w:rPr>
  </w:style>
  <w:style w:type="paragraph" w:styleId="Heading5">
    <w:name w:val="heading 5"/>
    <w:basedOn w:val="Normal"/>
    <w:next w:val="Normal"/>
    <w:link w:val="Heading5Char"/>
    <w:uiPriority w:val="9"/>
    <w:semiHidden/>
    <w:qFormat/>
    <w:rsid w:val="009D24F5"/>
    <w:pPr>
      <w:keepNext/>
      <w:keepLines/>
      <w:spacing w:after="60"/>
      <w:outlineLvl w:val="4"/>
    </w:pPr>
    <w:rPr>
      <w:rFonts w:eastAsiaTheme="majorEastAsia"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uiPriority w:val="1"/>
    <w:qFormat/>
    <w:rsid w:val="00C12CF1"/>
    <w:pPr>
      <w:spacing w:after="0" w:line="264" w:lineRule="auto"/>
    </w:pPr>
  </w:style>
  <w:style w:type="paragraph" w:styleId="ListBullet">
    <w:name w:val="List Bullet"/>
    <w:basedOn w:val="Normal"/>
    <w:uiPriority w:val="99"/>
    <w:unhideWhenUsed/>
    <w:qFormat/>
    <w:rsid w:val="000D3DF9"/>
    <w:pPr>
      <w:numPr>
        <w:numId w:val="5"/>
      </w:numPr>
      <w:contextualSpacing/>
    </w:pPr>
  </w:style>
  <w:style w:type="paragraph" w:styleId="ListBullet2">
    <w:name w:val="List Bullet 2"/>
    <w:basedOn w:val="Normal"/>
    <w:uiPriority w:val="99"/>
    <w:unhideWhenUsed/>
    <w:qFormat/>
    <w:rsid w:val="000D3DF9"/>
    <w:pPr>
      <w:numPr>
        <w:ilvl w:val="1"/>
        <w:numId w:val="5"/>
      </w:numPr>
      <w:contextualSpacing/>
    </w:pPr>
  </w:style>
  <w:style w:type="paragraph" w:styleId="ListNumber">
    <w:name w:val="List Number"/>
    <w:basedOn w:val="Normal"/>
    <w:uiPriority w:val="99"/>
    <w:unhideWhenUsed/>
    <w:qFormat/>
    <w:rsid w:val="005A51A0"/>
    <w:pPr>
      <w:numPr>
        <w:numId w:val="6"/>
      </w:numPr>
      <w:contextualSpacing/>
    </w:pPr>
  </w:style>
  <w:style w:type="numbering" w:customStyle="1" w:styleId="Bullets">
    <w:name w:val="Bullets"/>
    <w:uiPriority w:val="99"/>
    <w:rsid w:val="000D3DF9"/>
    <w:pPr>
      <w:numPr>
        <w:numId w:val="1"/>
      </w:numPr>
    </w:pPr>
  </w:style>
  <w:style w:type="character" w:customStyle="1" w:styleId="Heading1Char">
    <w:name w:val="Heading 1 Char"/>
    <w:basedOn w:val="DefaultParagraphFont"/>
    <w:link w:val="Heading1"/>
    <w:uiPriority w:val="9"/>
    <w:rsid w:val="002F07B4"/>
    <w:rPr>
      <w:rFonts w:asciiTheme="majorHAnsi" w:eastAsiaTheme="majorEastAsia" w:hAnsiTheme="majorHAnsi" w:cstheme="majorBidi"/>
      <w:color w:val="430098" w:themeColor="text2"/>
      <w:sz w:val="40"/>
      <w:szCs w:val="32"/>
    </w:rPr>
  </w:style>
  <w:style w:type="paragraph" w:styleId="ListNumber2">
    <w:name w:val="List Number 2"/>
    <w:basedOn w:val="Normal"/>
    <w:uiPriority w:val="99"/>
    <w:unhideWhenUsed/>
    <w:qFormat/>
    <w:rsid w:val="005A51A0"/>
    <w:pPr>
      <w:numPr>
        <w:ilvl w:val="1"/>
        <w:numId w:val="6"/>
      </w:numPr>
      <w:contextualSpacing/>
    </w:pPr>
  </w:style>
  <w:style w:type="character" w:customStyle="1" w:styleId="Heading2Char">
    <w:name w:val="Heading 2 Char"/>
    <w:basedOn w:val="DefaultParagraphFont"/>
    <w:link w:val="Heading2"/>
    <w:uiPriority w:val="9"/>
    <w:rsid w:val="000D3DF9"/>
    <w:rPr>
      <w:rFonts w:asciiTheme="majorHAnsi" w:eastAsiaTheme="majorEastAsia" w:hAnsiTheme="majorHAnsi" w:cstheme="majorBidi"/>
      <w:color w:val="430098" w:themeColor="text2"/>
      <w:sz w:val="30"/>
      <w:szCs w:val="26"/>
    </w:rPr>
  </w:style>
  <w:style w:type="paragraph" w:styleId="ListParagraph">
    <w:name w:val="List Paragraph"/>
    <w:basedOn w:val="Normal"/>
    <w:uiPriority w:val="34"/>
    <w:qFormat/>
    <w:rsid w:val="00594496"/>
    <w:pPr>
      <w:ind w:left="284"/>
      <w:contextualSpacing/>
    </w:pPr>
  </w:style>
  <w:style w:type="paragraph" w:styleId="Header">
    <w:name w:val="header"/>
    <w:basedOn w:val="Normal"/>
    <w:link w:val="HeaderChar"/>
    <w:uiPriority w:val="99"/>
    <w:unhideWhenUsed/>
    <w:rsid w:val="00983D00"/>
    <w:pPr>
      <w:tabs>
        <w:tab w:val="center" w:pos="4513"/>
        <w:tab w:val="right" w:pos="9026"/>
      </w:tabs>
      <w:spacing w:before="0" w:after="0" w:line="240" w:lineRule="auto"/>
    </w:pPr>
    <w:rPr>
      <w:sz w:val="14"/>
    </w:rPr>
  </w:style>
  <w:style w:type="character" w:customStyle="1" w:styleId="HeaderChar">
    <w:name w:val="Header Char"/>
    <w:basedOn w:val="DefaultParagraphFont"/>
    <w:link w:val="Header"/>
    <w:uiPriority w:val="99"/>
    <w:rsid w:val="00983D00"/>
    <w:rPr>
      <w:sz w:val="14"/>
    </w:rPr>
  </w:style>
  <w:style w:type="paragraph" w:styleId="Footer">
    <w:name w:val="footer"/>
    <w:basedOn w:val="Normal"/>
    <w:link w:val="FooterChar"/>
    <w:uiPriority w:val="99"/>
    <w:unhideWhenUsed/>
    <w:rsid w:val="005141E8"/>
    <w:pPr>
      <w:tabs>
        <w:tab w:val="center" w:pos="4513"/>
        <w:tab w:val="right" w:pos="9026"/>
      </w:tabs>
      <w:spacing w:after="0"/>
    </w:pPr>
    <w:rPr>
      <w:sz w:val="18"/>
    </w:rPr>
  </w:style>
  <w:style w:type="character" w:customStyle="1" w:styleId="FooterChar">
    <w:name w:val="Footer Char"/>
    <w:basedOn w:val="DefaultParagraphFont"/>
    <w:link w:val="Footer"/>
    <w:uiPriority w:val="99"/>
    <w:rsid w:val="005141E8"/>
    <w:rPr>
      <w:sz w:val="18"/>
    </w:rPr>
  </w:style>
  <w:style w:type="numbering" w:customStyle="1" w:styleId="Numbering">
    <w:name w:val="Numbering"/>
    <w:uiPriority w:val="99"/>
    <w:rsid w:val="005A51A0"/>
    <w:pPr>
      <w:numPr>
        <w:numId w:val="2"/>
      </w:numPr>
    </w:pPr>
  </w:style>
  <w:style w:type="paragraph" w:styleId="ListBullet3">
    <w:name w:val="List Bullet 3"/>
    <w:basedOn w:val="Normal"/>
    <w:uiPriority w:val="99"/>
    <w:unhideWhenUsed/>
    <w:rsid w:val="000D3DF9"/>
    <w:pPr>
      <w:numPr>
        <w:ilvl w:val="2"/>
        <w:numId w:val="5"/>
      </w:numPr>
      <w:contextualSpacing/>
    </w:pPr>
  </w:style>
  <w:style w:type="paragraph" w:styleId="ListContinue2">
    <w:name w:val="List Continue 2"/>
    <w:basedOn w:val="Normal"/>
    <w:uiPriority w:val="99"/>
    <w:unhideWhenUsed/>
    <w:qFormat/>
    <w:rsid w:val="004635FD"/>
    <w:pPr>
      <w:ind w:left="566"/>
      <w:contextualSpacing/>
    </w:pPr>
  </w:style>
  <w:style w:type="paragraph" w:styleId="ListNumber3">
    <w:name w:val="List Number 3"/>
    <w:basedOn w:val="Normal"/>
    <w:uiPriority w:val="99"/>
    <w:unhideWhenUsed/>
    <w:qFormat/>
    <w:rsid w:val="005A51A0"/>
    <w:pPr>
      <w:numPr>
        <w:ilvl w:val="2"/>
        <w:numId w:val="6"/>
      </w:numPr>
      <w:contextualSpacing/>
    </w:pPr>
  </w:style>
  <w:style w:type="paragraph" w:styleId="ListNumber4">
    <w:name w:val="List Number 4"/>
    <w:basedOn w:val="Normal"/>
    <w:uiPriority w:val="99"/>
    <w:unhideWhenUsed/>
    <w:qFormat/>
    <w:rsid w:val="005A51A0"/>
    <w:pPr>
      <w:numPr>
        <w:ilvl w:val="3"/>
        <w:numId w:val="6"/>
      </w:numPr>
      <w:contextualSpacing/>
    </w:pPr>
  </w:style>
  <w:style w:type="paragraph" w:styleId="ListNumber5">
    <w:name w:val="List Number 5"/>
    <w:basedOn w:val="Normal"/>
    <w:uiPriority w:val="99"/>
    <w:unhideWhenUsed/>
    <w:rsid w:val="005A51A0"/>
    <w:pPr>
      <w:numPr>
        <w:ilvl w:val="4"/>
        <w:numId w:val="6"/>
      </w:numPr>
      <w:contextualSpacing/>
    </w:pPr>
  </w:style>
  <w:style w:type="paragraph" w:styleId="ListContinue">
    <w:name w:val="List Continue"/>
    <w:basedOn w:val="Normal"/>
    <w:uiPriority w:val="99"/>
    <w:unhideWhenUsed/>
    <w:qFormat/>
    <w:rsid w:val="00B91D47"/>
    <w:pPr>
      <w:ind w:left="283"/>
      <w:contextualSpacing/>
    </w:pPr>
  </w:style>
  <w:style w:type="paragraph" w:styleId="ListContinue3">
    <w:name w:val="List Continue 3"/>
    <w:basedOn w:val="Normal"/>
    <w:uiPriority w:val="99"/>
    <w:unhideWhenUsed/>
    <w:qFormat/>
    <w:rsid w:val="00974677"/>
    <w:pPr>
      <w:ind w:left="849"/>
      <w:contextualSpacing/>
    </w:pPr>
  </w:style>
  <w:style w:type="paragraph" w:styleId="ListContinue4">
    <w:name w:val="List Continue 4"/>
    <w:basedOn w:val="Normal"/>
    <w:uiPriority w:val="99"/>
    <w:unhideWhenUsed/>
    <w:qFormat/>
    <w:rsid w:val="00974677"/>
    <w:pPr>
      <w:ind w:left="1132"/>
      <w:contextualSpacing/>
    </w:pPr>
  </w:style>
  <w:style w:type="character" w:customStyle="1" w:styleId="Heading3Char">
    <w:name w:val="Heading 3 Char"/>
    <w:basedOn w:val="DefaultParagraphFont"/>
    <w:link w:val="Heading3"/>
    <w:uiPriority w:val="9"/>
    <w:rsid w:val="000D3DF9"/>
    <w:rPr>
      <w:rFonts w:asciiTheme="majorHAnsi" w:eastAsiaTheme="majorEastAsia" w:hAnsiTheme="majorHAnsi" w:cstheme="majorBidi"/>
      <w:sz w:val="26"/>
      <w:szCs w:val="24"/>
    </w:rPr>
  </w:style>
  <w:style w:type="character" w:customStyle="1" w:styleId="Heading4Char">
    <w:name w:val="Heading 4 Char"/>
    <w:basedOn w:val="DefaultParagraphFont"/>
    <w:link w:val="Heading4"/>
    <w:uiPriority w:val="9"/>
    <w:rsid w:val="000D3DF9"/>
    <w:rPr>
      <w:rFonts w:asciiTheme="majorHAnsi" w:eastAsiaTheme="majorEastAsia" w:hAnsiTheme="majorHAnsi" w:cstheme="majorBidi"/>
      <w:i/>
      <w:iCs/>
      <w:sz w:val="24"/>
    </w:rPr>
  </w:style>
  <w:style w:type="character" w:customStyle="1" w:styleId="Heading5Char">
    <w:name w:val="Heading 5 Char"/>
    <w:basedOn w:val="DefaultParagraphFont"/>
    <w:link w:val="Heading5"/>
    <w:uiPriority w:val="9"/>
    <w:semiHidden/>
    <w:rsid w:val="002F07B4"/>
    <w:rPr>
      <w:rFonts w:asciiTheme="majorHAnsi" w:eastAsiaTheme="majorEastAsia" w:hAnsiTheme="majorHAnsi" w:cstheme="majorBidi"/>
      <w:b/>
      <w:sz w:val="18"/>
    </w:rPr>
  </w:style>
  <w:style w:type="numbering" w:customStyle="1" w:styleId="ListHeadings">
    <w:name w:val="List Headings"/>
    <w:uiPriority w:val="99"/>
    <w:rsid w:val="00D16F74"/>
    <w:pPr>
      <w:numPr>
        <w:numId w:val="3"/>
      </w:numPr>
    </w:pPr>
  </w:style>
  <w:style w:type="paragraph" w:styleId="Title">
    <w:name w:val="Title"/>
    <w:basedOn w:val="Normal"/>
    <w:next w:val="Normal"/>
    <w:link w:val="TitleChar"/>
    <w:uiPriority w:val="10"/>
    <w:rsid w:val="00281560"/>
    <w:pPr>
      <w:spacing w:after="360" w:line="228" w:lineRule="auto"/>
      <w:ind w:right="1701"/>
      <w:contextualSpacing/>
      <w:outlineLvl w:val="0"/>
    </w:pPr>
    <w:rPr>
      <w:rFonts w:eastAsiaTheme="majorEastAsia" w:cstheme="majorBidi"/>
      <w:color w:val="430098" w:themeColor="text2"/>
      <w:spacing w:val="-10"/>
      <w:kern w:val="28"/>
      <w:sz w:val="50"/>
      <w:szCs w:val="56"/>
    </w:rPr>
  </w:style>
  <w:style w:type="character" w:customStyle="1" w:styleId="TitleChar">
    <w:name w:val="Title Char"/>
    <w:basedOn w:val="DefaultParagraphFont"/>
    <w:link w:val="Title"/>
    <w:uiPriority w:val="10"/>
    <w:rsid w:val="00281560"/>
    <w:rPr>
      <w:rFonts w:eastAsiaTheme="majorEastAsia" w:cstheme="majorBidi"/>
      <w:color w:val="430098" w:themeColor="text2"/>
      <w:spacing w:val="-10"/>
      <w:kern w:val="28"/>
      <w:sz w:val="50"/>
      <w:szCs w:val="56"/>
    </w:rPr>
  </w:style>
  <w:style w:type="paragraph" w:customStyle="1" w:styleId="Breakoutbox">
    <w:name w:val="Break out box"/>
    <w:basedOn w:val="Normal"/>
    <w:link w:val="BreakoutboxChar"/>
    <w:semiHidden/>
    <w:qFormat/>
    <w:rsid w:val="00166F43"/>
    <w:pPr>
      <w:pBdr>
        <w:top w:val="single" w:sz="4" w:space="20" w:color="F5F5F5"/>
        <w:left w:val="single" w:sz="4" w:space="20" w:color="F5F5F5"/>
        <w:bottom w:val="single" w:sz="4" w:space="20" w:color="F5F5F5"/>
        <w:right w:val="single" w:sz="4" w:space="20" w:color="F5F5F5"/>
      </w:pBdr>
      <w:shd w:val="clear" w:color="auto" w:fill="F5F5F5"/>
      <w:ind w:left="425" w:right="425"/>
    </w:pPr>
  </w:style>
  <w:style w:type="paragraph" w:customStyle="1" w:styleId="BreakoutboxHeading">
    <w:name w:val="Break out box Heading"/>
    <w:basedOn w:val="Breakoutbox"/>
    <w:next w:val="Breakoutbox"/>
    <w:link w:val="BreakoutboxHeadingChar"/>
    <w:semiHidden/>
    <w:qFormat/>
    <w:rsid w:val="004B609E"/>
    <w:rPr>
      <w:b/>
    </w:rPr>
  </w:style>
  <w:style w:type="character" w:customStyle="1" w:styleId="BreakoutboxChar">
    <w:name w:val="Break out box Char"/>
    <w:basedOn w:val="DefaultParagraphFont"/>
    <w:link w:val="Breakoutbox"/>
    <w:semiHidden/>
    <w:rsid w:val="00166F43"/>
    <w:rPr>
      <w:shd w:val="clear" w:color="auto" w:fill="F5F5F5"/>
    </w:rPr>
  </w:style>
  <w:style w:type="character" w:customStyle="1" w:styleId="BreakoutboxHeadingChar">
    <w:name w:val="Break out box Heading Char"/>
    <w:basedOn w:val="BreakoutboxChar"/>
    <w:link w:val="BreakoutboxHeading"/>
    <w:semiHidden/>
    <w:rsid w:val="0050670B"/>
    <w:rPr>
      <w:b/>
      <w:color w:val="FFFFFF" w:themeColor="background1"/>
      <w:sz w:val="20"/>
      <w:shd w:val="clear" w:color="auto" w:fill="430098" w:themeFill="text2"/>
    </w:rPr>
  </w:style>
  <w:style w:type="character" w:customStyle="1" w:styleId="NormalBoldChar">
    <w:name w:val="Normal Bold Char"/>
    <w:basedOn w:val="DefaultParagraphFont"/>
    <w:link w:val="NormalBold"/>
    <w:rsid w:val="002F07B4"/>
    <w:rPr>
      <w:b/>
    </w:rPr>
  </w:style>
  <w:style w:type="character" w:styleId="Strong">
    <w:name w:val="Strong"/>
    <w:basedOn w:val="DefaultParagraphFont"/>
    <w:uiPriority w:val="22"/>
    <w:qFormat/>
    <w:rsid w:val="000016E9"/>
    <w:rPr>
      <w:b/>
      <w:bCs/>
    </w:rPr>
  </w:style>
  <w:style w:type="paragraph" w:styleId="ListContinue5">
    <w:name w:val="List Continue 5"/>
    <w:basedOn w:val="Normal"/>
    <w:uiPriority w:val="99"/>
    <w:unhideWhenUsed/>
    <w:qFormat/>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Charttitles"/>
    <w:next w:val="Normal"/>
    <w:uiPriority w:val="35"/>
    <w:unhideWhenUsed/>
    <w:qFormat/>
    <w:rsid w:val="004D1958"/>
  </w:style>
  <w:style w:type="paragraph" w:styleId="List">
    <w:name w:val="List"/>
    <w:basedOn w:val="Normal"/>
    <w:uiPriority w:val="99"/>
    <w:unhideWhenUsed/>
    <w:qFormat/>
    <w:rsid w:val="00A20BA0"/>
    <w:pPr>
      <w:numPr>
        <w:numId w:val="7"/>
      </w:numPr>
      <w:contextualSpacing/>
    </w:pPr>
  </w:style>
  <w:style w:type="paragraph" w:styleId="List2">
    <w:name w:val="List 2"/>
    <w:basedOn w:val="Normal"/>
    <w:uiPriority w:val="99"/>
    <w:unhideWhenUsed/>
    <w:qFormat/>
    <w:rsid w:val="00A20BA0"/>
    <w:pPr>
      <w:numPr>
        <w:ilvl w:val="1"/>
        <w:numId w:val="7"/>
      </w:numPr>
      <w:contextualSpacing/>
    </w:pPr>
  </w:style>
  <w:style w:type="numbering" w:customStyle="1" w:styleId="LetteredList">
    <w:name w:val="Lettered List"/>
    <w:uiPriority w:val="99"/>
    <w:rsid w:val="00A20BA0"/>
    <w:pPr>
      <w:numPr>
        <w:numId w:val="4"/>
      </w:numPr>
    </w:pPr>
  </w:style>
  <w:style w:type="paragraph" w:styleId="Subtitle">
    <w:name w:val="Subtitle"/>
    <w:basedOn w:val="Normal"/>
    <w:next w:val="Normal"/>
    <w:link w:val="SubtitleChar"/>
    <w:uiPriority w:val="11"/>
    <w:rsid w:val="00CF551D"/>
    <w:pPr>
      <w:numPr>
        <w:ilvl w:val="1"/>
      </w:numPr>
      <w:spacing w:after="0" w:line="228" w:lineRule="auto"/>
      <w:ind w:right="1701"/>
    </w:pPr>
    <w:rPr>
      <w:rFonts w:eastAsiaTheme="minorEastAsia"/>
      <w:color w:val="430098" w:themeColor="text2"/>
      <w:spacing w:val="-4"/>
      <w:sz w:val="30"/>
    </w:rPr>
  </w:style>
  <w:style w:type="character" w:customStyle="1" w:styleId="SubtitleChar">
    <w:name w:val="Subtitle Char"/>
    <w:basedOn w:val="DefaultParagraphFont"/>
    <w:link w:val="Subtitle"/>
    <w:uiPriority w:val="11"/>
    <w:rsid w:val="00CF551D"/>
    <w:rPr>
      <w:rFonts w:eastAsiaTheme="minorEastAsia"/>
      <w:color w:val="430098" w:themeColor="text2"/>
      <w:spacing w:val="-4"/>
      <w:sz w:val="30"/>
    </w:rPr>
  </w:style>
  <w:style w:type="paragraph" w:styleId="TOCHeading">
    <w:name w:val="TOC Heading"/>
    <w:basedOn w:val="Heading1"/>
    <w:next w:val="Normal"/>
    <w:uiPriority w:val="39"/>
    <w:qFormat/>
    <w:rsid w:val="006A3CC0"/>
    <w:pPr>
      <w:spacing w:line="259" w:lineRule="auto"/>
    </w:pPr>
    <w:rPr>
      <w:lang w:val="en-US"/>
    </w:rPr>
  </w:style>
  <w:style w:type="paragraph" w:styleId="TOC1">
    <w:name w:val="toc 1"/>
    <w:basedOn w:val="Normal"/>
    <w:next w:val="Normal"/>
    <w:autoRedefine/>
    <w:uiPriority w:val="39"/>
    <w:rsid w:val="00700AF5"/>
    <w:pPr>
      <w:spacing w:before="160" w:after="100"/>
    </w:pPr>
    <w:rPr>
      <w:color w:val="430098" w:themeColor="text2"/>
      <w:sz w:val="24"/>
    </w:rPr>
  </w:style>
  <w:style w:type="paragraph" w:styleId="TOC2">
    <w:name w:val="toc 2"/>
    <w:basedOn w:val="Normal"/>
    <w:next w:val="Normal"/>
    <w:autoRedefine/>
    <w:uiPriority w:val="39"/>
    <w:rsid w:val="006A3CC0"/>
    <w:pPr>
      <w:tabs>
        <w:tab w:val="right" w:leader="dot" w:pos="9288"/>
      </w:tabs>
      <w:spacing w:before="160" w:after="100"/>
    </w:pPr>
    <w:rPr>
      <w:color w:val="430098" w:themeColor="text2"/>
    </w:rPr>
  </w:style>
  <w:style w:type="paragraph" w:styleId="TOC3">
    <w:name w:val="toc 3"/>
    <w:basedOn w:val="Normal"/>
    <w:next w:val="Normal"/>
    <w:autoRedefine/>
    <w:uiPriority w:val="39"/>
    <w:rsid w:val="00700AF5"/>
    <w:pPr>
      <w:tabs>
        <w:tab w:val="right" w:leader="dot" w:pos="9628"/>
      </w:tabs>
      <w:spacing w:after="100"/>
      <w:ind w:left="284"/>
    </w:pPr>
    <w:rPr>
      <w:sz w:val="20"/>
    </w:rPr>
  </w:style>
  <w:style w:type="character" w:styleId="Hyperlink">
    <w:name w:val="Hyperlink"/>
    <w:basedOn w:val="DefaultParagraphFont"/>
    <w:uiPriority w:val="99"/>
    <w:unhideWhenUsed/>
    <w:rsid w:val="00A24EF4"/>
    <w:rPr>
      <w:color w:val="000000"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customStyle="1" w:styleId="NormalBold">
    <w:name w:val="Normal Bold"/>
    <w:basedOn w:val="Normal"/>
    <w:link w:val="NormalBoldChar"/>
    <w:qFormat/>
    <w:rsid w:val="002F07B4"/>
    <w:pPr>
      <w:spacing w:after="120"/>
    </w:pPr>
    <w:rPr>
      <w:b/>
    </w:rPr>
  </w:style>
  <w:style w:type="paragraph" w:customStyle="1" w:styleId="Footer-logolockup">
    <w:name w:val="Footer-logo lockup"/>
    <w:basedOn w:val="Footer"/>
    <w:rsid w:val="00FB1EA0"/>
    <w:pPr>
      <w:framePr w:w="2268" w:h="1588" w:hRule="exact" w:wrap="around" w:vAnchor="page" w:hAnchor="margin" w:x="1815" w:yAlign="bottom" w:anchorLock="1"/>
      <w:spacing w:before="0"/>
    </w:pPr>
    <w:rPr>
      <w:color w:val="430098" w:themeColor="text2"/>
      <w:spacing w:val="-4"/>
      <w:sz w:val="13"/>
    </w:rPr>
  </w:style>
  <w:style w:type="paragraph" w:customStyle="1" w:styleId="Footer-Right">
    <w:name w:val="Footer-Right"/>
    <w:basedOn w:val="Footer"/>
    <w:rsid w:val="00E56A45"/>
    <w:pPr>
      <w:jc w:val="right"/>
    </w:pPr>
  </w:style>
  <w:style w:type="paragraph" w:customStyle="1" w:styleId="Footer-Rightframe">
    <w:name w:val="Footer-Right frame"/>
    <w:basedOn w:val="Footer-Right"/>
    <w:rsid w:val="003A265C"/>
    <w:pPr>
      <w:framePr w:wrap="around" w:vAnchor="page" w:hAnchor="margin" w:xAlign="right" w:yAlign="bottom" w:anchorLock="1"/>
      <w:spacing w:after="1080"/>
      <w:ind w:right="28"/>
    </w:pPr>
    <w:rPr>
      <w:color w:val="430098" w:themeColor="text2"/>
      <w:sz w:val="20"/>
    </w:rPr>
  </w:style>
  <w:style w:type="character" w:styleId="UnresolvedMention">
    <w:name w:val="Unresolved Mention"/>
    <w:basedOn w:val="DefaultParagraphFont"/>
    <w:uiPriority w:val="99"/>
    <w:semiHidden/>
    <w:unhideWhenUsed/>
    <w:rsid w:val="0007747C"/>
    <w:rPr>
      <w:color w:val="605E5C"/>
      <w:shd w:val="clear" w:color="auto" w:fill="E1DFDD"/>
    </w:rPr>
  </w:style>
  <w:style w:type="paragraph" w:customStyle="1" w:styleId="Streamselection">
    <w:name w:val="Stream selection"/>
    <w:basedOn w:val="Normal"/>
    <w:link w:val="StreamselectionChar"/>
    <w:rsid w:val="004843D5"/>
    <w:pPr>
      <w:spacing w:before="0" w:after="0" w:line="240" w:lineRule="auto"/>
      <w:jc w:val="center"/>
    </w:pPr>
    <w:rPr>
      <w:b/>
      <w:caps/>
      <w:color w:val="430098" w:themeColor="text2"/>
      <w:spacing w:val="-4"/>
      <w:sz w:val="18"/>
    </w:rPr>
  </w:style>
  <w:style w:type="paragraph" w:customStyle="1" w:styleId="BackcoverURL">
    <w:name w:val="Back cover URL"/>
    <w:basedOn w:val="Normal"/>
    <w:rsid w:val="00990D47"/>
    <w:pPr>
      <w:spacing w:before="0"/>
      <w:jc w:val="center"/>
    </w:pPr>
    <w:rPr>
      <w:noProof/>
      <w:color w:val="430098" w:themeColor="text2"/>
      <w:sz w:val="18"/>
    </w:rPr>
  </w:style>
  <w:style w:type="character" w:customStyle="1" w:styleId="StreamselectionChar">
    <w:name w:val="Stream selection Char"/>
    <w:basedOn w:val="DefaultParagraphFont"/>
    <w:link w:val="Streamselection"/>
    <w:rsid w:val="004843D5"/>
    <w:rPr>
      <w:b/>
      <w:caps/>
      <w:color w:val="430098" w:themeColor="text2"/>
      <w:spacing w:val="-4"/>
      <w:sz w:val="18"/>
    </w:rPr>
  </w:style>
  <w:style w:type="paragraph" w:customStyle="1" w:styleId="Tabletext">
    <w:name w:val="Table text"/>
    <w:basedOn w:val="Normal"/>
    <w:qFormat/>
    <w:rsid w:val="0056214A"/>
    <w:pPr>
      <w:spacing w:after="160"/>
    </w:pPr>
    <w:rPr>
      <w:sz w:val="18"/>
    </w:rPr>
  </w:style>
  <w:style w:type="paragraph" w:styleId="Quote">
    <w:name w:val="Quote"/>
    <w:basedOn w:val="Normal"/>
    <w:next w:val="Normal"/>
    <w:link w:val="QuoteChar"/>
    <w:uiPriority w:val="29"/>
    <w:rsid w:val="00FF3D72"/>
    <w:pPr>
      <w:pBdr>
        <w:left w:val="single" w:sz="36" w:space="14" w:color="A489C7"/>
      </w:pBdr>
      <w:spacing w:before="200" w:after="0"/>
      <w:ind w:left="397" w:right="1134"/>
    </w:pPr>
    <w:rPr>
      <w:i/>
      <w:iCs/>
      <w:color w:val="430098" w:themeColor="text2"/>
    </w:rPr>
  </w:style>
  <w:style w:type="table" w:customStyle="1" w:styleId="OVICDefaulttable">
    <w:name w:val="OVIC Default table"/>
    <w:basedOn w:val="TableNormal"/>
    <w:uiPriority w:val="99"/>
    <w:rsid w:val="00467EA8"/>
    <w:pPr>
      <w:spacing w:after="0" w:line="240" w:lineRule="auto"/>
    </w:pPr>
    <w:rPr>
      <w:rFonts w:asciiTheme="majorHAnsi" w:hAnsiTheme="majorHAnsi"/>
      <w:sz w:val="18"/>
    </w:rPr>
    <w:tblPr>
      <w:tblStyleColBandSize w:val="1"/>
      <w:tblBorders>
        <w:top w:val="single" w:sz="4" w:space="0" w:color="auto"/>
        <w:bottom w:val="single" w:sz="4" w:space="0" w:color="auto"/>
        <w:insideH w:val="single" w:sz="4" w:space="0" w:color="auto"/>
        <w:insideV w:val="single" w:sz="4" w:space="0" w:color="D9D9D9" w:themeColor="background1" w:themeShade="D9"/>
      </w:tblBorders>
      <w:tblCellMar>
        <w:top w:w="170" w:type="dxa"/>
        <w:left w:w="170" w:type="dxa"/>
        <w:bottom w:w="57" w:type="dxa"/>
        <w:right w:w="170" w:type="dxa"/>
      </w:tblCellMar>
    </w:tblPr>
    <w:tblStylePr w:type="firstRow">
      <w:rPr>
        <w:rFonts w:asciiTheme="minorHAnsi" w:hAnsiTheme="minorHAnsi"/>
        <w:b/>
      </w:rPr>
      <w:tblPr/>
      <w:tcPr>
        <w:tcBorders>
          <w:top w:val="single" w:sz="12" w:space="0" w:color="auto"/>
          <w:left w:val="nil"/>
          <w:bottom w:val="single" w:sz="12" w:space="0" w:color="auto"/>
          <w:right w:val="nil"/>
          <w:insideH w:val="nil"/>
          <w:insideV w:val="single" w:sz="4" w:space="0" w:color="D9D9D9" w:themeColor="background1" w:themeShade="D9"/>
          <w:tl2br w:val="nil"/>
          <w:tr2bl w:val="nil"/>
        </w:tcBorders>
      </w:tcPr>
    </w:tblStylePr>
    <w:tblStylePr w:type="band2Vert">
      <w:tblPr/>
      <w:tcPr>
        <w:shd w:val="clear" w:color="auto" w:fill="F5F5F5"/>
      </w:tcPr>
    </w:tblStylePr>
  </w:style>
  <w:style w:type="paragraph" w:customStyle="1" w:styleId="ProtectiveMarking">
    <w:name w:val="Protective Marking"/>
    <w:basedOn w:val="Normal"/>
    <w:rsid w:val="007C2EB8"/>
    <w:pPr>
      <w:framePr w:wrap="around" w:vAnchor="page" w:hAnchor="page" w:xAlign="center" w:y="568" w:anchorLock="1"/>
    </w:pPr>
    <w:rPr>
      <w:b/>
      <w:caps/>
      <w:color w:val="FF0000"/>
      <w:sz w:val="25"/>
    </w:rPr>
  </w:style>
  <w:style w:type="paragraph" w:customStyle="1" w:styleId="Streamselectionholder">
    <w:name w:val="Stream selection holder"/>
    <w:basedOn w:val="Normal"/>
    <w:rsid w:val="004843D5"/>
    <w:pPr>
      <w:spacing w:before="0" w:after="160" w:line="259" w:lineRule="auto"/>
    </w:pPr>
    <w:rPr>
      <w:b/>
      <w:caps/>
      <w:color w:val="430098" w:themeColor="text2"/>
      <w:sz w:val="18"/>
    </w:rPr>
  </w:style>
  <w:style w:type="paragraph" w:customStyle="1" w:styleId="Charttitles">
    <w:name w:val="Chart titles"/>
    <w:basedOn w:val="Normal"/>
    <w:uiPriority w:val="7"/>
    <w:qFormat/>
    <w:rsid w:val="0034139E"/>
    <w:pPr>
      <w:spacing w:before="480" w:after="360" w:line="240" w:lineRule="auto"/>
      <w:ind w:right="941"/>
    </w:pPr>
    <w:rPr>
      <w:rFonts w:eastAsia="Times New Roman" w:cstheme="minorHAnsi"/>
      <w:color w:val="430098"/>
      <w:sz w:val="20"/>
      <w:szCs w:val="20"/>
      <w:lang w:eastAsia="en-GB"/>
    </w:rPr>
  </w:style>
  <w:style w:type="character" w:customStyle="1" w:styleId="QuoteChar">
    <w:name w:val="Quote Char"/>
    <w:basedOn w:val="DefaultParagraphFont"/>
    <w:link w:val="Quote"/>
    <w:uiPriority w:val="29"/>
    <w:rsid w:val="00FF3D72"/>
    <w:rPr>
      <w:i/>
      <w:iCs/>
      <w:color w:val="430098" w:themeColor="text2"/>
    </w:rPr>
  </w:style>
  <w:style w:type="paragraph" w:customStyle="1" w:styleId="TitlepageHeading1">
    <w:name w:val="Title page Heading 1"/>
    <w:basedOn w:val="Heading1"/>
    <w:rsid w:val="00A60DA0"/>
    <w:pPr>
      <w:spacing w:before="0"/>
      <w:outlineLvl w:val="1"/>
    </w:pPr>
  </w:style>
  <w:style w:type="paragraph" w:customStyle="1" w:styleId="ListContinue6">
    <w:name w:val="List Continue 6"/>
    <w:basedOn w:val="ListContinue5"/>
    <w:uiPriority w:val="99"/>
    <w:qFormat/>
    <w:rsid w:val="005A51A0"/>
    <w:pPr>
      <w:ind w:left="1701"/>
    </w:pPr>
  </w:style>
  <w:style w:type="paragraph" w:customStyle="1" w:styleId="Agencyinformation">
    <w:name w:val="Agency information"/>
    <w:rsid w:val="003126A4"/>
    <w:pPr>
      <w:pBdr>
        <w:bottom w:val="single" w:sz="8" w:space="20" w:color="430098" w:themeColor="text2"/>
      </w:pBdr>
      <w:spacing w:before="120" w:line="240" w:lineRule="auto"/>
    </w:pPr>
    <w:rPr>
      <w:b/>
      <w:caps/>
      <w:color w:val="430098" w:themeColor="text2"/>
      <w:sz w:val="28"/>
    </w:rPr>
  </w:style>
  <w:style w:type="paragraph" w:customStyle="1" w:styleId="Toggle">
    <w:name w:val="Toggle"/>
    <w:basedOn w:val="Agencyinformation"/>
    <w:qFormat/>
    <w:rsid w:val="00E75FCA"/>
    <w:pPr>
      <w:pBdr>
        <w:bottom w:val="none" w:sz="0" w:space="0" w:color="auto"/>
      </w:pBdr>
      <w:spacing w:before="0" w:after="0"/>
      <w:outlineLvl w:val="0"/>
    </w:pPr>
    <w:rPr>
      <w:caps w:val="0"/>
      <w:color w:val="FFFFFF" w:themeColor="background1"/>
      <w:sz w:val="16"/>
    </w:rPr>
  </w:style>
  <w:style w:type="paragraph" w:customStyle="1" w:styleId="Togglenote">
    <w:name w:val="Toggle note"/>
    <w:basedOn w:val="Toggle"/>
    <w:rsid w:val="00110345"/>
    <w:pPr>
      <w:framePr w:w="680" w:wrap="around" w:vAnchor="text" w:hAnchor="page" w:x="285" w:y="-1020" w:anchorLock="1"/>
      <w:spacing w:line="228" w:lineRule="auto"/>
      <w:outlineLvl w:val="9"/>
    </w:pPr>
    <w:rPr>
      <w:b w:val="0"/>
      <w:vanish/>
      <w:color w:val="EA3AB0" w:themeColor="accent2"/>
      <w:sz w:val="14"/>
    </w:rPr>
  </w:style>
  <w:style w:type="table" w:customStyle="1" w:styleId="OVICFooter">
    <w:name w:val="OVIC Footer"/>
    <w:basedOn w:val="TableNormal"/>
    <w:uiPriority w:val="99"/>
    <w:rsid w:val="009B2231"/>
    <w:pPr>
      <w:spacing w:after="0" w:line="240" w:lineRule="auto"/>
    </w:pPr>
    <w:tblPr>
      <w:tblBorders>
        <w:top w:val="single" w:sz="8" w:space="0" w:color="430098" w:themeColor="text2"/>
      </w:tblBorders>
      <w:tblCellMar>
        <w:top w:w="340" w:type="dxa"/>
        <w:left w:w="0" w:type="dxa"/>
        <w:bottom w:w="680" w:type="dxa"/>
      </w:tblCellMar>
    </w:tblPr>
    <w:tcPr>
      <w:vAlign w:val="bottom"/>
    </w:tcPr>
  </w:style>
  <w:style w:type="paragraph" w:customStyle="1" w:styleId="FooterToggle">
    <w:name w:val="Footer Toggle"/>
    <w:basedOn w:val="Normal"/>
    <w:link w:val="FooterToggleChar"/>
    <w:rsid w:val="00CA1FCA"/>
    <w:pPr>
      <w:spacing w:before="0" w:after="0" w:line="240" w:lineRule="auto"/>
    </w:pPr>
    <w:rPr>
      <w:b/>
      <w:color w:val="430098" w:themeColor="text2"/>
      <w:sz w:val="16"/>
    </w:rPr>
  </w:style>
  <w:style w:type="paragraph" w:customStyle="1" w:styleId="Footercovertoggleholder">
    <w:name w:val="Footer cover toggle holder"/>
    <w:basedOn w:val="Normal"/>
    <w:rsid w:val="00B3365C"/>
    <w:pPr>
      <w:framePr w:w="9299" w:wrap="around" w:vAnchor="page" w:hAnchor="margin" w:yAlign="bottom" w:anchorLock="1"/>
      <w:spacing w:before="0" w:after="160" w:line="259" w:lineRule="auto"/>
    </w:pPr>
  </w:style>
  <w:style w:type="paragraph" w:customStyle="1" w:styleId="FooterToggle-Disclaimer">
    <w:name w:val="Footer Toggle-Disclaimer"/>
    <w:basedOn w:val="FooterToggle"/>
    <w:rsid w:val="00D34FB0"/>
    <w:pPr>
      <w:spacing w:line="228" w:lineRule="auto"/>
      <w:ind w:right="1134"/>
    </w:pPr>
    <w:rPr>
      <w:b w:val="0"/>
      <w:color w:val="auto"/>
      <w:sz w:val="14"/>
    </w:rPr>
  </w:style>
  <w:style w:type="paragraph" w:customStyle="1" w:styleId="PageNumber-right">
    <w:name w:val="Page Number-right"/>
    <w:basedOn w:val="FooterToggle"/>
    <w:link w:val="PageNumber-rightChar"/>
    <w:rsid w:val="00A81CCD"/>
    <w:pPr>
      <w:framePr w:hSpace="181" w:wrap="around" w:vAnchor="page" w:hAnchor="margin" w:yAlign="bottom"/>
      <w:suppressOverlap/>
      <w:jc w:val="right"/>
    </w:pPr>
    <w:rPr>
      <w:b w:val="0"/>
      <w:bCs/>
    </w:rPr>
  </w:style>
  <w:style w:type="character" w:customStyle="1" w:styleId="FooterToggleChar">
    <w:name w:val="Footer Toggle Char"/>
    <w:basedOn w:val="DefaultParagraphFont"/>
    <w:link w:val="FooterToggle"/>
    <w:rsid w:val="00A81CCD"/>
    <w:rPr>
      <w:b/>
      <w:color w:val="430098" w:themeColor="text2"/>
      <w:sz w:val="16"/>
    </w:rPr>
  </w:style>
  <w:style w:type="character" w:customStyle="1" w:styleId="PageNumber-rightChar">
    <w:name w:val="Page Number-right Char"/>
    <w:basedOn w:val="FooterToggleChar"/>
    <w:link w:val="PageNumber-right"/>
    <w:rsid w:val="00A81CCD"/>
    <w:rPr>
      <w:b w:val="0"/>
      <w:bCs/>
      <w:color w:val="430098" w:themeColor="text2"/>
      <w:sz w:val="16"/>
    </w:rPr>
  </w:style>
  <w:style w:type="character" w:styleId="CommentReference">
    <w:name w:val="annotation reference"/>
    <w:basedOn w:val="DefaultParagraphFont"/>
    <w:uiPriority w:val="99"/>
    <w:unhideWhenUsed/>
    <w:rsid w:val="00BF3799"/>
    <w:rPr>
      <w:sz w:val="16"/>
      <w:szCs w:val="16"/>
    </w:rPr>
  </w:style>
  <w:style w:type="paragraph" w:styleId="FootnoteText">
    <w:name w:val="footnote text"/>
    <w:basedOn w:val="Normal"/>
    <w:link w:val="FootnoteTextChar"/>
    <w:uiPriority w:val="99"/>
    <w:unhideWhenUsed/>
    <w:rsid w:val="004C5DAA"/>
    <w:pPr>
      <w:spacing w:before="0" w:after="120" w:line="240" w:lineRule="auto"/>
      <w:ind w:left="85" w:hanging="85"/>
    </w:pPr>
    <w:rPr>
      <w:sz w:val="16"/>
      <w:szCs w:val="20"/>
    </w:rPr>
  </w:style>
  <w:style w:type="character" w:customStyle="1" w:styleId="FootnoteTextChar">
    <w:name w:val="Footnote Text Char"/>
    <w:basedOn w:val="DefaultParagraphFont"/>
    <w:link w:val="FootnoteText"/>
    <w:uiPriority w:val="99"/>
    <w:rsid w:val="004C5DAA"/>
    <w:rPr>
      <w:rFonts w:asciiTheme="majorHAnsi" w:hAnsiTheme="majorHAnsi"/>
      <w:sz w:val="16"/>
      <w:szCs w:val="20"/>
    </w:rPr>
  </w:style>
  <w:style w:type="character" w:styleId="FootnoteReference">
    <w:name w:val="footnote reference"/>
    <w:basedOn w:val="DefaultParagraphFont"/>
    <w:uiPriority w:val="99"/>
    <w:semiHidden/>
    <w:unhideWhenUsed/>
    <w:rsid w:val="004C5DAA"/>
    <w:rPr>
      <w:vertAlign w:val="superscript"/>
    </w:rPr>
  </w:style>
  <w:style w:type="paragraph" w:customStyle="1" w:styleId="Body">
    <w:name w:val="Body"/>
    <w:basedOn w:val="Normal"/>
    <w:qFormat/>
    <w:rsid w:val="00E803E9"/>
    <w:pPr>
      <w:widowControl w:val="0"/>
      <w:suppressAutoHyphens/>
      <w:autoSpaceDE w:val="0"/>
      <w:autoSpaceDN w:val="0"/>
      <w:adjustRightInd w:val="0"/>
      <w:spacing w:before="0" w:line="240" w:lineRule="auto"/>
      <w:textAlignment w:val="center"/>
    </w:pPr>
    <w:rPr>
      <w:rFonts w:ascii="Calibri" w:eastAsia="Calibri" w:hAnsi="Calibri" w:cs="PostGrotesk-Book"/>
      <w:color w:val="55565A"/>
      <w:lang w:val="en-GB"/>
    </w:rPr>
  </w:style>
  <w:style w:type="character" w:styleId="Emphasis">
    <w:name w:val="Emphasis"/>
    <w:basedOn w:val="DefaultParagraphFont"/>
    <w:uiPriority w:val="20"/>
    <w:qFormat/>
    <w:rsid w:val="00E803E9"/>
    <w:rPr>
      <w:i/>
      <w:iCs/>
    </w:rPr>
  </w:style>
  <w:style w:type="paragraph" w:customStyle="1" w:styleId="SectionHeading1">
    <w:name w:val="Section Heading 1"/>
    <w:basedOn w:val="Normal"/>
    <w:qFormat/>
    <w:rsid w:val="00F4430E"/>
    <w:pPr>
      <w:widowControl w:val="0"/>
      <w:suppressAutoHyphens/>
      <w:autoSpaceDE w:val="0"/>
      <w:autoSpaceDN w:val="0"/>
      <w:adjustRightInd w:val="0"/>
      <w:spacing w:before="0" w:after="120" w:line="288" w:lineRule="auto"/>
      <w:textAlignment w:val="center"/>
    </w:pPr>
    <w:rPr>
      <w:rFonts w:ascii="Calibri" w:eastAsia="Calibri" w:hAnsi="Calibri" w:cs="PostGrotesk-Medium"/>
      <w:color w:val="430098"/>
      <w:sz w:val="28"/>
      <w:szCs w:val="28"/>
      <w:lang w:val="en-GB"/>
    </w:rPr>
  </w:style>
  <w:style w:type="paragraph" w:customStyle="1" w:styleId="BodyCopy">
    <w:name w:val="Body Copy"/>
    <w:basedOn w:val="Normal"/>
    <w:uiPriority w:val="99"/>
    <w:qFormat/>
    <w:rsid w:val="00A6671C"/>
    <w:pPr>
      <w:widowControl w:val="0"/>
      <w:suppressAutoHyphens/>
      <w:autoSpaceDE w:val="0"/>
      <w:autoSpaceDN w:val="0"/>
      <w:adjustRightInd w:val="0"/>
      <w:spacing w:after="200"/>
      <w:textAlignment w:val="center"/>
    </w:pPr>
    <w:rPr>
      <w:rFonts w:asciiTheme="minorHAnsi" w:eastAsia="Times New Roman" w:hAnsiTheme="minorHAnsi" w:cs="National-Book"/>
      <w:color w:val="55565A"/>
      <w:lang w:val="en-US"/>
    </w:rPr>
  </w:style>
  <w:style w:type="paragraph" w:customStyle="1" w:styleId="TableText0">
    <w:name w:val="Table Text"/>
    <w:basedOn w:val="NoSpacing"/>
    <w:qFormat/>
    <w:rsid w:val="0097704C"/>
  </w:style>
  <w:style w:type="paragraph" w:styleId="CommentText">
    <w:name w:val="annotation text"/>
    <w:basedOn w:val="Normal"/>
    <w:link w:val="CommentTextChar"/>
    <w:uiPriority w:val="99"/>
    <w:unhideWhenUsed/>
    <w:rsid w:val="00015CA0"/>
    <w:pPr>
      <w:spacing w:line="240" w:lineRule="auto"/>
    </w:pPr>
    <w:rPr>
      <w:sz w:val="20"/>
      <w:szCs w:val="20"/>
    </w:rPr>
  </w:style>
  <w:style w:type="character" w:customStyle="1" w:styleId="CommentTextChar">
    <w:name w:val="Comment Text Char"/>
    <w:basedOn w:val="DefaultParagraphFont"/>
    <w:link w:val="CommentText"/>
    <w:uiPriority w:val="99"/>
    <w:rsid w:val="00015CA0"/>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015CA0"/>
    <w:rPr>
      <w:b/>
      <w:bCs/>
    </w:rPr>
  </w:style>
  <w:style w:type="character" w:customStyle="1" w:styleId="CommentSubjectChar">
    <w:name w:val="Comment Subject Char"/>
    <w:basedOn w:val="CommentTextChar"/>
    <w:link w:val="CommentSubject"/>
    <w:uiPriority w:val="99"/>
    <w:semiHidden/>
    <w:rsid w:val="00015CA0"/>
    <w:rPr>
      <w:rFonts w:asciiTheme="majorHAnsi" w:hAnsiTheme="majorHAnsi"/>
      <w:b/>
      <w:bCs/>
      <w:sz w:val="20"/>
      <w:szCs w:val="20"/>
    </w:rPr>
  </w:style>
  <w:style w:type="character" w:styleId="FollowedHyperlink">
    <w:name w:val="FollowedHyperlink"/>
    <w:basedOn w:val="DefaultParagraphFont"/>
    <w:uiPriority w:val="99"/>
    <w:semiHidden/>
    <w:unhideWhenUsed/>
    <w:rsid w:val="005616A9"/>
    <w:rPr>
      <w:color w:val="000000" w:themeColor="followedHyperlink"/>
      <w:u w:val="single"/>
    </w:rPr>
  </w:style>
  <w:style w:type="paragraph" w:styleId="Revision">
    <w:name w:val="Revision"/>
    <w:hidden/>
    <w:uiPriority w:val="99"/>
    <w:semiHidden/>
    <w:rsid w:val="00E40B25"/>
    <w:pPr>
      <w:spacing w:after="0" w:line="240" w:lineRule="auto"/>
    </w:pPr>
    <w:rPr>
      <w:rFonts w:asciiTheme="majorHAnsi" w:hAnsiTheme="majorHAnsi"/>
    </w:rPr>
  </w:style>
  <w:style w:type="table" w:customStyle="1" w:styleId="OVICDefaulttable1">
    <w:name w:val="OVIC Default table1"/>
    <w:basedOn w:val="TableNormal"/>
    <w:uiPriority w:val="99"/>
    <w:rsid w:val="00E7503F"/>
    <w:pPr>
      <w:spacing w:after="0" w:line="240" w:lineRule="auto"/>
    </w:pPr>
    <w:rPr>
      <w:rFonts w:ascii="Calibri Light" w:hAnsi="Calibri Light"/>
      <w:sz w:val="18"/>
    </w:rPr>
    <w:tblPr>
      <w:tblStyleColBandSize w:val="1"/>
      <w:tblBorders>
        <w:top w:val="single" w:sz="4" w:space="0" w:color="auto"/>
        <w:bottom w:val="single" w:sz="4" w:space="0" w:color="auto"/>
        <w:insideH w:val="single" w:sz="4" w:space="0" w:color="auto"/>
        <w:insideV w:val="single" w:sz="4" w:space="0" w:color="D9D9D9"/>
      </w:tblBorders>
      <w:tblCellMar>
        <w:top w:w="113" w:type="dxa"/>
        <w:left w:w="113" w:type="dxa"/>
        <w:bottom w:w="113" w:type="dxa"/>
        <w:right w:w="113" w:type="dxa"/>
      </w:tblCellMar>
    </w:tblPr>
    <w:tblStylePr w:type="firstRow">
      <w:rPr>
        <w:rFonts w:ascii="Calibri" w:hAnsi="Calibri"/>
        <w:b/>
      </w:rPr>
      <w:tblPr/>
      <w:tcPr>
        <w:tcBorders>
          <w:top w:val="single" w:sz="12" w:space="0" w:color="auto"/>
          <w:left w:val="nil"/>
          <w:bottom w:val="single" w:sz="12" w:space="0" w:color="auto"/>
          <w:right w:val="nil"/>
          <w:insideH w:val="nil"/>
          <w:insideV w:val="single" w:sz="4" w:space="0" w:color="D9D9D9"/>
          <w:tl2br w:val="nil"/>
          <w:tr2bl w:val="nil"/>
        </w:tcBorders>
      </w:tcPr>
    </w:tblStylePr>
    <w:tblStylePr w:type="firstCol">
      <w:rPr>
        <w:b/>
      </w:rPr>
    </w:tblStylePr>
    <w:tblStylePr w:type="band2Vert">
      <w:tblPr/>
      <w:tcPr>
        <w:shd w:val="clear" w:color="auto" w:fill="F5F5F5"/>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33860">
      <w:bodyDiv w:val="1"/>
      <w:marLeft w:val="0"/>
      <w:marRight w:val="0"/>
      <w:marTop w:val="0"/>
      <w:marBottom w:val="0"/>
      <w:divBdr>
        <w:top w:val="none" w:sz="0" w:space="0" w:color="auto"/>
        <w:left w:val="none" w:sz="0" w:space="0" w:color="auto"/>
        <w:bottom w:val="none" w:sz="0" w:space="0" w:color="auto"/>
        <w:right w:val="none" w:sz="0" w:space="0" w:color="auto"/>
      </w:divBdr>
    </w:div>
    <w:div w:id="160120025">
      <w:bodyDiv w:val="1"/>
      <w:marLeft w:val="0"/>
      <w:marRight w:val="0"/>
      <w:marTop w:val="0"/>
      <w:marBottom w:val="0"/>
      <w:divBdr>
        <w:top w:val="none" w:sz="0" w:space="0" w:color="auto"/>
        <w:left w:val="none" w:sz="0" w:space="0" w:color="auto"/>
        <w:bottom w:val="none" w:sz="0" w:space="0" w:color="auto"/>
        <w:right w:val="none" w:sz="0" w:space="0" w:color="auto"/>
      </w:divBdr>
    </w:div>
    <w:div w:id="192815489">
      <w:bodyDiv w:val="1"/>
      <w:marLeft w:val="0"/>
      <w:marRight w:val="0"/>
      <w:marTop w:val="0"/>
      <w:marBottom w:val="0"/>
      <w:divBdr>
        <w:top w:val="none" w:sz="0" w:space="0" w:color="auto"/>
        <w:left w:val="none" w:sz="0" w:space="0" w:color="auto"/>
        <w:bottom w:val="none" w:sz="0" w:space="0" w:color="auto"/>
        <w:right w:val="none" w:sz="0" w:space="0" w:color="auto"/>
      </w:divBdr>
    </w:div>
    <w:div w:id="331179182">
      <w:bodyDiv w:val="1"/>
      <w:marLeft w:val="0"/>
      <w:marRight w:val="0"/>
      <w:marTop w:val="0"/>
      <w:marBottom w:val="0"/>
      <w:divBdr>
        <w:top w:val="none" w:sz="0" w:space="0" w:color="auto"/>
        <w:left w:val="none" w:sz="0" w:space="0" w:color="auto"/>
        <w:bottom w:val="none" w:sz="0" w:space="0" w:color="auto"/>
        <w:right w:val="none" w:sz="0" w:space="0" w:color="auto"/>
      </w:divBdr>
    </w:div>
    <w:div w:id="333413963">
      <w:bodyDiv w:val="1"/>
      <w:marLeft w:val="0"/>
      <w:marRight w:val="0"/>
      <w:marTop w:val="0"/>
      <w:marBottom w:val="0"/>
      <w:divBdr>
        <w:top w:val="none" w:sz="0" w:space="0" w:color="auto"/>
        <w:left w:val="none" w:sz="0" w:space="0" w:color="auto"/>
        <w:bottom w:val="none" w:sz="0" w:space="0" w:color="auto"/>
        <w:right w:val="none" w:sz="0" w:space="0" w:color="auto"/>
      </w:divBdr>
    </w:div>
    <w:div w:id="387457841">
      <w:bodyDiv w:val="1"/>
      <w:marLeft w:val="0"/>
      <w:marRight w:val="0"/>
      <w:marTop w:val="0"/>
      <w:marBottom w:val="0"/>
      <w:divBdr>
        <w:top w:val="none" w:sz="0" w:space="0" w:color="auto"/>
        <w:left w:val="none" w:sz="0" w:space="0" w:color="auto"/>
        <w:bottom w:val="none" w:sz="0" w:space="0" w:color="auto"/>
        <w:right w:val="none" w:sz="0" w:space="0" w:color="auto"/>
      </w:divBdr>
    </w:div>
    <w:div w:id="445542640">
      <w:bodyDiv w:val="1"/>
      <w:marLeft w:val="0"/>
      <w:marRight w:val="0"/>
      <w:marTop w:val="0"/>
      <w:marBottom w:val="0"/>
      <w:divBdr>
        <w:top w:val="none" w:sz="0" w:space="0" w:color="auto"/>
        <w:left w:val="none" w:sz="0" w:space="0" w:color="auto"/>
        <w:bottom w:val="none" w:sz="0" w:space="0" w:color="auto"/>
        <w:right w:val="none" w:sz="0" w:space="0" w:color="auto"/>
      </w:divBdr>
    </w:div>
    <w:div w:id="507141826">
      <w:bodyDiv w:val="1"/>
      <w:marLeft w:val="0"/>
      <w:marRight w:val="0"/>
      <w:marTop w:val="0"/>
      <w:marBottom w:val="0"/>
      <w:divBdr>
        <w:top w:val="none" w:sz="0" w:space="0" w:color="auto"/>
        <w:left w:val="none" w:sz="0" w:space="0" w:color="auto"/>
        <w:bottom w:val="none" w:sz="0" w:space="0" w:color="auto"/>
        <w:right w:val="none" w:sz="0" w:space="0" w:color="auto"/>
      </w:divBdr>
    </w:div>
    <w:div w:id="532840033">
      <w:bodyDiv w:val="1"/>
      <w:marLeft w:val="0"/>
      <w:marRight w:val="0"/>
      <w:marTop w:val="0"/>
      <w:marBottom w:val="0"/>
      <w:divBdr>
        <w:top w:val="none" w:sz="0" w:space="0" w:color="auto"/>
        <w:left w:val="none" w:sz="0" w:space="0" w:color="auto"/>
        <w:bottom w:val="none" w:sz="0" w:space="0" w:color="auto"/>
        <w:right w:val="none" w:sz="0" w:space="0" w:color="auto"/>
      </w:divBdr>
    </w:div>
    <w:div w:id="538785937">
      <w:bodyDiv w:val="1"/>
      <w:marLeft w:val="0"/>
      <w:marRight w:val="0"/>
      <w:marTop w:val="0"/>
      <w:marBottom w:val="0"/>
      <w:divBdr>
        <w:top w:val="none" w:sz="0" w:space="0" w:color="auto"/>
        <w:left w:val="none" w:sz="0" w:space="0" w:color="auto"/>
        <w:bottom w:val="none" w:sz="0" w:space="0" w:color="auto"/>
        <w:right w:val="none" w:sz="0" w:space="0" w:color="auto"/>
      </w:divBdr>
    </w:div>
    <w:div w:id="544147463">
      <w:bodyDiv w:val="1"/>
      <w:marLeft w:val="0"/>
      <w:marRight w:val="0"/>
      <w:marTop w:val="0"/>
      <w:marBottom w:val="0"/>
      <w:divBdr>
        <w:top w:val="none" w:sz="0" w:space="0" w:color="auto"/>
        <w:left w:val="none" w:sz="0" w:space="0" w:color="auto"/>
        <w:bottom w:val="none" w:sz="0" w:space="0" w:color="auto"/>
        <w:right w:val="none" w:sz="0" w:space="0" w:color="auto"/>
      </w:divBdr>
    </w:div>
    <w:div w:id="646711006">
      <w:bodyDiv w:val="1"/>
      <w:marLeft w:val="0"/>
      <w:marRight w:val="0"/>
      <w:marTop w:val="0"/>
      <w:marBottom w:val="0"/>
      <w:divBdr>
        <w:top w:val="none" w:sz="0" w:space="0" w:color="auto"/>
        <w:left w:val="none" w:sz="0" w:space="0" w:color="auto"/>
        <w:bottom w:val="none" w:sz="0" w:space="0" w:color="auto"/>
        <w:right w:val="none" w:sz="0" w:space="0" w:color="auto"/>
      </w:divBdr>
    </w:div>
    <w:div w:id="650477406">
      <w:bodyDiv w:val="1"/>
      <w:marLeft w:val="0"/>
      <w:marRight w:val="0"/>
      <w:marTop w:val="0"/>
      <w:marBottom w:val="0"/>
      <w:divBdr>
        <w:top w:val="none" w:sz="0" w:space="0" w:color="auto"/>
        <w:left w:val="none" w:sz="0" w:space="0" w:color="auto"/>
        <w:bottom w:val="none" w:sz="0" w:space="0" w:color="auto"/>
        <w:right w:val="none" w:sz="0" w:space="0" w:color="auto"/>
      </w:divBdr>
    </w:div>
    <w:div w:id="689334829">
      <w:bodyDiv w:val="1"/>
      <w:marLeft w:val="0"/>
      <w:marRight w:val="0"/>
      <w:marTop w:val="0"/>
      <w:marBottom w:val="0"/>
      <w:divBdr>
        <w:top w:val="none" w:sz="0" w:space="0" w:color="auto"/>
        <w:left w:val="none" w:sz="0" w:space="0" w:color="auto"/>
        <w:bottom w:val="none" w:sz="0" w:space="0" w:color="auto"/>
        <w:right w:val="none" w:sz="0" w:space="0" w:color="auto"/>
      </w:divBdr>
    </w:div>
    <w:div w:id="695816778">
      <w:bodyDiv w:val="1"/>
      <w:marLeft w:val="0"/>
      <w:marRight w:val="0"/>
      <w:marTop w:val="0"/>
      <w:marBottom w:val="0"/>
      <w:divBdr>
        <w:top w:val="none" w:sz="0" w:space="0" w:color="auto"/>
        <w:left w:val="none" w:sz="0" w:space="0" w:color="auto"/>
        <w:bottom w:val="none" w:sz="0" w:space="0" w:color="auto"/>
        <w:right w:val="none" w:sz="0" w:space="0" w:color="auto"/>
      </w:divBdr>
    </w:div>
    <w:div w:id="699865416">
      <w:bodyDiv w:val="1"/>
      <w:marLeft w:val="0"/>
      <w:marRight w:val="0"/>
      <w:marTop w:val="0"/>
      <w:marBottom w:val="0"/>
      <w:divBdr>
        <w:top w:val="none" w:sz="0" w:space="0" w:color="auto"/>
        <w:left w:val="none" w:sz="0" w:space="0" w:color="auto"/>
        <w:bottom w:val="none" w:sz="0" w:space="0" w:color="auto"/>
        <w:right w:val="none" w:sz="0" w:space="0" w:color="auto"/>
      </w:divBdr>
    </w:div>
    <w:div w:id="716393183">
      <w:bodyDiv w:val="1"/>
      <w:marLeft w:val="0"/>
      <w:marRight w:val="0"/>
      <w:marTop w:val="0"/>
      <w:marBottom w:val="0"/>
      <w:divBdr>
        <w:top w:val="none" w:sz="0" w:space="0" w:color="auto"/>
        <w:left w:val="none" w:sz="0" w:space="0" w:color="auto"/>
        <w:bottom w:val="none" w:sz="0" w:space="0" w:color="auto"/>
        <w:right w:val="none" w:sz="0" w:space="0" w:color="auto"/>
      </w:divBdr>
    </w:div>
    <w:div w:id="724063468">
      <w:bodyDiv w:val="1"/>
      <w:marLeft w:val="0"/>
      <w:marRight w:val="0"/>
      <w:marTop w:val="0"/>
      <w:marBottom w:val="0"/>
      <w:divBdr>
        <w:top w:val="none" w:sz="0" w:space="0" w:color="auto"/>
        <w:left w:val="none" w:sz="0" w:space="0" w:color="auto"/>
        <w:bottom w:val="none" w:sz="0" w:space="0" w:color="auto"/>
        <w:right w:val="none" w:sz="0" w:space="0" w:color="auto"/>
      </w:divBdr>
    </w:div>
    <w:div w:id="765537275">
      <w:bodyDiv w:val="1"/>
      <w:marLeft w:val="0"/>
      <w:marRight w:val="0"/>
      <w:marTop w:val="0"/>
      <w:marBottom w:val="0"/>
      <w:divBdr>
        <w:top w:val="none" w:sz="0" w:space="0" w:color="auto"/>
        <w:left w:val="none" w:sz="0" w:space="0" w:color="auto"/>
        <w:bottom w:val="none" w:sz="0" w:space="0" w:color="auto"/>
        <w:right w:val="none" w:sz="0" w:space="0" w:color="auto"/>
      </w:divBdr>
    </w:div>
    <w:div w:id="794257601">
      <w:bodyDiv w:val="1"/>
      <w:marLeft w:val="0"/>
      <w:marRight w:val="0"/>
      <w:marTop w:val="0"/>
      <w:marBottom w:val="0"/>
      <w:divBdr>
        <w:top w:val="none" w:sz="0" w:space="0" w:color="auto"/>
        <w:left w:val="none" w:sz="0" w:space="0" w:color="auto"/>
        <w:bottom w:val="none" w:sz="0" w:space="0" w:color="auto"/>
        <w:right w:val="none" w:sz="0" w:space="0" w:color="auto"/>
      </w:divBdr>
    </w:div>
    <w:div w:id="840587742">
      <w:bodyDiv w:val="1"/>
      <w:marLeft w:val="0"/>
      <w:marRight w:val="0"/>
      <w:marTop w:val="0"/>
      <w:marBottom w:val="0"/>
      <w:divBdr>
        <w:top w:val="none" w:sz="0" w:space="0" w:color="auto"/>
        <w:left w:val="none" w:sz="0" w:space="0" w:color="auto"/>
        <w:bottom w:val="none" w:sz="0" w:space="0" w:color="auto"/>
        <w:right w:val="none" w:sz="0" w:space="0" w:color="auto"/>
      </w:divBdr>
    </w:div>
    <w:div w:id="866210893">
      <w:bodyDiv w:val="1"/>
      <w:marLeft w:val="0"/>
      <w:marRight w:val="0"/>
      <w:marTop w:val="0"/>
      <w:marBottom w:val="0"/>
      <w:divBdr>
        <w:top w:val="none" w:sz="0" w:space="0" w:color="auto"/>
        <w:left w:val="none" w:sz="0" w:space="0" w:color="auto"/>
        <w:bottom w:val="none" w:sz="0" w:space="0" w:color="auto"/>
        <w:right w:val="none" w:sz="0" w:space="0" w:color="auto"/>
      </w:divBdr>
    </w:div>
    <w:div w:id="885918028">
      <w:bodyDiv w:val="1"/>
      <w:marLeft w:val="0"/>
      <w:marRight w:val="0"/>
      <w:marTop w:val="0"/>
      <w:marBottom w:val="0"/>
      <w:divBdr>
        <w:top w:val="none" w:sz="0" w:space="0" w:color="auto"/>
        <w:left w:val="none" w:sz="0" w:space="0" w:color="auto"/>
        <w:bottom w:val="none" w:sz="0" w:space="0" w:color="auto"/>
        <w:right w:val="none" w:sz="0" w:space="0" w:color="auto"/>
      </w:divBdr>
    </w:div>
    <w:div w:id="938834001">
      <w:bodyDiv w:val="1"/>
      <w:marLeft w:val="0"/>
      <w:marRight w:val="0"/>
      <w:marTop w:val="0"/>
      <w:marBottom w:val="0"/>
      <w:divBdr>
        <w:top w:val="none" w:sz="0" w:space="0" w:color="auto"/>
        <w:left w:val="none" w:sz="0" w:space="0" w:color="auto"/>
        <w:bottom w:val="none" w:sz="0" w:space="0" w:color="auto"/>
        <w:right w:val="none" w:sz="0" w:space="0" w:color="auto"/>
      </w:divBdr>
    </w:div>
    <w:div w:id="1038436813">
      <w:bodyDiv w:val="1"/>
      <w:marLeft w:val="0"/>
      <w:marRight w:val="0"/>
      <w:marTop w:val="0"/>
      <w:marBottom w:val="0"/>
      <w:divBdr>
        <w:top w:val="none" w:sz="0" w:space="0" w:color="auto"/>
        <w:left w:val="none" w:sz="0" w:space="0" w:color="auto"/>
        <w:bottom w:val="none" w:sz="0" w:space="0" w:color="auto"/>
        <w:right w:val="none" w:sz="0" w:space="0" w:color="auto"/>
      </w:divBdr>
    </w:div>
    <w:div w:id="1061296965">
      <w:bodyDiv w:val="1"/>
      <w:marLeft w:val="0"/>
      <w:marRight w:val="0"/>
      <w:marTop w:val="0"/>
      <w:marBottom w:val="0"/>
      <w:divBdr>
        <w:top w:val="none" w:sz="0" w:space="0" w:color="auto"/>
        <w:left w:val="none" w:sz="0" w:space="0" w:color="auto"/>
        <w:bottom w:val="none" w:sz="0" w:space="0" w:color="auto"/>
        <w:right w:val="none" w:sz="0" w:space="0" w:color="auto"/>
      </w:divBdr>
    </w:div>
    <w:div w:id="1139691447">
      <w:bodyDiv w:val="1"/>
      <w:marLeft w:val="0"/>
      <w:marRight w:val="0"/>
      <w:marTop w:val="0"/>
      <w:marBottom w:val="0"/>
      <w:divBdr>
        <w:top w:val="none" w:sz="0" w:space="0" w:color="auto"/>
        <w:left w:val="none" w:sz="0" w:space="0" w:color="auto"/>
        <w:bottom w:val="none" w:sz="0" w:space="0" w:color="auto"/>
        <w:right w:val="none" w:sz="0" w:space="0" w:color="auto"/>
      </w:divBdr>
    </w:div>
    <w:div w:id="1266959821">
      <w:bodyDiv w:val="1"/>
      <w:marLeft w:val="0"/>
      <w:marRight w:val="0"/>
      <w:marTop w:val="0"/>
      <w:marBottom w:val="0"/>
      <w:divBdr>
        <w:top w:val="none" w:sz="0" w:space="0" w:color="auto"/>
        <w:left w:val="none" w:sz="0" w:space="0" w:color="auto"/>
        <w:bottom w:val="none" w:sz="0" w:space="0" w:color="auto"/>
        <w:right w:val="none" w:sz="0" w:space="0" w:color="auto"/>
      </w:divBdr>
    </w:div>
    <w:div w:id="1274706683">
      <w:bodyDiv w:val="1"/>
      <w:marLeft w:val="0"/>
      <w:marRight w:val="0"/>
      <w:marTop w:val="0"/>
      <w:marBottom w:val="0"/>
      <w:divBdr>
        <w:top w:val="none" w:sz="0" w:space="0" w:color="auto"/>
        <w:left w:val="none" w:sz="0" w:space="0" w:color="auto"/>
        <w:bottom w:val="none" w:sz="0" w:space="0" w:color="auto"/>
        <w:right w:val="none" w:sz="0" w:space="0" w:color="auto"/>
      </w:divBdr>
    </w:div>
    <w:div w:id="1317227315">
      <w:bodyDiv w:val="1"/>
      <w:marLeft w:val="0"/>
      <w:marRight w:val="0"/>
      <w:marTop w:val="0"/>
      <w:marBottom w:val="0"/>
      <w:divBdr>
        <w:top w:val="none" w:sz="0" w:space="0" w:color="auto"/>
        <w:left w:val="none" w:sz="0" w:space="0" w:color="auto"/>
        <w:bottom w:val="none" w:sz="0" w:space="0" w:color="auto"/>
        <w:right w:val="none" w:sz="0" w:space="0" w:color="auto"/>
      </w:divBdr>
    </w:div>
    <w:div w:id="1352759264">
      <w:bodyDiv w:val="1"/>
      <w:marLeft w:val="0"/>
      <w:marRight w:val="0"/>
      <w:marTop w:val="0"/>
      <w:marBottom w:val="0"/>
      <w:divBdr>
        <w:top w:val="none" w:sz="0" w:space="0" w:color="auto"/>
        <w:left w:val="none" w:sz="0" w:space="0" w:color="auto"/>
        <w:bottom w:val="none" w:sz="0" w:space="0" w:color="auto"/>
        <w:right w:val="none" w:sz="0" w:space="0" w:color="auto"/>
      </w:divBdr>
    </w:div>
    <w:div w:id="1466314504">
      <w:bodyDiv w:val="1"/>
      <w:marLeft w:val="0"/>
      <w:marRight w:val="0"/>
      <w:marTop w:val="0"/>
      <w:marBottom w:val="0"/>
      <w:divBdr>
        <w:top w:val="none" w:sz="0" w:space="0" w:color="auto"/>
        <w:left w:val="none" w:sz="0" w:space="0" w:color="auto"/>
        <w:bottom w:val="none" w:sz="0" w:space="0" w:color="auto"/>
        <w:right w:val="none" w:sz="0" w:space="0" w:color="auto"/>
      </w:divBdr>
    </w:div>
    <w:div w:id="1538078571">
      <w:bodyDiv w:val="1"/>
      <w:marLeft w:val="0"/>
      <w:marRight w:val="0"/>
      <w:marTop w:val="0"/>
      <w:marBottom w:val="0"/>
      <w:divBdr>
        <w:top w:val="none" w:sz="0" w:space="0" w:color="auto"/>
        <w:left w:val="none" w:sz="0" w:space="0" w:color="auto"/>
        <w:bottom w:val="none" w:sz="0" w:space="0" w:color="auto"/>
        <w:right w:val="none" w:sz="0" w:space="0" w:color="auto"/>
      </w:divBdr>
    </w:div>
    <w:div w:id="1609461422">
      <w:bodyDiv w:val="1"/>
      <w:marLeft w:val="0"/>
      <w:marRight w:val="0"/>
      <w:marTop w:val="0"/>
      <w:marBottom w:val="0"/>
      <w:divBdr>
        <w:top w:val="none" w:sz="0" w:space="0" w:color="auto"/>
        <w:left w:val="none" w:sz="0" w:space="0" w:color="auto"/>
        <w:bottom w:val="none" w:sz="0" w:space="0" w:color="auto"/>
        <w:right w:val="none" w:sz="0" w:space="0" w:color="auto"/>
      </w:divBdr>
    </w:div>
    <w:div w:id="1637684888">
      <w:bodyDiv w:val="1"/>
      <w:marLeft w:val="0"/>
      <w:marRight w:val="0"/>
      <w:marTop w:val="0"/>
      <w:marBottom w:val="0"/>
      <w:divBdr>
        <w:top w:val="none" w:sz="0" w:space="0" w:color="auto"/>
        <w:left w:val="none" w:sz="0" w:space="0" w:color="auto"/>
        <w:bottom w:val="none" w:sz="0" w:space="0" w:color="auto"/>
        <w:right w:val="none" w:sz="0" w:space="0" w:color="auto"/>
      </w:divBdr>
    </w:div>
    <w:div w:id="1736006930">
      <w:bodyDiv w:val="1"/>
      <w:marLeft w:val="0"/>
      <w:marRight w:val="0"/>
      <w:marTop w:val="0"/>
      <w:marBottom w:val="0"/>
      <w:divBdr>
        <w:top w:val="none" w:sz="0" w:space="0" w:color="auto"/>
        <w:left w:val="none" w:sz="0" w:space="0" w:color="auto"/>
        <w:bottom w:val="none" w:sz="0" w:space="0" w:color="auto"/>
        <w:right w:val="none" w:sz="0" w:space="0" w:color="auto"/>
      </w:divBdr>
    </w:div>
    <w:div w:id="1780711033">
      <w:bodyDiv w:val="1"/>
      <w:marLeft w:val="0"/>
      <w:marRight w:val="0"/>
      <w:marTop w:val="0"/>
      <w:marBottom w:val="0"/>
      <w:divBdr>
        <w:top w:val="none" w:sz="0" w:space="0" w:color="auto"/>
        <w:left w:val="none" w:sz="0" w:space="0" w:color="auto"/>
        <w:bottom w:val="none" w:sz="0" w:space="0" w:color="auto"/>
        <w:right w:val="none" w:sz="0" w:space="0" w:color="auto"/>
      </w:divBdr>
    </w:div>
    <w:div w:id="1820075688">
      <w:bodyDiv w:val="1"/>
      <w:marLeft w:val="0"/>
      <w:marRight w:val="0"/>
      <w:marTop w:val="0"/>
      <w:marBottom w:val="0"/>
      <w:divBdr>
        <w:top w:val="none" w:sz="0" w:space="0" w:color="auto"/>
        <w:left w:val="none" w:sz="0" w:space="0" w:color="auto"/>
        <w:bottom w:val="none" w:sz="0" w:space="0" w:color="auto"/>
        <w:right w:val="none" w:sz="0" w:space="0" w:color="auto"/>
      </w:divBdr>
    </w:div>
    <w:div w:id="1953172079">
      <w:bodyDiv w:val="1"/>
      <w:marLeft w:val="0"/>
      <w:marRight w:val="0"/>
      <w:marTop w:val="0"/>
      <w:marBottom w:val="0"/>
      <w:divBdr>
        <w:top w:val="none" w:sz="0" w:space="0" w:color="auto"/>
        <w:left w:val="none" w:sz="0" w:space="0" w:color="auto"/>
        <w:bottom w:val="none" w:sz="0" w:space="0" w:color="auto"/>
        <w:right w:val="none" w:sz="0" w:space="0" w:color="auto"/>
      </w:divBdr>
    </w:div>
    <w:div w:id="1957132225">
      <w:bodyDiv w:val="1"/>
      <w:marLeft w:val="0"/>
      <w:marRight w:val="0"/>
      <w:marTop w:val="0"/>
      <w:marBottom w:val="0"/>
      <w:divBdr>
        <w:top w:val="none" w:sz="0" w:space="0" w:color="auto"/>
        <w:left w:val="none" w:sz="0" w:space="0" w:color="auto"/>
        <w:bottom w:val="none" w:sz="0" w:space="0" w:color="auto"/>
        <w:right w:val="none" w:sz="0" w:space="0" w:color="auto"/>
      </w:divBdr>
    </w:div>
    <w:div w:id="2005469569">
      <w:bodyDiv w:val="1"/>
      <w:marLeft w:val="0"/>
      <w:marRight w:val="0"/>
      <w:marTop w:val="0"/>
      <w:marBottom w:val="0"/>
      <w:divBdr>
        <w:top w:val="none" w:sz="0" w:space="0" w:color="auto"/>
        <w:left w:val="none" w:sz="0" w:space="0" w:color="auto"/>
        <w:bottom w:val="none" w:sz="0" w:space="0" w:color="auto"/>
        <w:right w:val="none" w:sz="0" w:space="0" w:color="auto"/>
      </w:divBdr>
    </w:div>
    <w:div w:id="2005544729">
      <w:bodyDiv w:val="1"/>
      <w:marLeft w:val="0"/>
      <w:marRight w:val="0"/>
      <w:marTop w:val="0"/>
      <w:marBottom w:val="0"/>
      <w:divBdr>
        <w:top w:val="none" w:sz="0" w:space="0" w:color="auto"/>
        <w:left w:val="none" w:sz="0" w:space="0" w:color="auto"/>
        <w:bottom w:val="none" w:sz="0" w:space="0" w:color="auto"/>
        <w:right w:val="none" w:sz="0" w:space="0" w:color="auto"/>
      </w:divBdr>
    </w:div>
    <w:div w:id="2030911844">
      <w:bodyDiv w:val="1"/>
      <w:marLeft w:val="0"/>
      <w:marRight w:val="0"/>
      <w:marTop w:val="0"/>
      <w:marBottom w:val="0"/>
      <w:divBdr>
        <w:top w:val="none" w:sz="0" w:space="0" w:color="auto"/>
        <w:left w:val="none" w:sz="0" w:space="0" w:color="auto"/>
        <w:bottom w:val="none" w:sz="0" w:space="0" w:color="auto"/>
        <w:right w:val="none" w:sz="0" w:space="0" w:color="auto"/>
      </w:divBdr>
    </w:div>
    <w:div w:id="211262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chart" Target="charts/chart7.xm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trust.salesloft.com/?uid=Drift%2FSalesforce+Security+Notification" TargetMode="Externa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6.xm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ovic.vic.gov.au/regulatory-action/report-on-the-privacy-impacts-of-greater-western-waters-migration-to-a-new-billing-and-payment-system/" TargetMode="External"/><Relationship Id="rId20" Type="http://schemas.openxmlformats.org/officeDocument/2006/relationships/chart" Target="charts/chart8.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hyperlink" Target="mailto:security@ovic.vic.gov.au" TargetMode="External"/><Relationship Id="rId32"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hyperlink" Target="https://ovic.vic.gov.au/information-security/agency-reporting-obligations/" TargetMode="External"/><Relationship Id="rId28"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hyperlink" Target="https://trust.salesloft.com/?uid=Drift%2FSalesforce+Security+Notification"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ovic.vic.gov.au/wp-content/uploads/2025/10/20250808-Incident-Insights-Report-Jan-Jun-2025.pdf" TargetMode="External"/><Relationship Id="rId14" Type="http://schemas.openxmlformats.org/officeDocument/2006/relationships/hyperlink" Target="https://www.miragenews.com/australia-post-addresses-mail-theft-at-1501629/" TargetMode="External"/><Relationship Id="rId22" Type="http://schemas.openxmlformats.org/officeDocument/2006/relationships/chart" Target="charts/chart9.xm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ovic.vic.gov.au/data-protection/victorian-protective-data-security-framework-business-impact-level-table-v2-1/"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v>
                </c:pt>
              </c:strCache>
            </c:strRef>
          </c:tx>
          <c:spPr>
            <a:solidFill>
              <a:schemeClr val="accent1"/>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Sheet1!$A$2:$A$13</c:f>
              <c:numCache>
                <c:formatCode>mmm\-yy</c:formatCode>
                <c:ptCount val="12"/>
                <c:pt idx="0">
                  <c:v>45839</c:v>
                </c:pt>
                <c:pt idx="1">
                  <c:v>45870</c:v>
                </c:pt>
                <c:pt idx="2">
                  <c:v>45901</c:v>
                </c:pt>
                <c:pt idx="3">
                  <c:v>45931</c:v>
                </c:pt>
                <c:pt idx="4">
                  <c:v>45962</c:v>
                </c:pt>
                <c:pt idx="5">
                  <c:v>45992</c:v>
                </c:pt>
                <c:pt idx="6">
                  <c:v>46023</c:v>
                </c:pt>
                <c:pt idx="7">
                  <c:v>46054</c:v>
                </c:pt>
                <c:pt idx="8">
                  <c:v>46082</c:v>
                </c:pt>
                <c:pt idx="9">
                  <c:v>46113</c:v>
                </c:pt>
                <c:pt idx="10">
                  <c:v>46143</c:v>
                </c:pt>
                <c:pt idx="11">
                  <c:v>46174</c:v>
                </c:pt>
              </c:numCache>
            </c:numRef>
          </c:cat>
          <c:val>
            <c:numRef>
              <c:f>Sheet1!$B$2:$B$13</c:f>
              <c:numCache>
                <c:formatCode>General</c:formatCode>
                <c:ptCount val="12"/>
                <c:pt idx="0">
                  <c:v>128</c:v>
                </c:pt>
                <c:pt idx="1">
                  <c:v>122</c:v>
                </c:pt>
                <c:pt idx="2">
                  <c:v>64</c:v>
                </c:pt>
                <c:pt idx="3">
                  <c:v>85</c:v>
                </c:pt>
                <c:pt idx="4">
                  <c:v>45</c:v>
                </c:pt>
                <c:pt idx="5">
                  <c:v>85</c:v>
                </c:pt>
              </c:numCache>
            </c:numRef>
          </c:val>
          <c:extLst>
            <c:ext xmlns:c16="http://schemas.microsoft.com/office/drawing/2014/chart" uri="{C3380CC4-5D6E-409C-BE32-E72D297353CC}">
              <c16:uniqueId val="{00000000-5A9B-4102-8A0C-43E6A4A549A8}"/>
            </c:ext>
          </c:extLst>
        </c:ser>
        <c:dLbls>
          <c:showLegendKey val="0"/>
          <c:showVal val="0"/>
          <c:showCatName val="0"/>
          <c:showSerName val="0"/>
          <c:showPercent val="0"/>
          <c:showBubbleSize val="0"/>
        </c:dLbls>
        <c:gapWidth val="25"/>
        <c:axId val="1981913455"/>
        <c:axId val="1981915167"/>
      </c:barChart>
      <c:dateAx>
        <c:axId val="1981913455"/>
        <c:scaling>
          <c:orientation val="minMax"/>
        </c:scaling>
        <c:delete val="0"/>
        <c:axPos val="b"/>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1915167"/>
        <c:crosses val="autoZero"/>
        <c:auto val="1"/>
        <c:lblOffset val="100"/>
        <c:baseTimeUnit val="months"/>
      </c:dateAx>
      <c:valAx>
        <c:axId val="19819151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191345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Notifications by Portfolio</c:v>
                </c:pt>
              </c:strCache>
            </c:strRef>
          </c:tx>
          <c:spPr>
            <a:solidFill>
              <a:schemeClr val="accent1"/>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Government Services</c:v>
                </c:pt>
                <c:pt idx="1">
                  <c:v>Treasury and Finance</c:v>
                </c:pt>
                <c:pt idx="2">
                  <c:v>Premier and Cabinet</c:v>
                </c:pt>
                <c:pt idx="3">
                  <c:v>Justice and Community Safety</c:v>
                </c:pt>
                <c:pt idx="4">
                  <c:v>Health</c:v>
                </c:pt>
                <c:pt idx="5">
                  <c:v>Families, Fairness and Housing</c:v>
                </c:pt>
                <c:pt idx="6">
                  <c:v>Energy, Environment, and Climate Action</c:v>
                </c:pt>
                <c:pt idx="7">
                  <c:v>Transport and Planning</c:v>
                </c:pt>
                <c:pt idx="8">
                  <c:v>Jobs, Skills, Industry and Regions</c:v>
                </c:pt>
                <c:pt idx="9">
                  <c:v>Education</c:v>
                </c:pt>
                <c:pt idx="10">
                  <c:v>Local Government</c:v>
                </c:pt>
                <c:pt idx="11">
                  <c:v>Other</c:v>
                </c:pt>
              </c:strCache>
            </c:strRef>
          </c:cat>
          <c:val>
            <c:numRef>
              <c:f>Sheet1!$B$2:$B$13</c:f>
              <c:numCache>
                <c:formatCode>General</c:formatCode>
                <c:ptCount val="12"/>
                <c:pt idx="0">
                  <c:v>10</c:v>
                </c:pt>
                <c:pt idx="1">
                  <c:v>166</c:v>
                </c:pt>
                <c:pt idx="2">
                  <c:v>4</c:v>
                </c:pt>
                <c:pt idx="3">
                  <c:v>86</c:v>
                </c:pt>
                <c:pt idx="4">
                  <c:v>30</c:v>
                </c:pt>
                <c:pt idx="5">
                  <c:v>32</c:v>
                </c:pt>
                <c:pt idx="6">
                  <c:v>112</c:v>
                </c:pt>
                <c:pt idx="7">
                  <c:v>23</c:v>
                </c:pt>
                <c:pt idx="8">
                  <c:v>11</c:v>
                </c:pt>
                <c:pt idx="9">
                  <c:v>18</c:v>
                </c:pt>
                <c:pt idx="10">
                  <c:v>32</c:v>
                </c:pt>
                <c:pt idx="11">
                  <c:v>5</c:v>
                </c:pt>
              </c:numCache>
            </c:numRef>
          </c:val>
          <c:extLst>
            <c:ext xmlns:c16="http://schemas.microsoft.com/office/drawing/2014/chart" uri="{C3380CC4-5D6E-409C-BE32-E72D297353CC}">
              <c16:uniqueId val="{00000000-E5A2-554E-B5F0-9B6B2C972C5A}"/>
            </c:ext>
          </c:extLst>
        </c:ser>
        <c:dLbls>
          <c:showLegendKey val="0"/>
          <c:showVal val="0"/>
          <c:showCatName val="0"/>
          <c:showSerName val="0"/>
          <c:showPercent val="0"/>
          <c:showBubbleSize val="0"/>
        </c:dLbls>
        <c:gapWidth val="25"/>
        <c:axId val="1981913455"/>
        <c:axId val="1981915167"/>
      </c:barChart>
      <c:catAx>
        <c:axId val="19819134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1915167"/>
        <c:crosses val="autoZero"/>
        <c:auto val="1"/>
        <c:lblAlgn val="ctr"/>
        <c:lblOffset val="100"/>
        <c:noMultiLvlLbl val="0"/>
      </c:catAx>
      <c:valAx>
        <c:axId val="19819151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191345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8861029579005511E-4"/>
          <c:y val="7.1396882638434619E-2"/>
          <c:w val="0.4692189886167944"/>
          <c:h val="0.89205597469772369"/>
        </c:manualLayout>
      </c:layout>
      <c:doughnutChart>
        <c:varyColors val="1"/>
        <c:ser>
          <c:idx val="0"/>
          <c:order val="0"/>
          <c:tx>
            <c:strRef>
              <c:f>Sheet1!$B$1</c:f>
              <c:strCache>
                <c:ptCount val="1"/>
                <c:pt idx="0">
                  <c:v>Responses</c:v>
                </c:pt>
              </c:strCache>
            </c:strRef>
          </c:tx>
          <c:spPr>
            <a:ln>
              <a:noFill/>
            </a:ln>
          </c:spPr>
          <c:dPt>
            <c:idx val="0"/>
            <c:bubble3D val="0"/>
            <c:spPr>
              <a:solidFill>
                <a:schemeClr val="accent1"/>
              </a:solidFill>
              <a:ln w="19050">
                <a:noFill/>
              </a:ln>
              <a:effectLst/>
            </c:spPr>
            <c:extLst>
              <c:ext xmlns:c16="http://schemas.microsoft.com/office/drawing/2014/chart" uri="{C3380CC4-5D6E-409C-BE32-E72D297353CC}">
                <c16:uniqueId val="{00000001-7810-A040-AA27-FA14BF7FFA6F}"/>
              </c:ext>
            </c:extLst>
          </c:dPt>
          <c:dPt>
            <c:idx val="1"/>
            <c:bubble3D val="0"/>
            <c:spPr>
              <a:solidFill>
                <a:schemeClr val="accent2"/>
              </a:solidFill>
              <a:ln w="19050">
                <a:noFill/>
              </a:ln>
              <a:effectLst/>
            </c:spPr>
            <c:extLst>
              <c:ext xmlns:c16="http://schemas.microsoft.com/office/drawing/2014/chart" uri="{C3380CC4-5D6E-409C-BE32-E72D297353CC}">
                <c16:uniqueId val="{00000003-7810-A040-AA27-FA14BF7FFA6F}"/>
              </c:ext>
            </c:extLst>
          </c:dPt>
          <c:dPt>
            <c:idx val="2"/>
            <c:bubble3D val="0"/>
            <c:spPr>
              <a:solidFill>
                <a:schemeClr val="accent3"/>
              </a:solidFill>
              <a:ln w="19050">
                <a:noFill/>
              </a:ln>
              <a:effectLst/>
            </c:spPr>
            <c:extLst>
              <c:ext xmlns:c16="http://schemas.microsoft.com/office/drawing/2014/chart" uri="{C3380CC4-5D6E-409C-BE32-E72D297353CC}">
                <c16:uniqueId val="{00000005-7810-A040-AA27-FA14BF7FFA6F}"/>
              </c:ext>
            </c:extLst>
          </c:dPt>
          <c:dLbls>
            <c:dLbl>
              <c:idx val="2"/>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5-7810-A040-AA27-FA14BF7FFA6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Hard Copy</c:v>
                </c:pt>
                <c:pt idx="1">
                  <c:v>Electronic</c:v>
                </c:pt>
                <c:pt idx="2">
                  <c:v>Verbal</c:v>
                </c:pt>
              </c:strCache>
            </c:strRef>
          </c:cat>
          <c:val>
            <c:numRef>
              <c:f>Sheet1!$B$2:$B$4</c:f>
              <c:numCache>
                <c:formatCode>General</c:formatCode>
                <c:ptCount val="3"/>
                <c:pt idx="0">
                  <c:v>123</c:v>
                </c:pt>
                <c:pt idx="1">
                  <c:v>405</c:v>
                </c:pt>
                <c:pt idx="2">
                  <c:v>16</c:v>
                </c:pt>
              </c:numCache>
            </c:numRef>
          </c:val>
          <c:extLst>
            <c:ext xmlns:c16="http://schemas.microsoft.com/office/drawing/2014/chart" uri="{C3380CC4-5D6E-409C-BE32-E72D297353CC}">
              <c16:uniqueId val="{00000006-7810-A040-AA27-FA14BF7FFA6F}"/>
            </c:ext>
          </c:extLst>
        </c:ser>
        <c:dLbls>
          <c:showLegendKey val="0"/>
          <c:showVal val="1"/>
          <c:showCatName val="0"/>
          <c:showSerName val="0"/>
          <c:showPercent val="0"/>
          <c:showBubbleSize val="0"/>
          <c:showLeaderLines val="1"/>
        </c:dLbls>
        <c:firstSliceAng val="0"/>
        <c:holeSize val="50"/>
      </c:doughnutChart>
      <c:spPr>
        <a:noFill/>
        <a:ln>
          <a:noFill/>
        </a:ln>
        <a:effectLst/>
      </c:spPr>
    </c:plotArea>
    <c:legend>
      <c:legendPos val="r"/>
      <c:layout>
        <c:manualLayout>
          <c:xMode val="edge"/>
          <c:yMode val="edge"/>
          <c:x val="0.57163841498979295"/>
          <c:y val="0.32021684789401322"/>
          <c:w val="0.19225047389909594"/>
          <c:h val="0.28020122484689414"/>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Number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Personal</c:v>
                </c:pt>
                <c:pt idx="1">
                  <c:v>Financial</c:v>
                </c:pt>
                <c:pt idx="2">
                  <c:v>Legal</c:v>
                </c:pt>
                <c:pt idx="3">
                  <c:v>Health</c:v>
                </c:pt>
                <c:pt idx="4">
                  <c:v>Policy</c:v>
                </c:pt>
                <c:pt idx="5">
                  <c:v>Operational</c:v>
                </c:pt>
                <c:pt idx="6">
                  <c:v>Critical Infrastructure</c:v>
                </c:pt>
                <c:pt idx="7">
                  <c:v>Law enforcement</c:v>
                </c:pt>
                <c:pt idx="8">
                  <c:v>Crime Statistics Data</c:v>
                </c:pt>
                <c:pt idx="9">
                  <c:v>Other</c:v>
                </c:pt>
                <c:pt idx="10">
                  <c:v>Unknown</c:v>
                </c:pt>
              </c:strCache>
            </c:strRef>
          </c:cat>
          <c:val>
            <c:numRef>
              <c:f>Sheet1!$B$2:$B$12</c:f>
              <c:numCache>
                <c:formatCode>General</c:formatCode>
                <c:ptCount val="11"/>
                <c:pt idx="0">
                  <c:v>487</c:v>
                </c:pt>
                <c:pt idx="1">
                  <c:v>43</c:v>
                </c:pt>
                <c:pt idx="2">
                  <c:v>34</c:v>
                </c:pt>
                <c:pt idx="3">
                  <c:v>199</c:v>
                </c:pt>
                <c:pt idx="4">
                  <c:v>3</c:v>
                </c:pt>
                <c:pt idx="5">
                  <c:v>37</c:v>
                </c:pt>
                <c:pt idx="6">
                  <c:v>8</c:v>
                </c:pt>
                <c:pt idx="7">
                  <c:v>7</c:v>
                </c:pt>
                <c:pt idx="8">
                  <c:v>1</c:v>
                </c:pt>
                <c:pt idx="9">
                  <c:v>21</c:v>
                </c:pt>
                <c:pt idx="10">
                  <c:v>2</c:v>
                </c:pt>
              </c:numCache>
            </c:numRef>
          </c:val>
          <c:extLst>
            <c:ext xmlns:c16="http://schemas.microsoft.com/office/drawing/2014/chart" uri="{C3380CC4-5D6E-409C-BE32-E72D297353CC}">
              <c16:uniqueId val="{0000000A-1331-40A0-914D-82082A2A4237}"/>
            </c:ext>
          </c:extLst>
        </c:ser>
        <c:dLbls>
          <c:dLblPos val="outEnd"/>
          <c:showLegendKey val="0"/>
          <c:showVal val="1"/>
          <c:showCatName val="0"/>
          <c:showSerName val="0"/>
          <c:showPercent val="0"/>
          <c:showBubbleSize val="0"/>
        </c:dLbls>
        <c:gapWidth val="25"/>
        <c:axId val="1284541184"/>
        <c:axId val="1284542912"/>
      </c:barChart>
      <c:catAx>
        <c:axId val="1284541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4542912"/>
        <c:crosses val="autoZero"/>
        <c:auto val="1"/>
        <c:lblAlgn val="ctr"/>
        <c:lblOffset val="100"/>
        <c:noMultiLvlLbl val="0"/>
      </c:catAx>
      <c:valAx>
        <c:axId val="12845429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454118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117089530475428E-4"/>
          <c:y val="4.3650793650793648E-2"/>
          <c:w val="0.53240740740740744"/>
          <c:h val="0.91269841269841268"/>
        </c:manualLayout>
      </c:layout>
      <c:doughnutChart>
        <c:varyColors val="1"/>
        <c:ser>
          <c:idx val="0"/>
          <c:order val="0"/>
          <c:tx>
            <c:strRef>
              <c:f>Sheet1!$B$1</c:f>
              <c:strCache>
                <c:ptCount val="1"/>
                <c:pt idx="0">
                  <c:v>%</c:v>
                </c:pt>
              </c:strCache>
            </c:strRef>
          </c:tx>
          <c:spPr>
            <a:ln>
              <a:noFill/>
            </a:ln>
          </c:spPr>
          <c:dPt>
            <c:idx val="0"/>
            <c:bubble3D val="0"/>
            <c:spPr>
              <a:solidFill>
                <a:schemeClr val="accent1"/>
              </a:solidFill>
              <a:ln w="19050">
                <a:noFill/>
              </a:ln>
              <a:effectLst/>
            </c:spPr>
            <c:extLst>
              <c:ext xmlns:c16="http://schemas.microsoft.com/office/drawing/2014/chart" uri="{C3380CC4-5D6E-409C-BE32-E72D297353CC}">
                <c16:uniqueId val="{00000001-B5A1-FA4E-B249-F35CF5F1A499}"/>
              </c:ext>
            </c:extLst>
          </c:dPt>
          <c:dPt>
            <c:idx val="1"/>
            <c:bubble3D val="0"/>
            <c:spPr>
              <a:solidFill>
                <a:schemeClr val="accent2"/>
              </a:solidFill>
              <a:ln w="19050">
                <a:noFill/>
              </a:ln>
              <a:effectLst/>
            </c:spPr>
            <c:extLst>
              <c:ext xmlns:c16="http://schemas.microsoft.com/office/drawing/2014/chart" uri="{C3380CC4-5D6E-409C-BE32-E72D297353CC}">
                <c16:uniqueId val="{00000003-B5A1-FA4E-B249-F35CF5F1A499}"/>
              </c:ext>
            </c:extLst>
          </c:dPt>
          <c:dPt>
            <c:idx val="2"/>
            <c:bubble3D val="0"/>
            <c:spPr>
              <a:solidFill>
                <a:schemeClr val="accent3"/>
              </a:solidFill>
              <a:ln w="19050">
                <a:noFill/>
              </a:ln>
              <a:effectLst/>
            </c:spPr>
            <c:extLst>
              <c:ext xmlns:c16="http://schemas.microsoft.com/office/drawing/2014/chart" uri="{C3380CC4-5D6E-409C-BE32-E72D297353CC}">
                <c16:uniqueId val="{00000005-B5A1-FA4E-B249-F35CF5F1A499}"/>
              </c:ext>
            </c:extLst>
          </c:dPt>
          <c:dPt>
            <c:idx val="3"/>
            <c:bubble3D val="0"/>
            <c:spPr>
              <a:solidFill>
                <a:schemeClr val="accent4"/>
              </a:solidFill>
              <a:ln w="19050">
                <a:noFill/>
              </a:ln>
              <a:effectLst/>
            </c:spPr>
            <c:extLst>
              <c:ext xmlns:c16="http://schemas.microsoft.com/office/drawing/2014/chart" uri="{C3380CC4-5D6E-409C-BE32-E72D297353CC}">
                <c16:uniqueId val="{00000007-B5A1-FA4E-B249-F35CF5F1A499}"/>
              </c:ext>
            </c:extLst>
          </c:dPt>
          <c:dLbls>
            <c:dLbl>
              <c:idx val="2"/>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5-B5A1-FA4E-B249-F35CF5F1A499}"/>
                </c:ext>
              </c:extLst>
            </c:dLbl>
            <c:dLbl>
              <c:idx val="3"/>
              <c:layout>
                <c:manualLayout>
                  <c:x val="0"/>
                  <c:y val="-0.12600477949163588"/>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5A1-FA4E-B249-F35CF5F1A49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Minor</c:v>
                </c:pt>
                <c:pt idx="1">
                  <c:v>Limited</c:v>
                </c:pt>
                <c:pt idx="2">
                  <c:v>Major</c:v>
                </c:pt>
                <c:pt idx="3">
                  <c:v>Serious</c:v>
                </c:pt>
              </c:strCache>
            </c:strRef>
          </c:cat>
          <c:val>
            <c:numRef>
              <c:f>Sheet1!$B$2:$B$5</c:f>
              <c:numCache>
                <c:formatCode>0%</c:formatCode>
                <c:ptCount val="4"/>
                <c:pt idx="0">
                  <c:v>0.23</c:v>
                </c:pt>
                <c:pt idx="1">
                  <c:v>0.69</c:v>
                </c:pt>
                <c:pt idx="2">
                  <c:v>0.08</c:v>
                </c:pt>
                <c:pt idx="3">
                  <c:v>0</c:v>
                </c:pt>
              </c:numCache>
            </c:numRef>
          </c:val>
          <c:extLst>
            <c:ext xmlns:c16="http://schemas.microsoft.com/office/drawing/2014/chart" uri="{C3380CC4-5D6E-409C-BE32-E72D297353CC}">
              <c16:uniqueId val="{00000008-B5A1-FA4E-B249-F35CF5F1A499}"/>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r"/>
      <c:layout>
        <c:manualLayout>
          <c:xMode val="edge"/>
          <c:yMode val="edge"/>
          <c:x val="0.64302730387868179"/>
          <c:y val="0.32245844269466317"/>
          <c:w val="0.15789862204724409"/>
          <c:h val="0.35905136857892761"/>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Number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Confidentiality</c:v>
                </c:pt>
                <c:pt idx="1">
                  <c:v>Integrity</c:v>
                </c:pt>
                <c:pt idx="2">
                  <c:v>Availability</c:v>
                </c:pt>
              </c:strCache>
            </c:strRef>
          </c:cat>
          <c:val>
            <c:numRef>
              <c:f>Sheet1!$B$2:$B$4</c:f>
              <c:numCache>
                <c:formatCode>General</c:formatCode>
                <c:ptCount val="3"/>
                <c:pt idx="0">
                  <c:v>513</c:v>
                </c:pt>
                <c:pt idx="1">
                  <c:v>128</c:v>
                </c:pt>
                <c:pt idx="2">
                  <c:v>31</c:v>
                </c:pt>
              </c:numCache>
            </c:numRef>
          </c:val>
          <c:extLst>
            <c:ext xmlns:c16="http://schemas.microsoft.com/office/drawing/2014/chart" uri="{C3380CC4-5D6E-409C-BE32-E72D297353CC}">
              <c16:uniqueId val="{00000000-E8AC-594D-AFAA-ACF1366BD445}"/>
            </c:ext>
          </c:extLst>
        </c:ser>
        <c:dLbls>
          <c:showLegendKey val="0"/>
          <c:showVal val="0"/>
          <c:showCatName val="0"/>
          <c:showSerName val="0"/>
          <c:showPercent val="0"/>
          <c:showBubbleSize val="0"/>
        </c:dLbls>
        <c:gapWidth val="25"/>
        <c:axId val="917686288"/>
        <c:axId val="917689072"/>
      </c:barChart>
      <c:catAx>
        <c:axId val="917686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7689072"/>
        <c:crosses val="autoZero"/>
        <c:auto val="1"/>
        <c:lblAlgn val="ctr"/>
        <c:lblOffset val="100"/>
        <c:noMultiLvlLbl val="0"/>
      </c:catAx>
      <c:valAx>
        <c:axId val="917689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768628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Respondent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People</c:v>
                </c:pt>
                <c:pt idx="1">
                  <c:v>Process</c:v>
                </c:pt>
                <c:pt idx="2">
                  <c:v>Technology</c:v>
                </c:pt>
                <c:pt idx="3">
                  <c:v>No control in place</c:v>
                </c:pt>
                <c:pt idx="4">
                  <c:v>Unknown</c:v>
                </c:pt>
              </c:strCache>
            </c:strRef>
          </c:cat>
          <c:val>
            <c:numRef>
              <c:f>Sheet1!$B$2:$B$6</c:f>
              <c:numCache>
                <c:formatCode>General</c:formatCode>
                <c:ptCount val="5"/>
                <c:pt idx="0">
                  <c:v>445</c:v>
                </c:pt>
                <c:pt idx="1">
                  <c:v>119</c:v>
                </c:pt>
                <c:pt idx="2">
                  <c:v>82</c:v>
                </c:pt>
                <c:pt idx="3">
                  <c:v>12</c:v>
                </c:pt>
                <c:pt idx="4">
                  <c:v>2</c:v>
                </c:pt>
              </c:numCache>
            </c:numRef>
          </c:val>
          <c:extLst>
            <c:ext xmlns:c16="http://schemas.microsoft.com/office/drawing/2014/chart" uri="{C3380CC4-5D6E-409C-BE32-E72D297353CC}">
              <c16:uniqueId val="{00000000-4364-2847-AD86-4D92672739AA}"/>
            </c:ext>
          </c:extLst>
        </c:ser>
        <c:dLbls>
          <c:showLegendKey val="0"/>
          <c:showVal val="0"/>
          <c:showCatName val="0"/>
          <c:showSerName val="0"/>
          <c:showPercent val="0"/>
          <c:showBubbleSize val="0"/>
        </c:dLbls>
        <c:gapWidth val="25"/>
        <c:axId val="917621152"/>
        <c:axId val="917763344"/>
      </c:barChart>
      <c:catAx>
        <c:axId val="917621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7763344"/>
        <c:crosses val="autoZero"/>
        <c:auto val="1"/>
        <c:lblAlgn val="ctr"/>
        <c:lblOffset val="100"/>
        <c:noMultiLvlLbl val="0"/>
      </c:catAx>
      <c:valAx>
        <c:axId val="917763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762115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Respondent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Internal</c:v>
                </c:pt>
                <c:pt idx="1">
                  <c:v>Authorised third party</c:v>
                </c:pt>
                <c:pt idx="2">
                  <c:v>Other External</c:v>
                </c:pt>
                <c:pt idx="3">
                  <c:v>Other / Unknown</c:v>
                </c:pt>
              </c:strCache>
            </c:strRef>
          </c:cat>
          <c:val>
            <c:numRef>
              <c:f>Sheet1!$B$2:$B$5</c:f>
              <c:numCache>
                <c:formatCode>General</c:formatCode>
                <c:ptCount val="4"/>
                <c:pt idx="0">
                  <c:v>464</c:v>
                </c:pt>
                <c:pt idx="1">
                  <c:v>43</c:v>
                </c:pt>
                <c:pt idx="2">
                  <c:v>24</c:v>
                </c:pt>
                <c:pt idx="3">
                  <c:v>10</c:v>
                </c:pt>
              </c:numCache>
            </c:numRef>
          </c:val>
          <c:extLst>
            <c:ext xmlns:c16="http://schemas.microsoft.com/office/drawing/2014/chart" uri="{C3380CC4-5D6E-409C-BE32-E72D297353CC}">
              <c16:uniqueId val="{00000000-0A0D-5244-8D60-E4C4A01592E0}"/>
            </c:ext>
          </c:extLst>
        </c:ser>
        <c:dLbls>
          <c:showLegendKey val="0"/>
          <c:showVal val="0"/>
          <c:showCatName val="0"/>
          <c:showSerName val="0"/>
          <c:showPercent val="0"/>
          <c:showBubbleSize val="0"/>
        </c:dLbls>
        <c:gapWidth val="25"/>
        <c:axId val="917883872"/>
        <c:axId val="917885584"/>
      </c:barChart>
      <c:catAx>
        <c:axId val="917883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7885584"/>
        <c:crosses val="autoZero"/>
        <c:auto val="1"/>
        <c:lblAlgn val="ctr"/>
        <c:lblOffset val="100"/>
        <c:noMultiLvlLbl val="0"/>
      </c:catAx>
      <c:valAx>
        <c:axId val="917885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788387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Respondent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Accidental / Error</c:v>
                </c:pt>
                <c:pt idx="1">
                  <c:v>Intentional / Malicious</c:v>
                </c:pt>
                <c:pt idx="2">
                  <c:v>Failure</c:v>
                </c:pt>
                <c:pt idx="3">
                  <c:v>Natural</c:v>
                </c:pt>
                <c:pt idx="4">
                  <c:v>Unknown</c:v>
                </c:pt>
              </c:strCache>
            </c:strRef>
          </c:cat>
          <c:val>
            <c:numRef>
              <c:f>Sheet1!$B$2:$B$6</c:f>
              <c:numCache>
                <c:formatCode>General</c:formatCode>
                <c:ptCount val="5"/>
                <c:pt idx="0">
                  <c:v>421</c:v>
                </c:pt>
                <c:pt idx="1">
                  <c:v>35</c:v>
                </c:pt>
                <c:pt idx="2">
                  <c:v>73</c:v>
                </c:pt>
                <c:pt idx="3">
                  <c:v>0</c:v>
                </c:pt>
                <c:pt idx="4">
                  <c:v>7</c:v>
                </c:pt>
              </c:numCache>
            </c:numRef>
          </c:val>
          <c:extLst>
            <c:ext xmlns:c16="http://schemas.microsoft.com/office/drawing/2014/chart" uri="{C3380CC4-5D6E-409C-BE32-E72D297353CC}">
              <c16:uniqueId val="{00000000-6E16-0F44-8F63-88D1B119DD58}"/>
            </c:ext>
          </c:extLst>
        </c:ser>
        <c:dLbls>
          <c:showLegendKey val="0"/>
          <c:showVal val="0"/>
          <c:showCatName val="0"/>
          <c:showSerName val="0"/>
          <c:showPercent val="0"/>
          <c:showBubbleSize val="0"/>
        </c:dLbls>
        <c:gapWidth val="25"/>
        <c:axId val="856152096"/>
        <c:axId val="856153808"/>
      </c:barChart>
      <c:catAx>
        <c:axId val="856152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6153808"/>
        <c:crosses val="autoZero"/>
        <c:auto val="1"/>
        <c:lblAlgn val="ctr"/>
        <c:lblOffset val="100"/>
        <c:noMultiLvlLbl val="0"/>
      </c:catAx>
      <c:valAx>
        <c:axId val="856153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615209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0.13676</cdr:x>
      <cdr:y>0.46885</cdr:y>
    </cdr:from>
    <cdr:to>
      <cdr:x>0.32992</cdr:x>
      <cdr:y>0.63552</cdr:y>
    </cdr:to>
    <cdr:sp macro="" textlink="">
      <cdr:nvSpPr>
        <cdr:cNvPr id="2" name="Text Box 1"/>
        <cdr:cNvSpPr txBox="1"/>
      </cdr:nvSpPr>
      <cdr:spPr>
        <a:xfrm xmlns:a="http://schemas.openxmlformats.org/drawingml/2006/main">
          <a:off x="631325" y="1138479"/>
          <a:ext cx="891733" cy="40472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GB" sz="1100"/>
            <a:t>544</a:t>
          </a:r>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655736DC7A407081DE594DAB9BAB3B"/>
        <w:category>
          <w:name w:val="General"/>
          <w:gallery w:val="placeholder"/>
        </w:category>
        <w:types>
          <w:type w:val="bbPlcHdr"/>
        </w:types>
        <w:behaviors>
          <w:behavior w:val="content"/>
        </w:behaviors>
        <w:guid w:val="{88F26C70-6643-4D0C-BF69-4F98B1CA3E76}"/>
      </w:docPartPr>
      <w:docPartBody>
        <w:p w:rsidR="00B17D1B" w:rsidRDefault="00B17D1B">
          <w:pPr>
            <w:pStyle w:val="3F655736DC7A407081DE594DAB9BAB3B"/>
          </w:pPr>
          <w:r>
            <w:t>[Select Title options]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PostGrotesk-Book">
    <w:altName w:val="Times New Roman"/>
    <w:charset w:val="00"/>
    <w:family w:val="auto"/>
    <w:pitch w:val="variable"/>
    <w:sig w:usb0="00000001" w:usb1="500160FB" w:usb2="00000000" w:usb3="00000000" w:csb0="0000009B" w:csb1="00000000"/>
  </w:font>
  <w:font w:name="PostGrotesk-Medium">
    <w:altName w:val="Times New Roman"/>
    <w:charset w:val="00"/>
    <w:family w:val="auto"/>
    <w:pitch w:val="variable"/>
    <w:sig w:usb0="00000001" w:usb1="5001607B" w:usb2="00000000" w:usb3="00000000" w:csb0="00000193" w:csb1="00000000"/>
  </w:font>
  <w:font w:name="National-Book">
    <w:altName w:val="Times New Roman"/>
    <w:panose1 w:val="00000000000000000000"/>
    <w:charset w:val="4D"/>
    <w:family w:val="auto"/>
    <w:notTrueType/>
    <w:pitch w:val="variable"/>
    <w:sig w:usb0="A00000FF" w:usb1="5000207B" w:usb2="00000010" w:usb3="00000000" w:csb0="0000009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D1B"/>
    <w:rsid w:val="00014238"/>
    <w:rsid w:val="00032B8A"/>
    <w:rsid w:val="00062E20"/>
    <w:rsid w:val="00075628"/>
    <w:rsid w:val="00084ABC"/>
    <w:rsid w:val="000B4BD2"/>
    <w:rsid w:val="000B7A69"/>
    <w:rsid w:val="000E7418"/>
    <w:rsid w:val="00154C77"/>
    <w:rsid w:val="00171890"/>
    <w:rsid w:val="00176EE1"/>
    <w:rsid w:val="0018362D"/>
    <w:rsid w:val="001C5471"/>
    <w:rsid w:val="001D12EF"/>
    <w:rsid w:val="001E24A1"/>
    <w:rsid w:val="00201E39"/>
    <w:rsid w:val="002030FB"/>
    <w:rsid w:val="00220D0A"/>
    <w:rsid w:val="00233FE6"/>
    <w:rsid w:val="0024570C"/>
    <w:rsid w:val="002469B0"/>
    <w:rsid w:val="00246DC9"/>
    <w:rsid w:val="00270843"/>
    <w:rsid w:val="002770C5"/>
    <w:rsid w:val="002804CF"/>
    <w:rsid w:val="0028702C"/>
    <w:rsid w:val="00294EBB"/>
    <w:rsid w:val="002969F1"/>
    <w:rsid w:val="002C2D55"/>
    <w:rsid w:val="002D368D"/>
    <w:rsid w:val="002E6363"/>
    <w:rsid w:val="00311873"/>
    <w:rsid w:val="00323A4F"/>
    <w:rsid w:val="0032549D"/>
    <w:rsid w:val="00336D90"/>
    <w:rsid w:val="00353172"/>
    <w:rsid w:val="00357634"/>
    <w:rsid w:val="00407A7B"/>
    <w:rsid w:val="00411654"/>
    <w:rsid w:val="00417B8B"/>
    <w:rsid w:val="00435E09"/>
    <w:rsid w:val="0043780B"/>
    <w:rsid w:val="0044538C"/>
    <w:rsid w:val="00446666"/>
    <w:rsid w:val="004544CA"/>
    <w:rsid w:val="00493799"/>
    <w:rsid w:val="00494D56"/>
    <w:rsid w:val="004A1F8E"/>
    <w:rsid w:val="004A333E"/>
    <w:rsid w:val="004D1721"/>
    <w:rsid w:val="0050124F"/>
    <w:rsid w:val="005069C2"/>
    <w:rsid w:val="0051359B"/>
    <w:rsid w:val="00516E6C"/>
    <w:rsid w:val="00520DBE"/>
    <w:rsid w:val="005345D0"/>
    <w:rsid w:val="00565F29"/>
    <w:rsid w:val="0058547A"/>
    <w:rsid w:val="005977AC"/>
    <w:rsid w:val="005B2DC9"/>
    <w:rsid w:val="005B34A1"/>
    <w:rsid w:val="005B4118"/>
    <w:rsid w:val="005B6058"/>
    <w:rsid w:val="005D5A03"/>
    <w:rsid w:val="005E6DEB"/>
    <w:rsid w:val="00616268"/>
    <w:rsid w:val="0063324C"/>
    <w:rsid w:val="0064480D"/>
    <w:rsid w:val="006533E8"/>
    <w:rsid w:val="00653AE6"/>
    <w:rsid w:val="00654155"/>
    <w:rsid w:val="00654C3D"/>
    <w:rsid w:val="00656E57"/>
    <w:rsid w:val="00674159"/>
    <w:rsid w:val="006B090C"/>
    <w:rsid w:val="006C44DE"/>
    <w:rsid w:val="007333EA"/>
    <w:rsid w:val="00761EF5"/>
    <w:rsid w:val="007A0820"/>
    <w:rsid w:val="007D1482"/>
    <w:rsid w:val="007D55C4"/>
    <w:rsid w:val="00800443"/>
    <w:rsid w:val="00830718"/>
    <w:rsid w:val="0085364B"/>
    <w:rsid w:val="008573AC"/>
    <w:rsid w:val="00880353"/>
    <w:rsid w:val="008928A4"/>
    <w:rsid w:val="00896CBB"/>
    <w:rsid w:val="008B2D9C"/>
    <w:rsid w:val="008C213B"/>
    <w:rsid w:val="00901602"/>
    <w:rsid w:val="00920F7E"/>
    <w:rsid w:val="00923AEF"/>
    <w:rsid w:val="00930679"/>
    <w:rsid w:val="00940813"/>
    <w:rsid w:val="009432F9"/>
    <w:rsid w:val="00951622"/>
    <w:rsid w:val="009527E9"/>
    <w:rsid w:val="009536EB"/>
    <w:rsid w:val="00963AD8"/>
    <w:rsid w:val="00963B3B"/>
    <w:rsid w:val="009B6B19"/>
    <w:rsid w:val="009C2331"/>
    <w:rsid w:val="009F2101"/>
    <w:rsid w:val="00A22229"/>
    <w:rsid w:val="00A2403E"/>
    <w:rsid w:val="00A46229"/>
    <w:rsid w:val="00A46EBD"/>
    <w:rsid w:val="00A560B4"/>
    <w:rsid w:val="00A71426"/>
    <w:rsid w:val="00A7146A"/>
    <w:rsid w:val="00A95528"/>
    <w:rsid w:val="00AB3E88"/>
    <w:rsid w:val="00AE548F"/>
    <w:rsid w:val="00AF22FA"/>
    <w:rsid w:val="00B17D1B"/>
    <w:rsid w:val="00B32409"/>
    <w:rsid w:val="00BA49C0"/>
    <w:rsid w:val="00BB0F35"/>
    <w:rsid w:val="00BB31F0"/>
    <w:rsid w:val="00C12E55"/>
    <w:rsid w:val="00C164D0"/>
    <w:rsid w:val="00C46B6B"/>
    <w:rsid w:val="00C50637"/>
    <w:rsid w:val="00C5289D"/>
    <w:rsid w:val="00C86C00"/>
    <w:rsid w:val="00C952FF"/>
    <w:rsid w:val="00CC18E3"/>
    <w:rsid w:val="00CD14FD"/>
    <w:rsid w:val="00D12A24"/>
    <w:rsid w:val="00D454CF"/>
    <w:rsid w:val="00D57253"/>
    <w:rsid w:val="00D77BB5"/>
    <w:rsid w:val="00D936CA"/>
    <w:rsid w:val="00DA3600"/>
    <w:rsid w:val="00DA4B37"/>
    <w:rsid w:val="00DE5240"/>
    <w:rsid w:val="00E21F48"/>
    <w:rsid w:val="00E3157C"/>
    <w:rsid w:val="00E342AF"/>
    <w:rsid w:val="00E46ADD"/>
    <w:rsid w:val="00E5258F"/>
    <w:rsid w:val="00E67C2A"/>
    <w:rsid w:val="00E70426"/>
    <w:rsid w:val="00E9091D"/>
    <w:rsid w:val="00E93E7D"/>
    <w:rsid w:val="00E94E24"/>
    <w:rsid w:val="00ED2565"/>
    <w:rsid w:val="00EF3A51"/>
    <w:rsid w:val="00EF4324"/>
    <w:rsid w:val="00EF6C7B"/>
    <w:rsid w:val="00F02E53"/>
    <w:rsid w:val="00F3144A"/>
    <w:rsid w:val="00F31834"/>
    <w:rsid w:val="00F370AE"/>
    <w:rsid w:val="00F407BD"/>
    <w:rsid w:val="00F73CE9"/>
    <w:rsid w:val="00FA31AE"/>
    <w:rsid w:val="00FA42A6"/>
    <w:rsid w:val="00FC2944"/>
    <w:rsid w:val="00FD5C7B"/>
    <w:rsid w:val="00FF23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655736DC7A407081DE594DAB9BAB3B">
    <w:name w:val="3F655736DC7A407081DE594DAB9BAB3B"/>
  </w:style>
  <w:style w:type="character" w:styleId="PlaceholderText">
    <w:name w:val="Placeholder Text"/>
    <w:basedOn w:val="DefaultParagraphFont"/>
    <w:uiPriority w:val="99"/>
    <w:semiHidden/>
    <w:rsid w:val="002969F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VIC">
      <a:dk1>
        <a:sysClr val="windowText" lastClr="000000"/>
      </a:dk1>
      <a:lt1>
        <a:sysClr val="window" lastClr="FFFFFF"/>
      </a:lt1>
      <a:dk2>
        <a:srgbClr val="430098"/>
      </a:dk2>
      <a:lt2>
        <a:srgbClr val="FFFFFF"/>
      </a:lt2>
      <a:accent1>
        <a:srgbClr val="430098"/>
      </a:accent1>
      <a:accent2>
        <a:srgbClr val="EA3AB0"/>
      </a:accent2>
      <a:accent3>
        <a:srgbClr val="69E8FD"/>
      </a:accent3>
      <a:accent4>
        <a:srgbClr val="44A0F8"/>
      </a:accent4>
      <a:accent5>
        <a:srgbClr val="FAD94A"/>
      </a:accent5>
      <a:accent6>
        <a:srgbClr val="7F7F7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3347</Words>
  <Characters>19079</Characters>
  <DocSecurity>0</DocSecurity>
  <Lines>158</Lines>
  <Paragraphs>44</Paragraphs>
  <ScaleCrop>false</ScaleCrop>
  <Company/>
  <LinksUpToDate>false</LinksUpToDate>
  <CharactersWithSpaces>22382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2026-03-16T23:00:00Z</dcterms:created>
  <dcterms:modified xsi:type="dcterms:W3CDTF">2026-03-20T02:31:00Z</dcterms:modified>
</cp:coreProperties>
</file>