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
        <w:id w:val="-1876235593"/>
        <w:placeholder>
          <w:docPart w:val="EE9CD5CCAB944D599BBA73BEF3DD7E61"/>
        </w:placeholder>
        <w:dataBinding w:prefixMappings="xmlns:ns0='http://purl.org/dc/elements/1.1/' xmlns:ns1='http://schemas.openxmlformats.org/package/2006/metadata/core-properties' " w:xpath="/ns1:coreProperties[1]/ns0:title[1]" w:storeItemID="{6C3C8BC8-F283-45AE-878A-BAB7291924A1}"/>
        <w:text/>
      </w:sdtPr>
      <w:sdtContent>
        <w:p w14:paraId="0C3428AB" w14:textId="1A93C5D1" w:rsidR="00EA3594" w:rsidRDefault="00DA4FD1" w:rsidP="00EA3594">
          <w:pPr>
            <w:pStyle w:val="Title"/>
          </w:pPr>
          <w:r>
            <w:t>Fraud Policy and Procedures</w:t>
          </w:r>
        </w:p>
      </w:sdtContent>
    </w:sdt>
    <w:p w14:paraId="4808D3E1" w14:textId="621BE0F6" w:rsidR="00EA3594" w:rsidRPr="00E90548" w:rsidRDefault="00B65489" w:rsidP="00E90548">
      <w:pPr>
        <w:pStyle w:val="Subtitle"/>
      </w:pPr>
      <w:r>
        <w:t xml:space="preserve">Version </w:t>
      </w:r>
      <w:r w:rsidR="005D46C1">
        <w:t>4</w:t>
      </w:r>
      <w:r w:rsidR="00DA4FD1">
        <w:t>.0</w:t>
      </w:r>
    </w:p>
    <w:p w14:paraId="15B53B94" w14:textId="77777777" w:rsidR="00C8367B" w:rsidRDefault="00C8367B" w:rsidP="00A71387">
      <w:pPr>
        <w:pStyle w:val="Streamselectionholder"/>
      </w:pPr>
    </w:p>
    <w:p w14:paraId="64BB5243" w14:textId="77777777" w:rsidR="003D0865" w:rsidRDefault="003D0865">
      <w:pPr>
        <w:spacing w:before="0" w:after="160" w:line="259" w:lineRule="auto"/>
      </w:pPr>
      <w:r>
        <w:br w:type="page"/>
      </w:r>
      <w:r w:rsidR="004F284C" w:rsidRPr="00EA3594">
        <w:rPr>
          <w:noProof/>
        </w:rPr>
        <w:drawing>
          <wp:anchor distT="0" distB="0" distL="114300" distR="114300" simplePos="0" relativeHeight="251661312" behindDoc="1" locked="1" layoutInCell="1" allowOverlap="1" wp14:anchorId="3F0ECBBC" wp14:editId="35AAD060">
            <wp:simplePos x="0" y="0"/>
            <wp:positionH relativeFrom="margin">
              <wp:posOffset>-139700</wp:posOffset>
            </wp:positionH>
            <wp:positionV relativeFrom="page">
              <wp:posOffset>7429500</wp:posOffset>
            </wp:positionV>
            <wp:extent cx="6033135" cy="2033905"/>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033135" cy="2033905"/>
                    </a:xfrm>
                    <a:prstGeom prst="rect">
                      <a:avLst/>
                    </a:prstGeom>
                  </pic:spPr>
                </pic:pic>
              </a:graphicData>
            </a:graphic>
            <wp14:sizeRelH relativeFrom="margin">
              <wp14:pctWidth>0</wp14:pctWidth>
            </wp14:sizeRelH>
            <wp14:sizeRelV relativeFrom="margin">
              <wp14:pctHeight>0</wp14:pctHeight>
            </wp14:sizeRelV>
          </wp:anchor>
        </w:drawing>
      </w:r>
    </w:p>
    <w:p w14:paraId="014FC8B5" w14:textId="77777777" w:rsidR="009F5B49" w:rsidRDefault="00E17191" w:rsidP="008E0D6C">
      <w:pPr>
        <w:pStyle w:val="Heading1-noTOC"/>
      </w:pPr>
      <w:r>
        <w:lastRenderedPageBreak/>
        <w:t>Document details</w:t>
      </w:r>
    </w:p>
    <w:tbl>
      <w:tblPr>
        <w:tblStyle w:val="OVICDefaulttable"/>
        <w:tblW w:w="9327" w:type="dxa"/>
        <w:tblLook w:val="04A0" w:firstRow="1" w:lastRow="0" w:firstColumn="1" w:lastColumn="0" w:noHBand="0" w:noVBand="1"/>
      </w:tblPr>
      <w:tblGrid>
        <w:gridCol w:w="1957"/>
        <w:gridCol w:w="7370"/>
      </w:tblGrid>
      <w:tr w:rsidR="00AC59FD" w:rsidRPr="00735843" w14:paraId="644085E4" w14:textId="77777777" w:rsidTr="00B654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6CD37E99" w14:textId="77777777" w:rsidR="00AC59FD" w:rsidRDefault="00AC59FD" w:rsidP="00AC59FD">
            <w:pPr>
              <w:pStyle w:val="TableText"/>
            </w:pPr>
            <w:r>
              <w:t>Document details</w:t>
            </w:r>
          </w:p>
        </w:tc>
        <w:sdt>
          <w:sdtPr>
            <w:alias w:val="Title"/>
            <w:tag w:val=""/>
            <w:id w:val="-1105111884"/>
            <w:placeholder>
              <w:docPart w:val="AD834B2E6CEB43F6B82CADAF47211A39"/>
            </w:placeholder>
            <w:dataBinding w:prefixMappings="xmlns:ns0='http://purl.org/dc/elements/1.1/' xmlns:ns1='http://schemas.openxmlformats.org/package/2006/metadata/core-properties' " w:xpath="/ns1:coreProperties[1]/ns0:title[1]" w:storeItemID="{6C3C8BC8-F283-45AE-878A-BAB7291924A1}"/>
            <w:text/>
          </w:sdtPr>
          <w:sdtContent>
            <w:tc>
              <w:tcPr>
                <w:tcW w:w="7370" w:type="dxa"/>
              </w:tcPr>
              <w:p w14:paraId="08ACB24A" w14:textId="0957EAC4" w:rsidR="00AC59FD" w:rsidRPr="00735843" w:rsidRDefault="00923EAE" w:rsidP="00AC59FD">
                <w:pPr>
                  <w:pStyle w:val="TableText"/>
                  <w:cnfStyle w:val="100000000000" w:firstRow="1" w:lastRow="0" w:firstColumn="0" w:lastColumn="0" w:oddVBand="0" w:evenVBand="0" w:oddHBand="0" w:evenHBand="0" w:firstRowFirstColumn="0" w:firstRowLastColumn="0" w:lastRowFirstColumn="0" w:lastRowLastColumn="0"/>
                </w:pPr>
                <w:r>
                  <w:t>Fraud Policy and Procedures</w:t>
                </w:r>
              </w:p>
            </w:tc>
          </w:sdtContent>
        </w:sdt>
      </w:tr>
      <w:tr w:rsidR="00A53764" w:rsidRPr="00735843" w14:paraId="61ECB0D8" w14:textId="77777777" w:rsidTr="00B65489">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A5D60D6" w14:textId="77777777" w:rsidR="00A53764" w:rsidRPr="00F94D3F" w:rsidRDefault="00B65489" w:rsidP="00A53764">
            <w:pPr>
              <w:pStyle w:val="TableText"/>
              <w:rPr>
                <w:b w:val="0"/>
                <w:bCs/>
              </w:rPr>
            </w:pPr>
            <w:r>
              <w:rPr>
                <w:bCs/>
              </w:rPr>
              <w:t>Effective</w:t>
            </w:r>
            <w:r w:rsidR="00A53764" w:rsidRPr="00F94D3F">
              <w:rPr>
                <w:bCs/>
              </w:rPr>
              <w:t xml:space="preserve"> date</w:t>
            </w:r>
          </w:p>
        </w:tc>
        <w:sdt>
          <w:sdtPr>
            <w:id w:val="163825273"/>
            <w:placeholder>
              <w:docPart w:val="DDF4F15C20C142AD994900F468FB5548"/>
            </w:placeholder>
            <w15:appearance w15:val="hidden"/>
          </w:sdtPr>
          <w:sdtContent>
            <w:tc>
              <w:tcPr>
                <w:tcW w:w="7370" w:type="dxa"/>
              </w:tcPr>
              <w:p w14:paraId="0B589F87" w14:textId="3434144B" w:rsidR="00A53764" w:rsidRPr="00735843" w:rsidRDefault="00DA4FD1" w:rsidP="00A53764">
                <w:pPr>
                  <w:pStyle w:val="TableText"/>
                  <w:cnfStyle w:val="000000000000" w:firstRow="0" w:lastRow="0" w:firstColumn="0" w:lastColumn="0" w:oddVBand="0" w:evenVBand="0" w:oddHBand="0" w:evenHBand="0" w:firstRowFirstColumn="0" w:firstRowLastColumn="0" w:lastRowFirstColumn="0" w:lastRowLastColumn="0"/>
                </w:pPr>
                <w:r>
                  <w:t>18 April 2018</w:t>
                </w:r>
              </w:p>
            </w:tc>
          </w:sdtContent>
        </w:sdt>
      </w:tr>
      <w:tr w:rsidR="00AC59FD" w:rsidRPr="00735843" w14:paraId="196CC960" w14:textId="77777777" w:rsidTr="00B65489">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492E27" w14:textId="77777777" w:rsidR="00AC59FD" w:rsidRPr="00F94D3F" w:rsidRDefault="00382CB5" w:rsidP="00AC59FD">
            <w:pPr>
              <w:pStyle w:val="TableText"/>
              <w:rPr>
                <w:b w:val="0"/>
                <w:bCs/>
              </w:rPr>
            </w:pPr>
            <w:r>
              <w:rPr>
                <w:bCs/>
              </w:rPr>
              <w:t>Protective Marking</w:t>
            </w:r>
          </w:p>
        </w:tc>
        <w:sdt>
          <w:sdtPr>
            <w:id w:val="-544146715"/>
            <w:placeholder>
              <w:docPart w:val="F039AC6B630C4EAD87AB0F7806892C7A"/>
            </w:placeholder>
            <w15:appearance w15:val="hidden"/>
          </w:sdtPr>
          <w:sdtContent>
            <w:tc>
              <w:tcPr>
                <w:tcW w:w="7370" w:type="dxa"/>
              </w:tcPr>
              <w:p w14:paraId="227C6649" w14:textId="66DCA9F2" w:rsidR="00AC59FD" w:rsidRPr="00735843" w:rsidRDefault="00DA4FD1" w:rsidP="00AC59FD">
                <w:pPr>
                  <w:pStyle w:val="TableText"/>
                  <w:cnfStyle w:val="000000000000" w:firstRow="0" w:lastRow="0" w:firstColumn="0" w:lastColumn="0" w:oddVBand="0" w:evenVBand="0" w:oddHBand="0" w:evenHBand="0" w:firstRowFirstColumn="0" w:firstRowLastColumn="0" w:lastRowFirstColumn="0" w:lastRowLastColumn="0"/>
                </w:pPr>
                <w:r>
                  <w:t>OFFICIAL</w:t>
                </w:r>
              </w:p>
            </w:tc>
          </w:sdtContent>
        </w:sdt>
      </w:tr>
      <w:tr w:rsidR="00AC59FD" w:rsidRPr="00735843" w14:paraId="6E8AACEB" w14:textId="77777777" w:rsidTr="00B65489">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D762CF5" w14:textId="77777777" w:rsidR="00AC59FD" w:rsidRPr="00F94D3F" w:rsidRDefault="005A347B" w:rsidP="00AC59FD">
            <w:pPr>
              <w:pStyle w:val="TableText"/>
              <w:rPr>
                <w:b w:val="0"/>
                <w:bCs/>
              </w:rPr>
            </w:pPr>
            <w:r>
              <w:rPr>
                <w:bCs/>
              </w:rPr>
              <w:t>CM ref / location</w:t>
            </w:r>
          </w:p>
        </w:tc>
        <w:sdt>
          <w:sdtPr>
            <w:id w:val="629204535"/>
            <w:placeholder>
              <w:docPart w:val="861F33F59E7947759F1D5F95B8E3C4B4"/>
            </w:placeholder>
            <w15:appearance w15:val="hidden"/>
          </w:sdtPr>
          <w:sdtContent>
            <w:tc>
              <w:tcPr>
                <w:tcW w:w="7370" w:type="dxa"/>
              </w:tcPr>
              <w:p w14:paraId="39A79EFA" w14:textId="63E0DE7C" w:rsidR="00AC59FD" w:rsidRPr="00735843" w:rsidRDefault="00DA4FD1" w:rsidP="00AC59FD">
                <w:pPr>
                  <w:pStyle w:val="TableText"/>
                  <w:cnfStyle w:val="000000000000" w:firstRow="0" w:lastRow="0" w:firstColumn="0" w:lastColumn="0" w:oddVBand="0" w:evenVBand="0" w:oddHBand="0" w:evenHBand="0" w:firstRowFirstColumn="0" w:firstRowLastColumn="0" w:lastRowFirstColumn="0" w:lastRowLastColumn="0"/>
                </w:pPr>
                <w:r w:rsidRPr="004B374C">
                  <w:t>D17/224935</w:t>
                </w:r>
                <w:r>
                  <w:t>[v</w:t>
                </w:r>
                <w:r w:rsidR="005D46C1">
                  <w:t>4</w:t>
                </w:r>
                <w:r>
                  <w:t>]</w:t>
                </w:r>
              </w:p>
            </w:tc>
          </w:sdtContent>
        </w:sdt>
      </w:tr>
      <w:tr w:rsidR="00B65489" w:rsidRPr="00735843" w14:paraId="2A211A8B" w14:textId="77777777" w:rsidTr="00B65489">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91893E1" w14:textId="77777777" w:rsidR="00B65489" w:rsidRDefault="00B65489" w:rsidP="00AC59FD">
            <w:pPr>
              <w:pStyle w:val="TableText"/>
              <w:rPr>
                <w:bCs/>
              </w:rPr>
            </w:pPr>
            <w:r>
              <w:rPr>
                <w:bCs/>
              </w:rPr>
              <w:t>Policy owner/branch</w:t>
            </w:r>
          </w:p>
        </w:tc>
        <w:tc>
          <w:tcPr>
            <w:tcW w:w="7370" w:type="dxa"/>
          </w:tcPr>
          <w:p w14:paraId="1EEDF6C8" w14:textId="5E6A9C32" w:rsidR="00B65489" w:rsidRDefault="00DA4FD1" w:rsidP="00AC59FD">
            <w:pPr>
              <w:pStyle w:val="TableText"/>
              <w:cnfStyle w:val="000000000000" w:firstRow="0" w:lastRow="0" w:firstColumn="0" w:lastColumn="0" w:oddVBand="0" w:evenVBand="0" w:oddHBand="0" w:evenHBand="0" w:firstRowFirstColumn="0" w:firstRowLastColumn="0" w:lastRowFirstColumn="0" w:lastRowLastColumn="0"/>
            </w:pPr>
            <w:r>
              <w:t>Legal Counsel/Operations</w:t>
            </w:r>
          </w:p>
        </w:tc>
      </w:tr>
      <w:tr w:rsidR="00AC59FD" w:rsidRPr="00735843" w14:paraId="3D0B9AAC" w14:textId="77777777" w:rsidTr="00B65489">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3040FB3" w14:textId="77777777" w:rsidR="00AC59FD" w:rsidRPr="00F94D3F" w:rsidRDefault="00AC59FD" w:rsidP="00AC59FD">
            <w:pPr>
              <w:pStyle w:val="TableText"/>
              <w:rPr>
                <w:b w:val="0"/>
                <w:bCs/>
              </w:rPr>
            </w:pPr>
            <w:r w:rsidRPr="00F94D3F">
              <w:rPr>
                <w:bCs/>
              </w:rPr>
              <w:t>Document status</w:t>
            </w:r>
          </w:p>
        </w:tc>
        <w:sdt>
          <w:sdtPr>
            <w:id w:val="-721135223"/>
            <w:placeholder>
              <w:docPart w:val="817C29B38A3E468D99AC85E417553C00"/>
            </w:placeholder>
            <w15:appearance w15:val="hidden"/>
          </w:sdtPr>
          <w:sdtContent>
            <w:tc>
              <w:tcPr>
                <w:tcW w:w="7370" w:type="dxa"/>
              </w:tcPr>
              <w:p w14:paraId="5DDB319F" w14:textId="111EE3F8" w:rsidR="00AC59FD" w:rsidRPr="00735843" w:rsidRDefault="00DA4FD1" w:rsidP="00AC59FD">
                <w:pPr>
                  <w:pStyle w:val="TableText"/>
                  <w:cnfStyle w:val="000000000000" w:firstRow="0" w:lastRow="0" w:firstColumn="0" w:lastColumn="0" w:oddVBand="0" w:evenVBand="0" w:oddHBand="0" w:evenHBand="0" w:firstRowFirstColumn="0" w:firstRowLastColumn="0" w:lastRowFirstColumn="0" w:lastRowLastColumn="0"/>
                </w:pPr>
                <w:r>
                  <w:t>Approved</w:t>
                </w:r>
              </w:p>
            </w:tc>
          </w:sdtContent>
        </w:sdt>
      </w:tr>
      <w:tr w:rsidR="006E16C6" w:rsidRPr="00735843" w14:paraId="47B30765" w14:textId="77777777" w:rsidTr="00B65489">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01398045" w14:textId="77777777" w:rsidR="006E16C6" w:rsidRPr="00F94D3F" w:rsidRDefault="006E16C6" w:rsidP="00AC59FD">
            <w:pPr>
              <w:pStyle w:val="TableText"/>
              <w:rPr>
                <w:bCs/>
              </w:rPr>
            </w:pPr>
            <w:r>
              <w:rPr>
                <w:bCs/>
              </w:rPr>
              <w:t>Review frequency</w:t>
            </w:r>
          </w:p>
        </w:tc>
        <w:sdt>
          <w:sdtPr>
            <w:id w:val="-307786940"/>
            <w:placeholder>
              <w:docPart w:val="AAFC0295B74C4C0C8C7DCF5A957B94A5"/>
            </w:placeholder>
            <w15:appearance w15:val="hidden"/>
          </w:sdtPr>
          <w:sdtContent>
            <w:tc>
              <w:tcPr>
                <w:tcW w:w="7370" w:type="dxa"/>
              </w:tcPr>
              <w:p w14:paraId="15FA8AFF" w14:textId="50718EE0" w:rsidR="006E16C6" w:rsidRDefault="00DA4FD1" w:rsidP="00AC59FD">
                <w:pPr>
                  <w:pStyle w:val="TableText"/>
                  <w:cnfStyle w:val="000000000000" w:firstRow="0" w:lastRow="0" w:firstColumn="0" w:lastColumn="0" w:oddVBand="0" w:evenVBand="0" w:oddHBand="0" w:evenHBand="0" w:firstRowFirstColumn="0" w:firstRowLastColumn="0" w:lastRowFirstColumn="0" w:lastRowLastColumn="0"/>
                </w:pPr>
                <w:r>
                  <w:t>Annually</w:t>
                </w:r>
              </w:p>
            </w:tc>
          </w:sdtContent>
        </w:sdt>
      </w:tr>
    </w:tbl>
    <w:p w14:paraId="3A2F79DB" w14:textId="77777777" w:rsidR="00735843" w:rsidRDefault="00B65489" w:rsidP="00B65489">
      <w:pPr>
        <w:pStyle w:val="Heading1-noTOC"/>
      </w:pPr>
      <w:r>
        <w:t>Endorsement</w:t>
      </w:r>
    </w:p>
    <w:tbl>
      <w:tblPr>
        <w:tblStyle w:val="OVICDefaulttable"/>
        <w:tblW w:w="0" w:type="auto"/>
        <w:tblLook w:val="04A0" w:firstRow="1" w:lastRow="0" w:firstColumn="1" w:lastColumn="0" w:noHBand="0" w:noVBand="1"/>
      </w:tblPr>
      <w:tblGrid>
        <w:gridCol w:w="4532"/>
        <w:gridCol w:w="4538"/>
      </w:tblGrid>
      <w:tr w:rsidR="00B65489" w14:paraId="4D512932" w14:textId="77777777" w:rsidTr="006562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43" w:type="dxa"/>
          </w:tcPr>
          <w:p w14:paraId="4A62A5B8" w14:textId="77777777" w:rsidR="00B65489" w:rsidRDefault="00B65489" w:rsidP="00B65489">
            <w:pPr>
              <w:pStyle w:val="TableText"/>
            </w:pPr>
            <w:r>
              <w:t>Corporate Governance Committee Review</w:t>
            </w:r>
          </w:p>
        </w:tc>
        <w:tc>
          <w:tcPr>
            <w:tcW w:w="4643" w:type="dxa"/>
          </w:tcPr>
          <w:p w14:paraId="457C518B" w14:textId="77777777" w:rsidR="00B65489" w:rsidRDefault="00B65489" w:rsidP="00B65489">
            <w:pPr>
              <w:pStyle w:val="TableText"/>
              <w:cnfStyle w:val="100000000000" w:firstRow="1" w:lastRow="0" w:firstColumn="0" w:lastColumn="0" w:oddVBand="0" w:evenVBand="0" w:oddHBand="0" w:evenHBand="0" w:firstRowFirstColumn="0" w:firstRowLastColumn="0" w:lastRowFirstColumn="0" w:lastRowLastColumn="0"/>
            </w:pPr>
            <w:r>
              <w:t>Information Commissioner Approval</w:t>
            </w:r>
          </w:p>
        </w:tc>
      </w:tr>
      <w:tr w:rsidR="00B65489" w14:paraId="2825E9CB" w14:textId="77777777" w:rsidTr="00B65489">
        <w:tc>
          <w:tcPr>
            <w:cnfStyle w:val="001000000000" w:firstRow="0" w:lastRow="0" w:firstColumn="1" w:lastColumn="0" w:oddVBand="0" w:evenVBand="0" w:oddHBand="0" w:evenHBand="0" w:firstRowFirstColumn="0" w:firstRowLastColumn="0" w:lastRowFirstColumn="0" w:lastRowLastColumn="0"/>
            <w:tcW w:w="4643" w:type="dxa"/>
          </w:tcPr>
          <w:p w14:paraId="3DA64BFD" w14:textId="77777777" w:rsidR="00B65489" w:rsidRPr="0013634D" w:rsidRDefault="00B65489" w:rsidP="00B65489">
            <w:pPr>
              <w:pStyle w:val="TableText"/>
              <w:rPr>
                <w:b w:val="0"/>
                <w:bCs/>
              </w:rPr>
            </w:pPr>
          </w:p>
        </w:tc>
        <w:tc>
          <w:tcPr>
            <w:tcW w:w="4643" w:type="dxa"/>
          </w:tcPr>
          <w:p w14:paraId="2FBE072C" w14:textId="6657A216" w:rsidR="00B65489" w:rsidRDefault="00DA4FD1" w:rsidP="00B65489">
            <w:pPr>
              <w:pStyle w:val="TableText"/>
              <w:cnfStyle w:val="000000000000" w:firstRow="0" w:lastRow="0" w:firstColumn="0" w:lastColumn="0" w:oddVBand="0" w:evenVBand="0" w:oddHBand="0" w:evenHBand="0" w:firstRowFirstColumn="0" w:firstRowLastColumn="0" w:lastRowFirstColumn="0" w:lastRowLastColumn="0"/>
            </w:pPr>
            <w:r>
              <w:t>18 April 2018</w:t>
            </w:r>
          </w:p>
        </w:tc>
      </w:tr>
      <w:tr w:rsidR="00B65489" w14:paraId="4CA17038" w14:textId="77777777" w:rsidTr="00B65489">
        <w:tc>
          <w:tcPr>
            <w:cnfStyle w:val="001000000000" w:firstRow="0" w:lastRow="0" w:firstColumn="1" w:lastColumn="0" w:oddVBand="0" w:evenVBand="0" w:oddHBand="0" w:evenHBand="0" w:firstRowFirstColumn="0" w:firstRowLastColumn="0" w:lastRowFirstColumn="0" w:lastRowLastColumn="0"/>
            <w:tcW w:w="4643" w:type="dxa"/>
          </w:tcPr>
          <w:p w14:paraId="5186DD2C" w14:textId="167F5B5A" w:rsidR="00B65489" w:rsidRPr="0013634D" w:rsidRDefault="00DA4FD1" w:rsidP="00B65489">
            <w:pPr>
              <w:pStyle w:val="TableText"/>
              <w:rPr>
                <w:b w:val="0"/>
                <w:bCs/>
              </w:rPr>
            </w:pPr>
            <w:r>
              <w:rPr>
                <w:b w:val="0"/>
                <w:bCs/>
              </w:rPr>
              <w:t>21 May 2021</w:t>
            </w:r>
          </w:p>
        </w:tc>
        <w:tc>
          <w:tcPr>
            <w:tcW w:w="4643" w:type="dxa"/>
          </w:tcPr>
          <w:p w14:paraId="3DDFC550" w14:textId="6F2ED4F4" w:rsidR="00B65489" w:rsidRDefault="00DA4FD1" w:rsidP="00B65489">
            <w:pPr>
              <w:pStyle w:val="TableText"/>
              <w:cnfStyle w:val="000000000000" w:firstRow="0" w:lastRow="0" w:firstColumn="0" w:lastColumn="0" w:oddVBand="0" w:evenVBand="0" w:oddHBand="0" w:evenHBand="0" w:firstRowFirstColumn="0" w:firstRowLastColumn="0" w:lastRowFirstColumn="0" w:lastRowLastColumn="0"/>
            </w:pPr>
            <w:r>
              <w:t>6 August 2021</w:t>
            </w:r>
          </w:p>
        </w:tc>
      </w:tr>
      <w:tr w:rsidR="00B65489" w14:paraId="53FC819E" w14:textId="77777777" w:rsidTr="00B65489">
        <w:tc>
          <w:tcPr>
            <w:cnfStyle w:val="001000000000" w:firstRow="0" w:lastRow="0" w:firstColumn="1" w:lastColumn="0" w:oddVBand="0" w:evenVBand="0" w:oddHBand="0" w:evenHBand="0" w:firstRowFirstColumn="0" w:firstRowLastColumn="0" w:lastRowFirstColumn="0" w:lastRowLastColumn="0"/>
            <w:tcW w:w="4643" w:type="dxa"/>
          </w:tcPr>
          <w:p w14:paraId="685AEC3C" w14:textId="6562B289" w:rsidR="00B65489" w:rsidRPr="0013634D" w:rsidRDefault="00DA4FD1" w:rsidP="00B65489">
            <w:pPr>
              <w:pStyle w:val="TableText"/>
              <w:rPr>
                <w:b w:val="0"/>
                <w:bCs/>
              </w:rPr>
            </w:pPr>
            <w:r>
              <w:rPr>
                <w:b w:val="0"/>
                <w:bCs/>
              </w:rPr>
              <w:t>31 May 2022</w:t>
            </w:r>
          </w:p>
        </w:tc>
        <w:tc>
          <w:tcPr>
            <w:tcW w:w="4643" w:type="dxa"/>
          </w:tcPr>
          <w:p w14:paraId="0325961D" w14:textId="40F49AE1" w:rsidR="00B65489" w:rsidRDefault="00DA4FD1" w:rsidP="00B65489">
            <w:pPr>
              <w:pStyle w:val="TableText"/>
              <w:cnfStyle w:val="000000000000" w:firstRow="0" w:lastRow="0" w:firstColumn="0" w:lastColumn="0" w:oddVBand="0" w:evenVBand="0" w:oddHBand="0" w:evenHBand="0" w:firstRowFirstColumn="0" w:firstRowLastColumn="0" w:lastRowFirstColumn="0" w:lastRowLastColumn="0"/>
            </w:pPr>
            <w:r>
              <w:t>9 June 2022</w:t>
            </w:r>
          </w:p>
        </w:tc>
      </w:tr>
      <w:tr w:rsidR="00B65489" w14:paraId="3C76A73F" w14:textId="77777777" w:rsidTr="00B65489">
        <w:tc>
          <w:tcPr>
            <w:cnfStyle w:val="001000000000" w:firstRow="0" w:lastRow="0" w:firstColumn="1" w:lastColumn="0" w:oddVBand="0" w:evenVBand="0" w:oddHBand="0" w:evenHBand="0" w:firstRowFirstColumn="0" w:firstRowLastColumn="0" w:lastRowFirstColumn="0" w:lastRowLastColumn="0"/>
            <w:tcW w:w="4643" w:type="dxa"/>
          </w:tcPr>
          <w:p w14:paraId="19057540" w14:textId="640917B4" w:rsidR="00B65489" w:rsidRPr="0013634D" w:rsidRDefault="00DA4FD1" w:rsidP="00B65489">
            <w:pPr>
              <w:pStyle w:val="TableText"/>
              <w:rPr>
                <w:b w:val="0"/>
                <w:bCs/>
              </w:rPr>
            </w:pPr>
            <w:r>
              <w:rPr>
                <w:b w:val="0"/>
                <w:bCs/>
              </w:rPr>
              <w:t>14 March 2023</w:t>
            </w:r>
          </w:p>
        </w:tc>
        <w:tc>
          <w:tcPr>
            <w:tcW w:w="4643" w:type="dxa"/>
          </w:tcPr>
          <w:p w14:paraId="016FE37B" w14:textId="78F949EA" w:rsidR="00B65489" w:rsidRDefault="00DA4FD1" w:rsidP="00B65489">
            <w:pPr>
              <w:pStyle w:val="TableText"/>
              <w:cnfStyle w:val="000000000000" w:firstRow="0" w:lastRow="0" w:firstColumn="0" w:lastColumn="0" w:oddVBand="0" w:evenVBand="0" w:oddHBand="0" w:evenHBand="0" w:firstRowFirstColumn="0" w:firstRowLastColumn="0" w:lastRowFirstColumn="0" w:lastRowLastColumn="0"/>
            </w:pPr>
            <w:r>
              <w:t>20 April 2023</w:t>
            </w:r>
          </w:p>
        </w:tc>
      </w:tr>
      <w:tr w:rsidR="00B65489" w14:paraId="42B3F3BC" w14:textId="77777777" w:rsidTr="00B65489">
        <w:tc>
          <w:tcPr>
            <w:cnfStyle w:val="001000000000" w:firstRow="0" w:lastRow="0" w:firstColumn="1" w:lastColumn="0" w:oddVBand="0" w:evenVBand="0" w:oddHBand="0" w:evenHBand="0" w:firstRowFirstColumn="0" w:firstRowLastColumn="0" w:lastRowFirstColumn="0" w:lastRowLastColumn="0"/>
            <w:tcW w:w="4643" w:type="dxa"/>
          </w:tcPr>
          <w:p w14:paraId="2EFAF341" w14:textId="7D6ECFDC" w:rsidR="00B65489" w:rsidRPr="0013634D" w:rsidRDefault="00771DC5" w:rsidP="00B65489">
            <w:pPr>
              <w:pStyle w:val="TableText"/>
              <w:rPr>
                <w:b w:val="0"/>
                <w:bCs/>
              </w:rPr>
            </w:pPr>
            <w:r>
              <w:rPr>
                <w:b w:val="0"/>
                <w:bCs/>
              </w:rPr>
              <w:t>10 April 2024</w:t>
            </w:r>
          </w:p>
        </w:tc>
        <w:tc>
          <w:tcPr>
            <w:tcW w:w="4643" w:type="dxa"/>
          </w:tcPr>
          <w:p w14:paraId="6C52E1F9" w14:textId="315B1C73" w:rsidR="00B65489" w:rsidRDefault="00771DC5" w:rsidP="00B65489">
            <w:pPr>
              <w:pStyle w:val="TableText"/>
              <w:cnfStyle w:val="000000000000" w:firstRow="0" w:lastRow="0" w:firstColumn="0" w:lastColumn="0" w:oddVBand="0" w:evenVBand="0" w:oddHBand="0" w:evenHBand="0" w:firstRowFirstColumn="0" w:firstRowLastColumn="0" w:lastRowFirstColumn="0" w:lastRowLastColumn="0"/>
            </w:pPr>
            <w:r>
              <w:t>1 March 2025</w:t>
            </w:r>
          </w:p>
        </w:tc>
      </w:tr>
    </w:tbl>
    <w:p w14:paraId="0C9A4AE4" w14:textId="77777777" w:rsidR="00B65489" w:rsidRDefault="00B65489" w:rsidP="008F693C">
      <w:pPr>
        <w:pStyle w:val="Heading1-noTOC"/>
        <w:keepNext/>
      </w:pPr>
      <w:r>
        <w:t>Version Control</w:t>
      </w:r>
    </w:p>
    <w:tbl>
      <w:tblPr>
        <w:tblStyle w:val="OVICDefaulttable"/>
        <w:tblW w:w="0" w:type="auto"/>
        <w:tblLook w:val="0420" w:firstRow="1" w:lastRow="0" w:firstColumn="0" w:lastColumn="0" w:noHBand="0" w:noVBand="1"/>
      </w:tblPr>
      <w:tblGrid>
        <w:gridCol w:w="1888"/>
        <w:gridCol w:w="2288"/>
        <w:gridCol w:w="4894"/>
      </w:tblGrid>
      <w:tr w:rsidR="00B65489" w:rsidRPr="00B60B0A" w14:paraId="365D205A" w14:textId="77777777" w:rsidTr="00E26891">
        <w:trPr>
          <w:cnfStyle w:val="100000000000" w:firstRow="1" w:lastRow="0" w:firstColumn="0" w:lastColumn="0" w:oddVBand="0" w:evenVBand="0" w:oddHBand="0" w:evenHBand="0" w:firstRowFirstColumn="0" w:firstRowLastColumn="0" w:lastRowFirstColumn="0" w:lastRowLastColumn="0"/>
          <w:cantSplit/>
          <w:trHeight w:val="20"/>
          <w:tblHeader/>
        </w:trPr>
        <w:tc>
          <w:tcPr>
            <w:tcW w:w="1936" w:type="dxa"/>
          </w:tcPr>
          <w:p w14:paraId="1637CD45" w14:textId="77777777" w:rsidR="00B65489" w:rsidRPr="00B60B0A" w:rsidRDefault="00B65489" w:rsidP="00B60B0A">
            <w:pPr>
              <w:pStyle w:val="TableText"/>
            </w:pPr>
            <w:r w:rsidRPr="00B60B0A">
              <w:t>Version</w:t>
            </w:r>
          </w:p>
        </w:tc>
        <w:tc>
          <w:tcPr>
            <w:tcW w:w="2363" w:type="dxa"/>
          </w:tcPr>
          <w:p w14:paraId="75CA8BA2" w14:textId="77777777" w:rsidR="00B65489" w:rsidRPr="00B60B0A" w:rsidRDefault="00B65489" w:rsidP="00B60B0A">
            <w:pPr>
              <w:pStyle w:val="TableText"/>
            </w:pPr>
            <w:r w:rsidRPr="00B60B0A">
              <w:t>Date</w:t>
            </w:r>
          </w:p>
        </w:tc>
        <w:tc>
          <w:tcPr>
            <w:tcW w:w="5028" w:type="dxa"/>
          </w:tcPr>
          <w:p w14:paraId="765BAF33" w14:textId="77777777" w:rsidR="00B65489" w:rsidRPr="00B60B0A" w:rsidRDefault="00B65489" w:rsidP="00B60B0A">
            <w:pPr>
              <w:pStyle w:val="TableText"/>
            </w:pPr>
            <w:r w:rsidRPr="00B60B0A">
              <w:t>Additions/changes</w:t>
            </w:r>
          </w:p>
        </w:tc>
      </w:tr>
      <w:tr w:rsidR="00B65489" w:rsidRPr="00B60B0A" w14:paraId="5000E071" w14:textId="77777777" w:rsidTr="00B65489">
        <w:trPr>
          <w:trHeight w:val="20"/>
        </w:trPr>
        <w:sdt>
          <w:sdtPr>
            <w:id w:val="-1359356592"/>
            <w:placeholder>
              <w:docPart w:val="5DC2FDC1CCB74E209CDB3BE9C0773063"/>
            </w:placeholder>
            <w15:appearance w15:val="hidden"/>
          </w:sdtPr>
          <w:sdtContent>
            <w:tc>
              <w:tcPr>
                <w:tcW w:w="1936" w:type="dxa"/>
              </w:tcPr>
              <w:p w14:paraId="2DAEFB08" w14:textId="27C488B8" w:rsidR="00B65489" w:rsidRPr="00B60B0A" w:rsidRDefault="00DA4FD1" w:rsidP="00A53764">
                <w:pPr>
                  <w:pStyle w:val="TableText"/>
                </w:pPr>
                <w:r>
                  <w:t>1.0</w:t>
                </w:r>
              </w:p>
            </w:tc>
          </w:sdtContent>
        </w:sdt>
        <w:sdt>
          <w:sdtPr>
            <w:id w:val="-959259084"/>
            <w:placeholder>
              <w:docPart w:val="2A1B4ECBC53C4CF9BE2A602CD06A59DE"/>
            </w:placeholder>
            <w15:appearance w15:val="hidden"/>
          </w:sdtPr>
          <w:sdtContent>
            <w:tc>
              <w:tcPr>
                <w:tcW w:w="2363" w:type="dxa"/>
              </w:tcPr>
              <w:p w14:paraId="2CE12FAF" w14:textId="3FB73AD1" w:rsidR="00B65489" w:rsidRPr="00B60B0A" w:rsidRDefault="00DA4FD1" w:rsidP="00A53764">
                <w:pPr>
                  <w:pStyle w:val="TableText"/>
                </w:pPr>
                <w:r>
                  <w:t>April 2018</w:t>
                </w:r>
              </w:p>
            </w:tc>
          </w:sdtContent>
        </w:sdt>
        <w:sdt>
          <w:sdtPr>
            <w:id w:val="1066377176"/>
            <w:placeholder>
              <w:docPart w:val="8D3EFCE5D7A94A22A3FE9C5990BE2E55"/>
            </w:placeholder>
            <w15:appearance w15:val="hidden"/>
          </w:sdtPr>
          <w:sdtContent>
            <w:tc>
              <w:tcPr>
                <w:tcW w:w="5028" w:type="dxa"/>
              </w:tcPr>
              <w:p w14:paraId="55EF14E1" w14:textId="7B961A8F" w:rsidR="00B65489" w:rsidRPr="00B60B0A" w:rsidRDefault="00DA4FD1" w:rsidP="00A53764">
                <w:pPr>
                  <w:pStyle w:val="TableText"/>
                </w:pPr>
                <w:r>
                  <w:t>Original version</w:t>
                </w:r>
              </w:p>
            </w:tc>
          </w:sdtContent>
        </w:sdt>
      </w:tr>
      <w:tr w:rsidR="00B65489" w:rsidRPr="00B60B0A" w14:paraId="648B351A" w14:textId="77777777" w:rsidTr="00B65489">
        <w:trPr>
          <w:trHeight w:val="20"/>
        </w:trPr>
        <w:tc>
          <w:tcPr>
            <w:tcW w:w="1936" w:type="dxa"/>
          </w:tcPr>
          <w:p w14:paraId="4CAF2DAF" w14:textId="4ABE111E" w:rsidR="00B65489" w:rsidRPr="00B60B0A" w:rsidRDefault="00DA4FD1" w:rsidP="00A53764">
            <w:pPr>
              <w:pStyle w:val="TableText"/>
            </w:pPr>
            <w:r>
              <w:t>2.0</w:t>
            </w:r>
          </w:p>
        </w:tc>
        <w:tc>
          <w:tcPr>
            <w:tcW w:w="2363" w:type="dxa"/>
          </w:tcPr>
          <w:p w14:paraId="77787C38" w14:textId="105F7018" w:rsidR="00B65489" w:rsidRPr="00B60B0A" w:rsidRDefault="00DA4FD1" w:rsidP="00A53764">
            <w:pPr>
              <w:pStyle w:val="TableText"/>
            </w:pPr>
            <w:r>
              <w:t>April 2023</w:t>
            </w:r>
          </w:p>
        </w:tc>
        <w:tc>
          <w:tcPr>
            <w:tcW w:w="5028" w:type="dxa"/>
          </w:tcPr>
          <w:p w14:paraId="1BBB4344" w14:textId="77777777" w:rsidR="00DA4FD1" w:rsidRPr="00DA4FD1" w:rsidRDefault="00DA4FD1" w:rsidP="00DA4FD1">
            <w:pPr>
              <w:pStyle w:val="TableText"/>
            </w:pPr>
            <w:r w:rsidRPr="00DA4FD1">
              <w:t>Minor editorial changes.</w:t>
            </w:r>
          </w:p>
          <w:p w14:paraId="7A104D75" w14:textId="77777777" w:rsidR="00DA4FD1" w:rsidRPr="00DA4FD1" w:rsidRDefault="00DA4FD1" w:rsidP="00DA4FD1">
            <w:pPr>
              <w:pStyle w:val="TableText"/>
              <w:ind w:left="398" w:hanging="398"/>
            </w:pPr>
            <w:r w:rsidRPr="00DA4FD1">
              <w:t>6.</w:t>
            </w:r>
            <w:r w:rsidRPr="00DA4FD1">
              <w:tab/>
              <w:t>Reporting Fraudulent Conduct</w:t>
            </w:r>
          </w:p>
          <w:p w14:paraId="644274E4" w14:textId="470E2170" w:rsidR="00B65489" w:rsidRPr="00B60B0A" w:rsidRDefault="00DA4FD1" w:rsidP="00DA4FD1">
            <w:pPr>
              <w:pStyle w:val="TableText"/>
              <w:numPr>
                <w:ilvl w:val="0"/>
                <w:numId w:val="36"/>
              </w:numPr>
              <w:ind w:left="823" w:hanging="425"/>
            </w:pPr>
            <w:r w:rsidRPr="00DA4FD1">
              <w:t>Updated definition of fraudulent conduct under PID.</w:t>
            </w:r>
          </w:p>
        </w:tc>
      </w:tr>
      <w:tr w:rsidR="00B65489" w:rsidRPr="00B60B0A" w14:paraId="7278F68E" w14:textId="77777777" w:rsidTr="00B65489">
        <w:trPr>
          <w:trHeight w:val="20"/>
        </w:trPr>
        <w:tc>
          <w:tcPr>
            <w:tcW w:w="1936" w:type="dxa"/>
          </w:tcPr>
          <w:p w14:paraId="4B812453" w14:textId="422245C6" w:rsidR="00B65489" w:rsidRPr="00B60B0A" w:rsidRDefault="00B6262D" w:rsidP="00A53764">
            <w:pPr>
              <w:pStyle w:val="TableText"/>
            </w:pPr>
            <w:r>
              <w:t>3.0</w:t>
            </w:r>
          </w:p>
        </w:tc>
        <w:tc>
          <w:tcPr>
            <w:tcW w:w="2363" w:type="dxa"/>
          </w:tcPr>
          <w:p w14:paraId="345B63FD" w14:textId="77777777" w:rsidR="00B65489" w:rsidRPr="00B60B0A" w:rsidRDefault="00B65489" w:rsidP="00A53764">
            <w:pPr>
              <w:pStyle w:val="TableText"/>
            </w:pPr>
          </w:p>
        </w:tc>
        <w:tc>
          <w:tcPr>
            <w:tcW w:w="5028" w:type="dxa"/>
          </w:tcPr>
          <w:p w14:paraId="3117A09A" w14:textId="317A69E6" w:rsidR="00B65489" w:rsidRPr="00B60B0A" w:rsidRDefault="00B6262D" w:rsidP="00A53764">
            <w:pPr>
              <w:pStyle w:val="TableText"/>
            </w:pPr>
            <w:r>
              <w:t>Rebranding</w:t>
            </w:r>
          </w:p>
        </w:tc>
      </w:tr>
      <w:tr w:rsidR="00B6262D" w:rsidRPr="00B60B0A" w14:paraId="368595C3" w14:textId="77777777" w:rsidTr="00B65489">
        <w:trPr>
          <w:trHeight w:val="20"/>
        </w:trPr>
        <w:tc>
          <w:tcPr>
            <w:tcW w:w="1936" w:type="dxa"/>
          </w:tcPr>
          <w:p w14:paraId="24D4D965" w14:textId="2E6C5987" w:rsidR="00B6262D" w:rsidRDefault="00B6262D" w:rsidP="00A53764">
            <w:pPr>
              <w:pStyle w:val="TableText"/>
            </w:pPr>
            <w:r>
              <w:lastRenderedPageBreak/>
              <w:t>4.0</w:t>
            </w:r>
          </w:p>
        </w:tc>
        <w:tc>
          <w:tcPr>
            <w:tcW w:w="2363" w:type="dxa"/>
          </w:tcPr>
          <w:p w14:paraId="14A4CCAA" w14:textId="640CCE72" w:rsidR="00B6262D" w:rsidRPr="00B60B0A" w:rsidRDefault="00B6262D" w:rsidP="00A53764">
            <w:pPr>
              <w:pStyle w:val="TableText"/>
            </w:pPr>
            <w:r>
              <w:t>10 April 2024</w:t>
            </w:r>
          </w:p>
        </w:tc>
        <w:tc>
          <w:tcPr>
            <w:tcW w:w="5028" w:type="dxa"/>
          </w:tcPr>
          <w:p w14:paraId="0097CE02" w14:textId="77777777" w:rsidR="000E3FF8" w:rsidRPr="00043D85" w:rsidRDefault="000E3FF8" w:rsidP="000E3FF8">
            <w:pPr>
              <w:pStyle w:val="TableText"/>
              <w:numPr>
                <w:ilvl w:val="0"/>
                <w:numId w:val="36"/>
              </w:numPr>
              <w:rPr>
                <w:b/>
                <w:bCs/>
              </w:rPr>
            </w:pPr>
            <w:r>
              <w:rPr>
                <w:bCs/>
              </w:rPr>
              <w:t>Minor editorial changes</w:t>
            </w:r>
          </w:p>
          <w:p w14:paraId="65F759B8" w14:textId="77777777" w:rsidR="004B43BD" w:rsidRDefault="004B43BD" w:rsidP="000E3FF8">
            <w:pPr>
              <w:pStyle w:val="TableText"/>
              <w:numPr>
                <w:ilvl w:val="0"/>
                <w:numId w:val="36"/>
              </w:numPr>
            </w:pPr>
            <w:r>
              <w:t>Replaced Applicability with Scope for consistency across policy.</w:t>
            </w:r>
          </w:p>
          <w:p w14:paraId="564B6FE5" w14:textId="77777777" w:rsidR="00B6262D" w:rsidRDefault="004B43BD" w:rsidP="000E3FF8">
            <w:pPr>
              <w:pStyle w:val="TableText"/>
              <w:numPr>
                <w:ilvl w:val="0"/>
                <w:numId w:val="36"/>
              </w:numPr>
            </w:pPr>
            <w:r>
              <w:t>Add policy statements</w:t>
            </w:r>
          </w:p>
          <w:p w14:paraId="0AD0D7A8" w14:textId="77777777" w:rsidR="000E3FF8" w:rsidRPr="00043D85" w:rsidRDefault="000E3FF8" w:rsidP="000E3FF8">
            <w:pPr>
              <w:pStyle w:val="TableText"/>
              <w:numPr>
                <w:ilvl w:val="0"/>
                <w:numId w:val="36"/>
              </w:numPr>
              <w:rPr>
                <w:b/>
                <w:bCs/>
              </w:rPr>
            </w:pPr>
            <w:r>
              <w:rPr>
                <w:bCs/>
              </w:rPr>
              <w:t>Elaborated on Code of Conduct and conflicts being included at Induction stage.</w:t>
            </w:r>
          </w:p>
          <w:p w14:paraId="08EE0A32" w14:textId="77777777" w:rsidR="000E3FF8" w:rsidRPr="00043D85" w:rsidRDefault="000E3FF8" w:rsidP="000E3FF8">
            <w:pPr>
              <w:pStyle w:val="TableText"/>
              <w:numPr>
                <w:ilvl w:val="0"/>
                <w:numId w:val="36"/>
              </w:numPr>
              <w:rPr>
                <w:b/>
                <w:bCs/>
              </w:rPr>
            </w:pPr>
            <w:r w:rsidRPr="00F42F43">
              <w:rPr>
                <w:bCs/>
              </w:rPr>
              <w:t>Personnel Security section updated to match Personnel Security Policy.</w:t>
            </w:r>
          </w:p>
          <w:p w14:paraId="114C487D" w14:textId="2F09E28D" w:rsidR="000E3FF8" w:rsidRPr="003230C3" w:rsidRDefault="000E3FF8" w:rsidP="000E3FF8">
            <w:pPr>
              <w:pStyle w:val="TableText"/>
              <w:numPr>
                <w:ilvl w:val="0"/>
                <w:numId w:val="36"/>
              </w:numPr>
            </w:pPr>
            <w:r>
              <w:rPr>
                <w:bCs/>
              </w:rPr>
              <w:t>Report</w:t>
            </w:r>
            <w:r w:rsidRPr="000E3FF8">
              <w:rPr>
                <w:bCs/>
              </w:rPr>
              <w:t>ing fraudulent conduct – addition of employee reporting to whomever they feel most comfort</w:t>
            </w:r>
            <w:r>
              <w:rPr>
                <w:bCs/>
              </w:rPr>
              <w:t>able</w:t>
            </w:r>
          </w:p>
        </w:tc>
      </w:tr>
    </w:tbl>
    <w:sdt>
      <w:sdtPr>
        <w:rPr>
          <w:color w:val="auto"/>
          <w:sz w:val="22"/>
          <w:lang w:val="en-GB"/>
        </w:rPr>
        <w:id w:val="-858884737"/>
        <w:docPartObj>
          <w:docPartGallery w:val="Table of Contents"/>
          <w:docPartUnique/>
        </w:docPartObj>
      </w:sdtPr>
      <w:sdtEndPr>
        <w:rPr>
          <w:b/>
          <w:bCs/>
        </w:rPr>
      </w:sdtEndPr>
      <w:sdtContent>
        <w:p w14:paraId="259791C9" w14:textId="77777777" w:rsidR="00DE59FB" w:rsidRDefault="00DE59FB" w:rsidP="00632604">
          <w:pPr>
            <w:pStyle w:val="Heading1-noTOC"/>
            <w:pageBreakBefore/>
          </w:pPr>
          <w:r>
            <w:rPr>
              <w:lang w:val="en-GB"/>
            </w:rPr>
            <w:t xml:space="preserve">Table of </w:t>
          </w:r>
          <w:r w:rsidRPr="00DE59FB">
            <w:t>Contents</w:t>
          </w:r>
        </w:p>
        <w:p w14:paraId="23697810" w14:textId="209C0366" w:rsidR="003A58AC"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91907856" w:history="1">
            <w:r w:rsidR="003A58AC" w:rsidRPr="00AC249F">
              <w:rPr>
                <w:rStyle w:val="Hyperlink"/>
                <w:noProof/>
              </w:rPr>
              <w:t>1.</w:t>
            </w:r>
            <w:r w:rsidR="003A58AC">
              <w:rPr>
                <w:rFonts w:eastAsiaTheme="minorEastAsia"/>
                <w:noProof/>
                <w:color w:val="auto"/>
                <w:kern w:val="2"/>
                <w:szCs w:val="24"/>
                <w:lang w:eastAsia="en-AU"/>
                <w14:ligatures w14:val="standardContextual"/>
              </w:rPr>
              <w:tab/>
            </w:r>
            <w:r w:rsidR="003A58AC" w:rsidRPr="00AC249F">
              <w:rPr>
                <w:rStyle w:val="Hyperlink"/>
                <w:noProof/>
              </w:rPr>
              <w:t>Purpose</w:t>
            </w:r>
            <w:r w:rsidR="003A58AC">
              <w:rPr>
                <w:noProof/>
                <w:webHidden/>
              </w:rPr>
              <w:tab/>
            </w:r>
            <w:r w:rsidR="003A58AC">
              <w:rPr>
                <w:noProof/>
                <w:webHidden/>
              </w:rPr>
              <w:fldChar w:fldCharType="begin"/>
            </w:r>
            <w:r w:rsidR="003A58AC">
              <w:rPr>
                <w:noProof/>
                <w:webHidden/>
              </w:rPr>
              <w:instrText xml:space="preserve"> PAGEREF _Toc191907856 \h </w:instrText>
            </w:r>
            <w:r w:rsidR="003A58AC">
              <w:rPr>
                <w:noProof/>
                <w:webHidden/>
              </w:rPr>
            </w:r>
            <w:r w:rsidR="003A58AC">
              <w:rPr>
                <w:noProof/>
                <w:webHidden/>
              </w:rPr>
              <w:fldChar w:fldCharType="separate"/>
            </w:r>
            <w:r w:rsidR="003A58AC">
              <w:rPr>
                <w:noProof/>
                <w:webHidden/>
              </w:rPr>
              <w:t>5</w:t>
            </w:r>
            <w:r w:rsidR="003A58AC">
              <w:rPr>
                <w:noProof/>
                <w:webHidden/>
              </w:rPr>
              <w:fldChar w:fldCharType="end"/>
            </w:r>
          </w:hyperlink>
        </w:p>
        <w:p w14:paraId="202FCF1D" w14:textId="62CAFBE3" w:rsidR="003A58AC" w:rsidRDefault="003A58AC">
          <w:pPr>
            <w:pStyle w:val="TOC1"/>
            <w:rPr>
              <w:rFonts w:eastAsiaTheme="minorEastAsia"/>
              <w:noProof/>
              <w:color w:val="auto"/>
              <w:kern w:val="2"/>
              <w:szCs w:val="24"/>
              <w:lang w:eastAsia="en-AU"/>
              <w14:ligatures w14:val="standardContextual"/>
            </w:rPr>
          </w:pPr>
          <w:hyperlink w:anchor="_Toc191907857" w:history="1">
            <w:r w:rsidRPr="00AC249F">
              <w:rPr>
                <w:rStyle w:val="Hyperlink"/>
                <w:noProof/>
              </w:rPr>
              <w:t>2.</w:t>
            </w:r>
            <w:r>
              <w:rPr>
                <w:rFonts w:eastAsiaTheme="minorEastAsia"/>
                <w:noProof/>
                <w:color w:val="auto"/>
                <w:kern w:val="2"/>
                <w:szCs w:val="24"/>
                <w:lang w:eastAsia="en-AU"/>
                <w14:ligatures w14:val="standardContextual"/>
              </w:rPr>
              <w:tab/>
            </w:r>
            <w:r w:rsidRPr="00AC249F">
              <w:rPr>
                <w:rStyle w:val="Hyperlink"/>
                <w:noProof/>
              </w:rPr>
              <w:t>Scope</w:t>
            </w:r>
            <w:r>
              <w:rPr>
                <w:noProof/>
                <w:webHidden/>
              </w:rPr>
              <w:tab/>
            </w:r>
            <w:r>
              <w:rPr>
                <w:noProof/>
                <w:webHidden/>
              </w:rPr>
              <w:fldChar w:fldCharType="begin"/>
            </w:r>
            <w:r>
              <w:rPr>
                <w:noProof/>
                <w:webHidden/>
              </w:rPr>
              <w:instrText xml:space="preserve"> PAGEREF _Toc191907857 \h </w:instrText>
            </w:r>
            <w:r>
              <w:rPr>
                <w:noProof/>
                <w:webHidden/>
              </w:rPr>
            </w:r>
            <w:r>
              <w:rPr>
                <w:noProof/>
                <w:webHidden/>
              </w:rPr>
              <w:fldChar w:fldCharType="separate"/>
            </w:r>
            <w:r>
              <w:rPr>
                <w:noProof/>
                <w:webHidden/>
              </w:rPr>
              <w:t>5</w:t>
            </w:r>
            <w:r>
              <w:rPr>
                <w:noProof/>
                <w:webHidden/>
              </w:rPr>
              <w:fldChar w:fldCharType="end"/>
            </w:r>
          </w:hyperlink>
        </w:p>
        <w:p w14:paraId="65294215" w14:textId="0321C97B" w:rsidR="003A58AC" w:rsidRDefault="003A58AC">
          <w:pPr>
            <w:pStyle w:val="TOC1"/>
            <w:rPr>
              <w:rFonts w:eastAsiaTheme="minorEastAsia"/>
              <w:noProof/>
              <w:color w:val="auto"/>
              <w:kern w:val="2"/>
              <w:szCs w:val="24"/>
              <w:lang w:eastAsia="en-AU"/>
              <w14:ligatures w14:val="standardContextual"/>
            </w:rPr>
          </w:pPr>
          <w:hyperlink w:anchor="_Toc191907858" w:history="1">
            <w:r w:rsidRPr="00AC249F">
              <w:rPr>
                <w:rStyle w:val="Hyperlink"/>
                <w:noProof/>
              </w:rPr>
              <w:t>3.</w:t>
            </w:r>
            <w:r>
              <w:rPr>
                <w:rFonts w:eastAsiaTheme="minorEastAsia"/>
                <w:noProof/>
                <w:color w:val="auto"/>
                <w:kern w:val="2"/>
                <w:szCs w:val="24"/>
                <w:lang w:eastAsia="en-AU"/>
                <w14:ligatures w14:val="standardContextual"/>
              </w:rPr>
              <w:tab/>
            </w:r>
            <w:r w:rsidRPr="00AC249F">
              <w:rPr>
                <w:rStyle w:val="Hyperlink"/>
                <w:noProof/>
              </w:rPr>
              <w:t>Definitions</w:t>
            </w:r>
            <w:r>
              <w:rPr>
                <w:noProof/>
                <w:webHidden/>
              </w:rPr>
              <w:tab/>
            </w:r>
            <w:r>
              <w:rPr>
                <w:noProof/>
                <w:webHidden/>
              </w:rPr>
              <w:fldChar w:fldCharType="begin"/>
            </w:r>
            <w:r>
              <w:rPr>
                <w:noProof/>
                <w:webHidden/>
              </w:rPr>
              <w:instrText xml:space="preserve"> PAGEREF _Toc191907858 \h </w:instrText>
            </w:r>
            <w:r>
              <w:rPr>
                <w:noProof/>
                <w:webHidden/>
              </w:rPr>
            </w:r>
            <w:r>
              <w:rPr>
                <w:noProof/>
                <w:webHidden/>
              </w:rPr>
              <w:fldChar w:fldCharType="separate"/>
            </w:r>
            <w:r>
              <w:rPr>
                <w:noProof/>
                <w:webHidden/>
              </w:rPr>
              <w:t>5</w:t>
            </w:r>
            <w:r>
              <w:rPr>
                <w:noProof/>
                <w:webHidden/>
              </w:rPr>
              <w:fldChar w:fldCharType="end"/>
            </w:r>
          </w:hyperlink>
        </w:p>
        <w:p w14:paraId="7AD90275" w14:textId="10C590D2" w:rsidR="003A58AC" w:rsidRDefault="003A58AC">
          <w:pPr>
            <w:pStyle w:val="TOC1"/>
            <w:rPr>
              <w:rFonts w:eastAsiaTheme="minorEastAsia"/>
              <w:noProof/>
              <w:color w:val="auto"/>
              <w:kern w:val="2"/>
              <w:szCs w:val="24"/>
              <w:lang w:eastAsia="en-AU"/>
              <w14:ligatures w14:val="standardContextual"/>
            </w:rPr>
          </w:pPr>
          <w:hyperlink w:anchor="_Toc191907859" w:history="1">
            <w:r w:rsidRPr="00AC249F">
              <w:rPr>
                <w:rStyle w:val="Hyperlink"/>
                <w:noProof/>
              </w:rPr>
              <w:t>4.</w:t>
            </w:r>
            <w:r>
              <w:rPr>
                <w:rFonts w:eastAsiaTheme="minorEastAsia"/>
                <w:noProof/>
                <w:color w:val="auto"/>
                <w:kern w:val="2"/>
                <w:szCs w:val="24"/>
                <w:lang w:eastAsia="en-AU"/>
                <w14:ligatures w14:val="standardContextual"/>
              </w:rPr>
              <w:tab/>
            </w:r>
            <w:r w:rsidRPr="00AC249F">
              <w:rPr>
                <w:rStyle w:val="Hyperlink"/>
                <w:noProof/>
              </w:rPr>
              <w:t>Related documents</w:t>
            </w:r>
            <w:r>
              <w:rPr>
                <w:noProof/>
                <w:webHidden/>
              </w:rPr>
              <w:tab/>
            </w:r>
            <w:r>
              <w:rPr>
                <w:noProof/>
                <w:webHidden/>
              </w:rPr>
              <w:fldChar w:fldCharType="begin"/>
            </w:r>
            <w:r>
              <w:rPr>
                <w:noProof/>
                <w:webHidden/>
              </w:rPr>
              <w:instrText xml:space="preserve"> PAGEREF _Toc191907859 \h </w:instrText>
            </w:r>
            <w:r>
              <w:rPr>
                <w:noProof/>
                <w:webHidden/>
              </w:rPr>
            </w:r>
            <w:r>
              <w:rPr>
                <w:noProof/>
                <w:webHidden/>
              </w:rPr>
              <w:fldChar w:fldCharType="separate"/>
            </w:r>
            <w:r>
              <w:rPr>
                <w:noProof/>
                <w:webHidden/>
              </w:rPr>
              <w:t>5</w:t>
            </w:r>
            <w:r>
              <w:rPr>
                <w:noProof/>
                <w:webHidden/>
              </w:rPr>
              <w:fldChar w:fldCharType="end"/>
            </w:r>
          </w:hyperlink>
        </w:p>
        <w:p w14:paraId="724032BE" w14:textId="7A4E97B1" w:rsidR="003A58AC" w:rsidRDefault="003A58AC">
          <w:pPr>
            <w:pStyle w:val="TOC1"/>
            <w:rPr>
              <w:rFonts w:eastAsiaTheme="minorEastAsia"/>
              <w:noProof/>
              <w:color w:val="auto"/>
              <w:kern w:val="2"/>
              <w:szCs w:val="24"/>
              <w:lang w:eastAsia="en-AU"/>
              <w14:ligatures w14:val="standardContextual"/>
            </w:rPr>
          </w:pPr>
          <w:hyperlink w:anchor="_Toc191907860" w:history="1">
            <w:r w:rsidRPr="00AC249F">
              <w:rPr>
                <w:rStyle w:val="Hyperlink"/>
                <w:noProof/>
              </w:rPr>
              <w:t>5.</w:t>
            </w:r>
            <w:r>
              <w:rPr>
                <w:rFonts w:eastAsiaTheme="minorEastAsia"/>
                <w:noProof/>
                <w:color w:val="auto"/>
                <w:kern w:val="2"/>
                <w:szCs w:val="24"/>
                <w:lang w:eastAsia="en-AU"/>
                <w14:ligatures w14:val="standardContextual"/>
              </w:rPr>
              <w:tab/>
            </w:r>
            <w:r w:rsidRPr="00AC249F">
              <w:rPr>
                <w:rStyle w:val="Hyperlink"/>
                <w:noProof/>
              </w:rPr>
              <w:t>Statement of policy</w:t>
            </w:r>
            <w:r>
              <w:rPr>
                <w:noProof/>
                <w:webHidden/>
              </w:rPr>
              <w:tab/>
            </w:r>
            <w:r>
              <w:rPr>
                <w:noProof/>
                <w:webHidden/>
              </w:rPr>
              <w:fldChar w:fldCharType="begin"/>
            </w:r>
            <w:r>
              <w:rPr>
                <w:noProof/>
                <w:webHidden/>
              </w:rPr>
              <w:instrText xml:space="preserve"> PAGEREF _Toc191907860 \h </w:instrText>
            </w:r>
            <w:r>
              <w:rPr>
                <w:noProof/>
                <w:webHidden/>
              </w:rPr>
            </w:r>
            <w:r>
              <w:rPr>
                <w:noProof/>
                <w:webHidden/>
              </w:rPr>
              <w:fldChar w:fldCharType="separate"/>
            </w:r>
            <w:r>
              <w:rPr>
                <w:noProof/>
                <w:webHidden/>
              </w:rPr>
              <w:t>6</w:t>
            </w:r>
            <w:r>
              <w:rPr>
                <w:noProof/>
                <w:webHidden/>
              </w:rPr>
              <w:fldChar w:fldCharType="end"/>
            </w:r>
          </w:hyperlink>
        </w:p>
        <w:p w14:paraId="23E7A720" w14:textId="7DADE68F" w:rsidR="003A58AC" w:rsidRDefault="003A58AC">
          <w:pPr>
            <w:pStyle w:val="TOC1"/>
            <w:rPr>
              <w:rFonts w:eastAsiaTheme="minorEastAsia"/>
              <w:noProof/>
              <w:color w:val="auto"/>
              <w:kern w:val="2"/>
              <w:szCs w:val="24"/>
              <w:lang w:eastAsia="en-AU"/>
              <w14:ligatures w14:val="standardContextual"/>
            </w:rPr>
          </w:pPr>
          <w:hyperlink w:anchor="_Toc191907861" w:history="1">
            <w:r w:rsidRPr="00AC249F">
              <w:rPr>
                <w:rStyle w:val="Hyperlink"/>
                <w:noProof/>
              </w:rPr>
              <w:t>6.</w:t>
            </w:r>
            <w:r>
              <w:rPr>
                <w:rFonts w:eastAsiaTheme="minorEastAsia"/>
                <w:noProof/>
                <w:color w:val="auto"/>
                <w:kern w:val="2"/>
                <w:szCs w:val="24"/>
                <w:lang w:eastAsia="en-AU"/>
                <w14:ligatures w14:val="standardContextual"/>
              </w:rPr>
              <w:tab/>
            </w:r>
            <w:r w:rsidRPr="00AC249F">
              <w:rPr>
                <w:rStyle w:val="Hyperlink"/>
                <w:noProof/>
              </w:rPr>
              <w:t>Internal Measures for Fraud Prevention</w:t>
            </w:r>
            <w:r>
              <w:rPr>
                <w:noProof/>
                <w:webHidden/>
              </w:rPr>
              <w:tab/>
            </w:r>
            <w:r>
              <w:rPr>
                <w:noProof/>
                <w:webHidden/>
              </w:rPr>
              <w:fldChar w:fldCharType="begin"/>
            </w:r>
            <w:r>
              <w:rPr>
                <w:noProof/>
                <w:webHidden/>
              </w:rPr>
              <w:instrText xml:space="preserve"> PAGEREF _Toc191907861 \h </w:instrText>
            </w:r>
            <w:r>
              <w:rPr>
                <w:noProof/>
                <w:webHidden/>
              </w:rPr>
            </w:r>
            <w:r>
              <w:rPr>
                <w:noProof/>
                <w:webHidden/>
              </w:rPr>
              <w:fldChar w:fldCharType="separate"/>
            </w:r>
            <w:r>
              <w:rPr>
                <w:noProof/>
                <w:webHidden/>
              </w:rPr>
              <w:t>6</w:t>
            </w:r>
            <w:r>
              <w:rPr>
                <w:noProof/>
                <w:webHidden/>
              </w:rPr>
              <w:fldChar w:fldCharType="end"/>
            </w:r>
          </w:hyperlink>
        </w:p>
        <w:p w14:paraId="09033319" w14:textId="1E61BDFF" w:rsidR="003A58AC" w:rsidRDefault="003A58AC">
          <w:pPr>
            <w:pStyle w:val="TOC2"/>
            <w:rPr>
              <w:rFonts w:eastAsiaTheme="minorEastAsia"/>
              <w:noProof/>
              <w:kern w:val="2"/>
              <w:sz w:val="24"/>
              <w:szCs w:val="24"/>
              <w:lang w:eastAsia="en-AU"/>
              <w14:ligatures w14:val="standardContextual"/>
            </w:rPr>
          </w:pPr>
          <w:hyperlink w:anchor="_Toc191907862" w:history="1">
            <w:r w:rsidRPr="00AC249F">
              <w:rPr>
                <w:rStyle w:val="Hyperlink"/>
                <w:noProof/>
              </w:rPr>
              <w:t>6.1.</w:t>
            </w:r>
            <w:r>
              <w:rPr>
                <w:rFonts w:eastAsiaTheme="minorEastAsia"/>
                <w:noProof/>
                <w:kern w:val="2"/>
                <w:sz w:val="24"/>
                <w:szCs w:val="24"/>
                <w:lang w:eastAsia="en-AU"/>
                <w14:ligatures w14:val="standardContextual"/>
              </w:rPr>
              <w:tab/>
            </w:r>
            <w:r w:rsidRPr="00AC249F">
              <w:rPr>
                <w:rStyle w:val="Hyperlink"/>
                <w:noProof/>
              </w:rPr>
              <w:t>VPS Code of Conduct</w:t>
            </w:r>
            <w:r>
              <w:rPr>
                <w:noProof/>
                <w:webHidden/>
              </w:rPr>
              <w:tab/>
            </w:r>
            <w:r>
              <w:rPr>
                <w:noProof/>
                <w:webHidden/>
              </w:rPr>
              <w:fldChar w:fldCharType="begin"/>
            </w:r>
            <w:r>
              <w:rPr>
                <w:noProof/>
                <w:webHidden/>
              </w:rPr>
              <w:instrText xml:space="preserve"> PAGEREF _Toc191907862 \h </w:instrText>
            </w:r>
            <w:r>
              <w:rPr>
                <w:noProof/>
                <w:webHidden/>
              </w:rPr>
            </w:r>
            <w:r>
              <w:rPr>
                <w:noProof/>
                <w:webHidden/>
              </w:rPr>
              <w:fldChar w:fldCharType="separate"/>
            </w:r>
            <w:r>
              <w:rPr>
                <w:noProof/>
                <w:webHidden/>
              </w:rPr>
              <w:t>6</w:t>
            </w:r>
            <w:r>
              <w:rPr>
                <w:noProof/>
                <w:webHidden/>
              </w:rPr>
              <w:fldChar w:fldCharType="end"/>
            </w:r>
          </w:hyperlink>
        </w:p>
        <w:p w14:paraId="5ACBE999" w14:textId="701954BC" w:rsidR="003A58AC" w:rsidRDefault="003A58AC">
          <w:pPr>
            <w:pStyle w:val="TOC2"/>
            <w:rPr>
              <w:rFonts w:eastAsiaTheme="minorEastAsia"/>
              <w:noProof/>
              <w:kern w:val="2"/>
              <w:sz w:val="24"/>
              <w:szCs w:val="24"/>
              <w:lang w:eastAsia="en-AU"/>
              <w14:ligatures w14:val="standardContextual"/>
            </w:rPr>
          </w:pPr>
          <w:hyperlink w:anchor="_Toc191907863" w:history="1">
            <w:r w:rsidRPr="00AC249F">
              <w:rPr>
                <w:rStyle w:val="Hyperlink"/>
                <w:noProof/>
              </w:rPr>
              <w:t>6.2.</w:t>
            </w:r>
            <w:r>
              <w:rPr>
                <w:rFonts w:eastAsiaTheme="minorEastAsia"/>
                <w:noProof/>
                <w:kern w:val="2"/>
                <w:sz w:val="24"/>
                <w:szCs w:val="24"/>
                <w:lang w:eastAsia="en-AU"/>
                <w14:ligatures w14:val="standardContextual"/>
              </w:rPr>
              <w:tab/>
            </w:r>
            <w:r w:rsidRPr="00AC249F">
              <w:rPr>
                <w:rStyle w:val="Hyperlink"/>
                <w:noProof/>
              </w:rPr>
              <w:t>Being Alert to Possible Fraudulent Activity</w:t>
            </w:r>
            <w:r>
              <w:rPr>
                <w:noProof/>
                <w:webHidden/>
              </w:rPr>
              <w:tab/>
            </w:r>
            <w:r>
              <w:rPr>
                <w:noProof/>
                <w:webHidden/>
              </w:rPr>
              <w:fldChar w:fldCharType="begin"/>
            </w:r>
            <w:r>
              <w:rPr>
                <w:noProof/>
                <w:webHidden/>
              </w:rPr>
              <w:instrText xml:space="preserve"> PAGEREF _Toc191907863 \h </w:instrText>
            </w:r>
            <w:r>
              <w:rPr>
                <w:noProof/>
                <w:webHidden/>
              </w:rPr>
            </w:r>
            <w:r>
              <w:rPr>
                <w:noProof/>
                <w:webHidden/>
              </w:rPr>
              <w:fldChar w:fldCharType="separate"/>
            </w:r>
            <w:r>
              <w:rPr>
                <w:noProof/>
                <w:webHidden/>
              </w:rPr>
              <w:t>7</w:t>
            </w:r>
            <w:r>
              <w:rPr>
                <w:noProof/>
                <w:webHidden/>
              </w:rPr>
              <w:fldChar w:fldCharType="end"/>
            </w:r>
          </w:hyperlink>
        </w:p>
        <w:p w14:paraId="5BCD702B" w14:textId="2A449588" w:rsidR="003A58AC" w:rsidRDefault="003A58AC">
          <w:pPr>
            <w:pStyle w:val="TOC2"/>
            <w:rPr>
              <w:rFonts w:eastAsiaTheme="minorEastAsia"/>
              <w:noProof/>
              <w:kern w:val="2"/>
              <w:sz w:val="24"/>
              <w:szCs w:val="24"/>
              <w:lang w:eastAsia="en-AU"/>
              <w14:ligatures w14:val="standardContextual"/>
            </w:rPr>
          </w:pPr>
          <w:hyperlink w:anchor="_Toc191907864" w:history="1">
            <w:r w:rsidRPr="00AC249F">
              <w:rPr>
                <w:rStyle w:val="Hyperlink"/>
                <w:noProof/>
              </w:rPr>
              <w:t>6.3.</w:t>
            </w:r>
            <w:r>
              <w:rPr>
                <w:rFonts w:eastAsiaTheme="minorEastAsia"/>
                <w:noProof/>
                <w:kern w:val="2"/>
                <w:sz w:val="24"/>
                <w:szCs w:val="24"/>
                <w:lang w:eastAsia="en-AU"/>
                <w14:ligatures w14:val="standardContextual"/>
              </w:rPr>
              <w:tab/>
            </w:r>
            <w:r w:rsidRPr="00AC249F">
              <w:rPr>
                <w:rStyle w:val="Hyperlink"/>
                <w:noProof/>
              </w:rPr>
              <w:t>Communication</w:t>
            </w:r>
            <w:r>
              <w:rPr>
                <w:noProof/>
                <w:webHidden/>
              </w:rPr>
              <w:tab/>
            </w:r>
            <w:r>
              <w:rPr>
                <w:noProof/>
                <w:webHidden/>
              </w:rPr>
              <w:fldChar w:fldCharType="begin"/>
            </w:r>
            <w:r>
              <w:rPr>
                <w:noProof/>
                <w:webHidden/>
              </w:rPr>
              <w:instrText xml:space="preserve"> PAGEREF _Toc191907864 \h </w:instrText>
            </w:r>
            <w:r>
              <w:rPr>
                <w:noProof/>
                <w:webHidden/>
              </w:rPr>
            </w:r>
            <w:r>
              <w:rPr>
                <w:noProof/>
                <w:webHidden/>
              </w:rPr>
              <w:fldChar w:fldCharType="separate"/>
            </w:r>
            <w:r>
              <w:rPr>
                <w:noProof/>
                <w:webHidden/>
              </w:rPr>
              <w:t>9</w:t>
            </w:r>
            <w:r>
              <w:rPr>
                <w:noProof/>
                <w:webHidden/>
              </w:rPr>
              <w:fldChar w:fldCharType="end"/>
            </w:r>
          </w:hyperlink>
        </w:p>
        <w:p w14:paraId="7354F670" w14:textId="18CC4A35" w:rsidR="003A58AC" w:rsidRDefault="003A58AC">
          <w:pPr>
            <w:pStyle w:val="TOC2"/>
            <w:rPr>
              <w:rFonts w:eastAsiaTheme="minorEastAsia"/>
              <w:noProof/>
              <w:kern w:val="2"/>
              <w:sz w:val="24"/>
              <w:szCs w:val="24"/>
              <w:lang w:eastAsia="en-AU"/>
              <w14:ligatures w14:val="standardContextual"/>
            </w:rPr>
          </w:pPr>
          <w:hyperlink w:anchor="_Toc191907865" w:history="1">
            <w:r w:rsidRPr="00AC249F">
              <w:rPr>
                <w:rStyle w:val="Hyperlink"/>
                <w:noProof/>
              </w:rPr>
              <w:t>6.4.</w:t>
            </w:r>
            <w:r>
              <w:rPr>
                <w:rFonts w:eastAsiaTheme="minorEastAsia"/>
                <w:noProof/>
                <w:kern w:val="2"/>
                <w:sz w:val="24"/>
                <w:szCs w:val="24"/>
                <w:lang w:eastAsia="en-AU"/>
                <w14:ligatures w14:val="standardContextual"/>
              </w:rPr>
              <w:tab/>
            </w:r>
            <w:r w:rsidRPr="00AC249F">
              <w:rPr>
                <w:rStyle w:val="Hyperlink"/>
                <w:noProof/>
              </w:rPr>
              <w:t>Personnel Security Clearances</w:t>
            </w:r>
            <w:r>
              <w:rPr>
                <w:noProof/>
                <w:webHidden/>
              </w:rPr>
              <w:tab/>
            </w:r>
            <w:r>
              <w:rPr>
                <w:noProof/>
                <w:webHidden/>
              </w:rPr>
              <w:fldChar w:fldCharType="begin"/>
            </w:r>
            <w:r>
              <w:rPr>
                <w:noProof/>
                <w:webHidden/>
              </w:rPr>
              <w:instrText xml:space="preserve"> PAGEREF _Toc191907865 \h </w:instrText>
            </w:r>
            <w:r>
              <w:rPr>
                <w:noProof/>
                <w:webHidden/>
              </w:rPr>
            </w:r>
            <w:r>
              <w:rPr>
                <w:noProof/>
                <w:webHidden/>
              </w:rPr>
              <w:fldChar w:fldCharType="separate"/>
            </w:r>
            <w:r>
              <w:rPr>
                <w:noProof/>
                <w:webHidden/>
              </w:rPr>
              <w:t>9</w:t>
            </w:r>
            <w:r>
              <w:rPr>
                <w:noProof/>
                <w:webHidden/>
              </w:rPr>
              <w:fldChar w:fldCharType="end"/>
            </w:r>
          </w:hyperlink>
        </w:p>
        <w:p w14:paraId="1D7F1835" w14:textId="3FC1A01B" w:rsidR="003A58AC" w:rsidRDefault="003A58AC">
          <w:pPr>
            <w:pStyle w:val="TOC1"/>
            <w:rPr>
              <w:rFonts w:eastAsiaTheme="minorEastAsia"/>
              <w:noProof/>
              <w:color w:val="auto"/>
              <w:kern w:val="2"/>
              <w:szCs w:val="24"/>
              <w:lang w:eastAsia="en-AU"/>
              <w14:ligatures w14:val="standardContextual"/>
            </w:rPr>
          </w:pPr>
          <w:hyperlink w:anchor="_Toc191907866" w:history="1">
            <w:r w:rsidRPr="00AC249F">
              <w:rPr>
                <w:rStyle w:val="Hyperlink"/>
                <w:noProof/>
              </w:rPr>
              <w:t>7.</w:t>
            </w:r>
            <w:r>
              <w:rPr>
                <w:rFonts w:eastAsiaTheme="minorEastAsia"/>
                <w:noProof/>
                <w:color w:val="auto"/>
                <w:kern w:val="2"/>
                <w:szCs w:val="24"/>
                <w:lang w:eastAsia="en-AU"/>
                <w14:ligatures w14:val="standardContextual"/>
              </w:rPr>
              <w:tab/>
            </w:r>
            <w:r w:rsidRPr="00AC249F">
              <w:rPr>
                <w:rStyle w:val="Hyperlink"/>
                <w:noProof/>
              </w:rPr>
              <w:t>External Fraud Prevention Measures</w:t>
            </w:r>
            <w:r>
              <w:rPr>
                <w:noProof/>
                <w:webHidden/>
              </w:rPr>
              <w:tab/>
            </w:r>
            <w:r>
              <w:rPr>
                <w:noProof/>
                <w:webHidden/>
              </w:rPr>
              <w:fldChar w:fldCharType="begin"/>
            </w:r>
            <w:r>
              <w:rPr>
                <w:noProof/>
                <w:webHidden/>
              </w:rPr>
              <w:instrText xml:space="preserve"> PAGEREF _Toc191907866 \h </w:instrText>
            </w:r>
            <w:r>
              <w:rPr>
                <w:noProof/>
                <w:webHidden/>
              </w:rPr>
            </w:r>
            <w:r>
              <w:rPr>
                <w:noProof/>
                <w:webHidden/>
              </w:rPr>
              <w:fldChar w:fldCharType="separate"/>
            </w:r>
            <w:r>
              <w:rPr>
                <w:noProof/>
                <w:webHidden/>
              </w:rPr>
              <w:t>9</w:t>
            </w:r>
            <w:r>
              <w:rPr>
                <w:noProof/>
                <w:webHidden/>
              </w:rPr>
              <w:fldChar w:fldCharType="end"/>
            </w:r>
          </w:hyperlink>
        </w:p>
        <w:p w14:paraId="2FD063ED" w14:textId="284945A0" w:rsidR="003A58AC" w:rsidRDefault="003A58AC">
          <w:pPr>
            <w:pStyle w:val="TOC1"/>
            <w:rPr>
              <w:rFonts w:eastAsiaTheme="minorEastAsia"/>
              <w:noProof/>
              <w:color w:val="auto"/>
              <w:kern w:val="2"/>
              <w:szCs w:val="24"/>
              <w:lang w:eastAsia="en-AU"/>
              <w14:ligatures w14:val="standardContextual"/>
            </w:rPr>
          </w:pPr>
          <w:hyperlink w:anchor="_Toc191907867" w:history="1">
            <w:r w:rsidRPr="00AC249F">
              <w:rPr>
                <w:rStyle w:val="Hyperlink"/>
                <w:noProof/>
              </w:rPr>
              <w:t>8.</w:t>
            </w:r>
            <w:r>
              <w:rPr>
                <w:rFonts w:eastAsiaTheme="minorEastAsia"/>
                <w:noProof/>
                <w:color w:val="auto"/>
                <w:kern w:val="2"/>
                <w:szCs w:val="24"/>
                <w:lang w:eastAsia="en-AU"/>
                <w14:ligatures w14:val="standardContextual"/>
              </w:rPr>
              <w:tab/>
            </w:r>
            <w:r w:rsidRPr="00AC249F">
              <w:rPr>
                <w:rStyle w:val="Hyperlink"/>
                <w:noProof/>
              </w:rPr>
              <w:t>Reporting Fraudulent Conduct</w:t>
            </w:r>
            <w:r>
              <w:rPr>
                <w:noProof/>
                <w:webHidden/>
              </w:rPr>
              <w:tab/>
            </w:r>
            <w:r>
              <w:rPr>
                <w:noProof/>
                <w:webHidden/>
              </w:rPr>
              <w:fldChar w:fldCharType="begin"/>
            </w:r>
            <w:r>
              <w:rPr>
                <w:noProof/>
                <w:webHidden/>
              </w:rPr>
              <w:instrText xml:space="preserve"> PAGEREF _Toc191907867 \h </w:instrText>
            </w:r>
            <w:r>
              <w:rPr>
                <w:noProof/>
                <w:webHidden/>
              </w:rPr>
            </w:r>
            <w:r>
              <w:rPr>
                <w:noProof/>
                <w:webHidden/>
              </w:rPr>
              <w:fldChar w:fldCharType="separate"/>
            </w:r>
            <w:r>
              <w:rPr>
                <w:noProof/>
                <w:webHidden/>
              </w:rPr>
              <w:t>10</w:t>
            </w:r>
            <w:r>
              <w:rPr>
                <w:noProof/>
                <w:webHidden/>
              </w:rPr>
              <w:fldChar w:fldCharType="end"/>
            </w:r>
          </w:hyperlink>
        </w:p>
        <w:p w14:paraId="68963730" w14:textId="685FC649" w:rsidR="003A58AC" w:rsidRDefault="003A58AC">
          <w:pPr>
            <w:pStyle w:val="TOC2"/>
            <w:rPr>
              <w:rFonts w:eastAsiaTheme="minorEastAsia"/>
              <w:noProof/>
              <w:kern w:val="2"/>
              <w:sz w:val="24"/>
              <w:szCs w:val="24"/>
              <w:lang w:eastAsia="en-AU"/>
              <w14:ligatures w14:val="standardContextual"/>
            </w:rPr>
          </w:pPr>
          <w:hyperlink w:anchor="_Toc191907868" w:history="1">
            <w:r w:rsidRPr="00AC249F">
              <w:rPr>
                <w:rStyle w:val="Hyperlink"/>
                <w:noProof/>
              </w:rPr>
              <w:t>8.1.</w:t>
            </w:r>
            <w:r>
              <w:rPr>
                <w:rFonts w:eastAsiaTheme="minorEastAsia"/>
                <w:noProof/>
                <w:kern w:val="2"/>
                <w:sz w:val="24"/>
                <w:szCs w:val="24"/>
                <w:lang w:eastAsia="en-AU"/>
                <w14:ligatures w14:val="standardContextual"/>
              </w:rPr>
              <w:tab/>
            </w:r>
            <w:r w:rsidRPr="00AC249F">
              <w:rPr>
                <w:rStyle w:val="Hyperlink"/>
                <w:noProof/>
              </w:rPr>
              <w:t>Formal Incident Reporting</w:t>
            </w:r>
            <w:r>
              <w:rPr>
                <w:noProof/>
                <w:webHidden/>
              </w:rPr>
              <w:tab/>
            </w:r>
            <w:r>
              <w:rPr>
                <w:noProof/>
                <w:webHidden/>
              </w:rPr>
              <w:fldChar w:fldCharType="begin"/>
            </w:r>
            <w:r>
              <w:rPr>
                <w:noProof/>
                <w:webHidden/>
              </w:rPr>
              <w:instrText xml:space="preserve"> PAGEREF _Toc191907868 \h </w:instrText>
            </w:r>
            <w:r>
              <w:rPr>
                <w:noProof/>
                <w:webHidden/>
              </w:rPr>
            </w:r>
            <w:r>
              <w:rPr>
                <w:noProof/>
                <w:webHidden/>
              </w:rPr>
              <w:fldChar w:fldCharType="separate"/>
            </w:r>
            <w:r>
              <w:rPr>
                <w:noProof/>
                <w:webHidden/>
              </w:rPr>
              <w:t>10</w:t>
            </w:r>
            <w:r>
              <w:rPr>
                <w:noProof/>
                <w:webHidden/>
              </w:rPr>
              <w:fldChar w:fldCharType="end"/>
            </w:r>
          </w:hyperlink>
        </w:p>
        <w:p w14:paraId="49A98ACC" w14:textId="2BAB3C86" w:rsidR="00DE59FB" w:rsidRDefault="00DE59FB">
          <w:r>
            <w:rPr>
              <w:b/>
              <w:bCs/>
              <w:lang w:val="en-GB"/>
            </w:rPr>
            <w:fldChar w:fldCharType="end"/>
          </w:r>
        </w:p>
      </w:sdtContent>
    </w:sdt>
    <w:p w14:paraId="083E912D" w14:textId="77777777" w:rsidR="006C37AF" w:rsidRDefault="006C37AF">
      <w:pPr>
        <w:spacing w:before="0" w:after="160" w:line="259" w:lineRule="auto"/>
      </w:pPr>
      <w:r>
        <w:br w:type="page"/>
      </w:r>
    </w:p>
    <w:p w14:paraId="4BB9F4BE" w14:textId="5F0A57FA" w:rsidR="008C169D" w:rsidRDefault="008C169D" w:rsidP="008C169D">
      <w:pPr>
        <w:pStyle w:val="Heading1"/>
        <w:numPr>
          <w:ilvl w:val="0"/>
          <w:numId w:val="37"/>
        </w:numPr>
        <w:ind w:left="851" w:hanging="851"/>
      </w:pPr>
      <w:bookmarkStart w:id="0" w:name="_Toc163817239"/>
      <w:bookmarkStart w:id="1" w:name="_Toc191907856"/>
      <w:r>
        <w:lastRenderedPageBreak/>
        <w:t>Purpose</w:t>
      </w:r>
      <w:bookmarkEnd w:id="0"/>
      <w:bookmarkEnd w:id="1"/>
    </w:p>
    <w:p w14:paraId="37EEE8DA" w14:textId="160EF2CE" w:rsidR="008C169D" w:rsidRDefault="008C169D" w:rsidP="008C169D">
      <w:bookmarkStart w:id="2" w:name="_Hlk191295754"/>
      <w:r>
        <w:t>The purpose of this policy, to</w:t>
      </w:r>
      <w:r w:rsidR="00A456B8">
        <w:t>:</w:t>
      </w:r>
    </w:p>
    <w:p w14:paraId="6367C624" w14:textId="1F25B15B" w:rsidR="008C169D" w:rsidRDefault="008C169D" w:rsidP="008C169D">
      <w:pPr>
        <w:pStyle w:val="ListBullet"/>
      </w:pPr>
      <w:r>
        <w:t xml:space="preserve">provide guidance on OVIC’s fraud and corruption prevention, detection and reporting processes </w:t>
      </w:r>
    </w:p>
    <w:p w14:paraId="1F292FD7" w14:textId="4986E540" w:rsidR="008C169D" w:rsidRDefault="008C169D" w:rsidP="008C169D">
      <w:pPr>
        <w:pStyle w:val="ListBullet"/>
      </w:pPr>
      <w:r>
        <w:t>advise employees, contractors and consultants who work for the Office of the Victorian Information Commissioner (</w:t>
      </w:r>
      <w:r w:rsidRPr="008C169D">
        <w:rPr>
          <w:b/>
          <w:bCs/>
        </w:rPr>
        <w:t>OVIC</w:t>
      </w:r>
      <w:r>
        <w:t xml:space="preserve">) that OVIC has zero tolerance for any fraudulent conduct. </w:t>
      </w:r>
    </w:p>
    <w:p w14:paraId="2510B9B0" w14:textId="3FE640AB" w:rsidR="008C169D" w:rsidRDefault="004B43BD" w:rsidP="008C169D">
      <w:pPr>
        <w:pStyle w:val="Heading1"/>
        <w:numPr>
          <w:ilvl w:val="0"/>
          <w:numId w:val="37"/>
        </w:numPr>
        <w:ind w:left="851" w:hanging="851"/>
      </w:pPr>
      <w:bookmarkStart w:id="3" w:name="_Toc163813143"/>
      <w:bookmarkStart w:id="4" w:name="_Toc163817240"/>
      <w:bookmarkStart w:id="5" w:name="_Toc163813144"/>
      <w:bookmarkStart w:id="6" w:name="_Toc163817241"/>
      <w:bookmarkStart w:id="7" w:name="_Toc163813145"/>
      <w:bookmarkStart w:id="8" w:name="_Toc163817242"/>
      <w:bookmarkStart w:id="9" w:name="_Toc163813146"/>
      <w:bookmarkStart w:id="10" w:name="_Toc163817243"/>
      <w:bookmarkStart w:id="11" w:name="_Toc163813147"/>
      <w:bookmarkStart w:id="12" w:name="_Toc163817244"/>
      <w:bookmarkStart w:id="13" w:name="_Toc163813148"/>
      <w:bookmarkStart w:id="14" w:name="_Toc163817245"/>
      <w:bookmarkStart w:id="15" w:name="_Toc163817246"/>
      <w:bookmarkStart w:id="16" w:name="_Toc191907857"/>
      <w:bookmarkEnd w:id="2"/>
      <w:bookmarkEnd w:id="3"/>
      <w:bookmarkEnd w:id="4"/>
      <w:bookmarkEnd w:id="5"/>
      <w:bookmarkEnd w:id="6"/>
      <w:bookmarkEnd w:id="7"/>
      <w:bookmarkEnd w:id="8"/>
      <w:bookmarkEnd w:id="9"/>
      <w:bookmarkEnd w:id="10"/>
      <w:bookmarkEnd w:id="11"/>
      <w:bookmarkEnd w:id="12"/>
      <w:bookmarkEnd w:id="13"/>
      <w:bookmarkEnd w:id="14"/>
      <w:r>
        <w:t>Scope</w:t>
      </w:r>
      <w:bookmarkEnd w:id="15"/>
      <w:bookmarkEnd w:id="16"/>
    </w:p>
    <w:p w14:paraId="0DB04E56" w14:textId="27659225" w:rsidR="008C169D" w:rsidRDefault="008C169D" w:rsidP="008C169D">
      <w:r>
        <w:t xml:space="preserve">This policy applies to all </w:t>
      </w:r>
      <w:r w:rsidR="009D0BC6">
        <w:t xml:space="preserve">statutory office holders and </w:t>
      </w:r>
      <w:r>
        <w:t xml:space="preserve">employees, </w:t>
      </w:r>
      <w:r w:rsidR="009D0BC6">
        <w:t xml:space="preserve">and relevant </w:t>
      </w:r>
      <w:r>
        <w:t>contractors and consultants of the OVIC.</w:t>
      </w:r>
    </w:p>
    <w:p w14:paraId="6A76D701" w14:textId="37EF8FA3" w:rsidR="00B16E6C" w:rsidRPr="00B16E6C" w:rsidRDefault="00B16E6C" w:rsidP="009E10A1">
      <w:pPr>
        <w:pStyle w:val="Heading1"/>
        <w:numPr>
          <w:ilvl w:val="0"/>
          <w:numId w:val="37"/>
        </w:numPr>
        <w:ind w:left="851" w:hanging="851"/>
      </w:pPr>
      <w:bookmarkStart w:id="17" w:name="_Toc163817247"/>
      <w:bookmarkStart w:id="18" w:name="_Toc163817248"/>
      <w:bookmarkStart w:id="19" w:name="_Toc191907858"/>
      <w:bookmarkEnd w:id="17"/>
      <w:r w:rsidRPr="00B16E6C">
        <w:t>Definitions</w:t>
      </w:r>
      <w:bookmarkEnd w:id="18"/>
      <w:bookmarkEnd w:id="19"/>
    </w:p>
    <w:tbl>
      <w:tblPr>
        <w:tblW w:w="0" w:type="auto"/>
        <w:tblLayout w:type="fixed"/>
        <w:tblCellMar>
          <w:left w:w="0" w:type="dxa"/>
          <w:right w:w="0" w:type="dxa"/>
        </w:tblCellMar>
        <w:tblLook w:val="0000" w:firstRow="0" w:lastRow="0" w:firstColumn="0" w:lastColumn="0" w:noHBand="0" w:noVBand="0"/>
      </w:tblPr>
      <w:tblGrid>
        <w:gridCol w:w="2498"/>
        <w:gridCol w:w="6572"/>
      </w:tblGrid>
      <w:tr w:rsidR="00B16E6C" w14:paraId="20F1B0B0" w14:textId="77777777">
        <w:tc>
          <w:tcPr>
            <w:tcW w:w="2498" w:type="dxa"/>
            <w:tcBorders>
              <w:top w:val="single" w:sz="12" w:space="0" w:color="000000"/>
              <w:left w:val="nil"/>
              <w:bottom w:val="single" w:sz="12" w:space="0" w:color="000000"/>
              <w:right w:val="single" w:sz="6" w:space="0" w:color="C0C0C0"/>
            </w:tcBorders>
          </w:tcPr>
          <w:p w14:paraId="6C2336A0" w14:textId="77777777" w:rsidR="00B16E6C" w:rsidRDefault="00B16E6C" w:rsidP="0004563C">
            <w:pPr>
              <w:autoSpaceDE w:val="0"/>
              <w:autoSpaceDN w:val="0"/>
              <w:adjustRightInd w:val="0"/>
              <w:spacing w:before="0" w:after="120" w:line="240" w:lineRule="auto"/>
              <w:ind w:left="142"/>
              <w:rPr>
                <w:rFonts w:ascii="Calibri Light" w:hAnsi="Calibri Light" w:cs="Calibri Light"/>
                <w:b/>
                <w:bCs/>
                <w:sz w:val="18"/>
                <w:szCs w:val="18"/>
              </w:rPr>
            </w:pPr>
            <w:r>
              <w:rPr>
                <w:rFonts w:ascii="Calibri Light" w:hAnsi="Calibri Light" w:cs="Calibri Light"/>
                <w:b/>
                <w:bCs/>
                <w:sz w:val="18"/>
                <w:szCs w:val="18"/>
              </w:rPr>
              <w:t>Term</w:t>
            </w:r>
          </w:p>
        </w:tc>
        <w:tc>
          <w:tcPr>
            <w:tcW w:w="6572" w:type="dxa"/>
            <w:tcBorders>
              <w:top w:val="single" w:sz="12" w:space="0" w:color="000000"/>
              <w:left w:val="single" w:sz="6" w:space="0" w:color="C0C0C0"/>
              <w:bottom w:val="single" w:sz="12" w:space="0" w:color="000000"/>
              <w:right w:val="nil"/>
            </w:tcBorders>
          </w:tcPr>
          <w:p w14:paraId="1DF37C3B" w14:textId="77777777" w:rsidR="00B16E6C" w:rsidRDefault="00B16E6C" w:rsidP="0004563C">
            <w:pPr>
              <w:autoSpaceDE w:val="0"/>
              <w:autoSpaceDN w:val="0"/>
              <w:adjustRightInd w:val="0"/>
              <w:spacing w:before="0" w:after="0" w:line="240" w:lineRule="auto"/>
              <w:ind w:left="198"/>
              <w:rPr>
                <w:rFonts w:ascii="Calibri Light" w:hAnsi="Calibri Light" w:cs="Calibri Light"/>
                <w:b/>
                <w:bCs/>
                <w:sz w:val="18"/>
                <w:szCs w:val="18"/>
              </w:rPr>
            </w:pPr>
            <w:r>
              <w:rPr>
                <w:rFonts w:ascii="Calibri Light" w:hAnsi="Calibri Light" w:cs="Calibri Light"/>
                <w:b/>
                <w:bCs/>
                <w:sz w:val="18"/>
                <w:szCs w:val="18"/>
              </w:rPr>
              <w:t>Definition</w:t>
            </w:r>
          </w:p>
        </w:tc>
      </w:tr>
      <w:tr w:rsidR="00B16E6C" w14:paraId="60A17C47" w14:textId="77777777">
        <w:tc>
          <w:tcPr>
            <w:tcW w:w="2498" w:type="dxa"/>
            <w:tcBorders>
              <w:top w:val="single" w:sz="6" w:space="0" w:color="000000"/>
              <w:left w:val="nil"/>
              <w:bottom w:val="single" w:sz="6" w:space="0" w:color="000000"/>
              <w:right w:val="single" w:sz="6" w:space="0" w:color="C0C0C0"/>
            </w:tcBorders>
          </w:tcPr>
          <w:p w14:paraId="41A1536E" w14:textId="3000C678" w:rsidR="00B16E6C" w:rsidRDefault="00B16E6C" w:rsidP="0004563C">
            <w:pPr>
              <w:autoSpaceDE w:val="0"/>
              <w:autoSpaceDN w:val="0"/>
              <w:adjustRightInd w:val="0"/>
              <w:spacing w:before="0" w:after="0" w:line="240" w:lineRule="auto"/>
              <w:ind w:left="142"/>
              <w:rPr>
                <w:rFonts w:ascii="Calibri Light" w:hAnsi="Calibri Light" w:cs="Calibri Light"/>
                <w:b/>
                <w:bCs/>
                <w:sz w:val="18"/>
                <w:szCs w:val="18"/>
              </w:rPr>
            </w:pPr>
            <w:r>
              <w:rPr>
                <w:rFonts w:ascii="Calibri Light" w:hAnsi="Calibri Light" w:cs="Calibri Light"/>
                <w:b/>
                <w:bCs/>
                <w:sz w:val="18"/>
                <w:szCs w:val="18"/>
              </w:rPr>
              <w:t>Fraud</w:t>
            </w:r>
          </w:p>
        </w:tc>
        <w:tc>
          <w:tcPr>
            <w:tcW w:w="6572" w:type="dxa"/>
            <w:tcBorders>
              <w:top w:val="single" w:sz="6" w:space="0" w:color="000000"/>
              <w:left w:val="single" w:sz="6" w:space="0" w:color="C0C0C0"/>
              <w:bottom w:val="single" w:sz="6" w:space="0" w:color="000000"/>
              <w:right w:val="nil"/>
            </w:tcBorders>
          </w:tcPr>
          <w:p w14:paraId="376F8C43" w14:textId="2FA69695" w:rsidR="00B16E6C" w:rsidRPr="00A4030C" w:rsidRDefault="00B16E6C" w:rsidP="00A4030C">
            <w:pPr>
              <w:ind w:left="190"/>
              <w:rPr>
                <w:sz w:val="18"/>
                <w:szCs w:val="18"/>
              </w:rPr>
            </w:pPr>
            <w:r w:rsidRPr="00A4030C">
              <w:rPr>
                <w:sz w:val="18"/>
                <w:szCs w:val="18"/>
              </w:rPr>
              <w:t xml:space="preserve">The Guidance supporting the Standing Directions 2018 </w:t>
            </w:r>
            <w:r w:rsidR="0050642B" w:rsidRPr="00A4030C">
              <w:rPr>
                <w:sz w:val="18"/>
                <w:szCs w:val="18"/>
              </w:rPr>
              <w:t>u</w:t>
            </w:r>
            <w:r w:rsidRPr="00A4030C">
              <w:rPr>
                <w:sz w:val="18"/>
                <w:szCs w:val="18"/>
              </w:rPr>
              <w:t xml:space="preserve">nder the </w:t>
            </w:r>
            <w:r w:rsidRPr="00A4030C">
              <w:rPr>
                <w:i/>
                <w:iCs/>
                <w:sz w:val="18"/>
                <w:szCs w:val="18"/>
              </w:rPr>
              <w:t>Financial Management Act 1994</w:t>
            </w:r>
            <w:r w:rsidRPr="00A4030C">
              <w:rPr>
                <w:sz w:val="18"/>
                <w:szCs w:val="18"/>
              </w:rPr>
              <w:t xml:space="preserve"> of the Minister for Finance 2016 </w:t>
            </w:r>
            <w:r w:rsidR="0050642B" w:rsidRPr="00A4030C">
              <w:rPr>
                <w:sz w:val="18"/>
                <w:szCs w:val="18"/>
              </w:rPr>
              <w:t>state</w:t>
            </w:r>
            <w:r w:rsidR="00CD38F0">
              <w:rPr>
                <w:sz w:val="18"/>
                <w:szCs w:val="18"/>
              </w:rPr>
              <w:t>s</w:t>
            </w:r>
            <w:r w:rsidRPr="00A4030C">
              <w:rPr>
                <w:sz w:val="18"/>
                <w:szCs w:val="18"/>
              </w:rPr>
              <w:t xml:space="preserve"> that this policy should be consistent with the Australian Standard for Fraud and Corruption Control (AS 8001‐2008). That Standard defines ‘fraud’ as dishonest activity causing actual or potential financial loss, including theft of monies or other property by employees or persons external to the entity and where deception is used at the time, immediately before or immediately following the activity. This includes:</w:t>
            </w:r>
          </w:p>
          <w:p w14:paraId="4D64C6B2" w14:textId="77777777" w:rsidR="00B16E6C" w:rsidRPr="00A4030C" w:rsidRDefault="00B16E6C" w:rsidP="00DD7D58">
            <w:pPr>
              <w:pStyle w:val="ListBullet"/>
              <w:numPr>
                <w:ilvl w:val="0"/>
                <w:numId w:val="43"/>
              </w:numPr>
              <w:rPr>
                <w:sz w:val="18"/>
                <w:szCs w:val="18"/>
              </w:rPr>
            </w:pPr>
            <w:r w:rsidRPr="00A4030C">
              <w:rPr>
                <w:sz w:val="18"/>
                <w:szCs w:val="18"/>
              </w:rPr>
              <w:t>the deliberate falsification, concealment, destruction or use of falsified documentation used or intended for use for a normal business purpose</w:t>
            </w:r>
          </w:p>
          <w:p w14:paraId="650A8BC9" w14:textId="6AD0E41F" w:rsidR="00B16E6C" w:rsidRPr="00A4030C" w:rsidRDefault="00B16E6C" w:rsidP="00DD7D58">
            <w:pPr>
              <w:pStyle w:val="ListBullet"/>
              <w:numPr>
                <w:ilvl w:val="0"/>
                <w:numId w:val="43"/>
              </w:numPr>
              <w:spacing w:after="120"/>
              <w:rPr>
                <w:rFonts w:ascii="Calibri Light" w:hAnsi="Calibri Light" w:cs="Calibri Light"/>
                <w:sz w:val="18"/>
                <w:szCs w:val="18"/>
              </w:rPr>
            </w:pPr>
            <w:r w:rsidRPr="00A4030C">
              <w:rPr>
                <w:sz w:val="18"/>
                <w:szCs w:val="18"/>
              </w:rPr>
              <w:t>the improper use of information or position for personal financial benefit.</w:t>
            </w:r>
          </w:p>
        </w:tc>
      </w:tr>
      <w:tr w:rsidR="00B16E6C" w14:paraId="7561FBF9" w14:textId="77777777">
        <w:tc>
          <w:tcPr>
            <w:tcW w:w="2498" w:type="dxa"/>
            <w:tcBorders>
              <w:top w:val="single" w:sz="6" w:space="0" w:color="000000"/>
              <w:left w:val="nil"/>
              <w:bottom w:val="single" w:sz="6" w:space="0" w:color="000000"/>
              <w:right w:val="single" w:sz="6" w:space="0" w:color="C0C0C0"/>
            </w:tcBorders>
          </w:tcPr>
          <w:p w14:paraId="73140DD3" w14:textId="77777777" w:rsidR="00B16E6C" w:rsidRDefault="00B16E6C" w:rsidP="0004563C">
            <w:pPr>
              <w:autoSpaceDE w:val="0"/>
              <w:autoSpaceDN w:val="0"/>
              <w:adjustRightInd w:val="0"/>
              <w:spacing w:before="0" w:after="0" w:line="240" w:lineRule="auto"/>
              <w:ind w:left="142"/>
              <w:rPr>
                <w:rFonts w:ascii="Calibri Light" w:hAnsi="Calibri Light" w:cs="Calibri Light"/>
                <w:b/>
                <w:bCs/>
                <w:sz w:val="18"/>
                <w:szCs w:val="18"/>
              </w:rPr>
            </w:pPr>
            <w:r>
              <w:rPr>
                <w:rFonts w:ascii="Calibri Light" w:hAnsi="Calibri Light" w:cs="Calibri Light"/>
                <w:b/>
                <w:bCs/>
                <w:sz w:val="18"/>
                <w:szCs w:val="18"/>
              </w:rPr>
              <w:t>Employees</w:t>
            </w:r>
          </w:p>
        </w:tc>
        <w:tc>
          <w:tcPr>
            <w:tcW w:w="6572" w:type="dxa"/>
            <w:tcBorders>
              <w:top w:val="single" w:sz="6" w:space="0" w:color="000000"/>
              <w:left w:val="single" w:sz="6" w:space="0" w:color="C0C0C0"/>
              <w:bottom w:val="single" w:sz="6" w:space="0" w:color="000000"/>
              <w:right w:val="nil"/>
            </w:tcBorders>
          </w:tcPr>
          <w:p w14:paraId="63635934" w14:textId="1F0B1D2F" w:rsidR="00B16E6C" w:rsidRPr="00A4030C" w:rsidRDefault="00B326CB" w:rsidP="00A4030C">
            <w:pPr>
              <w:autoSpaceDE w:val="0"/>
              <w:autoSpaceDN w:val="0"/>
              <w:adjustRightInd w:val="0"/>
              <w:spacing w:after="120" w:line="240" w:lineRule="auto"/>
              <w:ind w:left="190"/>
              <w:rPr>
                <w:sz w:val="18"/>
                <w:szCs w:val="18"/>
              </w:rPr>
            </w:pPr>
            <w:r>
              <w:rPr>
                <w:sz w:val="18"/>
                <w:szCs w:val="18"/>
              </w:rPr>
              <w:t>M</w:t>
            </w:r>
            <w:r w:rsidR="00B16E6C" w:rsidRPr="00A4030C">
              <w:rPr>
                <w:sz w:val="18"/>
                <w:szCs w:val="18"/>
              </w:rPr>
              <w:t>eans the Information Commissioner, Privacy and Data Protection Deputy Commissioner, the Public Access Deputy Commissioner, and any person appointed to act as a Statutory Office Holder as well as OVIC direct employees, secondees, interns, volunteers, contractors, sub-contractors and consultants (whether directly and indirectly engaged).</w:t>
            </w:r>
          </w:p>
        </w:tc>
      </w:tr>
    </w:tbl>
    <w:p w14:paraId="0F78F1F4" w14:textId="403E80F5" w:rsidR="00A456B8" w:rsidRDefault="003230C3" w:rsidP="00A456B8">
      <w:pPr>
        <w:pStyle w:val="Heading1"/>
        <w:numPr>
          <w:ilvl w:val="0"/>
          <w:numId w:val="37"/>
        </w:numPr>
        <w:ind w:left="851" w:hanging="851"/>
      </w:pPr>
      <w:bookmarkStart w:id="20" w:name="_Toc163817252"/>
      <w:bookmarkStart w:id="21" w:name="_Toc191907859"/>
      <w:r>
        <w:t>R</w:t>
      </w:r>
      <w:r w:rsidR="00A456B8">
        <w:t>elated documents</w:t>
      </w:r>
      <w:bookmarkEnd w:id="20"/>
      <w:bookmarkEnd w:id="21"/>
    </w:p>
    <w:p w14:paraId="2DE6CC9F" w14:textId="77777777" w:rsidR="00A456B8" w:rsidRDefault="00A456B8" w:rsidP="00A456B8">
      <w:r>
        <w:t>This policy should be read in conjunction with other relevant OVIC policies, procedures and practices that apply to OVIC, including:</w:t>
      </w:r>
    </w:p>
    <w:p w14:paraId="565C9862" w14:textId="673069AC" w:rsidR="00712676" w:rsidRDefault="00712676" w:rsidP="00A456B8">
      <w:pPr>
        <w:pStyle w:val="ListBullet"/>
      </w:pPr>
      <w:r>
        <w:lastRenderedPageBreak/>
        <w:t>Fraud Procedure</w:t>
      </w:r>
    </w:p>
    <w:p w14:paraId="0A44C555" w14:textId="68AD2B22" w:rsidR="00A456B8" w:rsidRDefault="00A456B8" w:rsidP="00A456B8">
      <w:pPr>
        <w:pStyle w:val="ListBullet"/>
      </w:pPr>
      <w:r>
        <w:t>Public Interest Disclosure Policy</w:t>
      </w:r>
    </w:p>
    <w:p w14:paraId="0B5311FE" w14:textId="77777777" w:rsidR="00A456B8" w:rsidRDefault="00A456B8" w:rsidP="00A456B8">
      <w:pPr>
        <w:pStyle w:val="ListBullet"/>
      </w:pPr>
      <w:r>
        <w:t xml:space="preserve">Conflict of Interest Policy </w:t>
      </w:r>
    </w:p>
    <w:p w14:paraId="0CE5F506" w14:textId="77777777" w:rsidR="00A456B8" w:rsidRDefault="00A456B8" w:rsidP="00A456B8">
      <w:pPr>
        <w:pStyle w:val="ListBullet"/>
      </w:pPr>
      <w:r>
        <w:t>Purchase Card Policy</w:t>
      </w:r>
    </w:p>
    <w:p w14:paraId="6CF5A00C" w14:textId="77777777" w:rsidR="00A456B8" w:rsidRDefault="00A456B8" w:rsidP="00A456B8">
      <w:pPr>
        <w:pStyle w:val="ListBullet"/>
      </w:pPr>
      <w:r>
        <w:t xml:space="preserve">Gifts Benefits and Hospitality Policy and Procedures </w:t>
      </w:r>
    </w:p>
    <w:p w14:paraId="2609E765" w14:textId="77777777" w:rsidR="00A456B8" w:rsidRDefault="00A456B8" w:rsidP="00A456B8">
      <w:pPr>
        <w:pStyle w:val="ListBullet"/>
      </w:pPr>
      <w:r>
        <w:t xml:space="preserve">VPS </w:t>
      </w:r>
      <w:r w:rsidRPr="00B6262D">
        <w:t>Code of conduct for Victorian public sector employees of special bodies</w:t>
      </w:r>
      <w:r>
        <w:t>.</w:t>
      </w:r>
    </w:p>
    <w:p w14:paraId="6292E2EA" w14:textId="6CF6933E" w:rsidR="009E10A1" w:rsidRDefault="009E10A1" w:rsidP="00A456B8">
      <w:pPr>
        <w:pStyle w:val="ListBullet"/>
      </w:pPr>
      <w:r>
        <w:t>Personnel Security Policy and Procedures</w:t>
      </w:r>
    </w:p>
    <w:p w14:paraId="58516D9E" w14:textId="77777777" w:rsidR="00A456B8" w:rsidRPr="003230C3" w:rsidRDefault="00A456B8" w:rsidP="008C169D">
      <w:pPr>
        <w:pStyle w:val="Heading1"/>
        <w:numPr>
          <w:ilvl w:val="0"/>
          <w:numId w:val="37"/>
        </w:numPr>
        <w:ind w:left="851" w:hanging="851"/>
      </w:pPr>
      <w:bookmarkStart w:id="22" w:name="_Toc163817253"/>
      <w:bookmarkStart w:id="23" w:name="_Toc191907860"/>
      <w:r w:rsidRPr="003230C3">
        <w:t>Statement of policy</w:t>
      </w:r>
      <w:bookmarkEnd w:id="22"/>
      <w:bookmarkEnd w:id="23"/>
    </w:p>
    <w:p w14:paraId="262013A6" w14:textId="77777777" w:rsidR="00B16E6C" w:rsidRDefault="00A456B8" w:rsidP="00A456B8">
      <w:r w:rsidRPr="003230C3">
        <w:t>OVIC will act consistently with the Code of Conduct for Victorian Public Sector Employees of Special Bodies</w:t>
      </w:r>
      <w:r w:rsidR="00B77CAC" w:rsidRPr="003230C3">
        <w:t>.</w:t>
      </w:r>
    </w:p>
    <w:p w14:paraId="0EC3E831" w14:textId="0FDE1B2E" w:rsidR="00C47FE9" w:rsidRPr="003230C3" w:rsidRDefault="00B77CAC" w:rsidP="00A456B8">
      <w:r w:rsidRPr="003230C3">
        <w:t>To assist in the prevention of fraud OVIC promotes an office culture that is based on the public sector values set out in the Code of Conduct</w:t>
      </w:r>
      <w:r w:rsidR="00B16E6C">
        <w:t>.  OVIC employees will:</w:t>
      </w:r>
    </w:p>
    <w:p w14:paraId="7E17A01E" w14:textId="69AC8537" w:rsidR="00A456B8" w:rsidRPr="003230C3" w:rsidRDefault="00C47FE9" w:rsidP="00B16E6C">
      <w:pPr>
        <w:pStyle w:val="ListBullet"/>
        <w:ind w:left="1134" w:hanging="567"/>
      </w:pPr>
      <w:r w:rsidRPr="003230C3">
        <w:t>Be alert to possible fraudulent activity</w:t>
      </w:r>
      <w:r w:rsidR="00B16E6C">
        <w:t xml:space="preserve"> or behaviour.</w:t>
      </w:r>
    </w:p>
    <w:p w14:paraId="067CC5D4" w14:textId="32DEC6A0" w:rsidR="00C47FE9" w:rsidRPr="003230C3" w:rsidRDefault="00B77CAC" w:rsidP="00B16E6C">
      <w:pPr>
        <w:pStyle w:val="ListBullet"/>
        <w:ind w:left="1134" w:hanging="567"/>
      </w:pPr>
      <w:r w:rsidRPr="003230C3">
        <w:t xml:space="preserve">Abide by OVIC’s </w:t>
      </w:r>
      <w:r w:rsidR="00C47FE9" w:rsidRPr="003230C3">
        <w:t>Personnel Security policy and procedures</w:t>
      </w:r>
      <w:r w:rsidR="00B16E6C">
        <w:t>.</w:t>
      </w:r>
    </w:p>
    <w:p w14:paraId="2FE2849D" w14:textId="02ED1A97" w:rsidR="00C47FE9" w:rsidRPr="003230C3" w:rsidRDefault="00B77CAC" w:rsidP="00B16E6C">
      <w:pPr>
        <w:pStyle w:val="ListBullet"/>
        <w:ind w:left="1134" w:hanging="567"/>
      </w:pPr>
      <w:r w:rsidRPr="003230C3">
        <w:t>Adhere</w:t>
      </w:r>
      <w:r w:rsidR="00C47FE9" w:rsidRPr="003230C3">
        <w:t xml:space="preserve"> to external fraud prevention measures</w:t>
      </w:r>
      <w:r w:rsidR="00B16E6C">
        <w:t>.</w:t>
      </w:r>
    </w:p>
    <w:p w14:paraId="351E18A8" w14:textId="447D86D7" w:rsidR="00B77CAC" w:rsidRPr="003230C3" w:rsidRDefault="00B77CAC" w:rsidP="00B16E6C">
      <w:pPr>
        <w:pStyle w:val="ListBullet"/>
        <w:ind w:left="1134" w:hanging="567"/>
      </w:pPr>
      <w:r w:rsidRPr="003230C3">
        <w:t>Follow OVIC’s formal incident reporting</w:t>
      </w:r>
      <w:r w:rsidR="00B16E6C">
        <w:t xml:space="preserve"> process</w:t>
      </w:r>
      <w:r w:rsidRPr="003230C3">
        <w:t>.</w:t>
      </w:r>
    </w:p>
    <w:p w14:paraId="4F5F469D" w14:textId="5C40A1D2" w:rsidR="008C169D" w:rsidRPr="00A4030C" w:rsidRDefault="008C169D" w:rsidP="008C169D">
      <w:pPr>
        <w:pStyle w:val="Heading1"/>
        <w:numPr>
          <w:ilvl w:val="0"/>
          <w:numId w:val="37"/>
        </w:numPr>
        <w:ind w:left="851" w:hanging="851"/>
      </w:pPr>
      <w:bookmarkStart w:id="24" w:name="_Toc191907861"/>
      <w:r w:rsidRPr="00A4030C">
        <w:t>Internal Measures for Fraud Prevention</w:t>
      </w:r>
      <w:bookmarkEnd w:id="24"/>
      <w:r w:rsidRPr="00A4030C">
        <w:t xml:space="preserve"> </w:t>
      </w:r>
    </w:p>
    <w:p w14:paraId="1524E4C2" w14:textId="510C9189" w:rsidR="008C169D" w:rsidRDefault="008C169D" w:rsidP="008C169D">
      <w:pPr>
        <w:pStyle w:val="Heading2"/>
        <w:numPr>
          <w:ilvl w:val="1"/>
          <w:numId w:val="37"/>
        </w:numPr>
        <w:ind w:left="851" w:hanging="851"/>
      </w:pPr>
      <w:bookmarkStart w:id="25" w:name="_Toc191907862"/>
      <w:r>
        <w:t>VPS Code of Conduct</w:t>
      </w:r>
      <w:bookmarkEnd w:id="25"/>
      <w:r>
        <w:t xml:space="preserve"> </w:t>
      </w:r>
    </w:p>
    <w:p w14:paraId="43689349" w14:textId="2F8C663F" w:rsidR="008C169D" w:rsidRDefault="008C169D" w:rsidP="008C169D">
      <w:r>
        <w:t>The Code of Conduct for Victorian Public Sector Employees of Special Bodies 2015 (</w:t>
      </w:r>
      <w:r w:rsidRPr="008C169D">
        <w:rPr>
          <w:b/>
          <w:bCs/>
        </w:rPr>
        <w:t>Code of Conduct</w:t>
      </w:r>
      <w:r>
        <w:t xml:space="preserve">) promotes the public sector values set out in section 7 of the </w:t>
      </w:r>
      <w:r w:rsidRPr="008C169D">
        <w:rPr>
          <w:i/>
          <w:iCs/>
        </w:rPr>
        <w:t>Public Administration Act 2004</w:t>
      </w:r>
      <w:r>
        <w:t xml:space="preserve">. In accordance with section 61(3) of the </w:t>
      </w:r>
      <w:r w:rsidRPr="008C169D">
        <w:rPr>
          <w:i/>
          <w:iCs/>
        </w:rPr>
        <w:t>Public Administration Act 2004</w:t>
      </w:r>
      <w:r>
        <w:t>, this Code of Conduct is binding on all employees of the Information Commissioner.</w:t>
      </w:r>
    </w:p>
    <w:p w14:paraId="79EA98A9" w14:textId="77777777" w:rsidR="000E3FF8" w:rsidRDefault="000E3FF8">
      <w:pPr>
        <w:spacing w:before="0" w:after="160" w:line="259" w:lineRule="auto"/>
      </w:pPr>
      <w:r>
        <w:br w:type="page"/>
      </w:r>
    </w:p>
    <w:p w14:paraId="1DE722D3" w14:textId="59EC513A" w:rsidR="008C169D" w:rsidRDefault="008C169D" w:rsidP="008C169D">
      <w:r>
        <w:lastRenderedPageBreak/>
        <w:t xml:space="preserve">To assist in the prevention of fraud OVIC promotes an office culture that is based on the public sector values set out in the Code of Conduct. As part of the induction process, a copy of the Code of Conduct is provided to all employees, contractors, consultants so that they are aware of the expected values and behaviours of public officials, including the value of integrity, as set out in section 7 of the </w:t>
      </w:r>
      <w:r w:rsidRPr="008C169D">
        <w:rPr>
          <w:i/>
          <w:iCs/>
        </w:rPr>
        <w:t>Public Administration Act 2004</w:t>
      </w:r>
      <w:r>
        <w:t>. All employees of OVIC are required to sign a form acknowledging that they have read and understood its contents.</w:t>
      </w:r>
    </w:p>
    <w:p w14:paraId="79073C3B" w14:textId="084DE51E" w:rsidR="00CC4E36" w:rsidRDefault="00CC4E36" w:rsidP="008C169D">
      <w:r>
        <w:t xml:space="preserve">OVIC requires contractors and consultants to </w:t>
      </w:r>
      <w:r w:rsidR="00301E6C">
        <w:t>comply with the Code of Conduct in appropriate circumstances, for example when the contractor or consultant will use or have access to OVIC resources or information that is not normally accessible or available to the public.</w:t>
      </w:r>
    </w:p>
    <w:p w14:paraId="09404B10" w14:textId="4B2D5F34" w:rsidR="008C169D" w:rsidRDefault="008C169D" w:rsidP="008C169D">
      <w:pPr>
        <w:pStyle w:val="Heading2"/>
        <w:numPr>
          <w:ilvl w:val="1"/>
          <w:numId w:val="37"/>
        </w:numPr>
        <w:ind w:left="851" w:hanging="851"/>
      </w:pPr>
      <w:bookmarkStart w:id="26" w:name="_Toc191907863"/>
      <w:r>
        <w:t>Being Alert to Possible Fraudulent Activity</w:t>
      </w:r>
      <w:bookmarkEnd w:id="26"/>
    </w:p>
    <w:p w14:paraId="028C693A" w14:textId="68196A3C" w:rsidR="008C169D" w:rsidRDefault="008C169D" w:rsidP="008C169D">
      <w:r>
        <w:t>All OVIC employees are expected to be alert for fraudulent activity. This is especially true of managers and those with financial delegations.  In the event of any investigation, all employees must cooperate fully and promptly.</w:t>
      </w:r>
    </w:p>
    <w:p w14:paraId="5FAD8353" w14:textId="05EA83B0" w:rsidR="008C169D" w:rsidRDefault="008C169D" w:rsidP="008C169D">
      <w:r>
        <w:t>It is the responsibility of every OVIC employee to be aware and on the lookout for the warning signs of fraud and report any knowledge or suspicion of fraud to your manager</w:t>
      </w:r>
      <w:r w:rsidR="00CD38F0">
        <w:t xml:space="preserve"> or where there is corrupt conduct, to IBAC</w:t>
      </w:r>
      <w:r>
        <w:t xml:space="preserve">. This responsibility and the established systems and processes, form OVIC’s fraud prevention strategy. </w:t>
      </w:r>
    </w:p>
    <w:p w14:paraId="1E93FC45" w14:textId="2824904D" w:rsidR="008C169D" w:rsidRDefault="008C169D" w:rsidP="008C169D">
      <w:r>
        <w:t>To help carry out this responsibility</w:t>
      </w:r>
      <w:r w:rsidR="005E4ED3">
        <w:t>, possible</w:t>
      </w:r>
      <w:r>
        <w:t xml:space="preserve"> warning signs in behaviours, in systems and processes, and in specific circumstances are listed below. Note that these factors are not necessarily determinative of fraud - they may indicate fraudulent activity, however they may also indicate other issues that may need to be </w:t>
      </w:r>
      <w:r w:rsidR="000E3FF8">
        <w:t>addressed or</w:t>
      </w:r>
      <w:r>
        <w:t xml:space="preserve"> may be exhibited in a situation involving no wrongdoing at all.</w:t>
      </w:r>
    </w:p>
    <w:p w14:paraId="2E41A9E0" w14:textId="0C0E2A28" w:rsidR="008C169D" w:rsidRDefault="008C169D" w:rsidP="008C169D">
      <w:r>
        <w:t>In individual employees, warning signs for the possibility of fraud can include:</w:t>
      </w:r>
    </w:p>
    <w:p w14:paraId="281EC2CE" w14:textId="7ABDB2E0" w:rsidR="008C169D" w:rsidRDefault="008C169D" w:rsidP="008C169D">
      <w:pPr>
        <w:pStyle w:val="ListBullet"/>
      </w:pPr>
      <w:r>
        <w:t>Evasive behaviour</w:t>
      </w:r>
    </w:p>
    <w:p w14:paraId="3F2416CD" w14:textId="1E7E280C" w:rsidR="008C169D" w:rsidRDefault="008C169D" w:rsidP="008C169D">
      <w:pPr>
        <w:pStyle w:val="ListBullet21"/>
      </w:pPr>
      <w:r>
        <w:t>evasive behaviour, such as bypassing managers or subordinates</w:t>
      </w:r>
    </w:p>
    <w:p w14:paraId="668B98A0" w14:textId="07781986" w:rsidR="008C169D" w:rsidRDefault="008C169D" w:rsidP="008C169D">
      <w:pPr>
        <w:pStyle w:val="ListBullet21"/>
      </w:pPr>
      <w:r>
        <w:t>refusal to produce files, minutes or other records</w:t>
      </w:r>
    </w:p>
    <w:p w14:paraId="146B3062" w14:textId="02B9B5B7" w:rsidR="008C169D" w:rsidRDefault="008C169D" w:rsidP="008C169D">
      <w:pPr>
        <w:pStyle w:val="ListBullet21"/>
      </w:pPr>
      <w:r>
        <w:t>covering up inefficiencies</w:t>
      </w:r>
    </w:p>
    <w:p w14:paraId="6F2BD58C" w14:textId="375042DC" w:rsidR="008C169D" w:rsidRDefault="008C169D" w:rsidP="008C169D">
      <w:pPr>
        <w:pStyle w:val="ListBullet21"/>
      </w:pPr>
      <w:r>
        <w:t>secretiveness</w:t>
      </w:r>
    </w:p>
    <w:p w14:paraId="7FAC53AB" w14:textId="332899CF" w:rsidR="008C169D" w:rsidRDefault="008C169D" w:rsidP="008C169D">
      <w:pPr>
        <w:pStyle w:val="ListBullet"/>
      </w:pPr>
      <w:r>
        <w:t>Irregular work practices</w:t>
      </w:r>
    </w:p>
    <w:p w14:paraId="1112B20C" w14:textId="1D26FBB3" w:rsidR="008C169D" w:rsidRDefault="008C169D" w:rsidP="008C169D">
      <w:pPr>
        <w:pStyle w:val="ListBullet21"/>
      </w:pPr>
      <w:r>
        <w:t>increased absences</w:t>
      </w:r>
      <w:r w:rsidR="00CD38F0">
        <w:t xml:space="preserve"> or alternatively, never taking leave.</w:t>
      </w:r>
    </w:p>
    <w:p w14:paraId="154531A1" w14:textId="067DDE53" w:rsidR="008C169D" w:rsidRDefault="008C169D" w:rsidP="008C169D">
      <w:pPr>
        <w:pStyle w:val="ListBullet21"/>
      </w:pPr>
      <w:r>
        <w:t>refusal to comply with normal rules and practices</w:t>
      </w:r>
    </w:p>
    <w:p w14:paraId="1A8DBAF7" w14:textId="565FF517" w:rsidR="008C169D" w:rsidRDefault="008C169D" w:rsidP="008C169D">
      <w:pPr>
        <w:pStyle w:val="ListBullet21"/>
      </w:pPr>
      <w:r>
        <w:lastRenderedPageBreak/>
        <w:t>attempts to inappropriately influence conduct or result of tender or other selection processes</w:t>
      </w:r>
    </w:p>
    <w:p w14:paraId="4A4A6887" w14:textId="510CF6FD" w:rsidR="008C169D" w:rsidRDefault="008C169D" w:rsidP="008C169D">
      <w:pPr>
        <w:pStyle w:val="ListBullet21"/>
      </w:pPr>
      <w:r>
        <w:t>frequent complaints from stakeholders</w:t>
      </w:r>
    </w:p>
    <w:p w14:paraId="2398D1DF" w14:textId="4549098F" w:rsidR="008C169D" w:rsidRDefault="008C169D" w:rsidP="008C169D">
      <w:pPr>
        <w:pStyle w:val="ListBullet21"/>
      </w:pPr>
      <w:r>
        <w:t>unusual working hours on a regular basis</w:t>
      </w:r>
    </w:p>
    <w:p w14:paraId="38B80EC9" w14:textId="15F7F520" w:rsidR="008C169D" w:rsidRDefault="008C169D" w:rsidP="008C169D">
      <w:pPr>
        <w:pStyle w:val="ListBullet21"/>
      </w:pPr>
      <w:r>
        <w:t>employees with outside business interests or other jobs</w:t>
      </w:r>
    </w:p>
    <w:p w14:paraId="081C0665" w14:textId="27E6C84E" w:rsidR="008C169D" w:rsidRDefault="008C169D" w:rsidP="008C169D">
      <w:pPr>
        <w:pStyle w:val="ListBullet21"/>
      </w:pPr>
      <w:r>
        <w:t>undeclared or understated conflicts of interest</w:t>
      </w:r>
    </w:p>
    <w:p w14:paraId="362E0E35" w14:textId="002A7583" w:rsidR="008C169D" w:rsidRDefault="008C169D" w:rsidP="008C169D">
      <w:pPr>
        <w:pStyle w:val="ListBullet"/>
      </w:pPr>
      <w:r>
        <w:t>Signs of personal problems</w:t>
      </w:r>
    </w:p>
    <w:p w14:paraId="1FE3E5F7" w14:textId="09734136" w:rsidR="008C169D" w:rsidRDefault="008C169D" w:rsidP="008C169D">
      <w:pPr>
        <w:pStyle w:val="ListBullet21"/>
      </w:pPr>
      <w:r>
        <w:t>heavy gambling habits</w:t>
      </w:r>
    </w:p>
    <w:p w14:paraId="04F9FEFD" w14:textId="0A9422E0" w:rsidR="008C169D" w:rsidRDefault="008C169D" w:rsidP="008C169D">
      <w:pPr>
        <w:pStyle w:val="ListBullet21"/>
      </w:pPr>
      <w:r>
        <w:t>signs of drinking or drug abuse problems</w:t>
      </w:r>
    </w:p>
    <w:p w14:paraId="05B7E39D" w14:textId="630C9C66" w:rsidR="008C169D" w:rsidRDefault="008C169D" w:rsidP="008C169D">
      <w:pPr>
        <w:pStyle w:val="ListBullet21"/>
      </w:pPr>
      <w:r>
        <w:t>suffering financial hardships</w:t>
      </w:r>
    </w:p>
    <w:p w14:paraId="7AA3BE3F" w14:textId="1D125000" w:rsidR="008C169D" w:rsidRDefault="008C169D" w:rsidP="008C169D">
      <w:pPr>
        <w:pStyle w:val="ListBullet21"/>
      </w:pPr>
      <w:r>
        <w:t>apparently living beyond their means</w:t>
      </w:r>
    </w:p>
    <w:p w14:paraId="76C66A46" w14:textId="5A03EDE3" w:rsidR="008C169D" w:rsidRDefault="008C169D" w:rsidP="008C169D">
      <w:pPr>
        <w:pStyle w:val="ListBullet21"/>
      </w:pPr>
      <w:r>
        <w:t>borrowing from fellow employees</w:t>
      </w:r>
    </w:p>
    <w:p w14:paraId="34E7F525" w14:textId="587CE1D9" w:rsidR="008C169D" w:rsidRDefault="008C169D" w:rsidP="008C169D">
      <w:r>
        <w:t>In systems and processes, warning signs for the possibility of fraud can include:</w:t>
      </w:r>
    </w:p>
    <w:p w14:paraId="41B44DB4" w14:textId="4437CAB4" w:rsidR="008C169D" w:rsidRDefault="008C169D" w:rsidP="008C169D">
      <w:pPr>
        <w:pStyle w:val="ListBullet"/>
      </w:pPr>
      <w:r>
        <w:t>absence of controls and audit trails</w:t>
      </w:r>
    </w:p>
    <w:p w14:paraId="3D15D43F" w14:textId="59DA1291" w:rsidR="008C169D" w:rsidRDefault="008C169D" w:rsidP="008C169D">
      <w:pPr>
        <w:pStyle w:val="ListBullet"/>
      </w:pPr>
      <w:r>
        <w:t>excessive control of all records by one person</w:t>
      </w:r>
    </w:p>
    <w:p w14:paraId="097C5745" w14:textId="010B9E07" w:rsidR="008C169D" w:rsidRDefault="008C169D" w:rsidP="008C169D">
      <w:pPr>
        <w:pStyle w:val="ListBullet"/>
      </w:pPr>
      <w:r>
        <w:t>poor pre-employment screening processes</w:t>
      </w:r>
    </w:p>
    <w:p w14:paraId="022CB881" w14:textId="40A7C71F" w:rsidR="008C169D" w:rsidRDefault="008C169D" w:rsidP="008C169D">
      <w:pPr>
        <w:pStyle w:val="ListBullet"/>
      </w:pPr>
      <w:r>
        <w:t>poor internal controls</w:t>
      </w:r>
    </w:p>
    <w:p w14:paraId="08AED674" w14:textId="21C431F3" w:rsidR="008C169D" w:rsidRDefault="008C169D" w:rsidP="008C169D">
      <w:pPr>
        <w:pStyle w:val="ListBullet"/>
      </w:pPr>
      <w:r>
        <w:t>internal controls being ignored or bypassed</w:t>
      </w:r>
    </w:p>
    <w:p w14:paraId="3665CC5A" w14:textId="341316EB" w:rsidR="008C169D" w:rsidRDefault="008C169D" w:rsidP="008C169D">
      <w:pPr>
        <w:pStyle w:val="ListBullet"/>
      </w:pPr>
      <w:r>
        <w:t>unauthorised changes to systems or work practices</w:t>
      </w:r>
    </w:p>
    <w:p w14:paraId="7A5D699B" w14:textId="02905930" w:rsidR="008C169D" w:rsidRDefault="008C169D" w:rsidP="008C169D">
      <w:pPr>
        <w:pStyle w:val="ListBullet"/>
      </w:pPr>
      <w:r>
        <w:t>lack of management oversight or supervision</w:t>
      </w:r>
    </w:p>
    <w:p w14:paraId="6CA956D1" w14:textId="63A83C86" w:rsidR="008C169D" w:rsidRDefault="008C169D" w:rsidP="008C169D">
      <w:pPr>
        <w:pStyle w:val="ListBullet"/>
      </w:pPr>
      <w:r>
        <w:t>lack of clear financial delegations</w:t>
      </w:r>
    </w:p>
    <w:p w14:paraId="37748557" w14:textId="10FC4FEC" w:rsidR="008C169D" w:rsidRDefault="008C169D" w:rsidP="008C169D">
      <w:pPr>
        <w:pStyle w:val="ListBullet"/>
      </w:pPr>
      <w:r>
        <w:t xml:space="preserve">failure to </w:t>
      </w:r>
      <w:proofErr w:type="gramStart"/>
      <w:r>
        <w:t>take action</w:t>
      </w:r>
      <w:proofErr w:type="gramEnd"/>
      <w:r>
        <w:t xml:space="preserve"> on results of internal or external audits or reviews</w:t>
      </w:r>
    </w:p>
    <w:p w14:paraId="0C2C265D" w14:textId="2D0ACB72" w:rsidR="008C169D" w:rsidRDefault="008C169D" w:rsidP="008C169D">
      <w:pPr>
        <w:keepNext/>
      </w:pPr>
      <w:proofErr w:type="gramStart"/>
      <w:r>
        <w:t>In particular matters</w:t>
      </w:r>
      <w:proofErr w:type="gramEnd"/>
      <w:r>
        <w:t>, warning signs for the possibility of fraud can include:</w:t>
      </w:r>
    </w:p>
    <w:p w14:paraId="14C86367" w14:textId="2BFA7CA3" w:rsidR="008C169D" w:rsidRDefault="008C169D" w:rsidP="008C169D">
      <w:pPr>
        <w:pStyle w:val="ListBullet"/>
      </w:pPr>
      <w:r>
        <w:t>excessive variations to budgets or contracts</w:t>
      </w:r>
    </w:p>
    <w:p w14:paraId="669A20EF" w14:textId="79275415" w:rsidR="008C169D" w:rsidRDefault="008C169D" w:rsidP="008C169D">
      <w:pPr>
        <w:pStyle w:val="ListBullet"/>
      </w:pPr>
      <w:r>
        <w:t>lowest tenders or quotes passed over with no or inadequate explanations recorded</w:t>
      </w:r>
    </w:p>
    <w:p w14:paraId="41EE6BB5" w14:textId="29FA274D" w:rsidR="008C169D" w:rsidRDefault="008C169D" w:rsidP="008C169D">
      <w:pPr>
        <w:pStyle w:val="ListBullet"/>
      </w:pPr>
      <w:r>
        <w:lastRenderedPageBreak/>
        <w:t>large sums held in petty cash</w:t>
      </w:r>
    </w:p>
    <w:p w14:paraId="72A6D465" w14:textId="4BDFB669" w:rsidR="008C169D" w:rsidRDefault="008C169D" w:rsidP="008C169D">
      <w:pPr>
        <w:pStyle w:val="ListBullet"/>
      </w:pPr>
      <w:r>
        <w:t>missing expenditure vouchers and unavailable official records</w:t>
      </w:r>
    </w:p>
    <w:p w14:paraId="052F1823" w14:textId="39ED0E41" w:rsidR="008C169D" w:rsidRDefault="008C169D" w:rsidP="008C169D">
      <w:pPr>
        <w:pStyle w:val="ListBullet"/>
      </w:pPr>
      <w:r>
        <w:t>unauthorised changes to systems or work practices</w:t>
      </w:r>
    </w:p>
    <w:p w14:paraId="7ABDAA7D" w14:textId="39AC756C" w:rsidR="008C169D" w:rsidRDefault="008C169D" w:rsidP="008C169D">
      <w:pPr>
        <w:pStyle w:val="ListBullet"/>
      </w:pPr>
      <w:r>
        <w:t>required documentation not maintained</w:t>
      </w:r>
    </w:p>
    <w:p w14:paraId="59426AF4" w14:textId="281CDF33" w:rsidR="008C169D" w:rsidRDefault="008C169D" w:rsidP="008C169D">
      <w:pPr>
        <w:pStyle w:val="ListBullet"/>
      </w:pPr>
      <w:r>
        <w:t>required processes not adhered to</w:t>
      </w:r>
    </w:p>
    <w:p w14:paraId="640E020F" w14:textId="296FA8C6" w:rsidR="008C169D" w:rsidRDefault="008C169D" w:rsidP="008C169D">
      <w:pPr>
        <w:pStyle w:val="ListBullet"/>
      </w:pPr>
      <w:r>
        <w:t>real or potential conflicts of interest</w:t>
      </w:r>
    </w:p>
    <w:p w14:paraId="0871D71D" w14:textId="18331A12" w:rsidR="008C169D" w:rsidRDefault="008C169D" w:rsidP="008C169D">
      <w:pPr>
        <w:pStyle w:val="ListBullet"/>
      </w:pPr>
      <w:r>
        <w:t xml:space="preserve">failure to </w:t>
      </w:r>
      <w:proofErr w:type="gramStart"/>
      <w:r>
        <w:t>take action</w:t>
      </w:r>
      <w:proofErr w:type="gramEnd"/>
      <w:r>
        <w:t xml:space="preserve"> on results of internal or external audits or reviews.</w:t>
      </w:r>
    </w:p>
    <w:p w14:paraId="125628F6" w14:textId="59FB1909" w:rsidR="008C169D" w:rsidRDefault="008C169D" w:rsidP="008C169D">
      <w:r>
        <w:t>While the presence of one or more of these warning signs does not necessarily mean that a person has engaged in, is engaging in or proposes to engage in fraudulent activity, they may indicate that a person, system or process is at risk of engaging in, or being susceptible to, such activity.</w:t>
      </w:r>
    </w:p>
    <w:p w14:paraId="0E6E2C67" w14:textId="44D4ECAF" w:rsidR="008C169D" w:rsidRPr="00B77CAC" w:rsidRDefault="008C169D" w:rsidP="008C169D">
      <w:pPr>
        <w:pStyle w:val="Heading2"/>
        <w:numPr>
          <w:ilvl w:val="1"/>
          <w:numId w:val="37"/>
        </w:numPr>
        <w:ind w:left="851" w:hanging="851"/>
      </w:pPr>
      <w:bookmarkStart w:id="27" w:name="_Toc191907864"/>
      <w:r w:rsidRPr="00B77CAC">
        <w:t>Communication</w:t>
      </w:r>
      <w:bookmarkEnd w:id="27"/>
      <w:r w:rsidRPr="00B77CAC">
        <w:t xml:space="preserve"> </w:t>
      </w:r>
    </w:p>
    <w:p w14:paraId="33AA2663" w14:textId="16E3032C" w:rsidR="008C169D" w:rsidRDefault="008C169D" w:rsidP="008C169D">
      <w:r>
        <w:t>Communicating this policy at staff meetings and on the OVIC website disseminates awareness of its requirements and encourage employees to be alert to fraudulent behaviour. Ensuring that employees, contractors and consultants are aware assists in preventing fraud by promoting a workplace that has no tolerance for fraudulent behaviour.</w:t>
      </w:r>
    </w:p>
    <w:p w14:paraId="218F7BEF" w14:textId="624AAE62" w:rsidR="008C169D" w:rsidRPr="00C47FE9" w:rsidRDefault="008C169D" w:rsidP="008C169D">
      <w:pPr>
        <w:pStyle w:val="Heading2"/>
        <w:numPr>
          <w:ilvl w:val="1"/>
          <w:numId w:val="37"/>
        </w:numPr>
        <w:ind w:left="851" w:hanging="851"/>
      </w:pPr>
      <w:bookmarkStart w:id="28" w:name="_Toc191907865"/>
      <w:r w:rsidRPr="00C47FE9">
        <w:t>Personnel Security Clearances</w:t>
      </w:r>
      <w:bookmarkEnd w:id="28"/>
    </w:p>
    <w:p w14:paraId="18923CBE" w14:textId="43DA8444" w:rsidR="008C169D" w:rsidRDefault="008C169D" w:rsidP="008C169D">
      <w:r>
        <w:t xml:space="preserve">To assist in the prevention of fraud all OVIC employees are required to </w:t>
      </w:r>
      <w:r w:rsidR="005D46C1">
        <w:t xml:space="preserve">gain and maintain a security clearance. This includes the </w:t>
      </w:r>
      <w:r w:rsidR="000E3FF8">
        <w:t>disclosure</w:t>
      </w:r>
      <w:r w:rsidR="005D46C1">
        <w:t xml:space="preserve"> of</w:t>
      </w:r>
      <w:r>
        <w:t xml:space="preserve"> any criminal offences by undertaking the requisite pre-employment checks/screening prior to employment and regularly advise their manager </w:t>
      </w:r>
      <w:r w:rsidR="005D46C1">
        <w:t xml:space="preserve">and the Australian Government Security Vetting Agency (AGSVA) </w:t>
      </w:r>
      <w:r>
        <w:t xml:space="preserve">of any changes </w:t>
      </w:r>
      <w:r w:rsidR="005D46C1">
        <w:t>in personal circumstances</w:t>
      </w:r>
      <w:r>
        <w:t xml:space="preserve"> and personnel security declarations as part of the performance management and progression plans process.</w:t>
      </w:r>
    </w:p>
    <w:p w14:paraId="68F3BEBF" w14:textId="0AD7E284" w:rsidR="005D46C1" w:rsidRDefault="005D46C1" w:rsidP="008C169D">
      <w:r>
        <w:t>For further information refer to the Personnel Security policy and procedures.</w:t>
      </w:r>
    </w:p>
    <w:p w14:paraId="3D31125A" w14:textId="52B24AB3" w:rsidR="008C169D" w:rsidRDefault="008C169D" w:rsidP="008C169D">
      <w:pPr>
        <w:pStyle w:val="Heading1"/>
        <w:numPr>
          <w:ilvl w:val="0"/>
          <w:numId w:val="37"/>
        </w:numPr>
        <w:ind w:left="851" w:hanging="851"/>
      </w:pPr>
      <w:bookmarkStart w:id="29" w:name="_Toc191907866"/>
      <w:r>
        <w:t>External Fraud Prevention Measures</w:t>
      </w:r>
      <w:bookmarkEnd w:id="29"/>
      <w:r>
        <w:t xml:space="preserve"> </w:t>
      </w:r>
    </w:p>
    <w:p w14:paraId="1E99CB8F" w14:textId="4DF1CF44" w:rsidR="008C169D" w:rsidRDefault="008C169D" w:rsidP="008C169D">
      <w:r>
        <w:t>OVIC’s finances are managed though DJCS/DPC/DTF financial management systems and are therefore subject to /DJCS/DPC /DTF financial management frameworks, financial conduct procedures and process controls, including DJCS/DPC/DTF rules regarding line management accountabilities and the separation of roles and responsibilities.</w:t>
      </w:r>
    </w:p>
    <w:p w14:paraId="73002E39" w14:textId="39C91D32" w:rsidR="008C169D" w:rsidRDefault="008C169D" w:rsidP="008C169D">
      <w:pPr>
        <w:pStyle w:val="Heading1"/>
        <w:numPr>
          <w:ilvl w:val="0"/>
          <w:numId w:val="37"/>
        </w:numPr>
        <w:ind w:left="851" w:hanging="851"/>
      </w:pPr>
      <w:bookmarkStart w:id="30" w:name="_Toc191907867"/>
      <w:r>
        <w:lastRenderedPageBreak/>
        <w:t>Reporting Fraudulent Conduct</w:t>
      </w:r>
      <w:bookmarkEnd w:id="30"/>
      <w:r>
        <w:t xml:space="preserve"> </w:t>
      </w:r>
    </w:p>
    <w:p w14:paraId="68FA4208" w14:textId="0809FB9D" w:rsidR="008C169D" w:rsidRDefault="008C169D" w:rsidP="008C169D">
      <w:r>
        <w:t>OVIC’s Internal Complaints Procedures require complaints in relation to misconduct to be reported via the Complaints Coordinator</w:t>
      </w:r>
      <w:r w:rsidR="00CD38F0">
        <w:t>, which is the Chief Operating Officer (COO)</w:t>
      </w:r>
      <w:r w:rsidR="005E4ED3">
        <w:t>, or alternatively the Information Commissioner or the Office Manager</w:t>
      </w:r>
      <w:r w:rsidR="00CD38F0">
        <w:t xml:space="preserve">.  Employees </w:t>
      </w:r>
      <w:proofErr w:type="gramStart"/>
      <w:r w:rsidR="00CD38F0">
        <w:t>can</w:t>
      </w:r>
      <w:proofErr w:type="gramEnd"/>
      <w:r w:rsidR="00CD38F0">
        <w:t xml:space="preserve"> however, make a complaint to whomever they feel most comfortable but that the COO will ultimately be responsible for dealing with it</w:t>
      </w:r>
      <w:r w:rsidR="005E4ED3">
        <w:t xml:space="preserve"> unless they are the subject of the complaint or is otherwise connected with the action complained about, in which case the General Counsel or another senior employee will be appointed to conduct the review</w:t>
      </w:r>
      <w:r>
        <w:t xml:space="preserve">. </w:t>
      </w:r>
    </w:p>
    <w:p w14:paraId="63C41A86" w14:textId="49136CFD" w:rsidR="008C169D" w:rsidRDefault="008C169D" w:rsidP="008C169D">
      <w:r>
        <w:t>Fraudulent conduct may amount to improper conduct</w:t>
      </w:r>
      <w:r w:rsidR="005E4ED3">
        <w:t xml:space="preserve"> or corruption</w:t>
      </w:r>
      <w:r>
        <w:t xml:space="preserve"> and therefore be a public interest disclosure under the </w:t>
      </w:r>
      <w:r w:rsidRPr="008C169D">
        <w:rPr>
          <w:i/>
          <w:iCs/>
        </w:rPr>
        <w:t>Public Interest Disclosures Act 2012</w:t>
      </w:r>
      <w:r>
        <w:t xml:space="preserve"> (</w:t>
      </w:r>
      <w:r w:rsidRPr="008C169D">
        <w:rPr>
          <w:b/>
          <w:bCs/>
        </w:rPr>
        <w:t>the PID Act</w:t>
      </w:r>
      <w:r>
        <w:t>). People who make a public interest disclosure about OVIC or its staff have protections under the PID Act, but only if they make the disclosure to the Independent Broad-based-Anti-corruption Commission (</w:t>
      </w:r>
      <w:r w:rsidRPr="008C169D">
        <w:rPr>
          <w:b/>
          <w:bCs/>
        </w:rPr>
        <w:t>IBAC</w:t>
      </w:r>
      <w:r>
        <w:t>)</w:t>
      </w:r>
      <w:r w:rsidR="00CD38F0">
        <w:t xml:space="preserve"> or other agency authorised to receive a disclosure</w:t>
      </w:r>
      <w:r>
        <w:t>.</w:t>
      </w:r>
    </w:p>
    <w:p w14:paraId="753A7CEA" w14:textId="4C0EED61" w:rsidR="008C169D" w:rsidRDefault="008C169D" w:rsidP="008C169D">
      <w:r>
        <w:t xml:space="preserve">Further information with respect to complaints procedures is contained in OVIC’s Internal Complaints Procedures. Further information with respect to public interest disclosures is contained in OVIC’s Public Interest Disclosure Policy </w:t>
      </w:r>
    </w:p>
    <w:p w14:paraId="5FD70EF9" w14:textId="68502997" w:rsidR="008C169D" w:rsidRDefault="008C169D" w:rsidP="008C169D">
      <w:pPr>
        <w:pStyle w:val="Heading2"/>
        <w:numPr>
          <w:ilvl w:val="1"/>
          <w:numId w:val="37"/>
        </w:numPr>
        <w:ind w:left="851" w:hanging="851"/>
      </w:pPr>
      <w:bookmarkStart w:id="31" w:name="_Toc191907868"/>
      <w:r>
        <w:t>Formal Incident Reporting</w:t>
      </w:r>
      <w:bookmarkEnd w:id="31"/>
      <w:r>
        <w:t xml:space="preserve"> </w:t>
      </w:r>
    </w:p>
    <w:p w14:paraId="58664AEF" w14:textId="011EC000" w:rsidR="008C169D" w:rsidRDefault="008C169D" w:rsidP="008C169D">
      <w:r>
        <w:t xml:space="preserve">Standing Direction 3.5.3 (2018) under the </w:t>
      </w:r>
      <w:r w:rsidRPr="008C169D">
        <w:rPr>
          <w:i/>
          <w:iCs/>
        </w:rPr>
        <w:t>Financial Management Act 1994</w:t>
      </w:r>
      <w:r>
        <w:t>, requires the Information Commissioner to report cases of actual or suspected significant or systemic fraud, corruption or other losses are notified to the Responsible Minister, Audit Committee, Portfolio Department and Auditor-General. OVIC has adopted DPCs thresholds for significant fraud, corruption or other losses. They are $1000 for money and $5000 for property.</w:t>
      </w:r>
    </w:p>
    <w:p w14:paraId="636E0FD9" w14:textId="502A750C" w:rsidR="00500FBF" w:rsidRDefault="008C169D" w:rsidP="008C169D">
      <w:r>
        <w:t xml:space="preserve">Compliance with Standing Direction 3.5.3 (2018) may not be required where to do so would contravene Part 7 of the </w:t>
      </w:r>
      <w:r w:rsidRPr="008C169D">
        <w:rPr>
          <w:i/>
          <w:iCs/>
        </w:rPr>
        <w:t>Public Interest Disclosure Act 2012</w:t>
      </w:r>
      <w:r>
        <w:t>, which provides that it is an offence to disclose the content of a public interest disclosure and the identity of the person making an assessable disclosure (unless certain limited exceptions apply).</w:t>
      </w:r>
      <w:r w:rsidR="00CD38F0">
        <w:t xml:space="preserve">  The Information Commissioner is also required </w:t>
      </w:r>
      <w:r w:rsidR="00921C76">
        <w:t xml:space="preserve">under the </w:t>
      </w:r>
      <w:r w:rsidR="00921C76">
        <w:rPr>
          <w:i/>
          <w:iCs/>
        </w:rPr>
        <w:t>Independent Broad-based Anti-</w:t>
      </w:r>
      <w:proofErr w:type="gramStart"/>
      <w:r w:rsidR="00921C76">
        <w:rPr>
          <w:i/>
          <w:iCs/>
        </w:rPr>
        <w:t>corruption</w:t>
      </w:r>
      <w:proofErr w:type="gramEnd"/>
      <w:r w:rsidR="00921C76">
        <w:rPr>
          <w:i/>
          <w:iCs/>
        </w:rPr>
        <w:t xml:space="preserve"> Commission Act 2014 </w:t>
      </w:r>
      <w:r w:rsidR="00CD38F0">
        <w:t xml:space="preserve">to </w:t>
      </w:r>
      <w:r w:rsidR="007B1249">
        <w:t xml:space="preserve">notify </w:t>
      </w:r>
      <w:r w:rsidR="00CD38F0">
        <w:t>IBAC</w:t>
      </w:r>
      <w:r w:rsidR="007B1249">
        <w:t xml:space="preserve"> when they have reasonable grounds to suspect corruption is occurring or has occurred</w:t>
      </w:r>
      <w:r w:rsidR="00CD38F0">
        <w:t>.</w:t>
      </w:r>
    </w:p>
    <w:p w14:paraId="1062F2F1" w14:textId="1F6846C2" w:rsidR="00EF3F23" w:rsidRPr="003D0865" w:rsidRDefault="00DA4FD1" w:rsidP="003D0865">
      <w:r>
        <w:rPr>
          <w:noProof/>
        </w:rPr>
        <w:lastRenderedPageBreak/>
        <mc:AlternateContent>
          <mc:Choice Requires="wps">
            <w:drawing>
              <wp:anchor distT="0" distB="0" distL="114300" distR="114300" simplePos="0" relativeHeight="251659264" behindDoc="0" locked="1" layoutInCell="1" allowOverlap="1" wp14:anchorId="7508CDFC" wp14:editId="4D610E24">
                <wp:simplePos x="0" y="0"/>
                <wp:positionH relativeFrom="page">
                  <wp:align>left</wp:align>
                </wp:positionH>
                <wp:positionV relativeFrom="page">
                  <wp:align>top</wp:align>
                </wp:positionV>
                <wp:extent cx="7560310" cy="10800080"/>
                <wp:effectExtent l="0" t="0" r="0" b="0"/>
                <wp:wrapTopAndBottom/>
                <wp:docPr id="1468116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800080"/>
                        </a:xfrm>
                        <a:prstGeom prst="rect">
                          <a:avLst/>
                        </a:prstGeom>
                        <a:solidFill>
                          <a:schemeClr val="lt1"/>
                        </a:solidFill>
                        <a:ln w="6350">
                          <a:noFill/>
                        </a:ln>
                      </wps:spPr>
                      <wps:txbx>
                        <w:txbxContent>
                          <w:p w14:paraId="6CF9D7B1" w14:textId="77777777" w:rsidR="00DE602B" w:rsidRDefault="00DE602B" w:rsidP="00990D47">
                            <w:pPr>
                              <w:pStyle w:val="BackcoverURL"/>
                            </w:pPr>
                          </w:p>
                          <w:p w14:paraId="47D4A04E" w14:textId="77777777" w:rsidR="00DE602B" w:rsidRDefault="00000000" w:rsidP="00990D47">
                            <w:pPr>
                              <w:pStyle w:val="BackcoverURL"/>
                            </w:pPr>
                            <w:sdt>
                              <w:sdtPr>
                                <w:id w:val="-17709486"/>
                                <w:placeholder>
                                  <w:docPart w:val="FE1449EED8734CDE8A55005A08AACE63"/>
                                </w:placeholder>
                                <w:showingPlcHdr/>
                                <w15:appearance w15:val="hidden"/>
                              </w:sdtPr>
                              <w:sdtContent>
                                <w:r w:rsidR="00DE602B">
                                  <w:t xml:space="preserve">  </w:t>
                                </w:r>
                              </w:sdtContent>
                            </w:sdt>
                          </w:p>
                          <w:p w14:paraId="4316A5AE" w14:textId="77777777" w:rsidR="00990D47" w:rsidRDefault="00990D47" w:rsidP="00990D47">
                            <w:pPr>
                              <w:pStyle w:val="BackcoverURL"/>
                            </w:pPr>
                            <w:r w:rsidRPr="00990D47">
                              <w:drawing>
                                <wp:inline distT="0" distB="0" distL="0" distR="0" wp14:anchorId="0ABADE4D" wp14:editId="3DEEDE5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7A81C3C6F004D67813A2F9C28E343C9"/>
                              </w:placeholder>
                              <w:group/>
                            </w:sdtPr>
                            <w:sdtContent>
                              <w:p w14:paraId="56DED9C7"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8CDFC" id="_x0000_t202" coordsize="21600,21600" o:spt="202" path="m,l,21600r21600,l21600,xe">
                <v:stroke joinstyle="miter"/>
                <v:path gradientshapeok="t" o:connecttype="rect"/>
              </v:shapetype>
              <v:shape id="Text Box 1"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tXOAIAAHQEAAAOAAAAZHJzL2Uyb0RvYy54bWysVFFv2jAQfp+0/2D5fSSBlqGIUDEqpkmo&#10;rUSnPhvHJtEcn2cbku7X7+wEKN2epj1gfL7z+b77vsv8rmsUOQrratAFzUYpJUJzKGu9L+j35/Wn&#10;GSXOM10yBVoU9FU4erf4+GHemlyMoQJVCkswiXZ5awpaeW/yJHG8Eg1zIzBCo1OCbZhH0+6T0rIW&#10;szcqGafpNGnBlsYCF87h6X3vpIuYX0rB/aOUTniiCoq1+bjauO7CmizmLN9bZqqaD2Wwf6iiYbXG&#10;R8+p7pln5GDrP1I1NbfgQPoRhyYBKWsuIgZEk6Xv0GwrZkTEgs1x5twm9//S8ofj1jxZ4rsv0CGB&#10;EYQzG+A/HPYmaY3Lh5jQU5c7jA5AO2mb8I8QCF7E3r6e+yk6Tzgefr6dppMMXRx9WTpLU/yFlieX&#10;+8Y6/1VAQ8KmoBYZizWw48b5PvQUEp5zoOpyXSsVjaASsVKWHBnyq3w2JL+KUpq0BZ1ObtOYWEO4&#10;3mdWeoDYowr4fLfr0Bm2OyhfsTUWetU4w9c1Frlhzj8xizJBZCh9/4iLVICPwLCjpAL762/nIR7Z&#10;Qy8lLcquoO7ngVlBifqmkdfJFJsUhHpl2StrF63xzewmhupDswKEn+GkGR63mMB6ddpKC80Ljsky&#10;PI0upjkWUNDdabvy/UTgmHGxXMYglKdhfqO3hp9kEXh47l6YNQNZHol+gJNKWf6Osz42EKVhefAg&#10;60jopbVD81HaURLDGIbZeWvHqMvHYvEbAAD//wMAUEsDBBQABgAIAAAAIQBVNdwL3AAAAAcBAAAP&#10;AAAAZHJzL2Rvd25yZXYueG1sTI8xT8MwEIV3JP6DdUhs1C5Dk4Y4FarUBSaSSNDtGl+TqPE5it02&#10;/HtcFlhO7/RO732Xb2Y7iAtNvnesYblQIIgbZ3puNdTV7ikF4QOywcExafgmD5vi/i7HzLgrf9Cl&#10;DK2IIewz1NCFMGZS+qYji37hRuLoHd1kMcR1aqWZ8BrD7SCflVpJiz3Hhg5H2nbUnMqz1fBelbWq&#10;kxOnyfzpq337dXxTTuvHh/n1BUSgOfwdww0/okMRmQ7uzMaLQUN8JPzOm7dcqxWIQ1SJUinIIpf/&#10;+YsfAAAA//8DAFBLAQItABQABgAIAAAAIQC2gziS/gAAAOEBAAATAAAAAAAAAAAAAAAAAAAAAABb&#10;Q29udGVudF9UeXBlc10ueG1sUEsBAi0AFAAGAAgAAAAhADj9If/WAAAAlAEAAAsAAAAAAAAAAAAA&#10;AAAALwEAAF9yZWxzLy5yZWxzUEsBAi0AFAAGAAgAAAAhAOk561c4AgAAdAQAAA4AAAAAAAAAAAAA&#10;AAAALgIAAGRycy9lMm9Eb2MueG1sUEsBAi0AFAAGAAgAAAAhAFU13AvcAAAABwEAAA8AAAAAAAAA&#10;AAAAAAAAkgQAAGRycy9kb3ducmV2LnhtbFBLBQYAAAAABAAEAPMAAACbBQAAAAA=&#10;" fillcolor="white [3201]" stroked="f" strokeweight=".5pt">
                <v:textbox inset="10mm,10mm,10mm,69mm">
                  <w:txbxContent>
                    <w:p w14:paraId="6CF9D7B1" w14:textId="77777777" w:rsidR="00DE602B" w:rsidRDefault="00DE602B" w:rsidP="00990D47">
                      <w:pPr>
                        <w:pStyle w:val="BackcoverURL"/>
                      </w:pPr>
                    </w:p>
                    <w:p w14:paraId="47D4A04E" w14:textId="77777777" w:rsidR="00DE602B" w:rsidRDefault="00B326CB" w:rsidP="00990D47">
                      <w:pPr>
                        <w:pStyle w:val="BackcoverURL"/>
                      </w:pPr>
                      <w:sdt>
                        <w:sdtPr>
                          <w:id w:val="-17709486"/>
                          <w:placeholder>
                            <w:docPart w:val="FE1449EED8734CDE8A55005A08AACE63"/>
                          </w:placeholder>
                          <w:showingPlcHdr/>
                          <w15:appearance w15:val="hidden"/>
                        </w:sdtPr>
                        <w:sdtEndPr/>
                        <w:sdtContent>
                          <w:r w:rsidR="00DE602B">
                            <w:t xml:space="preserve">  </w:t>
                          </w:r>
                        </w:sdtContent>
                      </w:sdt>
                    </w:p>
                    <w:p w14:paraId="4316A5AE" w14:textId="77777777" w:rsidR="00990D47" w:rsidRDefault="00990D47" w:rsidP="00990D47">
                      <w:pPr>
                        <w:pStyle w:val="BackcoverURL"/>
                      </w:pPr>
                      <w:r w:rsidRPr="00990D47">
                        <w:drawing>
                          <wp:inline distT="0" distB="0" distL="0" distR="0" wp14:anchorId="0ABADE4D" wp14:editId="3DEEDE5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7A81C3C6F004D67813A2F9C28E343C9"/>
                        </w:placeholder>
                        <w:group/>
                      </w:sdtPr>
                      <w:sdtEndPr/>
                      <w:sdtContent>
                        <w:p w14:paraId="56DED9C7"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9067BD">
      <w:headerReference w:type="even" r:id="rId18"/>
      <w:headerReference w:type="default" r:id="rId19"/>
      <w:footerReference w:type="even" r:id="rId20"/>
      <w:footerReference w:type="default" r:id="rId21"/>
      <w:headerReference w:type="first" r:id="rId22"/>
      <w:footerReference w:type="first" r:id="rId23"/>
      <w:pgSz w:w="11906" w:h="16838" w:code="9"/>
      <w:pgMar w:top="1701" w:right="1418"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CC380" w14:textId="77777777" w:rsidR="000A18E9" w:rsidRDefault="000A18E9" w:rsidP="00C37A29">
      <w:pPr>
        <w:spacing w:after="0"/>
      </w:pPr>
      <w:r>
        <w:separator/>
      </w:r>
    </w:p>
    <w:p w14:paraId="12B4EC01" w14:textId="77777777" w:rsidR="000A18E9" w:rsidRDefault="000A18E9"/>
  </w:endnote>
  <w:endnote w:type="continuationSeparator" w:id="0">
    <w:p w14:paraId="30200AB5" w14:textId="77777777" w:rsidR="000A18E9" w:rsidRDefault="000A18E9" w:rsidP="00C37A29">
      <w:pPr>
        <w:spacing w:after="0"/>
      </w:pPr>
      <w:r>
        <w:continuationSeparator/>
      </w:r>
    </w:p>
    <w:p w14:paraId="58478291" w14:textId="77777777" w:rsidR="000A18E9" w:rsidRDefault="000A1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6AE7" w14:textId="77777777" w:rsidR="00761688" w:rsidRDefault="00761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56FB" w14:textId="7893C511" w:rsidR="00DE730E" w:rsidRDefault="00DE730E" w:rsidP="00DE730E">
    <w:pPr>
      <w:pStyle w:val="Footer"/>
      <w:tabs>
        <w:tab w:val="clear" w:pos="4513"/>
        <w:tab w:val="center" w:pos="1701"/>
      </w:tabs>
      <w:spacing w:before="0"/>
      <w:jc w:val="right"/>
      <w:rPr>
        <w:color w:val="430098" w:themeColor="text2"/>
      </w:rPr>
    </w:pPr>
  </w:p>
  <w:p w14:paraId="35369B06" w14:textId="57FC03E7" w:rsidR="00B7623C" w:rsidRPr="00685DCF" w:rsidRDefault="00761688" w:rsidP="00F67E01">
    <w:pPr>
      <w:pStyle w:val="Footer"/>
      <w:pBdr>
        <w:top w:val="single" w:sz="4" w:space="1" w:color="430098" w:themeColor="text2"/>
      </w:pBdr>
      <w:tabs>
        <w:tab w:val="clear" w:pos="4513"/>
        <w:tab w:val="center" w:pos="1701"/>
      </w:tabs>
      <w:spacing w:before="0" w:after="120"/>
      <w:jc w:val="right"/>
      <w:rPr>
        <w:color w:val="430098" w:themeColor="text2"/>
      </w:rPr>
    </w:pPr>
    <w:r>
      <w:rPr>
        <w:noProof/>
      </w:rPr>
      <w:drawing>
        <wp:anchor distT="0" distB="0" distL="114300" distR="114300" simplePos="0" relativeHeight="251658240" behindDoc="0" locked="0" layoutInCell="1" allowOverlap="1" wp14:anchorId="39156A79" wp14:editId="6AAF754E">
          <wp:simplePos x="0" y="0"/>
          <wp:positionH relativeFrom="column">
            <wp:posOffset>-50165</wp:posOffset>
          </wp:positionH>
          <wp:positionV relativeFrom="paragraph">
            <wp:posOffset>171304</wp:posOffset>
          </wp:positionV>
          <wp:extent cx="881337" cy="388311"/>
          <wp:effectExtent l="0" t="0" r="0" b="0"/>
          <wp:wrapNone/>
          <wp:docPr id="36" name="Graphic 36">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sdt>
      <w:sdtPr>
        <w:rPr>
          <w:color w:val="430098" w:themeColor="text2"/>
        </w:rPr>
        <w:alias w:val="Title"/>
        <w:tag w:val=""/>
        <w:id w:val="-734622006"/>
        <w:placeholder>
          <w:docPart w:val="5DC2FDC1CCB74E209CDB3BE9C0773063"/>
        </w:placeholder>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sidR="00DA4FD1">
          <w:rPr>
            <w:color w:val="430098" w:themeColor="text2"/>
          </w:rPr>
          <w:t>Fraud Policy and Procedures</w:t>
        </w:r>
      </w:sdtContent>
    </w:sdt>
    <w:r w:rsidR="00B7623C" w:rsidRPr="006559DC">
      <w:rPr>
        <w:rFonts w:cstheme="minorHAnsi"/>
        <w:color w:val="430098" w:themeColor="text2"/>
      </w:rPr>
      <w:t xml:space="preserve"> </w:t>
    </w:r>
    <w:r w:rsidR="00B7623C">
      <w:rPr>
        <w:color w:val="430098" w:themeColor="text2"/>
      </w:rPr>
      <w:t xml:space="preserve">  </w:t>
    </w:r>
    <w:sdt>
      <w:sdtPr>
        <w:rPr>
          <w:color w:val="430098" w:themeColor="text2"/>
        </w:rPr>
        <w:id w:val="1234425178"/>
        <w:docPartObj>
          <w:docPartGallery w:val="Page Numbers (Bottom of Page)"/>
          <w:docPartUnique/>
        </w:docPartObj>
      </w:sdtPr>
      <w:sdtContent>
        <w:r w:rsidR="00B7623C">
          <w:rPr>
            <w:color w:val="430098" w:themeColor="text2"/>
          </w:rPr>
          <w:fldChar w:fldCharType="begin"/>
        </w:r>
        <w:r w:rsidR="00B7623C">
          <w:rPr>
            <w:color w:val="430098" w:themeColor="text2"/>
          </w:rPr>
          <w:instrText xml:space="preserve"> PAGE  \* Arabic  \* MERGEFORMAT </w:instrText>
        </w:r>
        <w:r w:rsidR="00B7623C">
          <w:rPr>
            <w:color w:val="430098" w:themeColor="text2"/>
          </w:rPr>
          <w:fldChar w:fldCharType="separate"/>
        </w:r>
        <w:r w:rsidR="00B7623C">
          <w:rPr>
            <w:noProof/>
            <w:color w:val="430098" w:themeColor="text2"/>
          </w:rPr>
          <w:t>1</w:t>
        </w:r>
        <w:r w:rsidR="00B7623C">
          <w:rPr>
            <w:color w:val="430098" w:themeColor="text2"/>
          </w:rPr>
          <w:fldChar w:fldCharType="end"/>
        </w:r>
      </w:sdtContent>
    </w:sdt>
  </w:p>
  <w:sdt>
    <w:sdtPr>
      <w:rPr>
        <w:caps w:val="0"/>
        <w:sz w:val="44"/>
        <w:szCs w:val="44"/>
      </w:rPr>
      <w:id w:val="125823172"/>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0AE605BB" w14:textId="1DF0D43D" w:rsidR="00276D50" w:rsidRPr="003B4D30" w:rsidRDefault="00DA4FD1" w:rsidP="00276D50">
        <w:pPr>
          <w:pStyle w:val="ProtectiveMarking"/>
          <w:framePr w:wrap="around" w:y="15877"/>
          <w:spacing w:before="0" w:after="0"/>
          <w:rPr>
            <w:caps w:val="0"/>
            <w:sz w:val="44"/>
            <w:szCs w:val="44"/>
          </w:rPr>
        </w:pPr>
        <w:r>
          <w:rPr>
            <w:caps w:val="0"/>
            <w:sz w:val="44"/>
            <w:szCs w:val="44"/>
          </w:rPr>
          <w:t>OFFICIAL</w:t>
        </w:r>
      </w:p>
    </w:sdtContent>
  </w:sdt>
  <w:p w14:paraId="35769487" w14:textId="77777777" w:rsidR="00B7623C" w:rsidRPr="004A7C0C" w:rsidRDefault="00B7623C" w:rsidP="00CC1E32">
    <w:pPr>
      <w:spacing w:before="0" w:after="0"/>
      <w:jc w:val="center"/>
      <w:rPr>
        <w:cap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7C95" w14:textId="75FB0BD1" w:rsidR="004F284C" w:rsidRPr="00685DCF" w:rsidRDefault="004F284C" w:rsidP="00F67E01">
    <w:pPr>
      <w:pStyle w:val="Footer"/>
      <w:pBdr>
        <w:top w:val="single" w:sz="4" w:space="1" w:color="430098" w:themeColor="text2"/>
      </w:pBdr>
      <w:tabs>
        <w:tab w:val="clear" w:pos="4513"/>
        <w:tab w:val="center" w:pos="1701"/>
      </w:tabs>
      <w:spacing w:before="0" w:after="120"/>
      <w:jc w:val="right"/>
      <w:rPr>
        <w:color w:val="430098" w:themeColor="text2"/>
      </w:rPr>
    </w:pPr>
    <w:r>
      <w:rPr>
        <w:noProof/>
      </w:rPr>
      <w:drawing>
        <wp:anchor distT="0" distB="0" distL="114300" distR="114300" simplePos="0" relativeHeight="251685888" behindDoc="0" locked="0" layoutInCell="1" allowOverlap="1" wp14:anchorId="66FBC474" wp14:editId="13A6B9D8">
          <wp:simplePos x="0" y="0"/>
          <wp:positionH relativeFrom="column">
            <wp:posOffset>-50165</wp:posOffset>
          </wp:positionH>
          <wp:positionV relativeFrom="paragraph">
            <wp:posOffset>173062</wp:posOffset>
          </wp:positionV>
          <wp:extent cx="881337" cy="388311"/>
          <wp:effectExtent l="0" t="0" r="0" b="0"/>
          <wp:wrapNone/>
          <wp:docPr id="30" name="Graphic 30">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sdt>
      <w:sdtPr>
        <w:rPr>
          <w:color w:val="430098" w:themeColor="text2"/>
        </w:rPr>
        <w:alias w:val="Title"/>
        <w:tag w:val=""/>
        <w:id w:val="2032152324"/>
        <w:placeholder>
          <w:docPart w:val="AAFC0295B74C4C0C8C7DCF5A957B94A5"/>
        </w:placeholder>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sidR="00DA4FD1">
          <w:rPr>
            <w:color w:val="430098" w:themeColor="text2"/>
          </w:rPr>
          <w:t>Fraud Policy and Procedures</w:t>
        </w:r>
      </w:sdtContent>
    </w:sdt>
  </w:p>
  <w:sdt>
    <w:sdtPr>
      <w:rPr>
        <w:caps w:val="0"/>
        <w:sz w:val="44"/>
        <w:szCs w:val="44"/>
      </w:rPr>
      <w:id w:val="-1559856458"/>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315A315A" w14:textId="7996DDF6" w:rsidR="00276D50" w:rsidRPr="003B4D30" w:rsidRDefault="00DA4FD1" w:rsidP="00276D50">
        <w:pPr>
          <w:pStyle w:val="ProtectiveMarking"/>
          <w:framePr w:wrap="around" w:y="15877"/>
          <w:spacing w:before="0" w:after="0"/>
          <w:rPr>
            <w:caps w:val="0"/>
            <w:sz w:val="44"/>
            <w:szCs w:val="44"/>
          </w:rPr>
        </w:pPr>
        <w:r>
          <w:rPr>
            <w:caps w:val="0"/>
            <w:sz w:val="44"/>
            <w:szCs w:val="44"/>
          </w:rPr>
          <w:t>OFFICIAL</w:t>
        </w:r>
      </w:p>
    </w:sdtContent>
  </w:sdt>
  <w:p w14:paraId="6C241FA3" w14:textId="77777777" w:rsidR="004F284C" w:rsidRPr="004F284C" w:rsidRDefault="004F284C" w:rsidP="004F284C">
    <w:pPr>
      <w:spacing w:before="0" w:after="0"/>
      <w:jc w:val="center"/>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932C4" w14:textId="77777777" w:rsidR="000A18E9" w:rsidRDefault="000A18E9" w:rsidP="005658AC">
      <w:pPr>
        <w:spacing w:after="120"/>
      </w:pPr>
      <w:r>
        <w:separator/>
      </w:r>
    </w:p>
  </w:footnote>
  <w:footnote w:type="continuationSeparator" w:id="0">
    <w:p w14:paraId="2085C6E7" w14:textId="77777777" w:rsidR="000A18E9" w:rsidRDefault="000A18E9" w:rsidP="00C37A29">
      <w:pPr>
        <w:spacing w:after="0"/>
      </w:pPr>
      <w:r>
        <w:continuationSeparator/>
      </w:r>
    </w:p>
    <w:p w14:paraId="472C5B44" w14:textId="77777777" w:rsidR="000A18E9" w:rsidRDefault="000A18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902A" w14:textId="77777777" w:rsidR="00761688" w:rsidRDefault="007616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val="0"/>
        <w:sz w:val="44"/>
        <w:szCs w:val="44"/>
      </w:rPr>
      <w:id w:val="612094982"/>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3C8C5270" w14:textId="1BED2058" w:rsidR="00276D50" w:rsidRPr="003B4D30" w:rsidRDefault="00DA4FD1" w:rsidP="00276D50">
        <w:pPr>
          <w:pStyle w:val="ProtectiveMarking"/>
          <w:framePr w:wrap="around"/>
          <w:spacing w:before="0" w:after="0"/>
          <w:rPr>
            <w:caps w:val="0"/>
            <w:sz w:val="44"/>
            <w:szCs w:val="44"/>
          </w:rPr>
        </w:pPr>
        <w:r>
          <w:rPr>
            <w:caps w:val="0"/>
            <w:sz w:val="44"/>
            <w:szCs w:val="44"/>
          </w:rPr>
          <w:t>OFFICIAL</w:t>
        </w:r>
      </w:p>
    </w:sdtContent>
  </w:sdt>
  <w:p w14:paraId="6E436F39" w14:textId="77777777" w:rsidR="006C37AF" w:rsidRPr="006C37AF" w:rsidRDefault="006C37AF" w:rsidP="006C37AF">
    <w:pPr>
      <w:spacing w:before="0" w:after="0"/>
      <w:jc w:val="center"/>
      <w:rPr>
        <w:cap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val="0"/>
        <w:sz w:val="44"/>
        <w:szCs w:val="44"/>
      </w:rPr>
      <w:id w:val="-1797288439"/>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4C8F958E" w14:textId="13EFCC4E" w:rsidR="00276D50" w:rsidRPr="003B4D30" w:rsidRDefault="00DA4FD1" w:rsidP="00276D50">
        <w:pPr>
          <w:pStyle w:val="ProtectiveMarking"/>
          <w:framePr w:wrap="around"/>
          <w:spacing w:before="0" w:after="0"/>
          <w:rPr>
            <w:caps w:val="0"/>
            <w:sz w:val="44"/>
            <w:szCs w:val="44"/>
          </w:rPr>
        </w:pPr>
        <w:r>
          <w:rPr>
            <w:caps w:val="0"/>
            <w:sz w:val="44"/>
            <w:szCs w:val="44"/>
          </w:rPr>
          <w:t>OFFICIAL</w:t>
        </w:r>
      </w:p>
    </w:sdtContent>
  </w:sdt>
  <w:p w14:paraId="3B694306" w14:textId="77777777" w:rsidR="006C37AF" w:rsidRDefault="006C37AF">
    <w:pPr>
      <w:pStyle w:val="Header"/>
    </w:pPr>
    <w:r>
      <w:rPr>
        <w:noProof/>
      </w:rPr>
      <w:drawing>
        <wp:anchor distT="4320540" distB="360045" distL="114300" distR="114300" simplePos="0" relativeHeight="251689984" behindDoc="0" locked="1" layoutInCell="1" allowOverlap="1" wp14:anchorId="46DA801B" wp14:editId="47717755">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907C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448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44E2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3252CBE4"/>
    <w:numStyleLink w:val="Numbering"/>
  </w:abstractNum>
  <w:abstractNum w:abstractNumId="11" w15:restartNumberingAfterBreak="0">
    <w:nsid w:val="05431BD9"/>
    <w:multiLevelType w:val="multilevel"/>
    <w:tmpl w:val="3252CBE4"/>
    <w:numStyleLink w:val="Numbering"/>
  </w:abstractNum>
  <w:abstractNum w:abstractNumId="1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3252CBE4"/>
    <w:numStyleLink w:val="Numbering"/>
  </w:abstractNum>
  <w:abstractNum w:abstractNumId="14" w15:restartNumberingAfterBreak="0">
    <w:nsid w:val="0D5A5E93"/>
    <w:multiLevelType w:val="multilevel"/>
    <w:tmpl w:val="7B2236E6"/>
    <w:numStyleLink w:val="Bullets"/>
  </w:abstractNum>
  <w:abstractNum w:abstractNumId="15"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3252CBE4"/>
    <w:numStyleLink w:val="Numbering"/>
  </w:abstractNum>
  <w:abstractNum w:abstractNumId="17" w15:restartNumberingAfterBreak="0">
    <w:nsid w:val="15AC0B28"/>
    <w:multiLevelType w:val="multilevel"/>
    <w:tmpl w:val="B6542242"/>
    <w:numStyleLink w:val="LetteredList"/>
  </w:abstractNum>
  <w:abstractNum w:abstractNumId="18"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71418A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D322B09"/>
    <w:multiLevelType w:val="multilevel"/>
    <w:tmpl w:val="3252CBE4"/>
    <w:numStyleLink w:val="Numbering"/>
  </w:abstractNum>
  <w:abstractNum w:abstractNumId="21" w15:restartNumberingAfterBreak="0">
    <w:nsid w:val="20215C86"/>
    <w:multiLevelType w:val="multilevel"/>
    <w:tmpl w:val="7B2236E6"/>
    <w:numStyleLink w:val="Bullets"/>
  </w:abstractNum>
  <w:abstractNum w:abstractNumId="22" w15:restartNumberingAfterBreak="0">
    <w:nsid w:val="22F13FF1"/>
    <w:multiLevelType w:val="hybridMultilevel"/>
    <w:tmpl w:val="81A03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4311D5"/>
    <w:multiLevelType w:val="hybridMultilevel"/>
    <w:tmpl w:val="88C68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7B2236E6"/>
    <w:numStyleLink w:val="Bullets"/>
  </w:abstractNum>
  <w:abstractNum w:abstractNumId="25" w15:restartNumberingAfterBreak="0">
    <w:nsid w:val="41397427"/>
    <w:multiLevelType w:val="multilevel"/>
    <w:tmpl w:val="3252CBE4"/>
    <w:numStyleLink w:val="Numbering"/>
  </w:abstractNum>
  <w:abstractNum w:abstractNumId="26" w15:restartNumberingAfterBreak="0">
    <w:nsid w:val="49C41DF8"/>
    <w:multiLevelType w:val="hybridMultilevel"/>
    <w:tmpl w:val="C9C418DE"/>
    <w:lvl w:ilvl="0" w:tplc="9DBA60D2">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3252CBE4"/>
    <w:numStyleLink w:val="Numbering"/>
  </w:abstractNum>
  <w:abstractNum w:abstractNumId="29" w15:restartNumberingAfterBreak="0">
    <w:nsid w:val="574672D5"/>
    <w:multiLevelType w:val="multilevel"/>
    <w:tmpl w:val="7B2236E6"/>
    <w:numStyleLink w:val="Bullets"/>
  </w:abstractNum>
  <w:abstractNum w:abstractNumId="30" w15:restartNumberingAfterBreak="0">
    <w:nsid w:val="58B73D84"/>
    <w:multiLevelType w:val="multilevel"/>
    <w:tmpl w:val="50041352"/>
    <w:numStyleLink w:val="ListHeadings"/>
  </w:abstractNum>
  <w:abstractNum w:abstractNumId="31" w15:restartNumberingAfterBreak="0">
    <w:nsid w:val="596A0C8C"/>
    <w:multiLevelType w:val="multilevel"/>
    <w:tmpl w:val="3252CBE4"/>
    <w:numStyleLink w:val="Numbering"/>
  </w:abstractNum>
  <w:abstractNum w:abstractNumId="32"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7B2236E6"/>
    <w:numStyleLink w:val="Bullets"/>
  </w:abstractNum>
  <w:abstractNum w:abstractNumId="34" w15:restartNumberingAfterBreak="0">
    <w:nsid w:val="660D51AD"/>
    <w:multiLevelType w:val="multilevel"/>
    <w:tmpl w:val="3252CBE4"/>
    <w:numStyleLink w:val="Numbering"/>
  </w:abstractNum>
  <w:abstractNum w:abstractNumId="35" w15:restartNumberingAfterBreak="0">
    <w:nsid w:val="698B50D6"/>
    <w:multiLevelType w:val="hybridMultilevel"/>
    <w:tmpl w:val="DE1C9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0D40EA"/>
    <w:multiLevelType w:val="multilevel"/>
    <w:tmpl w:val="B6542242"/>
    <w:numStyleLink w:val="LetteredList"/>
  </w:abstractNum>
  <w:abstractNum w:abstractNumId="37" w15:restartNumberingAfterBreak="0">
    <w:nsid w:val="744D0736"/>
    <w:multiLevelType w:val="multilevel"/>
    <w:tmpl w:val="3252CBE4"/>
    <w:numStyleLink w:val="Numbering"/>
  </w:abstractNum>
  <w:abstractNum w:abstractNumId="38" w15:restartNumberingAfterBreak="0">
    <w:nsid w:val="770712F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890036"/>
    <w:multiLevelType w:val="hybridMultilevel"/>
    <w:tmpl w:val="526ED7DA"/>
    <w:lvl w:ilvl="0" w:tplc="4BBA833C">
      <w:start w:val="1"/>
      <w:numFmt w:val="bullet"/>
      <w:pStyle w:val="ListBullet21"/>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7F9C61DD"/>
    <w:multiLevelType w:val="hybridMultilevel"/>
    <w:tmpl w:val="2EB083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2"/>
  </w:num>
  <w:num w:numId="12" w16cid:durableId="1261796759">
    <w:abstractNumId w:val="33"/>
  </w:num>
  <w:num w:numId="13" w16cid:durableId="1043405154">
    <w:abstractNumId w:val="24"/>
  </w:num>
  <w:num w:numId="14" w16cid:durableId="846598071">
    <w:abstractNumId w:val="15"/>
  </w:num>
  <w:num w:numId="15" w16cid:durableId="1311640227">
    <w:abstractNumId w:val="37"/>
  </w:num>
  <w:num w:numId="16" w16cid:durableId="881941196">
    <w:abstractNumId w:val="28"/>
  </w:num>
  <w:num w:numId="17" w16cid:durableId="533617442">
    <w:abstractNumId w:val="34"/>
  </w:num>
  <w:num w:numId="18" w16cid:durableId="250312982">
    <w:abstractNumId w:val="10"/>
  </w:num>
  <w:num w:numId="19" w16cid:durableId="385955825">
    <w:abstractNumId w:val="13"/>
  </w:num>
  <w:num w:numId="20" w16cid:durableId="1408189744">
    <w:abstractNumId w:val="25"/>
  </w:num>
  <w:num w:numId="21" w16cid:durableId="1370494809">
    <w:abstractNumId w:val="16"/>
  </w:num>
  <w:num w:numId="22" w16cid:durableId="659580476">
    <w:abstractNumId w:val="12"/>
  </w:num>
  <w:num w:numId="23" w16cid:durableId="2036539326">
    <w:abstractNumId w:val="14"/>
  </w:num>
  <w:num w:numId="24" w16cid:durableId="1303265532">
    <w:abstractNumId w:val="20"/>
  </w:num>
  <w:num w:numId="25" w16cid:durableId="1737582058">
    <w:abstractNumId w:val="31"/>
  </w:num>
  <w:num w:numId="26" w16cid:durableId="974717717">
    <w:abstractNumId w:val="30"/>
  </w:num>
  <w:num w:numId="27" w16cid:durableId="444039133">
    <w:abstractNumId w:val="18"/>
  </w:num>
  <w:num w:numId="28" w16cid:durableId="1536448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7"/>
  </w:num>
  <w:num w:numId="30" w16cid:durableId="1078097849">
    <w:abstractNumId w:val="29"/>
  </w:num>
  <w:num w:numId="31" w16cid:durableId="725029349">
    <w:abstractNumId w:val="21"/>
  </w:num>
  <w:num w:numId="32" w16cid:durableId="1773672465">
    <w:abstractNumId w:val="11"/>
  </w:num>
  <w:num w:numId="33" w16cid:durableId="1905679259">
    <w:abstractNumId w:val="17"/>
  </w:num>
  <w:num w:numId="34" w16cid:durableId="1487628207">
    <w:abstractNumId w:val="36"/>
  </w:num>
  <w:num w:numId="35" w16cid:durableId="272252758">
    <w:abstractNumId w:val="39"/>
  </w:num>
  <w:num w:numId="36" w16cid:durableId="884874078">
    <w:abstractNumId w:val="22"/>
  </w:num>
  <w:num w:numId="37" w16cid:durableId="1736320022">
    <w:abstractNumId w:val="19"/>
  </w:num>
  <w:num w:numId="38" w16cid:durableId="1130244220">
    <w:abstractNumId w:val="26"/>
  </w:num>
  <w:num w:numId="39" w16cid:durableId="127478842">
    <w:abstractNumId w:val="38"/>
  </w:num>
  <w:num w:numId="40" w16cid:durableId="182668299">
    <w:abstractNumId w:val="40"/>
  </w:num>
  <w:num w:numId="41" w16cid:durableId="948779014">
    <w:abstractNumId w:val="21"/>
  </w:num>
  <w:num w:numId="42" w16cid:durableId="1371882901">
    <w:abstractNumId w:val="23"/>
  </w:num>
  <w:num w:numId="43" w16cid:durableId="172845828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D1"/>
    <w:rsid w:val="000016E9"/>
    <w:rsid w:val="000300AF"/>
    <w:rsid w:val="0004563C"/>
    <w:rsid w:val="00062784"/>
    <w:rsid w:val="000724AE"/>
    <w:rsid w:val="0007747C"/>
    <w:rsid w:val="0008037D"/>
    <w:rsid w:val="000A18E9"/>
    <w:rsid w:val="000B497F"/>
    <w:rsid w:val="000C1AA9"/>
    <w:rsid w:val="000C2924"/>
    <w:rsid w:val="000D3DF9"/>
    <w:rsid w:val="000E3FF8"/>
    <w:rsid w:val="000E4575"/>
    <w:rsid w:val="000F2D16"/>
    <w:rsid w:val="00101877"/>
    <w:rsid w:val="00110AC2"/>
    <w:rsid w:val="00112E8F"/>
    <w:rsid w:val="00117652"/>
    <w:rsid w:val="001268BC"/>
    <w:rsid w:val="00126C69"/>
    <w:rsid w:val="0013634D"/>
    <w:rsid w:val="001453E3"/>
    <w:rsid w:val="00166F43"/>
    <w:rsid w:val="001A0D77"/>
    <w:rsid w:val="001B002E"/>
    <w:rsid w:val="001B2DEF"/>
    <w:rsid w:val="001C0D28"/>
    <w:rsid w:val="001C19AB"/>
    <w:rsid w:val="001C7835"/>
    <w:rsid w:val="001F13C1"/>
    <w:rsid w:val="001F446D"/>
    <w:rsid w:val="00221AB7"/>
    <w:rsid w:val="002437F6"/>
    <w:rsid w:val="00246435"/>
    <w:rsid w:val="00246BCF"/>
    <w:rsid w:val="0025786F"/>
    <w:rsid w:val="00265D26"/>
    <w:rsid w:val="00270834"/>
    <w:rsid w:val="00276D50"/>
    <w:rsid w:val="002814E6"/>
    <w:rsid w:val="002862BC"/>
    <w:rsid w:val="00296F32"/>
    <w:rsid w:val="002E0EDA"/>
    <w:rsid w:val="002E394D"/>
    <w:rsid w:val="002F07B4"/>
    <w:rsid w:val="00301E6C"/>
    <w:rsid w:val="00303246"/>
    <w:rsid w:val="00305171"/>
    <w:rsid w:val="00311A8A"/>
    <w:rsid w:val="003230C3"/>
    <w:rsid w:val="00334891"/>
    <w:rsid w:val="00341364"/>
    <w:rsid w:val="0034139E"/>
    <w:rsid w:val="0034680A"/>
    <w:rsid w:val="00360EA2"/>
    <w:rsid w:val="00363FF8"/>
    <w:rsid w:val="0037721D"/>
    <w:rsid w:val="0038102A"/>
    <w:rsid w:val="00382CB5"/>
    <w:rsid w:val="003A265C"/>
    <w:rsid w:val="003A58AC"/>
    <w:rsid w:val="003D0865"/>
    <w:rsid w:val="003D23A3"/>
    <w:rsid w:val="003D3729"/>
    <w:rsid w:val="003D5856"/>
    <w:rsid w:val="00404E4F"/>
    <w:rsid w:val="0041428E"/>
    <w:rsid w:val="0042339A"/>
    <w:rsid w:val="0042508F"/>
    <w:rsid w:val="00452E56"/>
    <w:rsid w:val="00455000"/>
    <w:rsid w:val="004635FD"/>
    <w:rsid w:val="0046525C"/>
    <w:rsid w:val="00467EA8"/>
    <w:rsid w:val="00474FEE"/>
    <w:rsid w:val="004843D5"/>
    <w:rsid w:val="004A65E6"/>
    <w:rsid w:val="004A7C0C"/>
    <w:rsid w:val="004B43BD"/>
    <w:rsid w:val="004B609E"/>
    <w:rsid w:val="004C4C1F"/>
    <w:rsid w:val="004D1958"/>
    <w:rsid w:val="004E0833"/>
    <w:rsid w:val="004E28C6"/>
    <w:rsid w:val="004F138F"/>
    <w:rsid w:val="004F284C"/>
    <w:rsid w:val="004F67F4"/>
    <w:rsid w:val="00500FBF"/>
    <w:rsid w:val="0050642B"/>
    <w:rsid w:val="0050670B"/>
    <w:rsid w:val="005141E8"/>
    <w:rsid w:val="00533496"/>
    <w:rsid w:val="0054698D"/>
    <w:rsid w:val="00550C99"/>
    <w:rsid w:val="00553413"/>
    <w:rsid w:val="0056214A"/>
    <w:rsid w:val="005658AC"/>
    <w:rsid w:val="0058369E"/>
    <w:rsid w:val="00586DD1"/>
    <w:rsid w:val="00593314"/>
    <w:rsid w:val="00594496"/>
    <w:rsid w:val="005A347B"/>
    <w:rsid w:val="005A51A0"/>
    <w:rsid w:val="005C6618"/>
    <w:rsid w:val="005D46C1"/>
    <w:rsid w:val="005E4ED3"/>
    <w:rsid w:val="00603FD5"/>
    <w:rsid w:val="00611524"/>
    <w:rsid w:val="00616DC8"/>
    <w:rsid w:val="00632604"/>
    <w:rsid w:val="00640453"/>
    <w:rsid w:val="00646F3B"/>
    <w:rsid w:val="006559DC"/>
    <w:rsid w:val="00656222"/>
    <w:rsid w:val="00664A5D"/>
    <w:rsid w:val="0068724F"/>
    <w:rsid w:val="006A1DEF"/>
    <w:rsid w:val="006A3CC0"/>
    <w:rsid w:val="006B258F"/>
    <w:rsid w:val="006B6825"/>
    <w:rsid w:val="006C2435"/>
    <w:rsid w:val="006C37AF"/>
    <w:rsid w:val="006C4AF4"/>
    <w:rsid w:val="006D3F2F"/>
    <w:rsid w:val="006E16C6"/>
    <w:rsid w:val="006E3536"/>
    <w:rsid w:val="00700AF5"/>
    <w:rsid w:val="00712676"/>
    <w:rsid w:val="00714488"/>
    <w:rsid w:val="007254A7"/>
    <w:rsid w:val="0073421C"/>
    <w:rsid w:val="00735843"/>
    <w:rsid w:val="00761688"/>
    <w:rsid w:val="00771DC5"/>
    <w:rsid w:val="007818AD"/>
    <w:rsid w:val="0079751C"/>
    <w:rsid w:val="007A0363"/>
    <w:rsid w:val="007A759D"/>
    <w:rsid w:val="007B1249"/>
    <w:rsid w:val="007C2EB8"/>
    <w:rsid w:val="007C3FC5"/>
    <w:rsid w:val="007C61C7"/>
    <w:rsid w:val="007E677E"/>
    <w:rsid w:val="007E7FE4"/>
    <w:rsid w:val="00806F01"/>
    <w:rsid w:val="0081533C"/>
    <w:rsid w:val="00837A77"/>
    <w:rsid w:val="00845C1F"/>
    <w:rsid w:val="0085439B"/>
    <w:rsid w:val="00871BC0"/>
    <w:rsid w:val="00897F77"/>
    <w:rsid w:val="008A2BB2"/>
    <w:rsid w:val="008A636C"/>
    <w:rsid w:val="008B05C3"/>
    <w:rsid w:val="008B4965"/>
    <w:rsid w:val="008C169D"/>
    <w:rsid w:val="008D1ABD"/>
    <w:rsid w:val="008D760A"/>
    <w:rsid w:val="008E0D6C"/>
    <w:rsid w:val="008F693C"/>
    <w:rsid w:val="008F6C07"/>
    <w:rsid w:val="008F70D1"/>
    <w:rsid w:val="0090137A"/>
    <w:rsid w:val="009067BD"/>
    <w:rsid w:val="00911931"/>
    <w:rsid w:val="00921C76"/>
    <w:rsid w:val="00923EAE"/>
    <w:rsid w:val="009254B8"/>
    <w:rsid w:val="00926DEE"/>
    <w:rsid w:val="00926DF7"/>
    <w:rsid w:val="00927FDE"/>
    <w:rsid w:val="00936068"/>
    <w:rsid w:val="009517CC"/>
    <w:rsid w:val="009615D4"/>
    <w:rsid w:val="00974677"/>
    <w:rsid w:val="00983D00"/>
    <w:rsid w:val="00990D47"/>
    <w:rsid w:val="009A1E02"/>
    <w:rsid w:val="009A2F17"/>
    <w:rsid w:val="009A49D1"/>
    <w:rsid w:val="009B2296"/>
    <w:rsid w:val="009B41B9"/>
    <w:rsid w:val="009B64D7"/>
    <w:rsid w:val="009D0BC6"/>
    <w:rsid w:val="009D24F5"/>
    <w:rsid w:val="009E10A1"/>
    <w:rsid w:val="009F3A68"/>
    <w:rsid w:val="009F5B49"/>
    <w:rsid w:val="00A12635"/>
    <w:rsid w:val="00A13664"/>
    <w:rsid w:val="00A20BA0"/>
    <w:rsid w:val="00A24EF4"/>
    <w:rsid w:val="00A251AB"/>
    <w:rsid w:val="00A4030C"/>
    <w:rsid w:val="00A456B8"/>
    <w:rsid w:val="00A53764"/>
    <w:rsid w:val="00A60DA0"/>
    <w:rsid w:val="00A71387"/>
    <w:rsid w:val="00A75CC3"/>
    <w:rsid w:val="00A90151"/>
    <w:rsid w:val="00A9359B"/>
    <w:rsid w:val="00AA163B"/>
    <w:rsid w:val="00AB5F12"/>
    <w:rsid w:val="00AB7016"/>
    <w:rsid w:val="00AC0558"/>
    <w:rsid w:val="00AC2373"/>
    <w:rsid w:val="00AC59FD"/>
    <w:rsid w:val="00B05729"/>
    <w:rsid w:val="00B16E6C"/>
    <w:rsid w:val="00B22D9D"/>
    <w:rsid w:val="00B23603"/>
    <w:rsid w:val="00B25616"/>
    <w:rsid w:val="00B26DE2"/>
    <w:rsid w:val="00B326CB"/>
    <w:rsid w:val="00B32D6C"/>
    <w:rsid w:val="00B34D08"/>
    <w:rsid w:val="00B36088"/>
    <w:rsid w:val="00B3749D"/>
    <w:rsid w:val="00B44103"/>
    <w:rsid w:val="00B52D57"/>
    <w:rsid w:val="00B56365"/>
    <w:rsid w:val="00B57C8C"/>
    <w:rsid w:val="00B60B0A"/>
    <w:rsid w:val="00B6262D"/>
    <w:rsid w:val="00B65489"/>
    <w:rsid w:val="00B65DAA"/>
    <w:rsid w:val="00B66B2F"/>
    <w:rsid w:val="00B71535"/>
    <w:rsid w:val="00B74F7F"/>
    <w:rsid w:val="00B75B08"/>
    <w:rsid w:val="00B7623C"/>
    <w:rsid w:val="00B77CAC"/>
    <w:rsid w:val="00B861FF"/>
    <w:rsid w:val="00B87859"/>
    <w:rsid w:val="00B91D47"/>
    <w:rsid w:val="00BA0B6E"/>
    <w:rsid w:val="00BA3CB8"/>
    <w:rsid w:val="00BA7623"/>
    <w:rsid w:val="00BD7FE0"/>
    <w:rsid w:val="00BE2BD8"/>
    <w:rsid w:val="00BF68C8"/>
    <w:rsid w:val="00C01E68"/>
    <w:rsid w:val="00C11924"/>
    <w:rsid w:val="00C12CF1"/>
    <w:rsid w:val="00C2094D"/>
    <w:rsid w:val="00C326F9"/>
    <w:rsid w:val="00C37A29"/>
    <w:rsid w:val="00C41DED"/>
    <w:rsid w:val="00C47FE9"/>
    <w:rsid w:val="00C51B9C"/>
    <w:rsid w:val="00C53FA3"/>
    <w:rsid w:val="00C678F8"/>
    <w:rsid w:val="00C70EFC"/>
    <w:rsid w:val="00C8367B"/>
    <w:rsid w:val="00C9246F"/>
    <w:rsid w:val="00C932F3"/>
    <w:rsid w:val="00C94E22"/>
    <w:rsid w:val="00CC1E32"/>
    <w:rsid w:val="00CC4E36"/>
    <w:rsid w:val="00CD38F0"/>
    <w:rsid w:val="00CD61EB"/>
    <w:rsid w:val="00CF02F0"/>
    <w:rsid w:val="00CF0A10"/>
    <w:rsid w:val="00D103E7"/>
    <w:rsid w:val="00D16F74"/>
    <w:rsid w:val="00D36B67"/>
    <w:rsid w:val="00D60649"/>
    <w:rsid w:val="00D61E88"/>
    <w:rsid w:val="00D83923"/>
    <w:rsid w:val="00D9419D"/>
    <w:rsid w:val="00DA4FD1"/>
    <w:rsid w:val="00DA59C3"/>
    <w:rsid w:val="00DB7434"/>
    <w:rsid w:val="00DD3C7C"/>
    <w:rsid w:val="00DD7D58"/>
    <w:rsid w:val="00DE59FB"/>
    <w:rsid w:val="00DE602B"/>
    <w:rsid w:val="00DE730E"/>
    <w:rsid w:val="00DF4E3E"/>
    <w:rsid w:val="00E0453D"/>
    <w:rsid w:val="00E05FA6"/>
    <w:rsid w:val="00E17191"/>
    <w:rsid w:val="00E25474"/>
    <w:rsid w:val="00E26891"/>
    <w:rsid w:val="00E32F93"/>
    <w:rsid w:val="00E42A61"/>
    <w:rsid w:val="00E54B2B"/>
    <w:rsid w:val="00E56A45"/>
    <w:rsid w:val="00E56EB1"/>
    <w:rsid w:val="00E57CEC"/>
    <w:rsid w:val="00E637A7"/>
    <w:rsid w:val="00E7522A"/>
    <w:rsid w:val="00E90548"/>
    <w:rsid w:val="00EA1943"/>
    <w:rsid w:val="00EA3594"/>
    <w:rsid w:val="00EB4BAD"/>
    <w:rsid w:val="00EE0560"/>
    <w:rsid w:val="00EE4DFE"/>
    <w:rsid w:val="00EE6F14"/>
    <w:rsid w:val="00EF0EDF"/>
    <w:rsid w:val="00EF3F23"/>
    <w:rsid w:val="00F05A49"/>
    <w:rsid w:val="00F075A7"/>
    <w:rsid w:val="00F162D4"/>
    <w:rsid w:val="00F163E3"/>
    <w:rsid w:val="00F3325B"/>
    <w:rsid w:val="00F4010B"/>
    <w:rsid w:val="00F4702C"/>
    <w:rsid w:val="00F47F1C"/>
    <w:rsid w:val="00F505B8"/>
    <w:rsid w:val="00F53397"/>
    <w:rsid w:val="00F625FE"/>
    <w:rsid w:val="00F634F6"/>
    <w:rsid w:val="00F63D65"/>
    <w:rsid w:val="00F67E01"/>
    <w:rsid w:val="00F80F0E"/>
    <w:rsid w:val="00F87B07"/>
    <w:rsid w:val="00F94880"/>
    <w:rsid w:val="00F9664A"/>
    <w:rsid w:val="00FB0D65"/>
    <w:rsid w:val="00FB1EA0"/>
    <w:rsid w:val="00FC1603"/>
    <w:rsid w:val="00FC2D8B"/>
    <w:rsid w:val="00FD3306"/>
    <w:rsid w:val="00FE2A2A"/>
    <w:rsid w:val="00FE35D0"/>
    <w:rsid w:val="00FE57D8"/>
    <w:rsid w:val="00FE7C8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9E899"/>
  <w15:docId w15:val="{AFA9609D-C01E-45FC-9598-49CB3644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604"/>
    <w:pPr>
      <w:spacing w:before="120" w:after="240" w:line="264" w:lineRule="auto"/>
    </w:pPr>
  </w:style>
  <w:style w:type="paragraph" w:styleId="Heading1">
    <w:name w:val="heading 1"/>
    <w:basedOn w:val="Normal"/>
    <w:next w:val="Normal"/>
    <w:link w:val="Heading1Char"/>
    <w:uiPriority w:val="9"/>
    <w:qFormat/>
    <w:rsid w:val="0063260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63260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63260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632604"/>
    <w:pPr>
      <w:numPr>
        <w:numId w:val="31"/>
      </w:numPr>
    </w:pPr>
  </w:style>
  <w:style w:type="paragraph" w:styleId="ListBullet2">
    <w:name w:val="List Bullet 2"/>
    <w:basedOn w:val="Normal"/>
    <w:link w:val="ListBullet2Char"/>
    <w:uiPriority w:val="99"/>
    <w:unhideWhenUsed/>
    <w:qFormat/>
    <w:rsid w:val="00117652"/>
    <w:pPr>
      <w:numPr>
        <w:ilvl w:val="1"/>
        <w:numId w:val="31"/>
      </w:numPr>
    </w:pPr>
  </w:style>
  <w:style w:type="paragraph" w:styleId="ListNumber">
    <w:name w:val="List Number"/>
    <w:basedOn w:val="Normal"/>
    <w:uiPriority w:val="99"/>
    <w:unhideWhenUsed/>
    <w:qFormat/>
    <w:rsid w:val="00632604"/>
    <w:pPr>
      <w:numPr>
        <w:numId w:val="32"/>
      </w:numPr>
      <w:spacing w:line="720" w:lineRule="auto"/>
      <w:ind w:left="1134" w:hanging="567"/>
    </w:pPr>
  </w:style>
  <w:style w:type="numbering" w:customStyle="1" w:styleId="Bullets">
    <w:name w:val="Bullets"/>
    <w:uiPriority w:val="99"/>
    <w:rsid w:val="000D3DF9"/>
    <w:pPr>
      <w:numPr>
        <w:numId w:val="11"/>
      </w:numPr>
    </w:pPr>
  </w:style>
  <w:style w:type="character" w:customStyle="1" w:styleId="Heading1Char">
    <w:name w:val="Heading 1 Char"/>
    <w:basedOn w:val="DefaultParagraphFont"/>
    <w:link w:val="Heading1"/>
    <w:uiPriority w:val="9"/>
    <w:rsid w:val="0063260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32604"/>
    <w:pPr>
      <w:numPr>
        <w:ilvl w:val="1"/>
        <w:numId w:val="32"/>
      </w:numPr>
      <w:ind w:left="1701"/>
    </w:pPr>
  </w:style>
  <w:style w:type="character" w:customStyle="1" w:styleId="Heading2Char">
    <w:name w:val="Heading 2 Char"/>
    <w:basedOn w:val="DefaultParagraphFont"/>
    <w:link w:val="Heading2"/>
    <w:uiPriority w:val="9"/>
    <w:rsid w:val="00632604"/>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14"/>
      </w:numPr>
    </w:pPr>
  </w:style>
  <w:style w:type="paragraph" w:styleId="ListBullet3">
    <w:name w:val="List Bullet 3"/>
    <w:basedOn w:val="Normal"/>
    <w:uiPriority w:val="99"/>
    <w:unhideWhenUsed/>
    <w:rsid w:val="00117652"/>
    <w:pPr>
      <w:numPr>
        <w:ilvl w:val="2"/>
        <w:numId w:val="31"/>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632604"/>
    <w:pPr>
      <w:numPr>
        <w:ilvl w:val="2"/>
        <w:numId w:val="32"/>
      </w:numPr>
      <w:ind w:left="2268"/>
    </w:pPr>
  </w:style>
  <w:style w:type="paragraph" w:styleId="ListNumber4">
    <w:name w:val="List Number 4"/>
    <w:basedOn w:val="Normal"/>
    <w:uiPriority w:val="99"/>
    <w:semiHidden/>
    <w:qFormat/>
    <w:rsid w:val="005A51A0"/>
    <w:pPr>
      <w:numPr>
        <w:ilvl w:val="3"/>
        <w:numId w:val="32"/>
      </w:numPr>
      <w:contextualSpacing/>
    </w:pPr>
  </w:style>
  <w:style w:type="paragraph" w:styleId="ListNumber5">
    <w:name w:val="List Number 5"/>
    <w:basedOn w:val="Normal"/>
    <w:uiPriority w:val="99"/>
    <w:semiHidden/>
    <w:rsid w:val="005A51A0"/>
    <w:pPr>
      <w:numPr>
        <w:ilvl w:val="4"/>
        <w:numId w:val="3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632604"/>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632604"/>
    <w:pPr>
      <w:numPr>
        <w:numId w:val="34"/>
      </w:numPr>
    </w:pPr>
  </w:style>
  <w:style w:type="paragraph" w:styleId="List2">
    <w:name w:val="List 2"/>
    <w:basedOn w:val="Normal"/>
    <w:uiPriority w:val="99"/>
    <w:unhideWhenUsed/>
    <w:qFormat/>
    <w:rsid w:val="00632604"/>
    <w:pPr>
      <w:numPr>
        <w:ilvl w:val="1"/>
        <w:numId w:val="34"/>
      </w:numPr>
    </w:pPr>
  </w:style>
  <w:style w:type="numbering" w:customStyle="1" w:styleId="LetteredList">
    <w:name w:val="Lettered List"/>
    <w:uiPriority w:val="99"/>
    <w:rsid w:val="00A20BA0"/>
    <w:pPr>
      <w:numPr>
        <w:numId w:val="27"/>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0E3FF8"/>
    <w:pPr>
      <w:tabs>
        <w:tab w:val="left" w:pos="660"/>
        <w:tab w:val="right" w:leader="dot" w:pos="9288"/>
      </w:tabs>
      <w:spacing w:before="160" w:after="100"/>
    </w:pPr>
    <w:rPr>
      <w:color w:val="430098" w:themeColor="text2"/>
      <w:sz w:val="24"/>
    </w:rPr>
  </w:style>
  <w:style w:type="paragraph" w:styleId="TOC2">
    <w:name w:val="toc 2"/>
    <w:basedOn w:val="Normal"/>
    <w:next w:val="Normal"/>
    <w:autoRedefine/>
    <w:uiPriority w:val="39"/>
    <w:rsid w:val="000E3FF8"/>
    <w:pPr>
      <w:tabs>
        <w:tab w:val="left" w:pos="880"/>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41428E"/>
    <w:pPr>
      <w:spacing w:before="0" w:after="120" w:line="240" w:lineRule="auto"/>
      <w:ind w:left="85" w:hanging="85"/>
    </w:pPr>
    <w:rPr>
      <w:sz w:val="16"/>
      <w:szCs w:val="20"/>
    </w:rPr>
  </w:style>
  <w:style w:type="character" w:customStyle="1" w:styleId="FootnoteTextChar">
    <w:name w:val="Footnote Text Char"/>
    <w:basedOn w:val="DefaultParagraphFont"/>
    <w:link w:val="FootnoteText"/>
    <w:uiPriority w:val="99"/>
    <w:rsid w:val="0041428E"/>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7A759D"/>
    <w:pPr>
      <w:spacing w:before="60" w:after="60"/>
    </w:pPr>
    <w:rPr>
      <w:rFonts w:ascii="Calibri Light" w:hAnsi="Calibri Light"/>
    </w:rPr>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ListBullet21">
    <w:name w:val="List Bullet 21"/>
    <w:basedOn w:val="ListBullet2"/>
    <w:link w:val="Listbullet2Char0"/>
    <w:qFormat/>
    <w:rsid w:val="00311A8A"/>
    <w:pPr>
      <w:numPr>
        <w:ilvl w:val="0"/>
        <w:numId w:val="35"/>
      </w:numPr>
      <w:spacing w:line="276" w:lineRule="auto"/>
      <w:ind w:left="1701" w:hanging="567"/>
    </w:pPr>
  </w:style>
  <w:style w:type="character" w:customStyle="1" w:styleId="ListBullet2Char">
    <w:name w:val="List Bullet 2 Char"/>
    <w:basedOn w:val="DefaultParagraphFont"/>
    <w:link w:val="ListBullet2"/>
    <w:uiPriority w:val="99"/>
    <w:rsid w:val="00311A8A"/>
  </w:style>
  <w:style w:type="character" w:customStyle="1" w:styleId="Listbullet2Char0">
    <w:name w:val="List bullet 2 Char"/>
    <w:basedOn w:val="ListBullet2Char"/>
    <w:link w:val="ListBullet21"/>
    <w:rsid w:val="00311A8A"/>
  </w:style>
  <w:style w:type="paragraph" w:styleId="Revision">
    <w:name w:val="Revision"/>
    <w:hidden/>
    <w:uiPriority w:val="99"/>
    <w:semiHidden/>
    <w:rsid w:val="005D46C1"/>
    <w:pPr>
      <w:spacing w:after="0" w:line="240" w:lineRule="auto"/>
    </w:pPr>
  </w:style>
  <w:style w:type="paragraph" w:styleId="CommentText">
    <w:name w:val="annotation text"/>
    <w:basedOn w:val="Normal"/>
    <w:link w:val="CommentTextChar"/>
    <w:uiPriority w:val="99"/>
    <w:unhideWhenUsed/>
    <w:rsid w:val="005D46C1"/>
    <w:pPr>
      <w:spacing w:line="240" w:lineRule="auto"/>
    </w:pPr>
    <w:rPr>
      <w:sz w:val="20"/>
      <w:szCs w:val="20"/>
    </w:rPr>
  </w:style>
  <w:style w:type="character" w:customStyle="1" w:styleId="CommentTextChar">
    <w:name w:val="Comment Text Char"/>
    <w:basedOn w:val="DefaultParagraphFont"/>
    <w:link w:val="CommentText"/>
    <w:uiPriority w:val="99"/>
    <w:rsid w:val="005D46C1"/>
    <w:rPr>
      <w:sz w:val="20"/>
      <w:szCs w:val="20"/>
    </w:rPr>
  </w:style>
  <w:style w:type="paragraph" w:styleId="CommentSubject">
    <w:name w:val="annotation subject"/>
    <w:basedOn w:val="CommentText"/>
    <w:next w:val="CommentText"/>
    <w:link w:val="CommentSubjectChar"/>
    <w:uiPriority w:val="99"/>
    <w:semiHidden/>
    <w:unhideWhenUsed/>
    <w:rsid w:val="005D46C1"/>
    <w:rPr>
      <w:b/>
      <w:bCs/>
    </w:rPr>
  </w:style>
  <w:style w:type="character" w:customStyle="1" w:styleId="CommentSubjectChar">
    <w:name w:val="Comment Subject Char"/>
    <w:basedOn w:val="CommentTextChar"/>
    <w:link w:val="CommentSubject"/>
    <w:uiPriority w:val="99"/>
    <w:semiHidden/>
    <w:rsid w:val="005D46C1"/>
    <w:rPr>
      <w:b/>
      <w:bCs/>
      <w:sz w:val="20"/>
      <w:szCs w:val="20"/>
    </w:rPr>
  </w:style>
  <w:style w:type="character" w:styleId="Emphasis">
    <w:name w:val="Emphasis"/>
    <w:basedOn w:val="DefaultParagraphFont"/>
    <w:uiPriority w:val="20"/>
    <w:qFormat/>
    <w:rsid w:val="00B626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40.sv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s01\Office%20365%20Templates\OVIC%20Policy%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E9CD5CCAB944D599BBA73BEF3DD7E61"/>
        <w:category>
          <w:name w:val="General"/>
          <w:gallery w:val="placeholder"/>
        </w:category>
        <w:types>
          <w:type w:val="bbPlcHdr"/>
        </w:types>
        <w:behaviors>
          <w:behavior w:val="content"/>
        </w:behaviors>
        <w:guid w:val="{C42D2BD6-9B7D-47B6-B660-333E80426E17}"/>
      </w:docPartPr>
      <w:docPartBody>
        <w:p w:rsidR="00280D77" w:rsidRDefault="00280D77">
          <w:pPr>
            <w:pStyle w:val="EE9CD5CCAB944D599BBA73BEF3DD7E61"/>
          </w:pPr>
          <w:r w:rsidRPr="00FE7C88">
            <w:rPr>
              <w:highlight w:val="lightGray"/>
            </w:rPr>
            <w:t>[Click to add Title, linked to the internal pages footer]</w:t>
          </w:r>
        </w:p>
      </w:docPartBody>
    </w:docPart>
    <w:docPart>
      <w:docPartPr>
        <w:name w:val="AD834B2E6CEB43F6B82CADAF47211A39"/>
        <w:category>
          <w:name w:val="General"/>
          <w:gallery w:val="placeholder"/>
        </w:category>
        <w:types>
          <w:type w:val="bbPlcHdr"/>
        </w:types>
        <w:behaviors>
          <w:behavior w:val="content"/>
        </w:behaviors>
        <w:guid w:val="{CE8F5E34-1C0F-49BB-B548-5F478511D1AD}"/>
      </w:docPartPr>
      <w:docPartBody>
        <w:p w:rsidR="00280D77" w:rsidRDefault="00280D77">
          <w:pPr>
            <w:pStyle w:val="AD834B2E6CEB43F6B82CADAF47211A39"/>
          </w:pPr>
          <w:r w:rsidRPr="00B60B0A">
            <w:t>[Title linked to front cover]</w:t>
          </w:r>
        </w:p>
      </w:docPartBody>
    </w:docPart>
    <w:docPart>
      <w:docPartPr>
        <w:name w:val="DDF4F15C20C142AD994900F468FB5548"/>
        <w:category>
          <w:name w:val="General"/>
          <w:gallery w:val="placeholder"/>
        </w:category>
        <w:types>
          <w:type w:val="bbPlcHdr"/>
        </w:types>
        <w:behaviors>
          <w:behavior w:val="content"/>
        </w:behaviors>
        <w:guid w:val="{15C5A383-016D-4039-B4F3-5F19F421D4AF}"/>
      </w:docPartPr>
      <w:docPartBody>
        <w:p w:rsidR="00280D77" w:rsidRDefault="00280D77">
          <w:pPr>
            <w:pStyle w:val="DDF4F15C20C142AD994900F468FB5548"/>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F039AC6B630C4EAD87AB0F7806892C7A"/>
        <w:category>
          <w:name w:val="General"/>
          <w:gallery w:val="placeholder"/>
        </w:category>
        <w:types>
          <w:type w:val="bbPlcHdr"/>
        </w:types>
        <w:behaviors>
          <w:behavior w:val="content"/>
        </w:behaviors>
        <w:guid w:val="{ED4A7A2C-7312-449D-B7DC-A6BDDB54408D}"/>
      </w:docPartPr>
      <w:docPartBody>
        <w:p w:rsidR="00280D77" w:rsidRDefault="00280D77">
          <w:pPr>
            <w:pStyle w:val="F039AC6B630C4EAD87AB0F7806892C7A"/>
          </w:pPr>
          <w:r w:rsidRPr="00FE7C88">
            <w:rPr>
              <w:rStyle w:val="PlaceholderText"/>
              <w:highlight w:val="lightGray"/>
            </w:rPr>
            <w:t>[Click to add text]</w:t>
          </w:r>
        </w:p>
      </w:docPartBody>
    </w:docPart>
    <w:docPart>
      <w:docPartPr>
        <w:name w:val="861F33F59E7947759F1D5F95B8E3C4B4"/>
        <w:category>
          <w:name w:val="General"/>
          <w:gallery w:val="placeholder"/>
        </w:category>
        <w:types>
          <w:type w:val="bbPlcHdr"/>
        </w:types>
        <w:behaviors>
          <w:behavior w:val="content"/>
        </w:behaviors>
        <w:guid w:val="{A27C44CB-8AFF-41E1-88ED-7A25E386BA31}"/>
      </w:docPartPr>
      <w:docPartBody>
        <w:p w:rsidR="00280D77" w:rsidRDefault="00280D77">
          <w:pPr>
            <w:pStyle w:val="861F33F59E7947759F1D5F95B8E3C4B4"/>
          </w:pPr>
          <w:r w:rsidRPr="00FE7C88">
            <w:rPr>
              <w:rStyle w:val="PlaceholderText"/>
              <w:highlight w:val="lightGray"/>
            </w:rPr>
            <w:t>[Click to add text]</w:t>
          </w:r>
        </w:p>
      </w:docPartBody>
    </w:docPart>
    <w:docPart>
      <w:docPartPr>
        <w:name w:val="817C29B38A3E468D99AC85E417553C00"/>
        <w:category>
          <w:name w:val="General"/>
          <w:gallery w:val="placeholder"/>
        </w:category>
        <w:types>
          <w:type w:val="bbPlcHdr"/>
        </w:types>
        <w:behaviors>
          <w:behavior w:val="content"/>
        </w:behaviors>
        <w:guid w:val="{82DFB657-9F0C-4879-90BD-D6475AA57BD5}"/>
      </w:docPartPr>
      <w:docPartBody>
        <w:p w:rsidR="00280D77" w:rsidRDefault="00280D77">
          <w:pPr>
            <w:pStyle w:val="817C29B38A3E468D99AC85E417553C00"/>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AAFC0295B74C4C0C8C7DCF5A957B94A5"/>
        <w:category>
          <w:name w:val="General"/>
          <w:gallery w:val="placeholder"/>
        </w:category>
        <w:types>
          <w:type w:val="bbPlcHdr"/>
        </w:types>
        <w:behaviors>
          <w:behavior w:val="content"/>
        </w:behaviors>
        <w:guid w:val="{2E259CCF-CBB0-461A-B34E-4F2F3AEC0185}"/>
      </w:docPartPr>
      <w:docPartBody>
        <w:p w:rsidR="00280D77" w:rsidRDefault="00280D77">
          <w:pPr>
            <w:pStyle w:val="AAFC0295B74C4C0C8C7DCF5A957B94A5"/>
          </w:pPr>
          <w:r w:rsidRPr="006E16C6">
            <w:rPr>
              <w:rStyle w:val="PlaceholderText"/>
              <w:highlight w:val="lightGray"/>
            </w:rPr>
            <w:t>[Annual/Bi-annual]</w:t>
          </w:r>
        </w:p>
      </w:docPartBody>
    </w:docPart>
    <w:docPart>
      <w:docPartPr>
        <w:name w:val="5DC2FDC1CCB74E209CDB3BE9C0773063"/>
        <w:category>
          <w:name w:val="General"/>
          <w:gallery w:val="placeholder"/>
        </w:category>
        <w:types>
          <w:type w:val="bbPlcHdr"/>
        </w:types>
        <w:behaviors>
          <w:behavior w:val="content"/>
        </w:behaviors>
        <w:guid w:val="{E1E6255A-E0EA-4ECC-9E7A-650200263672}"/>
      </w:docPartPr>
      <w:docPartBody>
        <w:p w:rsidR="00280D77" w:rsidRDefault="00280D77">
          <w:pPr>
            <w:pStyle w:val="5DC2FDC1CCB74E209CDB3BE9C0773063"/>
          </w:pPr>
          <w:r w:rsidRPr="00FE7C88">
            <w:rPr>
              <w:rStyle w:val="PlaceholderText"/>
              <w:highlight w:val="lightGray"/>
            </w:rPr>
            <w:t>[0.0]</w:t>
          </w:r>
        </w:p>
      </w:docPartBody>
    </w:docPart>
    <w:docPart>
      <w:docPartPr>
        <w:name w:val="2A1B4ECBC53C4CF9BE2A602CD06A59DE"/>
        <w:category>
          <w:name w:val="General"/>
          <w:gallery w:val="placeholder"/>
        </w:category>
        <w:types>
          <w:type w:val="bbPlcHdr"/>
        </w:types>
        <w:behaviors>
          <w:behavior w:val="content"/>
        </w:behaviors>
        <w:guid w:val="{C020FEB4-4400-4D76-9B6B-0C1F0A54B87B}"/>
      </w:docPartPr>
      <w:docPartBody>
        <w:p w:rsidR="00280D77" w:rsidRDefault="00280D77">
          <w:pPr>
            <w:pStyle w:val="2A1B4ECBC53C4CF9BE2A602CD06A59DE"/>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8D3EFCE5D7A94A22A3FE9C5990BE2E55"/>
        <w:category>
          <w:name w:val="General"/>
          <w:gallery w:val="placeholder"/>
        </w:category>
        <w:types>
          <w:type w:val="bbPlcHdr"/>
        </w:types>
        <w:behaviors>
          <w:behavior w:val="content"/>
        </w:behaviors>
        <w:guid w:val="{699EA3F7-8B74-47E0-AC78-6C08CC305B74}"/>
      </w:docPartPr>
      <w:docPartBody>
        <w:p w:rsidR="00280D77" w:rsidRDefault="00280D77">
          <w:pPr>
            <w:pStyle w:val="8D3EFCE5D7A94A22A3FE9C5990BE2E55"/>
          </w:pPr>
          <w:r w:rsidRPr="00FE7C88">
            <w:rPr>
              <w:rStyle w:val="PlaceholderText"/>
              <w:highlight w:val="lightGray"/>
            </w:rPr>
            <w:t>[Click to add text]</w:t>
          </w:r>
        </w:p>
      </w:docPartBody>
    </w:docPart>
    <w:docPart>
      <w:docPartPr>
        <w:name w:val="FE1449EED8734CDE8A55005A08AACE63"/>
        <w:category>
          <w:name w:val="General"/>
          <w:gallery w:val="placeholder"/>
        </w:category>
        <w:types>
          <w:type w:val="bbPlcHdr"/>
        </w:types>
        <w:behaviors>
          <w:behavior w:val="content"/>
        </w:behaviors>
        <w:guid w:val="{9CC51CB6-820E-4E79-B32B-F4683A762381}"/>
      </w:docPartPr>
      <w:docPartBody>
        <w:p w:rsidR="00280D77" w:rsidRDefault="00280D77">
          <w:pPr>
            <w:pStyle w:val="FE1449EED8734CDE8A55005A08AACE63"/>
          </w:pPr>
          <w:r>
            <w:t xml:space="preserve">  </w:t>
          </w:r>
        </w:p>
      </w:docPartBody>
    </w:docPart>
    <w:docPart>
      <w:docPartPr>
        <w:name w:val="B7A81C3C6F004D67813A2F9C28E343C9"/>
        <w:category>
          <w:name w:val="General"/>
          <w:gallery w:val="placeholder"/>
        </w:category>
        <w:types>
          <w:type w:val="bbPlcHdr"/>
        </w:types>
        <w:behaviors>
          <w:behavior w:val="content"/>
        </w:behaviors>
        <w:guid w:val="{747224AD-5441-42B6-B9FA-F82E867FF7EA}"/>
      </w:docPartPr>
      <w:docPartBody>
        <w:p w:rsidR="00280D77" w:rsidRDefault="00280D77">
          <w:pPr>
            <w:pStyle w:val="B7A81C3C6F004D67813A2F9C28E343C9"/>
          </w:pPr>
          <w:r w:rsidRPr="00087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D77"/>
    <w:rsid w:val="000C2924"/>
    <w:rsid w:val="00280D77"/>
    <w:rsid w:val="00452E56"/>
    <w:rsid w:val="007818AD"/>
    <w:rsid w:val="008F6C07"/>
    <w:rsid w:val="00C51B9C"/>
    <w:rsid w:val="00C53FA3"/>
    <w:rsid w:val="00D36B67"/>
    <w:rsid w:val="00D95B8A"/>
    <w:rsid w:val="00E94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9CD5CCAB944D599BBA73BEF3DD7E61">
    <w:name w:val="EE9CD5CCAB944D599BBA73BEF3DD7E61"/>
  </w:style>
  <w:style w:type="paragraph" w:customStyle="1" w:styleId="AD834B2E6CEB43F6B82CADAF47211A39">
    <w:name w:val="AD834B2E6CEB43F6B82CADAF47211A39"/>
  </w:style>
  <w:style w:type="character" w:styleId="PlaceholderText">
    <w:name w:val="Placeholder Text"/>
    <w:basedOn w:val="DefaultParagraphFont"/>
    <w:uiPriority w:val="99"/>
    <w:semiHidden/>
    <w:rPr>
      <w:color w:val="808080"/>
    </w:rPr>
  </w:style>
  <w:style w:type="paragraph" w:customStyle="1" w:styleId="DDF4F15C20C142AD994900F468FB5548">
    <w:name w:val="DDF4F15C20C142AD994900F468FB5548"/>
  </w:style>
  <w:style w:type="paragraph" w:customStyle="1" w:styleId="F039AC6B630C4EAD87AB0F7806892C7A">
    <w:name w:val="F039AC6B630C4EAD87AB0F7806892C7A"/>
  </w:style>
  <w:style w:type="paragraph" w:customStyle="1" w:styleId="861F33F59E7947759F1D5F95B8E3C4B4">
    <w:name w:val="861F33F59E7947759F1D5F95B8E3C4B4"/>
  </w:style>
  <w:style w:type="paragraph" w:customStyle="1" w:styleId="817C29B38A3E468D99AC85E417553C00">
    <w:name w:val="817C29B38A3E468D99AC85E417553C00"/>
  </w:style>
  <w:style w:type="paragraph" w:customStyle="1" w:styleId="AAFC0295B74C4C0C8C7DCF5A957B94A5">
    <w:name w:val="AAFC0295B74C4C0C8C7DCF5A957B94A5"/>
  </w:style>
  <w:style w:type="paragraph" w:customStyle="1" w:styleId="5DC2FDC1CCB74E209CDB3BE9C0773063">
    <w:name w:val="5DC2FDC1CCB74E209CDB3BE9C0773063"/>
  </w:style>
  <w:style w:type="paragraph" w:customStyle="1" w:styleId="2A1B4ECBC53C4CF9BE2A602CD06A59DE">
    <w:name w:val="2A1B4ECBC53C4CF9BE2A602CD06A59DE"/>
  </w:style>
  <w:style w:type="paragraph" w:customStyle="1" w:styleId="8D3EFCE5D7A94A22A3FE9C5990BE2E55">
    <w:name w:val="8D3EFCE5D7A94A22A3FE9C5990BE2E55"/>
  </w:style>
  <w:style w:type="paragraph" w:customStyle="1" w:styleId="FE1449EED8734CDE8A55005A08AACE63">
    <w:name w:val="FE1449EED8734CDE8A55005A08AACE63"/>
  </w:style>
  <w:style w:type="paragraph" w:customStyle="1" w:styleId="B7A81C3C6F004D67813A2F9C28E343C9">
    <w:name w:val="B7A81C3C6F004D67813A2F9C28E34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fs01\Office 365 Templates\OVIC Policy Template.dotx</Template>
  <TotalTime>166</TotalTime>
  <Pages>11</Pages>
  <Words>1919</Words>
  <Characters>10999</Characters>
  <Application>Microsoft Office Word</Application>
  <DocSecurity>0</DocSecurity>
  <Lines>261</Lines>
  <Paragraphs>198</Paragraphs>
  <ScaleCrop>false</ScaleCrop>
  <HeadingPairs>
    <vt:vector size="2" baseType="variant">
      <vt:variant>
        <vt:lpstr>Title</vt:lpstr>
      </vt:variant>
      <vt:variant>
        <vt:i4>1</vt:i4>
      </vt:variant>
    </vt:vector>
  </HeadingPairs>
  <TitlesOfParts>
    <vt:vector size="1" baseType="lpstr">
      <vt:lpstr>Fraud Policy and Procedures</vt:lpstr>
    </vt:vector>
  </TitlesOfParts>
  <Manager/>
  <Company/>
  <LinksUpToDate>false</LinksUpToDate>
  <CharactersWithSpaces>12720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Policy and Procedures</dc:title>
  <dc:subject/>
  <dc:creator/>
  <cp:keywords/>
  <dc:description/>
  <cp:lastModifiedBy>Dean Bardell-Williams</cp:lastModifiedBy>
  <cp:revision>27</cp:revision>
  <cp:lastPrinted>2022-10-07T01:06:00Z</cp:lastPrinted>
  <dcterms:created xsi:type="dcterms:W3CDTF">2023-06-15T00:54:00Z</dcterms:created>
  <dcterms:modified xsi:type="dcterms:W3CDTF">2025-04-08T04:52:00Z</dcterms:modified>
  <cp:category/>
</cp:coreProperties>
</file>