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C733" w14:textId="6F2E4FB7" w:rsidR="00A53F38" w:rsidRDefault="003716BF" w:rsidP="00A53F38">
      <w:pPr>
        <w:pStyle w:val="Agencyinformation"/>
      </w:pPr>
      <w:r>
        <w:t xml:space="preserve">INFORMATION FOR </w:t>
      </w:r>
      <w:r w:rsidR="006C5BA9">
        <w:t>agencies</w:t>
      </w:r>
      <w:r w:rsidR="00EB38C2">
        <w:t xml:space="preserve"> and the public</w:t>
      </w:r>
    </w:p>
    <w:sdt>
      <w:sdtPr>
        <w:alias w:val="Title"/>
        <w:tag w:val=""/>
        <w:id w:val="-1876235593"/>
        <w:placeholder>
          <w:docPart w:val="D8DF7FCBD00A4EB08A06505E0D66D0A3"/>
        </w:placeholder>
        <w:dataBinding w:prefixMappings="xmlns:ns0='http://purl.org/dc/elements/1.1/' xmlns:ns1='http://schemas.openxmlformats.org/package/2006/metadata/core-properties' " w:xpath="/ns1:coreProperties[1]/ns0:title[1]" w:storeItemID="{6C3C8BC8-F283-45AE-878A-BAB7291924A1}"/>
        <w:text/>
      </w:sdtPr>
      <w:sdtContent>
        <w:p w14:paraId="0820EE89" w14:textId="418B2C5C" w:rsidR="00EA3594" w:rsidRPr="00281560" w:rsidRDefault="00EB38C2" w:rsidP="00EA3594">
          <w:pPr>
            <w:pStyle w:val="Title"/>
          </w:pPr>
          <w:r>
            <w:t>D</w:t>
          </w:r>
          <w:r w:rsidR="003716BF">
            <w:t xml:space="preserve">raft </w:t>
          </w:r>
          <w:r w:rsidR="000675B5">
            <w:t>Professional Standards</w:t>
          </w:r>
        </w:p>
      </w:sdtContent>
    </w:sdt>
    <w:sdt>
      <w:sdtPr>
        <w:alias w:val="Subject"/>
        <w:tag w:val=""/>
        <w:id w:val="448363516"/>
        <w:placeholder>
          <w:docPart w:val="38716700B4184F12BDE3E76253CDF7A3"/>
        </w:placeholder>
        <w:dataBinding w:prefixMappings="xmlns:ns0='http://purl.org/dc/elements/1.1/' xmlns:ns1='http://schemas.openxmlformats.org/package/2006/metadata/core-properties' " w:xpath="/ns1:coreProperties[1]/ns0:subject[1]" w:storeItemID="{6C3C8BC8-F283-45AE-878A-BAB7291924A1}"/>
        <w:text/>
      </w:sdtPr>
      <w:sdtContent>
        <w:p w14:paraId="726BACAC" w14:textId="312DE6EE" w:rsidR="00EA3594" w:rsidRDefault="006C3CB1" w:rsidP="009A49D1">
          <w:pPr>
            <w:pStyle w:val="Subtitle"/>
          </w:pPr>
          <w:r>
            <w:t>For public consultation</w:t>
          </w:r>
        </w:p>
      </w:sdtContent>
    </w:sdt>
    <w:p w14:paraId="2613D25E" w14:textId="77777777" w:rsidR="00CB00AD" w:rsidRDefault="00CB00AD" w:rsidP="00341AD7"/>
    <w:p w14:paraId="21E1886B" w14:textId="4B4B713F" w:rsidR="00341AD7" w:rsidRDefault="00A70B4D" w:rsidP="00341AD7">
      <w:r>
        <w:rPr>
          <w:rFonts w:ascii="Calibri Light" w:hAnsi="Calibri Light" w:cs="Calibri Light"/>
          <w:color w:val="000000" w:themeColor="text1"/>
        </w:rPr>
        <w:t>T</w:t>
      </w:r>
      <w:r w:rsidRPr="00394EDE">
        <w:rPr>
          <w:rFonts w:ascii="Calibri Light" w:hAnsi="Calibri Light" w:cs="Calibri Light"/>
          <w:color w:val="000000" w:themeColor="text1"/>
        </w:rPr>
        <w:t>he Office of the Victorian information Commissioner (</w:t>
      </w:r>
      <w:r w:rsidRPr="00394EDE">
        <w:rPr>
          <w:rFonts w:ascii="Calibri Light" w:hAnsi="Calibri Light" w:cs="Calibri Light"/>
          <w:b/>
          <w:color w:val="000000" w:themeColor="text1"/>
        </w:rPr>
        <w:t>OVIC</w:t>
      </w:r>
      <w:r w:rsidRPr="00394EDE">
        <w:rPr>
          <w:rFonts w:ascii="Calibri Light" w:hAnsi="Calibri Light" w:cs="Calibri Light"/>
          <w:color w:val="000000" w:themeColor="text1"/>
        </w:rPr>
        <w:t>)</w:t>
      </w:r>
      <w:r w:rsidR="00341AD7">
        <w:t xml:space="preserve"> is updating the FOI </w:t>
      </w:r>
      <w:r w:rsidR="00084807">
        <w:t xml:space="preserve">Professional </w:t>
      </w:r>
      <w:r w:rsidR="00341AD7">
        <w:t>Standards</w:t>
      </w:r>
      <w:r w:rsidR="00084807">
        <w:t xml:space="preserve"> (the </w:t>
      </w:r>
      <w:r w:rsidR="00084807" w:rsidRPr="00084807">
        <w:rPr>
          <w:b/>
          <w:bCs/>
        </w:rPr>
        <w:t>Standards</w:t>
      </w:r>
      <w:r w:rsidR="00084807">
        <w:t>)</w:t>
      </w:r>
      <w:r w:rsidR="00341AD7">
        <w:t>. We would like your feedback on the proposed amendments to ensure they are relevant, practical, clear and useful.</w:t>
      </w:r>
    </w:p>
    <w:p w14:paraId="6C47A607" w14:textId="34163C86" w:rsidR="00084807" w:rsidRDefault="00084807" w:rsidP="00341AD7">
      <w:r>
        <w:t>This resource provides information about how to participate in the consultation and a link to download the feedback form.</w:t>
      </w:r>
    </w:p>
    <w:p w14:paraId="2F335D5C" w14:textId="595B1652" w:rsidR="003716BF" w:rsidRDefault="00084807" w:rsidP="00A67DEE">
      <w:pPr>
        <w:pStyle w:val="Heading2"/>
      </w:pPr>
      <w:r>
        <w:t xml:space="preserve">Why is OVIC updating the </w:t>
      </w:r>
      <w:r w:rsidR="00E06982">
        <w:t>Standards</w:t>
      </w:r>
      <w:r>
        <w:t>?</w:t>
      </w:r>
    </w:p>
    <w:p w14:paraId="322F3CA2" w14:textId="3B63999D" w:rsidR="00E9249A" w:rsidRDefault="003716BF" w:rsidP="003716BF">
      <w:pPr>
        <w:pStyle w:val="Intro"/>
        <w:spacing w:before="120" w:after="120" w:line="276" w:lineRule="auto"/>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Pursuant to section 6X of the </w:t>
      </w:r>
      <w:r w:rsidR="00325B29" w:rsidRPr="00275638">
        <w:rPr>
          <w:rFonts w:ascii="Calibri Light" w:hAnsi="Calibri Light" w:cs="Calibri Light"/>
          <w:i/>
          <w:iCs/>
          <w:color w:val="000000" w:themeColor="text1"/>
          <w:sz w:val="22"/>
          <w:szCs w:val="22"/>
          <w:lang w:val="en-AU"/>
        </w:rPr>
        <w:t xml:space="preserve">Freedom of Information </w:t>
      </w:r>
      <w:r w:rsidRPr="00275638">
        <w:rPr>
          <w:rFonts w:ascii="Calibri Light" w:hAnsi="Calibri Light" w:cs="Calibri Light"/>
          <w:i/>
          <w:iCs/>
          <w:color w:val="000000" w:themeColor="text1"/>
          <w:sz w:val="22"/>
          <w:szCs w:val="22"/>
          <w:lang w:val="en-AU"/>
        </w:rPr>
        <w:t>Act</w:t>
      </w:r>
      <w:r w:rsidR="00325B29" w:rsidRPr="00275638">
        <w:rPr>
          <w:rFonts w:ascii="Calibri Light" w:hAnsi="Calibri Light" w:cs="Calibri Light"/>
          <w:i/>
          <w:iCs/>
          <w:color w:val="000000" w:themeColor="text1"/>
          <w:sz w:val="22"/>
          <w:szCs w:val="22"/>
          <w:lang w:val="en-AU"/>
        </w:rPr>
        <w:t xml:space="preserve"> 1982</w:t>
      </w:r>
      <w:r w:rsidR="00325B29">
        <w:rPr>
          <w:rFonts w:ascii="Calibri Light" w:hAnsi="Calibri Light" w:cs="Calibri Light"/>
          <w:color w:val="000000" w:themeColor="text1"/>
          <w:sz w:val="22"/>
          <w:szCs w:val="22"/>
          <w:lang w:val="en-AU"/>
        </w:rPr>
        <w:t xml:space="preserve"> (Vic) (</w:t>
      </w:r>
      <w:r w:rsidR="00325B29" w:rsidRPr="00275638">
        <w:rPr>
          <w:rFonts w:ascii="Calibri Light" w:hAnsi="Calibri Light" w:cs="Calibri Light"/>
          <w:b/>
          <w:bCs/>
          <w:color w:val="000000" w:themeColor="text1"/>
          <w:sz w:val="22"/>
          <w:szCs w:val="22"/>
          <w:lang w:val="en-AU"/>
        </w:rPr>
        <w:t>the Act</w:t>
      </w:r>
      <w:r w:rsidR="00325B29">
        <w:rPr>
          <w:rFonts w:ascii="Calibri Light" w:hAnsi="Calibri Light" w:cs="Calibri Light"/>
          <w:color w:val="000000" w:themeColor="text1"/>
          <w:sz w:val="22"/>
          <w:szCs w:val="22"/>
          <w:lang w:val="en-AU"/>
        </w:rPr>
        <w:t>)</w:t>
      </w:r>
      <w:r>
        <w:rPr>
          <w:rFonts w:ascii="Calibri Light" w:hAnsi="Calibri Light" w:cs="Calibri Light"/>
          <w:color w:val="000000" w:themeColor="text1"/>
          <w:sz w:val="22"/>
          <w:szCs w:val="22"/>
          <w:lang w:val="en-AU"/>
        </w:rPr>
        <w:t>, t</w:t>
      </w:r>
      <w:r w:rsidRPr="00394EDE">
        <w:rPr>
          <w:rFonts w:ascii="Calibri Light" w:hAnsi="Calibri Light" w:cs="Calibri Light"/>
          <w:color w:val="000000" w:themeColor="text1"/>
          <w:sz w:val="22"/>
          <w:szCs w:val="22"/>
          <w:lang w:val="en-AU"/>
        </w:rPr>
        <w:t xml:space="preserve">he Information Commissioner </w:t>
      </w:r>
      <w:r>
        <w:rPr>
          <w:rFonts w:ascii="Calibri Light" w:hAnsi="Calibri Light" w:cs="Calibri Light"/>
          <w:color w:val="000000" w:themeColor="text1"/>
          <w:sz w:val="22"/>
          <w:szCs w:val="22"/>
          <w:lang w:val="en-AU"/>
        </w:rPr>
        <w:t xml:space="preserve">must review the Standards at least once every four years. </w:t>
      </w:r>
    </w:p>
    <w:p w14:paraId="35C7E657" w14:textId="318EBE08" w:rsidR="003716BF" w:rsidRDefault="003716BF" w:rsidP="003716BF">
      <w:pPr>
        <w:pStyle w:val="Intro"/>
        <w:spacing w:before="120" w:after="120" w:line="276" w:lineRule="auto"/>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Following a competitive selection process, OVIC engaged </w:t>
      </w:r>
      <w:r w:rsidR="0081025D">
        <w:rPr>
          <w:rFonts w:ascii="Calibri Light" w:hAnsi="Calibri Light" w:cs="Calibri Light"/>
          <w:color w:val="000000" w:themeColor="text1"/>
          <w:sz w:val="22"/>
          <w:szCs w:val="22"/>
          <w:lang w:val="en-AU"/>
        </w:rPr>
        <w:t>an external consultant,</w:t>
      </w:r>
      <w:r w:rsidR="00E9249A">
        <w:rPr>
          <w:rFonts w:ascii="Calibri Light" w:hAnsi="Calibri Light" w:cs="Calibri Light"/>
          <w:color w:val="000000" w:themeColor="text1"/>
          <w:sz w:val="22"/>
          <w:szCs w:val="22"/>
          <w:lang w:val="en-AU"/>
        </w:rPr>
        <w:t xml:space="preserve"> KPMG</w:t>
      </w:r>
      <w:r w:rsidR="00161ED3">
        <w:rPr>
          <w:rFonts w:ascii="Calibri Light" w:hAnsi="Calibri Light" w:cs="Calibri Light"/>
          <w:color w:val="000000" w:themeColor="text1"/>
          <w:sz w:val="22"/>
          <w:szCs w:val="22"/>
          <w:lang w:val="en-AU"/>
        </w:rPr>
        <w:t>,</w:t>
      </w:r>
      <w:r w:rsidR="0081025D">
        <w:rPr>
          <w:rFonts w:ascii="Calibri Light" w:hAnsi="Calibri Light" w:cs="Calibri Light"/>
          <w:color w:val="000000" w:themeColor="text1"/>
          <w:sz w:val="22"/>
          <w:szCs w:val="22"/>
          <w:lang w:val="en-AU"/>
        </w:rPr>
        <w:t xml:space="preserve"> </w:t>
      </w:r>
      <w:r>
        <w:rPr>
          <w:rFonts w:ascii="Calibri Light" w:hAnsi="Calibri Light" w:cs="Calibri Light"/>
          <w:color w:val="000000" w:themeColor="text1"/>
          <w:sz w:val="22"/>
          <w:szCs w:val="22"/>
          <w:lang w:val="en-AU"/>
        </w:rPr>
        <w:t xml:space="preserve">to undertake an independent review of the Standards. </w:t>
      </w:r>
    </w:p>
    <w:p w14:paraId="50DC732B" w14:textId="600F5C04" w:rsidR="003716BF" w:rsidRDefault="003716BF" w:rsidP="003716BF">
      <w:pPr>
        <w:pStyle w:val="Intro"/>
        <w:spacing w:before="120" w:after="120" w:line="276" w:lineRule="auto"/>
        <w:rPr>
          <w:rFonts w:ascii="Calibri Light" w:hAnsi="Calibri Light" w:cs="Calibri Light"/>
          <w:color w:val="000000" w:themeColor="text1"/>
          <w:sz w:val="22"/>
          <w:szCs w:val="22"/>
          <w:lang w:val="en-AU"/>
        </w:rPr>
      </w:pPr>
      <w:bookmarkStart w:id="0" w:name="_Hlk180505477"/>
      <w:r>
        <w:rPr>
          <w:rFonts w:ascii="Calibri Light" w:hAnsi="Calibri Light" w:cs="Calibri Light"/>
          <w:color w:val="000000" w:themeColor="text1"/>
          <w:sz w:val="22"/>
          <w:szCs w:val="22"/>
          <w:lang w:val="en-AU"/>
        </w:rPr>
        <w:t xml:space="preserve">On 23 August 2024, KPMG provided OVIC with its final report (the </w:t>
      </w:r>
      <w:r>
        <w:rPr>
          <w:rFonts w:ascii="Calibri Light" w:hAnsi="Calibri Light" w:cs="Calibri Light"/>
          <w:b/>
          <w:bCs/>
          <w:color w:val="000000" w:themeColor="text1"/>
          <w:sz w:val="22"/>
          <w:szCs w:val="22"/>
          <w:lang w:val="en-AU"/>
        </w:rPr>
        <w:t>r</w:t>
      </w:r>
      <w:r w:rsidRPr="000225F0">
        <w:rPr>
          <w:rFonts w:ascii="Calibri Light" w:hAnsi="Calibri Light" w:cs="Calibri Light"/>
          <w:b/>
          <w:bCs/>
          <w:color w:val="000000" w:themeColor="text1"/>
          <w:sz w:val="22"/>
          <w:szCs w:val="22"/>
          <w:lang w:val="en-AU"/>
        </w:rPr>
        <w:t>eport</w:t>
      </w:r>
      <w:r>
        <w:rPr>
          <w:rFonts w:ascii="Calibri Light" w:hAnsi="Calibri Light" w:cs="Calibri Light"/>
          <w:color w:val="000000" w:themeColor="text1"/>
          <w:sz w:val="22"/>
          <w:szCs w:val="22"/>
          <w:lang w:val="en-AU"/>
        </w:rPr>
        <w:t xml:space="preserve">), making 27 recommendations to uplift and improve the operation of the Standards. </w:t>
      </w:r>
      <w:r w:rsidR="00E06982">
        <w:rPr>
          <w:rFonts w:ascii="Calibri Light" w:hAnsi="Calibri Light" w:cs="Calibri Light"/>
          <w:color w:val="000000" w:themeColor="text1"/>
          <w:sz w:val="22"/>
          <w:szCs w:val="22"/>
          <w:lang w:val="en-AU"/>
        </w:rPr>
        <w:t>T</w:t>
      </w:r>
      <w:r>
        <w:rPr>
          <w:rFonts w:ascii="Calibri Light" w:hAnsi="Calibri Light" w:cs="Calibri Light"/>
          <w:color w:val="000000" w:themeColor="text1"/>
          <w:sz w:val="22"/>
          <w:szCs w:val="22"/>
          <w:lang w:val="en-AU"/>
        </w:rPr>
        <w:t xml:space="preserve">he Information Commissioner has </w:t>
      </w:r>
      <w:r w:rsidR="00E06982">
        <w:rPr>
          <w:rFonts w:ascii="Calibri Light" w:hAnsi="Calibri Light" w:cs="Calibri Light"/>
          <w:color w:val="000000" w:themeColor="text1"/>
          <w:sz w:val="22"/>
          <w:szCs w:val="22"/>
          <w:lang w:val="en-AU"/>
        </w:rPr>
        <w:t>considered the report and</w:t>
      </w:r>
      <w:r w:rsidR="00084807">
        <w:rPr>
          <w:rFonts w:ascii="Calibri Light" w:hAnsi="Calibri Light" w:cs="Calibri Light"/>
          <w:color w:val="000000" w:themeColor="text1"/>
          <w:sz w:val="22"/>
          <w:szCs w:val="22"/>
          <w:lang w:val="en-AU"/>
        </w:rPr>
        <w:t xml:space="preserve"> </w:t>
      </w:r>
      <w:r w:rsidR="00E06982">
        <w:rPr>
          <w:rFonts w:ascii="Calibri Light" w:hAnsi="Calibri Light" w:cs="Calibri Light"/>
          <w:color w:val="000000" w:themeColor="text1"/>
          <w:sz w:val="22"/>
          <w:szCs w:val="22"/>
          <w:lang w:val="en-AU"/>
        </w:rPr>
        <w:t xml:space="preserve">has </w:t>
      </w:r>
      <w:r w:rsidR="00084807">
        <w:rPr>
          <w:rFonts w:ascii="Calibri Light" w:hAnsi="Calibri Light" w:cs="Calibri Light"/>
          <w:color w:val="000000" w:themeColor="text1"/>
          <w:sz w:val="22"/>
          <w:szCs w:val="22"/>
          <w:lang w:val="en-AU"/>
        </w:rPr>
        <w:t>prepared</w:t>
      </w:r>
      <w:r>
        <w:rPr>
          <w:rFonts w:ascii="Calibri Light" w:hAnsi="Calibri Light" w:cs="Calibri Light"/>
          <w:color w:val="000000" w:themeColor="text1"/>
          <w:sz w:val="22"/>
          <w:szCs w:val="22"/>
          <w:lang w:val="en-AU"/>
        </w:rPr>
        <w:t xml:space="preserve"> updated Professional Standards</w:t>
      </w:r>
      <w:r w:rsidR="00EB38C2">
        <w:rPr>
          <w:rFonts w:ascii="Calibri Light" w:hAnsi="Calibri Light" w:cs="Calibri Light"/>
          <w:color w:val="000000" w:themeColor="text1"/>
          <w:sz w:val="22"/>
          <w:szCs w:val="22"/>
          <w:lang w:val="en-AU"/>
        </w:rPr>
        <w:t xml:space="preserve"> (</w:t>
      </w:r>
      <w:r w:rsidR="00EB38C2" w:rsidRPr="000225F0">
        <w:rPr>
          <w:rFonts w:ascii="Calibri Light" w:hAnsi="Calibri Light" w:cs="Calibri Light"/>
          <w:b/>
          <w:bCs/>
          <w:color w:val="000000" w:themeColor="text1"/>
          <w:sz w:val="22"/>
          <w:szCs w:val="22"/>
          <w:lang w:val="en-AU"/>
        </w:rPr>
        <w:t>draft Standards</w:t>
      </w:r>
      <w:r w:rsidR="00EB38C2">
        <w:rPr>
          <w:rFonts w:ascii="Calibri Light" w:hAnsi="Calibri Light" w:cs="Calibri Light"/>
          <w:color w:val="000000" w:themeColor="text1"/>
          <w:sz w:val="22"/>
          <w:szCs w:val="22"/>
          <w:lang w:val="en-AU"/>
        </w:rPr>
        <w:t>)</w:t>
      </w:r>
      <w:r w:rsidR="00084807">
        <w:rPr>
          <w:rFonts w:ascii="Calibri Light" w:hAnsi="Calibri Light" w:cs="Calibri Light"/>
          <w:color w:val="000000" w:themeColor="text1"/>
          <w:sz w:val="22"/>
          <w:szCs w:val="22"/>
          <w:lang w:val="en-AU"/>
        </w:rPr>
        <w:t xml:space="preserve"> in accordance with the recommendations</w:t>
      </w:r>
      <w:r>
        <w:rPr>
          <w:rFonts w:ascii="Calibri Light" w:hAnsi="Calibri Light" w:cs="Calibri Light"/>
          <w:color w:val="000000" w:themeColor="text1"/>
          <w:sz w:val="22"/>
          <w:szCs w:val="22"/>
          <w:lang w:val="en-AU"/>
        </w:rPr>
        <w:t>.</w:t>
      </w:r>
    </w:p>
    <w:bookmarkEnd w:id="0"/>
    <w:p w14:paraId="343B111D" w14:textId="214854AC" w:rsidR="003716BF" w:rsidRPr="00394EDE" w:rsidRDefault="003716BF" w:rsidP="003716BF">
      <w:pPr>
        <w:pStyle w:val="Intro"/>
        <w:spacing w:before="120" w:after="120" w:line="276" w:lineRule="auto"/>
        <w:rPr>
          <w:rFonts w:ascii="Calibri Light" w:hAnsi="Calibri Light" w:cs="Calibri Light"/>
          <w:color w:val="000000" w:themeColor="text1"/>
          <w:sz w:val="22"/>
          <w:szCs w:val="22"/>
          <w:lang w:val="en-AU"/>
        </w:rPr>
      </w:pPr>
      <w:r>
        <w:rPr>
          <w:rFonts w:ascii="Calibri Light" w:hAnsi="Calibri Light" w:cs="Calibri Light"/>
          <w:color w:val="000000" w:themeColor="text1"/>
          <w:sz w:val="22"/>
          <w:szCs w:val="22"/>
          <w:lang w:val="en-AU"/>
        </w:rPr>
        <w:t xml:space="preserve">Pursuant to section 6U(4) of the Act, </w:t>
      </w:r>
      <w:r w:rsidR="00A70B4D">
        <w:rPr>
          <w:rFonts w:ascii="Calibri Light" w:hAnsi="Calibri Light" w:cs="Calibri Light"/>
          <w:color w:val="000000" w:themeColor="text1"/>
          <w:sz w:val="22"/>
          <w:szCs w:val="22"/>
          <w:lang w:val="en-AU"/>
        </w:rPr>
        <w:t xml:space="preserve">OVIC </w:t>
      </w:r>
      <w:r w:rsidR="00084807">
        <w:rPr>
          <w:rFonts w:ascii="Calibri Light" w:hAnsi="Calibri Light" w:cs="Calibri Light"/>
          <w:color w:val="000000" w:themeColor="text1"/>
          <w:sz w:val="22"/>
          <w:szCs w:val="22"/>
          <w:lang w:val="en-AU"/>
        </w:rPr>
        <w:t xml:space="preserve">is required to consult </w:t>
      </w:r>
      <w:r w:rsidRPr="00394EDE">
        <w:rPr>
          <w:rFonts w:ascii="Calibri Light" w:hAnsi="Calibri Light" w:cs="Calibri Light"/>
          <w:color w:val="000000" w:themeColor="text1"/>
          <w:sz w:val="22"/>
          <w:szCs w:val="22"/>
          <w:lang w:val="en-AU"/>
        </w:rPr>
        <w:t>with agencies and interested parties</w:t>
      </w:r>
      <w:r>
        <w:rPr>
          <w:rFonts w:ascii="Calibri Light" w:hAnsi="Calibri Light" w:cs="Calibri Light"/>
          <w:color w:val="000000" w:themeColor="text1"/>
          <w:sz w:val="22"/>
          <w:szCs w:val="22"/>
          <w:lang w:val="en-AU"/>
        </w:rPr>
        <w:t xml:space="preserve"> on the draft Standards</w:t>
      </w:r>
      <w:r w:rsidR="00EB38C2">
        <w:rPr>
          <w:rFonts w:ascii="Calibri Light" w:hAnsi="Calibri Light" w:cs="Calibri Light"/>
          <w:color w:val="000000" w:themeColor="text1"/>
          <w:sz w:val="22"/>
          <w:szCs w:val="22"/>
          <w:lang w:val="en-AU"/>
        </w:rPr>
        <w:t>.</w:t>
      </w:r>
    </w:p>
    <w:p w14:paraId="47EDB77D" w14:textId="3E0CDD39" w:rsidR="003716BF" w:rsidRPr="00394EDE" w:rsidRDefault="003716BF" w:rsidP="003716BF">
      <w:pPr>
        <w:pStyle w:val="Intro"/>
        <w:spacing w:before="120" w:after="120" w:line="276" w:lineRule="auto"/>
        <w:rPr>
          <w:rFonts w:ascii="Calibri Light" w:hAnsi="Calibri Light" w:cs="Calibri Light"/>
          <w:color w:val="000000" w:themeColor="text1"/>
          <w:sz w:val="22"/>
          <w:szCs w:val="22"/>
          <w:lang w:val="en-AU"/>
        </w:rPr>
      </w:pPr>
      <w:r w:rsidRPr="00394EDE">
        <w:rPr>
          <w:rFonts w:ascii="Calibri Light" w:hAnsi="Calibri Light" w:cs="Calibri Light"/>
          <w:color w:val="000000" w:themeColor="text1"/>
          <w:sz w:val="22"/>
          <w:szCs w:val="22"/>
          <w:lang w:val="en-AU"/>
        </w:rPr>
        <w:t xml:space="preserve">Further information can be found </w:t>
      </w:r>
      <w:hyperlink r:id="rId8" w:history="1">
        <w:r w:rsidRPr="00394EDE">
          <w:rPr>
            <w:rStyle w:val="Hyperlink"/>
            <w:rFonts w:ascii="Calibri Light" w:hAnsi="Calibri Light" w:cs="Calibri Light"/>
            <w:sz w:val="22"/>
            <w:szCs w:val="22"/>
            <w:lang w:val="en-AU"/>
          </w:rPr>
          <w:t>here</w:t>
        </w:r>
      </w:hyperlink>
      <w:r w:rsidRPr="00394EDE">
        <w:rPr>
          <w:rFonts w:ascii="Calibri Light" w:hAnsi="Calibri Light" w:cs="Calibri Light"/>
          <w:color w:val="000000" w:themeColor="text1"/>
          <w:sz w:val="22"/>
          <w:szCs w:val="22"/>
          <w:lang w:val="en-AU"/>
        </w:rPr>
        <w:t>.</w:t>
      </w:r>
    </w:p>
    <w:p w14:paraId="54B9AB62" w14:textId="77777777" w:rsidR="0081025D" w:rsidRPr="00F36A89" w:rsidRDefault="0081025D" w:rsidP="0081025D">
      <w:pPr>
        <w:pStyle w:val="Heading2"/>
      </w:pPr>
      <w:r>
        <w:t>How to participate</w:t>
      </w:r>
    </w:p>
    <w:p w14:paraId="5D4ECB1E" w14:textId="5F949746" w:rsidR="00E9249A" w:rsidRDefault="0081025D" w:rsidP="0081025D">
      <w:r>
        <w:t xml:space="preserve">OVIC seeks </w:t>
      </w:r>
      <w:r w:rsidR="00016ED0">
        <w:t xml:space="preserve">your </w:t>
      </w:r>
      <w:r>
        <w:t xml:space="preserve">feedback </w:t>
      </w:r>
      <w:r w:rsidR="00016ED0">
        <w:t xml:space="preserve">on </w:t>
      </w:r>
      <w:r w:rsidR="00084807">
        <w:t xml:space="preserve">the </w:t>
      </w:r>
      <w:r w:rsidR="00E9249A">
        <w:t>draft Standards attached below</w:t>
      </w:r>
      <w:r w:rsidR="00084807">
        <w:t>. The</w:t>
      </w:r>
      <w:r w:rsidR="00E9249A">
        <w:t xml:space="preserve"> proposed amendments </w:t>
      </w:r>
      <w:r w:rsidR="00084807">
        <w:t xml:space="preserve">are </w:t>
      </w:r>
      <w:r w:rsidR="00E9249A">
        <w:t>contained in the tables</w:t>
      </w:r>
      <w:r w:rsidR="00084807">
        <w:t xml:space="preserve"> within the body of the document</w:t>
      </w:r>
      <w:r w:rsidR="00E9249A">
        <w:t>.</w:t>
      </w:r>
      <w:r w:rsidR="00084807">
        <w:t xml:space="preserve"> </w:t>
      </w:r>
    </w:p>
    <w:p w14:paraId="6874610F" w14:textId="477EC3C1" w:rsidR="00E06982" w:rsidRDefault="00E9249A" w:rsidP="0081025D">
      <w:r>
        <w:t>All content outside the tables remains the same as the original Standards issued on 2 December 2019.</w:t>
      </w:r>
    </w:p>
    <w:p w14:paraId="71F0A418" w14:textId="28E8077F" w:rsidR="0081025D" w:rsidRDefault="0081025D" w:rsidP="0081025D">
      <w:r>
        <w:lastRenderedPageBreak/>
        <w:t>When providing feedback, please consider the questions in the feedback form.</w:t>
      </w:r>
    </w:p>
    <w:p w14:paraId="37D41039" w14:textId="15CD804A" w:rsidR="0081025D" w:rsidRDefault="0081025D" w:rsidP="0081025D">
      <w:r>
        <w:t xml:space="preserve">Consultation will be open for </w:t>
      </w:r>
      <w:r w:rsidR="00016ED0">
        <w:t>28 days</w:t>
      </w:r>
      <w:r>
        <w:t xml:space="preserve"> commencing </w:t>
      </w:r>
      <w:r w:rsidR="00CD2DAD">
        <w:rPr>
          <w:b/>
          <w:bCs/>
          <w:color w:val="000000" w:themeColor="text1"/>
        </w:rPr>
        <w:t>1</w:t>
      </w:r>
      <w:r w:rsidR="0064588B">
        <w:rPr>
          <w:b/>
          <w:bCs/>
          <w:color w:val="000000" w:themeColor="text1"/>
        </w:rPr>
        <w:t>8</w:t>
      </w:r>
      <w:r w:rsidR="00CD2DAD">
        <w:rPr>
          <w:b/>
          <w:bCs/>
          <w:color w:val="000000" w:themeColor="text1"/>
        </w:rPr>
        <w:t xml:space="preserve"> February 2025</w:t>
      </w:r>
      <w:r w:rsidRPr="00016ED0">
        <w:rPr>
          <w:b/>
          <w:bCs/>
          <w:color w:val="000000" w:themeColor="text1"/>
        </w:rPr>
        <w:t xml:space="preserve"> </w:t>
      </w:r>
      <w:r>
        <w:t>and ending on</w:t>
      </w:r>
      <w:r w:rsidR="00016ED0">
        <w:t xml:space="preserve"> </w:t>
      </w:r>
      <w:r w:rsidR="0064588B">
        <w:rPr>
          <w:b/>
          <w:bCs/>
        </w:rPr>
        <w:t>20</w:t>
      </w:r>
      <w:r w:rsidR="00CD2DAD">
        <w:rPr>
          <w:b/>
          <w:bCs/>
        </w:rPr>
        <w:t xml:space="preserve"> March 2025</w:t>
      </w:r>
      <w:r w:rsidR="00016ED0">
        <w:t>.</w:t>
      </w:r>
    </w:p>
    <w:p w14:paraId="5D7F3CF0" w14:textId="77777777" w:rsidR="0081025D" w:rsidRDefault="0081025D" w:rsidP="0081025D">
      <w:bookmarkStart w:id="1" w:name="_Hlk180505608"/>
      <w:r>
        <w:t>Submissions must be provided to OVIC directly. You can do this by:</w:t>
      </w:r>
    </w:p>
    <w:p w14:paraId="7551A20B" w14:textId="529EE7D7" w:rsidR="0081025D" w:rsidRDefault="0081025D" w:rsidP="00CB1B7E">
      <w:pPr>
        <w:pStyle w:val="ListParagraph"/>
        <w:numPr>
          <w:ilvl w:val="0"/>
          <w:numId w:val="52"/>
        </w:numPr>
        <w:spacing w:before="0" w:after="160" w:line="259" w:lineRule="auto"/>
      </w:pPr>
      <w:r>
        <w:t xml:space="preserve">Downloading the </w:t>
      </w:r>
      <w:r w:rsidR="001C120B">
        <w:t xml:space="preserve">Professional Standards </w:t>
      </w:r>
      <w:hyperlink r:id="rId9" w:history="1">
        <w:r w:rsidR="001C120B" w:rsidRPr="004E2E2C">
          <w:rPr>
            <w:rStyle w:val="Hyperlink"/>
            <w:b/>
            <w:bCs/>
            <w:color w:val="002060"/>
          </w:rPr>
          <w:t>F</w:t>
        </w:r>
        <w:r w:rsidRPr="004E2E2C">
          <w:rPr>
            <w:rStyle w:val="Hyperlink"/>
            <w:b/>
            <w:bCs/>
            <w:color w:val="002060"/>
          </w:rPr>
          <w:t xml:space="preserve">eedback </w:t>
        </w:r>
        <w:r w:rsidR="001C120B" w:rsidRPr="004E2E2C">
          <w:rPr>
            <w:rStyle w:val="Hyperlink"/>
            <w:b/>
            <w:bCs/>
            <w:color w:val="002060"/>
          </w:rPr>
          <w:t>F</w:t>
        </w:r>
        <w:r w:rsidRPr="004E2E2C">
          <w:rPr>
            <w:rStyle w:val="Hyperlink"/>
            <w:b/>
            <w:bCs/>
            <w:color w:val="002060"/>
          </w:rPr>
          <w:t>orm</w:t>
        </w:r>
      </w:hyperlink>
      <w:r w:rsidR="00CB1B7E" w:rsidRPr="00CB1B7E">
        <w:t>,</w:t>
      </w:r>
      <w:r w:rsidR="00CB1B7E">
        <w:t xml:space="preserve"> </w:t>
      </w:r>
      <w:r w:rsidR="001C120B">
        <w:t>considering the questions and providing feedback and/or comments;</w:t>
      </w:r>
      <w:r>
        <w:t xml:space="preserve"> or </w:t>
      </w:r>
    </w:p>
    <w:p w14:paraId="57C27E8D" w14:textId="678818E2" w:rsidR="0081025D" w:rsidRDefault="0081025D" w:rsidP="0081025D">
      <w:pPr>
        <w:pStyle w:val="ListParagraph"/>
        <w:numPr>
          <w:ilvl w:val="0"/>
          <w:numId w:val="52"/>
        </w:numPr>
        <w:spacing w:before="0" w:after="160" w:line="259" w:lineRule="auto"/>
      </w:pPr>
      <w:r>
        <w:t xml:space="preserve">Downloading </w:t>
      </w:r>
      <w:r w:rsidR="001C120B">
        <w:t>this document and</w:t>
      </w:r>
      <w:r>
        <w:t xml:space="preserve"> use tracked changes to mark-up suggestions and leave comments; or</w:t>
      </w:r>
    </w:p>
    <w:p w14:paraId="5B7DB91E" w14:textId="77777777" w:rsidR="0081025D" w:rsidRDefault="0081025D" w:rsidP="0081025D">
      <w:pPr>
        <w:pStyle w:val="ListParagraph"/>
        <w:numPr>
          <w:ilvl w:val="0"/>
          <w:numId w:val="52"/>
        </w:numPr>
        <w:spacing w:before="0" w:after="160" w:line="259" w:lineRule="auto"/>
      </w:pPr>
      <w:r>
        <w:t>Sending us an email or letter with your feedback (you do not need to use the feedback form).</w:t>
      </w:r>
    </w:p>
    <w:bookmarkEnd w:id="1"/>
    <w:p w14:paraId="0133A232" w14:textId="77777777" w:rsidR="0081025D" w:rsidRDefault="0081025D" w:rsidP="00016ED0">
      <w:pPr>
        <w:pStyle w:val="Heading2"/>
      </w:pPr>
      <w:r>
        <w:t>Contact us</w:t>
      </w:r>
    </w:p>
    <w:p w14:paraId="34E21A07" w14:textId="77777777" w:rsidR="0081025D" w:rsidRPr="000B481F" w:rsidRDefault="0081025D" w:rsidP="0081025D">
      <w:pPr>
        <w:rPr>
          <w:b/>
          <w:bCs/>
        </w:rPr>
      </w:pPr>
      <w:bookmarkStart w:id="2" w:name="_Hlk180490713"/>
      <w:r w:rsidRPr="000B481F">
        <w:rPr>
          <w:b/>
          <w:bCs/>
        </w:rPr>
        <w:t>Email</w:t>
      </w:r>
    </w:p>
    <w:bookmarkStart w:id="3" w:name="_Hlk180505951"/>
    <w:bookmarkStart w:id="4" w:name="_Hlk180490701"/>
    <w:p w14:paraId="17A9BBFD" w14:textId="77777777" w:rsidR="00CB1B7E" w:rsidRDefault="00CB1B7E" w:rsidP="0081025D">
      <w:r w:rsidRPr="00CB1B7E">
        <w:fldChar w:fldCharType="begin"/>
      </w:r>
      <w:r w:rsidRPr="00CB1B7E">
        <w:instrText>HYPERLINK "mailto:communications@ovic.vic.gov.au" \o "mailto:communications@ovic.vic.gov.au" \t "_blank"</w:instrText>
      </w:r>
      <w:r w:rsidRPr="00CB1B7E">
        <w:fldChar w:fldCharType="separate"/>
      </w:r>
      <w:r w:rsidRPr="00CB1B7E">
        <w:rPr>
          <w:rStyle w:val="Hyperlink"/>
        </w:rPr>
        <w:t>communications@ovic.vic.gov.au</w:t>
      </w:r>
      <w:r w:rsidRPr="00CB1B7E">
        <w:fldChar w:fldCharType="end"/>
      </w:r>
    </w:p>
    <w:bookmarkEnd w:id="3"/>
    <w:p w14:paraId="56133B26" w14:textId="29AAC73A" w:rsidR="0081025D" w:rsidRPr="000B481F" w:rsidRDefault="0081025D" w:rsidP="0081025D">
      <w:pPr>
        <w:rPr>
          <w:b/>
          <w:bCs/>
        </w:rPr>
      </w:pPr>
      <w:r w:rsidRPr="000B481F">
        <w:rPr>
          <w:b/>
          <w:bCs/>
        </w:rPr>
        <w:t>Mail</w:t>
      </w:r>
    </w:p>
    <w:p w14:paraId="3AD0F8EC" w14:textId="73BC742B" w:rsidR="0081025D" w:rsidRDefault="00016ED0" w:rsidP="00016ED0">
      <w:pPr>
        <w:spacing w:before="0" w:after="0"/>
      </w:pPr>
      <w:r>
        <w:t>Public Access</w:t>
      </w:r>
    </w:p>
    <w:p w14:paraId="7DEA4096" w14:textId="77777777" w:rsidR="0081025D" w:rsidRDefault="0081025D" w:rsidP="00016ED0">
      <w:pPr>
        <w:spacing w:before="0" w:after="0"/>
      </w:pPr>
      <w:r>
        <w:t>Office of the Victorian Information Commissioner</w:t>
      </w:r>
    </w:p>
    <w:p w14:paraId="1EBCA5F1" w14:textId="77777777" w:rsidR="0081025D" w:rsidRDefault="0081025D" w:rsidP="00016ED0">
      <w:pPr>
        <w:spacing w:before="0" w:after="0"/>
      </w:pPr>
      <w:r>
        <w:t>PO Box 24274</w:t>
      </w:r>
    </w:p>
    <w:p w14:paraId="4636D44F" w14:textId="77777777" w:rsidR="0081025D" w:rsidRPr="007F450E" w:rsidRDefault="0081025D" w:rsidP="00016ED0">
      <w:pPr>
        <w:spacing w:before="0" w:after="0"/>
      </w:pPr>
      <w:r>
        <w:t>Melbourne VIC 3001</w:t>
      </w:r>
    </w:p>
    <w:bookmarkEnd w:id="2"/>
    <w:bookmarkEnd w:id="4"/>
    <w:p w14:paraId="407BB8A9" w14:textId="77777777" w:rsidR="0081025D" w:rsidRDefault="0081025D" w:rsidP="0081025D">
      <w:pPr>
        <w:pStyle w:val="Heading2"/>
      </w:pPr>
      <w:r>
        <w:t>Collection of personal information</w:t>
      </w:r>
    </w:p>
    <w:p w14:paraId="6567FCB1" w14:textId="59F3E66B" w:rsidR="0081025D" w:rsidRDefault="0081025D" w:rsidP="0081025D">
      <w:r>
        <w:t>You are not required to provide any personal information to provide feedback on OVIC’s</w:t>
      </w:r>
      <w:r w:rsidR="00016ED0">
        <w:t xml:space="preserve"> draft Standards</w:t>
      </w:r>
      <w:r>
        <w:t xml:space="preserve">. </w:t>
      </w:r>
    </w:p>
    <w:p w14:paraId="6155EF36" w14:textId="53955435" w:rsidR="0081025D" w:rsidRDefault="0081025D" w:rsidP="0081025D">
      <w:r>
        <w:t xml:space="preserve">Where you choose to provide personal information, OVIC may use it to provide you consolidated feedback on the </w:t>
      </w:r>
      <w:r w:rsidR="00325B29">
        <w:t xml:space="preserve">responses </w:t>
      </w:r>
      <w:r>
        <w:t>we receive or seek clarification on your feedback. If you choose to provide personal information, we ask that you do not include this information anywhere other than the designated fields on the feedback form.</w:t>
      </w:r>
    </w:p>
    <w:p w14:paraId="38C6CD73" w14:textId="77777777" w:rsidR="0081025D" w:rsidRDefault="0081025D" w:rsidP="0081025D">
      <w:r>
        <w:t>If you choose to make your submission by email, we may be able to identify you from your email address. If you prefer to remain anonymous, you can post your submission to OVIC.</w:t>
      </w:r>
    </w:p>
    <w:p w14:paraId="3DC47EA8" w14:textId="77777777" w:rsidR="0081025D" w:rsidRDefault="0081025D" w:rsidP="0081025D">
      <w:r>
        <w:t xml:space="preserve">OVIC will not disclose your personal information without your consent, except where required to do so by law. You may contact OVIC to request access to any personal information you have provided to us by emailing </w:t>
      </w:r>
      <w:hyperlink r:id="rId10" w:history="1">
        <w:r w:rsidRPr="00313290">
          <w:rPr>
            <w:rStyle w:val="Hyperlink"/>
          </w:rPr>
          <w:t>enquiries@ovic.vic.gov.au</w:t>
        </w:r>
      </w:hyperlink>
      <w:r>
        <w:t>.</w:t>
      </w:r>
    </w:p>
    <w:p w14:paraId="363BD09E" w14:textId="77777777" w:rsidR="0081025D" w:rsidRDefault="0081025D" w:rsidP="0081025D">
      <w:r>
        <w:t xml:space="preserve">For further information on how OVIC handles personal information, please read </w:t>
      </w:r>
      <w:hyperlink r:id="rId11" w:history="1">
        <w:r w:rsidRPr="004E2E2C">
          <w:rPr>
            <w:rStyle w:val="Hyperlink"/>
            <w:color w:val="002060"/>
          </w:rPr>
          <w:t>OVIC’s privacy policy</w:t>
        </w:r>
      </w:hyperlink>
      <w:r>
        <w:t>.</w:t>
      </w:r>
    </w:p>
    <w:p w14:paraId="7A2B92AA" w14:textId="5A35DE57" w:rsidR="00E06982" w:rsidRPr="00281560" w:rsidRDefault="00E06982" w:rsidP="00612014">
      <w:pPr>
        <w:spacing w:before="0" w:after="160" w:line="259" w:lineRule="auto"/>
      </w:pPr>
      <w:r>
        <w:br w:type="page"/>
      </w:r>
      <w:sdt>
        <w:sdtPr>
          <w:rPr>
            <w:rStyle w:val="Heading1Char"/>
          </w:rPr>
          <w:alias w:val="Title"/>
          <w:tag w:val=""/>
          <w:id w:val="262044489"/>
          <w:placeholder>
            <w:docPart w:val="8FDBA14F3AFC4C6D8B3344151147F65F"/>
          </w:placeholder>
          <w:dataBinding w:prefixMappings="xmlns:ns0='http://purl.org/dc/elements/1.1/' xmlns:ns1='http://schemas.openxmlformats.org/package/2006/metadata/core-properties' " w:xpath="/ns1:coreProperties[1]/ns0:title[1]" w:storeItemID="{6C3C8BC8-F283-45AE-878A-BAB7291924A1}"/>
          <w:text/>
        </w:sdtPr>
        <w:sdtContent>
          <w:r w:rsidRPr="00612014">
            <w:rPr>
              <w:rStyle w:val="Heading1Char"/>
            </w:rPr>
            <w:t>Draft Professional Standards</w:t>
          </w:r>
        </w:sdtContent>
      </w:sdt>
    </w:p>
    <w:p w14:paraId="327F1D1E" w14:textId="77777777" w:rsidR="00E06982" w:rsidRPr="00E06982" w:rsidRDefault="00E06982" w:rsidP="00D07E20">
      <w:pPr>
        <w:pStyle w:val="Heading2"/>
      </w:pPr>
      <w:r w:rsidRPr="00E06982">
        <w:t>Introduction and interpretation</w:t>
      </w:r>
    </w:p>
    <w:p w14:paraId="1EC23241" w14:textId="77777777" w:rsidR="00E06982" w:rsidRPr="00FB0D65" w:rsidRDefault="00E06982" w:rsidP="00E06982">
      <w:pPr>
        <w:pStyle w:val="Heading2"/>
      </w:pPr>
      <w:r w:rsidRPr="00FB0D65">
        <w:t>About</w:t>
      </w:r>
    </w:p>
    <w:p w14:paraId="1B0EB3D1" w14:textId="77777777" w:rsidR="00E06982" w:rsidRPr="00D70E45" w:rsidRDefault="00E06982" w:rsidP="00E06982">
      <w:pPr>
        <w:pStyle w:val="Intro"/>
        <w:spacing w:before="120" w:after="120" w:line="276" w:lineRule="auto"/>
        <w:rPr>
          <w:rFonts w:ascii="Calibri Light" w:hAnsi="Calibri Light" w:cs="Calibri Light"/>
          <w:strike/>
          <w:color w:val="000000" w:themeColor="text1"/>
          <w:sz w:val="22"/>
          <w:szCs w:val="22"/>
        </w:rPr>
      </w:pPr>
      <w:r w:rsidRPr="00D70E45">
        <w:rPr>
          <w:rFonts w:ascii="Calibri Light" w:hAnsi="Calibri Light" w:cs="Calibri Light"/>
          <w:strike/>
          <w:color w:val="000000" w:themeColor="text1"/>
          <w:sz w:val="22"/>
          <w:szCs w:val="22"/>
          <w:lang w:val="en-AU"/>
        </w:rPr>
        <w:t xml:space="preserve">The FOI Professional Standards (the </w:t>
      </w:r>
      <w:r w:rsidRPr="00D70E45">
        <w:rPr>
          <w:rFonts w:ascii="Calibri Light" w:hAnsi="Calibri Light" w:cs="Calibri Light"/>
          <w:b/>
          <w:bCs/>
          <w:strike/>
          <w:color w:val="000000" w:themeColor="text1"/>
          <w:sz w:val="22"/>
          <w:szCs w:val="22"/>
          <w:lang w:val="en-AU"/>
        </w:rPr>
        <w:t>Standards</w:t>
      </w:r>
      <w:r w:rsidRPr="00D70E45">
        <w:rPr>
          <w:rFonts w:ascii="Calibri Light" w:hAnsi="Calibri Light" w:cs="Calibri Light"/>
          <w:strike/>
          <w:color w:val="000000" w:themeColor="text1"/>
          <w:sz w:val="22"/>
          <w:szCs w:val="22"/>
          <w:lang w:val="en-AU"/>
        </w:rPr>
        <w:t xml:space="preserve">) were issued on 2 December 2019 </w:t>
      </w:r>
      <w:r w:rsidRPr="00D70E45">
        <w:rPr>
          <w:rFonts w:ascii="Calibri Light" w:hAnsi="Calibri Light" w:cs="Calibri Light"/>
          <w:strike/>
          <w:color w:val="000000" w:themeColor="text1"/>
          <w:sz w:val="22"/>
          <w:szCs w:val="22"/>
        </w:rPr>
        <w:t> in accordance with Part IB of the </w:t>
      </w:r>
      <w:r w:rsidRPr="00D70E45">
        <w:rPr>
          <w:rFonts w:ascii="Calibri Light" w:hAnsi="Calibri Light" w:cs="Calibri Light"/>
          <w:i/>
          <w:iCs/>
          <w:strike/>
          <w:color w:val="000000" w:themeColor="text1"/>
          <w:sz w:val="22"/>
          <w:szCs w:val="22"/>
        </w:rPr>
        <w:t>Freedom of Information Act 1982 </w:t>
      </w:r>
      <w:r w:rsidRPr="00D70E45">
        <w:rPr>
          <w:rFonts w:ascii="Calibri Light" w:hAnsi="Calibri Light" w:cs="Calibri Light"/>
          <w:strike/>
          <w:color w:val="000000" w:themeColor="text1"/>
          <w:sz w:val="22"/>
          <w:szCs w:val="22"/>
        </w:rPr>
        <w:t>(Vic) (</w:t>
      </w:r>
      <w:r w:rsidRPr="00D70E45">
        <w:rPr>
          <w:rFonts w:ascii="Calibri Light" w:hAnsi="Calibri Light" w:cs="Calibri Light"/>
          <w:b/>
          <w:bCs/>
          <w:strike/>
          <w:color w:val="000000" w:themeColor="text1"/>
          <w:sz w:val="22"/>
          <w:szCs w:val="22"/>
        </w:rPr>
        <w:t>the Act</w:t>
      </w:r>
      <w:r w:rsidRPr="00D70E45">
        <w:rPr>
          <w:rFonts w:ascii="Calibri Light" w:hAnsi="Calibri Light" w:cs="Calibri Light"/>
          <w:strike/>
          <w:color w:val="000000" w:themeColor="text1"/>
          <w:sz w:val="22"/>
          <w:szCs w:val="22"/>
        </w:rPr>
        <w:t>). The Standards are binding and apply to every Victorian agency subject to the Act. The Standards do not apply to Ministers.</w:t>
      </w:r>
    </w:p>
    <w:tbl>
      <w:tblPr>
        <w:tblStyle w:val="TableGrid"/>
        <w:tblW w:w="0" w:type="auto"/>
        <w:tblLook w:val="04A0" w:firstRow="1" w:lastRow="0" w:firstColumn="1" w:lastColumn="0" w:noHBand="0" w:noVBand="1"/>
      </w:tblPr>
      <w:tblGrid>
        <w:gridCol w:w="9060"/>
      </w:tblGrid>
      <w:tr w:rsidR="00D70E45" w:rsidRPr="00C7423C" w14:paraId="37BA7E27" w14:textId="77777777" w:rsidTr="00314CF4">
        <w:tc>
          <w:tcPr>
            <w:tcW w:w="9060" w:type="dxa"/>
            <w:shd w:val="clear" w:color="auto" w:fill="F2F2F2" w:themeFill="background2" w:themeFillShade="F2"/>
          </w:tcPr>
          <w:p w14:paraId="1FD133BC" w14:textId="168D818D" w:rsidR="00D70E45" w:rsidRPr="00C7423C" w:rsidRDefault="00D70E45" w:rsidP="00854F62">
            <w:pPr>
              <w:rPr>
                <w:rStyle w:val="Hyperlink"/>
                <w:b/>
                <w:bCs/>
                <w:u w:val="none"/>
              </w:rPr>
            </w:pPr>
            <w:r>
              <w:rPr>
                <w:rStyle w:val="Hyperlink"/>
                <w:b/>
                <w:bCs/>
                <w:u w:val="none"/>
              </w:rPr>
              <w:t>Upd</w:t>
            </w:r>
            <w:r w:rsidRPr="00D70E45">
              <w:rPr>
                <w:rStyle w:val="Hyperlink"/>
                <w:b/>
                <w:bCs/>
                <w:u w:val="none"/>
              </w:rPr>
              <w:t>ated Information</w:t>
            </w:r>
          </w:p>
        </w:tc>
      </w:tr>
      <w:tr w:rsidR="00D70E45" w:rsidRPr="00C7423C" w14:paraId="06123567" w14:textId="77777777" w:rsidTr="00314CF4">
        <w:tc>
          <w:tcPr>
            <w:tcW w:w="9060" w:type="dxa"/>
            <w:shd w:val="clear" w:color="auto" w:fill="F2F2F2" w:themeFill="background2" w:themeFillShade="F2"/>
          </w:tcPr>
          <w:p w14:paraId="41850223" w14:textId="4A6142A4" w:rsidR="00D70E45" w:rsidRDefault="00D70E45" w:rsidP="00D70E45">
            <w:pPr>
              <w:pStyle w:val="Intro"/>
              <w:spacing w:before="120" w:after="120" w:line="276"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lang w:val="en-AU"/>
              </w:rPr>
              <w:t xml:space="preserve">The FOI Professional Standards (the </w:t>
            </w:r>
            <w:r w:rsidRPr="000225F0">
              <w:rPr>
                <w:rFonts w:ascii="Calibri Light" w:hAnsi="Calibri Light" w:cs="Calibri Light"/>
                <w:b/>
                <w:bCs/>
                <w:color w:val="000000" w:themeColor="text1"/>
                <w:sz w:val="22"/>
                <w:szCs w:val="22"/>
                <w:lang w:val="en-AU"/>
              </w:rPr>
              <w:t>Standards</w:t>
            </w:r>
            <w:r>
              <w:rPr>
                <w:rFonts w:ascii="Calibri Light" w:hAnsi="Calibri Light" w:cs="Calibri Light"/>
                <w:color w:val="000000" w:themeColor="text1"/>
                <w:sz w:val="22"/>
                <w:szCs w:val="22"/>
                <w:lang w:val="en-AU"/>
              </w:rPr>
              <w:t>) were first issued on 2 December 2019</w:t>
            </w:r>
            <w:r w:rsidRPr="00394EDE">
              <w:rPr>
                <w:rFonts w:ascii="Calibri Light" w:hAnsi="Calibri Light" w:cs="Calibri Light"/>
                <w:color w:val="000000" w:themeColor="text1"/>
                <w:sz w:val="22"/>
                <w:szCs w:val="22"/>
              </w:rPr>
              <w:t> in accordance wi</w:t>
            </w:r>
            <w:r>
              <w:rPr>
                <w:rFonts w:ascii="Calibri Light" w:hAnsi="Calibri Light" w:cs="Calibri Light"/>
                <w:color w:val="000000" w:themeColor="text1"/>
                <w:sz w:val="22"/>
                <w:szCs w:val="22"/>
              </w:rPr>
              <w:t>t</w:t>
            </w:r>
            <w:r w:rsidRPr="00394EDE">
              <w:rPr>
                <w:rFonts w:ascii="Calibri Light" w:hAnsi="Calibri Light" w:cs="Calibri Light"/>
                <w:color w:val="000000" w:themeColor="text1"/>
                <w:sz w:val="22"/>
                <w:szCs w:val="22"/>
              </w:rPr>
              <w:t>h Part IB of the </w:t>
            </w:r>
            <w:r w:rsidRPr="00394EDE">
              <w:rPr>
                <w:rFonts w:ascii="Calibri Light" w:hAnsi="Calibri Light" w:cs="Calibri Light"/>
                <w:i/>
                <w:iCs/>
                <w:color w:val="000000" w:themeColor="text1"/>
                <w:sz w:val="22"/>
                <w:szCs w:val="22"/>
              </w:rPr>
              <w:t>Freedom of Information Act 1982 </w:t>
            </w:r>
            <w:r w:rsidRPr="00394EDE">
              <w:rPr>
                <w:rFonts w:ascii="Calibri Light" w:hAnsi="Calibri Light" w:cs="Calibri Light"/>
                <w:color w:val="000000" w:themeColor="text1"/>
                <w:sz w:val="22"/>
                <w:szCs w:val="22"/>
              </w:rPr>
              <w:t>(Vic) (</w:t>
            </w:r>
            <w:r w:rsidRPr="00394EDE">
              <w:rPr>
                <w:rFonts w:ascii="Calibri Light" w:hAnsi="Calibri Light" w:cs="Calibri Light"/>
                <w:b/>
                <w:bCs/>
                <w:color w:val="000000" w:themeColor="text1"/>
                <w:sz w:val="22"/>
                <w:szCs w:val="22"/>
              </w:rPr>
              <w:t>the Act</w:t>
            </w:r>
            <w:r w:rsidRPr="00394EDE">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 xml:space="preserve"> </w:t>
            </w:r>
          </w:p>
          <w:p w14:paraId="3EB021EC" w14:textId="18045BEA" w:rsidR="00D70E45" w:rsidRPr="00C7423C" w:rsidRDefault="00D70E45" w:rsidP="00D70E45">
            <w:pPr>
              <w:pStyle w:val="Intro"/>
              <w:spacing w:before="120" w:after="120" w:line="276" w:lineRule="auto"/>
              <w:rPr>
                <w:rStyle w:val="Hyperlink"/>
                <w:b/>
                <w:bCs/>
                <w:u w:val="none"/>
              </w:rPr>
            </w:pPr>
            <w:r w:rsidRPr="00562D27">
              <w:rPr>
                <w:rFonts w:ascii="Calibri Light" w:hAnsi="Calibri Light" w:cs="Calibri Light"/>
                <w:color w:val="000000" w:themeColor="text1"/>
                <w:sz w:val="22"/>
                <w:szCs w:val="22"/>
              </w:rPr>
              <w:t xml:space="preserve">The Standards </w:t>
            </w:r>
            <w:r>
              <w:rPr>
                <w:rFonts w:ascii="Calibri Light" w:hAnsi="Calibri Light" w:cs="Calibri Light"/>
                <w:color w:val="000000" w:themeColor="text1"/>
                <w:sz w:val="22"/>
                <w:szCs w:val="22"/>
              </w:rPr>
              <w:t xml:space="preserve">are binding and </w:t>
            </w:r>
            <w:r w:rsidRPr="00562D27">
              <w:rPr>
                <w:rFonts w:ascii="Calibri Light" w:hAnsi="Calibri Light" w:cs="Calibri Light"/>
                <w:color w:val="000000" w:themeColor="text1"/>
                <w:sz w:val="22"/>
                <w:szCs w:val="22"/>
              </w:rPr>
              <w:t>apply to every Victorian agency subject to the Act</w:t>
            </w:r>
            <w:r>
              <w:rPr>
                <w:rFonts w:ascii="Calibri Light" w:hAnsi="Calibri Light" w:cs="Calibri Light"/>
                <w:color w:val="000000" w:themeColor="text1"/>
                <w:sz w:val="22"/>
                <w:szCs w:val="22"/>
              </w:rPr>
              <w:t>. The Standards do not apply to Ministers.</w:t>
            </w:r>
          </w:p>
        </w:tc>
      </w:tr>
    </w:tbl>
    <w:p w14:paraId="0D930689" w14:textId="77777777" w:rsidR="00D70E45" w:rsidRDefault="00D70E45" w:rsidP="00E06982"/>
    <w:p w14:paraId="1E15285A" w14:textId="7A46EA2F" w:rsidR="00E06982" w:rsidRDefault="00E06982" w:rsidP="00E06982">
      <w:r w:rsidRPr="0081025D">
        <w:t xml:space="preserve">The purpose </w:t>
      </w:r>
      <w:r w:rsidRPr="000675B5">
        <w:t xml:space="preserve">of the Standards is to ensure the Act is administered by agencies consistently with: </w:t>
      </w:r>
    </w:p>
    <w:p w14:paraId="2CB9CCDA" w14:textId="731AC3A8" w:rsidR="00E06982" w:rsidRDefault="00E06982" w:rsidP="00E06982">
      <w:pPr>
        <w:ind w:left="720" w:hanging="720"/>
      </w:pPr>
      <w:r>
        <w:t>•</w:t>
      </w:r>
      <w:r>
        <w:tab/>
        <w:t xml:space="preserve">the Act's object </w:t>
      </w:r>
      <w:r w:rsidR="00325B29" w:rsidRPr="00E9249A">
        <w:t>–</w:t>
      </w:r>
      <w:r>
        <w:t xml:space="preserve"> to extend as far as possible the right of the community to access information in the possession of an agency subject to the Act; and</w:t>
      </w:r>
    </w:p>
    <w:p w14:paraId="6EF49DF6" w14:textId="7EEA62C2" w:rsidR="00E06982" w:rsidRDefault="00E06982" w:rsidP="00E06982">
      <w:pPr>
        <w:ind w:left="720" w:hanging="720"/>
      </w:pPr>
      <w:r>
        <w:t>•</w:t>
      </w:r>
      <w:r>
        <w:tab/>
        <w:t xml:space="preserve">Parliament's intention </w:t>
      </w:r>
      <w:r w:rsidR="00325B29" w:rsidRPr="00E9249A">
        <w:t>–</w:t>
      </w:r>
      <w:r w:rsidR="00325B29">
        <w:t xml:space="preserve"> </w:t>
      </w:r>
      <w:r>
        <w:t>that the provisions of the Act are interpreted so as to further its object and any discretions conferred by the Act are to be exercised as far as possible to facilitate and promote the prompt disclosure of information at the lowest reasonable cost.</w:t>
      </w:r>
    </w:p>
    <w:p w14:paraId="67B5E0F7" w14:textId="77777777" w:rsidR="00E9249A" w:rsidRDefault="00E9249A" w:rsidP="00E9249A">
      <w:pPr>
        <w:pStyle w:val="Heading2"/>
      </w:pPr>
      <w:r>
        <w:t>Commencement</w:t>
      </w:r>
    </w:p>
    <w:p w14:paraId="24BF5088" w14:textId="77777777" w:rsidR="00D07E20" w:rsidRPr="00D07E20" w:rsidRDefault="00D07E20" w:rsidP="00BF3799">
      <w:pPr>
        <w:rPr>
          <w:strike/>
        </w:rPr>
      </w:pPr>
      <w:r w:rsidRPr="00D07E20">
        <w:rPr>
          <w:strike/>
        </w:rPr>
        <w:t>The Standards commence on 2 December 2019.</w:t>
      </w:r>
    </w:p>
    <w:tbl>
      <w:tblPr>
        <w:tblStyle w:val="TableGrid"/>
        <w:tblW w:w="0" w:type="auto"/>
        <w:tblLook w:val="04A0" w:firstRow="1" w:lastRow="0" w:firstColumn="1" w:lastColumn="0" w:noHBand="0" w:noVBand="1"/>
      </w:tblPr>
      <w:tblGrid>
        <w:gridCol w:w="9060"/>
      </w:tblGrid>
      <w:tr w:rsidR="00D07E20" w:rsidRPr="00C7423C" w14:paraId="517B3123" w14:textId="77777777" w:rsidTr="00314CF4">
        <w:tc>
          <w:tcPr>
            <w:tcW w:w="9060" w:type="dxa"/>
            <w:shd w:val="clear" w:color="auto" w:fill="F2F2F2" w:themeFill="background2" w:themeFillShade="F2"/>
          </w:tcPr>
          <w:p w14:paraId="5833ACDB" w14:textId="77777777" w:rsidR="00D07E20" w:rsidRPr="00C7423C" w:rsidRDefault="00D07E20" w:rsidP="00C8397B">
            <w:pPr>
              <w:rPr>
                <w:rStyle w:val="Hyperlink"/>
                <w:b/>
                <w:bCs/>
                <w:u w:val="none"/>
              </w:rPr>
            </w:pPr>
            <w:r>
              <w:rPr>
                <w:rStyle w:val="Hyperlink"/>
                <w:b/>
                <w:bCs/>
                <w:u w:val="none"/>
              </w:rPr>
              <w:t>Upd</w:t>
            </w:r>
            <w:r w:rsidRPr="00D70E45">
              <w:rPr>
                <w:rStyle w:val="Hyperlink"/>
                <w:b/>
                <w:bCs/>
                <w:u w:val="none"/>
              </w:rPr>
              <w:t>ated Information</w:t>
            </w:r>
          </w:p>
        </w:tc>
      </w:tr>
      <w:tr w:rsidR="00D07E20" w:rsidRPr="00C7423C" w14:paraId="4029C0D0" w14:textId="77777777" w:rsidTr="00314CF4">
        <w:tc>
          <w:tcPr>
            <w:tcW w:w="9060" w:type="dxa"/>
            <w:shd w:val="clear" w:color="auto" w:fill="F2F2F2" w:themeFill="background2" w:themeFillShade="F2"/>
          </w:tcPr>
          <w:p w14:paraId="122F6B08" w14:textId="5E26C3C5" w:rsidR="00D07E20" w:rsidRPr="00D07E20" w:rsidRDefault="00D07E20" w:rsidP="00D07E20">
            <w:pPr>
              <w:rPr>
                <w:rStyle w:val="Hyperlink"/>
                <w:color w:val="auto"/>
                <w:u w:val="none"/>
              </w:rPr>
            </w:pPr>
            <w:r w:rsidRPr="00D07E20">
              <w:t>The Standards commence on </w:t>
            </w:r>
            <w:r>
              <w:t>[</w:t>
            </w:r>
            <w:r w:rsidRPr="00D07E20">
              <w:rPr>
                <w:highlight w:val="yellow"/>
              </w:rPr>
              <w:t>date</w:t>
            </w:r>
            <w:r>
              <w:t>]</w:t>
            </w:r>
            <w:r w:rsidRPr="00D07E20">
              <w:t>.</w:t>
            </w:r>
          </w:p>
        </w:tc>
      </w:tr>
    </w:tbl>
    <w:p w14:paraId="7DD46500" w14:textId="77777777" w:rsidR="00D07E20" w:rsidRDefault="00D07E20" w:rsidP="00BF3799"/>
    <w:p w14:paraId="2BEF1B13" w14:textId="77C391DA" w:rsidR="000675B5" w:rsidRDefault="003716BF" w:rsidP="00D07E20">
      <w:pPr>
        <w:pStyle w:val="Heading2"/>
      </w:pPr>
      <w:r w:rsidRPr="003716BF">
        <w:lastRenderedPageBreak/>
        <w:t xml:space="preserve">References to legislation </w:t>
      </w:r>
      <w:r w:rsidR="000675B5" w:rsidRPr="000675B5">
        <w:t xml:space="preserve"> </w:t>
      </w:r>
    </w:p>
    <w:p w14:paraId="4DFE9E24" w14:textId="77777777" w:rsidR="00EB38C2" w:rsidRDefault="003716BF" w:rsidP="00EB38C2">
      <w:pPr>
        <w:rPr>
          <w:rFonts w:eastAsiaTheme="majorEastAsia" w:cstheme="majorBidi"/>
          <w:color w:val="430098" w:themeColor="text2"/>
          <w:sz w:val="30"/>
          <w:szCs w:val="26"/>
        </w:rPr>
      </w:pPr>
      <w:bookmarkStart w:id="5" w:name="_Toc103874670"/>
      <w:bookmarkStart w:id="6" w:name="_Toc30502211"/>
      <w:bookmarkStart w:id="7" w:name="_Toc87857020"/>
      <w:r w:rsidRPr="003716BF">
        <w:t xml:space="preserve">All legislative references are to the </w:t>
      </w:r>
      <w:r w:rsidRPr="00084807">
        <w:rPr>
          <w:i/>
          <w:iCs/>
        </w:rPr>
        <w:t>Freedom of Information Act 1982</w:t>
      </w:r>
      <w:r w:rsidRPr="003716BF">
        <w:t xml:space="preserve"> </w:t>
      </w:r>
      <w:r>
        <w:t>(</w:t>
      </w:r>
      <w:r w:rsidRPr="003716BF">
        <w:t>Vic) unless otherwise specified</w:t>
      </w:r>
      <w:r>
        <w:t>.</w:t>
      </w:r>
      <w:r w:rsidR="00EB38C2" w:rsidRPr="00EB38C2">
        <w:rPr>
          <w:rFonts w:eastAsiaTheme="majorEastAsia" w:cstheme="majorBidi"/>
          <w:color w:val="430098" w:themeColor="text2"/>
          <w:sz w:val="30"/>
          <w:szCs w:val="26"/>
        </w:rPr>
        <w:t xml:space="preserve"> </w:t>
      </w:r>
    </w:p>
    <w:p w14:paraId="6A24B399" w14:textId="77777777" w:rsidR="00E9249A" w:rsidRPr="00E9249A" w:rsidRDefault="00E9249A" w:rsidP="00D07E20">
      <w:pPr>
        <w:pStyle w:val="Heading2"/>
      </w:pPr>
      <w:r w:rsidRPr="00E9249A">
        <w:t>Structure</w:t>
      </w:r>
    </w:p>
    <w:p w14:paraId="1D0AF157" w14:textId="77777777" w:rsidR="00E9249A" w:rsidRPr="00EB7631" w:rsidRDefault="00E9249A" w:rsidP="00E9249A">
      <w:pPr>
        <w:rPr>
          <w:strike/>
        </w:rPr>
      </w:pPr>
      <w:r w:rsidRPr="00EB7631">
        <w:rPr>
          <w:strike/>
        </w:rPr>
        <w:t xml:space="preserve">There are </w:t>
      </w:r>
      <w:r w:rsidRPr="00CB1B7E">
        <w:rPr>
          <w:strike/>
        </w:rPr>
        <w:t>33 standards based on 10 themes.</w:t>
      </w:r>
      <w:r w:rsidRPr="00EB7631">
        <w:rPr>
          <w:strike/>
        </w:rPr>
        <w:t xml:space="preserve"> Each theme includes:</w:t>
      </w:r>
    </w:p>
    <w:p w14:paraId="47D95AA4" w14:textId="77777777" w:rsidR="00E9249A" w:rsidRPr="00EB7631" w:rsidRDefault="00E9249A" w:rsidP="00E9249A">
      <w:pPr>
        <w:pStyle w:val="ListParagraph"/>
        <w:numPr>
          <w:ilvl w:val="0"/>
          <w:numId w:val="54"/>
        </w:numPr>
        <w:rPr>
          <w:strike/>
        </w:rPr>
      </w:pPr>
      <w:r w:rsidRPr="00EB7631">
        <w:rPr>
          <w:strike/>
        </w:rPr>
        <w:t>a statement – describing the general principles and sections of the Act on which the Standards are based;</w:t>
      </w:r>
    </w:p>
    <w:p w14:paraId="78771CB7" w14:textId="77777777" w:rsidR="00E9249A" w:rsidRPr="00EB7631" w:rsidRDefault="00E9249A" w:rsidP="00E9249A">
      <w:pPr>
        <w:pStyle w:val="ListParagraph"/>
        <w:numPr>
          <w:ilvl w:val="0"/>
          <w:numId w:val="54"/>
        </w:numPr>
        <w:rPr>
          <w:strike/>
        </w:rPr>
      </w:pPr>
      <w:r w:rsidRPr="00EB7631">
        <w:rPr>
          <w:strike/>
        </w:rPr>
        <w:t>the Standards – setting out the obligations of an agency and principal officer; and</w:t>
      </w:r>
    </w:p>
    <w:p w14:paraId="0C95A234" w14:textId="77777777" w:rsidR="00E9249A" w:rsidRPr="00EB7631" w:rsidRDefault="00E9249A" w:rsidP="00E9249A">
      <w:pPr>
        <w:pStyle w:val="ListParagraph"/>
        <w:numPr>
          <w:ilvl w:val="0"/>
          <w:numId w:val="54"/>
        </w:numPr>
        <w:rPr>
          <w:strike/>
        </w:rPr>
      </w:pPr>
      <w:r w:rsidRPr="00EB7631">
        <w:rPr>
          <w:strike/>
        </w:rPr>
        <w:t>notes – providing further information to assist interpretation when necessary.</w:t>
      </w:r>
    </w:p>
    <w:tbl>
      <w:tblPr>
        <w:tblStyle w:val="TableGrid"/>
        <w:tblW w:w="0" w:type="auto"/>
        <w:tblLook w:val="04A0" w:firstRow="1" w:lastRow="0" w:firstColumn="1" w:lastColumn="0" w:noHBand="0" w:noVBand="1"/>
      </w:tblPr>
      <w:tblGrid>
        <w:gridCol w:w="9060"/>
      </w:tblGrid>
      <w:tr w:rsidR="00EB7631" w:rsidRPr="00C7423C" w14:paraId="4AEA59F5" w14:textId="77777777" w:rsidTr="00314CF4">
        <w:tc>
          <w:tcPr>
            <w:tcW w:w="9060" w:type="dxa"/>
            <w:shd w:val="clear" w:color="auto" w:fill="F2F2F2" w:themeFill="background2" w:themeFillShade="F2"/>
          </w:tcPr>
          <w:bookmarkEnd w:id="5"/>
          <w:p w14:paraId="79AF089D" w14:textId="29A3FE48" w:rsidR="00EB7631" w:rsidRPr="00C7423C" w:rsidRDefault="00EB7631" w:rsidP="00854F62">
            <w:pPr>
              <w:rPr>
                <w:rStyle w:val="Hyperlink"/>
                <w:b/>
                <w:bCs/>
                <w:u w:val="none"/>
              </w:rPr>
            </w:pPr>
            <w:r>
              <w:rPr>
                <w:rStyle w:val="Hyperlink"/>
                <w:b/>
                <w:bCs/>
                <w:u w:val="none"/>
              </w:rPr>
              <w:t>Updated Structure</w:t>
            </w:r>
          </w:p>
        </w:tc>
      </w:tr>
      <w:tr w:rsidR="00EB7631" w:rsidRPr="00C7423C" w14:paraId="156E53B2" w14:textId="77777777" w:rsidTr="00314CF4">
        <w:tc>
          <w:tcPr>
            <w:tcW w:w="9060" w:type="dxa"/>
            <w:shd w:val="clear" w:color="auto" w:fill="F2F2F2" w:themeFill="background2" w:themeFillShade="F2"/>
          </w:tcPr>
          <w:p w14:paraId="5AF0F7D7" w14:textId="05AB64FD" w:rsidR="00EB7631" w:rsidRDefault="00A16F52" w:rsidP="00EB7631">
            <w:r>
              <w:t>T</w:t>
            </w:r>
            <w:r w:rsidR="00EB7631" w:rsidRPr="00EB7631">
              <w:t>here are</w:t>
            </w:r>
            <w:r w:rsidR="00EB7631">
              <w:t xml:space="preserve"> </w:t>
            </w:r>
            <w:r w:rsidR="009E76F0">
              <w:t xml:space="preserve">46 </w:t>
            </w:r>
            <w:r w:rsidR="00EB7631">
              <w:t>Standards, based on 10 key themes.</w:t>
            </w:r>
          </w:p>
          <w:p w14:paraId="4BA05084" w14:textId="73C461EE" w:rsidR="00EB7631" w:rsidRPr="00EB7631" w:rsidRDefault="00EB7631" w:rsidP="00EB7631">
            <w:r>
              <w:t xml:space="preserve">Each theme </w:t>
            </w:r>
            <w:r w:rsidRPr="00EB7631">
              <w:t>includes:</w:t>
            </w:r>
          </w:p>
          <w:p w14:paraId="603DA880" w14:textId="77777777" w:rsidR="00EB7631" w:rsidRPr="00EB7631" w:rsidRDefault="00EB7631" w:rsidP="00EB7631">
            <w:pPr>
              <w:pStyle w:val="ListParagraph"/>
              <w:numPr>
                <w:ilvl w:val="0"/>
                <w:numId w:val="54"/>
              </w:numPr>
            </w:pPr>
            <w:r w:rsidRPr="00EB7631">
              <w:t>a statement – describing the general principles and sections of the Act on which the Standards are based;</w:t>
            </w:r>
          </w:p>
          <w:p w14:paraId="38761A75" w14:textId="77777777" w:rsidR="00EB7631" w:rsidRPr="00EB7631" w:rsidRDefault="00EB7631" w:rsidP="00EB7631">
            <w:pPr>
              <w:pStyle w:val="ListParagraph"/>
              <w:numPr>
                <w:ilvl w:val="0"/>
                <w:numId w:val="54"/>
              </w:numPr>
            </w:pPr>
            <w:r w:rsidRPr="00EB7631">
              <w:t>the Standards – setting out the obligations of an agency and principal officer; and</w:t>
            </w:r>
          </w:p>
          <w:p w14:paraId="1B89EDA3" w14:textId="5FC7FF24" w:rsidR="00EB7631" w:rsidRPr="009E76F0" w:rsidRDefault="00EB7631" w:rsidP="00854F62">
            <w:pPr>
              <w:pStyle w:val="ListParagraph"/>
              <w:numPr>
                <w:ilvl w:val="0"/>
                <w:numId w:val="54"/>
              </w:numPr>
              <w:rPr>
                <w:rStyle w:val="Hyperlink"/>
                <w:color w:val="auto"/>
                <w:u w:val="none"/>
              </w:rPr>
            </w:pPr>
            <w:r w:rsidRPr="00EB7631">
              <w:t>notes – providing further information to assist interpretation</w:t>
            </w:r>
            <w:r w:rsidR="00D70E45">
              <w:t xml:space="preserve"> and compliance</w:t>
            </w:r>
            <w:r>
              <w:t>, where</w:t>
            </w:r>
            <w:r w:rsidRPr="00EB7631">
              <w:t xml:space="preserve"> necessary.</w:t>
            </w:r>
          </w:p>
        </w:tc>
      </w:tr>
    </w:tbl>
    <w:p w14:paraId="1164C0F6" w14:textId="51685D65" w:rsidR="00EB38C2" w:rsidRDefault="003716BF" w:rsidP="00D07E20">
      <w:pPr>
        <w:pStyle w:val="Heading2"/>
      </w:pPr>
      <w:r w:rsidRPr="003716BF">
        <w:t xml:space="preserve">Application </w:t>
      </w:r>
    </w:p>
    <w:p w14:paraId="0257F738" w14:textId="77777777" w:rsidR="00EB38C2" w:rsidRDefault="003716BF" w:rsidP="00EB38C2">
      <w:pPr>
        <w:rPr>
          <w:rFonts w:eastAsiaTheme="majorEastAsia" w:cstheme="majorBidi"/>
        </w:rPr>
      </w:pPr>
      <w:r w:rsidRPr="003716BF">
        <w:rPr>
          <w:rFonts w:eastAsiaTheme="majorEastAsia" w:cstheme="majorBidi"/>
        </w:rPr>
        <w:t xml:space="preserve">The Standards apply to every Victorian agency subject to the Act. This includes government departments, statutory authorities, public hospitals, councils, TAFEs and universities. </w:t>
      </w:r>
    </w:p>
    <w:p w14:paraId="39ADE6BE" w14:textId="77777777" w:rsidR="00EB38C2" w:rsidRDefault="003716BF" w:rsidP="00EB38C2">
      <w:pPr>
        <w:rPr>
          <w:rFonts w:eastAsiaTheme="majorEastAsia" w:cstheme="majorBidi"/>
        </w:rPr>
      </w:pPr>
      <w:r w:rsidRPr="003716BF">
        <w:rPr>
          <w:rFonts w:eastAsiaTheme="majorEastAsia" w:cstheme="majorBidi"/>
        </w:rPr>
        <w:t xml:space="preserve">The Standards do not apply to Ministers. </w:t>
      </w:r>
    </w:p>
    <w:p w14:paraId="69630EB1" w14:textId="2F37E094" w:rsidR="00EB38C2" w:rsidRDefault="003716BF" w:rsidP="00EB38C2">
      <w:pPr>
        <w:rPr>
          <w:rFonts w:eastAsiaTheme="majorEastAsia" w:cstheme="majorBidi"/>
        </w:rPr>
      </w:pPr>
      <w:r w:rsidRPr="003716BF">
        <w:rPr>
          <w:rFonts w:eastAsiaTheme="majorEastAsia" w:cstheme="majorBidi"/>
        </w:rPr>
        <w:t>Section 6W(</w:t>
      </w:r>
      <w:r w:rsidR="00E40B58">
        <w:rPr>
          <w:rFonts w:eastAsiaTheme="majorEastAsia" w:cstheme="majorBidi"/>
        </w:rPr>
        <w:t>1</w:t>
      </w:r>
      <w:r w:rsidRPr="003716BF">
        <w:rPr>
          <w:rFonts w:eastAsiaTheme="majorEastAsia" w:cstheme="majorBidi"/>
        </w:rPr>
        <w:t xml:space="preserve">) of the Act states the principal officer of an agency, and any officer or employee of the agency concerned in the operation of the Act, must comply with the Standards. </w:t>
      </w:r>
    </w:p>
    <w:p w14:paraId="2E2F05FF" w14:textId="77777777" w:rsidR="00EB38C2" w:rsidRDefault="003716BF" w:rsidP="00EB38C2">
      <w:pPr>
        <w:rPr>
          <w:rFonts w:eastAsiaTheme="majorEastAsia" w:cstheme="majorBidi"/>
        </w:rPr>
      </w:pPr>
      <w:r w:rsidRPr="003716BF">
        <w:rPr>
          <w:rFonts w:eastAsiaTheme="majorEastAsia" w:cstheme="majorBidi"/>
        </w:rPr>
        <w:t xml:space="preserve">It is the responsibility of a principal officer of an agency to ensure any officer or employee concerned with the operation of the Act complies with the Standards. </w:t>
      </w:r>
    </w:p>
    <w:p w14:paraId="4F6019C0" w14:textId="77777777" w:rsidR="00EB38C2" w:rsidRDefault="003716BF" w:rsidP="00EB38C2">
      <w:pPr>
        <w:rPr>
          <w:rFonts w:eastAsiaTheme="majorEastAsia" w:cstheme="majorBidi"/>
          <w:color w:val="430098" w:themeColor="text2"/>
          <w:sz w:val="30"/>
          <w:szCs w:val="26"/>
        </w:rPr>
      </w:pPr>
      <w:r w:rsidRPr="003716BF">
        <w:rPr>
          <w:rFonts w:eastAsiaTheme="majorEastAsia" w:cstheme="majorBidi"/>
        </w:rPr>
        <w:t>Non-compliance with the Standards may result in the Information Commissioner</w:t>
      </w:r>
      <w:r w:rsidRPr="00084807">
        <w:rPr>
          <w:rFonts w:eastAsiaTheme="majorEastAsia" w:cstheme="majorBidi"/>
          <w:color w:val="430098" w:themeColor="text2"/>
        </w:rPr>
        <w:t>:</w:t>
      </w:r>
    </w:p>
    <w:p w14:paraId="58A1DFF2" w14:textId="1EA187D0" w:rsidR="00EB38C2" w:rsidRPr="00AA1439" w:rsidRDefault="003716BF" w:rsidP="00AA1439">
      <w:pPr>
        <w:pStyle w:val="ListParagraph"/>
        <w:numPr>
          <w:ilvl w:val="0"/>
          <w:numId w:val="62"/>
        </w:numPr>
        <w:ind w:left="1134" w:hanging="567"/>
        <w:rPr>
          <w:rFonts w:eastAsiaTheme="majorEastAsia" w:cstheme="majorBidi"/>
        </w:rPr>
      </w:pPr>
      <w:r w:rsidRPr="00AA1439">
        <w:rPr>
          <w:rFonts w:eastAsiaTheme="majorEastAsia" w:cstheme="majorBidi"/>
        </w:rPr>
        <w:lastRenderedPageBreak/>
        <w:t>receiving and dealing with a complaint under section 61A(</w:t>
      </w:r>
      <w:r w:rsidR="00E40B58" w:rsidRPr="00AA1439">
        <w:rPr>
          <w:rFonts w:eastAsiaTheme="majorEastAsia" w:cstheme="majorBidi"/>
        </w:rPr>
        <w:t>1</w:t>
      </w:r>
      <w:r w:rsidRPr="00AA1439">
        <w:rPr>
          <w:rFonts w:eastAsiaTheme="majorEastAsia" w:cstheme="majorBidi"/>
        </w:rPr>
        <w:t>)(a) or 61A(</w:t>
      </w:r>
      <w:r w:rsidR="00E40B58" w:rsidRPr="00AA1439">
        <w:rPr>
          <w:rFonts w:eastAsiaTheme="majorEastAsia" w:cstheme="majorBidi"/>
        </w:rPr>
        <w:t>1</w:t>
      </w:r>
      <w:r w:rsidRPr="00AA1439">
        <w:rPr>
          <w:rFonts w:eastAsiaTheme="majorEastAsia" w:cstheme="majorBidi"/>
        </w:rPr>
        <w:t>)(ab) of the Act; or</w:t>
      </w:r>
    </w:p>
    <w:p w14:paraId="153DC3A1" w14:textId="7BAB0730" w:rsidR="00EB38C2" w:rsidRPr="00AA1439" w:rsidRDefault="003716BF" w:rsidP="00AA1439">
      <w:pPr>
        <w:pStyle w:val="ListParagraph"/>
        <w:numPr>
          <w:ilvl w:val="0"/>
          <w:numId w:val="62"/>
        </w:numPr>
        <w:ind w:left="1134" w:hanging="567"/>
        <w:rPr>
          <w:rFonts w:eastAsiaTheme="majorEastAsia" w:cstheme="majorBidi"/>
        </w:rPr>
      </w:pPr>
      <w:r w:rsidRPr="00AA1439">
        <w:rPr>
          <w:rFonts w:eastAsiaTheme="majorEastAsia" w:cstheme="majorBidi"/>
        </w:rPr>
        <w:t>conducting an own motion investigation under section 61</w:t>
      </w:r>
      <w:r w:rsidR="00A42FF8" w:rsidRPr="00AA1439">
        <w:rPr>
          <w:rFonts w:eastAsiaTheme="majorEastAsia" w:cstheme="majorBidi"/>
        </w:rPr>
        <w:t>O</w:t>
      </w:r>
      <w:r w:rsidRPr="00AA1439">
        <w:rPr>
          <w:rFonts w:eastAsiaTheme="majorEastAsia" w:cstheme="majorBidi"/>
        </w:rPr>
        <w:t>(1) of the Act.</w:t>
      </w:r>
    </w:p>
    <w:p w14:paraId="2925DA44" w14:textId="07705639" w:rsidR="00EB38C2" w:rsidRDefault="003716BF" w:rsidP="00314CF4">
      <w:pPr>
        <w:pStyle w:val="Heading2"/>
      </w:pPr>
      <w:r w:rsidRPr="003716BF">
        <w:t>Definition</w:t>
      </w:r>
      <w:r w:rsidR="00EB38C2">
        <w:t>s</w:t>
      </w:r>
    </w:p>
    <w:p w14:paraId="36385DEA" w14:textId="77777777" w:rsidR="008861EF" w:rsidRDefault="003716BF" w:rsidP="00EB38C2">
      <w:pPr>
        <w:rPr>
          <w:rFonts w:eastAsiaTheme="majorEastAsia" w:cstheme="majorBidi"/>
        </w:rPr>
      </w:pPr>
      <w:r w:rsidRPr="003716BF">
        <w:rPr>
          <w:rFonts w:eastAsiaTheme="majorEastAsia" w:cstheme="majorBidi"/>
        </w:rPr>
        <w:t xml:space="preserve">All terms in the Standards have the same definition as in section 5 of the Act, including the following: </w:t>
      </w:r>
    </w:p>
    <w:p w14:paraId="3CA8ECE2" w14:textId="26AF82C4" w:rsidR="00EB38C2" w:rsidRDefault="003716BF" w:rsidP="00EB38C2">
      <w:pPr>
        <w:rPr>
          <w:rFonts w:eastAsiaTheme="majorEastAsia" w:cstheme="majorBidi"/>
        </w:rPr>
      </w:pPr>
      <w:r w:rsidRPr="00084807">
        <w:rPr>
          <w:rFonts w:eastAsiaTheme="majorEastAsia" w:cstheme="majorBidi"/>
          <w:b/>
          <w:bCs/>
          <w:i/>
          <w:iCs/>
        </w:rPr>
        <w:t xml:space="preserve">agency </w:t>
      </w:r>
      <w:r w:rsidRPr="003716BF">
        <w:rPr>
          <w:rFonts w:eastAsiaTheme="majorEastAsia" w:cstheme="majorBidi"/>
        </w:rPr>
        <w:t xml:space="preserve">means a department council or prescribed authority; </w:t>
      </w:r>
    </w:p>
    <w:p w14:paraId="1BE90F63" w14:textId="77777777" w:rsidR="00C32C6B" w:rsidRPr="00664BA2" w:rsidRDefault="00C32C6B" w:rsidP="00C32C6B">
      <w:pPr>
        <w:pStyle w:val="Heading2"/>
        <w:rPr>
          <w:rFonts w:eastAsiaTheme="minorHAnsi" w:cstheme="minorBidi"/>
          <w:strike/>
          <w:color w:val="auto"/>
          <w:sz w:val="22"/>
          <w:szCs w:val="22"/>
        </w:rPr>
      </w:pPr>
      <w:r w:rsidRPr="00664BA2">
        <w:rPr>
          <w:rFonts w:eastAsiaTheme="minorHAnsi" w:cstheme="minorBidi"/>
          <w:b/>
          <w:bCs/>
          <w:i/>
          <w:iCs/>
          <w:strike/>
          <w:color w:val="auto"/>
          <w:sz w:val="22"/>
          <w:szCs w:val="22"/>
        </w:rPr>
        <w:t xml:space="preserve">Information Commissioner </w:t>
      </w:r>
      <w:r w:rsidRPr="00664BA2">
        <w:rPr>
          <w:rFonts w:eastAsiaTheme="minorHAnsi" w:cstheme="minorBidi"/>
          <w:strike/>
          <w:color w:val="auto"/>
          <w:sz w:val="22"/>
          <w:szCs w:val="22"/>
        </w:rPr>
        <w:t xml:space="preserve">means the Information Commissioner appointed under section 6C of the Act; </w:t>
      </w:r>
    </w:p>
    <w:tbl>
      <w:tblPr>
        <w:tblStyle w:val="TableGrid"/>
        <w:tblW w:w="0" w:type="auto"/>
        <w:tblLook w:val="04A0" w:firstRow="1" w:lastRow="0" w:firstColumn="1" w:lastColumn="0" w:noHBand="0" w:noVBand="1"/>
      </w:tblPr>
      <w:tblGrid>
        <w:gridCol w:w="9060"/>
      </w:tblGrid>
      <w:tr w:rsidR="00C32C6B" w14:paraId="38F3E526" w14:textId="77777777" w:rsidTr="007B29B9">
        <w:tc>
          <w:tcPr>
            <w:tcW w:w="9060" w:type="dxa"/>
            <w:shd w:val="clear" w:color="auto" w:fill="F2F2F2" w:themeFill="background2" w:themeFillShade="F2"/>
          </w:tcPr>
          <w:p w14:paraId="5700135E" w14:textId="77777777" w:rsidR="00C32C6B" w:rsidRPr="00C7423C" w:rsidRDefault="00C32C6B" w:rsidP="007B29B9">
            <w:pPr>
              <w:rPr>
                <w:rStyle w:val="Hyperlink"/>
                <w:b/>
                <w:bCs/>
                <w:u w:val="none"/>
              </w:rPr>
            </w:pPr>
            <w:r w:rsidRPr="00CA3029">
              <w:rPr>
                <w:rStyle w:val="Hyperlink"/>
                <w:b/>
                <w:bCs/>
              </w:rPr>
              <w:t>A</w:t>
            </w:r>
            <w:r>
              <w:rPr>
                <w:rStyle w:val="Hyperlink"/>
                <w:b/>
                <w:bCs/>
              </w:rPr>
              <w:t>mended definition</w:t>
            </w:r>
          </w:p>
        </w:tc>
      </w:tr>
      <w:tr w:rsidR="00C32C6B" w14:paraId="54C04FDA" w14:textId="77777777" w:rsidTr="007B29B9">
        <w:tc>
          <w:tcPr>
            <w:tcW w:w="9060" w:type="dxa"/>
            <w:shd w:val="clear" w:color="auto" w:fill="F2F2F2" w:themeFill="background2" w:themeFillShade="F2"/>
          </w:tcPr>
          <w:p w14:paraId="7FAAC123" w14:textId="77777777" w:rsidR="00C32C6B" w:rsidRPr="00C7423C" w:rsidRDefault="00C32C6B" w:rsidP="007B29B9">
            <w:pPr>
              <w:rPr>
                <w:rStyle w:val="Hyperlink"/>
                <w:b/>
                <w:bCs/>
                <w:u w:val="none"/>
              </w:rPr>
            </w:pPr>
            <w:r w:rsidRPr="003716BF">
              <w:rPr>
                <w:b/>
                <w:bCs/>
                <w:i/>
                <w:iCs/>
              </w:rPr>
              <w:t xml:space="preserve">Commissioner </w:t>
            </w:r>
            <w:r w:rsidRPr="003716BF">
              <w:t>means the Information Commissioner appointed under section 6C of the Act</w:t>
            </w:r>
            <w:r>
              <w:t xml:space="preserve"> and for the purpose of these Standards also includes the Public Access Deputy Commissioner appointed under section 6D of the Act</w:t>
            </w:r>
            <w:r w:rsidRPr="003716BF">
              <w:t>;</w:t>
            </w:r>
          </w:p>
        </w:tc>
      </w:tr>
    </w:tbl>
    <w:p w14:paraId="7DF8446C" w14:textId="427B455D" w:rsidR="00EB38C2" w:rsidRDefault="003716BF" w:rsidP="00EB38C2">
      <w:pPr>
        <w:rPr>
          <w:rFonts w:eastAsiaTheme="majorEastAsia" w:cstheme="majorBidi"/>
        </w:rPr>
      </w:pPr>
      <w:r w:rsidRPr="003716BF">
        <w:rPr>
          <w:rFonts w:eastAsiaTheme="majorEastAsia" w:cstheme="majorBidi"/>
          <w:b/>
          <w:bCs/>
          <w:i/>
          <w:iCs/>
        </w:rPr>
        <w:t>document</w:t>
      </w:r>
      <w:r w:rsidRPr="003716BF">
        <w:rPr>
          <w:rFonts w:eastAsiaTheme="majorEastAsia" w:cstheme="majorBidi"/>
        </w:rPr>
        <w:t xml:space="preserve"> includes, in addition to a document in writing-</w:t>
      </w:r>
    </w:p>
    <w:p w14:paraId="7C8E5E44" w14:textId="77777777" w:rsidR="00EB38C2" w:rsidRDefault="003716BF" w:rsidP="00AA1439">
      <w:pPr>
        <w:rPr>
          <w:rFonts w:eastAsiaTheme="majorEastAsia" w:cstheme="majorBidi"/>
        </w:rPr>
      </w:pPr>
      <w:r w:rsidRPr="003716BF">
        <w:rPr>
          <w:rFonts w:eastAsiaTheme="majorEastAsia" w:cstheme="majorBidi"/>
        </w:rPr>
        <w:t>(a)</w:t>
      </w:r>
      <w:r w:rsidRPr="003716BF">
        <w:rPr>
          <w:rFonts w:eastAsiaTheme="majorEastAsia" w:cstheme="majorBidi"/>
        </w:rPr>
        <w:tab/>
        <w:t>any book map plan graph or drawing; and</w:t>
      </w:r>
    </w:p>
    <w:p w14:paraId="5F910CE9" w14:textId="77777777" w:rsidR="00EB38C2" w:rsidRDefault="003716BF" w:rsidP="00AA1439">
      <w:pPr>
        <w:rPr>
          <w:rFonts w:eastAsiaTheme="majorEastAsia" w:cstheme="majorBidi"/>
        </w:rPr>
      </w:pPr>
      <w:r w:rsidRPr="003716BF">
        <w:rPr>
          <w:rFonts w:eastAsiaTheme="majorEastAsia" w:cstheme="majorBidi"/>
        </w:rPr>
        <w:t>(b)</w:t>
      </w:r>
      <w:r w:rsidRPr="003716BF">
        <w:rPr>
          <w:rFonts w:eastAsiaTheme="majorEastAsia" w:cstheme="majorBidi"/>
        </w:rPr>
        <w:tab/>
        <w:t>any photograph; and</w:t>
      </w:r>
    </w:p>
    <w:p w14:paraId="1587F29F" w14:textId="77777777" w:rsidR="00EB38C2" w:rsidRDefault="003716BF" w:rsidP="00AA1439">
      <w:pPr>
        <w:ind w:left="720" w:hanging="720"/>
        <w:rPr>
          <w:rFonts w:eastAsiaTheme="majorEastAsia" w:cstheme="majorBidi"/>
        </w:rPr>
      </w:pPr>
      <w:r w:rsidRPr="003716BF">
        <w:rPr>
          <w:rFonts w:eastAsiaTheme="majorEastAsia" w:cstheme="majorBidi"/>
        </w:rPr>
        <w:t>(c)</w:t>
      </w:r>
      <w:r w:rsidRPr="003716BF">
        <w:rPr>
          <w:rFonts w:eastAsiaTheme="majorEastAsia" w:cstheme="majorBidi"/>
        </w:rPr>
        <w:tab/>
        <w:t>any label marking or other writing which identifies or describes any thing of which it forms part, or to which it is attached by any means whatsoever; and</w:t>
      </w:r>
    </w:p>
    <w:p w14:paraId="6A1002F7" w14:textId="77777777" w:rsidR="00EB38C2" w:rsidRDefault="003716BF" w:rsidP="00AA1439">
      <w:pPr>
        <w:ind w:left="720" w:hanging="720"/>
        <w:rPr>
          <w:rFonts w:eastAsiaTheme="majorEastAsia" w:cstheme="majorBidi"/>
        </w:rPr>
      </w:pPr>
      <w:r w:rsidRPr="003716BF">
        <w:rPr>
          <w:rFonts w:eastAsiaTheme="majorEastAsia" w:cstheme="majorBidi"/>
        </w:rPr>
        <w:t>(d)</w:t>
      </w:r>
      <w:r w:rsidRPr="003716BF">
        <w:rPr>
          <w:rFonts w:eastAsiaTheme="majorEastAsia" w:cstheme="majorBidi"/>
        </w:rPr>
        <w:tab/>
        <w:t>any disc tape sound track or other device in which sounds or other data (not being visual images) are embodied so as to be capable (with or without the aid of some other equipment) of being</w:t>
      </w:r>
      <w:r>
        <w:rPr>
          <w:rFonts w:eastAsiaTheme="majorEastAsia" w:cstheme="majorBidi"/>
        </w:rPr>
        <w:t xml:space="preserve"> </w:t>
      </w:r>
      <w:r w:rsidRPr="003716BF">
        <w:rPr>
          <w:rFonts w:eastAsiaTheme="majorEastAsia" w:cstheme="majorBidi"/>
        </w:rPr>
        <w:t>reproduced therefrom; an</w:t>
      </w:r>
      <w:r w:rsidR="00EB38C2">
        <w:rPr>
          <w:rFonts w:eastAsiaTheme="majorEastAsia" w:cstheme="majorBidi"/>
        </w:rPr>
        <w:t>d</w:t>
      </w:r>
    </w:p>
    <w:p w14:paraId="502B8333" w14:textId="1B544621" w:rsidR="004A0B66" w:rsidRDefault="003716BF" w:rsidP="00AA1439">
      <w:pPr>
        <w:ind w:left="720" w:hanging="720"/>
        <w:rPr>
          <w:rFonts w:eastAsiaTheme="majorEastAsia" w:cstheme="majorBidi"/>
        </w:rPr>
      </w:pPr>
      <w:r w:rsidRPr="003716BF">
        <w:rPr>
          <w:rFonts w:eastAsiaTheme="majorEastAsia" w:cstheme="majorBidi"/>
        </w:rPr>
        <w:t>(e)</w:t>
      </w:r>
      <w:r w:rsidRPr="003716BF">
        <w:rPr>
          <w:rFonts w:eastAsiaTheme="majorEastAsia" w:cstheme="majorBidi"/>
        </w:rPr>
        <w:tab/>
        <w:t>any film negative tape or other device in which one or more visual images are embodied so as to be capable (as aforesaid) of being reproduced therefrom; and</w:t>
      </w:r>
    </w:p>
    <w:p w14:paraId="5BAD678E" w14:textId="5A6B97F7" w:rsidR="004A0B66" w:rsidRDefault="004A0B66" w:rsidP="004A0B66">
      <w:pPr>
        <w:ind w:left="720" w:hanging="720"/>
        <w:rPr>
          <w:rFonts w:eastAsiaTheme="majorEastAsia" w:cstheme="majorBidi"/>
        </w:rPr>
      </w:pPr>
      <w:r>
        <w:rPr>
          <w:rFonts w:eastAsiaTheme="majorEastAsia" w:cstheme="majorBidi"/>
        </w:rPr>
        <w:t xml:space="preserve">(f) </w:t>
      </w:r>
      <w:r>
        <w:rPr>
          <w:rFonts w:eastAsiaTheme="majorEastAsia" w:cstheme="majorBidi"/>
        </w:rPr>
        <w:tab/>
      </w:r>
      <w:r w:rsidR="003716BF" w:rsidRPr="003716BF">
        <w:rPr>
          <w:rFonts w:eastAsiaTheme="majorEastAsia" w:cstheme="majorBidi"/>
        </w:rPr>
        <w:t>anything whatsoever on which is marked any words figures letters of symbols which are capable of carrying a definite meaning to persons conversant with them; and</w:t>
      </w:r>
    </w:p>
    <w:p w14:paraId="0F7FF455" w14:textId="649F6357" w:rsidR="003716BF" w:rsidRPr="003716BF" w:rsidRDefault="004A0B66" w:rsidP="00AA1439">
      <w:pPr>
        <w:ind w:left="720" w:hanging="720"/>
        <w:rPr>
          <w:rFonts w:eastAsiaTheme="majorEastAsia" w:cstheme="majorBidi"/>
        </w:rPr>
      </w:pPr>
      <w:r>
        <w:rPr>
          <w:rFonts w:eastAsiaTheme="majorEastAsia" w:cstheme="majorBidi"/>
        </w:rPr>
        <w:t>(g)</w:t>
      </w:r>
      <w:r>
        <w:rPr>
          <w:rFonts w:eastAsiaTheme="majorEastAsia" w:cstheme="majorBidi"/>
        </w:rPr>
        <w:tab/>
      </w:r>
      <w:r w:rsidR="003716BF" w:rsidRPr="003716BF">
        <w:rPr>
          <w:rFonts w:eastAsiaTheme="majorEastAsia" w:cstheme="majorBidi"/>
        </w:rPr>
        <w:t>any copy, reproduction or duplicate of any thing referred to in paragraphs (a) to (f); and</w:t>
      </w:r>
    </w:p>
    <w:p w14:paraId="3DACB615" w14:textId="40CDFF1B" w:rsidR="003716BF" w:rsidRPr="003716BF" w:rsidRDefault="003716BF" w:rsidP="003716BF">
      <w:pPr>
        <w:keepNext/>
        <w:keepLines/>
        <w:ind w:left="720" w:hanging="720"/>
        <w:rPr>
          <w:rFonts w:eastAsiaTheme="majorEastAsia" w:cstheme="majorBidi"/>
        </w:rPr>
      </w:pPr>
      <w:r w:rsidRPr="003716BF">
        <w:rPr>
          <w:rFonts w:eastAsiaTheme="majorEastAsia" w:cstheme="majorBidi"/>
        </w:rPr>
        <w:lastRenderedPageBreak/>
        <w:t>(h)</w:t>
      </w:r>
      <w:r w:rsidRPr="003716BF">
        <w:rPr>
          <w:rFonts w:eastAsiaTheme="majorEastAsia" w:cstheme="majorBidi"/>
        </w:rPr>
        <w:tab/>
        <w:t>any part of a copy, reproduction or duplicate referred to in paragraph (g</w:t>
      </w:r>
      <w:r>
        <w:rPr>
          <w:rFonts w:eastAsiaTheme="majorEastAsia" w:cstheme="majorBidi"/>
        </w:rPr>
        <w:t xml:space="preserve">) </w:t>
      </w:r>
      <w:r w:rsidRPr="003716BF">
        <w:rPr>
          <w:rFonts w:eastAsiaTheme="majorEastAsia" w:cstheme="majorBidi"/>
        </w:rPr>
        <w:t>-</w:t>
      </w:r>
      <w:r>
        <w:rPr>
          <w:rFonts w:eastAsiaTheme="majorEastAsia" w:cstheme="majorBidi"/>
        </w:rPr>
        <w:t xml:space="preserve"> </w:t>
      </w:r>
      <w:r w:rsidRPr="003716BF">
        <w:rPr>
          <w:rFonts w:eastAsiaTheme="majorEastAsia" w:cstheme="majorBidi"/>
        </w:rPr>
        <w:t>but does not include such library material as is maintained for reference purposes.</w:t>
      </w:r>
    </w:p>
    <w:bookmarkEnd w:id="6"/>
    <w:bookmarkEnd w:id="7"/>
    <w:p w14:paraId="336D656D" w14:textId="44FC95D7" w:rsidR="003716BF" w:rsidRPr="003716BF" w:rsidRDefault="003716BF" w:rsidP="003716BF">
      <w:pPr>
        <w:pStyle w:val="Heading2"/>
        <w:rPr>
          <w:rFonts w:eastAsiaTheme="minorHAnsi" w:cstheme="minorBidi"/>
          <w:color w:val="auto"/>
          <w:sz w:val="22"/>
          <w:szCs w:val="22"/>
        </w:rPr>
      </w:pPr>
      <w:r w:rsidRPr="003716BF">
        <w:rPr>
          <w:rFonts w:eastAsiaTheme="minorHAnsi" w:cstheme="minorBidi"/>
          <w:b/>
          <w:bCs/>
          <w:i/>
          <w:iCs/>
          <w:color w:val="auto"/>
          <w:sz w:val="22"/>
          <w:szCs w:val="22"/>
        </w:rPr>
        <w:t xml:space="preserve">exempt matter </w:t>
      </w:r>
      <w:r w:rsidRPr="003716BF">
        <w:rPr>
          <w:rFonts w:eastAsiaTheme="minorHAnsi" w:cstheme="minorBidi"/>
          <w:color w:val="auto"/>
          <w:sz w:val="22"/>
          <w:szCs w:val="22"/>
        </w:rPr>
        <w:t xml:space="preserve">means matter the inclusion of which in a document causes the document to be an exempt document. </w:t>
      </w:r>
    </w:p>
    <w:p w14:paraId="6A09638F" w14:textId="2DB41E8F" w:rsidR="001A791E" w:rsidRPr="003716BF" w:rsidRDefault="003716BF" w:rsidP="003716BF">
      <w:pPr>
        <w:pStyle w:val="Heading2"/>
        <w:rPr>
          <w:rFonts w:eastAsiaTheme="minorHAnsi" w:cstheme="minorBidi"/>
          <w:i/>
          <w:iCs/>
          <w:color w:val="auto"/>
          <w:sz w:val="22"/>
          <w:szCs w:val="22"/>
        </w:rPr>
      </w:pPr>
      <w:r w:rsidRPr="003716BF">
        <w:rPr>
          <w:rFonts w:eastAsiaTheme="minorHAnsi" w:cstheme="minorBidi"/>
          <w:b/>
          <w:bCs/>
          <w:i/>
          <w:iCs/>
          <w:color w:val="auto"/>
          <w:sz w:val="22"/>
          <w:szCs w:val="22"/>
        </w:rPr>
        <w:t>officer</w:t>
      </w:r>
      <w:r w:rsidR="00F43467">
        <w:rPr>
          <w:rFonts w:eastAsiaTheme="minorHAnsi" w:cstheme="minorBidi"/>
          <w:b/>
          <w:bCs/>
          <w:i/>
          <w:iCs/>
          <w:color w:val="auto"/>
          <w:sz w:val="22"/>
          <w:szCs w:val="22"/>
        </w:rPr>
        <w:t xml:space="preserve"> </w:t>
      </w:r>
      <w:r w:rsidR="00F43467" w:rsidRPr="00A42FF8">
        <w:rPr>
          <w:rFonts w:eastAsiaTheme="minorHAnsi" w:cstheme="minorBidi"/>
          <w:color w:val="auto"/>
          <w:sz w:val="22"/>
          <w:szCs w:val="22"/>
        </w:rPr>
        <w:t xml:space="preserve">means </w:t>
      </w:r>
      <w:r w:rsidRPr="00A42FF8">
        <w:rPr>
          <w:rFonts w:eastAsiaTheme="minorHAnsi" w:cstheme="minorBidi"/>
          <w:color w:val="auto"/>
          <w:sz w:val="22"/>
          <w:szCs w:val="22"/>
        </w:rPr>
        <w:t>-</w:t>
      </w:r>
    </w:p>
    <w:p w14:paraId="7036AFBA" w14:textId="77777777" w:rsidR="003716BF" w:rsidRDefault="003716BF" w:rsidP="003716BF">
      <w:pPr>
        <w:ind w:left="720" w:hanging="720"/>
      </w:pPr>
      <w:r>
        <w:t>(a)</w:t>
      </w:r>
      <w:r>
        <w:tab/>
        <w:t xml:space="preserve">in relation to an agency, other than a council, includes a member of the agency, a member of the staff of the agency, and any person employed by or for the agency, whether that person is one to whom the provisions of the </w:t>
      </w:r>
      <w:r w:rsidRPr="00AA1439">
        <w:rPr>
          <w:i/>
          <w:iCs/>
        </w:rPr>
        <w:t>Public Administration Act 2004</w:t>
      </w:r>
      <w:r>
        <w:t xml:space="preserve"> (Vic) apply or not; and</w:t>
      </w:r>
    </w:p>
    <w:p w14:paraId="4ED88CD6" w14:textId="7D0077CA" w:rsidR="003716BF" w:rsidRPr="003716BF" w:rsidRDefault="003716BF" w:rsidP="003716BF">
      <w:pPr>
        <w:ind w:left="720" w:hanging="720"/>
      </w:pPr>
      <w:r>
        <w:t>(b)</w:t>
      </w:r>
      <w:r>
        <w:tab/>
        <w:t>in relation to a council, includes a member of the council, a member of the staff of the council and any person employed by or for the council;</w:t>
      </w:r>
    </w:p>
    <w:p w14:paraId="5ED9236D" w14:textId="3B94DAB5" w:rsidR="003716BF" w:rsidRDefault="003716BF" w:rsidP="003716BF">
      <w:r w:rsidRPr="003716BF">
        <w:rPr>
          <w:b/>
          <w:bCs/>
          <w:i/>
          <w:iCs/>
        </w:rPr>
        <w:t xml:space="preserve">prescribed authority </w:t>
      </w:r>
      <w:r w:rsidRPr="00A42FF8">
        <w:t>means</w:t>
      </w:r>
      <w:r w:rsidRPr="00F43467">
        <w:t xml:space="preserve"> </w:t>
      </w:r>
      <w:r w:rsidRPr="003716BF">
        <w:t>-</w:t>
      </w:r>
    </w:p>
    <w:p w14:paraId="72D3AB77" w14:textId="77777777" w:rsidR="003716BF" w:rsidRDefault="003716BF" w:rsidP="003716BF">
      <w:pPr>
        <w:ind w:left="720" w:hanging="720"/>
      </w:pPr>
      <w:r>
        <w:t>(a)</w:t>
      </w:r>
      <w:r>
        <w:tab/>
        <w:t>a body corporate established for a public purpose by, or in accordance with, the provisions of an Act, or a body unincorporated created by the Governor in Council or by a Minister, other than-</w:t>
      </w:r>
    </w:p>
    <w:p w14:paraId="3D65EDFD" w14:textId="77777777" w:rsidR="003716BF" w:rsidRDefault="003716BF" w:rsidP="003716BF">
      <w:pPr>
        <w:ind w:firstLine="720"/>
      </w:pPr>
      <w:r>
        <w:t>(i)</w:t>
      </w:r>
      <w:r>
        <w:tab/>
        <w:t>an incorporated company or association;</w:t>
      </w:r>
    </w:p>
    <w:p w14:paraId="0A67E332" w14:textId="77777777" w:rsidR="003716BF" w:rsidRDefault="003716BF" w:rsidP="003716BF">
      <w:pPr>
        <w:ind w:left="1440" w:hanging="720"/>
      </w:pPr>
      <w:r>
        <w:t>(ii)</w:t>
      </w:r>
      <w:r>
        <w:tab/>
        <w:t>a body that, under subsection (2), is not to.be taken to be a prescribed authority for the purposes of the Act;</w:t>
      </w:r>
    </w:p>
    <w:p w14:paraId="30274FCA" w14:textId="4E83B84D" w:rsidR="003716BF" w:rsidRDefault="003716BF" w:rsidP="003716BF">
      <w:pPr>
        <w:ind w:firstLine="720"/>
      </w:pPr>
      <w:r>
        <w:t>(iii)</w:t>
      </w:r>
      <w:r>
        <w:tab/>
        <w:t>a Royal Commission, Board of Inquiry or Formal Review;</w:t>
      </w:r>
    </w:p>
    <w:p w14:paraId="7A62CCF5" w14:textId="241D6B2F" w:rsidR="00291E48" w:rsidRDefault="00291E48" w:rsidP="003716BF">
      <w:pPr>
        <w:ind w:firstLine="720"/>
      </w:pPr>
      <w:r>
        <w:t>***</w:t>
      </w:r>
    </w:p>
    <w:p w14:paraId="3C8D7CCA" w14:textId="6DD9CC50" w:rsidR="003716BF" w:rsidRDefault="006C5BA9" w:rsidP="006C5BA9">
      <w:pPr>
        <w:ind w:firstLine="720"/>
      </w:pPr>
      <w:r>
        <w:t>(</w:t>
      </w:r>
      <w:r w:rsidR="003716BF" w:rsidRPr="003716BF">
        <w:t xml:space="preserve">v) </w:t>
      </w:r>
      <w:r>
        <w:tab/>
      </w:r>
      <w:r w:rsidR="003716BF" w:rsidRPr="003716BF">
        <w:t>a school council;</w:t>
      </w:r>
    </w:p>
    <w:p w14:paraId="7FEFD18F" w14:textId="77777777" w:rsidR="006C5BA9" w:rsidRDefault="006C5BA9" w:rsidP="006C5BA9">
      <w:pPr>
        <w:ind w:left="720" w:hanging="720"/>
      </w:pPr>
      <w:r>
        <w:t>(b)</w:t>
      </w:r>
      <w:r>
        <w:tab/>
        <w:t>any other body, whether incorporated or unincorporated, declared by the regulations to be a prescribed authority for the purposes of the Act, being-</w:t>
      </w:r>
    </w:p>
    <w:p w14:paraId="2E4756A8" w14:textId="77777777" w:rsidR="006C5BA9" w:rsidRDefault="006C5BA9" w:rsidP="006C5BA9">
      <w:pPr>
        <w:ind w:left="1440" w:hanging="720"/>
      </w:pPr>
      <w:r>
        <w:t>(i)</w:t>
      </w:r>
      <w:r>
        <w:tab/>
        <w:t>an incorporated company or association or unincorporated body which is supported directly or indirectly by government funds or other assistance or over which the State is in a position to exercise control; or</w:t>
      </w:r>
    </w:p>
    <w:p w14:paraId="01D440AE" w14:textId="77777777" w:rsidR="006C5BA9" w:rsidRDefault="006C5BA9" w:rsidP="006C5BA9">
      <w:pPr>
        <w:ind w:firstLine="720"/>
      </w:pPr>
      <w:r>
        <w:t>(ii)</w:t>
      </w:r>
      <w:r>
        <w:tab/>
        <w:t>a body established by or under an Act of Parliament;</w:t>
      </w:r>
    </w:p>
    <w:p w14:paraId="46C1F7ED" w14:textId="77777777" w:rsidR="006C5BA9" w:rsidRDefault="006C5BA9" w:rsidP="00AA1439">
      <w:pPr>
        <w:ind w:left="720" w:hanging="720"/>
      </w:pPr>
      <w:r>
        <w:t>(c)</w:t>
      </w:r>
      <w:r>
        <w:tab/>
        <w:t>subject to subsection (3), the person holding, or performing the duties of, an office established by an Act; or</w:t>
      </w:r>
    </w:p>
    <w:p w14:paraId="231CC251" w14:textId="1A511917" w:rsidR="003716BF" w:rsidRDefault="006C5BA9" w:rsidP="00AA1439">
      <w:pPr>
        <w:ind w:left="720" w:hanging="720"/>
      </w:pPr>
      <w:r>
        <w:t>(d)</w:t>
      </w:r>
      <w:r>
        <w:tab/>
        <w:t xml:space="preserve">the person holding, or performing the duties of, an appointment declared by the regulations to be an appointment the holder of which is a prescribed authority for the purposes of this </w:t>
      </w:r>
      <w:r>
        <w:lastRenderedPageBreak/>
        <w:t>Act, being an appointment made by the Governor in Council, or by a Minister, otherwise than under an Act;</w:t>
      </w:r>
    </w:p>
    <w:p w14:paraId="2EE6F2A9" w14:textId="17DA2BBC" w:rsidR="003716BF" w:rsidRPr="006C5BA9" w:rsidRDefault="006C5BA9" w:rsidP="003716BF">
      <w:pPr>
        <w:rPr>
          <w:b/>
          <w:bCs/>
          <w:i/>
          <w:iCs/>
        </w:rPr>
      </w:pPr>
      <w:r w:rsidRPr="006C5BA9">
        <w:rPr>
          <w:b/>
          <w:bCs/>
          <w:i/>
          <w:iCs/>
        </w:rPr>
        <w:t xml:space="preserve">principal officer </w:t>
      </w:r>
      <w:r w:rsidRPr="00A42FF8">
        <w:t>means</w:t>
      </w:r>
      <w:r w:rsidR="00F43467">
        <w:rPr>
          <w:b/>
          <w:bCs/>
          <w:i/>
          <w:iCs/>
        </w:rPr>
        <w:t xml:space="preserve"> </w:t>
      </w:r>
      <w:r w:rsidRPr="006C5BA9">
        <w:rPr>
          <w:b/>
          <w:bCs/>
          <w:i/>
          <w:iCs/>
        </w:rPr>
        <w:t>-</w:t>
      </w:r>
    </w:p>
    <w:p w14:paraId="156C06BD" w14:textId="52289CED" w:rsidR="006C5BA9" w:rsidRPr="006C5BA9" w:rsidRDefault="006C5BA9" w:rsidP="006C5BA9">
      <w:pPr>
        <w:ind w:left="720" w:hanging="720"/>
      </w:pPr>
      <w:r w:rsidRPr="006C5BA9">
        <w:t xml:space="preserve">(a) </w:t>
      </w:r>
      <w:r>
        <w:tab/>
      </w:r>
      <w:r w:rsidRPr="006C5BA9">
        <w:t>in relation to a department, the person employed as or performing the duties of the Department Head within the meaning of the </w:t>
      </w:r>
      <w:r w:rsidRPr="006C5BA9">
        <w:rPr>
          <w:i/>
          <w:iCs/>
        </w:rPr>
        <w:t>Public Administration Act 2004 </w:t>
      </w:r>
      <w:r w:rsidRPr="006C5BA9">
        <w:t>(Vic); and</w:t>
      </w:r>
    </w:p>
    <w:p w14:paraId="6C4B3842" w14:textId="7FF2B026" w:rsidR="006C5BA9" w:rsidRPr="006C5BA9" w:rsidRDefault="006C5BA9" w:rsidP="00AA1439">
      <w:pPr>
        <w:ind w:left="720" w:hanging="720"/>
      </w:pPr>
      <w:r w:rsidRPr="006C5BA9">
        <w:t xml:space="preserve">(aa) </w:t>
      </w:r>
      <w:r w:rsidR="0064122C">
        <w:tab/>
      </w:r>
      <w:r w:rsidRPr="006C5BA9">
        <w:t>in relation to a council, the person holding, or performing the duties of, the office of chief administrative officer of the council (by whatever name called); and</w:t>
      </w:r>
    </w:p>
    <w:p w14:paraId="1CBA2447" w14:textId="7B191C5E" w:rsidR="006C5BA9" w:rsidRPr="006C5BA9" w:rsidRDefault="006C5BA9" w:rsidP="006C5BA9">
      <w:r w:rsidRPr="006C5BA9">
        <w:t xml:space="preserve">(b) </w:t>
      </w:r>
      <w:r>
        <w:tab/>
      </w:r>
      <w:r w:rsidRPr="006C5BA9">
        <w:t>in relation to a prescribed authority—</w:t>
      </w:r>
    </w:p>
    <w:p w14:paraId="2C0E8BA4" w14:textId="0D622E0C" w:rsidR="006C5BA9" w:rsidRPr="006C5BA9" w:rsidRDefault="006C5BA9" w:rsidP="006C5BA9">
      <w:pPr>
        <w:ind w:left="1440" w:hanging="720"/>
      </w:pPr>
      <w:r w:rsidRPr="006C5BA9">
        <w:t xml:space="preserve">(i) </w:t>
      </w:r>
      <w:r>
        <w:tab/>
      </w:r>
      <w:r w:rsidRPr="006C5BA9">
        <w:t>if the regulations declare an office to be the principal office in respect of the authority—the person holding, or performing the duties of, that office; or</w:t>
      </w:r>
    </w:p>
    <w:p w14:paraId="450FCFDF" w14:textId="0A8D4B6B" w:rsidR="006C5BA9" w:rsidRPr="006C5BA9" w:rsidRDefault="006C5BA9" w:rsidP="006C5BA9">
      <w:pPr>
        <w:ind w:left="1440" w:hanging="720"/>
      </w:pPr>
      <w:r w:rsidRPr="006C5BA9">
        <w:t xml:space="preserve">(ia) </w:t>
      </w:r>
      <w:r>
        <w:tab/>
      </w:r>
      <w:r w:rsidRPr="006C5BA9">
        <w:t>in the case of Court Services Victoria—the person holding the office or performing the duties of the Chief Executive Officer of Court Services Victoria; or</w:t>
      </w:r>
    </w:p>
    <w:p w14:paraId="0AA667D2" w14:textId="6992FF2A" w:rsidR="006C5BA9" w:rsidRPr="006C5BA9" w:rsidRDefault="006C5BA9" w:rsidP="006C5BA9">
      <w:pPr>
        <w:ind w:left="1440" w:hanging="720"/>
      </w:pPr>
      <w:r w:rsidRPr="006C5BA9">
        <w:t xml:space="preserve">(ii) </w:t>
      </w:r>
      <w:r>
        <w:tab/>
      </w:r>
      <w:r w:rsidRPr="006C5BA9">
        <w:t>in any other case—the person who constitutes that authority or, if the authority is constituted by two or more persons, the person who is entitled to preside at any meeting of the authority at which he is present;</w:t>
      </w:r>
    </w:p>
    <w:p w14:paraId="2CE9938B" w14:textId="77777777" w:rsidR="006C5BA9" w:rsidRPr="006C5BA9" w:rsidRDefault="006C5BA9" w:rsidP="006C5BA9">
      <w:r w:rsidRPr="006C5BA9">
        <w:rPr>
          <w:b/>
          <w:bCs/>
          <w:i/>
          <w:iCs/>
        </w:rPr>
        <w:t>request</w:t>
      </w:r>
      <w:r w:rsidRPr="006C5BA9">
        <w:rPr>
          <w:i/>
          <w:iCs/>
        </w:rPr>
        <w:t> </w:t>
      </w:r>
      <w:r w:rsidRPr="006C5BA9">
        <w:t>means a request made in accordance with section 17 of the Act;</w:t>
      </w:r>
    </w:p>
    <w:p w14:paraId="17CE1470" w14:textId="77777777" w:rsidR="006C5BA9" w:rsidRDefault="006C5BA9" w:rsidP="006C5BA9">
      <w:r w:rsidRPr="006C5BA9">
        <w:rPr>
          <w:b/>
          <w:bCs/>
          <w:i/>
          <w:iCs/>
        </w:rPr>
        <w:t>Tribunal</w:t>
      </w:r>
      <w:r w:rsidRPr="006C5BA9">
        <w:rPr>
          <w:i/>
          <w:iCs/>
        </w:rPr>
        <w:t> </w:t>
      </w:r>
      <w:r w:rsidRPr="006C5BA9">
        <w:t>means Victorian Civil and Administrative Tribunal established by the </w:t>
      </w:r>
      <w:r w:rsidRPr="006C5BA9">
        <w:rPr>
          <w:i/>
          <w:iCs/>
        </w:rPr>
        <w:t>Victorian Civil and Administrative Tribunal Act 1998 </w:t>
      </w:r>
      <w:r w:rsidRPr="006C5BA9">
        <w:t>(Vic).</w:t>
      </w:r>
    </w:p>
    <w:p w14:paraId="303D3245" w14:textId="77777777" w:rsidR="006C5BA9" w:rsidRPr="00EB38C2" w:rsidRDefault="006C5BA9" w:rsidP="00D07E20">
      <w:pPr>
        <w:pStyle w:val="Heading2"/>
      </w:pPr>
      <w:r w:rsidRPr="00EB38C2">
        <w:t>Calculation of days</w:t>
      </w:r>
    </w:p>
    <w:p w14:paraId="36BE5284" w14:textId="77777777" w:rsidR="006C5BA9" w:rsidRPr="006C5BA9" w:rsidRDefault="006C5BA9" w:rsidP="006C5BA9">
      <w:r w:rsidRPr="006C5BA9">
        <w:t>Both the Standards and the Act (except for sections 49N(4) and 49M(4) of the Act) refer to ‘days’.</w:t>
      </w:r>
    </w:p>
    <w:p w14:paraId="3E705670" w14:textId="77777777" w:rsidR="006C5BA9" w:rsidRPr="006C5BA9" w:rsidRDefault="006C5BA9" w:rsidP="006C5BA9">
      <w:r w:rsidRPr="006C5BA9">
        <w:t>For the avoidance of doubt, any reference to ‘days’ means ‘calendar days’ and includes weekends and public holidays.</w:t>
      </w:r>
    </w:p>
    <w:p w14:paraId="51426439" w14:textId="77777777" w:rsidR="00EB38C2" w:rsidRDefault="006C5BA9" w:rsidP="006C5BA9">
      <w:r w:rsidRPr="006C5BA9">
        <w:t>In calculating timeframes, such as a due date or when a certain action must be taken or completed, agencies should refer to the </w:t>
      </w:r>
      <w:r w:rsidRPr="006C5BA9">
        <w:rPr>
          <w:i/>
          <w:iCs/>
        </w:rPr>
        <w:t>Interpretation of Legislation Act 1984 </w:t>
      </w:r>
      <w:r w:rsidRPr="006C5BA9">
        <w:t>(Vic) (</w:t>
      </w:r>
      <w:r w:rsidRPr="00F52667">
        <w:rPr>
          <w:b/>
          <w:bCs/>
        </w:rPr>
        <w:t>IOL Act</w:t>
      </w:r>
      <w:r w:rsidRPr="006C5BA9">
        <w:t xml:space="preserve">). </w:t>
      </w:r>
    </w:p>
    <w:p w14:paraId="76B0E146" w14:textId="45FB358E" w:rsidR="006C5BA9" w:rsidRPr="006C5BA9" w:rsidRDefault="006C5BA9" w:rsidP="006C5BA9">
      <w:r w:rsidRPr="006C5BA9">
        <w:t>The provisions of the IOL Act</w:t>
      </w:r>
      <w:r w:rsidR="00EB38C2">
        <w:t xml:space="preserve"> </w:t>
      </w:r>
      <w:r w:rsidRPr="006C5BA9">
        <w:t>apply to all Acts and subordinate instruments, which includes the Standards, unless a contrary intention appears in the relevant Act or subordinate instrument under consideration. Part of section 44 of the IOL Act is extracted below.</w:t>
      </w:r>
    </w:p>
    <w:p w14:paraId="7ABF2B6B" w14:textId="77777777" w:rsidR="006C5BA9" w:rsidRPr="006C5BA9" w:rsidRDefault="006C5BA9" w:rsidP="00EB38C2">
      <w:pPr>
        <w:pStyle w:val="Heading2"/>
      </w:pPr>
      <w:r w:rsidRPr="006C5BA9">
        <w:t>Section 44 – Time</w:t>
      </w:r>
    </w:p>
    <w:p w14:paraId="12F1A4C8" w14:textId="7B0BBE2A" w:rsidR="006C5BA9" w:rsidRPr="006C5BA9" w:rsidRDefault="006C5BA9" w:rsidP="00EB38C2">
      <w:pPr>
        <w:ind w:left="720" w:hanging="720"/>
      </w:pPr>
      <w:r w:rsidRPr="006C5BA9">
        <w:t xml:space="preserve">(1) </w:t>
      </w:r>
      <w:r w:rsidR="00EB38C2">
        <w:tab/>
      </w:r>
      <w:r w:rsidRPr="006C5BA9">
        <w:t>Where in an Act or subordinate instrument a period of time is expressed to begin on, or to be reckoned from, a particular day, that day shall not be included in the period.</w:t>
      </w:r>
    </w:p>
    <w:p w14:paraId="5B4B3857" w14:textId="713A9F5E" w:rsidR="006C5BA9" w:rsidRPr="006C5BA9" w:rsidRDefault="006C5BA9" w:rsidP="00EB38C2">
      <w:pPr>
        <w:ind w:left="720" w:hanging="720"/>
      </w:pPr>
      <w:r w:rsidRPr="006C5BA9">
        <w:lastRenderedPageBreak/>
        <w:t>(2)</w:t>
      </w:r>
      <w:r w:rsidR="00EB38C2">
        <w:tab/>
      </w:r>
      <w:r w:rsidRPr="006C5BA9">
        <w:t>Where in an Act or subordinate instrument a period of time is expressed to end on, or to be reckoned to, a particular day, that day shall be included in the period.</w:t>
      </w:r>
    </w:p>
    <w:p w14:paraId="6FBD3779" w14:textId="545CD4AB" w:rsidR="006C5BA9" w:rsidRPr="006C5BA9" w:rsidRDefault="006C5BA9" w:rsidP="00EB38C2">
      <w:pPr>
        <w:ind w:left="720" w:hanging="720"/>
      </w:pPr>
      <w:r w:rsidRPr="006C5BA9">
        <w:t>(3)</w:t>
      </w:r>
      <w:r w:rsidR="00EB38C2">
        <w:tab/>
      </w:r>
      <w:r w:rsidRPr="006C5BA9">
        <w:t xml:space="preserve"> Where the time limited by an Act or subordinate instrument for the doing of any act or thing expires or falls on a day that is a holiday, the time so limited shall extend to, and the act or thing may be done on, the day next following that is not a holiday.</w:t>
      </w:r>
    </w:p>
    <w:p w14:paraId="4905FCF1" w14:textId="2B0CCD0E" w:rsidR="006C5BA9" w:rsidRPr="006C5BA9" w:rsidRDefault="006C5BA9" w:rsidP="006C5BA9">
      <w:r w:rsidRPr="006C5BA9">
        <w:t xml:space="preserve">(4) </w:t>
      </w:r>
      <w:r w:rsidR="00EB38C2">
        <w:tab/>
      </w:r>
      <w:r w:rsidRPr="006C5BA9">
        <w:t>In subsection (3)</w:t>
      </w:r>
      <w:r w:rsidR="00314B23">
        <w:t xml:space="preserve"> </w:t>
      </w:r>
      <w:r w:rsidRPr="00AA1439">
        <w:rPr>
          <w:b/>
          <w:bCs/>
          <w:i/>
          <w:iCs/>
        </w:rPr>
        <w:t>holiday</w:t>
      </w:r>
      <w:r w:rsidRPr="006C5BA9">
        <w:rPr>
          <w:i/>
          <w:iCs/>
        </w:rPr>
        <w:t> </w:t>
      </w:r>
      <w:r w:rsidRPr="006C5BA9">
        <w:t>means—</w:t>
      </w:r>
    </w:p>
    <w:p w14:paraId="05C57741" w14:textId="5CCBD5DE" w:rsidR="006C5BA9" w:rsidRPr="006C5BA9" w:rsidRDefault="006C5BA9" w:rsidP="00EB38C2">
      <w:pPr>
        <w:ind w:firstLine="720"/>
      </w:pPr>
      <w:r w:rsidRPr="006C5BA9">
        <w:t xml:space="preserve">(a) </w:t>
      </w:r>
      <w:r w:rsidR="002E2E27">
        <w:tab/>
      </w:r>
      <w:r w:rsidRPr="006C5BA9">
        <w:t>a Saturday or Sunday;</w:t>
      </w:r>
    </w:p>
    <w:p w14:paraId="037CB9F4" w14:textId="5A62E5C0" w:rsidR="006C5BA9" w:rsidRPr="006C5BA9" w:rsidRDefault="006C5BA9" w:rsidP="00AA1439">
      <w:pPr>
        <w:ind w:left="1440" w:hanging="720"/>
      </w:pPr>
      <w:r w:rsidRPr="006C5BA9">
        <w:t xml:space="preserve">(b) </w:t>
      </w:r>
      <w:r w:rsidR="002E2E27">
        <w:tab/>
      </w:r>
      <w:r w:rsidRPr="006C5BA9">
        <w:t xml:space="preserve">a day appointed under the </w:t>
      </w:r>
      <w:r w:rsidRPr="00AA1439">
        <w:rPr>
          <w:i/>
          <w:iCs/>
        </w:rPr>
        <w:t>Public Holidays Act 1993</w:t>
      </w:r>
      <w:r w:rsidRPr="006C5BA9">
        <w:t xml:space="preserve"> as a public holiday in the place in which the act or thing is to be or may be done.</w:t>
      </w:r>
    </w:p>
    <w:p w14:paraId="62F6881A" w14:textId="77777777" w:rsidR="006C5BA9" w:rsidRPr="006C5BA9" w:rsidRDefault="006C5BA9" w:rsidP="00EB38C2">
      <w:pPr>
        <w:pStyle w:val="Heading1"/>
      </w:pPr>
      <w:r w:rsidRPr="006C5BA9">
        <w:t>Professional Standards</w:t>
      </w:r>
    </w:p>
    <w:p w14:paraId="26D02BB5" w14:textId="77777777" w:rsidR="006C5BA9" w:rsidRPr="006C5BA9" w:rsidRDefault="006C5BA9" w:rsidP="00EB38C2">
      <w:pPr>
        <w:pStyle w:val="Heading2"/>
      </w:pPr>
      <w:r w:rsidRPr="006C5BA9">
        <w:t>1. Access to government information</w:t>
      </w:r>
    </w:p>
    <w:p w14:paraId="1B298590" w14:textId="77777777" w:rsidR="006C5BA9" w:rsidRPr="006C5BA9" w:rsidRDefault="006C5BA9" w:rsidP="00EB38C2">
      <w:pPr>
        <w:pStyle w:val="Heading3"/>
      </w:pPr>
      <w:r w:rsidRPr="006C5BA9">
        <w:t>Statement</w:t>
      </w:r>
    </w:p>
    <w:p w14:paraId="3C32A553" w14:textId="77777777" w:rsidR="00EB38C2" w:rsidRDefault="006C5BA9" w:rsidP="006C5BA9">
      <w:r w:rsidRPr="006C5BA9">
        <w:t>The Act creates a general right of access to a document in the possession of an agency, limited only by the exemptions and exceptions necessary for the protection of essential public interests and the private and business affairs of persons – </w:t>
      </w:r>
      <w:r w:rsidRPr="006C5BA9">
        <w:rPr>
          <w:i/>
          <w:iCs/>
        </w:rPr>
        <w:t>section 3(1) of the Act</w:t>
      </w:r>
      <w:r w:rsidRPr="006C5BA9">
        <w:t xml:space="preserve">. </w:t>
      </w:r>
    </w:p>
    <w:p w14:paraId="22F5B1BE" w14:textId="44318E73" w:rsidR="006C5BA9" w:rsidRPr="006C5BA9" w:rsidRDefault="006C5BA9" w:rsidP="006C5BA9">
      <w:r w:rsidRPr="006C5BA9">
        <w:t>An agency must also administer the Act with a view to making the maximum amount of government information available promptly and inexpensively – </w:t>
      </w:r>
      <w:r w:rsidRPr="006C5BA9">
        <w:rPr>
          <w:i/>
          <w:iCs/>
        </w:rPr>
        <w:t>section 16(1) of the Act</w:t>
      </w:r>
      <w:r w:rsidRPr="006C5BA9">
        <w:t>.</w:t>
      </w:r>
    </w:p>
    <w:p w14:paraId="46B083FD" w14:textId="77777777" w:rsidR="006C5BA9" w:rsidRPr="006C5BA9" w:rsidRDefault="006C5BA9" w:rsidP="00EB38C2">
      <w:pPr>
        <w:pStyle w:val="Heading3"/>
      </w:pPr>
      <w:r w:rsidRPr="006C5BA9">
        <w:t>Professional Standards</w:t>
      </w:r>
    </w:p>
    <w:p w14:paraId="7CC46310" w14:textId="50ECB112" w:rsidR="006C5BA9" w:rsidRPr="006C5BA9" w:rsidRDefault="006C5BA9" w:rsidP="00EB38C2">
      <w:pPr>
        <w:ind w:left="720" w:hanging="720"/>
      </w:pPr>
      <w:r w:rsidRPr="006C5BA9">
        <w:t>1.1</w:t>
      </w:r>
      <w:r w:rsidR="00EB38C2">
        <w:tab/>
      </w:r>
      <w:r w:rsidRPr="006C5BA9">
        <w:t>An agency must consider whether a document in its possession, that is requested under the Act, can properly be provided to an applicant outside the Act.</w:t>
      </w:r>
    </w:p>
    <w:p w14:paraId="15195B12" w14:textId="2351F10F" w:rsidR="006C5BA9" w:rsidRPr="00F52667" w:rsidRDefault="006C5BA9" w:rsidP="00EB38C2">
      <w:pPr>
        <w:ind w:left="720" w:hanging="720"/>
        <w:rPr>
          <w:strike/>
        </w:rPr>
      </w:pPr>
      <w:r w:rsidRPr="00F52667">
        <w:rPr>
          <w:strike/>
        </w:rPr>
        <w:t>1.2</w:t>
      </w:r>
      <w:r w:rsidR="00EB38C2" w:rsidRPr="00F52667">
        <w:rPr>
          <w:strike/>
        </w:rPr>
        <w:tab/>
      </w:r>
      <w:r w:rsidRPr="00F52667">
        <w:rPr>
          <w:strike/>
        </w:rPr>
        <w:t>Where a document in the possession of an agency can properly be provided to an applicant outside the Act, the agency must either:</w:t>
      </w:r>
    </w:p>
    <w:p w14:paraId="08C77791" w14:textId="77777777" w:rsidR="006C5BA9" w:rsidRPr="00F52667" w:rsidRDefault="006C5BA9" w:rsidP="00EB38C2">
      <w:pPr>
        <w:ind w:firstLine="720"/>
        <w:rPr>
          <w:strike/>
        </w:rPr>
      </w:pPr>
      <w:r w:rsidRPr="00F52667">
        <w:rPr>
          <w:strike/>
        </w:rPr>
        <w:t>(a) facilitate access to the document; or</w:t>
      </w:r>
    </w:p>
    <w:p w14:paraId="6742A7BA" w14:textId="77777777" w:rsidR="006C5BA9" w:rsidRPr="00C7423C" w:rsidRDefault="006C5BA9" w:rsidP="00EB38C2">
      <w:pPr>
        <w:ind w:firstLine="720"/>
        <w:rPr>
          <w:strike/>
        </w:rPr>
      </w:pPr>
      <w:r w:rsidRPr="00C7423C">
        <w:rPr>
          <w:strike/>
        </w:rPr>
        <w:t>(b) advise the applicant how the document can be accessed.</w:t>
      </w:r>
    </w:p>
    <w:tbl>
      <w:tblPr>
        <w:tblStyle w:val="TableGrid"/>
        <w:tblW w:w="9239" w:type="dxa"/>
        <w:tblLook w:val="04A0" w:firstRow="1" w:lastRow="0" w:firstColumn="1" w:lastColumn="0" w:noHBand="0" w:noVBand="1"/>
      </w:tblPr>
      <w:tblGrid>
        <w:gridCol w:w="1295"/>
        <w:gridCol w:w="4796"/>
        <w:gridCol w:w="3148"/>
      </w:tblGrid>
      <w:tr w:rsidR="000F44AE" w:rsidRPr="00463F84" w14:paraId="4C398917" w14:textId="77777777" w:rsidTr="00314CF4">
        <w:trPr>
          <w:trHeight w:val="311"/>
        </w:trPr>
        <w:tc>
          <w:tcPr>
            <w:tcW w:w="1295" w:type="dxa"/>
            <w:shd w:val="clear" w:color="auto" w:fill="F2F2F2" w:themeFill="background2" w:themeFillShade="F2"/>
          </w:tcPr>
          <w:p w14:paraId="6C3C7C0E" w14:textId="7B738636" w:rsidR="000F44AE" w:rsidRPr="00463F84" w:rsidRDefault="000F44AE" w:rsidP="00C7423C">
            <w:pPr>
              <w:rPr>
                <w:b/>
                <w:bCs/>
              </w:rPr>
            </w:pPr>
            <w:r>
              <w:rPr>
                <w:b/>
                <w:bCs/>
              </w:rPr>
              <w:t>Amended Standard</w:t>
            </w:r>
          </w:p>
        </w:tc>
        <w:tc>
          <w:tcPr>
            <w:tcW w:w="4796" w:type="dxa"/>
            <w:shd w:val="clear" w:color="auto" w:fill="F2F2F2" w:themeFill="background2" w:themeFillShade="F2"/>
          </w:tcPr>
          <w:p w14:paraId="67701819" w14:textId="77777777" w:rsidR="000F44AE" w:rsidRPr="00463F84" w:rsidRDefault="000F44AE" w:rsidP="00C7423C">
            <w:pPr>
              <w:rPr>
                <w:b/>
                <w:bCs/>
              </w:rPr>
            </w:pPr>
            <w:r w:rsidRPr="00463F84">
              <w:rPr>
                <w:b/>
                <w:bCs/>
              </w:rPr>
              <w:t xml:space="preserve">Draft </w:t>
            </w:r>
            <w:r>
              <w:rPr>
                <w:b/>
                <w:bCs/>
              </w:rPr>
              <w:t>Standard</w:t>
            </w:r>
          </w:p>
        </w:tc>
        <w:tc>
          <w:tcPr>
            <w:tcW w:w="3148" w:type="dxa"/>
            <w:shd w:val="clear" w:color="auto" w:fill="F2F2F2" w:themeFill="background2" w:themeFillShade="F2"/>
          </w:tcPr>
          <w:p w14:paraId="52597064" w14:textId="77777777" w:rsidR="000F44AE" w:rsidRPr="00463F84" w:rsidRDefault="000F44AE" w:rsidP="00C7423C">
            <w:pPr>
              <w:rPr>
                <w:b/>
                <w:bCs/>
              </w:rPr>
            </w:pPr>
            <w:r>
              <w:rPr>
                <w:b/>
                <w:bCs/>
              </w:rPr>
              <w:t>Comments</w:t>
            </w:r>
          </w:p>
        </w:tc>
      </w:tr>
      <w:tr w:rsidR="000F44AE" w:rsidRPr="006C5BA9" w14:paraId="77866F94" w14:textId="77777777" w:rsidTr="00314CF4">
        <w:trPr>
          <w:trHeight w:val="1776"/>
        </w:trPr>
        <w:tc>
          <w:tcPr>
            <w:tcW w:w="1295" w:type="dxa"/>
            <w:shd w:val="clear" w:color="auto" w:fill="F2F2F2" w:themeFill="background2" w:themeFillShade="F2"/>
          </w:tcPr>
          <w:p w14:paraId="564D0C40" w14:textId="2A6FC5B4" w:rsidR="000F44AE" w:rsidRDefault="000F44AE" w:rsidP="00C7423C">
            <w:r>
              <w:lastRenderedPageBreak/>
              <w:t>1.2</w:t>
            </w:r>
          </w:p>
        </w:tc>
        <w:tc>
          <w:tcPr>
            <w:tcW w:w="4796" w:type="dxa"/>
            <w:shd w:val="clear" w:color="auto" w:fill="F2F2F2" w:themeFill="background2" w:themeFillShade="F2"/>
          </w:tcPr>
          <w:p w14:paraId="48426207" w14:textId="5FCBD009" w:rsidR="00CD2DAD" w:rsidRPr="00CD2DAD" w:rsidRDefault="00CD2DAD" w:rsidP="003D5C27">
            <w:pPr>
              <w:ind w:left="13" w:hanging="13"/>
            </w:pPr>
            <w:r w:rsidRPr="00CD2DAD">
              <w:t xml:space="preserve">Where a document is </w:t>
            </w:r>
            <w:r w:rsidR="00AA1439">
              <w:t xml:space="preserve">in </w:t>
            </w:r>
            <w:r w:rsidRPr="00CD2DAD">
              <w:t>the possession of an agency and can be provided to an applicant in-part outside the Act, the agency must, where practicable and prior to facilitating access to the document, notify the applicant about the impact of releasing information outside the Act, including where review or complaint rights will not apply, and obtain written consent from the applicant.</w:t>
            </w:r>
          </w:p>
          <w:p w14:paraId="5D3AB076" w14:textId="77777777" w:rsidR="00CD2DAD" w:rsidRPr="00CD2DAD" w:rsidRDefault="00CD2DAD" w:rsidP="00CD2DAD">
            <w:pPr>
              <w:ind w:left="13" w:hanging="13"/>
              <w:rPr>
                <w:i/>
                <w:iCs/>
              </w:rPr>
            </w:pPr>
            <w:r w:rsidRPr="00CD2DAD">
              <w:rPr>
                <w:i/>
                <w:iCs/>
              </w:rPr>
              <w:t>Note</w:t>
            </w:r>
            <w:r w:rsidRPr="00CD2DAD">
              <w:t xml:space="preserve">: </w:t>
            </w:r>
            <w:r w:rsidRPr="00CD2DAD">
              <w:rPr>
                <w:i/>
                <w:iCs/>
              </w:rPr>
              <w:t xml:space="preserve">Where a document can be released in full outside the Act, the agency is to facilitate access to the document and prior consent from the applicant is not required. </w:t>
            </w:r>
          </w:p>
          <w:p w14:paraId="12F45879" w14:textId="7AB627AA" w:rsidR="000F44AE" w:rsidRPr="00CD2DAD" w:rsidRDefault="00CD2DAD" w:rsidP="00CD2DAD">
            <w:pPr>
              <w:ind w:left="13" w:hanging="13"/>
              <w:rPr>
                <w:i/>
                <w:iCs/>
              </w:rPr>
            </w:pPr>
            <w:r w:rsidRPr="00CD2DAD">
              <w:rPr>
                <w:i/>
                <w:iCs/>
              </w:rPr>
              <w:t>Note: Where an agency receives multiple or regular requests from the same applicant, an agency may seek written consent from the applicant in relation to dealing with future requests outside the Act to facilitate more timely access.  </w:t>
            </w:r>
          </w:p>
        </w:tc>
        <w:tc>
          <w:tcPr>
            <w:tcW w:w="3148" w:type="dxa"/>
            <w:shd w:val="clear" w:color="auto" w:fill="F2F2F2" w:themeFill="background2" w:themeFillShade="F2"/>
          </w:tcPr>
          <w:p w14:paraId="42F2CBEF" w14:textId="60AC31BC" w:rsidR="000F44AE" w:rsidRPr="006C5BA9" w:rsidRDefault="00CD2DAD" w:rsidP="00C7423C">
            <w:r>
              <w:rPr>
                <w:rFonts w:cstheme="majorHAnsi"/>
              </w:rPr>
              <w:t xml:space="preserve">This amendment aims to </w:t>
            </w:r>
            <w:r w:rsidR="000F44AE">
              <w:rPr>
                <w:rFonts w:cstheme="majorHAnsi"/>
              </w:rPr>
              <w:t>improve the public’s understanding of the benefits and impacts of consenting to the release of documents outside of the Act</w:t>
            </w:r>
            <w:r>
              <w:rPr>
                <w:rFonts w:cstheme="majorHAnsi"/>
              </w:rPr>
              <w:t>.</w:t>
            </w:r>
          </w:p>
        </w:tc>
      </w:tr>
    </w:tbl>
    <w:p w14:paraId="4D8AD5A8" w14:textId="77777777" w:rsidR="000F44AE" w:rsidRDefault="000F44AE" w:rsidP="006C5BA9">
      <w:pPr>
        <w:rPr>
          <w:i/>
          <w:iCs/>
        </w:rPr>
      </w:pPr>
    </w:p>
    <w:p w14:paraId="0329714D" w14:textId="536B117D" w:rsidR="006C5BA9" w:rsidRPr="006C5BA9" w:rsidRDefault="006C5BA9" w:rsidP="006C5BA9">
      <w:r w:rsidRPr="006C5BA9">
        <w:rPr>
          <w:i/>
          <w:iCs/>
        </w:rPr>
        <w:t>Note: facilitating access to a document may include providing a copy, arranging inspection or viewing or otherwise providing access to the document. An applicant may otherwise be advised that access to a document can be obtained via another method such as a statutory release scheme or for purchase.</w:t>
      </w:r>
    </w:p>
    <w:p w14:paraId="67EC4B92" w14:textId="1999870C" w:rsidR="006C5BA9" w:rsidRPr="006C5BA9" w:rsidRDefault="006C5BA9" w:rsidP="00EB38C2">
      <w:pPr>
        <w:ind w:left="720" w:hanging="720"/>
      </w:pPr>
      <w:r w:rsidRPr="006C5BA9">
        <w:t>1.3</w:t>
      </w:r>
      <w:r w:rsidR="00EB38C2">
        <w:tab/>
      </w:r>
      <w:r w:rsidRPr="006C5BA9">
        <w:t>A principal officer must ensure information statements published in accordance with Part II of the Act are available on their agency’s internet site, where one exists.</w:t>
      </w:r>
    </w:p>
    <w:p w14:paraId="6F1C0D82" w14:textId="77777777" w:rsidR="006C5BA9" w:rsidRPr="00EB38C2" w:rsidRDefault="006C5BA9" w:rsidP="006C5BA9">
      <w:pPr>
        <w:rPr>
          <w:b/>
          <w:bCs/>
        </w:rPr>
      </w:pPr>
      <w:r w:rsidRPr="00EB38C2">
        <w:rPr>
          <w:b/>
          <w:bCs/>
        </w:rPr>
        <w:t>Further Information</w:t>
      </w:r>
    </w:p>
    <w:p w14:paraId="223F3388" w14:textId="77777777" w:rsidR="006C5BA9" w:rsidRPr="00EB38C2" w:rsidRDefault="006C5BA9" w:rsidP="006C5BA9">
      <w:pPr>
        <w:rPr>
          <w:b/>
          <w:bCs/>
        </w:rPr>
      </w:pPr>
      <w:hyperlink r:id="rId12" w:history="1">
        <w:r w:rsidRPr="00EB38C2">
          <w:rPr>
            <w:rStyle w:val="Hyperlink"/>
            <w:b/>
            <w:bCs/>
          </w:rPr>
          <w:t>Practice Note: Proactive release of information</w:t>
        </w:r>
      </w:hyperlink>
    </w:p>
    <w:p w14:paraId="6DA8B342" w14:textId="77777777" w:rsidR="006C5BA9" w:rsidRPr="00EB38C2" w:rsidRDefault="006C5BA9" w:rsidP="006C5BA9">
      <w:pPr>
        <w:rPr>
          <w:b/>
          <w:bCs/>
        </w:rPr>
      </w:pPr>
      <w:hyperlink r:id="rId13" w:history="1">
        <w:r w:rsidRPr="00EB38C2">
          <w:rPr>
            <w:rStyle w:val="Hyperlink"/>
            <w:b/>
            <w:bCs/>
          </w:rPr>
          <w:t>Practice Note: Informal release of information</w:t>
        </w:r>
      </w:hyperlink>
    </w:p>
    <w:p w14:paraId="7BF1D66C" w14:textId="77777777" w:rsidR="006C5BA9" w:rsidRDefault="006C5BA9" w:rsidP="006C5BA9">
      <w:pPr>
        <w:rPr>
          <w:rStyle w:val="Hyperlink"/>
          <w:b/>
          <w:bCs/>
        </w:rPr>
      </w:pPr>
      <w:hyperlink r:id="rId14" w:history="1">
        <w:r w:rsidRPr="00EB38C2">
          <w:rPr>
            <w:rStyle w:val="Hyperlink"/>
            <w:b/>
            <w:bCs/>
          </w:rPr>
          <w:t>FOI Guidelines: Section 7 of the FOI Act</w:t>
        </w:r>
      </w:hyperlink>
    </w:p>
    <w:tbl>
      <w:tblPr>
        <w:tblStyle w:val="TableGrid"/>
        <w:tblW w:w="0" w:type="auto"/>
        <w:tblLook w:val="04A0" w:firstRow="1" w:lastRow="0" w:firstColumn="1" w:lastColumn="0" w:noHBand="0" w:noVBand="1"/>
      </w:tblPr>
      <w:tblGrid>
        <w:gridCol w:w="9060"/>
      </w:tblGrid>
      <w:tr w:rsidR="00C7423C" w14:paraId="2309F192" w14:textId="77777777" w:rsidTr="00314CF4">
        <w:tc>
          <w:tcPr>
            <w:tcW w:w="9060" w:type="dxa"/>
            <w:shd w:val="clear" w:color="auto" w:fill="F2F2F2" w:themeFill="background2" w:themeFillShade="F2"/>
          </w:tcPr>
          <w:p w14:paraId="2ECA541F" w14:textId="4369C044" w:rsidR="00C7423C" w:rsidRPr="00C7423C" w:rsidRDefault="00C7423C" w:rsidP="006C5BA9">
            <w:pPr>
              <w:rPr>
                <w:rStyle w:val="Hyperlink"/>
                <w:b/>
                <w:bCs/>
                <w:u w:val="none"/>
              </w:rPr>
            </w:pPr>
            <w:r w:rsidRPr="00C7423C">
              <w:rPr>
                <w:rStyle w:val="Hyperlink"/>
                <w:b/>
                <w:bCs/>
                <w:u w:val="none"/>
              </w:rPr>
              <w:t>Additional resource</w:t>
            </w:r>
          </w:p>
        </w:tc>
      </w:tr>
      <w:tr w:rsidR="00C7423C" w14:paraId="430463DF" w14:textId="77777777" w:rsidTr="00314CF4">
        <w:tc>
          <w:tcPr>
            <w:tcW w:w="9060" w:type="dxa"/>
            <w:shd w:val="clear" w:color="auto" w:fill="F2F2F2" w:themeFill="background2" w:themeFillShade="F2"/>
          </w:tcPr>
          <w:p w14:paraId="4F852C61" w14:textId="47F8FB04" w:rsidR="00C7423C" w:rsidRPr="00C7423C" w:rsidRDefault="00C7423C" w:rsidP="006C5BA9">
            <w:pPr>
              <w:rPr>
                <w:rStyle w:val="Hyperlink"/>
                <w:b/>
                <w:bCs/>
                <w:u w:val="none"/>
              </w:rPr>
            </w:pPr>
            <w:hyperlink r:id="rId15" w:history="1">
              <w:r w:rsidRPr="00C7423C">
                <w:rPr>
                  <w:rStyle w:val="Hyperlink"/>
                  <w:b/>
                  <w:bCs/>
                </w:rPr>
                <w:t>Proactive and Informal Release Policy Template</w:t>
              </w:r>
            </w:hyperlink>
          </w:p>
        </w:tc>
      </w:tr>
    </w:tbl>
    <w:p w14:paraId="07BBD95C" w14:textId="77777777" w:rsidR="006C5BA9" w:rsidRPr="006C5BA9" w:rsidRDefault="006C5BA9" w:rsidP="00EB38C2">
      <w:pPr>
        <w:pStyle w:val="Heading2"/>
      </w:pPr>
      <w:r w:rsidRPr="006C5BA9">
        <w:lastRenderedPageBreak/>
        <w:t>2. Receiving a request</w:t>
      </w:r>
    </w:p>
    <w:p w14:paraId="4C8E5618" w14:textId="77777777" w:rsidR="006C5BA9" w:rsidRPr="006C5BA9" w:rsidRDefault="006C5BA9" w:rsidP="00EB38C2">
      <w:pPr>
        <w:pStyle w:val="Heading3"/>
      </w:pPr>
      <w:r w:rsidRPr="006C5BA9">
        <w:t>Statement</w:t>
      </w:r>
    </w:p>
    <w:p w14:paraId="0B89AEFD" w14:textId="77777777" w:rsidR="006C5BA9" w:rsidRPr="006C5BA9" w:rsidRDefault="006C5BA9" w:rsidP="006C5BA9">
      <w:r w:rsidRPr="006C5BA9">
        <w:t>An agency has a duty to assist an applicant to make a request in a manner that complies with section 17 of the Act – </w:t>
      </w:r>
      <w:r w:rsidRPr="006C5BA9">
        <w:rPr>
          <w:i/>
          <w:iCs/>
        </w:rPr>
        <w:t>section 17(3) of the Act</w:t>
      </w:r>
      <w:r w:rsidRPr="006C5BA9">
        <w:t>. An agency is also required to provide an applicant with a reasonable opportunity to consult where the request does not provide sufficient information, as is reasonably necessary, to enable the agency to identify the requested document –</w:t>
      </w:r>
      <w:r w:rsidRPr="006C5BA9">
        <w:rPr>
          <w:i/>
          <w:iCs/>
        </w:rPr>
        <w:t>section 17(4) of the Act</w:t>
      </w:r>
      <w:r w:rsidRPr="006C5BA9">
        <w:t>.</w:t>
      </w:r>
    </w:p>
    <w:p w14:paraId="3C0AD256" w14:textId="77777777" w:rsidR="006C5BA9" w:rsidRPr="006C5BA9" w:rsidRDefault="006C5BA9" w:rsidP="00EB38C2">
      <w:pPr>
        <w:pStyle w:val="Heading3"/>
      </w:pPr>
      <w:r w:rsidRPr="006C5BA9">
        <w:t>Professional Standards</w:t>
      </w:r>
    </w:p>
    <w:p w14:paraId="06341073" w14:textId="5B07CEBB" w:rsidR="006C5BA9" w:rsidRPr="006C5BA9" w:rsidRDefault="006C5BA9" w:rsidP="006C5BA9">
      <w:r w:rsidRPr="006C5BA9">
        <w:t>2.1</w:t>
      </w:r>
      <w:r w:rsidR="00565472">
        <w:tab/>
      </w:r>
      <w:r w:rsidRPr="006C5BA9">
        <w:t>An agency must provide an applicant with an option to make a request by email.</w:t>
      </w:r>
    </w:p>
    <w:p w14:paraId="1667D223" w14:textId="5592D17F" w:rsidR="006C5BA9" w:rsidRPr="006C5BA9" w:rsidRDefault="006C5BA9" w:rsidP="00565472">
      <w:pPr>
        <w:ind w:left="720" w:hanging="720"/>
      </w:pPr>
      <w:r w:rsidRPr="006C5BA9">
        <w:t>2.2</w:t>
      </w:r>
      <w:r w:rsidR="00565472">
        <w:tab/>
      </w:r>
      <w:r w:rsidRPr="006C5BA9">
        <w:t>An agency requiring payment of an application fee must take reasonable steps to provide options for payment of that fee in line with accepted payment methods the agency provides for other services of a similar financial sum.</w:t>
      </w:r>
    </w:p>
    <w:p w14:paraId="27F551B2" w14:textId="7C7BCEBF" w:rsidR="006C5BA9" w:rsidRPr="006C5BA9" w:rsidRDefault="006C5BA9" w:rsidP="00565472">
      <w:pPr>
        <w:ind w:left="720" w:hanging="720"/>
      </w:pPr>
      <w:r w:rsidRPr="006C5BA9">
        <w:t>2.3</w:t>
      </w:r>
      <w:r w:rsidR="00565472">
        <w:tab/>
      </w:r>
      <w:r w:rsidRPr="006C5BA9">
        <w:t>An agency must not refuse to accept a request where an applicant has not utilised an agency’s pro forma application form.</w:t>
      </w:r>
    </w:p>
    <w:p w14:paraId="094BF05C" w14:textId="77777777" w:rsidR="006C5BA9" w:rsidRPr="006C5BA9" w:rsidRDefault="006C5BA9" w:rsidP="00C7423C">
      <w:pPr>
        <w:ind w:firstLine="720"/>
      </w:pPr>
      <w:r w:rsidRPr="006C5BA9">
        <w:rPr>
          <w:i/>
          <w:iCs/>
        </w:rPr>
        <w:t>Note: a request must still meet the requirements of section 17 of the Act to be a valid request.</w:t>
      </w:r>
    </w:p>
    <w:p w14:paraId="4150B2F8" w14:textId="34B77EE2" w:rsidR="006C5BA9" w:rsidRPr="006C5BA9" w:rsidRDefault="006C5BA9" w:rsidP="00565472">
      <w:pPr>
        <w:ind w:left="720" w:hanging="720"/>
      </w:pPr>
      <w:r w:rsidRPr="006C5BA9">
        <w:t>2.4</w:t>
      </w:r>
      <w:r w:rsidR="00565472">
        <w:tab/>
      </w:r>
      <w:r w:rsidRPr="006C5BA9">
        <w:t>An agency that receives a request that is not valid, must take reasonable steps to notify the applicant of the following information within 21 days of receiving the request:</w:t>
      </w:r>
    </w:p>
    <w:p w14:paraId="4FEE9AC0" w14:textId="59B099AE" w:rsidR="006C5BA9" w:rsidRPr="006C5BA9" w:rsidRDefault="006C5BA9" w:rsidP="00565472">
      <w:pPr>
        <w:ind w:firstLine="720"/>
      </w:pPr>
      <w:r w:rsidRPr="006C5BA9">
        <w:t xml:space="preserve">(a) </w:t>
      </w:r>
      <w:r w:rsidR="00821A80">
        <w:tab/>
      </w:r>
      <w:r w:rsidRPr="006C5BA9">
        <w:t>why the request is not valid;</w:t>
      </w:r>
    </w:p>
    <w:p w14:paraId="0FB39C9B" w14:textId="297A41DB" w:rsidR="006C5BA9" w:rsidRPr="006C5BA9" w:rsidRDefault="006C5BA9" w:rsidP="00AA1439">
      <w:pPr>
        <w:ind w:left="1440" w:hanging="720"/>
      </w:pPr>
      <w:r w:rsidRPr="006C5BA9">
        <w:t>(b)</w:t>
      </w:r>
      <w:r w:rsidR="00821A80">
        <w:tab/>
      </w:r>
      <w:r w:rsidRPr="006C5BA9">
        <w:t>provide reasonable assistance or advice to the applicant about how to make the request valid; and</w:t>
      </w:r>
    </w:p>
    <w:p w14:paraId="788BAC83" w14:textId="00FDC83A" w:rsidR="006C5BA9" w:rsidRPr="006C5BA9" w:rsidRDefault="006C5BA9" w:rsidP="00AA1439">
      <w:pPr>
        <w:ind w:left="1440" w:hanging="720"/>
      </w:pPr>
      <w:r w:rsidRPr="006C5BA9">
        <w:t xml:space="preserve">(c) </w:t>
      </w:r>
      <w:r w:rsidR="00821A80">
        <w:tab/>
      </w:r>
      <w:r w:rsidRPr="006C5BA9">
        <w:t>advise the applicant that the agency may refuse to comply with the request if it does not comply with section 17 of the Act.</w:t>
      </w:r>
    </w:p>
    <w:p w14:paraId="2166255D" w14:textId="77777777" w:rsidR="006C5BA9" w:rsidRPr="006C5BA9" w:rsidRDefault="006C5BA9" w:rsidP="00C7423C">
      <w:pPr>
        <w:ind w:left="720"/>
      </w:pPr>
      <w:r w:rsidRPr="006C5BA9">
        <w:rPr>
          <w:i/>
          <w:iCs/>
        </w:rPr>
        <w:t>Note: ‘refuse to comply’ reflects the language of section 17(4) of the Act. An agency may also consider this to mean the request to have lapsed, been refused or otherwise finalised without being processed.</w:t>
      </w:r>
    </w:p>
    <w:p w14:paraId="66B4195B" w14:textId="7E8B6390" w:rsidR="006C5BA9" w:rsidRPr="006C5BA9" w:rsidRDefault="006C5BA9" w:rsidP="00565472">
      <w:pPr>
        <w:ind w:left="720" w:hanging="720"/>
      </w:pPr>
      <w:r w:rsidRPr="006C5BA9">
        <w:t>2.5</w:t>
      </w:r>
      <w:r w:rsidR="00565472">
        <w:tab/>
      </w:r>
      <w:r w:rsidRPr="006C5BA9">
        <w:t>Before refusing to comply with a request that is not valid, an agency must provide the applicant with a minimum of 21 days from the date the agency notified the applicant of the information in Standard 2.4 to:</w:t>
      </w:r>
    </w:p>
    <w:p w14:paraId="263D9738" w14:textId="6BF46895" w:rsidR="006C5BA9" w:rsidRPr="006C5BA9" w:rsidRDefault="006C5BA9" w:rsidP="00565472">
      <w:pPr>
        <w:ind w:firstLine="720"/>
      </w:pPr>
      <w:r w:rsidRPr="006C5BA9">
        <w:t xml:space="preserve">(a) </w:t>
      </w:r>
      <w:r w:rsidR="00821A80">
        <w:tab/>
      </w:r>
      <w:r w:rsidRPr="006C5BA9">
        <w:t>pay the application fee;</w:t>
      </w:r>
    </w:p>
    <w:p w14:paraId="23DF0D0C" w14:textId="358C7E9E" w:rsidR="006C5BA9" w:rsidRPr="006C5BA9" w:rsidRDefault="006C5BA9" w:rsidP="00565472">
      <w:pPr>
        <w:ind w:firstLine="720"/>
      </w:pPr>
      <w:r w:rsidRPr="006C5BA9">
        <w:t xml:space="preserve">(b) </w:t>
      </w:r>
      <w:r w:rsidR="00821A80">
        <w:tab/>
      </w:r>
      <w:r w:rsidRPr="006C5BA9">
        <w:t>provide evidence of hardship, if seeking a fee waiver or reduction;</w:t>
      </w:r>
    </w:p>
    <w:p w14:paraId="3F0446B2" w14:textId="50B4D8DE" w:rsidR="006C5BA9" w:rsidRPr="006C5BA9" w:rsidRDefault="006C5BA9" w:rsidP="00AA1439">
      <w:pPr>
        <w:ind w:left="1440" w:hanging="720"/>
      </w:pPr>
      <w:r w:rsidRPr="006C5BA9">
        <w:t xml:space="preserve">(c) </w:t>
      </w:r>
      <w:r w:rsidR="00821A80">
        <w:tab/>
      </w:r>
      <w:r w:rsidRPr="006C5BA9">
        <w:t>begin consulting with the agency to clarify the request or provide an amended request; or</w:t>
      </w:r>
    </w:p>
    <w:p w14:paraId="2219037E" w14:textId="206DD563" w:rsidR="006C5BA9" w:rsidRDefault="006C5BA9" w:rsidP="00565472">
      <w:pPr>
        <w:ind w:firstLine="720"/>
      </w:pPr>
      <w:r w:rsidRPr="006C5BA9">
        <w:lastRenderedPageBreak/>
        <w:t xml:space="preserve">(d) </w:t>
      </w:r>
      <w:r w:rsidR="00821A80">
        <w:tab/>
      </w:r>
      <w:r w:rsidRPr="006C5BA9">
        <w:t>otherwise make the request compliant with section 17 of the Act.</w:t>
      </w:r>
    </w:p>
    <w:tbl>
      <w:tblPr>
        <w:tblStyle w:val="TableGrid"/>
        <w:tblW w:w="9351" w:type="dxa"/>
        <w:tblLook w:val="04A0" w:firstRow="1" w:lastRow="0" w:firstColumn="1" w:lastColumn="0" w:noHBand="0" w:noVBand="1"/>
      </w:tblPr>
      <w:tblGrid>
        <w:gridCol w:w="1413"/>
        <w:gridCol w:w="4961"/>
        <w:gridCol w:w="2977"/>
      </w:tblGrid>
      <w:tr w:rsidR="00726C99" w:rsidRPr="00463F84" w14:paraId="3CEA31E8" w14:textId="77777777" w:rsidTr="00314CF4">
        <w:trPr>
          <w:trHeight w:val="311"/>
        </w:trPr>
        <w:tc>
          <w:tcPr>
            <w:tcW w:w="1413" w:type="dxa"/>
            <w:shd w:val="clear" w:color="auto" w:fill="F2F2F2" w:themeFill="background2" w:themeFillShade="F2"/>
          </w:tcPr>
          <w:p w14:paraId="76FF70A9" w14:textId="1DC6E76A" w:rsidR="00726C99" w:rsidRPr="00463F84" w:rsidRDefault="00C7423C" w:rsidP="00C7423C">
            <w:pPr>
              <w:rPr>
                <w:b/>
                <w:bCs/>
              </w:rPr>
            </w:pPr>
            <w:r>
              <w:rPr>
                <w:b/>
                <w:bCs/>
              </w:rPr>
              <w:t xml:space="preserve">New </w:t>
            </w:r>
            <w:r w:rsidR="00726C99">
              <w:rPr>
                <w:b/>
                <w:bCs/>
              </w:rPr>
              <w:t>Standard</w:t>
            </w:r>
          </w:p>
        </w:tc>
        <w:tc>
          <w:tcPr>
            <w:tcW w:w="4961" w:type="dxa"/>
            <w:shd w:val="clear" w:color="auto" w:fill="F2F2F2" w:themeFill="background2" w:themeFillShade="F2"/>
          </w:tcPr>
          <w:p w14:paraId="4091EE3E" w14:textId="77777777" w:rsidR="00726C99" w:rsidRPr="00463F84" w:rsidRDefault="00726C99" w:rsidP="00C7423C">
            <w:pPr>
              <w:rPr>
                <w:b/>
                <w:bCs/>
              </w:rPr>
            </w:pPr>
            <w:r w:rsidRPr="00463F84">
              <w:rPr>
                <w:b/>
                <w:bCs/>
              </w:rPr>
              <w:t xml:space="preserve">Draft </w:t>
            </w:r>
            <w:r>
              <w:rPr>
                <w:b/>
                <w:bCs/>
              </w:rPr>
              <w:t>Standard</w:t>
            </w:r>
          </w:p>
        </w:tc>
        <w:tc>
          <w:tcPr>
            <w:tcW w:w="2977" w:type="dxa"/>
            <w:shd w:val="clear" w:color="auto" w:fill="F2F2F2" w:themeFill="background2" w:themeFillShade="F2"/>
          </w:tcPr>
          <w:p w14:paraId="396D9B43" w14:textId="77777777" w:rsidR="00726C99" w:rsidRPr="00463F84" w:rsidRDefault="00726C99" w:rsidP="00A3772E">
            <w:pPr>
              <w:rPr>
                <w:b/>
                <w:bCs/>
              </w:rPr>
            </w:pPr>
            <w:r>
              <w:rPr>
                <w:b/>
                <w:bCs/>
              </w:rPr>
              <w:t>Comments</w:t>
            </w:r>
          </w:p>
        </w:tc>
      </w:tr>
      <w:tr w:rsidR="00726C99" w:rsidRPr="006C5BA9" w14:paraId="17E9F65C" w14:textId="77777777" w:rsidTr="00314CF4">
        <w:trPr>
          <w:trHeight w:val="1776"/>
        </w:trPr>
        <w:tc>
          <w:tcPr>
            <w:tcW w:w="1413" w:type="dxa"/>
            <w:shd w:val="clear" w:color="auto" w:fill="F2F2F2" w:themeFill="background2" w:themeFillShade="F2"/>
          </w:tcPr>
          <w:p w14:paraId="7F895F94" w14:textId="7B5CD5A6" w:rsidR="00726C99" w:rsidRDefault="00726C99" w:rsidP="00C7423C">
            <w:r w:rsidRPr="006C5BA9">
              <w:t>2.</w:t>
            </w:r>
            <w:r w:rsidR="00C7423C">
              <w:t>6</w:t>
            </w:r>
          </w:p>
        </w:tc>
        <w:tc>
          <w:tcPr>
            <w:tcW w:w="4961" w:type="dxa"/>
            <w:shd w:val="clear" w:color="auto" w:fill="F2F2F2" w:themeFill="background2" w:themeFillShade="F2"/>
          </w:tcPr>
          <w:p w14:paraId="7AEB4D6E" w14:textId="77777777" w:rsidR="00CD2DAD" w:rsidRPr="00CD2DAD" w:rsidRDefault="00CD2DAD" w:rsidP="00CD2DAD">
            <w:pPr>
              <w:ind w:left="13" w:hanging="13"/>
            </w:pPr>
            <w:r w:rsidRPr="00CD2DAD">
              <w:t>Where it is reasonable for an agency to consult further with an applicant to make the request compliant with section 17 of the Act, where practicable, the agency must respond to the applicant within 14 days of receiving each round of correspondence from the applicant, notifying the applicant of the information in Standard 2.4 that would make the request compliant with section 17 of the Act.</w:t>
            </w:r>
          </w:p>
          <w:p w14:paraId="045C0BE7" w14:textId="77777777" w:rsidR="00CD2DAD" w:rsidRPr="00CD2DAD" w:rsidRDefault="00CD2DAD" w:rsidP="00CD2DAD">
            <w:pPr>
              <w:ind w:left="13" w:hanging="13"/>
            </w:pPr>
            <w:r w:rsidRPr="00CD2DAD">
              <w:rPr>
                <w:i/>
                <w:iCs/>
              </w:rPr>
              <w:t>Note: Standard 2.6 applies to correspondence from an applicant that is received by an agency within 21 days of the date the agency first notified the applicant of the information in Standard 2.4.</w:t>
            </w:r>
          </w:p>
          <w:p w14:paraId="683CAD2E" w14:textId="693E8D4B" w:rsidR="00726C99" w:rsidRDefault="00726C99" w:rsidP="009E76F0"/>
        </w:tc>
        <w:tc>
          <w:tcPr>
            <w:tcW w:w="2977" w:type="dxa"/>
            <w:shd w:val="clear" w:color="auto" w:fill="F2F2F2" w:themeFill="background2" w:themeFillShade="F2"/>
          </w:tcPr>
          <w:p w14:paraId="7ACCA52F" w14:textId="2263F777" w:rsidR="00726C99" w:rsidRPr="006C5BA9" w:rsidRDefault="00D83767" w:rsidP="00A3772E">
            <w:r>
              <w:rPr>
                <w:rFonts w:cstheme="majorHAnsi"/>
              </w:rPr>
              <w:t xml:space="preserve">OVIC supports </w:t>
            </w:r>
            <w:r w:rsidR="00554069">
              <w:rPr>
                <w:rFonts w:cstheme="majorHAnsi"/>
              </w:rPr>
              <w:t xml:space="preserve">this recommendation aiming </w:t>
            </w:r>
            <w:r>
              <w:rPr>
                <w:rFonts w:cstheme="majorHAnsi"/>
              </w:rPr>
              <w:t xml:space="preserve">to ensure </w:t>
            </w:r>
            <w:r w:rsidRPr="0082540D">
              <w:rPr>
                <w:rFonts w:cstheme="majorHAnsi"/>
              </w:rPr>
              <w:t xml:space="preserve">further </w:t>
            </w:r>
            <w:r w:rsidR="009C779E">
              <w:rPr>
                <w:rFonts w:cstheme="majorHAnsi"/>
              </w:rPr>
              <w:t>correspondence by an agency is</w:t>
            </w:r>
            <w:r>
              <w:rPr>
                <w:rFonts w:cstheme="majorHAnsi"/>
              </w:rPr>
              <w:t xml:space="preserve"> made </w:t>
            </w:r>
            <w:r w:rsidRPr="0082540D">
              <w:rPr>
                <w:rFonts w:cstheme="majorHAnsi"/>
              </w:rPr>
              <w:t>within a specific time frame</w:t>
            </w:r>
            <w:r>
              <w:rPr>
                <w:rFonts w:cstheme="majorHAnsi"/>
              </w:rPr>
              <w:t xml:space="preserve"> to reduce delays.</w:t>
            </w:r>
          </w:p>
        </w:tc>
      </w:tr>
      <w:tr w:rsidR="003E2F49" w14:paraId="139E74B8" w14:textId="77777777" w:rsidTr="00314CF4">
        <w:tc>
          <w:tcPr>
            <w:tcW w:w="1413" w:type="dxa"/>
            <w:shd w:val="clear" w:color="auto" w:fill="F2F2F2" w:themeFill="background2" w:themeFillShade="F2"/>
          </w:tcPr>
          <w:p w14:paraId="70D2FAB2" w14:textId="28FBFFC8" w:rsidR="003E2F49" w:rsidRDefault="003E2F49" w:rsidP="00C7423C">
            <w:r>
              <w:t>2.</w:t>
            </w:r>
            <w:r w:rsidR="00084807">
              <w:t>7</w:t>
            </w:r>
          </w:p>
        </w:tc>
        <w:tc>
          <w:tcPr>
            <w:tcW w:w="4961" w:type="dxa"/>
            <w:shd w:val="clear" w:color="auto" w:fill="F2F2F2" w:themeFill="background2" w:themeFillShade="F2"/>
          </w:tcPr>
          <w:p w14:paraId="3F418D91" w14:textId="57F03EFF" w:rsidR="00813A9A" w:rsidRDefault="003E2F49" w:rsidP="00813A9A">
            <w:pPr>
              <w:ind w:left="32"/>
              <w:rPr>
                <w:rFonts w:cstheme="majorHAnsi"/>
              </w:rPr>
            </w:pPr>
            <w:r>
              <w:t xml:space="preserve">Where an </w:t>
            </w:r>
            <w:r w:rsidRPr="006C5BA9">
              <w:t xml:space="preserve">agency receives a request, </w:t>
            </w:r>
            <w:r w:rsidR="00813A9A">
              <w:t xml:space="preserve">it </w:t>
            </w:r>
            <w:r w:rsidRPr="006C5BA9">
              <w:t xml:space="preserve">must take reasonable steps to notify the applicant </w:t>
            </w:r>
            <w:r>
              <w:t>that the request has been received</w:t>
            </w:r>
            <w:r w:rsidR="00813A9A">
              <w:rPr>
                <w:rFonts w:eastAsia="Arial" w:cstheme="majorHAnsi"/>
                <w:lang w:eastAsia="en-AU" w:bidi="en-AU"/>
              </w:rPr>
              <w:t xml:space="preserve"> within</w:t>
            </w:r>
            <w:r w:rsidRPr="003E2F49">
              <w:rPr>
                <w:rFonts w:cstheme="majorHAnsi"/>
              </w:rPr>
              <w:t xml:space="preserve"> 1</w:t>
            </w:r>
            <w:r w:rsidR="007D65EE">
              <w:rPr>
                <w:rFonts w:cstheme="majorHAnsi"/>
              </w:rPr>
              <w:t>4</w:t>
            </w:r>
            <w:r w:rsidRPr="003E2F49">
              <w:rPr>
                <w:rFonts w:cstheme="majorHAnsi"/>
              </w:rPr>
              <w:t xml:space="preserve"> days</w:t>
            </w:r>
            <w:r w:rsidR="00813A9A">
              <w:rPr>
                <w:rFonts w:cstheme="majorHAnsi"/>
              </w:rPr>
              <w:t xml:space="preserve"> of receiving the request</w:t>
            </w:r>
            <w:r w:rsidRPr="003E2F49">
              <w:rPr>
                <w:rFonts w:cstheme="majorHAnsi"/>
              </w:rPr>
              <w:t xml:space="preserve">. </w:t>
            </w:r>
          </w:p>
          <w:p w14:paraId="3F2B5ED6" w14:textId="009E1CD3" w:rsidR="00FD3B15" w:rsidRPr="00FD3B15" w:rsidRDefault="00FD3B15" w:rsidP="00FD3B15">
            <w:pPr>
              <w:ind w:left="32"/>
              <w:rPr>
                <w:rFonts w:cstheme="majorHAnsi"/>
                <w:i/>
                <w:iCs/>
              </w:rPr>
            </w:pPr>
            <w:r w:rsidRPr="00FD3B15">
              <w:rPr>
                <w:rFonts w:cstheme="majorHAnsi"/>
                <w:i/>
                <w:iCs/>
              </w:rPr>
              <w:t>Note: the following information should also be included, where possible:</w:t>
            </w:r>
          </w:p>
          <w:p w14:paraId="7DE209A3" w14:textId="77777777" w:rsidR="00FD3B15" w:rsidRPr="00FD3B15" w:rsidRDefault="00FD3B15" w:rsidP="00FD3B15">
            <w:pPr>
              <w:numPr>
                <w:ilvl w:val="0"/>
                <w:numId w:val="55"/>
              </w:numPr>
              <w:rPr>
                <w:rFonts w:cstheme="majorHAnsi"/>
                <w:i/>
                <w:iCs/>
              </w:rPr>
            </w:pPr>
            <w:r w:rsidRPr="00FD3B15">
              <w:rPr>
                <w:rFonts w:cstheme="majorHAnsi"/>
                <w:i/>
                <w:iCs/>
              </w:rPr>
              <w:t>date the request became valid;</w:t>
            </w:r>
          </w:p>
          <w:p w14:paraId="6398A082" w14:textId="77777777" w:rsidR="00FD3B15" w:rsidRPr="00FD3B15" w:rsidRDefault="00FD3B15" w:rsidP="00FD3B15">
            <w:pPr>
              <w:numPr>
                <w:ilvl w:val="0"/>
                <w:numId w:val="55"/>
              </w:numPr>
              <w:rPr>
                <w:rFonts w:cstheme="majorHAnsi"/>
                <w:i/>
                <w:iCs/>
              </w:rPr>
            </w:pPr>
            <w:r w:rsidRPr="00FD3B15">
              <w:rPr>
                <w:rFonts w:cstheme="majorHAnsi"/>
                <w:i/>
                <w:iCs/>
              </w:rPr>
              <w:t>due date for notifying the applicant of a decision on the request;</w:t>
            </w:r>
          </w:p>
          <w:p w14:paraId="71528373" w14:textId="77777777" w:rsidR="00FD3B15" w:rsidRPr="00FD3B15" w:rsidRDefault="00FD3B15" w:rsidP="00FD3B15">
            <w:pPr>
              <w:numPr>
                <w:ilvl w:val="0"/>
                <w:numId w:val="55"/>
              </w:numPr>
              <w:rPr>
                <w:rFonts w:cstheme="majorHAnsi"/>
                <w:i/>
                <w:iCs/>
              </w:rPr>
            </w:pPr>
            <w:r w:rsidRPr="00FD3B15">
              <w:rPr>
                <w:rFonts w:cstheme="majorHAnsi"/>
                <w:i/>
                <w:iCs/>
              </w:rPr>
              <w:t>terms of the request (this may be the wording of an original valid request or the wording of a clarified valid request);</w:t>
            </w:r>
          </w:p>
          <w:p w14:paraId="0589C605" w14:textId="444B5914" w:rsidR="00FD3B15" w:rsidRPr="00FD3B15" w:rsidRDefault="00FD3B15" w:rsidP="00FD3B15">
            <w:pPr>
              <w:numPr>
                <w:ilvl w:val="0"/>
                <w:numId w:val="55"/>
              </w:numPr>
              <w:rPr>
                <w:rFonts w:cstheme="majorHAnsi"/>
                <w:i/>
                <w:iCs/>
              </w:rPr>
            </w:pPr>
            <w:r w:rsidRPr="00FD3B15">
              <w:rPr>
                <w:rFonts w:cstheme="majorHAnsi"/>
                <w:i/>
                <w:iCs/>
              </w:rPr>
              <w:t>possibility that the processing time may be extended by up to 15 days if third party consultation is required, or by 30 days by agreement with the applicant</w:t>
            </w:r>
            <w:r w:rsidR="0098129D">
              <w:rPr>
                <w:rFonts w:cstheme="majorHAnsi"/>
                <w:i/>
                <w:iCs/>
              </w:rPr>
              <w:t>;</w:t>
            </w:r>
          </w:p>
          <w:p w14:paraId="2ADF55E0" w14:textId="7DACC4F1" w:rsidR="00FD3B15" w:rsidRPr="00FD3B15" w:rsidRDefault="0098129D" w:rsidP="00FD3B15">
            <w:pPr>
              <w:numPr>
                <w:ilvl w:val="0"/>
                <w:numId w:val="55"/>
              </w:numPr>
              <w:rPr>
                <w:rFonts w:cstheme="majorHAnsi"/>
                <w:i/>
                <w:iCs/>
              </w:rPr>
            </w:pPr>
            <w:r>
              <w:rPr>
                <w:rFonts w:cstheme="majorHAnsi"/>
                <w:i/>
                <w:iCs/>
              </w:rPr>
              <w:t>d</w:t>
            </w:r>
            <w:r w:rsidR="00FD3B15" w:rsidRPr="00FD3B15">
              <w:rPr>
                <w:rFonts w:cstheme="majorHAnsi"/>
                <w:i/>
                <w:iCs/>
              </w:rPr>
              <w:t xml:space="preserve">etails about an applicant’s right to make a complaint to OVIC, and the right to apply to </w:t>
            </w:r>
            <w:r w:rsidR="00FD3B15" w:rsidRPr="00FD3B15">
              <w:rPr>
                <w:rFonts w:cstheme="majorHAnsi"/>
                <w:i/>
                <w:iCs/>
              </w:rPr>
              <w:lastRenderedPageBreak/>
              <w:t>the Victorian Civil and Administrative Tribunal (</w:t>
            </w:r>
            <w:r w:rsidR="00FD3B15" w:rsidRPr="00FD3B15">
              <w:rPr>
                <w:rFonts w:cstheme="majorHAnsi"/>
                <w:b/>
                <w:bCs/>
                <w:i/>
                <w:iCs/>
              </w:rPr>
              <w:t>VCAT</w:t>
            </w:r>
            <w:r w:rsidR="00FD3B15" w:rsidRPr="00FD3B15">
              <w:rPr>
                <w:rFonts w:cstheme="majorHAnsi"/>
                <w:i/>
                <w:iCs/>
              </w:rPr>
              <w:t>)</w:t>
            </w:r>
            <w:r w:rsidR="00FD3B15">
              <w:rPr>
                <w:rFonts w:cstheme="majorHAnsi"/>
                <w:i/>
                <w:iCs/>
              </w:rPr>
              <w:t xml:space="preserve"> on a deemed refusal.</w:t>
            </w:r>
          </w:p>
          <w:p w14:paraId="74270CEE" w14:textId="463CD8C7" w:rsidR="003E2F49" w:rsidRPr="00D85E42" w:rsidRDefault="00813A9A" w:rsidP="009E76F0">
            <w:pPr>
              <w:ind w:left="32"/>
              <w:rPr>
                <w:i/>
                <w:iCs/>
              </w:rPr>
            </w:pPr>
            <w:r w:rsidRPr="00813A9A">
              <w:rPr>
                <w:rFonts w:cstheme="majorHAnsi"/>
                <w:i/>
                <w:iCs/>
              </w:rPr>
              <w:t xml:space="preserve">Note: </w:t>
            </w:r>
            <w:r w:rsidR="003E2F49" w:rsidRPr="00813A9A">
              <w:rPr>
                <w:rFonts w:cstheme="majorHAnsi"/>
                <w:i/>
                <w:iCs/>
              </w:rPr>
              <w:t>An acknowledgement may be a system generated email</w:t>
            </w:r>
            <w:r>
              <w:rPr>
                <w:rFonts w:cstheme="majorHAnsi"/>
                <w:i/>
                <w:iCs/>
              </w:rPr>
              <w:t xml:space="preserve"> or letter, </w:t>
            </w:r>
            <w:r w:rsidR="003E2F49" w:rsidRPr="00813A9A">
              <w:rPr>
                <w:rFonts w:cstheme="majorHAnsi"/>
                <w:i/>
                <w:iCs/>
              </w:rPr>
              <w:t>depending on how the FOI request was submitted.</w:t>
            </w:r>
          </w:p>
        </w:tc>
        <w:tc>
          <w:tcPr>
            <w:tcW w:w="2977" w:type="dxa"/>
            <w:shd w:val="clear" w:color="auto" w:fill="F2F2F2" w:themeFill="background2" w:themeFillShade="F2"/>
          </w:tcPr>
          <w:p w14:paraId="3C10DC64" w14:textId="77777777" w:rsidR="003E2F49" w:rsidRDefault="003E2F49" w:rsidP="000940E3">
            <w:pPr>
              <w:pStyle w:val="TableParagraph"/>
              <w:spacing w:before="120" w:after="240" w:line="259" w:lineRule="auto"/>
              <w:ind w:left="33" w:right="96"/>
              <w:rPr>
                <w:rFonts w:ascii="Calibri Light" w:hAnsi="Calibri Light" w:cs="Calibri Light"/>
              </w:rPr>
            </w:pPr>
            <w:r w:rsidRPr="003E2F49">
              <w:rPr>
                <w:rStyle w:val="cf01"/>
                <w:rFonts w:ascii="Calibri Light" w:hAnsi="Calibri Light" w:cs="Calibri Light"/>
                <w:sz w:val="22"/>
                <w:szCs w:val="22"/>
              </w:rPr>
              <w:lastRenderedPageBreak/>
              <w:t xml:space="preserve">OVIC considers it best practice for FOI requests to be acknowledged by agencies. This recommendation aligns with practices in other </w:t>
            </w:r>
            <w:r w:rsidRPr="003E2F49">
              <w:rPr>
                <w:rFonts w:ascii="Calibri Light" w:hAnsi="Calibri Light" w:cs="Calibri Light"/>
              </w:rPr>
              <w:t>FOI jurisdictions which require</w:t>
            </w:r>
            <w:r w:rsidRPr="003E2F49">
              <w:rPr>
                <w:rFonts w:ascii="Calibri Light" w:hAnsi="Calibri Light" w:cs="Calibri Light"/>
                <w:spacing w:val="-11"/>
              </w:rPr>
              <w:t xml:space="preserve"> </w:t>
            </w:r>
            <w:r w:rsidRPr="003E2F49">
              <w:rPr>
                <w:rFonts w:ascii="Calibri Light" w:hAnsi="Calibri Light" w:cs="Calibri Light"/>
              </w:rPr>
              <w:t>agencies</w:t>
            </w:r>
            <w:r w:rsidRPr="003E2F49">
              <w:rPr>
                <w:rFonts w:ascii="Calibri Light" w:hAnsi="Calibri Light" w:cs="Calibri Light"/>
                <w:spacing w:val="-12"/>
              </w:rPr>
              <w:t xml:space="preserve"> </w:t>
            </w:r>
            <w:r w:rsidRPr="003E2F49">
              <w:rPr>
                <w:rFonts w:ascii="Calibri Light" w:hAnsi="Calibri Light" w:cs="Calibri Light"/>
              </w:rPr>
              <w:t>to</w:t>
            </w:r>
            <w:r w:rsidRPr="003E2F49">
              <w:rPr>
                <w:rFonts w:ascii="Calibri Light" w:hAnsi="Calibri Light" w:cs="Calibri Light"/>
                <w:spacing w:val="-13"/>
              </w:rPr>
              <w:t xml:space="preserve"> </w:t>
            </w:r>
            <w:r w:rsidRPr="003E2F49">
              <w:rPr>
                <w:rFonts w:ascii="Calibri Light" w:hAnsi="Calibri Light" w:cs="Calibri Light"/>
              </w:rPr>
              <w:t>notify</w:t>
            </w:r>
            <w:r w:rsidRPr="003E2F49">
              <w:rPr>
                <w:rFonts w:ascii="Calibri Light" w:hAnsi="Calibri Light" w:cs="Calibri Light"/>
                <w:spacing w:val="-12"/>
              </w:rPr>
              <w:t xml:space="preserve"> </w:t>
            </w:r>
            <w:r w:rsidRPr="003E2F49">
              <w:rPr>
                <w:rFonts w:ascii="Calibri Light" w:hAnsi="Calibri Light" w:cs="Calibri Light"/>
              </w:rPr>
              <w:t>applicants</w:t>
            </w:r>
            <w:r w:rsidRPr="003E2F49">
              <w:rPr>
                <w:rFonts w:ascii="Calibri Light" w:hAnsi="Calibri Light" w:cs="Calibri Light"/>
                <w:spacing w:val="-9"/>
              </w:rPr>
              <w:t xml:space="preserve"> </w:t>
            </w:r>
            <w:r w:rsidRPr="003E2F49">
              <w:rPr>
                <w:rFonts w:ascii="Calibri Light" w:hAnsi="Calibri Light" w:cs="Calibri Light"/>
              </w:rPr>
              <w:t>of receipt or validity of their</w:t>
            </w:r>
            <w:r w:rsidRPr="003E2F49">
              <w:rPr>
                <w:rFonts w:ascii="Calibri Light" w:hAnsi="Calibri Light" w:cs="Calibri Light"/>
                <w:spacing w:val="-8"/>
              </w:rPr>
              <w:t xml:space="preserve"> </w:t>
            </w:r>
            <w:r w:rsidRPr="003E2F49">
              <w:rPr>
                <w:rFonts w:ascii="Calibri Light" w:hAnsi="Calibri Light" w:cs="Calibri Light"/>
              </w:rPr>
              <w:t>request.</w:t>
            </w:r>
          </w:p>
          <w:p w14:paraId="2E8085EC" w14:textId="60E68A96" w:rsidR="007D65EE" w:rsidRDefault="007D65EE" w:rsidP="00A3772E">
            <w:pPr>
              <w:pStyle w:val="TableParagraph"/>
              <w:spacing w:before="120" w:after="240" w:line="259" w:lineRule="auto"/>
              <w:ind w:right="96"/>
            </w:pPr>
          </w:p>
        </w:tc>
      </w:tr>
      <w:tr w:rsidR="00196573" w14:paraId="25FDD4A5" w14:textId="77777777" w:rsidTr="00314CF4">
        <w:tc>
          <w:tcPr>
            <w:tcW w:w="1413" w:type="dxa"/>
            <w:shd w:val="clear" w:color="auto" w:fill="F2F2F2" w:themeFill="background2" w:themeFillShade="F2"/>
          </w:tcPr>
          <w:p w14:paraId="6D9E0D0F" w14:textId="02DC6B8C" w:rsidR="00196573" w:rsidRDefault="00196573" w:rsidP="00C7423C">
            <w:r w:rsidRPr="00FD3B15">
              <w:t>2.</w:t>
            </w:r>
            <w:r w:rsidR="00FD3B15" w:rsidRPr="00FD3B15">
              <w:t>8</w:t>
            </w:r>
          </w:p>
        </w:tc>
        <w:tc>
          <w:tcPr>
            <w:tcW w:w="4961" w:type="dxa"/>
            <w:shd w:val="clear" w:color="auto" w:fill="F2F2F2" w:themeFill="background2" w:themeFillShade="F2"/>
          </w:tcPr>
          <w:p w14:paraId="145984A1" w14:textId="77777777" w:rsidR="00CD2DAD" w:rsidRPr="00CD2DAD" w:rsidRDefault="00CD2DAD" w:rsidP="00A3772E">
            <w:pPr>
              <w:ind w:left="32"/>
            </w:pPr>
            <w:r w:rsidRPr="00CD2DAD">
              <w:t>Where an agency receives an application to waive or reduce the application fee under section 17(2B) of the Act, the agency must decide the application or request further information in support of the application, within 14</w:t>
            </w:r>
            <w:r w:rsidRPr="00A3772E">
              <w:rPr>
                <w:b/>
                <w:bCs/>
              </w:rPr>
              <w:t xml:space="preserve"> </w:t>
            </w:r>
            <w:r w:rsidRPr="00CD2DAD">
              <w:t>days of receiving the application.</w:t>
            </w:r>
          </w:p>
          <w:p w14:paraId="6367EF35" w14:textId="5B48D67E" w:rsidR="00196573" w:rsidRDefault="00196573" w:rsidP="00813A9A">
            <w:pPr>
              <w:ind w:left="32"/>
            </w:pPr>
          </w:p>
        </w:tc>
        <w:tc>
          <w:tcPr>
            <w:tcW w:w="2977" w:type="dxa"/>
            <w:shd w:val="clear" w:color="auto" w:fill="F2F2F2" w:themeFill="background2" w:themeFillShade="F2"/>
          </w:tcPr>
          <w:p w14:paraId="094F6C3E" w14:textId="2B79A4BF" w:rsidR="00CD2DAD" w:rsidRPr="00CD2DAD" w:rsidRDefault="00CD2DAD" w:rsidP="000940E3">
            <w:pPr>
              <w:pStyle w:val="TableParagraph"/>
              <w:spacing w:line="259" w:lineRule="auto"/>
              <w:ind w:left="33"/>
              <w:rPr>
                <w:rFonts w:asciiTheme="majorHAnsi" w:hAnsiTheme="majorHAnsi" w:cstheme="majorHAnsi"/>
              </w:rPr>
            </w:pPr>
            <w:r w:rsidRPr="00CD2DAD">
              <w:rPr>
                <w:rFonts w:asciiTheme="majorHAnsi" w:hAnsiTheme="majorHAnsi" w:cstheme="majorHAnsi"/>
              </w:rPr>
              <w:t>OVIC supports the recommendation to create a new Standard requiring agencies to make a decision to waive or reduce the fee or seek further information from the applicant in support of their request for a fee waiver/reduction, within a reasonable time</w:t>
            </w:r>
            <w:r w:rsidR="001752B9">
              <w:rPr>
                <w:rFonts w:asciiTheme="majorHAnsi" w:hAnsiTheme="majorHAnsi" w:cstheme="majorHAnsi"/>
              </w:rPr>
              <w:t xml:space="preserve"> frame</w:t>
            </w:r>
            <w:r w:rsidRPr="00CD2DAD">
              <w:rPr>
                <w:rFonts w:asciiTheme="majorHAnsi" w:hAnsiTheme="majorHAnsi" w:cstheme="majorHAnsi"/>
              </w:rPr>
              <w:t>.</w:t>
            </w:r>
          </w:p>
          <w:p w14:paraId="2550C0B6" w14:textId="1B7A235E" w:rsidR="00196573" w:rsidRPr="003E2F49" w:rsidRDefault="00CD2DAD" w:rsidP="000940E3">
            <w:pPr>
              <w:pStyle w:val="TableParagraph"/>
              <w:spacing w:before="120" w:after="240" w:line="259" w:lineRule="auto"/>
              <w:ind w:left="33" w:right="96"/>
              <w:rPr>
                <w:rStyle w:val="cf01"/>
                <w:rFonts w:ascii="Calibri Light" w:hAnsi="Calibri Light" w:cs="Calibri Light"/>
                <w:sz w:val="22"/>
                <w:szCs w:val="22"/>
              </w:rPr>
            </w:pPr>
            <w:r w:rsidRPr="00CD2DAD">
              <w:rPr>
                <w:rFonts w:asciiTheme="majorHAnsi" w:hAnsiTheme="majorHAnsi" w:cstheme="majorHAnsi"/>
              </w:rPr>
              <w:t>OVIC considers that 14 days is a reasonable time</w:t>
            </w:r>
            <w:r w:rsidR="001752B9">
              <w:rPr>
                <w:rFonts w:asciiTheme="majorHAnsi" w:hAnsiTheme="majorHAnsi" w:cstheme="majorHAnsi"/>
              </w:rPr>
              <w:t xml:space="preserve"> frame</w:t>
            </w:r>
            <w:r w:rsidRPr="00CD2DAD">
              <w:rPr>
                <w:rFonts w:asciiTheme="majorHAnsi" w:hAnsiTheme="majorHAnsi" w:cstheme="majorHAnsi"/>
              </w:rPr>
              <w:t xml:space="preserve"> to make a decision on an application to waive or reduce the application fee.</w:t>
            </w:r>
          </w:p>
        </w:tc>
      </w:tr>
      <w:tr w:rsidR="00196573" w14:paraId="638EF733" w14:textId="77777777" w:rsidTr="00314CF4">
        <w:tc>
          <w:tcPr>
            <w:tcW w:w="1413" w:type="dxa"/>
            <w:shd w:val="clear" w:color="auto" w:fill="F2F2F2" w:themeFill="background2" w:themeFillShade="F2"/>
          </w:tcPr>
          <w:p w14:paraId="22F57172" w14:textId="1431979B" w:rsidR="00196573" w:rsidRDefault="00196573" w:rsidP="00C7423C">
            <w:r w:rsidRPr="00BE34E0">
              <w:t>2.</w:t>
            </w:r>
            <w:r w:rsidR="00BE34E0" w:rsidRPr="00BE34E0">
              <w:t>9</w:t>
            </w:r>
          </w:p>
        </w:tc>
        <w:tc>
          <w:tcPr>
            <w:tcW w:w="4961" w:type="dxa"/>
            <w:shd w:val="clear" w:color="auto" w:fill="F2F2F2" w:themeFill="background2" w:themeFillShade="F2"/>
          </w:tcPr>
          <w:p w14:paraId="3A41C28C" w14:textId="77777777" w:rsidR="00CD2DAD" w:rsidRPr="00CD2DAD" w:rsidRDefault="00CD2DAD" w:rsidP="00CD2DAD">
            <w:r w:rsidRPr="00CD2DAD">
              <w:t xml:space="preserve">Where an agency transfers a request to another agency under section 18 of the Act: </w:t>
            </w:r>
          </w:p>
          <w:p w14:paraId="66B2280F" w14:textId="77777777" w:rsidR="00CD2DAD" w:rsidRDefault="00CD2DAD" w:rsidP="00AA1439">
            <w:pPr>
              <w:pStyle w:val="ListParagraph"/>
              <w:numPr>
                <w:ilvl w:val="0"/>
                <w:numId w:val="57"/>
              </w:numPr>
              <w:ind w:left="889" w:hanging="567"/>
            </w:pPr>
            <w:r w:rsidRPr="00CD2DAD">
              <w:t>the agency must action the transfer within 14 days of receiving the request, and</w:t>
            </w:r>
          </w:p>
          <w:p w14:paraId="3D0DF117" w14:textId="326601BB" w:rsidR="002867DB" w:rsidRDefault="00CD2DAD" w:rsidP="00AA1439">
            <w:pPr>
              <w:pStyle w:val="ListParagraph"/>
              <w:numPr>
                <w:ilvl w:val="0"/>
                <w:numId w:val="57"/>
              </w:numPr>
              <w:ind w:left="889" w:hanging="567"/>
            </w:pPr>
            <w:r w:rsidRPr="00CD2DAD">
              <w:t>the agency must, as soon as practicable after transferring the application, notify the applicant that their application has been transferred and the name of the agency to which it has been</w:t>
            </w:r>
            <w:r w:rsidR="00956A84">
              <w:t xml:space="preserve"> transferred</w:t>
            </w:r>
            <w:r w:rsidR="00B8401F">
              <w:t>.</w:t>
            </w:r>
          </w:p>
        </w:tc>
        <w:tc>
          <w:tcPr>
            <w:tcW w:w="2977" w:type="dxa"/>
            <w:shd w:val="clear" w:color="auto" w:fill="F2F2F2" w:themeFill="background2" w:themeFillShade="F2"/>
          </w:tcPr>
          <w:p w14:paraId="5AE6CE8E" w14:textId="72DC6D2F" w:rsidR="00196573" w:rsidRDefault="000F44AE" w:rsidP="000940E3">
            <w:pPr>
              <w:pStyle w:val="TableParagraph"/>
              <w:spacing w:before="120" w:after="240" w:line="259" w:lineRule="auto"/>
              <w:ind w:left="33" w:right="96"/>
              <w:rPr>
                <w:rFonts w:asciiTheme="majorHAnsi" w:hAnsiTheme="majorHAnsi" w:cstheme="majorHAnsi"/>
              </w:rPr>
            </w:pPr>
            <w:r>
              <w:rPr>
                <w:rFonts w:asciiTheme="majorHAnsi" w:hAnsiTheme="majorHAnsi" w:cstheme="majorHAnsi"/>
              </w:rPr>
              <w:t>OVIC considers a new Standard is appropriate to specify a timeframe in which an agency should transfer an FOI request to another agency to reduce delays and the impact to the receiving agency.</w:t>
            </w:r>
            <w:r w:rsidR="00BE34E0">
              <w:rPr>
                <w:rFonts w:asciiTheme="majorHAnsi" w:hAnsiTheme="majorHAnsi" w:cstheme="majorHAnsi"/>
              </w:rPr>
              <w:t xml:space="preserve"> The applicant should be advised of the transfer as soon as practicable.</w:t>
            </w:r>
          </w:p>
        </w:tc>
      </w:tr>
    </w:tbl>
    <w:p w14:paraId="0E62362B" w14:textId="77777777" w:rsidR="003E2F49" w:rsidRDefault="003E2F49" w:rsidP="006C5BA9">
      <w:pPr>
        <w:rPr>
          <w:b/>
          <w:bCs/>
        </w:rPr>
      </w:pPr>
    </w:p>
    <w:p w14:paraId="34A7B0AC" w14:textId="357CC36E" w:rsidR="006C5BA9" w:rsidRPr="00565472" w:rsidRDefault="006C5BA9" w:rsidP="006C5BA9">
      <w:pPr>
        <w:rPr>
          <w:b/>
          <w:bCs/>
        </w:rPr>
      </w:pPr>
      <w:r w:rsidRPr="00565472">
        <w:rPr>
          <w:b/>
          <w:bCs/>
        </w:rPr>
        <w:t>Further Information</w:t>
      </w:r>
    </w:p>
    <w:p w14:paraId="20317D4B" w14:textId="77777777" w:rsidR="006C5BA9" w:rsidRDefault="006C5BA9" w:rsidP="006C5BA9">
      <w:pPr>
        <w:rPr>
          <w:rStyle w:val="Hyperlink"/>
          <w:b/>
          <w:bCs/>
        </w:rPr>
      </w:pPr>
      <w:hyperlink r:id="rId16" w:history="1">
        <w:r w:rsidRPr="00565472">
          <w:rPr>
            <w:rStyle w:val="Hyperlink"/>
            <w:b/>
            <w:bCs/>
          </w:rPr>
          <w:t>FOI Guidelines – Section 17 of the Act</w:t>
        </w:r>
      </w:hyperlink>
    </w:p>
    <w:tbl>
      <w:tblPr>
        <w:tblStyle w:val="TableGrid"/>
        <w:tblW w:w="0" w:type="auto"/>
        <w:tblLook w:val="04A0" w:firstRow="1" w:lastRow="0" w:firstColumn="1" w:lastColumn="0" w:noHBand="0" w:noVBand="1"/>
      </w:tblPr>
      <w:tblGrid>
        <w:gridCol w:w="9060"/>
      </w:tblGrid>
      <w:tr w:rsidR="00BE34E0" w:rsidRPr="00C7423C" w14:paraId="6D7F260B" w14:textId="77777777" w:rsidTr="00314CF4">
        <w:tc>
          <w:tcPr>
            <w:tcW w:w="9060" w:type="dxa"/>
            <w:shd w:val="clear" w:color="auto" w:fill="F2F2F2" w:themeFill="background2" w:themeFillShade="F2"/>
          </w:tcPr>
          <w:p w14:paraId="25133904" w14:textId="77777777" w:rsidR="00BE34E0" w:rsidRPr="00C7423C" w:rsidRDefault="00BE34E0" w:rsidP="00314A0A">
            <w:pPr>
              <w:rPr>
                <w:rStyle w:val="Hyperlink"/>
                <w:b/>
                <w:bCs/>
                <w:u w:val="none"/>
              </w:rPr>
            </w:pPr>
            <w:r w:rsidRPr="00C7423C">
              <w:rPr>
                <w:rStyle w:val="Hyperlink"/>
                <w:b/>
                <w:bCs/>
                <w:u w:val="none"/>
              </w:rPr>
              <w:t>Additional resource</w:t>
            </w:r>
          </w:p>
        </w:tc>
      </w:tr>
      <w:tr w:rsidR="00BE34E0" w:rsidRPr="00C7423C" w14:paraId="4A1F260A" w14:textId="77777777" w:rsidTr="00314CF4">
        <w:tc>
          <w:tcPr>
            <w:tcW w:w="9060" w:type="dxa"/>
            <w:shd w:val="clear" w:color="auto" w:fill="F2F2F2" w:themeFill="background2" w:themeFillShade="F2"/>
          </w:tcPr>
          <w:p w14:paraId="41E35ACC" w14:textId="0DE714F5" w:rsidR="00BE34E0" w:rsidRPr="00C7423C" w:rsidRDefault="00BE34E0" w:rsidP="00314A0A">
            <w:pPr>
              <w:rPr>
                <w:rStyle w:val="Hyperlink"/>
                <w:b/>
                <w:bCs/>
                <w:u w:val="none"/>
              </w:rPr>
            </w:pPr>
            <w:hyperlink r:id="rId17" w:history="1">
              <w:r w:rsidRPr="00BE34E0">
                <w:rPr>
                  <w:rStyle w:val="Hyperlink"/>
                  <w:b/>
                  <w:bCs/>
                </w:rPr>
                <w:t>FOI Guidelines – Section 18 of the Act</w:t>
              </w:r>
            </w:hyperlink>
          </w:p>
        </w:tc>
      </w:tr>
    </w:tbl>
    <w:p w14:paraId="25A072AD" w14:textId="77777777" w:rsidR="006C5BA9" w:rsidRPr="006C5BA9" w:rsidRDefault="006C5BA9" w:rsidP="00565472">
      <w:pPr>
        <w:pStyle w:val="Heading2"/>
      </w:pPr>
      <w:r w:rsidRPr="006C5BA9">
        <w:lastRenderedPageBreak/>
        <w:t>3. Extensions of time</w:t>
      </w:r>
    </w:p>
    <w:p w14:paraId="175C14D1" w14:textId="77777777" w:rsidR="006C5BA9" w:rsidRPr="006C5BA9" w:rsidRDefault="006C5BA9" w:rsidP="00565472">
      <w:pPr>
        <w:pStyle w:val="Heading3"/>
      </w:pPr>
      <w:r w:rsidRPr="006C5BA9">
        <w:t>Statement</w:t>
      </w:r>
    </w:p>
    <w:p w14:paraId="429751B8" w14:textId="77777777" w:rsidR="006C5BA9" w:rsidRPr="006C5BA9" w:rsidRDefault="006C5BA9" w:rsidP="006C5BA9">
      <w:r w:rsidRPr="006C5BA9">
        <w:t>An agency must take all reasonable steps to notify an applicant of a decision, as soon as practicable, but no later than 30 days after the day on which a valid request is received, or if the 30 day period is extended or further extended under section 21(2) of the Act, the day after the extended period ends – </w:t>
      </w:r>
      <w:r w:rsidRPr="006C5BA9">
        <w:rPr>
          <w:i/>
          <w:iCs/>
        </w:rPr>
        <w:t>section 21(1) of the Act</w:t>
      </w:r>
      <w:r w:rsidRPr="006C5BA9">
        <w:t>.</w:t>
      </w:r>
    </w:p>
    <w:p w14:paraId="4226D7BC" w14:textId="77777777" w:rsidR="006C5BA9" w:rsidRPr="006C5BA9" w:rsidRDefault="006C5BA9" w:rsidP="00565472">
      <w:pPr>
        <w:pStyle w:val="Heading3"/>
      </w:pPr>
      <w:r w:rsidRPr="006C5BA9">
        <w:t>Professional Standards</w:t>
      </w:r>
    </w:p>
    <w:p w14:paraId="672F239B" w14:textId="3EF9D9FD" w:rsidR="006C5BA9" w:rsidRPr="00BE34E0" w:rsidRDefault="006C5BA9" w:rsidP="00565472">
      <w:pPr>
        <w:ind w:left="720" w:hanging="720"/>
        <w:rPr>
          <w:strike/>
        </w:rPr>
      </w:pPr>
      <w:r w:rsidRPr="00BE34E0">
        <w:rPr>
          <w:strike/>
        </w:rPr>
        <w:t>3.1</w:t>
      </w:r>
      <w:r w:rsidR="00565472" w:rsidRPr="00BE34E0">
        <w:rPr>
          <w:strike/>
        </w:rPr>
        <w:tab/>
      </w:r>
      <w:r w:rsidRPr="00BE34E0">
        <w:rPr>
          <w:strike/>
        </w:rPr>
        <w:t>An agency must not extend the time under section 21(2)(a) of the Act to make a decision unless third party consultation:</w:t>
      </w:r>
    </w:p>
    <w:p w14:paraId="1675E91F" w14:textId="77777777" w:rsidR="006C5BA9" w:rsidRPr="00BE34E0" w:rsidRDefault="006C5BA9" w:rsidP="00565472">
      <w:pPr>
        <w:ind w:firstLine="720"/>
        <w:rPr>
          <w:strike/>
        </w:rPr>
      </w:pPr>
      <w:r w:rsidRPr="00BE34E0">
        <w:rPr>
          <w:strike/>
        </w:rPr>
        <w:t>(a) is being undertaken; or</w:t>
      </w:r>
    </w:p>
    <w:p w14:paraId="447D0EBF" w14:textId="77777777" w:rsidR="006C5BA9" w:rsidRPr="00BE34E0" w:rsidRDefault="006C5BA9" w:rsidP="00565472">
      <w:pPr>
        <w:ind w:firstLine="720"/>
        <w:rPr>
          <w:strike/>
        </w:rPr>
      </w:pPr>
      <w:r w:rsidRPr="00BE34E0">
        <w:rPr>
          <w:strike/>
        </w:rPr>
        <w:t>(b) will be undertaken.</w:t>
      </w:r>
    </w:p>
    <w:tbl>
      <w:tblPr>
        <w:tblStyle w:val="TableGrid"/>
        <w:tblW w:w="9239" w:type="dxa"/>
        <w:tblLook w:val="04A0" w:firstRow="1" w:lastRow="0" w:firstColumn="1" w:lastColumn="0" w:noHBand="0" w:noVBand="1"/>
      </w:tblPr>
      <w:tblGrid>
        <w:gridCol w:w="1295"/>
        <w:gridCol w:w="4796"/>
        <w:gridCol w:w="3148"/>
      </w:tblGrid>
      <w:tr w:rsidR="00894A7A" w:rsidRPr="00463F84" w14:paraId="40DD8038" w14:textId="77777777" w:rsidTr="00AE24DE">
        <w:trPr>
          <w:trHeight w:val="311"/>
        </w:trPr>
        <w:tc>
          <w:tcPr>
            <w:tcW w:w="1295" w:type="dxa"/>
            <w:shd w:val="clear" w:color="auto" w:fill="F2F2F2" w:themeFill="background2" w:themeFillShade="F2"/>
          </w:tcPr>
          <w:p w14:paraId="5BC7A42B" w14:textId="77777777" w:rsidR="00894A7A" w:rsidRPr="00463F84" w:rsidRDefault="00894A7A" w:rsidP="00C7423C">
            <w:pPr>
              <w:rPr>
                <w:b/>
                <w:bCs/>
              </w:rPr>
            </w:pPr>
            <w:r>
              <w:rPr>
                <w:b/>
                <w:bCs/>
              </w:rPr>
              <w:t>Amended Standard</w:t>
            </w:r>
          </w:p>
        </w:tc>
        <w:tc>
          <w:tcPr>
            <w:tcW w:w="4796" w:type="dxa"/>
            <w:shd w:val="clear" w:color="auto" w:fill="F2F2F2" w:themeFill="background2" w:themeFillShade="F2"/>
          </w:tcPr>
          <w:p w14:paraId="14F1EEC0" w14:textId="77777777" w:rsidR="00894A7A" w:rsidRPr="00463F84" w:rsidRDefault="00894A7A" w:rsidP="00C7423C">
            <w:pPr>
              <w:rPr>
                <w:b/>
                <w:bCs/>
              </w:rPr>
            </w:pPr>
            <w:r w:rsidRPr="00463F84">
              <w:rPr>
                <w:b/>
                <w:bCs/>
              </w:rPr>
              <w:t xml:space="preserve">Draft </w:t>
            </w:r>
            <w:r>
              <w:rPr>
                <w:b/>
                <w:bCs/>
              </w:rPr>
              <w:t>Standard</w:t>
            </w:r>
          </w:p>
        </w:tc>
        <w:tc>
          <w:tcPr>
            <w:tcW w:w="3148" w:type="dxa"/>
            <w:shd w:val="clear" w:color="auto" w:fill="F2F2F2" w:themeFill="background2" w:themeFillShade="F2"/>
          </w:tcPr>
          <w:p w14:paraId="2060E929" w14:textId="77777777" w:rsidR="00894A7A" w:rsidRPr="00463F84" w:rsidRDefault="00894A7A" w:rsidP="00C7423C">
            <w:pPr>
              <w:rPr>
                <w:b/>
                <w:bCs/>
              </w:rPr>
            </w:pPr>
            <w:r>
              <w:rPr>
                <w:b/>
                <w:bCs/>
              </w:rPr>
              <w:t>Comments</w:t>
            </w:r>
          </w:p>
        </w:tc>
      </w:tr>
      <w:tr w:rsidR="00894A7A" w:rsidRPr="006C5BA9" w14:paraId="71D8DA47" w14:textId="77777777" w:rsidTr="00AE24DE">
        <w:trPr>
          <w:trHeight w:val="1776"/>
        </w:trPr>
        <w:tc>
          <w:tcPr>
            <w:tcW w:w="1295" w:type="dxa"/>
            <w:shd w:val="clear" w:color="auto" w:fill="F2F2F2" w:themeFill="background2" w:themeFillShade="F2"/>
          </w:tcPr>
          <w:p w14:paraId="0C8CB246" w14:textId="7EE8BC09" w:rsidR="00894A7A" w:rsidRDefault="00894A7A" w:rsidP="00C7423C">
            <w:r w:rsidRPr="006C5BA9">
              <w:t>3.1</w:t>
            </w:r>
          </w:p>
        </w:tc>
        <w:tc>
          <w:tcPr>
            <w:tcW w:w="4796" w:type="dxa"/>
            <w:shd w:val="clear" w:color="auto" w:fill="F2F2F2" w:themeFill="background2" w:themeFillShade="F2"/>
          </w:tcPr>
          <w:p w14:paraId="37ED6785" w14:textId="4A02F69E" w:rsidR="00894A7A" w:rsidRDefault="00894A7A" w:rsidP="00894A7A">
            <w:pPr>
              <w:ind w:left="13"/>
            </w:pPr>
            <w:r w:rsidRPr="006C5BA9">
              <w:t>An agency must not extend the time under section 21(2)(a) of the Act to make a decision unless</w:t>
            </w:r>
            <w:r>
              <w:t>:</w:t>
            </w:r>
          </w:p>
          <w:p w14:paraId="5D50B875" w14:textId="7CC1485A" w:rsidR="000D2BB2" w:rsidRDefault="00894A7A" w:rsidP="00AA1439">
            <w:pPr>
              <w:pStyle w:val="ListParagraph"/>
              <w:numPr>
                <w:ilvl w:val="0"/>
                <w:numId w:val="45"/>
              </w:numPr>
              <w:ind w:left="1004" w:hanging="567"/>
            </w:pPr>
            <w:r>
              <w:t xml:space="preserve">it has notified the applicant in writing that the time has been extended; and </w:t>
            </w:r>
          </w:p>
          <w:p w14:paraId="1A8DA0DE" w14:textId="44272735" w:rsidR="00894A7A" w:rsidRPr="006C5BA9" w:rsidRDefault="000D2BB2" w:rsidP="00AA1439">
            <w:pPr>
              <w:pStyle w:val="ListParagraph"/>
              <w:numPr>
                <w:ilvl w:val="0"/>
                <w:numId w:val="45"/>
              </w:numPr>
              <w:ind w:left="1004" w:hanging="567"/>
            </w:pPr>
            <w:r>
              <w:t>third party consu</w:t>
            </w:r>
            <w:r w:rsidR="00894A7A" w:rsidRPr="006C5BA9">
              <w:t>ltation:</w:t>
            </w:r>
          </w:p>
          <w:p w14:paraId="466131C0" w14:textId="632FF972" w:rsidR="00894A7A" w:rsidRPr="006C5BA9" w:rsidRDefault="00894A7A" w:rsidP="00AA1439">
            <w:pPr>
              <w:pStyle w:val="ListParagraph"/>
              <w:numPr>
                <w:ilvl w:val="0"/>
                <w:numId w:val="63"/>
              </w:numPr>
            </w:pPr>
            <w:r w:rsidRPr="006C5BA9">
              <w:t>is being undertaken; or</w:t>
            </w:r>
          </w:p>
          <w:p w14:paraId="0C9FD750" w14:textId="44B8B145" w:rsidR="00894A7A" w:rsidRDefault="00894A7A" w:rsidP="00AA1439">
            <w:pPr>
              <w:pStyle w:val="ListParagraph"/>
              <w:numPr>
                <w:ilvl w:val="0"/>
                <w:numId w:val="63"/>
              </w:numPr>
            </w:pPr>
            <w:r w:rsidRPr="006C5BA9">
              <w:t>(</w:t>
            </w:r>
            <w:r w:rsidR="000D2BB2">
              <w:t>ii</w:t>
            </w:r>
            <w:r w:rsidRPr="006C5BA9">
              <w:t>) will be undertaken.</w:t>
            </w:r>
          </w:p>
        </w:tc>
        <w:tc>
          <w:tcPr>
            <w:tcW w:w="3148" w:type="dxa"/>
            <w:shd w:val="clear" w:color="auto" w:fill="F2F2F2" w:themeFill="background2" w:themeFillShade="F2"/>
          </w:tcPr>
          <w:p w14:paraId="6B13CE29" w14:textId="6DAEFDF5" w:rsidR="00894A7A" w:rsidRPr="006C5BA9" w:rsidRDefault="00894A7A" w:rsidP="00C7423C">
            <w:r>
              <w:rPr>
                <w:rFonts w:cstheme="majorHAnsi"/>
              </w:rPr>
              <w:t>OVIC considers this amendment will improve applicants’ awareness and understanding</w:t>
            </w:r>
            <w:r w:rsidR="00F85592">
              <w:rPr>
                <w:rFonts w:cstheme="majorHAnsi"/>
              </w:rPr>
              <w:t xml:space="preserve"> that time can only be extended if the agency has first notified the applicant of the extension, and</w:t>
            </w:r>
            <w:r>
              <w:rPr>
                <w:rFonts w:cstheme="majorHAnsi"/>
              </w:rPr>
              <w:t xml:space="preserve"> </w:t>
            </w:r>
            <w:r w:rsidR="00F85592">
              <w:rPr>
                <w:rFonts w:cstheme="majorHAnsi"/>
              </w:rPr>
              <w:t>third party consultation is or will be undertaken</w:t>
            </w:r>
            <w:r>
              <w:rPr>
                <w:rFonts w:cstheme="majorHAnsi"/>
              </w:rPr>
              <w:t>.</w:t>
            </w:r>
          </w:p>
        </w:tc>
      </w:tr>
    </w:tbl>
    <w:p w14:paraId="7B35D8B5" w14:textId="77777777" w:rsidR="00894A7A" w:rsidRDefault="00894A7A" w:rsidP="00565472">
      <w:pPr>
        <w:ind w:firstLine="720"/>
      </w:pPr>
    </w:p>
    <w:p w14:paraId="0CAB8FFA" w14:textId="122CA318" w:rsidR="006C5BA9" w:rsidRPr="006C5BA9" w:rsidRDefault="006C5BA9" w:rsidP="00565472">
      <w:pPr>
        <w:ind w:left="720" w:hanging="720"/>
      </w:pPr>
      <w:r w:rsidRPr="006C5BA9">
        <w:t>3.2</w:t>
      </w:r>
      <w:r w:rsidR="00565472">
        <w:tab/>
      </w:r>
      <w:r w:rsidRPr="006C5BA9">
        <w:t>A notification under section 21(4) of the Act advising an applicant of an extension to the time for making a decision must state:</w:t>
      </w:r>
    </w:p>
    <w:p w14:paraId="2CBF3473" w14:textId="0D418831" w:rsidR="006C5BA9" w:rsidRPr="006C5BA9" w:rsidRDefault="006C5BA9" w:rsidP="00AA1439">
      <w:pPr>
        <w:ind w:left="720"/>
      </w:pPr>
      <w:r w:rsidRPr="006C5BA9">
        <w:t>(a) under which subsection of section 21(2) of the Act the time has been extended or further extended;</w:t>
      </w:r>
    </w:p>
    <w:p w14:paraId="3E4BF652" w14:textId="0C619ED2" w:rsidR="006C5BA9" w:rsidRPr="006C5BA9" w:rsidRDefault="006C5BA9" w:rsidP="00565472">
      <w:pPr>
        <w:ind w:firstLine="720"/>
      </w:pPr>
      <w:r w:rsidRPr="006C5BA9">
        <w:t>(b) the particular reasons for the extension; and</w:t>
      </w:r>
    </w:p>
    <w:p w14:paraId="033579C4" w14:textId="756CC1E6" w:rsidR="006C5BA9" w:rsidRPr="006C5BA9" w:rsidRDefault="006C5BA9" w:rsidP="00565472">
      <w:pPr>
        <w:ind w:firstLine="720"/>
      </w:pPr>
      <w:r w:rsidRPr="006C5BA9">
        <w:t>(c) the number of days by which the agency is extending the due date.</w:t>
      </w:r>
    </w:p>
    <w:p w14:paraId="358CFCBE" w14:textId="77777777" w:rsidR="006C5BA9" w:rsidRPr="006C5BA9" w:rsidRDefault="006C5BA9" w:rsidP="00E65C52">
      <w:pPr>
        <w:ind w:left="720"/>
      </w:pPr>
      <w:r w:rsidRPr="006C5BA9">
        <w:rPr>
          <w:i/>
          <w:iCs/>
        </w:rPr>
        <w:t>Note: section 21(4) of the Act requires an agency to notify an applicant in writing where the time is extended or further extended.</w:t>
      </w:r>
    </w:p>
    <w:p w14:paraId="7CC8C2C3" w14:textId="77777777" w:rsidR="006C5BA9" w:rsidRPr="00565472" w:rsidRDefault="006C5BA9" w:rsidP="006C5BA9">
      <w:pPr>
        <w:rPr>
          <w:b/>
          <w:bCs/>
        </w:rPr>
      </w:pPr>
      <w:r w:rsidRPr="00565472">
        <w:rPr>
          <w:b/>
          <w:bCs/>
        </w:rPr>
        <w:lastRenderedPageBreak/>
        <w:t>Further Information</w:t>
      </w:r>
    </w:p>
    <w:p w14:paraId="3CE4BD75" w14:textId="77777777" w:rsidR="006C5BA9" w:rsidRPr="00565472" w:rsidRDefault="006C5BA9" w:rsidP="006C5BA9">
      <w:pPr>
        <w:rPr>
          <w:b/>
          <w:bCs/>
        </w:rPr>
      </w:pPr>
      <w:hyperlink r:id="rId18" w:history="1">
        <w:r w:rsidRPr="00565472">
          <w:rPr>
            <w:rStyle w:val="Hyperlink"/>
            <w:b/>
            <w:bCs/>
          </w:rPr>
          <w:t>FOI Guidelines – Section 21 of the Act</w:t>
        </w:r>
      </w:hyperlink>
    </w:p>
    <w:p w14:paraId="2E450CD8" w14:textId="77777777" w:rsidR="006C5BA9" w:rsidRPr="006C5BA9" w:rsidRDefault="006C5BA9" w:rsidP="00565472">
      <w:pPr>
        <w:pStyle w:val="Heading2"/>
      </w:pPr>
      <w:r w:rsidRPr="006C5BA9">
        <w:t>4. Charges for access</w:t>
      </w:r>
    </w:p>
    <w:p w14:paraId="2A0A7E0E" w14:textId="77777777" w:rsidR="006C5BA9" w:rsidRPr="006C5BA9" w:rsidRDefault="006C5BA9" w:rsidP="00565472">
      <w:pPr>
        <w:pStyle w:val="Heading3"/>
      </w:pPr>
      <w:r w:rsidRPr="006C5BA9">
        <w:t>Statement</w:t>
      </w:r>
    </w:p>
    <w:p w14:paraId="6F92B2C7" w14:textId="77777777" w:rsidR="006C5BA9" w:rsidRPr="006C5BA9" w:rsidRDefault="006C5BA9" w:rsidP="006C5BA9">
      <w:r w:rsidRPr="006C5BA9">
        <w:t>Charges for access to documents, or ‘access charges’, are imposed in accordance with section 22 of the Act and any regulations made under sections 22(1A) and 66 of the Act.</w:t>
      </w:r>
    </w:p>
    <w:p w14:paraId="69E1785F" w14:textId="77777777" w:rsidR="006C5BA9" w:rsidRPr="006C5BA9" w:rsidRDefault="006C5BA9" w:rsidP="00565472">
      <w:pPr>
        <w:pStyle w:val="Heading3"/>
      </w:pPr>
      <w:r w:rsidRPr="006C5BA9">
        <w:t>Professional Standards</w:t>
      </w:r>
    </w:p>
    <w:p w14:paraId="09D3CCED" w14:textId="7FF62EDA" w:rsidR="006C5BA9" w:rsidRPr="006C5BA9" w:rsidRDefault="006C5BA9" w:rsidP="00565472">
      <w:pPr>
        <w:ind w:left="720" w:hanging="720"/>
      </w:pPr>
      <w:r w:rsidRPr="006C5BA9">
        <w:t>4.1</w:t>
      </w:r>
      <w:r w:rsidR="00565472">
        <w:tab/>
      </w:r>
      <w:r w:rsidRPr="006C5BA9">
        <w:t>When providing a notification under section 22(3) of the Act, in addition to any other requirements of section 22, an agency must include the following details:</w:t>
      </w:r>
    </w:p>
    <w:p w14:paraId="1D694F9B" w14:textId="7FF7B3C6" w:rsidR="006C5BA9" w:rsidRPr="006C5BA9" w:rsidRDefault="006C5BA9" w:rsidP="00565472">
      <w:pPr>
        <w:ind w:firstLine="720"/>
      </w:pPr>
      <w:r w:rsidRPr="006C5BA9">
        <w:t>(a) the estimated access charges;</w:t>
      </w:r>
    </w:p>
    <w:p w14:paraId="6C1FA6ED" w14:textId="4566C864" w:rsidR="006C5BA9" w:rsidRPr="006C5BA9" w:rsidRDefault="006C5BA9" w:rsidP="00565472">
      <w:pPr>
        <w:ind w:firstLine="720"/>
      </w:pPr>
      <w:r w:rsidRPr="006C5BA9">
        <w:t>(b) how the estimated access charges were calculated;</w:t>
      </w:r>
    </w:p>
    <w:p w14:paraId="1553C617" w14:textId="0414702E" w:rsidR="006C5BA9" w:rsidRPr="006C5BA9" w:rsidRDefault="006C5BA9" w:rsidP="00565472">
      <w:pPr>
        <w:ind w:firstLine="720"/>
      </w:pPr>
      <w:r w:rsidRPr="006C5BA9">
        <w:t>(c) the required access charges deposit amount;</w:t>
      </w:r>
    </w:p>
    <w:p w14:paraId="49E31AB9" w14:textId="1EB01CB8" w:rsidR="006C5BA9" w:rsidRPr="006C5BA9" w:rsidRDefault="006C5BA9" w:rsidP="00AA1439">
      <w:pPr>
        <w:ind w:left="720"/>
      </w:pPr>
      <w:r w:rsidRPr="006C5BA9">
        <w:t>(d) the date by which the deposit must be paid (which must be no less than 60 days after an applicant receives the deposit notice);</w:t>
      </w:r>
    </w:p>
    <w:p w14:paraId="28851828" w14:textId="71BA3F8B" w:rsidR="006C5BA9" w:rsidRPr="006C5BA9" w:rsidRDefault="006C5BA9" w:rsidP="00E65C52">
      <w:pPr>
        <w:ind w:left="720"/>
      </w:pPr>
      <w:r w:rsidRPr="006C5BA9">
        <w:rPr>
          <w:i/>
          <w:iCs/>
        </w:rPr>
        <w:t>Note: an applicant has 60 days from the day they receive a notification requesting a deposit to apply to the Tribunal for a review of the access charges amount where the Commissioner has issued a certificate – section 52(1) of the Act.</w:t>
      </w:r>
    </w:p>
    <w:p w14:paraId="14FC6E0E" w14:textId="18093A84" w:rsidR="006C5BA9" w:rsidRPr="006C5BA9" w:rsidRDefault="006C5BA9" w:rsidP="00AA1439">
      <w:pPr>
        <w:ind w:left="720"/>
      </w:pPr>
      <w:r w:rsidRPr="006C5BA9">
        <w:t>(e) information outlining the applicant may contact the agency to discuss practicable alternatives for altering the request or reducing the anticipated access charges; and</w:t>
      </w:r>
    </w:p>
    <w:p w14:paraId="3316D96A" w14:textId="77777777" w:rsidR="006C5BA9" w:rsidRPr="006C5BA9" w:rsidRDefault="006C5BA9" w:rsidP="00E65C52">
      <w:pPr>
        <w:ind w:left="720"/>
      </w:pPr>
      <w:r w:rsidRPr="006C5BA9">
        <w:rPr>
          <w:i/>
          <w:iCs/>
        </w:rPr>
        <w:t>Note: where an agency requires an applicant to pay an access charges deposit, the agency must, if requested by the applicant, discuss with the applicant practicable alternatives for altering the request or reducing the anticipated charge – section 22(6) of the Act.</w:t>
      </w:r>
    </w:p>
    <w:p w14:paraId="0E9F988B" w14:textId="515B180F" w:rsidR="006C5BA9" w:rsidRPr="006C5BA9" w:rsidRDefault="006C5BA9" w:rsidP="00AA1439">
      <w:pPr>
        <w:ind w:left="720"/>
      </w:pPr>
      <w:r w:rsidRPr="006C5BA9">
        <w:t>(f) information outlining the agency may or will finalise the request without processing it if the applicant does not do either of the following:</w:t>
      </w:r>
    </w:p>
    <w:p w14:paraId="1BABC897" w14:textId="77777777" w:rsidR="006C5BA9" w:rsidRPr="006C5BA9" w:rsidRDefault="006C5BA9" w:rsidP="00565472">
      <w:pPr>
        <w:ind w:left="720" w:firstLine="720"/>
      </w:pPr>
      <w:r w:rsidRPr="006C5BA9">
        <w:t>(i) contact the agency to discuss options to reduce the anticipated charges; or</w:t>
      </w:r>
    </w:p>
    <w:p w14:paraId="283B1642" w14:textId="77777777" w:rsidR="006C5BA9" w:rsidRPr="006C5BA9" w:rsidRDefault="006C5BA9" w:rsidP="00565472">
      <w:pPr>
        <w:ind w:left="720" w:firstLine="720"/>
      </w:pPr>
      <w:r w:rsidRPr="006C5BA9">
        <w:t>(ii) pay the deposit by the date specified in the notification.</w:t>
      </w:r>
    </w:p>
    <w:p w14:paraId="7DD1ADCD" w14:textId="22705B7B" w:rsidR="006C5BA9" w:rsidRPr="006C5BA9" w:rsidRDefault="006C5BA9" w:rsidP="00565472">
      <w:pPr>
        <w:ind w:left="720" w:hanging="720"/>
      </w:pPr>
      <w:r w:rsidRPr="006C5BA9">
        <w:t>4.2</w:t>
      </w:r>
      <w:r w:rsidR="00565472">
        <w:tab/>
      </w:r>
      <w:r w:rsidRPr="006C5BA9">
        <w:t>An agency must take reasonable steps to provide a notification under section 22(3) of the Act to an applicant within 21 days of receiving a valid request.</w:t>
      </w:r>
    </w:p>
    <w:p w14:paraId="70058AC7" w14:textId="4B7241F1" w:rsidR="006C5BA9" w:rsidRPr="006C5BA9" w:rsidRDefault="006C5BA9" w:rsidP="00565472">
      <w:pPr>
        <w:ind w:left="720" w:hanging="720"/>
      </w:pPr>
      <w:r w:rsidRPr="006C5BA9">
        <w:lastRenderedPageBreak/>
        <w:t>4.3</w:t>
      </w:r>
      <w:r w:rsidR="00565472">
        <w:tab/>
      </w:r>
      <w:r w:rsidRPr="006C5BA9">
        <w:t>An agency requiring payment of an access charges deposit or access charges must take reasonable steps to provide options for payment of the relevant charge in line with accepted payment methods the agency provides for other services of a similar financial sum.</w:t>
      </w:r>
    </w:p>
    <w:p w14:paraId="1FA9F77F" w14:textId="77777777" w:rsidR="006C5BA9" w:rsidRPr="00565472" w:rsidRDefault="006C5BA9" w:rsidP="006C5BA9">
      <w:pPr>
        <w:rPr>
          <w:b/>
          <w:bCs/>
        </w:rPr>
      </w:pPr>
      <w:r w:rsidRPr="00565472">
        <w:rPr>
          <w:b/>
          <w:bCs/>
        </w:rPr>
        <w:t>Further Information</w:t>
      </w:r>
    </w:p>
    <w:p w14:paraId="568878B6" w14:textId="77777777" w:rsidR="006C5BA9" w:rsidRPr="00565472" w:rsidRDefault="006C5BA9" w:rsidP="006C5BA9">
      <w:pPr>
        <w:rPr>
          <w:b/>
          <w:bCs/>
        </w:rPr>
      </w:pPr>
      <w:hyperlink r:id="rId19" w:history="1">
        <w:r w:rsidRPr="00565472">
          <w:rPr>
            <w:rStyle w:val="Hyperlink"/>
            <w:b/>
            <w:bCs/>
          </w:rPr>
          <w:t>FOI Guidelines – Section 22 of the Act</w:t>
        </w:r>
      </w:hyperlink>
    </w:p>
    <w:p w14:paraId="4C8BB316" w14:textId="77777777" w:rsidR="006C5BA9" w:rsidRPr="006C5BA9" w:rsidRDefault="006C5BA9" w:rsidP="00565472">
      <w:pPr>
        <w:pStyle w:val="Heading2"/>
      </w:pPr>
      <w:r w:rsidRPr="006C5BA9">
        <w:t>5. Substantial and unreasonable diversion of resources</w:t>
      </w:r>
    </w:p>
    <w:p w14:paraId="26622C15" w14:textId="77777777" w:rsidR="006C5BA9" w:rsidRPr="006C5BA9" w:rsidRDefault="006C5BA9" w:rsidP="00565472">
      <w:pPr>
        <w:pStyle w:val="Heading3"/>
      </w:pPr>
      <w:r w:rsidRPr="006C5BA9">
        <w:t>Statement</w:t>
      </w:r>
    </w:p>
    <w:p w14:paraId="1F41FA59" w14:textId="77777777" w:rsidR="006C5BA9" w:rsidRPr="006C5BA9" w:rsidRDefault="006C5BA9" w:rsidP="006C5BA9">
      <w:r w:rsidRPr="006C5BA9">
        <w:t>An agency cannot rely on section 25A(1) of the Act unless it has provided an applicant with a reasonable opportunity to consult with the agency, and as far as reasonably practicable, provided any information that would assist the applicant to make a request in a form that removes the ground for refusal – </w:t>
      </w:r>
      <w:r w:rsidRPr="006C5BA9">
        <w:rPr>
          <w:i/>
          <w:iCs/>
        </w:rPr>
        <w:t>section 25A(6) of the Act</w:t>
      </w:r>
      <w:r w:rsidRPr="006C5BA9">
        <w:t>.</w:t>
      </w:r>
    </w:p>
    <w:p w14:paraId="412DDE35" w14:textId="77777777" w:rsidR="006C5BA9" w:rsidRPr="006C5BA9" w:rsidRDefault="006C5BA9" w:rsidP="00565472">
      <w:pPr>
        <w:pStyle w:val="Heading3"/>
      </w:pPr>
      <w:r w:rsidRPr="006C5BA9">
        <w:t>Professional Standards</w:t>
      </w:r>
    </w:p>
    <w:p w14:paraId="17B261BC" w14:textId="577997A3" w:rsidR="006C5BA9" w:rsidRPr="00C32C6B" w:rsidRDefault="006C5BA9" w:rsidP="00565472">
      <w:pPr>
        <w:ind w:left="720" w:hanging="720"/>
        <w:rPr>
          <w:highlight w:val="yellow"/>
        </w:rPr>
      </w:pPr>
      <w:r w:rsidRPr="00C32C6B">
        <w:t>5.1</w:t>
      </w:r>
      <w:r w:rsidR="00565472" w:rsidRPr="00C32C6B">
        <w:tab/>
      </w:r>
      <w:r w:rsidRPr="00C32C6B">
        <w:t>An agency must take reasonable steps to notify an applicant under section 25A(6) of the Act of its intention to refuse a request under section 25A(1) within 21 days of receiving a valid request.</w:t>
      </w:r>
    </w:p>
    <w:p w14:paraId="315C31E7" w14:textId="6EBB1DA1" w:rsidR="006C5BA9" w:rsidRPr="006C5BA9" w:rsidRDefault="006C5BA9" w:rsidP="00565472">
      <w:pPr>
        <w:ind w:left="720" w:hanging="720"/>
      </w:pPr>
      <w:r w:rsidRPr="006C5BA9">
        <w:t>5.2</w:t>
      </w:r>
      <w:r w:rsidR="00565472">
        <w:tab/>
      </w:r>
      <w:r w:rsidRPr="006C5BA9">
        <w:t>When providing a notice under section 25A(6) of the Act, in addition to the requirements of that section, an agency must:</w:t>
      </w:r>
    </w:p>
    <w:p w14:paraId="38F34522" w14:textId="2AA5468E" w:rsidR="006C5BA9" w:rsidRPr="006C5BA9" w:rsidRDefault="006C5BA9" w:rsidP="00AA1439">
      <w:pPr>
        <w:ind w:left="720"/>
      </w:pPr>
      <w:r w:rsidRPr="006C5BA9">
        <w:t>(a) explain why the applicant’s request would substantially and unreasonably divert the resources of the agency from its other operations; and</w:t>
      </w:r>
    </w:p>
    <w:p w14:paraId="67AFF780" w14:textId="7ACA5202" w:rsidR="006C5BA9" w:rsidRPr="006C5BA9" w:rsidRDefault="006C5BA9" w:rsidP="00AA1439">
      <w:pPr>
        <w:ind w:left="720"/>
      </w:pPr>
      <w:r w:rsidRPr="006C5BA9">
        <w:t>(b) provide a minimum of 21 days from the date of the agency’s notice, for the applicant to respond.</w:t>
      </w:r>
    </w:p>
    <w:p w14:paraId="64B6D4A5" w14:textId="1B6CAC64" w:rsidR="006C5BA9" w:rsidRPr="00694FF5" w:rsidRDefault="006C5BA9" w:rsidP="00565472">
      <w:pPr>
        <w:ind w:left="720" w:hanging="720"/>
      </w:pPr>
      <w:r w:rsidRPr="006C5BA9">
        <w:t>5.3</w:t>
      </w:r>
      <w:r w:rsidR="00565472">
        <w:tab/>
      </w:r>
      <w:r w:rsidRPr="00694FF5">
        <w:t>Where an agency consults with an applicant under section 25A(6) of the Act, it must ensure it keeps a record of consultation including:</w:t>
      </w:r>
    </w:p>
    <w:p w14:paraId="5508B467" w14:textId="6C2A2E7B" w:rsidR="006C5BA9" w:rsidRPr="00694FF5" w:rsidRDefault="006C5BA9" w:rsidP="00565472">
      <w:pPr>
        <w:ind w:firstLine="720"/>
      </w:pPr>
      <w:r w:rsidRPr="00694FF5">
        <w:t>(a) any responses received from the applicant; and</w:t>
      </w:r>
    </w:p>
    <w:p w14:paraId="49FDB3ED" w14:textId="1ED1E7C5" w:rsidR="006C5BA9" w:rsidRDefault="006C5BA9" w:rsidP="00565472">
      <w:pPr>
        <w:ind w:firstLine="720"/>
      </w:pPr>
      <w:r w:rsidRPr="00694FF5">
        <w:t>(b) if amended, the final terms of the request.</w:t>
      </w:r>
    </w:p>
    <w:tbl>
      <w:tblPr>
        <w:tblStyle w:val="TableGrid"/>
        <w:tblW w:w="9067" w:type="dxa"/>
        <w:tblLook w:val="04A0" w:firstRow="1" w:lastRow="0" w:firstColumn="1" w:lastColumn="0" w:noHBand="0" w:noVBand="1"/>
      </w:tblPr>
      <w:tblGrid>
        <w:gridCol w:w="1555"/>
        <w:gridCol w:w="4677"/>
        <w:gridCol w:w="2828"/>
        <w:gridCol w:w="7"/>
      </w:tblGrid>
      <w:tr w:rsidR="00E65C52" w:rsidRPr="00463F84" w14:paraId="0C797E2B" w14:textId="77777777" w:rsidTr="009E76F0">
        <w:trPr>
          <w:trHeight w:val="311"/>
        </w:trPr>
        <w:tc>
          <w:tcPr>
            <w:tcW w:w="1555" w:type="dxa"/>
            <w:shd w:val="clear" w:color="auto" w:fill="F2F2F2" w:themeFill="background2" w:themeFillShade="F2"/>
          </w:tcPr>
          <w:p w14:paraId="557CF254" w14:textId="5EBDB0B7" w:rsidR="00E65C52" w:rsidRPr="00463F84" w:rsidRDefault="00694FF5" w:rsidP="00314A0A">
            <w:pPr>
              <w:rPr>
                <w:b/>
                <w:bCs/>
              </w:rPr>
            </w:pPr>
            <w:r>
              <w:rPr>
                <w:b/>
                <w:bCs/>
              </w:rPr>
              <w:t>New</w:t>
            </w:r>
            <w:r w:rsidR="00E65C52">
              <w:rPr>
                <w:b/>
                <w:bCs/>
              </w:rPr>
              <w:t xml:space="preserve"> Standard</w:t>
            </w:r>
          </w:p>
        </w:tc>
        <w:tc>
          <w:tcPr>
            <w:tcW w:w="4677" w:type="dxa"/>
            <w:shd w:val="clear" w:color="auto" w:fill="F2F2F2" w:themeFill="background2" w:themeFillShade="F2"/>
          </w:tcPr>
          <w:p w14:paraId="35696226" w14:textId="77777777" w:rsidR="00E65C52" w:rsidRPr="00463F84" w:rsidRDefault="00E65C52" w:rsidP="00314A0A">
            <w:pPr>
              <w:rPr>
                <w:b/>
                <w:bCs/>
              </w:rPr>
            </w:pPr>
            <w:r w:rsidRPr="00463F84">
              <w:rPr>
                <w:b/>
                <w:bCs/>
              </w:rPr>
              <w:t xml:space="preserve">Draft </w:t>
            </w:r>
            <w:r>
              <w:rPr>
                <w:b/>
                <w:bCs/>
              </w:rPr>
              <w:t>Standard</w:t>
            </w:r>
          </w:p>
        </w:tc>
        <w:tc>
          <w:tcPr>
            <w:tcW w:w="2835" w:type="dxa"/>
            <w:gridSpan w:val="2"/>
            <w:shd w:val="clear" w:color="auto" w:fill="F2F2F2" w:themeFill="background2" w:themeFillShade="F2"/>
          </w:tcPr>
          <w:p w14:paraId="26E724BF" w14:textId="77777777" w:rsidR="00E65C52" w:rsidRPr="00463F84" w:rsidRDefault="00E65C52" w:rsidP="00314A0A">
            <w:pPr>
              <w:rPr>
                <w:b/>
                <w:bCs/>
              </w:rPr>
            </w:pPr>
            <w:r>
              <w:rPr>
                <w:b/>
                <w:bCs/>
              </w:rPr>
              <w:t>Comments</w:t>
            </w:r>
          </w:p>
        </w:tc>
      </w:tr>
      <w:tr w:rsidR="00E65C52" w:rsidRPr="006C5BA9" w14:paraId="1A4813DE" w14:textId="77777777" w:rsidTr="009E76F0">
        <w:trPr>
          <w:trHeight w:val="1776"/>
        </w:trPr>
        <w:tc>
          <w:tcPr>
            <w:tcW w:w="1555" w:type="dxa"/>
            <w:shd w:val="clear" w:color="auto" w:fill="F2F2F2" w:themeFill="background2" w:themeFillShade="F2"/>
          </w:tcPr>
          <w:p w14:paraId="2BE9F5BD" w14:textId="4BB4697F" w:rsidR="00E65C52" w:rsidRDefault="00E65C52" w:rsidP="00314A0A">
            <w:r>
              <w:lastRenderedPageBreak/>
              <w:t>5.</w:t>
            </w:r>
            <w:r w:rsidR="00694FF5">
              <w:t>4</w:t>
            </w:r>
          </w:p>
        </w:tc>
        <w:tc>
          <w:tcPr>
            <w:tcW w:w="4677" w:type="dxa"/>
            <w:shd w:val="clear" w:color="auto" w:fill="F2F2F2" w:themeFill="background2" w:themeFillShade="F2"/>
          </w:tcPr>
          <w:p w14:paraId="3759D7E2" w14:textId="1BAE5679" w:rsidR="00E65C52" w:rsidRDefault="00CD2DAD" w:rsidP="00E65C52">
            <w:r w:rsidRPr="00CD2DAD">
              <w:t>Where it is reasonable for an agency to consult further with an applicant under section 25A(6), where practicable</w:t>
            </w:r>
            <w:r w:rsidRPr="00CD2DAD">
              <w:rPr>
                <w:i/>
                <w:iCs/>
              </w:rPr>
              <w:t xml:space="preserve">, </w:t>
            </w:r>
            <w:r w:rsidRPr="00CD2DAD">
              <w:t>the agency must respond to the applicant within 14 days of receiving each round of clarification correspondence from the applicant.</w:t>
            </w:r>
          </w:p>
        </w:tc>
        <w:tc>
          <w:tcPr>
            <w:tcW w:w="2835" w:type="dxa"/>
            <w:gridSpan w:val="2"/>
            <w:shd w:val="clear" w:color="auto" w:fill="F2F2F2" w:themeFill="background2" w:themeFillShade="F2"/>
          </w:tcPr>
          <w:p w14:paraId="6F006F6A" w14:textId="77777777" w:rsidR="00CD2DAD" w:rsidRPr="00CD2DAD" w:rsidRDefault="00CD2DAD" w:rsidP="00CD2DAD">
            <w:r w:rsidRPr="00CD2DAD">
              <w:t>OVIC considers this new Standard will reduce delays associated with ongoing consultation processes.</w:t>
            </w:r>
          </w:p>
          <w:p w14:paraId="08095E0A" w14:textId="58B38E97" w:rsidR="00CD2DAD" w:rsidRPr="00CD2DAD" w:rsidRDefault="00CD2DAD" w:rsidP="00CD2DAD">
            <w:r w:rsidRPr="00CD2DAD">
              <w:t>OVIC acknowledges that there might be situations where an agency is not able to respond within the recommended 14-day timeframe and to provide more flexibility with compliance, OVIC has added the words ‘where practicable’.</w:t>
            </w:r>
          </w:p>
          <w:p w14:paraId="6A696B17" w14:textId="77777777" w:rsidR="00CD2DAD" w:rsidRPr="00CD2DAD" w:rsidRDefault="00CD2DAD" w:rsidP="00CD2DAD"/>
          <w:p w14:paraId="0CBBC382" w14:textId="4E10621D" w:rsidR="00CD2DAD" w:rsidRPr="006C5BA9" w:rsidRDefault="00CD2DAD" w:rsidP="00314A0A"/>
        </w:tc>
      </w:tr>
      <w:tr w:rsidR="0034056B" w14:paraId="327AB83A" w14:textId="77777777" w:rsidTr="009E76F0">
        <w:trPr>
          <w:gridAfter w:val="1"/>
          <w:wAfter w:w="7" w:type="dxa"/>
        </w:trPr>
        <w:tc>
          <w:tcPr>
            <w:tcW w:w="1555" w:type="dxa"/>
            <w:shd w:val="clear" w:color="auto" w:fill="F2F2F2" w:themeFill="background2" w:themeFillShade="F2"/>
          </w:tcPr>
          <w:p w14:paraId="2D96C7CB" w14:textId="0F22FAB5" w:rsidR="0034056B" w:rsidRDefault="0034056B" w:rsidP="00565472">
            <w:r>
              <w:t>5.</w:t>
            </w:r>
            <w:r w:rsidR="00800165">
              <w:t>5</w:t>
            </w:r>
          </w:p>
        </w:tc>
        <w:tc>
          <w:tcPr>
            <w:tcW w:w="4677" w:type="dxa"/>
            <w:shd w:val="clear" w:color="auto" w:fill="F2F2F2" w:themeFill="background2" w:themeFillShade="F2"/>
          </w:tcPr>
          <w:p w14:paraId="648038CC" w14:textId="67733240" w:rsidR="00810D71" w:rsidRDefault="00800165" w:rsidP="00800165">
            <w:pPr>
              <w:ind w:left="32" w:hanging="32"/>
            </w:pPr>
            <w:r>
              <w:t>Where an</w:t>
            </w:r>
            <w:r w:rsidR="00D85E42" w:rsidRPr="0057156A">
              <w:t xml:space="preserve"> agency is satisfied that the work involved in processing the request</w:t>
            </w:r>
            <w:r w:rsidR="00D85E42">
              <w:t xml:space="preserve"> </w:t>
            </w:r>
            <w:r w:rsidR="00D85E42" w:rsidRPr="0057156A">
              <w:t xml:space="preserve">would substantially and unreasonably divert the resources of the agency from its other operations; </w:t>
            </w:r>
          </w:p>
          <w:p w14:paraId="618A320A" w14:textId="04860F8E" w:rsidR="00764C77" w:rsidRDefault="00D85E42" w:rsidP="00AA1439">
            <w:pPr>
              <w:pStyle w:val="ListParagraph"/>
              <w:numPr>
                <w:ilvl w:val="0"/>
                <w:numId w:val="40"/>
              </w:numPr>
            </w:pPr>
            <w:r>
              <w:t xml:space="preserve">prior to refusing the request, </w:t>
            </w:r>
            <w:r w:rsidR="00764C77" w:rsidRPr="006C5BA9">
              <w:t xml:space="preserve">an agency </w:t>
            </w:r>
            <w:r w:rsidR="00764C77">
              <w:t>may</w:t>
            </w:r>
            <w:r>
              <w:t xml:space="preserve"> </w:t>
            </w:r>
            <w:r w:rsidR="00764C77">
              <w:t xml:space="preserve">seek written agreement </w:t>
            </w:r>
            <w:r w:rsidR="00813A9A">
              <w:t>from</w:t>
            </w:r>
            <w:r w:rsidR="00764C77">
              <w:t xml:space="preserve"> the applicant to process </w:t>
            </w:r>
            <w:r w:rsidR="00813A9A">
              <w:t>the</w:t>
            </w:r>
            <w:r w:rsidR="00764C77">
              <w:t xml:space="preserve"> request sequential</w:t>
            </w:r>
            <w:r w:rsidR="007D65EE">
              <w:t>ly</w:t>
            </w:r>
            <w:r w:rsidR="00764C77">
              <w:t xml:space="preserve"> in order to </w:t>
            </w:r>
            <w:r w:rsidR="00764C77" w:rsidRPr="006C5BA9">
              <w:t>remove</w:t>
            </w:r>
            <w:r w:rsidR="00764C77">
              <w:t xml:space="preserve"> </w:t>
            </w:r>
            <w:r w:rsidR="00764C77" w:rsidRPr="006C5BA9">
              <w:t>the ground for refusal</w:t>
            </w:r>
            <w:r w:rsidR="00800165">
              <w:t>; and</w:t>
            </w:r>
          </w:p>
          <w:p w14:paraId="3C0C81F9" w14:textId="6C45302A" w:rsidR="00800165" w:rsidRPr="006C5BA9" w:rsidRDefault="00800165" w:rsidP="00AA1439">
            <w:pPr>
              <w:pStyle w:val="ListParagraph"/>
              <w:numPr>
                <w:ilvl w:val="0"/>
                <w:numId w:val="40"/>
              </w:numPr>
            </w:pPr>
            <w:r>
              <w:t>may seek an extension of tim</w:t>
            </w:r>
            <w:r w:rsidR="007D65EE">
              <w:t xml:space="preserve">e from </w:t>
            </w:r>
            <w:r>
              <w:t>the applicant</w:t>
            </w:r>
            <w:r w:rsidR="00636474">
              <w:t xml:space="preserve"> of not more than 30 days in accordance with section 21(2)(b) of the Act.</w:t>
            </w:r>
          </w:p>
          <w:p w14:paraId="26ACFEA7" w14:textId="1E565A9F" w:rsidR="0034056B" w:rsidRDefault="00D85E42" w:rsidP="00565472">
            <w:pPr>
              <w:rPr>
                <w:i/>
                <w:iCs/>
              </w:rPr>
            </w:pPr>
            <w:r w:rsidRPr="00D85E42">
              <w:rPr>
                <w:i/>
                <w:iCs/>
              </w:rPr>
              <w:t xml:space="preserve">Note: </w:t>
            </w:r>
            <w:r>
              <w:rPr>
                <w:i/>
                <w:iCs/>
              </w:rPr>
              <w:t xml:space="preserve">‘sequential processing‘ means processing a request in batches, with each part of the request processed consecutively. An applicant may determine the order in which </w:t>
            </w:r>
            <w:r w:rsidR="00463F84">
              <w:rPr>
                <w:i/>
                <w:iCs/>
              </w:rPr>
              <w:t>each part of the request is processed.</w:t>
            </w:r>
            <w:r>
              <w:rPr>
                <w:i/>
                <w:iCs/>
              </w:rPr>
              <w:t xml:space="preserve"> </w:t>
            </w:r>
          </w:p>
          <w:p w14:paraId="6BC1BFD3" w14:textId="09AEE326" w:rsidR="00800165" w:rsidRDefault="00800165" w:rsidP="00565472">
            <w:pPr>
              <w:rPr>
                <w:i/>
                <w:iCs/>
              </w:rPr>
            </w:pPr>
            <w:r>
              <w:rPr>
                <w:i/>
                <w:iCs/>
              </w:rPr>
              <w:t>Where an applicant agrees to the sequential processing, the agency is permitted to treat the request as multiple requests, making a decision for each batch</w:t>
            </w:r>
            <w:r w:rsidR="00636474">
              <w:rPr>
                <w:i/>
                <w:iCs/>
              </w:rPr>
              <w:t xml:space="preserve"> of documents</w:t>
            </w:r>
            <w:r>
              <w:rPr>
                <w:i/>
                <w:iCs/>
              </w:rPr>
              <w:t xml:space="preserve"> processed, providing </w:t>
            </w:r>
            <w:r w:rsidR="00636474">
              <w:rPr>
                <w:i/>
                <w:iCs/>
              </w:rPr>
              <w:t xml:space="preserve">the </w:t>
            </w:r>
            <w:r w:rsidR="00636474">
              <w:rPr>
                <w:i/>
                <w:iCs/>
              </w:rPr>
              <w:lastRenderedPageBreak/>
              <w:t xml:space="preserve">applicant with appropriate </w:t>
            </w:r>
            <w:r>
              <w:rPr>
                <w:i/>
                <w:iCs/>
              </w:rPr>
              <w:t>review and complaint rights for each decision made.</w:t>
            </w:r>
          </w:p>
          <w:p w14:paraId="0C7B8CC4" w14:textId="62FCB2E3" w:rsidR="00800165" w:rsidRPr="00D85E42" w:rsidRDefault="0044093E" w:rsidP="00565472">
            <w:pPr>
              <w:rPr>
                <w:i/>
                <w:iCs/>
              </w:rPr>
            </w:pPr>
            <w:r>
              <w:rPr>
                <w:i/>
                <w:iCs/>
              </w:rPr>
              <w:t xml:space="preserve">For the purpose of sequential processing, the 30-day timeframe in section 21 of the Act restarts at the commencement of each batch of documents processed. The timeframe may be extended </w:t>
            </w:r>
            <w:r w:rsidRPr="0044093E">
              <w:rPr>
                <w:i/>
                <w:iCs/>
              </w:rPr>
              <w:t>by a period of not more than 30 days, as agreed by the applicant</w:t>
            </w:r>
            <w:r>
              <w:rPr>
                <w:i/>
                <w:iCs/>
              </w:rPr>
              <w:t xml:space="preserve"> pursuant to section 21(2)(b).</w:t>
            </w:r>
          </w:p>
        </w:tc>
        <w:tc>
          <w:tcPr>
            <w:tcW w:w="2828" w:type="dxa"/>
            <w:shd w:val="clear" w:color="auto" w:fill="F2F2F2" w:themeFill="background2" w:themeFillShade="F2"/>
          </w:tcPr>
          <w:p w14:paraId="450AFB1B" w14:textId="41B49091" w:rsidR="0034056B" w:rsidRPr="007D65EE" w:rsidRDefault="0034056B" w:rsidP="00A3772E">
            <w:pPr>
              <w:pStyle w:val="TableParagraph"/>
              <w:spacing w:before="120" w:after="240" w:line="259" w:lineRule="auto"/>
              <w:ind w:right="96"/>
              <w:rPr>
                <w:rFonts w:asciiTheme="majorHAnsi" w:hAnsiTheme="majorHAnsi" w:cstheme="majorHAnsi"/>
              </w:rPr>
            </w:pPr>
            <w:r w:rsidRPr="007D65EE">
              <w:rPr>
                <w:rFonts w:asciiTheme="majorHAnsi" w:hAnsiTheme="majorHAnsi" w:cstheme="majorHAnsi"/>
              </w:rPr>
              <w:lastRenderedPageBreak/>
              <w:t>OVIC considers this recommendation will assist agencies in managing large requests and will give FOI Practitioners more flexibility</w:t>
            </w:r>
            <w:r w:rsidR="007D65EE" w:rsidRPr="007D65EE">
              <w:rPr>
                <w:rFonts w:asciiTheme="majorHAnsi" w:hAnsiTheme="majorHAnsi" w:cstheme="majorHAnsi"/>
              </w:rPr>
              <w:t xml:space="preserve"> </w:t>
            </w:r>
            <w:r w:rsidRPr="007D65EE">
              <w:rPr>
                <w:rFonts w:asciiTheme="majorHAnsi" w:hAnsiTheme="majorHAnsi" w:cstheme="majorHAnsi"/>
              </w:rPr>
              <w:t xml:space="preserve">when engaging with applicants to reduce the impact of FOI requests on agency resources. </w:t>
            </w:r>
          </w:p>
          <w:p w14:paraId="0C81CE1F" w14:textId="57252A51" w:rsidR="007D65EE" w:rsidRPr="007D65EE" w:rsidRDefault="007D65EE" w:rsidP="00A3772E">
            <w:pPr>
              <w:pStyle w:val="TableParagraph"/>
              <w:spacing w:before="120" w:after="240" w:line="259" w:lineRule="auto"/>
              <w:ind w:right="96"/>
              <w:rPr>
                <w:rFonts w:asciiTheme="majorHAnsi" w:hAnsiTheme="majorHAnsi" w:cstheme="majorHAnsi"/>
              </w:rPr>
            </w:pPr>
            <w:r w:rsidRPr="007D65EE">
              <w:rPr>
                <w:rFonts w:asciiTheme="majorHAnsi" w:hAnsiTheme="majorHAnsi" w:cstheme="majorHAnsi"/>
              </w:rPr>
              <w:t>OVIC acknowledges that sequential processing of large FOI requests is likely to increase the overall volume of FOI requests as each batch is treated as a separate request however, OVIC considers this new Standard will support agencies facilitating more timely access to information and will assist agencies in resource allocation planning.</w:t>
            </w:r>
          </w:p>
          <w:p w14:paraId="6ACD4297" w14:textId="77777777" w:rsidR="007D65EE" w:rsidRPr="007D65EE" w:rsidRDefault="007D65EE" w:rsidP="00A3772E">
            <w:pPr>
              <w:pStyle w:val="TableParagraph"/>
              <w:spacing w:before="120" w:after="240" w:line="259" w:lineRule="auto"/>
              <w:ind w:right="96"/>
              <w:rPr>
                <w:rFonts w:asciiTheme="majorHAnsi" w:hAnsiTheme="majorHAnsi" w:cstheme="majorHAnsi"/>
              </w:rPr>
            </w:pPr>
          </w:p>
          <w:p w14:paraId="75186318" w14:textId="5F80980F" w:rsidR="007D65EE" w:rsidRPr="007D65EE" w:rsidRDefault="007D65EE" w:rsidP="00A3772E">
            <w:pPr>
              <w:pStyle w:val="TableParagraph"/>
              <w:spacing w:before="120" w:after="240" w:line="259" w:lineRule="auto"/>
              <w:ind w:right="96"/>
              <w:rPr>
                <w:rFonts w:asciiTheme="majorHAnsi" w:hAnsiTheme="majorHAnsi" w:cstheme="majorHAnsi"/>
              </w:rPr>
            </w:pPr>
            <w:r w:rsidRPr="007D65EE">
              <w:rPr>
                <w:rFonts w:asciiTheme="majorHAnsi" w:hAnsiTheme="majorHAnsi" w:cstheme="majorHAnsi"/>
              </w:rPr>
              <w:t>Where an agency considers sequential processing is appropriate, an agency may seek the applicant’s written agreement. The word “may” provides flexibility to agencies to consider if this approach is appropriate.</w:t>
            </w:r>
          </w:p>
          <w:p w14:paraId="7AD402C2" w14:textId="77777777" w:rsidR="0034056B" w:rsidRPr="007D65EE" w:rsidRDefault="0034056B" w:rsidP="00565472">
            <w:pPr>
              <w:rPr>
                <w:rFonts w:cstheme="majorHAnsi"/>
              </w:rPr>
            </w:pPr>
          </w:p>
        </w:tc>
      </w:tr>
    </w:tbl>
    <w:p w14:paraId="21C4500F" w14:textId="77777777" w:rsidR="0034056B" w:rsidRPr="006C5BA9" w:rsidRDefault="0034056B" w:rsidP="00565472">
      <w:pPr>
        <w:ind w:firstLine="720"/>
      </w:pPr>
    </w:p>
    <w:p w14:paraId="24EC6324" w14:textId="77777777" w:rsidR="006C5BA9" w:rsidRPr="00565472" w:rsidRDefault="006C5BA9" w:rsidP="006C5BA9">
      <w:pPr>
        <w:rPr>
          <w:b/>
          <w:bCs/>
        </w:rPr>
      </w:pPr>
      <w:r w:rsidRPr="00565472">
        <w:rPr>
          <w:b/>
          <w:bCs/>
        </w:rPr>
        <w:t>Further Information</w:t>
      </w:r>
    </w:p>
    <w:p w14:paraId="1BA41FF7" w14:textId="77777777" w:rsidR="006C5BA9" w:rsidRPr="00565472" w:rsidRDefault="006C5BA9" w:rsidP="006C5BA9">
      <w:pPr>
        <w:rPr>
          <w:b/>
          <w:bCs/>
        </w:rPr>
      </w:pPr>
      <w:hyperlink r:id="rId20" w:history="1">
        <w:r w:rsidRPr="00565472">
          <w:rPr>
            <w:rStyle w:val="Hyperlink"/>
            <w:b/>
            <w:bCs/>
          </w:rPr>
          <w:t>FOI Guidelines – Section 25A of the Act</w:t>
        </w:r>
      </w:hyperlink>
    </w:p>
    <w:p w14:paraId="026B0FF1" w14:textId="77777777" w:rsidR="006C5BA9" w:rsidRPr="006C5BA9" w:rsidRDefault="006C5BA9" w:rsidP="00565472">
      <w:pPr>
        <w:pStyle w:val="Heading2"/>
      </w:pPr>
      <w:r w:rsidRPr="006C5BA9">
        <w:t>6. Searching for documents</w:t>
      </w:r>
    </w:p>
    <w:p w14:paraId="604F2F6B" w14:textId="77777777" w:rsidR="006C5BA9" w:rsidRPr="006C5BA9" w:rsidRDefault="006C5BA9" w:rsidP="00565472">
      <w:pPr>
        <w:pStyle w:val="Heading3"/>
      </w:pPr>
      <w:r w:rsidRPr="006C5BA9">
        <w:t>Statement</w:t>
      </w:r>
    </w:p>
    <w:p w14:paraId="58DB15C8" w14:textId="4E8C20BF" w:rsidR="006C5BA9" w:rsidRPr="006C5BA9" w:rsidRDefault="006C5BA9" w:rsidP="006C5BA9">
      <w:r w:rsidRPr="006C5BA9">
        <w:t>Where an agency undertakes a search for documents in response to a request it must ensure the search is thorough and diligent</w:t>
      </w:r>
    </w:p>
    <w:p w14:paraId="67DF7870" w14:textId="77777777" w:rsidR="006C5BA9" w:rsidRPr="006C5BA9" w:rsidRDefault="006C5BA9" w:rsidP="00565472">
      <w:pPr>
        <w:pStyle w:val="Heading3"/>
      </w:pPr>
      <w:r w:rsidRPr="006C5BA9">
        <w:t>Professional Standard</w:t>
      </w:r>
    </w:p>
    <w:p w14:paraId="031C5847" w14:textId="6FDD2304" w:rsidR="006C5BA9" w:rsidRPr="006C5BA9" w:rsidRDefault="006C5BA9" w:rsidP="00565472">
      <w:pPr>
        <w:ind w:left="720" w:hanging="720"/>
      </w:pPr>
      <w:r w:rsidRPr="006C5BA9">
        <w:t>6.1</w:t>
      </w:r>
      <w:r w:rsidR="00565472">
        <w:tab/>
      </w:r>
      <w:r w:rsidRPr="006C5BA9">
        <w:t>Where a search for documents is conducted, an agency must ensure it keeps a record of the searches undertaken, including information relating to:</w:t>
      </w:r>
    </w:p>
    <w:p w14:paraId="71734B5F" w14:textId="6BCC5D32" w:rsidR="006C5BA9" w:rsidRPr="006C5BA9" w:rsidRDefault="006C5BA9" w:rsidP="00565472">
      <w:pPr>
        <w:ind w:firstLine="720"/>
      </w:pPr>
      <w:r w:rsidRPr="006C5BA9">
        <w:t>(a) the locations searched by the agency;</w:t>
      </w:r>
    </w:p>
    <w:p w14:paraId="6F1F6277" w14:textId="10FA8264" w:rsidR="006C5BA9" w:rsidRPr="006C5BA9" w:rsidRDefault="006C5BA9" w:rsidP="00565472">
      <w:pPr>
        <w:ind w:firstLine="720"/>
      </w:pPr>
      <w:r w:rsidRPr="006C5BA9">
        <w:t>(b) the method or type of searches undertaken; and</w:t>
      </w:r>
    </w:p>
    <w:p w14:paraId="22114FD1" w14:textId="47216DE0" w:rsidR="006C5BA9" w:rsidRPr="006C5BA9" w:rsidRDefault="006C5BA9" w:rsidP="00565472">
      <w:pPr>
        <w:ind w:firstLine="720"/>
      </w:pPr>
      <w:r w:rsidRPr="006C5BA9">
        <w:t>(c) where applicable, the key words used in the searches.</w:t>
      </w:r>
    </w:p>
    <w:p w14:paraId="0D2FBDA6" w14:textId="77777777" w:rsidR="006C5BA9" w:rsidRPr="006C5BA9" w:rsidRDefault="006C5BA9" w:rsidP="006C5BA9">
      <w:r w:rsidRPr="006C5BA9">
        <w:rPr>
          <w:i/>
          <w:iCs/>
        </w:rPr>
        <w:t>Note: a record may include a completed proforma template, email response, or file note.</w:t>
      </w:r>
    </w:p>
    <w:p w14:paraId="7B8B5009" w14:textId="77777777" w:rsidR="006C5BA9" w:rsidRPr="00565472" w:rsidRDefault="006C5BA9" w:rsidP="006C5BA9">
      <w:pPr>
        <w:rPr>
          <w:b/>
          <w:bCs/>
        </w:rPr>
      </w:pPr>
      <w:r w:rsidRPr="00565472">
        <w:rPr>
          <w:b/>
          <w:bCs/>
        </w:rPr>
        <w:t>Further Information</w:t>
      </w:r>
    </w:p>
    <w:p w14:paraId="2A8A5518" w14:textId="77777777" w:rsidR="006C5BA9" w:rsidRPr="00565472" w:rsidRDefault="006C5BA9" w:rsidP="006C5BA9">
      <w:pPr>
        <w:rPr>
          <w:b/>
          <w:bCs/>
        </w:rPr>
      </w:pPr>
      <w:hyperlink r:id="rId21" w:anchor="document" w:history="1">
        <w:r w:rsidRPr="00565472">
          <w:rPr>
            <w:rStyle w:val="Hyperlink"/>
            <w:b/>
            <w:bCs/>
          </w:rPr>
          <w:t>FOI Guidelines – Section 5 of the Act</w:t>
        </w:r>
      </w:hyperlink>
    </w:p>
    <w:p w14:paraId="17EF3BE2" w14:textId="77777777" w:rsidR="006C5BA9" w:rsidRPr="00565472" w:rsidRDefault="006C5BA9" w:rsidP="006C5BA9">
      <w:pPr>
        <w:rPr>
          <w:b/>
          <w:bCs/>
        </w:rPr>
      </w:pPr>
      <w:hyperlink r:id="rId22" w:history="1">
        <w:r w:rsidRPr="00565472">
          <w:rPr>
            <w:rStyle w:val="Hyperlink"/>
            <w:b/>
            <w:bCs/>
          </w:rPr>
          <w:t>FOI Guidelines – Section 27 of the Act</w:t>
        </w:r>
      </w:hyperlink>
    </w:p>
    <w:p w14:paraId="4FD90F7D" w14:textId="77777777" w:rsidR="006C5BA9" w:rsidRPr="006C5BA9" w:rsidRDefault="006C5BA9" w:rsidP="00565472">
      <w:pPr>
        <w:pStyle w:val="Heading2"/>
      </w:pPr>
      <w:r w:rsidRPr="006C5BA9">
        <w:lastRenderedPageBreak/>
        <w:t>7. Practicability of consulting third parties</w:t>
      </w:r>
    </w:p>
    <w:p w14:paraId="553405B3" w14:textId="77777777" w:rsidR="006C5BA9" w:rsidRPr="006C5BA9" w:rsidRDefault="006C5BA9" w:rsidP="00565472">
      <w:pPr>
        <w:pStyle w:val="Heading3"/>
      </w:pPr>
      <w:r w:rsidRPr="006C5BA9">
        <w:t>Statement</w:t>
      </w:r>
    </w:p>
    <w:p w14:paraId="47CB9552" w14:textId="77777777" w:rsidR="006C5BA9" w:rsidRPr="00636474" w:rsidRDefault="006C5BA9" w:rsidP="006C5BA9">
      <w:pPr>
        <w:rPr>
          <w:strike/>
        </w:rPr>
      </w:pPr>
      <w:r w:rsidRPr="00636474">
        <w:rPr>
          <w:strike/>
        </w:rPr>
        <w:t>Under sections 29(2), 29A(1D), 31(5), 31(6), 31A(2), 33(2B)(b), 34(3), and 35(1B)(b) of the Act, an agency may be required to consider the practicability of notifying and seeking the views of a third party.</w:t>
      </w:r>
    </w:p>
    <w:tbl>
      <w:tblPr>
        <w:tblStyle w:val="TableGrid"/>
        <w:tblW w:w="9209" w:type="dxa"/>
        <w:tblLook w:val="04A0" w:firstRow="1" w:lastRow="0" w:firstColumn="1" w:lastColumn="0" w:noHBand="0" w:noVBand="1"/>
      </w:tblPr>
      <w:tblGrid>
        <w:gridCol w:w="1271"/>
        <w:gridCol w:w="3690"/>
        <w:gridCol w:w="4248"/>
      </w:tblGrid>
      <w:tr w:rsidR="00463F84" w14:paraId="4CC7F6A9" w14:textId="1D4EC651" w:rsidTr="00AE24DE">
        <w:tc>
          <w:tcPr>
            <w:tcW w:w="1271" w:type="dxa"/>
            <w:shd w:val="clear" w:color="auto" w:fill="F2F2F2" w:themeFill="background2" w:themeFillShade="F2"/>
          </w:tcPr>
          <w:p w14:paraId="7EB5FD0F" w14:textId="7696B4AA" w:rsidR="00463F84" w:rsidRPr="00463F84" w:rsidRDefault="00463F84" w:rsidP="006C5BA9">
            <w:pPr>
              <w:rPr>
                <w:b/>
                <w:bCs/>
              </w:rPr>
            </w:pPr>
            <w:r w:rsidRPr="00463F84">
              <w:rPr>
                <w:b/>
                <w:bCs/>
              </w:rPr>
              <w:t>Update</w:t>
            </w:r>
            <w:r w:rsidR="00813A9A">
              <w:rPr>
                <w:b/>
                <w:bCs/>
              </w:rPr>
              <w:t>d</w:t>
            </w:r>
            <w:r w:rsidRPr="00463F84">
              <w:rPr>
                <w:b/>
                <w:bCs/>
              </w:rPr>
              <w:t xml:space="preserve"> Statement</w:t>
            </w:r>
          </w:p>
        </w:tc>
        <w:tc>
          <w:tcPr>
            <w:tcW w:w="3690" w:type="dxa"/>
            <w:shd w:val="clear" w:color="auto" w:fill="F2F2F2" w:themeFill="background2" w:themeFillShade="F2"/>
          </w:tcPr>
          <w:p w14:paraId="26BA1BC4" w14:textId="13AB719C" w:rsidR="00463F84" w:rsidRPr="00463F84" w:rsidRDefault="00463F84" w:rsidP="006C5BA9">
            <w:pPr>
              <w:rPr>
                <w:b/>
                <w:bCs/>
              </w:rPr>
            </w:pPr>
            <w:r w:rsidRPr="00463F84">
              <w:rPr>
                <w:b/>
                <w:bCs/>
              </w:rPr>
              <w:t>Draft statement</w:t>
            </w:r>
          </w:p>
        </w:tc>
        <w:tc>
          <w:tcPr>
            <w:tcW w:w="4248" w:type="dxa"/>
            <w:shd w:val="clear" w:color="auto" w:fill="F2F2F2" w:themeFill="background2" w:themeFillShade="F2"/>
          </w:tcPr>
          <w:p w14:paraId="721AE51E" w14:textId="3BDE8071" w:rsidR="00463F84" w:rsidRPr="00463F84" w:rsidRDefault="00463F84" w:rsidP="006C5BA9">
            <w:pPr>
              <w:rPr>
                <w:b/>
                <w:bCs/>
              </w:rPr>
            </w:pPr>
            <w:r>
              <w:rPr>
                <w:b/>
                <w:bCs/>
              </w:rPr>
              <w:t>Comments</w:t>
            </w:r>
          </w:p>
        </w:tc>
      </w:tr>
      <w:tr w:rsidR="00463F84" w14:paraId="2D3DB9E0" w14:textId="0CD4ABFC" w:rsidTr="00AE24DE">
        <w:tc>
          <w:tcPr>
            <w:tcW w:w="1271" w:type="dxa"/>
            <w:shd w:val="clear" w:color="auto" w:fill="F2F2F2" w:themeFill="background2" w:themeFillShade="F2"/>
          </w:tcPr>
          <w:p w14:paraId="6C5D7BC6" w14:textId="7D57757C" w:rsidR="00463F84" w:rsidRDefault="00463F84" w:rsidP="006C5BA9">
            <w:r>
              <w:t>Statement</w:t>
            </w:r>
          </w:p>
        </w:tc>
        <w:tc>
          <w:tcPr>
            <w:tcW w:w="3690" w:type="dxa"/>
            <w:shd w:val="clear" w:color="auto" w:fill="F2F2F2" w:themeFill="background2" w:themeFillShade="F2"/>
          </w:tcPr>
          <w:p w14:paraId="59625AAE" w14:textId="0E9DE6A8" w:rsidR="00463F84" w:rsidRDefault="00463F84" w:rsidP="00813A9A">
            <w:r w:rsidRPr="006C5BA9">
              <w:t>Under sections 29(2), 29A(1D), 31(5), 31(6), 31A(2), 33(2B)(b), 34(3), and 35(1B)(b) of the Act, an agency may notif</w:t>
            </w:r>
            <w:r>
              <w:t xml:space="preserve">y </w:t>
            </w:r>
            <w:r w:rsidRPr="006C5BA9">
              <w:t>and seeking the views of a third party</w:t>
            </w:r>
            <w:r>
              <w:t xml:space="preserve"> where it is considered </w:t>
            </w:r>
            <w:r w:rsidRPr="008858E5">
              <w:rPr>
                <w:rFonts w:ascii="Calibri Light" w:hAnsi="Calibri Light" w:cs="Calibri Light"/>
              </w:rPr>
              <w:t>reasonably practicable</w:t>
            </w:r>
            <w:r w:rsidR="00FD2DF7">
              <w:rPr>
                <w:rFonts w:ascii="Calibri Light" w:hAnsi="Calibri Light" w:cs="Calibri Light"/>
              </w:rPr>
              <w:t xml:space="preserve"> to consult</w:t>
            </w:r>
            <w:r>
              <w:rPr>
                <w:rFonts w:ascii="Calibri Light" w:hAnsi="Calibri Light" w:cs="Calibri Light"/>
              </w:rPr>
              <w:t>.</w:t>
            </w:r>
          </w:p>
        </w:tc>
        <w:tc>
          <w:tcPr>
            <w:tcW w:w="4248" w:type="dxa"/>
            <w:shd w:val="clear" w:color="auto" w:fill="F2F2F2" w:themeFill="background2" w:themeFillShade="F2"/>
          </w:tcPr>
          <w:p w14:paraId="55D68E3B" w14:textId="3D217FF6" w:rsidR="00463F84" w:rsidRPr="006C5BA9" w:rsidRDefault="00463F84" w:rsidP="00463F84">
            <w:r w:rsidRPr="008858E5">
              <w:rPr>
                <w:rFonts w:ascii="Calibri Light" w:hAnsi="Calibri Light" w:cs="Calibri Light"/>
              </w:rPr>
              <w:t xml:space="preserve">On 29 August 2024, the </w:t>
            </w:r>
            <w:r w:rsidRPr="008858E5">
              <w:rPr>
                <w:rFonts w:ascii="Calibri Light" w:hAnsi="Calibri Light" w:cs="Calibri Light"/>
                <w:i/>
                <w:iCs/>
              </w:rPr>
              <w:t>Justice Legislation Amendment (Integrity, Defamation and Other Matters) Bill 2024</w:t>
            </w:r>
            <w:r w:rsidRPr="008858E5">
              <w:rPr>
                <w:rFonts w:ascii="Calibri Light" w:hAnsi="Calibri Light" w:cs="Calibri Light"/>
              </w:rPr>
              <w:t xml:space="preserve"> was passed</w:t>
            </w:r>
            <w:r>
              <w:rPr>
                <w:rFonts w:ascii="Calibri Light" w:hAnsi="Calibri Light" w:cs="Calibri Light"/>
              </w:rPr>
              <w:t xml:space="preserve">. This amendment provides that </w:t>
            </w:r>
            <w:r w:rsidRPr="008858E5">
              <w:rPr>
                <w:rFonts w:ascii="Calibri Light" w:hAnsi="Calibri Light" w:cs="Calibri Light"/>
              </w:rPr>
              <w:t xml:space="preserve">third party consultation </w:t>
            </w:r>
            <w:r>
              <w:rPr>
                <w:rFonts w:ascii="Calibri Light" w:hAnsi="Calibri Light" w:cs="Calibri Light"/>
              </w:rPr>
              <w:t xml:space="preserve">is only </w:t>
            </w:r>
            <w:r w:rsidRPr="008858E5">
              <w:rPr>
                <w:rFonts w:ascii="Calibri Light" w:hAnsi="Calibri Light" w:cs="Calibri Light"/>
              </w:rPr>
              <w:t>require</w:t>
            </w:r>
            <w:r>
              <w:rPr>
                <w:rFonts w:ascii="Calibri Light" w:hAnsi="Calibri Light" w:cs="Calibri Light"/>
              </w:rPr>
              <w:t xml:space="preserve">d </w:t>
            </w:r>
            <w:r w:rsidRPr="008858E5">
              <w:rPr>
                <w:rFonts w:ascii="Calibri Light" w:hAnsi="Calibri Light" w:cs="Calibri Light"/>
              </w:rPr>
              <w:t xml:space="preserve">when it is </w:t>
            </w:r>
            <w:r>
              <w:rPr>
                <w:rFonts w:ascii="Calibri Light" w:hAnsi="Calibri Light" w:cs="Calibri Light"/>
              </w:rPr>
              <w:t>‘</w:t>
            </w:r>
            <w:r w:rsidRPr="008858E5">
              <w:rPr>
                <w:rFonts w:ascii="Calibri Light" w:hAnsi="Calibri Light" w:cs="Calibri Light"/>
              </w:rPr>
              <w:t>reasonably practicable</w:t>
            </w:r>
            <w:r>
              <w:rPr>
                <w:rFonts w:ascii="Calibri Light" w:hAnsi="Calibri Light" w:cs="Calibri Light"/>
              </w:rPr>
              <w:t>’.</w:t>
            </w:r>
          </w:p>
        </w:tc>
      </w:tr>
    </w:tbl>
    <w:p w14:paraId="682C36D7" w14:textId="77777777" w:rsidR="006C5BA9" w:rsidRPr="006C5BA9" w:rsidRDefault="006C5BA9" w:rsidP="00565472">
      <w:pPr>
        <w:pStyle w:val="Heading3"/>
      </w:pPr>
      <w:r w:rsidRPr="006C5BA9">
        <w:t>Professional Standards</w:t>
      </w:r>
    </w:p>
    <w:p w14:paraId="0340BDF6" w14:textId="49C48A1E" w:rsidR="006C5BA9" w:rsidRPr="00636474" w:rsidRDefault="006C5BA9" w:rsidP="00565472">
      <w:pPr>
        <w:ind w:left="720" w:hanging="720"/>
        <w:rPr>
          <w:strike/>
        </w:rPr>
      </w:pPr>
      <w:r w:rsidRPr="006C5BA9">
        <w:t>7.1</w:t>
      </w:r>
      <w:r w:rsidR="00565472">
        <w:tab/>
      </w:r>
      <w:r w:rsidRPr="00636474">
        <w:rPr>
          <w:strike/>
        </w:rPr>
        <w:t>In determining whether it is practicable to notify and seek the views of a third party, an agency must consider all relevant factors which may include:</w:t>
      </w:r>
    </w:p>
    <w:p w14:paraId="65C43066" w14:textId="77777777" w:rsidR="006C5BA9" w:rsidRPr="00636474" w:rsidRDefault="006C5BA9" w:rsidP="00565472">
      <w:pPr>
        <w:ind w:firstLine="720"/>
        <w:rPr>
          <w:strike/>
        </w:rPr>
      </w:pPr>
      <w:r w:rsidRPr="00636474">
        <w:rPr>
          <w:strike/>
        </w:rPr>
        <w:t>(a) the likelihood of a third party consenting to disclosure of the information or document;</w:t>
      </w:r>
    </w:p>
    <w:p w14:paraId="3281B570" w14:textId="77777777" w:rsidR="006C5BA9" w:rsidRPr="00636474" w:rsidRDefault="006C5BA9" w:rsidP="00565472">
      <w:pPr>
        <w:ind w:firstLine="720"/>
        <w:rPr>
          <w:strike/>
        </w:rPr>
      </w:pPr>
      <w:r w:rsidRPr="00636474">
        <w:rPr>
          <w:strike/>
        </w:rPr>
        <w:t>(b) the relative age of the information or document;</w:t>
      </w:r>
    </w:p>
    <w:p w14:paraId="351A683F" w14:textId="77777777" w:rsidR="006C5BA9" w:rsidRPr="00636474" w:rsidRDefault="006C5BA9" w:rsidP="00565472">
      <w:pPr>
        <w:ind w:firstLine="720"/>
        <w:rPr>
          <w:strike/>
        </w:rPr>
      </w:pPr>
      <w:r w:rsidRPr="00636474">
        <w:rPr>
          <w:strike/>
        </w:rPr>
        <w:t>(c) the number of third parties to be notified; and</w:t>
      </w:r>
    </w:p>
    <w:p w14:paraId="511E1B91" w14:textId="77777777" w:rsidR="006C5BA9" w:rsidRPr="00636474" w:rsidRDefault="006C5BA9" w:rsidP="00565472">
      <w:pPr>
        <w:ind w:left="720"/>
        <w:rPr>
          <w:strike/>
        </w:rPr>
      </w:pPr>
      <w:r w:rsidRPr="00636474">
        <w:rPr>
          <w:strike/>
        </w:rPr>
        <w:t>(d) whether the agency has, or is reasonably able to ascertain, current contact details for a third party.</w:t>
      </w:r>
    </w:p>
    <w:p w14:paraId="0B146BFC" w14:textId="13F37C2A" w:rsidR="006C5BA9" w:rsidRPr="00636474" w:rsidRDefault="006C5BA9" w:rsidP="00565472">
      <w:pPr>
        <w:ind w:left="720" w:hanging="720"/>
        <w:rPr>
          <w:strike/>
        </w:rPr>
      </w:pPr>
      <w:r w:rsidRPr="00636474">
        <w:rPr>
          <w:strike/>
        </w:rPr>
        <w:t>7.2</w:t>
      </w:r>
      <w:r w:rsidR="00565472" w:rsidRPr="00636474">
        <w:rPr>
          <w:strike/>
        </w:rPr>
        <w:tab/>
      </w:r>
      <w:r w:rsidRPr="00636474">
        <w:rPr>
          <w:strike/>
        </w:rPr>
        <w:t>If an agency determines it is not practicable to notify and seek the views of a third party, it must keep a record of why it is not practicable.</w:t>
      </w:r>
    </w:p>
    <w:p w14:paraId="297F6203" w14:textId="77777777" w:rsidR="006C5BA9" w:rsidRPr="00636474" w:rsidRDefault="006C5BA9" w:rsidP="00636474">
      <w:pPr>
        <w:ind w:left="720"/>
        <w:rPr>
          <w:i/>
          <w:iCs/>
          <w:strike/>
        </w:rPr>
      </w:pPr>
      <w:r w:rsidRPr="00636474">
        <w:rPr>
          <w:i/>
          <w:iCs/>
          <w:strike/>
        </w:rPr>
        <w:t>Note: a record does not need to specify every individual third party and may be general in nature.</w:t>
      </w:r>
    </w:p>
    <w:tbl>
      <w:tblPr>
        <w:tblStyle w:val="TableGrid"/>
        <w:tblW w:w="9239" w:type="dxa"/>
        <w:tblLook w:val="04A0" w:firstRow="1" w:lastRow="0" w:firstColumn="1" w:lastColumn="0" w:noHBand="0" w:noVBand="1"/>
      </w:tblPr>
      <w:tblGrid>
        <w:gridCol w:w="1295"/>
        <w:gridCol w:w="4796"/>
        <w:gridCol w:w="3148"/>
      </w:tblGrid>
      <w:tr w:rsidR="00FD2DF7" w:rsidRPr="00463F84" w14:paraId="454E6BA6" w14:textId="77777777" w:rsidTr="00AE24DE">
        <w:trPr>
          <w:trHeight w:val="311"/>
        </w:trPr>
        <w:tc>
          <w:tcPr>
            <w:tcW w:w="1295" w:type="dxa"/>
            <w:shd w:val="clear" w:color="auto" w:fill="F2F2F2" w:themeFill="background2" w:themeFillShade="F2"/>
          </w:tcPr>
          <w:p w14:paraId="25ACAD7A" w14:textId="06324E9B" w:rsidR="00FD2DF7" w:rsidRPr="00463F84" w:rsidRDefault="00FD2DF7" w:rsidP="00C7423C">
            <w:pPr>
              <w:rPr>
                <w:b/>
                <w:bCs/>
              </w:rPr>
            </w:pPr>
            <w:r>
              <w:rPr>
                <w:b/>
                <w:bCs/>
              </w:rPr>
              <w:t>Amended Standards</w:t>
            </w:r>
          </w:p>
        </w:tc>
        <w:tc>
          <w:tcPr>
            <w:tcW w:w="4796" w:type="dxa"/>
            <w:shd w:val="clear" w:color="auto" w:fill="F2F2F2" w:themeFill="background2" w:themeFillShade="F2"/>
          </w:tcPr>
          <w:p w14:paraId="6C87F144" w14:textId="77777777" w:rsidR="00FD2DF7" w:rsidRPr="00463F84" w:rsidRDefault="00FD2DF7" w:rsidP="00C7423C">
            <w:pPr>
              <w:rPr>
                <w:b/>
                <w:bCs/>
              </w:rPr>
            </w:pPr>
            <w:r w:rsidRPr="00463F84">
              <w:rPr>
                <w:b/>
                <w:bCs/>
              </w:rPr>
              <w:t xml:space="preserve">Draft </w:t>
            </w:r>
            <w:r>
              <w:rPr>
                <w:b/>
                <w:bCs/>
              </w:rPr>
              <w:t>Standard</w:t>
            </w:r>
          </w:p>
        </w:tc>
        <w:tc>
          <w:tcPr>
            <w:tcW w:w="3148" w:type="dxa"/>
            <w:shd w:val="clear" w:color="auto" w:fill="F2F2F2" w:themeFill="background2" w:themeFillShade="F2"/>
          </w:tcPr>
          <w:p w14:paraId="363FB6A3" w14:textId="77777777" w:rsidR="00FD2DF7" w:rsidRPr="00463F84" w:rsidRDefault="00FD2DF7" w:rsidP="00C7423C">
            <w:pPr>
              <w:rPr>
                <w:b/>
                <w:bCs/>
              </w:rPr>
            </w:pPr>
            <w:r>
              <w:rPr>
                <w:b/>
                <w:bCs/>
              </w:rPr>
              <w:t>Comments</w:t>
            </w:r>
          </w:p>
        </w:tc>
      </w:tr>
      <w:tr w:rsidR="00FD2DF7" w:rsidRPr="006C5BA9" w14:paraId="27DA8BCF" w14:textId="77777777" w:rsidTr="00AE24DE">
        <w:trPr>
          <w:trHeight w:val="1776"/>
        </w:trPr>
        <w:tc>
          <w:tcPr>
            <w:tcW w:w="1295" w:type="dxa"/>
            <w:shd w:val="clear" w:color="auto" w:fill="F2F2F2" w:themeFill="background2" w:themeFillShade="F2"/>
          </w:tcPr>
          <w:p w14:paraId="6C849060" w14:textId="77777777" w:rsidR="00FD2DF7" w:rsidRDefault="00FD2DF7" w:rsidP="00C7423C">
            <w:r>
              <w:lastRenderedPageBreak/>
              <w:t>7.1</w:t>
            </w:r>
          </w:p>
        </w:tc>
        <w:tc>
          <w:tcPr>
            <w:tcW w:w="4796" w:type="dxa"/>
            <w:shd w:val="clear" w:color="auto" w:fill="F2F2F2" w:themeFill="background2" w:themeFillShade="F2"/>
          </w:tcPr>
          <w:p w14:paraId="2ECC4D8E" w14:textId="77777777" w:rsidR="00E56699" w:rsidRDefault="00FD2DF7" w:rsidP="00C7423C">
            <w:r w:rsidRPr="006C5BA9">
              <w:t>In determining whether it is</w:t>
            </w:r>
            <w:r>
              <w:t xml:space="preserve"> reasonably </w:t>
            </w:r>
            <w:r w:rsidRPr="006C5BA9">
              <w:t xml:space="preserve">practicable to notify and seek the views of a third party, an agency must consider all relevant factors </w:t>
            </w:r>
            <w:r w:rsidR="00E57239">
              <w:t>which may include</w:t>
            </w:r>
            <w:r w:rsidR="00E56699">
              <w:t>:</w:t>
            </w:r>
          </w:p>
          <w:p w14:paraId="1D4FD228" w14:textId="4CD6BBA3" w:rsidR="00E56699" w:rsidRDefault="00E56699" w:rsidP="00A3772E">
            <w:pPr>
              <w:pStyle w:val="ListParagraph"/>
              <w:numPr>
                <w:ilvl w:val="0"/>
                <w:numId w:val="60"/>
              </w:numPr>
            </w:pPr>
            <w:r w:rsidRPr="00314CF4">
              <w:t>the</w:t>
            </w:r>
            <w:r>
              <w:t xml:space="preserve"> </w:t>
            </w:r>
            <w:r w:rsidRPr="000E1CB9">
              <w:t>likelihood a third party will not consent to disclosure of information or a document</w:t>
            </w:r>
            <w:r w:rsidR="00AA1439">
              <w:t>;</w:t>
            </w:r>
          </w:p>
          <w:p w14:paraId="54C61DA2" w14:textId="0D07FF39" w:rsidR="00E56699" w:rsidRDefault="00E56699" w:rsidP="00AA1439">
            <w:pPr>
              <w:pStyle w:val="ListParagraph"/>
              <w:numPr>
                <w:ilvl w:val="0"/>
                <w:numId w:val="60"/>
              </w:numPr>
            </w:pPr>
            <w:r w:rsidRPr="00314CF4">
              <w:t>the</w:t>
            </w:r>
            <w:r w:rsidRPr="00AE01D1">
              <w:t xml:space="preserve"> age of the information or document</w:t>
            </w:r>
            <w:r w:rsidRPr="00314CF4">
              <w:t>;</w:t>
            </w:r>
          </w:p>
          <w:p w14:paraId="08C5495D" w14:textId="0E1AB036" w:rsidR="00E56699" w:rsidRDefault="00E56699" w:rsidP="00AA1439">
            <w:pPr>
              <w:pStyle w:val="ListParagraph"/>
              <w:numPr>
                <w:ilvl w:val="0"/>
                <w:numId w:val="60"/>
              </w:numPr>
            </w:pPr>
            <w:r w:rsidRPr="00314CF4">
              <w:t>the number of third parties to be notified; and</w:t>
            </w:r>
          </w:p>
          <w:p w14:paraId="5D130028" w14:textId="2C797149" w:rsidR="00E56699" w:rsidRPr="00314CF4" w:rsidRDefault="00E56699" w:rsidP="00AA1439">
            <w:pPr>
              <w:pStyle w:val="ListParagraph"/>
              <w:numPr>
                <w:ilvl w:val="0"/>
                <w:numId w:val="60"/>
              </w:numPr>
            </w:pPr>
            <w:r>
              <w:t>w</w:t>
            </w:r>
            <w:r w:rsidRPr="00FD01F9">
              <w:t xml:space="preserve">hether the agency has, or is reasonably able to </w:t>
            </w:r>
            <w:r>
              <w:t>find</w:t>
            </w:r>
            <w:r w:rsidRPr="00FD01F9">
              <w:t>, current contact details</w:t>
            </w:r>
          </w:p>
          <w:p w14:paraId="1D4AA469" w14:textId="1BF5643A" w:rsidR="00FD2DF7" w:rsidRPr="00AA1439" w:rsidRDefault="00314A0A" w:rsidP="00CB00AD">
            <w:r w:rsidRPr="00AA1439">
              <w:t xml:space="preserve">Note: further information about the factors above are set out </w:t>
            </w:r>
            <w:r w:rsidR="00E57239" w:rsidRPr="00AA1439">
              <w:t xml:space="preserve">in the </w:t>
            </w:r>
            <w:hyperlink r:id="rId23" w:anchor="third-party-consultation" w:history="1">
              <w:r w:rsidR="00E57239" w:rsidRPr="00AA1439">
                <w:rPr>
                  <w:rStyle w:val="Hyperlink"/>
                </w:rPr>
                <w:t>FOI Guidelines at 1.81</w:t>
              </w:r>
            </w:hyperlink>
            <w:r w:rsidR="00E57239" w:rsidRPr="00AA1439">
              <w:t>.</w:t>
            </w:r>
            <w:r w:rsidR="00CB00AD" w:rsidRPr="00AA1439">
              <w:t xml:space="preserve"> </w:t>
            </w:r>
          </w:p>
        </w:tc>
        <w:tc>
          <w:tcPr>
            <w:tcW w:w="3148" w:type="dxa"/>
            <w:shd w:val="clear" w:color="auto" w:fill="F2F2F2" w:themeFill="background2" w:themeFillShade="F2"/>
          </w:tcPr>
          <w:p w14:paraId="53921FCB" w14:textId="77777777" w:rsidR="00FD2DF7" w:rsidRPr="006C5BA9" w:rsidRDefault="00FD2DF7" w:rsidP="00C7423C">
            <w:r w:rsidRPr="008858E5">
              <w:rPr>
                <w:rFonts w:ascii="Calibri Light" w:hAnsi="Calibri Light" w:cs="Calibri Light"/>
              </w:rPr>
              <w:t xml:space="preserve">On 29 August 2024, the </w:t>
            </w:r>
            <w:r w:rsidRPr="008858E5">
              <w:rPr>
                <w:rFonts w:ascii="Calibri Light" w:hAnsi="Calibri Light" w:cs="Calibri Light"/>
                <w:i/>
                <w:iCs/>
              </w:rPr>
              <w:t>Justice Legislation Amendment (Integrity, Defamation and Other Matters) Bill 2024</w:t>
            </w:r>
            <w:r w:rsidRPr="008858E5">
              <w:rPr>
                <w:rFonts w:ascii="Calibri Light" w:hAnsi="Calibri Light" w:cs="Calibri Light"/>
              </w:rPr>
              <w:t xml:space="preserve"> was passed</w:t>
            </w:r>
            <w:r>
              <w:rPr>
                <w:rFonts w:ascii="Calibri Light" w:hAnsi="Calibri Light" w:cs="Calibri Light"/>
              </w:rPr>
              <w:t xml:space="preserve">. This amendment provides that </w:t>
            </w:r>
            <w:r w:rsidRPr="008858E5">
              <w:rPr>
                <w:rFonts w:ascii="Calibri Light" w:hAnsi="Calibri Light" w:cs="Calibri Light"/>
              </w:rPr>
              <w:t xml:space="preserve">third party consultation </w:t>
            </w:r>
            <w:r>
              <w:rPr>
                <w:rFonts w:ascii="Calibri Light" w:hAnsi="Calibri Light" w:cs="Calibri Light"/>
              </w:rPr>
              <w:t xml:space="preserve">is only </w:t>
            </w:r>
            <w:r w:rsidRPr="008858E5">
              <w:rPr>
                <w:rFonts w:ascii="Calibri Light" w:hAnsi="Calibri Light" w:cs="Calibri Light"/>
              </w:rPr>
              <w:t>require</w:t>
            </w:r>
            <w:r>
              <w:rPr>
                <w:rFonts w:ascii="Calibri Light" w:hAnsi="Calibri Light" w:cs="Calibri Light"/>
              </w:rPr>
              <w:t xml:space="preserve">d </w:t>
            </w:r>
            <w:r w:rsidRPr="008858E5">
              <w:rPr>
                <w:rFonts w:ascii="Calibri Light" w:hAnsi="Calibri Light" w:cs="Calibri Light"/>
              </w:rPr>
              <w:t xml:space="preserve">when it is </w:t>
            </w:r>
            <w:r>
              <w:rPr>
                <w:rFonts w:ascii="Calibri Light" w:hAnsi="Calibri Light" w:cs="Calibri Light"/>
              </w:rPr>
              <w:t>‘</w:t>
            </w:r>
            <w:r w:rsidRPr="008858E5">
              <w:rPr>
                <w:rFonts w:ascii="Calibri Light" w:hAnsi="Calibri Light" w:cs="Calibri Light"/>
              </w:rPr>
              <w:t>reasonably practicable</w:t>
            </w:r>
            <w:r>
              <w:rPr>
                <w:rFonts w:ascii="Calibri Light" w:hAnsi="Calibri Light" w:cs="Calibri Light"/>
              </w:rPr>
              <w:t>’.</w:t>
            </w:r>
          </w:p>
        </w:tc>
      </w:tr>
      <w:tr w:rsidR="00FD2DF7" w:rsidRPr="006C5BA9" w14:paraId="3EB0E259" w14:textId="77777777" w:rsidTr="00AE24DE">
        <w:trPr>
          <w:trHeight w:val="1776"/>
        </w:trPr>
        <w:tc>
          <w:tcPr>
            <w:tcW w:w="1295" w:type="dxa"/>
            <w:shd w:val="clear" w:color="auto" w:fill="F2F2F2" w:themeFill="background2" w:themeFillShade="F2"/>
          </w:tcPr>
          <w:p w14:paraId="541BCCD9" w14:textId="7B74D804" w:rsidR="00FD2DF7" w:rsidRDefault="00FD2DF7" w:rsidP="00C7423C">
            <w:r>
              <w:t>7.2</w:t>
            </w:r>
          </w:p>
        </w:tc>
        <w:tc>
          <w:tcPr>
            <w:tcW w:w="4796" w:type="dxa"/>
            <w:shd w:val="clear" w:color="auto" w:fill="F2F2F2" w:themeFill="background2" w:themeFillShade="F2"/>
          </w:tcPr>
          <w:p w14:paraId="50A5D8B6" w14:textId="77777777" w:rsidR="00FD2DF7" w:rsidRDefault="00FD2DF7" w:rsidP="00C7423C">
            <w:r w:rsidRPr="006C5BA9">
              <w:t xml:space="preserve">If an agency determines it is not </w:t>
            </w:r>
            <w:r>
              <w:t xml:space="preserve">reasonably </w:t>
            </w:r>
            <w:r w:rsidRPr="006C5BA9">
              <w:t xml:space="preserve">practicable to notify and seek the views of a third party, it must keep a record of why it is not </w:t>
            </w:r>
            <w:r w:rsidR="00857462">
              <w:t xml:space="preserve">reasonably </w:t>
            </w:r>
            <w:r w:rsidRPr="006C5BA9">
              <w:t>practicable.</w:t>
            </w:r>
            <w:r>
              <w:t xml:space="preserve"> </w:t>
            </w:r>
          </w:p>
          <w:p w14:paraId="498E9109" w14:textId="30F3D474" w:rsidR="00857462" w:rsidRPr="00636474" w:rsidRDefault="00857462" w:rsidP="00636474">
            <w:pPr>
              <w:ind w:left="13"/>
              <w:rPr>
                <w:i/>
                <w:iCs/>
              </w:rPr>
            </w:pPr>
            <w:r w:rsidRPr="006C5BA9">
              <w:rPr>
                <w:i/>
                <w:iCs/>
              </w:rPr>
              <w:t>Note: a record does not need to specify every individual third party and may be general in nature.</w:t>
            </w:r>
          </w:p>
        </w:tc>
        <w:tc>
          <w:tcPr>
            <w:tcW w:w="3148" w:type="dxa"/>
            <w:shd w:val="clear" w:color="auto" w:fill="F2F2F2" w:themeFill="background2" w:themeFillShade="F2"/>
          </w:tcPr>
          <w:p w14:paraId="7D5EF383" w14:textId="77777777" w:rsidR="00FD2DF7" w:rsidRPr="008858E5" w:rsidRDefault="00FD2DF7" w:rsidP="00C7423C">
            <w:pPr>
              <w:rPr>
                <w:rFonts w:ascii="Calibri Light" w:hAnsi="Calibri Light" w:cs="Calibri Light"/>
              </w:rPr>
            </w:pPr>
          </w:p>
        </w:tc>
      </w:tr>
    </w:tbl>
    <w:p w14:paraId="27D4B3EB" w14:textId="77777777" w:rsidR="00FD2DF7" w:rsidRDefault="00FD2DF7" w:rsidP="00FD2DF7">
      <w:pPr>
        <w:ind w:left="720" w:hanging="720"/>
      </w:pPr>
    </w:p>
    <w:p w14:paraId="16DFE12A" w14:textId="333C3547" w:rsidR="006C5BA9" w:rsidRPr="006C5BA9" w:rsidRDefault="006C5BA9" w:rsidP="00FD2DF7">
      <w:pPr>
        <w:ind w:left="720" w:hanging="720"/>
      </w:pPr>
      <w:r w:rsidRPr="006C5BA9">
        <w:t>7.3</w:t>
      </w:r>
      <w:r w:rsidR="00565472">
        <w:tab/>
      </w:r>
      <w:r w:rsidRPr="006C5BA9">
        <w:t>Where an agency notifies and seeks the views of a third party, it must ensure it keeps a record of:</w:t>
      </w:r>
    </w:p>
    <w:p w14:paraId="25CDB418" w14:textId="2BB5F610" w:rsidR="006C5BA9" w:rsidRPr="006C5BA9" w:rsidRDefault="006C5BA9" w:rsidP="00565472">
      <w:pPr>
        <w:ind w:firstLine="720"/>
      </w:pPr>
      <w:r w:rsidRPr="006C5BA9">
        <w:t xml:space="preserve">(a) </w:t>
      </w:r>
      <w:r w:rsidR="00FF4818">
        <w:tab/>
      </w:r>
      <w:r w:rsidRPr="006C5BA9">
        <w:t>who was notified;</w:t>
      </w:r>
    </w:p>
    <w:p w14:paraId="5F82BA29" w14:textId="6F030295" w:rsidR="006C5BA9" w:rsidRPr="006C5BA9" w:rsidRDefault="006C5BA9" w:rsidP="00565472">
      <w:pPr>
        <w:ind w:firstLine="720"/>
      </w:pPr>
      <w:r w:rsidRPr="006C5BA9">
        <w:t xml:space="preserve">(b) </w:t>
      </w:r>
      <w:r w:rsidR="00FF4818">
        <w:tab/>
      </w:r>
      <w:r w:rsidRPr="006C5BA9">
        <w:t>whether the third party did or did not respond to the notification;</w:t>
      </w:r>
    </w:p>
    <w:p w14:paraId="352C8EA3" w14:textId="22D6906D" w:rsidR="006C5BA9" w:rsidRPr="006C5BA9" w:rsidRDefault="006C5BA9" w:rsidP="00AA1439">
      <w:pPr>
        <w:ind w:left="1440" w:hanging="720"/>
      </w:pPr>
      <w:r w:rsidRPr="006C5BA9">
        <w:t>(c)</w:t>
      </w:r>
      <w:r w:rsidR="00FF4818">
        <w:tab/>
      </w:r>
      <w:r w:rsidRPr="006C5BA9">
        <w:t>if the third party responded, whether they consented or objected to disclosure of the information or document; and</w:t>
      </w:r>
    </w:p>
    <w:p w14:paraId="0968D198" w14:textId="3CB7D825" w:rsidR="006C5BA9" w:rsidRPr="006C5BA9" w:rsidRDefault="006C5BA9" w:rsidP="00565472">
      <w:pPr>
        <w:ind w:firstLine="720"/>
      </w:pPr>
      <w:r w:rsidRPr="006C5BA9">
        <w:t xml:space="preserve">(d) </w:t>
      </w:r>
      <w:r w:rsidR="00FF4818">
        <w:tab/>
      </w:r>
      <w:r w:rsidRPr="006C5BA9">
        <w:t>where provided, the third party’s reasons for objecting.</w:t>
      </w:r>
    </w:p>
    <w:p w14:paraId="153D678C" w14:textId="77777777" w:rsidR="006C5BA9" w:rsidRPr="006C5BA9" w:rsidRDefault="006C5BA9" w:rsidP="00275638">
      <w:pPr>
        <w:ind w:left="720"/>
      </w:pPr>
      <w:r w:rsidRPr="006C5BA9">
        <w:rPr>
          <w:i/>
          <w:iCs/>
        </w:rPr>
        <w:t>Note: an agency should ensure a third party is aware of the applicable exemption and what must be established for the exemption to apply to the information or document.</w:t>
      </w:r>
    </w:p>
    <w:p w14:paraId="1F177A34" w14:textId="77777777" w:rsidR="000544C0" w:rsidRDefault="000544C0" w:rsidP="006C5BA9">
      <w:pPr>
        <w:rPr>
          <w:b/>
          <w:bCs/>
        </w:rPr>
      </w:pPr>
    </w:p>
    <w:p w14:paraId="6FBA2998" w14:textId="2ED43C3B" w:rsidR="006C5BA9" w:rsidRPr="00565472" w:rsidRDefault="006C5BA9" w:rsidP="006C5BA9">
      <w:pPr>
        <w:rPr>
          <w:b/>
          <w:bCs/>
        </w:rPr>
      </w:pPr>
      <w:r w:rsidRPr="00565472">
        <w:rPr>
          <w:b/>
          <w:bCs/>
        </w:rPr>
        <w:t>Further Information</w:t>
      </w:r>
    </w:p>
    <w:p w14:paraId="53DA8DD9" w14:textId="4D450C05" w:rsidR="006C5BA9" w:rsidRPr="00E57239" w:rsidRDefault="00E57239" w:rsidP="006C5BA9">
      <w:pPr>
        <w:rPr>
          <w:rStyle w:val="Hyperlink"/>
          <w:b/>
          <w:bCs/>
        </w:rPr>
      </w:pPr>
      <w:r>
        <w:rPr>
          <w:b/>
          <w:bCs/>
        </w:rPr>
        <w:fldChar w:fldCharType="begin"/>
      </w:r>
      <w:r>
        <w:rPr>
          <w:b/>
          <w:bCs/>
        </w:rPr>
        <w:instrText>HYPERLINK "https://ovic.vic.gov.au/freedom-of-information/foi-guidelines/section-33/" \l "third-party-consultation"</w:instrText>
      </w:r>
      <w:r>
        <w:rPr>
          <w:b/>
          <w:bCs/>
        </w:rPr>
      </w:r>
      <w:r>
        <w:rPr>
          <w:b/>
          <w:bCs/>
        </w:rPr>
        <w:fldChar w:fldCharType="separate"/>
      </w:r>
      <w:r w:rsidR="006C5BA9" w:rsidRPr="00E57239">
        <w:rPr>
          <w:rStyle w:val="Hyperlink"/>
          <w:b/>
          <w:bCs/>
        </w:rPr>
        <w:t>FOI Guidelines – Section 33</w:t>
      </w:r>
      <w:r w:rsidRPr="00E57239">
        <w:rPr>
          <w:rStyle w:val="Hyperlink"/>
          <w:b/>
          <w:bCs/>
        </w:rPr>
        <w:t xml:space="preserve"> </w:t>
      </w:r>
      <w:r w:rsidR="006C5BA9" w:rsidRPr="00E57239">
        <w:rPr>
          <w:rStyle w:val="Hyperlink"/>
          <w:b/>
          <w:bCs/>
        </w:rPr>
        <w:t>of the FOI Act</w:t>
      </w:r>
      <w:r w:rsidRPr="00E57239">
        <w:rPr>
          <w:rStyle w:val="Hyperlink"/>
          <w:b/>
          <w:bCs/>
        </w:rPr>
        <w:t xml:space="preserve"> -</w:t>
      </w:r>
      <w:r>
        <w:rPr>
          <w:rStyle w:val="Hyperlink"/>
          <w:b/>
          <w:bCs/>
        </w:rPr>
        <w:t xml:space="preserve"> </w:t>
      </w:r>
      <w:r w:rsidRPr="00E57239">
        <w:rPr>
          <w:rStyle w:val="Hyperlink"/>
          <w:b/>
          <w:bCs/>
        </w:rPr>
        <w:t>third party consultation</w:t>
      </w:r>
    </w:p>
    <w:p w14:paraId="0280B1C0" w14:textId="4AE6178D" w:rsidR="006C5BA9" w:rsidRPr="006C5BA9" w:rsidRDefault="00E57239" w:rsidP="00565472">
      <w:pPr>
        <w:pStyle w:val="Heading2"/>
      </w:pPr>
      <w:r>
        <w:rPr>
          <w:rFonts w:eastAsiaTheme="minorHAnsi" w:cstheme="minorBidi"/>
          <w:b/>
          <w:bCs/>
          <w:color w:val="auto"/>
          <w:sz w:val="22"/>
          <w:szCs w:val="22"/>
        </w:rPr>
        <w:lastRenderedPageBreak/>
        <w:fldChar w:fldCharType="end"/>
      </w:r>
      <w:r w:rsidR="006C5BA9" w:rsidRPr="006C5BA9">
        <w:t>8. Decisions and reasons for decision</w:t>
      </w:r>
    </w:p>
    <w:p w14:paraId="1E2FC627" w14:textId="77777777" w:rsidR="006C5BA9" w:rsidRPr="006C5BA9" w:rsidRDefault="006C5BA9" w:rsidP="00565472">
      <w:pPr>
        <w:pStyle w:val="Heading3"/>
      </w:pPr>
      <w:r w:rsidRPr="006C5BA9">
        <w:t>Statement</w:t>
      </w:r>
    </w:p>
    <w:p w14:paraId="29D190E0" w14:textId="77777777" w:rsidR="006C5BA9" w:rsidRPr="006C5BA9" w:rsidRDefault="006C5BA9" w:rsidP="006C5BA9">
      <w:r w:rsidRPr="006C5BA9">
        <w:t>Where a decision is made that an applicant is not entitled to access a document in accordance with a request, or no such document exists, an agency must explain to the applicant the findings on any material questions of fact, refer to the material on which those findings were based, and state the reasons for the decision – </w:t>
      </w:r>
      <w:r w:rsidRPr="006C5BA9">
        <w:rPr>
          <w:i/>
          <w:iCs/>
        </w:rPr>
        <w:t>section 27(1)(a) of the Act.</w:t>
      </w:r>
    </w:p>
    <w:p w14:paraId="67AFAF86" w14:textId="77777777" w:rsidR="006C5BA9" w:rsidRPr="006C5BA9" w:rsidRDefault="006C5BA9" w:rsidP="00565472">
      <w:pPr>
        <w:pStyle w:val="Heading3"/>
      </w:pPr>
      <w:r w:rsidRPr="006C5BA9">
        <w:t>Professional Standards</w:t>
      </w:r>
    </w:p>
    <w:p w14:paraId="59ED92D3" w14:textId="3289A6C1" w:rsidR="006C5BA9" w:rsidRPr="006C5BA9" w:rsidRDefault="006C5BA9" w:rsidP="00565472">
      <w:pPr>
        <w:ind w:left="720" w:hanging="720"/>
      </w:pPr>
      <w:r w:rsidRPr="006C5BA9">
        <w:t>8.1</w:t>
      </w:r>
      <w:r w:rsidR="00565472">
        <w:tab/>
      </w:r>
      <w:r w:rsidRPr="006C5BA9">
        <w:t>An authorised officer must not be directed to make a particular decision under the Act, when properly exercising their statutory decision making power.</w:t>
      </w:r>
    </w:p>
    <w:p w14:paraId="0A269F1E" w14:textId="65CF10A7" w:rsidR="006C5BA9" w:rsidRPr="006C5BA9" w:rsidRDefault="006C5BA9" w:rsidP="00565472">
      <w:pPr>
        <w:ind w:left="720" w:hanging="720"/>
      </w:pPr>
      <w:r w:rsidRPr="006C5BA9">
        <w:t>8.2</w:t>
      </w:r>
      <w:r w:rsidR="00565472">
        <w:tab/>
      </w:r>
      <w:r w:rsidRPr="006C5BA9">
        <w:t>In a written decision, other than in accordance with sections 27(2) or 33(6) of the Act, where an agency relies on an exemption or exception, the agency must:</w:t>
      </w:r>
    </w:p>
    <w:p w14:paraId="06B2FC0C" w14:textId="14840B0A" w:rsidR="006C5BA9" w:rsidRPr="006C5BA9" w:rsidRDefault="006C5BA9" w:rsidP="00565472">
      <w:pPr>
        <w:ind w:firstLine="720"/>
      </w:pPr>
      <w:r w:rsidRPr="006C5BA9">
        <w:t xml:space="preserve">(a) </w:t>
      </w:r>
      <w:r w:rsidR="00FF4818">
        <w:tab/>
      </w:r>
      <w:r w:rsidRPr="006C5BA9">
        <w:t>explain its reasons for why each exemption or exception applies; and</w:t>
      </w:r>
    </w:p>
    <w:p w14:paraId="1B7C0A0A" w14:textId="6474B0AC" w:rsidR="006C5BA9" w:rsidRPr="006C5BA9" w:rsidRDefault="006C5BA9" w:rsidP="00565472">
      <w:pPr>
        <w:ind w:firstLine="720"/>
      </w:pPr>
      <w:r w:rsidRPr="006C5BA9">
        <w:t xml:space="preserve">(b) </w:t>
      </w:r>
      <w:r w:rsidR="00FF4818">
        <w:tab/>
      </w:r>
      <w:r w:rsidRPr="006C5BA9">
        <w:t>address each limb of the relevant exemption or exception.</w:t>
      </w:r>
    </w:p>
    <w:p w14:paraId="0099E586" w14:textId="53BECF00" w:rsidR="006C5BA9" w:rsidRPr="006C5BA9" w:rsidRDefault="006C5BA9" w:rsidP="00565472">
      <w:pPr>
        <w:ind w:left="720" w:hanging="720"/>
      </w:pPr>
      <w:r w:rsidRPr="006C5BA9">
        <w:t>8.3</w:t>
      </w:r>
      <w:r w:rsidR="00565472">
        <w:tab/>
      </w:r>
      <w:r w:rsidRPr="006C5BA9">
        <w:t>In a written decision, other than in accordance with sections 27(2) or 33(6) of the Act, an agency must take reasonable steps to:</w:t>
      </w:r>
    </w:p>
    <w:p w14:paraId="2B06E886" w14:textId="371E1028" w:rsidR="006C5BA9" w:rsidRPr="006C5BA9" w:rsidRDefault="006C5BA9" w:rsidP="00AA1439">
      <w:pPr>
        <w:ind w:left="1440" w:hanging="720"/>
      </w:pPr>
      <w:r w:rsidRPr="006C5BA9">
        <w:t xml:space="preserve">(a) </w:t>
      </w:r>
      <w:r w:rsidR="00FF4818">
        <w:tab/>
      </w:r>
      <w:r w:rsidRPr="006C5BA9">
        <w:t>identify whether documents are being released in full, released in part, or denied in full; and</w:t>
      </w:r>
    </w:p>
    <w:p w14:paraId="431321EA" w14:textId="428F6915" w:rsidR="006C5BA9" w:rsidRPr="006C5BA9" w:rsidRDefault="006C5BA9" w:rsidP="00565472">
      <w:pPr>
        <w:ind w:firstLine="720"/>
      </w:pPr>
      <w:r w:rsidRPr="006C5BA9">
        <w:t xml:space="preserve">(b) </w:t>
      </w:r>
      <w:r w:rsidR="00FF4818">
        <w:tab/>
      </w:r>
      <w:r w:rsidRPr="006C5BA9">
        <w:t>describe the documents or types of documents discovered.</w:t>
      </w:r>
    </w:p>
    <w:p w14:paraId="5008ED0E" w14:textId="77777777" w:rsidR="006C5BA9" w:rsidRPr="006C5BA9" w:rsidRDefault="006C5BA9" w:rsidP="00E57239">
      <w:pPr>
        <w:ind w:left="720"/>
      </w:pPr>
      <w:r w:rsidRPr="006C5BA9">
        <w:rPr>
          <w:i/>
          <w:iCs/>
        </w:rPr>
        <w:t>Note: an agency may consider a page or pages as a document, a file containing multiple records as a document or however else an agency typically describes a document in the agency.</w:t>
      </w:r>
    </w:p>
    <w:p w14:paraId="017B088F" w14:textId="5A182843" w:rsidR="006C5BA9" w:rsidRPr="006C5BA9" w:rsidRDefault="006C5BA9" w:rsidP="00565472">
      <w:pPr>
        <w:ind w:left="720" w:hanging="720"/>
      </w:pPr>
      <w:r w:rsidRPr="006C5BA9">
        <w:t>8.4</w:t>
      </w:r>
      <w:r w:rsidR="00565472">
        <w:tab/>
      </w:r>
      <w:r w:rsidRPr="006C5BA9">
        <w:t>In a written decision, other than in accordance with sections 27(2) or 33(6) of the Act, where an agency cannot locate a document or a document does not exist in relation to a request or part of a request, the agency must:</w:t>
      </w:r>
    </w:p>
    <w:p w14:paraId="6803FA96" w14:textId="418762CD" w:rsidR="006C5BA9" w:rsidRPr="006C5BA9" w:rsidRDefault="006C5BA9" w:rsidP="00AA1439">
      <w:pPr>
        <w:ind w:left="1440" w:hanging="720"/>
      </w:pPr>
      <w:r w:rsidRPr="006C5BA9">
        <w:t xml:space="preserve">(a) </w:t>
      </w:r>
      <w:r w:rsidR="00FF4818">
        <w:tab/>
      </w:r>
      <w:r w:rsidRPr="006C5BA9">
        <w:t>where a search is conducted, provide a summary of the searches undertaken for the document, which may include:</w:t>
      </w:r>
    </w:p>
    <w:p w14:paraId="7BB145E0" w14:textId="77777777" w:rsidR="006C5BA9" w:rsidRPr="006C5BA9" w:rsidRDefault="006C5BA9" w:rsidP="00565472">
      <w:pPr>
        <w:ind w:left="720" w:firstLine="720"/>
      </w:pPr>
      <w:r w:rsidRPr="006C5BA9">
        <w:t>(i) the locations searched by the agency;</w:t>
      </w:r>
    </w:p>
    <w:p w14:paraId="5AD29191" w14:textId="77777777" w:rsidR="006C5BA9" w:rsidRPr="006C5BA9" w:rsidRDefault="006C5BA9" w:rsidP="00565472">
      <w:pPr>
        <w:ind w:left="720" w:firstLine="720"/>
      </w:pPr>
      <w:r w:rsidRPr="006C5BA9">
        <w:t>(ii) the method or type of searches undertaken; and</w:t>
      </w:r>
    </w:p>
    <w:p w14:paraId="5B2756CB" w14:textId="77777777" w:rsidR="006C5BA9" w:rsidRPr="006C5BA9" w:rsidRDefault="006C5BA9" w:rsidP="00565472">
      <w:pPr>
        <w:ind w:left="720" w:firstLine="720"/>
      </w:pPr>
      <w:r w:rsidRPr="006C5BA9">
        <w:t>(iii) where applicable, the key words used in the searches; and</w:t>
      </w:r>
    </w:p>
    <w:p w14:paraId="0F3991E6" w14:textId="6AC9272E" w:rsidR="006C5BA9" w:rsidRPr="006C5BA9" w:rsidRDefault="006C5BA9" w:rsidP="00AA1439">
      <w:pPr>
        <w:ind w:left="1440" w:hanging="720"/>
      </w:pPr>
      <w:r w:rsidRPr="006C5BA9">
        <w:t xml:space="preserve">(b) </w:t>
      </w:r>
      <w:r w:rsidR="00FF4818">
        <w:tab/>
      </w:r>
      <w:r w:rsidRPr="006C5BA9">
        <w:t>where practicable, explain why the relevant document does not exist or could not be located.</w:t>
      </w:r>
    </w:p>
    <w:tbl>
      <w:tblPr>
        <w:tblStyle w:val="TableGrid"/>
        <w:tblW w:w="0" w:type="auto"/>
        <w:tblLook w:val="04A0" w:firstRow="1" w:lastRow="0" w:firstColumn="1" w:lastColumn="0" w:noHBand="0" w:noVBand="1"/>
      </w:tblPr>
      <w:tblGrid>
        <w:gridCol w:w="1271"/>
        <w:gridCol w:w="4111"/>
        <w:gridCol w:w="3678"/>
      </w:tblGrid>
      <w:tr w:rsidR="00FD2DF7" w:rsidRPr="00D85E42" w14:paraId="1F015598" w14:textId="77777777" w:rsidTr="00AE24DE">
        <w:tc>
          <w:tcPr>
            <w:tcW w:w="1271" w:type="dxa"/>
            <w:shd w:val="clear" w:color="auto" w:fill="F2F2F2" w:themeFill="background2" w:themeFillShade="F2"/>
          </w:tcPr>
          <w:p w14:paraId="03F45E06" w14:textId="7A884B24" w:rsidR="00FD2DF7" w:rsidRPr="00D85E42" w:rsidRDefault="00FD2DF7" w:rsidP="00C7423C">
            <w:pPr>
              <w:rPr>
                <w:b/>
                <w:bCs/>
                <w:color w:val="000000" w:themeColor="text1"/>
              </w:rPr>
            </w:pPr>
            <w:r w:rsidRPr="00D85E42">
              <w:rPr>
                <w:b/>
                <w:bCs/>
                <w:color w:val="000000" w:themeColor="text1"/>
              </w:rPr>
              <w:lastRenderedPageBreak/>
              <w:t>New Standard</w:t>
            </w:r>
          </w:p>
        </w:tc>
        <w:tc>
          <w:tcPr>
            <w:tcW w:w="4111" w:type="dxa"/>
            <w:shd w:val="clear" w:color="auto" w:fill="F2F2F2" w:themeFill="background2" w:themeFillShade="F2"/>
          </w:tcPr>
          <w:p w14:paraId="50C7C127" w14:textId="77777777" w:rsidR="00FD2DF7" w:rsidRPr="00D85E42" w:rsidRDefault="00FD2DF7" w:rsidP="00C7423C">
            <w:pPr>
              <w:rPr>
                <w:b/>
                <w:bCs/>
                <w:color w:val="000000" w:themeColor="text1"/>
              </w:rPr>
            </w:pPr>
            <w:r w:rsidRPr="00D85E42">
              <w:rPr>
                <w:b/>
                <w:bCs/>
                <w:color w:val="000000" w:themeColor="text1"/>
              </w:rPr>
              <w:t>Draft Standard</w:t>
            </w:r>
          </w:p>
        </w:tc>
        <w:tc>
          <w:tcPr>
            <w:tcW w:w="3678" w:type="dxa"/>
            <w:shd w:val="clear" w:color="auto" w:fill="F2F2F2" w:themeFill="background2" w:themeFillShade="F2"/>
          </w:tcPr>
          <w:p w14:paraId="1A49DF1F" w14:textId="77777777" w:rsidR="00FD2DF7" w:rsidRPr="00D85E42" w:rsidRDefault="00FD2DF7" w:rsidP="00C7423C">
            <w:pPr>
              <w:rPr>
                <w:b/>
                <w:bCs/>
                <w:color w:val="000000" w:themeColor="text1"/>
              </w:rPr>
            </w:pPr>
            <w:r w:rsidRPr="00D85E42">
              <w:rPr>
                <w:b/>
                <w:bCs/>
                <w:color w:val="000000" w:themeColor="text1"/>
              </w:rPr>
              <w:t>Comments</w:t>
            </w:r>
          </w:p>
        </w:tc>
      </w:tr>
      <w:tr w:rsidR="00FD2DF7" w14:paraId="12719D5E" w14:textId="77777777" w:rsidTr="00AE24DE">
        <w:tc>
          <w:tcPr>
            <w:tcW w:w="1271" w:type="dxa"/>
            <w:shd w:val="clear" w:color="auto" w:fill="F2F2F2" w:themeFill="background2" w:themeFillShade="F2"/>
          </w:tcPr>
          <w:p w14:paraId="113D7DF1" w14:textId="578739AA" w:rsidR="00FD2DF7" w:rsidRDefault="00FD2DF7" w:rsidP="00C7423C">
            <w:r>
              <w:t>8.5</w:t>
            </w:r>
          </w:p>
        </w:tc>
        <w:tc>
          <w:tcPr>
            <w:tcW w:w="4111" w:type="dxa"/>
            <w:shd w:val="clear" w:color="auto" w:fill="F2F2F2" w:themeFill="background2" w:themeFillShade="F2"/>
          </w:tcPr>
          <w:p w14:paraId="0299B4C5" w14:textId="615BC388" w:rsidR="00CB1B7E" w:rsidRPr="00CB1B7E" w:rsidRDefault="00FD2DF7" w:rsidP="00CB1B7E">
            <w:pPr>
              <w:pStyle w:val="TableParagraph"/>
              <w:spacing w:before="120" w:after="240" w:line="259" w:lineRule="auto"/>
              <w:ind w:right="98"/>
              <w:rPr>
                <w:rFonts w:asciiTheme="majorHAnsi" w:hAnsiTheme="majorHAnsi" w:cstheme="majorHAnsi"/>
              </w:rPr>
            </w:pPr>
            <w:r>
              <w:rPr>
                <w:rFonts w:asciiTheme="majorHAnsi" w:hAnsiTheme="majorHAnsi" w:cstheme="majorHAnsi"/>
              </w:rPr>
              <w:t xml:space="preserve">Where an agency </w:t>
            </w:r>
            <w:r w:rsidR="00CA2951">
              <w:rPr>
                <w:rFonts w:asciiTheme="majorHAnsi" w:hAnsiTheme="majorHAnsi" w:cstheme="majorHAnsi"/>
              </w:rPr>
              <w:t>decides</w:t>
            </w:r>
            <w:r>
              <w:rPr>
                <w:rFonts w:asciiTheme="majorHAnsi" w:hAnsiTheme="majorHAnsi" w:cstheme="majorHAnsi"/>
              </w:rPr>
              <w:t xml:space="preserve"> to release documents</w:t>
            </w:r>
            <w:r w:rsidR="00857462">
              <w:rPr>
                <w:rFonts w:asciiTheme="majorHAnsi" w:hAnsiTheme="majorHAnsi" w:cstheme="majorHAnsi"/>
              </w:rPr>
              <w:t xml:space="preserve"> to the applicant</w:t>
            </w:r>
            <w:r>
              <w:rPr>
                <w:rFonts w:asciiTheme="majorHAnsi" w:hAnsiTheme="majorHAnsi" w:cstheme="majorHAnsi"/>
              </w:rPr>
              <w:t xml:space="preserve">, the agency must release the documents no later than </w:t>
            </w:r>
            <w:r w:rsidRPr="00FD2DF7">
              <w:rPr>
                <w:rFonts w:asciiTheme="majorHAnsi" w:hAnsiTheme="majorHAnsi" w:cstheme="majorHAnsi"/>
              </w:rPr>
              <w:t xml:space="preserve">14 days after expiry of </w:t>
            </w:r>
            <w:r w:rsidR="00E57239">
              <w:rPr>
                <w:rFonts w:asciiTheme="majorHAnsi" w:hAnsiTheme="majorHAnsi" w:cstheme="majorHAnsi"/>
              </w:rPr>
              <w:t xml:space="preserve">any third party </w:t>
            </w:r>
            <w:r w:rsidRPr="00FD2DF7">
              <w:rPr>
                <w:rFonts w:asciiTheme="majorHAnsi" w:hAnsiTheme="majorHAnsi" w:cstheme="majorHAnsi"/>
              </w:rPr>
              <w:t>appeal rights under the Act.</w:t>
            </w:r>
          </w:p>
        </w:tc>
        <w:tc>
          <w:tcPr>
            <w:tcW w:w="3678" w:type="dxa"/>
            <w:shd w:val="clear" w:color="auto" w:fill="F2F2F2" w:themeFill="background2" w:themeFillShade="F2"/>
          </w:tcPr>
          <w:p w14:paraId="0C14BBB4" w14:textId="7FD80099" w:rsidR="00FD2DF7" w:rsidRDefault="00FD2DF7" w:rsidP="00C7423C">
            <w:r>
              <w:rPr>
                <w:rFonts w:cstheme="majorHAnsi"/>
              </w:rPr>
              <w:t>OVIC supports the prompt release of documents to an applicant and</w:t>
            </w:r>
            <w:r w:rsidR="009E76F0">
              <w:rPr>
                <w:rFonts w:cstheme="majorHAnsi"/>
              </w:rPr>
              <w:t xml:space="preserve"> considers this new Standard</w:t>
            </w:r>
            <w:r>
              <w:rPr>
                <w:rFonts w:cstheme="majorHAnsi"/>
              </w:rPr>
              <w:t xml:space="preserve"> </w:t>
            </w:r>
            <w:r w:rsidR="009E76F0">
              <w:rPr>
                <w:rFonts w:cstheme="majorHAnsi"/>
              </w:rPr>
              <w:t>will</w:t>
            </w:r>
            <w:r>
              <w:rPr>
                <w:rFonts w:cstheme="majorHAnsi"/>
              </w:rPr>
              <w:t xml:space="preserve"> reduce complaints being made to OVIC concerning delays in the release of documents following expiry of appeal rights. </w:t>
            </w:r>
          </w:p>
        </w:tc>
      </w:tr>
      <w:tr w:rsidR="00E57239" w14:paraId="6C851108" w14:textId="77777777" w:rsidTr="00AE24DE">
        <w:tc>
          <w:tcPr>
            <w:tcW w:w="1271" w:type="dxa"/>
            <w:shd w:val="clear" w:color="auto" w:fill="F2F2F2" w:themeFill="background2" w:themeFillShade="F2"/>
          </w:tcPr>
          <w:p w14:paraId="6DAEAB50" w14:textId="22127C37" w:rsidR="00E57239" w:rsidRDefault="00E57239" w:rsidP="00C7423C">
            <w:r>
              <w:t>8.6</w:t>
            </w:r>
          </w:p>
        </w:tc>
        <w:tc>
          <w:tcPr>
            <w:tcW w:w="4111" w:type="dxa"/>
            <w:shd w:val="clear" w:color="auto" w:fill="F2F2F2" w:themeFill="background2" w:themeFillShade="F2"/>
          </w:tcPr>
          <w:p w14:paraId="384C9300" w14:textId="3668F2AD" w:rsidR="00E57239" w:rsidRDefault="00E57239" w:rsidP="00CF169C">
            <w:pPr>
              <w:pStyle w:val="TableParagraph"/>
              <w:spacing w:before="120" w:after="240" w:line="259" w:lineRule="auto"/>
              <w:ind w:right="98"/>
              <w:rPr>
                <w:rFonts w:asciiTheme="majorHAnsi" w:hAnsiTheme="majorHAnsi" w:cstheme="majorHAnsi"/>
              </w:rPr>
            </w:pPr>
            <w:r w:rsidRPr="00E57239">
              <w:rPr>
                <w:rFonts w:asciiTheme="majorHAnsi" w:hAnsiTheme="majorHAnsi" w:cstheme="majorHAnsi"/>
              </w:rPr>
              <w:t xml:space="preserve">Where </w:t>
            </w:r>
            <w:r w:rsidR="009E76F0">
              <w:rPr>
                <w:rFonts w:asciiTheme="majorHAnsi" w:hAnsiTheme="majorHAnsi" w:cstheme="majorHAnsi"/>
              </w:rPr>
              <w:t xml:space="preserve">the Commissioner makes </w:t>
            </w:r>
            <w:r w:rsidRPr="00E57239">
              <w:rPr>
                <w:rFonts w:asciiTheme="majorHAnsi" w:hAnsiTheme="majorHAnsi" w:cstheme="majorHAnsi"/>
              </w:rPr>
              <w:t xml:space="preserve">a review decision to release documents to the applicant, the agency must release the documents no later than 14 days after the expiry of </w:t>
            </w:r>
            <w:r w:rsidR="00C947C7">
              <w:rPr>
                <w:rFonts w:asciiTheme="majorHAnsi" w:hAnsiTheme="majorHAnsi" w:cstheme="majorHAnsi"/>
              </w:rPr>
              <w:t xml:space="preserve">any </w:t>
            </w:r>
            <w:r w:rsidRPr="00E57239">
              <w:rPr>
                <w:rFonts w:asciiTheme="majorHAnsi" w:hAnsiTheme="majorHAnsi" w:cstheme="majorHAnsi"/>
              </w:rPr>
              <w:t>agency and</w:t>
            </w:r>
            <w:r w:rsidR="00C947C7">
              <w:rPr>
                <w:rFonts w:asciiTheme="majorHAnsi" w:hAnsiTheme="majorHAnsi" w:cstheme="majorHAnsi"/>
              </w:rPr>
              <w:t>/or</w:t>
            </w:r>
            <w:r w:rsidRPr="00E57239">
              <w:rPr>
                <w:rFonts w:asciiTheme="majorHAnsi" w:hAnsiTheme="majorHAnsi" w:cstheme="majorHAnsi"/>
              </w:rPr>
              <w:t xml:space="preserve"> third party </w:t>
            </w:r>
            <w:r w:rsidR="00C947C7">
              <w:rPr>
                <w:rFonts w:asciiTheme="majorHAnsi" w:hAnsiTheme="majorHAnsi" w:cstheme="majorHAnsi"/>
              </w:rPr>
              <w:t>appeal</w:t>
            </w:r>
            <w:r w:rsidRPr="00E57239">
              <w:rPr>
                <w:rFonts w:asciiTheme="majorHAnsi" w:hAnsiTheme="majorHAnsi" w:cstheme="majorHAnsi"/>
              </w:rPr>
              <w:t xml:space="preserve"> rights, where no application is made by the agency or third party.</w:t>
            </w:r>
          </w:p>
          <w:p w14:paraId="60EF09D5" w14:textId="1124AB1D" w:rsidR="00E57239" w:rsidRPr="00C947C7" w:rsidRDefault="00E57239" w:rsidP="00CF169C">
            <w:pPr>
              <w:pStyle w:val="TableParagraph"/>
              <w:spacing w:before="120" w:after="240" w:line="259" w:lineRule="auto"/>
              <w:ind w:right="98"/>
              <w:rPr>
                <w:rFonts w:asciiTheme="majorHAnsi" w:hAnsiTheme="majorHAnsi" w:cstheme="majorHAnsi"/>
                <w:i/>
                <w:iCs/>
              </w:rPr>
            </w:pPr>
            <w:r w:rsidRPr="00C947C7">
              <w:rPr>
                <w:rFonts w:asciiTheme="majorHAnsi" w:hAnsiTheme="majorHAnsi" w:cstheme="majorHAnsi"/>
                <w:i/>
                <w:iCs/>
              </w:rPr>
              <w:t xml:space="preserve">Note: a </w:t>
            </w:r>
            <w:r w:rsidR="00C947C7">
              <w:rPr>
                <w:rFonts w:asciiTheme="majorHAnsi" w:hAnsiTheme="majorHAnsi" w:cstheme="majorHAnsi"/>
                <w:i/>
                <w:iCs/>
              </w:rPr>
              <w:t>‘</w:t>
            </w:r>
            <w:r w:rsidRPr="00C947C7">
              <w:rPr>
                <w:rFonts w:asciiTheme="majorHAnsi" w:hAnsiTheme="majorHAnsi" w:cstheme="majorHAnsi"/>
                <w:i/>
                <w:iCs/>
              </w:rPr>
              <w:t>review decision</w:t>
            </w:r>
            <w:r w:rsidR="00C947C7">
              <w:rPr>
                <w:rFonts w:asciiTheme="majorHAnsi" w:hAnsiTheme="majorHAnsi" w:cstheme="majorHAnsi"/>
                <w:i/>
                <w:iCs/>
              </w:rPr>
              <w:t>’</w:t>
            </w:r>
            <w:r w:rsidRPr="00C947C7">
              <w:rPr>
                <w:rFonts w:asciiTheme="majorHAnsi" w:hAnsiTheme="majorHAnsi" w:cstheme="majorHAnsi"/>
                <w:i/>
                <w:iCs/>
              </w:rPr>
              <w:t xml:space="preserve"> is a decision made by the Commissioner or Public Access Deputy Commissioner</w:t>
            </w:r>
            <w:r w:rsidR="00C947C7" w:rsidRPr="00C947C7">
              <w:rPr>
                <w:rFonts w:asciiTheme="majorHAnsi" w:hAnsiTheme="majorHAnsi" w:cstheme="majorHAnsi"/>
                <w:i/>
                <w:iCs/>
              </w:rPr>
              <w:t xml:space="preserve"> </w:t>
            </w:r>
            <w:r w:rsidR="00C947C7">
              <w:rPr>
                <w:rFonts w:asciiTheme="majorHAnsi" w:hAnsiTheme="majorHAnsi" w:cstheme="majorHAnsi"/>
                <w:i/>
                <w:iCs/>
              </w:rPr>
              <w:t xml:space="preserve">and appeal rights are </w:t>
            </w:r>
            <w:r w:rsidR="00C947C7" w:rsidRPr="00C947C7">
              <w:rPr>
                <w:rFonts w:asciiTheme="majorHAnsi" w:hAnsiTheme="majorHAnsi" w:cstheme="majorHAnsi"/>
                <w:i/>
                <w:iCs/>
              </w:rPr>
              <w:t>to the Victorian Civil and Administrative Tribunal (</w:t>
            </w:r>
            <w:r w:rsidR="00C947C7" w:rsidRPr="00C947C7">
              <w:rPr>
                <w:rFonts w:asciiTheme="majorHAnsi" w:hAnsiTheme="majorHAnsi" w:cstheme="majorHAnsi"/>
                <w:b/>
                <w:bCs/>
                <w:i/>
                <w:iCs/>
              </w:rPr>
              <w:t>VCAT</w:t>
            </w:r>
            <w:r w:rsidR="00C947C7" w:rsidRPr="00C947C7">
              <w:rPr>
                <w:rFonts w:asciiTheme="majorHAnsi" w:hAnsiTheme="majorHAnsi" w:cstheme="majorHAnsi"/>
                <w:i/>
                <w:iCs/>
              </w:rPr>
              <w:t>)</w:t>
            </w:r>
            <w:r w:rsidR="00C947C7">
              <w:rPr>
                <w:rFonts w:asciiTheme="majorHAnsi" w:hAnsiTheme="majorHAnsi" w:cstheme="majorHAnsi"/>
                <w:i/>
                <w:iCs/>
              </w:rPr>
              <w:t>.</w:t>
            </w:r>
            <w:r w:rsidR="00C947C7" w:rsidRPr="00C947C7">
              <w:rPr>
                <w:rFonts w:asciiTheme="majorHAnsi" w:hAnsiTheme="majorHAnsi" w:cstheme="majorHAnsi"/>
                <w:i/>
                <w:iCs/>
              </w:rPr>
              <w:t xml:space="preserve"> </w:t>
            </w:r>
          </w:p>
        </w:tc>
        <w:tc>
          <w:tcPr>
            <w:tcW w:w="3678" w:type="dxa"/>
            <w:shd w:val="clear" w:color="auto" w:fill="F2F2F2" w:themeFill="background2" w:themeFillShade="F2"/>
          </w:tcPr>
          <w:p w14:paraId="4D590E43" w14:textId="77777777" w:rsidR="00E57239" w:rsidRDefault="00E57239" w:rsidP="00C7423C">
            <w:pPr>
              <w:rPr>
                <w:rFonts w:cstheme="majorHAnsi"/>
              </w:rPr>
            </w:pPr>
          </w:p>
        </w:tc>
      </w:tr>
      <w:tr w:rsidR="00A932CE" w14:paraId="3EEB46B0" w14:textId="77777777" w:rsidTr="00AE24DE">
        <w:tc>
          <w:tcPr>
            <w:tcW w:w="1271" w:type="dxa"/>
            <w:shd w:val="clear" w:color="auto" w:fill="F2F2F2" w:themeFill="background2" w:themeFillShade="F2"/>
          </w:tcPr>
          <w:p w14:paraId="793F6A68" w14:textId="5BB6E669" w:rsidR="00A932CE" w:rsidRDefault="00A932CE" w:rsidP="00C7423C">
            <w:r>
              <w:t>8.</w:t>
            </w:r>
            <w:r w:rsidR="002E0053">
              <w:t>7</w:t>
            </w:r>
          </w:p>
        </w:tc>
        <w:tc>
          <w:tcPr>
            <w:tcW w:w="4111" w:type="dxa"/>
            <w:shd w:val="clear" w:color="auto" w:fill="F2F2F2" w:themeFill="background2" w:themeFillShade="F2"/>
          </w:tcPr>
          <w:p w14:paraId="10E2040E" w14:textId="1C92DD70" w:rsidR="00A932CE" w:rsidRDefault="007D65EE" w:rsidP="007D65EE">
            <w:pPr>
              <w:pStyle w:val="TableParagraph"/>
              <w:spacing w:before="120" w:after="240" w:line="259" w:lineRule="auto"/>
              <w:ind w:right="98"/>
              <w:rPr>
                <w:rFonts w:asciiTheme="majorHAnsi" w:hAnsiTheme="majorHAnsi" w:cstheme="majorHAnsi"/>
              </w:rPr>
            </w:pPr>
            <w:r w:rsidRPr="007D65EE">
              <w:rPr>
                <w:rFonts w:asciiTheme="majorHAnsi" w:hAnsiTheme="majorHAnsi" w:cstheme="majorHAnsi"/>
              </w:rPr>
              <w:t xml:space="preserve">Where an agency makes a decision on a request for documents that is subject to a complaint </w:t>
            </w:r>
            <w:r w:rsidR="006C26D9">
              <w:rPr>
                <w:rFonts w:asciiTheme="majorHAnsi" w:hAnsiTheme="majorHAnsi" w:cstheme="majorHAnsi"/>
              </w:rPr>
              <w:t xml:space="preserve">about delay </w:t>
            </w:r>
            <w:r w:rsidRPr="007D65EE">
              <w:rPr>
                <w:rFonts w:asciiTheme="majorHAnsi" w:hAnsiTheme="majorHAnsi" w:cstheme="majorHAnsi"/>
              </w:rPr>
              <w:t>at OVIC, the agency must notify OVIC of the date the decision was made within 14 days of the decision being made.</w:t>
            </w:r>
          </w:p>
        </w:tc>
        <w:tc>
          <w:tcPr>
            <w:tcW w:w="3678" w:type="dxa"/>
            <w:shd w:val="clear" w:color="auto" w:fill="F2F2F2" w:themeFill="background2" w:themeFillShade="F2"/>
          </w:tcPr>
          <w:p w14:paraId="49C252B2" w14:textId="5C907952" w:rsidR="00A932CE" w:rsidRPr="0068569F" w:rsidRDefault="007D65EE" w:rsidP="00C7423C">
            <w:pPr>
              <w:rPr>
                <w:rFonts w:cstheme="majorHAnsi"/>
              </w:rPr>
            </w:pPr>
            <w:r w:rsidRPr="007D65EE">
              <w:rPr>
                <w:rFonts w:cstheme="majorHAnsi"/>
              </w:rPr>
              <w:t>OVIC considers it is reasonable to require an agency to notify OVIC within 14 days of a decision being made. This will improve the timeliness of finalising complaints concerning delayed decision making</w:t>
            </w:r>
          </w:p>
        </w:tc>
      </w:tr>
      <w:tr w:rsidR="00665B82" w14:paraId="17215032" w14:textId="77777777" w:rsidTr="00AE24DE">
        <w:tc>
          <w:tcPr>
            <w:tcW w:w="1271" w:type="dxa"/>
            <w:shd w:val="clear" w:color="auto" w:fill="F2F2F2" w:themeFill="background2" w:themeFillShade="F2"/>
          </w:tcPr>
          <w:p w14:paraId="3D0F2347" w14:textId="586603F6" w:rsidR="00665B82" w:rsidRDefault="00665B82" w:rsidP="00C7423C">
            <w:r>
              <w:t>8.</w:t>
            </w:r>
            <w:r w:rsidR="002E0053">
              <w:t>8</w:t>
            </w:r>
          </w:p>
        </w:tc>
        <w:tc>
          <w:tcPr>
            <w:tcW w:w="4111" w:type="dxa"/>
            <w:shd w:val="clear" w:color="auto" w:fill="F2F2F2" w:themeFill="background2" w:themeFillShade="F2"/>
          </w:tcPr>
          <w:p w14:paraId="6CE25533" w14:textId="117BDF96" w:rsidR="00BC3751" w:rsidRPr="00CB1B7E" w:rsidRDefault="003E2F49" w:rsidP="00665B82">
            <w:pPr>
              <w:pStyle w:val="TableParagraph"/>
              <w:spacing w:before="120" w:after="240" w:line="259" w:lineRule="auto"/>
              <w:ind w:right="98"/>
              <w:rPr>
                <w:rFonts w:asciiTheme="majorHAnsi" w:hAnsiTheme="majorHAnsi" w:cstheme="majorHAnsi"/>
              </w:rPr>
            </w:pPr>
            <w:r w:rsidRPr="00CB1B7E">
              <w:rPr>
                <w:rFonts w:asciiTheme="majorHAnsi" w:hAnsiTheme="majorHAnsi" w:cstheme="majorHAnsi"/>
              </w:rPr>
              <w:t>Where the statutory period for an agency to make its decision has lapsed</w:t>
            </w:r>
            <w:r w:rsidR="00BC3751" w:rsidRPr="00CB1B7E">
              <w:rPr>
                <w:rFonts w:asciiTheme="majorHAnsi" w:hAnsiTheme="majorHAnsi" w:cstheme="majorHAnsi"/>
              </w:rPr>
              <w:t xml:space="preserve"> and the agency has not made its decision</w:t>
            </w:r>
            <w:r w:rsidRPr="00CB1B7E">
              <w:rPr>
                <w:rFonts w:asciiTheme="majorHAnsi" w:hAnsiTheme="majorHAnsi" w:cstheme="majorHAnsi"/>
              </w:rPr>
              <w:t>, the agency</w:t>
            </w:r>
            <w:r w:rsidR="001166BF" w:rsidRPr="00CB1B7E">
              <w:rPr>
                <w:rFonts w:asciiTheme="majorHAnsi" w:hAnsiTheme="majorHAnsi" w:cstheme="majorHAnsi"/>
              </w:rPr>
              <w:t xml:space="preserve"> </w:t>
            </w:r>
            <w:r w:rsidR="00CB1B7E" w:rsidRPr="00CB1B7E">
              <w:rPr>
                <w:rFonts w:asciiTheme="majorHAnsi" w:hAnsiTheme="majorHAnsi" w:cstheme="majorHAnsi"/>
              </w:rPr>
              <w:t>must</w:t>
            </w:r>
            <w:r w:rsidR="00F955D5" w:rsidRPr="00CB1B7E">
              <w:rPr>
                <w:rFonts w:asciiTheme="majorHAnsi" w:hAnsiTheme="majorHAnsi" w:cstheme="majorHAnsi"/>
              </w:rPr>
              <w:t xml:space="preserve"> </w:t>
            </w:r>
            <w:r w:rsidR="00665B82" w:rsidRPr="00CB1B7E">
              <w:rPr>
                <w:rFonts w:asciiTheme="majorHAnsi" w:hAnsiTheme="majorHAnsi" w:cstheme="majorHAnsi"/>
              </w:rPr>
              <w:t>notify</w:t>
            </w:r>
            <w:r w:rsidRPr="00CB1B7E">
              <w:rPr>
                <w:rFonts w:asciiTheme="majorHAnsi" w:hAnsiTheme="majorHAnsi" w:cstheme="majorHAnsi"/>
              </w:rPr>
              <w:t xml:space="preserve"> the</w:t>
            </w:r>
            <w:r w:rsidR="00665B82" w:rsidRPr="00CB1B7E">
              <w:rPr>
                <w:rFonts w:asciiTheme="majorHAnsi" w:hAnsiTheme="majorHAnsi" w:cstheme="majorHAnsi"/>
              </w:rPr>
              <w:t xml:space="preserve"> applicant </w:t>
            </w:r>
            <w:r w:rsidR="00CB1B7E" w:rsidRPr="00CB1B7E">
              <w:rPr>
                <w:rFonts w:asciiTheme="majorHAnsi" w:hAnsiTheme="majorHAnsi" w:cstheme="majorHAnsi"/>
              </w:rPr>
              <w:t>as soon as reasonably practicable</w:t>
            </w:r>
            <w:r w:rsidR="00F955D5" w:rsidRPr="00CB1B7E">
              <w:rPr>
                <w:rFonts w:asciiTheme="majorHAnsi" w:hAnsiTheme="majorHAnsi" w:cstheme="majorHAnsi"/>
              </w:rPr>
              <w:t xml:space="preserve"> </w:t>
            </w:r>
            <w:r w:rsidR="00BC3751" w:rsidRPr="00CB1B7E">
              <w:rPr>
                <w:rFonts w:asciiTheme="majorHAnsi" w:hAnsiTheme="majorHAnsi" w:cstheme="majorHAnsi"/>
              </w:rPr>
              <w:t xml:space="preserve">after the statutory period lapses, </w:t>
            </w:r>
            <w:r w:rsidR="00665B82" w:rsidRPr="00CB1B7E">
              <w:rPr>
                <w:rFonts w:asciiTheme="majorHAnsi" w:hAnsiTheme="majorHAnsi" w:cstheme="majorHAnsi"/>
              </w:rPr>
              <w:t>of</w:t>
            </w:r>
            <w:r w:rsidR="00BC3751" w:rsidRPr="00CB1B7E">
              <w:rPr>
                <w:rFonts w:asciiTheme="majorHAnsi" w:hAnsiTheme="majorHAnsi" w:cstheme="majorHAnsi"/>
              </w:rPr>
              <w:t xml:space="preserve"> the applicant’s right to:</w:t>
            </w:r>
            <w:r w:rsidR="00665B82" w:rsidRPr="00CB1B7E">
              <w:rPr>
                <w:rFonts w:asciiTheme="majorHAnsi" w:hAnsiTheme="majorHAnsi" w:cstheme="majorHAnsi"/>
              </w:rPr>
              <w:t xml:space="preserve"> </w:t>
            </w:r>
          </w:p>
          <w:p w14:paraId="6C1D24D7" w14:textId="01E86423" w:rsidR="00BC3751" w:rsidRPr="00CB1B7E" w:rsidRDefault="003E2F49" w:rsidP="00AA1439">
            <w:pPr>
              <w:pStyle w:val="TableParagraph"/>
              <w:numPr>
                <w:ilvl w:val="0"/>
                <w:numId w:val="48"/>
              </w:numPr>
              <w:spacing w:before="120" w:after="240" w:line="259" w:lineRule="auto"/>
              <w:ind w:left="1027" w:right="98" w:hanging="567"/>
              <w:rPr>
                <w:rFonts w:asciiTheme="majorHAnsi" w:hAnsiTheme="majorHAnsi" w:cstheme="majorHAnsi"/>
              </w:rPr>
            </w:pPr>
            <w:r w:rsidRPr="00CB1B7E">
              <w:rPr>
                <w:rFonts w:asciiTheme="majorHAnsi" w:hAnsiTheme="majorHAnsi" w:cstheme="majorHAnsi"/>
              </w:rPr>
              <w:t>make a complaint to OVIC</w:t>
            </w:r>
            <w:r w:rsidR="00BC3751" w:rsidRPr="00CB1B7E">
              <w:rPr>
                <w:rFonts w:asciiTheme="majorHAnsi" w:hAnsiTheme="majorHAnsi" w:cstheme="majorHAnsi"/>
              </w:rPr>
              <w:t>;</w:t>
            </w:r>
            <w:r w:rsidRPr="00CB1B7E">
              <w:rPr>
                <w:rFonts w:asciiTheme="majorHAnsi" w:hAnsiTheme="majorHAnsi" w:cstheme="majorHAnsi"/>
              </w:rPr>
              <w:t xml:space="preserve"> and </w:t>
            </w:r>
          </w:p>
          <w:p w14:paraId="69000B4F" w14:textId="6B9B68C3" w:rsidR="00665B82" w:rsidRPr="00CB1B7E" w:rsidRDefault="003E2F49" w:rsidP="00AA1439">
            <w:pPr>
              <w:pStyle w:val="TableParagraph"/>
              <w:numPr>
                <w:ilvl w:val="0"/>
                <w:numId w:val="48"/>
              </w:numPr>
              <w:spacing w:before="120" w:after="240" w:line="259" w:lineRule="auto"/>
              <w:ind w:left="1027" w:right="98" w:hanging="567"/>
              <w:rPr>
                <w:rFonts w:asciiTheme="majorHAnsi" w:hAnsiTheme="majorHAnsi" w:cstheme="majorHAnsi"/>
              </w:rPr>
            </w:pPr>
            <w:r w:rsidRPr="00CB1B7E">
              <w:rPr>
                <w:rFonts w:asciiTheme="majorHAnsi" w:hAnsiTheme="majorHAnsi" w:cstheme="majorHAnsi"/>
              </w:rPr>
              <w:t>apply</w:t>
            </w:r>
            <w:r w:rsidR="00BC3751" w:rsidRPr="00CB1B7E">
              <w:rPr>
                <w:rFonts w:asciiTheme="majorHAnsi" w:hAnsiTheme="majorHAnsi" w:cstheme="majorHAnsi"/>
              </w:rPr>
              <w:t xml:space="preserve"> for review</w:t>
            </w:r>
            <w:r w:rsidRPr="00CB1B7E">
              <w:rPr>
                <w:rFonts w:asciiTheme="majorHAnsi" w:hAnsiTheme="majorHAnsi" w:cstheme="majorHAnsi"/>
              </w:rPr>
              <w:t xml:space="preserve"> to Tribunal </w:t>
            </w:r>
            <w:r w:rsidR="00BC3751" w:rsidRPr="00CB1B7E">
              <w:rPr>
                <w:rFonts w:asciiTheme="majorHAnsi" w:hAnsiTheme="majorHAnsi" w:cstheme="majorHAnsi"/>
              </w:rPr>
              <w:t xml:space="preserve">under section 50(1)(ea) of the Act, on the basis </w:t>
            </w:r>
            <w:r w:rsidR="00C86ACC" w:rsidRPr="00CB1B7E">
              <w:rPr>
                <w:rFonts w:asciiTheme="majorHAnsi" w:hAnsiTheme="majorHAnsi" w:cstheme="majorHAnsi"/>
              </w:rPr>
              <w:t xml:space="preserve">of a deemed </w:t>
            </w:r>
            <w:r w:rsidR="00C86ACC" w:rsidRPr="00CB1B7E">
              <w:rPr>
                <w:rFonts w:asciiTheme="majorHAnsi" w:hAnsiTheme="majorHAnsi" w:cstheme="majorHAnsi"/>
              </w:rPr>
              <w:lastRenderedPageBreak/>
              <w:t>refusal</w:t>
            </w:r>
            <w:r w:rsidR="008675AB" w:rsidRPr="00CB1B7E">
              <w:rPr>
                <w:rFonts w:asciiTheme="majorHAnsi" w:hAnsiTheme="majorHAnsi" w:cstheme="majorHAnsi"/>
              </w:rPr>
              <w:t xml:space="preserve">. </w:t>
            </w:r>
          </w:p>
          <w:p w14:paraId="08C93071" w14:textId="77580C53" w:rsidR="00F955D5" w:rsidRPr="00CB1B7E" w:rsidRDefault="00F955D5" w:rsidP="00F955D5">
            <w:pPr>
              <w:pStyle w:val="TableParagraph"/>
              <w:spacing w:before="120" w:after="240" w:line="259" w:lineRule="auto"/>
              <w:ind w:right="98"/>
              <w:rPr>
                <w:rFonts w:asciiTheme="majorHAnsi" w:hAnsiTheme="majorHAnsi" w:cstheme="majorHAnsi"/>
                <w:i/>
                <w:iCs/>
              </w:rPr>
            </w:pPr>
            <w:r w:rsidRPr="00CB1B7E">
              <w:rPr>
                <w:rFonts w:asciiTheme="majorHAnsi" w:hAnsiTheme="majorHAnsi" w:cstheme="majorHAnsi"/>
                <w:i/>
                <w:iCs/>
              </w:rPr>
              <w:t xml:space="preserve">Note: </w:t>
            </w:r>
            <w:r w:rsidR="00CB1B7E">
              <w:rPr>
                <w:rFonts w:asciiTheme="majorHAnsi" w:hAnsiTheme="majorHAnsi" w:cstheme="majorHAnsi"/>
                <w:i/>
                <w:iCs/>
              </w:rPr>
              <w:t>for the purpose of compliance with this Standard, an agency may notify an applicant of their right to complain to OVIC, or apply to</w:t>
            </w:r>
            <w:r w:rsidR="006C26D9">
              <w:rPr>
                <w:rFonts w:asciiTheme="majorHAnsi" w:hAnsiTheme="majorHAnsi" w:cstheme="majorHAnsi"/>
                <w:i/>
                <w:iCs/>
              </w:rPr>
              <w:t xml:space="preserve"> the Tribunal </w:t>
            </w:r>
            <w:r w:rsidR="00CB1B7E">
              <w:rPr>
                <w:rFonts w:asciiTheme="majorHAnsi" w:hAnsiTheme="majorHAnsi" w:cstheme="majorHAnsi"/>
                <w:i/>
                <w:iCs/>
              </w:rPr>
              <w:t>on a deem</w:t>
            </w:r>
            <w:r w:rsidR="00023064">
              <w:rPr>
                <w:rFonts w:asciiTheme="majorHAnsi" w:hAnsiTheme="majorHAnsi" w:cstheme="majorHAnsi"/>
                <w:i/>
                <w:iCs/>
              </w:rPr>
              <w:t>ed</w:t>
            </w:r>
            <w:r w:rsidR="00CB1B7E">
              <w:rPr>
                <w:rFonts w:asciiTheme="majorHAnsi" w:hAnsiTheme="majorHAnsi" w:cstheme="majorHAnsi"/>
                <w:i/>
                <w:iCs/>
              </w:rPr>
              <w:t xml:space="preserve"> refusal at any time during the processing of the applicant’s request.</w:t>
            </w:r>
          </w:p>
        </w:tc>
        <w:tc>
          <w:tcPr>
            <w:tcW w:w="3678" w:type="dxa"/>
            <w:shd w:val="clear" w:color="auto" w:fill="F2F2F2" w:themeFill="background2" w:themeFillShade="F2"/>
          </w:tcPr>
          <w:p w14:paraId="295403C4" w14:textId="7D2D4A68" w:rsidR="00665B82" w:rsidRPr="00665B82" w:rsidRDefault="00665B82" w:rsidP="00AA1439">
            <w:pPr>
              <w:pStyle w:val="TableParagraph"/>
              <w:spacing w:before="120" w:after="240" w:line="259" w:lineRule="auto"/>
              <w:ind w:left="33" w:right="96"/>
              <w:rPr>
                <w:rFonts w:cstheme="majorHAnsi"/>
              </w:rPr>
            </w:pPr>
            <w:r w:rsidRPr="00665B82">
              <w:rPr>
                <w:rStyle w:val="cf01"/>
                <w:rFonts w:asciiTheme="majorHAnsi" w:hAnsiTheme="majorHAnsi" w:cstheme="majorHAnsi"/>
                <w:sz w:val="22"/>
                <w:szCs w:val="22"/>
              </w:rPr>
              <w:lastRenderedPageBreak/>
              <w:t xml:space="preserve">OVIC considers it is appropriate to issue a new Standard requiring agencies </w:t>
            </w:r>
            <w:r w:rsidRPr="00665B82">
              <w:rPr>
                <w:rFonts w:asciiTheme="majorHAnsi" w:hAnsiTheme="majorHAnsi" w:cstheme="majorHAnsi"/>
              </w:rPr>
              <w:t>to notify applicants of their complaint rights and the right to apply to the Tribunal</w:t>
            </w:r>
            <w:r w:rsidR="006C26D9" w:rsidRPr="00665B82">
              <w:rPr>
                <w:rFonts w:asciiTheme="majorHAnsi" w:hAnsiTheme="majorHAnsi" w:cstheme="majorHAnsi"/>
              </w:rPr>
              <w:t xml:space="preserve"> </w:t>
            </w:r>
            <w:r w:rsidR="006C26D9">
              <w:rPr>
                <w:rFonts w:asciiTheme="majorHAnsi" w:hAnsiTheme="majorHAnsi" w:cstheme="majorHAnsi"/>
              </w:rPr>
              <w:t>o</w:t>
            </w:r>
            <w:r w:rsidRPr="00665B82">
              <w:rPr>
                <w:rFonts w:asciiTheme="majorHAnsi" w:hAnsiTheme="majorHAnsi" w:cstheme="majorHAnsi"/>
              </w:rPr>
              <w:t>n a deemed refusal at the expiry of the statutory timeframe if the decision has not been made by the agency within such timeframes.</w:t>
            </w:r>
          </w:p>
        </w:tc>
      </w:tr>
      <w:tr w:rsidR="008E3D37" w14:paraId="5F7B6173" w14:textId="77777777" w:rsidTr="00AE24DE">
        <w:tc>
          <w:tcPr>
            <w:tcW w:w="1271" w:type="dxa"/>
            <w:shd w:val="clear" w:color="auto" w:fill="F2F2F2" w:themeFill="background2" w:themeFillShade="F2"/>
          </w:tcPr>
          <w:p w14:paraId="69EE672F" w14:textId="055E7ACA" w:rsidR="008E3D37" w:rsidRPr="00162DF5" w:rsidRDefault="008E3D37" w:rsidP="00C7423C">
            <w:pPr>
              <w:rPr>
                <w:rFonts w:cstheme="majorHAnsi"/>
              </w:rPr>
            </w:pPr>
            <w:r w:rsidRPr="00162DF5">
              <w:rPr>
                <w:rFonts w:cstheme="majorHAnsi"/>
              </w:rPr>
              <w:t>8.</w:t>
            </w:r>
            <w:r w:rsidR="002E0053" w:rsidRPr="00162DF5">
              <w:rPr>
                <w:rFonts w:cstheme="majorHAnsi"/>
              </w:rPr>
              <w:t>9</w:t>
            </w:r>
          </w:p>
        </w:tc>
        <w:tc>
          <w:tcPr>
            <w:tcW w:w="4111" w:type="dxa"/>
            <w:shd w:val="clear" w:color="auto" w:fill="F2F2F2" w:themeFill="background2" w:themeFillShade="F2"/>
          </w:tcPr>
          <w:p w14:paraId="18F6F747" w14:textId="77777777" w:rsidR="00162DF5" w:rsidRPr="00162DF5" w:rsidRDefault="00162DF5" w:rsidP="00162DF5">
            <w:pPr>
              <w:pStyle w:val="TableParagraph"/>
              <w:spacing w:line="259" w:lineRule="auto"/>
              <w:rPr>
                <w:rFonts w:asciiTheme="majorHAnsi" w:hAnsiTheme="majorHAnsi" w:cstheme="majorHAnsi"/>
              </w:rPr>
            </w:pPr>
            <w:r w:rsidRPr="00162DF5">
              <w:rPr>
                <w:rFonts w:asciiTheme="majorHAnsi" w:hAnsiTheme="majorHAnsi" w:cstheme="majorHAnsi"/>
              </w:rPr>
              <w:t>Where an agency refuses a request to correct or amend a record under section 39 of the Act, the agency must, in its decision letter to the applicant, explain why amendments and/or notations have not been made to the relevant document/s.</w:t>
            </w:r>
          </w:p>
          <w:p w14:paraId="79F968C9" w14:textId="0096BCAB" w:rsidR="008E3D37" w:rsidRPr="00162DF5" w:rsidRDefault="008E3D37" w:rsidP="00162DF5">
            <w:pPr>
              <w:pStyle w:val="TableParagraph"/>
              <w:spacing w:line="259" w:lineRule="auto"/>
              <w:rPr>
                <w:rFonts w:asciiTheme="majorHAnsi" w:hAnsiTheme="majorHAnsi" w:cstheme="majorHAnsi"/>
              </w:rPr>
            </w:pPr>
          </w:p>
        </w:tc>
        <w:tc>
          <w:tcPr>
            <w:tcW w:w="3678" w:type="dxa"/>
            <w:shd w:val="clear" w:color="auto" w:fill="F2F2F2" w:themeFill="background2" w:themeFillShade="F2"/>
          </w:tcPr>
          <w:p w14:paraId="7035EABE" w14:textId="73F489D9" w:rsidR="008E3D37" w:rsidRPr="00665B82" w:rsidRDefault="007D65EE" w:rsidP="00AA1439">
            <w:pPr>
              <w:pStyle w:val="TableParagraph"/>
              <w:spacing w:before="120" w:after="240" w:line="259" w:lineRule="auto"/>
              <w:ind w:left="33" w:right="96"/>
              <w:rPr>
                <w:rStyle w:val="cf01"/>
                <w:rFonts w:asciiTheme="majorHAnsi" w:hAnsiTheme="majorHAnsi" w:cstheme="majorHAnsi"/>
                <w:sz w:val="22"/>
                <w:szCs w:val="22"/>
              </w:rPr>
            </w:pPr>
            <w:r w:rsidRPr="007D65EE">
              <w:rPr>
                <w:rFonts w:asciiTheme="majorHAnsi" w:hAnsiTheme="majorHAnsi" w:cstheme="majorHAnsi"/>
              </w:rPr>
              <w:t>OVIC considers this recommendation will improve applicants’ understanding of why amendments and notations have not been made to the relevant document, so that they can make an informed decision on whether to exercise their review rights to OVIC.</w:t>
            </w:r>
          </w:p>
        </w:tc>
      </w:tr>
    </w:tbl>
    <w:p w14:paraId="6E13AD83" w14:textId="77777777" w:rsidR="00FD2DF7" w:rsidRDefault="00FD2DF7" w:rsidP="006C5BA9">
      <w:pPr>
        <w:rPr>
          <w:b/>
          <w:bCs/>
        </w:rPr>
      </w:pPr>
    </w:p>
    <w:p w14:paraId="2E9EEA77" w14:textId="36441CDA" w:rsidR="006C5BA9" w:rsidRPr="00565472" w:rsidRDefault="006C5BA9" w:rsidP="006C5BA9">
      <w:pPr>
        <w:rPr>
          <w:b/>
          <w:bCs/>
        </w:rPr>
      </w:pPr>
      <w:r w:rsidRPr="00565472">
        <w:rPr>
          <w:b/>
          <w:bCs/>
        </w:rPr>
        <w:t>Further Information</w:t>
      </w:r>
    </w:p>
    <w:p w14:paraId="21959CC4" w14:textId="77777777" w:rsidR="006C5BA9" w:rsidRPr="00565472" w:rsidRDefault="006C5BA9" w:rsidP="006C5BA9">
      <w:pPr>
        <w:rPr>
          <w:b/>
          <w:bCs/>
        </w:rPr>
      </w:pPr>
      <w:hyperlink r:id="rId24" w:history="1">
        <w:r w:rsidRPr="00565472">
          <w:rPr>
            <w:rStyle w:val="Hyperlink"/>
            <w:b/>
            <w:bCs/>
          </w:rPr>
          <w:t>FOI Guidelines – Section 27 of the Act</w:t>
        </w:r>
      </w:hyperlink>
    </w:p>
    <w:p w14:paraId="03ABD443" w14:textId="77777777" w:rsidR="006C5BA9" w:rsidRPr="006C5BA9" w:rsidRDefault="006C5BA9" w:rsidP="00565472">
      <w:pPr>
        <w:pStyle w:val="Heading2"/>
      </w:pPr>
      <w:r w:rsidRPr="006C5BA9">
        <w:t>9. Resources, training and awareness</w:t>
      </w:r>
    </w:p>
    <w:p w14:paraId="71FAC5A2" w14:textId="77777777" w:rsidR="006C5BA9" w:rsidRPr="006C5BA9" w:rsidRDefault="006C5BA9" w:rsidP="00565472">
      <w:pPr>
        <w:pStyle w:val="Heading3"/>
      </w:pPr>
      <w:r w:rsidRPr="006C5BA9">
        <w:t>Statement</w:t>
      </w:r>
    </w:p>
    <w:p w14:paraId="3C7CDA01" w14:textId="77777777" w:rsidR="006C5BA9" w:rsidRPr="006C5BA9" w:rsidRDefault="006C5BA9" w:rsidP="006C5BA9">
      <w:r w:rsidRPr="006C5BA9">
        <w:t>An agency must administer the Act with a view to making the maximum amount of government information available to the public promptly and inexpensively – </w:t>
      </w:r>
      <w:r w:rsidRPr="006C5BA9">
        <w:rPr>
          <w:i/>
          <w:iCs/>
        </w:rPr>
        <w:t>section 16(1) of the Act</w:t>
      </w:r>
      <w:r w:rsidRPr="006C5BA9">
        <w:t>. This requires a principal officer to ensure their agency and its officers have the resources and training to administer the Act.</w:t>
      </w:r>
    </w:p>
    <w:p w14:paraId="1CC41F79" w14:textId="77777777" w:rsidR="006C5BA9" w:rsidRPr="006C5BA9" w:rsidRDefault="006C5BA9" w:rsidP="00565472">
      <w:pPr>
        <w:pStyle w:val="Heading3"/>
      </w:pPr>
      <w:r w:rsidRPr="006C5BA9">
        <w:t>Professional Standards</w:t>
      </w:r>
    </w:p>
    <w:p w14:paraId="2AF826E5" w14:textId="19A61EC4" w:rsidR="006C5BA9" w:rsidRPr="006C5BA9" w:rsidRDefault="006C5BA9" w:rsidP="00565472">
      <w:pPr>
        <w:ind w:left="720" w:hanging="720"/>
      </w:pPr>
      <w:r w:rsidRPr="006C5BA9">
        <w:t>9.1</w:t>
      </w:r>
      <w:r w:rsidR="00565472">
        <w:tab/>
      </w:r>
      <w:r w:rsidRPr="006C5BA9">
        <w:t>A principal officer must ensure their agency has the necessary resources and procedures in place to be able to meet their agency’s statutory obligations under the Act, including:</w:t>
      </w:r>
    </w:p>
    <w:p w14:paraId="0CF8F30A" w14:textId="584A13D0" w:rsidR="006C5BA9" w:rsidRPr="006C5BA9" w:rsidRDefault="006C5BA9" w:rsidP="00AA1439">
      <w:pPr>
        <w:ind w:left="1440" w:hanging="720"/>
      </w:pPr>
      <w:r w:rsidRPr="006C5BA9">
        <w:t xml:space="preserve">(a) </w:t>
      </w:r>
      <w:r w:rsidR="00FF4818">
        <w:tab/>
      </w:r>
      <w:r w:rsidRPr="006C5BA9">
        <w:t>being sufficiently resourced to receive and process requests, as and when required, within the required statutory time;</w:t>
      </w:r>
    </w:p>
    <w:p w14:paraId="459083ED" w14:textId="2B671AF5" w:rsidR="006C5BA9" w:rsidRPr="006C5BA9" w:rsidRDefault="006C5BA9" w:rsidP="00565472">
      <w:pPr>
        <w:ind w:firstLine="720"/>
      </w:pPr>
      <w:r w:rsidRPr="006C5BA9">
        <w:t xml:space="preserve">(b) </w:t>
      </w:r>
      <w:r w:rsidR="00FF4818">
        <w:tab/>
      </w:r>
      <w:r w:rsidRPr="006C5BA9">
        <w:t>the necessary software or systems to enable officers to process requests;</w:t>
      </w:r>
    </w:p>
    <w:p w14:paraId="5421E4E7" w14:textId="567D500C" w:rsidR="006C5BA9" w:rsidRPr="006C5BA9" w:rsidRDefault="006C5BA9" w:rsidP="00565472">
      <w:pPr>
        <w:ind w:firstLine="720"/>
      </w:pPr>
      <w:r w:rsidRPr="006C5BA9">
        <w:t xml:space="preserve">(c) </w:t>
      </w:r>
      <w:r w:rsidR="00FF4818">
        <w:tab/>
      </w:r>
      <w:r w:rsidRPr="006C5BA9">
        <w:t>internal policies to enable officers to carry out their functions across the agency; and</w:t>
      </w:r>
    </w:p>
    <w:p w14:paraId="33574889" w14:textId="1B7C19A3" w:rsidR="006C5BA9" w:rsidRPr="006C5BA9" w:rsidRDefault="006C5BA9" w:rsidP="00AA1439">
      <w:pPr>
        <w:ind w:left="1440" w:hanging="720"/>
      </w:pPr>
      <w:r w:rsidRPr="006C5BA9">
        <w:lastRenderedPageBreak/>
        <w:t xml:space="preserve">(d) </w:t>
      </w:r>
      <w:r w:rsidR="00FF4818">
        <w:tab/>
      </w:r>
      <w:r w:rsidRPr="006C5BA9">
        <w:t>anything else reasonably necessary for the agency to carry out its statutory obligations in an effective and efficient manner.</w:t>
      </w:r>
    </w:p>
    <w:p w14:paraId="368688B6" w14:textId="14F7129B" w:rsidR="006C5BA9" w:rsidRPr="006C5BA9" w:rsidRDefault="006C5BA9" w:rsidP="00565472">
      <w:pPr>
        <w:ind w:left="720" w:hanging="720"/>
      </w:pPr>
      <w:r w:rsidRPr="006C5BA9">
        <w:t>9.2</w:t>
      </w:r>
      <w:r w:rsidR="00565472">
        <w:tab/>
      </w:r>
      <w:r w:rsidRPr="006C5BA9">
        <w:t>A principal officer must ensure, or must be actively working towards ensuring, all officers who are responsible for responding to requests have the appropriate skills and training to perform their responsibilities.</w:t>
      </w:r>
    </w:p>
    <w:p w14:paraId="623778E5" w14:textId="4E266C6D" w:rsidR="006C5BA9" w:rsidRPr="006C5BA9" w:rsidRDefault="006C5BA9" w:rsidP="00565472">
      <w:pPr>
        <w:ind w:left="720" w:hanging="720"/>
      </w:pPr>
      <w:r w:rsidRPr="006C5BA9">
        <w:t>9.3</w:t>
      </w:r>
      <w:r w:rsidR="00565472">
        <w:tab/>
      </w:r>
      <w:r w:rsidRPr="006C5BA9">
        <w:t>A principal officer must ensure officers who make decisions under the Act are authorised in accordance with section 26(1) of the Act.</w:t>
      </w:r>
    </w:p>
    <w:p w14:paraId="0525CDAD" w14:textId="1C5361AA" w:rsidR="006C5BA9" w:rsidRPr="006C5BA9" w:rsidRDefault="006C5BA9" w:rsidP="00565472">
      <w:pPr>
        <w:ind w:left="720" w:hanging="720"/>
      </w:pPr>
      <w:r w:rsidRPr="006C5BA9">
        <w:t>9.4</w:t>
      </w:r>
      <w:r w:rsidR="00565472">
        <w:tab/>
      </w:r>
      <w:r w:rsidRPr="006C5BA9">
        <w:t>A principal officer must ensure all officers are informed about the agency’s statutory obligations under the Act.</w:t>
      </w:r>
    </w:p>
    <w:p w14:paraId="16500937" w14:textId="331A63B8" w:rsidR="006C5BA9" w:rsidRPr="006C5BA9" w:rsidRDefault="006C5BA9" w:rsidP="00565472">
      <w:pPr>
        <w:ind w:left="720" w:hanging="720"/>
      </w:pPr>
      <w:r w:rsidRPr="006C5BA9">
        <w:t>9.5</w:t>
      </w:r>
      <w:r w:rsidR="00565472">
        <w:tab/>
      </w:r>
      <w:r w:rsidRPr="006C5BA9">
        <w:t>A principal officer must ensure all officers are aware they have a duty to assist and cooperate with officers who process requests under the Act.</w:t>
      </w:r>
    </w:p>
    <w:p w14:paraId="177E52A2" w14:textId="77777777" w:rsidR="006C5BA9" w:rsidRPr="00565472" w:rsidRDefault="006C5BA9" w:rsidP="006C5BA9">
      <w:pPr>
        <w:rPr>
          <w:b/>
          <w:bCs/>
        </w:rPr>
      </w:pPr>
      <w:r w:rsidRPr="00565472">
        <w:rPr>
          <w:b/>
          <w:bCs/>
        </w:rPr>
        <w:t>Further Information</w:t>
      </w:r>
    </w:p>
    <w:p w14:paraId="6434C78C" w14:textId="77777777" w:rsidR="006C5BA9" w:rsidRPr="00565472" w:rsidRDefault="006C5BA9" w:rsidP="006C5BA9">
      <w:pPr>
        <w:rPr>
          <w:b/>
          <w:bCs/>
        </w:rPr>
      </w:pPr>
      <w:hyperlink r:id="rId25" w:history="1">
        <w:r w:rsidRPr="00565472">
          <w:rPr>
            <w:rStyle w:val="Hyperlink"/>
            <w:b/>
            <w:bCs/>
          </w:rPr>
          <w:t>FOI Guidelines – Section 27 of the Act</w:t>
        </w:r>
      </w:hyperlink>
    </w:p>
    <w:p w14:paraId="57D836A0" w14:textId="77777777" w:rsidR="006C5BA9" w:rsidRPr="006C5BA9" w:rsidRDefault="006C5BA9" w:rsidP="00565472">
      <w:pPr>
        <w:pStyle w:val="Heading2"/>
      </w:pPr>
      <w:r w:rsidRPr="006C5BA9">
        <w:t>10. Working with the Information Commissioner</w:t>
      </w:r>
    </w:p>
    <w:p w14:paraId="1CB48021" w14:textId="77777777" w:rsidR="006C5BA9" w:rsidRPr="006C5BA9" w:rsidRDefault="006C5BA9" w:rsidP="00565472">
      <w:pPr>
        <w:pStyle w:val="Heading3"/>
      </w:pPr>
      <w:r w:rsidRPr="006C5BA9">
        <w:t>Statement</w:t>
      </w:r>
    </w:p>
    <w:p w14:paraId="53A429F5" w14:textId="16A251A9" w:rsidR="006C5BA9" w:rsidRPr="006C5BA9" w:rsidRDefault="006C5BA9" w:rsidP="006C5BA9">
      <w:r w:rsidRPr="006C5BA9">
        <w:t>An agency has an obligation under section 49I of the Act to assist the Commissioner to conduct a review under Part VI of the Act. Under section 61E of the Act, an agency must cooperate with the Commissioner in dealing with a complaint under Part VIA of the Act.</w:t>
      </w:r>
    </w:p>
    <w:p w14:paraId="5BEA9024" w14:textId="77777777" w:rsidR="006C5BA9" w:rsidRPr="006C5BA9" w:rsidRDefault="006C5BA9" w:rsidP="00565472">
      <w:pPr>
        <w:pStyle w:val="Heading3"/>
      </w:pPr>
      <w:r w:rsidRPr="006C5BA9">
        <w:t>Professional Standards</w:t>
      </w:r>
    </w:p>
    <w:p w14:paraId="50A8A3BF" w14:textId="6C2371EB" w:rsidR="006C5BA9" w:rsidRPr="006C5BA9" w:rsidRDefault="006C5BA9" w:rsidP="00565472">
      <w:pPr>
        <w:ind w:left="720" w:hanging="720"/>
      </w:pPr>
      <w:r w:rsidRPr="006C5BA9">
        <w:t>10.1</w:t>
      </w:r>
      <w:r w:rsidR="00565472">
        <w:tab/>
      </w:r>
      <w:r w:rsidRPr="006C5BA9">
        <w:t>An agency must assist the Commissioner in their attempt to informally resolve a review or complaint.</w:t>
      </w:r>
    </w:p>
    <w:p w14:paraId="709EBB16" w14:textId="00B70BE2" w:rsidR="006C5BA9" w:rsidRPr="00664BA2" w:rsidRDefault="006C5BA9" w:rsidP="00565472">
      <w:pPr>
        <w:ind w:left="720" w:hanging="720"/>
        <w:rPr>
          <w:strike/>
        </w:rPr>
      </w:pPr>
      <w:r w:rsidRPr="00664BA2">
        <w:rPr>
          <w:strike/>
        </w:rPr>
        <w:t>10.2</w:t>
      </w:r>
      <w:r w:rsidR="00565472" w:rsidRPr="00664BA2">
        <w:rPr>
          <w:strike/>
        </w:rPr>
        <w:tab/>
      </w:r>
      <w:r w:rsidRPr="00664BA2">
        <w:rPr>
          <w:strike/>
        </w:rPr>
        <w:t>An agency must give consideration to a preliminary view issued by, or on behalf of, the Information Commissioner during a review.</w:t>
      </w:r>
    </w:p>
    <w:tbl>
      <w:tblPr>
        <w:tblStyle w:val="TableGrid"/>
        <w:tblW w:w="9239" w:type="dxa"/>
        <w:tblLook w:val="04A0" w:firstRow="1" w:lastRow="0" w:firstColumn="1" w:lastColumn="0" w:noHBand="0" w:noVBand="1"/>
      </w:tblPr>
      <w:tblGrid>
        <w:gridCol w:w="1295"/>
        <w:gridCol w:w="4796"/>
        <w:gridCol w:w="3148"/>
      </w:tblGrid>
      <w:tr w:rsidR="008E3D37" w:rsidRPr="00463F84" w14:paraId="296A0D37" w14:textId="77777777" w:rsidTr="00AE24DE">
        <w:trPr>
          <w:trHeight w:val="311"/>
        </w:trPr>
        <w:tc>
          <w:tcPr>
            <w:tcW w:w="1295" w:type="dxa"/>
            <w:shd w:val="clear" w:color="auto" w:fill="F2F2F2" w:themeFill="background2" w:themeFillShade="F2"/>
          </w:tcPr>
          <w:p w14:paraId="5F91D5C3" w14:textId="56F9DB21" w:rsidR="008E3D37" w:rsidRPr="00463F84" w:rsidRDefault="008E3D37" w:rsidP="00C7423C">
            <w:pPr>
              <w:rPr>
                <w:b/>
                <w:bCs/>
              </w:rPr>
            </w:pPr>
            <w:r>
              <w:rPr>
                <w:b/>
                <w:bCs/>
              </w:rPr>
              <w:t>Amended Standard</w:t>
            </w:r>
          </w:p>
        </w:tc>
        <w:tc>
          <w:tcPr>
            <w:tcW w:w="4796" w:type="dxa"/>
            <w:shd w:val="clear" w:color="auto" w:fill="F2F2F2" w:themeFill="background2" w:themeFillShade="F2"/>
          </w:tcPr>
          <w:p w14:paraId="78C280F0" w14:textId="77777777" w:rsidR="008E3D37" w:rsidRPr="00463F84" w:rsidRDefault="008E3D37" w:rsidP="00C7423C">
            <w:pPr>
              <w:rPr>
                <w:b/>
                <w:bCs/>
              </w:rPr>
            </w:pPr>
            <w:r w:rsidRPr="00463F84">
              <w:rPr>
                <w:b/>
                <w:bCs/>
              </w:rPr>
              <w:t xml:space="preserve">Draft </w:t>
            </w:r>
            <w:r>
              <w:rPr>
                <w:b/>
                <w:bCs/>
              </w:rPr>
              <w:t>Standard</w:t>
            </w:r>
          </w:p>
        </w:tc>
        <w:tc>
          <w:tcPr>
            <w:tcW w:w="3148" w:type="dxa"/>
            <w:shd w:val="clear" w:color="auto" w:fill="F2F2F2" w:themeFill="background2" w:themeFillShade="F2"/>
          </w:tcPr>
          <w:p w14:paraId="58D974FE" w14:textId="77777777" w:rsidR="008E3D37" w:rsidRPr="00463F84" w:rsidRDefault="008E3D37" w:rsidP="00C7423C">
            <w:pPr>
              <w:rPr>
                <w:b/>
                <w:bCs/>
              </w:rPr>
            </w:pPr>
            <w:r>
              <w:rPr>
                <w:b/>
                <w:bCs/>
              </w:rPr>
              <w:t>Comments</w:t>
            </w:r>
          </w:p>
        </w:tc>
      </w:tr>
      <w:tr w:rsidR="008E3D37" w:rsidRPr="006C5BA9" w14:paraId="3C605717" w14:textId="77777777" w:rsidTr="00AE24DE">
        <w:trPr>
          <w:trHeight w:val="1776"/>
        </w:trPr>
        <w:tc>
          <w:tcPr>
            <w:tcW w:w="1295" w:type="dxa"/>
            <w:shd w:val="clear" w:color="auto" w:fill="F2F2F2" w:themeFill="background2" w:themeFillShade="F2"/>
          </w:tcPr>
          <w:p w14:paraId="6489C1C2" w14:textId="362BA25C" w:rsidR="008E3D37" w:rsidRDefault="008E3D37" w:rsidP="00C7423C">
            <w:r>
              <w:t>10.2</w:t>
            </w:r>
          </w:p>
        </w:tc>
        <w:tc>
          <w:tcPr>
            <w:tcW w:w="4796" w:type="dxa"/>
            <w:shd w:val="clear" w:color="auto" w:fill="F2F2F2" w:themeFill="background2" w:themeFillShade="F2"/>
          </w:tcPr>
          <w:p w14:paraId="0EBDF73A" w14:textId="7770AA7A" w:rsidR="008E3D37" w:rsidRDefault="008E3D37" w:rsidP="00AA1439">
            <w:pPr>
              <w:ind w:left="12"/>
            </w:pPr>
            <w:r w:rsidRPr="006C5BA9">
              <w:t xml:space="preserve">An agency must </w:t>
            </w:r>
            <w:r w:rsidR="003E3F16" w:rsidRPr="006C5BA9">
              <w:t>consider</w:t>
            </w:r>
            <w:r w:rsidR="00275638">
              <w:t xml:space="preserve"> an</w:t>
            </w:r>
            <w:r w:rsidRPr="006C5BA9">
              <w:t xml:space="preserve"> </w:t>
            </w:r>
            <w:r w:rsidR="00275638">
              <w:t>initial or</w:t>
            </w:r>
            <w:r w:rsidRPr="006C5BA9">
              <w:t xml:space="preserve"> preliminary view issued by, or on behalf of, the Commissioner during a review</w:t>
            </w:r>
            <w:r>
              <w:t xml:space="preserve"> and/or complaint</w:t>
            </w:r>
            <w:r w:rsidRPr="006C5BA9">
              <w:t>.</w:t>
            </w:r>
          </w:p>
        </w:tc>
        <w:tc>
          <w:tcPr>
            <w:tcW w:w="3148" w:type="dxa"/>
            <w:shd w:val="clear" w:color="auto" w:fill="F2F2F2" w:themeFill="background2" w:themeFillShade="F2"/>
          </w:tcPr>
          <w:p w14:paraId="28C22DB6" w14:textId="0811EC6D" w:rsidR="008E3D37" w:rsidRPr="006C5BA9" w:rsidRDefault="00894A7A" w:rsidP="00C7423C">
            <w:r>
              <w:rPr>
                <w:rFonts w:cstheme="majorHAnsi"/>
              </w:rPr>
              <w:t xml:space="preserve">OVIC considers this recommendation will support the timely resolution of </w:t>
            </w:r>
            <w:r w:rsidR="00757FFA">
              <w:rPr>
                <w:rFonts w:cstheme="majorHAnsi"/>
              </w:rPr>
              <w:t xml:space="preserve">reviews and </w:t>
            </w:r>
            <w:r>
              <w:rPr>
                <w:rFonts w:cstheme="majorHAnsi"/>
              </w:rPr>
              <w:t>complaints.</w:t>
            </w:r>
          </w:p>
        </w:tc>
      </w:tr>
    </w:tbl>
    <w:p w14:paraId="1806FFD9" w14:textId="77777777" w:rsidR="008E3D37" w:rsidRPr="006C5BA9" w:rsidRDefault="008E3D37" w:rsidP="00565472">
      <w:pPr>
        <w:ind w:left="720" w:hanging="720"/>
      </w:pPr>
    </w:p>
    <w:p w14:paraId="147C3FFE" w14:textId="057068CF" w:rsidR="006C5BA9" w:rsidRPr="006C5BA9" w:rsidRDefault="006C5BA9" w:rsidP="00565472">
      <w:pPr>
        <w:ind w:left="720" w:hanging="720"/>
      </w:pPr>
      <w:r w:rsidRPr="006C5BA9">
        <w:lastRenderedPageBreak/>
        <w:t>10.3</w:t>
      </w:r>
      <w:r w:rsidR="00565472">
        <w:tab/>
      </w:r>
      <w:r w:rsidRPr="006C5BA9">
        <w:t>An agency must respond to a request for documents and information by, or on behalf of, the Commissioner within requested or agreed timeframes.</w:t>
      </w:r>
    </w:p>
    <w:p w14:paraId="7DAFB6A1" w14:textId="447191AF" w:rsidR="006C5BA9" w:rsidRPr="006C5BA9" w:rsidRDefault="006C5BA9" w:rsidP="00565472">
      <w:pPr>
        <w:ind w:left="720" w:hanging="720"/>
      </w:pPr>
      <w:r w:rsidRPr="006C5BA9">
        <w:t>10.4</w:t>
      </w:r>
      <w:r w:rsidR="00565472">
        <w:tab/>
      </w:r>
      <w:r w:rsidRPr="006C5BA9">
        <w:t>When providing documents subject to review by the Commissioner, an agency must markup documents clearly and legibly to indicate exempt matter and the applicable exemption or exemptions.</w:t>
      </w:r>
    </w:p>
    <w:p w14:paraId="58FE4A01" w14:textId="77777777" w:rsidR="006C5BA9" w:rsidRDefault="006C5BA9" w:rsidP="006C5BA9">
      <w:pPr>
        <w:rPr>
          <w:i/>
          <w:iCs/>
        </w:rPr>
      </w:pPr>
      <w:r w:rsidRPr="006C5BA9">
        <w:rPr>
          <w:i/>
          <w:iCs/>
        </w:rPr>
        <w:t>Note: section 5 of the Act defines ‘exempt matter’ to mean matter the inclusion of which in a document causes the document to be an exempt document. </w:t>
      </w:r>
    </w:p>
    <w:p w14:paraId="6297B620" w14:textId="77777777" w:rsidR="00FA5819" w:rsidRPr="00FA5819" w:rsidRDefault="00FA5819" w:rsidP="00FA5819">
      <w:pPr>
        <w:rPr>
          <w:b/>
          <w:bCs/>
        </w:rPr>
      </w:pPr>
      <w:r w:rsidRPr="00FA5819">
        <w:rPr>
          <w:b/>
          <w:bCs/>
        </w:rPr>
        <w:t>Further Information</w:t>
      </w:r>
    </w:p>
    <w:p w14:paraId="7132DFDC" w14:textId="77777777" w:rsidR="00FA5819" w:rsidRPr="00FA5819" w:rsidRDefault="00FA5819" w:rsidP="00FA5819">
      <w:pPr>
        <w:rPr>
          <w:b/>
          <w:bCs/>
        </w:rPr>
      </w:pPr>
      <w:hyperlink r:id="rId26" w:history="1">
        <w:r w:rsidRPr="00FA5819">
          <w:rPr>
            <w:rStyle w:val="Hyperlink"/>
            <w:b/>
            <w:bCs/>
          </w:rPr>
          <w:t>FOI Guidelines – Section 49G of the Act</w:t>
        </w:r>
      </w:hyperlink>
    </w:p>
    <w:p w14:paraId="47C2ECE3" w14:textId="77777777" w:rsidR="00FA5819" w:rsidRPr="00FA5819" w:rsidRDefault="00FA5819" w:rsidP="00FA5819">
      <w:pPr>
        <w:rPr>
          <w:b/>
          <w:bCs/>
        </w:rPr>
      </w:pPr>
      <w:hyperlink r:id="rId27" w:history="1">
        <w:r w:rsidRPr="00FA5819">
          <w:rPr>
            <w:rStyle w:val="Hyperlink"/>
            <w:b/>
            <w:bCs/>
          </w:rPr>
          <w:t>FOI Guidelines – Section 49I of the Act</w:t>
        </w:r>
      </w:hyperlink>
    </w:p>
    <w:p w14:paraId="1C06A4F2" w14:textId="77777777" w:rsidR="00FA5819" w:rsidRPr="00FA5819" w:rsidRDefault="00FA5819" w:rsidP="00FA5819">
      <w:pPr>
        <w:rPr>
          <w:b/>
          <w:bCs/>
        </w:rPr>
      </w:pPr>
      <w:hyperlink r:id="rId28" w:history="1">
        <w:r w:rsidRPr="00FA5819">
          <w:rPr>
            <w:rStyle w:val="Hyperlink"/>
            <w:b/>
            <w:bCs/>
          </w:rPr>
          <w:t>FOI Guidelines – Section 61GB of the Act</w:t>
        </w:r>
      </w:hyperlink>
    </w:p>
    <w:p w14:paraId="2C3100D6" w14:textId="77777777" w:rsidR="00FA5819" w:rsidRPr="006C5BA9" w:rsidRDefault="00FA5819" w:rsidP="006C5BA9"/>
    <w:tbl>
      <w:tblPr>
        <w:tblStyle w:val="TableGrid"/>
        <w:tblW w:w="9769" w:type="dxa"/>
        <w:tblLook w:val="04A0" w:firstRow="1" w:lastRow="0" w:firstColumn="1" w:lastColumn="0" w:noHBand="0" w:noVBand="1"/>
      </w:tblPr>
      <w:tblGrid>
        <w:gridCol w:w="1271"/>
        <w:gridCol w:w="4820"/>
        <w:gridCol w:w="3678"/>
      </w:tblGrid>
      <w:tr w:rsidR="00FC4AF2" w:rsidRPr="00D85E42" w14:paraId="27A4B78D" w14:textId="77777777" w:rsidTr="00AE24DE">
        <w:tc>
          <w:tcPr>
            <w:tcW w:w="1271" w:type="dxa"/>
            <w:shd w:val="clear" w:color="auto" w:fill="F2F2F2" w:themeFill="background2" w:themeFillShade="F2"/>
          </w:tcPr>
          <w:p w14:paraId="43C93FD6" w14:textId="77777777" w:rsidR="00FC4AF2" w:rsidRPr="00D85E42" w:rsidRDefault="00FC4AF2" w:rsidP="00C7423C">
            <w:pPr>
              <w:rPr>
                <w:b/>
                <w:bCs/>
                <w:color w:val="000000" w:themeColor="text1"/>
              </w:rPr>
            </w:pPr>
            <w:r w:rsidRPr="00D85E42">
              <w:rPr>
                <w:b/>
                <w:bCs/>
                <w:color w:val="000000" w:themeColor="text1"/>
              </w:rPr>
              <w:t>New Standard</w:t>
            </w:r>
          </w:p>
        </w:tc>
        <w:tc>
          <w:tcPr>
            <w:tcW w:w="4820" w:type="dxa"/>
            <w:shd w:val="clear" w:color="auto" w:fill="F2F2F2" w:themeFill="background2" w:themeFillShade="F2"/>
          </w:tcPr>
          <w:p w14:paraId="1AA2CF7C" w14:textId="77777777" w:rsidR="00FC4AF2" w:rsidRPr="00D85E42" w:rsidRDefault="00FC4AF2" w:rsidP="00C7423C">
            <w:pPr>
              <w:rPr>
                <w:b/>
                <w:bCs/>
                <w:color w:val="000000" w:themeColor="text1"/>
              </w:rPr>
            </w:pPr>
            <w:r w:rsidRPr="00D85E42">
              <w:rPr>
                <w:b/>
                <w:bCs/>
                <w:color w:val="000000" w:themeColor="text1"/>
              </w:rPr>
              <w:t>Draft Standard</w:t>
            </w:r>
          </w:p>
        </w:tc>
        <w:tc>
          <w:tcPr>
            <w:tcW w:w="3678" w:type="dxa"/>
            <w:shd w:val="clear" w:color="auto" w:fill="F2F2F2" w:themeFill="background2" w:themeFillShade="F2"/>
          </w:tcPr>
          <w:p w14:paraId="72FE7A3F" w14:textId="77777777" w:rsidR="00FC4AF2" w:rsidRPr="00D85E42" w:rsidRDefault="00FC4AF2" w:rsidP="00C7423C">
            <w:pPr>
              <w:rPr>
                <w:b/>
                <w:bCs/>
                <w:color w:val="000000" w:themeColor="text1"/>
              </w:rPr>
            </w:pPr>
            <w:r w:rsidRPr="00D85E42">
              <w:rPr>
                <w:b/>
                <w:bCs/>
                <w:color w:val="000000" w:themeColor="text1"/>
              </w:rPr>
              <w:t>Comments</w:t>
            </w:r>
          </w:p>
        </w:tc>
      </w:tr>
      <w:tr w:rsidR="00FC4AF2" w14:paraId="79E80D12" w14:textId="77777777" w:rsidTr="00AE24DE">
        <w:tc>
          <w:tcPr>
            <w:tcW w:w="1271" w:type="dxa"/>
            <w:shd w:val="clear" w:color="auto" w:fill="F2F2F2" w:themeFill="background2" w:themeFillShade="F2"/>
          </w:tcPr>
          <w:p w14:paraId="75226F04" w14:textId="5A06714D" w:rsidR="00FC4AF2" w:rsidRDefault="00FC4AF2" w:rsidP="00C7423C">
            <w:r>
              <w:t>10.5</w:t>
            </w:r>
          </w:p>
        </w:tc>
        <w:tc>
          <w:tcPr>
            <w:tcW w:w="4820" w:type="dxa"/>
            <w:shd w:val="clear" w:color="auto" w:fill="F2F2F2" w:themeFill="background2" w:themeFillShade="F2"/>
          </w:tcPr>
          <w:p w14:paraId="649C2CCA" w14:textId="5987C59F" w:rsidR="00162DF5" w:rsidRPr="00162DF5" w:rsidRDefault="00162DF5" w:rsidP="00162DF5">
            <w:pPr>
              <w:pStyle w:val="TableParagraph"/>
              <w:spacing w:before="120" w:after="240" w:line="259" w:lineRule="auto"/>
              <w:ind w:right="98"/>
              <w:rPr>
                <w:rFonts w:asciiTheme="majorHAnsi" w:hAnsiTheme="majorHAnsi" w:cstheme="majorHAnsi"/>
              </w:rPr>
            </w:pPr>
            <w:r w:rsidRPr="00162DF5">
              <w:rPr>
                <w:rFonts w:asciiTheme="majorHAnsi" w:hAnsiTheme="majorHAnsi" w:cstheme="majorHAnsi"/>
              </w:rPr>
              <w:t xml:space="preserve">Where an agency claims documents are not subject to the Act or exempt from disclosure, upon request from the Commissioner, the agency’s </w:t>
            </w:r>
            <w:r w:rsidR="00522DBD">
              <w:rPr>
                <w:rFonts w:asciiTheme="majorHAnsi" w:hAnsiTheme="majorHAnsi" w:cstheme="majorHAnsi"/>
              </w:rPr>
              <w:t>p</w:t>
            </w:r>
            <w:r w:rsidRPr="00162DF5">
              <w:rPr>
                <w:rFonts w:asciiTheme="majorHAnsi" w:hAnsiTheme="majorHAnsi" w:cstheme="majorHAnsi"/>
              </w:rPr>
              <w:t xml:space="preserve">rincipal </w:t>
            </w:r>
            <w:r w:rsidR="00522DBD">
              <w:rPr>
                <w:rFonts w:asciiTheme="majorHAnsi" w:hAnsiTheme="majorHAnsi" w:cstheme="majorHAnsi"/>
              </w:rPr>
              <w:t>o</w:t>
            </w:r>
            <w:r w:rsidRPr="00162DF5">
              <w:rPr>
                <w:rFonts w:asciiTheme="majorHAnsi" w:hAnsiTheme="majorHAnsi" w:cstheme="majorHAnsi"/>
              </w:rPr>
              <w:t>fficer, or an appropriately knowledgeable or senior staff member, must provide a statutory declaration or attestation attesting to:</w:t>
            </w:r>
          </w:p>
          <w:p w14:paraId="00B05D28" w14:textId="77777777" w:rsidR="00162DF5" w:rsidRPr="00162DF5" w:rsidRDefault="00162DF5" w:rsidP="00AA1439">
            <w:pPr>
              <w:pStyle w:val="TableParagraph"/>
              <w:numPr>
                <w:ilvl w:val="0"/>
                <w:numId w:val="58"/>
              </w:numPr>
              <w:spacing w:before="120" w:after="240" w:line="259" w:lineRule="auto"/>
              <w:ind w:left="1027" w:right="98" w:hanging="567"/>
              <w:rPr>
                <w:rFonts w:asciiTheme="majorHAnsi" w:hAnsiTheme="majorHAnsi" w:cstheme="majorHAnsi"/>
              </w:rPr>
            </w:pPr>
            <w:r w:rsidRPr="00162DF5">
              <w:rPr>
                <w:rFonts w:asciiTheme="majorHAnsi" w:hAnsiTheme="majorHAnsi" w:cstheme="majorHAnsi"/>
              </w:rPr>
              <w:t>their belief that the documents are not subject to the Act or exempt from disclosure, and</w:t>
            </w:r>
          </w:p>
          <w:p w14:paraId="08F2819B" w14:textId="77777777" w:rsidR="00162DF5" w:rsidRPr="00162DF5" w:rsidRDefault="00162DF5" w:rsidP="00AA1439">
            <w:pPr>
              <w:pStyle w:val="TableParagraph"/>
              <w:numPr>
                <w:ilvl w:val="0"/>
                <w:numId w:val="58"/>
              </w:numPr>
              <w:spacing w:before="120" w:after="240" w:line="259" w:lineRule="auto"/>
              <w:ind w:left="1027" w:right="98" w:hanging="567"/>
              <w:rPr>
                <w:rFonts w:asciiTheme="majorHAnsi" w:hAnsiTheme="majorHAnsi" w:cstheme="majorHAnsi"/>
              </w:rPr>
            </w:pPr>
            <w:r w:rsidRPr="00162DF5">
              <w:rPr>
                <w:rFonts w:asciiTheme="majorHAnsi" w:hAnsiTheme="majorHAnsi" w:cstheme="majorHAnsi"/>
              </w:rPr>
              <w:t>the basis for forming this belief.</w:t>
            </w:r>
          </w:p>
          <w:p w14:paraId="19BA0D54" w14:textId="46B2740E" w:rsidR="00162DF5" w:rsidRPr="00162DF5" w:rsidRDefault="00162DF5" w:rsidP="00162DF5">
            <w:pPr>
              <w:pStyle w:val="TableParagraph"/>
              <w:spacing w:before="120" w:after="240" w:line="259" w:lineRule="auto"/>
              <w:ind w:right="98"/>
              <w:rPr>
                <w:rFonts w:asciiTheme="majorHAnsi" w:hAnsiTheme="majorHAnsi" w:cstheme="majorHAnsi"/>
              </w:rPr>
            </w:pPr>
            <w:r w:rsidRPr="00162DF5">
              <w:rPr>
                <w:rFonts w:asciiTheme="majorHAnsi" w:hAnsiTheme="majorHAnsi" w:cstheme="majorHAnsi"/>
                <w:i/>
                <w:iCs/>
              </w:rPr>
              <w:t>Note: Such a statutory declaration or attestation would only be sought if the Commissioner considers they do not have sufficient information to determine this issue through the Agency’s decision letter</w:t>
            </w:r>
            <w:r w:rsidR="006C26D9">
              <w:rPr>
                <w:rFonts w:asciiTheme="majorHAnsi" w:hAnsiTheme="majorHAnsi" w:cstheme="majorHAnsi"/>
                <w:i/>
                <w:iCs/>
              </w:rPr>
              <w:t xml:space="preserve">, </w:t>
            </w:r>
            <w:r w:rsidRPr="00162DF5">
              <w:rPr>
                <w:rFonts w:asciiTheme="majorHAnsi" w:hAnsiTheme="majorHAnsi" w:cstheme="majorHAnsi"/>
                <w:i/>
                <w:iCs/>
              </w:rPr>
              <w:t>review submission</w:t>
            </w:r>
            <w:r w:rsidR="006C26D9">
              <w:rPr>
                <w:rFonts w:asciiTheme="majorHAnsi" w:hAnsiTheme="majorHAnsi" w:cstheme="majorHAnsi"/>
                <w:i/>
                <w:iCs/>
              </w:rPr>
              <w:t xml:space="preserve"> and </w:t>
            </w:r>
            <w:r w:rsidR="006C26D9" w:rsidRPr="006C26D9">
              <w:rPr>
                <w:rFonts w:asciiTheme="majorHAnsi" w:hAnsiTheme="majorHAnsi" w:cstheme="majorHAnsi"/>
                <w:i/>
                <w:iCs/>
              </w:rPr>
              <w:t>other documentary eviden</w:t>
            </w:r>
            <w:r w:rsidR="006C26D9">
              <w:rPr>
                <w:rFonts w:asciiTheme="majorHAnsi" w:hAnsiTheme="majorHAnsi" w:cstheme="majorHAnsi"/>
                <w:i/>
                <w:iCs/>
              </w:rPr>
              <w:t>ce</w:t>
            </w:r>
            <w:r w:rsidRPr="00162DF5">
              <w:rPr>
                <w:rFonts w:asciiTheme="majorHAnsi" w:hAnsiTheme="majorHAnsi" w:cstheme="majorHAnsi"/>
                <w:i/>
                <w:iCs/>
              </w:rPr>
              <w:t>.</w:t>
            </w:r>
            <w:r w:rsidRPr="00162DF5">
              <w:rPr>
                <w:rFonts w:asciiTheme="majorHAnsi" w:hAnsiTheme="majorHAnsi" w:cstheme="majorHAnsi"/>
              </w:rPr>
              <w:t xml:space="preserve"> </w:t>
            </w:r>
          </w:p>
          <w:p w14:paraId="758C7FF4" w14:textId="48C83D84" w:rsidR="00162DF5" w:rsidRPr="00162DF5" w:rsidRDefault="00162DF5" w:rsidP="00162DF5">
            <w:pPr>
              <w:pStyle w:val="TableParagraph"/>
              <w:spacing w:before="120" w:after="240" w:line="259" w:lineRule="auto"/>
              <w:ind w:right="98"/>
              <w:rPr>
                <w:rFonts w:asciiTheme="majorHAnsi" w:hAnsiTheme="majorHAnsi" w:cstheme="majorHAnsi"/>
                <w:i/>
                <w:iCs/>
              </w:rPr>
            </w:pPr>
            <w:r w:rsidRPr="00162DF5">
              <w:rPr>
                <w:rFonts w:asciiTheme="majorHAnsi" w:hAnsiTheme="majorHAnsi" w:cstheme="majorHAnsi"/>
                <w:i/>
                <w:iCs/>
              </w:rPr>
              <w:t xml:space="preserve">Where the Commissioner is not satisfied with the provision of a statutory declaration or attestation, the Commissioner may issue a notice to produce the document/s under section 49KB to determine </w:t>
            </w:r>
            <w:r w:rsidRPr="00162DF5">
              <w:rPr>
                <w:rFonts w:asciiTheme="majorHAnsi" w:hAnsiTheme="majorHAnsi" w:cstheme="majorHAnsi"/>
                <w:i/>
                <w:iCs/>
              </w:rPr>
              <w:lastRenderedPageBreak/>
              <w:t>whether the documents are subject to the Act or exempt from disclosure.</w:t>
            </w:r>
          </w:p>
          <w:p w14:paraId="19B6046E" w14:textId="5662859B" w:rsidR="00162DF5" w:rsidRPr="00162DF5" w:rsidRDefault="00162DF5" w:rsidP="00162DF5">
            <w:pPr>
              <w:pStyle w:val="TableParagraph"/>
              <w:spacing w:before="120" w:after="240" w:line="259" w:lineRule="auto"/>
              <w:ind w:right="98"/>
              <w:rPr>
                <w:rFonts w:asciiTheme="majorHAnsi" w:hAnsiTheme="majorHAnsi" w:cstheme="majorHAnsi"/>
                <w:i/>
                <w:iCs/>
              </w:rPr>
            </w:pPr>
            <w:r w:rsidRPr="00162DF5">
              <w:rPr>
                <w:rFonts w:asciiTheme="majorHAnsi" w:hAnsiTheme="majorHAnsi" w:cstheme="majorHAnsi"/>
                <w:i/>
                <w:iCs/>
              </w:rPr>
              <w:t xml:space="preserve">Where the Commissioner is satisfied that the documents are not subject to the Act or are exempt, </w:t>
            </w:r>
            <w:r w:rsidR="00832036">
              <w:rPr>
                <w:rFonts w:asciiTheme="majorHAnsi" w:hAnsiTheme="majorHAnsi" w:cstheme="majorHAnsi"/>
                <w:i/>
                <w:iCs/>
              </w:rPr>
              <w:t xml:space="preserve">they </w:t>
            </w:r>
            <w:r w:rsidRPr="00162DF5">
              <w:rPr>
                <w:rFonts w:asciiTheme="majorHAnsi" w:hAnsiTheme="majorHAnsi" w:cstheme="majorHAnsi"/>
                <w:i/>
                <w:iCs/>
              </w:rPr>
              <w:t>will be returned to the agency that provided them or destroyed in accordance with OVIC’s destruction policy.</w:t>
            </w:r>
          </w:p>
          <w:p w14:paraId="27222DB7" w14:textId="663A45FF" w:rsidR="00976FDE" w:rsidRPr="00162DF5" w:rsidRDefault="00976FDE" w:rsidP="00976FDE">
            <w:pPr>
              <w:pStyle w:val="TableParagraph"/>
              <w:spacing w:before="120" w:after="240" w:line="259" w:lineRule="auto"/>
              <w:ind w:right="98"/>
              <w:rPr>
                <w:rFonts w:asciiTheme="majorHAnsi" w:hAnsiTheme="majorHAnsi" w:cstheme="majorHAnsi"/>
                <w:i/>
                <w:iCs/>
              </w:rPr>
            </w:pPr>
          </w:p>
        </w:tc>
        <w:tc>
          <w:tcPr>
            <w:tcW w:w="3678" w:type="dxa"/>
            <w:shd w:val="clear" w:color="auto" w:fill="F2F2F2" w:themeFill="background2" w:themeFillShade="F2"/>
          </w:tcPr>
          <w:p w14:paraId="2BD9386B" w14:textId="585A6C69" w:rsidR="00FC4AF2" w:rsidRPr="00873615" w:rsidRDefault="00FC4AF2" w:rsidP="00AA1439">
            <w:pPr>
              <w:pStyle w:val="TableParagraph"/>
              <w:ind w:left="27" w:right="97"/>
              <w:rPr>
                <w:rFonts w:asciiTheme="majorHAnsi" w:hAnsiTheme="majorHAnsi" w:cstheme="majorHAnsi"/>
              </w:rPr>
            </w:pPr>
            <w:r w:rsidRPr="00451DB5">
              <w:rPr>
                <w:rFonts w:asciiTheme="majorHAnsi" w:hAnsiTheme="majorHAnsi" w:cstheme="majorHAnsi"/>
              </w:rPr>
              <w:lastRenderedPageBreak/>
              <w:t xml:space="preserve">OVIC supports this recommendation. Where </w:t>
            </w:r>
            <w:r>
              <w:rPr>
                <w:rFonts w:asciiTheme="majorHAnsi" w:hAnsiTheme="majorHAnsi" w:cstheme="majorHAnsi"/>
              </w:rPr>
              <w:t>appropriate</w:t>
            </w:r>
            <w:r w:rsidRPr="00451DB5">
              <w:rPr>
                <w:rFonts w:asciiTheme="majorHAnsi" w:hAnsiTheme="majorHAnsi" w:cstheme="majorHAnsi"/>
              </w:rPr>
              <w:t>, OVIC will seek an attestation or statutory declaration from the</w:t>
            </w:r>
            <w:r w:rsidR="00162DF5">
              <w:rPr>
                <w:rFonts w:asciiTheme="majorHAnsi" w:hAnsiTheme="majorHAnsi" w:cstheme="majorHAnsi"/>
              </w:rPr>
              <w:t xml:space="preserve"> agency</w:t>
            </w:r>
            <w:r>
              <w:rPr>
                <w:rFonts w:asciiTheme="majorHAnsi" w:hAnsiTheme="majorHAnsi" w:cstheme="majorHAnsi"/>
              </w:rPr>
              <w:t xml:space="preserve"> attesting</w:t>
            </w:r>
            <w:r w:rsidRPr="00451DB5">
              <w:rPr>
                <w:rFonts w:asciiTheme="majorHAnsi" w:hAnsiTheme="majorHAnsi" w:cstheme="majorHAnsi"/>
                <w:spacing w:val="-13"/>
              </w:rPr>
              <w:t xml:space="preserve"> </w:t>
            </w:r>
            <w:r w:rsidR="00162DF5">
              <w:rPr>
                <w:rFonts w:asciiTheme="majorHAnsi" w:hAnsiTheme="majorHAnsi" w:cstheme="majorHAnsi"/>
                <w:spacing w:val="-13"/>
              </w:rPr>
              <w:t xml:space="preserve">to </w:t>
            </w:r>
            <w:r w:rsidRPr="00451DB5">
              <w:rPr>
                <w:rFonts w:asciiTheme="majorHAnsi" w:hAnsiTheme="majorHAnsi" w:cstheme="majorHAnsi"/>
              </w:rPr>
              <w:t>why</w:t>
            </w:r>
            <w:r w:rsidRPr="00451DB5">
              <w:rPr>
                <w:rFonts w:asciiTheme="majorHAnsi" w:hAnsiTheme="majorHAnsi" w:cstheme="majorHAnsi"/>
                <w:spacing w:val="-10"/>
              </w:rPr>
              <w:t xml:space="preserve"> </w:t>
            </w:r>
            <w:r w:rsidRPr="00451DB5">
              <w:rPr>
                <w:rFonts w:asciiTheme="majorHAnsi" w:hAnsiTheme="majorHAnsi" w:cstheme="majorHAnsi"/>
              </w:rPr>
              <w:t>a</w:t>
            </w:r>
            <w:r w:rsidRPr="00451DB5">
              <w:rPr>
                <w:rFonts w:asciiTheme="majorHAnsi" w:hAnsiTheme="majorHAnsi" w:cstheme="majorHAnsi"/>
                <w:spacing w:val="-10"/>
              </w:rPr>
              <w:t xml:space="preserve"> </w:t>
            </w:r>
            <w:r w:rsidRPr="00451DB5">
              <w:rPr>
                <w:rFonts w:asciiTheme="majorHAnsi" w:hAnsiTheme="majorHAnsi" w:cstheme="majorHAnsi"/>
              </w:rPr>
              <w:t>document</w:t>
            </w:r>
            <w:r w:rsidRPr="00451DB5">
              <w:rPr>
                <w:rFonts w:asciiTheme="majorHAnsi" w:hAnsiTheme="majorHAnsi" w:cstheme="majorHAnsi"/>
                <w:spacing w:val="-9"/>
              </w:rPr>
              <w:t xml:space="preserve"> </w:t>
            </w:r>
            <w:r w:rsidRPr="00451DB5">
              <w:rPr>
                <w:rFonts w:asciiTheme="majorHAnsi" w:hAnsiTheme="majorHAnsi" w:cstheme="majorHAnsi"/>
              </w:rPr>
              <w:t>is</w:t>
            </w:r>
            <w:r w:rsidRPr="00451DB5">
              <w:rPr>
                <w:rFonts w:asciiTheme="majorHAnsi" w:hAnsiTheme="majorHAnsi" w:cstheme="majorHAnsi"/>
                <w:spacing w:val="-9"/>
              </w:rPr>
              <w:t xml:space="preserve"> </w:t>
            </w:r>
            <w:r w:rsidRPr="00451DB5">
              <w:rPr>
                <w:rFonts w:asciiTheme="majorHAnsi" w:hAnsiTheme="majorHAnsi" w:cstheme="majorHAnsi"/>
              </w:rPr>
              <w:t>not subject to the</w:t>
            </w:r>
            <w:r w:rsidR="00B02560">
              <w:rPr>
                <w:rFonts w:asciiTheme="majorHAnsi" w:hAnsiTheme="majorHAnsi" w:cstheme="majorHAnsi"/>
              </w:rPr>
              <w:t xml:space="preserve"> </w:t>
            </w:r>
            <w:r w:rsidRPr="00451DB5">
              <w:rPr>
                <w:rFonts w:asciiTheme="majorHAnsi" w:hAnsiTheme="majorHAnsi" w:cstheme="majorHAnsi"/>
              </w:rPr>
              <w:t>Act</w:t>
            </w:r>
            <w:r w:rsidR="00347186">
              <w:rPr>
                <w:rFonts w:asciiTheme="majorHAnsi" w:hAnsiTheme="majorHAnsi" w:cstheme="majorHAnsi"/>
              </w:rPr>
              <w:t xml:space="preserve"> or exempt from disclosure</w:t>
            </w:r>
            <w:r w:rsidRPr="00451DB5">
              <w:rPr>
                <w:rFonts w:asciiTheme="majorHAnsi" w:hAnsiTheme="majorHAnsi" w:cstheme="majorHAnsi"/>
              </w:rPr>
              <w:t xml:space="preserve">. In </w:t>
            </w:r>
            <w:r>
              <w:rPr>
                <w:rFonts w:asciiTheme="majorHAnsi" w:hAnsiTheme="majorHAnsi" w:cstheme="majorHAnsi"/>
              </w:rPr>
              <w:t>certain</w:t>
            </w:r>
            <w:r w:rsidRPr="00451DB5">
              <w:rPr>
                <w:rFonts w:asciiTheme="majorHAnsi" w:hAnsiTheme="majorHAnsi" w:cstheme="majorHAnsi"/>
              </w:rPr>
              <w:t xml:space="preserve"> circumstances, OVIC may </w:t>
            </w:r>
            <w:r w:rsidR="00162DF5">
              <w:rPr>
                <w:rFonts w:asciiTheme="majorHAnsi" w:hAnsiTheme="majorHAnsi" w:cstheme="majorHAnsi"/>
              </w:rPr>
              <w:t>issue a notice to produce</w:t>
            </w:r>
            <w:r w:rsidR="0042628F">
              <w:rPr>
                <w:rFonts w:asciiTheme="majorHAnsi" w:hAnsiTheme="majorHAnsi" w:cstheme="majorHAnsi"/>
              </w:rPr>
              <w:t xml:space="preserve"> a document</w:t>
            </w:r>
            <w:r w:rsidR="00162DF5">
              <w:rPr>
                <w:rFonts w:asciiTheme="majorHAnsi" w:hAnsiTheme="majorHAnsi" w:cstheme="majorHAnsi"/>
              </w:rPr>
              <w:t xml:space="preserve"> under s49KB</w:t>
            </w:r>
            <w:r w:rsidR="0042628F">
              <w:rPr>
                <w:rFonts w:asciiTheme="majorHAnsi" w:hAnsiTheme="majorHAnsi" w:cstheme="majorHAnsi"/>
              </w:rPr>
              <w:t xml:space="preserve"> to </w:t>
            </w:r>
            <w:r w:rsidRPr="00451DB5">
              <w:rPr>
                <w:rFonts w:asciiTheme="majorHAnsi" w:hAnsiTheme="majorHAnsi" w:cstheme="majorHAnsi"/>
              </w:rPr>
              <w:t>determine whether the documents are subject to the Act or exempt from disclosure.</w:t>
            </w:r>
            <w:r>
              <w:rPr>
                <w:rFonts w:asciiTheme="majorHAnsi" w:hAnsiTheme="majorHAnsi" w:cstheme="majorHAnsi"/>
              </w:rPr>
              <w:t xml:space="preserve"> </w:t>
            </w:r>
          </w:p>
          <w:p w14:paraId="654096DA" w14:textId="7063484A" w:rsidR="00FC4AF2" w:rsidRDefault="00FC4AF2" w:rsidP="00C7423C"/>
        </w:tc>
      </w:tr>
      <w:tr w:rsidR="00FC4AF2" w14:paraId="1A31AFA8" w14:textId="77777777" w:rsidTr="00AE24DE">
        <w:tc>
          <w:tcPr>
            <w:tcW w:w="1271" w:type="dxa"/>
            <w:shd w:val="clear" w:color="auto" w:fill="F2F2F2" w:themeFill="background2" w:themeFillShade="F2"/>
          </w:tcPr>
          <w:p w14:paraId="6A8E71E3" w14:textId="6AB38D3A" w:rsidR="00FC4AF2" w:rsidRDefault="00FC4AF2" w:rsidP="00C7423C">
            <w:r>
              <w:t>10.6</w:t>
            </w:r>
          </w:p>
        </w:tc>
        <w:tc>
          <w:tcPr>
            <w:tcW w:w="4820" w:type="dxa"/>
            <w:shd w:val="clear" w:color="auto" w:fill="F2F2F2" w:themeFill="background2" w:themeFillShade="F2"/>
          </w:tcPr>
          <w:p w14:paraId="57E18224" w14:textId="19CFF0B5" w:rsidR="00A77AB4" w:rsidRDefault="00976FDE" w:rsidP="00976FDE">
            <w:pPr>
              <w:pStyle w:val="TableParagraph"/>
              <w:spacing w:before="120" w:after="240" w:line="259" w:lineRule="auto"/>
              <w:ind w:right="98"/>
              <w:rPr>
                <w:rStyle w:val="Hyperlink"/>
                <w:rFonts w:asciiTheme="majorHAnsi" w:hAnsiTheme="majorHAnsi" w:cstheme="majorHAnsi"/>
                <w:u w:val="none"/>
              </w:rPr>
            </w:pPr>
            <w:r>
              <w:rPr>
                <w:rFonts w:asciiTheme="majorHAnsi" w:hAnsiTheme="majorHAnsi" w:cstheme="majorHAnsi"/>
              </w:rPr>
              <w:t>Where the Commissioner</w:t>
            </w:r>
            <w:r w:rsidR="00A072F3">
              <w:rPr>
                <w:rFonts w:asciiTheme="majorHAnsi" w:hAnsiTheme="majorHAnsi" w:cstheme="majorHAnsi"/>
              </w:rPr>
              <w:t xml:space="preserve"> requests</w:t>
            </w:r>
            <w:r>
              <w:rPr>
                <w:rFonts w:asciiTheme="majorHAnsi" w:hAnsiTheme="majorHAnsi" w:cstheme="majorHAnsi"/>
              </w:rPr>
              <w:t xml:space="preserve"> an agency to complete </w:t>
            </w:r>
            <w:r w:rsidRPr="00F2539F">
              <w:rPr>
                <w:rFonts w:asciiTheme="majorHAnsi" w:hAnsiTheme="majorHAnsi" w:cstheme="majorHAnsi"/>
              </w:rPr>
              <w:t>the FOI Self-Assessment Tool</w:t>
            </w:r>
            <w:r>
              <w:rPr>
                <w:rFonts w:asciiTheme="majorHAnsi" w:hAnsiTheme="majorHAnsi" w:cstheme="majorHAnsi"/>
              </w:rPr>
              <w:t xml:space="preserve">, the agency must comply with the request and </w:t>
            </w:r>
            <w:r w:rsidRPr="00F2539F">
              <w:rPr>
                <w:rFonts w:asciiTheme="majorHAnsi" w:hAnsiTheme="majorHAnsi" w:cstheme="majorHAnsi"/>
              </w:rPr>
              <w:t>provide its results</w:t>
            </w:r>
            <w:r w:rsidR="00A77AB4">
              <w:rPr>
                <w:rFonts w:asciiTheme="majorHAnsi" w:hAnsiTheme="majorHAnsi" w:cstheme="majorHAnsi"/>
              </w:rPr>
              <w:t xml:space="preserve">, including the </w:t>
            </w:r>
            <w:r w:rsidR="00522DBD">
              <w:rPr>
                <w:rFonts w:asciiTheme="majorHAnsi" w:hAnsiTheme="majorHAnsi" w:cstheme="majorHAnsi"/>
              </w:rPr>
              <w:t>p</w:t>
            </w:r>
            <w:r w:rsidR="00A77AB4">
              <w:rPr>
                <w:rFonts w:asciiTheme="majorHAnsi" w:hAnsiTheme="majorHAnsi" w:cstheme="majorHAnsi"/>
              </w:rPr>
              <w:t xml:space="preserve">rincipal </w:t>
            </w:r>
            <w:r w:rsidR="00522DBD">
              <w:rPr>
                <w:rFonts w:asciiTheme="majorHAnsi" w:hAnsiTheme="majorHAnsi" w:cstheme="majorHAnsi"/>
              </w:rPr>
              <w:t>o</w:t>
            </w:r>
            <w:r w:rsidR="00A77AB4">
              <w:rPr>
                <w:rFonts w:asciiTheme="majorHAnsi" w:hAnsiTheme="majorHAnsi" w:cstheme="majorHAnsi"/>
              </w:rPr>
              <w:t>fficer’s endorsement,</w:t>
            </w:r>
            <w:r w:rsidRPr="00F2539F">
              <w:rPr>
                <w:rFonts w:asciiTheme="majorHAnsi" w:hAnsiTheme="majorHAnsi" w:cstheme="majorHAnsi"/>
              </w:rPr>
              <w:t xml:space="preserve"> to OVIC</w:t>
            </w:r>
            <w:r>
              <w:rPr>
                <w:rFonts w:asciiTheme="majorHAnsi" w:hAnsiTheme="majorHAnsi" w:cstheme="majorHAnsi"/>
              </w:rPr>
              <w:t xml:space="preserve"> by email to </w:t>
            </w:r>
            <w:hyperlink r:id="rId29" w:history="1">
              <w:r w:rsidRPr="00C11F54">
                <w:rPr>
                  <w:rStyle w:val="Hyperlink"/>
                  <w:rFonts w:asciiTheme="majorHAnsi" w:hAnsiTheme="majorHAnsi" w:cstheme="majorHAnsi"/>
                </w:rPr>
                <w:t>enquiries@ovic.vic.gov.au</w:t>
              </w:r>
            </w:hyperlink>
            <w:r w:rsidRPr="00976FDE">
              <w:rPr>
                <w:rStyle w:val="Hyperlink"/>
                <w:rFonts w:asciiTheme="majorHAnsi" w:hAnsiTheme="majorHAnsi" w:cstheme="majorHAnsi"/>
                <w:u w:val="none"/>
              </w:rPr>
              <w:t xml:space="preserve"> within 28 days</w:t>
            </w:r>
            <w:r w:rsidR="00A072F3">
              <w:rPr>
                <w:rStyle w:val="Hyperlink"/>
                <w:rFonts w:asciiTheme="majorHAnsi" w:hAnsiTheme="majorHAnsi" w:cstheme="majorHAnsi"/>
                <w:u w:val="none"/>
              </w:rPr>
              <w:t xml:space="preserve"> of such request</w:t>
            </w:r>
            <w:r w:rsidRPr="00976FDE">
              <w:rPr>
                <w:rStyle w:val="Hyperlink"/>
                <w:rFonts w:asciiTheme="majorHAnsi" w:hAnsiTheme="majorHAnsi" w:cstheme="majorHAnsi"/>
                <w:u w:val="none"/>
              </w:rPr>
              <w:t>.</w:t>
            </w:r>
            <w:r w:rsidR="00A77AB4">
              <w:rPr>
                <w:rStyle w:val="Hyperlink"/>
                <w:rFonts w:asciiTheme="majorHAnsi" w:hAnsiTheme="majorHAnsi" w:cstheme="majorHAnsi"/>
                <w:u w:val="none"/>
              </w:rPr>
              <w:t xml:space="preserve"> </w:t>
            </w:r>
          </w:p>
          <w:p w14:paraId="13B8711B" w14:textId="75572079" w:rsidR="00FC4AF2" w:rsidRPr="00D85E42" w:rsidRDefault="00A77AB4" w:rsidP="006C0063">
            <w:pPr>
              <w:pStyle w:val="TableParagraph"/>
              <w:spacing w:before="120" w:after="240" w:line="259" w:lineRule="auto"/>
              <w:ind w:right="98"/>
              <w:rPr>
                <w:i/>
                <w:iCs/>
              </w:rPr>
            </w:pPr>
            <w:r w:rsidRPr="00A77AB4">
              <w:rPr>
                <w:rStyle w:val="Hyperlink"/>
                <w:rFonts w:asciiTheme="majorHAnsi" w:hAnsiTheme="majorHAnsi" w:cstheme="majorHAnsi"/>
                <w:i/>
                <w:iCs/>
                <w:u w:val="none"/>
              </w:rPr>
              <w:t xml:space="preserve">Note: the agency’s </w:t>
            </w:r>
            <w:r w:rsidR="00522DBD">
              <w:rPr>
                <w:rStyle w:val="Hyperlink"/>
                <w:rFonts w:asciiTheme="majorHAnsi" w:hAnsiTheme="majorHAnsi" w:cstheme="majorHAnsi"/>
                <w:i/>
                <w:iCs/>
                <w:u w:val="none"/>
              </w:rPr>
              <w:t>p</w:t>
            </w:r>
            <w:r w:rsidRPr="00A77AB4">
              <w:rPr>
                <w:rStyle w:val="Hyperlink"/>
                <w:rFonts w:asciiTheme="majorHAnsi" w:hAnsiTheme="majorHAnsi" w:cstheme="majorHAnsi"/>
                <w:i/>
                <w:iCs/>
                <w:u w:val="none"/>
              </w:rPr>
              <w:t xml:space="preserve">rincipal </w:t>
            </w:r>
            <w:r w:rsidR="00522DBD">
              <w:rPr>
                <w:rStyle w:val="Hyperlink"/>
                <w:rFonts w:asciiTheme="majorHAnsi" w:hAnsiTheme="majorHAnsi" w:cstheme="majorHAnsi"/>
                <w:i/>
                <w:iCs/>
                <w:u w:val="none"/>
              </w:rPr>
              <w:t>o</w:t>
            </w:r>
            <w:r w:rsidRPr="00A77AB4">
              <w:rPr>
                <w:rStyle w:val="Hyperlink"/>
                <w:rFonts w:asciiTheme="majorHAnsi" w:hAnsiTheme="majorHAnsi" w:cstheme="majorHAnsi"/>
                <w:i/>
                <w:iCs/>
                <w:u w:val="none"/>
              </w:rPr>
              <w:t xml:space="preserve">fficer must complete the endorsement section in </w:t>
            </w:r>
            <w:r w:rsidRPr="00A77AB4">
              <w:rPr>
                <w:rFonts w:asciiTheme="majorHAnsi" w:hAnsiTheme="majorHAnsi" w:cstheme="majorHAnsi"/>
                <w:i/>
                <w:iCs/>
              </w:rPr>
              <w:t>FOI Self-Assessment Tool prior to the results being provided to OVIC.</w:t>
            </w:r>
          </w:p>
        </w:tc>
        <w:tc>
          <w:tcPr>
            <w:tcW w:w="3678" w:type="dxa"/>
            <w:shd w:val="clear" w:color="auto" w:fill="F2F2F2" w:themeFill="background2" w:themeFillShade="F2"/>
          </w:tcPr>
          <w:p w14:paraId="617D2CEF" w14:textId="774016E5" w:rsidR="00FC4AF2" w:rsidRPr="00FA5819" w:rsidRDefault="00CB1F6C" w:rsidP="00AA1439">
            <w:pPr>
              <w:pStyle w:val="TableParagraph"/>
              <w:tabs>
                <w:tab w:val="left" w:pos="430"/>
              </w:tabs>
              <w:ind w:left="27" w:right="97"/>
              <w:rPr>
                <w:rFonts w:asciiTheme="majorHAnsi" w:hAnsiTheme="majorHAnsi" w:cstheme="majorHAnsi"/>
              </w:rPr>
            </w:pPr>
            <w:r w:rsidRPr="00451DB5">
              <w:rPr>
                <w:rFonts w:asciiTheme="majorHAnsi" w:hAnsiTheme="majorHAnsi" w:cstheme="majorHAnsi"/>
              </w:rPr>
              <w:t xml:space="preserve">OVIC considers </w:t>
            </w:r>
            <w:r>
              <w:rPr>
                <w:rFonts w:asciiTheme="majorHAnsi" w:hAnsiTheme="majorHAnsi" w:cstheme="majorHAnsi"/>
              </w:rPr>
              <w:t xml:space="preserve">it is reasonable to </w:t>
            </w:r>
            <w:r w:rsidRPr="00451DB5">
              <w:rPr>
                <w:rFonts w:asciiTheme="majorHAnsi" w:hAnsiTheme="majorHAnsi" w:cstheme="majorHAnsi"/>
              </w:rPr>
              <w:t>requir</w:t>
            </w:r>
            <w:r>
              <w:rPr>
                <w:rFonts w:asciiTheme="majorHAnsi" w:hAnsiTheme="majorHAnsi" w:cstheme="majorHAnsi"/>
              </w:rPr>
              <w:t>e</w:t>
            </w:r>
            <w:r w:rsidRPr="00451DB5">
              <w:rPr>
                <w:rFonts w:asciiTheme="majorHAnsi" w:hAnsiTheme="majorHAnsi" w:cstheme="majorHAnsi"/>
              </w:rPr>
              <w:t xml:space="preserve"> an agency to complete</w:t>
            </w:r>
            <w:r>
              <w:rPr>
                <w:rFonts w:asciiTheme="majorHAnsi" w:hAnsiTheme="majorHAnsi" w:cstheme="majorHAnsi"/>
              </w:rPr>
              <w:t xml:space="preserve"> the FOI</w:t>
            </w:r>
            <w:r w:rsidRPr="00451DB5">
              <w:rPr>
                <w:rFonts w:asciiTheme="majorHAnsi" w:hAnsiTheme="majorHAnsi" w:cstheme="majorHAnsi"/>
              </w:rPr>
              <w:t xml:space="preserve"> </w:t>
            </w:r>
            <w:r>
              <w:rPr>
                <w:rFonts w:asciiTheme="majorHAnsi" w:hAnsiTheme="majorHAnsi" w:cstheme="majorHAnsi"/>
              </w:rPr>
              <w:t>S</w:t>
            </w:r>
            <w:r w:rsidRPr="00451DB5">
              <w:rPr>
                <w:rFonts w:asciiTheme="majorHAnsi" w:hAnsiTheme="majorHAnsi" w:cstheme="majorHAnsi"/>
              </w:rPr>
              <w:t>elf-</w:t>
            </w:r>
            <w:r w:rsidR="00496431">
              <w:rPr>
                <w:rFonts w:asciiTheme="majorHAnsi" w:hAnsiTheme="majorHAnsi" w:cstheme="majorHAnsi"/>
              </w:rPr>
              <w:t>A</w:t>
            </w:r>
            <w:r w:rsidRPr="00451DB5">
              <w:rPr>
                <w:rFonts w:asciiTheme="majorHAnsi" w:hAnsiTheme="majorHAnsi" w:cstheme="majorHAnsi"/>
              </w:rPr>
              <w:t>ssessment</w:t>
            </w:r>
            <w:r>
              <w:rPr>
                <w:rFonts w:asciiTheme="majorHAnsi" w:hAnsiTheme="majorHAnsi" w:cstheme="majorHAnsi"/>
              </w:rPr>
              <w:t xml:space="preserve"> tool</w:t>
            </w:r>
            <w:r w:rsidRPr="00451DB5">
              <w:rPr>
                <w:rFonts w:asciiTheme="majorHAnsi" w:hAnsiTheme="majorHAnsi" w:cstheme="majorHAnsi"/>
              </w:rPr>
              <w:t xml:space="preserve"> </w:t>
            </w:r>
            <w:r w:rsidR="00A072F3">
              <w:rPr>
                <w:rFonts w:asciiTheme="majorHAnsi" w:hAnsiTheme="majorHAnsi" w:cstheme="majorHAnsi"/>
              </w:rPr>
              <w:t>within 28 upon a request from the  Commissioner</w:t>
            </w:r>
            <w:r w:rsidR="00314CF4">
              <w:rPr>
                <w:rFonts w:asciiTheme="majorHAnsi" w:hAnsiTheme="majorHAnsi" w:cstheme="majorHAnsi"/>
              </w:rPr>
              <w:t>.</w:t>
            </w:r>
            <w:r w:rsidR="00A072F3">
              <w:rPr>
                <w:rFonts w:asciiTheme="majorHAnsi" w:hAnsiTheme="majorHAnsi" w:cstheme="majorHAnsi"/>
              </w:rPr>
              <w:t xml:space="preserve"> </w:t>
            </w:r>
            <w:r>
              <w:rPr>
                <w:rFonts w:asciiTheme="majorHAnsi" w:hAnsiTheme="majorHAnsi" w:cstheme="majorHAnsi"/>
              </w:rPr>
              <w:t>This will improve OVIC’s ability to monitor an agency</w:t>
            </w:r>
            <w:r w:rsidR="000240BE">
              <w:rPr>
                <w:rFonts w:asciiTheme="majorHAnsi" w:hAnsiTheme="majorHAnsi" w:cstheme="majorHAnsi"/>
              </w:rPr>
              <w:t>’s</w:t>
            </w:r>
            <w:r>
              <w:rPr>
                <w:rFonts w:asciiTheme="majorHAnsi" w:hAnsiTheme="majorHAnsi" w:cstheme="majorHAnsi"/>
              </w:rPr>
              <w:t xml:space="preserve"> practices and compliance with the Standards. This will </w:t>
            </w:r>
            <w:r w:rsidR="00A072F3">
              <w:rPr>
                <w:rFonts w:asciiTheme="majorHAnsi" w:hAnsiTheme="majorHAnsi" w:cstheme="majorHAnsi"/>
              </w:rPr>
              <w:t xml:space="preserve">also </w:t>
            </w:r>
            <w:r>
              <w:rPr>
                <w:rFonts w:asciiTheme="majorHAnsi" w:hAnsiTheme="majorHAnsi" w:cstheme="majorHAnsi"/>
              </w:rPr>
              <w:t xml:space="preserve">assist OVIC in identifying systemic and substantial </w:t>
            </w:r>
            <w:r w:rsidR="006C26D9">
              <w:rPr>
                <w:rFonts w:asciiTheme="majorHAnsi" w:hAnsiTheme="majorHAnsi" w:cstheme="majorHAnsi"/>
              </w:rPr>
              <w:t>non-compliance</w:t>
            </w:r>
            <w:r>
              <w:rPr>
                <w:rFonts w:asciiTheme="majorHAnsi" w:hAnsiTheme="majorHAnsi" w:cstheme="majorHAnsi"/>
              </w:rPr>
              <w:t xml:space="preserve"> and to meaningfully engage with the agency to improve its statutory compliance. </w:t>
            </w:r>
          </w:p>
        </w:tc>
      </w:tr>
    </w:tbl>
    <w:p w14:paraId="62D246CB" w14:textId="77777777" w:rsidR="006C5BA9" w:rsidRDefault="006C5BA9" w:rsidP="006C5BA9">
      <w:pPr>
        <w:ind w:left="720"/>
      </w:pPr>
    </w:p>
    <w:p w14:paraId="77335864" w14:textId="77777777" w:rsidR="006C5BA9" w:rsidRDefault="006C5BA9" w:rsidP="006C5BA9">
      <w:pPr>
        <w:ind w:left="720"/>
      </w:pPr>
    </w:p>
    <w:sectPr w:rsidR="006C5BA9" w:rsidSect="00CB00AD">
      <w:headerReference w:type="default" r:id="rId30"/>
      <w:footerReference w:type="default" r:id="rId31"/>
      <w:headerReference w:type="first" r:id="rId32"/>
      <w:footerReference w:type="first" r:id="rId33"/>
      <w:pgSz w:w="11906" w:h="16838" w:code="9"/>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371A" w14:textId="77777777" w:rsidR="00925CF2" w:rsidRDefault="00925CF2" w:rsidP="00C37A29">
      <w:pPr>
        <w:spacing w:after="0"/>
      </w:pPr>
      <w:r>
        <w:separator/>
      </w:r>
    </w:p>
    <w:p w14:paraId="067ED8DC" w14:textId="77777777" w:rsidR="00925CF2" w:rsidRDefault="00925CF2"/>
  </w:endnote>
  <w:endnote w:type="continuationSeparator" w:id="0">
    <w:p w14:paraId="288C7895" w14:textId="77777777" w:rsidR="00925CF2" w:rsidRDefault="00925CF2" w:rsidP="00C37A29">
      <w:pPr>
        <w:spacing w:after="0"/>
      </w:pPr>
      <w:r>
        <w:continuationSeparator/>
      </w:r>
    </w:p>
    <w:p w14:paraId="2FFAB9C2" w14:textId="77777777" w:rsidR="00925CF2" w:rsidRDefault="00925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ational-Book">
    <w:altName w:val="Times New Roman"/>
    <w:panose1 w:val="02000503000000020004"/>
    <w:charset w:val="00"/>
    <w:family w:val="auto"/>
    <w:pitch w:val="variable"/>
    <w:sig w:usb0="00000001"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16DE33A1" w14:textId="77777777" w:rsidTr="00B10776">
      <w:tc>
        <w:tcPr>
          <w:tcW w:w="3261" w:type="dxa"/>
          <w:vAlign w:val="center"/>
        </w:tcPr>
        <w:p w14:paraId="5FE24778" w14:textId="0D4F40F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06DCA5FB" w14:textId="4496729C"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EB38C2">
                <w:rPr>
                  <w:b w:val="0"/>
                  <w:bCs/>
                </w:rPr>
                <w:t>Draft Professional Standards</w:t>
              </w:r>
            </w:sdtContent>
          </w:sdt>
          <w:r w:rsidR="00ED59AB" w:rsidRPr="00ED59AB">
            <w:rPr>
              <w:b w:val="0"/>
              <w:bCs/>
            </w:rPr>
            <w:t xml:space="preserve"> </w:t>
          </w:r>
        </w:p>
      </w:tc>
      <w:tc>
        <w:tcPr>
          <w:tcW w:w="2831" w:type="dxa"/>
          <w:vAlign w:val="center"/>
        </w:tcPr>
        <w:p w14:paraId="59D84A6D" w14:textId="77777777" w:rsidR="00AC3934" w:rsidRPr="00E55CAE" w:rsidRDefault="00AC3934" w:rsidP="00AC3934">
          <w:pPr>
            <w:pStyle w:val="FooterToggle"/>
            <w:spacing w:line="259" w:lineRule="auto"/>
            <w:rPr>
              <w:b w:val="0"/>
              <w:bCs/>
            </w:rPr>
          </w:pPr>
          <w:r w:rsidRPr="00E55CAE">
            <w:rPr>
              <w:b w:val="0"/>
              <w:bCs/>
            </w:rPr>
            <w:t>Disclaimer</w:t>
          </w:r>
        </w:p>
        <w:p w14:paraId="59AC12EF"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395F44C6"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24"/>
        <w:szCs w:val="2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value="Toggled off"/>
      </w:comboBox>
    </w:sdtPr>
    <w:sdtContent>
      <w:p w14:paraId="656F56D7" w14:textId="3155CCB4" w:rsidR="003B4D30" w:rsidRPr="003B4D30" w:rsidRDefault="003716BF" w:rsidP="003B4D30">
        <w:pPr>
          <w:pStyle w:val="ProtectiveMarking"/>
          <w:framePr w:wrap="around" w:y="16036"/>
          <w:spacing w:before="0" w:after="0"/>
          <w:rPr>
            <w:caps w:val="0"/>
            <w:sz w:val="44"/>
            <w:szCs w:val="44"/>
          </w:rPr>
        </w:pPr>
        <w:r>
          <w:rPr>
            <w:caps w:val="0"/>
            <w:sz w:val="24"/>
            <w:szCs w:val="24"/>
          </w:rPr>
          <w:t>OFFICIAL</w:t>
        </w:r>
      </w:p>
    </w:sdtContent>
  </w:sdt>
  <w:p w14:paraId="7B636E83"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69177801" w14:textId="77777777" w:rsidTr="00B10776">
      <w:tc>
        <w:tcPr>
          <w:tcW w:w="3261" w:type="dxa"/>
          <w:vAlign w:val="center"/>
        </w:tcPr>
        <w:p w14:paraId="3911F247" w14:textId="598AD93E" w:rsidR="00AC3934" w:rsidRDefault="00AC3934" w:rsidP="00AC3934">
          <w:pPr>
            <w:pStyle w:val="FooterToggle"/>
            <w:rPr>
              <w:b w:val="0"/>
              <w:bCs/>
            </w:rPr>
          </w:pPr>
          <w:r w:rsidRPr="00E55CAE">
            <w:rPr>
              <w:b w:val="0"/>
              <w:bCs/>
            </w:rPr>
            <w:t xml:space="preserve">CM: </w:t>
          </w:r>
          <w:r w:rsidR="00861C68">
            <w:rPr>
              <w:b w:val="0"/>
              <w:bCs/>
            </w:rPr>
            <w:t>D24/8107</w:t>
          </w:r>
        </w:p>
        <w:sdt>
          <w:sdtPr>
            <w:rPr>
              <w:bCs/>
              <w:color w:val="430098" w:themeColor="text2"/>
              <w:sz w:val="16"/>
              <w:szCs w:val="16"/>
            </w:rPr>
            <w:alias w:val="Publish Date"/>
            <w:tag w:val=""/>
            <w:id w:val="1846202098"/>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Content>
            <w:p w14:paraId="008864A4" w14:textId="150A3813" w:rsidR="00AC3934" w:rsidRPr="00E55CAE" w:rsidRDefault="00861C68" w:rsidP="00AC3934">
              <w:pPr>
                <w:spacing w:before="0" w:after="0"/>
                <w:rPr>
                  <w:bCs/>
                  <w:color w:val="430098" w:themeColor="text2"/>
                  <w:sz w:val="16"/>
                  <w:szCs w:val="16"/>
                </w:rPr>
              </w:pPr>
              <w:r>
                <w:rPr>
                  <w:bCs/>
                  <w:color w:val="430098" w:themeColor="text2"/>
                  <w:sz w:val="16"/>
                  <w:szCs w:val="16"/>
                </w:rPr>
                <w:t xml:space="preserve">     </w:t>
              </w:r>
            </w:p>
          </w:sdtContent>
        </w:sdt>
        <w:p w14:paraId="0B8988B3"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364DF972" w14:textId="77777777" w:rsidR="00AC3934" w:rsidRPr="00E55CAE" w:rsidRDefault="00AC3934" w:rsidP="00AC3934">
          <w:pPr>
            <w:pStyle w:val="FooterToggle"/>
            <w:spacing w:line="259" w:lineRule="auto"/>
            <w:rPr>
              <w:b w:val="0"/>
              <w:bCs/>
            </w:rPr>
          </w:pPr>
          <w:r w:rsidRPr="00E55CAE">
            <w:rPr>
              <w:b w:val="0"/>
              <w:bCs/>
            </w:rPr>
            <w:t>Disclaimer</w:t>
          </w:r>
        </w:p>
        <w:p w14:paraId="68675527"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5F3AAD4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24"/>
        <w:szCs w:val="2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value="Toggled off"/>
      </w:comboBox>
    </w:sdtPr>
    <w:sdtContent>
      <w:p w14:paraId="4463A311" w14:textId="0C5D1197" w:rsidR="003B4D30" w:rsidRPr="003B4D30" w:rsidRDefault="003716BF" w:rsidP="003B4D30">
        <w:pPr>
          <w:pStyle w:val="ProtectiveMarking"/>
          <w:framePr w:wrap="around" w:y="16036"/>
          <w:spacing w:before="0" w:after="0"/>
          <w:rPr>
            <w:caps w:val="0"/>
            <w:sz w:val="44"/>
            <w:szCs w:val="44"/>
          </w:rPr>
        </w:pPr>
        <w:r w:rsidRPr="003716BF">
          <w:rPr>
            <w:caps w:val="0"/>
            <w:sz w:val="24"/>
            <w:szCs w:val="24"/>
          </w:rPr>
          <w:t>OFFICIAL</w:t>
        </w:r>
      </w:p>
    </w:sdtContent>
  </w:sdt>
  <w:p w14:paraId="3D73A1D0"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50F9" w14:textId="77777777" w:rsidR="00925CF2" w:rsidRDefault="00925CF2" w:rsidP="004C5DAA">
      <w:pPr>
        <w:spacing w:after="120"/>
      </w:pPr>
      <w:r>
        <w:separator/>
      </w:r>
    </w:p>
  </w:footnote>
  <w:footnote w:type="continuationSeparator" w:id="0">
    <w:p w14:paraId="3C95F497" w14:textId="77777777" w:rsidR="00925CF2" w:rsidRDefault="00925CF2" w:rsidP="00C37A29">
      <w:pPr>
        <w:spacing w:after="0"/>
      </w:pPr>
      <w:r>
        <w:continuationSeparator/>
      </w:r>
    </w:p>
    <w:p w14:paraId="5FD50870" w14:textId="77777777" w:rsidR="00925CF2" w:rsidRDefault="00925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24"/>
        <w:szCs w:val="2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value="Toggled off"/>
      </w:comboBox>
    </w:sdtPr>
    <w:sdtContent>
      <w:p w14:paraId="06F15188" w14:textId="39E1228D" w:rsidR="003B4D30" w:rsidRPr="003B4D30" w:rsidRDefault="003716BF" w:rsidP="003B4D30">
        <w:pPr>
          <w:pStyle w:val="ProtectiveMarking"/>
          <w:framePr w:wrap="around"/>
          <w:spacing w:before="0" w:after="0"/>
          <w:rPr>
            <w:caps w:val="0"/>
            <w:sz w:val="44"/>
            <w:szCs w:val="44"/>
          </w:rPr>
        </w:pPr>
        <w:r w:rsidRPr="003716BF">
          <w:rPr>
            <w:caps w:val="0"/>
            <w:sz w:val="24"/>
            <w:szCs w:val="24"/>
          </w:rPr>
          <w:t>OFFICIAL</w:t>
        </w:r>
      </w:p>
    </w:sdtContent>
  </w:sdt>
  <w:p w14:paraId="72D192D0"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24"/>
        <w:szCs w:val="2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value="Toggled off"/>
      </w:comboBox>
    </w:sdtPr>
    <w:sdtContent>
      <w:p w14:paraId="289ABF6C" w14:textId="40CE6CC5" w:rsidR="00CA06C6" w:rsidRPr="003B4D30" w:rsidRDefault="000675B5" w:rsidP="00CA06C6">
        <w:pPr>
          <w:pStyle w:val="ProtectiveMarking"/>
          <w:framePr w:wrap="around"/>
          <w:spacing w:before="0" w:after="0"/>
          <w:rPr>
            <w:caps w:val="0"/>
            <w:sz w:val="44"/>
            <w:szCs w:val="44"/>
          </w:rPr>
        </w:pPr>
        <w:r w:rsidRPr="000675B5">
          <w:rPr>
            <w:caps w:val="0"/>
            <w:sz w:val="24"/>
            <w:szCs w:val="24"/>
          </w:rPr>
          <w:t>OFFICIAL</w:t>
        </w:r>
      </w:p>
    </w:sdtContent>
  </w:sdt>
  <w:p w14:paraId="53AE6DCC" w14:textId="77777777" w:rsidR="009A1E02" w:rsidRDefault="001C0D28">
    <w:pPr>
      <w:pStyle w:val="Header"/>
    </w:pPr>
    <w:r>
      <w:rPr>
        <w:noProof/>
      </w:rPr>
      <w:drawing>
        <wp:anchor distT="4320540" distB="107950" distL="114300" distR="114300" simplePos="0" relativeHeight="251674624" behindDoc="0" locked="1" layoutInCell="1" allowOverlap="1" wp14:anchorId="497A79A8" wp14:editId="11D9FB1B">
          <wp:simplePos x="0" y="0"/>
          <wp:positionH relativeFrom="margin">
            <wp:posOffset>-16510</wp:posOffset>
          </wp:positionH>
          <wp:positionV relativeFrom="page">
            <wp:posOffset>382270</wp:posOffset>
          </wp:positionV>
          <wp:extent cx="1471930" cy="647700"/>
          <wp:effectExtent l="0" t="0" r="0" b="0"/>
          <wp:wrapTopAndBottom/>
          <wp:docPr id="15474986" name="Graphic 1547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159B"/>
    <w:multiLevelType w:val="hybridMultilevel"/>
    <w:tmpl w:val="758E376A"/>
    <w:lvl w:ilvl="0" w:tplc="0C09000F">
      <w:start w:val="1"/>
      <w:numFmt w:val="decimal"/>
      <w:lvlText w:val="%1."/>
      <w:lvlJc w:val="left"/>
      <w:pPr>
        <w:ind w:left="852" w:hanging="360"/>
      </w:pPr>
    </w:lvl>
    <w:lvl w:ilvl="1" w:tplc="0C090019">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11" w15:restartNumberingAfterBreak="0">
    <w:nsid w:val="03C43676"/>
    <w:multiLevelType w:val="multilevel"/>
    <w:tmpl w:val="3252CBE4"/>
    <w:numStyleLink w:val="Numbering"/>
  </w:abstractNum>
  <w:abstractNum w:abstractNumId="12" w15:restartNumberingAfterBreak="0">
    <w:nsid w:val="05431BD9"/>
    <w:multiLevelType w:val="multilevel"/>
    <w:tmpl w:val="3252CBE4"/>
    <w:numStyleLink w:val="Numbering"/>
  </w:abstractNum>
  <w:abstractNum w:abstractNumId="13" w15:restartNumberingAfterBreak="0">
    <w:nsid w:val="081711B4"/>
    <w:multiLevelType w:val="hybridMultilevel"/>
    <w:tmpl w:val="FD4043C6"/>
    <w:lvl w:ilvl="0" w:tplc="8E42EB96">
      <w:start w:val="1"/>
      <w:numFmt w:val="lowerLetter"/>
      <w:lvlText w:val="(%1)"/>
      <w:lvlJc w:val="left"/>
      <w:pPr>
        <w:ind w:left="424" w:hanging="360"/>
      </w:pPr>
      <w:rPr>
        <w:rFonts w:hint="default"/>
      </w:rPr>
    </w:lvl>
    <w:lvl w:ilvl="1" w:tplc="5AF6092E">
      <w:start w:val="1"/>
      <w:numFmt w:val="lowerRoman"/>
      <w:lvlText w:val="(%2)"/>
      <w:lvlJc w:val="left"/>
      <w:pPr>
        <w:ind w:left="1504" w:hanging="720"/>
      </w:pPr>
      <w:rPr>
        <w:rFonts w:hint="default"/>
      </w:r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14" w15:restartNumberingAfterBreak="0">
    <w:nsid w:val="0A4073AD"/>
    <w:multiLevelType w:val="hybridMultilevel"/>
    <w:tmpl w:val="31C6CF68"/>
    <w:lvl w:ilvl="0" w:tplc="7BD873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B3A56D7"/>
    <w:multiLevelType w:val="multilevel"/>
    <w:tmpl w:val="B3729A46"/>
    <w:numStyleLink w:val="111111"/>
  </w:abstractNum>
  <w:abstractNum w:abstractNumId="17" w15:restartNumberingAfterBreak="0">
    <w:nsid w:val="0C2D48CE"/>
    <w:multiLevelType w:val="multilevel"/>
    <w:tmpl w:val="3252CBE4"/>
    <w:numStyleLink w:val="Numbering"/>
  </w:abstractNum>
  <w:abstractNum w:abstractNumId="18" w15:restartNumberingAfterBreak="0">
    <w:nsid w:val="0D5A5E93"/>
    <w:multiLevelType w:val="multilevel"/>
    <w:tmpl w:val="7B2236E6"/>
    <w:numStyleLink w:val="Bullets"/>
  </w:abstractNum>
  <w:abstractNum w:abstractNumId="19"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0FF02FDC"/>
    <w:multiLevelType w:val="hybridMultilevel"/>
    <w:tmpl w:val="90EE850E"/>
    <w:lvl w:ilvl="0" w:tplc="CE3C7C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587F75"/>
    <w:multiLevelType w:val="hybridMultilevel"/>
    <w:tmpl w:val="AE080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2D53ED"/>
    <w:multiLevelType w:val="multilevel"/>
    <w:tmpl w:val="3252CBE4"/>
    <w:numStyleLink w:val="Numbering"/>
  </w:abstractNum>
  <w:abstractNum w:abstractNumId="23" w15:restartNumberingAfterBreak="0">
    <w:nsid w:val="15AC0B28"/>
    <w:multiLevelType w:val="multilevel"/>
    <w:tmpl w:val="B6542242"/>
    <w:numStyleLink w:val="LetteredList"/>
  </w:abstractNum>
  <w:abstractNum w:abstractNumId="24"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322B09"/>
    <w:multiLevelType w:val="multilevel"/>
    <w:tmpl w:val="3252CBE4"/>
    <w:numStyleLink w:val="Numbering"/>
  </w:abstractNum>
  <w:abstractNum w:abstractNumId="26" w15:restartNumberingAfterBreak="0">
    <w:nsid w:val="20215C86"/>
    <w:multiLevelType w:val="multilevel"/>
    <w:tmpl w:val="7B2236E6"/>
    <w:numStyleLink w:val="Bullets"/>
  </w:abstractNum>
  <w:abstractNum w:abstractNumId="27" w15:restartNumberingAfterBreak="0">
    <w:nsid w:val="27925376"/>
    <w:multiLevelType w:val="multilevel"/>
    <w:tmpl w:val="B3729A46"/>
    <w:styleLink w:val="111111"/>
    <w:lvl w:ilvl="0">
      <w:start w:val="1"/>
      <w:numFmt w:val="decimal"/>
      <w:pStyle w:val="SectionHeading"/>
      <w:suff w:val="space"/>
      <w:lvlText w:val="%1."/>
      <w:lvlJc w:val="left"/>
      <w:pPr>
        <w:ind w:left="360" w:hanging="360"/>
      </w:pPr>
      <w:rPr>
        <w:rFonts w:hint="default"/>
      </w:rPr>
    </w:lvl>
    <w:lvl w:ilvl="1">
      <w:start w:val="1"/>
      <w:numFmt w:val="decimal"/>
      <w:pStyle w:val="SectionSubhead"/>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A874A05"/>
    <w:multiLevelType w:val="hybridMultilevel"/>
    <w:tmpl w:val="AA947A08"/>
    <w:lvl w:ilvl="0" w:tplc="AA7CD722">
      <w:start w:val="1"/>
      <w:numFmt w:val="lowerLetter"/>
      <w:lvlText w:val="(%1)"/>
      <w:lvlJc w:val="left"/>
      <w:pPr>
        <w:ind w:left="467" w:hanging="360"/>
      </w:pPr>
      <w:rPr>
        <w:rFonts w:hint="default"/>
      </w:rPr>
    </w:lvl>
    <w:lvl w:ilvl="1" w:tplc="0C090019" w:tentative="1">
      <w:start w:val="1"/>
      <w:numFmt w:val="lowerLetter"/>
      <w:lvlText w:val="%2."/>
      <w:lvlJc w:val="left"/>
      <w:pPr>
        <w:ind w:left="1187" w:hanging="360"/>
      </w:pPr>
    </w:lvl>
    <w:lvl w:ilvl="2" w:tplc="0C09001B" w:tentative="1">
      <w:start w:val="1"/>
      <w:numFmt w:val="lowerRoman"/>
      <w:lvlText w:val="%3."/>
      <w:lvlJc w:val="right"/>
      <w:pPr>
        <w:ind w:left="1907" w:hanging="180"/>
      </w:pPr>
    </w:lvl>
    <w:lvl w:ilvl="3" w:tplc="0C09000F" w:tentative="1">
      <w:start w:val="1"/>
      <w:numFmt w:val="decimal"/>
      <w:lvlText w:val="%4."/>
      <w:lvlJc w:val="left"/>
      <w:pPr>
        <w:ind w:left="2627" w:hanging="360"/>
      </w:pPr>
    </w:lvl>
    <w:lvl w:ilvl="4" w:tplc="0C090019" w:tentative="1">
      <w:start w:val="1"/>
      <w:numFmt w:val="lowerLetter"/>
      <w:lvlText w:val="%5."/>
      <w:lvlJc w:val="left"/>
      <w:pPr>
        <w:ind w:left="3347" w:hanging="360"/>
      </w:pPr>
    </w:lvl>
    <w:lvl w:ilvl="5" w:tplc="0C09001B" w:tentative="1">
      <w:start w:val="1"/>
      <w:numFmt w:val="lowerRoman"/>
      <w:lvlText w:val="%6."/>
      <w:lvlJc w:val="right"/>
      <w:pPr>
        <w:ind w:left="4067" w:hanging="180"/>
      </w:pPr>
    </w:lvl>
    <w:lvl w:ilvl="6" w:tplc="0C09000F" w:tentative="1">
      <w:start w:val="1"/>
      <w:numFmt w:val="decimal"/>
      <w:lvlText w:val="%7."/>
      <w:lvlJc w:val="left"/>
      <w:pPr>
        <w:ind w:left="4787" w:hanging="360"/>
      </w:pPr>
    </w:lvl>
    <w:lvl w:ilvl="7" w:tplc="0C090019" w:tentative="1">
      <w:start w:val="1"/>
      <w:numFmt w:val="lowerLetter"/>
      <w:lvlText w:val="%8."/>
      <w:lvlJc w:val="left"/>
      <w:pPr>
        <w:ind w:left="5507" w:hanging="360"/>
      </w:pPr>
    </w:lvl>
    <w:lvl w:ilvl="8" w:tplc="0C09001B" w:tentative="1">
      <w:start w:val="1"/>
      <w:numFmt w:val="lowerRoman"/>
      <w:lvlText w:val="%9."/>
      <w:lvlJc w:val="right"/>
      <w:pPr>
        <w:ind w:left="6227" w:hanging="180"/>
      </w:pPr>
    </w:lvl>
  </w:abstractNum>
  <w:abstractNum w:abstractNumId="29" w15:restartNumberingAfterBreak="0">
    <w:nsid w:val="2C777E12"/>
    <w:multiLevelType w:val="hybridMultilevel"/>
    <w:tmpl w:val="78AE3520"/>
    <w:lvl w:ilvl="0" w:tplc="FFFFFFFF">
      <w:start w:val="1"/>
      <w:numFmt w:val="lowerLetter"/>
      <w:lvlText w:val="(%1)"/>
      <w:lvlJc w:val="left"/>
      <w:pPr>
        <w:ind w:left="424" w:hanging="36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30" w15:restartNumberingAfterBreak="0">
    <w:nsid w:val="2D781958"/>
    <w:multiLevelType w:val="multilevel"/>
    <w:tmpl w:val="D1D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1F1D0F"/>
    <w:multiLevelType w:val="multilevel"/>
    <w:tmpl w:val="7B2236E6"/>
    <w:numStyleLink w:val="Bullets"/>
  </w:abstractNum>
  <w:abstractNum w:abstractNumId="32" w15:restartNumberingAfterBreak="0">
    <w:nsid w:val="326B7F63"/>
    <w:multiLevelType w:val="hybridMultilevel"/>
    <w:tmpl w:val="F6AA7BD8"/>
    <w:lvl w:ilvl="0" w:tplc="DE32DD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AFC25F8"/>
    <w:multiLevelType w:val="hybridMultilevel"/>
    <w:tmpl w:val="265E467A"/>
    <w:lvl w:ilvl="0" w:tplc="F5464346">
      <w:start w:val="1"/>
      <w:numFmt w:val="lowerLetter"/>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4" w15:restartNumberingAfterBreak="0">
    <w:nsid w:val="41397427"/>
    <w:multiLevelType w:val="multilevel"/>
    <w:tmpl w:val="3252CBE4"/>
    <w:numStyleLink w:val="Numbering"/>
  </w:abstractNum>
  <w:abstractNum w:abstractNumId="35" w15:restartNumberingAfterBreak="0">
    <w:nsid w:val="427E1954"/>
    <w:multiLevelType w:val="hybridMultilevel"/>
    <w:tmpl w:val="78AE3520"/>
    <w:lvl w:ilvl="0" w:tplc="FFFFFFFF">
      <w:start w:val="1"/>
      <w:numFmt w:val="lowerLetter"/>
      <w:lvlText w:val="(%1)"/>
      <w:lvlJc w:val="left"/>
      <w:pPr>
        <w:ind w:left="424" w:hanging="36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36" w15:restartNumberingAfterBreak="0">
    <w:nsid w:val="47A82A33"/>
    <w:multiLevelType w:val="hybridMultilevel"/>
    <w:tmpl w:val="A4AE2E4C"/>
    <w:lvl w:ilvl="0" w:tplc="7A2A2CA2">
      <w:start w:val="1"/>
      <w:numFmt w:val="lowerLetter"/>
      <w:lvlText w:val="(%1)"/>
      <w:lvlJc w:val="left"/>
      <w:pPr>
        <w:ind w:left="424" w:hanging="360"/>
      </w:pPr>
      <w:rPr>
        <w:rFonts w:hint="default"/>
      </w:rPr>
    </w:lvl>
    <w:lvl w:ilvl="1" w:tplc="0C090019" w:tentative="1">
      <w:start w:val="1"/>
      <w:numFmt w:val="lowerLetter"/>
      <w:lvlText w:val="%2."/>
      <w:lvlJc w:val="left"/>
      <w:pPr>
        <w:ind w:left="1144" w:hanging="360"/>
      </w:pPr>
    </w:lvl>
    <w:lvl w:ilvl="2" w:tplc="0C09001B" w:tentative="1">
      <w:start w:val="1"/>
      <w:numFmt w:val="lowerRoman"/>
      <w:lvlText w:val="%3."/>
      <w:lvlJc w:val="right"/>
      <w:pPr>
        <w:ind w:left="1864" w:hanging="180"/>
      </w:pPr>
    </w:lvl>
    <w:lvl w:ilvl="3" w:tplc="0C09000F" w:tentative="1">
      <w:start w:val="1"/>
      <w:numFmt w:val="decimal"/>
      <w:lvlText w:val="%4."/>
      <w:lvlJc w:val="left"/>
      <w:pPr>
        <w:ind w:left="2584" w:hanging="360"/>
      </w:pPr>
    </w:lvl>
    <w:lvl w:ilvl="4" w:tplc="0C090019" w:tentative="1">
      <w:start w:val="1"/>
      <w:numFmt w:val="lowerLetter"/>
      <w:lvlText w:val="%5."/>
      <w:lvlJc w:val="left"/>
      <w:pPr>
        <w:ind w:left="3304" w:hanging="360"/>
      </w:pPr>
    </w:lvl>
    <w:lvl w:ilvl="5" w:tplc="0C09001B" w:tentative="1">
      <w:start w:val="1"/>
      <w:numFmt w:val="lowerRoman"/>
      <w:lvlText w:val="%6."/>
      <w:lvlJc w:val="right"/>
      <w:pPr>
        <w:ind w:left="4024" w:hanging="180"/>
      </w:pPr>
    </w:lvl>
    <w:lvl w:ilvl="6" w:tplc="0C09000F" w:tentative="1">
      <w:start w:val="1"/>
      <w:numFmt w:val="decimal"/>
      <w:lvlText w:val="%7."/>
      <w:lvlJc w:val="left"/>
      <w:pPr>
        <w:ind w:left="4744" w:hanging="360"/>
      </w:pPr>
    </w:lvl>
    <w:lvl w:ilvl="7" w:tplc="0C090019" w:tentative="1">
      <w:start w:val="1"/>
      <w:numFmt w:val="lowerLetter"/>
      <w:lvlText w:val="%8."/>
      <w:lvlJc w:val="left"/>
      <w:pPr>
        <w:ind w:left="5464" w:hanging="360"/>
      </w:pPr>
    </w:lvl>
    <w:lvl w:ilvl="8" w:tplc="0C09001B" w:tentative="1">
      <w:start w:val="1"/>
      <w:numFmt w:val="lowerRoman"/>
      <w:lvlText w:val="%9."/>
      <w:lvlJc w:val="right"/>
      <w:pPr>
        <w:ind w:left="6184" w:hanging="180"/>
      </w:pPr>
    </w:lvl>
  </w:abstractNum>
  <w:abstractNum w:abstractNumId="37"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1C550F"/>
    <w:multiLevelType w:val="hybridMultilevel"/>
    <w:tmpl w:val="E4C2A38C"/>
    <w:lvl w:ilvl="0" w:tplc="A684BE80">
      <w:start w:val="1"/>
      <w:numFmt w:val="lowerLetter"/>
      <w:lvlText w:val="(%1)"/>
      <w:lvlJc w:val="left"/>
      <w:pPr>
        <w:ind w:left="515" w:hanging="360"/>
      </w:pPr>
      <w:rPr>
        <w:rFonts w:cstheme="minorBidi" w:hint="default"/>
      </w:rPr>
    </w:lvl>
    <w:lvl w:ilvl="1" w:tplc="0C090019" w:tentative="1">
      <w:start w:val="1"/>
      <w:numFmt w:val="lowerLetter"/>
      <w:lvlText w:val="%2."/>
      <w:lvlJc w:val="left"/>
      <w:pPr>
        <w:ind w:left="1235" w:hanging="360"/>
      </w:pPr>
    </w:lvl>
    <w:lvl w:ilvl="2" w:tplc="0C09001B" w:tentative="1">
      <w:start w:val="1"/>
      <w:numFmt w:val="lowerRoman"/>
      <w:lvlText w:val="%3."/>
      <w:lvlJc w:val="right"/>
      <w:pPr>
        <w:ind w:left="1955" w:hanging="180"/>
      </w:pPr>
    </w:lvl>
    <w:lvl w:ilvl="3" w:tplc="0C09000F" w:tentative="1">
      <w:start w:val="1"/>
      <w:numFmt w:val="decimal"/>
      <w:lvlText w:val="%4."/>
      <w:lvlJc w:val="left"/>
      <w:pPr>
        <w:ind w:left="2675" w:hanging="360"/>
      </w:pPr>
    </w:lvl>
    <w:lvl w:ilvl="4" w:tplc="0C090019" w:tentative="1">
      <w:start w:val="1"/>
      <w:numFmt w:val="lowerLetter"/>
      <w:lvlText w:val="%5."/>
      <w:lvlJc w:val="left"/>
      <w:pPr>
        <w:ind w:left="3395" w:hanging="360"/>
      </w:pPr>
    </w:lvl>
    <w:lvl w:ilvl="5" w:tplc="0C09001B" w:tentative="1">
      <w:start w:val="1"/>
      <w:numFmt w:val="lowerRoman"/>
      <w:lvlText w:val="%6."/>
      <w:lvlJc w:val="right"/>
      <w:pPr>
        <w:ind w:left="4115" w:hanging="180"/>
      </w:pPr>
    </w:lvl>
    <w:lvl w:ilvl="6" w:tplc="0C09000F" w:tentative="1">
      <w:start w:val="1"/>
      <w:numFmt w:val="decimal"/>
      <w:lvlText w:val="%7."/>
      <w:lvlJc w:val="left"/>
      <w:pPr>
        <w:ind w:left="4835" w:hanging="360"/>
      </w:pPr>
    </w:lvl>
    <w:lvl w:ilvl="7" w:tplc="0C090019" w:tentative="1">
      <w:start w:val="1"/>
      <w:numFmt w:val="lowerLetter"/>
      <w:lvlText w:val="%8."/>
      <w:lvlJc w:val="left"/>
      <w:pPr>
        <w:ind w:left="5555" w:hanging="360"/>
      </w:pPr>
    </w:lvl>
    <w:lvl w:ilvl="8" w:tplc="0C09001B" w:tentative="1">
      <w:start w:val="1"/>
      <w:numFmt w:val="lowerRoman"/>
      <w:lvlText w:val="%9."/>
      <w:lvlJc w:val="right"/>
      <w:pPr>
        <w:ind w:left="6275" w:hanging="180"/>
      </w:pPr>
    </w:lvl>
  </w:abstractNum>
  <w:abstractNum w:abstractNumId="39"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4E7F1CD0"/>
    <w:multiLevelType w:val="multilevel"/>
    <w:tmpl w:val="3252CBE4"/>
    <w:numStyleLink w:val="Numbering"/>
  </w:abstractNum>
  <w:abstractNum w:abstractNumId="41" w15:restartNumberingAfterBreak="0">
    <w:nsid w:val="574672D5"/>
    <w:multiLevelType w:val="multilevel"/>
    <w:tmpl w:val="7B2236E6"/>
    <w:numStyleLink w:val="Bullets"/>
  </w:abstractNum>
  <w:abstractNum w:abstractNumId="42" w15:restartNumberingAfterBreak="0">
    <w:nsid w:val="58B73D84"/>
    <w:multiLevelType w:val="multilevel"/>
    <w:tmpl w:val="50041352"/>
    <w:numStyleLink w:val="ListHeadings"/>
  </w:abstractNum>
  <w:abstractNum w:abstractNumId="43" w15:restartNumberingAfterBreak="0">
    <w:nsid w:val="596A0C8C"/>
    <w:multiLevelType w:val="multilevel"/>
    <w:tmpl w:val="3252CBE4"/>
    <w:numStyleLink w:val="Numbering"/>
  </w:abstractNum>
  <w:abstractNum w:abstractNumId="44" w15:restartNumberingAfterBreak="0">
    <w:nsid w:val="5B047B27"/>
    <w:multiLevelType w:val="hybridMultilevel"/>
    <w:tmpl w:val="999EAEC8"/>
    <w:lvl w:ilvl="0" w:tplc="6EE23CEC">
      <w:start w:val="1"/>
      <w:numFmt w:val="lowerLetter"/>
      <w:lvlText w:val="(%1)"/>
      <w:lvlJc w:val="left"/>
      <w:pPr>
        <w:ind w:left="467" w:hanging="360"/>
      </w:pPr>
      <w:rPr>
        <w:rFonts w:asciiTheme="majorHAnsi" w:hAnsiTheme="majorHAnsi" w:cstheme="majorHAnsi" w:hint="default"/>
        <w:i w:val="0"/>
      </w:rPr>
    </w:lvl>
    <w:lvl w:ilvl="1" w:tplc="0C090019" w:tentative="1">
      <w:start w:val="1"/>
      <w:numFmt w:val="lowerLetter"/>
      <w:lvlText w:val="%2."/>
      <w:lvlJc w:val="left"/>
      <w:pPr>
        <w:ind w:left="1187" w:hanging="360"/>
      </w:pPr>
    </w:lvl>
    <w:lvl w:ilvl="2" w:tplc="0C09001B" w:tentative="1">
      <w:start w:val="1"/>
      <w:numFmt w:val="lowerRoman"/>
      <w:lvlText w:val="%3."/>
      <w:lvlJc w:val="right"/>
      <w:pPr>
        <w:ind w:left="1907" w:hanging="180"/>
      </w:pPr>
    </w:lvl>
    <w:lvl w:ilvl="3" w:tplc="0C09000F" w:tentative="1">
      <w:start w:val="1"/>
      <w:numFmt w:val="decimal"/>
      <w:lvlText w:val="%4."/>
      <w:lvlJc w:val="left"/>
      <w:pPr>
        <w:ind w:left="2627" w:hanging="360"/>
      </w:pPr>
    </w:lvl>
    <w:lvl w:ilvl="4" w:tplc="0C090019" w:tentative="1">
      <w:start w:val="1"/>
      <w:numFmt w:val="lowerLetter"/>
      <w:lvlText w:val="%5."/>
      <w:lvlJc w:val="left"/>
      <w:pPr>
        <w:ind w:left="3347" w:hanging="360"/>
      </w:pPr>
    </w:lvl>
    <w:lvl w:ilvl="5" w:tplc="0C09001B" w:tentative="1">
      <w:start w:val="1"/>
      <w:numFmt w:val="lowerRoman"/>
      <w:lvlText w:val="%6."/>
      <w:lvlJc w:val="right"/>
      <w:pPr>
        <w:ind w:left="4067" w:hanging="180"/>
      </w:pPr>
    </w:lvl>
    <w:lvl w:ilvl="6" w:tplc="0C09000F" w:tentative="1">
      <w:start w:val="1"/>
      <w:numFmt w:val="decimal"/>
      <w:lvlText w:val="%7."/>
      <w:lvlJc w:val="left"/>
      <w:pPr>
        <w:ind w:left="4787" w:hanging="360"/>
      </w:pPr>
    </w:lvl>
    <w:lvl w:ilvl="7" w:tplc="0C090019" w:tentative="1">
      <w:start w:val="1"/>
      <w:numFmt w:val="lowerLetter"/>
      <w:lvlText w:val="%8."/>
      <w:lvlJc w:val="left"/>
      <w:pPr>
        <w:ind w:left="5507" w:hanging="360"/>
      </w:pPr>
    </w:lvl>
    <w:lvl w:ilvl="8" w:tplc="0C09001B" w:tentative="1">
      <w:start w:val="1"/>
      <w:numFmt w:val="lowerRoman"/>
      <w:lvlText w:val="%9."/>
      <w:lvlJc w:val="right"/>
      <w:pPr>
        <w:ind w:left="6227" w:hanging="180"/>
      </w:pPr>
    </w:lvl>
  </w:abstractNum>
  <w:abstractNum w:abstractNumId="45" w15:restartNumberingAfterBreak="0">
    <w:nsid w:val="5B5B09B0"/>
    <w:multiLevelType w:val="hybridMultilevel"/>
    <w:tmpl w:val="E02ED244"/>
    <w:lvl w:ilvl="0" w:tplc="51D823AC">
      <w:numFmt w:val="bullet"/>
      <w:lvlText w:val="•"/>
      <w:lvlJc w:val="left"/>
      <w:pPr>
        <w:ind w:left="1080" w:hanging="360"/>
      </w:pPr>
      <w:rPr>
        <w:rFonts w:ascii="Calibri Light" w:eastAsiaTheme="majorEastAsia"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FB55F66"/>
    <w:multiLevelType w:val="multilevel"/>
    <w:tmpl w:val="195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266451"/>
    <w:multiLevelType w:val="hybridMultilevel"/>
    <w:tmpl w:val="84C856FA"/>
    <w:lvl w:ilvl="0" w:tplc="A8D20EA8">
      <w:start w:val="1"/>
      <w:numFmt w:val="lowerLetter"/>
      <w:lvlText w:val="(%1)"/>
      <w:lvlJc w:val="left"/>
      <w:pPr>
        <w:ind w:left="467" w:hanging="360"/>
      </w:pPr>
      <w:rPr>
        <w:rFonts w:hint="default"/>
      </w:rPr>
    </w:lvl>
    <w:lvl w:ilvl="1" w:tplc="0C090019" w:tentative="1">
      <w:start w:val="1"/>
      <w:numFmt w:val="lowerLetter"/>
      <w:lvlText w:val="%2."/>
      <w:lvlJc w:val="left"/>
      <w:pPr>
        <w:ind w:left="1187" w:hanging="360"/>
      </w:pPr>
    </w:lvl>
    <w:lvl w:ilvl="2" w:tplc="0C09001B" w:tentative="1">
      <w:start w:val="1"/>
      <w:numFmt w:val="lowerRoman"/>
      <w:lvlText w:val="%3."/>
      <w:lvlJc w:val="right"/>
      <w:pPr>
        <w:ind w:left="1907" w:hanging="180"/>
      </w:pPr>
    </w:lvl>
    <w:lvl w:ilvl="3" w:tplc="0C09000F" w:tentative="1">
      <w:start w:val="1"/>
      <w:numFmt w:val="decimal"/>
      <w:lvlText w:val="%4."/>
      <w:lvlJc w:val="left"/>
      <w:pPr>
        <w:ind w:left="2627" w:hanging="360"/>
      </w:pPr>
    </w:lvl>
    <w:lvl w:ilvl="4" w:tplc="0C090019" w:tentative="1">
      <w:start w:val="1"/>
      <w:numFmt w:val="lowerLetter"/>
      <w:lvlText w:val="%5."/>
      <w:lvlJc w:val="left"/>
      <w:pPr>
        <w:ind w:left="3347" w:hanging="360"/>
      </w:pPr>
    </w:lvl>
    <w:lvl w:ilvl="5" w:tplc="0C09001B" w:tentative="1">
      <w:start w:val="1"/>
      <w:numFmt w:val="lowerRoman"/>
      <w:lvlText w:val="%6."/>
      <w:lvlJc w:val="right"/>
      <w:pPr>
        <w:ind w:left="4067" w:hanging="180"/>
      </w:pPr>
    </w:lvl>
    <w:lvl w:ilvl="6" w:tplc="0C09000F" w:tentative="1">
      <w:start w:val="1"/>
      <w:numFmt w:val="decimal"/>
      <w:lvlText w:val="%7."/>
      <w:lvlJc w:val="left"/>
      <w:pPr>
        <w:ind w:left="4787" w:hanging="360"/>
      </w:pPr>
    </w:lvl>
    <w:lvl w:ilvl="7" w:tplc="0C090019" w:tentative="1">
      <w:start w:val="1"/>
      <w:numFmt w:val="lowerLetter"/>
      <w:lvlText w:val="%8."/>
      <w:lvlJc w:val="left"/>
      <w:pPr>
        <w:ind w:left="5507" w:hanging="360"/>
      </w:pPr>
    </w:lvl>
    <w:lvl w:ilvl="8" w:tplc="0C09001B" w:tentative="1">
      <w:start w:val="1"/>
      <w:numFmt w:val="lowerRoman"/>
      <w:lvlText w:val="%9."/>
      <w:lvlJc w:val="right"/>
      <w:pPr>
        <w:ind w:left="6227" w:hanging="180"/>
      </w:pPr>
    </w:lvl>
  </w:abstractNum>
  <w:abstractNum w:abstractNumId="48"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9" w15:restartNumberingAfterBreak="0">
    <w:nsid w:val="643520E2"/>
    <w:multiLevelType w:val="multilevel"/>
    <w:tmpl w:val="7B2236E6"/>
    <w:numStyleLink w:val="Bullets"/>
  </w:abstractNum>
  <w:abstractNum w:abstractNumId="50" w15:restartNumberingAfterBreak="0">
    <w:nsid w:val="65286EF2"/>
    <w:multiLevelType w:val="multilevel"/>
    <w:tmpl w:val="2AB2456E"/>
    <w:lvl w:ilvl="0">
      <w:start w:val="10"/>
      <w:numFmt w:val="decimal"/>
      <w:lvlText w:val="%1"/>
      <w:lvlJc w:val="left"/>
      <w:pPr>
        <w:ind w:left="528" w:hanging="528"/>
      </w:pPr>
      <w:rPr>
        <w:rFonts w:asciiTheme="majorHAnsi" w:hAnsiTheme="majorHAnsi" w:cstheme="majorHAnsi" w:hint="default"/>
        <w:i w:val="0"/>
      </w:rPr>
    </w:lvl>
    <w:lvl w:ilvl="1">
      <w:start w:val="5"/>
      <w:numFmt w:val="decimal"/>
      <w:lvlText w:val="%1.%2"/>
      <w:lvlJc w:val="left"/>
      <w:pPr>
        <w:ind w:left="581" w:hanging="528"/>
      </w:pPr>
      <w:rPr>
        <w:rFonts w:asciiTheme="majorHAnsi" w:hAnsiTheme="majorHAnsi" w:cstheme="majorHAnsi" w:hint="default"/>
        <w:i w:val="0"/>
      </w:rPr>
    </w:lvl>
    <w:lvl w:ilvl="2">
      <w:start w:val="2"/>
      <w:numFmt w:val="decimal"/>
      <w:lvlText w:val="%1.%2.%3"/>
      <w:lvlJc w:val="left"/>
      <w:pPr>
        <w:ind w:left="826" w:hanging="720"/>
      </w:pPr>
      <w:rPr>
        <w:rFonts w:asciiTheme="majorHAnsi" w:hAnsiTheme="majorHAnsi" w:cstheme="majorHAnsi" w:hint="default"/>
        <w:i w:val="0"/>
      </w:rPr>
    </w:lvl>
    <w:lvl w:ilvl="3">
      <w:start w:val="1"/>
      <w:numFmt w:val="decimal"/>
      <w:lvlText w:val="%1.%2.%3.%4"/>
      <w:lvlJc w:val="left"/>
      <w:pPr>
        <w:ind w:left="879" w:hanging="720"/>
      </w:pPr>
      <w:rPr>
        <w:rFonts w:asciiTheme="majorHAnsi" w:hAnsiTheme="majorHAnsi" w:cstheme="majorHAnsi" w:hint="default"/>
        <w:i w:val="0"/>
      </w:rPr>
    </w:lvl>
    <w:lvl w:ilvl="4">
      <w:start w:val="1"/>
      <w:numFmt w:val="decimal"/>
      <w:lvlText w:val="%1.%2.%3.%4.%5"/>
      <w:lvlJc w:val="left"/>
      <w:pPr>
        <w:ind w:left="1292" w:hanging="1080"/>
      </w:pPr>
      <w:rPr>
        <w:rFonts w:asciiTheme="majorHAnsi" w:hAnsiTheme="majorHAnsi" w:cstheme="majorHAnsi" w:hint="default"/>
        <w:i w:val="0"/>
      </w:rPr>
    </w:lvl>
    <w:lvl w:ilvl="5">
      <w:start w:val="1"/>
      <w:numFmt w:val="decimal"/>
      <w:lvlText w:val="%1.%2.%3.%4.%5.%6"/>
      <w:lvlJc w:val="left"/>
      <w:pPr>
        <w:ind w:left="1345" w:hanging="1080"/>
      </w:pPr>
      <w:rPr>
        <w:rFonts w:asciiTheme="majorHAnsi" w:hAnsiTheme="majorHAnsi" w:cstheme="majorHAnsi" w:hint="default"/>
        <w:i w:val="0"/>
      </w:rPr>
    </w:lvl>
    <w:lvl w:ilvl="6">
      <w:start w:val="1"/>
      <w:numFmt w:val="decimal"/>
      <w:lvlText w:val="%1.%2.%3.%4.%5.%6.%7"/>
      <w:lvlJc w:val="left"/>
      <w:pPr>
        <w:ind w:left="1758" w:hanging="1440"/>
      </w:pPr>
      <w:rPr>
        <w:rFonts w:asciiTheme="majorHAnsi" w:hAnsiTheme="majorHAnsi" w:cstheme="majorHAnsi" w:hint="default"/>
        <w:i w:val="0"/>
      </w:rPr>
    </w:lvl>
    <w:lvl w:ilvl="7">
      <w:start w:val="1"/>
      <w:numFmt w:val="decimal"/>
      <w:lvlText w:val="%1.%2.%3.%4.%5.%6.%7.%8"/>
      <w:lvlJc w:val="left"/>
      <w:pPr>
        <w:ind w:left="1811" w:hanging="1440"/>
      </w:pPr>
      <w:rPr>
        <w:rFonts w:asciiTheme="majorHAnsi" w:hAnsiTheme="majorHAnsi" w:cstheme="majorHAnsi" w:hint="default"/>
        <w:i w:val="0"/>
      </w:rPr>
    </w:lvl>
    <w:lvl w:ilvl="8">
      <w:start w:val="1"/>
      <w:numFmt w:val="decimal"/>
      <w:lvlText w:val="%1.%2.%3.%4.%5.%6.%7.%8.%9"/>
      <w:lvlJc w:val="left"/>
      <w:pPr>
        <w:ind w:left="2224" w:hanging="1800"/>
      </w:pPr>
      <w:rPr>
        <w:rFonts w:asciiTheme="majorHAnsi" w:hAnsiTheme="majorHAnsi" w:cstheme="majorHAnsi" w:hint="default"/>
        <w:i w:val="0"/>
      </w:rPr>
    </w:lvl>
  </w:abstractNum>
  <w:abstractNum w:abstractNumId="51" w15:restartNumberingAfterBreak="0">
    <w:nsid w:val="660D51AD"/>
    <w:multiLevelType w:val="multilevel"/>
    <w:tmpl w:val="3252CBE4"/>
    <w:numStyleLink w:val="Numbering"/>
  </w:abstractNum>
  <w:abstractNum w:abstractNumId="52" w15:restartNumberingAfterBreak="0">
    <w:nsid w:val="67894268"/>
    <w:multiLevelType w:val="hybridMultilevel"/>
    <w:tmpl w:val="78AE3520"/>
    <w:lvl w:ilvl="0" w:tplc="FFFFFFFF">
      <w:start w:val="1"/>
      <w:numFmt w:val="lowerLetter"/>
      <w:lvlText w:val="(%1)"/>
      <w:lvlJc w:val="left"/>
      <w:pPr>
        <w:ind w:left="424" w:hanging="36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53" w15:restartNumberingAfterBreak="0">
    <w:nsid w:val="68EC0133"/>
    <w:multiLevelType w:val="hybridMultilevel"/>
    <w:tmpl w:val="1A92D488"/>
    <w:lvl w:ilvl="0" w:tplc="10EA5006">
      <w:start w:val="1"/>
      <w:numFmt w:val="lowerLetter"/>
      <w:lvlText w:val="(%1)"/>
      <w:lvlJc w:val="left"/>
      <w:pPr>
        <w:ind w:left="540" w:hanging="360"/>
      </w:pPr>
      <w:rPr>
        <w:rFonts w:asciiTheme="majorHAnsi" w:eastAsiaTheme="minorHAnsi" w:hAnsiTheme="majorHAnsi" w:cstheme="minorBidi"/>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54" w15:restartNumberingAfterBreak="0">
    <w:nsid w:val="6E0D40EA"/>
    <w:multiLevelType w:val="multilevel"/>
    <w:tmpl w:val="B6542242"/>
    <w:numStyleLink w:val="LetteredList"/>
  </w:abstractNum>
  <w:abstractNum w:abstractNumId="55" w15:restartNumberingAfterBreak="0">
    <w:nsid w:val="71841462"/>
    <w:multiLevelType w:val="hybridMultilevel"/>
    <w:tmpl w:val="7F267226"/>
    <w:lvl w:ilvl="0" w:tplc="FFFFFFFF">
      <w:start w:val="1"/>
      <w:numFmt w:val="lowerLetter"/>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56" w15:restartNumberingAfterBreak="0">
    <w:nsid w:val="71A7737F"/>
    <w:multiLevelType w:val="hybridMultilevel"/>
    <w:tmpl w:val="5EB00ADC"/>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71E121CC"/>
    <w:multiLevelType w:val="hybridMultilevel"/>
    <w:tmpl w:val="9E26B4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744D0736"/>
    <w:multiLevelType w:val="multilevel"/>
    <w:tmpl w:val="3252CBE4"/>
    <w:numStyleLink w:val="Numbering"/>
  </w:abstractNum>
  <w:abstractNum w:abstractNumId="59" w15:restartNumberingAfterBreak="0">
    <w:nsid w:val="76D92D65"/>
    <w:multiLevelType w:val="hybridMultilevel"/>
    <w:tmpl w:val="90EE8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F6A4A71"/>
    <w:multiLevelType w:val="hybridMultilevel"/>
    <w:tmpl w:val="8CF4156C"/>
    <w:lvl w:ilvl="0" w:tplc="25823788">
      <w:start w:val="1"/>
      <w:numFmt w:val="lowerLetter"/>
      <w:lvlText w:val="(%1)"/>
      <w:lvlJc w:val="left"/>
      <w:pPr>
        <w:ind w:left="467" w:hanging="360"/>
      </w:pPr>
      <w:rPr>
        <w:rFonts w:ascii="Calibri Light" w:eastAsia="Aptos" w:hAnsi="Calibri Light" w:cs="Calibri Light"/>
        <w:i w:val="0"/>
      </w:r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8"/>
  </w:num>
  <w:num w:numId="12" w16cid:durableId="1261796759">
    <w:abstractNumId w:val="49"/>
  </w:num>
  <w:num w:numId="13" w16cid:durableId="1043405154">
    <w:abstractNumId w:val="31"/>
  </w:num>
  <w:num w:numId="14" w16cid:durableId="846598071">
    <w:abstractNumId w:val="19"/>
  </w:num>
  <w:num w:numId="15" w16cid:durableId="1311640227">
    <w:abstractNumId w:val="58"/>
  </w:num>
  <w:num w:numId="16" w16cid:durableId="881941196">
    <w:abstractNumId w:val="40"/>
  </w:num>
  <w:num w:numId="17" w16cid:durableId="533617442">
    <w:abstractNumId w:val="51"/>
  </w:num>
  <w:num w:numId="18" w16cid:durableId="250312982">
    <w:abstractNumId w:val="11"/>
  </w:num>
  <w:num w:numId="19" w16cid:durableId="385955825">
    <w:abstractNumId w:val="17"/>
  </w:num>
  <w:num w:numId="20" w16cid:durableId="1408189744">
    <w:abstractNumId w:val="34"/>
  </w:num>
  <w:num w:numId="21" w16cid:durableId="1370494809">
    <w:abstractNumId w:val="22"/>
  </w:num>
  <w:num w:numId="22" w16cid:durableId="659580476">
    <w:abstractNumId w:val="15"/>
  </w:num>
  <w:num w:numId="23" w16cid:durableId="2036539326">
    <w:abstractNumId w:val="18"/>
  </w:num>
  <w:num w:numId="24" w16cid:durableId="1303265532">
    <w:abstractNumId w:val="25"/>
  </w:num>
  <w:num w:numId="25" w16cid:durableId="1737582058">
    <w:abstractNumId w:val="43"/>
  </w:num>
  <w:num w:numId="26" w16cid:durableId="974717717">
    <w:abstractNumId w:val="42"/>
  </w:num>
  <w:num w:numId="27" w16cid:durableId="444039133">
    <w:abstractNumId w:val="24"/>
  </w:num>
  <w:num w:numId="28" w16cid:durableId="1536448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9"/>
  </w:num>
  <w:num w:numId="30" w16cid:durableId="1078097849">
    <w:abstractNumId w:val="41"/>
  </w:num>
  <w:num w:numId="31" w16cid:durableId="725029349">
    <w:abstractNumId w:val="26"/>
  </w:num>
  <w:num w:numId="32" w16cid:durableId="1773672465">
    <w:abstractNumId w:val="12"/>
  </w:num>
  <w:num w:numId="33" w16cid:durableId="1905679259">
    <w:abstractNumId w:val="23"/>
  </w:num>
  <w:num w:numId="34" w16cid:durableId="1487628207">
    <w:abstractNumId w:val="54"/>
  </w:num>
  <w:num w:numId="35" w16cid:durableId="73531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37"/>
  </w:num>
  <w:num w:numId="37" w16cid:durableId="69279625">
    <w:abstractNumId w:val="27"/>
  </w:num>
  <w:num w:numId="38" w16cid:durableId="1851287879">
    <w:abstractNumId w:val="16"/>
  </w:num>
  <w:num w:numId="39" w16cid:durableId="55588366">
    <w:abstractNumId w:val="32"/>
  </w:num>
  <w:num w:numId="40" w16cid:durableId="1121069391">
    <w:abstractNumId w:val="20"/>
  </w:num>
  <w:num w:numId="41" w16cid:durableId="1116871652">
    <w:abstractNumId w:val="59"/>
  </w:num>
  <w:num w:numId="42" w16cid:durableId="951934421">
    <w:abstractNumId w:val="10"/>
  </w:num>
  <w:num w:numId="43" w16cid:durableId="1726299899">
    <w:abstractNumId w:val="47"/>
  </w:num>
  <w:num w:numId="44" w16cid:durableId="236015475">
    <w:abstractNumId w:val="36"/>
  </w:num>
  <w:num w:numId="45" w16cid:durableId="1551115791">
    <w:abstractNumId w:val="13"/>
  </w:num>
  <w:num w:numId="46" w16cid:durableId="1070806870">
    <w:abstractNumId w:val="52"/>
  </w:num>
  <w:num w:numId="47" w16cid:durableId="700860756">
    <w:abstractNumId w:val="53"/>
  </w:num>
  <w:num w:numId="48" w16cid:durableId="1457874435">
    <w:abstractNumId w:val="28"/>
  </w:num>
  <w:num w:numId="49" w16cid:durableId="591940102">
    <w:abstractNumId w:val="33"/>
  </w:num>
  <w:num w:numId="50" w16cid:durableId="822083621">
    <w:abstractNumId w:val="44"/>
  </w:num>
  <w:num w:numId="51" w16cid:durableId="2053770546">
    <w:abstractNumId w:val="50"/>
  </w:num>
  <w:num w:numId="52" w16cid:durableId="1003506781">
    <w:abstractNumId w:val="14"/>
  </w:num>
  <w:num w:numId="53" w16cid:durableId="1826043582">
    <w:abstractNumId w:val="30"/>
  </w:num>
  <w:num w:numId="54" w16cid:durableId="952974910">
    <w:abstractNumId w:val="21"/>
  </w:num>
  <w:num w:numId="55" w16cid:durableId="576520614">
    <w:abstractNumId w:val="46"/>
  </w:num>
  <w:num w:numId="56" w16cid:durableId="1142113009">
    <w:abstractNumId w:val="38"/>
  </w:num>
  <w:num w:numId="57" w16cid:durableId="625337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33240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456023">
    <w:abstractNumId w:val="35"/>
  </w:num>
  <w:num w:numId="60" w16cid:durableId="1044407262">
    <w:abstractNumId w:val="29"/>
  </w:num>
  <w:num w:numId="61" w16cid:durableId="1740903541">
    <w:abstractNumId w:val="57"/>
  </w:num>
  <w:num w:numId="62" w16cid:durableId="909925452">
    <w:abstractNumId w:val="45"/>
  </w:num>
  <w:num w:numId="63" w16cid:durableId="1999260542">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B5"/>
    <w:rsid w:val="000016E9"/>
    <w:rsid w:val="00016ED0"/>
    <w:rsid w:val="00023064"/>
    <w:rsid w:val="000240BE"/>
    <w:rsid w:val="000300AF"/>
    <w:rsid w:val="0003148A"/>
    <w:rsid w:val="00043E94"/>
    <w:rsid w:val="000518A9"/>
    <w:rsid w:val="000544C0"/>
    <w:rsid w:val="00062784"/>
    <w:rsid w:val="000675B5"/>
    <w:rsid w:val="000724AE"/>
    <w:rsid w:val="0007747C"/>
    <w:rsid w:val="0008037D"/>
    <w:rsid w:val="00084807"/>
    <w:rsid w:val="00086F51"/>
    <w:rsid w:val="000910E4"/>
    <w:rsid w:val="00092650"/>
    <w:rsid w:val="000940E3"/>
    <w:rsid w:val="000A2943"/>
    <w:rsid w:val="000B12A3"/>
    <w:rsid w:val="000B497F"/>
    <w:rsid w:val="000C1AA9"/>
    <w:rsid w:val="000D2BB2"/>
    <w:rsid w:val="000D3DF9"/>
    <w:rsid w:val="000E0634"/>
    <w:rsid w:val="000E2460"/>
    <w:rsid w:val="000E3476"/>
    <w:rsid w:val="000E5F58"/>
    <w:rsid w:val="000F2D16"/>
    <w:rsid w:val="000F44AE"/>
    <w:rsid w:val="0010129F"/>
    <w:rsid w:val="001038C0"/>
    <w:rsid w:val="00110345"/>
    <w:rsid w:val="00110AC2"/>
    <w:rsid w:val="00112E8F"/>
    <w:rsid w:val="001166BF"/>
    <w:rsid w:val="001218F6"/>
    <w:rsid w:val="001268BC"/>
    <w:rsid w:val="00136994"/>
    <w:rsid w:val="00147E0F"/>
    <w:rsid w:val="001530CA"/>
    <w:rsid w:val="001570B0"/>
    <w:rsid w:val="00161ED3"/>
    <w:rsid w:val="00162DF5"/>
    <w:rsid w:val="00166F43"/>
    <w:rsid w:val="001679F6"/>
    <w:rsid w:val="001752B9"/>
    <w:rsid w:val="001946B2"/>
    <w:rsid w:val="00194913"/>
    <w:rsid w:val="00196573"/>
    <w:rsid w:val="001A067F"/>
    <w:rsid w:val="001A0D77"/>
    <w:rsid w:val="001A791E"/>
    <w:rsid w:val="001B05D1"/>
    <w:rsid w:val="001C0D28"/>
    <w:rsid w:val="001C120B"/>
    <w:rsid w:val="001C19AB"/>
    <w:rsid w:val="001C19C4"/>
    <w:rsid w:val="001C7835"/>
    <w:rsid w:val="001D7B04"/>
    <w:rsid w:val="001E2733"/>
    <w:rsid w:val="001E6A25"/>
    <w:rsid w:val="001F13C1"/>
    <w:rsid w:val="001F446D"/>
    <w:rsid w:val="00202FDA"/>
    <w:rsid w:val="00221AB7"/>
    <w:rsid w:val="00240D84"/>
    <w:rsid w:val="00244C7F"/>
    <w:rsid w:val="00246435"/>
    <w:rsid w:val="00246BCF"/>
    <w:rsid w:val="0025786F"/>
    <w:rsid w:val="00257FDA"/>
    <w:rsid w:val="00265D26"/>
    <w:rsid w:val="002669CC"/>
    <w:rsid w:val="00270834"/>
    <w:rsid w:val="0027131C"/>
    <w:rsid w:val="00275638"/>
    <w:rsid w:val="002814E6"/>
    <w:rsid w:val="00281560"/>
    <w:rsid w:val="002867DB"/>
    <w:rsid w:val="00291E48"/>
    <w:rsid w:val="00295C59"/>
    <w:rsid w:val="002961BA"/>
    <w:rsid w:val="00296F32"/>
    <w:rsid w:val="002A1DC0"/>
    <w:rsid w:val="002B55CB"/>
    <w:rsid w:val="002B58BF"/>
    <w:rsid w:val="002C568A"/>
    <w:rsid w:val="002E0053"/>
    <w:rsid w:val="002E0EDA"/>
    <w:rsid w:val="002E1121"/>
    <w:rsid w:val="002E2E27"/>
    <w:rsid w:val="002E394D"/>
    <w:rsid w:val="002E5977"/>
    <w:rsid w:val="002F07B4"/>
    <w:rsid w:val="002F5898"/>
    <w:rsid w:val="00303246"/>
    <w:rsid w:val="00305171"/>
    <w:rsid w:val="00307D93"/>
    <w:rsid w:val="00310B78"/>
    <w:rsid w:val="003126A4"/>
    <w:rsid w:val="00314A0A"/>
    <w:rsid w:val="00314B23"/>
    <w:rsid w:val="00314CF4"/>
    <w:rsid w:val="003200CD"/>
    <w:rsid w:val="00325B29"/>
    <w:rsid w:val="0034056B"/>
    <w:rsid w:val="0034139E"/>
    <w:rsid w:val="00341AD7"/>
    <w:rsid w:val="00341BF0"/>
    <w:rsid w:val="0034680A"/>
    <w:rsid w:val="00347186"/>
    <w:rsid w:val="00352D88"/>
    <w:rsid w:val="00363FF8"/>
    <w:rsid w:val="003676E4"/>
    <w:rsid w:val="00367E08"/>
    <w:rsid w:val="003716BF"/>
    <w:rsid w:val="0037721D"/>
    <w:rsid w:val="00380411"/>
    <w:rsid w:val="0038102A"/>
    <w:rsid w:val="00396C21"/>
    <w:rsid w:val="003A265C"/>
    <w:rsid w:val="003B0042"/>
    <w:rsid w:val="003B0240"/>
    <w:rsid w:val="003B4D30"/>
    <w:rsid w:val="003B7FBF"/>
    <w:rsid w:val="003C4BB9"/>
    <w:rsid w:val="003D0865"/>
    <w:rsid w:val="003D23A3"/>
    <w:rsid w:val="003D3729"/>
    <w:rsid w:val="003D4AD5"/>
    <w:rsid w:val="003D5856"/>
    <w:rsid w:val="003D5C27"/>
    <w:rsid w:val="003D6B75"/>
    <w:rsid w:val="003E13FF"/>
    <w:rsid w:val="003E2F49"/>
    <w:rsid w:val="003E3F16"/>
    <w:rsid w:val="003F1504"/>
    <w:rsid w:val="003F3E17"/>
    <w:rsid w:val="00404E4F"/>
    <w:rsid w:val="00414A66"/>
    <w:rsid w:val="00417493"/>
    <w:rsid w:val="0042339A"/>
    <w:rsid w:val="00424C4D"/>
    <w:rsid w:val="0042508F"/>
    <w:rsid w:val="0042628F"/>
    <w:rsid w:val="00433AEB"/>
    <w:rsid w:val="0044093E"/>
    <w:rsid w:val="00441AFD"/>
    <w:rsid w:val="00444D19"/>
    <w:rsid w:val="0045369B"/>
    <w:rsid w:val="00455000"/>
    <w:rsid w:val="004606DB"/>
    <w:rsid w:val="004635FD"/>
    <w:rsid w:val="00463F84"/>
    <w:rsid w:val="00467EA8"/>
    <w:rsid w:val="00474533"/>
    <w:rsid w:val="00474FEE"/>
    <w:rsid w:val="00480679"/>
    <w:rsid w:val="004843D5"/>
    <w:rsid w:val="004869EF"/>
    <w:rsid w:val="004874C5"/>
    <w:rsid w:val="00496431"/>
    <w:rsid w:val="004A0B66"/>
    <w:rsid w:val="004A65E6"/>
    <w:rsid w:val="004B14B4"/>
    <w:rsid w:val="004B609E"/>
    <w:rsid w:val="004C5DAA"/>
    <w:rsid w:val="004D1958"/>
    <w:rsid w:val="004D31EC"/>
    <w:rsid w:val="004E0833"/>
    <w:rsid w:val="004E28C6"/>
    <w:rsid w:val="004E2E2C"/>
    <w:rsid w:val="004F138F"/>
    <w:rsid w:val="004F5D6B"/>
    <w:rsid w:val="004F7BAD"/>
    <w:rsid w:val="00500FBF"/>
    <w:rsid w:val="00500FD1"/>
    <w:rsid w:val="0050670B"/>
    <w:rsid w:val="00506821"/>
    <w:rsid w:val="005141E8"/>
    <w:rsid w:val="00520B5F"/>
    <w:rsid w:val="00522DBD"/>
    <w:rsid w:val="005270A1"/>
    <w:rsid w:val="00532257"/>
    <w:rsid w:val="00533496"/>
    <w:rsid w:val="00533601"/>
    <w:rsid w:val="00536392"/>
    <w:rsid w:val="00540357"/>
    <w:rsid w:val="0054698D"/>
    <w:rsid w:val="00550C99"/>
    <w:rsid w:val="00553413"/>
    <w:rsid w:val="00554069"/>
    <w:rsid w:val="0056214A"/>
    <w:rsid w:val="00565472"/>
    <w:rsid w:val="0058369E"/>
    <w:rsid w:val="00586DD1"/>
    <w:rsid w:val="00593314"/>
    <w:rsid w:val="00594496"/>
    <w:rsid w:val="005A51A0"/>
    <w:rsid w:val="005B5EAF"/>
    <w:rsid w:val="005C3260"/>
    <w:rsid w:val="005C6618"/>
    <w:rsid w:val="005C678F"/>
    <w:rsid w:val="005F2A44"/>
    <w:rsid w:val="006000EE"/>
    <w:rsid w:val="00603FD5"/>
    <w:rsid w:val="00612014"/>
    <w:rsid w:val="00614E4F"/>
    <w:rsid w:val="00616DC8"/>
    <w:rsid w:val="0062665A"/>
    <w:rsid w:val="00636474"/>
    <w:rsid w:val="00636B67"/>
    <w:rsid w:val="0064122C"/>
    <w:rsid w:val="0064588B"/>
    <w:rsid w:val="00646F3B"/>
    <w:rsid w:val="0065038B"/>
    <w:rsid w:val="0066052D"/>
    <w:rsid w:val="00664BA2"/>
    <w:rsid w:val="00665B82"/>
    <w:rsid w:val="0068724F"/>
    <w:rsid w:val="0069253E"/>
    <w:rsid w:val="00694FF5"/>
    <w:rsid w:val="006A1DEF"/>
    <w:rsid w:val="006A3CC0"/>
    <w:rsid w:val="006A5094"/>
    <w:rsid w:val="006A55CD"/>
    <w:rsid w:val="006B1D4C"/>
    <w:rsid w:val="006B258F"/>
    <w:rsid w:val="006B6F9A"/>
    <w:rsid w:val="006C0063"/>
    <w:rsid w:val="006C26D9"/>
    <w:rsid w:val="006C2E0A"/>
    <w:rsid w:val="006C3CB1"/>
    <w:rsid w:val="006C461E"/>
    <w:rsid w:val="006C473D"/>
    <w:rsid w:val="006C4AF4"/>
    <w:rsid w:val="006C5BA9"/>
    <w:rsid w:val="006D3F2F"/>
    <w:rsid w:val="006D7667"/>
    <w:rsid w:val="006E1737"/>
    <w:rsid w:val="006E3536"/>
    <w:rsid w:val="006F2A81"/>
    <w:rsid w:val="006F2B28"/>
    <w:rsid w:val="006F496D"/>
    <w:rsid w:val="00700AF5"/>
    <w:rsid w:val="00714488"/>
    <w:rsid w:val="00716FA5"/>
    <w:rsid w:val="00717F79"/>
    <w:rsid w:val="00722503"/>
    <w:rsid w:val="007254A7"/>
    <w:rsid w:val="00726C99"/>
    <w:rsid w:val="0073421C"/>
    <w:rsid w:val="00735843"/>
    <w:rsid w:val="007531CC"/>
    <w:rsid w:val="00756647"/>
    <w:rsid w:val="00757FFA"/>
    <w:rsid w:val="00764C77"/>
    <w:rsid w:val="007656F9"/>
    <w:rsid w:val="0076680C"/>
    <w:rsid w:val="0078283C"/>
    <w:rsid w:val="00792868"/>
    <w:rsid w:val="0079751C"/>
    <w:rsid w:val="007A0363"/>
    <w:rsid w:val="007C2EB8"/>
    <w:rsid w:val="007C3FC5"/>
    <w:rsid w:val="007C61C7"/>
    <w:rsid w:val="007D65EE"/>
    <w:rsid w:val="007D6D9B"/>
    <w:rsid w:val="007E677E"/>
    <w:rsid w:val="007E7FE4"/>
    <w:rsid w:val="00800165"/>
    <w:rsid w:val="00806F01"/>
    <w:rsid w:val="0081025D"/>
    <w:rsid w:val="00810D71"/>
    <w:rsid w:val="00813A9A"/>
    <w:rsid w:val="008146DB"/>
    <w:rsid w:val="0081533C"/>
    <w:rsid w:val="0081591F"/>
    <w:rsid w:val="00821A80"/>
    <w:rsid w:val="00822E93"/>
    <w:rsid w:val="00824AA9"/>
    <w:rsid w:val="008300E8"/>
    <w:rsid w:val="00832036"/>
    <w:rsid w:val="00845A6C"/>
    <w:rsid w:val="00845C1F"/>
    <w:rsid w:val="00852634"/>
    <w:rsid w:val="0085372C"/>
    <w:rsid w:val="0085439B"/>
    <w:rsid w:val="00857462"/>
    <w:rsid w:val="00861C68"/>
    <w:rsid w:val="00862BFE"/>
    <w:rsid w:val="00864F36"/>
    <w:rsid w:val="008675AB"/>
    <w:rsid w:val="00883425"/>
    <w:rsid w:val="008861EF"/>
    <w:rsid w:val="008929D4"/>
    <w:rsid w:val="00894A7A"/>
    <w:rsid w:val="00896F09"/>
    <w:rsid w:val="00897F77"/>
    <w:rsid w:val="008A205A"/>
    <w:rsid w:val="008A2BB2"/>
    <w:rsid w:val="008B05C3"/>
    <w:rsid w:val="008B4965"/>
    <w:rsid w:val="008B637D"/>
    <w:rsid w:val="008C1B82"/>
    <w:rsid w:val="008C2DE5"/>
    <w:rsid w:val="008C3B6F"/>
    <w:rsid w:val="008D0947"/>
    <w:rsid w:val="008D1ABD"/>
    <w:rsid w:val="008D760A"/>
    <w:rsid w:val="008E01FD"/>
    <w:rsid w:val="008E3D37"/>
    <w:rsid w:val="008E63CB"/>
    <w:rsid w:val="008E6C54"/>
    <w:rsid w:val="008F70D1"/>
    <w:rsid w:val="0090137A"/>
    <w:rsid w:val="00912290"/>
    <w:rsid w:val="00920CF2"/>
    <w:rsid w:val="00922A8C"/>
    <w:rsid w:val="0092425E"/>
    <w:rsid w:val="009254B8"/>
    <w:rsid w:val="00925CF2"/>
    <w:rsid w:val="00926DEE"/>
    <w:rsid w:val="00926DF7"/>
    <w:rsid w:val="00927541"/>
    <w:rsid w:val="00927FDE"/>
    <w:rsid w:val="00934706"/>
    <w:rsid w:val="00936068"/>
    <w:rsid w:val="009517CC"/>
    <w:rsid w:val="00956A84"/>
    <w:rsid w:val="009615D4"/>
    <w:rsid w:val="00962679"/>
    <w:rsid w:val="00964D2F"/>
    <w:rsid w:val="009701C6"/>
    <w:rsid w:val="00974677"/>
    <w:rsid w:val="00976FDE"/>
    <w:rsid w:val="0098129D"/>
    <w:rsid w:val="00983D00"/>
    <w:rsid w:val="009842E9"/>
    <w:rsid w:val="00984FBC"/>
    <w:rsid w:val="00990D47"/>
    <w:rsid w:val="0099448A"/>
    <w:rsid w:val="009963F3"/>
    <w:rsid w:val="009A1E02"/>
    <w:rsid w:val="009A2F17"/>
    <w:rsid w:val="009A49D1"/>
    <w:rsid w:val="009B2231"/>
    <w:rsid w:val="009B57EC"/>
    <w:rsid w:val="009B7F5D"/>
    <w:rsid w:val="009C779E"/>
    <w:rsid w:val="009D0E18"/>
    <w:rsid w:val="009D24F5"/>
    <w:rsid w:val="009D439E"/>
    <w:rsid w:val="009E684B"/>
    <w:rsid w:val="009E76F0"/>
    <w:rsid w:val="009F3A68"/>
    <w:rsid w:val="009F47CF"/>
    <w:rsid w:val="009F5B49"/>
    <w:rsid w:val="009F6720"/>
    <w:rsid w:val="009F6C5E"/>
    <w:rsid w:val="00A072F3"/>
    <w:rsid w:val="00A11A4B"/>
    <w:rsid w:val="00A12635"/>
    <w:rsid w:val="00A13664"/>
    <w:rsid w:val="00A16667"/>
    <w:rsid w:val="00A16B1F"/>
    <w:rsid w:val="00A16F52"/>
    <w:rsid w:val="00A20BA0"/>
    <w:rsid w:val="00A213CA"/>
    <w:rsid w:val="00A2198A"/>
    <w:rsid w:val="00A24985"/>
    <w:rsid w:val="00A24EF4"/>
    <w:rsid w:val="00A25084"/>
    <w:rsid w:val="00A26760"/>
    <w:rsid w:val="00A3772E"/>
    <w:rsid w:val="00A42FF8"/>
    <w:rsid w:val="00A53F38"/>
    <w:rsid w:val="00A54495"/>
    <w:rsid w:val="00A56535"/>
    <w:rsid w:val="00A60DA0"/>
    <w:rsid w:val="00A6152B"/>
    <w:rsid w:val="00A67DEE"/>
    <w:rsid w:val="00A70B4D"/>
    <w:rsid w:val="00A772BF"/>
    <w:rsid w:val="00A77AB4"/>
    <w:rsid w:val="00A81CCD"/>
    <w:rsid w:val="00A85069"/>
    <w:rsid w:val="00A86FA0"/>
    <w:rsid w:val="00A90151"/>
    <w:rsid w:val="00A932CE"/>
    <w:rsid w:val="00A9359B"/>
    <w:rsid w:val="00A948FC"/>
    <w:rsid w:val="00AA1439"/>
    <w:rsid w:val="00AA148F"/>
    <w:rsid w:val="00AA163B"/>
    <w:rsid w:val="00AA3B9E"/>
    <w:rsid w:val="00AB54FC"/>
    <w:rsid w:val="00AB5F12"/>
    <w:rsid w:val="00AC0558"/>
    <w:rsid w:val="00AC2373"/>
    <w:rsid w:val="00AC24BE"/>
    <w:rsid w:val="00AC3934"/>
    <w:rsid w:val="00AC510A"/>
    <w:rsid w:val="00AE1D50"/>
    <w:rsid w:val="00AE24DE"/>
    <w:rsid w:val="00AE7DB6"/>
    <w:rsid w:val="00AF4172"/>
    <w:rsid w:val="00AF7956"/>
    <w:rsid w:val="00B02560"/>
    <w:rsid w:val="00B0350D"/>
    <w:rsid w:val="00B10776"/>
    <w:rsid w:val="00B22D9D"/>
    <w:rsid w:val="00B233A2"/>
    <w:rsid w:val="00B23603"/>
    <w:rsid w:val="00B25616"/>
    <w:rsid w:val="00B300C0"/>
    <w:rsid w:val="00B32D6C"/>
    <w:rsid w:val="00B3365C"/>
    <w:rsid w:val="00B34B72"/>
    <w:rsid w:val="00B3749D"/>
    <w:rsid w:val="00B44103"/>
    <w:rsid w:val="00B45AB3"/>
    <w:rsid w:val="00B52EB3"/>
    <w:rsid w:val="00B56365"/>
    <w:rsid w:val="00B57C8C"/>
    <w:rsid w:val="00B6500F"/>
    <w:rsid w:val="00B65DAA"/>
    <w:rsid w:val="00B66B2F"/>
    <w:rsid w:val="00B74F7F"/>
    <w:rsid w:val="00B75B08"/>
    <w:rsid w:val="00B8401F"/>
    <w:rsid w:val="00B87859"/>
    <w:rsid w:val="00B91D47"/>
    <w:rsid w:val="00B95E52"/>
    <w:rsid w:val="00BA3CB8"/>
    <w:rsid w:val="00BA7623"/>
    <w:rsid w:val="00BC07D8"/>
    <w:rsid w:val="00BC3751"/>
    <w:rsid w:val="00BD7117"/>
    <w:rsid w:val="00BE34E0"/>
    <w:rsid w:val="00BF3799"/>
    <w:rsid w:val="00BF68C8"/>
    <w:rsid w:val="00C01E68"/>
    <w:rsid w:val="00C0794B"/>
    <w:rsid w:val="00C11265"/>
    <w:rsid w:val="00C11924"/>
    <w:rsid w:val="00C11BA4"/>
    <w:rsid w:val="00C12CF1"/>
    <w:rsid w:val="00C14371"/>
    <w:rsid w:val="00C2094D"/>
    <w:rsid w:val="00C326F9"/>
    <w:rsid w:val="00C32C6B"/>
    <w:rsid w:val="00C34C8E"/>
    <w:rsid w:val="00C37A29"/>
    <w:rsid w:val="00C41526"/>
    <w:rsid w:val="00C41DED"/>
    <w:rsid w:val="00C4455D"/>
    <w:rsid w:val="00C55BE1"/>
    <w:rsid w:val="00C647B0"/>
    <w:rsid w:val="00C70EFC"/>
    <w:rsid w:val="00C7423C"/>
    <w:rsid w:val="00C75834"/>
    <w:rsid w:val="00C8367B"/>
    <w:rsid w:val="00C86ACC"/>
    <w:rsid w:val="00C932F3"/>
    <w:rsid w:val="00C947C7"/>
    <w:rsid w:val="00CA06C6"/>
    <w:rsid w:val="00CA1FCA"/>
    <w:rsid w:val="00CA2951"/>
    <w:rsid w:val="00CA3029"/>
    <w:rsid w:val="00CA3270"/>
    <w:rsid w:val="00CB00AD"/>
    <w:rsid w:val="00CB1B7E"/>
    <w:rsid w:val="00CB1E32"/>
    <w:rsid w:val="00CB1F6C"/>
    <w:rsid w:val="00CC1265"/>
    <w:rsid w:val="00CC4334"/>
    <w:rsid w:val="00CD2DAD"/>
    <w:rsid w:val="00CD61EB"/>
    <w:rsid w:val="00CD7D2A"/>
    <w:rsid w:val="00CF02F0"/>
    <w:rsid w:val="00CF169C"/>
    <w:rsid w:val="00CF551D"/>
    <w:rsid w:val="00D07E20"/>
    <w:rsid w:val="00D103E7"/>
    <w:rsid w:val="00D115EF"/>
    <w:rsid w:val="00D16F74"/>
    <w:rsid w:val="00D215C3"/>
    <w:rsid w:val="00D27756"/>
    <w:rsid w:val="00D318A0"/>
    <w:rsid w:val="00D32147"/>
    <w:rsid w:val="00D34FB0"/>
    <w:rsid w:val="00D603B8"/>
    <w:rsid w:val="00D60649"/>
    <w:rsid w:val="00D61E88"/>
    <w:rsid w:val="00D6252E"/>
    <w:rsid w:val="00D70E45"/>
    <w:rsid w:val="00D73779"/>
    <w:rsid w:val="00D73854"/>
    <w:rsid w:val="00D8182F"/>
    <w:rsid w:val="00D83767"/>
    <w:rsid w:val="00D83923"/>
    <w:rsid w:val="00D85E42"/>
    <w:rsid w:val="00D9419D"/>
    <w:rsid w:val="00DA25D1"/>
    <w:rsid w:val="00DB514C"/>
    <w:rsid w:val="00DB55C5"/>
    <w:rsid w:val="00DB7434"/>
    <w:rsid w:val="00DB7691"/>
    <w:rsid w:val="00DC2DE4"/>
    <w:rsid w:val="00DD3C7C"/>
    <w:rsid w:val="00DE4B6F"/>
    <w:rsid w:val="00DE59FB"/>
    <w:rsid w:val="00DE602B"/>
    <w:rsid w:val="00DF458B"/>
    <w:rsid w:val="00DF4E3E"/>
    <w:rsid w:val="00DF554E"/>
    <w:rsid w:val="00DF6246"/>
    <w:rsid w:val="00E0453D"/>
    <w:rsid w:val="00E054D4"/>
    <w:rsid w:val="00E05FA6"/>
    <w:rsid w:val="00E06982"/>
    <w:rsid w:val="00E1049C"/>
    <w:rsid w:val="00E25474"/>
    <w:rsid w:val="00E32F93"/>
    <w:rsid w:val="00E37704"/>
    <w:rsid w:val="00E40B58"/>
    <w:rsid w:val="00E411F2"/>
    <w:rsid w:val="00E42A61"/>
    <w:rsid w:val="00E51BD9"/>
    <w:rsid w:val="00E544A9"/>
    <w:rsid w:val="00E54B2B"/>
    <w:rsid w:val="00E55CAE"/>
    <w:rsid w:val="00E56699"/>
    <w:rsid w:val="00E56A45"/>
    <w:rsid w:val="00E57239"/>
    <w:rsid w:val="00E57CEC"/>
    <w:rsid w:val="00E61A69"/>
    <w:rsid w:val="00E634F4"/>
    <w:rsid w:val="00E637A7"/>
    <w:rsid w:val="00E65C52"/>
    <w:rsid w:val="00E70A18"/>
    <w:rsid w:val="00E7522A"/>
    <w:rsid w:val="00E75FCA"/>
    <w:rsid w:val="00E77DBD"/>
    <w:rsid w:val="00E8401D"/>
    <w:rsid w:val="00E909C5"/>
    <w:rsid w:val="00E90E1C"/>
    <w:rsid w:val="00E9249A"/>
    <w:rsid w:val="00EA1943"/>
    <w:rsid w:val="00EA3594"/>
    <w:rsid w:val="00EA6325"/>
    <w:rsid w:val="00EB38C2"/>
    <w:rsid w:val="00EB4BAD"/>
    <w:rsid w:val="00EB7631"/>
    <w:rsid w:val="00EC64F4"/>
    <w:rsid w:val="00ED380C"/>
    <w:rsid w:val="00ED59AB"/>
    <w:rsid w:val="00EE4DFE"/>
    <w:rsid w:val="00EE6F14"/>
    <w:rsid w:val="00EF0EDF"/>
    <w:rsid w:val="00EF15E1"/>
    <w:rsid w:val="00EF3F23"/>
    <w:rsid w:val="00F05A49"/>
    <w:rsid w:val="00F10958"/>
    <w:rsid w:val="00F162D4"/>
    <w:rsid w:val="00F242CA"/>
    <w:rsid w:val="00F2539F"/>
    <w:rsid w:val="00F27369"/>
    <w:rsid w:val="00F32882"/>
    <w:rsid w:val="00F32EA7"/>
    <w:rsid w:val="00F37081"/>
    <w:rsid w:val="00F370A9"/>
    <w:rsid w:val="00F4010B"/>
    <w:rsid w:val="00F40766"/>
    <w:rsid w:val="00F43467"/>
    <w:rsid w:val="00F4702C"/>
    <w:rsid w:val="00F47F1C"/>
    <w:rsid w:val="00F505B8"/>
    <w:rsid w:val="00F52667"/>
    <w:rsid w:val="00F53147"/>
    <w:rsid w:val="00F53397"/>
    <w:rsid w:val="00F625FE"/>
    <w:rsid w:val="00F634F6"/>
    <w:rsid w:val="00F649E5"/>
    <w:rsid w:val="00F76F46"/>
    <w:rsid w:val="00F85592"/>
    <w:rsid w:val="00F87B07"/>
    <w:rsid w:val="00F934BC"/>
    <w:rsid w:val="00F94880"/>
    <w:rsid w:val="00F94948"/>
    <w:rsid w:val="00F955D5"/>
    <w:rsid w:val="00FA3DC4"/>
    <w:rsid w:val="00FA5819"/>
    <w:rsid w:val="00FB0D65"/>
    <w:rsid w:val="00FB1EA0"/>
    <w:rsid w:val="00FC1603"/>
    <w:rsid w:val="00FC2D8B"/>
    <w:rsid w:val="00FC4AF2"/>
    <w:rsid w:val="00FD1FAC"/>
    <w:rsid w:val="00FD2DF7"/>
    <w:rsid w:val="00FD2FF6"/>
    <w:rsid w:val="00FD3306"/>
    <w:rsid w:val="00FD3B15"/>
    <w:rsid w:val="00FE22BA"/>
    <w:rsid w:val="00FE2BA0"/>
    <w:rsid w:val="00FE35D0"/>
    <w:rsid w:val="00FE57D8"/>
    <w:rsid w:val="00FF3D72"/>
    <w:rsid w:val="00FF48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45A0"/>
  <w15:chartTrackingRefBased/>
  <w15:docId w15:val="{A922E97F-5713-45D9-8011-ED0236D0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tabs>
        <w:tab w:val="clear" w:pos="680"/>
        <w:tab w:val="num" w:pos="360"/>
      </w:tabs>
      <w:ind w:left="0" w:firstLine="0"/>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Intro">
    <w:name w:val="Intro"/>
    <w:basedOn w:val="Normal"/>
    <w:uiPriority w:val="99"/>
    <w:qFormat/>
    <w:rsid w:val="003716BF"/>
    <w:pPr>
      <w:widowControl w:val="0"/>
      <w:suppressAutoHyphens/>
      <w:autoSpaceDE w:val="0"/>
      <w:autoSpaceDN w:val="0"/>
      <w:adjustRightInd w:val="0"/>
      <w:spacing w:before="0" w:after="283" w:line="288" w:lineRule="auto"/>
      <w:textAlignment w:val="center"/>
    </w:pPr>
    <w:rPr>
      <w:rFonts w:ascii="Calibri" w:eastAsia="Calibri" w:hAnsi="Calibri" w:cs="National-Book"/>
      <w:color w:val="380094"/>
      <w:sz w:val="28"/>
      <w:szCs w:val="28"/>
      <w:lang w:val="en-US"/>
    </w:rPr>
  </w:style>
  <w:style w:type="numbering" w:styleId="111111">
    <w:name w:val="Outline List 2"/>
    <w:basedOn w:val="NoList"/>
    <w:uiPriority w:val="99"/>
    <w:semiHidden/>
    <w:unhideWhenUsed/>
    <w:rsid w:val="003716BF"/>
    <w:pPr>
      <w:numPr>
        <w:numId w:val="37"/>
      </w:numPr>
    </w:pPr>
  </w:style>
  <w:style w:type="paragraph" w:customStyle="1" w:styleId="SectionHeading">
    <w:name w:val="Section Heading"/>
    <w:basedOn w:val="Heading1"/>
    <w:qFormat/>
    <w:rsid w:val="003716BF"/>
    <w:pPr>
      <w:keepNext w:val="0"/>
      <w:keepLines w:val="0"/>
      <w:numPr>
        <w:numId w:val="38"/>
      </w:numPr>
      <w:spacing w:before="0" w:after="120"/>
    </w:pPr>
    <w:rPr>
      <w:rFonts w:ascii="Calibri" w:eastAsia="Times New Roman" w:hAnsi="Calibri" w:cs="Times New Roman"/>
      <w:b/>
      <w:color w:val="5620A9"/>
      <w:sz w:val="22"/>
      <w:lang w:val="en-GB"/>
    </w:rPr>
  </w:style>
  <w:style w:type="paragraph" w:customStyle="1" w:styleId="SectionSubhead">
    <w:name w:val="Section Subhead"/>
    <w:basedOn w:val="Heading2"/>
    <w:qFormat/>
    <w:rsid w:val="003716BF"/>
    <w:pPr>
      <w:keepNext w:val="0"/>
      <w:keepLines w:val="0"/>
      <w:numPr>
        <w:ilvl w:val="1"/>
        <w:numId w:val="38"/>
      </w:numPr>
      <w:spacing w:before="120" w:after="160"/>
      <w:ind w:left="0" w:firstLine="6"/>
    </w:pPr>
    <w:rPr>
      <w:rFonts w:ascii="Calibri" w:eastAsia="Times New Roman" w:hAnsi="Calibri" w:cs="Times New Roman"/>
      <w:b/>
      <w:color w:val="55565A"/>
      <w:sz w:val="22"/>
      <w:lang w:val="en-GB"/>
    </w:rPr>
  </w:style>
  <w:style w:type="paragraph" w:customStyle="1" w:styleId="TableParagraph">
    <w:name w:val="Table Paragraph"/>
    <w:basedOn w:val="Normal"/>
    <w:uiPriority w:val="1"/>
    <w:qFormat/>
    <w:rsid w:val="0034056B"/>
    <w:pPr>
      <w:widowControl w:val="0"/>
      <w:autoSpaceDE w:val="0"/>
      <w:autoSpaceDN w:val="0"/>
      <w:spacing w:before="113" w:after="0" w:line="240" w:lineRule="auto"/>
      <w:ind w:left="107"/>
    </w:pPr>
    <w:rPr>
      <w:rFonts w:ascii="Arial" w:eastAsia="Arial" w:hAnsi="Arial" w:cs="Arial"/>
      <w:lang w:eastAsia="en-AU" w:bidi="en-AU"/>
    </w:rPr>
  </w:style>
  <w:style w:type="paragraph" w:styleId="CommentText">
    <w:name w:val="annotation text"/>
    <w:basedOn w:val="Normal"/>
    <w:link w:val="CommentTextChar"/>
    <w:uiPriority w:val="99"/>
    <w:unhideWhenUsed/>
    <w:rsid w:val="00F2539F"/>
    <w:pPr>
      <w:spacing w:line="240" w:lineRule="auto"/>
    </w:pPr>
    <w:rPr>
      <w:sz w:val="20"/>
      <w:szCs w:val="20"/>
    </w:rPr>
  </w:style>
  <w:style w:type="character" w:customStyle="1" w:styleId="CommentTextChar">
    <w:name w:val="Comment Text Char"/>
    <w:basedOn w:val="DefaultParagraphFont"/>
    <w:link w:val="CommentText"/>
    <w:uiPriority w:val="99"/>
    <w:rsid w:val="00F2539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F2539F"/>
    <w:rPr>
      <w:b/>
      <w:bCs/>
    </w:rPr>
  </w:style>
  <w:style w:type="character" w:customStyle="1" w:styleId="CommentSubjectChar">
    <w:name w:val="Comment Subject Char"/>
    <w:basedOn w:val="CommentTextChar"/>
    <w:link w:val="CommentSubject"/>
    <w:uiPriority w:val="99"/>
    <w:semiHidden/>
    <w:rsid w:val="00F2539F"/>
    <w:rPr>
      <w:rFonts w:asciiTheme="majorHAnsi" w:hAnsiTheme="majorHAnsi"/>
      <w:b/>
      <w:bCs/>
      <w:sz w:val="20"/>
      <w:szCs w:val="20"/>
    </w:rPr>
  </w:style>
  <w:style w:type="character" w:customStyle="1" w:styleId="cf01">
    <w:name w:val="cf01"/>
    <w:basedOn w:val="DefaultParagraphFont"/>
    <w:rsid w:val="00665B82"/>
    <w:rPr>
      <w:rFonts w:ascii="Segoe UI" w:hAnsi="Segoe UI" w:cs="Segoe UI" w:hint="default"/>
      <w:sz w:val="18"/>
      <w:szCs w:val="18"/>
    </w:rPr>
  </w:style>
  <w:style w:type="paragraph" w:styleId="Revision">
    <w:name w:val="Revision"/>
    <w:hidden/>
    <w:uiPriority w:val="99"/>
    <w:semiHidden/>
    <w:rsid w:val="008861EF"/>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E5723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9403">
      <w:bodyDiv w:val="1"/>
      <w:marLeft w:val="0"/>
      <w:marRight w:val="0"/>
      <w:marTop w:val="0"/>
      <w:marBottom w:val="0"/>
      <w:divBdr>
        <w:top w:val="none" w:sz="0" w:space="0" w:color="auto"/>
        <w:left w:val="none" w:sz="0" w:space="0" w:color="auto"/>
        <w:bottom w:val="none" w:sz="0" w:space="0" w:color="auto"/>
        <w:right w:val="none" w:sz="0" w:space="0" w:color="auto"/>
      </w:divBdr>
    </w:div>
    <w:div w:id="179322938">
      <w:bodyDiv w:val="1"/>
      <w:marLeft w:val="0"/>
      <w:marRight w:val="0"/>
      <w:marTop w:val="0"/>
      <w:marBottom w:val="0"/>
      <w:divBdr>
        <w:top w:val="none" w:sz="0" w:space="0" w:color="auto"/>
        <w:left w:val="none" w:sz="0" w:space="0" w:color="auto"/>
        <w:bottom w:val="none" w:sz="0" w:space="0" w:color="auto"/>
        <w:right w:val="none" w:sz="0" w:space="0" w:color="auto"/>
      </w:divBdr>
    </w:div>
    <w:div w:id="366223585">
      <w:bodyDiv w:val="1"/>
      <w:marLeft w:val="0"/>
      <w:marRight w:val="0"/>
      <w:marTop w:val="0"/>
      <w:marBottom w:val="0"/>
      <w:divBdr>
        <w:top w:val="none" w:sz="0" w:space="0" w:color="auto"/>
        <w:left w:val="none" w:sz="0" w:space="0" w:color="auto"/>
        <w:bottom w:val="none" w:sz="0" w:space="0" w:color="auto"/>
        <w:right w:val="none" w:sz="0" w:space="0" w:color="auto"/>
      </w:divBdr>
    </w:div>
    <w:div w:id="410976664">
      <w:bodyDiv w:val="1"/>
      <w:marLeft w:val="0"/>
      <w:marRight w:val="0"/>
      <w:marTop w:val="0"/>
      <w:marBottom w:val="0"/>
      <w:divBdr>
        <w:top w:val="none" w:sz="0" w:space="0" w:color="auto"/>
        <w:left w:val="none" w:sz="0" w:space="0" w:color="auto"/>
        <w:bottom w:val="none" w:sz="0" w:space="0" w:color="auto"/>
        <w:right w:val="none" w:sz="0" w:space="0" w:color="auto"/>
      </w:divBdr>
    </w:div>
    <w:div w:id="439955538">
      <w:bodyDiv w:val="1"/>
      <w:marLeft w:val="0"/>
      <w:marRight w:val="0"/>
      <w:marTop w:val="0"/>
      <w:marBottom w:val="0"/>
      <w:divBdr>
        <w:top w:val="none" w:sz="0" w:space="0" w:color="auto"/>
        <w:left w:val="none" w:sz="0" w:space="0" w:color="auto"/>
        <w:bottom w:val="none" w:sz="0" w:space="0" w:color="auto"/>
        <w:right w:val="none" w:sz="0" w:space="0" w:color="auto"/>
      </w:divBdr>
      <w:divsChild>
        <w:div w:id="1839347776">
          <w:marLeft w:val="0"/>
          <w:marRight w:val="0"/>
          <w:marTop w:val="0"/>
          <w:marBottom w:val="0"/>
          <w:divBdr>
            <w:top w:val="none" w:sz="0" w:space="0" w:color="auto"/>
            <w:left w:val="none" w:sz="0" w:space="0" w:color="auto"/>
            <w:bottom w:val="none" w:sz="0" w:space="0" w:color="auto"/>
            <w:right w:val="none" w:sz="0" w:space="0" w:color="auto"/>
          </w:divBdr>
          <w:divsChild>
            <w:div w:id="560599668">
              <w:marLeft w:val="0"/>
              <w:marRight w:val="0"/>
              <w:marTop w:val="0"/>
              <w:marBottom w:val="0"/>
              <w:divBdr>
                <w:top w:val="none" w:sz="0" w:space="0" w:color="auto"/>
                <w:left w:val="none" w:sz="0" w:space="0" w:color="auto"/>
                <w:bottom w:val="none" w:sz="0" w:space="0" w:color="auto"/>
                <w:right w:val="none" w:sz="0" w:space="0" w:color="auto"/>
              </w:divBdr>
              <w:divsChild>
                <w:div w:id="35742314">
                  <w:marLeft w:val="0"/>
                  <w:marRight w:val="0"/>
                  <w:marTop w:val="0"/>
                  <w:marBottom w:val="0"/>
                  <w:divBdr>
                    <w:top w:val="none" w:sz="0" w:space="0" w:color="auto"/>
                    <w:left w:val="none" w:sz="0" w:space="0" w:color="auto"/>
                    <w:bottom w:val="none" w:sz="0" w:space="0" w:color="auto"/>
                    <w:right w:val="none" w:sz="0" w:space="0" w:color="auto"/>
                  </w:divBdr>
                  <w:divsChild>
                    <w:div w:id="2143232850">
                      <w:marLeft w:val="0"/>
                      <w:marRight w:val="0"/>
                      <w:marTop w:val="0"/>
                      <w:marBottom w:val="0"/>
                      <w:divBdr>
                        <w:top w:val="none" w:sz="0" w:space="0" w:color="auto"/>
                        <w:left w:val="none" w:sz="0" w:space="0" w:color="auto"/>
                        <w:bottom w:val="none" w:sz="0" w:space="0" w:color="auto"/>
                        <w:right w:val="none" w:sz="0" w:space="0" w:color="auto"/>
                      </w:divBdr>
                    </w:div>
                  </w:divsChild>
                </w:div>
                <w:div w:id="65691908">
                  <w:marLeft w:val="0"/>
                  <w:marRight w:val="0"/>
                  <w:marTop w:val="0"/>
                  <w:marBottom w:val="0"/>
                  <w:divBdr>
                    <w:top w:val="none" w:sz="0" w:space="0" w:color="auto"/>
                    <w:left w:val="none" w:sz="0" w:space="0" w:color="auto"/>
                    <w:bottom w:val="none" w:sz="0" w:space="0" w:color="auto"/>
                    <w:right w:val="none" w:sz="0" w:space="0" w:color="auto"/>
                  </w:divBdr>
                  <w:divsChild>
                    <w:div w:id="1990208045">
                      <w:marLeft w:val="0"/>
                      <w:marRight w:val="0"/>
                      <w:marTop w:val="0"/>
                      <w:marBottom w:val="0"/>
                      <w:divBdr>
                        <w:top w:val="none" w:sz="0" w:space="0" w:color="auto"/>
                        <w:left w:val="none" w:sz="0" w:space="0" w:color="auto"/>
                        <w:bottom w:val="none" w:sz="0" w:space="0" w:color="auto"/>
                        <w:right w:val="none" w:sz="0" w:space="0" w:color="auto"/>
                      </w:divBdr>
                    </w:div>
                  </w:divsChild>
                </w:div>
                <w:div w:id="114374260">
                  <w:marLeft w:val="0"/>
                  <w:marRight w:val="0"/>
                  <w:marTop w:val="0"/>
                  <w:marBottom w:val="0"/>
                  <w:divBdr>
                    <w:top w:val="none" w:sz="0" w:space="0" w:color="auto"/>
                    <w:left w:val="none" w:sz="0" w:space="0" w:color="auto"/>
                    <w:bottom w:val="none" w:sz="0" w:space="0" w:color="auto"/>
                    <w:right w:val="none" w:sz="0" w:space="0" w:color="auto"/>
                  </w:divBdr>
                  <w:divsChild>
                    <w:div w:id="620191033">
                      <w:marLeft w:val="0"/>
                      <w:marRight w:val="0"/>
                      <w:marTop w:val="0"/>
                      <w:marBottom w:val="0"/>
                      <w:divBdr>
                        <w:top w:val="none" w:sz="0" w:space="0" w:color="auto"/>
                        <w:left w:val="none" w:sz="0" w:space="0" w:color="auto"/>
                        <w:bottom w:val="none" w:sz="0" w:space="0" w:color="auto"/>
                        <w:right w:val="none" w:sz="0" w:space="0" w:color="auto"/>
                      </w:divBdr>
                    </w:div>
                  </w:divsChild>
                </w:div>
                <w:div w:id="158891553">
                  <w:marLeft w:val="0"/>
                  <w:marRight w:val="0"/>
                  <w:marTop w:val="0"/>
                  <w:marBottom w:val="0"/>
                  <w:divBdr>
                    <w:top w:val="none" w:sz="0" w:space="0" w:color="auto"/>
                    <w:left w:val="none" w:sz="0" w:space="0" w:color="auto"/>
                    <w:bottom w:val="none" w:sz="0" w:space="0" w:color="auto"/>
                    <w:right w:val="none" w:sz="0" w:space="0" w:color="auto"/>
                  </w:divBdr>
                  <w:divsChild>
                    <w:div w:id="869686058">
                      <w:marLeft w:val="0"/>
                      <w:marRight w:val="0"/>
                      <w:marTop w:val="0"/>
                      <w:marBottom w:val="0"/>
                      <w:divBdr>
                        <w:top w:val="none" w:sz="0" w:space="0" w:color="auto"/>
                        <w:left w:val="none" w:sz="0" w:space="0" w:color="auto"/>
                        <w:bottom w:val="none" w:sz="0" w:space="0" w:color="auto"/>
                        <w:right w:val="none" w:sz="0" w:space="0" w:color="auto"/>
                      </w:divBdr>
                    </w:div>
                  </w:divsChild>
                </w:div>
                <w:div w:id="232936617">
                  <w:marLeft w:val="0"/>
                  <w:marRight w:val="0"/>
                  <w:marTop w:val="0"/>
                  <w:marBottom w:val="0"/>
                  <w:divBdr>
                    <w:top w:val="none" w:sz="0" w:space="0" w:color="auto"/>
                    <w:left w:val="none" w:sz="0" w:space="0" w:color="auto"/>
                    <w:bottom w:val="none" w:sz="0" w:space="0" w:color="auto"/>
                    <w:right w:val="none" w:sz="0" w:space="0" w:color="auto"/>
                  </w:divBdr>
                  <w:divsChild>
                    <w:div w:id="1132093857">
                      <w:marLeft w:val="0"/>
                      <w:marRight w:val="0"/>
                      <w:marTop w:val="0"/>
                      <w:marBottom w:val="0"/>
                      <w:divBdr>
                        <w:top w:val="none" w:sz="0" w:space="0" w:color="auto"/>
                        <w:left w:val="none" w:sz="0" w:space="0" w:color="auto"/>
                        <w:bottom w:val="none" w:sz="0" w:space="0" w:color="auto"/>
                        <w:right w:val="none" w:sz="0" w:space="0" w:color="auto"/>
                      </w:divBdr>
                    </w:div>
                  </w:divsChild>
                </w:div>
                <w:div w:id="301623039">
                  <w:marLeft w:val="0"/>
                  <w:marRight w:val="0"/>
                  <w:marTop w:val="0"/>
                  <w:marBottom w:val="0"/>
                  <w:divBdr>
                    <w:top w:val="none" w:sz="0" w:space="0" w:color="auto"/>
                    <w:left w:val="none" w:sz="0" w:space="0" w:color="auto"/>
                    <w:bottom w:val="none" w:sz="0" w:space="0" w:color="auto"/>
                    <w:right w:val="none" w:sz="0" w:space="0" w:color="auto"/>
                  </w:divBdr>
                  <w:divsChild>
                    <w:div w:id="1871338539">
                      <w:marLeft w:val="0"/>
                      <w:marRight w:val="0"/>
                      <w:marTop w:val="0"/>
                      <w:marBottom w:val="0"/>
                      <w:divBdr>
                        <w:top w:val="none" w:sz="0" w:space="0" w:color="auto"/>
                        <w:left w:val="none" w:sz="0" w:space="0" w:color="auto"/>
                        <w:bottom w:val="none" w:sz="0" w:space="0" w:color="auto"/>
                        <w:right w:val="none" w:sz="0" w:space="0" w:color="auto"/>
                      </w:divBdr>
                    </w:div>
                  </w:divsChild>
                </w:div>
                <w:div w:id="361519724">
                  <w:marLeft w:val="0"/>
                  <w:marRight w:val="0"/>
                  <w:marTop w:val="0"/>
                  <w:marBottom w:val="0"/>
                  <w:divBdr>
                    <w:top w:val="none" w:sz="0" w:space="0" w:color="auto"/>
                    <w:left w:val="none" w:sz="0" w:space="0" w:color="auto"/>
                    <w:bottom w:val="none" w:sz="0" w:space="0" w:color="auto"/>
                    <w:right w:val="none" w:sz="0" w:space="0" w:color="auto"/>
                  </w:divBdr>
                  <w:divsChild>
                    <w:div w:id="1560248296">
                      <w:marLeft w:val="0"/>
                      <w:marRight w:val="0"/>
                      <w:marTop w:val="0"/>
                      <w:marBottom w:val="0"/>
                      <w:divBdr>
                        <w:top w:val="none" w:sz="0" w:space="0" w:color="auto"/>
                        <w:left w:val="none" w:sz="0" w:space="0" w:color="auto"/>
                        <w:bottom w:val="none" w:sz="0" w:space="0" w:color="auto"/>
                        <w:right w:val="none" w:sz="0" w:space="0" w:color="auto"/>
                      </w:divBdr>
                    </w:div>
                  </w:divsChild>
                </w:div>
                <w:div w:id="736364439">
                  <w:marLeft w:val="0"/>
                  <w:marRight w:val="0"/>
                  <w:marTop w:val="0"/>
                  <w:marBottom w:val="0"/>
                  <w:divBdr>
                    <w:top w:val="none" w:sz="0" w:space="0" w:color="auto"/>
                    <w:left w:val="none" w:sz="0" w:space="0" w:color="auto"/>
                    <w:bottom w:val="none" w:sz="0" w:space="0" w:color="auto"/>
                    <w:right w:val="none" w:sz="0" w:space="0" w:color="auto"/>
                  </w:divBdr>
                  <w:divsChild>
                    <w:div w:id="1785029173">
                      <w:marLeft w:val="0"/>
                      <w:marRight w:val="0"/>
                      <w:marTop w:val="0"/>
                      <w:marBottom w:val="0"/>
                      <w:divBdr>
                        <w:top w:val="none" w:sz="0" w:space="0" w:color="auto"/>
                        <w:left w:val="none" w:sz="0" w:space="0" w:color="auto"/>
                        <w:bottom w:val="none" w:sz="0" w:space="0" w:color="auto"/>
                        <w:right w:val="none" w:sz="0" w:space="0" w:color="auto"/>
                      </w:divBdr>
                    </w:div>
                  </w:divsChild>
                </w:div>
                <w:div w:id="736703655">
                  <w:marLeft w:val="0"/>
                  <w:marRight w:val="0"/>
                  <w:marTop w:val="0"/>
                  <w:marBottom w:val="0"/>
                  <w:divBdr>
                    <w:top w:val="none" w:sz="0" w:space="0" w:color="auto"/>
                    <w:left w:val="none" w:sz="0" w:space="0" w:color="auto"/>
                    <w:bottom w:val="none" w:sz="0" w:space="0" w:color="auto"/>
                    <w:right w:val="none" w:sz="0" w:space="0" w:color="auto"/>
                  </w:divBdr>
                  <w:divsChild>
                    <w:div w:id="1601987008">
                      <w:marLeft w:val="0"/>
                      <w:marRight w:val="0"/>
                      <w:marTop w:val="0"/>
                      <w:marBottom w:val="0"/>
                      <w:divBdr>
                        <w:top w:val="none" w:sz="0" w:space="0" w:color="auto"/>
                        <w:left w:val="none" w:sz="0" w:space="0" w:color="auto"/>
                        <w:bottom w:val="none" w:sz="0" w:space="0" w:color="auto"/>
                        <w:right w:val="none" w:sz="0" w:space="0" w:color="auto"/>
                      </w:divBdr>
                    </w:div>
                  </w:divsChild>
                </w:div>
                <w:div w:id="794174603">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
                  </w:divsChild>
                </w:div>
                <w:div w:id="915213920">
                  <w:marLeft w:val="0"/>
                  <w:marRight w:val="0"/>
                  <w:marTop w:val="0"/>
                  <w:marBottom w:val="0"/>
                  <w:divBdr>
                    <w:top w:val="none" w:sz="0" w:space="0" w:color="auto"/>
                    <w:left w:val="none" w:sz="0" w:space="0" w:color="auto"/>
                    <w:bottom w:val="none" w:sz="0" w:space="0" w:color="auto"/>
                    <w:right w:val="none" w:sz="0" w:space="0" w:color="auto"/>
                  </w:divBdr>
                  <w:divsChild>
                    <w:div w:id="1658267595">
                      <w:marLeft w:val="0"/>
                      <w:marRight w:val="0"/>
                      <w:marTop w:val="0"/>
                      <w:marBottom w:val="0"/>
                      <w:divBdr>
                        <w:top w:val="none" w:sz="0" w:space="0" w:color="auto"/>
                        <w:left w:val="none" w:sz="0" w:space="0" w:color="auto"/>
                        <w:bottom w:val="none" w:sz="0" w:space="0" w:color="auto"/>
                        <w:right w:val="none" w:sz="0" w:space="0" w:color="auto"/>
                      </w:divBdr>
                    </w:div>
                  </w:divsChild>
                </w:div>
                <w:div w:id="978460372">
                  <w:marLeft w:val="0"/>
                  <w:marRight w:val="0"/>
                  <w:marTop w:val="0"/>
                  <w:marBottom w:val="0"/>
                  <w:divBdr>
                    <w:top w:val="none" w:sz="0" w:space="0" w:color="auto"/>
                    <w:left w:val="none" w:sz="0" w:space="0" w:color="auto"/>
                    <w:bottom w:val="none" w:sz="0" w:space="0" w:color="auto"/>
                    <w:right w:val="none" w:sz="0" w:space="0" w:color="auto"/>
                  </w:divBdr>
                  <w:divsChild>
                    <w:div w:id="1317104132">
                      <w:marLeft w:val="0"/>
                      <w:marRight w:val="0"/>
                      <w:marTop w:val="0"/>
                      <w:marBottom w:val="0"/>
                      <w:divBdr>
                        <w:top w:val="none" w:sz="0" w:space="0" w:color="auto"/>
                        <w:left w:val="none" w:sz="0" w:space="0" w:color="auto"/>
                        <w:bottom w:val="none" w:sz="0" w:space="0" w:color="auto"/>
                        <w:right w:val="none" w:sz="0" w:space="0" w:color="auto"/>
                      </w:divBdr>
                    </w:div>
                  </w:divsChild>
                </w:div>
                <w:div w:id="1065951991">
                  <w:marLeft w:val="0"/>
                  <w:marRight w:val="0"/>
                  <w:marTop w:val="0"/>
                  <w:marBottom w:val="0"/>
                  <w:divBdr>
                    <w:top w:val="none" w:sz="0" w:space="0" w:color="auto"/>
                    <w:left w:val="none" w:sz="0" w:space="0" w:color="auto"/>
                    <w:bottom w:val="none" w:sz="0" w:space="0" w:color="auto"/>
                    <w:right w:val="none" w:sz="0" w:space="0" w:color="auto"/>
                  </w:divBdr>
                  <w:divsChild>
                    <w:div w:id="598754157">
                      <w:marLeft w:val="0"/>
                      <w:marRight w:val="0"/>
                      <w:marTop w:val="0"/>
                      <w:marBottom w:val="0"/>
                      <w:divBdr>
                        <w:top w:val="none" w:sz="0" w:space="0" w:color="auto"/>
                        <w:left w:val="none" w:sz="0" w:space="0" w:color="auto"/>
                        <w:bottom w:val="none" w:sz="0" w:space="0" w:color="auto"/>
                        <w:right w:val="none" w:sz="0" w:space="0" w:color="auto"/>
                      </w:divBdr>
                    </w:div>
                  </w:divsChild>
                </w:div>
                <w:div w:id="1135366885">
                  <w:marLeft w:val="0"/>
                  <w:marRight w:val="0"/>
                  <w:marTop w:val="0"/>
                  <w:marBottom w:val="0"/>
                  <w:divBdr>
                    <w:top w:val="none" w:sz="0" w:space="0" w:color="auto"/>
                    <w:left w:val="none" w:sz="0" w:space="0" w:color="auto"/>
                    <w:bottom w:val="none" w:sz="0" w:space="0" w:color="auto"/>
                    <w:right w:val="none" w:sz="0" w:space="0" w:color="auto"/>
                  </w:divBdr>
                  <w:divsChild>
                    <w:div w:id="917204534">
                      <w:marLeft w:val="0"/>
                      <w:marRight w:val="0"/>
                      <w:marTop w:val="0"/>
                      <w:marBottom w:val="0"/>
                      <w:divBdr>
                        <w:top w:val="none" w:sz="0" w:space="0" w:color="auto"/>
                        <w:left w:val="none" w:sz="0" w:space="0" w:color="auto"/>
                        <w:bottom w:val="none" w:sz="0" w:space="0" w:color="auto"/>
                        <w:right w:val="none" w:sz="0" w:space="0" w:color="auto"/>
                      </w:divBdr>
                    </w:div>
                  </w:divsChild>
                </w:div>
                <w:div w:id="1149830170">
                  <w:marLeft w:val="0"/>
                  <w:marRight w:val="0"/>
                  <w:marTop w:val="0"/>
                  <w:marBottom w:val="0"/>
                  <w:divBdr>
                    <w:top w:val="none" w:sz="0" w:space="0" w:color="auto"/>
                    <w:left w:val="none" w:sz="0" w:space="0" w:color="auto"/>
                    <w:bottom w:val="none" w:sz="0" w:space="0" w:color="auto"/>
                    <w:right w:val="none" w:sz="0" w:space="0" w:color="auto"/>
                  </w:divBdr>
                  <w:divsChild>
                    <w:div w:id="641344957">
                      <w:marLeft w:val="0"/>
                      <w:marRight w:val="0"/>
                      <w:marTop w:val="0"/>
                      <w:marBottom w:val="0"/>
                      <w:divBdr>
                        <w:top w:val="none" w:sz="0" w:space="0" w:color="auto"/>
                        <w:left w:val="none" w:sz="0" w:space="0" w:color="auto"/>
                        <w:bottom w:val="none" w:sz="0" w:space="0" w:color="auto"/>
                        <w:right w:val="none" w:sz="0" w:space="0" w:color="auto"/>
                      </w:divBdr>
                    </w:div>
                  </w:divsChild>
                </w:div>
                <w:div w:id="1186555288">
                  <w:marLeft w:val="0"/>
                  <w:marRight w:val="0"/>
                  <w:marTop w:val="0"/>
                  <w:marBottom w:val="0"/>
                  <w:divBdr>
                    <w:top w:val="none" w:sz="0" w:space="0" w:color="auto"/>
                    <w:left w:val="none" w:sz="0" w:space="0" w:color="auto"/>
                    <w:bottom w:val="none" w:sz="0" w:space="0" w:color="auto"/>
                    <w:right w:val="none" w:sz="0" w:space="0" w:color="auto"/>
                  </w:divBdr>
                  <w:divsChild>
                    <w:div w:id="695809984">
                      <w:marLeft w:val="0"/>
                      <w:marRight w:val="0"/>
                      <w:marTop w:val="0"/>
                      <w:marBottom w:val="0"/>
                      <w:divBdr>
                        <w:top w:val="none" w:sz="0" w:space="0" w:color="auto"/>
                        <w:left w:val="none" w:sz="0" w:space="0" w:color="auto"/>
                        <w:bottom w:val="none" w:sz="0" w:space="0" w:color="auto"/>
                        <w:right w:val="none" w:sz="0" w:space="0" w:color="auto"/>
                      </w:divBdr>
                    </w:div>
                  </w:divsChild>
                </w:div>
                <w:div w:id="1210848082">
                  <w:marLeft w:val="0"/>
                  <w:marRight w:val="0"/>
                  <w:marTop w:val="0"/>
                  <w:marBottom w:val="0"/>
                  <w:divBdr>
                    <w:top w:val="none" w:sz="0" w:space="0" w:color="auto"/>
                    <w:left w:val="none" w:sz="0" w:space="0" w:color="auto"/>
                    <w:bottom w:val="none" w:sz="0" w:space="0" w:color="auto"/>
                    <w:right w:val="none" w:sz="0" w:space="0" w:color="auto"/>
                  </w:divBdr>
                  <w:divsChild>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 w:id="1314989678">
                  <w:marLeft w:val="0"/>
                  <w:marRight w:val="0"/>
                  <w:marTop w:val="0"/>
                  <w:marBottom w:val="0"/>
                  <w:divBdr>
                    <w:top w:val="none" w:sz="0" w:space="0" w:color="auto"/>
                    <w:left w:val="none" w:sz="0" w:space="0" w:color="auto"/>
                    <w:bottom w:val="none" w:sz="0" w:space="0" w:color="auto"/>
                    <w:right w:val="none" w:sz="0" w:space="0" w:color="auto"/>
                  </w:divBdr>
                  <w:divsChild>
                    <w:div w:id="1194879476">
                      <w:marLeft w:val="0"/>
                      <w:marRight w:val="0"/>
                      <w:marTop w:val="0"/>
                      <w:marBottom w:val="0"/>
                      <w:divBdr>
                        <w:top w:val="none" w:sz="0" w:space="0" w:color="auto"/>
                        <w:left w:val="none" w:sz="0" w:space="0" w:color="auto"/>
                        <w:bottom w:val="none" w:sz="0" w:space="0" w:color="auto"/>
                        <w:right w:val="none" w:sz="0" w:space="0" w:color="auto"/>
                      </w:divBdr>
                    </w:div>
                  </w:divsChild>
                </w:div>
                <w:div w:id="1326402081">
                  <w:marLeft w:val="0"/>
                  <w:marRight w:val="0"/>
                  <w:marTop w:val="0"/>
                  <w:marBottom w:val="0"/>
                  <w:divBdr>
                    <w:top w:val="none" w:sz="0" w:space="0" w:color="auto"/>
                    <w:left w:val="none" w:sz="0" w:space="0" w:color="auto"/>
                    <w:bottom w:val="none" w:sz="0" w:space="0" w:color="auto"/>
                    <w:right w:val="none" w:sz="0" w:space="0" w:color="auto"/>
                  </w:divBdr>
                  <w:divsChild>
                    <w:div w:id="1547643035">
                      <w:marLeft w:val="0"/>
                      <w:marRight w:val="0"/>
                      <w:marTop w:val="0"/>
                      <w:marBottom w:val="0"/>
                      <w:divBdr>
                        <w:top w:val="none" w:sz="0" w:space="0" w:color="auto"/>
                        <w:left w:val="none" w:sz="0" w:space="0" w:color="auto"/>
                        <w:bottom w:val="none" w:sz="0" w:space="0" w:color="auto"/>
                        <w:right w:val="none" w:sz="0" w:space="0" w:color="auto"/>
                      </w:divBdr>
                    </w:div>
                  </w:divsChild>
                </w:div>
                <w:div w:id="1463187600">
                  <w:marLeft w:val="0"/>
                  <w:marRight w:val="0"/>
                  <w:marTop w:val="0"/>
                  <w:marBottom w:val="0"/>
                  <w:divBdr>
                    <w:top w:val="none" w:sz="0" w:space="0" w:color="auto"/>
                    <w:left w:val="none" w:sz="0" w:space="0" w:color="auto"/>
                    <w:bottom w:val="none" w:sz="0" w:space="0" w:color="auto"/>
                    <w:right w:val="none" w:sz="0" w:space="0" w:color="auto"/>
                  </w:divBdr>
                  <w:divsChild>
                    <w:div w:id="1904440023">
                      <w:marLeft w:val="0"/>
                      <w:marRight w:val="0"/>
                      <w:marTop w:val="0"/>
                      <w:marBottom w:val="0"/>
                      <w:divBdr>
                        <w:top w:val="none" w:sz="0" w:space="0" w:color="auto"/>
                        <w:left w:val="none" w:sz="0" w:space="0" w:color="auto"/>
                        <w:bottom w:val="none" w:sz="0" w:space="0" w:color="auto"/>
                        <w:right w:val="none" w:sz="0" w:space="0" w:color="auto"/>
                      </w:divBdr>
                    </w:div>
                  </w:divsChild>
                </w:div>
                <w:div w:id="1522205376">
                  <w:marLeft w:val="0"/>
                  <w:marRight w:val="0"/>
                  <w:marTop w:val="0"/>
                  <w:marBottom w:val="0"/>
                  <w:divBdr>
                    <w:top w:val="none" w:sz="0" w:space="0" w:color="auto"/>
                    <w:left w:val="none" w:sz="0" w:space="0" w:color="auto"/>
                    <w:bottom w:val="none" w:sz="0" w:space="0" w:color="auto"/>
                    <w:right w:val="none" w:sz="0" w:space="0" w:color="auto"/>
                  </w:divBdr>
                  <w:divsChild>
                    <w:div w:id="1704474360">
                      <w:marLeft w:val="0"/>
                      <w:marRight w:val="0"/>
                      <w:marTop w:val="0"/>
                      <w:marBottom w:val="0"/>
                      <w:divBdr>
                        <w:top w:val="none" w:sz="0" w:space="0" w:color="auto"/>
                        <w:left w:val="none" w:sz="0" w:space="0" w:color="auto"/>
                        <w:bottom w:val="none" w:sz="0" w:space="0" w:color="auto"/>
                        <w:right w:val="none" w:sz="0" w:space="0" w:color="auto"/>
                      </w:divBdr>
                    </w:div>
                  </w:divsChild>
                </w:div>
                <w:div w:id="1557232276">
                  <w:marLeft w:val="0"/>
                  <w:marRight w:val="0"/>
                  <w:marTop w:val="0"/>
                  <w:marBottom w:val="0"/>
                  <w:divBdr>
                    <w:top w:val="none" w:sz="0" w:space="0" w:color="auto"/>
                    <w:left w:val="none" w:sz="0" w:space="0" w:color="auto"/>
                    <w:bottom w:val="none" w:sz="0" w:space="0" w:color="auto"/>
                    <w:right w:val="none" w:sz="0" w:space="0" w:color="auto"/>
                  </w:divBdr>
                  <w:divsChild>
                    <w:div w:id="958608370">
                      <w:marLeft w:val="0"/>
                      <w:marRight w:val="0"/>
                      <w:marTop w:val="0"/>
                      <w:marBottom w:val="0"/>
                      <w:divBdr>
                        <w:top w:val="none" w:sz="0" w:space="0" w:color="auto"/>
                        <w:left w:val="none" w:sz="0" w:space="0" w:color="auto"/>
                        <w:bottom w:val="none" w:sz="0" w:space="0" w:color="auto"/>
                        <w:right w:val="none" w:sz="0" w:space="0" w:color="auto"/>
                      </w:divBdr>
                    </w:div>
                  </w:divsChild>
                </w:div>
                <w:div w:id="1577283654">
                  <w:marLeft w:val="0"/>
                  <w:marRight w:val="0"/>
                  <w:marTop w:val="0"/>
                  <w:marBottom w:val="0"/>
                  <w:divBdr>
                    <w:top w:val="none" w:sz="0" w:space="0" w:color="auto"/>
                    <w:left w:val="none" w:sz="0" w:space="0" w:color="auto"/>
                    <w:bottom w:val="none" w:sz="0" w:space="0" w:color="auto"/>
                    <w:right w:val="none" w:sz="0" w:space="0" w:color="auto"/>
                  </w:divBdr>
                  <w:divsChild>
                    <w:div w:id="162162728">
                      <w:marLeft w:val="0"/>
                      <w:marRight w:val="0"/>
                      <w:marTop w:val="0"/>
                      <w:marBottom w:val="0"/>
                      <w:divBdr>
                        <w:top w:val="none" w:sz="0" w:space="0" w:color="auto"/>
                        <w:left w:val="none" w:sz="0" w:space="0" w:color="auto"/>
                        <w:bottom w:val="none" w:sz="0" w:space="0" w:color="auto"/>
                        <w:right w:val="none" w:sz="0" w:space="0" w:color="auto"/>
                      </w:divBdr>
                    </w:div>
                  </w:divsChild>
                </w:div>
                <w:div w:id="1584874646">
                  <w:marLeft w:val="0"/>
                  <w:marRight w:val="0"/>
                  <w:marTop w:val="0"/>
                  <w:marBottom w:val="0"/>
                  <w:divBdr>
                    <w:top w:val="none" w:sz="0" w:space="0" w:color="auto"/>
                    <w:left w:val="none" w:sz="0" w:space="0" w:color="auto"/>
                    <w:bottom w:val="none" w:sz="0" w:space="0" w:color="auto"/>
                    <w:right w:val="none" w:sz="0" w:space="0" w:color="auto"/>
                  </w:divBdr>
                  <w:divsChild>
                    <w:div w:id="747118617">
                      <w:marLeft w:val="0"/>
                      <w:marRight w:val="0"/>
                      <w:marTop w:val="0"/>
                      <w:marBottom w:val="0"/>
                      <w:divBdr>
                        <w:top w:val="none" w:sz="0" w:space="0" w:color="auto"/>
                        <w:left w:val="none" w:sz="0" w:space="0" w:color="auto"/>
                        <w:bottom w:val="none" w:sz="0" w:space="0" w:color="auto"/>
                        <w:right w:val="none" w:sz="0" w:space="0" w:color="auto"/>
                      </w:divBdr>
                    </w:div>
                  </w:divsChild>
                </w:div>
                <w:div w:id="1682079634">
                  <w:marLeft w:val="0"/>
                  <w:marRight w:val="0"/>
                  <w:marTop w:val="0"/>
                  <w:marBottom w:val="0"/>
                  <w:divBdr>
                    <w:top w:val="none" w:sz="0" w:space="0" w:color="auto"/>
                    <w:left w:val="none" w:sz="0" w:space="0" w:color="auto"/>
                    <w:bottom w:val="none" w:sz="0" w:space="0" w:color="auto"/>
                    <w:right w:val="none" w:sz="0" w:space="0" w:color="auto"/>
                  </w:divBdr>
                  <w:divsChild>
                    <w:div w:id="2071920699">
                      <w:marLeft w:val="0"/>
                      <w:marRight w:val="0"/>
                      <w:marTop w:val="0"/>
                      <w:marBottom w:val="0"/>
                      <w:divBdr>
                        <w:top w:val="none" w:sz="0" w:space="0" w:color="auto"/>
                        <w:left w:val="none" w:sz="0" w:space="0" w:color="auto"/>
                        <w:bottom w:val="none" w:sz="0" w:space="0" w:color="auto"/>
                        <w:right w:val="none" w:sz="0" w:space="0" w:color="auto"/>
                      </w:divBdr>
                    </w:div>
                  </w:divsChild>
                </w:div>
                <w:div w:id="1747262731">
                  <w:marLeft w:val="0"/>
                  <w:marRight w:val="0"/>
                  <w:marTop w:val="0"/>
                  <w:marBottom w:val="0"/>
                  <w:divBdr>
                    <w:top w:val="none" w:sz="0" w:space="0" w:color="auto"/>
                    <w:left w:val="none" w:sz="0" w:space="0" w:color="auto"/>
                    <w:bottom w:val="none" w:sz="0" w:space="0" w:color="auto"/>
                    <w:right w:val="none" w:sz="0" w:space="0" w:color="auto"/>
                  </w:divBdr>
                  <w:divsChild>
                    <w:div w:id="1693989054">
                      <w:marLeft w:val="0"/>
                      <w:marRight w:val="0"/>
                      <w:marTop w:val="0"/>
                      <w:marBottom w:val="0"/>
                      <w:divBdr>
                        <w:top w:val="none" w:sz="0" w:space="0" w:color="auto"/>
                        <w:left w:val="none" w:sz="0" w:space="0" w:color="auto"/>
                        <w:bottom w:val="none" w:sz="0" w:space="0" w:color="auto"/>
                        <w:right w:val="none" w:sz="0" w:space="0" w:color="auto"/>
                      </w:divBdr>
                    </w:div>
                  </w:divsChild>
                </w:div>
                <w:div w:id="1859462901">
                  <w:marLeft w:val="0"/>
                  <w:marRight w:val="0"/>
                  <w:marTop w:val="0"/>
                  <w:marBottom w:val="0"/>
                  <w:divBdr>
                    <w:top w:val="none" w:sz="0" w:space="0" w:color="auto"/>
                    <w:left w:val="none" w:sz="0" w:space="0" w:color="auto"/>
                    <w:bottom w:val="none" w:sz="0" w:space="0" w:color="auto"/>
                    <w:right w:val="none" w:sz="0" w:space="0" w:color="auto"/>
                  </w:divBdr>
                  <w:divsChild>
                    <w:div w:id="2008046992">
                      <w:marLeft w:val="0"/>
                      <w:marRight w:val="0"/>
                      <w:marTop w:val="0"/>
                      <w:marBottom w:val="0"/>
                      <w:divBdr>
                        <w:top w:val="none" w:sz="0" w:space="0" w:color="auto"/>
                        <w:left w:val="none" w:sz="0" w:space="0" w:color="auto"/>
                        <w:bottom w:val="none" w:sz="0" w:space="0" w:color="auto"/>
                        <w:right w:val="none" w:sz="0" w:space="0" w:color="auto"/>
                      </w:divBdr>
                    </w:div>
                  </w:divsChild>
                </w:div>
                <w:div w:id="1868255333">
                  <w:marLeft w:val="0"/>
                  <w:marRight w:val="0"/>
                  <w:marTop w:val="0"/>
                  <w:marBottom w:val="0"/>
                  <w:divBdr>
                    <w:top w:val="none" w:sz="0" w:space="0" w:color="auto"/>
                    <w:left w:val="none" w:sz="0" w:space="0" w:color="auto"/>
                    <w:bottom w:val="none" w:sz="0" w:space="0" w:color="auto"/>
                    <w:right w:val="none" w:sz="0" w:space="0" w:color="auto"/>
                  </w:divBdr>
                  <w:divsChild>
                    <w:div w:id="1923220053">
                      <w:marLeft w:val="0"/>
                      <w:marRight w:val="0"/>
                      <w:marTop w:val="0"/>
                      <w:marBottom w:val="0"/>
                      <w:divBdr>
                        <w:top w:val="none" w:sz="0" w:space="0" w:color="auto"/>
                        <w:left w:val="none" w:sz="0" w:space="0" w:color="auto"/>
                        <w:bottom w:val="none" w:sz="0" w:space="0" w:color="auto"/>
                        <w:right w:val="none" w:sz="0" w:space="0" w:color="auto"/>
                      </w:divBdr>
                    </w:div>
                  </w:divsChild>
                </w:div>
                <w:div w:id="1895846552">
                  <w:marLeft w:val="0"/>
                  <w:marRight w:val="0"/>
                  <w:marTop w:val="0"/>
                  <w:marBottom w:val="0"/>
                  <w:divBdr>
                    <w:top w:val="none" w:sz="0" w:space="0" w:color="auto"/>
                    <w:left w:val="none" w:sz="0" w:space="0" w:color="auto"/>
                    <w:bottom w:val="none" w:sz="0" w:space="0" w:color="auto"/>
                    <w:right w:val="none" w:sz="0" w:space="0" w:color="auto"/>
                  </w:divBdr>
                  <w:divsChild>
                    <w:div w:id="132873898">
                      <w:marLeft w:val="0"/>
                      <w:marRight w:val="0"/>
                      <w:marTop w:val="0"/>
                      <w:marBottom w:val="0"/>
                      <w:divBdr>
                        <w:top w:val="none" w:sz="0" w:space="0" w:color="auto"/>
                        <w:left w:val="none" w:sz="0" w:space="0" w:color="auto"/>
                        <w:bottom w:val="none" w:sz="0" w:space="0" w:color="auto"/>
                        <w:right w:val="none" w:sz="0" w:space="0" w:color="auto"/>
                      </w:divBdr>
                    </w:div>
                  </w:divsChild>
                </w:div>
                <w:div w:id="1941373572">
                  <w:marLeft w:val="0"/>
                  <w:marRight w:val="0"/>
                  <w:marTop w:val="0"/>
                  <w:marBottom w:val="0"/>
                  <w:divBdr>
                    <w:top w:val="none" w:sz="0" w:space="0" w:color="auto"/>
                    <w:left w:val="none" w:sz="0" w:space="0" w:color="auto"/>
                    <w:bottom w:val="none" w:sz="0" w:space="0" w:color="auto"/>
                    <w:right w:val="none" w:sz="0" w:space="0" w:color="auto"/>
                  </w:divBdr>
                  <w:divsChild>
                    <w:div w:id="1804738392">
                      <w:marLeft w:val="0"/>
                      <w:marRight w:val="0"/>
                      <w:marTop w:val="0"/>
                      <w:marBottom w:val="0"/>
                      <w:divBdr>
                        <w:top w:val="none" w:sz="0" w:space="0" w:color="auto"/>
                        <w:left w:val="none" w:sz="0" w:space="0" w:color="auto"/>
                        <w:bottom w:val="none" w:sz="0" w:space="0" w:color="auto"/>
                        <w:right w:val="none" w:sz="0" w:space="0" w:color="auto"/>
                      </w:divBdr>
                    </w:div>
                  </w:divsChild>
                </w:div>
                <w:div w:id="2007829514">
                  <w:marLeft w:val="0"/>
                  <w:marRight w:val="0"/>
                  <w:marTop w:val="0"/>
                  <w:marBottom w:val="0"/>
                  <w:divBdr>
                    <w:top w:val="none" w:sz="0" w:space="0" w:color="auto"/>
                    <w:left w:val="none" w:sz="0" w:space="0" w:color="auto"/>
                    <w:bottom w:val="none" w:sz="0" w:space="0" w:color="auto"/>
                    <w:right w:val="none" w:sz="0" w:space="0" w:color="auto"/>
                  </w:divBdr>
                  <w:divsChild>
                    <w:div w:id="921990959">
                      <w:marLeft w:val="0"/>
                      <w:marRight w:val="0"/>
                      <w:marTop w:val="0"/>
                      <w:marBottom w:val="0"/>
                      <w:divBdr>
                        <w:top w:val="none" w:sz="0" w:space="0" w:color="auto"/>
                        <w:left w:val="none" w:sz="0" w:space="0" w:color="auto"/>
                        <w:bottom w:val="none" w:sz="0" w:space="0" w:color="auto"/>
                        <w:right w:val="none" w:sz="0" w:space="0" w:color="auto"/>
                      </w:divBdr>
                    </w:div>
                  </w:divsChild>
                </w:div>
                <w:div w:id="2011249370">
                  <w:marLeft w:val="0"/>
                  <w:marRight w:val="0"/>
                  <w:marTop w:val="0"/>
                  <w:marBottom w:val="0"/>
                  <w:divBdr>
                    <w:top w:val="none" w:sz="0" w:space="0" w:color="auto"/>
                    <w:left w:val="none" w:sz="0" w:space="0" w:color="auto"/>
                    <w:bottom w:val="none" w:sz="0" w:space="0" w:color="auto"/>
                    <w:right w:val="none" w:sz="0" w:space="0" w:color="auto"/>
                  </w:divBdr>
                  <w:divsChild>
                    <w:div w:id="2406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39752">
      <w:bodyDiv w:val="1"/>
      <w:marLeft w:val="0"/>
      <w:marRight w:val="0"/>
      <w:marTop w:val="0"/>
      <w:marBottom w:val="0"/>
      <w:divBdr>
        <w:top w:val="none" w:sz="0" w:space="0" w:color="auto"/>
        <w:left w:val="none" w:sz="0" w:space="0" w:color="auto"/>
        <w:bottom w:val="none" w:sz="0" w:space="0" w:color="auto"/>
        <w:right w:val="none" w:sz="0" w:space="0" w:color="auto"/>
      </w:divBdr>
    </w:div>
    <w:div w:id="457451329">
      <w:bodyDiv w:val="1"/>
      <w:marLeft w:val="0"/>
      <w:marRight w:val="0"/>
      <w:marTop w:val="0"/>
      <w:marBottom w:val="0"/>
      <w:divBdr>
        <w:top w:val="none" w:sz="0" w:space="0" w:color="auto"/>
        <w:left w:val="none" w:sz="0" w:space="0" w:color="auto"/>
        <w:bottom w:val="none" w:sz="0" w:space="0" w:color="auto"/>
        <w:right w:val="none" w:sz="0" w:space="0" w:color="auto"/>
      </w:divBdr>
    </w:div>
    <w:div w:id="616181283">
      <w:bodyDiv w:val="1"/>
      <w:marLeft w:val="0"/>
      <w:marRight w:val="0"/>
      <w:marTop w:val="0"/>
      <w:marBottom w:val="0"/>
      <w:divBdr>
        <w:top w:val="none" w:sz="0" w:space="0" w:color="auto"/>
        <w:left w:val="none" w:sz="0" w:space="0" w:color="auto"/>
        <w:bottom w:val="none" w:sz="0" w:space="0" w:color="auto"/>
        <w:right w:val="none" w:sz="0" w:space="0" w:color="auto"/>
      </w:divBdr>
    </w:div>
    <w:div w:id="652564933">
      <w:bodyDiv w:val="1"/>
      <w:marLeft w:val="0"/>
      <w:marRight w:val="0"/>
      <w:marTop w:val="0"/>
      <w:marBottom w:val="0"/>
      <w:divBdr>
        <w:top w:val="none" w:sz="0" w:space="0" w:color="auto"/>
        <w:left w:val="none" w:sz="0" w:space="0" w:color="auto"/>
        <w:bottom w:val="none" w:sz="0" w:space="0" w:color="auto"/>
        <w:right w:val="none" w:sz="0" w:space="0" w:color="auto"/>
      </w:divBdr>
    </w:div>
    <w:div w:id="670714586">
      <w:bodyDiv w:val="1"/>
      <w:marLeft w:val="0"/>
      <w:marRight w:val="0"/>
      <w:marTop w:val="0"/>
      <w:marBottom w:val="0"/>
      <w:divBdr>
        <w:top w:val="none" w:sz="0" w:space="0" w:color="auto"/>
        <w:left w:val="none" w:sz="0" w:space="0" w:color="auto"/>
        <w:bottom w:val="none" w:sz="0" w:space="0" w:color="auto"/>
        <w:right w:val="none" w:sz="0" w:space="0" w:color="auto"/>
      </w:divBdr>
    </w:div>
    <w:div w:id="722287360">
      <w:bodyDiv w:val="1"/>
      <w:marLeft w:val="0"/>
      <w:marRight w:val="0"/>
      <w:marTop w:val="0"/>
      <w:marBottom w:val="0"/>
      <w:divBdr>
        <w:top w:val="none" w:sz="0" w:space="0" w:color="auto"/>
        <w:left w:val="none" w:sz="0" w:space="0" w:color="auto"/>
        <w:bottom w:val="none" w:sz="0" w:space="0" w:color="auto"/>
        <w:right w:val="none" w:sz="0" w:space="0" w:color="auto"/>
      </w:divBdr>
    </w:div>
    <w:div w:id="845437539">
      <w:bodyDiv w:val="1"/>
      <w:marLeft w:val="0"/>
      <w:marRight w:val="0"/>
      <w:marTop w:val="0"/>
      <w:marBottom w:val="0"/>
      <w:divBdr>
        <w:top w:val="none" w:sz="0" w:space="0" w:color="auto"/>
        <w:left w:val="none" w:sz="0" w:space="0" w:color="auto"/>
        <w:bottom w:val="none" w:sz="0" w:space="0" w:color="auto"/>
        <w:right w:val="none" w:sz="0" w:space="0" w:color="auto"/>
      </w:divBdr>
    </w:div>
    <w:div w:id="850534013">
      <w:bodyDiv w:val="1"/>
      <w:marLeft w:val="0"/>
      <w:marRight w:val="0"/>
      <w:marTop w:val="0"/>
      <w:marBottom w:val="0"/>
      <w:divBdr>
        <w:top w:val="none" w:sz="0" w:space="0" w:color="auto"/>
        <w:left w:val="none" w:sz="0" w:space="0" w:color="auto"/>
        <w:bottom w:val="none" w:sz="0" w:space="0" w:color="auto"/>
        <w:right w:val="none" w:sz="0" w:space="0" w:color="auto"/>
      </w:divBdr>
    </w:div>
    <w:div w:id="872964683">
      <w:bodyDiv w:val="1"/>
      <w:marLeft w:val="0"/>
      <w:marRight w:val="0"/>
      <w:marTop w:val="0"/>
      <w:marBottom w:val="0"/>
      <w:divBdr>
        <w:top w:val="none" w:sz="0" w:space="0" w:color="auto"/>
        <w:left w:val="none" w:sz="0" w:space="0" w:color="auto"/>
        <w:bottom w:val="none" w:sz="0" w:space="0" w:color="auto"/>
        <w:right w:val="none" w:sz="0" w:space="0" w:color="auto"/>
      </w:divBdr>
    </w:div>
    <w:div w:id="926616386">
      <w:bodyDiv w:val="1"/>
      <w:marLeft w:val="0"/>
      <w:marRight w:val="0"/>
      <w:marTop w:val="0"/>
      <w:marBottom w:val="0"/>
      <w:divBdr>
        <w:top w:val="none" w:sz="0" w:space="0" w:color="auto"/>
        <w:left w:val="none" w:sz="0" w:space="0" w:color="auto"/>
        <w:bottom w:val="none" w:sz="0" w:space="0" w:color="auto"/>
        <w:right w:val="none" w:sz="0" w:space="0" w:color="auto"/>
      </w:divBdr>
    </w:div>
    <w:div w:id="946079318">
      <w:bodyDiv w:val="1"/>
      <w:marLeft w:val="0"/>
      <w:marRight w:val="0"/>
      <w:marTop w:val="0"/>
      <w:marBottom w:val="0"/>
      <w:divBdr>
        <w:top w:val="none" w:sz="0" w:space="0" w:color="auto"/>
        <w:left w:val="none" w:sz="0" w:space="0" w:color="auto"/>
        <w:bottom w:val="none" w:sz="0" w:space="0" w:color="auto"/>
        <w:right w:val="none" w:sz="0" w:space="0" w:color="auto"/>
      </w:divBdr>
    </w:div>
    <w:div w:id="956644178">
      <w:bodyDiv w:val="1"/>
      <w:marLeft w:val="0"/>
      <w:marRight w:val="0"/>
      <w:marTop w:val="0"/>
      <w:marBottom w:val="0"/>
      <w:divBdr>
        <w:top w:val="none" w:sz="0" w:space="0" w:color="auto"/>
        <w:left w:val="none" w:sz="0" w:space="0" w:color="auto"/>
        <w:bottom w:val="none" w:sz="0" w:space="0" w:color="auto"/>
        <w:right w:val="none" w:sz="0" w:space="0" w:color="auto"/>
      </w:divBdr>
    </w:div>
    <w:div w:id="1054736491">
      <w:bodyDiv w:val="1"/>
      <w:marLeft w:val="0"/>
      <w:marRight w:val="0"/>
      <w:marTop w:val="0"/>
      <w:marBottom w:val="0"/>
      <w:divBdr>
        <w:top w:val="none" w:sz="0" w:space="0" w:color="auto"/>
        <w:left w:val="none" w:sz="0" w:space="0" w:color="auto"/>
        <w:bottom w:val="none" w:sz="0" w:space="0" w:color="auto"/>
        <w:right w:val="none" w:sz="0" w:space="0" w:color="auto"/>
      </w:divBdr>
    </w:div>
    <w:div w:id="1060640021">
      <w:bodyDiv w:val="1"/>
      <w:marLeft w:val="0"/>
      <w:marRight w:val="0"/>
      <w:marTop w:val="0"/>
      <w:marBottom w:val="0"/>
      <w:divBdr>
        <w:top w:val="none" w:sz="0" w:space="0" w:color="auto"/>
        <w:left w:val="none" w:sz="0" w:space="0" w:color="auto"/>
        <w:bottom w:val="none" w:sz="0" w:space="0" w:color="auto"/>
        <w:right w:val="none" w:sz="0" w:space="0" w:color="auto"/>
      </w:divBdr>
    </w:div>
    <w:div w:id="1060710306">
      <w:bodyDiv w:val="1"/>
      <w:marLeft w:val="0"/>
      <w:marRight w:val="0"/>
      <w:marTop w:val="0"/>
      <w:marBottom w:val="0"/>
      <w:divBdr>
        <w:top w:val="none" w:sz="0" w:space="0" w:color="auto"/>
        <w:left w:val="none" w:sz="0" w:space="0" w:color="auto"/>
        <w:bottom w:val="none" w:sz="0" w:space="0" w:color="auto"/>
        <w:right w:val="none" w:sz="0" w:space="0" w:color="auto"/>
      </w:divBdr>
    </w:div>
    <w:div w:id="1107433263">
      <w:bodyDiv w:val="1"/>
      <w:marLeft w:val="0"/>
      <w:marRight w:val="0"/>
      <w:marTop w:val="0"/>
      <w:marBottom w:val="0"/>
      <w:divBdr>
        <w:top w:val="none" w:sz="0" w:space="0" w:color="auto"/>
        <w:left w:val="none" w:sz="0" w:space="0" w:color="auto"/>
        <w:bottom w:val="none" w:sz="0" w:space="0" w:color="auto"/>
        <w:right w:val="none" w:sz="0" w:space="0" w:color="auto"/>
      </w:divBdr>
    </w:div>
    <w:div w:id="1149636589">
      <w:bodyDiv w:val="1"/>
      <w:marLeft w:val="0"/>
      <w:marRight w:val="0"/>
      <w:marTop w:val="0"/>
      <w:marBottom w:val="0"/>
      <w:divBdr>
        <w:top w:val="none" w:sz="0" w:space="0" w:color="auto"/>
        <w:left w:val="none" w:sz="0" w:space="0" w:color="auto"/>
        <w:bottom w:val="none" w:sz="0" w:space="0" w:color="auto"/>
        <w:right w:val="none" w:sz="0" w:space="0" w:color="auto"/>
      </w:divBdr>
    </w:div>
    <w:div w:id="1188105104">
      <w:bodyDiv w:val="1"/>
      <w:marLeft w:val="0"/>
      <w:marRight w:val="0"/>
      <w:marTop w:val="0"/>
      <w:marBottom w:val="0"/>
      <w:divBdr>
        <w:top w:val="none" w:sz="0" w:space="0" w:color="auto"/>
        <w:left w:val="none" w:sz="0" w:space="0" w:color="auto"/>
        <w:bottom w:val="none" w:sz="0" w:space="0" w:color="auto"/>
        <w:right w:val="none" w:sz="0" w:space="0" w:color="auto"/>
      </w:divBdr>
    </w:div>
    <w:div w:id="1211259217">
      <w:bodyDiv w:val="1"/>
      <w:marLeft w:val="0"/>
      <w:marRight w:val="0"/>
      <w:marTop w:val="0"/>
      <w:marBottom w:val="0"/>
      <w:divBdr>
        <w:top w:val="none" w:sz="0" w:space="0" w:color="auto"/>
        <w:left w:val="none" w:sz="0" w:space="0" w:color="auto"/>
        <w:bottom w:val="none" w:sz="0" w:space="0" w:color="auto"/>
        <w:right w:val="none" w:sz="0" w:space="0" w:color="auto"/>
      </w:divBdr>
    </w:div>
    <w:div w:id="1226455833">
      <w:bodyDiv w:val="1"/>
      <w:marLeft w:val="0"/>
      <w:marRight w:val="0"/>
      <w:marTop w:val="0"/>
      <w:marBottom w:val="0"/>
      <w:divBdr>
        <w:top w:val="none" w:sz="0" w:space="0" w:color="auto"/>
        <w:left w:val="none" w:sz="0" w:space="0" w:color="auto"/>
        <w:bottom w:val="none" w:sz="0" w:space="0" w:color="auto"/>
        <w:right w:val="none" w:sz="0" w:space="0" w:color="auto"/>
      </w:divBdr>
    </w:div>
    <w:div w:id="1364868463">
      <w:bodyDiv w:val="1"/>
      <w:marLeft w:val="0"/>
      <w:marRight w:val="0"/>
      <w:marTop w:val="0"/>
      <w:marBottom w:val="0"/>
      <w:divBdr>
        <w:top w:val="none" w:sz="0" w:space="0" w:color="auto"/>
        <w:left w:val="none" w:sz="0" w:space="0" w:color="auto"/>
        <w:bottom w:val="none" w:sz="0" w:space="0" w:color="auto"/>
        <w:right w:val="none" w:sz="0" w:space="0" w:color="auto"/>
      </w:divBdr>
    </w:div>
    <w:div w:id="1390225966">
      <w:bodyDiv w:val="1"/>
      <w:marLeft w:val="0"/>
      <w:marRight w:val="0"/>
      <w:marTop w:val="0"/>
      <w:marBottom w:val="0"/>
      <w:divBdr>
        <w:top w:val="none" w:sz="0" w:space="0" w:color="auto"/>
        <w:left w:val="none" w:sz="0" w:space="0" w:color="auto"/>
        <w:bottom w:val="none" w:sz="0" w:space="0" w:color="auto"/>
        <w:right w:val="none" w:sz="0" w:space="0" w:color="auto"/>
      </w:divBdr>
      <w:divsChild>
        <w:div w:id="1899244799">
          <w:marLeft w:val="0"/>
          <w:marRight w:val="0"/>
          <w:marTop w:val="0"/>
          <w:marBottom w:val="0"/>
          <w:divBdr>
            <w:top w:val="none" w:sz="0" w:space="0" w:color="auto"/>
            <w:left w:val="none" w:sz="0" w:space="0" w:color="auto"/>
            <w:bottom w:val="none" w:sz="0" w:space="0" w:color="auto"/>
            <w:right w:val="none" w:sz="0" w:space="0" w:color="auto"/>
          </w:divBdr>
          <w:divsChild>
            <w:div w:id="16648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7072">
      <w:bodyDiv w:val="1"/>
      <w:marLeft w:val="0"/>
      <w:marRight w:val="0"/>
      <w:marTop w:val="0"/>
      <w:marBottom w:val="0"/>
      <w:divBdr>
        <w:top w:val="none" w:sz="0" w:space="0" w:color="auto"/>
        <w:left w:val="none" w:sz="0" w:space="0" w:color="auto"/>
        <w:bottom w:val="none" w:sz="0" w:space="0" w:color="auto"/>
        <w:right w:val="none" w:sz="0" w:space="0" w:color="auto"/>
      </w:divBdr>
    </w:div>
    <w:div w:id="1546718277">
      <w:bodyDiv w:val="1"/>
      <w:marLeft w:val="0"/>
      <w:marRight w:val="0"/>
      <w:marTop w:val="0"/>
      <w:marBottom w:val="0"/>
      <w:divBdr>
        <w:top w:val="none" w:sz="0" w:space="0" w:color="auto"/>
        <w:left w:val="none" w:sz="0" w:space="0" w:color="auto"/>
        <w:bottom w:val="none" w:sz="0" w:space="0" w:color="auto"/>
        <w:right w:val="none" w:sz="0" w:space="0" w:color="auto"/>
      </w:divBdr>
    </w:div>
    <w:div w:id="1653020079">
      <w:bodyDiv w:val="1"/>
      <w:marLeft w:val="0"/>
      <w:marRight w:val="0"/>
      <w:marTop w:val="0"/>
      <w:marBottom w:val="0"/>
      <w:divBdr>
        <w:top w:val="none" w:sz="0" w:space="0" w:color="auto"/>
        <w:left w:val="none" w:sz="0" w:space="0" w:color="auto"/>
        <w:bottom w:val="none" w:sz="0" w:space="0" w:color="auto"/>
        <w:right w:val="none" w:sz="0" w:space="0" w:color="auto"/>
      </w:divBdr>
    </w:div>
    <w:div w:id="1661037192">
      <w:bodyDiv w:val="1"/>
      <w:marLeft w:val="0"/>
      <w:marRight w:val="0"/>
      <w:marTop w:val="0"/>
      <w:marBottom w:val="0"/>
      <w:divBdr>
        <w:top w:val="none" w:sz="0" w:space="0" w:color="auto"/>
        <w:left w:val="none" w:sz="0" w:space="0" w:color="auto"/>
        <w:bottom w:val="none" w:sz="0" w:space="0" w:color="auto"/>
        <w:right w:val="none" w:sz="0" w:space="0" w:color="auto"/>
      </w:divBdr>
    </w:div>
    <w:div w:id="1721519818">
      <w:bodyDiv w:val="1"/>
      <w:marLeft w:val="0"/>
      <w:marRight w:val="0"/>
      <w:marTop w:val="0"/>
      <w:marBottom w:val="0"/>
      <w:divBdr>
        <w:top w:val="none" w:sz="0" w:space="0" w:color="auto"/>
        <w:left w:val="none" w:sz="0" w:space="0" w:color="auto"/>
        <w:bottom w:val="none" w:sz="0" w:space="0" w:color="auto"/>
        <w:right w:val="none" w:sz="0" w:space="0" w:color="auto"/>
      </w:divBdr>
    </w:div>
    <w:div w:id="1724215846">
      <w:bodyDiv w:val="1"/>
      <w:marLeft w:val="0"/>
      <w:marRight w:val="0"/>
      <w:marTop w:val="0"/>
      <w:marBottom w:val="0"/>
      <w:divBdr>
        <w:top w:val="none" w:sz="0" w:space="0" w:color="auto"/>
        <w:left w:val="none" w:sz="0" w:space="0" w:color="auto"/>
        <w:bottom w:val="none" w:sz="0" w:space="0" w:color="auto"/>
        <w:right w:val="none" w:sz="0" w:space="0" w:color="auto"/>
      </w:divBdr>
    </w:div>
    <w:div w:id="1760323740">
      <w:bodyDiv w:val="1"/>
      <w:marLeft w:val="0"/>
      <w:marRight w:val="0"/>
      <w:marTop w:val="0"/>
      <w:marBottom w:val="0"/>
      <w:divBdr>
        <w:top w:val="none" w:sz="0" w:space="0" w:color="auto"/>
        <w:left w:val="none" w:sz="0" w:space="0" w:color="auto"/>
        <w:bottom w:val="none" w:sz="0" w:space="0" w:color="auto"/>
        <w:right w:val="none" w:sz="0" w:space="0" w:color="auto"/>
      </w:divBdr>
    </w:div>
    <w:div w:id="1814902810">
      <w:bodyDiv w:val="1"/>
      <w:marLeft w:val="0"/>
      <w:marRight w:val="0"/>
      <w:marTop w:val="0"/>
      <w:marBottom w:val="0"/>
      <w:divBdr>
        <w:top w:val="none" w:sz="0" w:space="0" w:color="auto"/>
        <w:left w:val="none" w:sz="0" w:space="0" w:color="auto"/>
        <w:bottom w:val="none" w:sz="0" w:space="0" w:color="auto"/>
        <w:right w:val="none" w:sz="0" w:space="0" w:color="auto"/>
      </w:divBdr>
    </w:div>
    <w:div w:id="1826967048">
      <w:bodyDiv w:val="1"/>
      <w:marLeft w:val="0"/>
      <w:marRight w:val="0"/>
      <w:marTop w:val="0"/>
      <w:marBottom w:val="0"/>
      <w:divBdr>
        <w:top w:val="none" w:sz="0" w:space="0" w:color="auto"/>
        <w:left w:val="none" w:sz="0" w:space="0" w:color="auto"/>
        <w:bottom w:val="none" w:sz="0" w:space="0" w:color="auto"/>
        <w:right w:val="none" w:sz="0" w:space="0" w:color="auto"/>
      </w:divBdr>
      <w:divsChild>
        <w:div w:id="2048019784">
          <w:marLeft w:val="0"/>
          <w:marRight w:val="0"/>
          <w:marTop w:val="0"/>
          <w:marBottom w:val="0"/>
          <w:divBdr>
            <w:top w:val="none" w:sz="0" w:space="0" w:color="auto"/>
            <w:left w:val="none" w:sz="0" w:space="0" w:color="auto"/>
            <w:bottom w:val="none" w:sz="0" w:space="0" w:color="auto"/>
            <w:right w:val="none" w:sz="0" w:space="0" w:color="auto"/>
          </w:divBdr>
          <w:divsChild>
            <w:div w:id="963920774">
              <w:marLeft w:val="0"/>
              <w:marRight w:val="0"/>
              <w:marTop w:val="0"/>
              <w:marBottom w:val="0"/>
              <w:divBdr>
                <w:top w:val="none" w:sz="0" w:space="0" w:color="auto"/>
                <w:left w:val="none" w:sz="0" w:space="0" w:color="auto"/>
                <w:bottom w:val="none" w:sz="0" w:space="0" w:color="auto"/>
                <w:right w:val="none" w:sz="0" w:space="0" w:color="auto"/>
              </w:divBdr>
              <w:divsChild>
                <w:div w:id="48504312">
                  <w:marLeft w:val="0"/>
                  <w:marRight w:val="0"/>
                  <w:marTop w:val="0"/>
                  <w:marBottom w:val="0"/>
                  <w:divBdr>
                    <w:top w:val="none" w:sz="0" w:space="0" w:color="auto"/>
                    <w:left w:val="none" w:sz="0" w:space="0" w:color="auto"/>
                    <w:bottom w:val="none" w:sz="0" w:space="0" w:color="auto"/>
                    <w:right w:val="none" w:sz="0" w:space="0" w:color="auto"/>
                  </w:divBdr>
                  <w:divsChild>
                    <w:div w:id="944919568">
                      <w:marLeft w:val="0"/>
                      <w:marRight w:val="0"/>
                      <w:marTop w:val="0"/>
                      <w:marBottom w:val="0"/>
                      <w:divBdr>
                        <w:top w:val="none" w:sz="0" w:space="0" w:color="auto"/>
                        <w:left w:val="none" w:sz="0" w:space="0" w:color="auto"/>
                        <w:bottom w:val="none" w:sz="0" w:space="0" w:color="auto"/>
                        <w:right w:val="none" w:sz="0" w:space="0" w:color="auto"/>
                      </w:divBdr>
                    </w:div>
                  </w:divsChild>
                </w:div>
                <w:div w:id="65154866">
                  <w:marLeft w:val="0"/>
                  <w:marRight w:val="0"/>
                  <w:marTop w:val="0"/>
                  <w:marBottom w:val="0"/>
                  <w:divBdr>
                    <w:top w:val="none" w:sz="0" w:space="0" w:color="auto"/>
                    <w:left w:val="none" w:sz="0" w:space="0" w:color="auto"/>
                    <w:bottom w:val="none" w:sz="0" w:space="0" w:color="auto"/>
                    <w:right w:val="none" w:sz="0" w:space="0" w:color="auto"/>
                  </w:divBdr>
                  <w:divsChild>
                    <w:div w:id="1503936687">
                      <w:marLeft w:val="0"/>
                      <w:marRight w:val="0"/>
                      <w:marTop w:val="0"/>
                      <w:marBottom w:val="0"/>
                      <w:divBdr>
                        <w:top w:val="none" w:sz="0" w:space="0" w:color="auto"/>
                        <w:left w:val="none" w:sz="0" w:space="0" w:color="auto"/>
                        <w:bottom w:val="none" w:sz="0" w:space="0" w:color="auto"/>
                        <w:right w:val="none" w:sz="0" w:space="0" w:color="auto"/>
                      </w:divBdr>
                    </w:div>
                  </w:divsChild>
                </w:div>
                <w:div w:id="164564084">
                  <w:marLeft w:val="0"/>
                  <w:marRight w:val="0"/>
                  <w:marTop w:val="0"/>
                  <w:marBottom w:val="0"/>
                  <w:divBdr>
                    <w:top w:val="none" w:sz="0" w:space="0" w:color="auto"/>
                    <w:left w:val="none" w:sz="0" w:space="0" w:color="auto"/>
                    <w:bottom w:val="none" w:sz="0" w:space="0" w:color="auto"/>
                    <w:right w:val="none" w:sz="0" w:space="0" w:color="auto"/>
                  </w:divBdr>
                  <w:divsChild>
                    <w:div w:id="699169113">
                      <w:marLeft w:val="0"/>
                      <w:marRight w:val="0"/>
                      <w:marTop w:val="0"/>
                      <w:marBottom w:val="0"/>
                      <w:divBdr>
                        <w:top w:val="none" w:sz="0" w:space="0" w:color="auto"/>
                        <w:left w:val="none" w:sz="0" w:space="0" w:color="auto"/>
                        <w:bottom w:val="none" w:sz="0" w:space="0" w:color="auto"/>
                        <w:right w:val="none" w:sz="0" w:space="0" w:color="auto"/>
                      </w:divBdr>
                    </w:div>
                  </w:divsChild>
                </w:div>
                <w:div w:id="288586304">
                  <w:marLeft w:val="0"/>
                  <w:marRight w:val="0"/>
                  <w:marTop w:val="0"/>
                  <w:marBottom w:val="0"/>
                  <w:divBdr>
                    <w:top w:val="none" w:sz="0" w:space="0" w:color="auto"/>
                    <w:left w:val="none" w:sz="0" w:space="0" w:color="auto"/>
                    <w:bottom w:val="none" w:sz="0" w:space="0" w:color="auto"/>
                    <w:right w:val="none" w:sz="0" w:space="0" w:color="auto"/>
                  </w:divBdr>
                  <w:divsChild>
                    <w:div w:id="545944778">
                      <w:marLeft w:val="0"/>
                      <w:marRight w:val="0"/>
                      <w:marTop w:val="0"/>
                      <w:marBottom w:val="0"/>
                      <w:divBdr>
                        <w:top w:val="none" w:sz="0" w:space="0" w:color="auto"/>
                        <w:left w:val="none" w:sz="0" w:space="0" w:color="auto"/>
                        <w:bottom w:val="none" w:sz="0" w:space="0" w:color="auto"/>
                        <w:right w:val="none" w:sz="0" w:space="0" w:color="auto"/>
                      </w:divBdr>
                    </w:div>
                  </w:divsChild>
                </w:div>
                <w:div w:id="387462374">
                  <w:marLeft w:val="0"/>
                  <w:marRight w:val="0"/>
                  <w:marTop w:val="0"/>
                  <w:marBottom w:val="0"/>
                  <w:divBdr>
                    <w:top w:val="none" w:sz="0" w:space="0" w:color="auto"/>
                    <w:left w:val="none" w:sz="0" w:space="0" w:color="auto"/>
                    <w:bottom w:val="none" w:sz="0" w:space="0" w:color="auto"/>
                    <w:right w:val="none" w:sz="0" w:space="0" w:color="auto"/>
                  </w:divBdr>
                  <w:divsChild>
                    <w:div w:id="1723096671">
                      <w:marLeft w:val="0"/>
                      <w:marRight w:val="0"/>
                      <w:marTop w:val="0"/>
                      <w:marBottom w:val="0"/>
                      <w:divBdr>
                        <w:top w:val="none" w:sz="0" w:space="0" w:color="auto"/>
                        <w:left w:val="none" w:sz="0" w:space="0" w:color="auto"/>
                        <w:bottom w:val="none" w:sz="0" w:space="0" w:color="auto"/>
                        <w:right w:val="none" w:sz="0" w:space="0" w:color="auto"/>
                      </w:divBdr>
                    </w:div>
                  </w:divsChild>
                </w:div>
                <w:div w:id="419523439">
                  <w:marLeft w:val="0"/>
                  <w:marRight w:val="0"/>
                  <w:marTop w:val="0"/>
                  <w:marBottom w:val="0"/>
                  <w:divBdr>
                    <w:top w:val="none" w:sz="0" w:space="0" w:color="auto"/>
                    <w:left w:val="none" w:sz="0" w:space="0" w:color="auto"/>
                    <w:bottom w:val="none" w:sz="0" w:space="0" w:color="auto"/>
                    <w:right w:val="none" w:sz="0" w:space="0" w:color="auto"/>
                  </w:divBdr>
                  <w:divsChild>
                    <w:div w:id="396169635">
                      <w:marLeft w:val="0"/>
                      <w:marRight w:val="0"/>
                      <w:marTop w:val="0"/>
                      <w:marBottom w:val="0"/>
                      <w:divBdr>
                        <w:top w:val="none" w:sz="0" w:space="0" w:color="auto"/>
                        <w:left w:val="none" w:sz="0" w:space="0" w:color="auto"/>
                        <w:bottom w:val="none" w:sz="0" w:space="0" w:color="auto"/>
                        <w:right w:val="none" w:sz="0" w:space="0" w:color="auto"/>
                      </w:divBdr>
                    </w:div>
                  </w:divsChild>
                </w:div>
                <w:div w:id="441338719">
                  <w:marLeft w:val="0"/>
                  <w:marRight w:val="0"/>
                  <w:marTop w:val="0"/>
                  <w:marBottom w:val="0"/>
                  <w:divBdr>
                    <w:top w:val="none" w:sz="0" w:space="0" w:color="auto"/>
                    <w:left w:val="none" w:sz="0" w:space="0" w:color="auto"/>
                    <w:bottom w:val="none" w:sz="0" w:space="0" w:color="auto"/>
                    <w:right w:val="none" w:sz="0" w:space="0" w:color="auto"/>
                  </w:divBdr>
                  <w:divsChild>
                    <w:div w:id="367724322">
                      <w:marLeft w:val="0"/>
                      <w:marRight w:val="0"/>
                      <w:marTop w:val="0"/>
                      <w:marBottom w:val="0"/>
                      <w:divBdr>
                        <w:top w:val="none" w:sz="0" w:space="0" w:color="auto"/>
                        <w:left w:val="none" w:sz="0" w:space="0" w:color="auto"/>
                        <w:bottom w:val="none" w:sz="0" w:space="0" w:color="auto"/>
                        <w:right w:val="none" w:sz="0" w:space="0" w:color="auto"/>
                      </w:divBdr>
                    </w:div>
                  </w:divsChild>
                </w:div>
                <w:div w:id="462583807">
                  <w:marLeft w:val="0"/>
                  <w:marRight w:val="0"/>
                  <w:marTop w:val="0"/>
                  <w:marBottom w:val="0"/>
                  <w:divBdr>
                    <w:top w:val="none" w:sz="0" w:space="0" w:color="auto"/>
                    <w:left w:val="none" w:sz="0" w:space="0" w:color="auto"/>
                    <w:bottom w:val="none" w:sz="0" w:space="0" w:color="auto"/>
                    <w:right w:val="none" w:sz="0" w:space="0" w:color="auto"/>
                  </w:divBdr>
                  <w:divsChild>
                    <w:div w:id="426389882">
                      <w:marLeft w:val="0"/>
                      <w:marRight w:val="0"/>
                      <w:marTop w:val="0"/>
                      <w:marBottom w:val="0"/>
                      <w:divBdr>
                        <w:top w:val="none" w:sz="0" w:space="0" w:color="auto"/>
                        <w:left w:val="none" w:sz="0" w:space="0" w:color="auto"/>
                        <w:bottom w:val="none" w:sz="0" w:space="0" w:color="auto"/>
                        <w:right w:val="none" w:sz="0" w:space="0" w:color="auto"/>
                      </w:divBdr>
                    </w:div>
                  </w:divsChild>
                </w:div>
                <w:div w:id="554002171">
                  <w:marLeft w:val="0"/>
                  <w:marRight w:val="0"/>
                  <w:marTop w:val="0"/>
                  <w:marBottom w:val="0"/>
                  <w:divBdr>
                    <w:top w:val="none" w:sz="0" w:space="0" w:color="auto"/>
                    <w:left w:val="none" w:sz="0" w:space="0" w:color="auto"/>
                    <w:bottom w:val="none" w:sz="0" w:space="0" w:color="auto"/>
                    <w:right w:val="none" w:sz="0" w:space="0" w:color="auto"/>
                  </w:divBdr>
                  <w:divsChild>
                    <w:div w:id="555551432">
                      <w:marLeft w:val="0"/>
                      <w:marRight w:val="0"/>
                      <w:marTop w:val="0"/>
                      <w:marBottom w:val="0"/>
                      <w:divBdr>
                        <w:top w:val="none" w:sz="0" w:space="0" w:color="auto"/>
                        <w:left w:val="none" w:sz="0" w:space="0" w:color="auto"/>
                        <w:bottom w:val="none" w:sz="0" w:space="0" w:color="auto"/>
                        <w:right w:val="none" w:sz="0" w:space="0" w:color="auto"/>
                      </w:divBdr>
                    </w:div>
                  </w:divsChild>
                </w:div>
                <w:div w:id="574585317">
                  <w:marLeft w:val="0"/>
                  <w:marRight w:val="0"/>
                  <w:marTop w:val="0"/>
                  <w:marBottom w:val="0"/>
                  <w:divBdr>
                    <w:top w:val="none" w:sz="0" w:space="0" w:color="auto"/>
                    <w:left w:val="none" w:sz="0" w:space="0" w:color="auto"/>
                    <w:bottom w:val="none" w:sz="0" w:space="0" w:color="auto"/>
                    <w:right w:val="none" w:sz="0" w:space="0" w:color="auto"/>
                  </w:divBdr>
                  <w:divsChild>
                    <w:div w:id="1701855798">
                      <w:marLeft w:val="0"/>
                      <w:marRight w:val="0"/>
                      <w:marTop w:val="0"/>
                      <w:marBottom w:val="0"/>
                      <w:divBdr>
                        <w:top w:val="none" w:sz="0" w:space="0" w:color="auto"/>
                        <w:left w:val="none" w:sz="0" w:space="0" w:color="auto"/>
                        <w:bottom w:val="none" w:sz="0" w:space="0" w:color="auto"/>
                        <w:right w:val="none" w:sz="0" w:space="0" w:color="auto"/>
                      </w:divBdr>
                    </w:div>
                  </w:divsChild>
                </w:div>
                <w:div w:id="619339220">
                  <w:marLeft w:val="0"/>
                  <w:marRight w:val="0"/>
                  <w:marTop w:val="0"/>
                  <w:marBottom w:val="0"/>
                  <w:divBdr>
                    <w:top w:val="none" w:sz="0" w:space="0" w:color="auto"/>
                    <w:left w:val="none" w:sz="0" w:space="0" w:color="auto"/>
                    <w:bottom w:val="none" w:sz="0" w:space="0" w:color="auto"/>
                    <w:right w:val="none" w:sz="0" w:space="0" w:color="auto"/>
                  </w:divBdr>
                  <w:divsChild>
                    <w:div w:id="511651107">
                      <w:marLeft w:val="0"/>
                      <w:marRight w:val="0"/>
                      <w:marTop w:val="0"/>
                      <w:marBottom w:val="0"/>
                      <w:divBdr>
                        <w:top w:val="none" w:sz="0" w:space="0" w:color="auto"/>
                        <w:left w:val="none" w:sz="0" w:space="0" w:color="auto"/>
                        <w:bottom w:val="none" w:sz="0" w:space="0" w:color="auto"/>
                        <w:right w:val="none" w:sz="0" w:space="0" w:color="auto"/>
                      </w:divBdr>
                    </w:div>
                  </w:divsChild>
                </w:div>
                <w:div w:id="638537926">
                  <w:marLeft w:val="0"/>
                  <w:marRight w:val="0"/>
                  <w:marTop w:val="0"/>
                  <w:marBottom w:val="0"/>
                  <w:divBdr>
                    <w:top w:val="none" w:sz="0" w:space="0" w:color="auto"/>
                    <w:left w:val="none" w:sz="0" w:space="0" w:color="auto"/>
                    <w:bottom w:val="none" w:sz="0" w:space="0" w:color="auto"/>
                    <w:right w:val="none" w:sz="0" w:space="0" w:color="auto"/>
                  </w:divBdr>
                  <w:divsChild>
                    <w:div w:id="1061831212">
                      <w:marLeft w:val="0"/>
                      <w:marRight w:val="0"/>
                      <w:marTop w:val="0"/>
                      <w:marBottom w:val="0"/>
                      <w:divBdr>
                        <w:top w:val="none" w:sz="0" w:space="0" w:color="auto"/>
                        <w:left w:val="none" w:sz="0" w:space="0" w:color="auto"/>
                        <w:bottom w:val="none" w:sz="0" w:space="0" w:color="auto"/>
                        <w:right w:val="none" w:sz="0" w:space="0" w:color="auto"/>
                      </w:divBdr>
                    </w:div>
                  </w:divsChild>
                </w:div>
                <w:div w:id="655232882">
                  <w:marLeft w:val="0"/>
                  <w:marRight w:val="0"/>
                  <w:marTop w:val="0"/>
                  <w:marBottom w:val="0"/>
                  <w:divBdr>
                    <w:top w:val="none" w:sz="0" w:space="0" w:color="auto"/>
                    <w:left w:val="none" w:sz="0" w:space="0" w:color="auto"/>
                    <w:bottom w:val="none" w:sz="0" w:space="0" w:color="auto"/>
                    <w:right w:val="none" w:sz="0" w:space="0" w:color="auto"/>
                  </w:divBdr>
                  <w:divsChild>
                    <w:div w:id="1735008663">
                      <w:marLeft w:val="0"/>
                      <w:marRight w:val="0"/>
                      <w:marTop w:val="0"/>
                      <w:marBottom w:val="0"/>
                      <w:divBdr>
                        <w:top w:val="none" w:sz="0" w:space="0" w:color="auto"/>
                        <w:left w:val="none" w:sz="0" w:space="0" w:color="auto"/>
                        <w:bottom w:val="none" w:sz="0" w:space="0" w:color="auto"/>
                        <w:right w:val="none" w:sz="0" w:space="0" w:color="auto"/>
                      </w:divBdr>
                    </w:div>
                  </w:divsChild>
                </w:div>
                <w:div w:id="725686910">
                  <w:marLeft w:val="0"/>
                  <w:marRight w:val="0"/>
                  <w:marTop w:val="0"/>
                  <w:marBottom w:val="0"/>
                  <w:divBdr>
                    <w:top w:val="none" w:sz="0" w:space="0" w:color="auto"/>
                    <w:left w:val="none" w:sz="0" w:space="0" w:color="auto"/>
                    <w:bottom w:val="none" w:sz="0" w:space="0" w:color="auto"/>
                    <w:right w:val="none" w:sz="0" w:space="0" w:color="auto"/>
                  </w:divBdr>
                  <w:divsChild>
                    <w:div w:id="1399012077">
                      <w:marLeft w:val="0"/>
                      <w:marRight w:val="0"/>
                      <w:marTop w:val="0"/>
                      <w:marBottom w:val="0"/>
                      <w:divBdr>
                        <w:top w:val="none" w:sz="0" w:space="0" w:color="auto"/>
                        <w:left w:val="none" w:sz="0" w:space="0" w:color="auto"/>
                        <w:bottom w:val="none" w:sz="0" w:space="0" w:color="auto"/>
                        <w:right w:val="none" w:sz="0" w:space="0" w:color="auto"/>
                      </w:divBdr>
                    </w:div>
                  </w:divsChild>
                </w:div>
                <w:div w:id="815336951">
                  <w:marLeft w:val="0"/>
                  <w:marRight w:val="0"/>
                  <w:marTop w:val="0"/>
                  <w:marBottom w:val="0"/>
                  <w:divBdr>
                    <w:top w:val="none" w:sz="0" w:space="0" w:color="auto"/>
                    <w:left w:val="none" w:sz="0" w:space="0" w:color="auto"/>
                    <w:bottom w:val="none" w:sz="0" w:space="0" w:color="auto"/>
                    <w:right w:val="none" w:sz="0" w:space="0" w:color="auto"/>
                  </w:divBdr>
                  <w:divsChild>
                    <w:div w:id="1109086915">
                      <w:marLeft w:val="0"/>
                      <w:marRight w:val="0"/>
                      <w:marTop w:val="0"/>
                      <w:marBottom w:val="0"/>
                      <w:divBdr>
                        <w:top w:val="none" w:sz="0" w:space="0" w:color="auto"/>
                        <w:left w:val="none" w:sz="0" w:space="0" w:color="auto"/>
                        <w:bottom w:val="none" w:sz="0" w:space="0" w:color="auto"/>
                        <w:right w:val="none" w:sz="0" w:space="0" w:color="auto"/>
                      </w:divBdr>
                    </w:div>
                  </w:divsChild>
                </w:div>
                <w:div w:id="848133690">
                  <w:marLeft w:val="0"/>
                  <w:marRight w:val="0"/>
                  <w:marTop w:val="0"/>
                  <w:marBottom w:val="0"/>
                  <w:divBdr>
                    <w:top w:val="none" w:sz="0" w:space="0" w:color="auto"/>
                    <w:left w:val="none" w:sz="0" w:space="0" w:color="auto"/>
                    <w:bottom w:val="none" w:sz="0" w:space="0" w:color="auto"/>
                    <w:right w:val="none" w:sz="0" w:space="0" w:color="auto"/>
                  </w:divBdr>
                  <w:divsChild>
                    <w:div w:id="509415580">
                      <w:marLeft w:val="0"/>
                      <w:marRight w:val="0"/>
                      <w:marTop w:val="0"/>
                      <w:marBottom w:val="0"/>
                      <w:divBdr>
                        <w:top w:val="none" w:sz="0" w:space="0" w:color="auto"/>
                        <w:left w:val="none" w:sz="0" w:space="0" w:color="auto"/>
                        <w:bottom w:val="none" w:sz="0" w:space="0" w:color="auto"/>
                        <w:right w:val="none" w:sz="0" w:space="0" w:color="auto"/>
                      </w:divBdr>
                    </w:div>
                  </w:divsChild>
                </w:div>
                <w:div w:id="850292750">
                  <w:marLeft w:val="0"/>
                  <w:marRight w:val="0"/>
                  <w:marTop w:val="0"/>
                  <w:marBottom w:val="0"/>
                  <w:divBdr>
                    <w:top w:val="none" w:sz="0" w:space="0" w:color="auto"/>
                    <w:left w:val="none" w:sz="0" w:space="0" w:color="auto"/>
                    <w:bottom w:val="none" w:sz="0" w:space="0" w:color="auto"/>
                    <w:right w:val="none" w:sz="0" w:space="0" w:color="auto"/>
                  </w:divBdr>
                  <w:divsChild>
                    <w:div w:id="793449421">
                      <w:marLeft w:val="0"/>
                      <w:marRight w:val="0"/>
                      <w:marTop w:val="0"/>
                      <w:marBottom w:val="0"/>
                      <w:divBdr>
                        <w:top w:val="none" w:sz="0" w:space="0" w:color="auto"/>
                        <w:left w:val="none" w:sz="0" w:space="0" w:color="auto"/>
                        <w:bottom w:val="none" w:sz="0" w:space="0" w:color="auto"/>
                        <w:right w:val="none" w:sz="0" w:space="0" w:color="auto"/>
                      </w:divBdr>
                    </w:div>
                  </w:divsChild>
                </w:div>
                <w:div w:id="919174033">
                  <w:marLeft w:val="0"/>
                  <w:marRight w:val="0"/>
                  <w:marTop w:val="0"/>
                  <w:marBottom w:val="0"/>
                  <w:divBdr>
                    <w:top w:val="none" w:sz="0" w:space="0" w:color="auto"/>
                    <w:left w:val="none" w:sz="0" w:space="0" w:color="auto"/>
                    <w:bottom w:val="none" w:sz="0" w:space="0" w:color="auto"/>
                    <w:right w:val="none" w:sz="0" w:space="0" w:color="auto"/>
                  </w:divBdr>
                  <w:divsChild>
                    <w:div w:id="1373965451">
                      <w:marLeft w:val="0"/>
                      <w:marRight w:val="0"/>
                      <w:marTop w:val="0"/>
                      <w:marBottom w:val="0"/>
                      <w:divBdr>
                        <w:top w:val="none" w:sz="0" w:space="0" w:color="auto"/>
                        <w:left w:val="none" w:sz="0" w:space="0" w:color="auto"/>
                        <w:bottom w:val="none" w:sz="0" w:space="0" w:color="auto"/>
                        <w:right w:val="none" w:sz="0" w:space="0" w:color="auto"/>
                      </w:divBdr>
                    </w:div>
                  </w:divsChild>
                </w:div>
                <w:div w:id="1053771768">
                  <w:marLeft w:val="0"/>
                  <w:marRight w:val="0"/>
                  <w:marTop w:val="0"/>
                  <w:marBottom w:val="0"/>
                  <w:divBdr>
                    <w:top w:val="none" w:sz="0" w:space="0" w:color="auto"/>
                    <w:left w:val="none" w:sz="0" w:space="0" w:color="auto"/>
                    <w:bottom w:val="none" w:sz="0" w:space="0" w:color="auto"/>
                    <w:right w:val="none" w:sz="0" w:space="0" w:color="auto"/>
                  </w:divBdr>
                  <w:divsChild>
                    <w:div w:id="1864174668">
                      <w:marLeft w:val="0"/>
                      <w:marRight w:val="0"/>
                      <w:marTop w:val="0"/>
                      <w:marBottom w:val="0"/>
                      <w:divBdr>
                        <w:top w:val="none" w:sz="0" w:space="0" w:color="auto"/>
                        <w:left w:val="none" w:sz="0" w:space="0" w:color="auto"/>
                        <w:bottom w:val="none" w:sz="0" w:space="0" w:color="auto"/>
                        <w:right w:val="none" w:sz="0" w:space="0" w:color="auto"/>
                      </w:divBdr>
                    </w:div>
                  </w:divsChild>
                </w:div>
                <w:div w:id="1135759516">
                  <w:marLeft w:val="0"/>
                  <w:marRight w:val="0"/>
                  <w:marTop w:val="0"/>
                  <w:marBottom w:val="0"/>
                  <w:divBdr>
                    <w:top w:val="none" w:sz="0" w:space="0" w:color="auto"/>
                    <w:left w:val="none" w:sz="0" w:space="0" w:color="auto"/>
                    <w:bottom w:val="none" w:sz="0" w:space="0" w:color="auto"/>
                    <w:right w:val="none" w:sz="0" w:space="0" w:color="auto"/>
                  </w:divBdr>
                  <w:divsChild>
                    <w:div w:id="398750169">
                      <w:marLeft w:val="0"/>
                      <w:marRight w:val="0"/>
                      <w:marTop w:val="0"/>
                      <w:marBottom w:val="0"/>
                      <w:divBdr>
                        <w:top w:val="none" w:sz="0" w:space="0" w:color="auto"/>
                        <w:left w:val="none" w:sz="0" w:space="0" w:color="auto"/>
                        <w:bottom w:val="none" w:sz="0" w:space="0" w:color="auto"/>
                        <w:right w:val="none" w:sz="0" w:space="0" w:color="auto"/>
                      </w:divBdr>
                    </w:div>
                  </w:divsChild>
                </w:div>
                <w:div w:id="1145049457">
                  <w:marLeft w:val="0"/>
                  <w:marRight w:val="0"/>
                  <w:marTop w:val="0"/>
                  <w:marBottom w:val="0"/>
                  <w:divBdr>
                    <w:top w:val="none" w:sz="0" w:space="0" w:color="auto"/>
                    <w:left w:val="none" w:sz="0" w:space="0" w:color="auto"/>
                    <w:bottom w:val="none" w:sz="0" w:space="0" w:color="auto"/>
                    <w:right w:val="none" w:sz="0" w:space="0" w:color="auto"/>
                  </w:divBdr>
                  <w:divsChild>
                    <w:div w:id="313145400">
                      <w:marLeft w:val="0"/>
                      <w:marRight w:val="0"/>
                      <w:marTop w:val="0"/>
                      <w:marBottom w:val="0"/>
                      <w:divBdr>
                        <w:top w:val="none" w:sz="0" w:space="0" w:color="auto"/>
                        <w:left w:val="none" w:sz="0" w:space="0" w:color="auto"/>
                        <w:bottom w:val="none" w:sz="0" w:space="0" w:color="auto"/>
                        <w:right w:val="none" w:sz="0" w:space="0" w:color="auto"/>
                      </w:divBdr>
                    </w:div>
                  </w:divsChild>
                </w:div>
                <w:div w:id="1198927888">
                  <w:marLeft w:val="0"/>
                  <w:marRight w:val="0"/>
                  <w:marTop w:val="0"/>
                  <w:marBottom w:val="0"/>
                  <w:divBdr>
                    <w:top w:val="none" w:sz="0" w:space="0" w:color="auto"/>
                    <w:left w:val="none" w:sz="0" w:space="0" w:color="auto"/>
                    <w:bottom w:val="none" w:sz="0" w:space="0" w:color="auto"/>
                    <w:right w:val="none" w:sz="0" w:space="0" w:color="auto"/>
                  </w:divBdr>
                  <w:divsChild>
                    <w:div w:id="517473205">
                      <w:marLeft w:val="0"/>
                      <w:marRight w:val="0"/>
                      <w:marTop w:val="0"/>
                      <w:marBottom w:val="0"/>
                      <w:divBdr>
                        <w:top w:val="none" w:sz="0" w:space="0" w:color="auto"/>
                        <w:left w:val="none" w:sz="0" w:space="0" w:color="auto"/>
                        <w:bottom w:val="none" w:sz="0" w:space="0" w:color="auto"/>
                        <w:right w:val="none" w:sz="0" w:space="0" w:color="auto"/>
                      </w:divBdr>
                    </w:div>
                  </w:divsChild>
                </w:div>
                <w:div w:id="1366639368">
                  <w:marLeft w:val="0"/>
                  <w:marRight w:val="0"/>
                  <w:marTop w:val="0"/>
                  <w:marBottom w:val="0"/>
                  <w:divBdr>
                    <w:top w:val="none" w:sz="0" w:space="0" w:color="auto"/>
                    <w:left w:val="none" w:sz="0" w:space="0" w:color="auto"/>
                    <w:bottom w:val="none" w:sz="0" w:space="0" w:color="auto"/>
                    <w:right w:val="none" w:sz="0" w:space="0" w:color="auto"/>
                  </w:divBdr>
                  <w:divsChild>
                    <w:div w:id="827090042">
                      <w:marLeft w:val="0"/>
                      <w:marRight w:val="0"/>
                      <w:marTop w:val="0"/>
                      <w:marBottom w:val="0"/>
                      <w:divBdr>
                        <w:top w:val="none" w:sz="0" w:space="0" w:color="auto"/>
                        <w:left w:val="none" w:sz="0" w:space="0" w:color="auto"/>
                        <w:bottom w:val="none" w:sz="0" w:space="0" w:color="auto"/>
                        <w:right w:val="none" w:sz="0" w:space="0" w:color="auto"/>
                      </w:divBdr>
                    </w:div>
                  </w:divsChild>
                </w:div>
                <w:div w:id="1423573613">
                  <w:marLeft w:val="0"/>
                  <w:marRight w:val="0"/>
                  <w:marTop w:val="0"/>
                  <w:marBottom w:val="0"/>
                  <w:divBdr>
                    <w:top w:val="none" w:sz="0" w:space="0" w:color="auto"/>
                    <w:left w:val="none" w:sz="0" w:space="0" w:color="auto"/>
                    <w:bottom w:val="none" w:sz="0" w:space="0" w:color="auto"/>
                    <w:right w:val="none" w:sz="0" w:space="0" w:color="auto"/>
                  </w:divBdr>
                  <w:divsChild>
                    <w:div w:id="278076357">
                      <w:marLeft w:val="0"/>
                      <w:marRight w:val="0"/>
                      <w:marTop w:val="0"/>
                      <w:marBottom w:val="0"/>
                      <w:divBdr>
                        <w:top w:val="none" w:sz="0" w:space="0" w:color="auto"/>
                        <w:left w:val="none" w:sz="0" w:space="0" w:color="auto"/>
                        <w:bottom w:val="none" w:sz="0" w:space="0" w:color="auto"/>
                        <w:right w:val="none" w:sz="0" w:space="0" w:color="auto"/>
                      </w:divBdr>
                    </w:div>
                  </w:divsChild>
                </w:div>
                <w:div w:id="1477718903">
                  <w:marLeft w:val="0"/>
                  <w:marRight w:val="0"/>
                  <w:marTop w:val="0"/>
                  <w:marBottom w:val="0"/>
                  <w:divBdr>
                    <w:top w:val="none" w:sz="0" w:space="0" w:color="auto"/>
                    <w:left w:val="none" w:sz="0" w:space="0" w:color="auto"/>
                    <w:bottom w:val="none" w:sz="0" w:space="0" w:color="auto"/>
                    <w:right w:val="none" w:sz="0" w:space="0" w:color="auto"/>
                  </w:divBdr>
                  <w:divsChild>
                    <w:div w:id="875048532">
                      <w:marLeft w:val="0"/>
                      <w:marRight w:val="0"/>
                      <w:marTop w:val="0"/>
                      <w:marBottom w:val="0"/>
                      <w:divBdr>
                        <w:top w:val="none" w:sz="0" w:space="0" w:color="auto"/>
                        <w:left w:val="none" w:sz="0" w:space="0" w:color="auto"/>
                        <w:bottom w:val="none" w:sz="0" w:space="0" w:color="auto"/>
                        <w:right w:val="none" w:sz="0" w:space="0" w:color="auto"/>
                      </w:divBdr>
                    </w:div>
                  </w:divsChild>
                </w:div>
                <w:div w:id="1528639584">
                  <w:marLeft w:val="0"/>
                  <w:marRight w:val="0"/>
                  <w:marTop w:val="0"/>
                  <w:marBottom w:val="0"/>
                  <w:divBdr>
                    <w:top w:val="none" w:sz="0" w:space="0" w:color="auto"/>
                    <w:left w:val="none" w:sz="0" w:space="0" w:color="auto"/>
                    <w:bottom w:val="none" w:sz="0" w:space="0" w:color="auto"/>
                    <w:right w:val="none" w:sz="0" w:space="0" w:color="auto"/>
                  </w:divBdr>
                  <w:divsChild>
                    <w:div w:id="2097284579">
                      <w:marLeft w:val="0"/>
                      <w:marRight w:val="0"/>
                      <w:marTop w:val="0"/>
                      <w:marBottom w:val="0"/>
                      <w:divBdr>
                        <w:top w:val="none" w:sz="0" w:space="0" w:color="auto"/>
                        <w:left w:val="none" w:sz="0" w:space="0" w:color="auto"/>
                        <w:bottom w:val="none" w:sz="0" w:space="0" w:color="auto"/>
                        <w:right w:val="none" w:sz="0" w:space="0" w:color="auto"/>
                      </w:divBdr>
                    </w:div>
                  </w:divsChild>
                </w:div>
                <w:div w:id="1622491251">
                  <w:marLeft w:val="0"/>
                  <w:marRight w:val="0"/>
                  <w:marTop w:val="0"/>
                  <w:marBottom w:val="0"/>
                  <w:divBdr>
                    <w:top w:val="none" w:sz="0" w:space="0" w:color="auto"/>
                    <w:left w:val="none" w:sz="0" w:space="0" w:color="auto"/>
                    <w:bottom w:val="none" w:sz="0" w:space="0" w:color="auto"/>
                    <w:right w:val="none" w:sz="0" w:space="0" w:color="auto"/>
                  </w:divBdr>
                  <w:divsChild>
                    <w:div w:id="874343054">
                      <w:marLeft w:val="0"/>
                      <w:marRight w:val="0"/>
                      <w:marTop w:val="0"/>
                      <w:marBottom w:val="0"/>
                      <w:divBdr>
                        <w:top w:val="none" w:sz="0" w:space="0" w:color="auto"/>
                        <w:left w:val="none" w:sz="0" w:space="0" w:color="auto"/>
                        <w:bottom w:val="none" w:sz="0" w:space="0" w:color="auto"/>
                        <w:right w:val="none" w:sz="0" w:space="0" w:color="auto"/>
                      </w:divBdr>
                    </w:div>
                  </w:divsChild>
                </w:div>
                <w:div w:id="1807628423">
                  <w:marLeft w:val="0"/>
                  <w:marRight w:val="0"/>
                  <w:marTop w:val="0"/>
                  <w:marBottom w:val="0"/>
                  <w:divBdr>
                    <w:top w:val="none" w:sz="0" w:space="0" w:color="auto"/>
                    <w:left w:val="none" w:sz="0" w:space="0" w:color="auto"/>
                    <w:bottom w:val="none" w:sz="0" w:space="0" w:color="auto"/>
                    <w:right w:val="none" w:sz="0" w:space="0" w:color="auto"/>
                  </w:divBdr>
                  <w:divsChild>
                    <w:div w:id="1754467078">
                      <w:marLeft w:val="0"/>
                      <w:marRight w:val="0"/>
                      <w:marTop w:val="0"/>
                      <w:marBottom w:val="0"/>
                      <w:divBdr>
                        <w:top w:val="none" w:sz="0" w:space="0" w:color="auto"/>
                        <w:left w:val="none" w:sz="0" w:space="0" w:color="auto"/>
                        <w:bottom w:val="none" w:sz="0" w:space="0" w:color="auto"/>
                        <w:right w:val="none" w:sz="0" w:space="0" w:color="auto"/>
                      </w:divBdr>
                    </w:div>
                  </w:divsChild>
                </w:div>
                <w:div w:id="1837646233">
                  <w:marLeft w:val="0"/>
                  <w:marRight w:val="0"/>
                  <w:marTop w:val="0"/>
                  <w:marBottom w:val="0"/>
                  <w:divBdr>
                    <w:top w:val="none" w:sz="0" w:space="0" w:color="auto"/>
                    <w:left w:val="none" w:sz="0" w:space="0" w:color="auto"/>
                    <w:bottom w:val="none" w:sz="0" w:space="0" w:color="auto"/>
                    <w:right w:val="none" w:sz="0" w:space="0" w:color="auto"/>
                  </w:divBdr>
                  <w:divsChild>
                    <w:div w:id="1660689423">
                      <w:marLeft w:val="0"/>
                      <w:marRight w:val="0"/>
                      <w:marTop w:val="0"/>
                      <w:marBottom w:val="0"/>
                      <w:divBdr>
                        <w:top w:val="none" w:sz="0" w:space="0" w:color="auto"/>
                        <w:left w:val="none" w:sz="0" w:space="0" w:color="auto"/>
                        <w:bottom w:val="none" w:sz="0" w:space="0" w:color="auto"/>
                        <w:right w:val="none" w:sz="0" w:space="0" w:color="auto"/>
                      </w:divBdr>
                    </w:div>
                  </w:divsChild>
                </w:div>
                <w:div w:id="1862468513">
                  <w:marLeft w:val="0"/>
                  <w:marRight w:val="0"/>
                  <w:marTop w:val="0"/>
                  <w:marBottom w:val="0"/>
                  <w:divBdr>
                    <w:top w:val="none" w:sz="0" w:space="0" w:color="auto"/>
                    <w:left w:val="none" w:sz="0" w:space="0" w:color="auto"/>
                    <w:bottom w:val="none" w:sz="0" w:space="0" w:color="auto"/>
                    <w:right w:val="none" w:sz="0" w:space="0" w:color="auto"/>
                  </w:divBdr>
                  <w:divsChild>
                    <w:div w:id="2109035205">
                      <w:marLeft w:val="0"/>
                      <w:marRight w:val="0"/>
                      <w:marTop w:val="0"/>
                      <w:marBottom w:val="0"/>
                      <w:divBdr>
                        <w:top w:val="none" w:sz="0" w:space="0" w:color="auto"/>
                        <w:left w:val="none" w:sz="0" w:space="0" w:color="auto"/>
                        <w:bottom w:val="none" w:sz="0" w:space="0" w:color="auto"/>
                        <w:right w:val="none" w:sz="0" w:space="0" w:color="auto"/>
                      </w:divBdr>
                    </w:div>
                  </w:divsChild>
                </w:div>
                <w:div w:id="1930575503">
                  <w:marLeft w:val="0"/>
                  <w:marRight w:val="0"/>
                  <w:marTop w:val="0"/>
                  <w:marBottom w:val="0"/>
                  <w:divBdr>
                    <w:top w:val="none" w:sz="0" w:space="0" w:color="auto"/>
                    <w:left w:val="none" w:sz="0" w:space="0" w:color="auto"/>
                    <w:bottom w:val="none" w:sz="0" w:space="0" w:color="auto"/>
                    <w:right w:val="none" w:sz="0" w:space="0" w:color="auto"/>
                  </w:divBdr>
                  <w:divsChild>
                    <w:div w:id="1979870452">
                      <w:marLeft w:val="0"/>
                      <w:marRight w:val="0"/>
                      <w:marTop w:val="0"/>
                      <w:marBottom w:val="0"/>
                      <w:divBdr>
                        <w:top w:val="none" w:sz="0" w:space="0" w:color="auto"/>
                        <w:left w:val="none" w:sz="0" w:space="0" w:color="auto"/>
                        <w:bottom w:val="none" w:sz="0" w:space="0" w:color="auto"/>
                        <w:right w:val="none" w:sz="0" w:space="0" w:color="auto"/>
                      </w:divBdr>
                    </w:div>
                  </w:divsChild>
                </w:div>
                <w:div w:id="1985308608">
                  <w:marLeft w:val="0"/>
                  <w:marRight w:val="0"/>
                  <w:marTop w:val="0"/>
                  <w:marBottom w:val="0"/>
                  <w:divBdr>
                    <w:top w:val="none" w:sz="0" w:space="0" w:color="auto"/>
                    <w:left w:val="none" w:sz="0" w:space="0" w:color="auto"/>
                    <w:bottom w:val="none" w:sz="0" w:space="0" w:color="auto"/>
                    <w:right w:val="none" w:sz="0" w:space="0" w:color="auto"/>
                  </w:divBdr>
                  <w:divsChild>
                    <w:div w:id="5418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344">
      <w:bodyDiv w:val="1"/>
      <w:marLeft w:val="0"/>
      <w:marRight w:val="0"/>
      <w:marTop w:val="0"/>
      <w:marBottom w:val="0"/>
      <w:divBdr>
        <w:top w:val="none" w:sz="0" w:space="0" w:color="auto"/>
        <w:left w:val="none" w:sz="0" w:space="0" w:color="auto"/>
        <w:bottom w:val="none" w:sz="0" w:space="0" w:color="auto"/>
        <w:right w:val="none" w:sz="0" w:space="0" w:color="auto"/>
      </w:divBdr>
      <w:divsChild>
        <w:div w:id="302270739">
          <w:marLeft w:val="0"/>
          <w:marRight w:val="0"/>
          <w:marTop w:val="0"/>
          <w:marBottom w:val="0"/>
          <w:divBdr>
            <w:top w:val="none" w:sz="0" w:space="0" w:color="auto"/>
            <w:left w:val="none" w:sz="0" w:space="0" w:color="auto"/>
            <w:bottom w:val="none" w:sz="0" w:space="0" w:color="auto"/>
            <w:right w:val="none" w:sz="0" w:space="0" w:color="auto"/>
          </w:divBdr>
          <w:divsChild>
            <w:div w:id="5189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4916">
      <w:bodyDiv w:val="1"/>
      <w:marLeft w:val="0"/>
      <w:marRight w:val="0"/>
      <w:marTop w:val="0"/>
      <w:marBottom w:val="0"/>
      <w:divBdr>
        <w:top w:val="none" w:sz="0" w:space="0" w:color="auto"/>
        <w:left w:val="none" w:sz="0" w:space="0" w:color="auto"/>
        <w:bottom w:val="none" w:sz="0" w:space="0" w:color="auto"/>
        <w:right w:val="none" w:sz="0" w:space="0" w:color="auto"/>
      </w:divBdr>
    </w:div>
    <w:div w:id="2017802210">
      <w:bodyDiv w:val="1"/>
      <w:marLeft w:val="0"/>
      <w:marRight w:val="0"/>
      <w:marTop w:val="0"/>
      <w:marBottom w:val="0"/>
      <w:divBdr>
        <w:top w:val="none" w:sz="0" w:space="0" w:color="auto"/>
        <w:left w:val="none" w:sz="0" w:space="0" w:color="auto"/>
        <w:bottom w:val="none" w:sz="0" w:space="0" w:color="auto"/>
        <w:right w:val="none" w:sz="0" w:space="0" w:color="auto"/>
      </w:divBdr>
    </w:div>
    <w:div w:id="20347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resource/informal-release-of-information/" TargetMode="External"/><Relationship Id="rId18" Type="http://schemas.openxmlformats.org/officeDocument/2006/relationships/hyperlink" Target="https://ovic.vic.gov.au/freedom-of-information/foi-guidelines/section-21/" TargetMode="External"/><Relationship Id="rId26" Type="http://schemas.openxmlformats.org/officeDocument/2006/relationships/hyperlink" Target="https://ovic.vic.gov.au/freedom-of-information/foi-guidelines/section-49g/" TargetMode="External"/><Relationship Id="rId3" Type="http://schemas.openxmlformats.org/officeDocument/2006/relationships/styles" Target="styles.xml"/><Relationship Id="rId21" Type="http://schemas.openxmlformats.org/officeDocument/2006/relationships/hyperlink" Target="https://ovic.vic.gov.au/freedom-of-information/foi-guidelines/section-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vic.vic.gov.au/resource/proactive-release-of-information/" TargetMode="External"/><Relationship Id="rId17" Type="http://schemas.openxmlformats.org/officeDocument/2006/relationships/hyperlink" Target="https://ovic.vic.gov.au/freedom-of-information/foi-guidelines/section-18/" TargetMode="External"/><Relationship Id="rId25" Type="http://schemas.openxmlformats.org/officeDocument/2006/relationships/hyperlink" Target="https://ovic.vic.gov.au/freedom-of-information/foi-guidelines/section-2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vic.vic.gov.au/freedom-of-information/foi-guidelines/section-17/" TargetMode="External"/><Relationship Id="rId20" Type="http://schemas.openxmlformats.org/officeDocument/2006/relationships/hyperlink" Target="https://ovic.vic.gov.au/freedom-of-information/foi-guidelines/section-25a/" TargetMode="External"/><Relationship Id="rId29" Type="http://schemas.openxmlformats.org/officeDocument/2006/relationships/hyperlink" Target="mailto:enquiries@ovi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c.vic.gov.au/resource/privacy-policy/" TargetMode="External"/><Relationship Id="rId24" Type="http://schemas.openxmlformats.org/officeDocument/2006/relationships/hyperlink" Target="https://ovic.vic.gov.au/freedom-of-information/foi-guidelines/section-27/"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vic.vic.gov.au/freedom-of-information/resources-for-agencies/practice-notes/proactive-and-informal-release-policy-template-and-guide/" TargetMode="External"/><Relationship Id="rId23" Type="http://schemas.openxmlformats.org/officeDocument/2006/relationships/hyperlink" Target="https://ovic.vic.gov.au/freedom-of-information/foi-guidelines/section-33/" TargetMode="External"/><Relationship Id="rId28" Type="http://schemas.openxmlformats.org/officeDocument/2006/relationships/hyperlink" Target="https://ovic.vic.gov.au/freedom-of-information/foi-guidelines/section-61gb/" TargetMode="External"/><Relationship Id="rId36" Type="http://schemas.openxmlformats.org/officeDocument/2006/relationships/theme" Target="theme/theme1.xml"/><Relationship Id="rId10" Type="http://schemas.openxmlformats.org/officeDocument/2006/relationships/hyperlink" Target="mailto:enquiries@ovic.vic.gov.au" TargetMode="External"/><Relationship Id="rId19" Type="http://schemas.openxmlformats.org/officeDocument/2006/relationships/hyperlink" Target="https://ovic.vic.gov.au/freedom-of-information/foi-guidelines/section-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vic.vic.gov.au/freedom-of-information/resources-for-agencies/professional-standards-consultation-feedback-form.doc" TargetMode="External"/><Relationship Id="rId14" Type="http://schemas.openxmlformats.org/officeDocument/2006/relationships/hyperlink" Target="https://ovic.vic.gov.au/freedom-of-information/foi-guidelines/section-7/" TargetMode="External"/><Relationship Id="rId22" Type="http://schemas.openxmlformats.org/officeDocument/2006/relationships/hyperlink" Target="https://ovic.vic.gov.au/freedom-of-information/foi-guidelines/section-27/" TargetMode="External"/><Relationship Id="rId27" Type="http://schemas.openxmlformats.org/officeDocument/2006/relationships/hyperlink" Target="https://ovic.vic.gov.au/freedom-of-information/foi-guidelines/section-49i/"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hyperlink" Target="https://ovic.vic.gov.au/freedom-of-information/professional-standard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DF7FCBD00A4EB08A06505E0D66D0A3"/>
        <w:category>
          <w:name w:val="General"/>
          <w:gallery w:val="placeholder"/>
        </w:category>
        <w:types>
          <w:type w:val="bbPlcHdr"/>
        </w:types>
        <w:behaviors>
          <w:behavior w:val="content"/>
        </w:behaviors>
        <w:guid w:val="{2D37ED5E-A10C-49DD-AE82-2C9FABD84EAB}"/>
      </w:docPartPr>
      <w:docPartBody>
        <w:p w:rsidR="008944B5" w:rsidRDefault="008944B5">
          <w:pPr>
            <w:pStyle w:val="D8DF7FCBD00A4EB08A06505E0D66D0A3"/>
          </w:pPr>
          <w:r w:rsidRPr="00281560">
            <w:rPr>
              <w:highlight w:val="lightGray"/>
            </w:rPr>
            <w:t>[Click to add Title, linked to the internal pages footer]</w:t>
          </w:r>
        </w:p>
      </w:docPartBody>
    </w:docPart>
    <w:docPart>
      <w:docPartPr>
        <w:name w:val="38716700B4184F12BDE3E76253CDF7A3"/>
        <w:category>
          <w:name w:val="General"/>
          <w:gallery w:val="placeholder"/>
        </w:category>
        <w:types>
          <w:type w:val="bbPlcHdr"/>
        </w:types>
        <w:behaviors>
          <w:behavior w:val="content"/>
        </w:behaviors>
        <w:guid w:val="{B125D19F-BA16-4F73-82D5-AA0614F21B06}"/>
      </w:docPartPr>
      <w:docPartBody>
        <w:p w:rsidR="008944B5" w:rsidRDefault="008944B5">
          <w:pPr>
            <w:pStyle w:val="38716700B4184F12BDE3E76253CDF7A3"/>
          </w:pPr>
          <w:r w:rsidRPr="00897F77">
            <w:rPr>
              <w:highlight w:val="lightGray"/>
            </w:rPr>
            <w:t>[Click to add Subtitle]</w:t>
          </w:r>
        </w:p>
      </w:docPartBody>
    </w:docPart>
    <w:docPart>
      <w:docPartPr>
        <w:name w:val="8FDBA14F3AFC4C6D8B3344151147F65F"/>
        <w:category>
          <w:name w:val="General"/>
          <w:gallery w:val="placeholder"/>
        </w:category>
        <w:types>
          <w:type w:val="bbPlcHdr"/>
        </w:types>
        <w:behaviors>
          <w:behavior w:val="content"/>
        </w:behaviors>
        <w:guid w:val="{608616B2-E8C9-4352-9D67-1E71C3C02E18}"/>
      </w:docPartPr>
      <w:docPartBody>
        <w:p w:rsidR="0094245B" w:rsidRDefault="0094245B" w:rsidP="0094245B">
          <w:pPr>
            <w:pStyle w:val="8FDBA14F3AFC4C6D8B3344151147F65F"/>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ational-Book">
    <w:altName w:val="Times New Roman"/>
    <w:panose1 w:val="02000503000000020004"/>
    <w:charset w:val="00"/>
    <w:family w:val="auto"/>
    <w:pitch w:val="variable"/>
    <w:sig w:usb0="00000001"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B5"/>
    <w:rsid w:val="00023177"/>
    <w:rsid w:val="000A42C9"/>
    <w:rsid w:val="000B12A3"/>
    <w:rsid w:val="000F42DD"/>
    <w:rsid w:val="0013628D"/>
    <w:rsid w:val="00157BD0"/>
    <w:rsid w:val="00182276"/>
    <w:rsid w:val="001D7B04"/>
    <w:rsid w:val="002620AE"/>
    <w:rsid w:val="002B201F"/>
    <w:rsid w:val="002E1121"/>
    <w:rsid w:val="002E5977"/>
    <w:rsid w:val="002F7B45"/>
    <w:rsid w:val="0030773D"/>
    <w:rsid w:val="00307D93"/>
    <w:rsid w:val="00310B78"/>
    <w:rsid w:val="00330DD8"/>
    <w:rsid w:val="00352D88"/>
    <w:rsid w:val="003B7FBF"/>
    <w:rsid w:val="00402E77"/>
    <w:rsid w:val="00433AEB"/>
    <w:rsid w:val="00444D19"/>
    <w:rsid w:val="0049161F"/>
    <w:rsid w:val="004B14B4"/>
    <w:rsid w:val="004F7BAD"/>
    <w:rsid w:val="00500FD1"/>
    <w:rsid w:val="00583409"/>
    <w:rsid w:val="005D448D"/>
    <w:rsid w:val="00636B67"/>
    <w:rsid w:val="00650924"/>
    <w:rsid w:val="007811CA"/>
    <w:rsid w:val="008230A5"/>
    <w:rsid w:val="008300E8"/>
    <w:rsid w:val="00862BFE"/>
    <w:rsid w:val="008944B5"/>
    <w:rsid w:val="008A0E07"/>
    <w:rsid w:val="00912290"/>
    <w:rsid w:val="0094245B"/>
    <w:rsid w:val="00962679"/>
    <w:rsid w:val="009701C6"/>
    <w:rsid w:val="009963F3"/>
    <w:rsid w:val="009B57EC"/>
    <w:rsid w:val="00A46ADE"/>
    <w:rsid w:val="00A6152B"/>
    <w:rsid w:val="00AE1D50"/>
    <w:rsid w:val="00B300C0"/>
    <w:rsid w:val="00B401BF"/>
    <w:rsid w:val="00B95E52"/>
    <w:rsid w:val="00BD49E4"/>
    <w:rsid w:val="00C11BA4"/>
    <w:rsid w:val="00C471E0"/>
    <w:rsid w:val="00CA3270"/>
    <w:rsid w:val="00CC1265"/>
    <w:rsid w:val="00CD288F"/>
    <w:rsid w:val="00D115EF"/>
    <w:rsid w:val="00D603B8"/>
    <w:rsid w:val="00D94A06"/>
    <w:rsid w:val="00DB028B"/>
    <w:rsid w:val="00DB55C5"/>
    <w:rsid w:val="00E054D4"/>
    <w:rsid w:val="00E1049C"/>
    <w:rsid w:val="00F53147"/>
    <w:rsid w:val="00FA3DC4"/>
    <w:rsid w:val="00FF3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DF7FCBD00A4EB08A06505E0D66D0A3">
    <w:name w:val="D8DF7FCBD00A4EB08A06505E0D66D0A3"/>
  </w:style>
  <w:style w:type="paragraph" w:customStyle="1" w:styleId="38716700B4184F12BDE3E76253CDF7A3">
    <w:name w:val="38716700B4184F12BDE3E76253CDF7A3"/>
  </w:style>
  <w:style w:type="paragraph" w:customStyle="1" w:styleId="8FDBA14F3AFC4C6D8B3344151147F65F">
    <w:name w:val="8FDBA14F3AFC4C6D8B3344151147F65F"/>
    <w:rsid w:val="00942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short publication.dotx</Template>
  <TotalTime>1</TotalTime>
  <Pages>25</Pages>
  <Words>7297</Words>
  <Characters>37219</Characters>
  <Application>Microsoft Office Word</Application>
  <DocSecurity>0</DocSecurity>
  <Lines>1005</Lines>
  <Paragraphs>511</Paragraphs>
  <ScaleCrop>false</ScaleCrop>
  <HeadingPairs>
    <vt:vector size="2" baseType="variant">
      <vt:variant>
        <vt:lpstr>Title</vt:lpstr>
      </vt:variant>
      <vt:variant>
        <vt:i4>1</vt:i4>
      </vt:variant>
    </vt:vector>
  </HeadingPairs>
  <TitlesOfParts>
    <vt:vector size="1" baseType="lpstr">
      <vt:lpstr>Draft Professional Standards</vt:lpstr>
    </vt:vector>
  </TitlesOfParts>
  <Manager/>
  <Company/>
  <LinksUpToDate>false</LinksUpToDate>
  <CharactersWithSpaces>44005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Professional Standards</dc:title>
  <dc:subject>For public consultation</dc:subject>
  <dc:creator/>
  <cp:keywords/>
  <dc:description/>
  <cp:lastModifiedBy>Dean Bardell-Williams</cp:lastModifiedBy>
  <cp:revision>4</cp:revision>
  <cp:lastPrinted>2022-06-30T00:33:00Z</cp:lastPrinted>
  <dcterms:created xsi:type="dcterms:W3CDTF">2025-02-18T03:12:00Z</dcterms:created>
  <dcterms:modified xsi:type="dcterms:W3CDTF">2025-02-18T03:13:00Z</dcterms:modified>
  <cp:category/>
</cp:coreProperties>
</file>