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Title"/>
        <w:tag w:val=""/>
        <w:id w:val="-1876235593"/>
        <w:placeholder>
          <w:docPart w:val="CAD538CA8A8FC7418A75DABE6E8AA3D3"/>
        </w:placeholder>
        <w:dataBinding w:prefixMappings="xmlns:ns0='http://purl.org/dc/elements/1.1/' xmlns:ns1='http://schemas.openxmlformats.org/package/2006/metadata/core-properties' " w:xpath="/ns1:coreProperties[1]/ns0:title[1]" w:storeItemID="{6C3C8BC8-F283-45AE-878A-BAB7291924A1}"/>
        <w:text/>
      </w:sdtPr>
      <w:sdtContent>
        <w:p w14:paraId="0A998B64" w14:textId="004B3E55" w:rsidR="00EA3594" w:rsidRPr="00281560" w:rsidRDefault="00F95A76" w:rsidP="00EA3594">
          <w:pPr>
            <w:pStyle w:val="Title"/>
          </w:pPr>
          <w:r w:rsidRPr="00F95A76">
            <w:t>Gender Equality Action Plan – 2023 Progress Report</w:t>
          </w:r>
        </w:p>
      </w:sdtContent>
    </w:sdt>
    <w:p w14:paraId="75B822E6" w14:textId="77777777" w:rsidR="00F95A76" w:rsidRDefault="00F95A76" w:rsidP="00F95A76">
      <w:pPr>
        <w:pStyle w:val="Heading1"/>
      </w:pPr>
      <w:r>
        <w:t>Supporting Statement</w:t>
      </w:r>
    </w:p>
    <w:p w14:paraId="1C369AA9" w14:textId="77777777" w:rsidR="00DD710F" w:rsidRDefault="00DD710F" w:rsidP="00DD710F">
      <w:pPr>
        <w:pStyle w:val="Address"/>
        <w:framePr w:w="0" w:vSpace="0" w:wrap="auto" w:vAnchor="margin" w:yAlign="inline"/>
        <w:spacing w:before="0" w:after="0"/>
        <w:contextualSpacing w:val="0"/>
      </w:pPr>
      <w:r>
        <w:t>Since the commencement of OVIC’s Gender Equality Action Plan (</w:t>
      </w:r>
      <w:r w:rsidRPr="00BA7739">
        <w:rPr>
          <w:b/>
          <w:bCs/>
        </w:rPr>
        <w:t>GEAP</w:t>
      </w:r>
      <w:r>
        <w:t>) OVIC has continued to build on existing gender equality frameworks and introduced new ways of understanding and applying gender equitable policies and procedures across our work.  While OVIC is proud of the work achieved to date, and the network of support we foster, achieving a safe and equitable workplace environment requires us to reflect on how we can further our gender equality strategy in years to come.</w:t>
      </w:r>
    </w:p>
    <w:p w14:paraId="75D7F891" w14:textId="77777777" w:rsidR="00DD710F" w:rsidRDefault="00DD710F" w:rsidP="00DD710F">
      <w:pPr>
        <w:pStyle w:val="Address"/>
        <w:framePr w:w="0" w:vSpace="0" w:wrap="auto" w:vAnchor="margin" w:yAlign="inline"/>
        <w:spacing w:before="0" w:after="0"/>
        <w:contextualSpacing w:val="0"/>
      </w:pPr>
    </w:p>
    <w:p w14:paraId="7967D533" w14:textId="77777777" w:rsidR="00DD710F" w:rsidRDefault="00DD710F" w:rsidP="00DD710F">
      <w:pPr>
        <w:pStyle w:val="Address"/>
        <w:framePr w:w="0" w:vSpace="0" w:wrap="auto" w:vAnchor="margin" w:yAlign="inline"/>
        <w:spacing w:before="0" w:after="0"/>
        <w:contextualSpacing w:val="0"/>
      </w:pPr>
      <w:r>
        <w:t xml:space="preserve">In this reporting period OVIC prioritised commitment from all areas of the organisation to its GEAP, with consultants engaged to assist in updating policies and procedures through an intersectional gender lens.  Employees with management responsibilities are now required to identify how their professional development can achieve or contribute to the goals from OVIC’s GEAP each year through OVIC’s performance and development process.  </w:t>
      </w:r>
    </w:p>
    <w:p w14:paraId="1F6AEF67" w14:textId="77777777" w:rsidR="00DD710F" w:rsidRDefault="00DD710F" w:rsidP="00DD710F">
      <w:pPr>
        <w:pStyle w:val="Address"/>
        <w:framePr w:w="0" w:vSpace="0" w:wrap="auto" w:vAnchor="margin" w:yAlign="inline"/>
        <w:spacing w:before="0" w:after="0"/>
        <w:contextualSpacing w:val="0"/>
      </w:pPr>
    </w:p>
    <w:p w14:paraId="646F0F38" w14:textId="77777777" w:rsidR="00DD710F" w:rsidRDefault="00DD710F" w:rsidP="00DD710F">
      <w:pPr>
        <w:pStyle w:val="Address"/>
        <w:framePr w:w="0" w:vSpace="0" w:wrap="auto" w:vAnchor="margin" w:yAlign="inline"/>
        <w:spacing w:before="0" w:after="0"/>
        <w:contextualSpacing w:val="0"/>
      </w:pPr>
      <w:r>
        <w:t>OVIC recognises the need to promote the culture of inclusivity at every stage and level of employment.  Further expectations for our leaders and additional training for all staff continues to be a focus so employees can recognise areas where there is room for intersectional input for the current financial year.</w:t>
      </w:r>
    </w:p>
    <w:p w14:paraId="13A7B827" w14:textId="77777777" w:rsidR="00DD710F" w:rsidRDefault="00DD710F" w:rsidP="00DD710F">
      <w:pPr>
        <w:pStyle w:val="Address"/>
        <w:framePr w:w="0" w:vSpace="0" w:wrap="auto" w:vAnchor="margin" w:yAlign="inline"/>
        <w:spacing w:before="0" w:after="0"/>
        <w:contextualSpacing w:val="0"/>
      </w:pPr>
    </w:p>
    <w:p w14:paraId="24507DB9" w14:textId="77777777" w:rsidR="00DD710F" w:rsidRDefault="00DD710F" w:rsidP="00DD710F">
      <w:pPr>
        <w:pStyle w:val="Address"/>
        <w:framePr w:w="0" w:vSpace="0" w:wrap="auto" w:vAnchor="margin" w:yAlign="inline"/>
        <w:spacing w:before="0" w:after="0"/>
        <w:contextualSpacing w:val="0"/>
      </w:pPr>
      <w:r>
        <w:t>Given recent reductions in staff numbers, it is currently unlikely that OVIC will meet the threshold requiring a GEAP audit and progress report for 2024-25. However, OVIC remains committed to achieving the goals set out in its GEAP and to continuing to foster a safe workplace environment for all employees.</w:t>
      </w:r>
    </w:p>
    <w:p w14:paraId="3EF3D59C" w14:textId="77777777" w:rsidR="00DD710F" w:rsidRDefault="00DD710F" w:rsidP="00DD710F">
      <w:pPr>
        <w:pStyle w:val="Address"/>
        <w:framePr w:w="0" w:vSpace="0" w:wrap="auto" w:vAnchor="margin" w:yAlign="inline"/>
        <w:spacing w:before="0" w:after="0"/>
        <w:contextualSpacing w:val="0"/>
      </w:pPr>
    </w:p>
    <w:p w14:paraId="2B568C61" w14:textId="77777777" w:rsidR="00DD710F" w:rsidRDefault="00DD710F" w:rsidP="00DD710F">
      <w:pPr>
        <w:pStyle w:val="Address"/>
        <w:framePr w:w="0" w:vSpace="0" w:wrap="auto" w:vAnchor="margin" w:yAlign="inline"/>
        <w:spacing w:before="0" w:after="0"/>
        <w:contextualSpacing w:val="0"/>
      </w:pPr>
      <w:r>
        <w:t xml:space="preserve">In preparing this statement OVIC has reflected on the progress report submitted in February 2024 by the then Acting Information Commissioner and has further expanded on the progress descriptions related to five of the seven indicators in that report. </w:t>
      </w:r>
    </w:p>
    <w:p w14:paraId="32541C63" w14:textId="77777777" w:rsidR="00DD710F" w:rsidRPr="00DD710F" w:rsidRDefault="00DD710F" w:rsidP="00DD710F">
      <w:pPr>
        <w:pStyle w:val="Address"/>
        <w:framePr w:w="0" w:vSpace="0" w:wrap="auto" w:vAnchor="margin" w:yAlign="inline"/>
        <w:spacing w:before="0" w:after="0"/>
        <w:contextualSpacing w:val="0"/>
        <w:rPr>
          <w:b/>
          <w:bCs/>
        </w:rPr>
      </w:pPr>
    </w:p>
    <w:p w14:paraId="334461B0" w14:textId="77777777" w:rsidR="00DD710F" w:rsidRDefault="00DD710F">
      <w:pPr>
        <w:spacing w:before="0" w:after="160" w:line="259" w:lineRule="auto"/>
        <w:rPr>
          <w:rFonts w:eastAsiaTheme="majorEastAsia" w:cstheme="majorBidi"/>
          <w:color w:val="430098" w:themeColor="text2"/>
          <w:sz w:val="40"/>
          <w:szCs w:val="32"/>
        </w:rPr>
      </w:pPr>
      <w:r>
        <w:br w:type="page"/>
      </w:r>
    </w:p>
    <w:p w14:paraId="5FD1CFD0" w14:textId="33ED578C" w:rsidR="00DD710F" w:rsidRDefault="00DD710F" w:rsidP="00DD710F">
      <w:pPr>
        <w:pStyle w:val="Heading1"/>
      </w:pPr>
      <w:r w:rsidRPr="00DD710F">
        <w:lastRenderedPageBreak/>
        <w:t>Indicator 1: Gender Composition of all levels of the workforce</w:t>
      </w:r>
      <w:r w:rsidRPr="00B40C7D">
        <w:t xml:space="preserve">: </w:t>
      </w:r>
    </w:p>
    <w:p w14:paraId="0F1E5434" w14:textId="77777777" w:rsidR="00DD710F" w:rsidRDefault="00DD710F" w:rsidP="00DD710F">
      <w:pPr>
        <w:spacing w:before="0" w:after="0" w:line="240" w:lineRule="auto"/>
      </w:pPr>
    </w:p>
    <w:p w14:paraId="1991091D" w14:textId="77777777" w:rsidR="00DD710F" w:rsidRDefault="00DD710F" w:rsidP="00DD710F">
      <w:pPr>
        <w:spacing w:before="0" w:after="0" w:line="240" w:lineRule="auto"/>
      </w:pPr>
      <w:r w:rsidRPr="00796B0D">
        <w:t>OVIC sought clarification from the Gender Equality Commission (</w:t>
      </w:r>
      <w:r w:rsidRPr="00796B0D">
        <w:rPr>
          <w:b/>
          <w:bCs/>
        </w:rPr>
        <w:t>Commission</w:t>
      </w:r>
      <w:r w:rsidRPr="00796B0D">
        <w:t>) in relation to the inclusion of statutory appointees in workforce audit data the day before the submission deadline. The Commission advised that data relating to statutory appointees was not to be included, however this advice was received after the submission deadline</w:t>
      </w:r>
    </w:p>
    <w:p w14:paraId="6C17562E" w14:textId="77777777" w:rsidR="00DD710F" w:rsidRDefault="00DD710F" w:rsidP="00DD710F">
      <w:pPr>
        <w:spacing w:before="0" w:after="0" w:line="240" w:lineRule="auto"/>
      </w:pPr>
    </w:p>
    <w:p w14:paraId="565208D6" w14:textId="77777777" w:rsidR="00DD710F" w:rsidRDefault="00DD710F" w:rsidP="00DD710F">
      <w:pPr>
        <w:spacing w:before="0" w:after="0" w:line="240" w:lineRule="auto"/>
      </w:pPr>
      <w:r w:rsidRPr="004E5843">
        <w:t xml:space="preserve">Excluding statutory appointees, OVIC's 2021 data showed an overall gender </w:t>
      </w:r>
      <w:r w:rsidRPr="00B40C7D">
        <w:t>composition</w:t>
      </w:r>
      <w:r w:rsidRPr="004E5843">
        <w:t xml:space="preserve"> of 36% men and 64% women, 2023 data showed and increased skew towards female employees with data showing 29% men and 71% women.  While an over representation of women is not deemed as 'progress' for the purposes of this progress report, OVIC notes its commitment to recruiting staff with the most relevant experience, appropriate skillset and optimal organisational fit at all levels across OVIC. </w:t>
      </w:r>
      <w:r w:rsidRPr="004E5843">
        <w:br/>
      </w:r>
      <w:r w:rsidRPr="004E5843">
        <w:br/>
      </w:r>
      <w:proofErr w:type="gramStart"/>
      <w:r>
        <w:t>At</w:t>
      </w:r>
      <w:proofErr w:type="gramEnd"/>
      <w:r>
        <w:t xml:space="preserve"> 30 June 2023, i</w:t>
      </w:r>
      <w:r w:rsidRPr="004E5843">
        <w:t xml:space="preserve">t </w:t>
      </w:r>
      <w:r>
        <w:t>was</w:t>
      </w:r>
      <w:r w:rsidRPr="004E5843">
        <w:t xml:space="preserve"> at the VPS4 level that OVIC note</w:t>
      </w:r>
      <w:r>
        <w:t>d</w:t>
      </w:r>
      <w:r w:rsidRPr="004E5843">
        <w:t xml:space="preserve"> the greatest disparity of male vs female employees with a skew of 91% female staff.  </w:t>
      </w:r>
      <w:r>
        <w:t>OVIC’s executive leadership team is comprised of two VPS staff of equal gender balance, and three statutory appointees.  At the VPS5 and 6 levels, the positions with staff management responsibilities saw a gender composition of approximately 30% male vs 70% female.</w:t>
      </w:r>
      <w:r w:rsidRPr="004E5843">
        <w:br/>
      </w:r>
      <w:r w:rsidRPr="004E5843">
        <w:br/>
        <w:t xml:space="preserve">OVIC has begun collecting data with respect to the pool of applicants received for all roles at all levels, including how many applicants of each gender are subsequently shortlisted for interview with a view to analysing any trends to identify any </w:t>
      </w:r>
      <w:r>
        <w:t xml:space="preserve">potential </w:t>
      </w:r>
      <w:r w:rsidRPr="004E5843">
        <w:t>contributing factors to the over representation of women in OVIC's staff profile.</w:t>
      </w:r>
    </w:p>
    <w:p w14:paraId="2429E9C3" w14:textId="77777777" w:rsidR="00DD710F" w:rsidRDefault="00DD710F" w:rsidP="00DD710F">
      <w:pPr>
        <w:pStyle w:val="Address"/>
        <w:framePr w:w="0" w:vSpace="0" w:wrap="auto" w:vAnchor="margin" w:yAlign="inline"/>
        <w:spacing w:before="0" w:after="0"/>
        <w:contextualSpacing w:val="0"/>
      </w:pPr>
    </w:p>
    <w:p w14:paraId="76F9A684" w14:textId="77777777" w:rsidR="00DD710F" w:rsidRPr="00DD710F" w:rsidRDefault="00DD710F" w:rsidP="00DD710F">
      <w:pPr>
        <w:pStyle w:val="Heading1"/>
      </w:pPr>
      <w:r w:rsidRPr="00DD710F">
        <w:t xml:space="preserve">Indicator 2: Gender Composition of Governing Bodies: </w:t>
      </w:r>
    </w:p>
    <w:p w14:paraId="62761D7F" w14:textId="77777777" w:rsidR="00DD710F" w:rsidRDefault="00DD710F" w:rsidP="00DD710F">
      <w:pPr>
        <w:pStyle w:val="Address"/>
        <w:framePr w:w="0" w:vSpace="0" w:wrap="auto" w:vAnchor="margin" w:yAlign="inline"/>
        <w:spacing w:before="0" w:after="0"/>
        <w:contextualSpacing w:val="0"/>
      </w:pPr>
    </w:p>
    <w:p w14:paraId="6856819A" w14:textId="77777777" w:rsidR="00DD710F" w:rsidRDefault="00DD710F" w:rsidP="00DD710F">
      <w:pPr>
        <w:pStyle w:val="Address"/>
        <w:framePr w:w="0" w:vSpace="0" w:wrap="auto" w:vAnchor="margin" w:yAlign="inline"/>
        <w:spacing w:before="0" w:after="0"/>
        <w:contextualSpacing w:val="0"/>
      </w:pPr>
      <w:r>
        <w:t>With the Commission’s approval OVIC has amended the progress report submitted to the Commission in February 2024 to clarify that this indicator is not applicable, as OVIC does not have a governing body.  This was accepted by the Commission and is included in the progress report published on both the Commission’ and OVIC’s websites.</w:t>
      </w:r>
    </w:p>
    <w:p w14:paraId="59B6E36F" w14:textId="77777777" w:rsidR="00DD710F" w:rsidRDefault="00DD710F" w:rsidP="00DD710F">
      <w:pPr>
        <w:pStyle w:val="Address"/>
        <w:framePr w:w="0" w:vSpace="0" w:wrap="auto" w:vAnchor="margin" w:yAlign="inline"/>
        <w:spacing w:before="0" w:after="0"/>
        <w:contextualSpacing w:val="0"/>
      </w:pPr>
    </w:p>
    <w:p w14:paraId="58400824" w14:textId="77777777" w:rsidR="00DD710F" w:rsidRPr="00DD710F" w:rsidRDefault="00DD710F" w:rsidP="00DD710F">
      <w:pPr>
        <w:pStyle w:val="Heading1"/>
      </w:pPr>
      <w:r w:rsidRPr="00DD710F">
        <w:lastRenderedPageBreak/>
        <w:t xml:space="preserve">Indicator 3: Equal remuneration for work of equal or comparable value across all levels of the workforce, irrespective of gender: </w:t>
      </w:r>
    </w:p>
    <w:p w14:paraId="2B853FB8" w14:textId="77777777" w:rsidR="00DD710F" w:rsidRDefault="00DD710F" w:rsidP="00DD710F">
      <w:pPr>
        <w:pStyle w:val="Address"/>
        <w:framePr w:w="0" w:vSpace="0" w:wrap="auto" w:vAnchor="margin" w:yAlign="inline"/>
        <w:spacing w:before="0" w:after="0"/>
        <w:contextualSpacing w:val="0"/>
        <w:rPr>
          <w:b/>
          <w:bCs/>
        </w:rPr>
      </w:pPr>
    </w:p>
    <w:p w14:paraId="31EA4C3D" w14:textId="77777777" w:rsidR="00DD710F" w:rsidRDefault="00DD710F" w:rsidP="00DD710F">
      <w:pPr>
        <w:pStyle w:val="Address"/>
        <w:framePr w:w="0" w:vSpace="0" w:wrap="auto" w:vAnchor="margin" w:yAlign="inline"/>
        <w:spacing w:before="0" w:after="0"/>
        <w:contextualSpacing w:val="0"/>
      </w:pPr>
      <w:proofErr w:type="gramStart"/>
      <w:r>
        <w:t>Similar to</w:t>
      </w:r>
      <w:proofErr w:type="gramEnd"/>
      <w:r>
        <w:t xml:space="preserve"> indicator 1, d</w:t>
      </w:r>
      <w:r w:rsidRPr="004E5843">
        <w:t>uring the reporting period OVIC sought clarification from t</w:t>
      </w:r>
      <w:r w:rsidRPr="003461CC">
        <w:t>he Commission in relation to the inclusion of statutory appointees in workforce audit data.  The Commission advised that data relating to statutory appointees was not to be included, however this advice was receive</w:t>
      </w:r>
      <w:r w:rsidRPr="004E5843">
        <w:t xml:space="preserve">d after the submission deadline.  </w:t>
      </w:r>
      <w:r w:rsidRPr="004E5843">
        <w:br/>
      </w:r>
      <w:r w:rsidRPr="004E5843">
        <w:br/>
      </w:r>
      <w:r>
        <w:t>W</w:t>
      </w:r>
      <w:r w:rsidRPr="004E5843">
        <w:t xml:space="preserve">hen </w:t>
      </w:r>
      <w:r>
        <w:t xml:space="preserve">correctly </w:t>
      </w:r>
      <w:r w:rsidRPr="004E5843">
        <w:t xml:space="preserve">using data that excludes the three statutory appointees OVIC’s pay gap decreased to 15.47% in 2021 and 15.56% in 2023.  The pay gap exists primarily at the VPS6 level and is attributed to the length of service that staff have in the </w:t>
      </w:r>
      <w:proofErr w:type="gramStart"/>
      <w:r w:rsidRPr="004E5843">
        <w:t>VPS as a whole, not</w:t>
      </w:r>
      <w:proofErr w:type="gramEnd"/>
      <w:r w:rsidRPr="004E5843">
        <w:t xml:space="preserve"> the length of service solely at OVIC. </w:t>
      </w:r>
      <w:proofErr w:type="gramStart"/>
      <w:r w:rsidRPr="004E5843">
        <w:t>At</w:t>
      </w:r>
      <w:proofErr w:type="gramEnd"/>
      <w:r w:rsidRPr="004E5843">
        <w:t xml:space="preserve"> 30 June 2023, at the VPS6 level, the average difference in length of service in the VPS was 7.5 years and the average difference in FTE salary was $33,459 between male and female staff.  Reflecting general progression, based on years of service, male staff would have received an additional 7 progression steps compared to female staff, attributing directly to the gender pay gap at this level.</w:t>
      </w:r>
      <w:r w:rsidRPr="004E5843">
        <w:br/>
      </w:r>
      <w:r w:rsidRPr="004E5843">
        <w:br/>
        <w:t>At 30 June 2023 the VPS5 level had a similar composition, with similar disparity with respect to length of service in the VPS, while VPS 4 and below saw &lt;1% pay gap.  OVIC continues to investigate any contributing factors to the gender pay gap and has implemented additional rigour around requests for salary negotiations, including ensuring that all new starters are provided an opportunity to negotiate their starting salary.</w:t>
      </w:r>
    </w:p>
    <w:p w14:paraId="047B8433" w14:textId="77777777" w:rsidR="00DD710F" w:rsidRDefault="00DD710F" w:rsidP="00DD710F">
      <w:pPr>
        <w:pStyle w:val="Address"/>
        <w:framePr w:w="0" w:vSpace="0" w:wrap="auto" w:vAnchor="margin" w:yAlign="inline"/>
        <w:spacing w:before="0" w:after="0"/>
        <w:contextualSpacing w:val="0"/>
      </w:pPr>
    </w:p>
    <w:p w14:paraId="118B494F" w14:textId="77777777" w:rsidR="00DD710F" w:rsidRDefault="00DD710F" w:rsidP="00DD710F">
      <w:pPr>
        <w:pStyle w:val="Heading1"/>
      </w:pPr>
      <w:r>
        <w:t xml:space="preserve">Indicator 4: Sexual Harassment in the workplace: </w:t>
      </w:r>
    </w:p>
    <w:p w14:paraId="278818B1" w14:textId="77777777" w:rsidR="00DD710F" w:rsidRDefault="00DD710F" w:rsidP="00DD710F">
      <w:pPr>
        <w:pStyle w:val="Address"/>
        <w:framePr w:w="0" w:vSpace="0" w:wrap="auto" w:vAnchor="margin" w:yAlign="inline"/>
        <w:spacing w:before="0" w:after="0"/>
        <w:contextualSpacing w:val="0"/>
        <w:rPr>
          <w:b/>
          <w:bCs/>
        </w:rPr>
      </w:pPr>
    </w:p>
    <w:p w14:paraId="2B281299" w14:textId="77777777" w:rsidR="00DD710F" w:rsidRDefault="00DD710F" w:rsidP="00DD710F">
      <w:pPr>
        <w:pStyle w:val="Address"/>
        <w:framePr w:w="0" w:vSpace="0" w:wrap="auto" w:vAnchor="margin" w:yAlign="inline"/>
        <w:spacing w:before="0" w:after="0"/>
        <w:contextualSpacing w:val="0"/>
      </w:pPr>
      <w:r w:rsidRPr="004E5843">
        <w:t xml:space="preserve">There has been no change in data in relation to sexual </w:t>
      </w:r>
      <w:r w:rsidRPr="00B40C7D">
        <w:t>harassment</w:t>
      </w:r>
      <w:r w:rsidRPr="004E5843">
        <w:t xml:space="preserve"> in the workplace, with OVIC continuing to formally report zero instances of sexual harassment.  OVIC reported zero instances of sexual harassment in its annual People Matter Survey's from 2021 to 2023.  OVIC also confirms zero reports of sexual </w:t>
      </w:r>
      <w:r w:rsidRPr="00B40C7D">
        <w:t>harassment</w:t>
      </w:r>
      <w:r w:rsidRPr="004E5843">
        <w:t xml:space="preserve"> anonymously or informally.</w:t>
      </w:r>
      <w:r w:rsidRPr="004E5843">
        <w:br/>
      </w:r>
      <w:r w:rsidRPr="004E5843">
        <w:br/>
        <w:t xml:space="preserve">Regardless of the lack of sexual harassment in the workplace, OVIC is </w:t>
      </w:r>
      <w:r w:rsidRPr="00B40C7D">
        <w:t>committed</w:t>
      </w:r>
      <w:r w:rsidRPr="004E5843">
        <w:t xml:space="preserve"> to providing a safe workplace for all staff and takes its obligations with respect to sexual harassment seriously.  </w:t>
      </w:r>
      <w:r>
        <w:t xml:space="preserve">In 2023 OVIC arranged for a facilitated workshop targeted at managers on responding to disclosures of sexual harassment, as well as a session for all staff on workplace sexual harassment. </w:t>
      </w:r>
      <w:r w:rsidRPr="004E5843">
        <w:t xml:space="preserve">Formal staff training and resources </w:t>
      </w:r>
      <w:r w:rsidRPr="00B40C7D">
        <w:t>continue</w:t>
      </w:r>
      <w:r w:rsidRPr="004E5843">
        <w:t xml:space="preserve"> to be made available to all staff.</w:t>
      </w:r>
    </w:p>
    <w:p w14:paraId="3B5E3852" w14:textId="77777777" w:rsidR="00DD710F" w:rsidRDefault="00DD710F" w:rsidP="00DD710F">
      <w:pPr>
        <w:pStyle w:val="Address"/>
        <w:framePr w:w="0" w:vSpace="0" w:wrap="auto" w:vAnchor="margin" w:yAlign="inline"/>
        <w:spacing w:before="0" w:after="0"/>
        <w:contextualSpacing w:val="0"/>
      </w:pPr>
    </w:p>
    <w:p w14:paraId="28A3793B" w14:textId="77777777" w:rsidR="00DD710F" w:rsidRDefault="00DD710F" w:rsidP="00DD710F">
      <w:pPr>
        <w:pStyle w:val="Address"/>
        <w:framePr w:w="0" w:vSpace="0" w:wrap="auto" w:vAnchor="margin" w:yAlign="inline"/>
        <w:spacing w:before="0" w:after="0"/>
        <w:contextualSpacing w:val="0"/>
        <w:rPr>
          <w:b/>
          <w:bCs/>
        </w:rPr>
      </w:pPr>
    </w:p>
    <w:p w14:paraId="226EA54D" w14:textId="77777777" w:rsidR="00DD710F" w:rsidRDefault="00DD710F" w:rsidP="00DD710F">
      <w:pPr>
        <w:pStyle w:val="Address"/>
        <w:framePr w:w="0" w:vSpace="0" w:wrap="auto" w:vAnchor="margin" w:yAlign="inline"/>
        <w:spacing w:before="0" w:after="0"/>
        <w:contextualSpacing w:val="0"/>
        <w:rPr>
          <w:b/>
          <w:bCs/>
        </w:rPr>
      </w:pPr>
    </w:p>
    <w:p w14:paraId="09C83EC9" w14:textId="77777777" w:rsidR="00DD710F" w:rsidRDefault="00DD710F" w:rsidP="00DD710F">
      <w:pPr>
        <w:pStyle w:val="Address"/>
        <w:framePr w:w="0" w:vSpace="0" w:wrap="auto" w:vAnchor="margin" w:yAlign="inline"/>
        <w:spacing w:before="0" w:after="0"/>
        <w:contextualSpacing w:val="0"/>
        <w:rPr>
          <w:b/>
          <w:bCs/>
        </w:rPr>
      </w:pPr>
    </w:p>
    <w:p w14:paraId="621D6741" w14:textId="77777777" w:rsidR="00DD710F" w:rsidRDefault="00DD710F" w:rsidP="00DD710F">
      <w:pPr>
        <w:pStyle w:val="Address"/>
        <w:framePr w:w="0" w:vSpace="0" w:wrap="auto" w:vAnchor="margin" w:yAlign="inline"/>
        <w:spacing w:before="0" w:after="0"/>
        <w:contextualSpacing w:val="0"/>
        <w:rPr>
          <w:b/>
          <w:bCs/>
        </w:rPr>
      </w:pPr>
    </w:p>
    <w:p w14:paraId="1D0F1855" w14:textId="77777777" w:rsidR="00DD710F" w:rsidRPr="00DD710F" w:rsidRDefault="00DD710F" w:rsidP="00DD710F">
      <w:pPr>
        <w:pStyle w:val="Heading1"/>
      </w:pPr>
      <w:r w:rsidRPr="00DD710F">
        <w:t xml:space="preserve">Indicator 6: Availability and utilisation of terms, conditions and practices relating to: - family violence leave; flexible working arrangements; working arrangements supporting employees with family or caring responsibilities: </w:t>
      </w:r>
    </w:p>
    <w:p w14:paraId="6725480C" w14:textId="77777777" w:rsidR="00DD710F" w:rsidRDefault="00DD710F" w:rsidP="00DD710F">
      <w:pPr>
        <w:pStyle w:val="Address"/>
        <w:framePr w:w="0" w:vSpace="0" w:wrap="auto" w:vAnchor="margin" w:yAlign="inline"/>
        <w:spacing w:before="0" w:after="0"/>
        <w:contextualSpacing w:val="0"/>
        <w:rPr>
          <w:b/>
          <w:bCs/>
        </w:rPr>
      </w:pPr>
    </w:p>
    <w:p w14:paraId="1C49E607" w14:textId="77777777" w:rsidR="00DD710F" w:rsidRPr="00B40C7D" w:rsidRDefault="00DD710F" w:rsidP="00DD710F">
      <w:pPr>
        <w:pStyle w:val="Address"/>
        <w:framePr w:w="0" w:vSpace="0" w:wrap="auto" w:vAnchor="margin" w:yAlign="inline"/>
        <w:spacing w:before="0" w:after="0"/>
        <w:contextualSpacing w:val="0"/>
      </w:pPr>
      <w:r w:rsidRPr="00B40C7D">
        <w:t>Availability</w:t>
      </w:r>
      <w:r w:rsidRPr="004E5843">
        <w:t xml:space="preserve"> of these leave types has remained the same, and additional communication and presentations to staff have been made to promote the availability of these types of leave/flexible work arrangements, including provision within OVIC's PDP templates to prompt annual discussions between staff and managers.</w:t>
      </w:r>
      <w:r w:rsidRPr="004E5843">
        <w:br/>
      </w:r>
      <w:r w:rsidRPr="004E5843">
        <w:br/>
        <w:t>OVIC received and approved three applications for the use of family violence leave in 2023, this was the first instance of this leave type for OVIC.  OVIC promoted the availability of family violence leave specifically at All Staff meetings in 2023.</w:t>
      </w:r>
      <w:r w:rsidRPr="004E5843">
        <w:br/>
        <w:t xml:space="preserve"> </w:t>
      </w:r>
      <w:r w:rsidRPr="004E5843">
        <w:br/>
        <w:t xml:space="preserve">In 2023, OVIC saw the first instances of the uptake of additional secondary caregiver leave to support family and caring responsibilities.  This leave was </w:t>
      </w:r>
      <w:r w:rsidRPr="00B40C7D">
        <w:t>utilised</w:t>
      </w:r>
      <w:r w:rsidRPr="004E5843">
        <w:t xml:space="preserve"> by two male staff members (12% of male staff), in 2023.</w:t>
      </w:r>
      <w:r w:rsidRPr="004E5843">
        <w:br/>
      </w:r>
      <w:r w:rsidRPr="004E5843">
        <w:br/>
        <w:t>OVIC saw an increase in the use of formal flexible working arrangements with 26% of staff utilising these arrangements in 2023, an increase of 5% from 2021. In 2023, 66% of staff on formal flexible work arrangements were on these arrangements due to family or caring responsibilities, an increase from 60% in 2021.</w:t>
      </w:r>
      <w:r w:rsidRPr="004E5843">
        <w:br/>
      </w:r>
      <w:r w:rsidRPr="004E5843">
        <w:br/>
        <w:t>To date, OVIC has approved every request for flexible working arrangements received.</w:t>
      </w:r>
    </w:p>
    <w:p w14:paraId="5A0A6313" w14:textId="77777777" w:rsidR="00DD710F" w:rsidRDefault="00DD710F" w:rsidP="00DD710F">
      <w:pPr>
        <w:pStyle w:val="Address"/>
        <w:framePr w:w="0" w:vSpace="0" w:wrap="auto" w:vAnchor="margin" w:yAlign="inline"/>
        <w:spacing w:before="0" w:after="0"/>
        <w:contextualSpacing w:val="0"/>
      </w:pPr>
    </w:p>
    <w:p w14:paraId="34642300" w14:textId="77777777" w:rsidR="00DD710F" w:rsidRDefault="00DD710F">
      <w:pPr>
        <w:spacing w:before="0" w:after="160" w:line="259" w:lineRule="auto"/>
        <w:rPr>
          <w:rFonts w:eastAsiaTheme="majorEastAsia" w:cstheme="majorBidi"/>
          <w:color w:val="430098" w:themeColor="text2"/>
          <w:sz w:val="40"/>
          <w:szCs w:val="32"/>
        </w:rPr>
      </w:pPr>
      <w:r>
        <w:br w:type="page"/>
      </w:r>
    </w:p>
    <w:p w14:paraId="5B87A325" w14:textId="4C214BC2" w:rsidR="00DD710F" w:rsidRPr="00DD710F" w:rsidRDefault="00DD710F" w:rsidP="00DD710F">
      <w:pPr>
        <w:pStyle w:val="Heading1"/>
      </w:pPr>
      <w:r w:rsidRPr="00DD710F">
        <w:lastRenderedPageBreak/>
        <w:t>Gender Impact Assessments</w:t>
      </w:r>
    </w:p>
    <w:p w14:paraId="7D8ABB13" w14:textId="77777777" w:rsidR="00DD710F" w:rsidRDefault="00DD710F" w:rsidP="00DD710F">
      <w:pPr>
        <w:pStyle w:val="Address"/>
        <w:framePr w:w="0" w:vSpace="0" w:wrap="auto" w:vAnchor="margin" w:yAlign="inline"/>
        <w:spacing w:before="0" w:after="0"/>
        <w:contextualSpacing w:val="0"/>
        <w:rPr>
          <w:b/>
          <w:bCs/>
        </w:rPr>
      </w:pPr>
    </w:p>
    <w:p w14:paraId="4E37B2AD" w14:textId="77777777" w:rsidR="00DD710F" w:rsidRPr="00B001BE" w:rsidRDefault="00DD710F" w:rsidP="00DD710F">
      <w:pPr>
        <w:pStyle w:val="Address"/>
        <w:framePr w:w="0" w:vSpace="0" w:wrap="auto" w:vAnchor="margin" w:yAlign="inline"/>
        <w:spacing w:before="0" w:after="0"/>
        <w:contextualSpacing w:val="0"/>
      </w:pPr>
      <w:r>
        <w:t>The progress report does not identify any Gender Impact Assessments as being completed as OVIC has not delivered any policies, programs or services that would meet the threshold to require a Gender Impact Assessment.</w:t>
      </w:r>
    </w:p>
    <w:p w14:paraId="4007D394" w14:textId="77777777" w:rsidR="001A791E" w:rsidRPr="00167077" w:rsidRDefault="001A791E" w:rsidP="00DD710F"/>
    <w:sectPr w:rsidR="001A791E" w:rsidRPr="00167077" w:rsidSect="00B45AB3">
      <w:headerReference w:type="default"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D4F9F" w14:textId="77777777" w:rsidR="00524D27" w:rsidRDefault="00524D27" w:rsidP="00C37A29">
      <w:pPr>
        <w:spacing w:after="0"/>
      </w:pPr>
      <w:r>
        <w:separator/>
      </w:r>
    </w:p>
    <w:p w14:paraId="2A044CE5" w14:textId="77777777" w:rsidR="00524D27" w:rsidRDefault="00524D27"/>
  </w:endnote>
  <w:endnote w:type="continuationSeparator" w:id="0">
    <w:p w14:paraId="59254E8B" w14:textId="77777777" w:rsidR="00524D27" w:rsidRDefault="00524D27" w:rsidP="00C37A29">
      <w:pPr>
        <w:spacing w:after="0"/>
      </w:pPr>
      <w:r>
        <w:continuationSeparator/>
      </w:r>
    </w:p>
    <w:p w14:paraId="07430949" w14:textId="77777777" w:rsidR="00524D27" w:rsidRDefault="00524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61" w:type="dxa"/>
      <w:tblBorders>
        <w:top w:val="single" w:sz="4" w:space="0" w:color="430098" w:themeColor="text2"/>
        <w:left w:val="none" w:sz="0" w:space="0" w:color="auto"/>
        <w:bottom w:val="none" w:sz="0" w:space="0" w:color="auto"/>
        <w:right w:val="none" w:sz="0" w:space="0" w:color="auto"/>
        <w:insideH w:val="single" w:sz="4" w:space="0" w:color="430098" w:themeColor="text2"/>
        <w:insideV w:val="none" w:sz="0" w:space="0" w:color="auto"/>
      </w:tblBorders>
      <w:tblLook w:val="04A0" w:firstRow="1" w:lastRow="0" w:firstColumn="1" w:lastColumn="0" w:noHBand="0" w:noVBand="1"/>
    </w:tblPr>
    <w:tblGrid>
      <w:gridCol w:w="3261"/>
      <w:gridCol w:w="2831"/>
      <w:gridCol w:w="3269"/>
    </w:tblGrid>
    <w:tr w:rsidR="00AC3934" w14:paraId="6056D51D" w14:textId="77777777" w:rsidTr="00B10776">
      <w:tc>
        <w:tcPr>
          <w:tcW w:w="3261" w:type="dxa"/>
          <w:vAlign w:val="center"/>
        </w:tcPr>
        <w:p w14:paraId="7A669FC3" w14:textId="77777777" w:rsidR="00AC3934" w:rsidRDefault="00AC3934" w:rsidP="00AC3934">
          <w:pPr>
            <w:spacing w:before="0" w:after="0"/>
            <w:rPr>
              <w:color w:val="430098" w:themeColor="text2"/>
              <w:sz w:val="16"/>
              <w:szCs w:val="16"/>
            </w:rPr>
          </w:pPr>
          <w:r w:rsidRPr="00E55CAE">
            <w:rPr>
              <w:color w:val="430098" w:themeColor="text2"/>
              <w:sz w:val="16"/>
              <w:szCs w:val="16"/>
            </w:rPr>
            <w:t>www.ovic.vic.gov.au</w:t>
          </w:r>
        </w:p>
        <w:p w14:paraId="4E0BFF57" w14:textId="44A3A94B" w:rsidR="00ED59AB" w:rsidRPr="00ED59AB" w:rsidRDefault="00000000" w:rsidP="00ED59AB">
          <w:pPr>
            <w:pStyle w:val="FooterToggle"/>
            <w:rPr>
              <w:b w:val="0"/>
              <w:bCs/>
            </w:rPr>
          </w:pPr>
          <w:sdt>
            <w:sdtPr>
              <w:rPr>
                <w:b w:val="0"/>
                <w:bCs/>
              </w:rPr>
              <w:alias w:val="Title"/>
              <w:tag w:val=""/>
              <w:id w:val="2032152324"/>
              <w:dataBinding w:prefixMappings="xmlns:ns0='http://purl.org/dc/elements/1.1/' xmlns:ns1='http://schemas.openxmlformats.org/package/2006/metadata/core-properties' " w:xpath="/ns1:coreProperties[1]/ns0:title[1]" w:storeItemID="{6C3C8BC8-F283-45AE-878A-BAB7291924A1}"/>
              <w:text/>
            </w:sdtPr>
            <w:sdtEndPr>
              <w:rPr>
                <w:rFonts w:cstheme="minorHAnsi"/>
              </w:rPr>
            </w:sdtEndPr>
            <w:sdtContent>
              <w:r w:rsidR="00F95A76">
                <w:rPr>
                  <w:b w:val="0"/>
                  <w:bCs/>
                </w:rPr>
                <w:t>Gender Equality Action Plan – 2023 Progress Report</w:t>
              </w:r>
            </w:sdtContent>
          </w:sdt>
          <w:r w:rsidR="00ED59AB" w:rsidRPr="00ED59AB">
            <w:rPr>
              <w:b w:val="0"/>
              <w:bCs/>
            </w:rPr>
            <w:t xml:space="preserve"> </w:t>
          </w:r>
          <w:r w:rsidR="00ED59AB" w:rsidRPr="00ED59AB">
            <w:rPr>
              <w:b w:val="0"/>
              <w:bCs/>
            </w:rPr>
            <w:fldChar w:fldCharType="begin"/>
          </w:r>
          <w:r w:rsidR="00ED59AB" w:rsidRPr="00ED59AB">
            <w:rPr>
              <w:b w:val="0"/>
              <w:bCs/>
            </w:rPr>
            <w:instrText xml:space="preserve"> TITLE   \* MERGEFORMAT </w:instrText>
          </w:r>
          <w:r w:rsidR="00ED59AB" w:rsidRPr="00ED59AB">
            <w:rPr>
              <w:b w:val="0"/>
              <w:bCs/>
            </w:rPr>
            <w:fldChar w:fldCharType="end"/>
          </w:r>
        </w:p>
      </w:tc>
      <w:tc>
        <w:tcPr>
          <w:tcW w:w="2831" w:type="dxa"/>
          <w:vAlign w:val="center"/>
        </w:tcPr>
        <w:p w14:paraId="2DA3A392" w14:textId="5B4ECE0C" w:rsidR="00AC3934" w:rsidRPr="00A3584F" w:rsidRDefault="00AC3934" w:rsidP="00AC3934">
          <w:pPr>
            <w:spacing w:before="0" w:after="0" w:line="259" w:lineRule="auto"/>
            <w:rPr>
              <w:sz w:val="14"/>
              <w:szCs w:val="14"/>
            </w:rPr>
          </w:pPr>
        </w:p>
      </w:tc>
      <w:tc>
        <w:tcPr>
          <w:tcW w:w="3269" w:type="dxa"/>
          <w:vAlign w:val="center"/>
        </w:tcPr>
        <w:p w14:paraId="79C6F2A0" w14:textId="77777777" w:rsidR="00AC3934" w:rsidRDefault="00AC3934" w:rsidP="00AC3934">
          <w:pPr>
            <w:pStyle w:val="PageNumber-right"/>
            <w:framePr w:hSpace="0" w:wrap="auto" w:vAnchor="margin" w:hAnchor="text" w:yAlign="inline"/>
            <w:suppressOverlap w:val="0"/>
          </w:pPr>
          <w:r w:rsidRPr="00A3584F">
            <w:rPr>
              <w:lang w:val="en-GB"/>
            </w:rPr>
            <w:fldChar w:fldCharType="begin"/>
          </w:r>
          <w:r w:rsidRPr="00A3584F">
            <w:rPr>
              <w:lang w:val="en-GB"/>
            </w:rPr>
            <w:instrText>PAGE  \* Arabic  \* MERGEFORMAT</w:instrText>
          </w:r>
          <w:r w:rsidRPr="00A3584F">
            <w:rPr>
              <w:lang w:val="en-GB"/>
            </w:rPr>
            <w:fldChar w:fldCharType="separate"/>
          </w:r>
          <w:r>
            <w:rPr>
              <w:lang w:val="en-GB"/>
            </w:rPr>
            <w:t>1</w:t>
          </w:r>
          <w:r w:rsidRPr="00A3584F">
            <w:rPr>
              <w:lang w:val="en-GB"/>
            </w:rPr>
            <w:fldChar w:fldCharType="end"/>
          </w:r>
          <w:r w:rsidRPr="00A3584F">
            <w:rPr>
              <w:lang w:val="en-GB"/>
            </w:rPr>
            <w:t xml:space="preserve"> /</w:t>
          </w:r>
          <w:r>
            <w:rPr>
              <w:lang w:val="en-GB"/>
            </w:rPr>
            <w:t xml:space="preserve"> </w:t>
          </w:r>
          <w:r>
            <w:rPr>
              <w:lang w:val="en-GB"/>
            </w:rPr>
            <w:fldChar w:fldCharType="begin"/>
          </w:r>
          <w:r w:rsidRPr="00A3584F">
            <w:rPr>
              <w:lang w:val="en-GB"/>
            </w:rPr>
            <w:instrText>NUMPAGES  \* Arabic  \* MERGEFORMAT</w:instrText>
          </w:r>
          <w:r>
            <w:rPr>
              <w:lang w:val="en-GB"/>
            </w:rPr>
            <w:fldChar w:fldCharType="separate"/>
          </w:r>
          <w:r>
            <w:rPr>
              <w:lang w:val="en-GB"/>
            </w:rPr>
            <w:t>2</w:t>
          </w:r>
          <w:r>
            <w:rPr>
              <w:lang w:val="en-GB"/>
            </w:rPr>
            <w:fldChar w:fldCharType="end"/>
          </w:r>
        </w:p>
      </w:tc>
    </w:tr>
  </w:tbl>
  <w:sdt>
    <w:sdtPr>
      <w:rPr>
        <w:caps w:val="0"/>
        <w:sz w:val="44"/>
        <w:szCs w:val="44"/>
      </w:rPr>
      <w:id w:val="-487555969"/>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7E3AB670" w14:textId="101ABDB1" w:rsidR="003B4D30" w:rsidRPr="003B4D30" w:rsidRDefault="00000000" w:rsidP="003B4D30">
        <w:pPr>
          <w:pStyle w:val="ProtectiveMarking"/>
          <w:framePr w:wrap="around" w:y="16036"/>
          <w:spacing w:before="0" w:after="0"/>
          <w:rPr>
            <w:caps w:val="0"/>
            <w:sz w:val="44"/>
            <w:szCs w:val="44"/>
          </w:rPr>
        </w:pPr>
      </w:p>
    </w:sdtContent>
  </w:sdt>
  <w:p w14:paraId="2D75DF06" w14:textId="77777777" w:rsidR="00CB1E32" w:rsidRPr="00A81CCD" w:rsidRDefault="00CB1E32" w:rsidP="00AC3934">
    <w:pPr>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19" w:type="dxa"/>
      <w:tblBorders>
        <w:top w:val="single" w:sz="4" w:space="0" w:color="430098" w:themeColor="text2"/>
        <w:left w:val="none" w:sz="0" w:space="0" w:color="auto"/>
        <w:bottom w:val="none" w:sz="0" w:space="0" w:color="auto"/>
        <w:right w:val="none" w:sz="0" w:space="0" w:color="auto"/>
        <w:insideH w:val="single" w:sz="4" w:space="0" w:color="430098" w:themeColor="text2"/>
        <w:insideV w:val="none" w:sz="0" w:space="0" w:color="auto"/>
      </w:tblBorders>
      <w:tblLook w:val="04A0" w:firstRow="1" w:lastRow="0" w:firstColumn="1" w:lastColumn="0" w:noHBand="0" w:noVBand="1"/>
    </w:tblPr>
    <w:tblGrid>
      <w:gridCol w:w="3261"/>
      <w:gridCol w:w="2831"/>
      <w:gridCol w:w="3127"/>
    </w:tblGrid>
    <w:tr w:rsidR="00AC3934" w14:paraId="3EE143FE" w14:textId="77777777" w:rsidTr="00B10776">
      <w:tc>
        <w:tcPr>
          <w:tcW w:w="3261" w:type="dxa"/>
          <w:vAlign w:val="center"/>
        </w:tcPr>
        <w:sdt>
          <w:sdtPr>
            <w:rPr>
              <w:bCs/>
              <w:color w:val="430098" w:themeColor="text2"/>
              <w:sz w:val="16"/>
              <w:szCs w:val="16"/>
            </w:rPr>
            <w:alias w:val="Publish Date"/>
            <w:tag w:val=""/>
            <w:id w:val="1846202098"/>
            <w:showingPlcHdr/>
            <w:dataBinding w:prefixMappings="xmlns:ns0='http://schemas.microsoft.com/office/2006/coverPageProps' " w:xpath="/ns0:CoverPageProperties[1]/ns0:PublishDate[1]" w:storeItemID="{55AF091B-3C7A-41E3-B477-F2FDAA23CFDA}"/>
            <w:date>
              <w:dateFormat w:val="MMMM yyyy"/>
              <w:lid w:val="en-AU"/>
              <w:storeMappedDataAs w:val="dateTime"/>
              <w:calendar w:val="gregorian"/>
            </w:date>
          </w:sdtPr>
          <w:sdtContent>
            <w:p w14:paraId="10E1044C" w14:textId="0A17AC3D" w:rsidR="00AC3934" w:rsidRPr="00E55CAE" w:rsidRDefault="00DD710F" w:rsidP="00AC3934">
              <w:pPr>
                <w:spacing w:before="0" w:after="0"/>
                <w:rPr>
                  <w:bCs/>
                  <w:color w:val="430098" w:themeColor="text2"/>
                  <w:sz w:val="16"/>
                  <w:szCs w:val="16"/>
                </w:rPr>
              </w:pPr>
              <w:r>
                <w:rPr>
                  <w:bCs/>
                  <w:color w:val="430098" w:themeColor="text2"/>
                  <w:sz w:val="16"/>
                  <w:szCs w:val="16"/>
                </w:rPr>
                <w:t xml:space="preserve">     </w:t>
              </w:r>
            </w:p>
          </w:sdtContent>
        </w:sdt>
        <w:p w14:paraId="236E8D2F" w14:textId="77777777" w:rsidR="00AC3934" w:rsidRDefault="00AC3934" w:rsidP="00AC3934">
          <w:pPr>
            <w:spacing w:before="0" w:after="0"/>
          </w:pPr>
          <w:r w:rsidRPr="00E55CAE">
            <w:rPr>
              <w:bCs/>
              <w:color w:val="430098" w:themeColor="text2"/>
              <w:sz w:val="16"/>
              <w:szCs w:val="16"/>
            </w:rPr>
            <w:t>www.ovic.vic.gov.au</w:t>
          </w:r>
        </w:p>
      </w:tc>
      <w:tc>
        <w:tcPr>
          <w:tcW w:w="2831" w:type="dxa"/>
          <w:vAlign w:val="center"/>
        </w:tcPr>
        <w:p w14:paraId="076C9417" w14:textId="03602525" w:rsidR="00AC3934" w:rsidRPr="00A3584F" w:rsidRDefault="00AC3934" w:rsidP="00AC3934">
          <w:pPr>
            <w:spacing w:before="0" w:after="0" w:line="259" w:lineRule="auto"/>
            <w:rPr>
              <w:sz w:val="14"/>
              <w:szCs w:val="14"/>
            </w:rPr>
          </w:pPr>
        </w:p>
      </w:tc>
      <w:tc>
        <w:tcPr>
          <w:tcW w:w="3127" w:type="dxa"/>
          <w:vAlign w:val="center"/>
        </w:tcPr>
        <w:p w14:paraId="6B79E8B4" w14:textId="77777777" w:rsidR="00AC3934" w:rsidRDefault="00AC3934" w:rsidP="00AC3934">
          <w:pPr>
            <w:pStyle w:val="PageNumber-right"/>
            <w:framePr w:hSpace="0" w:wrap="auto" w:vAnchor="margin" w:hAnchor="text" w:yAlign="inline"/>
            <w:suppressOverlap w:val="0"/>
          </w:pPr>
          <w:r w:rsidRPr="00A3584F">
            <w:rPr>
              <w:lang w:val="en-GB"/>
            </w:rPr>
            <w:fldChar w:fldCharType="begin"/>
          </w:r>
          <w:r w:rsidRPr="00A3584F">
            <w:rPr>
              <w:lang w:val="en-GB"/>
            </w:rPr>
            <w:instrText>PAGE  \* Arabic  \* MERGEFORMAT</w:instrText>
          </w:r>
          <w:r w:rsidRPr="00A3584F">
            <w:rPr>
              <w:lang w:val="en-GB"/>
            </w:rPr>
            <w:fldChar w:fldCharType="separate"/>
          </w:r>
          <w:r>
            <w:rPr>
              <w:lang w:val="en-GB"/>
            </w:rPr>
            <w:t>1</w:t>
          </w:r>
          <w:r w:rsidRPr="00A3584F">
            <w:rPr>
              <w:lang w:val="en-GB"/>
            </w:rPr>
            <w:fldChar w:fldCharType="end"/>
          </w:r>
          <w:r w:rsidRPr="00A3584F">
            <w:rPr>
              <w:lang w:val="en-GB"/>
            </w:rPr>
            <w:t xml:space="preserve"> /</w:t>
          </w:r>
          <w:r>
            <w:rPr>
              <w:lang w:val="en-GB"/>
            </w:rPr>
            <w:t xml:space="preserve"> </w:t>
          </w:r>
          <w:r>
            <w:rPr>
              <w:lang w:val="en-GB"/>
            </w:rPr>
            <w:fldChar w:fldCharType="begin"/>
          </w:r>
          <w:r w:rsidRPr="00A3584F">
            <w:rPr>
              <w:lang w:val="en-GB"/>
            </w:rPr>
            <w:instrText>NUMPAGES  \* Arabic  \* MERGEFORMAT</w:instrText>
          </w:r>
          <w:r>
            <w:rPr>
              <w:lang w:val="en-GB"/>
            </w:rPr>
            <w:fldChar w:fldCharType="separate"/>
          </w:r>
          <w:r>
            <w:rPr>
              <w:lang w:val="en-GB"/>
            </w:rPr>
            <w:t>2</w:t>
          </w:r>
          <w:r>
            <w:rPr>
              <w:lang w:val="en-GB"/>
            </w:rPr>
            <w:fldChar w:fldCharType="end"/>
          </w:r>
        </w:p>
      </w:tc>
    </w:tr>
  </w:tbl>
  <w:sdt>
    <w:sdtPr>
      <w:rPr>
        <w:caps w:val="0"/>
        <w:sz w:val="44"/>
        <w:szCs w:val="44"/>
      </w:rPr>
      <w:id w:val="908579802"/>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62FA31D3" w14:textId="72BA49E3" w:rsidR="003B4D30" w:rsidRPr="003B4D30" w:rsidRDefault="00000000" w:rsidP="003B4D30">
        <w:pPr>
          <w:pStyle w:val="ProtectiveMarking"/>
          <w:framePr w:wrap="around" w:y="16036"/>
          <w:spacing w:before="0" w:after="0"/>
          <w:rPr>
            <w:caps w:val="0"/>
            <w:sz w:val="44"/>
            <w:szCs w:val="44"/>
          </w:rPr>
        </w:pPr>
      </w:p>
    </w:sdtContent>
  </w:sdt>
  <w:p w14:paraId="33566197" w14:textId="77777777" w:rsidR="00934706" w:rsidRDefault="00934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ECA37" w14:textId="77777777" w:rsidR="00524D27" w:rsidRDefault="00524D27" w:rsidP="004C5DAA">
      <w:pPr>
        <w:spacing w:after="120"/>
      </w:pPr>
      <w:r>
        <w:separator/>
      </w:r>
    </w:p>
  </w:footnote>
  <w:footnote w:type="continuationSeparator" w:id="0">
    <w:p w14:paraId="039539AE" w14:textId="77777777" w:rsidR="00524D27" w:rsidRDefault="00524D27" w:rsidP="00C37A29">
      <w:pPr>
        <w:spacing w:after="0"/>
      </w:pPr>
      <w:r>
        <w:continuationSeparator/>
      </w:r>
    </w:p>
    <w:p w14:paraId="0ED27266" w14:textId="77777777" w:rsidR="00524D27" w:rsidRDefault="00524D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aps w:val="0"/>
        <w:sz w:val="44"/>
        <w:szCs w:val="44"/>
      </w:rPr>
      <w:id w:val="-391735166"/>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7B238269" w14:textId="5E2D6F7C" w:rsidR="003B4D30" w:rsidRPr="003B4D30" w:rsidRDefault="00000000" w:rsidP="003B4D30">
        <w:pPr>
          <w:pStyle w:val="ProtectiveMarking"/>
          <w:framePr w:wrap="around"/>
          <w:spacing w:before="0" w:after="0"/>
          <w:rPr>
            <w:caps w:val="0"/>
            <w:sz w:val="44"/>
            <w:szCs w:val="44"/>
          </w:rPr>
        </w:pPr>
      </w:p>
    </w:sdtContent>
  </w:sdt>
  <w:p w14:paraId="1C4EE112" w14:textId="77777777" w:rsidR="00CB1E32" w:rsidRPr="00CA06C6" w:rsidRDefault="00CB1E32" w:rsidP="00CA0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aps w:val="0"/>
        <w:sz w:val="44"/>
        <w:szCs w:val="44"/>
      </w:rPr>
      <w:id w:val="872343476"/>
      <w:lock w:val="sdtLocked"/>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1017BB60" w14:textId="2601A272" w:rsidR="00CA06C6" w:rsidRPr="003B4D30" w:rsidRDefault="00000000" w:rsidP="00CA06C6">
        <w:pPr>
          <w:pStyle w:val="ProtectiveMarking"/>
          <w:framePr w:wrap="around"/>
          <w:spacing w:before="0" w:after="0"/>
          <w:rPr>
            <w:caps w:val="0"/>
            <w:sz w:val="44"/>
            <w:szCs w:val="44"/>
          </w:rPr>
        </w:pPr>
      </w:p>
    </w:sdtContent>
  </w:sdt>
  <w:p w14:paraId="797BF8C2" w14:textId="77777777" w:rsidR="009A1E02" w:rsidRDefault="001C0D28">
    <w:pPr>
      <w:pStyle w:val="Header"/>
    </w:pPr>
    <w:r>
      <w:rPr>
        <w:noProof/>
      </w:rPr>
      <w:drawing>
        <wp:anchor distT="4320540" distB="107950" distL="114300" distR="114300" simplePos="0" relativeHeight="251674624" behindDoc="0" locked="1" layoutInCell="1" allowOverlap="1" wp14:anchorId="40CA8319" wp14:editId="341437F0">
          <wp:simplePos x="0" y="0"/>
          <wp:positionH relativeFrom="margin">
            <wp:posOffset>0</wp:posOffset>
          </wp:positionH>
          <wp:positionV relativeFrom="page">
            <wp:posOffset>904875</wp:posOffset>
          </wp:positionV>
          <wp:extent cx="1471930" cy="647700"/>
          <wp:effectExtent l="0" t="0" r="0" b="0"/>
          <wp:wrapTopAndBottom/>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71930"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52A7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388E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3252CBE4"/>
    <w:numStyleLink w:val="Numbering"/>
  </w:abstractNum>
  <w:abstractNum w:abstractNumId="11" w15:restartNumberingAfterBreak="0">
    <w:nsid w:val="05431BD9"/>
    <w:multiLevelType w:val="multilevel"/>
    <w:tmpl w:val="3252CBE4"/>
    <w:numStyleLink w:val="Numbering"/>
  </w:abstractNum>
  <w:abstractNum w:abstractNumId="12"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3252CBE4"/>
    <w:numStyleLink w:val="Numbering"/>
  </w:abstractNum>
  <w:abstractNum w:abstractNumId="14" w15:restartNumberingAfterBreak="0">
    <w:nsid w:val="0D5A5E93"/>
    <w:multiLevelType w:val="multilevel"/>
    <w:tmpl w:val="7B2236E6"/>
    <w:numStyleLink w:val="Bullets"/>
  </w:abstractNum>
  <w:abstractNum w:abstractNumId="15" w15:restartNumberingAfterBreak="0">
    <w:nsid w:val="0F6F37EA"/>
    <w:multiLevelType w:val="multilevel"/>
    <w:tmpl w:val="3252CBE4"/>
    <w:styleLink w:val="Numbering"/>
    <w:lvl w:ilvl="0">
      <w:start w:val="1"/>
      <w:numFmt w:val="decimal"/>
      <w:pStyle w:val="ListNumber"/>
      <w:lvlText w:val="%1."/>
      <w:lvlJc w:val="left"/>
      <w:pPr>
        <w:tabs>
          <w:tab w:val="num" w:pos="284"/>
        </w:tabs>
        <w:ind w:left="567" w:hanging="283"/>
      </w:pPr>
      <w:rPr>
        <w:rFonts w:hint="default"/>
      </w:rPr>
    </w:lvl>
    <w:lvl w:ilvl="1">
      <w:start w:val="1"/>
      <w:numFmt w:val="decimal"/>
      <w:pStyle w:val="ListNumber2"/>
      <w:lvlText w:val="%1.%2."/>
      <w:lvlJc w:val="left"/>
      <w:pPr>
        <w:ind w:left="1134" w:hanging="567"/>
      </w:pPr>
      <w:rPr>
        <w:rFonts w:hint="default"/>
      </w:rPr>
    </w:lvl>
    <w:lvl w:ilvl="2">
      <w:start w:val="1"/>
      <w:numFmt w:val="decimal"/>
      <w:pStyle w:val="ListNumber3"/>
      <w:lvlText w:val="%1.%2.%3."/>
      <w:lvlJc w:val="left"/>
      <w:pPr>
        <w:tabs>
          <w:tab w:val="num" w:pos="1134"/>
        </w:tabs>
        <w:ind w:left="1701" w:hanging="56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32D53ED"/>
    <w:multiLevelType w:val="multilevel"/>
    <w:tmpl w:val="3252CBE4"/>
    <w:numStyleLink w:val="Numbering"/>
  </w:abstractNum>
  <w:abstractNum w:abstractNumId="17" w15:restartNumberingAfterBreak="0">
    <w:nsid w:val="15AC0B28"/>
    <w:multiLevelType w:val="multilevel"/>
    <w:tmpl w:val="B6542242"/>
    <w:numStyleLink w:val="LetteredList"/>
  </w:abstractNum>
  <w:abstractNum w:abstractNumId="18" w15:restartNumberingAfterBreak="0">
    <w:nsid w:val="16155739"/>
    <w:multiLevelType w:val="multilevel"/>
    <w:tmpl w:val="B6542242"/>
    <w:styleLink w:val="LetteredList"/>
    <w:lvl w:ilvl="0">
      <w:start w:val="1"/>
      <w:numFmt w:val="lowerLetter"/>
      <w:pStyle w:val="List"/>
      <w:lvlText w:val="(%1)."/>
      <w:lvlJc w:val="left"/>
      <w:pPr>
        <w:ind w:left="1701" w:hanging="567"/>
      </w:pPr>
      <w:rPr>
        <w:rFonts w:hint="default"/>
      </w:rPr>
    </w:lvl>
    <w:lvl w:ilvl="1">
      <w:start w:val="1"/>
      <w:numFmt w:val="lowerRoman"/>
      <w:pStyle w:val="List2"/>
      <w:lvlText w:val="(%2)."/>
      <w:lvlJc w:val="left"/>
      <w:pPr>
        <w:ind w:left="1701"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322B09"/>
    <w:multiLevelType w:val="multilevel"/>
    <w:tmpl w:val="3252CBE4"/>
    <w:numStyleLink w:val="Numbering"/>
  </w:abstractNum>
  <w:abstractNum w:abstractNumId="20" w15:restartNumberingAfterBreak="0">
    <w:nsid w:val="20215C86"/>
    <w:multiLevelType w:val="multilevel"/>
    <w:tmpl w:val="7B2236E6"/>
    <w:numStyleLink w:val="Bullets"/>
  </w:abstractNum>
  <w:abstractNum w:abstractNumId="21" w15:restartNumberingAfterBreak="0">
    <w:nsid w:val="321F1D0F"/>
    <w:multiLevelType w:val="multilevel"/>
    <w:tmpl w:val="7B2236E6"/>
    <w:numStyleLink w:val="Bullets"/>
  </w:abstractNum>
  <w:abstractNum w:abstractNumId="22" w15:restartNumberingAfterBreak="0">
    <w:nsid w:val="41397427"/>
    <w:multiLevelType w:val="multilevel"/>
    <w:tmpl w:val="3252CBE4"/>
    <w:numStyleLink w:val="Numbering"/>
  </w:abstractNum>
  <w:abstractNum w:abstractNumId="23" w15:restartNumberingAfterBreak="0">
    <w:nsid w:val="48A52890"/>
    <w:multiLevelType w:val="hybridMultilevel"/>
    <w:tmpl w:val="D378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5" w15:restartNumberingAfterBreak="0">
    <w:nsid w:val="4E7F1CD0"/>
    <w:multiLevelType w:val="multilevel"/>
    <w:tmpl w:val="3252CBE4"/>
    <w:numStyleLink w:val="Numbering"/>
  </w:abstractNum>
  <w:abstractNum w:abstractNumId="26" w15:restartNumberingAfterBreak="0">
    <w:nsid w:val="574672D5"/>
    <w:multiLevelType w:val="multilevel"/>
    <w:tmpl w:val="7B2236E6"/>
    <w:numStyleLink w:val="Bullets"/>
  </w:abstractNum>
  <w:abstractNum w:abstractNumId="27" w15:restartNumberingAfterBreak="0">
    <w:nsid w:val="58B73D84"/>
    <w:multiLevelType w:val="multilevel"/>
    <w:tmpl w:val="50041352"/>
    <w:numStyleLink w:val="ListHeadings"/>
  </w:abstractNum>
  <w:abstractNum w:abstractNumId="28" w15:restartNumberingAfterBreak="0">
    <w:nsid w:val="596A0C8C"/>
    <w:multiLevelType w:val="multilevel"/>
    <w:tmpl w:val="3252CBE4"/>
    <w:numStyleLink w:val="Numbering"/>
  </w:abstractNum>
  <w:abstractNum w:abstractNumId="29" w15:restartNumberingAfterBreak="0">
    <w:nsid w:val="60E1502C"/>
    <w:multiLevelType w:val="multilevel"/>
    <w:tmpl w:val="7B2236E6"/>
    <w:styleLink w:val="Bullets"/>
    <w:lvl w:ilvl="0">
      <w:start w:val="1"/>
      <w:numFmt w:val="bullet"/>
      <w:pStyle w:val="ListBullet"/>
      <w:lvlText w:val=""/>
      <w:lvlJc w:val="left"/>
      <w:pPr>
        <w:tabs>
          <w:tab w:val="num" w:pos="340"/>
        </w:tabs>
        <w:ind w:left="567" w:hanging="283"/>
      </w:pPr>
      <w:rPr>
        <w:rFonts w:ascii="Symbol" w:hAnsi="Symbol" w:hint="default"/>
        <w:color w:val="auto"/>
      </w:rPr>
    </w:lvl>
    <w:lvl w:ilvl="1">
      <w:start w:val="1"/>
      <w:numFmt w:val="bullet"/>
      <w:pStyle w:val="ListBullet2"/>
      <w:lvlText w:val="–"/>
      <w:lvlJc w:val="left"/>
      <w:pPr>
        <w:tabs>
          <w:tab w:val="num" w:pos="680"/>
        </w:tabs>
        <w:ind w:left="851" w:hanging="284"/>
      </w:pPr>
      <w:rPr>
        <w:rFonts w:ascii="Calibri" w:hAnsi="Calibri" w:hint="default"/>
        <w:color w:val="auto"/>
      </w:rPr>
    </w:lvl>
    <w:lvl w:ilvl="2">
      <w:start w:val="1"/>
      <w:numFmt w:val="bullet"/>
      <w:pStyle w:val="ListBullet3"/>
      <w:lvlText w:val="–"/>
      <w:lvlJc w:val="left"/>
      <w:pPr>
        <w:ind w:left="1134" w:hanging="283"/>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0" w15:restartNumberingAfterBreak="0">
    <w:nsid w:val="643520E2"/>
    <w:multiLevelType w:val="multilevel"/>
    <w:tmpl w:val="7B2236E6"/>
    <w:numStyleLink w:val="Bullets"/>
  </w:abstractNum>
  <w:abstractNum w:abstractNumId="31" w15:restartNumberingAfterBreak="0">
    <w:nsid w:val="660D51AD"/>
    <w:multiLevelType w:val="multilevel"/>
    <w:tmpl w:val="3252CBE4"/>
    <w:numStyleLink w:val="Numbering"/>
  </w:abstractNum>
  <w:abstractNum w:abstractNumId="32" w15:restartNumberingAfterBreak="0">
    <w:nsid w:val="6E0D40EA"/>
    <w:multiLevelType w:val="multilevel"/>
    <w:tmpl w:val="B6542242"/>
    <w:numStyleLink w:val="LetteredList"/>
  </w:abstractNum>
  <w:abstractNum w:abstractNumId="33" w15:restartNumberingAfterBreak="0">
    <w:nsid w:val="744D0736"/>
    <w:multiLevelType w:val="multilevel"/>
    <w:tmpl w:val="3252CBE4"/>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29"/>
  </w:num>
  <w:num w:numId="12" w16cid:durableId="1261796759">
    <w:abstractNumId w:val="30"/>
  </w:num>
  <w:num w:numId="13" w16cid:durableId="1043405154">
    <w:abstractNumId w:val="21"/>
  </w:num>
  <w:num w:numId="14" w16cid:durableId="846598071">
    <w:abstractNumId w:val="15"/>
  </w:num>
  <w:num w:numId="15" w16cid:durableId="1311640227">
    <w:abstractNumId w:val="33"/>
  </w:num>
  <w:num w:numId="16" w16cid:durableId="881941196">
    <w:abstractNumId w:val="25"/>
  </w:num>
  <w:num w:numId="17" w16cid:durableId="533617442">
    <w:abstractNumId w:val="31"/>
  </w:num>
  <w:num w:numId="18" w16cid:durableId="250312982">
    <w:abstractNumId w:val="10"/>
  </w:num>
  <w:num w:numId="19" w16cid:durableId="385955825">
    <w:abstractNumId w:val="13"/>
  </w:num>
  <w:num w:numId="20" w16cid:durableId="1408189744">
    <w:abstractNumId w:val="22"/>
  </w:num>
  <w:num w:numId="21" w16cid:durableId="1370494809">
    <w:abstractNumId w:val="16"/>
  </w:num>
  <w:num w:numId="22" w16cid:durableId="659580476">
    <w:abstractNumId w:val="12"/>
  </w:num>
  <w:num w:numId="23" w16cid:durableId="2036539326">
    <w:abstractNumId w:val="14"/>
  </w:num>
  <w:num w:numId="24" w16cid:durableId="1303265532">
    <w:abstractNumId w:val="19"/>
  </w:num>
  <w:num w:numId="25" w16cid:durableId="1737582058">
    <w:abstractNumId w:val="28"/>
  </w:num>
  <w:num w:numId="26" w16cid:durableId="974717717">
    <w:abstractNumId w:val="27"/>
  </w:num>
  <w:num w:numId="27" w16cid:durableId="444039133">
    <w:abstractNumId w:val="18"/>
  </w:num>
  <w:num w:numId="28" w16cid:durableId="1536448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4"/>
  </w:num>
  <w:num w:numId="30" w16cid:durableId="1078097849">
    <w:abstractNumId w:val="26"/>
  </w:num>
  <w:num w:numId="31" w16cid:durableId="725029349">
    <w:abstractNumId w:val="20"/>
  </w:num>
  <w:num w:numId="32" w16cid:durableId="1773672465">
    <w:abstractNumId w:val="11"/>
  </w:num>
  <w:num w:numId="33" w16cid:durableId="1905679259">
    <w:abstractNumId w:val="17"/>
  </w:num>
  <w:num w:numId="34" w16cid:durableId="1487628207">
    <w:abstractNumId w:val="32"/>
  </w:num>
  <w:num w:numId="35" w16cid:durableId="7353187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79898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76"/>
    <w:rsid w:val="000016E9"/>
    <w:rsid w:val="000300AF"/>
    <w:rsid w:val="0003148A"/>
    <w:rsid w:val="00062784"/>
    <w:rsid w:val="000724AE"/>
    <w:rsid w:val="0007747C"/>
    <w:rsid w:val="0008037D"/>
    <w:rsid w:val="00086F51"/>
    <w:rsid w:val="000910E4"/>
    <w:rsid w:val="00092650"/>
    <w:rsid w:val="000B497F"/>
    <w:rsid w:val="000C1AA9"/>
    <w:rsid w:val="000D3DF9"/>
    <w:rsid w:val="000F2D16"/>
    <w:rsid w:val="0010129F"/>
    <w:rsid w:val="00110345"/>
    <w:rsid w:val="00110AC2"/>
    <w:rsid w:val="00112E8F"/>
    <w:rsid w:val="001268BC"/>
    <w:rsid w:val="001570B0"/>
    <w:rsid w:val="00166F43"/>
    <w:rsid w:val="001A067F"/>
    <w:rsid w:val="001A0D77"/>
    <w:rsid w:val="001A791E"/>
    <w:rsid w:val="001C0D28"/>
    <w:rsid w:val="001C19AB"/>
    <w:rsid w:val="001C7835"/>
    <w:rsid w:val="001F13C1"/>
    <w:rsid w:val="001F446D"/>
    <w:rsid w:val="00221AB7"/>
    <w:rsid w:val="00246435"/>
    <w:rsid w:val="00246BCF"/>
    <w:rsid w:val="0025786F"/>
    <w:rsid w:val="00265D26"/>
    <w:rsid w:val="00270834"/>
    <w:rsid w:val="0027131C"/>
    <w:rsid w:val="002814E6"/>
    <w:rsid w:val="00281560"/>
    <w:rsid w:val="00295C59"/>
    <w:rsid w:val="00296F32"/>
    <w:rsid w:val="002E0EDA"/>
    <w:rsid w:val="002E394D"/>
    <w:rsid w:val="002F07B4"/>
    <w:rsid w:val="00303246"/>
    <w:rsid w:val="00305171"/>
    <w:rsid w:val="003126A4"/>
    <w:rsid w:val="0034139E"/>
    <w:rsid w:val="0034680A"/>
    <w:rsid w:val="00363FF8"/>
    <w:rsid w:val="003676E4"/>
    <w:rsid w:val="0037721D"/>
    <w:rsid w:val="0038102A"/>
    <w:rsid w:val="003A265C"/>
    <w:rsid w:val="003B0240"/>
    <w:rsid w:val="003B4D30"/>
    <w:rsid w:val="003D0865"/>
    <w:rsid w:val="003D23A3"/>
    <w:rsid w:val="003D3729"/>
    <w:rsid w:val="003D5856"/>
    <w:rsid w:val="00404E4F"/>
    <w:rsid w:val="0042339A"/>
    <w:rsid w:val="00424C4D"/>
    <w:rsid w:val="0042508F"/>
    <w:rsid w:val="00455000"/>
    <w:rsid w:val="004635FD"/>
    <w:rsid w:val="00467EA8"/>
    <w:rsid w:val="00474FEE"/>
    <w:rsid w:val="004843D5"/>
    <w:rsid w:val="00493799"/>
    <w:rsid w:val="004A65E6"/>
    <w:rsid w:val="004B609E"/>
    <w:rsid w:val="004C5C2D"/>
    <w:rsid w:val="004C5DAA"/>
    <w:rsid w:val="004D1958"/>
    <w:rsid w:val="004E0833"/>
    <w:rsid w:val="004E28C6"/>
    <w:rsid w:val="004F138F"/>
    <w:rsid w:val="004F5D6B"/>
    <w:rsid w:val="00500FBF"/>
    <w:rsid w:val="0050670B"/>
    <w:rsid w:val="005141E8"/>
    <w:rsid w:val="00524D27"/>
    <w:rsid w:val="00533496"/>
    <w:rsid w:val="0054698D"/>
    <w:rsid w:val="00550C99"/>
    <w:rsid w:val="00553413"/>
    <w:rsid w:val="0056214A"/>
    <w:rsid w:val="0058369E"/>
    <w:rsid w:val="00586DD1"/>
    <w:rsid w:val="00593314"/>
    <w:rsid w:val="00594496"/>
    <w:rsid w:val="0059625D"/>
    <w:rsid w:val="005A51A0"/>
    <w:rsid w:val="005C6618"/>
    <w:rsid w:val="00603FD5"/>
    <w:rsid w:val="00616DC8"/>
    <w:rsid w:val="00646F3B"/>
    <w:rsid w:val="0068724F"/>
    <w:rsid w:val="006A1DEF"/>
    <w:rsid w:val="006A3CC0"/>
    <w:rsid w:val="006A5094"/>
    <w:rsid w:val="006B258F"/>
    <w:rsid w:val="006B6F9A"/>
    <w:rsid w:val="006C461E"/>
    <w:rsid w:val="006C4AF4"/>
    <w:rsid w:val="006D3F2F"/>
    <w:rsid w:val="006E3536"/>
    <w:rsid w:val="00700AF5"/>
    <w:rsid w:val="00714488"/>
    <w:rsid w:val="00716FA5"/>
    <w:rsid w:val="00717F79"/>
    <w:rsid w:val="007254A7"/>
    <w:rsid w:val="0073421C"/>
    <w:rsid w:val="00735843"/>
    <w:rsid w:val="00792868"/>
    <w:rsid w:val="0079751C"/>
    <w:rsid w:val="007A0363"/>
    <w:rsid w:val="007C2EB8"/>
    <w:rsid w:val="007C3FC5"/>
    <w:rsid w:val="007C61C7"/>
    <w:rsid w:val="007D5265"/>
    <w:rsid w:val="007E677E"/>
    <w:rsid w:val="007E7FE4"/>
    <w:rsid w:val="00806F01"/>
    <w:rsid w:val="0081533C"/>
    <w:rsid w:val="0081591F"/>
    <w:rsid w:val="00845A6C"/>
    <w:rsid w:val="00845C1F"/>
    <w:rsid w:val="0085372C"/>
    <w:rsid w:val="0085439B"/>
    <w:rsid w:val="00896F09"/>
    <w:rsid w:val="00897F77"/>
    <w:rsid w:val="008A2BB2"/>
    <w:rsid w:val="008B05C3"/>
    <w:rsid w:val="008B4965"/>
    <w:rsid w:val="008B637D"/>
    <w:rsid w:val="008D1ABD"/>
    <w:rsid w:val="008D760A"/>
    <w:rsid w:val="008F70D1"/>
    <w:rsid w:val="0090137A"/>
    <w:rsid w:val="009254B8"/>
    <w:rsid w:val="00926DEE"/>
    <w:rsid w:val="00926DF7"/>
    <w:rsid w:val="00927FDE"/>
    <w:rsid w:val="00934706"/>
    <w:rsid w:val="00936068"/>
    <w:rsid w:val="009517CC"/>
    <w:rsid w:val="009615D4"/>
    <w:rsid w:val="00964D2F"/>
    <w:rsid w:val="00974677"/>
    <w:rsid w:val="00983D00"/>
    <w:rsid w:val="00990D47"/>
    <w:rsid w:val="009A1E02"/>
    <w:rsid w:val="009A2F17"/>
    <w:rsid w:val="009A49D1"/>
    <w:rsid w:val="009B2231"/>
    <w:rsid w:val="009B7F5D"/>
    <w:rsid w:val="009D24F5"/>
    <w:rsid w:val="009D439E"/>
    <w:rsid w:val="009E684B"/>
    <w:rsid w:val="009F3A68"/>
    <w:rsid w:val="009F5B49"/>
    <w:rsid w:val="00A12635"/>
    <w:rsid w:val="00A13664"/>
    <w:rsid w:val="00A20BA0"/>
    <w:rsid w:val="00A24985"/>
    <w:rsid w:val="00A24EF4"/>
    <w:rsid w:val="00A53F38"/>
    <w:rsid w:val="00A60DA0"/>
    <w:rsid w:val="00A81CCD"/>
    <w:rsid w:val="00A86FA0"/>
    <w:rsid w:val="00A90151"/>
    <w:rsid w:val="00A9359B"/>
    <w:rsid w:val="00AA163B"/>
    <w:rsid w:val="00AB5F12"/>
    <w:rsid w:val="00AC0558"/>
    <w:rsid w:val="00AC2373"/>
    <w:rsid w:val="00AC24BE"/>
    <w:rsid w:val="00AC3934"/>
    <w:rsid w:val="00AE7DB6"/>
    <w:rsid w:val="00AF7956"/>
    <w:rsid w:val="00B0491B"/>
    <w:rsid w:val="00B10776"/>
    <w:rsid w:val="00B22D9D"/>
    <w:rsid w:val="00B23603"/>
    <w:rsid w:val="00B25616"/>
    <w:rsid w:val="00B271D2"/>
    <w:rsid w:val="00B32D6C"/>
    <w:rsid w:val="00B3365C"/>
    <w:rsid w:val="00B3749D"/>
    <w:rsid w:val="00B44103"/>
    <w:rsid w:val="00B45AB3"/>
    <w:rsid w:val="00B56365"/>
    <w:rsid w:val="00B57C8C"/>
    <w:rsid w:val="00B65DAA"/>
    <w:rsid w:val="00B66B2F"/>
    <w:rsid w:val="00B74F7F"/>
    <w:rsid w:val="00B75B08"/>
    <w:rsid w:val="00B87859"/>
    <w:rsid w:val="00B91D47"/>
    <w:rsid w:val="00BA3CB8"/>
    <w:rsid w:val="00BA7623"/>
    <w:rsid w:val="00BF3799"/>
    <w:rsid w:val="00BF68C8"/>
    <w:rsid w:val="00C01E68"/>
    <w:rsid w:val="00C11924"/>
    <w:rsid w:val="00C12CF1"/>
    <w:rsid w:val="00C2094D"/>
    <w:rsid w:val="00C326F9"/>
    <w:rsid w:val="00C34C8E"/>
    <w:rsid w:val="00C37A29"/>
    <w:rsid w:val="00C41DED"/>
    <w:rsid w:val="00C70EFC"/>
    <w:rsid w:val="00C8367B"/>
    <w:rsid w:val="00C932F3"/>
    <w:rsid w:val="00CA06C6"/>
    <w:rsid w:val="00CA1FCA"/>
    <w:rsid w:val="00CB1E32"/>
    <w:rsid w:val="00CD61EB"/>
    <w:rsid w:val="00CF02F0"/>
    <w:rsid w:val="00CF551D"/>
    <w:rsid w:val="00D103E7"/>
    <w:rsid w:val="00D16F74"/>
    <w:rsid w:val="00D215C3"/>
    <w:rsid w:val="00D34FB0"/>
    <w:rsid w:val="00D60649"/>
    <w:rsid w:val="00D61E88"/>
    <w:rsid w:val="00D73854"/>
    <w:rsid w:val="00D83923"/>
    <w:rsid w:val="00D9419D"/>
    <w:rsid w:val="00DB7434"/>
    <w:rsid w:val="00DD3C7C"/>
    <w:rsid w:val="00DD710F"/>
    <w:rsid w:val="00DE59FB"/>
    <w:rsid w:val="00DE602B"/>
    <w:rsid w:val="00DF4E3E"/>
    <w:rsid w:val="00E0453D"/>
    <w:rsid w:val="00E05FA6"/>
    <w:rsid w:val="00E25474"/>
    <w:rsid w:val="00E32F93"/>
    <w:rsid w:val="00E42A61"/>
    <w:rsid w:val="00E51BD9"/>
    <w:rsid w:val="00E54B2B"/>
    <w:rsid w:val="00E55CAE"/>
    <w:rsid w:val="00E56A45"/>
    <w:rsid w:val="00E57CEC"/>
    <w:rsid w:val="00E634F4"/>
    <w:rsid w:val="00E637A7"/>
    <w:rsid w:val="00E7522A"/>
    <w:rsid w:val="00E75FCA"/>
    <w:rsid w:val="00E90E1C"/>
    <w:rsid w:val="00EA1943"/>
    <w:rsid w:val="00EA3594"/>
    <w:rsid w:val="00EB4BAD"/>
    <w:rsid w:val="00ED380C"/>
    <w:rsid w:val="00ED59AB"/>
    <w:rsid w:val="00EE4DFE"/>
    <w:rsid w:val="00EE6F14"/>
    <w:rsid w:val="00EF0EDF"/>
    <w:rsid w:val="00EF3F23"/>
    <w:rsid w:val="00F05A49"/>
    <w:rsid w:val="00F162D4"/>
    <w:rsid w:val="00F4010B"/>
    <w:rsid w:val="00F4702C"/>
    <w:rsid w:val="00F47F1C"/>
    <w:rsid w:val="00F505B8"/>
    <w:rsid w:val="00F53397"/>
    <w:rsid w:val="00F625FE"/>
    <w:rsid w:val="00F634F6"/>
    <w:rsid w:val="00F649E5"/>
    <w:rsid w:val="00F87B07"/>
    <w:rsid w:val="00F934BC"/>
    <w:rsid w:val="00F94880"/>
    <w:rsid w:val="00F95A76"/>
    <w:rsid w:val="00FB0D65"/>
    <w:rsid w:val="00FB1EA0"/>
    <w:rsid w:val="00FC1603"/>
    <w:rsid w:val="00FC2D8B"/>
    <w:rsid w:val="00FD2FF6"/>
    <w:rsid w:val="00FD3306"/>
    <w:rsid w:val="00FE22BA"/>
    <w:rsid w:val="00FE35D0"/>
    <w:rsid w:val="00FE57D8"/>
    <w:rsid w:val="00FF3D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C10E9"/>
  <w15:chartTrackingRefBased/>
  <w15:docId w15:val="{715AEC24-8C94-6A4B-830E-16B9D7CC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6C6"/>
    <w:pPr>
      <w:spacing w:before="120" w:after="240" w:line="264" w:lineRule="auto"/>
    </w:pPr>
    <w:rPr>
      <w:rFonts w:asciiTheme="majorHAnsi" w:hAnsiTheme="majorHAnsi"/>
    </w:rPr>
  </w:style>
  <w:style w:type="paragraph" w:styleId="Heading1">
    <w:name w:val="heading 1"/>
    <w:basedOn w:val="Normal"/>
    <w:next w:val="Normal"/>
    <w:link w:val="Heading1Char"/>
    <w:uiPriority w:val="9"/>
    <w:qFormat/>
    <w:rsid w:val="002F07B4"/>
    <w:pPr>
      <w:keepNext/>
      <w:keepLines/>
      <w:spacing w:before="600" w:after="440"/>
      <w:outlineLvl w:val="0"/>
    </w:pPr>
    <w:rPr>
      <w:rFonts w:eastAsiaTheme="majorEastAsia" w:cstheme="majorBidi"/>
      <w:color w:val="430098" w:themeColor="text2"/>
      <w:sz w:val="40"/>
      <w:szCs w:val="32"/>
    </w:rPr>
  </w:style>
  <w:style w:type="paragraph" w:styleId="Heading2">
    <w:name w:val="heading 2"/>
    <w:basedOn w:val="Normal"/>
    <w:next w:val="Normal"/>
    <w:link w:val="Heading2Char"/>
    <w:uiPriority w:val="9"/>
    <w:qFormat/>
    <w:rsid w:val="002F07B4"/>
    <w:pPr>
      <w:keepNext/>
      <w:keepLines/>
      <w:spacing w:before="480" w:after="360"/>
      <w:outlineLvl w:val="1"/>
    </w:pPr>
    <w:rPr>
      <w:rFonts w:eastAsiaTheme="majorEastAsia" w:cstheme="majorBidi"/>
      <w:color w:val="430098" w:themeColor="text2"/>
      <w:sz w:val="30"/>
      <w:szCs w:val="26"/>
    </w:rPr>
  </w:style>
  <w:style w:type="paragraph" w:styleId="Heading3">
    <w:name w:val="heading 3"/>
    <w:basedOn w:val="Normal"/>
    <w:next w:val="Normal"/>
    <w:link w:val="Heading3Char"/>
    <w:uiPriority w:val="9"/>
    <w:qFormat/>
    <w:rsid w:val="002F07B4"/>
    <w:pPr>
      <w:keepNext/>
      <w:keepLines/>
      <w:spacing w:before="360"/>
      <w:outlineLvl w:val="2"/>
    </w:pPr>
    <w:rPr>
      <w:rFonts w:eastAsiaTheme="majorEastAsia" w:cstheme="majorBidi"/>
      <w:sz w:val="26"/>
      <w:szCs w:val="24"/>
    </w:rPr>
  </w:style>
  <w:style w:type="paragraph" w:styleId="Heading4">
    <w:name w:val="heading 4"/>
    <w:basedOn w:val="Normal"/>
    <w:next w:val="Normal"/>
    <w:link w:val="Heading4Char"/>
    <w:uiPriority w:val="9"/>
    <w:rsid w:val="000D3DF9"/>
    <w:pPr>
      <w:keepNext/>
      <w:keepLines/>
      <w:spacing w:after="120"/>
      <w:outlineLvl w:val="3"/>
    </w:pPr>
    <w:rPr>
      <w:rFonts w:eastAsiaTheme="majorEastAsia" w:cstheme="majorBidi"/>
      <w:i/>
      <w:iCs/>
      <w:sz w:val="24"/>
    </w:rPr>
  </w:style>
  <w:style w:type="paragraph" w:styleId="Heading5">
    <w:name w:val="heading 5"/>
    <w:basedOn w:val="Normal"/>
    <w:next w:val="Normal"/>
    <w:link w:val="Heading5Char"/>
    <w:uiPriority w:val="9"/>
    <w:semiHidden/>
    <w:qFormat/>
    <w:rsid w:val="009D24F5"/>
    <w:pPr>
      <w:keepNext/>
      <w:keepLines/>
      <w:spacing w:after="60"/>
      <w:outlineLvl w:val="4"/>
    </w:pPr>
    <w:rPr>
      <w:rFonts w:eastAsiaTheme="majorEastAsia"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C12CF1"/>
    <w:pPr>
      <w:spacing w:after="0" w:line="264" w:lineRule="auto"/>
    </w:pPr>
  </w:style>
  <w:style w:type="paragraph" w:styleId="ListBullet">
    <w:name w:val="List Bullet"/>
    <w:basedOn w:val="Normal"/>
    <w:uiPriority w:val="99"/>
    <w:unhideWhenUsed/>
    <w:qFormat/>
    <w:rsid w:val="00896F09"/>
    <w:pPr>
      <w:numPr>
        <w:numId w:val="31"/>
      </w:numPr>
      <w:ind w:left="1134" w:hanging="567"/>
    </w:pPr>
  </w:style>
  <w:style w:type="paragraph" w:styleId="ListBullet2">
    <w:name w:val="List Bullet 2"/>
    <w:basedOn w:val="Normal"/>
    <w:uiPriority w:val="99"/>
    <w:unhideWhenUsed/>
    <w:qFormat/>
    <w:rsid w:val="00CA06C6"/>
    <w:pPr>
      <w:numPr>
        <w:ilvl w:val="1"/>
        <w:numId w:val="31"/>
      </w:numPr>
    </w:pPr>
  </w:style>
  <w:style w:type="paragraph" w:styleId="ListNumber">
    <w:name w:val="List Number"/>
    <w:basedOn w:val="Normal"/>
    <w:uiPriority w:val="99"/>
    <w:unhideWhenUsed/>
    <w:qFormat/>
    <w:rsid w:val="005A51A0"/>
    <w:pPr>
      <w:numPr>
        <w:numId w:val="32"/>
      </w:numPr>
      <w:contextualSpacing/>
    </w:pPr>
  </w:style>
  <w:style w:type="numbering" w:customStyle="1" w:styleId="Bullets">
    <w:name w:val="Bullets"/>
    <w:uiPriority w:val="99"/>
    <w:rsid w:val="000D3DF9"/>
    <w:pPr>
      <w:numPr>
        <w:numId w:val="11"/>
      </w:numPr>
    </w:pPr>
  </w:style>
  <w:style w:type="character" w:customStyle="1" w:styleId="Heading1Char">
    <w:name w:val="Heading 1 Char"/>
    <w:basedOn w:val="DefaultParagraphFont"/>
    <w:link w:val="Heading1"/>
    <w:uiPriority w:val="9"/>
    <w:rsid w:val="002F07B4"/>
    <w:rPr>
      <w:rFonts w:asciiTheme="majorHAnsi" w:eastAsiaTheme="majorEastAsia" w:hAnsiTheme="majorHAnsi" w:cstheme="majorBidi"/>
      <w:color w:val="430098" w:themeColor="text2"/>
      <w:sz w:val="40"/>
      <w:szCs w:val="32"/>
    </w:rPr>
  </w:style>
  <w:style w:type="paragraph" w:styleId="ListNumber2">
    <w:name w:val="List Number 2"/>
    <w:basedOn w:val="Normal"/>
    <w:uiPriority w:val="99"/>
    <w:unhideWhenUsed/>
    <w:qFormat/>
    <w:rsid w:val="005A51A0"/>
    <w:pPr>
      <w:numPr>
        <w:ilvl w:val="1"/>
        <w:numId w:val="32"/>
      </w:numPr>
      <w:contextualSpacing/>
    </w:pPr>
  </w:style>
  <w:style w:type="character" w:customStyle="1" w:styleId="Heading2Char">
    <w:name w:val="Heading 2 Char"/>
    <w:basedOn w:val="DefaultParagraphFont"/>
    <w:link w:val="Heading2"/>
    <w:uiPriority w:val="9"/>
    <w:rsid w:val="000D3DF9"/>
    <w:rPr>
      <w:rFonts w:asciiTheme="majorHAnsi" w:eastAsiaTheme="majorEastAsia" w:hAnsiTheme="majorHAnsi" w:cstheme="majorBidi"/>
      <w:color w:val="430098" w:themeColor="text2"/>
      <w:sz w:val="30"/>
      <w:szCs w:val="26"/>
    </w:rPr>
  </w:style>
  <w:style w:type="paragraph" w:styleId="ListParagraph">
    <w:name w:val="List Paragraph"/>
    <w:basedOn w:val="Normal"/>
    <w:uiPriority w:val="34"/>
    <w:qFormat/>
    <w:rsid w:val="00CA06C6"/>
    <w:pPr>
      <w:ind w:left="284"/>
    </w:pPr>
  </w:style>
  <w:style w:type="paragraph" w:styleId="Header">
    <w:name w:val="header"/>
    <w:basedOn w:val="Normal"/>
    <w:link w:val="HeaderChar"/>
    <w:uiPriority w:val="99"/>
    <w:unhideWhenUsed/>
    <w:rsid w:val="00983D00"/>
    <w:pPr>
      <w:tabs>
        <w:tab w:val="center" w:pos="4513"/>
        <w:tab w:val="right" w:pos="9026"/>
      </w:tabs>
      <w:spacing w:before="0" w:after="0" w:line="240" w:lineRule="auto"/>
    </w:pPr>
    <w:rPr>
      <w:sz w:val="14"/>
    </w:rPr>
  </w:style>
  <w:style w:type="character" w:customStyle="1" w:styleId="HeaderChar">
    <w:name w:val="Header Char"/>
    <w:basedOn w:val="DefaultParagraphFont"/>
    <w:link w:val="Header"/>
    <w:uiPriority w:val="99"/>
    <w:rsid w:val="00983D00"/>
    <w:rPr>
      <w:sz w:val="14"/>
    </w:rPr>
  </w:style>
  <w:style w:type="paragraph" w:styleId="Footer">
    <w:name w:val="footer"/>
    <w:basedOn w:val="Normal"/>
    <w:link w:val="FooterChar"/>
    <w:uiPriority w:val="99"/>
    <w:unhideWhenUsed/>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5A51A0"/>
    <w:pPr>
      <w:numPr>
        <w:numId w:val="14"/>
      </w:numPr>
    </w:pPr>
  </w:style>
  <w:style w:type="paragraph" w:styleId="ListBullet3">
    <w:name w:val="List Bullet 3"/>
    <w:basedOn w:val="Normal"/>
    <w:uiPriority w:val="99"/>
    <w:unhideWhenUsed/>
    <w:rsid w:val="000D3DF9"/>
    <w:pPr>
      <w:numPr>
        <w:ilvl w:val="2"/>
        <w:numId w:val="31"/>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5A51A0"/>
    <w:pPr>
      <w:numPr>
        <w:ilvl w:val="2"/>
        <w:numId w:val="32"/>
      </w:numPr>
      <w:contextualSpacing/>
    </w:pPr>
  </w:style>
  <w:style w:type="paragraph" w:styleId="ListNumber4">
    <w:name w:val="List Number 4"/>
    <w:basedOn w:val="Normal"/>
    <w:uiPriority w:val="99"/>
    <w:unhideWhenUsed/>
    <w:qFormat/>
    <w:rsid w:val="005A51A0"/>
    <w:pPr>
      <w:numPr>
        <w:ilvl w:val="3"/>
        <w:numId w:val="32"/>
      </w:numPr>
      <w:contextualSpacing/>
    </w:pPr>
  </w:style>
  <w:style w:type="paragraph" w:styleId="ListNumber5">
    <w:name w:val="List Number 5"/>
    <w:basedOn w:val="Normal"/>
    <w:uiPriority w:val="99"/>
    <w:unhideWhenUsed/>
    <w:rsid w:val="005A51A0"/>
    <w:pPr>
      <w:numPr>
        <w:ilvl w:val="4"/>
        <w:numId w:val="32"/>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0D3DF9"/>
    <w:rPr>
      <w:rFonts w:asciiTheme="majorHAnsi" w:eastAsiaTheme="majorEastAsia" w:hAnsiTheme="majorHAnsi" w:cstheme="majorBidi"/>
      <w:sz w:val="26"/>
      <w:szCs w:val="24"/>
    </w:rPr>
  </w:style>
  <w:style w:type="character" w:customStyle="1" w:styleId="Heading4Char">
    <w:name w:val="Heading 4 Char"/>
    <w:basedOn w:val="DefaultParagraphFont"/>
    <w:link w:val="Heading4"/>
    <w:uiPriority w:val="9"/>
    <w:rsid w:val="000D3DF9"/>
    <w:rPr>
      <w:rFonts w:asciiTheme="majorHAnsi" w:eastAsiaTheme="majorEastAsia" w:hAnsiTheme="majorHAnsi" w:cstheme="majorBidi"/>
      <w:i/>
      <w:iCs/>
      <w:sz w:val="24"/>
    </w:rPr>
  </w:style>
  <w:style w:type="character" w:customStyle="1" w:styleId="Heading5Char">
    <w:name w:val="Heading 5 Char"/>
    <w:basedOn w:val="DefaultParagraphFont"/>
    <w:link w:val="Heading5"/>
    <w:uiPriority w:val="9"/>
    <w:semiHidden/>
    <w:rsid w:val="002F07B4"/>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281560"/>
    <w:pPr>
      <w:spacing w:after="360" w:line="228" w:lineRule="auto"/>
      <w:ind w:right="1701"/>
      <w:contextualSpacing/>
      <w:outlineLvl w:val="0"/>
    </w:pPr>
    <w:rPr>
      <w:rFonts w:eastAsiaTheme="majorEastAsia" w:cstheme="majorBidi"/>
      <w:color w:val="430098" w:themeColor="text2"/>
      <w:spacing w:val="-10"/>
      <w:kern w:val="28"/>
      <w:sz w:val="50"/>
      <w:szCs w:val="56"/>
    </w:rPr>
  </w:style>
  <w:style w:type="character" w:customStyle="1" w:styleId="TitleChar">
    <w:name w:val="Title Char"/>
    <w:basedOn w:val="DefaultParagraphFont"/>
    <w:link w:val="Title"/>
    <w:uiPriority w:val="10"/>
    <w:rsid w:val="00281560"/>
    <w:rPr>
      <w:rFonts w:eastAsiaTheme="majorEastAsia" w:cstheme="majorBidi"/>
      <w:color w:val="430098" w:themeColor="text2"/>
      <w:spacing w:val="-10"/>
      <w:kern w:val="28"/>
      <w:sz w:val="50"/>
      <w:szCs w:val="56"/>
    </w:rPr>
  </w:style>
  <w:style w:type="paragraph" w:customStyle="1" w:styleId="Breakoutbox">
    <w:name w:val="Break out box"/>
    <w:basedOn w:val="Normal"/>
    <w:link w:val="BreakoutboxChar"/>
    <w:semiHidden/>
    <w:qFormat/>
    <w:rsid w:val="00166F43"/>
    <w:pPr>
      <w:pBdr>
        <w:top w:val="single" w:sz="4" w:space="20" w:color="F5F5F5"/>
        <w:left w:val="single" w:sz="4" w:space="20" w:color="F5F5F5"/>
        <w:bottom w:val="single" w:sz="4" w:space="20" w:color="F5F5F5"/>
        <w:right w:val="single" w:sz="4" w:space="20" w:color="F5F5F5"/>
      </w:pBdr>
      <w:shd w:val="clear" w:color="auto" w:fill="F5F5F5"/>
      <w:ind w:left="425" w:right="425"/>
    </w:pPr>
  </w:style>
  <w:style w:type="paragraph" w:customStyle="1" w:styleId="BreakoutboxHeading">
    <w:name w:val="Break out box Heading"/>
    <w:basedOn w:val="Breakoutbox"/>
    <w:next w:val="Breakoutbox"/>
    <w:link w:val="BreakoutboxHeadingChar"/>
    <w:semiHidden/>
    <w:qFormat/>
    <w:rsid w:val="004B609E"/>
    <w:rPr>
      <w:b/>
    </w:rPr>
  </w:style>
  <w:style w:type="character" w:customStyle="1" w:styleId="BreakoutboxChar">
    <w:name w:val="Break out box Char"/>
    <w:basedOn w:val="DefaultParagraphFont"/>
    <w:link w:val="Breakoutbox"/>
    <w:semiHidden/>
    <w:rsid w:val="00166F43"/>
    <w:rPr>
      <w:shd w:val="clear" w:color="auto" w:fill="F5F5F5"/>
    </w:rPr>
  </w:style>
  <w:style w:type="character" w:customStyle="1" w:styleId="BreakoutboxHeadingChar">
    <w:name w:val="Break out box Heading Char"/>
    <w:basedOn w:val="BreakoutboxChar"/>
    <w:link w:val="BreakoutboxHeading"/>
    <w:semiHidden/>
    <w:rsid w:val="0050670B"/>
    <w:rPr>
      <w:b/>
      <w:color w:val="FFFFFF" w:themeColor="background1"/>
      <w:sz w:val="20"/>
      <w:shd w:val="clear" w:color="auto" w:fill="430098" w:themeFill="text2"/>
    </w:rPr>
  </w:style>
  <w:style w:type="character" w:customStyle="1" w:styleId="NormalBoldChar">
    <w:name w:val="Normal Bold Char"/>
    <w:basedOn w:val="DefaultParagraphFont"/>
    <w:link w:val="NormalBold"/>
    <w:rsid w:val="00CA06C6"/>
    <w:rPr>
      <w:rFonts w:asciiTheme="majorHAnsi" w:hAnsiTheme="majorHAnsi"/>
      <w:b/>
    </w:rPr>
  </w:style>
  <w:style w:type="character" w:styleId="Strong">
    <w:name w:val="Strong"/>
    <w:basedOn w:val="DefaultParagraphFont"/>
    <w:uiPriority w:val="22"/>
    <w:qFormat/>
    <w:rsid w:val="000016E9"/>
    <w:rPr>
      <w:b/>
      <w:bCs/>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Charttitles"/>
    <w:next w:val="Normal"/>
    <w:uiPriority w:val="35"/>
    <w:unhideWhenUsed/>
    <w:qFormat/>
    <w:rsid w:val="004D1958"/>
  </w:style>
  <w:style w:type="paragraph" w:styleId="List">
    <w:name w:val="List"/>
    <w:basedOn w:val="Normal"/>
    <w:uiPriority w:val="99"/>
    <w:unhideWhenUsed/>
    <w:qFormat/>
    <w:rsid w:val="00CA06C6"/>
    <w:pPr>
      <w:numPr>
        <w:numId w:val="34"/>
      </w:numPr>
    </w:pPr>
  </w:style>
  <w:style w:type="paragraph" w:styleId="List2">
    <w:name w:val="List 2"/>
    <w:basedOn w:val="Normal"/>
    <w:uiPriority w:val="99"/>
    <w:unhideWhenUsed/>
    <w:qFormat/>
    <w:rsid w:val="00CA06C6"/>
    <w:pPr>
      <w:numPr>
        <w:ilvl w:val="1"/>
        <w:numId w:val="34"/>
      </w:numPr>
    </w:pPr>
  </w:style>
  <w:style w:type="numbering" w:customStyle="1" w:styleId="LetteredList">
    <w:name w:val="Lettered List"/>
    <w:uiPriority w:val="99"/>
    <w:rsid w:val="00A20BA0"/>
    <w:pPr>
      <w:numPr>
        <w:numId w:val="27"/>
      </w:numPr>
    </w:pPr>
  </w:style>
  <w:style w:type="paragraph" w:styleId="Subtitle">
    <w:name w:val="Subtitle"/>
    <w:basedOn w:val="Normal"/>
    <w:next w:val="Normal"/>
    <w:link w:val="SubtitleChar"/>
    <w:uiPriority w:val="11"/>
    <w:rsid w:val="00CF551D"/>
    <w:pPr>
      <w:numPr>
        <w:ilvl w:val="1"/>
      </w:numPr>
      <w:spacing w:after="0" w:line="228" w:lineRule="auto"/>
      <w:ind w:right="1701"/>
    </w:pPr>
    <w:rPr>
      <w:rFonts w:eastAsiaTheme="minorEastAsia"/>
      <w:color w:val="430098" w:themeColor="text2"/>
      <w:spacing w:val="-4"/>
      <w:sz w:val="30"/>
    </w:rPr>
  </w:style>
  <w:style w:type="character" w:customStyle="1" w:styleId="SubtitleChar">
    <w:name w:val="Subtitle Char"/>
    <w:basedOn w:val="DefaultParagraphFont"/>
    <w:link w:val="Subtitle"/>
    <w:uiPriority w:val="11"/>
    <w:rsid w:val="00CF551D"/>
    <w:rPr>
      <w:rFonts w:eastAsiaTheme="minorEastAsia"/>
      <w:color w:val="430098" w:themeColor="text2"/>
      <w:spacing w:val="-4"/>
      <w:sz w:val="30"/>
    </w:rPr>
  </w:style>
  <w:style w:type="paragraph" w:styleId="TOCHeading">
    <w:name w:val="TOC Heading"/>
    <w:basedOn w:val="Heading1"/>
    <w:next w:val="Normal"/>
    <w:uiPriority w:val="39"/>
    <w:qFormat/>
    <w:rsid w:val="006A3CC0"/>
    <w:pPr>
      <w:spacing w:line="259" w:lineRule="auto"/>
    </w:pPr>
    <w:rPr>
      <w:lang w:val="en-US"/>
    </w:rPr>
  </w:style>
  <w:style w:type="paragraph" w:styleId="TOC1">
    <w:name w:val="toc 1"/>
    <w:basedOn w:val="Normal"/>
    <w:next w:val="Normal"/>
    <w:autoRedefine/>
    <w:uiPriority w:val="39"/>
    <w:rsid w:val="00700AF5"/>
    <w:pPr>
      <w:spacing w:before="160" w:after="100"/>
    </w:pPr>
    <w:rPr>
      <w:color w:val="430098" w:themeColor="text2"/>
      <w:sz w:val="24"/>
    </w:rPr>
  </w:style>
  <w:style w:type="paragraph" w:styleId="TOC2">
    <w:name w:val="toc 2"/>
    <w:basedOn w:val="Normal"/>
    <w:next w:val="Normal"/>
    <w:autoRedefine/>
    <w:uiPriority w:val="39"/>
    <w:rsid w:val="006A3CC0"/>
    <w:pPr>
      <w:tabs>
        <w:tab w:val="right" w:leader="dot" w:pos="9288"/>
      </w:tabs>
      <w:spacing w:before="160" w:after="100"/>
    </w:pPr>
    <w:rPr>
      <w:color w:val="430098" w:themeColor="text2"/>
    </w:rPr>
  </w:style>
  <w:style w:type="paragraph" w:styleId="TOC3">
    <w:name w:val="toc 3"/>
    <w:basedOn w:val="Normal"/>
    <w:next w:val="Normal"/>
    <w:autoRedefine/>
    <w:uiPriority w:val="39"/>
    <w:rsid w:val="00700AF5"/>
    <w:pPr>
      <w:tabs>
        <w:tab w:val="right" w:leader="dot" w:pos="9628"/>
      </w:tabs>
      <w:spacing w:after="100"/>
      <w:ind w:left="284"/>
    </w:pPr>
    <w:rPr>
      <w:sz w:val="20"/>
    </w:r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link w:val="NormalBoldChar"/>
    <w:qFormat/>
    <w:rsid w:val="00CA06C6"/>
    <w:rPr>
      <w:b/>
    </w:rPr>
  </w:style>
  <w:style w:type="paragraph" w:customStyle="1" w:styleId="Footer-logolockup">
    <w:name w:val="Footer-logo lockup"/>
    <w:basedOn w:val="Footer"/>
    <w:rsid w:val="00FB1EA0"/>
    <w:pPr>
      <w:framePr w:w="2268" w:h="1588" w:hRule="exact" w:wrap="around" w:vAnchor="page" w:hAnchor="margin" w:x="1815" w:yAlign="bottom" w:anchorLock="1"/>
      <w:spacing w:before="0"/>
    </w:pPr>
    <w:rPr>
      <w:color w:val="430098" w:themeColor="text2"/>
      <w:spacing w:val="-4"/>
      <w:sz w:val="13"/>
    </w:rPr>
  </w:style>
  <w:style w:type="paragraph" w:customStyle="1" w:styleId="Footer-Right">
    <w:name w:val="Footer-Right"/>
    <w:basedOn w:val="Footer"/>
    <w:rsid w:val="00E56A45"/>
    <w:pPr>
      <w:jc w:val="right"/>
    </w:pPr>
  </w:style>
  <w:style w:type="paragraph" w:customStyle="1" w:styleId="Footer-Rightframe">
    <w:name w:val="Footer-Right frame"/>
    <w:basedOn w:val="Footer-Right"/>
    <w:rsid w:val="003A265C"/>
    <w:pPr>
      <w:framePr w:wrap="around" w:vAnchor="page" w:hAnchor="margin" w:xAlign="right" w:yAlign="bottom" w:anchorLock="1"/>
      <w:spacing w:after="1080"/>
      <w:ind w:right="28"/>
    </w:pPr>
    <w:rPr>
      <w:color w:val="430098" w:themeColor="text2"/>
      <w:sz w:val="20"/>
    </w:rPr>
  </w:style>
  <w:style w:type="character" w:styleId="UnresolvedMention">
    <w:name w:val="Unresolved Mention"/>
    <w:basedOn w:val="DefaultParagraphFont"/>
    <w:uiPriority w:val="99"/>
    <w:semiHidden/>
    <w:unhideWhenUsed/>
    <w:rsid w:val="0007747C"/>
    <w:rPr>
      <w:color w:val="605E5C"/>
      <w:shd w:val="clear" w:color="auto" w:fill="E1DFDD"/>
    </w:rPr>
  </w:style>
  <w:style w:type="paragraph" w:customStyle="1" w:styleId="Streamselection">
    <w:name w:val="Stream selection"/>
    <w:basedOn w:val="Normal"/>
    <w:link w:val="StreamselectionChar"/>
    <w:rsid w:val="004843D5"/>
    <w:pPr>
      <w:spacing w:before="0" w:after="0" w:line="240" w:lineRule="auto"/>
      <w:jc w:val="center"/>
    </w:pPr>
    <w:rPr>
      <w:b/>
      <w:caps/>
      <w:color w:val="430098" w:themeColor="text2"/>
      <w:spacing w:val="-4"/>
      <w:sz w:val="18"/>
    </w:rPr>
  </w:style>
  <w:style w:type="paragraph" w:customStyle="1" w:styleId="BackcoverURL">
    <w:name w:val="Back cover URL"/>
    <w:basedOn w:val="Normal"/>
    <w:rsid w:val="00990D47"/>
    <w:pPr>
      <w:spacing w:before="0"/>
      <w:jc w:val="center"/>
    </w:pPr>
    <w:rPr>
      <w:noProof/>
      <w:color w:val="430098" w:themeColor="text2"/>
      <w:sz w:val="18"/>
    </w:rPr>
  </w:style>
  <w:style w:type="character" w:customStyle="1" w:styleId="StreamselectionChar">
    <w:name w:val="Stream selection Char"/>
    <w:basedOn w:val="DefaultParagraphFont"/>
    <w:link w:val="Streamselection"/>
    <w:rsid w:val="004843D5"/>
    <w:rPr>
      <w:b/>
      <w:caps/>
      <w:color w:val="430098" w:themeColor="text2"/>
      <w:spacing w:val="-4"/>
      <w:sz w:val="18"/>
    </w:rPr>
  </w:style>
  <w:style w:type="paragraph" w:customStyle="1" w:styleId="Tabletext">
    <w:name w:val="Table text"/>
    <w:basedOn w:val="Normal"/>
    <w:qFormat/>
    <w:rsid w:val="00CA06C6"/>
    <w:pPr>
      <w:spacing w:after="120"/>
    </w:pPr>
    <w:rPr>
      <w:sz w:val="18"/>
    </w:rPr>
  </w:style>
  <w:style w:type="paragraph" w:styleId="Quote">
    <w:name w:val="Quote"/>
    <w:basedOn w:val="Normal"/>
    <w:next w:val="Normal"/>
    <w:link w:val="QuoteChar"/>
    <w:uiPriority w:val="29"/>
    <w:rsid w:val="00FF3D72"/>
    <w:pPr>
      <w:pBdr>
        <w:left w:val="single" w:sz="36" w:space="14" w:color="A489C7"/>
      </w:pBdr>
      <w:spacing w:before="200" w:after="0"/>
      <w:ind w:left="397" w:right="1134"/>
    </w:pPr>
    <w:rPr>
      <w:i/>
      <w:iCs/>
      <w:color w:val="430098" w:themeColor="text2"/>
    </w:rPr>
  </w:style>
  <w:style w:type="table" w:customStyle="1" w:styleId="OVICDefaulttable">
    <w:name w:val="OVIC Default table"/>
    <w:basedOn w:val="TableNormal"/>
    <w:uiPriority w:val="99"/>
    <w:rsid w:val="00467EA8"/>
    <w:pPr>
      <w:spacing w:after="0" w:line="240" w:lineRule="auto"/>
    </w:pPr>
    <w:rPr>
      <w:rFonts w:asciiTheme="majorHAnsi" w:hAnsiTheme="majorHAnsi"/>
      <w:sz w:val="18"/>
    </w:rPr>
    <w:tblPr>
      <w:tblStyleColBandSize w:val="1"/>
      <w:tblBorders>
        <w:top w:val="single" w:sz="4" w:space="0" w:color="auto"/>
        <w:bottom w:val="single" w:sz="4" w:space="0" w:color="auto"/>
        <w:insideH w:val="single" w:sz="4" w:space="0" w:color="auto"/>
        <w:insideV w:val="single" w:sz="4" w:space="0" w:color="D9D9D9" w:themeColor="background1" w:themeShade="D9"/>
      </w:tblBorders>
      <w:tblCellMar>
        <w:top w:w="170" w:type="dxa"/>
        <w:left w:w="170" w:type="dxa"/>
        <w:bottom w:w="57" w:type="dxa"/>
        <w:right w:w="170" w:type="dxa"/>
      </w:tblCellMar>
    </w:tblPr>
    <w:tblStylePr w:type="firstRow">
      <w:rPr>
        <w:rFonts w:asciiTheme="minorHAnsi" w:hAnsiTheme="minorHAnsi"/>
        <w:b/>
      </w:rPr>
      <w:tblPr/>
      <w:tcPr>
        <w:tcBorders>
          <w:top w:val="single" w:sz="12" w:space="0" w:color="auto"/>
          <w:left w:val="nil"/>
          <w:bottom w:val="single" w:sz="12" w:space="0" w:color="auto"/>
          <w:right w:val="nil"/>
          <w:insideH w:val="nil"/>
          <w:insideV w:val="single" w:sz="4" w:space="0" w:color="D9D9D9" w:themeColor="background1" w:themeShade="D9"/>
          <w:tl2br w:val="nil"/>
          <w:tr2bl w:val="nil"/>
        </w:tcBorders>
      </w:tcPr>
    </w:tblStylePr>
    <w:tblStylePr w:type="band2Vert">
      <w:tblPr/>
      <w:tcPr>
        <w:shd w:val="clear" w:color="auto" w:fill="F5F5F5"/>
      </w:tcPr>
    </w:tblStylePr>
  </w:style>
  <w:style w:type="paragraph" w:customStyle="1" w:styleId="ProtectiveMarking">
    <w:name w:val="Protective Marking"/>
    <w:basedOn w:val="Normal"/>
    <w:rsid w:val="007C2EB8"/>
    <w:pPr>
      <w:framePr w:wrap="around" w:vAnchor="page" w:hAnchor="page" w:xAlign="center" w:y="568" w:anchorLock="1"/>
    </w:pPr>
    <w:rPr>
      <w:b/>
      <w:caps/>
      <w:color w:val="FF0000"/>
      <w:sz w:val="25"/>
    </w:rPr>
  </w:style>
  <w:style w:type="paragraph" w:customStyle="1" w:styleId="Streamselectionholder">
    <w:name w:val="Stream selection holder"/>
    <w:basedOn w:val="Normal"/>
    <w:rsid w:val="004843D5"/>
    <w:pPr>
      <w:spacing w:before="0" w:after="160" w:line="259" w:lineRule="auto"/>
    </w:pPr>
    <w:rPr>
      <w:b/>
      <w:caps/>
      <w:color w:val="430098" w:themeColor="text2"/>
      <w:sz w:val="18"/>
    </w:rPr>
  </w:style>
  <w:style w:type="paragraph" w:customStyle="1" w:styleId="Charttitles">
    <w:name w:val="Chart titles"/>
    <w:basedOn w:val="Normal"/>
    <w:uiPriority w:val="7"/>
    <w:qFormat/>
    <w:rsid w:val="0034139E"/>
    <w:pPr>
      <w:spacing w:before="480" w:after="360" w:line="240" w:lineRule="auto"/>
      <w:ind w:right="941"/>
    </w:pPr>
    <w:rPr>
      <w:rFonts w:eastAsia="Times New Roman" w:cstheme="minorHAnsi"/>
      <w:color w:val="430098"/>
      <w:sz w:val="20"/>
      <w:szCs w:val="20"/>
      <w:lang w:eastAsia="en-GB"/>
    </w:rPr>
  </w:style>
  <w:style w:type="character" w:customStyle="1" w:styleId="QuoteChar">
    <w:name w:val="Quote Char"/>
    <w:basedOn w:val="DefaultParagraphFont"/>
    <w:link w:val="Quote"/>
    <w:uiPriority w:val="29"/>
    <w:rsid w:val="00FF3D72"/>
    <w:rPr>
      <w:i/>
      <w:iCs/>
      <w:color w:val="430098" w:themeColor="text2"/>
    </w:rPr>
  </w:style>
  <w:style w:type="paragraph" w:customStyle="1" w:styleId="TitlepageHeading1">
    <w:name w:val="Title page Heading 1"/>
    <w:basedOn w:val="Heading1"/>
    <w:rsid w:val="00A60DA0"/>
    <w:pPr>
      <w:spacing w:before="0"/>
      <w:outlineLvl w:val="1"/>
    </w:pPr>
  </w:style>
  <w:style w:type="paragraph" w:customStyle="1" w:styleId="ListContinue6">
    <w:name w:val="List Continue 6"/>
    <w:basedOn w:val="ListContinue5"/>
    <w:uiPriority w:val="99"/>
    <w:qFormat/>
    <w:rsid w:val="005A51A0"/>
    <w:pPr>
      <w:ind w:left="1701"/>
    </w:pPr>
  </w:style>
  <w:style w:type="paragraph" w:customStyle="1" w:styleId="Agencyinformation">
    <w:name w:val="Agency information"/>
    <w:rsid w:val="003126A4"/>
    <w:pPr>
      <w:pBdr>
        <w:bottom w:val="single" w:sz="8" w:space="20" w:color="430098" w:themeColor="text2"/>
      </w:pBdr>
      <w:spacing w:before="120" w:line="240" w:lineRule="auto"/>
    </w:pPr>
    <w:rPr>
      <w:b/>
      <w:caps/>
      <w:color w:val="430098" w:themeColor="text2"/>
      <w:sz w:val="28"/>
    </w:rPr>
  </w:style>
  <w:style w:type="paragraph" w:customStyle="1" w:styleId="Toggle">
    <w:name w:val="Toggle"/>
    <w:basedOn w:val="Agencyinformation"/>
    <w:qFormat/>
    <w:rsid w:val="00E75FCA"/>
    <w:pPr>
      <w:pBdr>
        <w:bottom w:val="none" w:sz="0" w:space="0" w:color="auto"/>
      </w:pBdr>
      <w:spacing w:before="0" w:after="0"/>
      <w:outlineLvl w:val="0"/>
    </w:pPr>
    <w:rPr>
      <w:caps w:val="0"/>
      <w:color w:val="FFFFFF" w:themeColor="background1"/>
      <w:sz w:val="16"/>
    </w:rPr>
  </w:style>
  <w:style w:type="paragraph" w:customStyle="1" w:styleId="Togglenote">
    <w:name w:val="Toggle note"/>
    <w:basedOn w:val="Toggle"/>
    <w:rsid w:val="00110345"/>
    <w:pPr>
      <w:framePr w:w="680" w:wrap="around" w:vAnchor="text" w:hAnchor="page" w:x="285" w:y="-1020" w:anchorLock="1"/>
      <w:spacing w:line="228" w:lineRule="auto"/>
      <w:outlineLvl w:val="9"/>
    </w:pPr>
    <w:rPr>
      <w:b w:val="0"/>
      <w:vanish/>
      <w:color w:val="EA3AB0" w:themeColor="accent2"/>
      <w:sz w:val="14"/>
    </w:rPr>
  </w:style>
  <w:style w:type="table" w:customStyle="1" w:styleId="OVICFooter">
    <w:name w:val="OVIC Footer"/>
    <w:basedOn w:val="TableNormal"/>
    <w:uiPriority w:val="99"/>
    <w:rsid w:val="009B2231"/>
    <w:pPr>
      <w:spacing w:after="0" w:line="240" w:lineRule="auto"/>
    </w:pPr>
    <w:tblPr>
      <w:tblBorders>
        <w:top w:val="single" w:sz="8" w:space="0" w:color="430098" w:themeColor="text2"/>
      </w:tblBorders>
      <w:tblCellMar>
        <w:top w:w="340" w:type="dxa"/>
        <w:left w:w="0" w:type="dxa"/>
        <w:bottom w:w="680" w:type="dxa"/>
      </w:tblCellMar>
    </w:tblPr>
    <w:tcPr>
      <w:vAlign w:val="bottom"/>
    </w:tcPr>
  </w:style>
  <w:style w:type="paragraph" w:customStyle="1" w:styleId="FooterToggle">
    <w:name w:val="Footer Toggle"/>
    <w:basedOn w:val="Normal"/>
    <w:link w:val="FooterToggleChar"/>
    <w:rsid w:val="00CA1FCA"/>
    <w:pPr>
      <w:spacing w:before="0" w:after="0" w:line="240" w:lineRule="auto"/>
    </w:pPr>
    <w:rPr>
      <w:b/>
      <w:color w:val="430098" w:themeColor="text2"/>
      <w:sz w:val="16"/>
    </w:rPr>
  </w:style>
  <w:style w:type="paragraph" w:customStyle="1" w:styleId="Footercovertoggleholder">
    <w:name w:val="Footer cover toggle holder"/>
    <w:basedOn w:val="Normal"/>
    <w:rsid w:val="00B3365C"/>
    <w:pPr>
      <w:framePr w:w="9299" w:wrap="around" w:vAnchor="page" w:hAnchor="margin" w:yAlign="bottom" w:anchorLock="1"/>
      <w:spacing w:before="0" w:after="160" w:line="259" w:lineRule="auto"/>
    </w:pPr>
  </w:style>
  <w:style w:type="paragraph" w:customStyle="1" w:styleId="FooterToggle-Disclaimer">
    <w:name w:val="Footer Toggle-Disclaimer"/>
    <w:basedOn w:val="FooterToggle"/>
    <w:rsid w:val="00D34FB0"/>
    <w:pPr>
      <w:spacing w:line="228" w:lineRule="auto"/>
      <w:ind w:right="1134"/>
    </w:pPr>
    <w:rPr>
      <w:b w:val="0"/>
      <w:color w:val="auto"/>
      <w:sz w:val="14"/>
    </w:rPr>
  </w:style>
  <w:style w:type="paragraph" w:customStyle="1" w:styleId="PageNumber-right">
    <w:name w:val="Page Number-right"/>
    <w:basedOn w:val="FooterToggle"/>
    <w:link w:val="PageNumber-rightChar"/>
    <w:rsid w:val="00A81CCD"/>
    <w:pPr>
      <w:framePr w:hSpace="181" w:wrap="around" w:vAnchor="page" w:hAnchor="margin" w:yAlign="bottom"/>
      <w:suppressOverlap/>
      <w:jc w:val="right"/>
    </w:pPr>
    <w:rPr>
      <w:b w:val="0"/>
      <w:bCs/>
    </w:rPr>
  </w:style>
  <w:style w:type="character" w:customStyle="1" w:styleId="FooterToggleChar">
    <w:name w:val="Footer Toggle Char"/>
    <w:basedOn w:val="DefaultParagraphFont"/>
    <w:link w:val="FooterToggle"/>
    <w:rsid w:val="00A81CCD"/>
    <w:rPr>
      <w:b/>
      <w:color w:val="430098" w:themeColor="text2"/>
      <w:sz w:val="16"/>
    </w:rPr>
  </w:style>
  <w:style w:type="character" w:customStyle="1" w:styleId="PageNumber-rightChar">
    <w:name w:val="Page Number-right Char"/>
    <w:basedOn w:val="FooterToggleChar"/>
    <w:link w:val="PageNumber-right"/>
    <w:rsid w:val="00A81CCD"/>
    <w:rPr>
      <w:b w:val="0"/>
      <w:bCs/>
      <w:color w:val="430098" w:themeColor="text2"/>
      <w:sz w:val="16"/>
    </w:rPr>
  </w:style>
  <w:style w:type="character" w:styleId="CommentReference">
    <w:name w:val="annotation reference"/>
    <w:basedOn w:val="DefaultParagraphFont"/>
    <w:uiPriority w:val="99"/>
    <w:semiHidden/>
    <w:unhideWhenUsed/>
    <w:rsid w:val="00BF3799"/>
    <w:rPr>
      <w:sz w:val="16"/>
      <w:szCs w:val="16"/>
    </w:rPr>
  </w:style>
  <w:style w:type="paragraph" w:styleId="FootnoteText">
    <w:name w:val="footnote text"/>
    <w:basedOn w:val="Normal"/>
    <w:link w:val="FootnoteTextChar"/>
    <w:uiPriority w:val="99"/>
    <w:unhideWhenUsed/>
    <w:rsid w:val="004C5DAA"/>
    <w:pPr>
      <w:spacing w:before="0" w:after="120" w:line="240" w:lineRule="auto"/>
      <w:ind w:left="85" w:hanging="85"/>
    </w:pPr>
    <w:rPr>
      <w:sz w:val="16"/>
      <w:szCs w:val="20"/>
    </w:rPr>
  </w:style>
  <w:style w:type="character" w:customStyle="1" w:styleId="FootnoteTextChar">
    <w:name w:val="Footnote Text Char"/>
    <w:basedOn w:val="DefaultParagraphFont"/>
    <w:link w:val="FootnoteText"/>
    <w:uiPriority w:val="99"/>
    <w:rsid w:val="004C5DAA"/>
    <w:rPr>
      <w:rFonts w:asciiTheme="majorHAnsi" w:hAnsiTheme="majorHAnsi"/>
      <w:sz w:val="16"/>
      <w:szCs w:val="20"/>
    </w:rPr>
  </w:style>
  <w:style w:type="character" w:styleId="FootnoteReference">
    <w:name w:val="footnote reference"/>
    <w:basedOn w:val="DefaultParagraphFont"/>
    <w:uiPriority w:val="99"/>
    <w:semiHidden/>
    <w:unhideWhenUsed/>
    <w:rsid w:val="004C5DAA"/>
    <w:rPr>
      <w:vertAlign w:val="superscript"/>
    </w:rPr>
  </w:style>
  <w:style w:type="paragraph" w:customStyle="1" w:styleId="Address">
    <w:name w:val="Address"/>
    <w:basedOn w:val="Date"/>
    <w:rsid w:val="00DD710F"/>
    <w:pPr>
      <w:framePr w:w="8505" w:vSpace="1418" w:wrap="around" w:vAnchor="page" w:hAnchor="text" w:y="3687" w:anchorLock="1"/>
      <w:spacing w:after="200" w:line="240"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Office%20365%20Templates/OVIC%20short%20pub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AD538CA8A8FC7418A75DABE6E8AA3D3"/>
        <w:category>
          <w:name w:val="General"/>
          <w:gallery w:val="placeholder"/>
        </w:category>
        <w:types>
          <w:type w:val="bbPlcHdr"/>
        </w:types>
        <w:behaviors>
          <w:behavior w:val="content"/>
        </w:behaviors>
        <w:guid w:val="{EB344C28-E1C5-FE47-A16C-27B8E4F574CA}"/>
      </w:docPartPr>
      <w:docPartBody>
        <w:p w:rsidR="00871E20" w:rsidRDefault="00000000">
          <w:pPr>
            <w:pStyle w:val="CAD538CA8A8FC7418A75DABE6E8AA3D3"/>
          </w:pPr>
          <w:r w:rsidRPr="00281560">
            <w:rPr>
              <w:highlight w:val="lightGray"/>
            </w:rPr>
            <w:t>[Click to add Title, linked to the internal pages footer]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BD"/>
    <w:rsid w:val="003F65BD"/>
    <w:rsid w:val="00493799"/>
    <w:rsid w:val="006908DF"/>
    <w:rsid w:val="007D5265"/>
    <w:rsid w:val="00871E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D538CA8A8FC7418A75DABE6E8AA3D3">
    <w:name w:val="CAD538CA8A8FC7418A75DABE6E8AA3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VIC">
      <a:dk1>
        <a:sysClr val="windowText" lastClr="000000"/>
      </a:dk1>
      <a:lt1>
        <a:sysClr val="window" lastClr="FFFFFF"/>
      </a:lt1>
      <a:dk2>
        <a:srgbClr val="430098"/>
      </a:dk2>
      <a:lt2>
        <a:srgbClr val="FFFFFF"/>
      </a:lt2>
      <a:accent1>
        <a:srgbClr val="430098"/>
      </a:accent1>
      <a:accent2>
        <a:srgbClr val="EA3AB0"/>
      </a:accent2>
      <a:accent3>
        <a:srgbClr val="69E8FD"/>
      </a:accent3>
      <a:accent4>
        <a:srgbClr val="44A0F8"/>
      </a:accent4>
      <a:accent5>
        <a:srgbClr val="FAD94A"/>
      </a:accent5>
      <a:accent6>
        <a:srgbClr val="7F7F7F"/>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OVIC short publication.dotx</Template>
  <TotalTime>15</TotalTime>
  <Pages>5</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Equality Action Plan – 2023 Progress Report</dc:title>
  <dc:subject/>
  <dc:creator>Dean Bardell-Williams</dc:creator>
  <cp:keywords/>
  <dc:description/>
  <cp:lastModifiedBy>Dean Bardell-Williams</cp:lastModifiedBy>
  <cp:revision>2</cp:revision>
  <cp:lastPrinted>2022-06-30T00:33:00Z</cp:lastPrinted>
  <dcterms:created xsi:type="dcterms:W3CDTF">2024-11-20T05:10:00Z</dcterms:created>
  <dcterms:modified xsi:type="dcterms:W3CDTF">2024-12-11T22:07:00Z</dcterms:modified>
</cp:coreProperties>
</file>