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Style w:val="TitleChar"/>
        </w:rPr>
        <w:alias w:val="Title"/>
        <w:tag w:val=""/>
        <w:id w:val="-1876235593"/>
        <w:placeholder>
          <w:docPart w:val="F177D65F9ED4A44A81C15A8859ED5839"/>
        </w:placeholder>
        <w:dataBinding w:prefixMappings="xmlns:ns0='http://purl.org/dc/elements/1.1/' xmlns:ns1='http://schemas.openxmlformats.org/package/2006/metadata/core-properties' " w:xpath="/ns1:coreProperties[1]/ns0:title[1]" w:storeItemID="{6C3C8BC8-F283-45AE-878A-BAB7291924A1}"/>
        <w:text/>
      </w:sdtPr>
      <w:sdtContent>
        <w:p w14:paraId="42A981BD" w14:textId="42F2971E" w:rsidR="00EA3594" w:rsidRPr="001810A0" w:rsidRDefault="0093619C" w:rsidP="001810A0">
          <w:pPr>
            <w:pStyle w:val="TitlepageHeading1"/>
            <w:rPr>
              <w:rStyle w:val="Heading1Char"/>
              <w:b/>
              <w:bCs/>
            </w:rPr>
          </w:pPr>
          <w:r w:rsidRPr="001810A0">
            <w:rPr>
              <w:rStyle w:val="TitleChar"/>
            </w:rPr>
            <w:t>Information sharing by health service entities for quality and safety purposes</w:t>
          </w:r>
        </w:p>
      </w:sdtContent>
    </w:sdt>
    <w:p w14:paraId="3AB51E02" w14:textId="77777777" w:rsidR="007B6F90" w:rsidRPr="00A17EA7" w:rsidRDefault="007B6F90" w:rsidP="0093619C">
      <w:pPr>
        <w:rPr>
          <w:lang w:eastAsia="en-GB"/>
        </w:rPr>
      </w:pPr>
      <w:r w:rsidRPr="00A17EA7">
        <w:rPr>
          <w:lang w:eastAsia="en-GB"/>
        </w:rPr>
        <w:t xml:space="preserve">Part 6B of the </w:t>
      </w:r>
      <w:r w:rsidRPr="00A17EA7">
        <w:rPr>
          <w:i/>
          <w:iCs/>
          <w:lang w:eastAsia="en-GB"/>
        </w:rPr>
        <w:t xml:space="preserve">Health Services Act 1988 </w:t>
      </w:r>
      <w:r w:rsidRPr="00A17EA7">
        <w:rPr>
          <w:lang w:eastAsia="en-GB"/>
        </w:rPr>
        <w:t>(Vic) (</w:t>
      </w:r>
      <w:r w:rsidRPr="00A17EA7">
        <w:rPr>
          <w:b/>
          <w:bCs/>
          <w:lang w:eastAsia="en-GB"/>
        </w:rPr>
        <w:t>HS Act</w:t>
      </w:r>
      <w:r w:rsidRPr="00A17EA7">
        <w:rPr>
          <w:lang w:eastAsia="en-GB"/>
        </w:rPr>
        <w:t>) provides legislative authority for health service entities to share confidential information about an individual within the health system for quality and safety purposes.</w:t>
      </w:r>
    </w:p>
    <w:p w14:paraId="514D1927" w14:textId="77777777" w:rsidR="007B6F90" w:rsidRPr="00A17EA7" w:rsidRDefault="007B6F90" w:rsidP="0093619C">
      <w:pPr>
        <w:rPr>
          <w:lang w:eastAsia="en-GB"/>
        </w:rPr>
      </w:pPr>
      <w:r w:rsidRPr="00A17EA7">
        <w:rPr>
          <w:lang w:eastAsia="en-GB"/>
        </w:rPr>
        <w:t xml:space="preserve">This guidance outlines the provisions in the </w:t>
      </w:r>
      <w:r w:rsidRPr="00A17EA7">
        <w:rPr>
          <w:i/>
          <w:iCs/>
          <w:lang w:eastAsia="en-GB"/>
        </w:rPr>
        <w:t>Privacy and Data Protection Act 2014</w:t>
      </w:r>
      <w:r w:rsidRPr="00A17EA7">
        <w:rPr>
          <w:lang w:eastAsia="en-GB"/>
        </w:rPr>
        <w:t xml:space="preserve"> (</w:t>
      </w:r>
      <w:r w:rsidRPr="00A17EA7">
        <w:rPr>
          <w:b/>
          <w:bCs/>
          <w:lang w:eastAsia="en-GB"/>
        </w:rPr>
        <w:t>PDP Act</w:t>
      </w:r>
      <w:r w:rsidRPr="00A17EA7">
        <w:rPr>
          <w:lang w:eastAsia="en-GB"/>
        </w:rPr>
        <w:t xml:space="preserve">) and the </w:t>
      </w:r>
      <w:r w:rsidRPr="00A17EA7">
        <w:rPr>
          <w:i/>
          <w:iCs/>
          <w:lang w:eastAsia="en-GB"/>
        </w:rPr>
        <w:t>Health Records Act 2001</w:t>
      </w:r>
      <w:r w:rsidRPr="00A17EA7">
        <w:rPr>
          <w:lang w:eastAsia="en-GB"/>
        </w:rPr>
        <w:t xml:space="preserve"> (</w:t>
      </w:r>
      <w:r w:rsidRPr="00A17EA7">
        <w:rPr>
          <w:b/>
          <w:bCs/>
          <w:lang w:eastAsia="en-GB"/>
        </w:rPr>
        <w:t>HR Act</w:t>
      </w:r>
      <w:r w:rsidRPr="00A17EA7">
        <w:rPr>
          <w:lang w:eastAsia="en-GB"/>
        </w:rPr>
        <w:t>) that facilitate this information sharing, and also outlines how organisations sharing information under Part 6B of the HS Act can adhere to their overarching privacy obligations.</w:t>
      </w:r>
    </w:p>
    <w:p w14:paraId="15CAD2A0" w14:textId="77777777" w:rsidR="007B6F90" w:rsidRPr="00A17EA7" w:rsidRDefault="007B6F90" w:rsidP="0093619C">
      <w:pPr>
        <w:rPr>
          <w:lang w:eastAsia="en-GB"/>
        </w:rPr>
      </w:pPr>
      <w:r w:rsidRPr="00A17EA7">
        <w:rPr>
          <w:lang w:eastAsia="en-GB"/>
        </w:rPr>
        <w:t xml:space="preserve">For background and rationale on Part 6B HS Act, as well as specific guidance on the operation of this part, refer to the </w:t>
      </w:r>
      <w:hyperlink r:id="rId9" w:history="1">
        <w:r w:rsidRPr="00A17EA7">
          <w:rPr>
            <w:color w:val="430098"/>
            <w:u w:val="single"/>
            <w:lang w:eastAsia="en-GB"/>
          </w:rPr>
          <w:t>Department of Health FAQs</w:t>
        </w:r>
      </w:hyperlink>
      <w:r w:rsidRPr="00A17EA7">
        <w:rPr>
          <w:lang w:eastAsia="en-GB"/>
        </w:rPr>
        <w:t>.</w:t>
      </w:r>
    </w:p>
    <w:p w14:paraId="20FEF55B" w14:textId="77777777" w:rsidR="007B6F90" w:rsidRPr="00A17EA7" w:rsidRDefault="007B6F90" w:rsidP="0093619C">
      <w:pPr>
        <w:rPr>
          <w:lang w:eastAsia="en-GB"/>
        </w:rPr>
      </w:pPr>
      <w:r w:rsidRPr="00A17EA7">
        <w:rPr>
          <w:lang w:eastAsia="en-GB"/>
        </w:rPr>
        <w:t xml:space="preserve">This guidance was prepared in partnership with the </w:t>
      </w:r>
      <w:hyperlink r:id="rId10" w:history="1">
        <w:r w:rsidRPr="00A17EA7">
          <w:rPr>
            <w:color w:val="430098"/>
            <w:u w:val="single"/>
            <w:lang w:eastAsia="en-GB"/>
          </w:rPr>
          <w:t>Health Complaints Commissioner</w:t>
        </w:r>
      </w:hyperlink>
      <w:r w:rsidRPr="00A17EA7">
        <w:rPr>
          <w:color w:val="430098"/>
          <w:lang w:eastAsia="en-GB"/>
        </w:rPr>
        <w:t xml:space="preserve"> </w:t>
      </w:r>
      <w:r w:rsidRPr="00A17EA7">
        <w:rPr>
          <w:lang w:eastAsia="en-GB"/>
        </w:rPr>
        <w:t>(</w:t>
      </w:r>
      <w:r w:rsidRPr="00A17EA7">
        <w:rPr>
          <w:b/>
          <w:bCs/>
          <w:lang w:eastAsia="en-GB"/>
        </w:rPr>
        <w:t>HCC</w:t>
      </w:r>
      <w:r w:rsidRPr="00A17EA7">
        <w:rPr>
          <w:lang w:eastAsia="en-GB"/>
        </w:rPr>
        <w:t>).</w:t>
      </w:r>
    </w:p>
    <w:p w14:paraId="7017647F" w14:textId="56BDA6CA" w:rsidR="007B6F90" w:rsidRPr="001810A0" w:rsidRDefault="007B6F90" w:rsidP="001810A0">
      <w:pPr>
        <w:pStyle w:val="Heading1"/>
      </w:pPr>
      <w:r w:rsidRPr="001810A0">
        <w:t xml:space="preserve">Interaction between </w:t>
      </w:r>
      <w:r w:rsidR="0093619C" w:rsidRPr="001810A0">
        <w:t>P</w:t>
      </w:r>
      <w:r w:rsidRPr="001810A0">
        <w:t>art 6</w:t>
      </w:r>
      <w:r w:rsidR="0093619C" w:rsidRPr="001810A0">
        <w:t>B</w:t>
      </w:r>
      <w:r w:rsidRPr="001810A0">
        <w:t xml:space="preserve"> of the HS Act and the PDP Act and HR Act</w:t>
      </w:r>
    </w:p>
    <w:p w14:paraId="4C773E11" w14:textId="77777777" w:rsidR="007B6F90" w:rsidRPr="00A17EA7" w:rsidRDefault="007B6F90" w:rsidP="0093619C">
      <w:pPr>
        <w:rPr>
          <w:lang w:eastAsia="en-GB"/>
        </w:rPr>
      </w:pPr>
      <w:r w:rsidRPr="00A17EA7">
        <w:rPr>
          <w:lang w:eastAsia="en-GB"/>
        </w:rPr>
        <w:t>To facilitate information sharing under Part 6B of the HS Act, section 15C was inserted into the PDP Act. Section 15C has the effect of exempting certain entities in the health sector from adhering to Information Privacy Principle (</w:t>
      </w:r>
      <w:r w:rsidRPr="00A17EA7">
        <w:rPr>
          <w:b/>
          <w:bCs/>
          <w:lang w:eastAsia="en-GB"/>
        </w:rPr>
        <w:t>IPP</w:t>
      </w:r>
      <w:r w:rsidRPr="00A17EA7">
        <w:rPr>
          <w:lang w:eastAsia="en-GB"/>
        </w:rPr>
        <w:t>) 1.4 and IPP 1.5, and any IPP relating to the collection of sensitive information to the extent that the IPP requires consent, when sharing information under Part 6B of the HS Act.</w:t>
      </w:r>
    </w:p>
    <w:p w14:paraId="1594FB9A" w14:textId="77777777" w:rsidR="007B6F90" w:rsidRPr="00A17EA7" w:rsidRDefault="007B6F90" w:rsidP="0093619C">
      <w:pPr>
        <w:rPr>
          <w:lang w:eastAsia="en-GB"/>
        </w:rPr>
      </w:pPr>
      <w:r w:rsidRPr="00A17EA7">
        <w:rPr>
          <w:lang w:eastAsia="en-GB"/>
        </w:rPr>
        <w:t>Additionally, section 14D was inserted into the HR Act. Section 14D exempts certain health sector entities from Health Privacy Principle (</w:t>
      </w:r>
      <w:r w:rsidRPr="00A17EA7">
        <w:rPr>
          <w:b/>
          <w:bCs/>
          <w:lang w:eastAsia="en-GB"/>
        </w:rPr>
        <w:t>HPP</w:t>
      </w:r>
      <w:r w:rsidRPr="00A17EA7">
        <w:rPr>
          <w:lang w:eastAsia="en-GB"/>
        </w:rPr>
        <w:t>) 1.3 and HPP 1.5, and any HPP relating to the collection, use or disclosure of health information, to the extent that the HPP requires the consent of the relevant person, when sharing information under Part 6B of the HS Act</w:t>
      </w:r>
    </w:p>
    <w:p w14:paraId="0F850C3A" w14:textId="77777777" w:rsidR="007B6F90" w:rsidRPr="00A17EA7" w:rsidRDefault="007B6F90" w:rsidP="0093619C">
      <w:pPr>
        <w:rPr>
          <w:lang w:eastAsia="en-GB"/>
        </w:rPr>
      </w:pPr>
      <w:r w:rsidRPr="00A17EA7">
        <w:rPr>
          <w:lang w:eastAsia="en-GB"/>
        </w:rPr>
        <w:t>The tables below explain the operation of these sections in greater detail.</w:t>
      </w:r>
    </w:p>
    <w:p w14:paraId="7E32D945" w14:textId="5A0B2727" w:rsidR="007B6F90" w:rsidRPr="001810A0" w:rsidRDefault="0093619C" w:rsidP="001810A0">
      <w:pPr>
        <w:pStyle w:val="Heading1"/>
      </w:pPr>
      <w:r w:rsidRPr="001810A0">
        <w:lastRenderedPageBreak/>
        <w:t>Types of information that can be shared under Part 6B of the HS Act</w:t>
      </w:r>
    </w:p>
    <w:p w14:paraId="7FC621DA" w14:textId="77777777" w:rsidR="007B6F90" w:rsidRPr="00A17EA7" w:rsidRDefault="007B6F90" w:rsidP="0093619C">
      <w:pPr>
        <w:rPr>
          <w:lang w:eastAsia="en-GB"/>
        </w:rPr>
      </w:pPr>
      <w:r w:rsidRPr="00A17EA7">
        <w:rPr>
          <w:lang w:eastAsia="en-GB"/>
        </w:rPr>
        <w:t>Part 6B provides for the sharing of confidential information defined as:</w:t>
      </w:r>
    </w:p>
    <w:p w14:paraId="6F0D96B6" w14:textId="77777777" w:rsidR="007B6F90" w:rsidRPr="0093619C" w:rsidRDefault="007B6F90" w:rsidP="0093619C">
      <w:pPr>
        <w:pStyle w:val="ListBullet"/>
      </w:pPr>
      <w:r w:rsidRPr="0093619C">
        <w:t>health information within the meaning of the HR Act; or</w:t>
      </w:r>
    </w:p>
    <w:p w14:paraId="775BC152" w14:textId="77777777" w:rsidR="007B6F90" w:rsidRPr="0093619C" w:rsidRDefault="007B6F90" w:rsidP="0093619C">
      <w:pPr>
        <w:pStyle w:val="ListBullet"/>
      </w:pPr>
      <w:r w:rsidRPr="0093619C">
        <w:t>personal information within the meaning of the PDP Act; or</w:t>
      </w:r>
    </w:p>
    <w:p w14:paraId="161454B6" w14:textId="77777777" w:rsidR="007B6F90" w:rsidRPr="0093619C" w:rsidRDefault="007B6F90" w:rsidP="0093619C">
      <w:pPr>
        <w:pStyle w:val="ListBullet"/>
      </w:pPr>
      <w:r w:rsidRPr="0093619C">
        <w:t>sensitive information within the meaning set out in Schedule 1 to the PDP Act; or</w:t>
      </w:r>
    </w:p>
    <w:p w14:paraId="25028F94" w14:textId="77777777" w:rsidR="007B6F90" w:rsidRPr="0093619C" w:rsidRDefault="007B6F90" w:rsidP="0093619C">
      <w:pPr>
        <w:pStyle w:val="ListBullet"/>
      </w:pPr>
      <w:r w:rsidRPr="0093619C">
        <w:t>unique identifiers within the meaning set out in Schedule 1 to the PDP Act; or</w:t>
      </w:r>
    </w:p>
    <w:p w14:paraId="49EDA6FA" w14:textId="7B6D4583" w:rsidR="007B6F90" w:rsidRDefault="007B6F90" w:rsidP="007B6F90">
      <w:pPr>
        <w:pStyle w:val="ListBullet"/>
      </w:pPr>
      <w:r w:rsidRPr="0093619C">
        <w:t>identifiers within the meaning of the HR Act.</w:t>
      </w:r>
    </w:p>
    <w:p w14:paraId="3D2BA04F" w14:textId="6EC00F0D" w:rsidR="007B6F90" w:rsidRPr="0093619C" w:rsidRDefault="0093619C" w:rsidP="0093619C">
      <w:pPr>
        <w:pStyle w:val="Heading1"/>
      </w:pPr>
      <w:r w:rsidRPr="0093619C">
        <w:t xml:space="preserve">Entities that can share information under </w:t>
      </w:r>
      <w:r w:rsidR="001810A0">
        <w:t>P</w:t>
      </w:r>
      <w:r w:rsidRPr="0093619C">
        <w:t>art 6</w:t>
      </w:r>
      <w:r w:rsidR="001810A0">
        <w:t>B</w:t>
      </w:r>
      <w:r w:rsidRPr="0093619C">
        <w:t xml:space="preserve"> of the </w:t>
      </w:r>
      <w:r>
        <w:t>HS</w:t>
      </w:r>
      <w:r w:rsidRPr="0093619C">
        <w:t xml:space="preserve"> </w:t>
      </w:r>
      <w:r>
        <w:t>A</w:t>
      </w:r>
      <w:r w:rsidRPr="0093619C">
        <w:t>ct</w:t>
      </w:r>
    </w:p>
    <w:p w14:paraId="4DB1C838" w14:textId="77777777" w:rsidR="007B6F90" w:rsidRPr="00A17EA7" w:rsidRDefault="007B6F90" w:rsidP="0093619C">
      <w:pPr>
        <w:rPr>
          <w:lang w:eastAsia="en-GB"/>
        </w:rPr>
      </w:pPr>
      <w:r w:rsidRPr="00A17EA7">
        <w:rPr>
          <w:lang w:eastAsia="en-GB"/>
        </w:rPr>
        <w:t>Health service entities, including public health services, public and private hospitals and day procedure centres (amongst others) can share confidential information with the Department of Health, Safer Care Victoria, the Victorian Agency for Health Information</w:t>
      </w:r>
      <w:r>
        <w:rPr>
          <w:lang w:eastAsia="en-GB"/>
        </w:rPr>
        <w:t xml:space="preserve"> (</w:t>
      </w:r>
      <w:r w:rsidRPr="00A17EA7">
        <w:rPr>
          <w:b/>
          <w:bCs/>
          <w:lang w:eastAsia="en-GB"/>
        </w:rPr>
        <w:t>VAHI</w:t>
      </w:r>
      <w:r>
        <w:rPr>
          <w:lang w:eastAsia="en-GB"/>
        </w:rPr>
        <w:t>)</w:t>
      </w:r>
      <w:r w:rsidRPr="00A17EA7">
        <w:rPr>
          <w:lang w:eastAsia="en-GB"/>
        </w:rPr>
        <w:t>, or another health service entity (where authorised by the Minister) for quality and safety purposes.</w:t>
      </w:r>
    </w:p>
    <w:p w14:paraId="385AFE29" w14:textId="77777777" w:rsidR="007B6F90" w:rsidRPr="00A17EA7" w:rsidRDefault="007B6F90" w:rsidP="0093619C">
      <w:pPr>
        <w:rPr>
          <w:lang w:eastAsia="en-GB"/>
        </w:rPr>
      </w:pPr>
      <w:r w:rsidRPr="00A17EA7">
        <w:rPr>
          <w:lang w:eastAsia="en-GB"/>
        </w:rPr>
        <w:t>Health service entities can also share confidential information for a quality and safety purpose with a special adviser, appointed by the Secretary, Safer Care Victoria or VAHI.</w:t>
      </w:r>
    </w:p>
    <w:p w14:paraId="15D5415D" w14:textId="77777777" w:rsidR="007B6F90" w:rsidRPr="00A17EA7" w:rsidRDefault="007B6F90" w:rsidP="0093619C">
      <w:pPr>
        <w:rPr>
          <w:lang w:eastAsia="en-GB"/>
        </w:rPr>
      </w:pPr>
      <w:r w:rsidRPr="00A17EA7">
        <w:rPr>
          <w:lang w:eastAsia="en-GB"/>
        </w:rPr>
        <w:t>The Minister has, by instrument, authorised the sharing of confidential information between health service entities for the purpose of a review of an adverse patient safety event where patient care was provided by multiple health service entities</w:t>
      </w:r>
      <w:r w:rsidRPr="00A672E3">
        <w:rPr>
          <w:lang w:eastAsia="en-GB"/>
        </w:rPr>
        <w:t xml:space="preserve">. This includes reviews undertaken for the purposes of compliance with the statutory duty of candour. The instrument was </w:t>
      </w:r>
      <w:hyperlink r:id="rId11" w:history="1">
        <w:r w:rsidRPr="00A672E3">
          <w:rPr>
            <w:u w:val="single"/>
            <w:lang w:eastAsia="en-GB"/>
          </w:rPr>
          <w:t>published</w:t>
        </w:r>
      </w:hyperlink>
      <w:r w:rsidRPr="00A672E3">
        <w:rPr>
          <w:lang w:eastAsia="en-GB"/>
        </w:rPr>
        <w:t xml:space="preserve"> in the Government Gazette on 29 August 2024.</w:t>
      </w:r>
    </w:p>
    <w:p w14:paraId="313957CA" w14:textId="77777777" w:rsidR="007B6F90" w:rsidRPr="00A17EA7" w:rsidRDefault="007B6F90" w:rsidP="0093619C">
      <w:pPr>
        <w:rPr>
          <w:lang w:eastAsia="en-GB"/>
        </w:rPr>
      </w:pPr>
      <w:r w:rsidRPr="00A17EA7">
        <w:rPr>
          <w:lang w:eastAsia="en-GB"/>
        </w:rPr>
        <w:t>For more information about information sharing under the new Part 6B, and what ‘quality and safety’ purposes are, refer to the</w:t>
      </w:r>
      <w:r w:rsidRPr="00A17EA7">
        <w:rPr>
          <w:color w:val="430098"/>
          <w:lang w:eastAsia="en-GB"/>
        </w:rPr>
        <w:t xml:space="preserve"> </w:t>
      </w:r>
      <w:hyperlink r:id="rId12" w:history="1">
        <w:r w:rsidRPr="00A17EA7">
          <w:rPr>
            <w:color w:val="430098"/>
            <w:u w:val="single"/>
            <w:lang w:eastAsia="en-GB"/>
          </w:rPr>
          <w:t>Department of Health FAQs</w:t>
        </w:r>
      </w:hyperlink>
      <w:r w:rsidRPr="00A17EA7">
        <w:rPr>
          <w:lang w:eastAsia="en-GB"/>
        </w:rPr>
        <w:t>.</w:t>
      </w:r>
    </w:p>
    <w:p w14:paraId="7FE9B366" w14:textId="63E83948" w:rsidR="007B6F90" w:rsidRPr="00A17EA7" w:rsidRDefault="0093619C" w:rsidP="0093619C">
      <w:pPr>
        <w:pStyle w:val="Heading1"/>
      </w:pPr>
      <w:r w:rsidRPr="00A17EA7">
        <w:lastRenderedPageBreak/>
        <w:t>Consequences of sharing information inappropriately or without authorisation</w:t>
      </w:r>
    </w:p>
    <w:p w14:paraId="43945A26" w14:textId="77777777" w:rsidR="007B6F90" w:rsidRPr="00A17EA7" w:rsidRDefault="007B6F90" w:rsidP="0093619C">
      <w:pPr>
        <w:rPr>
          <w:lang w:eastAsia="en-GB"/>
        </w:rPr>
      </w:pPr>
      <w:r w:rsidRPr="00A17EA7">
        <w:rPr>
          <w:lang w:eastAsia="en-GB"/>
        </w:rPr>
        <w:t xml:space="preserve">Sharing confidential information in a way that is not authorised under Part 6B of the HS Act, or by the HPPs or IPPs may result in a data breach. There are protections available under Part 6B for individuals who may have shared confidential information without authorisation, where they have exercised reasonable care and acted in good faith. For more information about the protections available for practitioners sharing confidential information, refer to the </w:t>
      </w:r>
      <w:hyperlink r:id="rId13" w:history="1">
        <w:r w:rsidRPr="00A17EA7">
          <w:rPr>
            <w:color w:val="430098"/>
            <w:u w:val="single"/>
            <w:lang w:eastAsia="en-GB"/>
          </w:rPr>
          <w:t>Department of Health FAQs</w:t>
        </w:r>
      </w:hyperlink>
      <w:r w:rsidRPr="00A17EA7">
        <w:rPr>
          <w:lang w:eastAsia="en-GB"/>
        </w:rPr>
        <w:t>.</w:t>
      </w:r>
    </w:p>
    <w:p w14:paraId="2D5334A7" w14:textId="77777777" w:rsidR="007B6F90" w:rsidRPr="00A17EA7" w:rsidRDefault="007B6F90" w:rsidP="0093619C">
      <w:pPr>
        <w:rPr>
          <w:lang w:eastAsia="en-GB"/>
        </w:rPr>
      </w:pPr>
      <w:r w:rsidRPr="00A17EA7">
        <w:rPr>
          <w:lang w:eastAsia="en-GB"/>
        </w:rPr>
        <w:t xml:space="preserve">A data breach occurs when personal or health information held by an organisation is disclosed in a way that it shouldn’t have been (for example, where the organisation did not have the legal authority to disclose the information, or where the information is lost or stolen). More information about data breaches is available on </w:t>
      </w:r>
      <w:hyperlink r:id="rId14" w:history="1">
        <w:r w:rsidRPr="00A17EA7">
          <w:rPr>
            <w:color w:val="430098"/>
            <w:u w:val="single"/>
            <w:lang w:eastAsia="en-GB"/>
          </w:rPr>
          <w:t>OVIC’s website</w:t>
        </w:r>
      </w:hyperlink>
      <w:r w:rsidRPr="00A17EA7">
        <w:rPr>
          <w:lang w:eastAsia="en-GB"/>
        </w:rPr>
        <w:t>.</w:t>
      </w:r>
    </w:p>
    <w:p w14:paraId="6C17C421" w14:textId="77777777" w:rsidR="007B6F90" w:rsidRPr="00A17EA7" w:rsidRDefault="007B6F90" w:rsidP="0093619C">
      <w:pPr>
        <w:rPr>
          <w:lang w:eastAsia="en-GB"/>
        </w:rPr>
      </w:pPr>
      <w:r w:rsidRPr="00A17EA7">
        <w:rPr>
          <w:lang w:eastAsia="en-GB"/>
        </w:rPr>
        <w:t>Data breaches may result in a privacy complaint. An individual can make a complaint to OVIC if they believe their personal information was shared inappropriately or mishandled. Similarly, an individual may make a complaint to the HCC if they believe their health information has been shared inappropriately or mishandled.</w:t>
      </w:r>
    </w:p>
    <w:p w14:paraId="66CC218B" w14:textId="0FF03C07" w:rsidR="007B6F90" w:rsidRPr="0093619C" w:rsidRDefault="0093619C" w:rsidP="0093619C">
      <w:pPr>
        <w:pStyle w:val="Heading1"/>
      </w:pPr>
      <w:r w:rsidRPr="0093619C">
        <w:t>Further information on privacy obligations</w:t>
      </w:r>
    </w:p>
    <w:p w14:paraId="402FBF91" w14:textId="77777777" w:rsidR="007B6F90" w:rsidRPr="00A17EA7" w:rsidRDefault="007B6F90" w:rsidP="0093619C">
      <w:pPr>
        <w:rPr>
          <w:lang w:eastAsia="en-GB"/>
        </w:rPr>
      </w:pPr>
      <w:r w:rsidRPr="00A17EA7">
        <w:rPr>
          <w:lang w:eastAsia="en-GB"/>
        </w:rPr>
        <w:t>There are a number of resources on OVIC’s and the HCC’s websites that can assist organisations understand their overarching privacy obligations under the PDP Act and HR Act, as not all privacy obligations are displaced when sharing information under the Part 6B. Organisations will still need to comply with other IPPs and HPPs when sharing confidential information under the scheme.</w:t>
      </w:r>
    </w:p>
    <w:p w14:paraId="02D4F100" w14:textId="77777777" w:rsidR="007B6F90" w:rsidRPr="00A17EA7" w:rsidRDefault="007B6F90" w:rsidP="0093619C">
      <w:pPr>
        <w:rPr>
          <w:lang w:eastAsia="en-GB"/>
        </w:rPr>
      </w:pPr>
      <w:r w:rsidRPr="00A17EA7">
        <w:rPr>
          <w:lang w:eastAsia="en-GB"/>
        </w:rPr>
        <w:t xml:space="preserve">Resources for understanding obligations under the PDP Act are available from </w:t>
      </w:r>
      <w:hyperlink r:id="rId15" w:history="1">
        <w:r w:rsidRPr="00A17EA7">
          <w:rPr>
            <w:color w:val="430098"/>
            <w:u w:val="single"/>
            <w:lang w:eastAsia="en-GB"/>
          </w:rPr>
          <w:t>OVIC's website</w:t>
        </w:r>
      </w:hyperlink>
      <w:r w:rsidRPr="00A17EA7">
        <w:rPr>
          <w:lang w:eastAsia="en-GB"/>
        </w:rPr>
        <w:t xml:space="preserve"> and include:</w:t>
      </w:r>
    </w:p>
    <w:p w14:paraId="3E2E3FE0" w14:textId="77777777" w:rsidR="007B6F90" w:rsidRPr="0093619C" w:rsidRDefault="007B6F90" w:rsidP="0093619C">
      <w:pPr>
        <w:pStyle w:val="ListBullet"/>
      </w:pPr>
      <w:r w:rsidRPr="0093619C">
        <w:t>Guidelines to the Information Privacy Principles.</w:t>
      </w:r>
    </w:p>
    <w:p w14:paraId="0F555B08" w14:textId="77777777" w:rsidR="007B6F90" w:rsidRPr="0093619C" w:rsidRDefault="007B6F90" w:rsidP="0093619C">
      <w:pPr>
        <w:pStyle w:val="ListBullet"/>
      </w:pPr>
      <w:r w:rsidRPr="0093619C">
        <w:t>Privacy Management Framework.</w:t>
      </w:r>
    </w:p>
    <w:p w14:paraId="5892068A" w14:textId="77777777" w:rsidR="007B6F90" w:rsidRPr="0093619C" w:rsidRDefault="007B6F90" w:rsidP="0093619C">
      <w:pPr>
        <w:pStyle w:val="ListBullet"/>
      </w:pPr>
      <w:r w:rsidRPr="0093619C">
        <w:t>Information Sharing and Privacy Guide.</w:t>
      </w:r>
    </w:p>
    <w:p w14:paraId="7511C4A8" w14:textId="77777777" w:rsidR="007B6F90" w:rsidRPr="00A17EA7" w:rsidRDefault="007B6F90" w:rsidP="0093619C">
      <w:pPr>
        <w:rPr>
          <w:lang w:eastAsia="en-GB"/>
        </w:rPr>
      </w:pPr>
      <w:r w:rsidRPr="00A17EA7">
        <w:rPr>
          <w:lang w:eastAsia="en-GB"/>
        </w:rPr>
        <w:t xml:space="preserve">Resources for understanding obligations under the HR Act are available on the </w:t>
      </w:r>
      <w:hyperlink r:id="rId16" w:history="1">
        <w:r w:rsidRPr="00A17EA7">
          <w:rPr>
            <w:color w:val="430098"/>
            <w:u w:val="single"/>
            <w:lang w:eastAsia="en-GB"/>
          </w:rPr>
          <w:t>HCC's website</w:t>
        </w:r>
      </w:hyperlink>
      <w:r w:rsidRPr="00A17EA7">
        <w:rPr>
          <w:lang w:eastAsia="en-GB"/>
        </w:rPr>
        <w:t>.</w:t>
      </w:r>
    </w:p>
    <w:p w14:paraId="45B249C8" w14:textId="1F336C6D" w:rsidR="007B6F90" w:rsidRPr="0093619C" w:rsidRDefault="0093619C" w:rsidP="0093619C">
      <w:pPr>
        <w:pStyle w:val="Heading1"/>
      </w:pPr>
      <w:r w:rsidRPr="0093619C">
        <w:lastRenderedPageBreak/>
        <w:t xml:space="preserve">How </w:t>
      </w:r>
      <w:r w:rsidR="001810A0">
        <w:t>S</w:t>
      </w:r>
      <w:r w:rsidRPr="0093619C">
        <w:t>ection 15</w:t>
      </w:r>
      <w:r w:rsidR="001810A0">
        <w:t>C</w:t>
      </w:r>
      <w:r w:rsidRPr="0093619C">
        <w:t xml:space="preserve"> of the </w:t>
      </w:r>
      <w:r>
        <w:t>PDP</w:t>
      </w:r>
      <w:r w:rsidRPr="0093619C">
        <w:t xml:space="preserve"> </w:t>
      </w:r>
      <w:r>
        <w:t>Ac</w:t>
      </w:r>
      <w:r w:rsidRPr="0093619C">
        <w:t xml:space="preserve">t and </w:t>
      </w:r>
      <w:r w:rsidR="001810A0">
        <w:t>S</w:t>
      </w:r>
      <w:r w:rsidRPr="0093619C">
        <w:t>ection 14</w:t>
      </w:r>
      <w:r w:rsidR="001810A0">
        <w:t>D</w:t>
      </w:r>
      <w:r w:rsidRPr="0093619C">
        <w:t xml:space="preserve"> of the </w:t>
      </w:r>
      <w:r>
        <w:t>HR</w:t>
      </w:r>
      <w:r w:rsidRPr="0093619C">
        <w:t xml:space="preserve"> </w:t>
      </w:r>
      <w:r>
        <w:t>A</w:t>
      </w:r>
      <w:r w:rsidRPr="0093619C">
        <w:t>ct operate</w:t>
      </w:r>
    </w:p>
    <w:tbl>
      <w:tblPr>
        <w:tblW w:w="5000" w:type="pct"/>
        <w:tblBorders>
          <w:top w:val="outset" w:sz="6" w:space="0" w:color="A1A1A1"/>
          <w:left w:val="outset" w:sz="6" w:space="0" w:color="A1A1A1"/>
          <w:bottom w:val="outset" w:sz="6" w:space="0" w:color="A1A1A1"/>
          <w:right w:val="outset" w:sz="6" w:space="0" w:color="A1A1A1"/>
        </w:tblBorders>
        <w:tblCellMar>
          <w:top w:w="170" w:type="dxa"/>
          <w:left w:w="170" w:type="dxa"/>
          <w:bottom w:w="170" w:type="dxa"/>
          <w:right w:w="170" w:type="dxa"/>
        </w:tblCellMar>
        <w:tblLook w:val="04A0" w:firstRow="1" w:lastRow="0" w:firstColumn="1" w:lastColumn="0" w:noHBand="0" w:noVBand="1"/>
      </w:tblPr>
      <w:tblGrid>
        <w:gridCol w:w="1059"/>
        <w:gridCol w:w="2937"/>
        <w:gridCol w:w="4004"/>
        <w:gridCol w:w="1054"/>
      </w:tblGrid>
      <w:tr w:rsidR="007B6F90" w:rsidRPr="00A17EA7" w14:paraId="2458B935" w14:textId="77777777" w:rsidTr="00BA6F4A">
        <w:trPr>
          <w:trHeight w:val="20"/>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63C554F2" w14:textId="77777777" w:rsidR="007B6F90" w:rsidRPr="004A43CD" w:rsidRDefault="007B6F90" w:rsidP="00BA6F4A">
            <w:pPr>
              <w:pStyle w:val="Body"/>
              <w:spacing w:before="0" w:after="0"/>
              <w:rPr>
                <w:b/>
                <w:bCs/>
                <w:sz w:val="20"/>
                <w:szCs w:val="18"/>
                <w:lang w:val="en-AU" w:eastAsia="en-GB"/>
              </w:rPr>
            </w:pPr>
            <w:r w:rsidRPr="004A43CD">
              <w:rPr>
                <w:b/>
                <w:bCs/>
                <w:sz w:val="20"/>
                <w:szCs w:val="18"/>
                <w:lang w:val="en-AU" w:eastAsia="en-GB"/>
              </w:rPr>
              <w:t>Privacy and Data Protection Act 2014</w:t>
            </w:r>
          </w:p>
        </w:tc>
      </w:tr>
      <w:tr w:rsidR="007B6F90" w:rsidRPr="00A17EA7" w14:paraId="11693E66" w14:textId="77777777" w:rsidTr="00BA6F4A">
        <w:trPr>
          <w:trHeight w:val="20"/>
        </w:trPr>
        <w:tc>
          <w:tcPr>
            <w:tcW w:w="585" w:type="pct"/>
            <w:tcBorders>
              <w:top w:val="outset" w:sz="6" w:space="0" w:color="auto"/>
              <w:left w:val="outset" w:sz="6" w:space="0" w:color="auto"/>
              <w:bottom w:val="outset" w:sz="6" w:space="0" w:color="auto"/>
              <w:right w:val="outset" w:sz="6" w:space="0" w:color="auto"/>
            </w:tcBorders>
            <w:vAlign w:val="center"/>
            <w:hideMark/>
          </w:tcPr>
          <w:p w14:paraId="7AC5F24E" w14:textId="77777777" w:rsidR="007B6F90" w:rsidRPr="00A17EA7" w:rsidRDefault="007B6F90" w:rsidP="00BA6F4A">
            <w:pPr>
              <w:pStyle w:val="Body"/>
              <w:spacing w:before="0" w:after="0"/>
              <w:jc w:val="center"/>
              <w:rPr>
                <w:sz w:val="20"/>
                <w:szCs w:val="18"/>
                <w:lang w:val="en-AU" w:eastAsia="en-GB"/>
              </w:rPr>
            </w:pPr>
            <w:r w:rsidRPr="00A17EA7">
              <w:rPr>
                <w:sz w:val="20"/>
                <w:szCs w:val="18"/>
                <w:lang w:val="en-AU" w:eastAsia="en-GB"/>
              </w:rPr>
              <w:t>IPP</w:t>
            </w:r>
          </w:p>
        </w:tc>
        <w:tc>
          <w:tcPr>
            <w:tcW w:w="1622" w:type="pct"/>
            <w:tcBorders>
              <w:top w:val="outset" w:sz="6" w:space="0" w:color="auto"/>
              <w:left w:val="outset" w:sz="6" w:space="0" w:color="auto"/>
              <w:bottom w:val="outset" w:sz="6" w:space="0" w:color="auto"/>
              <w:right w:val="outset" w:sz="6" w:space="0" w:color="auto"/>
            </w:tcBorders>
            <w:vAlign w:val="center"/>
            <w:hideMark/>
          </w:tcPr>
          <w:p w14:paraId="16ED8230"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Description</w:t>
            </w:r>
          </w:p>
        </w:tc>
        <w:tc>
          <w:tcPr>
            <w:tcW w:w="2211" w:type="pct"/>
            <w:tcBorders>
              <w:top w:val="outset" w:sz="6" w:space="0" w:color="auto"/>
              <w:left w:val="outset" w:sz="6" w:space="0" w:color="auto"/>
              <w:bottom w:val="outset" w:sz="6" w:space="0" w:color="auto"/>
              <w:right w:val="outset" w:sz="6" w:space="0" w:color="auto"/>
            </w:tcBorders>
            <w:vAlign w:val="center"/>
            <w:hideMark/>
          </w:tcPr>
          <w:p w14:paraId="30A83BD6"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How IPP</w:t>
            </w:r>
            <w:r>
              <w:rPr>
                <w:sz w:val="20"/>
                <w:szCs w:val="18"/>
                <w:lang w:val="en-AU" w:eastAsia="en-GB"/>
              </w:rPr>
              <w:t>s</w:t>
            </w:r>
            <w:r w:rsidRPr="00A17EA7">
              <w:rPr>
                <w:sz w:val="20"/>
                <w:szCs w:val="18"/>
                <w:lang w:val="en-AU" w:eastAsia="en-GB"/>
              </w:rPr>
              <w:t xml:space="preserve"> operates under Part 6B of the HS Act</w:t>
            </w:r>
          </w:p>
        </w:tc>
        <w:tc>
          <w:tcPr>
            <w:tcW w:w="582" w:type="pct"/>
            <w:tcBorders>
              <w:top w:val="outset" w:sz="6" w:space="0" w:color="auto"/>
              <w:left w:val="outset" w:sz="6" w:space="0" w:color="auto"/>
              <w:bottom w:val="outset" w:sz="6" w:space="0" w:color="auto"/>
              <w:right w:val="outset" w:sz="6" w:space="0" w:color="auto"/>
            </w:tcBorders>
            <w:vAlign w:val="center"/>
            <w:hideMark/>
          </w:tcPr>
          <w:p w14:paraId="410C56C3"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Section</w:t>
            </w:r>
          </w:p>
        </w:tc>
      </w:tr>
      <w:tr w:rsidR="007B6F90" w:rsidRPr="00A17EA7" w14:paraId="55E7A8FE" w14:textId="77777777" w:rsidTr="00BA6F4A">
        <w:trPr>
          <w:trHeight w:val="20"/>
        </w:trPr>
        <w:tc>
          <w:tcPr>
            <w:tcW w:w="585" w:type="pct"/>
            <w:tcBorders>
              <w:top w:val="outset" w:sz="6" w:space="0" w:color="auto"/>
              <w:left w:val="outset" w:sz="6" w:space="0" w:color="auto"/>
              <w:bottom w:val="outset" w:sz="6" w:space="0" w:color="auto"/>
              <w:right w:val="outset" w:sz="6" w:space="0" w:color="auto"/>
            </w:tcBorders>
            <w:vAlign w:val="center"/>
            <w:hideMark/>
          </w:tcPr>
          <w:p w14:paraId="0D8B9471" w14:textId="77777777" w:rsidR="007B6F90" w:rsidRPr="00A17EA7" w:rsidRDefault="007B6F90" w:rsidP="00BA6F4A">
            <w:pPr>
              <w:pStyle w:val="Body"/>
              <w:spacing w:before="0" w:after="0"/>
              <w:jc w:val="center"/>
              <w:rPr>
                <w:sz w:val="20"/>
                <w:szCs w:val="18"/>
                <w:lang w:val="en-AU" w:eastAsia="en-GB"/>
              </w:rPr>
            </w:pPr>
            <w:r w:rsidRPr="00A17EA7">
              <w:rPr>
                <w:sz w:val="20"/>
                <w:szCs w:val="18"/>
                <w:lang w:val="en-AU" w:eastAsia="en-GB"/>
              </w:rPr>
              <w:t>IPP 1.4</w:t>
            </w:r>
          </w:p>
        </w:tc>
        <w:tc>
          <w:tcPr>
            <w:tcW w:w="1622" w:type="pct"/>
            <w:tcBorders>
              <w:top w:val="outset" w:sz="6" w:space="0" w:color="auto"/>
              <w:left w:val="outset" w:sz="6" w:space="0" w:color="auto"/>
              <w:bottom w:val="outset" w:sz="6" w:space="0" w:color="auto"/>
              <w:right w:val="outset" w:sz="6" w:space="0" w:color="auto"/>
            </w:tcBorders>
            <w:vAlign w:val="center"/>
            <w:hideMark/>
          </w:tcPr>
          <w:p w14:paraId="3ECA6E2B"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IPP 1.4 ordinarily provides that if it is reasonable and practicable to do so, an organisation must collect personal information about an individual only from that individual.</w:t>
            </w:r>
          </w:p>
        </w:tc>
        <w:tc>
          <w:tcPr>
            <w:tcW w:w="2211" w:type="pct"/>
            <w:tcBorders>
              <w:top w:val="outset" w:sz="6" w:space="0" w:color="auto"/>
              <w:left w:val="outset" w:sz="6" w:space="0" w:color="auto"/>
              <w:bottom w:val="outset" w:sz="6" w:space="0" w:color="auto"/>
              <w:right w:val="outset" w:sz="6" w:space="0" w:color="auto"/>
            </w:tcBorders>
            <w:vAlign w:val="center"/>
            <w:hideMark/>
          </w:tcPr>
          <w:p w14:paraId="76F14D85"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Nothing in IPP 1.4, (or any applicable code of practice relating to IPP 1.4), applies to the collection of personal information for the purposes of Part 6B by:</w:t>
            </w:r>
            <w:r w:rsidRPr="00A17EA7">
              <w:rPr>
                <w:sz w:val="20"/>
                <w:szCs w:val="18"/>
                <w:lang w:val="en-AU" w:eastAsia="en-GB"/>
              </w:rPr>
              <w:br/>
              <w:t>• the Secretary, DHHS;</w:t>
            </w:r>
            <w:r w:rsidRPr="00A17EA7">
              <w:rPr>
                <w:sz w:val="20"/>
                <w:szCs w:val="18"/>
                <w:lang w:val="en-AU" w:eastAsia="en-GB"/>
              </w:rPr>
              <w:br/>
              <w:t>• a quality and safety body;</w:t>
            </w:r>
            <w:r w:rsidRPr="00A17EA7">
              <w:rPr>
                <w:sz w:val="20"/>
                <w:szCs w:val="18"/>
                <w:lang w:val="en-AU" w:eastAsia="en-GB"/>
              </w:rPr>
              <w:br/>
              <w:t>• a health service entity; or</w:t>
            </w:r>
            <w:r w:rsidRPr="00A17EA7">
              <w:rPr>
                <w:sz w:val="20"/>
                <w:szCs w:val="18"/>
                <w:lang w:val="en-AU" w:eastAsia="en-GB"/>
              </w:rPr>
              <w:br/>
              <w:t>• a special adviser.</w:t>
            </w:r>
          </w:p>
        </w:tc>
        <w:tc>
          <w:tcPr>
            <w:tcW w:w="582" w:type="pct"/>
            <w:tcBorders>
              <w:top w:val="outset" w:sz="6" w:space="0" w:color="auto"/>
              <w:left w:val="outset" w:sz="6" w:space="0" w:color="auto"/>
              <w:bottom w:val="outset" w:sz="6" w:space="0" w:color="auto"/>
              <w:right w:val="outset" w:sz="6" w:space="0" w:color="auto"/>
            </w:tcBorders>
            <w:vAlign w:val="center"/>
            <w:hideMark/>
          </w:tcPr>
          <w:p w14:paraId="2237E8B8"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15</w:t>
            </w:r>
            <w:proofErr w:type="gramStart"/>
            <w:r w:rsidRPr="00A17EA7">
              <w:rPr>
                <w:sz w:val="20"/>
                <w:szCs w:val="18"/>
                <w:lang w:val="en-AU" w:eastAsia="en-GB"/>
              </w:rPr>
              <w:t>C(</w:t>
            </w:r>
            <w:proofErr w:type="gramEnd"/>
            <w:r w:rsidRPr="00A17EA7">
              <w:rPr>
                <w:sz w:val="20"/>
                <w:szCs w:val="18"/>
                <w:lang w:val="en-AU" w:eastAsia="en-GB"/>
              </w:rPr>
              <w:t xml:space="preserve">1) </w:t>
            </w:r>
          </w:p>
        </w:tc>
      </w:tr>
      <w:tr w:rsidR="007B6F90" w:rsidRPr="00A17EA7" w14:paraId="2D2FF99D" w14:textId="77777777" w:rsidTr="00BA6F4A">
        <w:trPr>
          <w:trHeight w:val="20"/>
        </w:trPr>
        <w:tc>
          <w:tcPr>
            <w:tcW w:w="585" w:type="pct"/>
            <w:tcBorders>
              <w:top w:val="outset" w:sz="6" w:space="0" w:color="auto"/>
              <w:left w:val="outset" w:sz="6" w:space="0" w:color="auto"/>
              <w:bottom w:val="outset" w:sz="6" w:space="0" w:color="auto"/>
              <w:right w:val="outset" w:sz="6" w:space="0" w:color="auto"/>
            </w:tcBorders>
            <w:vAlign w:val="center"/>
            <w:hideMark/>
          </w:tcPr>
          <w:p w14:paraId="334B036C" w14:textId="77777777" w:rsidR="007B6F90" w:rsidRPr="00A17EA7" w:rsidRDefault="007B6F90" w:rsidP="00BA6F4A">
            <w:pPr>
              <w:pStyle w:val="Body"/>
              <w:spacing w:before="0" w:after="0"/>
              <w:jc w:val="center"/>
              <w:rPr>
                <w:sz w:val="20"/>
                <w:szCs w:val="18"/>
                <w:lang w:val="en-AU" w:eastAsia="en-GB"/>
              </w:rPr>
            </w:pPr>
            <w:r w:rsidRPr="00A17EA7">
              <w:rPr>
                <w:sz w:val="20"/>
                <w:szCs w:val="18"/>
                <w:lang w:val="en-AU" w:eastAsia="en-GB"/>
              </w:rPr>
              <w:t>IPP 1.5</w:t>
            </w:r>
          </w:p>
        </w:tc>
        <w:tc>
          <w:tcPr>
            <w:tcW w:w="1622" w:type="pct"/>
            <w:tcBorders>
              <w:top w:val="outset" w:sz="6" w:space="0" w:color="auto"/>
              <w:left w:val="outset" w:sz="6" w:space="0" w:color="auto"/>
              <w:bottom w:val="outset" w:sz="6" w:space="0" w:color="auto"/>
              <w:right w:val="outset" w:sz="6" w:space="0" w:color="auto"/>
            </w:tcBorders>
            <w:vAlign w:val="center"/>
            <w:hideMark/>
          </w:tcPr>
          <w:p w14:paraId="5FCF1655"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IPP 1.5 ordinarily provides that if an organisation collects personal information about an individual from someone else, it must take reasonable steps to ensure that the individual is or has been made aware of the matters listed in IPP 1.3 (notice of collection) except to the extent that making the individual aware of the matters would pose a serious threat to the life or health of any individual.</w:t>
            </w:r>
          </w:p>
        </w:tc>
        <w:tc>
          <w:tcPr>
            <w:tcW w:w="2211" w:type="pct"/>
            <w:tcBorders>
              <w:top w:val="outset" w:sz="6" w:space="0" w:color="auto"/>
              <w:left w:val="outset" w:sz="6" w:space="0" w:color="auto"/>
              <w:bottom w:val="outset" w:sz="6" w:space="0" w:color="auto"/>
              <w:right w:val="outset" w:sz="6" w:space="0" w:color="auto"/>
            </w:tcBorders>
            <w:vAlign w:val="center"/>
            <w:hideMark/>
          </w:tcPr>
          <w:p w14:paraId="26989B63"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Nothing in IPP 1.5, (or any applicable code of practice relating to IPP 1.5) applies to the collection of personal information for the purposes of Part 6B by:</w:t>
            </w:r>
            <w:r w:rsidRPr="00A17EA7">
              <w:rPr>
                <w:sz w:val="20"/>
                <w:szCs w:val="18"/>
                <w:lang w:val="en-AU" w:eastAsia="en-GB"/>
              </w:rPr>
              <w:br/>
              <w:t>• the Secretary, DHHS;</w:t>
            </w:r>
            <w:r w:rsidRPr="00A17EA7">
              <w:rPr>
                <w:sz w:val="20"/>
                <w:szCs w:val="18"/>
                <w:lang w:val="en-AU" w:eastAsia="en-GB"/>
              </w:rPr>
              <w:br/>
              <w:t>• a quality and safety body;</w:t>
            </w:r>
            <w:r w:rsidRPr="00A17EA7">
              <w:rPr>
                <w:sz w:val="20"/>
                <w:szCs w:val="18"/>
                <w:lang w:val="en-AU" w:eastAsia="en-GB"/>
              </w:rPr>
              <w:br/>
              <w:t>• a health service entity; or</w:t>
            </w:r>
            <w:r w:rsidRPr="00A17EA7">
              <w:rPr>
                <w:sz w:val="20"/>
                <w:szCs w:val="18"/>
                <w:lang w:val="en-AU" w:eastAsia="en-GB"/>
              </w:rPr>
              <w:br/>
              <w:t>• a special adviser.</w:t>
            </w:r>
          </w:p>
        </w:tc>
        <w:tc>
          <w:tcPr>
            <w:tcW w:w="582" w:type="pct"/>
            <w:tcBorders>
              <w:top w:val="outset" w:sz="6" w:space="0" w:color="auto"/>
              <w:left w:val="outset" w:sz="6" w:space="0" w:color="auto"/>
              <w:bottom w:val="outset" w:sz="6" w:space="0" w:color="auto"/>
              <w:right w:val="outset" w:sz="6" w:space="0" w:color="auto"/>
            </w:tcBorders>
            <w:vAlign w:val="center"/>
            <w:hideMark/>
          </w:tcPr>
          <w:p w14:paraId="478DFD01"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15</w:t>
            </w:r>
            <w:proofErr w:type="gramStart"/>
            <w:r w:rsidRPr="00A17EA7">
              <w:rPr>
                <w:sz w:val="20"/>
                <w:szCs w:val="18"/>
                <w:lang w:val="en-AU" w:eastAsia="en-GB"/>
              </w:rPr>
              <w:t>C(</w:t>
            </w:r>
            <w:proofErr w:type="gramEnd"/>
            <w:r w:rsidRPr="00A17EA7">
              <w:rPr>
                <w:sz w:val="20"/>
                <w:szCs w:val="18"/>
                <w:lang w:val="en-AU" w:eastAsia="en-GB"/>
              </w:rPr>
              <w:t xml:space="preserve">2) </w:t>
            </w:r>
          </w:p>
        </w:tc>
      </w:tr>
      <w:tr w:rsidR="007B6F90" w:rsidRPr="00A17EA7" w14:paraId="06CC46A9" w14:textId="77777777" w:rsidTr="00BA6F4A">
        <w:trPr>
          <w:trHeight w:val="20"/>
        </w:trPr>
        <w:tc>
          <w:tcPr>
            <w:tcW w:w="585" w:type="pct"/>
            <w:tcBorders>
              <w:top w:val="outset" w:sz="6" w:space="0" w:color="auto"/>
              <w:left w:val="outset" w:sz="6" w:space="0" w:color="auto"/>
              <w:bottom w:val="outset" w:sz="6" w:space="0" w:color="auto"/>
              <w:right w:val="outset" w:sz="6" w:space="0" w:color="auto"/>
            </w:tcBorders>
            <w:vAlign w:val="center"/>
            <w:hideMark/>
          </w:tcPr>
          <w:p w14:paraId="2487C53E" w14:textId="77777777" w:rsidR="007B6F90" w:rsidRPr="00A17EA7" w:rsidRDefault="007B6F90" w:rsidP="00BA6F4A">
            <w:pPr>
              <w:pStyle w:val="Body"/>
              <w:spacing w:before="0" w:after="0"/>
              <w:jc w:val="center"/>
              <w:rPr>
                <w:sz w:val="20"/>
                <w:szCs w:val="18"/>
                <w:lang w:val="en-AU" w:eastAsia="en-GB"/>
              </w:rPr>
            </w:pPr>
            <w:r w:rsidRPr="00A17EA7">
              <w:rPr>
                <w:sz w:val="20"/>
                <w:szCs w:val="18"/>
                <w:lang w:val="en-AU" w:eastAsia="en-GB"/>
              </w:rPr>
              <w:t>All IPPs referring to consent</w:t>
            </w:r>
          </w:p>
        </w:tc>
        <w:tc>
          <w:tcPr>
            <w:tcW w:w="1622" w:type="pct"/>
            <w:tcBorders>
              <w:top w:val="outset" w:sz="6" w:space="0" w:color="auto"/>
              <w:left w:val="outset" w:sz="6" w:space="0" w:color="auto"/>
              <w:bottom w:val="outset" w:sz="6" w:space="0" w:color="auto"/>
              <w:right w:val="outset" w:sz="6" w:space="0" w:color="auto"/>
            </w:tcBorders>
            <w:vAlign w:val="center"/>
            <w:hideMark/>
          </w:tcPr>
          <w:p w14:paraId="07A6A0C3"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A number of IPPs refer to the concept of consent. Under these IPPs, consent may provide the legal authority to collect, use or disclose an individual’s personal information:</w:t>
            </w:r>
            <w:r w:rsidRPr="00A17EA7">
              <w:rPr>
                <w:sz w:val="20"/>
                <w:szCs w:val="18"/>
                <w:lang w:val="en-AU" w:eastAsia="en-GB"/>
              </w:rPr>
              <w:br/>
              <w:t>• IPP 2 – Use and Disclosure.</w:t>
            </w:r>
            <w:r w:rsidRPr="00A17EA7">
              <w:rPr>
                <w:sz w:val="20"/>
                <w:szCs w:val="18"/>
                <w:lang w:val="en-AU" w:eastAsia="en-GB"/>
              </w:rPr>
              <w:br/>
              <w:t>• IPP 7 – Unique Identifiers.</w:t>
            </w:r>
            <w:r w:rsidRPr="00A17EA7">
              <w:rPr>
                <w:sz w:val="20"/>
                <w:szCs w:val="18"/>
                <w:lang w:val="en-AU" w:eastAsia="en-GB"/>
              </w:rPr>
              <w:br/>
            </w:r>
            <w:r w:rsidRPr="00A17EA7">
              <w:rPr>
                <w:sz w:val="20"/>
                <w:szCs w:val="18"/>
                <w:lang w:val="en-AU" w:eastAsia="en-GB"/>
              </w:rPr>
              <w:lastRenderedPageBreak/>
              <w:t>• IPP 9 – Transborder Data Flows.</w:t>
            </w:r>
            <w:r w:rsidRPr="00A17EA7">
              <w:rPr>
                <w:sz w:val="20"/>
                <w:szCs w:val="18"/>
                <w:lang w:val="en-AU" w:eastAsia="en-GB"/>
              </w:rPr>
              <w:br/>
              <w:t>• IPP 10 – Sensitive Information.</w:t>
            </w:r>
          </w:p>
        </w:tc>
        <w:tc>
          <w:tcPr>
            <w:tcW w:w="2211" w:type="pct"/>
            <w:tcBorders>
              <w:top w:val="outset" w:sz="6" w:space="0" w:color="auto"/>
              <w:left w:val="outset" w:sz="6" w:space="0" w:color="auto"/>
              <w:bottom w:val="outset" w:sz="6" w:space="0" w:color="auto"/>
              <w:right w:val="outset" w:sz="6" w:space="0" w:color="auto"/>
            </w:tcBorders>
            <w:vAlign w:val="center"/>
            <w:hideMark/>
          </w:tcPr>
          <w:p w14:paraId="1E720606"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lastRenderedPageBreak/>
              <w:t>Nothing in an IPP (or any relevant code of practice), applies to the collection of personal or sensitive information for the purposes of Part 6B by:</w:t>
            </w:r>
            <w:r w:rsidRPr="00A17EA7">
              <w:rPr>
                <w:sz w:val="20"/>
                <w:szCs w:val="18"/>
                <w:lang w:val="en-AU" w:eastAsia="en-GB"/>
              </w:rPr>
              <w:br/>
              <w:t>• the Secretary, DHHS;</w:t>
            </w:r>
            <w:r w:rsidRPr="00A17EA7">
              <w:rPr>
                <w:sz w:val="20"/>
                <w:szCs w:val="18"/>
                <w:lang w:val="en-AU" w:eastAsia="en-GB"/>
              </w:rPr>
              <w:br/>
              <w:t>• a quality and safety body;</w:t>
            </w:r>
            <w:r w:rsidRPr="00A17EA7">
              <w:rPr>
                <w:sz w:val="20"/>
                <w:szCs w:val="18"/>
                <w:lang w:val="en-AU" w:eastAsia="en-GB"/>
              </w:rPr>
              <w:br/>
              <w:t>• a health service entity; or</w:t>
            </w:r>
            <w:r w:rsidRPr="00A17EA7">
              <w:rPr>
                <w:sz w:val="20"/>
                <w:szCs w:val="18"/>
                <w:lang w:val="en-AU" w:eastAsia="en-GB"/>
              </w:rPr>
              <w:br/>
              <w:t>• a special adviser –</w:t>
            </w:r>
            <w:r w:rsidRPr="00A17EA7">
              <w:rPr>
                <w:sz w:val="20"/>
                <w:szCs w:val="18"/>
                <w:lang w:val="en-AU" w:eastAsia="en-GB"/>
              </w:rPr>
              <w:br/>
              <w:t xml:space="preserve">to the extent that the IPP requires the </w:t>
            </w:r>
            <w:r w:rsidRPr="00A17EA7">
              <w:rPr>
                <w:sz w:val="20"/>
                <w:szCs w:val="18"/>
                <w:lang w:val="en-AU" w:eastAsia="en-GB"/>
              </w:rPr>
              <w:lastRenderedPageBreak/>
              <w:t>consent of the person to whom the information relates for the collection of that information.</w:t>
            </w:r>
            <w:r>
              <w:rPr>
                <w:sz w:val="20"/>
                <w:szCs w:val="18"/>
                <w:lang w:val="en-AU" w:eastAsia="en-GB"/>
              </w:rPr>
              <w:t xml:space="preserve"> </w:t>
            </w:r>
            <w:r w:rsidRPr="00A17EA7">
              <w:rPr>
                <w:sz w:val="20"/>
                <w:szCs w:val="18"/>
                <w:lang w:val="en-AU" w:eastAsia="en-GB"/>
              </w:rPr>
              <w:t>This only provides for the displacement of the requirement to seek consent for the collection of information, not the use and disclosure</w:t>
            </w:r>
            <w:r>
              <w:rPr>
                <w:sz w:val="20"/>
                <w:szCs w:val="18"/>
                <w:lang w:val="en-AU" w:eastAsia="en-GB"/>
              </w:rPr>
              <w:t>.</w:t>
            </w:r>
          </w:p>
        </w:tc>
        <w:tc>
          <w:tcPr>
            <w:tcW w:w="582" w:type="pct"/>
            <w:tcBorders>
              <w:top w:val="outset" w:sz="6" w:space="0" w:color="auto"/>
              <w:left w:val="outset" w:sz="6" w:space="0" w:color="auto"/>
              <w:bottom w:val="outset" w:sz="6" w:space="0" w:color="auto"/>
              <w:right w:val="outset" w:sz="6" w:space="0" w:color="auto"/>
            </w:tcBorders>
            <w:vAlign w:val="center"/>
            <w:hideMark/>
          </w:tcPr>
          <w:p w14:paraId="175DDBF7"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lastRenderedPageBreak/>
              <w:t>15</w:t>
            </w:r>
            <w:proofErr w:type="gramStart"/>
            <w:r w:rsidRPr="00A17EA7">
              <w:rPr>
                <w:sz w:val="20"/>
                <w:szCs w:val="18"/>
                <w:lang w:val="en-AU" w:eastAsia="en-GB"/>
              </w:rPr>
              <w:t>C(</w:t>
            </w:r>
            <w:proofErr w:type="gramEnd"/>
            <w:r w:rsidRPr="00A17EA7">
              <w:rPr>
                <w:sz w:val="20"/>
                <w:szCs w:val="18"/>
                <w:lang w:val="en-AU" w:eastAsia="en-GB"/>
              </w:rPr>
              <w:t xml:space="preserve">3) </w:t>
            </w:r>
          </w:p>
        </w:tc>
      </w:tr>
    </w:tbl>
    <w:p w14:paraId="7C7CE3D9" w14:textId="77777777" w:rsidR="007B6F90" w:rsidRPr="00A17EA7" w:rsidRDefault="007B6F90" w:rsidP="007B6F90">
      <w:pPr>
        <w:spacing w:before="100" w:beforeAutospacing="1" w:after="100" w:afterAutospacing="1"/>
        <w:rPr>
          <w:rFonts w:ascii="Times New Roman" w:eastAsia="Times New Roman" w:hAnsi="Times New Roman"/>
          <w:lang w:eastAsia="en-GB"/>
        </w:rPr>
      </w:pPr>
    </w:p>
    <w:tbl>
      <w:tblPr>
        <w:tblW w:w="5000" w:type="pct"/>
        <w:tblBorders>
          <w:top w:val="single" w:sz="6" w:space="0" w:color="969696"/>
          <w:left w:val="single" w:sz="6" w:space="0" w:color="969696"/>
          <w:bottom w:val="single" w:sz="6" w:space="0" w:color="969696"/>
          <w:right w:val="single" w:sz="6" w:space="0" w:color="969696"/>
        </w:tblBorders>
        <w:tblCellMar>
          <w:top w:w="170" w:type="dxa"/>
          <w:left w:w="170" w:type="dxa"/>
          <w:bottom w:w="170" w:type="dxa"/>
          <w:right w:w="170" w:type="dxa"/>
        </w:tblCellMar>
        <w:tblLook w:val="04A0" w:firstRow="1" w:lastRow="0" w:firstColumn="1" w:lastColumn="0" w:noHBand="0" w:noVBand="1"/>
      </w:tblPr>
      <w:tblGrid>
        <w:gridCol w:w="1055"/>
        <w:gridCol w:w="2970"/>
        <w:gridCol w:w="4089"/>
        <w:gridCol w:w="940"/>
      </w:tblGrid>
      <w:tr w:rsidR="007B6F90" w:rsidRPr="00A17EA7" w14:paraId="0B737197" w14:textId="77777777" w:rsidTr="00BA6F4A">
        <w:trPr>
          <w:trHeight w:val="20"/>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5E3DFF2E" w14:textId="77777777" w:rsidR="007B6F90" w:rsidRPr="004A43CD" w:rsidRDefault="007B6F90" w:rsidP="00BA6F4A">
            <w:pPr>
              <w:pStyle w:val="Body"/>
              <w:spacing w:before="0" w:after="0"/>
              <w:rPr>
                <w:b/>
                <w:bCs/>
                <w:sz w:val="20"/>
                <w:szCs w:val="18"/>
                <w:lang w:val="en-AU" w:eastAsia="en-GB"/>
              </w:rPr>
            </w:pPr>
            <w:r w:rsidRPr="004A43CD">
              <w:rPr>
                <w:b/>
                <w:bCs/>
                <w:sz w:val="20"/>
                <w:szCs w:val="18"/>
                <w:lang w:val="en-AU" w:eastAsia="en-GB"/>
              </w:rPr>
              <w:t> Health Records Act 2001</w:t>
            </w:r>
          </w:p>
        </w:tc>
      </w:tr>
      <w:tr w:rsidR="007B6F90" w:rsidRPr="00A17EA7" w14:paraId="5322BE98" w14:textId="77777777" w:rsidTr="00BA6F4A">
        <w:trPr>
          <w:trHeight w:val="20"/>
        </w:trPr>
        <w:tc>
          <w:tcPr>
            <w:tcW w:w="578" w:type="pct"/>
            <w:tcBorders>
              <w:top w:val="outset" w:sz="6" w:space="0" w:color="auto"/>
              <w:left w:val="outset" w:sz="6" w:space="0" w:color="auto"/>
              <w:bottom w:val="outset" w:sz="6" w:space="0" w:color="auto"/>
              <w:right w:val="outset" w:sz="6" w:space="0" w:color="auto"/>
            </w:tcBorders>
            <w:vAlign w:val="center"/>
            <w:hideMark/>
          </w:tcPr>
          <w:p w14:paraId="66D95437"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HPP</w:t>
            </w:r>
          </w:p>
        </w:tc>
        <w:tc>
          <w:tcPr>
            <w:tcW w:w="1643" w:type="pct"/>
            <w:tcBorders>
              <w:top w:val="outset" w:sz="6" w:space="0" w:color="auto"/>
              <w:left w:val="outset" w:sz="6" w:space="0" w:color="auto"/>
              <w:bottom w:val="outset" w:sz="6" w:space="0" w:color="auto"/>
              <w:right w:val="outset" w:sz="6" w:space="0" w:color="auto"/>
            </w:tcBorders>
            <w:vAlign w:val="center"/>
            <w:hideMark/>
          </w:tcPr>
          <w:p w14:paraId="3A80C22F"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Description</w:t>
            </w:r>
          </w:p>
        </w:tc>
        <w:tc>
          <w:tcPr>
            <w:tcW w:w="2261" w:type="pct"/>
            <w:tcBorders>
              <w:top w:val="outset" w:sz="6" w:space="0" w:color="auto"/>
              <w:left w:val="outset" w:sz="6" w:space="0" w:color="auto"/>
              <w:bottom w:val="outset" w:sz="6" w:space="0" w:color="auto"/>
              <w:right w:val="outset" w:sz="6" w:space="0" w:color="auto"/>
            </w:tcBorders>
            <w:vAlign w:val="center"/>
            <w:hideMark/>
          </w:tcPr>
          <w:p w14:paraId="78A656BE"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How HPP</w:t>
            </w:r>
            <w:r>
              <w:rPr>
                <w:sz w:val="20"/>
                <w:szCs w:val="18"/>
                <w:lang w:val="en-AU" w:eastAsia="en-GB"/>
              </w:rPr>
              <w:t>s</w:t>
            </w:r>
            <w:r w:rsidRPr="00A17EA7">
              <w:rPr>
                <w:sz w:val="20"/>
                <w:szCs w:val="18"/>
                <w:lang w:val="en-AU" w:eastAsia="en-GB"/>
              </w:rPr>
              <w:t xml:space="preserve"> operates under Part 6B of the HS Act</w:t>
            </w:r>
          </w:p>
        </w:tc>
        <w:tc>
          <w:tcPr>
            <w:tcW w:w="518" w:type="pct"/>
            <w:tcBorders>
              <w:top w:val="outset" w:sz="6" w:space="0" w:color="auto"/>
              <w:left w:val="outset" w:sz="6" w:space="0" w:color="auto"/>
              <w:bottom w:val="outset" w:sz="6" w:space="0" w:color="auto"/>
              <w:right w:val="outset" w:sz="6" w:space="0" w:color="auto"/>
            </w:tcBorders>
            <w:vAlign w:val="center"/>
            <w:hideMark/>
          </w:tcPr>
          <w:p w14:paraId="205AB6C7" w14:textId="77777777" w:rsidR="007B6F90" w:rsidRPr="00A17EA7" w:rsidRDefault="007B6F90" w:rsidP="00BA6F4A">
            <w:pPr>
              <w:pStyle w:val="Body"/>
              <w:spacing w:before="0" w:after="0"/>
              <w:jc w:val="center"/>
              <w:rPr>
                <w:sz w:val="20"/>
                <w:szCs w:val="18"/>
                <w:lang w:val="en-AU" w:eastAsia="en-GB"/>
              </w:rPr>
            </w:pPr>
            <w:r w:rsidRPr="00A17EA7">
              <w:rPr>
                <w:sz w:val="20"/>
                <w:szCs w:val="18"/>
                <w:lang w:val="en-AU" w:eastAsia="en-GB"/>
              </w:rPr>
              <w:t>Section</w:t>
            </w:r>
          </w:p>
        </w:tc>
      </w:tr>
      <w:tr w:rsidR="007B6F90" w:rsidRPr="00A17EA7" w14:paraId="46E318A7" w14:textId="77777777" w:rsidTr="00BA6F4A">
        <w:trPr>
          <w:trHeight w:val="857"/>
        </w:trPr>
        <w:tc>
          <w:tcPr>
            <w:tcW w:w="578" w:type="pct"/>
            <w:tcBorders>
              <w:top w:val="outset" w:sz="6" w:space="0" w:color="auto"/>
              <w:left w:val="outset" w:sz="6" w:space="0" w:color="auto"/>
              <w:bottom w:val="outset" w:sz="6" w:space="0" w:color="auto"/>
              <w:right w:val="outset" w:sz="6" w:space="0" w:color="auto"/>
            </w:tcBorders>
            <w:vAlign w:val="center"/>
            <w:hideMark/>
          </w:tcPr>
          <w:p w14:paraId="76F69FF0"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HPP 1.3</w:t>
            </w:r>
          </w:p>
        </w:tc>
        <w:tc>
          <w:tcPr>
            <w:tcW w:w="1643" w:type="pct"/>
            <w:tcBorders>
              <w:top w:val="outset" w:sz="6" w:space="0" w:color="auto"/>
              <w:left w:val="outset" w:sz="6" w:space="0" w:color="auto"/>
              <w:bottom w:val="outset" w:sz="6" w:space="0" w:color="auto"/>
              <w:right w:val="outset" w:sz="6" w:space="0" w:color="auto"/>
            </w:tcBorders>
            <w:vAlign w:val="center"/>
            <w:hideMark/>
          </w:tcPr>
          <w:p w14:paraId="6E62A868"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HPP 1.3 ordinarily provides that, where reasonable and practicable to do so, an organisation bound by the HR Act must collect health information about an individual only from that individual.</w:t>
            </w:r>
          </w:p>
        </w:tc>
        <w:tc>
          <w:tcPr>
            <w:tcW w:w="2261" w:type="pct"/>
            <w:tcBorders>
              <w:top w:val="outset" w:sz="6" w:space="0" w:color="auto"/>
              <w:left w:val="outset" w:sz="6" w:space="0" w:color="auto"/>
              <w:bottom w:val="outset" w:sz="6" w:space="0" w:color="auto"/>
              <w:right w:val="outset" w:sz="6" w:space="0" w:color="auto"/>
            </w:tcBorders>
            <w:vAlign w:val="center"/>
            <w:hideMark/>
          </w:tcPr>
          <w:p w14:paraId="59E37F1D"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Nothing in HPP 1.3 (or any relevant code of practice) applies to the collection of health information for the purposes of Part 6B by:</w:t>
            </w:r>
            <w:r w:rsidRPr="00A17EA7">
              <w:rPr>
                <w:sz w:val="20"/>
                <w:szCs w:val="18"/>
                <w:lang w:val="en-AU" w:eastAsia="en-GB"/>
              </w:rPr>
              <w:br/>
              <w:t>• the Secretary, DHHS;</w:t>
            </w:r>
            <w:r w:rsidRPr="00A17EA7">
              <w:rPr>
                <w:sz w:val="20"/>
                <w:szCs w:val="18"/>
                <w:lang w:val="en-AU" w:eastAsia="en-GB"/>
              </w:rPr>
              <w:br/>
              <w:t>• a quality and safety body;</w:t>
            </w:r>
            <w:r w:rsidRPr="00A17EA7">
              <w:rPr>
                <w:sz w:val="20"/>
                <w:szCs w:val="18"/>
                <w:lang w:val="en-AU" w:eastAsia="en-GB"/>
              </w:rPr>
              <w:br/>
              <w:t>• a health service entity; or</w:t>
            </w:r>
            <w:r w:rsidRPr="00A17EA7">
              <w:rPr>
                <w:sz w:val="20"/>
                <w:szCs w:val="18"/>
                <w:lang w:val="en-AU" w:eastAsia="en-GB"/>
              </w:rPr>
              <w:br/>
              <w:t>• a special adviser.</w:t>
            </w:r>
          </w:p>
        </w:tc>
        <w:tc>
          <w:tcPr>
            <w:tcW w:w="518" w:type="pct"/>
            <w:tcBorders>
              <w:top w:val="outset" w:sz="6" w:space="0" w:color="auto"/>
              <w:left w:val="outset" w:sz="6" w:space="0" w:color="auto"/>
              <w:bottom w:val="outset" w:sz="6" w:space="0" w:color="auto"/>
              <w:right w:val="outset" w:sz="6" w:space="0" w:color="auto"/>
            </w:tcBorders>
            <w:vAlign w:val="center"/>
            <w:hideMark/>
          </w:tcPr>
          <w:p w14:paraId="07905394" w14:textId="77777777" w:rsidR="007B6F90" w:rsidRPr="00A17EA7" w:rsidRDefault="007B6F90" w:rsidP="00BA6F4A">
            <w:pPr>
              <w:pStyle w:val="Body"/>
              <w:spacing w:before="0" w:after="0"/>
              <w:jc w:val="center"/>
              <w:rPr>
                <w:sz w:val="20"/>
                <w:szCs w:val="18"/>
                <w:lang w:val="en-AU" w:eastAsia="en-GB"/>
              </w:rPr>
            </w:pPr>
            <w:r w:rsidRPr="00A17EA7">
              <w:rPr>
                <w:sz w:val="20"/>
                <w:szCs w:val="18"/>
                <w:lang w:val="en-AU" w:eastAsia="en-GB"/>
              </w:rPr>
              <w:t>14</w:t>
            </w:r>
            <w:proofErr w:type="gramStart"/>
            <w:r w:rsidRPr="00A17EA7">
              <w:rPr>
                <w:sz w:val="20"/>
                <w:szCs w:val="18"/>
                <w:lang w:val="en-AU" w:eastAsia="en-GB"/>
              </w:rPr>
              <w:t>D(</w:t>
            </w:r>
            <w:proofErr w:type="gramEnd"/>
            <w:r w:rsidRPr="00A17EA7">
              <w:rPr>
                <w:sz w:val="20"/>
                <w:szCs w:val="18"/>
                <w:lang w:val="en-AU" w:eastAsia="en-GB"/>
              </w:rPr>
              <w:t>1)</w:t>
            </w:r>
          </w:p>
        </w:tc>
      </w:tr>
      <w:tr w:rsidR="007B6F90" w:rsidRPr="00A17EA7" w14:paraId="7F375AE9" w14:textId="77777777" w:rsidTr="00F915A0">
        <w:trPr>
          <w:trHeight w:val="674"/>
        </w:trPr>
        <w:tc>
          <w:tcPr>
            <w:tcW w:w="578" w:type="pct"/>
            <w:tcBorders>
              <w:top w:val="outset" w:sz="6" w:space="0" w:color="auto"/>
              <w:left w:val="outset" w:sz="6" w:space="0" w:color="auto"/>
              <w:bottom w:val="outset" w:sz="6" w:space="0" w:color="auto"/>
              <w:right w:val="outset" w:sz="6" w:space="0" w:color="auto"/>
            </w:tcBorders>
            <w:vAlign w:val="center"/>
            <w:hideMark/>
          </w:tcPr>
          <w:p w14:paraId="113587E0"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HPP 1.5</w:t>
            </w:r>
          </w:p>
        </w:tc>
        <w:tc>
          <w:tcPr>
            <w:tcW w:w="1643" w:type="pct"/>
            <w:tcBorders>
              <w:top w:val="outset" w:sz="6" w:space="0" w:color="auto"/>
              <w:left w:val="outset" w:sz="6" w:space="0" w:color="auto"/>
              <w:bottom w:val="outset" w:sz="6" w:space="0" w:color="auto"/>
              <w:right w:val="outset" w:sz="6" w:space="0" w:color="auto"/>
            </w:tcBorders>
            <w:vAlign w:val="center"/>
            <w:hideMark/>
          </w:tcPr>
          <w:p w14:paraId="4DAA619C"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HPP 1.5 ordinarily provides that where an organisation bound by the HR Act collects health information about an individual from someone else, it must take any steps that are reasonable in the circumstances to ensure that the individual is or has been made aware of the matters listed in HPP 1.4 (notice of collection) except to the extent that making the individual aware of the matters would pose a serious threat to the life or health of any individual or would involve the disclosure of information given in confidence (see HPP 1.7)</w:t>
            </w:r>
          </w:p>
        </w:tc>
        <w:tc>
          <w:tcPr>
            <w:tcW w:w="2261" w:type="pct"/>
            <w:tcBorders>
              <w:top w:val="outset" w:sz="6" w:space="0" w:color="auto"/>
              <w:left w:val="outset" w:sz="6" w:space="0" w:color="auto"/>
              <w:bottom w:val="outset" w:sz="6" w:space="0" w:color="auto"/>
              <w:right w:val="outset" w:sz="6" w:space="0" w:color="auto"/>
            </w:tcBorders>
            <w:vAlign w:val="center"/>
            <w:hideMark/>
          </w:tcPr>
          <w:p w14:paraId="1C6F7138"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Nothing in HPP 1.5 (or any relevant code of practice) applies to the collection of health information for the purposes of Part 6B by:</w:t>
            </w:r>
            <w:r w:rsidRPr="00A17EA7">
              <w:rPr>
                <w:sz w:val="20"/>
                <w:szCs w:val="18"/>
                <w:lang w:val="en-AU" w:eastAsia="en-GB"/>
              </w:rPr>
              <w:br/>
              <w:t>• the Secretary, DHHS;</w:t>
            </w:r>
            <w:r w:rsidRPr="00A17EA7">
              <w:rPr>
                <w:sz w:val="20"/>
                <w:szCs w:val="18"/>
                <w:lang w:val="en-AU" w:eastAsia="en-GB"/>
              </w:rPr>
              <w:br/>
              <w:t>• a quality and safety body;</w:t>
            </w:r>
            <w:r w:rsidRPr="00A17EA7">
              <w:rPr>
                <w:sz w:val="20"/>
                <w:szCs w:val="18"/>
                <w:lang w:val="en-AU" w:eastAsia="en-GB"/>
              </w:rPr>
              <w:br/>
              <w:t>• a health service entity; or</w:t>
            </w:r>
            <w:r w:rsidRPr="00A17EA7">
              <w:rPr>
                <w:sz w:val="20"/>
                <w:szCs w:val="18"/>
                <w:lang w:val="en-AU" w:eastAsia="en-GB"/>
              </w:rPr>
              <w:br/>
              <w:t>• a special adviser.</w:t>
            </w:r>
          </w:p>
        </w:tc>
        <w:tc>
          <w:tcPr>
            <w:tcW w:w="518" w:type="pct"/>
            <w:tcBorders>
              <w:top w:val="outset" w:sz="6" w:space="0" w:color="auto"/>
              <w:left w:val="outset" w:sz="6" w:space="0" w:color="auto"/>
              <w:bottom w:val="outset" w:sz="6" w:space="0" w:color="auto"/>
              <w:right w:val="outset" w:sz="6" w:space="0" w:color="auto"/>
            </w:tcBorders>
            <w:vAlign w:val="center"/>
            <w:hideMark/>
          </w:tcPr>
          <w:p w14:paraId="7A57391F" w14:textId="77777777" w:rsidR="007B6F90" w:rsidRPr="00A17EA7" w:rsidRDefault="007B6F90" w:rsidP="00BA6F4A">
            <w:pPr>
              <w:pStyle w:val="Body"/>
              <w:spacing w:before="0" w:after="0"/>
              <w:jc w:val="center"/>
              <w:rPr>
                <w:sz w:val="20"/>
                <w:szCs w:val="18"/>
                <w:lang w:val="en-AU" w:eastAsia="en-GB"/>
              </w:rPr>
            </w:pPr>
            <w:r w:rsidRPr="00A17EA7">
              <w:rPr>
                <w:sz w:val="20"/>
                <w:szCs w:val="18"/>
                <w:lang w:val="en-AU" w:eastAsia="en-GB"/>
              </w:rPr>
              <w:t>14</w:t>
            </w:r>
            <w:proofErr w:type="gramStart"/>
            <w:r w:rsidRPr="00A17EA7">
              <w:rPr>
                <w:sz w:val="20"/>
                <w:szCs w:val="18"/>
                <w:lang w:val="en-AU" w:eastAsia="en-GB"/>
              </w:rPr>
              <w:t>D(</w:t>
            </w:r>
            <w:proofErr w:type="gramEnd"/>
            <w:r w:rsidRPr="00A17EA7">
              <w:rPr>
                <w:sz w:val="20"/>
                <w:szCs w:val="18"/>
                <w:lang w:val="en-AU" w:eastAsia="en-GB"/>
              </w:rPr>
              <w:t>2)</w:t>
            </w:r>
          </w:p>
        </w:tc>
      </w:tr>
      <w:tr w:rsidR="007B6F90" w:rsidRPr="00A17EA7" w14:paraId="2EBE62C5" w14:textId="77777777" w:rsidTr="00BA6F4A">
        <w:trPr>
          <w:trHeight w:val="4345"/>
        </w:trPr>
        <w:tc>
          <w:tcPr>
            <w:tcW w:w="578" w:type="pct"/>
            <w:tcBorders>
              <w:top w:val="outset" w:sz="6" w:space="0" w:color="auto"/>
              <w:left w:val="outset" w:sz="6" w:space="0" w:color="auto"/>
              <w:bottom w:val="outset" w:sz="6" w:space="0" w:color="auto"/>
              <w:right w:val="outset" w:sz="6" w:space="0" w:color="auto"/>
            </w:tcBorders>
            <w:vAlign w:val="center"/>
            <w:hideMark/>
          </w:tcPr>
          <w:p w14:paraId="09A79834"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lastRenderedPageBreak/>
              <w:t>All HPPs referring to consent</w:t>
            </w:r>
          </w:p>
          <w:p w14:paraId="7D86CA98"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 </w:t>
            </w:r>
          </w:p>
          <w:p w14:paraId="371722E7"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 </w:t>
            </w:r>
          </w:p>
        </w:tc>
        <w:tc>
          <w:tcPr>
            <w:tcW w:w="1643" w:type="pct"/>
            <w:tcBorders>
              <w:top w:val="outset" w:sz="6" w:space="0" w:color="auto"/>
              <w:left w:val="outset" w:sz="6" w:space="0" w:color="auto"/>
              <w:bottom w:val="outset" w:sz="6" w:space="0" w:color="auto"/>
              <w:right w:val="outset" w:sz="6" w:space="0" w:color="auto"/>
            </w:tcBorders>
            <w:vAlign w:val="center"/>
            <w:hideMark/>
          </w:tcPr>
          <w:p w14:paraId="0DA2D129"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A number of HPPs refer to the concept of consent. Under these HPPs, consent may provide the legal authority to collect, use, disclose or share an individual’s health information:</w:t>
            </w:r>
            <w:r w:rsidRPr="00A17EA7">
              <w:rPr>
                <w:sz w:val="20"/>
                <w:szCs w:val="18"/>
                <w:lang w:val="en-AU" w:eastAsia="en-GB"/>
              </w:rPr>
              <w:br/>
              <w:t>• HPP 1 – Collection.</w:t>
            </w:r>
            <w:r w:rsidRPr="00A17EA7">
              <w:rPr>
                <w:sz w:val="20"/>
                <w:szCs w:val="18"/>
                <w:lang w:val="en-AU" w:eastAsia="en-GB"/>
              </w:rPr>
              <w:br/>
              <w:t>• HPP 2 – Use and Disclosure.</w:t>
            </w:r>
            <w:r w:rsidRPr="00A17EA7">
              <w:rPr>
                <w:sz w:val="20"/>
                <w:szCs w:val="18"/>
                <w:lang w:val="en-AU" w:eastAsia="en-GB"/>
              </w:rPr>
              <w:br/>
              <w:t>• HPP 7 – Identifiers.</w:t>
            </w:r>
            <w:r w:rsidRPr="00A17EA7">
              <w:rPr>
                <w:sz w:val="20"/>
                <w:szCs w:val="18"/>
                <w:lang w:val="en-AU" w:eastAsia="en-GB"/>
              </w:rPr>
              <w:br/>
              <w:t>• HPP 9 – Transborder Data Flows.</w:t>
            </w:r>
          </w:p>
        </w:tc>
        <w:tc>
          <w:tcPr>
            <w:tcW w:w="2261" w:type="pct"/>
            <w:tcBorders>
              <w:top w:val="outset" w:sz="6" w:space="0" w:color="auto"/>
              <w:left w:val="outset" w:sz="6" w:space="0" w:color="auto"/>
              <w:bottom w:val="outset" w:sz="6" w:space="0" w:color="auto"/>
              <w:right w:val="outset" w:sz="6" w:space="0" w:color="auto"/>
            </w:tcBorders>
            <w:vAlign w:val="center"/>
            <w:hideMark/>
          </w:tcPr>
          <w:p w14:paraId="3A3ED22F" w14:textId="77777777" w:rsidR="007B6F90" w:rsidRPr="00A17EA7" w:rsidRDefault="007B6F90" w:rsidP="00BA6F4A">
            <w:pPr>
              <w:pStyle w:val="Body"/>
              <w:spacing w:before="0" w:after="0"/>
              <w:rPr>
                <w:sz w:val="20"/>
                <w:szCs w:val="18"/>
                <w:lang w:val="en-AU" w:eastAsia="en-GB"/>
              </w:rPr>
            </w:pPr>
            <w:r w:rsidRPr="00A17EA7">
              <w:rPr>
                <w:sz w:val="20"/>
                <w:szCs w:val="18"/>
                <w:lang w:val="en-AU" w:eastAsia="en-GB"/>
              </w:rPr>
              <w:t>Nothing in an HPP (or any relevant code of practice) applies to the collection, use or disclosure of health information for the purposes of Part 6B by:</w:t>
            </w:r>
            <w:r w:rsidRPr="00A17EA7">
              <w:rPr>
                <w:sz w:val="20"/>
                <w:szCs w:val="18"/>
                <w:lang w:val="en-AU" w:eastAsia="en-GB"/>
              </w:rPr>
              <w:br/>
              <w:t>• the Secretary, DHHS;</w:t>
            </w:r>
            <w:r w:rsidRPr="00A17EA7">
              <w:rPr>
                <w:sz w:val="20"/>
                <w:szCs w:val="18"/>
                <w:lang w:val="en-AU" w:eastAsia="en-GB"/>
              </w:rPr>
              <w:br/>
              <w:t>• a quality and safety body;</w:t>
            </w:r>
            <w:r w:rsidRPr="00A17EA7">
              <w:rPr>
                <w:sz w:val="20"/>
                <w:szCs w:val="18"/>
                <w:lang w:val="en-AU" w:eastAsia="en-GB"/>
              </w:rPr>
              <w:br/>
              <w:t>• a health service entity; or</w:t>
            </w:r>
            <w:r w:rsidRPr="00A17EA7">
              <w:rPr>
                <w:sz w:val="20"/>
                <w:szCs w:val="18"/>
                <w:lang w:val="en-AU" w:eastAsia="en-GB"/>
              </w:rPr>
              <w:br/>
              <w:t>• a special adviser –</w:t>
            </w:r>
            <w:r w:rsidRPr="00A17EA7">
              <w:rPr>
                <w:sz w:val="20"/>
                <w:szCs w:val="18"/>
                <w:lang w:val="en-AU" w:eastAsia="en-GB"/>
              </w:rPr>
              <w:br/>
              <w:t>to the extent that the HPP requires the consent of the person to whom the health information relates for the collection, use or disclosure of that information.</w:t>
            </w:r>
            <w:r>
              <w:rPr>
                <w:sz w:val="20"/>
                <w:szCs w:val="18"/>
                <w:lang w:val="en-AU" w:eastAsia="en-GB"/>
              </w:rPr>
              <w:t xml:space="preserve"> </w:t>
            </w:r>
            <w:r w:rsidRPr="00A17EA7">
              <w:rPr>
                <w:sz w:val="20"/>
                <w:szCs w:val="18"/>
                <w:lang w:val="en-AU" w:eastAsia="en-GB"/>
              </w:rPr>
              <w:t>This is slightly different to the corresponding amendment to the PDP Act, as it provides for the displacement of the requirement to seek consent before the collection, use or disclosure of health information, rather than just collection.</w:t>
            </w:r>
          </w:p>
        </w:tc>
        <w:tc>
          <w:tcPr>
            <w:tcW w:w="518" w:type="pct"/>
            <w:tcBorders>
              <w:top w:val="outset" w:sz="6" w:space="0" w:color="auto"/>
              <w:left w:val="outset" w:sz="6" w:space="0" w:color="auto"/>
              <w:bottom w:val="outset" w:sz="6" w:space="0" w:color="auto"/>
              <w:right w:val="outset" w:sz="6" w:space="0" w:color="auto"/>
            </w:tcBorders>
            <w:vAlign w:val="center"/>
            <w:hideMark/>
          </w:tcPr>
          <w:p w14:paraId="17122912" w14:textId="77777777" w:rsidR="007B6F90" w:rsidRPr="00A17EA7" w:rsidRDefault="007B6F90" w:rsidP="00BA6F4A">
            <w:pPr>
              <w:pStyle w:val="Body"/>
              <w:spacing w:before="0" w:after="0"/>
              <w:jc w:val="center"/>
              <w:rPr>
                <w:sz w:val="20"/>
                <w:szCs w:val="18"/>
                <w:lang w:val="en-AU" w:eastAsia="en-GB"/>
              </w:rPr>
            </w:pPr>
            <w:r w:rsidRPr="00A17EA7">
              <w:rPr>
                <w:sz w:val="20"/>
                <w:szCs w:val="18"/>
                <w:lang w:val="en-AU" w:eastAsia="en-GB"/>
              </w:rPr>
              <w:t>14</w:t>
            </w:r>
            <w:proofErr w:type="gramStart"/>
            <w:r w:rsidRPr="00A17EA7">
              <w:rPr>
                <w:sz w:val="20"/>
                <w:szCs w:val="18"/>
                <w:lang w:val="en-AU" w:eastAsia="en-GB"/>
              </w:rPr>
              <w:t>D(</w:t>
            </w:r>
            <w:proofErr w:type="gramEnd"/>
            <w:r w:rsidRPr="00A17EA7">
              <w:rPr>
                <w:sz w:val="20"/>
                <w:szCs w:val="18"/>
                <w:lang w:val="en-AU" w:eastAsia="en-GB"/>
              </w:rPr>
              <w:t>3)</w:t>
            </w:r>
          </w:p>
        </w:tc>
      </w:tr>
    </w:tbl>
    <w:p w14:paraId="5C2E9046" w14:textId="77777777" w:rsidR="001A791E" w:rsidRDefault="001A791E" w:rsidP="007B6F90">
      <w:pPr>
        <w:pStyle w:val="ListBullet"/>
        <w:numPr>
          <w:ilvl w:val="0"/>
          <w:numId w:val="0"/>
        </w:numPr>
      </w:pPr>
    </w:p>
    <w:p w14:paraId="0161BBBA" w14:textId="77777777" w:rsidR="001A791E" w:rsidRPr="00167077" w:rsidRDefault="001A791E" w:rsidP="001A791E">
      <w:pPr>
        <w:pStyle w:val="ListBullet"/>
        <w:numPr>
          <w:ilvl w:val="0"/>
          <w:numId w:val="0"/>
        </w:numPr>
        <w:ind w:left="567" w:hanging="283"/>
      </w:pPr>
    </w:p>
    <w:sectPr w:rsidR="001A791E" w:rsidRPr="00167077" w:rsidSect="00B45AB3">
      <w:headerReference w:type="default" r:id="rId17"/>
      <w:footerReference w:type="default" r:id="rId18"/>
      <w:headerReference w:type="first" r:id="rId19"/>
      <w:footerReference w:type="first" r:id="rId2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F8D6F" w14:textId="77777777" w:rsidR="00EC7961" w:rsidRDefault="00EC7961" w:rsidP="00C37A29">
      <w:pPr>
        <w:spacing w:after="0"/>
      </w:pPr>
      <w:r>
        <w:separator/>
      </w:r>
    </w:p>
    <w:p w14:paraId="17E1D4B6" w14:textId="77777777" w:rsidR="00EC7961" w:rsidRDefault="00EC7961"/>
  </w:endnote>
  <w:endnote w:type="continuationSeparator" w:id="0">
    <w:p w14:paraId="0EEDF0D3" w14:textId="77777777" w:rsidR="00EC7961" w:rsidRDefault="00EC7961" w:rsidP="00C37A29">
      <w:pPr>
        <w:spacing w:after="0"/>
      </w:pPr>
      <w:r>
        <w:continuationSeparator/>
      </w:r>
    </w:p>
    <w:p w14:paraId="593C7AC9" w14:textId="77777777" w:rsidR="00EC7961" w:rsidRDefault="00EC7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PostGrotesk-Book">
    <w:altName w:val="Times New Roman"/>
    <w:panose1 w:val="020B0604020202020204"/>
    <w:charset w:val="00"/>
    <w:family w:val="auto"/>
    <w:pitch w:val="variable"/>
    <w:sig w:usb0="00000001" w:usb1="500160FB" w:usb2="00000000" w:usb3="00000000" w:csb0="0000009B" w:csb1="00000000"/>
  </w:font>
  <w:font w:name="PostGrotesk-Medium">
    <w:altName w:val="Times New Roman"/>
    <w:panose1 w:val="020B0604020202020204"/>
    <w:charset w:val="00"/>
    <w:family w:val="auto"/>
    <w:pitch w:val="variable"/>
    <w:sig w:usb0="00000001" w:usb1="50016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61"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269"/>
    </w:tblGrid>
    <w:tr w:rsidR="00AC3934" w14:paraId="24B48B38" w14:textId="77777777" w:rsidTr="00B10776">
      <w:tc>
        <w:tcPr>
          <w:tcW w:w="3261" w:type="dxa"/>
          <w:vAlign w:val="center"/>
        </w:tcPr>
        <w:p w14:paraId="32D99A65" w14:textId="77777777" w:rsidR="00AC3934" w:rsidRDefault="00AC3934" w:rsidP="00AC3934">
          <w:pPr>
            <w:spacing w:before="0" w:after="0"/>
            <w:rPr>
              <w:color w:val="430098" w:themeColor="text2"/>
              <w:sz w:val="16"/>
              <w:szCs w:val="16"/>
            </w:rPr>
          </w:pPr>
          <w:r w:rsidRPr="00E55CAE">
            <w:rPr>
              <w:color w:val="430098" w:themeColor="text2"/>
              <w:sz w:val="16"/>
              <w:szCs w:val="16"/>
            </w:rPr>
            <w:t>www.ovic.vic.gov.au</w:t>
          </w:r>
        </w:p>
        <w:p w14:paraId="6104F44C" w14:textId="56869AC9" w:rsidR="00ED59AB" w:rsidRPr="00ED59AB" w:rsidRDefault="00000000" w:rsidP="00ED59AB">
          <w:pPr>
            <w:pStyle w:val="FooterToggle"/>
            <w:rPr>
              <w:b w:val="0"/>
              <w:bCs/>
            </w:rPr>
          </w:pPr>
          <w:sdt>
            <w:sdtPr>
              <w:rPr>
                <w:b w:val="0"/>
                <w:bCs/>
              </w:rPr>
              <w:alias w:val="Title"/>
              <w:tag w:val=""/>
              <w:id w:val="2032152324"/>
              <w:dataBinding w:prefixMappings="xmlns:ns0='http://purl.org/dc/elements/1.1/' xmlns:ns1='http://schemas.openxmlformats.org/package/2006/metadata/core-properties' " w:xpath="/ns1:coreProperties[1]/ns0:title[1]" w:storeItemID="{6C3C8BC8-F283-45AE-878A-BAB7291924A1}"/>
              <w:text/>
            </w:sdtPr>
            <w:sdtEndPr>
              <w:rPr>
                <w:rFonts w:cstheme="minorHAnsi"/>
              </w:rPr>
            </w:sdtEndPr>
            <w:sdtContent>
              <w:r w:rsidR="0093619C">
                <w:rPr>
                  <w:b w:val="0"/>
                  <w:bCs/>
                </w:rPr>
                <w:t>Information sharing by health service entities for quality and safety purposes</w:t>
              </w:r>
            </w:sdtContent>
          </w:sdt>
          <w:r w:rsidR="00ED59AB" w:rsidRPr="00ED59AB">
            <w:rPr>
              <w:b w:val="0"/>
              <w:bCs/>
            </w:rPr>
            <w:t xml:space="preserve"> </w:t>
          </w:r>
          <w:r w:rsidR="00ED59AB" w:rsidRPr="00ED59AB">
            <w:rPr>
              <w:b w:val="0"/>
              <w:bCs/>
            </w:rPr>
            <w:fldChar w:fldCharType="begin"/>
          </w:r>
          <w:r w:rsidR="00ED59AB" w:rsidRPr="00ED59AB">
            <w:rPr>
              <w:b w:val="0"/>
              <w:bCs/>
            </w:rPr>
            <w:instrText xml:space="preserve"> TITLE   \* MERGEFORMAT </w:instrText>
          </w:r>
          <w:r w:rsidR="00ED59AB" w:rsidRPr="00ED59AB">
            <w:rPr>
              <w:b w:val="0"/>
              <w:bCs/>
            </w:rPr>
            <w:fldChar w:fldCharType="end"/>
          </w:r>
        </w:p>
      </w:tc>
      <w:tc>
        <w:tcPr>
          <w:tcW w:w="2831" w:type="dxa"/>
          <w:vAlign w:val="center"/>
        </w:tcPr>
        <w:p w14:paraId="161CFF1F" w14:textId="77777777" w:rsidR="00AC3934" w:rsidRPr="00E55CAE" w:rsidRDefault="00AC3934" w:rsidP="00AC3934">
          <w:pPr>
            <w:pStyle w:val="FooterToggle"/>
            <w:spacing w:line="259" w:lineRule="auto"/>
            <w:rPr>
              <w:b w:val="0"/>
              <w:bCs/>
            </w:rPr>
          </w:pPr>
          <w:r w:rsidRPr="00E55CAE">
            <w:rPr>
              <w:b w:val="0"/>
              <w:bCs/>
            </w:rPr>
            <w:t>Disclaimer</w:t>
          </w:r>
        </w:p>
        <w:p w14:paraId="7174173C" w14:textId="77777777" w:rsidR="00AC3934" w:rsidRPr="00A3584F" w:rsidRDefault="00AC3934" w:rsidP="00AC3934">
          <w:pPr>
            <w:spacing w:before="0" w:after="0" w:line="259" w:lineRule="auto"/>
            <w:rPr>
              <w:sz w:val="14"/>
              <w:szCs w:val="14"/>
            </w:rPr>
          </w:pPr>
          <w:r w:rsidRPr="00A3584F">
            <w:rPr>
              <w:sz w:val="14"/>
              <w:szCs w:val="14"/>
            </w:rPr>
            <w:t>The information in this document is general in nature and does not constitute legal advice.</w:t>
          </w:r>
        </w:p>
      </w:tc>
      <w:tc>
        <w:tcPr>
          <w:tcW w:w="3269" w:type="dxa"/>
          <w:vAlign w:val="center"/>
        </w:tcPr>
        <w:p w14:paraId="0DAC43DF" w14:textId="77777777" w:rsidR="00AC3934" w:rsidRDefault="00AC3934" w:rsidP="00AC3934">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487555969"/>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3D4DA894" w14:textId="7C5DA95D" w:rsidR="003B4D30" w:rsidRPr="003B4D30" w:rsidRDefault="00000000" w:rsidP="003B4D30">
        <w:pPr>
          <w:pStyle w:val="ProtectiveMarking"/>
          <w:framePr w:wrap="around" w:y="16036"/>
          <w:spacing w:before="0" w:after="0"/>
          <w:rPr>
            <w:caps w:val="0"/>
            <w:sz w:val="44"/>
            <w:szCs w:val="44"/>
          </w:rPr>
        </w:pPr>
      </w:p>
    </w:sdtContent>
  </w:sdt>
  <w:p w14:paraId="6749094F" w14:textId="77777777" w:rsidR="00CB1E32" w:rsidRPr="00A81CCD" w:rsidRDefault="00CB1E32" w:rsidP="00AC3934">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9" w:type="dxa"/>
      <w:tblBorders>
        <w:top w:val="single" w:sz="4" w:space="0" w:color="430098" w:themeColor="text2"/>
        <w:left w:val="none" w:sz="0" w:space="0" w:color="auto"/>
        <w:bottom w:val="none" w:sz="0" w:space="0" w:color="auto"/>
        <w:right w:val="none" w:sz="0" w:space="0" w:color="auto"/>
        <w:insideH w:val="single" w:sz="4" w:space="0" w:color="430098" w:themeColor="text2"/>
        <w:insideV w:val="none" w:sz="0" w:space="0" w:color="auto"/>
      </w:tblBorders>
      <w:tblLook w:val="04A0" w:firstRow="1" w:lastRow="0" w:firstColumn="1" w:lastColumn="0" w:noHBand="0" w:noVBand="1"/>
    </w:tblPr>
    <w:tblGrid>
      <w:gridCol w:w="3261"/>
      <w:gridCol w:w="2831"/>
      <w:gridCol w:w="3127"/>
    </w:tblGrid>
    <w:tr w:rsidR="00AC3934" w14:paraId="4C0E5FCE" w14:textId="77777777" w:rsidTr="00B10776">
      <w:tc>
        <w:tcPr>
          <w:tcW w:w="3261" w:type="dxa"/>
          <w:vAlign w:val="center"/>
        </w:tcPr>
        <w:p w14:paraId="4687B140" w14:textId="01E9D8BC" w:rsidR="00AC3934" w:rsidRDefault="00AC3934" w:rsidP="00AC3934">
          <w:pPr>
            <w:pStyle w:val="FooterToggle"/>
            <w:rPr>
              <w:b w:val="0"/>
              <w:bCs/>
            </w:rPr>
          </w:pPr>
          <w:r w:rsidRPr="00E55CAE">
            <w:rPr>
              <w:b w:val="0"/>
              <w:bCs/>
            </w:rPr>
            <w:t xml:space="preserve">CM: </w:t>
          </w:r>
          <w:r w:rsidR="001810A0" w:rsidRPr="001810A0">
            <w:rPr>
              <w:rFonts w:asciiTheme="minorHAnsi" w:hAnsiTheme="minorHAnsi" w:cstheme="minorHAnsi"/>
              <w:b w:val="0"/>
              <w:bCs/>
              <w:szCs w:val="16"/>
            </w:rPr>
            <w:t>D21/6713</w:t>
          </w:r>
        </w:p>
        <w:sdt>
          <w:sdtPr>
            <w:rPr>
              <w:bCs/>
              <w:color w:val="430098" w:themeColor="text2"/>
              <w:sz w:val="16"/>
              <w:szCs w:val="16"/>
            </w:rPr>
            <w:alias w:val="Publish Date"/>
            <w:tag w:val=""/>
            <w:id w:val="1846202098"/>
            <w:dataBinding w:prefixMappings="xmlns:ns0='http://schemas.microsoft.com/office/2006/coverPageProps' " w:xpath="/ns0:CoverPageProperties[1]/ns0:PublishDate[1]" w:storeItemID="{55AF091B-3C7A-41E3-B477-F2FDAA23CFDA}"/>
            <w:date w:fullDate="2021-04-01T00:00:00Z">
              <w:dateFormat w:val="MMMM yyyy"/>
              <w:lid w:val="en-AU"/>
              <w:storeMappedDataAs w:val="dateTime"/>
              <w:calendar w:val="gregorian"/>
            </w:date>
          </w:sdtPr>
          <w:sdtContent>
            <w:p w14:paraId="5EA7C1AF" w14:textId="2142DD28" w:rsidR="00AC3934" w:rsidRPr="00E55CAE" w:rsidRDefault="001810A0" w:rsidP="00AC3934">
              <w:pPr>
                <w:spacing w:before="0" w:after="0"/>
                <w:rPr>
                  <w:bCs/>
                  <w:color w:val="430098" w:themeColor="text2"/>
                  <w:sz w:val="16"/>
                  <w:szCs w:val="16"/>
                </w:rPr>
              </w:pPr>
              <w:r>
                <w:rPr>
                  <w:bCs/>
                  <w:color w:val="430098" w:themeColor="text2"/>
                  <w:sz w:val="16"/>
                  <w:szCs w:val="16"/>
                </w:rPr>
                <w:t>April 2021</w:t>
              </w:r>
            </w:p>
          </w:sdtContent>
        </w:sdt>
        <w:p w14:paraId="64BE43D1" w14:textId="77777777" w:rsidR="00AC3934" w:rsidRDefault="00AC3934" w:rsidP="00AC3934">
          <w:pPr>
            <w:spacing w:before="0" w:after="0"/>
          </w:pPr>
          <w:r w:rsidRPr="00E55CAE">
            <w:rPr>
              <w:bCs/>
              <w:color w:val="430098" w:themeColor="text2"/>
              <w:sz w:val="16"/>
              <w:szCs w:val="16"/>
            </w:rPr>
            <w:t>www.ovic.vic.gov.au</w:t>
          </w:r>
        </w:p>
      </w:tc>
      <w:tc>
        <w:tcPr>
          <w:tcW w:w="2831" w:type="dxa"/>
          <w:vAlign w:val="center"/>
        </w:tcPr>
        <w:p w14:paraId="723CA2AE" w14:textId="77777777" w:rsidR="00AC3934" w:rsidRPr="00E55CAE" w:rsidRDefault="00AC3934" w:rsidP="00AC3934">
          <w:pPr>
            <w:pStyle w:val="FooterToggle"/>
            <w:spacing w:line="259" w:lineRule="auto"/>
            <w:rPr>
              <w:b w:val="0"/>
              <w:bCs/>
            </w:rPr>
          </w:pPr>
          <w:r w:rsidRPr="00E55CAE">
            <w:rPr>
              <w:b w:val="0"/>
              <w:bCs/>
            </w:rPr>
            <w:t>Disclaimer</w:t>
          </w:r>
        </w:p>
        <w:p w14:paraId="1B39F3C9" w14:textId="77777777" w:rsidR="00AC3934" w:rsidRPr="00A3584F" w:rsidRDefault="00AC3934" w:rsidP="00AC3934">
          <w:pPr>
            <w:spacing w:before="0" w:after="0" w:line="259" w:lineRule="auto"/>
            <w:rPr>
              <w:sz w:val="14"/>
              <w:szCs w:val="14"/>
            </w:rPr>
          </w:pPr>
          <w:r w:rsidRPr="00A3584F">
            <w:rPr>
              <w:sz w:val="14"/>
              <w:szCs w:val="14"/>
            </w:rPr>
            <w:t>The information in this document is general in nature and does not constitute legal advice.</w:t>
          </w:r>
        </w:p>
      </w:tc>
      <w:tc>
        <w:tcPr>
          <w:tcW w:w="3127" w:type="dxa"/>
          <w:vAlign w:val="center"/>
        </w:tcPr>
        <w:p w14:paraId="194A2231" w14:textId="77777777" w:rsidR="00AC3934" w:rsidRDefault="00AC3934" w:rsidP="00AC3934">
          <w:pPr>
            <w:pStyle w:val="PageNumber-right"/>
            <w:framePr w:hSpace="0" w:wrap="auto" w:vAnchor="margin" w:hAnchor="text" w:yAlign="inline"/>
            <w:suppressOverlap w:val="0"/>
          </w:pPr>
          <w:r w:rsidRPr="00A3584F">
            <w:rPr>
              <w:lang w:val="en-GB"/>
            </w:rPr>
            <w:fldChar w:fldCharType="begin"/>
          </w:r>
          <w:r w:rsidRPr="00A3584F">
            <w:rPr>
              <w:lang w:val="en-GB"/>
            </w:rPr>
            <w:instrText>PAGE  \* Arabic  \* MERGEFORMAT</w:instrText>
          </w:r>
          <w:r w:rsidRPr="00A3584F">
            <w:rPr>
              <w:lang w:val="en-GB"/>
            </w:rPr>
            <w:fldChar w:fldCharType="separate"/>
          </w:r>
          <w:r>
            <w:rPr>
              <w:lang w:val="en-GB"/>
            </w:rPr>
            <w:t>1</w:t>
          </w:r>
          <w:r w:rsidRPr="00A3584F">
            <w:rPr>
              <w:lang w:val="en-GB"/>
            </w:rPr>
            <w:fldChar w:fldCharType="end"/>
          </w:r>
          <w:r w:rsidRPr="00A3584F">
            <w:rPr>
              <w:lang w:val="en-GB"/>
            </w:rPr>
            <w:t xml:space="preserve"> /</w:t>
          </w:r>
          <w:r>
            <w:rPr>
              <w:lang w:val="en-GB"/>
            </w:rPr>
            <w:t xml:space="preserve"> </w:t>
          </w:r>
          <w:r>
            <w:rPr>
              <w:lang w:val="en-GB"/>
            </w:rPr>
            <w:fldChar w:fldCharType="begin"/>
          </w:r>
          <w:r w:rsidRPr="00A3584F">
            <w:rPr>
              <w:lang w:val="en-GB"/>
            </w:rPr>
            <w:instrText>NUMPAGES  \* Arabic  \* MERGEFORMAT</w:instrText>
          </w:r>
          <w:r>
            <w:rPr>
              <w:lang w:val="en-GB"/>
            </w:rPr>
            <w:fldChar w:fldCharType="separate"/>
          </w:r>
          <w:r>
            <w:rPr>
              <w:lang w:val="en-GB"/>
            </w:rPr>
            <w:t>2</w:t>
          </w:r>
          <w:r>
            <w:rPr>
              <w:lang w:val="en-GB"/>
            </w:rPr>
            <w:fldChar w:fldCharType="end"/>
          </w:r>
        </w:p>
      </w:tc>
    </w:tr>
  </w:tbl>
  <w:sdt>
    <w:sdtPr>
      <w:rPr>
        <w:caps w:val="0"/>
        <w:sz w:val="44"/>
        <w:szCs w:val="44"/>
      </w:rPr>
      <w:id w:val="908579802"/>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5E7E4FE7" w14:textId="2D0A7B85" w:rsidR="003B4D30" w:rsidRPr="003B4D30" w:rsidRDefault="00000000" w:rsidP="003B4D30">
        <w:pPr>
          <w:pStyle w:val="ProtectiveMarking"/>
          <w:framePr w:wrap="around" w:y="16036"/>
          <w:spacing w:before="0" w:after="0"/>
          <w:rPr>
            <w:caps w:val="0"/>
            <w:sz w:val="44"/>
            <w:szCs w:val="44"/>
          </w:rPr>
        </w:pPr>
      </w:p>
    </w:sdtContent>
  </w:sdt>
  <w:p w14:paraId="2ECC4A9A" w14:textId="77777777" w:rsidR="00934706" w:rsidRDefault="00934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9A478" w14:textId="77777777" w:rsidR="00EC7961" w:rsidRDefault="00EC7961" w:rsidP="004C5DAA">
      <w:pPr>
        <w:spacing w:after="120"/>
      </w:pPr>
      <w:r>
        <w:separator/>
      </w:r>
    </w:p>
  </w:footnote>
  <w:footnote w:type="continuationSeparator" w:id="0">
    <w:p w14:paraId="18A3D627" w14:textId="77777777" w:rsidR="00EC7961" w:rsidRDefault="00EC7961" w:rsidP="00C37A29">
      <w:pPr>
        <w:spacing w:after="0"/>
      </w:pPr>
      <w:r>
        <w:continuationSeparator/>
      </w:r>
    </w:p>
    <w:p w14:paraId="605B619E" w14:textId="77777777" w:rsidR="00EC7961" w:rsidRDefault="00EC79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aps w:val="0"/>
        <w:sz w:val="44"/>
        <w:szCs w:val="44"/>
      </w:rPr>
      <w:id w:val="-391735166"/>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126C1FED" w14:textId="35EDBC4D" w:rsidR="003B4D30" w:rsidRPr="003B4D30" w:rsidRDefault="00000000" w:rsidP="003B4D30">
        <w:pPr>
          <w:pStyle w:val="ProtectiveMarking"/>
          <w:framePr w:wrap="around"/>
          <w:spacing w:before="0" w:after="0"/>
          <w:rPr>
            <w:caps w:val="0"/>
            <w:sz w:val="44"/>
            <w:szCs w:val="44"/>
          </w:rPr>
        </w:pPr>
      </w:p>
    </w:sdtContent>
  </w:sdt>
  <w:p w14:paraId="5911819E" w14:textId="77777777" w:rsidR="00CB1E32" w:rsidRPr="00CA06C6" w:rsidRDefault="00CB1E32" w:rsidP="00CA0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aps w:val="0"/>
        <w:sz w:val="44"/>
        <w:szCs w:val="44"/>
      </w:rPr>
      <w:id w:val="872343476"/>
      <w:lock w:val="sdtLocked"/>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5B417DC2" w14:textId="4F871376" w:rsidR="00CA06C6" w:rsidRPr="003B4D30" w:rsidRDefault="00000000" w:rsidP="00CA06C6">
        <w:pPr>
          <w:pStyle w:val="ProtectiveMarking"/>
          <w:framePr w:wrap="around"/>
          <w:spacing w:before="0" w:after="0"/>
          <w:rPr>
            <w:caps w:val="0"/>
            <w:sz w:val="44"/>
            <w:szCs w:val="44"/>
          </w:rPr>
        </w:pPr>
      </w:p>
    </w:sdtContent>
  </w:sdt>
  <w:p w14:paraId="7A8250AB" w14:textId="77777777" w:rsidR="009A1E02" w:rsidRDefault="001C0D28">
    <w:pPr>
      <w:pStyle w:val="Header"/>
    </w:pPr>
    <w:r>
      <w:rPr>
        <w:noProof/>
      </w:rPr>
      <w:drawing>
        <wp:anchor distT="4320540" distB="107950" distL="114300" distR="114300" simplePos="0" relativeHeight="251674624" behindDoc="0" locked="1" layoutInCell="1" allowOverlap="1" wp14:anchorId="1128C791" wp14:editId="647CD0E7">
          <wp:simplePos x="0" y="0"/>
          <wp:positionH relativeFrom="margin">
            <wp:posOffset>0</wp:posOffset>
          </wp:positionH>
          <wp:positionV relativeFrom="page">
            <wp:posOffset>904875</wp:posOffset>
          </wp:positionV>
          <wp:extent cx="1471930" cy="647700"/>
          <wp:effectExtent l="0" t="0" r="0" b="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193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52A7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388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3E5A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3252CBE4"/>
    <w:numStyleLink w:val="Numbering"/>
  </w:abstractNum>
  <w:abstractNum w:abstractNumId="11" w15:restartNumberingAfterBreak="0">
    <w:nsid w:val="05431BD9"/>
    <w:multiLevelType w:val="multilevel"/>
    <w:tmpl w:val="3252CBE4"/>
    <w:numStyleLink w:val="Numbering"/>
  </w:abstractNum>
  <w:abstractNum w:abstractNumId="12"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3252CBE4"/>
    <w:numStyleLink w:val="Numbering"/>
  </w:abstractNum>
  <w:abstractNum w:abstractNumId="14" w15:restartNumberingAfterBreak="0">
    <w:nsid w:val="0D5A5E93"/>
    <w:multiLevelType w:val="multilevel"/>
    <w:tmpl w:val="7B2236E6"/>
    <w:numStyleLink w:val="Bullets"/>
  </w:abstractNum>
  <w:abstractNum w:abstractNumId="15" w15:restartNumberingAfterBreak="0">
    <w:nsid w:val="0F4161FB"/>
    <w:multiLevelType w:val="hybridMultilevel"/>
    <w:tmpl w:val="4D96D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6F37EA"/>
    <w:multiLevelType w:val="multilevel"/>
    <w:tmpl w:val="3252CBE4"/>
    <w:styleLink w:val="Numbering"/>
    <w:lvl w:ilvl="0">
      <w:start w:val="1"/>
      <w:numFmt w:val="decimal"/>
      <w:pStyle w:val="ListNumber"/>
      <w:lvlText w:val="%1."/>
      <w:lvlJc w:val="left"/>
      <w:pPr>
        <w:tabs>
          <w:tab w:val="num" w:pos="284"/>
        </w:tabs>
        <w:ind w:left="567" w:hanging="283"/>
      </w:pPr>
      <w:rPr>
        <w:rFonts w:hint="default"/>
      </w:rPr>
    </w:lvl>
    <w:lvl w:ilvl="1">
      <w:start w:val="1"/>
      <w:numFmt w:val="decimal"/>
      <w:pStyle w:val="ListNumber2"/>
      <w:lvlText w:val="%1.%2."/>
      <w:lvlJc w:val="left"/>
      <w:pPr>
        <w:ind w:left="1134" w:hanging="567"/>
      </w:pPr>
      <w:rPr>
        <w:rFonts w:hint="default"/>
      </w:rPr>
    </w:lvl>
    <w:lvl w:ilvl="2">
      <w:start w:val="1"/>
      <w:numFmt w:val="decimal"/>
      <w:pStyle w:val="ListNumber3"/>
      <w:lvlText w:val="%1.%2.%3."/>
      <w:lvlJc w:val="left"/>
      <w:pPr>
        <w:tabs>
          <w:tab w:val="num" w:pos="1134"/>
        </w:tabs>
        <w:ind w:left="1701" w:hanging="56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32D53ED"/>
    <w:multiLevelType w:val="multilevel"/>
    <w:tmpl w:val="3252CBE4"/>
    <w:numStyleLink w:val="Numbering"/>
  </w:abstractNum>
  <w:abstractNum w:abstractNumId="18" w15:restartNumberingAfterBreak="0">
    <w:nsid w:val="15AC0B28"/>
    <w:multiLevelType w:val="multilevel"/>
    <w:tmpl w:val="B6542242"/>
    <w:numStyleLink w:val="LetteredList"/>
  </w:abstractNum>
  <w:abstractNum w:abstractNumId="19"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322B09"/>
    <w:multiLevelType w:val="multilevel"/>
    <w:tmpl w:val="3252CBE4"/>
    <w:numStyleLink w:val="Numbering"/>
  </w:abstractNum>
  <w:abstractNum w:abstractNumId="21" w15:restartNumberingAfterBreak="0">
    <w:nsid w:val="20215C86"/>
    <w:multiLevelType w:val="multilevel"/>
    <w:tmpl w:val="7B2236E6"/>
    <w:numStyleLink w:val="Bullets"/>
  </w:abstractNum>
  <w:abstractNum w:abstractNumId="22" w15:restartNumberingAfterBreak="0">
    <w:nsid w:val="321F1D0F"/>
    <w:multiLevelType w:val="multilevel"/>
    <w:tmpl w:val="7B2236E6"/>
    <w:numStyleLink w:val="Bullets"/>
  </w:abstractNum>
  <w:abstractNum w:abstractNumId="23" w15:restartNumberingAfterBreak="0">
    <w:nsid w:val="41397427"/>
    <w:multiLevelType w:val="multilevel"/>
    <w:tmpl w:val="3252CBE4"/>
    <w:numStyleLink w:val="Numbering"/>
  </w:abstractNum>
  <w:abstractNum w:abstractNumId="24" w15:restartNumberingAfterBreak="0">
    <w:nsid w:val="47666915"/>
    <w:multiLevelType w:val="hybridMultilevel"/>
    <w:tmpl w:val="2798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A52890"/>
    <w:multiLevelType w:val="hybridMultilevel"/>
    <w:tmpl w:val="D378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4E7F1CD0"/>
    <w:multiLevelType w:val="multilevel"/>
    <w:tmpl w:val="3252CBE4"/>
    <w:numStyleLink w:val="Numbering"/>
  </w:abstractNum>
  <w:abstractNum w:abstractNumId="28" w15:restartNumberingAfterBreak="0">
    <w:nsid w:val="574672D5"/>
    <w:multiLevelType w:val="multilevel"/>
    <w:tmpl w:val="7B2236E6"/>
    <w:numStyleLink w:val="Bullets"/>
  </w:abstractNum>
  <w:abstractNum w:abstractNumId="29" w15:restartNumberingAfterBreak="0">
    <w:nsid w:val="58B73D84"/>
    <w:multiLevelType w:val="multilevel"/>
    <w:tmpl w:val="50041352"/>
    <w:numStyleLink w:val="ListHeadings"/>
  </w:abstractNum>
  <w:abstractNum w:abstractNumId="30" w15:restartNumberingAfterBreak="0">
    <w:nsid w:val="596A0C8C"/>
    <w:multiLevelType w:val="multilevel"/>
    <w:tmpl w:val="3252CBE4"/>
    <w:numStyleLink w:val="Numbering"/>
  </w:abstractNum>
  <w:abstractNum w:abstractNumId="31"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2" w15:restartNumberingAfterBreak="0">
    <w:nsid w:val="643520E2"/>
    <w:multiLevelType w:val="multilevel"/>
    <w:tmpl w:val="7B2236E6"/>
    <w:numStyleLink w:val="Bullets"/>
  </w:abstractNum>
  <w:abstractNum w:abstractNumId="33" w15:restartNumberingAfterBreak="0">
    <w:nsid w:val="660D51AD"/>
    <w:multiLevelType w:val="multilevel"/>
    <w:tmpl w:val="3252CBE4"/>
    <w:numStyleLink w:val="Numbering"/>
  </w:abstractNum>
  <w:abstractNum w:abstractNumId="34" w15:restartNumberingAfterBreak="0">
    <w:nsid w:val="6E0D40EA"/>
    <w:multiLevelType w:val="multilevel"/>
    <w:tmpl w:val="B6542242"/>
    <w:numStyleLink w:val="LetteredList"/>
  </w:abstractNum>
  <w:abstractNum w:abstractNumId="35" w15:restartNumberingAfterBreak="0">
    <w:nsid w:val="744D0736"/>
    <w:multiLevelType w:val="multilevel"/>
    <w:tmpl w:val="3252CBE4"/>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1"/>
  </w:num>
  <w:num w:numId="12" w16cid:durableId="1261796759">
    <w:abstractNumId w:val="32"/>
  </w:num>
  <w:num w:numId="13" w16cid:durableId="1043405154">
    <w:abstractNumId w:val="22"/>
  </w:num>
  <w:num w:numId="14" w16cid:durableId="846598071">
    <w:abstractNumId w:val="16"/>
  </w:num>
  <w:num w:numId="15" w16cid:durableId="1311640227">
    <w:abstractNumId w:val="35"/>
  </w:num>
  <w:num w:numId="16" w16cid:durableId="881941196">
    <w:abstractNumId w:val="27"/>
  </w:num>
  <w:num w:numId="17" w16cid:durableId="533617442">
    <w:abstractNumId w:val="33"/>
  </w:num>
  <w:num w:numId="18" w16cid:durableId="250312982">
    <w:abstractNumId w:val="10"/>
  </w:num>
  <w:num w:numId="19" w16cid:durableId="385955825">
    <w:abstractNumId w:val="13"/>
  </w:num>
  <w:num w:numId="20" w16cid:durableId="1408189744">
    <w:abstractNumId w:val="23"/>
  </w:num>
  <w:num w:numId="21" w16cid:durableId="1370494809">
    <w:abstractNumId w:val="17"/>
  </w:num>
  <w:num w:numId="22" w16cid:durableId="659580476">
    <w:abstractNumId w:val="12"/>
  </w:num>
  <w:num w:numId="23" w16cid:durableId="2036539326">
    <w:abstractNumId w:val="14"/>
  </w:num>
  <w:num w:numId="24" w16cid:durableId="1303265532">
    <w:abstractNumId w:val="20"/>
  </w:num>
  <w:num w:numId="25" w16cid:durableId="1737582058">
    <w:abstractNumId w:val="30"/>
  </w:num>
  <w:num w:numId="26" w16cid:durableId="974717717">
    <w:abstractNumId w:val="29"/>
  </w:num>
  <w:num w:numId="27" w16cid:durableId="444039133">
    <w:abstractNumId w:val="19"/>
  </w:num>
  <w:num w:numId="28" w16cid:durableId="1536448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6"/>
  </w:num>
  <w:num w:numId="30" w16cid:durableId="1078097849">
    <w:abstractNumId w:val="28"/>
  </w:num>
  <w:num w:numId="31" w16cid:durableId="725029349">
    <w:abstractNumId w:val="21"/>
  </w:num>
  <w:num w:numId="32" w16cid:durableId="1773672465">
    <w:abstractNumId w:val="11"/>
  </w:num>
  <w:num w:numId="33" w16cid:durableId="1905679259">
    <w:abstractNumId w:val="18"/>
  </w:num>
  <w:num w:numId="34" w16cid:durableId="1487628207">
    <w:abstractNumId w:val="34"/>
  </w:num>
  <w:num w:numId="35" w16cid:durableId="735318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7989843">
    <w:abstractNumId w:val="25"/>
  </w:num>
  <w:num w:numId="37" w16cid:durableId="766852492">
    <w:abstractNumId w:val="24"/>
  </w:num>
  <w:num w:numId="38" w16cid:durableId="13869492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90"/>
    <w:rsid w:val="000016E9"/>
    <w:rsid w:val="000300AF"/>
    <w:rsid w:val="0003148A"/>
    <w:rsid w:val="00062784"/>
    <w:rsid w:val="000724AE"/>
    <w:rsid w:val="0007747C"/>
    <w:rsid w:val="0008037D"/>
    <w:rsid w:val="00086F51"/>
    <w:rsid w:val="000910E4"/>
    <w:rsid w:val="00092650"/>
    <w:rsid w:val="000B497F"/>
    <w:rsid w:val="000C1AA9"/>
    <w:rsid w:val="000D3DF9"/>
    <w:rsid w:val="000F2D16"/>
    <w:rsid w:val="0010129F"/>
    <w:rsid w:val="00110345"/>
    <w:rsid w:val="00110AC2"/>
    <w:rsid w:val="00112E8F"/>
    <w:rsid w:val="001268BC"/>
    <w:rsid w:val="001570B0"/>
    <w:rsid w:val="00166F43"/>
    <w:rsid w:val="001810A0"/>
    <w:rsid w:val="001A067F"/>
    <w:rsid w:val="001A0D77"/>
    <w:rsid w:val="001A791E"/>
    <w:rsid w:val="001C0D28"/>
    <w:rsid w:val="001C19AB"/>
    <w:rsid w:val="001C7835"/>
    <w:rsid w:val="001F13C1"/>
    <w:rsid w:val="001F446D"/>
    <w:rsid w:val="00221AB7"/>
    <w:rsid w:val="00246435"/>
    <w:rsid w:val="00246BCF"/>
    <w:rsid w:val="0025786F"/>
    <w:rsid w:val="00265D26"/>
    <w:rsid w:val="00270834"/>
    <w:rsid w:val="0027131C"/>
    <w:rsid w:val="002814E6"/>
    <w:rsid w:val="00281560"/>
    <w:rsid w:val="00294036"/>
    <w:rsid w:val="00295C59"/>
    <w:rsid w:val="00296F32"/>
    <w:rsid w:val="002E0EDA"/>
    <w:rsid w:val="002E394D"/>
    <w:rsid w:val="002F07B4"/>
    <w:rsid w:val="00303246"/>
    <w:rsid w:val="00305171"/>
    <w:rsid w:val="003126A4"/>
    <w:rsid w:val="0034139E"/>
    <w:rsid w:val="0034680A"/>
    <w:rsid w:val="00363FF8"/>
    <w:rsid w:val="003676E4"/>
    <w:rsid w:val="0037721D"/>
    <w:rsid w:val="0038102A"/>
    <w:rsid w:val="003A265C"/>
    <w:rsid w:val="003B0240"/>
    <w:rsid w:val="003B4D30"/>
    <w:rsid w:val="003D0865"/>
    <w:rsid w:val="003D23A3"/>
    <w:rsid w:val="003D3729"/>
    <w:rsid w:val="003D5856"/>
    <w:rsid w:val="00404E4F"/>
    <w:rsid w:val="0042339A"/>
    <w:rsid w:val="00424C4D"/>
    <w:rsid w:val="0042508F"/>
    <w:rsid w:val="00455000"/>
    <w:rsid w:val="004635FD"/>
    <w:rsid w:val="00467EA8"/>
    <w:rsid w:val="00474FEE"/>
    <w:rsid w:val="004843D5"/>
    <w:rsid w:val="00491738"/>
    <w:rsid w:val="00493799"/>
    <w:rsid w:val="004A0FC4"/>
    <w:rsid w:val="004A65E6"/>
    <w:rsid w:val="004B609E"/>
    <w:rsid w:val="004C5DAA"/>
    <w:rsid w:val="004D1958"/>
    <w:rsid w:val="004E0833"/>
    <w:rsid w:val="004E28C6"/>
    <w:rsid w:val="004F138F"/>
    <w:rsid w:val="004F5D6B"/>
    <w:rsid w:val="00500FBF"/>
    <w:rsid w:val="0050670B"/>
    <w:rsid w:val="005141E8"/>
    <w:rsid w:val="00533496"/>
    <w:rsid w:val="0054698D"/>
    <w:rsid w:val="00550C99"/>
    <w:rsid w:val="00553413"/>
    <w:rsid w:val="0056214A"/>
    <w:rsid w:val="0058369E"/>
    <w:rsid w:val="00586DD1"/>
    <w:rsid w:val="00593314"/>
    <w:rsid w:val="00594496"/>
    <w:rsid w:val="005A51A0"/>
    <w:rsid w:val="005C6618"/>
    <w:rsid w:val="00603FD5"/>
    <w:rsid w:val="00616DC8"/>
    <w:rsid w:val="00646F3B"/>
    <w:rsid w:val="0068724F"/>
    <w:rsid w:val="006A1DEF"/>
    <w:rsid w:val="006A3CC0"/>
    <w:rsid w:val="006A5094"/>
    <w:rsid w:val="006B258F"/>
    <w:rsid w:val="006B6F9A"/>
    <w:rsid w:val="006C461E"/>
    <w:rsid w:val="006C4AF4"/>
    <w:rsid w:val="006D3F2F"/>
    <w:rsid w:val="006E3536"/>
    <w:rsid w:val="00700AF5"/>
    <w:rsid w:val="00714488"/>
    <w:rsid w:val="00716FA5"/>
    <w:rsid w:val="00717F79"/>
    <w:rsid w:val="007254A7"/>
    <w:rsid w:val="0073421C"/>
    <w:rsid w:val="00735843"/>
    <w:rsid w:val="00792868"/>
    <w:rsid w:val="0079751C"/>
    <w:rsid w:val="007A0363"/>
    <w:rsid w:val="007B6F90"/>
    <w:rsid w:val="007C2EB8"/>
    <w:rsid w:val="007C3FC5"/>
    <w:rsid w:val="007C61C7"/>
    <w:rsid w:val="007E677E"/>
    <w:rsid w:val="007E7FE4"/>
    <w:rsid w:val="00806F01"/>
    <w:rsid w:val="0081533C"/>
    <w:rsid w:val="0081591F"/>
    <w:rsid w:val="00822756"/>
    <w:rsid w:val="00845A6C"/>
    <w:rsid w:val="00845C1F"/>
    <w:rsid w:val="0085372C"/>
    <w:rsid w:val="0085439B"/>
    <w:rsid w:val="00896F09"/>
    <w:rsid w:val="00897F77"/>
    <w:rsid w:val="008A2BB2"/>
    <w:rsid w:val="008B05C3"/>
    <w:rsid w:val="008B4965"/>
    <w:rsid w:val="008B637D"/>
    <w:rsid w:val="008D1ABD"/>
    <w:rsid w:val="008D760A"/>
    <w:rsid w:val="008F70D1"/>
    <w:rsid w:val="0090137A"/>
    <w:rsid w:val="009254B8"/>
    <w:rsid w:val="00926DEE"/>
    <w:rsid w:val="00926DF7"/>
    <w:rsid w:val="00927FDE"/>
    <w:rsid w:val="00934706"/>
    <w:rsid w:val="00936068"/>
    <w:rsid w:val="0093619C"/>
    <w:rsid w:val="009517CC"/>
    <w:rsid w:val="009615D4"/>
    <w:rsid w:val="00964D2F"/>
    <w:rsid w:val="00974677"/>
    <w:rsid w:val="00983D00"/>
    <w:rsid w:val="00990D47"/>
    <w:rsid w:val="009A1E02"/>
    <w:rsid w:val="009A2F17"/>
    <w:rsid w:val="009A49D1"/>
    <w:rsid w:val="009B2231"/>
    <w:rsid w:val="009B7F5D"/>
    <w:rsid w:val="009D24F5"/>
    <w:rsid w:val="009D439E"/>
    <w:rsid w:val="009E684B"/>
    <w:rsid w:val="009F3A68"/>
    <w:rsid w:val="009F5B49"/>
    <w:rsid w:val="009F7265"/>
    <w:rsid w:val="00A12635"/>
    <w:rsid w:val="00A13664"/>
    <w:rsid w:val="00A20BA0"/>
    <w:rsid w:val="00A24985"/>
    <w:rsid w:val="00A24EF4"/>
    <w:rsid w:val="00A53F38"/>
    <w:rsid w:val="00A60DA0"/>
    <w:rsid w:val="00A672E3"/>
    <w:rsid w:val="00A81CCD"/>
    <w:rsid w:val="00A86FA0"/>
    <w:rsid w:val="00A90151"/>
    <w:rsid w:val="00A9359B"/>
    <w:rsid w:val="00AA163B"/>
    <w:rsid w:val="00AB5F12"/>
    <w:rsid w:val="00AC0558"/>
    <w:rsid w:val="00AC2373"/>
    <w:rsid w:val="00AC24BE"/>
    <w:rsid w:val="00AC3934"/>
    <w:rsid w:val="00AE7DB6"/>
    <w:rsid w:val="00AF7956"/>
    <w:rsid w:val="00B10776"/>
    <w:rsid w:val="00B22D9D"/>
    <w:rsid w:val="00B23603"/>
    <w:rsid w:val="00B25616"/>
    <w:rsid w:val="00B32D6C"/>
    <w:rsid w:val="00B3365C"/>
    <w:rsid w:val="00B3749D"/>
    <w:rsid w:val="00B44103"/>
    <w:rsid w:val="00B45AB3"/>
    <w:rsid w:val="00B56365"/>
    <w:rsid w:val="00B57C8C"/>
    <w:rsid w:val="00B65DAA"/>
    <w:rsid w:val="00B66B2F"/>
    <w:rsid w:val="00B74F7F"/>
    <w:rsid w:val="00B75B08"/>
    <w:rsid w:val="00B87859"/>
    <w:rsid w:val="00B91D47"/>
    <w:rsid w:val="00BA3CB8"/>
    <w:rsid w:val="00BA7623"/>
    <w:rsid w:val="00BF3799"/>
    <w:rsid w:val="00BF68C8"/>
    <w:rsid w:val="00C01E68"/>
    <w:rsid w:val="00C11924"/>
    <w:rsid w:val="00C12CF1"/>
    <w:rsid w:val="00C2094D"/>
    <w:rsid w:val="00C326F9"/>
    <w:rsid w:val="00C34C8E"/>
    <w:rsid w:val="00C37A29"/>
    <w:rsid w:val="00C41DED"/>
    <w:rsid w:val="00C632A4"/>
    <w:rsid w:val="00C70EFC"/>
    <w:rsid w:val="00C8367B"/>
    <w:rsid w:val="00C932F3"/>
    <w:rsid w:val="00CA06C6"/>
    <w:rsid w:val="00CA1FCA"/>
    <w:rsid w:val="00CB1E32"/>
    <w:rsid w:val="00CD61EB"/>
    <w:rsid w:val="00CF02F0"/>
    <w:rsid w:val="00CF551D"/>
    <w:rsid w:val="00D103E7"/>
    <w:rsid w:val="00D16F74"/>
    <w:rsid w:val="00D215C3"/>
    <w:rsid w:val="00D34FB0"/>
    <w:rsid w:val="00D60649"/>
    <w:rsid w:val="00D61E88"/>
    <w:rsid w:val="00D73854"/>
    <w:rsid w:val="00D83923"/>
    <w:rsid w:val="00D9419D"/>
    <w:rsid w:val="00DB7434"/>
    <w:rsid w:val="00DD3C7C"/>
    <w:rsid w:val="00DE59FB"/>
    <w:rsid w:val="00DE602B"/>
    <w:rsid w:val="00DF4E3E"/>
    <w:rsid w:val="00E0453D"/>
    <w:rsid w:val="00E05FA6"/>
    <w:rsid w:val="00E25474"/>
    <w:rsid w:val="00E32F93"/>
    <w:rsid w:val="00E42A61"/>
    <w:rsid w:val="00E51BD9"/>
    <w:rsid w:val="00E54B2B"/>
    <w:rsid w:val="00E55CAE"/>
    <w:rsid w:val="00E56A45"/>
    <w:rsid w:val="00E57CEC"/>
    <w:rsid w:val="00E634F4"/>
    <w:rsid w:val="00E637A7"/>
    <w:rsid w:val="00E7522A"/>
    <w:rsid w:val="00E75FCA"/>
    <w:rsid w:val="00E90E1C"/>
    <w:rsid w:val="00EA1943"/>
    <w:rsid w:val="00EA3594"/>
    <w:rsid w:val="00EB4BAD"/>
    <w:rsid w:val="00EC7961"/>
    <w:rsid w:val="00ED380C"/>
    <w:rsid w:val="00ED59AB"/>
    <w:rsid w:val="00EE4DFE"/>
    <w:rsid w:val="00EE6F14"/>
    <w:rsid w:val="00EF0EDF"/>
    <w:rsid w:val="00EF3F23"/>
    <w:rsid w:val="00F05A49"/>
    <w:rsid w:val="00F162D4"/>
    <w:rsid w:val="00F4010B"/>
    <w:rsid w:val="00F421AF"/>
    <w:rsid w:val="00F4702C"/>
    <w:rsid w:val="00F47F1C"/>
    <w:rsid w:val="00F505B8"/>
    <w:rsid w:val="00F53397"/>
    <w:rsid w:val="00F625FE"/>
    <w:rsid w:val="00F634F6"/>
    <w:rsid w:val="00F649E5"/>
    <w:rsid w:val="00F87B07"/>
    <w:rsid w:val="00F915A0"/>
    <w:rsid w:val="00F934BC"/>
    <w:rsid w:val="00F94880"/>
    <w:rsid w:val="00FB0D65"/>
    <w:rsid w:val="00FB1EA0"/>
    <w:rsid w:val="00FC1603"/>
    <w:rsid w:val="00FC2D8B"/>
    <w:rsid w:val="00FD18BC"/>
    <w:rsid w:val="00FD2FF6"/>
    <w:rsid w:val="00FD3306"/>
    <w:rsid w:val="00FE22BA"/>
    <w:rsid w:val="00FE35D0"/>
    <w:rsid w:val="00FE57D8"/>
    <w:rsid w:val="00FF3D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7A1A4"/>
  <w15:chartTrackingRefBased/>
  <w15:docId w15:val="{DF02DF15-BF32-DD4B-A262-C0D52EE9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6C6"/>
    <w:pPr>
      <w:spacing w:before="120" w:after="240" w:line="264" w:lineRule="auto"/>
    </w:pPr>
    <w:rPr>
      <w:rFonts w:asciiTheme="majorHAnsi" w:hAnsiTheme="majorHAnsi"/>
    </w:rPr>
  </w:style>
  <w:style w:type="paragraph" w:styleId="Heading1">
    <w:name w:val="heading 1"/>
    <w:basedOn w:val="Normal"/>
    <w:next w:val="Normal"/>
    <w:link w:val="Heading1Char"/>
    <w:uiPriority w:val="9"/>
    <w:qFormat/>
    <w:rsid w:val="002F07B4"/>
    <w:pPr>
      <w:keepNext/>
      <w:keepLines/>
      <w:spacing w:before="600" w:after="440"/>
      <w:outlineLvl w:val="0"/>
    </w:pPr>
    <w:rPr>
      <w:rFonts w:eastAsiaTheme="majorEastAsia" w:cstheme="majorBidi"/>
      <w:color w:val="430098" w:themeColor="text2"/>
      <w:sz w:val="40"/>
      <w:szCs w:val="32"/>
    </w:rPr>
  </w:style>
  <w:style w:type="paragraph" w:styleId="Heading2">
    <w:name w:val="heading 2"/>
    <w:basedOn w:val="Normal"/>
    <w:next w:val="Normal"/>
    <w:link w:val="Heading2Char"/>
    <w:uiPriority w:val="9"/>
    <w:qFormat/>
    <w:rsid w:val="002F07B4"/>
    <w:pPr>
      <w:keepNext/>
      <w:keepLines/>
      <w:spacing w:before="480" w:after="360"/>
      <w:outlineLvl w:val="1"/>
    </w:pPr>
    <w:rPr>
      <w:rFonts w:eastAsiaTheme="majorEastAsia" w:cstheme="majorBidi"/>
      <w:color w:val="430098" w:themeColor="text2"/>
      <w:sz w:val="30"/>
      <w:szCs w:val="26"/>
    </w:rPr>
  </w:style>
  <w:style w:type="paragraph" w:styleId="Heading3">
    <w:name w:val="heading 3"/>
    <w:basedOn w:val="Normal"/>
    <w:next w:val="Normal"/>
    <w:link w:val="Heading3Char"/>
    <w:uiPriority w:val="9"/>
    <w:qFormat/>
    <w:rsid w:val="002F07B4"/>
    <w:pPr>
      <w:keepNext/>
      <w:keepLines/>
      <w:spacing w:before="360"/>
      <w:outlineLvl w:val="2"/>
    </w:pPr>
    <w:rPr>
      <w:rFonts w:eastAsiaTheme="majorEastAsia" w:cstheme="majorBidi"/>
      <w:sz w:val="26"/>
      <w:szCs w:val="24"/>
    </w:rPr>
  </w:style>
  <w:style w:type="paragraph" w:styleId="Heading4">
    <w:name w:val="heading 4"/>
    <w:basedOn w:val="Normal"/>
    <w:next w:val="Normal"/>
    <w:link w:val="Heading4Char"/>
    <w:uiPriority w:val="9"/>
    <w:rsid w:val="000D3DF9"/>
    <w:pPr>
      <w:keepNext/>
      <w:keepLines/>
      <w:spacing w:after="120"/>
      <w:outlineLvl w:val="3"/>
    </w:pPr>
    <w:rPr>
      <w:rFonts w:eastAsiaTheme="majorEastAsia" w:cstheme="majorBidi"/>
      <w:i/>
      <w:iCs/>
      <w:sz w:val="24"/>
    </w:rPr>
  </w:style>
  <w:style w:type="paragraph" w:styleId="Heading5">
    <w:name w:val="heading 5"/>
    <w:basedOn w:val="Normal"/>
    <w:next w:val="Normal"/>
    <w:link w:val="Heading5Char"/>
    <w:uiPriority w:val="9"/>
    <w:semiHidden/>
    <w:qFormat/>
    <w:rsid w:val="009D24F5"/>
    <w:pPr>
      <w:keepNext/>
      <w:keepLines/>
      <w:spacing w:after="60"/>
      <w:outlineLvl w:val="4"/>
    </w:pPr>
    <w:rPr>
      <w:rFonts w:eastAsiaTheme="majorEastAsia"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2CF1"/>
    <w:pPr>
      <w:spacing w:after="0" w:line="264" w:lineRule="auto"/>
    </w:pPr>
  </w:style>
  <w:style w:type="paragraph" w:styleId="ListBullet">
    <w:name w:val="List Bullet"/>
    <w:basedOn w:val="Normal"/>
    <w:uiPriority w:val="99"/>
    <w:unhideWhenUsed/>
    <w:qFormat/>
    <w:rsid w:val="00896F09"/>
    <w:pPr>
      <w:numPr>
        <w:numId w:val="31"/>
      </w:numPr>
      <w:ind w:left="1134" w:hanging="567"/>
    </w:pPr>
  </w:style>
  <w:style w:type="paragraph" w:styleId="ListBullet2">
    <w:name w:val="List Bullet 2"/>
    <w:basedOn w:val="Normal"/>
    <w:uiPriority w:val="99"/>
    <w:unhideWhenUsed/>
    <w:qFormat/>
    <w:rsid w:val="00CA06C6"/>
    <w:pPr>
      <w:numPr>
        <w:ilvl w:val="1"/>
        <w:numId w:val="31"/>
      </w:numPr>
    </w:pPr>
  </w:style>
  <w:style w:type="paragraph" w:styleId="ListNumber">
    <w:name w:val="List Number"/>
    <w:basedOn w:val="Normal"/>
    <w:uiPriority w:val="99"/>
    <w:unhideWhenUsed/>
    <w:qFormat/>
    <w:rsid w:val="005A51A0"/>
    <w:pPr>
      <w:numPr>
        <w:numId w:val="32"/>
      </w:numPr>
      <w:contextualSpacing/>
    </w:pPr>
  </w:style>
  <w:style w:type="numbering" w:customStyle="1" w:styleId="Bullets">
    <w:name w:val="Bullets"/>
    <w:uiPriority w:val="99"/>
    <w:rsid w:val="000D3DF9"/>
    <w:pPr>
      <w:numPr>
        <w:numId w:val="11"/>
      </w:numPr>
    </w:pPr>
  </w:style>
  <w:style w:type="character" w:customStyle="1" w:styleId="Heading1Char">
    <w:name w:val="Heading 1 Char"/>
    <w:basedOn w:val="DefaultParagraphFont"/>
    <w:link w:val="Heading1"/>
    <w:uiPriority w:val="9"/>
    <w:rsid w:val="002F07B4"/>
    <w:rPr>
      <w:rFonts w:asciiTheme="majorHAnsi" w:eastAsiaTheme="majorEastAsia" w:hAnsiTheme="majorHAnsi" w:cstheme="majorBidi"/>
      <w:color w:val="430098" w:themeColor="text2"/>
      <w:sz w:val="40"/>
      <w:szCs w:val="32"/>
    </w:rPr>
  </w:style>
  <w:style w:type="paragraph" w:styleId="ListNumber2">
    <w:name w:val="List Number 2"/>
    <w:basedOn w:val="Normal"/>
    <w:uiPriority w:val="99"/>
    <w:unhideWhenUsed/>
    <w:qFormat/>
    <w:rsid w:val="005A51A0"/>
    <w:pPr>
      <w:numPr>
        <w:ilvl w:val="1"/>
        <w:numId w:val="32"/>
      </w:numPr>
      <w:contextualSpacing/>
    </w:pPr>
  </w:style>
  <w:style w:type="character" w:customStyle="1" w:styleId="Heading2Char">
    <w:name w:val="Heading 2 Char"/>
    <w:basedOn w:val="DefaultParagraphFont"/>
    <w:link w:val="Heading2"/>
    <w:uiPriority w:val="9"/>
    <w:rsid w:val="000D3DF9"/>
    <w:rPr>
      <w:rFonts w:asciiTheme="majorHAnsi" w:eastAsiaTheme="majorEastAsia" w:hAnsiTheme="majorHAnsi" w:cstheme="majorBidi"/>
      <w:color w:val="430098" w:themeColor="text2"/>
      <w:sz w:val="30"/>
      <w:szCs w:val="26"/>
    </w:rPr>
  </w:style>
  <w:style w:type="paragraph" w:styleId="ListParagraph">
    <w:name w:val="List Paragraph"/>
    <w:basedOn w:val="Normal"/>
    <w:uiPriority w:val="34"/>
    <w:qFormat/>
    <w:rsid w:val="00CA06C6"/>
    <w:pPr>
      <w:ind w:left="284"/>
    </w:pPr>
  </w:style>
  <w:style w:type="paragraph" w:styleId="Header">
    <w:name w:val="header"/>
    <w:basedOn w:val="Normal"/>
    <w:link w:val="HeaderChar"/>
    <w:uiPriority w:val="99"/>
    <w:unhideWhenUsed/>
    <w:rsid w:val="00983D00"/>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rsid w:val="00983D00"/>
    <w:rPr>
      <w:sz w:val="14"/>
    </w:rPr>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5A51A0"/>
    <w:pPr>
      <w:numPr>
        <w:numId w:val="14"/>
      </w:numPr>
    </w:pPr>
  </w:style>
  <w:style w:type="paragraph" w:styleId="ListBullet3">
    <w:name w:val="List Bullet 3"/>
    <w:basedOn w:val="Normal"/>
    <w:uiPriority w:val="99"/>
    <w:unhideWhenUsed/>
    <w:rsid w:val="000D3DF9"/>
    <w:pPr>
      <w:numPr>
        <w:ilvl w:val="2"/>
        <w:numId w:val="31"/>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5A51A0"/>
    <w:pPr>
      <w:numPr>
        <w:ilvl w:val="2"/>
        <w:numId w:val="32"/>
      </w:numPr>
      <w:contextualSpacing/>
    </w:pPr>
  </w:style>
  <w:style w:type="paragraph" w:styleId="ListNumber4">
    <w:name w:val="List Number 4"/>
    <w:basedOn w:val="Normal"/>
    <w:uiPriority w:val="99"/>
    <w:unhideWhenUsed/>
    <w:qFormat/>
    <w:rsid w:val="005A51A0"/>
    <w:pPr>
      <w:numPr>
        <w:ilvl w:val="3"/>
        <w:numId w:val="32"/>
      </w:numPr>
      <w:contextualSpacing/>
    </w:pPr>
  </w:style>
  <w:style w:type="paragraph" w:styleId="ListNumber5">
    <w:name w:val="List Number 5"/>
    <w:basedOn w:val="Normal"/>
    <w:uiPriority w:val="99"/>
    <w:unhideWhenUsed/>
    <w:rsid w:val="005A51A0"/>
    <w:pPr>
      <w:numPr>
        <w:ilvl w:val="4"/>
        <w:numId w:val="32"/>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0D3DF9"/>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rsid w:val="000D3DF9"/>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semiHidden/>
    <w:rsid w:val="002F07B4"/>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281560"/>
    <w:pPr>
      <w:spacing w:after="360" w:line="228" w:lineRule="auto"/>
      <w:ind w:right="1701"/>
      <w:contextualSpacing/>
      <w:outlineLvl w:val="0"/>
    </w:pPr>
    <w:rPr>
      <w:rFonts w:eastAsiaTheme="majorEastAsia" w:cstheme="majorBidi"/>
      <w:color w:val="430098" w:themeColor="text2"/>
      <w:spacing w:val="-10"/>
      <w:kern w:val="28"/>
      <w:sz w:val="50"/>
      <w:szCs w:val="56"/>
    </w:rPr>
  </w:style>
  <w:style w:type="character" w:customStyle="1" w:styleId="TitleChar">
    <w:name w:val="Title Char"/>
    <w:basedOn w:val="DefaultParagraphFont"/>
    <w:link w:val="Title"/>
    <w:uiPriority w:val="10"/>
    <w:rsid w:val="00281560"/>
    <w:rPr>
      <w:rFonts w:eastAsiaTheme="majorEastAsia" w:cstheme="majorBidi"/>
      <w:color w:val="430098" w:themeColor="text2"/>
      <w:spacing w:val="-10"/>
      <w:kern w:val="28"/>
      <w:sz w:val="50"/>
      <w:szCs w:val="56"/>
    </w:rPr>
  </w:style>
  <w:style w:type="paragraph" w:customStyle="1" w:styleId="Breakoutbox">
    <w:name w:val="Break out box"/>
    <w:basedOn w:val="Normal"/>
    <w:link w:val="BreakoutboxChar"/>
    <w:semiHidden/>
    <w:qFormat/>
    <w:rsid w:val="00166F43"/>
    <w:pPr>
      <w:pBdr>
        <w:top w:val="single" w:sz="4" w:space="20" w:color="F5F5F5"/>
        <w:left w:val="single" w:sz="4" w:space="20" w:color="F5F5F5"/>
        <w:bottom w:val="single" w:sz="4" w:space="20" w:color="F5F5F5"/>
        <w:right w:val="single" w:sz="4" w:space="20" w:color="F5F5F5"/>
      </w:pBdr>
      <w:shd w:val="clear" w:color="auto" w:fill="F5F5F5"/>
      <w:ind w:left="425" w:right="425"/>
    </w:pPr>
  </w:style>
  <w:style w:type="paragraph" w:customStyle="1" w:styleId="BreakoutboxHeading">
    <w:name w:val="Break out box Heading"/>
    <w:basedOn w:val="Breakoutbox"/>
    <w:next w:val="Breakoutbox"/>
    <w:link w:val="BreakoutboxHeadingChar"/>
    <w:semiHidden/>
    <w:qFormat/>
    <w:rsid w:val="004B609E"/>
    <w:rPr>
      <w:b/>
    </w:rPr>
  </w:style>
  <w:style w:type="character" w:customStyle="1" w:styleId="BreakoutboxChar">
    <w:name w:val="Break out box Char"/>
    <w:basedOn w:val="DefaultParagraphFont"/>
    <w:link w:val="Breakoutbox"/>
    <w:semiHidden/>
    <w:rsid w:val="00166F43"/>
    <w:rPr>
      <w:shd w:val="clear" w:color="auto" w:fill="F5F5F5"/>
    </w:rPr>
  </w:style>
  <w:style w:type="character" w:customStyle="1" w:styleId="BreakoutboxHeadingChar">
    <w:name w:val="Break out box Heading Char"/>
    <w:basedOn w:val="BreakoutboxChar"/>
    <w:link w:val="BreakoutboxHeading"/>
    <w:semiHidden/>
    <w:rsid w:val="0050670B"/>
    <w:rPr>
      <w:b/>
      <w:color w:val="FFFFFF" w:themeColor="background1"/>
      <w:sz w:val="20"/>
      <w:shd w:val="clear" w:color="auto" w:fill="430098" w:themeFill="text2"/>
    </w:rPr>
  </w:style>
  <w:style w:type="character" w:customStyle="1" w:styleId="NormalBoldChar">
    <w:name w:val="Normal Bold Char"/>
    <w:basedOn w:val="DefaultParagraphFont"/>
    <w:link w:val="NormalBold"/>
    <w:rsid w:val="00CA06C6"/>
    <w:rPr>
      <w:rFonts w:asciiTheme="majorHAnsi" w:hAnsiTheme="majorHAnsi"/>
      <w:b/>
    </w:rPr>
  </w:style>
  <w:style w:type="character" w:styleId="Strong">
    <w:name w:val="Strong"/>
    <w:basedOn w:val="DefaultParagraphFont"/>
    <w:uiPriority w:val="22"/>
    <w:qFormat/>
    <w:rsid w:val="000016E9"/>
    <w:rPr>
      <w:b/>
      <w:bCs/>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Charttitles"/>
    <w:next w:val="Normal"/>
    <w:uiPriority w:val="35"/>
    <w:unhideWhenUsed/>
    <w:qFormat/>
    <w:rsid w:val="004D1958"/>
  </w:style>
  <w:style w:type="paragraph" w:styleId="List">
    <w:name w:val="List"/>
    <w:basedOn w:val="Normal"/>
    <w:uiPriority w:val="99"/>
    <w:unhideWhenUsed/>
    <w:qFormat/>
    <w:rsid w:val="00CA06C6"/>
    <w:pPr>
      <w:numPr>
        <w:numId w:val="34"/>
      </w:numPr>
    </w:pPr>
  </w:style>
  <w:style w:type="paragraph" w:styleId="List2">
    <w:name w:val="List 2"/>
    <w:basedOn w:val="Normal"/>
    <w:uiPriority w:val="99"/>
    <w:unhideWhenUsed/>
    <w:qFormat/>
    <w:rsid w:val="00CA06C6"/>
    <w:pPr>
      <w:numPr>
        <w:ilvl w:val="1"/>
        <w:numId w:val="34"/>
      </w:numPr>
    </w:pPr>
  </w:style>
  <w:style w:type="numbering" w:customStyle="1" w:styleId="LetteredList">
    <w:name w:val="Lettered List"/>
    <w:uiPriority w:val="99"/>
    <w:rsid w:val="00A20BA0"/>
    <w:pPr>
      <w:numPr>
        <w:numId w:val="27"/>
      </w:numPr>
    </w:pPr>
  </w:style>
  <w:style w:type="paragraph" w:styleId="Subtitle">
    <w:name w:val="Subtitle"/>
    <w:basedOn w:val="Normal"/>
    <w:next w:val="Normal"/>
    <w:link w:val="SubtitleChar"/>
    <w:uiPriority w:val="11"/>
    <w:rsid w:val="00CF551D"/>
    <w:pPr>
      <w:numPr>
        <w:ilvl w:val="1"/>
      </w:numPr>
      <w:spacing w:after="0" w:line="228" w:lineRule="auto"/>
      <w:ind w:right="1701"/>
    </w:pPr>
    <w:rPr>
      <w:rFonts w:eastAsiaTheme="minorEastAsia"/>
      <w:color w:val="430098" w:themeColor="text2"/>
      <w:spacing w:val="-4"/>
      <w:sz w:val="30"/>
    </w:rPr>
  </w:style>
  <w:style w:type="character" w:customStyle="1" w:styleId="SubtitleChar">
    <w:name w:val="Subtitle Char"/>
    <w:basedOn w:val="DefaultParagraphFont"/>
    <w:link w:val="Subtitle"/>
    <w:uiPriority w:val="11"/>
    <w:rsid w:val="00CF551D"/>
    <w:rPr>
      <w:rFonts w:eastAsiaTheme="minorEastAsia"/>
      <w:color w:val="430098" w:themeColor="text2"/>
      <w:spacing w:val="-4"/>
      <w:sz w:val="30"/>
    </w:rPr>
  </w:style>
  <w:style w:type="paragraph" w:styleId="TOCHeading">
    <w:name w:val="TOC Heading"/>
    <w:basedOn w:val="Heading1"/>
    <w:next w:val="Normal"/>
    <w:uiPriority w:val="39"/>
    <w:qFormat/>
    <w:rsid w:val="006A3CC0"/>
    <w:pPr>
      <w:spacing w:line="259" w:lineRule="auto"/>
    </w:pPr>
    <w:rPr>
      <w:lang w:val="en-US"/>
    </w:rPr>
  </w:style>
  <w:style w:type="paragraph" w:styleId="TOC1">
    <w:name w:val="toc 1"/>
    <w:basedOn w:val="Normal"/>
    <w:next w:val="Normal"/>
    <w:autoRedefine/>
    <w:uiPriority w:val="39"/>
    <w:rsid w:val="00700AF5"/>
    <w:pPr>
      <w:spacing w:before="160" w:after="100"/>
    </w:pPr>
    <w:rPr>
      <w:color w:val="430098" w:themeColor="text2"/>
      <w:sz w:val="24"/>
    </w:rPr>
  </w:style>
  <w:style w:type="paragraph" w:styleId="TOC2">
    <w:name w:val="toc 2"/>
    <w:basedOn w:val="Normal"/>
    <w:next w:val="Normal"/>
    <w:autoRedefine/>
    <w:uiPriority w:val="39"/>
    <w:rsid w:val="006A3CC0"/>
    <w:pPr>
      <w:tabs>
        <w:tab w:val="right" w:leader="dot" w:pos="9288"/>
      </w:tabs>
      <w:spacing w:before="160" w:after="100"/>
    </w:pPr>
    <w:rPr>
      <w:color w:val="430098" w:themeColor="text2"/>
    </w:rPr>
  </w:style>
  <w:style w:type="paragraph" w:styleId="TOC3">
    <w:name w:val="toc 3"/>
    <w:basedOn w:val="Normal"/>
    <w:next w:val="Normal"/>
    <w:autoRedefine/>
    <w:uiPriority w:val="39"/>
    <w:rsid w:val="00700AF5"/>
    <w:pPr>
      <w:tabs>
        <w:tab w:val="right" w:leader="dot" w:pos="9628"/>
      </w:tabs>
      <w:spacing w:after="100"/>
      <w:ind w:left="284"/>
    </w:pPr>
    <w:rPr>
      <w:sz w:val="20"/>
    </w:r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link w:val="NormalBoldChar"/>
    <w:qFormat/>
    <w:rsid w:val="00CA06C6"/>
    <w:rPr>
      <w:b/>
    </w:rPr>
  </w:style>
  <w:style w:type="paragraph" w:customStyle="1" w:styleId="Footer-logolockup">
    <w:name w:val="Footer-logo lockup"/>
    <w:basedOn w:val="Footer"/>
    <w:rsid w:val="00FB1EA0"/>
    <w:pPr>
      <w:framePr w:w="2268" w:h="1588" w:hRule="exact" w:wrap="around" w:vAnchor="page" w:hAnchor="margin" w:x="1815" w:yAlign="bottom" w:anchorLock="1"/>
      <w:spacing w:before="0"/>
    </w:pPr>
    <w:rPr>
      <w:color w:val="430098" w:themeColor="text2"/>
      <w:spacing w:val="-4"/>
      <w:sz w:val="13"/>
    </w:rPr>
  </w:style>
  <w:style w:type="paragraph" w:customStyle="1" w:styleId="Footer-Right">
    <w:name w:val="Footer-Right"/>
    <w:basedOn w:val="Footer"/>
    <w:rsid w:val="00E56A45"/>
    <w:pPr>
      <w:jc w:val="right"/>
    </w:pPr>
  </w:style>
  <w:style w:type="paragraph" w:customStyle="1" w:styleId="Footer-Rightframe">
    <w:name w:val="Footer-Right frame"/>
    <w:basedOn w:val="Footer-Right"/>
    <w:rsid w:val="003A265C"/>
    <w:pPr>
      <w:framePr w:wrap="around" w:vAnchor="page" w:hAnchor="margin" w:xAlign="right" w:yAlign="bottom" w:anchorLock="1"/>
      <w:spacing w:after="1080"/>
      <w:ind w:right="28"/>
    </w:pPr>
    <w:rPr>
      <w:color w:val="430098" w:themeColor="text2"/>
      <w:sz w:val="20"/>
    </w:rPr>
  </w:style>
  <w:style w:type="character" w:styleId="UnresolvedMention">
    <w:name w:val="Unresolved Mention"/>
    <w:basedOn w:val="DefaultParagraphFont"/>
    <w:uiPriority w:val="99"/>
    <w:semiHidden/>
    <w:unhideWhenUsed/>
    <w:rsid w:val="0007747C"/>
    <w:rPr>
      <w:color w:val="605E5C"/>
      <w:shd w:val="clear" w:color="auto" w:fill="E1DFDD"/>
    </w:rPr>
  </w:style>
  <w:style w:type="paragraph" w:customStyle="1" w:styleId="Streamselection">
    <w:name w:val="Stream selection"/>
    <w:basedOn w:val="Normal"/>
    <w:link w:val="StreamselectionChar"/>
    <w:rsid w:val="004843D5"/>
    <w:pPr>
      <w:spacing w:before="0" w:after="0" w:line="240" w:lineRule="auto"/>
      <w:jc w:val="center"/>
    </w:pPr>
    <w:rPr>
      <w:b/>
      <w:caps/>
      <w:color w:val="430098" w:themeColor="text2"/>
      <w:spacing w:val="-4"/>
      <w:sz w:val="18"/>
    </w:rPr>
  </w:style>
  <w:style w:type="paragraph" w:customStyle="1" w:styleId="BackcoverURL">
    <w:name w:val="Back cover URL"/>
    <w:basedOn w:val="Normal"/>
    <w:rsid w:val="00990D47"/>
    <w:pPr>
      <w:spacing w:before="0"/>
      <w:jc w:val="center"/>
    </w:pPr>
    <w:rPr>
      <w:noProof/>
      <w:color w:val="430098" w:themeColor="text2"/>
      <w:sz w:val="18"/>
    </w:rPr>
  </w:style>
  <w:style w:type="character" w:customStyle="1" w:styleId="StreamselectionChar">
    <w:name w:val="Stream selection Char"/>
    <w:basedOn w:val="DefaultParagraphFont"/>
    <w:link w:val="Streamselection"/>
    <w:rsid w:val="004843D5"/>
    <w:rPr>
      <w:b/>
      <w:caps/>
      <w:color w:val="430098" w:themeColor="text2"/>
      <w:spacing w:val="-4"/>
      <w:sz w:val="18"/>
    </w:rPr>
  </w:style>
  <w:style w:type="paragraph" w:customStyle="1" w:styleId="Tabletext">
    <w:name w:val="Table text"/>
    <w:basedOn w:val="Normal"/>
    <w:qFormat/>
    <w:rsid w:val="00CA06C6"/>
    <w:pPr>
      <w:spacing w:after="120"/>
    </w:pPr>
    <w:rPr>
      <w:sz w:val="18"/>
    </w:rPr>
  </w:style>
  <w:style w:type="paragraph" w:styleId="Quote">
    <w:name w:val="Quote"/>
    <w:basedOn w:val="Normal"/>
    <w:next w:val="Normal"/>
    <w:link w:val="QuoteChar"/>
    <w:uiPriority w:val="29"/>
    <w:rsid w:val="00FF3D72"/>
    <w:pPr>
      <w:pBdr>
        <w:left w:val="single" w:sz="36" w:space="14" w:color="A489C7"/>
      </w:pBdr>
      <w:spacing w:before="200" w:after="0"/>
      <w:ind w:left="397" w:right="1134"/>
    </w:pPr>
    <w:rPr>
      <w:i/>
      <w:iCs/>
      <w:color w:val="430098" w:themeColor="text2"/>
    </w:rPr>
  </w:style>
  <w:style w:type="table" w:customStyle="1" w:styleId="OVICDefaulttable">
    <w:name w:val="OVIC Default table"/>
    <w:basedOn w:val="TableNormal"/>
    <w:uiPriority w:val="99"/>
    <w:rsid w:val="00467EA8"/>
    <w:pPr>
      <w:spacing w:after="0" w:line="240" w:lineRule="auto"/>
    </w:pPr>
    <w:rPr>
      <w:rFonts w:asciiTheme="majorHAnsi" w:hAnsiTheme="majorHAnsi"/>
      <w:sz w:val="18"/>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70" w:type="dxa"/>
        <w:left w:w="170" w:type="dxa"/>
        <w:bottom w:w="57" w:type="dxa"/>
        <w:right w:w="170"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band2Vert">
      <w:tblPr/>
      <w:tcPr>
        <w:shd w:val="clear" w:color="auto" w:fill="F5F5F5"/>
      </w:tcPr>
    </w:tblStylePr>
  </w:style>
  <w:style w:type="paragraph" w:customStyle="1" w:styleId="ProtectiveMarking">
    <w:name w:val="Protective Marking"/>
    <w:basedOn w:val="Normal"/>
    <w:rsid w:val="007C2EB8"/>
    <w:pPr>
      <w:framePr w:wrap="around" w:vAnchor="page" w:hAnchor="page" w:xAlign="center" w:y="568" w:anchorLock="1"/>
    </w:pPr>
    <w:rPr>
      <w:b/>
      <w:caps/>
      <w:color w:val="FF0000"/>
      <w:sz w:val="25"/>
    </w:rPr>
  </w:style>
  <w:style w:type="paragraph" w:customStyle="1" w:styleId="Streamselectionholder">
    <w:name w:val="Stream selection holder"/>
    <w:basedOn w:val="Normal"/>
    <w:rsid w:val="004843D5"/>
    <w:pPr>
      <w:spacing w:before="0" w:after="160" w:line="259" w:lineRule="auto"/>
    </w:pPr>
    <w:rPr>
      <w:b/>
      <w:caps/>
      <w:color w:val="430098" w:themeColor="text2"/>
      <w:sz w:val="18"/>
    </w:rPr>
  </w:style>
  <w:style w:type="paragraph" w:customStyle="1" w:styleId="Charttitles">
    <w:name w:val="Chart titles"/>
    <w:basedOn w:val="Normal"/>
    <w:uiPriority w:val="7"/>
    <w:qFormat/>
    <w:rsid w:val="0034139E"/>
    <w:pPr>
      <w:spacing w:before="480" w:after="360" w:line="240" w:lineRule="auto"/>
      <w:ind w:right="941"/>
    </w:pPr>
    <w:rPr>
      <w:rFonts w:eastAsia="Times New Roman" w:cstheme="minorHAnsi"/>
      <w:color w:val="430098"/>
      <w:sz w:val="20"/>
      <w:szCs w:val="20"/>
      <w:lang w:eastAsia="en-GB"/>
    </w:rPr>
  </w:style>
  <w:style w:type="character" w:customStyle="1" w:styleId="QuoteChar">
    <w:name w:val="Quote Char"/>
    <w:basedOn w:val="DefaultParagraphFont"/>
    <w:link w:val="Quote"/>
    <w:uiPriority w:val="29"/>
    <w:rsid w:val="00FF3D72"/>
    <w:rPr>
      <w:i/>
      <w:iCs/>
      <w:color w:val="430098" w:themeColor="text2"/>
    </w:rPr>
  </w:style>
  <w:style w:type="paragraph" w:customStyle="1" w:styleId="TitlepageHeading1">
    <w:name w:val="Title page Heading 1"/>
    <w:basedOn w:val="Heading1"/>
    <w:rsid w:val="00A60DA0"/>
    <w:pPr>
      <w:spacing w:before="0"/>
      <w:outlineLvl w:val="1"/>
    </w:pPr>
  </w:style>
  <w:style w:type="paragraph" w:customStyle="1" w:styleId="ListContinue6">
    <w:name w:val="List Continue 6"/>
    <w:basedOn w:val="ListContinue5"/>
    <w:uiPriority w:val="99"/>
    <w:qFormat/>
    <w:rsid w:val="005A51A0"/>
    <w:pPr>
      <w:ind w:left="1701"/>
    </w:pPr>
  </w:style>
  <w:style w:type="paragraph" w:customStyle="1" w:styleId="Agencyinformation">
    <w:name w:val="Agency information"/>
    <w:rsid w:val="003126A4"/>
    <w:pPr>
      <w:pBdr>
        <w:bottom w:val="single" w:sz="8" w:space="20" w:color="430098" w:themeColor="text2"/>
      </w:pBdr>
      <w:spacing w:before="120" w:line="240" w:lineRule="auto"/>
    </w:pPr>
    <w:rPr>
      <w:b/>
      <w:caps/>
      <w:color w:val="430098" w:themeColor="text2"/>
      <w:sz w:val="28"/>
    </w:rPr>
  </w:style>
  <w:style w:type="paragraph" w:customStyle="1" w:styleId="Toggle">
    <w:name w:val="Toggle"/>
    <w:basedOn w:val="Agencyinformation"/>
    <w:qFormat/>
    <w:rsid w:val="00E75FCA"/>
    <w:pPr>
      <w:pBdr>
        <w:bottom w:val="none" w:sz="0" w:space="0" w:color="auto"/>
      </w:pBdr>
      <w:spacing w:before="0" w:after="0"/>
      <w:outlineLvl w:val="0"/>
    </w:pPr>
    <w:rPr>
      <w:caps w:val="0"/>
      <w:color w:val="FFFFFF" w:themeColor="background1"/>
      <w:sz w:val="16"/>
    </w:rPr>
  </w:style>
  <w:style w:type="paragraph" w:customStyle="1" w:styleId="Togglenote">
    <w:name w:val="Toggle note"/>
    <w:basedOn w:val="Toggle"/>
    <w:rsid w:val="00110345"/>
    <w:pPr>
      <w:framePr w:w="680" w:wrap="around" w:vAnchor="text" w:hAnchor="page" w:x="285" w:y="-1020" w:anchorLock="1"/>
      <w:spacing w:line="228" w:lineRule="auto"/>
      <w:outlineLvl w:val="9"/>
    </w:pPr>
    <w:rPr>
      <w:b w:val="0"/>
      <w:vanish/>
      <w:color w:val="EA3AB0" w:themeColor="accent2"/>
      <w:sz w:val="14"/>
    </w:rPr>
  </w:style>
  <w:style w:type="table" w:customStyle="1" w:styleId="OVICFooter">
    <w:name w:val="OVIC Footer"/>
    <w:basedOn w:val="TableNormal"/>
    <w:uiPriority w:val="99"/>
    <w:rsid w:val="009B2231"/>
    <w:pPr>
      <w:spacing w:after="0" w:line="240" w:lineRule="auto"/>
    </w:pPr>
    <w:tblPr>
      <w:tblBorders>
        <w:top w:val="single" w:sz="8" w:space="0" w:color="430098" w:themeColor="text2"/>
      </w:tblBorders>
      <w:tblCellMar>
        <w:top w:w="340" w:type="dxa"/>
        <w:left w:w="0" w:type="dxa"/>
        <w:bottom w:w="680" w:type="dxa"/>
      </w:tblCellMar>
    </w:tblPr>
    <w:tcPr>
      <w:vAlign w:val="bottom"/>
    </w:tcPr>
  </w:style>
  <w:style w:type="paragraph" w:customStyle="1" w:styleId="FooterToggle">
    <w:name w:val="Footer Toggle"/>
    <w:basedOn w:val="Normal"/>
    <w:link w:val="FooterToggleChar"/>
    <w:rsid w:val="00CA1FCA"/>
    <w:pPr>
      <w:spacing w:before="0" w:after="0" w:line="240" w:lineRule="auto"/>
    </w:pPr>
    <w:rPr>
      <w:b/>
      <w:color w:val="430098" w:themeColor="text2"/>
      <w:sz w:val="16"/>
    </w:rPr>
  </w:style>
  <w:style w:type="paragraph" w:customStyle="1" w:styleId="Footercovertoggleholder">
    <w:name w:val="Footer cover toggle holder"/>
    <w:basedOn w:val="Normal"/>
    <w:rsid w:val="00B3365C"/>
    <w:pPr>
      <w:framePr w:w="9299" w:wrap="around" w:vAnchor="page" w:hAnchor="margin" w:yAlign="bottom" w:anchorLock="1"/>
      <w:spacing w:before="0" w:after="160" w:line="259" w:lineRule="auto"/>
    </w:pPr>
  </w:style>
  <w:style w:type="paragraph" w:customStyle="1" w:styleId="FooterToggle-Disclaimer">
    <w:name w:val="Footer Toggle-Disclaimer"/>
    <w:basedOn w:val="FooterToggle"/>
    <w:rsid w:val="00D34FB0"/>
    <w:pPr>
      <w:spacing w:line="228" w:lineRule="auto"/>
      <w:ind w:right="1134"/>
    </w:pPr>
    <w:rPr>
      <w:b w:val="0"/>
      <w:color w:val="auto"/>
      <w:sz w:val="14"/>
    </w:rPr>
  </w:style>
  <w:style w:type="paragraph" w:customStyle="1" w:styleId="PageNumber-right">
    <w:name w:val="Page Number-right"/>
    <w:basedOn w:val="FooterToggle"/>
    <w:link w:val="PageNumber-rightChar"/>
    <w:rsid w:val="00A81CCD"/>
    <w:pPr>
      <w:framePr w:hSpace="181" w:wrap="around" w:vAnchor="page" w:hAnchor="margin" w:yAlign="bottom"/>
      <w:suppressOverlap/>
      <w:jc w:val="right"/>
    </w:pPr>
    <w:rPr>
      <w:b w:val="0"/>
      <w:bCs/>
    </w:rPr>
  </w:style>
  <w:style w:type="character" w:customStyle="1" w:styleId="FooterToggleChar">
    <w:name w:val="Footer Toggle Char"/>
    <w:basedOn w:val="DefaultParagraphFont"/>
    <w:link w:val="FooterToggle"/>
    <w:rsid w:val="00A81CCD"/>
    <w:rPr>
      <w:b/>
      <w:color w:val="430098" w:themeColor="text2"/>
      <w:sz w:val="16"/>
    </w:rPr>
  </w:style>
  <w:style w:type="character" w:customStyle="1" w:styleId="PageNumber-rightChar">
    <w:name w:val="Page Number-right Char"/>
    <w:basedOn w:val="FooterToggleChar"/>
    <w:link w:val="PageNumber-right"/>
    <w:rsid w:val="00A81CCD"/>
    <w:rPr>
      <w:b w:val="0"/>
      <w:bCs/>
      <w:color w:val="430098" w:themeColor="text2"/>
      <w:sz w:val="16"/>
    </w:rPr>
  </w:style>
  <w:style w:type="character" w:styleId="CommentReference">
    <w:name w:val="annotation reference"/>
    <w:basedOn w:val="DefaultParagraphFont"/>
    <w:uiPriority w:val="99"/>
    <w:semiHidden/>
    <w:unhideWhenUsed/>
    <w:rsid w:val="00BF3799"/>
    <w:rPr>
      <w:sz w:val="16"/>
      <w:szCs w:val="16"/>
    </w:rPr>
  </w:style>
  <w:style w:type="paragraph" w:styleId="FootnoteText">
    <w:name w:val="footnote text"/>
    <w:basedOn w:val="Normal"/>
    <w:link w:val="FootnoteTextChar"/>
    <w:uiPriority w:val="99"/>
    <w:unhideWhenUsed/>
    <w:rsid w:val="004C5DAA"/>
    <w:pPr>
      <w:spacing w:before="0" w:after="120" w:line="240" w:lineRule="auto"/>
      <w:ind w:left="85" w:hanging="85"/>
    </w:pPr>
    <w:rPr>
      <w:sz w:val="16"/>
      <w:szCs w:val="20"/>
    </w:rPr>
  </w:style>
  <w:style w:type="character" w:customStyle="1" w:styleId="FootnoteTextChar">
    <w:name w:val="Footnote Text Char"/>
    <w:basedOn w:val="DefaultParagraphFont"/>
    <w:link w:val="FootnoteText"/>
    <w:uiPriority w:val="99"/>
    <w:rsid w:val="004C5DAA"/>
    <w:rPr>
      <w:rFonts w:asciiTheme="majorHAnsi" w:hAnsiTheme="majorHAnsi"/>
      <w:sz w:val="16"/>
      <w:szCs w:val="20"/>
    </w:rPr>
  </w:style>
  <w:style w:type="character" w:styleId="FootnoteReference">
    <w:name w:val="footnote reference"/>
    <w:basedOn w:val="DefaultParagraphFont"/>
    <w:uiPriority w:val="99"/>
    <w:semiHidden/>
    <w:unhideWhenUsed/>
    <w:rsid w:val="004C5DAA"/>
    <w:rPr>
      <w:vertAlign w:val="superscript"/>
    </w:rPr>
  </w:style>
  <w:style w:type="paragraph" w:customStyle="1" w:styleId="Body">
    <w:name w:val="Body"/>
    <w:basedOn w:val="Normal"/>
    <w:qFormat/>
    <w:rsid w:val="007B6F90"/>
    <w:pPr>
      <w:widowControl w:val="0"/>
      <w:suppressAutoHyphens/>
      <w:autoSpaceDE w:val="0"/>
      <w:autoSpaceDN w:val="0"/>
      <w:adjustRightInd w:val="0"/>
      <w:textAlignment w:val="center"/>
    </w:pPr>
    <w:rPr>
      <w:rFonts w:ascii="Calibri" w:eastAsia="Calibri" w:hAnsi="Calibri" w:cs="PostGrotesk-Book"/>
      <w:color w:val="000000" w:themeColor="text1"/>
      <w:lang w:val="en-GB"/>
    </w:rPr>
  </w:style>
  <w:style w:type="paragraph" w:customStyle="1" w:styleId="Heading-1">
    <w:name w:val="Heading-1"/>
    <w:basedOn w:val="Normal"/>
    <w:autoRedefine/>
    <w:qFormat/>
    <w:rsid w:val="007B6F90"/>
    <w:pPr>
      <w:widowControl w:val="0"/>
      <w:suppressAutoHyphens/>
      <w:autoSpaceDE w:val="0"/>
      <w:autoSpaceDN w:val="0"/>
      <w:adjustRightInd w:val="0"/>
      <w:spacing w:after="200"/>
      <w:textAlignment w:val="center"/>
    </w:pPr>
    <w:rPr>
      <w:rFonts w:ascii="Calibri" w:eastAsia="Calibri" w:hAnsi="Calibri" w:cs="PostGrotesk-Medium"/>
      <w:b/>
      <w:color w:val="430098"/>
      <w:sz w:val="28"/>
      <w:szCs w:val="26"/>
      <w:lang w:eastAsia="en-GB"/>
    </w:rPr>
  </w:style>
  <w:style w:type="paragraph" w:customStyle="1" w:styleId="MainTitle">
    <w:name w:val="Main Title"/>
    <w:basedOn w:val="Header"/>
    <w:autoRedefine/>
    <w:qFormat/>
    <w:rsid w:val="007B6F90"/>
    <w:pPr>
      <w:tabs>
        <w:tab w:val="clear" w:pos="9026"/>
        <w:tab w:val="left" w:pos="6946"/>
      </w:tabs>
      <w:spacing w:before="240" w:after="360"/>
    </w:pPr>
    <w:rPr>
      <w:rFonts w:asciiTheme="minorHAnsi" w:eastAsia="Calibri" w:hAnsiTheme="minorHAnsi" w:cs="Arial"/>
      <w:b/>
      <w:color w:val="430098"/>
      <w:sz w:val="36"/>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vic.vic.gov.au/resource/protecting-privacy-while-sharing-information-under-the-new-part-6b-of-the-health-services-act-1988-guidance-for-practitioner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ovic.vic.gov.au/resource/protecting-privacy-while-sharing-information-under-the-new-part-6b-of-the-health-services-act-1988-guidance-for-practition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cc.vic.gov.au/public/health-reco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azette.vic.gov.au/gazette/Gazettes2024/GG2024G035.pdf" TargetMode="External"/><Relationship Id="rId5" Type="http://schemas.openxmlformats.org/officeDocument/2006/relationships/settings" Target="settings.xml"/><Relationship Id="rId15" Type="http://schemas.openxmlformats.org/officeDocument/2006/relationships/hyperlink" Target="https://ovic.vic.gov.au/privacy/privacy-guidance-for-organisations/" TargetMode="External"/><Relationship Id="rId23" Type="http://schemas.openxmlformats.org/officeDocument/2006/relationships/theme" Target="theme/theme1.xml"/><Relationship Id="rId10" Type="http://schemas.openxmlformats.org/officeDocument/2006/relationships/hyperlink" Target="http://hcc.vic.gov.a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ovic.vic.gov.au/resource/protecting-privacy-while-sharing-information-under-the-new-part-6b-of-the-health-services-act-1988-guidance-for-practitioners/" TargetMode="External"/><Relationship Id="rId14" Type="http://schemas.openxmlformats.org/officeDocument/2006/relationships/hyperlink" Target="https://ovic.vic.gov.au/privacy/privacy-guidance-for-organisations/"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Office%20365%20Templates/OVIC%20short%20pub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77D65F9ED4A44A81C15A8859ED5839"/>
        <w:category>
          <w:name w:val="General"/>
          <w:gallery w:val="placeholder"/>
        </w:category>
        <w:types>
          <w:type w:val="bbPlcHdr"/>
        </w:types>
        <w:behaviors>
          <w:behavior w:val="content"/>
        </w:behaviors>
        <w:guid w:val="{B727A29D-9AEF-8549-9078-EC8FA3BE6B12}"/>
      </w:docPartPr>
      <w:docPartBody>
        <w:p w:rsidR="000D7624" w:rsidRDefault="00000000">
          <w:pPr>
            <w:pStyle w:val="F177D65F9ED4A44A81C15A8859ED5839"/>
          </w:pPr>
          <w:r w:rsidRPr="00281560">
            <w:rPr>
              <w:highlight w:val="lightGray"/>
            </w:rPr>
            <w:t>[Click to add Title, linked to the internal pages footer]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PostGrotesk-Book">
    <w:altName w:val="Times New Roman"/>
    <w:panose1 w:val="020B0604020202020204"/>
    <w:charset w:val="00"/>
    <w:family w:val="auto"/>
    <w:pitch w:val="variable"/>
    <w:sig w:usb0="00000001" w:usb1="500160FB" w:usb2="00000000" w:usb3="00000000" w:csb0="0000009B" w:csb1="00000000"/>
  </w:font>
  <w:font w:name="PostGrotesk-Medium">
    <w:altName w:val="Times New Roman"/>
    <w:panose1 w:val="020B0604020202020204"/>
    <w:charset w:val="00"/>
    <w:family w:val="auto"/>
    <w:pitch w:val="variable"/>
    <w:sig w:usb0="00000001" w:usb1="5001607B"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97"/>
    <w:rsid w:val="000D7624"/>
    <w:rsid w:val="00136401"/>
    <w:rsid w:val="00493799"/>
    <w:rsid w:val="00971597"/>
    <w:rsid w:val="00A82C59"/>
    <w:rsid w:val="00C632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7D65F9ED4A44A81C15A8859ED5839">
    <w:name w:val="F177D65F9ED4A44A81C15A8859ED5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OVIC short publication.dotx</Template>
  <TotalTime>8</TotalTime>
  <Pages>6</Pages>
  <Words>1575</Words>
  <Characters>9204</Characters>
  <Application>Microsoft Office Word</Application>
  <DocSecurity>0</DocSecurity>
  <Lines>164</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sharing by health service entities for quality and safety purposes</dc:title>
  <dc:subject/>
  <dc:creator>Dean Bardell-Williams</dc:creator>
  <cp:keywords/>
  <dc:description/>
  <cp:lastModifiedBy>Dean Bardell-Williams</cp:lastModifiedBy>
  <cp:revision>4</cp:revision>
  <cp:lastPrinted>2022-06-30T00:33:00Z</cp:lastPrinted>
  <dcterms:created xsi:type="dcterms:W3CDTF">2024-11-15T00:10:00Z</dcterms:created>
  <dcterms:modified xsi:type="dcterms:W3CDTF">2024-11-15T01:22:00Z</dcterms:modified>
</cp:coreProperties>
</file>