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E894A" w14:textId="77777777" w:rsidR="00E75FCA" w:rsidRPr="00E75FCA" w:rsidRDefault="00E75FCA" w:rsidP="00E75FCA">
      <w:pPr>
        <w:pStyle w:val="Toggle"/>
        <w:rPr>
          <w:b w:val="0"/>
          <w:bCs/>
        </w:rPr>
      </w:pPr>
    </w:p>
    <w:p w14:paraId="7BF5CB39" w14:textId="3FACDFC7" w:rsidR="00A53F38" w:rsidRDefault="00A53F38" w:rsidP="00A53F38">
      <w:pPr>
        <w:pStyle w:val="Agencyinformation"/>
      </w:pPr>
      <w:r>
        <w:t xml:space="preserve">Information for </w:t>
      </w:r>
      <w:sdt>
        <w:sdtPr>
          <w:id w:val="-1971114257"/>
          <w:placeholder>
            <w:docPart w:val="3F655736DC7A407081DE594DAB9BAB3B"/>
          </w:placeholder>
          <w:comboBox>
            <w:listItem w:displayText="agencies" w:value="agencies"/>
            <w:listItem w:displayText="the public" w:value="the public"/>
          </w:comboBox>
        </w:sdtPr>
        <w:sdtContent>
          <w:r w:rsidR="00E803E9">
            <w:t>agencies</w:t>
          </w:r>
        </w:sdtContent>
      </w:sdt>
      <w:r>
        <w:t xml:space="preserve"> </w:t>
      </w:r>
    </w:p>
    <w:p w14:paraId="1F8246C4" w14:textId="04528243" w:rsidR="00EA3594" w:rsidRPr="00281560" w:rsidRDefault="00E803E9" w:rsidP="00EA3594">
      <w:pPr>
        <w:pStyle w:val="Title"/>
      </w:pPr>
      <w:r>
        <w:t>Incident Insights Report</w:t>
      </w:r>
    </w:p>
    <w:p w14:paraId="63E186D2" w14:textId="18D54D7E" w:rsidR="00EA3594" w:rsidRDefault="00E803E9" w:rsidP="009A49D1">
      <w:pPr>
        <w:pStyle w:val="Subtitle"/>
      </w:pPr>
      <w:r>
        <w:t>1 J</w:t>
      </w:r>
      <w:r w:rsidR="00012403">
        <w:t>anuary</w:t>
      </w:r>
      <w:r>
        <w:t xml:space="preserve"> 202</w:t>
      </w:r>
      <w:r w:rsidR="00012403">
        <w:t>4</w:t>
      </w:r>
      <w:r>
        <w:t xml:space="preserve"> – </w:t>
      </w:r>
      <w:r w:rsidR="00E40B25">
        <w:t>3</w:t>
      </w:r>
      <w:r w:rsidR="00012403">
        <w:t>0 June</w:t>
      </w:r>
      <w:r>
        <w:t xml:space="preserve"> 202</w:t>
      </w:r>
      <w:r w:rsidR="00012403">
        <w:t>4</w:t>
      </w:r>
    </w:p>
    <w:p w14:paraId="38B097DC" w14:textId="25C5645F" w:rsidR="00E803E9" w:rsidRDefault="00E803E9" w:rsidP="00A01C6A">
      <w:r>
        <w:t>T</w:t>
      </w:r>
      <w:r w:rsidRPr="001D1FE7">
        <w:t>he</w:t>
      </w:r>
      <w:r>
        <w:t xml:space="preserve"> information security</w:t>
      </w:r>
      <w:r w:rsidRPr="001D1FE7">
        <w:t xml:space="preserve"> incident notification scheme</w:t>
      </w:r>
      <w:r>
        <w:t xml:space="preserve"> (</w:t>
      </w:r>
      <w:r w:rsidRPr="00C86B59">
        <w:rPr>
          <w:b/>
          <w:bCs/>
        </w:rPr>
        <w:t>the scheme</w:t>
      </w:r>
      <w:r>
        <w:t>)</w:t>
      </w:r>
      <w:r w:rsidRPr="001D1FE7">
        <w:t xml:space="preserve"> provide</w:t>
      </w:r>
      <w:r>
        <w:t>s</w:t>
      </w:r>
      <w:r w:rsidRPr="001D1FE7">
        <w:t xml:space="preserve"> resources, trends analysis and risk reporting.</w:t>
      </w:r>
    </w:p>
    <w:p w14:paraId="5DFE1A47" w14:textId="56132CF5" w:rsidR="00BF3799" w:rsidRPr="00FB0D65" w:rsidRDefault="00E803E9" w:rsidP="00BF3799">
      <w:pPr>
        <w:pStyle w:val="Heading2"/>
      </w:pPr>
      <w:r>
        <w:t>Overview of this report</w:t>
      </w:r>
    </w:p>
    <w:p w14:paraId="7F712256" w14:textId="5EF45394" w:rsidR="00E803E9" w:rsidRDefault="00E803E9" w:rsidP="00E803E9">
      <w:r>
        <w:t xml:space="preserve">The Incident Insights Report provides a summary and analysis of the information security incident notifications received by OVIC between </w:t>
      </w:r>
      <w:r w:rsidRPr="00956F61">
        <w:rPr>
          <w:b/>
          <w:bCs/>
        </w:rPr>
        <w:t xml:space="preserve">1 </w:t>
      </w:r>
      <w:r>
        <w:rPr>
          <w:b/>
          <w:bCs/>
        </w:rPr>
        <w:t>J</w:t>
      </w:r>
      <w:r w:rsidR="00012403">
        <w:rPr>
          <w:b/>
          <w:bCs/>
        </w:rPr>
        <w:t>anuary</w:t>
      </w:r>
      <w:r w:rsidRPr="00D015C3">
        <w:rPr>
          <w:b/>
          <w:bCs/>
        </w:rPr>
        <w:t xml:space="preserve"> 20</w:t>
      </w:r>
      <w:r>
        <w:rPr>
          <w:b/>
          <w:bCs/>
        </w:rPr>
        <w:t>2</w:t>
      </w:r>
      <w:r w:rsidR="00012403">
        <w:rPr>
          <w:b/>
          <w:bCs/>
        </w:rPr>
        <w:t>4</w:t>
      </w:r>
      <w:r w:rsidRPr="00D015C3">
        <w:rPr>
          <w:b/>
          <w:bCs/>
        </w:rPr>
        <w:t xml:space="preserve"> </w:t>
      </w:r>
      <w:r w:rsidRPr="00C86B59">
        <w:t>to</w:t>
      </w:r>
      <w:r w:rsidRPr="00D015C3">
        <w:rPr>
          <w:b/>
          <w:bCs/>
        </w:rPr>
        <w:t xml:space="preserve"> </w:t>
      </w:r>
      <w:r w:rsidR="00E40B25" w:rsidRPr="00D015C3">
        <w:rPr>
          <w:b/>
          <w:bCs/>
        </w:rPr>
        <w:t>3</w:t>
      </w:r>
      <w:r w:rsidR="00012403">
        <w:rPr>
          <w:b/>
          <w:bCs/>
        </w:rPr>
        <w:t>0 June</w:t>
      </w:r>
      <w:r w:rsidRPr="00D015C3">
        <w:rPr>
          <w:b/>
          <w:bCs/>
        </w:rPr>
        <w:t xml:space="preserve"> 202</w:t>
      </w:r>
      <w:r w:rsidR="00012403">
        <w:rPr>
          <w:b/>
          <w:bCs/>
        </w:rPr>
        <w:t>4</w:t>
      </w:r>
      <w:r>
        <w:t>.</w:t>
      </w:r>
    </w:p>
    <w:p w14:paraId="323F2C36" w14:textId="77777777" w:rsidR="00E803E9" w:rsidRPr="004650C0" w:rsidRDefault="00E803E9" w:rsidP="00E803E9">
      <w:r w:rsidRPr="004650C0">
        <w:t xml:space="preserve">The analysis in this report is based on comparing the statistics published in previous </w:t>
      </w:r>
      <w:r w:rsidRPr="004650C0">
        <w:rPr>
          <w:u w:color="430098"/>
        </w:rPr>
        <w:t>Incident Insights Reports</w:t>
      </w:r>
      <w:r w:rsidRPr="004650C0">
        <w:t xml:space="preserve"> with the notifications received by our office under the scheme. </w:t>
      </w:r>
    </w:p>
    <w:p w14:paraId="3C8FEDE8" w14:textId="52AD76FE" w:rsidR="00E803E9" w:rsidRDefault="00E803E9" w:rsidP="00E803E9">
      <w:r w:rsidRPr="004650C0">
        <w:t xml:space="preserve">Victoria Police incident statistics are reported on annually, consistent with existing reporting commitments. </w:t>
      </w:r>
      <w:r w:rsidR="00012403" w:rsidRPr="00012403">
        <w:t>These have been included towards the end of this report with comparisons made from our Incident Insights Report for 1 January – 30 June 202</w:t>
      </w:r>
      <w:r w:rsidR="00012403">
        <w:t xml:space="preserve">3 which can be found on our Security Insights webpage along with our other previous reports </w:t>
      </w:r>
      <w:hyperlink r:id="rId9" w:history="1">
        <w:r w:rsidR="00012403" w:rsidRPr="00BB1A25">
          <w:rPr>
            <w:rStyle w:val="Hyperlink"/>
          </w:rPr>
          <w:t>https://ovic.vic.gov.au/information-security/security-insights/</w:t>
        </w:r>
      </w:hyperlink>
      <w:r w:rsidR="00012403" w:rsidRPr="00012403">
        <w:t>.</w:t>
      </w:r>
    </w:p>
    <w:p w14:paraId="403D018C" w14:textId="1B0454C8" w:rsidR="00E803E9" w:rsidRDefault="00E803E9" w:rsidP="00E803E9">
      <w:r>
        <w:t xml:space="preserve">Note: The incident notification form allows for </w:t>
      </w:r>
      <w:r w:rsidRPr="00CD411E">
        <w:rPr>
          <w:b/>
          <w:bCs/>
        </w:rPr>
        <w:t>more than one</w:t>
      </w:r>
      <w:r w:rsidRPr="00C00CF5">
        <w:t xml:space="preserve"> response </w:t>
      </w:r>
      <w:r>
        <w:t>to</w:t>
      </w:r>
      <w:r w:rsidRPr="00C00CF5">
        <w:t xml:space="preserve"> be selected</w:t>
      </w:r>
      <w:r>
        <w:t xml:space="preserve"> for the fields</w:t>
      </w:r>
      <w:r w:rsidR="00750C4D">
        <w:t>,</w:t>
      </w:r>
      <w:r>
        <w:t xml:space="preserve"> </w:t>
      </w:r>
      <w:r w:rsidRPr="00CD411E">
        <w:rPr>
          <w:b/>
          <w:bCs/>
        </w:rPr>
        <w:t>information format</w:t>
      </w:r>
      <w:r>
        <w:t xml:space="preserve">, </w:t>
      </w:r>
      <w:r w:rsidRPr="00CD411E">
        <w:rPr>
          <w:b/>
          <w:bCs/>
        </w:rPr>
        <w:t>type of information</w:t>
      </w:r>
      <w:r>
        <w:t xml:space="preserve">, </w:t>
      </w:r>
      <w:r w:rsidRPr="00CD411E">
        <w:rPr>
          <w:b/>
          <w:bCs/>
        </w:rPr>
        <w:t>security attributes</w:t>
      </w:r>
      <w:r>
        <w:t xml:space="preserve">, </w:t>
      </w:r>
      <w:r w:rsidRPr="00CD411E">
        <w:rPr>
          <w:b/>
          <w:bCs/>
        </w:rPr>
        <w:t>control area</w:t>
      </w:r>
      <w:r>
        <w:t xml:space="preserve">, </w:t>
      </w:r>
      <w:r w:rsidRPr="00CD411E">
        <w:rPr>
          <w:b/>
          <w:bCs/>
        </w:rPr>
        <w:t>threat actor</w:t>
      </w:r>
      <w:r>
        <w:t xml:space="preserve">, and </w:t>
      </w:r>
      <w:r w:rsidRPr="00CD411E">
        <w:rPr>
          <w:b/>
          <w:bCs/>
        </w:rPr>
        <w:t>threat type</w:t>
      </w:r>
      <w:r w:rsidRPr="00C00CF5">
        <w:t xml:space="preserve">. The sum of percentages </w:t>
      </w:r>
      <w:r>
        <w:t>for these fields</w:t>
      </w:r>
      <w:r w:rsidRPr="00C00CF5">
        <w:t xml:space="preserve"> will exceed 100% (as expected) reflecting the nature of multiple responses for each </w:t>
      </w:r>
      <w:r>
        <w:t>question</w:t>
      </w:r>
      <w:r w:rsidRPr="00C00CF5">
        <w:t xml:space="preserve">. </w:t>
      </w:r>
      <w:bookmarkStart w:id="0" w:name="_Hlk130905743"/>
      <w:r w:rsidRPr="00C00CF5">
        <w:t xml:space="preserve">These </w:t>
      </w:r>
      <w:r>
        <w:t>sections</w:t>
      </w:r>
      <w:r w:rsidRPr="00C00CF5">
        <w:t xml:space="preserve"> are marked </w:t>
      </w:r>
      <w:r w:rsidR="00A60161">
        <w:t>accordingly</w:t>
      </w:r>
      <w:r>
        <w:t xml:space="preserve"> in this report</w:t>
      </w:r>
      <w:r w:rsidRPr="00C00CF5">
        <w:t>.</w:t>
      </w:r>
    </w:p>
    <w:bookmarkEnd w:id="0"/>
    <w:p w14:paraId="69E69ABA" w14:textId="77777777" w:rsidR="00F4430E" w:rsidRDefault="00F4430E" w:rsidP="00E803E9"/>
    <w:p w14:paraId="1D44EBC3" w14:textId="77777777" w:rsidR="000167D5" w:rsidRDefault="000167D5">
      <w:pPr>
        <w:spacing w:before="0" w:after="160" w:line="259" w:lineRule="auto"/>
        <w:rPr>
          <w:rFonts w:eastAsiaTheme="majorEastAsia" w:cstheme="majorBidi"/>
          <w:color w:val="430098" w:themeColor="text2"/>
          <w:sz w:val="30"/>
          <w:szCs w:val="26"/>
        </w:rPr>
      </w:pPr>
      <w:r>
        <w:br w:type="page"/>
      </w:r>
    </w:p>
    <w:p w14:paraId="3BF85FA0" w14:textId="3297EFC9" w:rsidR="00BF3799" w:rsidRDefault="00E803E9" w:rsidP="00BF3799">
      <w:pPr>
        <w:pStyle w:val="Heading2"/>
      </w:pPr>
      <w:r w:rsidRPr="00E803E9">
        <w:lastRenderedPageBreak/>
        <w:t>Information security incident notification insights from J</w:t>
      </w:r>
      <w:r w:rsidR="00012403">
        <w:t>anuary</w:t>
      </w:r>
      <w:r w:rsidRPr="00E803E9">
        <w:t xml:space="preserve"> – </w:t>
      </w:r>
      <w:r w:rsidR="00012403">
        <w:t>June</w:t>
      </w:r>
      <w:r w:rsidRPr="00E803E9">
        <w:t xml:space="preserve"> 202</w:t>
      </w:r>
      <w:r w:rsidR="00012403">
        <w:t>4</w:t>
      </w:r>
    </w:p>
    <w:p w14:paraId="349BC3C4" w14:textId="64FFC4DC" w:rsidR="00E803E9" w:rsidRDefault="00E803E9" w:rsidP="00FA1B6A">
      <w:pPr>
        <w:pStyle w:val="Heading2"/>
      </w:pPr>
      <w:r>
        <w:t>Notifications by month</w:t>
      </w:r>
    </w:p>
    <w:p w14:paraId="4D9224A3" w14:textId="7A946863" w:rsidR="00894E59" w:rsidRPr="00894E59" w:rsidRDefault="00894E59" w:rsidP="00894E59">
      <w:r>
        <w:rPr>
          <w:noProof/>
        </w:rPr>
        <w:drawing>
          <wp:inline distT="0" distB="0" distL="0" distR="0" wp14:anchorId="2A75A2BD" wp14:editId="20E468FC">
            <wp:extent cx="5486400" cy="2315981"/>
            <wp:effectExtent l="0" t="0" r="0" b="0"/>
            <wp:docPr id="182989357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5A901D" w14:textId="79167073" w:rsidR="00A01C6A" w:rsidRDefault="00DE68E7" w:rsidP="00AC47F1">
      <w:pPr>
        <w:pStyle w:val="Heading3"/>
      </w:pPr>
      <w:r w:rsidRPr="00DE68E7">
        <w:t>Insights:</w:t>
      </w:r>
    </w:p>
    <w:p w14:paraId="365D07CE" w14:textId="060D5A44" w:rsidR="00E803E9" w:rsidRPr="000167D5" w:rsidRDefault="00E803E9" w:rsidP="00E803E9">
      <w:r w:rsidRPr="000167D5">
        <w:t xml:space="preserve">OVIC received </w:t>
      </w:r>
      <w:r w:rsidR="00070F9D" w:rsidRPr="00070F9D">
        <w:rPr>
          <w:b/>
          <w:bCs/>
        </w:rPr>
        <w:t>3</w:t>
      </w:r>
      <w:r w:rsidR="006D4CCF">
        <w:rPr>
          <w:b/>
          <w:bCs/>
        </w:rPr>
        <w:t>84</w:t>
      </w:r>
      <w:r w:rsidRPr="000167D5">
        <w:t xml:space="preserve"> notifications between </w:t>
      </w:r>
      <w:r w:rsidRPr="000167D5">
        <w:rPr>
          <w:b/>
          <w:bCs/>
        </w:rPr>
        <w:t xml:space="preserve">1 </w:t>
      </w:r>
      <w:r w:rsidR="00D666D0" w:rsidRPr="000167D5">
        <w:rPr>
          <w:b/>
          <w:bCs/>
        </w:rPr>
        <w:t>J</w:t>
      </w:r>
      <w:r w:rsidR="006D4CCF">
        <w:rPr>
          <w:b/>
          <w:bCs/>
        </w:rPr>
        <w:t xml:space="preserve">anuary </w:t>
      </w:r>
      <w:r w:rsidRPr="000167D5">
        <w:t xml:space="preserve">to </w:t>
      </w:r>
      <w:r w:rsidRPr="000167D5">
        <w:rPr>
          <w:b/>
          <w:bCs/>
        </w:rPr>
        <w:t>3</w:t>
      </w:r>
      <w:r w:rsidR="006D4CCF">
        <w:rPr>
          <w:b/>
          <w:bCs/>
        </w:rPr>
        <w:t>0 June</w:t>
      </w:r>
      <w:r w:rsidRPr="000167D5">
        <w:rPr>
          <w:b/>
          <w:bCs/>
        </w:rPr>
        <w:t xml:space="preserve"> 202</w:t>
      </w:r>
      <w:r w:rsidR="006D4CCF">
        <w:rPr>
          <w:b/>
          <w:bCs/>
        </w:rPr>
        <w:t>4</w:t>
      </w:r>
      <w:r w:rsidRPr="000167D5">
        <w:t xml:space="preserve"> (inclusive). Th</w:t>
      </w:r>
      <w:r w:rsidR="009C6E4A">
        <w:t>ere was</w:t>
      </w:r>
      <w:r w:rsidR="00D666D0" w:rsidRPr="000167D5">
        <w:t xml:space="preserve"> a </w:t>
      </w:r>
      <w:r w:rsidR="00A15B25" w:rsidRPr="00A15B25">
        <w:rPr>
          <w:b/>
          <w:bCs/>
        </w:rPr>
        <w:t>12</w:t>
      </w:r>
      <w:r w:rsidR="00DE0B46" w:rsidRPr="00A15B25">
        <w:rPr>
          <w:b/>
          <w:bCs/>
        </w:rPr>
        <w:t>%</w:t>
      </w:r>
      <w:r w:rsidR="00D666D0" w:rsidRPr="00A15B25">
        <w:t xml:space="preserve"> </w:t>
      </w:r>
      <w:r w:rsidR="00707EBC" w:rsidRPr="00A15B25">
        <w:t>in</w:t>
      </w:r>
      <w:r w:rsidR="00D666D0" w:rsidRPr="00A15B25">
        <w:t xml:space="preserve">crease in notifications </w:t>
      </w:r>
      <w:r w:rsidRPr="00A15B25">
        <w:t xml:space="preserve">compared to </w:t>
      </w:r>
      <w:r w:rsidR="00D666D0" w:rsidRPr="00A15B25">
        <w:t xml:space="preserve">the previous </w:t>
      </w:r>
      <w:r w:rsidR="00820E52" w:rsidRPr="00A15B25">
        <w:t>notification</w:t>
      </w:r>
      <w:r w:rsidR="00D666D0" w:rsidRPr="00A15B25">
        <w:t xml:space="preserve"> period </w:t>
      </w:r>
      <w:r w:rsidR="00707EBC" w:rsidRPr="00A15B25">
        <w:t>J</w:t>
      </w:r>
      <w:r w:rsidR="00A15B25" w:rsidRPr="00A15B25">
        <w:t>uly</w:t>
      </w:r>
      <w:r w:rsidRPr="00A15B25">
        <w:t xml:space="preserve"> to </w:t>
      </w:r>
      <w:r w:rsidR="00A15B25" w:rsidRPr="00A15B25">
        <w:t>December</w:t>
      </w:r>
      <w:r w:rsidRPr="00A15B25">
        <w:t xml:space="preserve"> 202</w:t>
      </w:r>
      <w:r w:rsidR="00707EBC" w:rsidRPr="00A15B25">
        <w:t>3</w:t>
      </w:r>
      <w:r w:rsidRPr="00A15B25">
        <w:t xml:space="preserve"> (</w:t>
      </w:r>
      <w:r w:rsidR="00A15B25" w:rsidRPr="00A15B25">
        <w:rPr>
          <w:b/>
          <w:bCs/>
        </w:rPr>
        <w:t>342</w:t>
      </w:r>
      <w:r w:rsidRPr="000167D5">
        <w:rPr>
          <w:b/>
          <w:bCs/>
        </w:rPr>
        <w:t xml:space="preserve"> notifications</w:t>
      </w:r>
      <w:r w:rsidRPr="000167D5">
        <w:t>)</w:t>
      </w:r>
      <w:r w:rsidR="00A15B25">
        <w:t xml:space="preserve">. This is the highest number of notifications that we have received for the Jan-Jun </w:t>
      </w:r>
      <w:r w:rsidR="009C6E4A">
        <w:t>notification</w:t>
      </w:r>
      <w:r w:rsidR="00A15B25">
        <w:t xml:space="preserve"> period </w:t>
      </w:r>
      <w:r w:rsidR="00A15B25" w:rsidRPr="00A15B25">
        <w:t>since the establishment of the information security incident notification scheme</w:t>
      </w:r>
      <w:r w:rsidR="00A15B25">
        <w:t>.</w:t>
      </w:r>
    </w:p>
    <w:p w14:paraId="6EC29C20" w14:textId="62C5B14F" w:rsidR="000167D5" w:rsidRDefault="00E95F37" w:rsidP="000167D5">
      <w:r>
        <w:t>OVIC</w:t>
      </w:r>
      <w:r w:rsidRPr="000167D5">
        <w:t xml:space="preserve"> </w:t>
      </w:r>
      <w:r w:rsidR="00E803E9" w:rsidRPr="000167D5">
        <w:t>received the highest number of notifications (</w:t>
      </w:r>
      <w:r w:rsidR="00A15B25" w:rsidRPr="00C55960">
        <w:rPr>
          <w:b/>
          <w:bCs/>
        </w:rPr>
        <w:t>81</w:t>
      </w:r>
      <w:r w:rsidR="00E803E9" w:rsidRPr="000167D5">
        <w:t xml:space="preserve">) in </w:t>
      </w:r>
      <w:r w:rsidR="00A15B25">
        <w:t>June</w:t>
      </w:r>
      <w:r w:rsidR="00C55960" w:rsidRPr="00C55960">
        <w:t xml:space="preserve"> which is a</w:t>
      </w:r>
      <w:r w:rsidR="00C55960">
        <w:t xml:space="preserve">n </w:t>
      </w:r>
      <w:r w:rsidR="00C55960" w:rsidRPr="00C55960">
        <w:t xml:space="preserve">increase from </w:t>
      </w:r>
      <w:r w:rsidR="00C55960">
        <w:t>June</w:t>
      </w:r>
      <w:r w:rsidR="00C55960" w:rsidRPr="00C55960">
        <w:t xml:space="preserve"> 202</w:t>
      </w:r>
      <w:r w:rsidR="00C55960">
        <w:t>3</w:t>
      </w:r>
      <w:r w:rsidR="00C55960" w:rsidRPr="00C55960">
        <w:t xml:space="preserve"> (</w:t>
      </w:r>
      <w:r w:rsidR="00C55960" w:rsidRPr="00C55960">
        <w:rPr>
          <w:b/>
          <w:bCs/>
        </w:rPr>
        <w:t>49</w:t>
      </w:r>
      <w:r w:rsidR="00C55960" w:rsidRPr="00C55960">
        <w:t xml:space="preserve">) and higher than </w:t>
      </w:r>
      <w:r w:rsidR="00C55960">
        <w:t>June</w:t>
      </w:r>
      <w:r w:rsidR="00C55960" w:rsidRPr="00C55960">
        <w:t xml:space="preserve"> in any previous year since the </w:t>
      </w:r>
      <w:r w:rsidR="003D11BD">
        <w:t>scheme began</w:t>
      </w:r>
      <w:r w:rsidR="00E803E9" w:rsidRPr="000167D5">
        <w:t>.</w:t>
      </w:r>
      <w:r w:rsidR="000167D5">
        <w:t xml:space="preserve"> </w:t>
      </w:r>
    </w:p>
    <w:p w14:paraId="3E81CCCC" w14:textId="6FD81870" w:rsidR="00E803E9" w:rsidRDefault="00E803E9" w:rsidP="00F4430E">
      <w:r w:rsidRPr="00701D90">
        <w:t xml:space="preserve">The higher numbers in </w:t>
      </w:r>
      <w:r w:rsidR="00C55960">
        <w:t>June</w:t>
      </w:r>
      <w:r w:rsidRPr="00701D90">
        <w:t xml:space="preserve"> mostly came from the Department of Justice and Community Safety (</w:t>
      </w:r>
      <w:r w:rsidRPr="00701D90">
        <w:rPr>
          <w:b/>
          <w:bCs/>
        </w:rPr>
        <w:t>DJCS</w:t>
      </w:r>
      <w:r w:rsidRPr="00701D90">
        <w:t>)</w:t>
      </w:r>
      <w:r w:rsidR="00D67238">
        <w:t xml:space="preserve"> and the Transport Accident Commission (</w:t>
      </w:r>
      <w:r w:rsidR="00D67238" w:rsidRPr="00D67238">
        <w:rPr>
          <w:b/>
          <w:bCs/>
        </w:rPr>
        <w:t>TAC</w:t>
      </w:r>
      <w:r w:rsidR="00D67238">
        <w:t>)</w:t>
      </w:r>
      <w:r w:rsidRPr="00701D90">
        <w:t>. This was due to DJCS</w:t>
      </w:r>
      <w:r w:rsidR="00D67238">
        <w:t xml:space="preserve"> and TAC</w:t>
      </w:r>
      <w:r w:rsidRPr="00701D90">
        <w:t xml:space="preserve"> sending through </w:t>
      </w:r>
      <w:r w:rsidR="003D11BD">
        <w:t xml:space="preserve">the notifications from </w:t>
      </w:r>
      <w:r w:rsidR="000167D5" w:rsidRPr="00701D90">
        <w:t>multiple months</w:t>
      </w:r>
      <w:r w:rsidRPr="00701D90">
        <w:t xml:space="preserve"> before the end of </w:t>
      </w:r>
      <w:r w:rsidR="000167D5" w:rsidRPr="00701D90">
        <w:t xml:space="preserve">the </w:t>
      </w:r>
      <w:r w:rsidR="00820E52">
        <w:t>notification</w:t>
      </w:r>
      <w:r w:rsidR="000167D5" w:rsidRPr="00701D90">
        <w:t xml:space="preserve"> period</w:t>
      </w:r>
      <w:r w:rsidRPr="00701D90">
        <w:t>.</w:t>
      </w:r>
      <w:r w:rsidR="000167D5" w:rsidRPr="00701D90">
        <w:t xml:space="preserve"> </w:t>
      </w:r>
    </w:p>
    <w:p w14:paraId="6BCA8FF6" w14:textId="0BFD55F8" w:rsidR="007F30E8" w:rsidRPr="00701D90" w:rsidRDefault="007F30E8" w:rsidP="00F4430E">
      <w:r>
        <w:t xml:space="preserve">It is interesting to </w:t>
      </w:r>
      <w:r w:rsidR="00E7697D">
        <w:t>see</w:t>
      </w:r>
      <w:r>
        <w:t xml:space="preserve"> </w:t>
      </w:r>
      <w:r w:rsidR="00D67238">
        <w:t>the high number of notifications in January (</w:t>
      </w:r>
      <w:r w:rsidR="00D67238" w:rsidRPr="00D67238">
        <w:rPr>
          <w:b/>
          <w:bCs/>
        </w:rPr>
        <w:t>77</w:t>
      </w:r>
      <w:r w:rsidR="00D67238">
        <w:t>) which has traditionally been a quiet time of the year to receive notifications</w:t>
      </w:r>
      <w:r w:rsidR="003D11BD">
        <w:t>. This is</w:t>
      </w:r>
      <w:r w:rsidR="00D67238">
        <w:t xml:space="preserve"> based on previous </w:t>
      </w:r>
      <w:r w:rsidR="007672C6">
        <w:t>notification</w:t>
      </w:r>
      <w:r w:rsidR="00D67238">
        <w:t xml:space="preserve"> periods such as January 2023 with </w:t>
      </w:r>
      <w:r w:rsidR="00D67238" w:rsidRPr="00D67238">
        <w:rPr>
          <w:b/>
          <w:bCs/>
        </w:rPr>
        <w:t>35</w:t>
      </w:r>
      <w:r w:rsidR="00D67238">
        <w:t xml:space="preserve"> notifications and January 2022 with </w:t>
      </w:r>
      <w:r w:rsidR="00D67238" w:rsidRPr="00D67238">
        <w:rPr>
          <w:b/>
          <w:bCs/>
        </w:rPr>
        <w:t>16</w:t>
      </w:r>
      <w:r w:rsidR="00D67238">
        <w:rPr>
          <w:b/>
          <w:bCs/>
        </w:rPr>
        <w:t xml:space="preserve"> </w:t>
      </w:r>
      <w:r w:rsidR="00D67238" w:rsidRPr="00D67238">
        <w:t>notifications</w:t>
      </w:r>
      <w:r w:rsidR="00D67238">
        <w:t>.</w:t>
      </w:r>
    </w:p>
    <w:p w14:paraId="149A86FA" w14:textId="77777777" w:rsidR="00E803E9" w:rsidRPr="00701D90" w:rsidRDefault="00E803E9" w:rsidP="00E803E9">
      <w:r w:rsidRPr="00701D90">
        <w:t>Note:</w:t>
      </w:r>
    </w:p>
    <w:p w14:paraId="0738E8A2" w14:textId="77777777" w:rsidR="00E803E9" w:rsidRPr="00701D90" w:rsidRDefault="00E803E9" w:rsidP="004A6B8C">
      <w:pPr>
        <w:pStyle w:val="ListParagraph"/>
        <w:numPr>
          <w:ilvl w:val="0"/>
          <w:numId w:val="8"/>
        </w:numPr>
      </w:pPr>
      <w:r w:rsidRPr="00701D90">
        <w:t>the date of notification does not necessarily reflect when an incident occurred, but rather reflects when a notification was made to OVIC; and</w:t>
      </w:r>
    </w:p>
    <w:p w14:paraId="2A8F85E1" w14:textId="43956186" w:rsidR="00A01C6A" w:rsidRPr="00701D90" w:rsidRDefault="00E803E9" w:rsidP="004A6B8C">
      <w:pPr>
        <w:pStyle w:val="ListParagraph"/>
        <w:numPr>
          <w:ilvl w:val="0"/>
          <w:numId w:val="8"/>
        </w:numPr>
      </w:pPr>
      <w:r w:rsidRPr="00701D90">
        <w:t>the higher number of notifications from these organisations does not necessarily reflect that they have more incidents but rather that they have established incident management and reporting processes.</w:t>
      </w:r>
    </w:p>
    <w:p w14:paraId="7B92A6C2" w14:textId="535B0FBF" w:rsidR="00E803E9" w:rsidRPr="00C16877" w:rsidRDefault="00D67238" w:rsidP="00C16877">
      <w:pPr>
        <w:pStyle w:val="Heading2"/>
      </w:pPr>
      <w:bookmarkStart w:id="1" w:name="_Hlk130903686"/>
      <w:r>
        <w:br w:type="page"/>
      </w:r>
      <w:r w:rsidR="00E803E9" w:rsidRPr="00C16877">
        <w:lastRenderedPageBreak/>
        <w:t>Notifications by portfolio</w:t>
      </w:r>
    </w:p>
    <w:p w14:paraId="7C8D72CB" w14:textId="5979C790" w:rsidR="00894E59" w:rsidRPr="00894E59" w:rsidRDefault="00894E59" w:rsidP="00894E59">
      <w:r>
        <w:rPr>
          <w:noProof/>
        </w:rPr>
        <w:drawing>
          <wp:inline distT="0" distB="0" distL="0" distR="0" wp14:anchorId="2FE9B5DB" wp14:editId="0EC8E2C0">
            <wp:extent cx="5486400" cy="4354643"/>
            <wp:effectExtent l="0" t="0" r="0" b="1905"/>
            <wp:docPr id="27895146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bookmarkEnd w:id="1"/>
    <w:p w14:paraId="3D31536E" w14:textId="362BA58D" w:rsidR="001B0C78" w:rsidRDefault="00DE68E7" w:rsidP="00AC47F1">
      <w:pPr>
        <w:pStyle w:val="Heading3"/>
      </w:pPr>
      <w:r>
        <w:t>Insights:</w:t>
      </w:r>
    </w:p>
    <w:p w14:paraId="24CB63D1" w14:textId="6CEECF5D" w:rsidR="00E803E9" w:rsidRPr="009B28EA" w:rsidRDefault="00C279D5" w:rsidP="00E803E9">
      <w:r>
        <w:t>Most of the</w:t>
      </w:r>
      <w:r w:rsidR="00E803E9" w:rsidRPr="00E803E9">
        <w:t xml:space="preserve"> </w:t>
      </w:r>
      <w:r w:rsidR="005E22F0">
        <w:rPr>
          <w:b/>
          <w:bCs/>
        </w:rPr>
        <w:t>384</w:t>
      </w:r>
      <w:r w:rsidR="00E803E9" w:rsidRPr="00E803E9">
        <w:t xml:space="preserve"> notifications received by OVIC came from the justice and transport sectors. These were mostly </w:t>
      </w:r>
      <w:r w:rsidR="00E803E9" w:rsidRPr="009B28EA">
        <w:t xml:space="preserve">from DJCS, and TAC due to </w:t>
      </w:r>
      <w:r w:rsidR="002B544E" w:rsidRPr="009B28EA">
        <w:t>their</w:t>
      </w:r>
      <w:r w:rsidR="00E803E9" w:rsidRPr="009B28EA">
        <w:t xml:space="preserve"> established incident notification protocols. </w:t>
      </w:r>
    </w:p>
    <w:p w14:paraId="796EC994" w14:textId="087E6B89" w:rsidR="009B28EA" w:rsidRPr="009B28EA" w:rsidRDefault="00D452E6" w:rsidP="00915301">
      <w:pPr>
        <w:rPr>
          <w:rStyle w:val="Emphasis"/>
          <w:rFonts w:cstheme="minorHAnsi"/>
          <w:i w:val="0"/>
          <w:iCs w:val="0"/>
          <w:shd w:val="clear" w:color="auto" w:fill="FFFFFF"/>
        </w:rPr>
      </w:pPr>
      <w:r w:rsidRPr="009B28EA">
        <w:rPr>
          <w:rStyle w:val="Emphasis"/>
          <w:rFonts w:cstheme="minorHAnsi"/>
          <w:i w:val="0"/>
          <w:iCs w:val="0"/>
          <w:shd w:val="clear" w:color="auto" w:fill="FFFFFF"/>
        </w:rPr>
        <w:t xml:space="preserve">This </w:t>
      </w:r>
      <w:r w:rsidR="00820E52" w:rsidRPr="009B28EA">
        <w:rPr>
          <w:rStyle w:val="Emphasis"/>
          <w:rFonts w:cstheme="minorHAnsi"/>
          <w:i w:val="0"/>
          <w:iCs w:val="0"/>
          <w:shd w:val="clear" w:color="auto" w:fill="FFFFFF"/>
        </w:rPr>
        <w:t>notification</w:t>
      </w:r>
      <w:r w:rsidRPr="009B28EA">
        <w:rPr>
          <w:rStyle w:val="Emphasis"/>
          <w:rFonts w:cstheme="minorHAnsi"/>
          <w:i w:val="0"/>
          <w:iCs w:val="0"/>
          <w:shd w:val="clear" w:color="auto" w:fill="FFFFFF"/>
        </w:rPr>
        <w:t xml:space="preserve"> period saw a</w:t>
      </w:r>
      <w:r w:rsidR="009B28EA" w:rsidRPr="009B28EA">
        <w:rPr>
          <w:rStyle w:val="Emphasis"/>
          <w:rFonts w:cstheme="minorHAnsi"/>
          <w:i w:val="0"/>
          <w:iCs w:val="0"/>
          <w:shd w:val="clear" w:color="auto" w:fill="FFFFFF"/>
        </w:rPr>
        <w:t xml:space="preserve"> decrease in notifications received from health (</w:t>
      </w:r>
      <w:r w:rsidR="00015B53">
        <w:rPr>
          <w:rStyle w:val="Emphasis"/>
          <w:rFonts w:cstheme="minorHAnsi"/>
          <w:i w:val="0"/>
          <w:iCs w:val="0"/>
          <w:shd w:val="clear" w:color="auto" w:fill="FFFFFF"/>
        </w:rPr>
        <w:t>six (</w:t>
      </w:r>
      <w:r w:rsidR="009B28EA" w:rsidRPr="009B28EA">
        <w:rPr>
          <w:rStyle w:val="Emphasis"/>
          <w:rFonts w:cstheme="minorHAnsi"/>
          <w:b/>
          <w:bCs/>
          <w:i w:val="0"/>
          <w:iCs w:val="0"/>
          <w:shd w:val="clear" w:color="auto" w:fill="FFFFFF"/>
        </w:rPr>
        <w:t>6</w:t>
      </w:r>
      <w:r w:rsidR="00015B53" w:rsidRPr="00015B53">
        <w:rPr>
          <w:rStyle w:val="Emphasis"/>
          <w:rFonts w:cstheme="minorHAnsi"/>
          <w:i w:val="0"/>
          <w:iCs w:val="0"/>
          <w:shd w:val="clear" w:color="auto" w:fill="FFFFFF"/>
        </w:rPr>
        <w:t>)</w:t>
      </w:r>
      <w:r w:rsidR="009B28EA" w:rsidRPr="009B28EA">
        <w:rPr>
          <w:rStyle w:val="Emphasis"/>
          <w:rFonts w:cstheme="minorHAnsi"/>
          <w:i w:val="0"/>
          <w:iCs w:val="0"/>
          <w:shd w:val="clear" w:color="auto" w:fill="FFFFFF"/>
        </w:rPr>
        <w:t>) and families, fairness and housing (</w:t>
      </w:r>
      <w:r w:rsidR="00015B53">
        <w:rPr>
          <w:rStyle w:val="Emphasis"/>
          <w:rFonts w:cstheme="minorHAnsi"/>
          <w:i w:val="0"/>
          <w:iCs w:val="0"/>
          <w:shd w:val="clear" w:color="auto" w:fill="FFFFFF"/>
        </w:rPr>
        <w:t>seven (</w:t>
      </w:r>
      <w:r w:rsidR="009B28EA" w:rsidRPr="009B28EA">
        <w:rPr>
          <w:rStyle w:val="Emphasis"/>
          <w:rFonts w:cstheme="minorHAnsi"/>
          <w:b/>
          <w:bCs/>
          <w:i w:val="0"/>
          <w:iCs w:val="0"/>
          <w:shd w:val="clear" w:color="auto" w:fill="FFFFFF"/>
        </w:rPr>
        <w:t>7</w:t>
      </w:r>
      <w:r w:rsidR="00015B53" w:rsidRPr="00015B53">
        <w:rPr>
          <w:rStyle w:val="Emphasis"/>
          <w:rFonts w:cstheme="minorHAnsi"/>
          <w:i w:val="0"/>
          <w:iCs w:val="0"/>
          <w:shd w:val="clear" w:color="auto" w:fill="FFFFFF"/>
        </w:rPr>
        <w:t>)</w:t>
      </w:r>
      <w:r w:rsidR="009B28EA" w:rsidRPr="009B28EA">
        <w:rPr>
          <w:rStyle w:val="Emphasis"/>
          <w:rFonts w:cstheme="minorHAnsi"/>
          <w:i w:val="0"/>
          <w:iCs w:val="0"/>
          <w:shd w:val="clear" w:color="auto" w:fill="FFFFFF"/>
        </w:rPr>
        <w:t xml:space="preserve">) portfolios compared to the last notification period which were </w:t>
      </w:r>
      <w:r w:rsidR="009B28EA" w:rsidRPr="009B28EA">
        <w:rPr>
          <w:rStyle w:val="Emphasis"/>
          <w:rFonts w:cstheme="minorHAnsi"/>
          <w:b/>
          <w:bCs/>
          <w:i w:val="0"/>
          <w:iCs w:val="0"/>
          <w:shd w:val="clear" w:color="auto" w:fill="FFFFFF"/>
        </w:rPr>
        <w:t>27</w:t>
      </w:r>
      <w:r w:rsidR="009B28EA" w:rsidRPr="009B28EA">
        <w:rPr>
          <w:rStyle w:val="Emphasis"/>
          <w:rFonts w:cstheme="minorHAnsi"/>
          <w:i w:val="0"/>
          <w:iCs w:val="0"/>
          <w:shd w:val="clear" w:color="auto" w:fill="FFFFFF"/>
        </w:rPr>
        <w:t xml:space="preserve"> and </w:t>
      </w:r>
      <w:r w:rsidR="009B28EA" w:rsidRPr="009B28EA">
        <w:rPr>
          <w:rStyle w:val="Emphasis"/>
          <w:rFonts w:cstheme="minorHAnsi"/>
          <w:b/>
          <w:bCs/>
          <w:i w:val="0"/>
          <w:iCs w:val="0"/>
          <w:shd w:val="clear" w:color="auto" w:fill="FFFFFF"/>
        </w:rPr>
        <w:t>20</w:t>
      </w:r>
      <w:r w:rsidR="009B28EA" w:rsidRPr="009B28EA">
        <w:rPr>
          <w:rStyle w:val="Emphasis"/>
          <w:rFonts w:cstheme="minorHAnsi"/>
          <w:i w:val="0"/>
          <w:iCs w:val="0"/>
          <w:shd w:val="clear" w:color="auto" w:fill="FFFFFF"/>
        </w:rPr>
        <w:t xml:space="preserve"> respectively.</w:t>
      </w:r>
    </w:p>
    <w:p w14:paraId="6FF4162E" w14:textId="55DC3497" w:rsidR="00DE68E7" w:rsidRDefault="009B28EA" w:rsidP="00915301">
      <w:r w:rsidRPr="009B28EA">
        <w:rPr>
          <w:rStyle w:val="Emphasis"/>
          <w:rFonts w:cstheme="minorHAnsi"/>
          <w:i w:val="0"/>
          <w:iCs w:val="0"/>
          <w:shd w:val="clear" w:color="auto" w:fill="FFFFFF"/>
        </w:rPr>
        <w:t xml:space="preserve">There was an </w:t>
      </w:r>
      <w:r w:rsidR="00915301" w:rsidRPr="009B28EA">
        <w:rPr>
          <w:rStyle w:val="Emphasis"/>
          <w:rFonts w:cstheme="minorHAnsi"/>
          <w:i w:val="0"/>
          <w:iCs w:val="0"/>
          <w:shd w:val="clear" w:color="auto" w:fill="FFFFFF"/>
        </w:rPr>
        <w:t>in</w:t>
      </w:r>
      <w:r w:rsidR="00D452E6" w:rsidRPr="009B28EA">
        <w:rPr>
          <w:rStyle w:val="Emphasis"/>
          <w:rFonts w:cstheme="minorHAnsi"/>
          <w:i w:val="0"/>
          <w:iCs w:val="0"/>
          <w:shd w:val="clear" w:color="auto" w:fill="FFFFFF"/>
        </w:rPr>
        <w:t xml:space="preserve">crease in the number of notifications </w:t>
      </w:r>
      <w:r w:rsidR="00D452E6" w:rsidRPr="009B28EA">
        <w:t xml:space="preserve">across </w:t>
      </w:r>
      <w:r w:rsidR="009526B7" w:rsidRPr="009B28EA">
        <w:t xml:space="preserve">half the </w:t>
      </w:r>
      <w:r w:rsidR="00D452E6" w:rsidRPr="009B28EA">
        <w:t>portfolios</w:t>
      </w:r>
      <w:r w:rsidR="009526B7" w:rsidRPr="009B28EA">
        <w:t xml:space="preserve"> such as energy, environment, and climate action (</w:t>
      </w:r>
      <w:r w:rsidR="009526B7" w:rsidRPr="009B28EA">
        <w:rPr>
          <w:b/>
          <w:bCs/>
        </w:rPr>
        <w:t>27</w:t>
      </w:r>
      <w:r w:rsidR="009526B7" w:rsidRPr="009B28EA">
        <w:t>) and education (</w:t>
      </w:r>
      <w:r w:rsidR="00015B53">
        <w:t>seven (</w:t>
      </w:r>
      <w:r w:rsidR="009526B7" w:rsidRPr="009B28EA">
        <w:rPr>
          <w:b/>
          <w:bCs/>
        </w:rPr>
        <w:t>7</w:t>
      </w:r>
      <w:r w:rsidR="00015B53" w:rsidRPr="00015B53">
        <w:t>)</w:t>
      </w:r>
      <w:r w:rsidR="009526B7" w:rsidRPr="00015B53">
        <w:t>)</w:t>
      </w:r>
      <w:r w:rsidR="009526B7" w:rsidRPr="009B28EA">
        <w:t xml:space="preserve"> c</w:t>
      </w:r>
      <w:r w:rsidR="00C63E89" w:rsidRPr="009B28EA">
        <w:t xml:space="preserve">ompared to the last </w:t>
      </w:r>
      <w:r w:rsidRPr="009B28EA">
        <w:t>notification</w:t>
      </w:r>
      <w:r w:rsidR="00C63E89" w:rsidRPr="009B28EA">
        <w:t xml:space="preserve"> period which were </w:t>
      </w:r>
      <w:r w:rsidR="009526B7" w:rsidRPr="009B28EA">
        <w:rPr>
          <w:b/>
          <w:bCs/>
        </w:rPr>
        <w:t>22</w:t>
      </w:r>
      <w:r w:rsidR="00C63E89" w:rsidRPr="009B28EA">
        <w:t xml:space="preserve"> and</w:t>
      </w:r>
      <w:r w:rsidR="00015B53">
        <w:t xml:space="preserve"> two</w:t>
      </w:r>
      <w:r w:rsidR="00C63E89" w:rsidRPr="009B28EA">
        <w:t xml:space="preserve"> </w:t>
      </w:r>
      <w:r w:rsidR="00015B53">
        <w:t>(</w:t>
      </w:r>
      <w:r w:rsidR="00C63E89" w:rsidRPr="009B28EA">
        <w:rPr>
          <w:b/>
          <w:bCs/>
        </w:rPr>
        <w:t>2</w:t>
      </w:r>
      <w:r w:rsidR="00015B53" w:rsidRPr="00015B53">
        <w:t>)</w:t>
      </w:r>
      <w:r w:rsidR="00C63E89" w:rsidRPr="009B28EA">
        <w:t xml:space="preserve"> respectively.</w:t>
      </w:r>
      <w:r w:rsidR="00D452E6" w:rsidRPr="009B28EA">
        <w:t xml:space="preserve"> </w:t>
      </w:r>
      <w:r w:rsidR="009526B7" w:rsidRPr="009B28EA">
        <w:t>Although most n</w:t>
      </w:r>
      <w:r w:rsidR="00C63E89" w:rsidRPr="009B28EA">
        <w:t>o</w:t>
      </w:r>
      <w:r w:rsidR="00915301" w:rsidRPr="009B28EA">
        <w:t xml:space="preserve">tifications from the transport and planning sector </w:t>
      </w:r>
      <w:r w:rsidR="009526B7" w:rsidRPr="009B28EA">
        <w:t xml:space="preserve">continue to come from TAC, there was an </w:t>
      </w:r>
      <w:r w:rsidRPr="009B28EA">
        <w:t>increased</w:t>
      </w:r>
      <w:r w:rsidR="009526B7" w:rsidRPr="009B28EA">
        <w:t xml:space="preserve"> use of the scheme by </w:t>
      </w:r>
      <w:r>
        <w:t>Registration and Licencing</w:t>
      </w:r>
      <w:r w:rsidR="009526B7" w:rsidRPr="009B28EA">
        <w:t xml:space="preserve"> Services (VicRoads) as they establish incident </w:t>
      </w:r>
      <w:r w:rsidR="009C6E4A">
        <w:t>notification protocols</w:t>
      </w:r>
      <w:r w:rsidR="009526B7" w:rsidRPr="009B28EA">
        <w:t xml:space="preserve">. </w:t>
      </w:r>
    </w:p>
    <w:p w14:paraId="2157541A" w14:textId="5B469446" w:rsidR="00D452E6" w:rsidRPr="00D452E6" w:rsidRDefault="00C63E89" w:rsidP="00E803E9">
      <w:r w:rsidRPr="00C63E89">
        <w:lastRenderedPageBreak/>
        <w:t>Notifications from local government continue</w:t>
      </w:r>
      <w:r w:rsidR="00C279D5">
        <w:t>d</w:t>
      </w:r>
      <w:r w:rsidRPr="00C63E89">
        <w:t xml:space="preserve"> to steadily rise this </w:t>
      </w:r>
      <w:r w:rsidR="00820E52">
        <w:t>notification</w:t>
      </w:r>
      <w:r w:rsidRPr="00C63E89">
        <w:t xml:space="preserve"> period</w:t>
      </w:r>
      <w:r>
        <w:t xml:space="preserve"> (</w:t>
      </w:r>
      <w:r w:rsidRPr="00C63E89">
        <w:rPr>
          <w:b/>
          <w:bCs/>
        </w:rPr>
        <w:t>3</w:t>
      </w:r>
      <w:r w:rsidR="00305395">
        <w:rPr>
          <w:b/>
          <w:bCs/>
        </w:rPr>
        <w:t>8</w:t>
      </w:r>
      <w:r>
        <w:t>)</w:t>
      </w:r>
      <w:r w:rsidR="00D452E6" w:rsidRPr="00D452E6">
        <w:t xml:space="preserve"> compared to the previous periods</w:t>
      </w:r>
      <w:r>
        <w:t xml:space="preserve"> </w:t>
      </w:r>
      <w:r w:rsidR="0096004C">
        <w:t xml:space="preserve">July to December 2023 with </w:t>
      </w:r>
      <w:r w:rsidR="0096004C" w:rsidRPr="0096004C">
        <w:rPr>
          <w:b/>
          <w:bCs/>
        </w:rPr>
        <w:t>30</w:t>
      </w:r>
      <w:r w:rsidR="0096004C">
        <w:t xml:space="preserve">, </w:t>
      </w:r>
      <w:r>
        <w:t xml:space="preserve">January to June 2023 with </w:t>
      </w:r>
      <w:r w:rsidRPr="00C63E89">
        <w:rPr>
          <w:b/>
          <w:bCs/>
        </w:rPr>
        <w:t>26</w:t>
      </w:r>
      <w:r>
        <w:t xml:space="preserve">, </w:t>
      </w:r>
      <w:r w:rsidR="00D452E6" w:rsidRPr="00D452E6">
        <w:t xml:space="preserve">July to December 2022 with </w:t>
      </w:r>
      <w:r w:rsidR="00D452E6" w:rsidRPr="002B544E">
        <w:rPr>
          <w:b/>
          <w:bCs/>
        </w:rPr>
        <w:t>15</w:t>
      </w:r>
      <w:r w:rsidR="00D452E6" w:rsidRPr="00D452E6">
        <w:t xml:space="preserve"> and January to June 2022 with </w:t>
      </w:r>
      <w:r w:rsidR="009733AC" w:rsidRPr="00015B53">
        <w:t>eight</w:t>
      </w:r>
      <w:r w:rsidR="00D452E6" w:rsidRPr="00D452E6">
        <w:t xml:space="preserve"> </w:t>
      </w:r>
      <w:r w:rsidR="00FF6932">
        <w:t>(</w:t>
      </w:r>
      <w:r w:rsidR="00FF6932" w:rsidRPr="00FF6932">
        <w:rPr>
          <w:b/>
          <w:bCs/>
        </w:rPr>
        <w:t>8</w:t>
      </w:r>
      <w:r w:rsidR="00FF6932">
        <w:t xml:space="preserve">) </w:t>
      </w:r>
      <w:r w:rsidR="00D452E6" w:rsidRPr="00D452E6">
        <w:t>notifications.</w:t>
      </w:r>
    </w:p>
    <w:p w14:paraId="4E1B2B4F" w14:textId="33BAF1A3" w:rsidR="00E803E9" w:rsidRPr="00C930F4" w:rsidRDefault="00E803E9" w:rsidP="00D6504B">
      <w:pPr>
        <w:keepNext/>
        <w:rPr>
          <w:rStyle w:val="Emphasis"/>
          <w:i w:val="0"/>
          <w:iCs w:val="0"/>
        </w:rPr>
      </w:pPr>
      <w:r w:rsidRPr="00C930F4">
        <w:rPr>
          <w:rStyle w:val="Emphasis"/>
          <w:i w:val="0"/>
          <w:iCs w:val="0"/>
        </w:rPr>
        <w:t xml:space="preserve">This </w:t>
      </w:r>
      <w:r w:rsidR="004A4D26">
        <w:rPr>
          <w:rStyle w:val="Emphasis"/>
          <w:i w:val="0"/>
          <w:iCs w:val="0"/>
        </w:rPr>
        <w:t>notification</w:t>
      </w:r>
      <w:r w:rsidRPr="00C930F4">
        <w:rPr>
          <w:rStyle w:val="Emphasis"/>
          <w:i w:val="0"/>
          <w:iCs w:val="0"/>
        </w:rPr>
        <w:t xml:space="preserve"> period saw </w:t>
      </w:r>
      <w:r w:rsidR="00305395">
        <w:rPr>
          <w:rStyle w:val="Emphasis"/>
          <w:i w:val="0"/>
          <w:iCs w:val="0"/>
        </w:rPr>
        <w:t xml:space="preserve">an increase in </w:t>
      </w:r>
      <w:proofErr w:type="gramStart"/>
      <w:r w:rsidRPr="00C930F4">
        <w:rPr>
          <w:rStyle w:val="Emphasis"/>
          <w:b/>
          <w:bCs/>
          <w:i w:val="0"/>
          <w:iCs w:val="0"/>
        </w:rPr>
        <w:t>Other</w:t>
      </w:r>
      <w:proofErr w:type="gramEnd"/>
      <w:r w:rsidRPr="00C930F4">
        <w:rPr>
          <w:rStyle w:val="Emphasis"/>
          <w:i w:val="0"/>
          <w:iCs w:val="0"/>
        </w:rPr>
        <w:t xml:space="preserve"> </w:t>
      </w:r>
      <w:r w:rsidR="0096004C">
        <w:rPr>
          <w:rStyle w:val="Emphasis"/>
          <w:i w:val="0"/>
          <w:iCs w:val="0"/>
        </w:rPr>
        <w:t xml:space="preserve">portfolio </w:t>
      </w:r>
      <w:r w:rsidRPr="00C930F4">
        <w:rPr>
          <w:rStyle w:val="Emphasis"/>
          <w:i w:val="0"/>
          <w:iCs w:val="0"/>
        </w:rPr>
        <w:t>notifications</w:t>
      </w:r>
      <w:r w:rsidR="00305395">
        <w:rPr>
          <w:rStyle w:val="Emphasis"/>
          <w:i w:val="0"/>
          <w:iCs w:val="0"/>
        </w:rPr>
        <w:t xml:space="preserve"> with </w:t>
      </w:r>
      <w:r w:rsidR="00305395" w:rsidRPr="0096004C">
        <w:rPr>
          <w:rStyle w:val="Emphasis"/>
          <w:b/>
          <w:bCs/>
          <w:i w:val="0"/>
          <w:iCs w:val="0"/>
        </w:rPr>
        <w:t>33</w:t>
      </w:r>
      <w:r w:rsidR="0096004C">
        <w:rPr>
          <w:rStyle w:val="Emphasis"/>
          <w:i w:val="0"/>
          <w:iCs w:val="0"/>
        </w:rPr>
        <w:t xml:space="preserve"> instances</w:t>
      </w:r>
      <w:r w:rsidRPr="00C930F4">
        <w:rPr>
          <w:rStyle w:val="Emphasis"/>
          <w:i w:val="0"/>
          <w:iCs w:val="0"/>
        </w:rPr>
        <w:t xml:space="preserve"> from:</w:t>
      </w:r>
    </w:p>
    <w:p w14:paraId="4DFCEEF7" w14:textId="4BA125A8" w:rsidR="009733AC" w:rsidRPr="00C930F4" w:rsidRDefault="009733AC" w:rsidP="004A6B8C">
      <w:pPr>
        <w:pStyle w:val="ListParagraph"/>
        <w:numPr>
          <w:ilvl w:val="0"/>
          <w:numId w:val="9"/>
        </w:numPr>
        <w:rPr>
          <w:rStyle w:val="Emphasis"/>
          <w:i w:val="0"/>
          <w:iCs w:val="0"/>
        </w:rPr>
      </w:pPr>
      <w:r w:rsidRPr="00C930F4">
        <w:rPr>
          <w:rStyle w:val="Emphasis"/>
          <w:i w:val="0"/>
          <w:iCs w:val="0"/>
        </w:rPr>
        <w:t xml:space="preserve">organisations </w:t>
      </w:r>
      <w:r w:rsidR="00BC1B87">
        <w:rPr>
          <w:rStyle w:val="Emphasis"/>
          <w:i w:val="0"/>
          <w:iCs w:val="0"/>
        </w:rPr>
        <w:t>that</w:t>
      </w:r>
      <w:r w:rsidR="00BC1B87" w:rsidRPr="00C930F4">
        <w:rPr>
          <w:rStyle w:val="Emphasis"/>
          <w:i w:val="0"/>
          <w:iCs w:val="0"/>
        </w:rPr>
        <w:t xml:space="preserve"> </w:t>
      </w:r>
      <w:r w:rsidRPr="00C930F4">
        <w:rPr>
          <w:rStyle w:val="Emphasis"/>
          <w:i w:val="0"/>
          <w:iCs w:val="0"/>
        </w:rPr>
        <w:t>do not reside under a portfolio</w:t>
      </w:r>
      <w:r w:rsidR="0096004C">
        <w:rPr>
          <w:rStyle w:val="Emphasis"/>
          <w:i w:val="0"/>
          <w:iCs w:val="0"/>
        </w:rPr>
        <w:t xml:space="preserve"> </w:t>
      </w:r>
      <w:r w:rsidR="0096004C" w:rsidRPr="0096004C">
        <w:rPr>
          <w:rStyle w:val="Emphasis"/>
          <w:i w:val="0"/>
          <w:iCs w:val="0"/>
        </w:rPr>
        <w:t>(</w:t>
      </w:r>
      <w:r w:rsidR="0096004C" w:rsidRPr="0096004C">
        <w:rPr>
          <w:rStyle w:val="Emphasis"/>
          <w:b/>
          <w:bCs/>
          <w:i w:val="0"/>
          <w:iCs w:val="0"/>
        </w:rPr>
        <w:t>28</w:t>
      </w:r>
      <w:r w:rsidR="0096004C" w:rsidRPr="0096004C">
        <w:rPr>
          <w:rStyle w:val="Emphasis"/>
          <w:i w:val="0"/>
          <w:iCs w:val="0"/>
        </w:rPr>
        <w:t>)</w:t>
      </w:r>
      <w:r w:rsidRPr="00C930F4">
        <w:rPr>
          <w:rStyle w:val="Emphasis"/>
          <w:i w:val="0"/>
          <w:iCs w:val="0"/>
        </w:rPr>
        <w:t xml:space="preserve"> e.g., </w:t>
      </w:r>
      <w:r w:rsidR="004A4D26">
        <w:rPr>
          <w:rStyle w:val="Emphasis"/>
          <w:i w:val="0"/>
          <w:iCs w:val="0"/>
        </w:rPr>
        <w:t>Victorian Ombudsman</w:t>
      </w:r>
    </w:p>
    <w:p w14:paraId="53286BD0" w14:textId="119CCFFC" w:rsidR="004A4D26" w:rsidRDefault="00FF6932" w:rsidP="004A4D26">
      <w:pPr>
        <w:pStyle w:val="ListParagraph"/>
        <w:numPr>
          <w:ilvl w:val="0"/>
          <w:numId w:val="9"/>
        </w:numPr>
        <w:rPr>
          <w:rStyle w:val="Emphasis"/>
          <w:i w:val="0"/>
          <w:iCs w:val="0"/>
        </w:rPr>
      </w:pPr>
      <w:r>
        <w:rPr>
          <w:rStyle w:val="Emphasis"/>
          <w:i w:val="0"/>
          <w:iCs w:val="0"/>
        </w:rPr>
        <w:t xml:space="preserve">organisations </w:t>
      </w:r>
      <w:r w:rsidR="004A4D26">
        <w:rPr>
          <w:rStyle w:val="Emphasis"/>
          <w:i w:val="0"/>
          <w:iCs w:val="0"/>
        </w:rPr>
        <w:t>out of</w:t>
      </w:r>
      <w:r w:rsidR="00E803E9" w:rsidRPr="00C930F4">
        <w:rPr>
          <w:rStyle w:val="Emphasis"/>
          <w:i w:val="0"/>
          <w:iCs w:val="0"/>
        </w:rPr>
        <w:t xml:space="preserve"> jurisdiction</w:t>
      </w:r>
      <w:r w:rsidR="004A4D26">
        <w:rPr>
          <w:rStyle w:val="Emphasis"/>
          <w:i w:val="0"/>
          <w:iCs w:val="0"/>
        </w:rPr>
        <w:t xml:space="preserve"> for Part 4 of the Privacy and Data Protection Act </w:t>
      </w:r>
      <w:r w:rsidR="0096004C">
        <w:rPr>
          <w:rStyle w:val="Emphasis"/>
          <w:i w:val="0"/>
          <w:iCs w:val="0"/>
        </w:rPr>
        <w:t>(</w:t>
      </w:r>
      <w:r w:rsidR="0096004C" w:rsidRPr="00015B53">
        <w:rPr>
          <w:rStyle w:val="Emphasis"/>
          <w:i w:val="0"/>
          <w:iCs w:val="0"/>
        </w:rPr>
        <w:t>one</w:t>
      </w:r>
      <w:r w:rsidR="0096004C" w:rsidRPr="0096004C">
        <w:rPr>
          <w:rStyle w:val="Emphasis"/>
          <w:b/>
          <w:bCs/>
          <w:i w:val="0"/>
          <w:iCs w:val="0"/>
        </w:rPr>
        <w:t xml:space="preserve"> </w:t>
      </w:r>
      <w:r w:rsidR="0096004C" w:rsidRPr="00015B53">
        <w:rPr>
          <w:rStyle w:val="Emphasis"/>
          <w:i w:val="0"/>
          <w:iCs w:val="0"/>
        </w:rPr>
        <w:t>(</w:t>
      </w:r>
      <w:r w:rsidR="0096004C" w:rsidRPr="0096004C">
        <w:rPr>
          <w:rStyle w:val="Emphasis"/>
          <w:b/>
          <w:bCs/>
          <w:i w:val="0"/>
          <w:iCs w:val="0"/>
        </w:rPr>
        <w:t>1</w:t>
      </w:r>
      <w:r w:rsidR="0096004C" w:rsidRPr="00015B53">
        <w:rPr>
          <w:rStyle w:val="Emphasis"/>
          <w:i w:val="0"/>
          <w:iCs w:val="0"/>
        </w:rPr>
        <w:t>))</w:t>
      </w:r>
      <w:r w:rsidR="0096004C">
        <w:rPr>
          <w:rStyle w:val="Emphasis"/>
          <w:i w:val="0"/>
          <w:iCs w:val="0"/>
        </w:rPr>
        <w:t xml:space="preserve"> </w:t>
      </w:r>
      <w:r w:rsidR="004A4D26">
        <w:rPr>
          <w:rStyle w:val="Emphasis"/>
          <w:i w:val="0"/>
          <w:iCs w:val="0"/>
        </w:rPr>
        <w:t>e.g., universities</w:t>
      </w:r>
    </w:p>
    <w:p w14:paraId="68C917C1" w14:textId="7CEED16E" w:rsidR="00E803E9" w:rsidRDefault="004A4D26" w:rsidP="004A4D26">
      <w:pPr>
        <w:pStyle w:val="ListParagraph"/>
        <w:numPr>
          <w:ilvl w:val="0"/>
          <w:numId w:val="9"/>
        </w:numPr>
        <w:rPr>
          <w:rStyle w:val="Emphasis"/>
          <w:i w:val="0"/>
          <w:iCs w:val="0"/>
        </w:rPr>
      </w:pPr>
      <w:r>
        <w:rPr>
          <w:rStyle w:val="Emphasis"/>
          <w:i w:val="0"/>
          <w:iCs w:val="0"/>
        </w:rPr>
        <w:t>multiple organisations for the same incident</w:t>
      </w:r>
      <w:r w:rsidR="0096004C">
        <w:rPr>
          <w:rStyle w:val="Emphasis"/>
          <w:i w:val="0"/>
          <w:iCs w:val="0"/>
        </w:rPr>
        <w:t xml:space="preserve"> (</w:t>
      </w:r>
      <w:r w:rsidR="0096004C" w:rsidRPr="00015B53">
        <w:rPr>
          <w:rStyle w:val="Emphasis"/>
          <w:i w:val="0"/>
          <w:iCs w:val="0"/>
        </w:rPr>
        <w:t>four (</w:t>
      </w:r>
      <w:r w:rsidR="0096004C" w:rsidRPr="0096004C">
        <w:rPr>
          <w:rStyle w:val="Emphasis"/>
          <w:b/>
          <w:bCs/>
          <w:i w:val="0"/>
          <w:iCs w:val="0"/>
        </w:rPr>
        <w:t>4</w:t>
      </w:r>
      <w:r w:rsidR="0096004C" w:rsidRPr="00015B53">
        <w:rPr>
          <w:rStyle w:val="Emphasis"/>
          <w:i w:val="0"/>
          <w:iCs w:val="0"/>
        </w:rPr>
        <w:t>))</w:t>
      </w:r>
      <w:r>
        <w:rPr>
          <w:rStyle w:val="Emphasis"/>
          <w:i w:val="0"/>
          <w:iCs w:val="0"/>
        </w:rPr>
        <w:t xml:space="preserve"> e.g.</w:t>
      </w:r>
      <w:r w:rsidR="0096004C">
        <w:rPr>
          <w:rStyle w:val="Emphasis"/>
          <w:i w:val="0"/>
          <w:iCs w:val="0"/>
        </w:rPr>
        <w:t>,</w:t>
      </w:r>
      <w:r>
        <w:rPr>
          <w:rStyle w:val="Emphasis"/>
          <w:i w:val="0"/>
          <w:iCs w:val="0"/>
        </w:rPr>
        <w:t xml:space="preserve"> OVIC received 20 notifications for the </w:t>
      </w:r>
      <w:hyperlink r:id="rId12" w:history="1">
        <w:r w:rsidRPr="00305395">
          <w:rPr>
            <w:rStyle w:val="Hyperlink"/>
          </w:rPr>
          <w:t>OracleCMS incident</w:t>
        </w:r>
      </w:hyperlink>
      <w:r>
        <w:rPr>
          <w:rStyle w:val="Emphasis"/>
          <w:i w:val="0"/>
          <w:iCs w:val="0"/>
        </w:rPr>
        <w:t xml:space="preserve"> </w:t>
      </w:r>
      <w:r w:rsidR="00305395">
        <w:rPr>
          <w:rStyle w:val="Emphasis"/>
          <w:i w:val="0"/>
          <w:iCs w:val="0"/>
        </w:rPr>
        <w:t>which mostly impacted local government councils and water organisations</w:t>
      </w:r>
      <w:r w:rsidR="0087519B">
        <w:rPr>
          <w:rStyle w:val="Emphasis"/>
          <w:i w:val="0"/>
          <w:iCs w:val="0"/>
        </w:rPr>
        <w:t>.</w:t>
      </w:r>
    </w:p>
    <w:p w14:paraId="0D4C3645" w14:textId="3AD5638B" w:rsidR="004A4D26" w:rsidRPr="004A4D26" w:rsidRDefault="004A4D26" w:rsidP="004A4D26">
      <w:pPr>
        <w:rPr>
          <w:rStyle w:val="Emphasis"/>
          <w:i w:val="0"/>
          <w:iCs w:val="0"/>
        </w:rPr>
      </w:pPr>
      <w:r>
        <w:rPr>
          <w:rStyle w:val="Emphasis"/>
          <w:i w:val="0"/>
          <w:iCs w:val="0"/>
        </w:rPr>
        <w:t>Note</w:t>
      </w:r>
      <w:r w:rsidR="002F590B">
        <w:rPr>
          <w:rStyle w:val="Emphasis"/>
          <w:i w:val="0"/>
          <w:iCs w:val="0"/>
        </w:rPr>
        <w:t>:</w:t>
      </w:r>
      <w:r>
        <w:rPr>
          <w:rStyle w:val="Emphasis"/>
          <w:i w:val="0"/>
          <w:iCs w:val="0"/>
        </w:rPr>
        <w:t xml:space="preserve"> </w:t>
      </w:r>
      <w:r w:rsidR="0096004C">
        <w:rPr>
          <w:rStyle w:val="Emphasis"/>
          <w:i w:val="0"/>
          <w:iCs w:val="0"/>
        </w:rPr>
        <w:t xml:space="preserve">OVIC continues to conduct annual reviews of the scheme to </w:t>
      </w:r>
      <w:r w:rsidR="002254A1">
        <w:rPr>
          <w:rStyle w:val="Emphasis"/>
          <w:i w:val="0"/>
          <w:iCs w:val="0"/>
        </w:rPr>
        <w:t>identify</w:t>
      </w:r>
      <w:r w:rsidR="0096004C">
        <w:rPr>
          <w:rStyle w:val="Emphasis"/>
          <w:i w:val="0"/>
          <w:iCs w:val="0"/>
        </w:rPr>
        <w:t xml:space="preserve"> </w:t>
      </w:r>
      <w:r w:rsidR="002254A1">
        <w:rPr>
          <w:rStyle w:val="Emphasis"/>
          <w:i w:val="0"/>
          <w:iCs w:val="0"/>
        </w:rPr>
        <w:t>areas for</w:t>
      </w:r>
      <w:r w:rsidR="0096004C">
        <w:rPr>
          <w:rStyle w:val="Emphasis"/>
          <w:i w:val="0"/>
          <w:iCs w:val="0"/>
        </w:rPr>
        <w:t xml:space="preserve"> improvement. </w:t>
      </w:r>
      <w:r>
        <w:rPr>
          <w:rStyle w:val="Emphasis"/>
          <w:i w:val="0"/>
          <w:iCs w:val="0"/>
        </w:rPr>
        <w:t xml:space="preserve">In the future, </w:t>
      </w:r>
      <w:r w:rsidR="0096004C">
        <w:rPr>
          <w:rStyle w:val="Emphasis"/>
          <w:i w:val="0"/>
          <w:iCs w:val="0"/>
        </w:rPr>
        <w:t xml:space="preserve">for incidents that affect multiple organisations, </w:t>
      </w:r>
      <w:r>
        <w:rPr>
          <w:rStyle w:val="Emphasis"/>
          <w:i w:val="0"/>
          <w:iCs w:val="0"/>
        </w:rPr>
        <w:t>OVIC will register each notification with its own unique reference number even if it relates to the same incident to get a better indication of individual notification numbers</w:t>
      </w:r>
      <w:r w:rsidR="0096004C">
        <w:rPr>
          <w:rStyle w:val="Emphasis"/>
          <w:i w:val="0"/>
          <w:iCs w:val="0"/>
        </w:rPr>
        <w:t xml:space="preserve"> rather than incident numbers</w:t>
      </w:r>
      <w:r>
        <w:rPr>
          <w:rStyle w:val="Emphasis"/>
          <w:i w:val="0"/>
          <w:iCs w:val="0"/>
        </w:rPr>
        <w:t>.</w:t>
      </w:r>
    </w:p>
    <w:p w14:paraId="34B64D02" w14:textId="62A1953B" w:rsidR="00F4430E" w:rsidRPr="00474F2E" w:rsidRDefault="00F4430E" w:rsidP="00474F2E">
      <w:pPr>
        <w:pStyle w:val="Heading2"/>
      </w:pPr>
      <w:r w:rsidRPr="00474F2E">
        <w:t>Information format (</w:t>
      </w:r>
      <w:r w:rsidR="00A510E8" w:rsidRPr="00474F2E">
        <w:t>Respondent percentage</w:t>
      </w:r>
      <w:r w:rsidRPr="00474F2E">
        <w:t>)</w:t>
      </w:r>
    </w:p>
    <w:p w14:paraId="0AB32BA9" w14:textId="169EAF2A" w:rsidR="00894E59" w:rsidRPr="00894E59" w:rsidRDefault="00894E59" w:rsidP="00894E59">
      <w:r>
        <w:rPr>
          <w:noProof/>
        </w:rPr>
        <w:drawing>
          <wp:inline distT="0" distB="0" distL="0" distR="0" wp14:anchorId="60B29DA5" wp14:editId="5482FEE9">
            <wp:extent cx="4616450" cy="2428407"/>
            <wp:effectExtent l="0" t="0" r="0" b="0"/>
            <wp:docPr id="106752414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9746F1" w14:textId="5D1BE28E" w:rsidR="003567E4" w:rsidRDefault="00A4119B" w:rsidP="00AC47F1">
      <w:pPr>
        <w:pStyle w:val="Heading3"/>
      </w:pPr>
      <w:r>
        <w:t>Insights:</w:t>
      </w:r>
    </w:p>
    <w:p w14:paraId="4E34F281" w14:textId="77777777" w:rsidR="00510666" w:rsidRDefault="00A4119B" w:rsidP="00F4430E">
      <w:r>
        <w:t>Notifications</w:t>
      </w:r>
      <w:r w:rsidRPr="009C752B">
        <w:t xml:space="preserve"> </w:t>
      </w:r>
      <w:r w:rsidR="00D0731A" w:rsidRPr="009C752B">
        <w:t>affecting electronic information continues to be the most selected information format</w:t>
      </w:r>
      <w:r w:rsidR="001954C2">
        <w:t xml:space="preserve"> </w:t>
      </w:r>
      <w:r w:rsidR="001954C2" w:rsidRPr="001954C2">
        <w:rPr>
          <w:b/>
          <w:bCs/>
        </w:rPr>
        <w:t>(</w:t>
      </w:r>
      <w:r w:rsidR="00A510E8">
        <w:rPr>
          <w:b/>
          <w:bCs/>
        </w:rPr>
        <w:t>7</w:t>
      </w:r>
      <w:r w:rsidR="001954C2" w:rsidRPr="001954C2">
        <w:rPr>
          <w:b/>
          <w:bCs/>
        </w:rPr>
        <w:t>8%)</w:t>
      </w:r>
      <w:r w:rsidR="00F4430E" w:rsidRPr="009C752B">
        <w:t xml:space="preserve">. Most notifications indicated compromises of </w:t>
      </w:r>
      <w:r w:rsidR="00F4430E" w:rsidRPr="009C752B">
        <w:rPr>
          <w:b/>
          <w:bCs/>
        </w:rPr>
        <w:t>electronic</w:t>
      </w:r>
      <w:r w:rsidR="00F4430E" w:rsidRPr="009C752B">
        <w:t xml:space="preserve"> information </w:t>
      </w:r>
      <w:r w:rsidR="001954C2" w:rsidRPr="001954C2">
        <w:t>(</w:t>
      </w:r>
      <w:r w:rsidR="00A510E8" w:rsidRPr="00A510E8">
        <w:rPr>
          <w:b/>
          <w:bCs/>
        </w:rPr>
        <w:t>308</w:t>
      </w:r>
      <w:r w:rsidR="001954C2" w:rsidRPr="001954C2">
        <w:t xml:space="preserve">) </w:t>
      </w:r>
      <w:r w:rsidR="00F4430E" w:rsidRPr="009C752B">
        <w:t xml:space="preserve">followed by </w:t>
      </w:r>
      <w:r w:rsidR="00F4430E" w:rsidRPr="009C752B">
        <w:rPr>
          <w:b/>
          <w:bCs/>
        </w:rPr>
        <w:t>hard copy</w:t>
      </w:r>
      <w:r w:rsidR="00F4430E" w:rsidRPr="009C752B">
        <w:t xml:space="preserve"> information (</w:t>
      </w:r>
      <w:r w:rsidR="00D65E2E" w:rsidRPr="00D65E2E">
        <w:rPr>
          <w:b/>
          <w:bCs/>
        </w:rPr>
        <w:t>7</w:t>
      </w:r>
      <w:r w:rsidR="00A510E8">
        <w:rPr>
          <w:b/>
          <w:bCs/>
        </w:rPr>
        <w:t>1</w:t>
      </w:r>
      <w:r w:rsidR="00F4430E" w:rsidRPr="009C752B">
        <w:t>).</w:t>
      </w:r>
      <w:r w:rsidR="0072278C">
        <w:t xml:space="preserve"> </w:t>
      </w:r>
    </w:p>
    <w:p w14:paraId="5210001F" w14:textId="6048237E" w:rsidR="007927A8" w:rsidRDefault="00510666" w:rsidP="00F4430E">
      <w:r>
        <w:t>The number of i</w:t>
      </w:r>
      <w:r w:rsidR="0072278C">
        <w:t xml:space="preserve">ncidents involving verbal information </w:t>
      </w:r>
      <w:r w:rsidR="001954C2" w:rsidRPr="001954C2">
        <w:t>(</w:t>
      </w:r>
      <w:r w:rsidR="00A510E8" w:rsidRPr="00A510E8">
        <w:rPr>
          <w:b/>
          <w:bCs/>
        </w:rPr>
        <w:t>16</w:t>
      </w:r>
      <w:r w:rsidR="001954C2" w:rsidRPr="001954C2">
        <w:t>)</w:t>
      </w:r>
      <w:r w:rsidR="001954C2">
        <w:t xml:space="preserve"> </w:t>
      </w:r>
      <w:r w:rsidR="00A510E8">
        <w:t xml:space="preserve">were </w:t>
      </w:r>
      <w:proofErr w:type="gramStart"/>
      <w:r w:rsidR="00A510E8">
        <w:t>similar to</w:t>
      </w:r>
      <w:proofErr w:type="gramEnd"/>
      <w:r w:rsidR="00A510E8">
        <w:t xml:space="preserve"> </w:t>
      </w:r>
      <w:r w:rsidR="0072278C">
        <w:t xml:space="preserve">the previous </w:t>
      </w:r>
      <w:r w:rsidR="00A27530">
        <w:t>notification</w:t>
      </w:r>
      <w:r w:rsidR="0072278C">
        <w:t xml:space="preserve"> period </w:t>
      </w:r>
      <w:r w:rsidR="00A510E8">
        <w:t>(</w:t>
      </w:r>
      <w:r w:rsidR="0072278C" w:rsidRPr="00DE221D">
        <w:rPr>
          <w:b/>
          <w:bCs/>
        </w:rPr>
        <w:t>17</w:t>
      </w:r>
      <w:r w:rsidR="00A510E8" w:rsidRPr="00A510E8">
        <w:t>)</w:t>
      </w:r>
      <w:r w:rsidR="00DE221D">
        <w:t>. All of these relate to unauthorised disclosure / oversharing of public sector information. Some examples of verbal disclosures include</w:t>
      </w:r>
      <w:r w:rsidR="007927A8">
        <w:t>:</w:t>
      </w:r>
    </w:p>
    <w:p w14:paraId="478874F7" w14:textId="47E3A35B" w:rsidR="00540664" w:rsidRDefault="00540664" w:rsidP="007927A8">
      <w:pPr>
        <w:pStyle w:val="ListParagraph"/>
        <w:numPr>
          <w:ilvl w:val="0"/>
          <w:numId w:val="14"/>
        </w:numPr>
      </w:pPr>
      <w:r>
        <w:lastRenderedPageBreak/>
        <w:t xml:space="preserve">discussing intelligence information with </w:t>
      </w:r>
      <w:r w:rsidR="00A06369">
        <w:t xml:space="preserve">unauthorised </w:t>
      </w:r>
      <w:r>
        <w:t>staff</w:t>
      </w:r>
      <w:r w:rsidR="00A06369">
        <w:t xml:space="preserve"> members</w:t>
      </w:r>
    </w:p>
    <w:p w14:paraId="4E155350" w14:textId="02FEB3BC" w:rsidR="00540664" w:rsidRDefault="00540664" w:rsidP="007927A8">
      <w:pPr>
        <w:pStyle w:val="ListParagraph"/>
        <w:numPr>
          <w:ilvl w:val="0"/>
          <w:numId w:val="14"/>
        </w:numPr>
      </w:pPr>
      <w:r>
        <w:t>disclosing another person’s identity to an unverified caller</w:t>
      </w:r>
    </w:p>
    <w:p w14:paraId="7CED7008" w14:textId="0041D88A" w:rsidR="00540664" w:rsidRDefault="00540664" w:rsidP="007927A8">
      <w:pPr>
        <w:pStyle w:val="ListParagraph"/>
        <w:numPr>
          <w:ilvl w:val="0"/>
          <w:numId w:val="14"/>
        </w:numPr>
      </w:pPr>
      <w:r>
        <w:t xml:space="preserve">discussing sensitive information with a person listed on a spreadsheet which was received by a </w:t>
      </w:r>
      <w:r w:rsidRPr="00540664">
        <w:t xml:space="preserve">staff member </w:t>
      </w:r>
      <w:r>
        <w:t>i</w:t>
      </w:r>
      <w:r w:rsidRPr="00540664">
        <w:t>n error</w:t>
      </w:r>
    </w:p>
    <w:p w14:paraId="06E10D75" w14:textId="791CE42C" w:rsidR="00F4430E" w:rsidRPr="009C752B" w:rsidRDefault="00540664" w:rsidP="00540664">
      <w:pPr>
        <w:pStyle w:val="ListParagraph"/>
        <w:numPr>
          <w:ilvl w:val="0"/>
          <w:numId w:val="14"/>
        </w:numPr>
      </w:pPr>
      <w:r w:rsidRPr="00540664">
        <w:t xml:space="preserve">phone calls monitored and recorded in error </w:t>
      </w:r>
    </w:p>
    <w:p w14:paraId="30A9A4F6" w14:textId="718D68DF" w:rsidR="00F4430E" w:rsidRPr="00B918AC" w:rsidRDefault="00581D78" w:rsidP="00DF4408">
      <w:r w:rsidRPr="00581D78">
        <w:rPr>
          <w:b/>
          <w:bCs/>
        </w:rPr>
        <w:t>66</w:t>
      </w:r>
      <w:r w:rsidR="00935C80" w:rsidRPr="00581D78">
        <w:rPr>
          <w:b/>
          <w:bCs/>
        </w:rPr>
        <w:t>%</w:t>
      </w:r>
      <w:r w:rsidR="00F4430E" w:rsidRPr="00581D78">
        <w:t xml:space="preserve"> of the incidents affecting electronic information related to emails</w:t>
      </w:r>
      <w:r w:rsidR="00935C80" w:rsidRPr="00581D78">
        <w:t xml:space="preserve"> </w:t>
      </w:r>
      <w:r w:rsidR="00A27530" w:rsidRPr="00581D78">
        <w:t>and s</w:t>
      </w:r>
      <w:r w:rsidR="009C752B" w:rsidRPr="00581D78">
        <w:t>imilarly,</w:t>
      </w:r>
      <w:r w:rsidR="009C752B" w:rsidRPr="00581D78">
        <w:rPr>
          <w:b/>
          <w:bCs/>
        </w:rPr>
        <w:t xml:space="preserve"> </w:t>
      </w:r>
      <w:r w:rsidRPr="00581D78">
        <w:rPr>
          <w:b/>
          <w:bCs/>
        </w:rPr>
        <w:t>69</w:t>
      </w:r>
      <w:r w:rsidR="009C752B" w:rsidRPr="00581D78">
        <w:rPr>
          <w:b/>
          <w:bCs/>
        </w:rPr>
        <w:t>%</w:t>
      </w:r>
      <w:r w:rsidR="00F4430E" w:rsidRPr="00581D78">
        <w:t xml:space="preserve"> of the incidents involving hard copy information were related to mail. </w:t>
      </w:r>
      <w:r>
        <w:t>There was an increase in</w:t>
      </w:r>
      <w:r w:rsidR="00A27530" w:rsidRPr="00581D78">
        <w:t xml:space="preserve"> incident notifications, </w:t>
      </w:r>
      <w:r>
        <w:t xml:space="preserve">that </w:t>
      </w:r>
      <w:r w:rsidR="00A27530" w:rsidRPr="00581D78">
        <w:t>involved unauthorised release/disclosure of information</w:t>
      </w:r>
      <w:r>
        <w:t xml:space="preserve">, </w:t>
      </w:r>
      <w:r w:rsidRPr="00581D78">
        <w:t>regardless of information format</w:t>
      </w:r>
      <w:r>
        <w:t xml:space="preserve">, from 75% in the previous period to </w:t>
      </w:r>
      <w:r w:rsidRPr="00581D78">
        <w:rPr>
          <w:b/>
          <w:bCs/>
        </w:rPr>
        <w:t>82%</w:t>
      </w:r>
      <w:r>
        <w:t xml:space="preserve"> this period. Examples of unauthorised release/disclosure,</w:t>
      </w:r>
      <w:r w:rsidR="00A27530" w:rsidRPr="00581D78">
        <w:t xml:space="preserve"> includ</w:t>
      </w:r>
      <w:r>
        <w:t>es</w:t>
      </w:r>
      <w:r w:rsidR="00A27530" w:rsidRPr="00581D78">
        <w:t xml:space="preserve"> verbal disclosures; sending emails or mail to the incorrect recipient; or attaching incorrect information.</w:t>
      </w:r>
    </w:p>
    <w:p w14:paraId="772A4C41" w14:textId="17A837A4" w:rsidR="00F4430E" w:rsidRDefault="00F4430E" w:rsidP="00F4430E">
      <w:r w:rsidRPr="00F27312">
        <w:t xml:space="preserve">Although </w:t>
      </w:r>
      <w:r>
        <w:t xml:space="preserve">it is </w:t>
      </w:r>
      <w:r w:rsidRPr="00F27312">
        <w:t xml:space="preserve">uncommon for multiple information formats to be affected in the same incident, multiple options can be selected for this field. There were </w:t>
      </w:r>
      <w:r w:rsidR="004B52D6" w:rsidRPr="00581D78">
        <w:rPr>
          <w:rFonts w:cstheme="majorHAnsi"/>
          <w:b/>
          <w:bCs/>
        </w:rPr>
        <w:t>11</w:t>
      </w:r>
      <w:r w:rsidRPr="00F27312">
        <w:t xml:space="preserve"> notifications that selected </w:t>
      </w:r>
      <w:r w:rsidR="004B52D6" w:rsidRPr="00015B53">
        <w:t>two</w:t>
      </w:r>
      <w:r w:rsidR="004B52D6">
        <w:t xml:space="preserve"> (</w:t>
      </w:r>
      <w:r w:rsidR="004B52D6" w:rsidRPr="004B52D6">
        <w:rPr>
          <w:b/>
          <w:bCs/>
        </w:rPr>
        <w:t>2</w:t>
      </w:r>
      <w:r w:rsidR="004B52D6">
        <w:t xml:space="preserve">) </w:t>
      </w:r>
      <w:r w:rsidRPr="00F27312">
        <w:t>information format attribute</w:t>
      </w:r>
      <w:r w:rsidR="004B52D6">
        <w:t>s</w:t>
      </w:r>
      <w:r w:rsidRPr="00F27312">
        <w:t xml:space="preserve">. </w:t>
      </w:r>
    </w:p>
    <w:p w14:paraId="2613447A" w14:textId="77777777" w:rsidR="00581D78" w:rsidRDefault="00581D78" w:rsidP="00F4430E">
      <w:r>
        <w:t xml:space="preserve">Some </w:t>
      </w:r>
      <w:r w:rsidR="00F4430E" w:rsidRPr="00F27312">
        <w:t>example</w:t>
      </w:r>
      <w:r>
        <w:t>s of incidents involving two information formats includes:</w:t>
      </w:r>
    </w:p>
    <w:p w14:paraId="1111C477" w14:textId="646A6C1B" w:rsidR="00F4430E" w:rsidRPr="008751BD" w:rsidRDefault="008F4B6E" w:rsidP="00581D78">
      <w:pPr>
        <w:pStyle w:val="ListParagraph"/>
        <w:numPr>
          <w:ilvl w:val="0"/>
          <w:numId w:val="14"/>
        </w:numPr>
      </w:pPr>
      <w:r>
        <w:t>l</w:t>
      </w:r>
      <w:r w:rsidR="00581D78">
        <w:t>ost laptop and manila folder</w:t>
      </w:r>
    </w:p>
    <w:p w14:paraId="40AC4CAA" w14:textId="61C228B0" w:rsidR="009C6E4A" w:rsidRPr="000E399A" w:rsidRDefault="008751BD" w:rsidP="00540664">
      <w:pPr>
        <w:pStyle w:val="ListParagraph"/>
        <w:numPr>
          <w:ilvl w:val="0"/>
          <w:numId w:val="14"/>
        </w:numPr>
      </w:pPr>
      <w:r w:rsidRPr="000E399A">
        <w:t xml:space="preserve">unauthorised </w:t>
      </w:r>
      <w:r w:rsidR="00226BD5">
        <w:t xml:space="preserve">recording and </w:t>
      </w:r>
      <w:r w:rsidRPr="000E399A">
        <w:t>use of AI to summarise a staff team meeting</w:t>
      </w:r>
      <w:r w:rsidR="000E399A" w:rsidRPr="000E399A">
        <w:t xml:space="preserve"> (speech to text)</w:t>
      </w:r>
    </w:p>
    <w:p w14:paraId="5BC86BF1" w14:textId="62DB6892" w:rsidR="00AC47F1" w:rsidRPr="00540664" w:rsidRDefault="008751BD" w:rsidP="00540664">
      <w:pPr>
        <w:pStyle w:val="ListParagraph"/>
        <w:numPr>
          <w:ilvl w:val="0"/>
          <w:numId w:val="14"/>
        </w:numPr>
      </w:pPr>
      <w:r>
        <w:t>incorrect address on system leading to document being sent to incorrect address</w:t>
      </w:r>
    </w:p>
    <w:p w14:paraId="44E5AA2D" w14:textId="77777777" w:rsidR="008A71C9" w:rsidRDefault="008A71C9">
      <w:pPr>
        <w:spacing w:before="0" w:after="160" w:line="259" w:lineRule="auto"/>
        <w:rPr>
          <w:rFonts w:eastAsiaTheme="majorEastAsia" w:cstheme="majorBidi"/>
          <w:color w:val="430098" w:themeColor="text2"/>
          <w:sz w:val="30"/>
          <w:szCs w:val="26"/>
        </w:rPr>
      </w:pPr>
      <w:r>
        <w:br w:type="page"/>
      </w:r>
    </w:p>
    <w:p w14:paraId="176ADDD9" w14:textId="4DCCCD1D" w:rsidR="00A6671C" w:rsidRDefault="00A6671C" w:rsidP="00FA1B6A">
      <w:pPr>
        <w:pStyle w:val="Heading2"/>
      </w:pPr>
      <w:r>
        <w:lastRenderedPageBreak/>
        <w:t xml:space="preserve">Type of information impacted </w:t>
      </w:r>
      <w:r w:rsidRPr="002C6E03">
        <w:t>(Multiple options can be selected)</w:t>
      </w:r>
    </w:p>
    <w:p w14:paraId="1A441FDB" w14:textId="4C1300A2" w:rsidR="00894E59" w:rsidRPr="00894E59" w:rsidRDefault="00894E59" w:rsidP="00894E59">
      <w:r>
        <w:rPr>
          <w:noProof/>
        </w:rPr>
        <w:drawing>
          <wp:inline distT="0" distB="0" distL="0" distR="0" wp14:anchorId="100C2869" wp14:editId="6B123A1D">
            <wp:extent cx="5486400" cy="3200400"/>
            <wp:effectExtent l="0" t="0" r="0" b="0"/>
            <wp:docPr id="67646163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F9A6A7" w14:textId="7761FACB" w:rsidR="00A4119B" w:rsidRDefault="00A4119B" w:rsidP="00AC47F1">
      <w:pPr>
        <w:pStyle w:val="Heading3"/>
      </w:pPr>
      <w:r>
        <w:t>Insights:</w:t>
      </w:r>
    </w:p>
    <w:p w14:paraId="4EDF60CE" w14:textId="63CD424C" w:rsidR="00A6671C" w:rsidRDefault="00A6671C" w:rsidP="00A6671C">
      <w:r>
        <w:t xml:space="preserve">Notifications regarding the type of information involved in incidents were consistent with previous </w:t>
      </w:r>
      <w:r w:rsidR="007A2641">
        <w:t>notification</w:t>
      </w:r>
      <w:r>
        <w:t xml:space="preserve"> periods. </w:t>
      </w:r>
      <w:r w:rsidR="00973774">
        <w:t>M</w:t>
      </w:r>
      <w:r>
        <w:t>ost (</w:t>
      </w:r>
      <w:r w:rsidRPr="000133E0">
        <w:rPr>
          <w:b/>
          <w:bCs/>
        </w:rPr>
        <w:t>9</w:t>
      </w:r>
      <w:r w:rsidR="00DA3107">
        <w:rPr>
          <w:b/>
          <w:bCs/>
        </w:rPr>
        <w:t>5</w:t>
      </w:r>
      <w:r w:rsidRPr="000133E0">
        <w:rPr>
          <w:b/>
          <w:bCs/>
        </w:rPr>
        <w:t>%</w:t>
      </w:r>
      <w:r>
        <w:t xml:space="preserve">) notifications indicated compromises of </w:t>
      </w:r>
      <w:r w:rsidRPr="00820E52">
        <w:rPr>
          <w:b/>
          <w:bCs/>
        </w:rPr>
        <w:t>personal</w:t>
      </w:r>
      <w:r>
        <w:t xml:space="preserve"> information</w:t>
      </w:r>
      <w:r w:rsidR="00BC1B87">
        <w:t>,</w:t>
      </w:r>
      <w:r>
        <w:t xml:space="preserve"> followed by</w:t>
      </w:r>
      <w:r w:rsidR="00BC1B87">
        <w:t xml:space="preserve"> compromises of</w:t>
      </w:r>
      <w:r>
        <w:t xml:space="preserve"> </w:t>
      </w:r>
      <w:r w:rsidRPr="00820E52">
        <w:rPr>
          <w:b/>
          <w:bCs/>
        </w:rPr>
        <w:t>health</w:t>
      </w:r>
      <w:r>
        <w:t xml:space="preserve"> information</w:t>
      </w:r>
      <w:r w:rsidR="00211CAF">
        <w:t xml:space="preserve"> </w:t>
      </w:r>
      <w:r w:rsidR="00C279D5">
        <w:t>(a reminder that</w:t>
      </w:r>
      <w:r w:rsidR="008B7427">
        <w:t xml:space="preserve"> the scheme covers incidents related to all public sector information</w:t>
      </w:r>
      <w:r w:rsidR="00BC1B87">
        <w:t>,</w:t>
      </w:r>
      <w:r w:rsidR="008B7427">
        <w:t xml:space="preserve"> not just personal information</w:t>
      </w:r>
      <w:r w:rsidR="00C279D5">
        <w:t>)</w:t>
      </w:r>
      <w:r w:rsidR="008B7427">
        <w:t>.</w:t>
      </w:r>
    </w:p>
    <w:p w14:paraId="7080C0A9" w14:textId="6E9AF59D" w:rsidR="00A6671C" w:rsidRDefault="00A6671C" w:rsidP="00A6671C">
      <w:r>
        <w:t xml:space="preserve">There were </w:t>
      </w:r>
      <w:r w:rsidR="00DA3107">
        <w:rPr>
          <w:b/>
          <w:bCs/>
        </w:rPr>
        <w:t>21</w:t>
      </w:r>
      <w:r w:rsidRPr="00973774">
        <w:rPr>
          <w:b/>
          <w:bCs/>
        </w:rPr>
        <w:t xml:space="preserve"> </w:t>
      </w:r>
      <w:r>
        <w:t xml:space="preserve">notifications where the </w:t>
      </w:r>
      <w:r w:rsidR="00973774">
        <w:rPr>
          <w:b/>
          <w:bCs/>
        </w:rPr>
        <w:t>o</w:t>
      </w:r>
      <w:r w:rsidRPr="00C31C02">
        <w:rPr>
          <w:b/>
          <w:bCs/>
        </w:rPr>
        <w:t>ther</w:t>
      </w:r>
      <w:r>
        <w:t xml:space="preserve"> information type was selected.</w:t>
      </w:r>
      <w:r w:rsidR="00973774">
        <w:t xml:space="preserve"> </w:t>
      </w:r>
      <w:r>
        <w:t>Examples include incidents related to:</w:t>
      </w:r>
    </w:p>
    <w:p w14:paraId="152A19B6" w14:textId="4F406B15" w:rsidR="006E18C8" w:rsidRPr="0060679A" w:rsidRDefault="006E18C8" w:rsidP="004A6B8C">
      <w:pPr>
        <w:pStyle w:val="ListParagraph"/>
        <w:numPr>
          <w:ilvl w:val="0"/>
          <w:numId w:val="10"/>
        </w:numPr>
      </w:pPr>
      <w:r w:rsidRPr="0060679A">
        <w:t>claim numbers</w:t>
      </w:r>
    </w:p>
    <w:p w14:paraId="36CD22A2" w14:textId="7558E43C" w:rsidR="007A2641" w:rsidRPr="0060679A" w:rsidRDefault="0060679A" w:rsidP="004A6B8C">
      <w:pPr>
        <w:pStyle w:val="ListParagraph"/>
        <w:numPr>
          <w:ilvl w:val="0"/>
          <w:numId w:val="10"/>
        </w:numPr>
      </w:pPr>
      <w:r w:rsidRPr="0060679A">
        <w:t>DNS records</w:t>
      </w:r>
    </w:p>
    <w:p w14:paraId="62748258" w14:textId="6E38C94E" w:rsidR="007A2641" w:rsidRPr="0060679A" w:rsidRDefault="0060679A" w:rsidP="004A6B8C">
      <w:pPr>
        <w:pStyle w:val="ListParagraph"/>
        <w:numPr>
          <w:ilvl w:val="0"/>
          <w:numId w:val="10"/>
        </w:numPr>
      </w:pPr>
      <w:r w:rsidRPr="0060679A">
        <w:t>investigation</w:t>
      </w:r>
      <w:r w:rsidR="007A2641" w:rsidRPr="0060679A">
        <w:t xml:space="preserve"> </w:t>
      </w:r>
      <w:r w:rsidRPr="0060679A">
        <w:t>reports</w:t>
      </w:r>
    </w:p>
    <w:p w14:paraId="4CEA5822" w14:textId="5553ECC8" w:rsidR="00A6671C" w:rsidRPr="007813EE" w:rsidRDefault="00A6671C" w:rsidP="00A6671C">
      <w:r w:rsidRPr="00363921">
        <w:t>There w</w:t>
      </w:r>
      <w:r w:rsidR="00DA3107">
        <w:t>as</w:t>
      </w:r>
      <w:r w:rsidR="00363921" w:rsidRPr="00363921">
        <w:t xml:space="preserve"> </w:t>
      </w:r>
      <w:r w:rsidR="00DA3107" w:rsidRPr="00015B53">
        <w:t>one</w:t>
      </w:r>
      <w:r w:rsidR="00363921" w:rsidRPr="00363921">
        <w:t xml:space="preserve"> (</w:t>
      </w:r>
      <w:r w:rsidR="00DA3107" w:rsidRPr="00DA3107">
        <w:rPr>
          <w:b/>
          <w:bCs/>
        </w:rPr>
        <w:t>1</w:t>
      </w:r>
      <w:r w:rsidR="00363921" w:rsidRPr="00363921">
        <w:t>)</w:t>
      </w:r>
      <w:r w:rsidRPr="00363921">
        <w:t xml:space="preserve"> </w:t>
      </w:r>
      <w:r w:rsidR="00A4119B">
        <w:t>incident</w:t>
      </w:r>
      <w:r w:rsidR="00A4119B" w:rsidRPr="00363921">
        <w:t xml:space="preserve"> </w:t>
      </w:r>
      <w:r w:rsidRPr="00363921">
        <w:t xml:space="preserve">where the type of information involved was </w:t>
      </w:r>
      <w:r w:rsidR="00363921">
        <w:rPr>
          <w:b/>
          <w:bCs/>
        </w:rPr>
        <w:t>u</w:t>
      </w:r>
      <w:r w:rsidRPr="00363921">
        <w:rPr>
          <w:b/>
          <w:bCs/>
        </w:rPr>
        <w:t>nknown</w:t>
      </w:r>
      <w:r w:rsidR="00363921" w:rsidRPr="00363921">
        <w:rPr>
          <w:b/>
          <w:bCs/>
        </w:rPr>
        <w:t xml:space="preserve"> </w:t>
      </w:r>
      <w:r w:rsidR="00F041D8" w:rsidRPr="00F041D8">
        <w:t>where</w:t>
      </w:r>
      <w:r w:rsidR="00F041D8">
        <w:rPr>
          <w:b/>
          <w:bCs/>
        </w:rPr>
        <w:t xml:space="preserve"> </w:t>
      </w:r>
      <w:r w:rsidR="007813EE" w:rsidRPr="007813EE">
        <w:t>the incident related to leaked credentials, however there was no evidence of any subsequent unauthorised use of the credentials.</w:t>
      </w:r>
      <w:r w:rsidR="0060679A" w:rsidRPr="007813EE">
        <w:t xml:space="preserve"> </w:t>
      </w:r>
    </w:p>
    <w:p w14:paraId="13D835B7" w14:textId="5EA6BC8A" w:rsidR="00A6671C" w:rsidRDefault="00AC2EA8" w:rsidP="00A6671C">
      <w:r>
        <w:t>M</w:t>
      </w:r>
      <w:r w:rsidRPr="00AC2EA8">
        <w:t xml:space="preserve">ultiple </w:t>
      </w:r>
      <w:r>
        <w:t>information types can be involved in a single incident</w:t>
      </w:r>
      <w:r w:rsidRPr="00F041D8">
        <w:t xml:space="preserve">. </w:t>
      </w:r>
      <w:r w:rsidRPr="00F041D8">
        <w:rPr>
          <w:b/>
          <w:bCs/>
        </w:rPr>
        <w:t>1</w:t>
      </w:r>
      <w:r w:rsidR="00F041D8" w:rsidRPr="00F041D8">
        <w:rPr>
          <w:b/>
          <w:bCs/>
        </w:rPr>
        <w:t>8</w:t>
      </w:r>
      <w:r w:rsidRPr="00F041D8">
        <w:rPr>
          <w:b/>
          <w:bCs/>
        </w:rPr>
        <w:t>%</w:t>
      </w:r>
      <w:r w:rsidR="00A6671C" w:rsidRPr="00F041D8">
        <w:t xml:space="preserve"> </w:t>
      </w:r>
      <w:r w:rsidRPr="00F041D8">
        <w:t xml:space="preserve">of </w:t>
      </w:r>
      <w:r w:rsidR="00A6671C" w:rsidRPr="00F041D8">
        <w:t xml:space="preserve">notifications selected </w:t>
      </w:r>
      <w:r w:rsidRPr="00F041D8">
        <w:t>more than one information type</w:t>
      </w:r>
      <w:r w:rsidR="00A6671C" w:rsidRPr="00F041D8">
        <w:t xml:space="preserve">. </w:t>
      </w:r>
    </w:p>
    <w:p w14:paraId="261EA2DF" w14:textId="5921EBC3" w:rsidR="00633B91" w:rsidRPr="00F041D8" w:rsidRDefault="00633B91" w:rsidP="00A6671C">
      <w:r w:rsidRPr="00633B91">
        <w:lastRenderedPageBreak/>
        <w:t xml:space="preserve">Like the previous period, all except </w:t>
      </w:r>
      <w:r w:rsidRPr="00015B53">
        <w:t>two</w:t>
      </w:r>
      <w:r w:rsidRPr="00633B91">
        <w:t xml:space="preserve"> (</w:t>
      </w:r>
      <w:r w:rsidRPr="00633B91">
        <w:rPr>
          <w:b/>
          <w:bCs/>
        </w:rPr>
        <w:t>2</w:t>
      </w:r>
      <w:r w:rsidRPr="00633B91">
        <w:t>) notifications where health information was selected, personal information was also selected. Similarly, for notifications where more than one information type was selected, personal information was selected for all these instances.</w:t>
      </w:r>
    </w:p>
    <w:p w14:paraId="336788CF" w14:textId="77777777" w:rsidR="00633B91" w:rsidRDefault="00A6671C" w:rsidP="00A6671C">
      <w:r w:rsidRPr="00D44534">
        <w:t>There w</w:t>
      </w:r>
      <w:r w:rsidR="0003476F" w:rsidRPr="00D44534">
        <w:t>ere</w:t>
      </w:r>
      <w:r w:rsidRPr="00D44534">
        <w:t xml:space="preserve"> </w:t>
      </w:r>
      <w:r w:rsidR="00F041D8" w:rsidRPr="00015B53">
        <w:t>four</w:t>
      </w:r>
      <w:r w:rsidRPr="00D44534">
        <w:t xml:space="preserve"> (</w:t>
      </w:r>
      <w:r w:rsidR="00F041D8" w:rsidRPr="00D44534">
        <w:rPr>
          <w:b/>
          <w:bCs/>
        </w:rPr>
        <w:t>4</w:t>
      </w:r>
      <w:r w:rsidRPr="00D44534">
        <w:t>) notification</w:t>
      </w:r>
      <w:r w:rsidR="0003476F" w:rsidRPr="00D44534">
        <w:t>s</w:t>
      </w:r>
      <w:r w:rsidRPr="00D44534">
        <w:t xml:space="preserve"> where </w:t>
      </w:r>
      <w:r w:rsidRPr="00015B53">
        <w:t>four</w:t>
      </w:r>
      <w:r w:rsidRPr="00D44534">
        <w:t xml:space="preserve"> (</w:t>
      </w:r>
      <w:r w:rsidRPr="00D44534">
        <w:rPr>
          <w:b/>
          <w:bCs/>
        </w:rPr>
        <w:t>4</w:t>
      </w:r>
      <w:r w:rsidRPr="00D44534">
        <w:t>) or more options were selected</w:t>
      </w:r>
      <w:r w:rsidR="00F041D8" w:rsidRPr="00D44534">
        <w:t xml:space="preserve">. Examples </w:t>
      </w:r>
      <w:r w:rsidRPr="00D44534">
        <w:t>includ</w:t>
      </w:r>
      <w:r w:rsidR="00F041D8" w:rsidRPr="00D44534">
        <w:t>e</w:t>
      </w:r>
      <w:r w:rsidR="00633B91">
        <w:t>:</w:t>
      </w:r>
    </w:p>
    <w:p w14:paraId="43C93D5F" w14:textId="77777777" w:rsidR="00633B91" w:rsidRDefault="0087753A" w:rsidP="00633B91">
      <w:pPr>
        <w:pStyle w:val="ListParagraph"/>
        <w:numPr>
          <w:ilvl w:val="0"/>
          <w:numId w:val="17"/>
        </w:numPr>
      </w:pPr>
      <w:r w:rsidRPr="00633B91">
        <w:rPr>
          <w:b/>
          <w:bCs/>
        </w:rPr>
        <w:t xml:space="preserve">personal, </w:t>
      </w:r>
      <w:r w:rsidR="00F041D8" w:rsidRPr="00633B91">
        <w:rPr>
          <w:b/>
          <w:bCs/>
        </w:rPr>
        <w:t xml:space="preserve">financial, policy, </w:t>
      </w:r>
      <w:r w:rsidRPr="00633B91">
        <w:rPr>
          <w:b/>
          <w:bCs/>
        </w:rPr>
        <w:t xml:space="preserve">operational, </w:t>
      </w:r>
      <w:r w:rsidRPr="00D44534">
        <w:t>and</w:t>
      </w:r>
      <w:r w:rsidRPr="00633B91">
        <w:rPr>
          <w:b/>
          <w:bCs/>
        </w:rPr>
        <w:t xml:space="preserve"> </w:t>
      </w:r>
      <w:r w:rsidR="00F041D8" w:rsidRPr="00633B91">
        <w:rPr>
          <w:b/>
          <w:bCs/>
        </w:rPr>
        <w:t>other</w:t>
      </w:r>
      <w:r w:rsidRPr="00D44534">
        <w:t xml:space="preserve"> </w:t>
      </w:r>
      <w:r w:rsidR="00D44534" w:rsidRPr="00D44534">
        <w:t xml:space="preserve">information </w:t>
      </w:r>
      <w:r w:rsidRPr="00D44534">
        <w:t xml:space="preserve">was </w:t>
      </w:r>
      <w:r w:rsidR="00F041D8" w:rsidRPr="00D44534">
        <w:t>contained on a stolen laptop</w:t>
      </w:r>
      <w:r w:rsidR="00D44534" w:rsidRPr="00D44534">
        <w:t xml:space="preserve"> </w:t>
      </w:r>
    </w:p>
    <w:p w14:paraId="4D29D667" w14:textId="39BE559E" w:rsidR="00C9436C" w:rsidRPr="00D44534" w:rsidRDefault="00D44534" w:rsidP="00D44534">
      <w:pPr>
        <w:pStyle w:val="ListParagraph"/>
        <w:numPr>
          <w:ilvl w:val="0"/>
          <w:numId w:val="17"/>
        </w:numPr>
      </w:pPr>
      <w:r w:rsidRPr="00633B91">
        <w:rPr>
          <w:b/>
          <w:bCs/>
        </w:rPr>
        <w:t>personal, health, operational, critical infrastructure</w:t>
      </w:r>
      <w:r w:rsidRPr="00D44534">
        <w:t xml:space="preserve"> and </w:t>
      </w:r>
      <w:r w:rsidRPr="00633B91">
        <w:rPr>
          <w:b/>
          <w:bCs/>
        </w:rPr>
        <w:t>other</w:t>
      </w:r>
      <w:r w:rsidRPr="00D44534">
        <w:t xml:space="preserve"> information was affected when a compromised account led to the organisation’s systems being encrypted</w:t>
      </w:r>
      <w:r w:rsidR="00A6671C" w:rsidRPr="00D44534">
        <w:t>.</w:t>
      </w:r>
    </w:p>
    <w:p w14:paraId="2E1D9BE6" w14:textId="312E02B0" w:rsidR="00A6671C" w:rsidRDefault="00A6671C" w:rsidP="00FA1B6A">
      <w:pPr>
        <w:pStyle w:val="Heading2"/>
      </w:pPr>
      <w:r w:rsidRPr="009D2AB2">
        <w:t xml:space="preserve">Information </w:t>
      </w:r>
      <w:r>
        <w:t>Business Impact Level (</w:t>
      </w:r>
      <w:r w:rsidRPr="00B413CC">
        <w:rPr>
          <w:b/>
          <w:bCs/>
        </w:rPr>
        <w:t>BIL</w:t>
      </w:r>
      <w:r>
        <w:t>)</w:t>
      </w:r>
      <w:r>
        <w:rPr>
          <w:rStyle w:val="FootnoteReference"/>
          <w:sz w:val="24"/>
        </w:rPr>
        <w:footnoteReference w:id="1"/>
      </w:r>
      <w:r>
        <w:t xml:space="preserve"> </w:t>
      </w:r>
    </w:p>
    <w:p w14:paraId="0CE65D63" w14:textId="7857B519" w:rsidR="00735D45" w:rsidRPr="00735D45" w:rsidRDefault="00735D45" w:rsidP="00735D45">
      <w:r>
        <w:t>Highest BIL percentage</w:t>
      </w:r>
      <w:r w:rsidR="003149B8">
        <w:t xml:space="preserve"> (%</w:t>
      </w:r>
      <w:r w:rsidR="00CA0CCD">
        <w:t xml:space="preserve"> rounded up</w:t>
      </w:r>
      <w:r w:rsidR="003149B8">
        <w:t>)</w:t>
      </w:r>
    </w:p>
    <w:p w14:paraId="186A9A8A" w14:textId="4CB770AE" w:rsidR="00735D45" w:rsidRPr="00735D45" w:rsidRDefault="00735D45" w:rsidP="00735D45">
      <w:r>
        <w:rPr>
          <w:noProof/>
        </w:rPr>
        <w:drawing>
          <wp:inline distT="0" distB="0" distL="0" distR="0" wp14:anchorId="346AA72B" wp14:editId="0DC6E226">
            <wp:extent cx="5051685" cy="2923082"/>
            <wp:effectExtent l="0" t="0" r="3175" b="0"/>
            <wp:docPr id="71795212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24A022" w14:textId="6527A4EE" w:rsidR="00A4119B" w:rsidRDefault="00A4119B" w:rsidP="00AC47F1">
      <w:pPr>
        <w:pStyle w:val="Heading3"/>
      </w:pPr>
      <w:r>
        <w:t>Insights:</w:t>
      </w:r>
    </w:p>
    <w:p w14:paraId="4A15338B" w14:textId="5D4FA80F" w:rsidR="00A6671C" w:rsidRDefault="009E7ED9" w:rsidP="00A6671C">
      <w:r>
        <w:t>The Business Impact Level (</w:t>
      </w:r>
      <w:r w:rsidRPr="00E4653C">
        <w:rPr>
          <w:b/>
          <w:bCs/>
        </w:rPr>
        <w:t>BIL</w:t>
      </w:r>
      <w:r>
        <w:t>)</w:t>
      </w:r>
      <w:r w:rsidRPr="007323B2">
        <w:t xml:space="preserve"> </w:t>
      </w:r>
      <w:r>
        <w:t xml:space="preserve">statistics for this </w:t>
      </w:r>
      <w:r w:rsidR="00E02C93">
        <w:t>notification</w:t>
      </w:r>
      <w:r>
        <w:t xml:space="preserve"> period are consistent with the previous </w:t>
      </w:r>
      <w:r w:rsidR="00E02C93">
        <w:t>period</w:t>
      </w:r>
      <w:r>
        <w:t xml:space="preserve">. </w:t>
      </w:r>
      <w:r w:rsidR="00A6671C" w:rsidRPr="006D3CD4">
        <w:t>The number of notifications identifying incidents a</w:t>
      </w:r>
      <w:r w:rsidR="00A6671C" w:rsidRPr="007323B2">
        <w:t xml:space="preserve">ffecting information assessed as </w:t>
      </w:r>
      <w:r w:rsidR="00A6671C">
        <w:t xml:space="preserve">having a </w:t>
      </w:r>
      <w:r w:rsidR="00A6671C" w:rsidRPr="00E721D1">
        <w:rPr>
          <w:b/>
          <w:bCs/>
        </w:rPr>
        <w:t>Limited</w:t>
      </w:r>
      <w:r w:rsidR="00A6671C">
        <w:t xml:space="preserve"> impact or </w:t>
      </w:r>
      <w:r w:rsidRPr="00E721D1">
        <w:rPr>
          <w:b/>
          <w:bCs/>
        </w:rPr>
        <w:t xml:space="preserve">BIL </w:t>
      </w:r>
      <w:r w:rsidR="00A6671C" w:rsidRPr="00E721D1">
        <w:rPr>
          <w:b/>
          <w:bCs/>
        </w:rPr>
        <w:t>2</w:t>
      </w:r>
      <w:r w:rsidR="00A6671C">
        <w:t xml:space="preserve"> </w:t>
      </w:r>
      <w:r>
        <w:t>is</w:t>
      </w:r>
      <w:r w:rsidR="00A6671C" w:rsidRPr="007323B2">
        <w:t xml:space="preserve"> </w:t>
      </w:r>
      <w:r w:rsidR="001C6F58" w:rsidRPr="001C6F58">
        <w:rPr>
          <w:b/>
          <w:bCs/>
        </w:rPr>
        <w:t>91</w:t>
      </w:r>
      <w:r w:rsidR="00A6671C" w:rsidRPr="007323B2">
        <w:rPr>
          <w:b/>
          <w:bCs/>
        </w:rPr>
        <w:t>%</w:t>
      </w:r>
      <w:r>
        <w:rPr>
          <w:b/>
          <w:bCs/>
        </w:rPr>
        <w:t xml:space="preserve"> </w:t>
      </w:r>
      <w:r w:rsidRPr="009E7ED9">
        <w:t xml:space="preserve">and </w:t>
      </w:r>
      <w:r w:rsidRPr="00E721D1">
        <w:rPr>
          <w:b/>
          <w:bCs/>
        </w:rPr>
        <w:t>Minor</w:t>
      </w:r>
      <w:r w:rsidRPr="009E7ED9">
        <w:t xml:space="preserve"> impact or </w:t>
      </w:r>
      <w:r w:rsidRPr="00E721D1">
        <w:rPr>
          <w:b/>
          <w:bCs/>
        </w:rPr>
        <w:t>BIL 1</w:t>
      </w:r>
      <w:r w:rsidRPr="009E7ED9">
        <w:t xml:space="preserve"> is </w:t>
      </w:r>
      <w:r w:rsidR="001C6F58">
        <w:rPr>
          <w:b/>
          <w:bCs/>
        </w:rPr>
        <w:t>8</w:t>
      </w:r>
      <w:r>
        <w:rPr>
          <w:b/>
          <w:bCs/>
        </w:rPr>
        <w:t>%</w:t>
      </w:r>
      <w:r w:rsidR="00A6671C" w:rsidRPr="007323B2">
        <w:t>.</w:t>
      </w:r>
    </w:p>
    <w:p w14:paraId="241BF609" w14:textId="61BB255A" w:rsidR="007927A8" w:rsidRPr="000B5238" w:rsidRDefault="0046088E" w:rsidP="00EA7FB0">
      <w:r>
        <w:t xml:space="preserve">This period saw a rise in the number of notifications </w:t>
      </w:r>
      <w:r w:rsidRPr="00BC3673">
        <w:t>across all the business impact</w:t>
      </w:r>
      <w:r w:rsidR="008474EA" w:rsidRPr="00BC3673">
        <w:t xml:space="preserve"> levels</w:t>
      </w:r>
      <w:r w:rsidR="001C6F58" w:rsidRPr="00BC3673">
        <w:t xml:space="preserve"> except for </w:t>
      </w:r>
      <w:r w:rsidR="001C6F58" w:rsidRPr="00BC3673">
        <w:rPr>
          <w:b/>
          <w:bCs/>
        </w:rPr>
        <w:t>BIL 4</w:t>
      </w:r>
      <w:r w:rsidR="001C6F58" w:rsidRPr="00BC3673">
        <w:t xml:space="preserve"> with no notifications</w:t>
      </w:r>
      <w:r w:rsidR="008474EA" w:rsidRPr="00BC3673">
        <w:t xml:space="preserve">. </w:t>
      </w:r>
      <w:r w:rsidR="00DB4E33" w:rsidRPr="00BC3673">
        <w:rPr>
          <w:b/>
          <w:bCs/>
        </w:rPr>
        <w:t>Two percent</w:t>
      </w:r>
      <w:r w:rsidR="00DB4E33" w:rsidRPr="00BC3673">
        <w:t xml:space="preserve"> of notifications </w:t>
      </w:r>
      <w:r w:rsidR="00BC3673" w:rsidRPr="00BC3673">
        <w:t>indicated</w:t>
      </w:r>
      <w:r w:rsidR="00DB4E33" w:rsidRPr="00BC3673">
        <w:t xml:space="preserve"> </w:t>
      </w:r>
      <w:r w:rsidR="00DB4E33" w:rsidRPr="00BC3673">
        <w:rPr>
          <w:b/>
          <w:bCs/>
        </w:rPr>
        <w:t>BIL 3</w:t>
      </w:r>
      <w:r w:rsidR="00DB4E33" w:rsidRPr="00BC3673">
        <w:t xml:space="preserve"> information</w:t>
      </w:r>
      <w:r w:rsidR="00BC3673" w:rsidRPr="00BC3673">
        <w:t xml:space="preserve"> was affected</w:t>
      </w:r>
      <w:r w:rsidR="00DB4E33" w:rsidRPr="00BC3673">
        <w:t xml:space="preserve">. </w:t>
      </w:r>
      <w:r w:rsidR="00EE55BD">
        <w:t>In terms of numbers, t</w:t>
      </w:r>
      <w:r w:rsidR="00DB4E33" w:rsidRPr="00BC3673">
        <w:t>his is half</w:t>
      </w:r>
      <w:r w:rsidR="00EA7FB0" w:rsidRPr="00BC3673">
        <w:t xml:space="preserve"> the notifications</w:t>
      </w:r>
      <w:r w:rsidR="00DB4E33" w:rsidRPr="00BC3673">
        <w:t xml:space="preserve">, </w:t>
      </w:r>
      <w:r w:rsidR="00DB4E33" w:rsidRPr="00015B53">
        <w:t>six</w:t>
      </w:r>
      <w:r w:rsidR="00EA7FB0" w:rsidRPr="00BC3673">
        <w:t xml:space="preserve"> </w:t>
      </w:r>
      <w:r w:rsidR="00DA046B" w:rsidRPr="00BC3673">
        <w:t>(</w:t>
      </w:r>
      <w:r w:rsidR="00DB4E33" w:rsidRPr="00BC3673">
        <w:rPr>
          <w:b/>
          <w:bCs/>
        </w:rPr>
        <w:t>6</w:t>
      </w:r>
      <w:r w:rsidR="00DB4E33" w:rsidRPr="00BC3673">
        <w:t>)</w:t>
      </w:r>
      <w:r w:rsidR="00BC3673" w:rsidRPr="00BC3673">
        <w:t>,</w:t>
      </w:r>
      <w:r w:rsidR="00DA046B" w:rsidRPr="00BC3673">
        <w:t xml:space="preserve"> </w:t>
      </w:r>
      <w:r w:rsidR="00A6671C" w:rsidRPr="00BC3673">
        <w:t xml:space="preserve">nominating </w:t>
      </w:r>
      <w:r w:rsidR="00A6671C" w:rsidRPr="00BC3673">
        <w:rPr>
          <w:b/>
          <w:bCs/>
        </w:rPr>
        <w:t>BIL 3</w:t>
      </w:r>
      <w:r w:rsidR="00A6671C" w:rsidRPr="00BC3673">
        <w:t xml:space="preserve"> </w:t>
      </w:r>
      <w:r w:rsidR="00DA046B" w:rsidRPr="00BC3673">
        <w:t>information compared to</w:t>
      </w:r>
      <w:r w:rsidR="00A6671C" w:rsidRPr="00BC3673">
        <w:t xml:space="preserve"> the last </w:t>
      </w:r>
      <w:r w:rsidR="00EA7FB0" w:rsidRPr="00BC3673">
        <w:t>notification</w:t>
      </w:r>
      <w:r w:rsidR="00DA046B" w:rsidRPr="00BC3673">
        <w:t xml:space="preserve"> period</w:t>
      </w:r>
      <w:r w:rsidR="00BC3673" w:rsidRPr="00BC3673">
        <w:t xml:space="preserve"> (</w:t>
      </w:r>
      <w:r w:rsidR="00BC3673" w:rsidRPr="00BC3673">
        <w:rPr>
          <w:b/>
          <w:bCs/>
        </w:rPr>
        <w:t>12</w:t>
      </w:r>
      <w:r w:rsidR="00BC3673" w:rsidRPr="00BC3673">
        <w:t>)</w:t>
      </w:r>
      <w:r w:rsidR="008474EA" w:rsidRPr="00BC3673">
        <w:t xml:space="preserve">. </w:t>
      </w:r>
      <w:r w:rsidR="00DB4E33" w:rsidRPr="00BC3673">
        <w:t>This</w:t>
      </w:r>
      <w:r w:rsidR="00DB4E33" w:rsidRPr="00DB4E33">
        <w:t xml:space="preserve"> decrease in notifications affect</w:t>
      </w:r>
      <w:r w:rsidR="00EE55BD">
        <w:t>ing</w:t>
      </w:r>
      <w:r w:rsidR="00DB4E33" w:rsidRPr="00DB4E33">
        <w:t xml:space="preserve"> high risk information such as BIL 3 </w:t>
      </w:r>
      <w:r w:rsidR="00BC3673">
        <w:t xml:space="preserve">or higher </w:t>
      </w:r>
      <w:r w:rsidR="00DB4E33" w:rsidRPr="00DB4E33">
        <w:t xml:space="preserve">is </w:t>
      </w:r>
      <w:r w:rsidR="00BC3673">
        <w:t>positive</w:t>
      </w:r>
      <w:r w:rsidR="00DB4E33" w:rsidRPr="00DB4E33">
        <w:t>.</w:t>
      </w:r>
      <w:r w:rsidR="00BC3673">
        <w:t xml:space="preserve"> This may indicate better controls in place to </w:t>
      </w:r>
      <w:r w:rsidR="00BC3673" w:rsidRPr="000B5238">
        <w:t xml:space="preserve">protect high value information and the </w:t>
      </w:r>
      <w:r w:rsidR="00BC3673" w:rsidRPr="000B5238">
        <w:lastRenderedPageBreak/>
        <w:t>low volume of high value information in Victorian government.</w:t>
      </w:r>
      <w:r w:rsidR="00DB4E33" w:rsidRPr="000B5238">
        <w:t xml:space="preserve"> </w:t>
      </w:r>
      <w:r w:rsidR="008474EA" w:rsidRPr="000B5238">
        <w:t>Some examples</w:t>
      </w:r>
      <w:r w:rsidR="00BC3673" w:rsidRPr="000B5238">
        <w:t xml:space="preserve"> of incidents affecting BIL3 information</w:t>
      </w:r>
      <w:r w:rsidR="008474EA" w:rsidRPr="000B5238">
        <w:t xml:space="preserve"> include</w:t>
      </w:r>
      <w:r w:rsidR="007927A8" w:rsidRPr="000B5238">
        <w:t>:</w:t>
      </w:r>
    </w:p>
    <w:p w14:paraId="3FF9C340" w14:textId="4C438886" w:rsidR="007927A8" w:rsidRPr="000B5238" w:rsidRDefault="008474EA" w:rsidP="007927A8">
      <w:pPr>
        <w:pStyle w:val="ListParagraph"/>
        <w:numPr>
          <w:ilvl w:val="0"/>
          <w:numId w:val="13"/>
        </w:numPr>
      </w:pPr>
      <w:r w:rsidRPr="000B5238">
        <w:t xml:space="preserve">the </w:t>
      </w:r>
      <w:r w:rsidR="00BC3673" w:rsidRPr="000B5238">
        <w:t xml:space="preserve">inadvertent </w:t>
      </w:r>
      <w:r w:rsidRPr="000B5238">
        <w:t xml:space="preserve">release of </w:t>
      </w:r>
      <w:r w:rsidR="00BC3673" w:rsidRPr="000B5238">
        <w:t>commercial pricing information in tender documentation</w:t>
      </w:r>
      <w:r w:rsidRPr="000B5238">
        <w:t xml:space="preserve"> </w:t>
      </w:r>
    </w:p>
    <w:p w14:paraId="637BD29F" w14:textId="35A0EC6D" w:rsidR="007927A8" w:rsidRPr="000B5238" w:rsidRDefault="00BC3673" w:rsidP="007927A8">
      <w:pPr>
        <w:pStyle w:val="ListParagraph"/>
        <w:numPr>
          <w:ilvl w:val="0"/>
          <w:numId w:val="13"/>
        </w:numPr>
      </w:pPr>
      <w:r w:rsidRPr="000B5238">
        <w:t xml:space="preserve">disclosure of </w:t>
      </w:r>
      <w:r w:rsidR="000B5238">
        <w:t xml:space="preserve">a </w:t>
      </w:r>
      <w:r w:rsidRPr="000B5238">
        <w:t>carer</w:t>
      </w:r>
      <w:r w:rsidR="000B5238">
        <w:t>’</w:t>
      </w:r>
      <w:r w:rsidRPr="000B5238">
        <w:t>s address in a text message</w:t>
      </w:r>
      <w:r w:rsidR="008474EA" w:rsidRPr="000B5238">
        <w:t xml:space="preserve"> </w:t>
      </w:r>
    </w:p>
    <w:p w14:paraId="1EEB4DD9" w14:textId="138FAAC0" w:rsidR="00EA7FB0" w:rsidRPr="000B5238" w:rsidRDefault="000B5238" w:rsidP="007927A8">
      <w:pPr>
        <w:pStyle w:val="ListParagraph"/>
        <w:numPr>
          <w:ilvl w:val="0"/>
          <w:numId w:val="13"/>
        </w:numPr>
      </w:pPr>
      <w:r w:rsidRPr="000B5238">
        <w:t>social engineering staff whereby an external threat actor impersona</w:t>
      </w:r>
      <w:r>
        <w:t>ting as</w:t>
      </w:r>
      <w:r w:rsidRPr="000B5238">
        <w:t xml:space="preserve"> a contractor</w:t>
      </w:r>
      <w:r>
        <w:t xml:space="preserve">, </w:t>
      </w:r>
      <w:r w:rsidR="00A06369">
        <w:t>obtained</w:t>
      </w:r>
      <w:r w:rsidR="00A06369" w:rsidRPr="000B5238">
        <w:t xml:space="preserve"> </w:t>
      </w:r>
      <w:r w:rsidRPr="000B5238">
        <w:t>the access code to gain system access</w:t>
      </w:r>
      <w:r>
        <w:t xml:space="preserve"> to the client database</w:t>
      </w:r>
      <w:r w:rsidR="00A6671C" w:rsidRPr="000B5238">
        <w:t xml:space="preserve"> </w:t>
      </w:r>
    </w:p>
    <w:p w14:paraId="4D65B9FB" w14:textId="724DD407" w:rsidR="00C9436C" w:rsidRPr="00C9436C" w:rsidRDefault="00924E79" w:rsidP="00EA7FB0">
      <w:r w:rsidRPr="00DB4E33">
        <w:t xml:space="preserve">Note: The BIL field relates to the information </w:t>
      </w:r>
      <w:r w:rsidR="00DD6CCD" w:rsidRPr="00DB4E33">
        <w:t>(</w:t>
      </w:r>
      <w:r w:rsidR="00583984" w:rsidRPr="00DB4E33">
        <w:t xml:space="preserve">e.g., </w:t>
      </w:r>
      <w:r w:rsidR="00DD6CCD" w:rsidRPr="00DB4E33">
        <w:t>BIL</w:t>
      </w:r>
      <w:r w:rsidR="00583984" w:rsidRPr="00DB4E33">
        <w:t xml:space="preserve"> </w:t>
      </w:r>
      <w:r w:rsidR="00DD6CCD" w:rsidRPr="00DB4E33">
        <w:t>2 / Limited / OFFICIAL</w:t>
      </w:r>
      <w:r w:rsidR="00583984" w:rsidRPr="00DB4E33">
        <w:t xml:space="preserve">: </w:t>
      </w:r>
      <w:r w:rsidR="00DD6CCD" w:rsidRPr="00DB4E33">
        <w:t>Sensitive</w:t>
      </w:r>
      <w:r w:rsidR="00583984" w:rsidRPr="00DB4E33">
        <w:t>) affected in the incident and</w:t>
      </w:r>
      <w:r w:rsidR="00DD6CCD" w:rsidRPr="00DB4E33">
        <w:t xml:space="preserve"> does not relate to the severity of </w:t>
      </w:r>
      <w:r w:rsidR="00583984" w:rsidRPr="00DB4E33">
        <w:t>the</w:t>
      </w:r>
      <w:r w:rsidR="00DD6CCD" w:rsidRPr="00DB4E33">
        <w:t xml:space="preserve"> incident</w:t>
      </w:r>
      <w:r w:rsidR="00583984" w:rsidRPr="00DB4E33">
        <w:t xml:space="preserve"> itself</w:t>
      </w:r>
      <w:r w:rsidR="00DD6CCD" w:rsidRPr="00DB4E33">
        <w:t xml:space="preserve">. For example, an incident </w:t>
      </w:r>
      <w:r w:rsidR="00583984" w:rsidRPr="00DB4E33">
        <w:t>relating to inadvertently sending an email attachment containing</w:t>
      </w:r>
      <w:r w:rsidR="00DD6CCD" w:rsidRPr="00DB4E33">
        <w:t xml:space="preserve"> </w:t>
      </w:r>
      <w:r w:rsidR="00583984" w:rsidRPr="00DB4E33">
        <w:t>sensitive</w:t>
      </w:r>
      <w:r w:rsidR="00DD6CCD" w:rsidRPr="00DB4E33">
        <w:t xml:space="preserve"> </w:t>
      </w:r>
      <w:r w:rsidR="00583984" w:rsidRPr="00DB4E33">
        <w:t xml:space="preserve">personal </w:t>
      </w:r>
      <w:r w:rsidR="00DD6CCD" w:rsidRPr="00DB4E33">
        <w:t xml:space="preserve">information </w:t>
      </w:r>
      <w:r w:rsidR="00583984" w:rsidRPr="00DB4E33">
        <w:t>to the incorrect recipient should be notified under the scheme</w:t>
      </w:r>
      <w:r w:rsidR="00BC1B87" w:rsidRPr="00DB4E33">
        <w:t>,</w:t>
      </w:r>
      <w:r w:rsidR="00583984" w:rsidRPr="00DB4E33">
        <w:t xml:space="preserve"> because it </w:t>
      </w:r>
      <w:r w:rsidR="00387B01" w:rsidRPr="00DB4E33">
        <w:t>i</w:t>
      </w:r>
      <w:r w:rsidR="00583984" w:rsidRPr="00DB4E33">
        <w:t xml:space="preserve">mpacts BIL 2 information. </w:t>
      </w:r>
      <w:r w:rsidR="00BC1B87" w:rsidRPr="00DB4E33">
        <w:t xml:space="preserve">This is true even </w:t>
      </w:r>
      <w:r w:rsidR="00583984" w:rsidRPr="00DB4E33">
        <w:t xml:space="preserve">though the severity of the incident </w:t>
      </w:r>
      <w:r w:rsidR="00387B01" w:rsidRPr="00DB4E33">
        <w:t>itself may be assessed as LOW because it was managed locally with minimal adverse impact e.g., incident</w:t>
      </w:r>
      <w:r w:rsidR="00583984" w:rsidRPr="00DB4E33">
        <w:t xml:space="preserve"> was</w:t>
      </w:r>
      <w:r w:rsidR="00583984">
        <w:t xml:space="preserve"> </w:t>
      </w:r>
      <w:r w:rsidR="00DD6CCD" w:rsidRPr="00DD6CCD">
        <w:t>contained quickly</w:t>
      </w:r>
      <w:r w:rsidR="00387B01">
        <w:t>,</w:t>
      </w:r>
      <w:r w:rsidR="00DD6CCD" w:rsidRPr="00DD6CCD">
        <w:t xml:space="preserve"> </w:t>
      </w:r>
      <w:r w:rsidR="00387B01">
        <w:t>s</w:t>
      </w:r>
      <w:r w:rsidR="00DD6CCD" w:rsidRPr="00DD6CCD">
        <w:t>wiftly acted upon</w:t>
      </w:r>
      <w:r w:rsidR="00387B01">
        <w:t>,</w:t>
      </w:r>
      <w:r w:rsidR="00DD6CCD" w:rsidRPr="00DD6CCD">
        <w:t xml:space="preserve"> deleted</w:t>
      </w:r>
      <w:r w:rsidR="00387B01">
        <w:t>,</w:t>
      </w:r>
      <w:r w:rsidR="00DD6CCD" w:rsidRPr="00DD6CCD">
        <w:t xml:space="preserve"> affected person notified.</w:t>
      </w:r>
    </w:p>
    <w:p w14:paraId="32866EC7" w14:textId="59131DA9" w:rsidR="00A6671C" w:rsidRDefault="00A6671C" w:rsidP="00FA1B6A">
      <w:pPr>
        <w:pStyle w:val="Heading2"/>
      </w:pPr>
      <w:r w:rsidRPr="009D2AB2">
        <w:t>Security attributes impacted</w:t>
      </w:r>
      <w:r>
        <w:t xml:space="preserve"> </w:t>
      </w:r>
      <w:r w:rsidRPr="002C6E03">
        <w:t>(Multiple options can be selected)</w:t>
      </w:r>
    </w:p>
    <w:p w14:paraId="3E438875" w14:textId="3FD6BF2E" w:rsidR="00735D45" w:rsidRPr="00735D45" w:rsidRDefault="00735D45" w:rsidP="00735D45">
      <w:r>
        <w:rPr>
          <w:noProof/>
        </w:rPr>
        <w:drawing>
          <wp:inline distT="0" distB="0" distL="0" distR="0" wp14:anchorId="2C7116E9" wp14:editId="3B3D0F42">
            <wp:extent cx="2578308" cy="3200400"/>
            <wp:effectExtent l="0" t="0" r="0" b="0"/>
            <wp:docPr id="24622084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87D886" w14:textId="200D27AA" w:rsidR="00A4119B" w:rsidRDefault="00A4119B" w:rsidP="00AC47F1">
      <w:pPr>
        <w:pStyle w:val="Heading3"/>
      </w:pPr>
      <w:bookmarkStart w:id="2" w:name="_Hlk57107159"/>
      <w:r>
        <w:t>Insights:</w:t>
      </w:r>
    </w:p>
    <w:p w14:paraId="17DF8719" w14:textId="46E48735" w:rsidR="00A6671C" w:rsidRDefault="00BE2B45" w:rsidP="00A6671C">
      <w:r w:rsidRPr="00BE2B45">
        <w:rPr>
          <w:b/>
          <w:bCs/>
        </w:rPr>
        <w:t>97%</w:t>
      </w:r>
      <w:r>
        <w:t xml:space="preserve"> of</w:t>
      </w:r>
      <w:r w:rsidR="00A6671C" w:rsidRPr="001949C1">
        <w:t xml:space="preserve"> incident notifications indicate</w:t>
      </w:r>
      <w:r w:rsidR="00A6671C">
        <w:t>d</w:t>
      </w:r>
      <w:r w:rsidR="00A6671C" w:rsidRPr="001949C1">
        <w:t xml:space="preserve"> compromises of the </w:t>
      </w:r>
      <w:r w:rsidR="00A6671C" w:rsidRPr="007071AE">
        <w:rPr>
          <w:b/>
          <w:bCs/>
        </w:rPr>
        <w:t>confidentiality</w:t>
      </w:r>
      <w:r w:rsidR="00A6671C" w:rsidRPr="001949C1">
        <w:t xml:space="preserve"> </w:t>
      </w:r>
      <w:r w:rsidR="001954C2">
        <w:t>(</w:t>
      </w:r>
      <w:r w:rsidR="001954C2" w:rsidRPr="001954C2">
        <w:rPr>
          <w:b/>
          <w:bCs/>
        </w:rPr>
        <w:t>3</w:t>
      </w:r>
      <w:r w:rsidR="00E528F4">
        <w:rPr>
          <w:b/>
          <w:bCs/>
        </w:rPr>
        <w:t>71</w:t>
      </w:r>
      <w:r w:rsidR="001954C2">
        <w:t xml:space="preserve">) </w:t>
      </w:r>
      <w:r w:rsidR="00A6671C" w:rsidRPr="001949C1">
        <w:t xml:space="preserve">of information followed by </w:t>
      </w:r>
      <w:r w:rsidR="00A6671C" w:rsidRPr="007071AE">
        <w:rPr>
          <w:b/>
          <w:bCs/>
        </w:rPr>
        <w:t>integrity</w:t>
      </w:r>
      <w:r w:rsidR="00A6671C" w:rsidRPr="001949C1">
        <w:t xml:space="preserve"> </w:t>
      </w:r>
      <w:r w:rsidR="001954C2">
        <w:t>(</w:t>
      </w:r>
      <w:r w:rsidR="00E528F4">
        <w:rPr>
          <w:b/>
          <w:bCs/>
        </w:rPr>
        <w:t>67</w:t>
      </w:r>
      <w:r w:rsidR="001954C2">
        <w:t>)</w:t>
      </w:r>
      <w:r w:rsidR="00A6671C" w:rsidRPr="001949C1">
        <w:t xml:space="preserve">. </w:t>
      </w:r>
      <w:r w:rsidR="00E528F4">
        <w:t>Even with the increase in the number of notifications received this period, i</w:t>
      </w:r>
      <w:r w:rsidR="006E76CC">
        <w:t xml:space="preserve">ncidents affecting the </w:t>
      </w:r>
      <w:r w:rsidR="006E76CC" w:rsidRPr="006E76CC">
        <w:rPr>
          <w:b/>
          <w:bCs/>
        </w:rPr>
        <w:t>availability</w:t>
      </w:r>
      <w:r w:rsidR="006E76CC">
        <w:t xml:space="preserve"> of information </w:t>
      </w:r>
      <w:r w:rsidR="00E528F4">
        <w:t xml:space="preserve">decreased to </w:t>
      </w:r>
      <w:r w:rsidR="00E528F4">
        <w:rPr>
          <w:b/>
          <w:bCs/>
        </w:rPr>
        <w:t>1</w:t>
      </w:r>
      <w:r w:rsidR="003A2A91">
        <w:rPr>
          <w:b/>
          <w:bCs/>
        </w:rPr>
        <w:t>7</w:t>
      </w:r>
      <w:r w:rsidR="00626B7E" w:rsidRPr="00626B7E">
        <w:t xml:space="preserve"> </w:t>
      </w:r>
      <w:r w:rsidR="00E528F4">
        <w:t xml:space="preserve">compared to </w:t>
      </w:r>
      <w:r w:rsidR="00E528F4" w:rsidRPr="00BE2B45">
        <w:rPr>
          <w:b/>
          <w:bCs/>
        </w:rPr>
        <w:t>21</w:t>
      </w:r>
      <w:r w:rsidR="00E528F4">
        <w:t xml:space="preserve"> in the previous </w:t>
      </w:r>
      <w:r w:rsidR="00626B7E" w:rsidRPr="00626B7E">
        <w:t>notification period</w:t>
      </w:r>
      <w:r w:rsidR="00A6671C" w:rsidRPr="001949C1">
        <w:t>.</w:t>
      </w:r>
      <w:bookmarkEnd w:id="2"/>
    </w:p>
    <w:p w14:paraId="05E6614A" w14:textId="58ACDCF4" w:rsidR="00BE2B45" w:rsidRDefault="00BE2B45" w:rsidP="00A6671C">
      <w:r>
        <w:lastRenderedPageBreak/>
        <w:t xml:space="preserve">This period saw the number of incidents affecting the </w:t>
      </w:r>
      <w:r w:rsidRPr="008B645A">
        <w:rPr>
          <w:b/>
          <w:bCs/>
        </w:rPr>
        <w:t>integrity</w:t>
      </w:r>
      <w:r>
        <w:t xml:space="preserve"> of information </w:t>
      </w:r>
      <w:r w:rsidR="00281644">
        <w:t xml:space="preserve">more than </w:t>
      </w:r>
      <w:r>
        <w:t xml:space="preserve">double from the previous period which was </w:t>
      </w:r>
      <w:r w:rsidRPr="00BE2B45">
        <w:rPr>
          <w:b/>
          <w:bCs/>
        </w:rPr>
        <w:t>30</w:t>
      </w:r>
      <w:r>
        <w:t xml:space="preserve"> to </w:t>
      </w:r>
      <w:r w:rsidRPr="00BE2B45">
        <w:rPr>
          <w:b/>
          <w:bCs/>
        </w:rPr>
        <w:t>67</w:t>
      </w:r>
      <w:r>
        <w:t>.</w:t>
      </w:r>
    </w:p>
    <w:p w14:paraId="2EB6C6F1" w14:textId="54900681" w:rsidR="00843734" w:rsidRDefault="00843734" w:rsidP="00A6671C">
      <w:r>
        <w:t>Unauthorised disclosure (</w:t>
      </w:r>
      <w:r w:rsidRPr="00843734">
        <w:rPr>
          <w:b/>
          <w:bCs/>
        </w:rPr>
        <w:t>confidentiality</w:t>
      </w:r>
      <w:r>
        <w:t xml:space="preserve">) of public sector information regardless of information format (hard copy, electronic, verbal) continues to dominate the incidents for this period accounting for </w:t>
      </w:r>
      <w:r w:rsidR="008B645A">
        <w:rPr>
          <w:b/>
          <w:bCs/>
        </w:rPr>
        <w:t>82</w:t>
      </w:r>
      <w:r w:rsidRPr="0040757A">
        <w:rPr>
          <w:b/>
          <w:bCs/>
        </w:rPr>
        <w:t>%</w:t>
      </w:r>
      <w:r>
        <w:t xml:space="preserve"> of the notifications received.</w:t>
      </w:r>
    </w:p>
    <w:p w14:paraId="38FB9905" w14:textId="6E6127DD" w:rsidR="00A6671C" w:rsidRPr="006E1F45" w:rsidRDefault="00281644" w:rsidP="00A6671C">
      <w:r w:rsidRPr="00281644">
        <w:rPr>
          <w:b/>
          <w:bCs/>
        </w:rPr>
        <w:t>17</w:t>
      </w:r>
      <w:r w:rsidR="00A6671C" w:rsidRPr="00281644">
        <w:rPr>
          <w:b/>
          <w:bCs/>
        </w:rPr>
        <w:t>%</w:t>
      </w:r>
      <w:r w:rsidR="00626B7E">
        <w:t xml:space="preserve"> </w:t>
      </w:r>
      <w:r w:rsidR="00A6671C" w:rsidRPr="006E1F45">
        <w:t xml:space="preserve">of incident notifications </w:t>
      </w:r>
      <w:r w:rsidR="00A718E3" w:rsidRPr="006E1F45">
        <w:t>selected</w:t>
      </w:r>
      <w:r w:rsidR="00A6671C" w:rsidRPr="006E1F45">
        <w:t xml:space="preserve"> more than one option for this field. </w:t>
      </w:r>
      <w:r w:rsidR="00A718E3" w:rsidRPr="006E1F45">
        <w:t xml:space="preserve">In almost all </w:t>
      </w:r>
      <w:r w:rsidR="007071AE">
        <w:t>instances</w:t>
      </w:r>
      <w:r w:rsidR="00A718E3" w:rsidRPr="006E1F45">
        <w:t xml:space="preserve"> where multiple </w:t>
      </w:r>
      <w:r w:rsidR="00A46A3D">
        <w:t>options</w:t>
      </w:r>
      <w:r w:rsidR="00A718E3" w:rsidRPr="006E1F45">
        <w:t xml:space="preserve"> were selected, </w:t>
      </w:r>
      <w:r w:rsidR="00A718E3" w:rsidRPr="006E1F45">
        <w:rPr>
          <w:b/>
          <w:bCs/>
        </w:rPr>
        <w:t>confidentiality</w:t>
      </w:r>
      <w:r w:rsidR="00A718E3" w:rsidRPr="006E1F45">
        <w:t xml:space="preserve"> was selected. </w:t>
      </w:r>
      <w:r w:rsidR="0034140F">
        <w:t xml:space="preserve">There was only </w:t>
      </w:r>
      <w:r w:rsidR="0034140F" w:rsidRPr="007071AE">
        <w:t>one</w:t>
      </w:r>
      <w:r w:rsidR="0034140F">
        <w:t xml:space="preserve"> </w:t>
      </w:r>
      <w:r w:rsidR="007071AE">
        <w:t>(</w:t>
      </w:r>
      <w:r w:rsidR="007071AE" w:rsidRPr="007071AE">
        <w:rPr>
          <w:b/>
          <w:bCs/>
        </w:rPr>
        <w:t>1</w:t>
      </w:r>
      <w:r w:rsidR="007071AE">
        <w:t xml:space="preserve">) </w:t>
      </w:r>
      <w:r w:rsidR="0034140F">
        <w:t>instance where the confidentiality security attribute was not selected where the incident affected multiple attributes. In this notification</w:t>
      </w:r>
      <w:r w:rsidR="007071AE">
        <w:t>,</w:t>
      </w:r>
      <w:r w:rsidR="0034140F">
        <w:t xml:space="preserve"> the incident affected the integrity and availability of the information </w:t>
      </w:r>
      <w:r w:rsidR="00E10CD8">
        <w:t xml:space="preserve">due to </w:t>
      </w:r>
      <w:r>
        <w:t>a defaced website where the content of the website had been altered and the correct information was not available</w:t>
      </w:r>
      <w:r w:rsidR="00E10CD8">
        <w:t>.</w:t>
      </w:r>
    </w:p>
    <w:p w14:paraId="0B44402C" w14:textId="66A622CD" w:rsidR="007071AE" w:rsidRDefault="003F57CF" w:rsidP="00A6671C">
      <w:r w:rsidRPr="006E1F45">
        <w:t>There w</w:t>
      </w:r>
      <w:r w:rsidR="005B0A63">
        <w:t xml:space="preserve">ere </w:t>
      </w:r>
      <w:r w:rsidR="00281644" w:rsidRPr="00015B53">
        <w:t>four</w:t>
      </w:r>
      <w:r w:rsidR="005B0A63">
        <w:t xml:space="preserve"> (</w:t>
      </w:r>
      <w:r w:rsidR="00281644">
        <w:rPr>
          <w:b/>
          <w:bCs/>
        </w:rPr>
        <w:t>4</w:t>
      </w:r>
      <w:r w:rsidR="005B0A63">
        <w:t>)</w:t>
      </w:r>
      <w:r w:rsidRPr="006E1F45">
        <w:t xml:space="preserve"> notification</w:t>
      </w:r>
      <w:r w:rsidR="005B0A63">
        <w:t>s</w:t>
      </w:r>
      <w:r w:rsidRPr="006E1F45">
        <w:t xml:space="preserve"> where the </w:t>
      </w:r>
      <w:r w:rsidRPr="006E1F45">
        <w:rPr>
          <w:b/>
          <w:bCs/>
        </w:rPr>
        <w:t>availability</w:t>
      </w:r>
      <w:r w:rsidRPr="006E1F45">
        <w:t xml:space="preserve"> security attribute was selected on its own </w:t>
      </w:r>
      <w:r w:rsidR="005B0A63">
        <w:t>for example</w:t>
      </w:r>
      <w:r w:rsidR="00281644">
        <w:t>:</w:t>
      </w:r>
      <w:r w:rsidR="005B0A63">
        <w:t xml:space="preserve"> </w:t>
      </w:r>
    </w:p>
    <w:p w14:paraId="75E996DA" w14:textId="77777777" w:rsidR="00281644" w:rsidRDefault="00281644" w:rsidP="007071AE">
      <w:pPr>
        <w:pStyle w:val="ListParagraph"/>
        <w:numPr>
          <w:ilvl w:val="0"/>
          <w:numId w:val="15"/>
        </w:numPr>
      </w:pPr>
      <w:r>
        <w:t>lost mobile phone</w:t>
      </w:r>
    </w:p>
    <w:p w14:paraId="693E17AF" w14:textId="2BB87F43" w:rsidR="00281644" w:rsidRDefault="00281644" w:rsidP="007071AE">
      <w:pPr>
        <w:pStyle w:val="ListParagraph"/>
        <w:numPr>
          <w:ilvl w:val="0"/>
          <w:numId w:val="15"/>
        </w:numPr>
      </w:pPr>
      <w:r>
        <w:t>unavailability of phone service and electronic monitoring service due to telecommunications provider outage</w:t>
      </w:r>
    </w:p>
    <w:p w14:paraId="22657ECF" w14:textId="222C3F19" w:rsidR="003F57CF" w:rsidRDefault="00281644" w:rsidP="00281644">
      <w:pPr>
        <w:pStyle w:val="ListParagraph"/>
        <w:numPr>
          <w:ilvl w:val="0"/>
          <w:numId w:val="15"/>
        </w:numPr>
      </w:pPr>
      <w:r>
        <w:t>denial of service (</w:t>
      </w:r>
      <w:r w:rsidRPr="00281644">
        <w:rPr>
          <w:b/>
          <w:bCs/>
        </w:rPr>
        <w:t>DoS</w:t>
      </w:r>
      <w:r>
        <w:t>) attack on a DNS service</w:t>
      </w:r>
    </w:p>
    <w:p w14:paraId="740F9CD0" w14:textId="71984318" w:rsidR="007071AE" w:rsidRDefault="00281644" w:rsidP="00A6671C">
      <w:r>
        <w:t>Like the last period, t</w:t>
      </w:r>
      <w:r w:rsidR="00A718E3" w:rsidRPr="006E1F45">
        <w:t xml:space="preserve">here were </w:t>
      </w:r>
      <w:r w:rsidR="005B0A63" w:rsidRPr="00015B53">
        <w:t>eight</w:t>
      </w:r>
      <w:r w:rsidR="00A718E3" w:rsidRPr="006E1F45">
        <w:t xml:space="preserve"> (</w:t>
      </w:r>
      <w:r w:rsidR="005B0A63">
        <w:rPr>
          <w:b/>
          <w:bCs/>
        </w:rPr>
        <w:t>8</w:t>
      </w:r>
      <w:r w:rsidR="00A718E3" w:rsidRPr="006E1F45">
        <w:t xml:space="preserve">) notifications where the </w:t>
      </w:r>
      <w:r w:rsidR="00A718E3" w:rsidRPr="0034140F">
        <w:rPr>
          <w:b/>
          <w:bCs/>
        </w:rPr>
        <w:t>integrity</w:t>
      </w:r>
      <w:r w:rsidR="00A718E3" w:rsidRPr="006E1F45">
        <w:t xml:space="preserve"> </w:t>
      </w:r>
      <w:r w:rsidR="005B0A63" w:rsidRPr="005B0A63">
        <w:t xml:space="preserve">security attribute was selected on its own </w:t>
      </w:r>
      <w:r w:rsidR="00A718E3" w:rsidRPr="006E1F45">
        <w:t>for example</w:t>
      </w:r>
      <w:r w:rsidR="007071AE">
        <w:t>:</w:t>
      </w:r>
      <w:r w:rsidR="00A718E3" w:rsidRPr="006E1F45">
        <w:t xml:space="preserve"> </w:t>
      </w:r>
    </w:p>
    <w:p w14:paraId="24360869" w14:textId="63B14C4D" w:rsidR="007071AE" w:rsidRDefault="001B6A93" w:rsidP="007071AE">
      <w:pPr>
        <w:pStyle w:val="ListParagraph"/>
        <w:numPr>
          <w:ilvl w:val="0"/>
          <w:numId w:val="16"/>
        </w:numPr>
      </w:pPr>
      <w:r>
        <w:t xml:space="preserve">incorrect </w:t>
      </w:r>
      <w:r w:rsidR="00A718E3" w:rsidRPr="006E1F45">
        <w:t>claim number</w:t>
      </w:r>
      <w:r w:rsidR="005B0A63">
        <w:t xml:space="preserve">, </w:t>
      </w:r>
      <w:r>
        <w:t xml:space="preserve">or email </w:t>
      </w:r>
      <w:r w:rsidR="005B0A63">
        <w:t xml:space="preserve">address </w:t>
      </w:r>
      <w:r w:rsidR="00A718E3" w:rsidRPr="006E1F45">
        <w:t>added to a case</w:t>
      </w:r>
      <w:r w:rsidR="0034140F">
        <w:t xml:space="preserve"> file</w:t>
      </w:r>
    </w:p>
    <w:p w14:paraId="7AD39790" w14:textId="2FEBA0D8" w:rsidR="007071AE" w:rsidRDefault="001B6A93" w:rsidP="007071AE">
      <w:pPr>
        <w:pStyle w:val="ListParagraph"/>
        <w:numPr>
          <w:ilvl w:val="0"/>
          <w:numId w:val="16"/>
        </w:numPr>
      </w:pPr>
      <w:r>
        <w:t>staff falsifying records on a system</w:t>
      </w:r>
    </w:p>
    <w:p w14:paraId="78EA64E7" w14:textId="24C74517" w:rsidR="0034140F" w:rsidRDefault="001B6A93" w:rsidP="007071AE">
      <w:pPr>
        <w:pStyle w:val="ListParagraph"/>
        <w:numPr>
          <w:ilvl w:val="0"/>
          <w:numId w:val="16"/>
        </w:numPr>
      </w:pPr>
      <w:r>
        <w:t>invoice saved to the wrong claim</w:t>
      </w:r>
    </w:p>
    <w:p w14:paraId="5CD3971B" w14:textId="66938A69" w:rsidR="0075052C" w:rsidRPr="0040757A" w:rsidRDefault="005A79EE" w:rsidP="0040757A">
      <w:r>
        <w:t>Once again, there</w:t>
      </w:r>
      <w:r w:rsidR="0034140F">
        <w:t xml:space="preserve"> were </w:t>
      </w:r>
      <w:r w:rsidR="003B1124" w:rsidRPr="00015B53">
        <w:t>six</w:t>
      </w:r>
      <w:r w:rsidR="0034140F">
        <w:t xml:space="preserve"> (</w:t>
      </w:r>
      <w:r w:rsidR="003B1124">
        <w:rPr>
          <w:b/>
          <w:bCs/>
        </w:rPr>
        <w:t>6</w:t>
      </w:r>
      <w:r w:rsidR="0034140F">
        <w:t>) notifications w</w:t>
      </w:r>
      <w:r w:rsidR="00E10CD8">
        <w:t>h</w:t>
      </w:r>
      <w:r w:rsidR="0034140F">
        <w:t xml:space="preserve">ere all three security attributes were selected. For example, </w:t>
      </w:r>
      <w:r>
        <w:t xml:space="preserve">an incorrect mobile number was recorded during the lodgement of an application resulting in another </w:t>
      </w:r>
      <w:r w:rsidR="00A46A3D">
        <w:t>nonrelated</w:t>
      </w:r>
      <w:r>
        <w:t xml:space="preserve"> person receiving text messages rather than the </w:t>
      </w:r>
      <w:r w:rsidR="00C66236">
        <w:t>correct</w:t>
      </w:r>
      <w:r>
        <w:t xml:space="preserve"> person. Another example is an incident whereby an existing staff member’s account was cloned to create a new user account resulting in incorrect permissions being granted to new user.</w:t>
      </w:r>
    </w:p>
    <w:p w14:paraId="31AD6305" w14:textId="77777777" w:rsidR="00092062" w:rsidRDefault="00092062">
      <w:pPr>
        <w:spacing w:before="0" w:after="160" w:line="259" w:lineRule="auto"/>
        <w:rPr>
          <w:rFonts w:eastAsiaTheme="majorEastAsia" w:cstheme="majorBidi"/>
          <w:color w:val="430098" w:themeColor="text2"/>
          <w:sz w:val="30"/>
          <w:szCs w:val="26"/>
        </w:rPr>
      </w:pPr>
      <w:r>
        <w:br w:type="page"/>
      </w:r>
    </w:p>
    <w:p w14:paraId="61B5078D" w14:textId="7A4E8767" w:rsidR="00A6671C" w:rsidRDefault="00A6671C" w:rsidP="00FA1B6A">
      <w:pPr>
        <w:pStyle w:val="Heading2"/>
      </w:pPr>
      <w:r w:rsidRPr="000D528B">
        <w:lastRenderedPageBreak/>
        <w:t xml:space="preserve">Control area(s) </w:t>
      </w:r>
      <w:r w:rsidRPr="0058357D">
        <w:t>affected (Multiple options can</w:t>
      </w:r>
      <w:r w:rsidRPr="000D528B">
        <w:t xml:space="preserve"> be selected)</w:t>
      </w:r>
    </w:p>
    <w:p w14:paraId="23B560A5" w14:textId="00494F72" w:rsidR="00735D45" w:rsidRPr="00735D45" w:rsidRDefault="00735D45" w:rsidP="00735D45">
      <w:r>
        <w:rPr>
          <w:noProof/>
        </w:rPr>
        <w:drawing>
          <wp:inline distT="0" distB="0" distL="0" distR="0" wp14:anchorId="1779700E" wp14:editId="0369F1AC">
            <wp:extent cx="3717561" cy="3200400"/>
            <wp:effectExtent l="0" t="0" r="3810" b="0"/>
            <wp:docPr id="19435473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C97FDDB" w14:textId="24D62E40" w:rsidR="00A4119B" w:rsidRDefault="00A4119B" w:rsidP="00AC47F1">
      <w:pPr>
        <w:pStyle w:val="Heading3"/>
      </w:pPr>
      <w:r>
        <w:t>Insights:</w:t>
      </w:r>
    </w:p>
    <w:p w14:paraId="574A59F3" w14:textId="0A7083D5" w:rsidR="0097657C" w:rsidRDefault="00A6671C" w:rsidP="0097657C">
      <w:r w:rsidRPr="00F33262">
        <w:t xml:space="preserve">This </w:t>
      </w:r>
      <w:r w:rsidR="00C60623">
        <w:t>notification</w:t>
      </w:r>
      <w:r w:rsidRPr="00F33262">
        <w:t xml:space="preserve"> period saw </w:t>
      </w:r>
      <w:r w:rsidR="0058357D">
        <w:t xml:space="preserve">a </w:t>
      </w:r>
      <w:r w:rsidR="00053D74">
        <w:t>small</w:t>
      </w:r>
      <w:r w:rsidR="0058357D">
        <w:t xml:space="preserve"> rise in the</w:t>
      </w:r>
      <w:r w:rsidR="00F33262" w:rsidRPr="00F33262">
        <w:t xml:space="preserve"> percentage of</w:t>
      </w:r>
      <w:r w:rsidRPr="00F33262">
        <w:t xml:space="preserve"> incident</w:t>
      </w:r>
      <w:r w:rsidR="00F33262" w:rsidRPr="00F33262">
        <w:t>s</w:t>
      </w:r>
      <w:r w:rsidRPr="00F33262">
        <w:t xml:space="preserve"> </w:t>
      </w:r>
      <w:r w:rsidR="00F33262" w:rsidRPr="00F33262">
        <w:t>caused by</w:t>
      </w:r>
      <w:r w:rsidRPr="00F33262">
        <w:t xml:space="preserve"> </w:t>
      </w:r>
      <w:r w:rsidRPr="00F33262">
        <w:rPr>
          <w:b/>
          <w:bCs/>
        </w:rPr>
        <w:t>people</w:t>
      </w:r>
      <w:r w:rsidRPr="00F33262">
        <w:t xml:space="preserve"> (</w:t>
      </w:r>
      <w:r w:rsidRPr="00F33262">
        <w:rPr>
          <w:b/>
          <w:bCs/>
        </w:rPr>
        <w:t>9</w:t>
      </w:r>
      <w:r w:rsidR="0058357D">
        <w:rPr>
          <w:b/>
          <w:bCs/>
        </w:rPr>
        <w:t>6</w:t>
      </w:r>
      <w:r w:rsidRPr="00F33262">
        <w:rPr>
          <w:b/>
          <w:bCs/>
        </w:rPr>
        <w:t>%</w:t>
      </w:r>
      <w:r w:rsidRPr="00F33262">
        <w:t xml:space="preserve">) </w:t>
      </w:r>
      <w:r w:rsidR="0058357D">
        <w:t>from</w:t>
      </w:r>
      <w:r w:rsidR="00BC1B87">
        <w:t xml:space="preserve"> </w:t>
      </w:r>
      <w:r w:rsidR="00F33262" w:rsidRPr="00F33262">
        <w:t xml:space="preserve">the previous </w:t>
      </w:r>
      <w:r w:rsidR="00C60623">
        <w:t>notification</w:t>
      </w:r>
      <w:r w:rsidR="00F33262" w:rsidRPr="00F33262">
        <w:t xml:space="preserve"> period</w:t>
      </w:r>
      <w:r w:rsidR="0058357D">
        <w:t xml:space="preserve"> (</w:t>
      </w:r>
      <w:r w:rsidR="0058357D" w:rsidRPr="0058357D">
        <w:rPr>
          <w:b/>
          <w:bCs/>
        </w:rPr>
        <w:t>92%</w:t>
      </w:r>
      <w:r w:rsidR="0058357D">
        <w:t>)</w:t>
      </w:r>
      <w:r w:rsidR="00F33262" w:rsidRPr="00F33262">
        <w:t xml:space="preserve">. </w:t>
      </w:r>
      <w:r w:rsidR="0058357D">
        <w:t>Of the 384 notifications received, only 14 notifications didn’t select people being involved in the incident.</w:t>
      </w:r>
    </w:p>
    <w:p w14:paraId="46A76947" w14:textId="12ABA0DD" w:rsidR="00A4119B" w:rsidRDefault="00A4119B" w:rsidP="0097657C">
      <w:r w:rsidRPr="00A4119B">
        <w:t>The key causal factors for security incidents remain</w:t>
      </w:r>
      <w:r w:rsidR="00053D74">
        <w:t xml:space="preserve"> as</w:t>
      </w:r>
      <w:r w:rsidR="00BC1B87">
        <w:t xml:space="preserve"> </w:t>
      </w:r>
      <w:r w:rsidRPr="00A4119B">
        <w:t>people, internal, and accidental</w:t>
      </w:r>
      <w:r w:rsidR="004D1683">
        <w:t>,</w:t>
      </w:r>
      <w:r w:rsidRPr="00A4119B">
        <w:t xml:space="preserve"> for example, </w:t>
      </w:r>
      <w:r w:rsidR="00C60623">
        <w:t>mail misdelivery whether it is postal mail or email</w:t>
      </w:r>
      <w:r w:rsidRPr="00A4119B">
        <w:t xml:space="preserve"> (</w:t>
      </w:r>
      <w:r w:rsidR="002C226F" w:rsidRPr="002C226F">
        <w:rPr>
          <w:b/>
          <w:bCs/>
        </w:rPr>
        <w:t>58</w:t>
      </w:r>
      <w:r w:rsidRPr="00C60623">
        <w:rPr>
          <w:b/>
          <w:bCs/>
        </w:rPr>
        <w:t>%</w:t>
      </w:r>
      <w:r w:rsidRPr="00A4119B">
        <w:t>).</w:t>
      </w:r>
    </w:p>
    <w:p w14:paraId="4365ABD5" w14:textId="4884B4AC" w:rsidR="00A6671C" w:rsidRDefault="00C60623" w:rsidP="00A6671C">
      <w:r>
        <w:t xml:space="preserve">There was a </w:t>
      </w:r>
      <w:r w:rsidR="00396679">
        <w:t>decrease</w:t>
      </w:r>
      <w:r>
        <w:t xml:space="preserve"> in the number of notifications selecting</w:t>
      </w:r>
      <w:r w:rsidR="00F33262" w:rsidRPr="00F33262">
        <w:t xml:space="preserve"> </w:t>
      </w:r>
      <w:r w:rsidR="00A6671C" w:rsidRPr="00F33262">
        <w:rPr>
          <w:b/>
          <w:bCs/>
        </w:rPr>
        <w:t>process</w:t>
      </w:r>
      <w:r w:rsidR="00F33262" w:rsidRPr="00F33262">
        <w:rPr>
          <w:b/>
          <w:bCs/>
        </w:rPr>
        <w:t xml:space="preserve"> </w:t>
      </w:r>
      <w:r w:rsidR="00F33262" w:rsidRPr="00F33262">
        <w:t>(</w:t>
      </w:r>
      <w:r w:rsidR="00053D74">
        <w:rPr>
          <w:b/>
          <w:bCs/>
        </w:rPr>
        <w:t>70</w:t>
      </w:r>
      <w:r w:rsidR="00F33262" w:rsidRPr="00F33262">
        <w:t>)</w:t>
      </w:r>
      <w:r w:rsidR="00F33262" w:rsidRPr="00F33262">
        <w:rPr>
          <w:b/>
          <w:bCs/>
        </w:rPr>
        <w:t xml:space="preserve"> </w:t>
      </w:r>
      <w:r w:rsidRPr="00C60623">
        <w:t>compared to the last notification period (</w:t>
      </w:r>
      <w:r w:rsidR="00396679">
        <w:rPr>
          <w:b/>
          <w:bCs/>
        </w:rPr>
        <w:t>86</w:t>
      </w:r>
      <w:r w:rsidRPr="00C60623">
        <w:t>)</w:t>
      </w:r>
      <w:r>
        <w:t xml:space="preserve"> and</w:t>
      </w:r>
      <w:r w:rsidR="000033F0">
        <w:t xml:space="preserve"> the numbers for</w:t>
      </w:r>
      <w:r>
        <w:t xml:space="preserve"> </w:t>
      </w:r>
      <w:r w:rsidR="00F33262" w:rsidRPr="00F33262">
        <w:rPr>
          <w:b/>
          <w:bCs/>
        </w:rPr>
        <w:t>technology</w:t>
      </w:r>
      <w:r w:rsidR="00A6671C" w:rsidRPr="00F33262">
        <w:t xml:space="preserve"> </w:t>
      </w:r>
      <w:r w:rsidR="00F33262" w:rsidRPr="00F33262">
        <w:t>(</w:t>
      </w:r>
      <w:r w:rsidR="00396679">
        <w:rPr>
          <w:b/>
          <w:bCs/>
        </w:rPr>
        <w:t>35</w:t>
      </w:r>
      <w:r w:rsidR="00F33262" w:rsidRPr="00F33262">
        <w:t xml:space="preserve">) </w:t>
      </w:r>
      <w:r w:rsidR="00DD2867">
        <w:t xml:space="preserve">related incidents </w:t>
      </w:r>
      <w:r w:rsidR="00396679">
        <w:t>slightly increased compared to</w:t>
      </w:r>
      <w:r w:rsidR="000033F0">
        <w:t xml:space="preserve"> the previous period</w:t>
      </w:r>
      <w:r w:rsidR="00396679">
        <w:t xml:space="preserve"> (</w:t>
      </w:r>
      <w:r w:rsidR="00396679" w:rsidRPr="00396679">
        <w:rPr>
          <w:b/>
          <w:bCs/>
        </w:rPr>
        <w:t>27</w:t>
      </w:r>
      <w:r w:rsidR="00396679">
        <w:t>)</w:t>
      </w:r>
      <w:r w:rsidR="00A6671C" w:rsidRPr="00B625EA">
        <w:t xml:space="preserve">. </w:t>
      </w:r>
    </w:p>
    <w:p w14:paraId="7E5632FC" w14:textId="7FD0752F" w:rsidR="00396679" w:rsidRDefault="00396679" w:rsidP="0015730E">
      <w:r>
        <w:t xml:space="preserve">There were </w:t>
      </w:r>
      <w:r w:rsidRPr="00772E4D">
        <w:t>six</w:t>
      </w:r>
      <w:r>
        <w:t xml:space="preserve"> (</w:t>
      </w:r>
      <w:r w:rsidRPr="00396679">
        <w:rPr>
          <w:b/>
          <w:bCs/>
        </w:rPr>
        <w:t>6</w:t>
      </w:r>
      <w:r w:rsidRPr="00396679">
        <w:t>)</w:t>
      </w:r>
      <w:r>
        <w:t xml:space="preserve"> notifications </w:t>
      </w:r>
      <w:r w:rsidRPr="00396679">
        <w:t xml:space="preserve">where </w:t>
      </w:r>
      <w:r w:rsidRPr="00396679">
        <w:rPr>
          <w:b/>
          <w:bCs/>
        </w:rPr>
        <w:t>no control(s)</w:t>
      </w:r>
      <w:r w:rsidRPr="00396679">
        <w:t xml:space="preserve"> was </w:t>
      </w:r>
      <w:r w:rsidR="0015730E" w:rsidRPr="00396679">
        <w:t>selected,</w:t>
      </w:r>
      <w:r>
        <w:t xml:space="preserve"> and all these notifications selected </w:t>
      </w:r>
      <w:r w:rsidRPr="0015730E">
        <w:rPr>
          <w:b/>
          <w:bCs/>
        </w:rPr>
        <w:t>people</w:t>
      </w:r>
      <w:r>
        <w:t xml:space="preserve"> as well. </w:t>
      </w:r>
      <w:r w:rsidRPr="00396679">
        <w:t xml:space="preserve"> </w:t>
      </w:r>
      <w:r>
        <w:t>E</w:t>
      </w:r>
      <w:r w:rsidRPr="00396679">
        <w:t>xample</w:t>
      </w:r>
      <w:r>
        <w:t>s include</w:t>
      </w:r>
      <w:r w:rsidR="0015730E">
        <w:t xml:space="preserve"> an incorrect entry on a system leading to an email being sent to the incorrect recipient and pre-filled in forms being published instead of blank forms.</w:t>
      </w:r>
      <w:r w:rsidR="00A33691">
        <w:t xml:space="preserve"> </w:t>
      </w:r>
      <w:r w:rsidR="00A46A3D">
        <w:t>This indicates that</w:t>
      </w:r>
      <w:r w:rsidR="00A33691">
        <w:t xml:space="preserve"> all these examples relate to people, process or technology issues</w:t>
      </w:r>
      <w:r w:rsidR="00A46A3D">
        <w:t>.</w:t>
      </w:r>
      <w:r w:rsidR="00A33691">
        <w:t xml:space="preserve"> </w:t>
      </w:r>
      <w:r w:rsidR="00A46A3D">
        <w:t>A</w:t>
      </w:r>
      <w:r w:rsidR="00A33691">
        <w:t xml:space="preserve">s part of continuous improvement, OVIC will review the need for </w:t>
      </w:r>
      <w:r w:rsidR="00A33691" w:rsidRPr="00A33691">
        <w:rPr>
          <w:b/>
          <w:bCs/>
        </w:rPr>
        <w:t>no control(s)</w:t>
      </w:r>
      <w:r w:rsidR="00A33691">
        <w:t>.</w:t>
      </w:r>
    </w:p>
    <w:p w14:paraId="4909FEF0" w14:textId="0FAD5DB8" w:rsidR="00A33691" w:rsidRPr="00B625EA" w:rsidRDefault="00A33691" w:rsidP="0015730E">
      <w:r w:rsidRPr="00A33691">
        <w:t xml:space="preserve">There were no notifications </w:t>
      </w:r>
      <w:r>
        <w:t xml:space="preserve">in this notification period, </w:t>
      </w:r>
      <w:r w:rsidRPr="00A33691">
        <w:t xml:space="preserve">where the control area affected was </w:t>
      </w:r>
      <w:r w:rsidRPr="00A33691">
        <w:rPr>
          <w:b/>
          <w:bCs/>
        </w:rPr>
        <w:t>unknown</w:t>
      </w:r>
      <w:r w:rsidRPr="00A33691">
        <w:t>.</w:t>
      </w:r>
    </w:p>
    <w:p w14:paraId="63CFD05C" w14:textId="2767FB36" w:rsidR="00A4119B" w:rsidRPr="00B625EA" w:rsidRDefault="00222577" w:rsidP="00A4119B">
      <w:r>
        <w:t xml:space="preserve">Where multiple control areas are part of the incident, most of the time, the </w:t>
      </w:r>
      <w:r w:rsidRPr="00222577">
        <w:rPr>
          <w:b/>
          <w:bCs/>
        </w:rPr>
        <w:t>people</w:t>
      </w:r>
      <w:r>
        <w:t xml:space="preserve"> field is selected in addition to other causal factors. </w:t>
      </w:r>
      <w:r w:rsidR="00772E4D">
        <w:t>Like the previous notification period, t</w:t>
      </w:r>
      <w:r w:rsidR="00A4119B" w:rsidRPr="00B625EA">
        <w:t xml:space="preserve">here were </w:t>
      </w:r>
      <w:r w:rsidR="00A4119B" w:rsidRPr="00DD2867">
        <w:t>two</w:t>
      </w:r>
      <w:r w:rsidR="00A4119B" w:rsidRPr="00B625EA">
        <w:t xml:space="preserve"> </w:t>
      </w:r>
      <w:r w:rsidR="00DD2867">
        <w:t>(</w:t>
      </w:r>
      <w:r w:rsidR="00DD2867" w:rsidRPr="00DD2867">
        <w:rPr>
          <w:b/>
          <w:bCs/>
        </w:rPr>
        <w:t>2</w:t>
      </w:r>
      <w:r w:rsidR="00DD2867">
        <w:t xml:space="preserve">) </w:t>
      </w:r>
      <w:r w:rsidR="00A4119B" w:rsidRPr="00B625EA">
        <w:t xml:space="preserve">notifications </w:t>
      </w:r>
      <w:r w:rsidR="00A4119B" w:rsidRPr="00B625EA">
        <w:lastRenderedPageBreak/>
        <w:t xml:space="preserve">where </w:t>
      </w:r>
      <w:r w:rsidR="00DD2867" w:rsidRPr="00DD2867">
        <w:rPr>
          <w:b/>
          <w:bCs/>
        </w:rPr>
        <w:t>process</w:t>
      </w:r>
      <w:r w:rsidR="00DD2867">
        <w:t xml:space="preserve"> and </w:t>
      </w:r>
      <w:r w:rsidR="00DD2867" w:rsidRPr="00DD2867">
        <w:rPr>
          <w:b/>
          <w:bCs/>
        </w:rPr>
        <w:t>technology</w:t>
      </w:r>
      <w:r w:rsidR="00DD2867">
        <w:t xml:space="preserve"> were</w:t>
      </w:r>
      <w:r w:rsidR="00A4119B" w:rsidRPr="00B625EA">
        <w:t xml:space="preserve"> selected </w:t>
      </w:r>
      <w:r w:rsidR="00DD2867">
        <w:t>without</w:t>
      </w:r>
      <w:r w:rsidR="00A4119B" w:rsidRPr="00B625EA">
        <w:t xml:space="preserve"> people </w:t>
      </w:r>
      <w:r w:rsidR="00DD2867">
        <w:t>as</w:t>
      </w:r>
      <w:r w:rsidR="00A4119B" w:rsidRPr="00B625EA">
        <w:t xml:space="preserve"> one of the causal factors</w:t>
      </w:r>
      <w:r w:rsidR="00305094">
        <w:t xml:space="preserve">. However, looking at the detail of these incidents, it appears that malicious threat actors were responsible for </w:t>
      </w:r>
      <w:proofErr w:type="gramStart"/>
      <w:r w:rsidR="00305094">
        <w:t>both of these</w:t>
      </w:r>
      <w:proofErr w:type="gramEnd"/>
      <w:r w:rsidR="00305094">
        <w:t xml:space="preserve"> incidents which would indicate people are a control area affected</w:t>
      </w:r>
      <w:r w:rsidR="00A4119B" w:rsidRPr="00B625EA">
        <w:t>.</w:t>
      </w:r>
    </w:p>
    <w:p w14:paraId="1B3A1E0E" w14:textId="45522018" w:rsidR="00A4119B" w:rsidRDefault="00A4119B" w:rsidP="00A4119B">
      <w:r w:rsidRPr="00B625EA">
        <w:t xml:space="preserve">There were </w:t>
      </w:r>
      <w:r w:rsidR="00267BFB">
        <w:t>two</w:t>
      </w:r>
      <w:r w:rsidRPr="00B625EA">
        <w:t xml:space="preserve"> (</w:t>
      </w:r>
      <w:r w:rsidR="00267BFB">
        <w:rPr>
          <w:b/>
          <w:bCs/>
        </w:rPr>
        <w:t>2</w:t>
      </w:r>
      <w:r w:rsidRPr="00B625EA">
        <w:t xml:space="preserve">) notifications where </w:t>
      </w:r>
      <w:r w:rsidRPr="00B625EA">
        <w:rPr>
          <w:b/>
          <w:bCs/>
        </w:rPr>
        <w:t>process</w:t>
      </w:r>
      <w:r w:rsidRPr="00B625EA">
        <w:t xml:space="preserve"> was selected on its own and </w:t>
      </w:r>
      <w:r w:rsidR="00DD2867" w:rsidRPr="00DD2867">
        <w:rPr>
          <w:b/>
          <w:bCs/>
        </w:rPr>
        <w:t>10</w:t>
      </w:r>
      <w:r w:rsidRPr="00B625EA">
        <w:t xml:space="preserve"> notifications where </w:t>
      </w:r>
      <w:r w:rsidRPr="00B625EA">
        <w:rPr>
          <w:b/>
          <w:bCs/>
        </w:rPr>
        <w:t>technology</w:t>
      </w:r>
      <w:r w:rsidRPr="00B625EA">
        <w:t xml:space="preserve"> was selected on its own as </w:t>
      </w:r>
      <w:r>
        <w:t>the</w:t>
      </w:r>
      <w:r w:rsidRPr="00B625EA">
        <w:t xml:space="preserve"> cause of </w:t>
      </w:r>
      <w:r>
        <w:t>the</w:t>
      </w:r>
      <w:r w:rsidRPr="00B625EA">
        <w:t xml:space="preserve"> incident.</w:t>
      </w:r>
      <w:r w:rsidR="00267BFB">
        <w:t xml:space="preserve"> Examples of technology related incidents include:</w:t>
      </w:r>
    </w:p>
    <w:p w14:paraId="7E59FDDC" w14:textId="6A437629" w:rsidR="00267BFB" w:rsidRDefault="00267BFB" w:rsidP="00267BFB">
      <w:pPr>
        <w:pStyle w:val="ListParagraph"/>
        <w:numPr>
          <w:ilvl w:val="0"/>
          <w:numId w:val="19"/>
        </w:numPr>
      </w:pPr>
      <w:r>
        <w:t>unavailability of phone service and electronic monitoring service due to telecommunications provider outage</w:t>
      </w:r>
    </w:p>
    <w:p w14:paraId="52D78A74" w14:textId="49952E5E" w:rsidR="00267BFB" w:rsidRDefault="00267BFB" w:rsidP="00267BFB">
      <w:pPr>
        <w:pStyle w:val="ListParagraph"/>
        <w:numPr>
          <w:ilvl w:val="0"/>
          <w:numId w:val="19"/>
        </w:numPr>
      </w:pPr>
      <w:r>
        <w:t>system functionality issue where the front-end portal did not update the back end of the system leading to incorrect data</w:t>
      </w:r>
    </w:p>
    <w:p w14:paraId="386D1532" w14:textId="09965382" w:rsidR="00267BFB" w:rsidRPr="00B625EA" w:rsidRDefault="00267BFB" w:rsidP="00267BFB">
      <w:pPr>
        <w:pStyle w:val="ListParagraph"/>
        <w:numPr>
          <w:ilvl w:val="0"/>
          <w:numId w:val="19"/>
        </w:numPr>
      </w:pPr>
      <w:r w:rsidRPr="00267BFB">
        <w:t xml:space="preserve">technical problems with the temp file path during payroll processing caused </w:t>
      </w:r>
      <w:r>
        <w:t>the run</w:t>
      </w:r>
      <w:r w:rsidRPr="00267BFB">
        <w:t xml:space="preserve"> to fail part way </w:t>
      </w:r>
      <w:r>
        <w:t>leading to some</w:t>
      </w:r>
      <w:r w:rsidRPr="00267BFB">
        <w:t xml:space="preserve"> pay advice be</w:t>
      </w:r>
      <w:r>
        <w:t>ing</w:t>
      </w:r>
      <w:r w:rsidRPr="00267BFB">
        <w:t xml:space="preserve"> uploaded to the incorrect self-service account</w:t>
      </w:r>
    </w:p>
    <w:p w14:paraId="4D028499" w14:textId="7A6161F2" w:rsidR="003A62E1" w:rsidRDefault="00A4119B" w:rsidP="00A6671C">
      <w:r w:rsidRPr="00553C23">
        <w:t xml:space="preserve">There were </w:t>
      </w:r>
      <w:r w:rsidR="00AD5095">
        <w:rPr>
          <w:b/>
          <w:bCs/>
        </w:rPr>
        <w:t>10</w:t>
      </w:r>
      <w:r w:rsidRPr="00553C23">
        <w:t xml:space="preserve"> notifications that nominated all three control areas: </w:t>
      </w:r>
      <w:r w:rsidRPr="00553C23">
        <w:rPr>
          <w:b/>
          <w:bCs/>
        </w:rPr>
        <w:t>people</w:t>
      </w:r>
      <w:r w:rsidRPr="00553C23">
        <w:t xml:space="preserve">, </w:t>
      </w:r>
      <w:r w:rsidRPr="00553C23">
        <w:rPr>
          <w:b/>
          <w:bCs/>
        </w:rPr>
        <w:t>process</w:t>
      </w:r>
      <w:r w:rsidRPr="00553C23">
        <w:t xml:space="preserve">, and </w:t>
      </w:r>
      <w:r w:rsidRPr="00553C23">
        <w:rPr>
          <w:b/>
          <w:bCs/>
        </w:rPr>
        <w:t>technology</w:t>
      </w:r>
      <w:r w:rsidRPr="00553C23">
        <w:t>.</w:t>
      </w:r>
      <w:r w:rsidR="004F23DB">
        <w:t xml:space="preserve"> </w:t>
      </w:r>
      <w:r w:rsidR="003A62E1">
        <w:t>Examples of instances</w:t>
      </w:r>
      <w:r w:rsidRPr="00553C23">
        <w:t xml:space="preserve"> when these three control areas were selected</w:t>
      </w:r>
      <w:r w:rsidR="003A62E1">
        <w:t xml:space="preserve"> include:</w:t>
      </w:r>
      <w:r w:rsidRPr="00553C23">
        <w:t xml:space="preserve"> </w:t>
      </w:r>
    </w:p>
    <w:p w14:paraId="0B020088" w14:textId="489C89B2" w:rsidR="003A62E1" w:rsidRDefault="00285557" w:rsidP="001E1FF8">
      <w:pPr>
        <w:pStyle w:val="ListParagraph"/>
        <w:numPr>
          <w:ilvl w:val="0"/>
          <w:numId w:val="22"/>
        </w:numPr>
      </w:pPr>
      <w:r>
        <w:t xml:space="preserve">letters sent to residents with the incorrect details because staff didn’t follow the process to cross check the extracted </w:t>
      </w:r>
      <w:r w:rsidRPr="00285557">
        <w:t xml:space="preserve">data set </w:t>
      </w:r>
      <w:r>
        <w:t>before the mailout</w:t>
      </w:r>
      <w:r w:rsidR="00FE1E52">
        <w:t xml:space="preserve"> </w:t>
      </w:r>
    </w:p>
    <w:p w14:paraId="49E5C52F" w14:textId="11C0068F" w:rsidR="00A6671C" w:rsidRPr="00553C23" w:rsidRDefault="00FE1E52" w:rsidP="002C2A7A">
      <w:pPr>
        <w:pStyle w:val="ListParagraph"/>
        <w:numPr>
          <w:ilvl w:val="0"/>
          <w:numId w:val="22"/>
        </w:numPr>
      </w:pPr>
      <w:r>
        <w:t>a system feature was altered (people) after system acceptance testing had occurred (process) and automatic reminder emails (technology) were sent to applicants with incorrect attachments</w:t>
      </w:r>
      <w:r w:rsidR="00A6671C" w:rsidRPr="00553C23">
        <w:br/>
      </w:r>
    </w:p>
    <w:p w14:paraId="5F49CE9E" w14:textId="64D2C2EC" w:rsidR="00A6671C" w:rsidRDefault="00A6671C" w:rsidP="00FA1B6A">
      <w:pPr>
        <w:pStyle w:val="Heading2"/>
      </w:pPr>
      <w:bookmarkStart w:id="3" w:name="_Hlk115940024"/>
      <w:r>
        <w:lastRenderedPageBreak/>
        <w:t>Threat actor(s)</w:t>
      </w:r>
      <w:bookmarkEnd w:id="3"/>
      <w:r>
        <w:t xml:space="preserve"> </w:t>
      </w:r>
      <w:r w:rsidRPr="002C6E03">
        <w:t>(</w:t>
      </w:r>
      <w:r w:rsidRPr="00F55D80">
        <w:t>Multiple options</w:t>
      </w:r>
      <w:r w:rsidRPr="002C6E03">
        <w:t xml:space="preserve"> can be selected)</w:t>
      </w:r>
    </w:p>
    <w:p w14:paraId="717EDE3A" w14:textId="2B205CF8" w:rsidR="00735D45" w:rsidRPr="00735D45" w:rsidRDefault="00735D45" w:rsidP="00735D45">
      <w:r>
        <w:rPr>
          <w:noProof/>
        </w:rPr>
        <w:drawing>
          <wp:inline distT="0" distB="0" distL="0" distR="0" wp14:anchorId="139B605A" wp14:editId="52ABB739">
            <wp:extent cx="3095469" cy="3200400"/>
            <wp:effectExtent l="0" t="0" r="3810" b="0"/>
            <wp:docPr id="107514497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6CAE2D" w14:textId="44ECFF9F" w:rsidR="00A4119B" w:rsidRDefault="00A4119B" w:rsidP="00AC47F1">
      <w:pPr>
        <w:pStyle w:val="Heading3"/>
      </w:pPr>
      <w:r>
        <w:t>Insights:</w:t>
      </w:r>
    </w:p>
    <w:p w14:paraId="37608944" w14:textId="12DB7CA8" w:rsidR="00B968B1" w:rsidRDefault="00B968B1" w:rsidP="00A6671C">
      <w:r w:rsidRPr="00B968B1">
        <w:t>The key causal factors of security incidents remain</w:t>
      </w:r>
      <w:r w:rsidR="000C1FBD">
        <w:t xml:space="preserve"> as</w:t>
      </w:r>
      <w:r w:rsidRPr="00B968B1">
        <w:t xml:space="preserve"> people, internal, and accidental.</w:t>
      </w:r>
    </w:p>
    <w:p w14:paraId="6BA869BA" w14:textId="204927C3" w:rsidR="00447EC9" w:rsidRDefault="00447EC9" w:rsidP="00A6671C">
      <w:proofErr w:type="gramStart"/>
      <w:r>
        <w:t>S</w:t>
      </w:r>
      <w:r w:rsidRPr="00447EC9">
        <w:t>imilar to</w:t>
      </w:r>
      <w:proofErr w:type="gramEnd"/>
      <w:r w:rsidRPr="00447EC9">
        <w:t xml:space="preserve"> the previous notification period</w:t>
      </w:r>
      <w:r>
        <w:t xml:space="preserve"> (</w:t>
      </w:r>
      <w:r w:rsidRPr="00447EC9">
        <w:rPr>
          <w:b/>
          <w:bCs/>
        </w:rPr>
        <w:t>84%</w:t>
      </w:r>
      <w:r>
        <w:t xml:space="preserve">), </w:t>
      </w:r>
      <w:r w:rsidR="008F71C8" w:rsidRPr="008F71C8">
        <w:rPr>
          <w:b/>
          <w:bCs/>
        </w:rPr>
        <w:t>8</w:t>
      </w:r>
      <w:r>
        <w:rPr>
          <w:b/>
          <w:bCs/>
        </w:rPr>
        <w:t>6</w:t>
      </w:r>
      <w:r w:rsidR="008F71C8" w:rsidRPr="008F71C8">
        <w:rPr>
          <w:b/>
          <w:bCs/>
        </w:rPr>
        <w:t>%</w:t>
      </w:r>
      <w:r w:rsidR="008F71C8">
        <w:t xml:space="preserve"> </w:t>
      </w:r>
      <w:r>
        <w:t>of incidents</w:t>
      </w:r>
      <w:r w:rsidR="00017E01">
        <w:t xml:space="preserve"> in this notification period</w:t>
      </w:r>
      <w:r>
        <w:t xml:space="preserve"> </w:t>
      </w:r>
      <w:r w:rsidR="009C6E4A">
        <w:t xml:space="preserve">were </w:t>
      </w:r>
      <w:r w:rsidR="00863F87" w:rsidRPr="00F33262">
        <w:t xml:space="preserve">caused by </w:t>
      </w:r>
      <w:r w:rsidR="00863F87" w:rsidRPr="00863F87">
        <w:rPr>
          <w:b/>
          <w:bCs/>
        </w:rPr>
        <w:t>internal</w:t>
      </w:r>
      <w:r w:rsidR="00863F87">
        <w:t xml:space="preserve"> staff</w:t>
      </w:r>
      <w:r>
        <w:t>.</w:t>
      </w:r>
    </w:p>
    <w:p w14:paraId="0F31EFDD" w14:textId="41B71767" w:rsidR="000C077E" w:rsidRDefault="00181F0D" w:rsidP="000174F8">
      <w:r>
        <w:t>T</w:t>
      </w:r>
      <w:r w:rsidR="000174F8" w:rsidRPr="000174F8">
        <w:t xml:space="preserve">he number of notifications </w:t>
      </w:r>
      <w:r>
        <w:t>selecting</w:t>
      </w:r>
      <w:r w:rsidR="000174F8" w:rsidRPr="000174F8">
        <w:t xml:space="preserve"> </w:t>
      </w:r>
      <w:r w:rsidR="000174F8" w:rsidRPr="000174F8">
        <w:rPr>
          <w:b/>
          <w:bCs/>
        </w:rPr>
        <w:t>authorised third parties</w:t>
      </w:r>
      <w:r w:rsidR="000174F8" w:rsidRPr="000174F8">
        <w:t xml:space="preserve"> as the cause of the incident (</w:t>
      </w:r>
      <w:r w:rsidR="00095443">
        <w:rPr>
          <w:b/>
          <w:bCs/>
        </w:rPr>
        <w:t>21</w:t>
      </w:r>
      <w:r w:rsidR="00095443" w:rsidRPr="00464049">
        <w:t>)</w:t>
      </w:r>
      <w:r w:rsidR="000174F8" w:rsidRPr="00464049">
        <w:t xml:space="preserve"> </w:t>
      </w:r>
      <w:r w:rsidR="00095443">
        <w:t>decreased</w:t>
      </w:r>
      <w:r>
        <w:t xml:space="preserve"> </w:t>
      </w:r>
      <w:r w:rsidR="000174F8" w:rsidRPr="000174F8">
        <w:t>compared to the last period</w:t>
      </w:r>
      <w:r w:rsidR="00095443">
        <w:t xml:space="preserve"> </w:t>
      </w:r>
      <w:r w:rsidR="00464049">
        <w:t>(</w:t>
      </w:r>
      <w:r w:rsidR="006B4ED3" w:rsidRPr="00F62CA8">
        <w:rPr>
          <w:b/>
          <w:bCs/>
        </w:rPr>
        <w:t>30</w:t>
      </w:r>
      <w:r w:rsidR="00464049" w:rsidRPr="00464049">
        <w:t>),</w:t>
      </w:r>
      <w:r w:rsidR="006B4ED3">
        <w:t xml:space="preserve"> but</w:t>
      </w:r>
      <w:r w:rsidR="00095443">
        <w:t xml:space="preserve"> </w:t>
      </w:r>
      <w:r w:rsidR="00464049">
        <w:t xml:space="preserve">this </w:t>
      </w:r>
      <w:r w:rsidR="00095443">
        <w:t xml:space="preserve">was similar </w:t>
      </w:r>
      <w:r w:rsidR="00464049">
        <w:t>(</w:t>
      </w:r>
      <w:r w:rsidR="00464049" w:rsidRPr="00464049">
        <w:rPr>
          <w:b/>
          <w:bCs/>
        </w:rPr>
        <w:t>18</w:t>
      </w:r>
      <w:r w:rsidR="00464049">
        <w:t xml:space="preserve">) </w:t>
      </w:r>
      <w:r w:rsidR="00F62CA8">
        <w:t>to</w:t>
      </w:r>
      <w:r w:rsidR="00095443">
        <w:t xml:space="preserve"> the same time last year</w:t>
      </w:r>
      <w:r w:rsidR="000174F8" w:rsidRPr="005B2CF1">
        <w:t>.</w:t>
      </w:r>
      <w:r w:rsidR="00300FC1">
        <w:t xml:space="preserve"> </w:t>
      </w:r>
      <w:r w:rsidR="00E406F8">
        <w:t>I</w:t>
      </w:r>
      <w:r w:rsidR="00193EE3">
        <w:t xml:space="preserve">ncidents affecting </w:t>
      </w:r>
      <w:r w:rsidR="006B4ED3" w:rsidRPr="00193EE3">
        <w:t>third parties providing services</w:t>
      </w:r>
      <w:r w:rsidR="00193EE3">
        <w:t xml:space="preserve"> </w:t>
      </w:r>
      <w:r w:rsidR="006B4ED3" w:rsidRPr="00193EE3">
        <w:t xml:space="preserve">to </w:t>
      </w:r>
      <w:r w:rsidR="000C077E" w:rsidRPr="00193EE3">
        <w:t>multiple</w:t>
      </w:r>
      <w:r w:rsidR="006B4ED3" w:rsidRPr="00193EE3">
        <w:t xml:space="preserve"> </w:t>
      </w:r>
      <w:r w:rsidR="00F605D7">
        <w:t xml:space="preserve">Victorian government </w:t>
      </w:r>
      <w:r w:rsidR="000C077E" w:rsidRPr="00193EE3">
        <w:t>organisations</w:t>
      </w:r>
      <w:r w:rsidR="00F605D7">
        <w:t xml:space="preserve"> include</w:t>
      </w:r>
      <w:r w:rsidR="000C077E" w:rsidRPr="00193EE3">
        <w:t>:</w:t>
      </w:r>
    </w:p>
    <w:p w14:paraId="4988B027" w14:textId="413B08DC" w:rsidR="000C077E" w:rsidRDefault="000C077E" w:rsidP="003C0A8D">
      <w:pPr>
        <w:pStyle w:val="ListParagraph"/>
        <w:numPr>
          <w:ilvl w:val="0"/>
          <w:numId w:val="20"/>
        </w:numPr>
      </w:pPr>
      <w:hyperlink r:id="rId19" w:history="1">
        <w:r w:rsidRPr="009C6E4A">
          <w:rPr>
            <w:rStyle w:val="Hyperlink"/>
          </w:rPr>
          <w:t>OracleCMS</w:t>
        </w:r>
      </w:hyperlink>
      <w:r>
        <w:t xml:space="preserve"> phone call service provider</w:t>
      </w:r>
      <w:r w:rsidR="003A62E1">
        <w:t>.</w:t>
      </w:r>
    </w:p>
    <w:p w14:paraId="5B29D023" w14:textId="454CCB79" w:rsidR="000C077E" w:rsidRDefault="000C077E" w:rsidP="003C0A8D">
      <w:pPr>
        <w:pStyle w:val="ListParagraph"/>
        <w:numPr>
          <w:ilvl w:val="0"/>
          <w:numId w:val="20"/>
        </w:numPr>
      </w:pPr>
      <w:hyperlink r:id="rId20" w:history="1">
        <w:proofErr w:type="spellStart"/>
        <w:r w:rsidRPr="000C077E">
          <w:rPr>
            <w:rStyle w:val="Hyperlink"/>
          </w:rPr>
          <w:t>ZircoDATA</w:t>
        </w:r>
        <w:proofErr w:type="spellEnd"/>
      </w:hyperlink>
      <w:r>
        <w:t xml:space="preserve"> records and information management service</w:t>
      </w:r>
      <w:r w:rsidR="003A62E1">
        <w:t>.</w:t>
      </w:r>
    </w:p>
    <w:p w14:paraId="01C8E54F" w14:textId="5234FFA9" w:rsidR="007238AF" w:rsidRDefault="007238AF" w:rsidP="003C0A8D">
      <w:pPr>
        <w:pStyle w:val="ListParagraph"/>
        <w:numPr>
          <w:ilvl w:val="0"/>
          <w:numId w:val="20"/>
        </w:numPr>
      </w:pPr>
      <w:hyperlink r:id="rId21" w:history="1">
        <w:r w:rsidRPr="007238AF">
          <w:rPr>
            <w:rStyle w:val="Hyperlink"/>
          </w:rPr>
          <w:t>Herron Todd White</w:t>
        </w:r>
      </w:hyperlink>
      <w:r>
        <w:t xml:space="preserve"> property valuation service</w:t>
      </w:r>
      <w:r w:rsidR="003A62E1">
        <w:t>.</w:t>
      </w:r>
    </w:p>
    <w:p w14:paraId="47963593" w14:textId="33C70EE9" w:rsidR="00893A64" w:rsidRPr="000E399A" w:rsidRDefault="00893A64" w:rsidP="00893A64">
      <w:pPr>
        <w:ind w:left="50"/>
      </w:pPr>
      <w:r>
        <w:t xml:space="preserve">This period also saw incidents affecting organisations due to a </w:t>
      </w:r>
      <w:proofErr w:type="gramStart"/>
      <w:r>
        <w:t>fourth-party</w:t>
      </w:r>
      <w:proofErr w:type="gramEnd"/>
      <w:r>
        <w:t xml:space="preserve"> instead of third-party compromise. For example, an organisation’s authorised third party had their managed service provider compromised</w:t>
      </w:r>
      <w:r w:rsidR="003B3439">
        <w:t xml:space="preserve"> (e.g. </w:t>
      </w:r>
      <w:hyperlink r:id="rId22" w:history="1">
        <w:r w:rsidR="003B3439" w:rsidRPr="003B3439">
          <w:rPr>
            <w:rStyle w:val="Hyperlink"/>
          </w:rPr>
          <w:t>Ticketek</w:t>
        </w:r>
      </w:hyperlink>
      <w:r w:rsidR="003B3439">
        <w:t>)</w:t>
      </w:r>
      <w:r>
        <w:t>, and an organisation’s contracted service provider had their subcontractor become victim of a ransomware.</w:t>
      </w:r>
    </w:p>
    <w:p w14:paraId="470CE905" w14:textId="700E9136" w:rsidR="000C077E" w:rsidRDefault="006B4ED3" w:rsidP="000C077E">
      <w:pPr>
        <w:ind w:left="50"/>
      </w:pPr>
      <w:r w:rsidRPr="006B4ED3">
        <w:t xml:space="preserve">There was a slight increase in notifications selecting </w:t>
      </w:r>
      <w:r w:rsidRPr="000C077E">
        <w:rPr>
          <w:b/>
          <w:bCs/>
        </w:rPr>
        <w:t>other external</w:t>
      </w:r>
      <w:r w:rsidRPr="006B4ED3">
        <w:t xml:space="preserve"> threat actors </w:t>
      </w:r>
      <w:r w:rsidRPr="000C077E">
        <w:rPr>
          <w:b/>
          <w:bCs/>
        </w:rPr>
        <w:t>28,</w:t>
      </w:r>
      <w:r w:rsidRPr="006B4ED3">
        <w:t xml:space="preserve"> </w:t>
      </w:r>
      <w:r>
        <w:t xml:space="preserve">compared </w:t>
      </w:r>
      <w:r w:rsidRPr="006B4ED3">
        <w:t xml:space="preserve">to </w:t>
      </w:r>
      <w:r w:rsidRPr="000C077E">
        <w:rPr>
          <w:b/>
          <w:bCs/>
        </w:rPr>
        <w:t>20</w:t>
      </w:r>
      <w:r w:rsidRPr="006B4ED3">
        <w:t xml:space="preserve"> in </w:t>
      </w:r>
      <w:r>
        <w:t>the previous</w:t>
      </w:r>
      <w:r w:rsidRPr="006B4ED3">
        <w:t xml:space="preserve"> notification period.</w:t>
      </w:r>
      <w:r>
        <w:t xml:space="preserve"> Examples of incidents </w:t>
      </w:r>
      <w:r w:rsidR="000C077E">
        <w:t xml:space="preserve">include: </w:t>
      </w:r>
    </w:p>
    <w:p w14:paraId="38840DC1" w14:textId="1E4C5D50" w:rsidR="000C077E" w:rsidRDefault="000C077E" w:rsidP="000C077E">
      <w:pPr>
        <w:pStyle w:val="ListParagraph"/>
        <w:numPr>
          <w:ilvl w:val="0"/>
          <w:numId w:val="20"/>
        </w:numPr>
      </w:pPr>
      <w:r>
        <w:lastRenderedPageBreak/>
        <w:t>hackers installing ransomware to encrypt systems</w:t>
      </w:r>
    </w:p>
    <w:p w14:paraId="6CDFB5C1" w14:textId="1342F850" w:rsidR="006B4ED3" w:rsidRDefault="000C077E" w:rsidP="000C077E">
      <w:pPr>
        <w:pStyle w:val="ListParagraph"/>
        <w:numPr>
          <w:ilvl w:val="0"/>
          <w:numId w:val="20"/>
        </w:numPr>
      </w:pPr>
      <w:r>
        <w:t>thief stealing a laptop</w:t>
      </w:r>
      <w:r w:rsidR="006B4ED3">
        <w:t xml:space="preserve"> </w:t>
      </w:r>
    </w:p>
    <w:p w14:paraId="2D559819" w14:textId="48419A49" w:rsidR="000C077E" w:rsidRPr="000174F8" w:rsidRDefault="000C077E" w:rsidP="000C077E">
      <w:pPr>
        <w:pStyle w:val="ListParagraph"/>
        <w:numPr>
          <w:ilvl w:val="0"/>
          <w:numId w:val="20"/>
        </w:numPr>
      </w:pPr>
      <w:r>
        <w:t xml:space="preserve">an ex-employee </w:t>
      </w:r>
      <w:r w:rsidR="008043D7" w:rsidRPr="008043D7">
        <w:t xml:space="preserve">using personal information they gained </w:t>
      </w:r>
      <w:proofErr w:type="gramStart"/>
      <w:r w:rsidR="008043D7" w:rsidRPr="008043D7">
        <w:t>during the course of</w:t>
      </w:r>
      <w:proofErr w:type="gramEnd"/>
      <w:r w:rsidR="008043D7" w:rsidRPr="008043D7">
        <w:t xml:space="preserve"> their employment</w:t>
      </w:r>
      <w:r w:rsidR="008043D7">
        <w:t xml:space="preserve"> to contact residents after they left</w:t>
      </w:r>
    </w:p>
    <w:p w14:paraId="63947820" w14:textId="19D8DF57" w:rsidR="00A6671C" w:rsidRDefault="00A6671C" w:rsidP="00A6671C">
      <w:r w:rsidRPr="00103F80">
        <w:t xml:space="preserve">There </w:t>
      </w:r>
      <w:r w:rsidRPr="000E399A">
        <w:t xml:space="preserve">were </w:t>
      </w:r>
      <w:r w:rsidR="00181F0D" w:rsidRPr="000E399A">
        <w:rPr>
          <w:b/>
          <w:bCs/>
        </w:rPr>
        <w:t>1</w:t>
      </w:r>
      <w:r w:rsidR="007238AF" w:rsidRPr="000E399A">
        <w:rPr>
          <w:b/>
          <w:bCs/>
        </w:rPr>
        <w:t>2</w:t>
      </w:r>
      <w:r w:rsidRPr="000E399A">
        <w:t xml:space="preserve"> notifications where the threat actor could not be ascertained.</w:t>
      </w:r>
    </w:p>
    <w:p w14:paraId="023B39AC" w14:textId="76D27D70" w:rsidR="008A7F13" w:rsidRDefault="00AF36C2" w:rsidP="00AC47F1">
      <w:pPr>
        <w:rPr>
          <w:rFonts w:eastAsiaTheme="majorEastAsia" w:cstheme="majorBidi"/>
          <w:color w:val="430098" w:themeColor="text2"/>
          <w:sz w:val="30"/>
          <w:szCs w:val="26"/>
        </w:rPr>
      </w:pPr>
      <w:r w:rsidRPr="000E399A">
        <w:t>A</w:t>
      </w:r>
      <w:r w:rsidR="00A6671C" w:rsidRPr="000E399A">
        <w:t xml:space="preserve">lthough </w:t>
      </w:r>
      <w:r w:rsidR="003A62E1">
        <w:t>it is un</w:t>
      </w:r>
      <w:r w:rsidR="00A6671C" w:rsidRPr="000E399A">
        <w:t xml:space="preserve">common for more than one threat actor to be involved in an incident, there were </w:t>
      </w:r>
      <w:r w:rsidR="003615F6" w:rsidRPr="000E399A">
        <w:t>five</w:t>
      </w:r>
      <w:r w:rsidR="00A6671C" w:rsidRPr="000E399A">
        <w:t xml:space="preserve"> (</w:t>
      </w:r>
      <w:r w:rsidR="003615F6" w:rsidRPr="000E399A">
        <w:rPr>
          <w:b/>
          <w:bCs/>
        </w:rPr>
        <w:t>5</w:t>
      </w:r>
      <w:r w:rsidR="00A6671C" w:rsidRPr="000E399A">
        <w:t xml:space="preserve">) </w:t>
      </w:r>
      <w:r w:rsidR="00D408CC" w:rsidRPr="000E399A">
        <w:t xml:space="preserve">notifications </w:t>
      </w:r>
      <w:r w:rsidR="00A6671C" w:rsidRPr="000E399A">
        <w:t xml:space="preserve">where </w:t>
      </w:r>
      <w:r w:rsidRPr="000E399A">
        <w:t xml:space="preserve">multiple threat actors were selected. For example, </w:t>
      </w:r>
      <w:r w:rsidR="00A6671C" w:rsidRPr="000E399A">
        <w:t xml:space="preserve">both </w:t>
      </w:r>
      <w:r w:rsidR="00A6671C" w:rsidRPr="000E399A">
        <w:rPr>
          <w:b/>
          <w:bCs/>
        </w:rPr>
        <w:t>internal</w:t>
      </w:r>
      <w:r w:rsidR="00A6671C" w:rsidRPr="000E399A">
        <w:t xml:space="preserve"> and </w:t>
      </w:r>
      <w:r w:rsidR="00103F80" w:rsidRPr="000E399A">
        <w:rPr>
          <w:b/>
          <w:bCs/>
        </w:rPr>
        <w:t>other external</w:t>
      </w:r>
      <w:r w:rsidR="00A6671C" w:rsidRPr="000E399A">
        <w:t xml:space="preserve"> were selected</w:t>
      </w:r>
      <w:r w:rsidRPr="000E399A">
        <w:t xml:space="preserve"> </w:t>
      </w:r>
      <w:r w:rsidR="003615F6" w:rsidRPr="000E399A">
        <w:t>whe</w:t>
      </w:r>
      <w:r w:rsidR="00103F80" w:rsidRPr="000E399A">
        <w:t>n an external threat actor used social engineering to get a staff member to change the contact details on another customer’s account</w:t>
      </w:r>
      <w:r w:rsidR="000E399A" w:rsidRPr="000E399A">
        <w:t xml:space="preserve"> so the</w:t>
      </w:r>
      <w:r w:rsidR="00D61DEA">
        <w:t xml:space="preserve"> threat actor</w:t>
      </w:r>
      <w:r w:rsidR="000E399A" w:rsidRPr="000E399A">
        <w:t xml:space="preserve"> could gain access</w:t>
      </w:r>
      <w:r w:rsidR="003615F6" w:rsidRPr="000E399A">
        <w:t>.</w:t>
      </w:r>
      <w:r w:rsidR="00F451D8" w:rsidRPr="000E399A">
        <w:t xml:space="preserve"> Another example is where an </w:t>
      </w:r>
      <w:r w:rsidR="000E399A" w:rsidRPr="000E399A">
        <w:t>organisation was affected by the OracleCMS incident and has subsequently had a secondary incident during the mailout to notify affected individuals.</w:t>
      </w:r>
    </w:p>
    <w:p w14:paraId="3ABDD28F" w14:textId="254C7BEF" w:rsidR="00A6671C" w:rsidRDefault="0075052C" w:rsidP="00FA1B6A">
      <w:pPr>
        <w:pStyle w:val="Heading2"/>
      </w:pPr>
      <w:r w:rsidRPr="008A7F13">
        <w:t>T</w:t>
      </w:r>
      <w:r w:rsidR="00A6671C" w:rsidRPr="008A7F13">
        <w:t>hreat type(s) (Multiple options can be selected)</w:t>
      </w:r>
    </w:p>
    <w:p w14:paraId="739B86CB" w14:textId="308F0067" w:rsidR="00EA2D06" w:rsidRPr="00EA2D06" w:rsidRDefault="00EA2D06" w:rsidP="00EA2D06">
      <w:r>
        <w:rPr>
          <w:noProof/>
        </w:rPr>
        <w:drawing>
          <wp:inline distT="0" distB="0" distL="0" distR="0" wp14:anchorId="790F2B6F" wp14:editId="7636BF88">
            <wp:extent cx="4017364" cy="3200400"/>
            <wp:effectExtent l="0" t="0" r="0" b="0"/>
            <wp:docPr id="9938476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2D34D11" w14:textId="206D76EC" w:rsidR="00B968B1" w:rsidRPr="00AD47C6" w:rsidRDefault="00B968B1" w:rsidP="00AC47F1">
      <w:pPr>
        <w:pStyle w:val="Heading3"/>
      </w:pPr>
      <w:r w:rsidRPr="00AD47C6">
        <w:t>Insights:</w:t>
      </w:r>
    </w:p>
    <w:p w14:paraId="26950F78" w14:textId="57FE25C6" w:rsidR="00B968B1" w:rsidRDefault="00B968B1" w:rsidP="00A6671C">
      <w:r w:rsidRPr="00B968B1">
        <w:t>The key causal factors of security incidents remain</w:t>
      </w:r>
      <w:r w:rsidR="00F1284B">
        <w:t xml:space="preserve"> as</w:t>
      </w:r>
      <w:r w:rsidRPr="00B968B1">
        <w:t xml:space="preserve"> </w:t>
      </w:r>
      <w:r w:rsidRPr="001077BF">
        <w:rPr>
          <w:b/>
          <w:bCs/>
        </w:rPr>
        <w:t>people</w:t>
      </w:r>
      <w:r w:rsidRPr="00B968B1">
        <w:t xml:space="preserve">, </w:t>
      </w:r>
      <w:r w:rsidRPr="001077BF">
        <w:rPr>
          <w:b/>
          <w:bCs/>
        </w:rPr>
        <w:t>internal</w:t>
      </w:r>
      <w:r w:rsidRPr="00B968B1">
        <w:t xml:space="preserve">, and </w:t>
      </w:r>
      <w:r w:rsidRPr="001077BF">
        <w:rPr>
          <w:b/>
          <w:bCs/>
        </w:rPr>
        <w:t>accidental</w:t>
      </w:r>
      <w:r w:rsidRPr="00B968B1">
        <w:t>.</w:t>
      </w:r>
    </w:p>
    <w:p w14:paraId="1D660A4C" w14:textId="081621CE" w:rsidR="00A6671C" w:rsidRPr="002761DC" w:rsidRDefault="008C6825" w:rsidP="00A6671C">
      <w:r>
        <w:t>Like</w:t>
      </w:r>
      <w:r w:rsidR="002761DC" w:rsidRPr="002761DC">
        <w:t xml:space="preserve"> previous </w:t>
      </w:r>
      <w:r w:rsidR="00CD1EE9">
        <w:t>notification</w:t>
      </w:r>
      <w:r w:rsidR="002761DC" w:rsidRPr="002761DC">
        <w:t xml:space="preserve"> periods, most notifications (</w:t>
      </w:r>
      <w:r w:rsidR="002761DC" w:rsidRPr="002761DC">
        <w:rPr>
          <w:b/>
          <w:bCs/>
        </w:rPr>
        <w:t>8</w:t>
      </w:r>
      <w:r>
        <w:rPr>
          <w:b/>
          <w:bCs/>
        </w:rPr>
        <w:t>8</w:t>
      </w:r>
      <w:r w:rsidR="002761DC" w:rsidRPr="002761DC">
        <w:rPr>
          <w:b/>
          <w:bCs/>
        </w:rPr>
        <w:t>%</w:t>
      </w:r>
      <w:r w:rsidR="002761DC" w:rsidRPr="002761DC">
        <w:t xml:space="preserve">) </w:t>
      </w:r>
      <w:r w:rsidR="00A6671C" w:rsidRPr="002761DC">
        <w:t xml:space="preserve">related to </w:t>
      </w:r>
      <w:r w:rsidR="00A6671C" w:rsidRPr="002761DC">
        <w:rPr>
          <w:b/>
          <w:bCs/>
        </w:rPr>
        <w:t>accidental</w:t>
      </w:r>
      <w:r w:rsidR="00A6671C" w:rsidRPr="002761DC">
        <w:t xml:space="preserve"> actions</w:t>
      </w:r>
      <w:r w:rsidR="004D1683">
        <w:t xml:space="preserve"> (</w:t>
      </w:r>
      <w:r>
        <w:rPr>
          <w:b/>
          <w:bCs/>
        </w:rPr>
        <w:t>337</w:t>
      </w:r>
      <w:r w:rsidR="004D1683">
        <w:t>)</w:t>
      </w:r>
      <w:r w:rsidR="00A6671C" w:rsidRPr="002761DC">
        <w:t xml:space="preserve"> and </w:t>
      </w:r>
      <w:r w:rsidR="00A6671C" w:rsidRPr="002761DC">
        <w:rPr>
          <w:b/>
          <w:bCs/>
        </w:rPr>
        <w:t>1</w:t>
      </w:r>
      <w:r w:rsidR="00CD1EE9">
        <w:rPr>
          <w:b/>
          <w:bCs/>
        </w:rPr>
        <w:t>1</w:t>
      </w:r>
      <w:r w:rsidR="00A6671C" w:rsidRPr="002761DC">
        <w:rPr>
          <w:b/>
          <w:bCs/>
        </w:rPr>
        <w:t>%</w:t>
      </w:r>
      <w:r w:rsidR="00A6671C" w:rsidRPr="002761DC">
        <w:t xml:space="preserve"> </w:t>
      </w:r>
      <w:r w:rsidR="00A6671C" w:rsidRPr="002761DC">
        <w:rPr>
          <w:b/>
          <w:bCs/>
        </w:rPr>
        <w:t>intentional</w:t>
      </w:r>
      <w:r w:rsidR="00A6671C" w:rsidRPr="002761DC">
        <w:t xml:space="preserve"> actions</w:t>
      </w:r>
      <w:r w:rsidR="004D1683">
        <w:t xml:space="preserve"> (</w:t>
      </w:r>
      <w:r>
        <w:rPr>
          <w:b/>
          <w:bCs/>
        </w:rPr>
        <w:t>41</w:t>
      </w:r>
      <w:r w:rsidR="004D1683">
        <w:t>)</w:t>
      </w:r>
      <w:r w:rsidR="00A6671C" w:rsidRPr="002761DC">
        <w:t xml:space="preserve">. </w:t>
      </w:r>
    </w:p>
    <w:p w14:paraId="6EA5CBAA" w14:textId="118BB9F4" w:rsidR="002761DC" w:rsidRDefault="00CD1EE9" w:rsidP="002761DC">
      <w:r>
        <w:t>Once again, t</w:t>
      </w:r>
      <w:r w:rsidR="00A6671C" w:rsidRPr="002761DC">
        <w:t>here w</w:t>
      </w:r>
      <w:r w:rsidR="002761DC" w:rsidRPr="002761DC">
        <w:t>ere</w:t>
      </w:r>
      <w:r w:rsidR="00A6671C" w:rsidRPr="002761DC">
        <w:t xml:space="preserve"> </w:t>
      </w:r>
      <w:r w:rsidR="002761DC" w:rsidRPr="002761DC">
        <w:t>no</w:t>
      </w:r>
      <w:r w:rsidR="00A6671C" w:rsidRPr="002761DC">
        <w:t xml:space="preserve"> notification</w:t>
      </w:r>
      <w:r w:rsidR="002761DC" w:rsidRPr="002761DC">
        <w:t>s</w:t>
      </w:r>
      <w:r w:rsidR="00A6671C" w:rsidRPr="002761DC">
        <w:t xml:space="preserve"> </w:t>
      </w:r>
      <w:r w:rsidR="002761DC" w:rsidRPr="002761DC">
        <w:t xml:space="preserve">in this period that were due to </w:t>
      </w:r>
      <w:r w:rsidR="00A6671C" w:rsidRPr="002761DC">
        <w:rPr>
          <w:b/>
          <w:bCs/>
        </w:rPr>
        <w:t>natural</w:t>
      </w:r>
      <w:r w:rsidR="00A6671C" w:rsidRPr="002761DC">
        <w:t xml:space="preserve"> </w:t>
      </w:r>
      <w:r w:rsidR="002761DC" w:rsidRPr="002761DC">
        <w:t>causes.</w:t>
      </w:r>
    </w:p>
    <w:p w14:paraId="153D38F2" w14:textId="3B81EC95" w:rsidR="00035919" w:rsidRDefault="00035919" w:rsidP="002761DC">
      <w:r>
        <w:lastRenderedPageBreak/>
        <w:t xml:space="preserve">In terms of the spread of notifications selecting </w:t>
      </w:r>
      <w:r w:rsidRPr="00035919">
        <w:rPr>
          <w:b/>
          <w:bCs/>
        </w:rPr>
        <w:t>intentional/malicious</w:t>
      </w:r>
      <w:r>
        <w:t>, half of them were caused by external threat actors and the other half were internal staff. Although these incidents caused by internal staff were intentional actions, they were not always malicious and most of the time were either due to not knowing the correct process or negligence. For example:</w:t>
      </w:r>
    </w:p>
    <w:p w14:paraId="6741C823" w14:textId="29E6E3FD" w:rsidR="00035919" w:rsidRDefault="00035919" w:rsidP="00035919">
      <w:pPr>
        <w:pStyle w:val="ListParagraph"/>
        <w:numPr>
          <w:ilvl w:val="0"/>
          <w:numId w:val="21"/>
        </w:numPr>
      </w:pPr>
      <w:r>
        <w:t xml:space="preserve">sending </w:t>
      </w:r>
      <w:r w:rsidR="00DB1BE4">
        <w:t>public sector</w:t>
      </w:r>
      <w:r>
        <w:t xml:space="preserve"> information to a personal email address to work on from home computer</w:t>
      </w:r>
    </w:p>
    <w:p w14:paraId="32A443D0" w14:textId="19C5356F" w:rsidR="00035919" w:rsidRDefault="00DB1BE4" w:rsidP="00035919">
      <w:pPr>
        <w:pStyle w:val="ListParagraph"/>
        <w:numPr>
          <w:ilvl w:val="0"/>
          <w:numId w:val="21"/>
        </w:numPr>
      </w:pPr>
      <w:r w:rsidRPr="00DB1BE4">
        <w:t xml:space="preserve">sending </w:t>
      </w:r>
      <w:r>
        <w:t>public sector</w:t>
      </w:r>
      <w:r w:rsidRPr="00DB1BE4">
        <w:t xml:space="preserve"> information to a personal email address </w:t>
      </w:r>
      <w:r>
        <w:t>for recordkeeping</w:t>
      </w:r>
    </w:p>
    <w:p w14:paraId="4CAB994B" w14:textId="3D9F929B" w:rsidR="00DB1BE4" w:rsidRDefault="00DB1BE4" w:rsidP="00035919">
      <w:pPr>
        <w:pStyle w:val="ListParagraph"/>
        <w:numPr>
          <w:ilvl w:val="0"/>
          <w:numId w:val="21"/>
        </w:numPr>
      </w:pPr>
      <w:r>
        <w:t>inappropriate system access without legitimate business need to improve skills in using the system</w:t>
      </w:r>
    </w:p>
    <w:p w14:paraId="51C6EB43" w14:textId="2DC80F63" w:rsidR="00DB1BE4" w:rsidRDefault="00DB1BE4" w:rsidP="00035919">
      <w:pPr>
        <w:pStyle w:val="ListParagraph"/>
        <w:numPr>
          <w:ilvl w:val="0"/>
          <w:numId w:val="21"/>
        </w:numPr>
      </w:pPr>
      <w:r>
        <w:t>disclosure of public sector information to partner in social setting</w:t>
      </w:r>
    </w:p>
    <w:p w14:paraId="31092C4E" w14:textId="6F0322F4" w:rsidR="00DB1BE4" w:rsidRPr="002761DC" w:rsidRDefault="00DB1BE4" w:rsidP="00035919">
      <w:pPr>
        <w:pStyle w:val="ListParagraph"/>
        <w:numPr>
          <w:ilvl w:val="0"/>
          <w:numId w:val="21"/>
        </w:numPr>
      </w:pPr>
      <w:r>
        <w:t>inappropriate system access to gain personal information of customer to request connection on social media</w:t>
      </w:r>
    </w:p>
    <w:p w14:paraId="5561C0A8" w14:textId="060FB467" w:rsidR="00F55C10" w:rsidRPr="00775E79" w:rsidRDefault="00F55C10" w:rsidP="00F55C10">
      <w:r w:rsidRPr="00F55C10">
        <w:t xml:space="preserve">There was a decrease in the number of notifications where the threat </w:t>
      </w:r>
      <w:r>
        <w:t>type</w:t>
      </w:r>
      <w:r w:rsidRPr="00F55C10">
        <w:t xml:space="preserve"> was </w:t>
      </w:r>
      <w:r w:rsidRPr="00F55C10">
        <w:rPr>
          <w:b/>
          <w:bCs/>
        </w:rPr>
        <w:t>unknown</w:t>
      </w:r>
      <w:r w:rsidRPr="00F55C10">
        <w:t xml:space="preserve"> (</w:t>
      </w:r>
      <w:r w:rsidRPr="00F55C10">
        <w:rPr>
          <w:b/>
          <w:bCs/>
        </w:rPr>
        <w:t>7</w:t>
      </w:r>
      <w:r w:rsidRPr="00F55C10">
        <w:t xml:space="preserve">) compared to the last notification period of </w:t>
      </w:r>
      <w:r w:rsidRPr="00F55C10">
        <w:rPr>
          <w:b/>
          <w:bCs/>
        </w:rPr>
        <w:t>13</w:t>
      </w:r>
      <w:r>
        <w:t xml:space="preserve">. An example relates to being unable to ascertain if it was accidental, malicious or natural events that led to a telecommunication’s provider outage where phone and electronic monitoring services were unavailable. </w:t>
      </w:r>
    </w:p>
    <w:p w14:paraId="3F187B0F" w14:textId="77777777" w:rsidR="00A6671C" w:rsidRPr="002761DC" w:rsidRDefault="00A6671C" w:rsidP="00A6671C">
      <w:r w:rsidRPr="002761DC">
        <w:t xml:space="preserve">Although multiple options can be selected for this field, there is usually one threat type associated with each incident. </w:t>
      </w:r>
    </w:p>
    <w:p w14:paraId="2D2B4CA5" w14:textId="77777777" w:rsidR="00D330FB" w:rsidRDefault="00A6671C" w:rsidP="00F55C10">
      <w:r w:rsidRPr="00A5293B">
        <w:t xml:space="preserve">There were </w:t>
      </w:r>
      <w:r w:rsidR="008C6825">
        <w:t>seven</w:t>
      </w:r>
      <w:r w:rsidR="002761DC" w:rsidRPr="00A5293B">
        <w:t xml:space="preserve"> (</w:t>
      </w:r>
      <w:r w:rsidR="008C6825">
        <w:rPr>
          <w:b/>
          <w:bCs/>
        </w:rPr>
        <w:t>7</w:t>
      </w:r>
      <w:r w:rsidR="002761DC" w:rsidRPr="00A5293B">
        <w:t>)</w:t>
      </w:r>
      <w:r w:rsidRPr="00A5293B">
        <w:t xml:space="preserve"> occurrences where more than one threat type was selected. For example, </w:t>
      </w:r>
      <w:r w:rsidR="008C6825">
        <w:rPr>
          <w:b/>
          <w:bCs/>
        </w:rPr>
        <w:t>malicious</w:t>
      </w:r>
      <w:r w:rsidR="00CD1EE9">
        <w:t xml:space="preserve"> and </w:t>
      </w:r>
      <w:r w:rsidR="00CD1EE9" w:rsidRPr="00CD1EE9">
        <w:rPr>
          <w:b/>
          <w:bCs/>
        </w:rPr>
        <w:t>failure</w:t>
      </w:r>
      <w:r w:rsidR="00CD1EE9">
        <w:t xml:space="preserve"> was selected </w:t>
      </w:r>
      <w:r w:rsidR="008C6825">
        <w:t xml:space="preserve">when </w:t>
      </w:r>
      <w:r w:rsidR="00B87EE0">
        <w:t xml:space="preserve">staff </w:t>
      </w:r>
      <w:r w:rsidR="008C6825">
        <w:t>made changes to customer records failing to follow the evidence of identity process leading to the threat actor gaining access to customer accounts</w:t>
      </w:r>
      <w:r w:rsidRPr="00C57DCA">
        <w:t xml:space="preserve">. </w:t>
      </w:r>
      <w:r w:rsidR="00780716">
        <w:t>In a</w:t>
      </w:r>
      <w:r w:rsidR="00B87EE0">
        <w:t>nother example</w:t>
      </w:r>
      <w:r w:rsidR="00780716">
        <w:t xml:space="preserve">, </w:t>
      </w:r>
      <w:r w:rsidR="00780716" w:rsidRPr="00780716">
        <w:rPr>
          <w:b/>
          <w:bCs/>
        </w:rPr>
        <w:t>intentional</w:t>
      </w:r>
      <w:r w:rsidR="00780716">
        <w:t xml:space="preserve"> and </w:t>
      </w:r>
      <w:r w:rsidR="00780716" w:rsidRPr="00780716">
        <w:rPr>
          <w:b/>
          <w:bCs/>
        </w:rPr>
        <w:t>failure</w:t>
      </w:r>
      <w:r w:rsidR="00780716">
        <w:t xml:space="preserve"> were selected</w:t>
      </w:r>
      <w:r w:rsidR="00B87EE0">
        <w:t xml:space="preserve"> w</w:t>
      </w:r>
      <w:r w:rsidR="00780716">
        <w:t>hen</w:t>
      </w:r>
      <w:r w:rsidR="00B87EE0">
        <w:t xml:space="preserve"> an organisation</w:t>
      </w:r>
      <w:r w:rsidR="00780716">
        <w:t xml:space="preserve"> was manually processing payments and </w:t>
      </w:r>
      <w:r w:rsidR="00780716" w:rsidRPr="00780716">
        <w:t>stor</w:t>
      </w:r>
      <w:r w:rsidR="00780716">
        <w:t>ing</w:t>
      </w:r>
      <w:r w:rsidR="00780716" w:rsidRPr="00780716">
        <w:t xml:space="preserve"> credit card information in</w:t>
      </w:r>
      <w:r w:rsidR="00780716">
        <w:t>correctly in</w:t>
      </w:r>
      <w:r w:rsidR="00780716" w:rsidRPr="00780716">
        <w:t xml:space="preserve"> unredacted form</w:t>
      </w:r>
      <w:r w:rsidR="00780716">
        <w:t>.</w:t>
      </w:r>
      <w:bookmarkStart w:id="4" w:name="_Toc30502211"/>
      <w:bookmarkStart w:id="5" w:name="_Toc87857020"/>
    </w:p>
    <w:p w14:paraId="2C81AB8E" w14:textId="77777777" w:rsidR="00D330FB" w:rsidRDefault="00D330FB" w:rsidP="00F55C10"/>
    <w:p w14:paraId="0381D204" w14:textId="77777777" w:rsidR="00D330FB" w:rsidRDefault="00D330FB">
      <w:pPr>
        <w:spacing w:before="0" w:after="160" w:line="259" w:lineRule="auto"/>
        <w:rPr>
          <w:rFonts w:eastAsiaTheme="majorEastAsia" w:cstheme="majorBidi"/>
          <w:color w:val="430098" w:themeColor="text2"/>
          <w:sz w:val="30"/>
          <w:szCs w:val="26"/>
        </w:rPr>
      </w:pPr>
      <w:r>
        <w:br w:type="page"/>
      </w:r>
    </w:p>
    <w:p w14:paraId="37D774D1" w14:textId="49775EEF" w:rsidR="00D330FB" w:rsidRDefault="00D330FB" w:rsidP="00D330FB">
      <w:pPr>
        <w:pStyle w:val="Heading2"/>
      </w:pPr>
      <w:r w:rsidRPr="00CD7036">
        <w:lastRenderedPageBreak/>
        <w:t>Victoria Police Statistics</w:t>
      </w:r>
    </w:p>
    <w:p w14:paraId="5FA93E4E" w14:textId="77777777" w:rsidR="00D330FB" w:rsidRDefault="00D330FB" w:rsidP="00D330FB">
      <w:pPr>
        <w:rPr>
          <w:rFonts w:cstheme="majorHAnsi"/>
        </w:rPr>
      </w:pPr>
      <w:r w:rsidRPr="00CD7036">
        <w:rPr>
          <w:rFonts w:cstheme="majorHAnsi"/>
        </w:rPr>
        <w:t xml:space="preserve">OVIC receives </w:t>
      </w:r>
      <w:r>
        <w:rPr>
          <w:rFonts w:cstheme="majorHAnsi"/>
        </w:rPr>
        <w:t xml:space="preserve">security </w:t>
      </w:r>
      <w:r w:rsidRPr="00CD7036">
        <w:rPr>
          <w:rFonts w:cstheme="majorHAnsi"/>
        </w:rPr>
        <w:t>incident notifications from the Victoria Police Security Incident Registry (</w:t>
      </w:r>
      <w:r w:rsidRPr="00F92D4F">
        <w:rPr>
          <w:rFonts w:cstheme="majorHAnsi"/>
          <w:b/>
          <w:bCs/>
        </w:rPr>
        <w:t>SIR</w:t>
      </w:r>
      <w:r w:rsidRPr="00CD7036">
        <w:rPr>
          <w:rFonts w:cstheme="majorHAnsi"/>
        </w:rPr>
        <w:t>) team.</w:t>
      </w:r>
    </w:p>
    <w:p w14:paraId="1ACF68E0" w14:textId="77777777" w:rsidR="00D330FB" w:rsidRPr="00D330FB" w:rsidRDefault="00D330FB" w:rsidP="00D330FB">
      <w:pPr>
        <w:rPr>
          <w:rFonts w:cstheme="majorHAnsi"/>
        </w:rPr>
      </w:pPr>
      <w:r w:rsidRPr="00D330FB">
        <w:rPr>
          <w:rFonts w:cstheme="majorHAnsi"/>
        </w:rPr>
        <w:t xml:space="preserve">Comparison between the last five financial year periods shows four of the top five ‘completed’ incident categories remain the same. </w:t>
      </w:r>
    </w:p>
    <w:p w14:paraId="21F70FB3" w14:textId="3744A1CC" w:rsidR="00D330FB" w:rsidRPr="00D330FB" w:rsidRDefault="00D330FB" w:rsidP="00D330FB">
      <w:pPr>
        <w:rPr>
          <w:rFonts w:cstheme="majorHAnsi"/>
        </w:rPr>
      </w:pPr>
      <w:r w:rsidRPr="00D330FB">
        <w:rPr>
          <w:rFonts w:cstheme="majorHAnsi"/>
        </w:rPr>
        <w:t xml:space="preserve">The numbers for 2023-24 </w:t>
      </w:r>
      <w:r w:rsidRPr="00D330FB">
        <w:rPr>
          <w:rFonts w:cstheme="majorHAnsi"/>
          <w:b/>
          <w:bCs/>
        </w:rPr>
        <w:t>lost or stolen assets</w:t>
      </w:r>
      <w:r w:rsidRPr="00D330FB">
        <w:rPr>
          <w:rFonts w:cstheme="majorHAnsi"/>
        </w:rPr>
        <w:t xml:space="preserve"> and </w:t>
      </w:r>
      <w:r w:rsidRPr="00D330FB">
        <w:rPr>
          <w:rFonts w:cstheme="majorHAnsi"/>
          <w:b/>
          <w:bCs/>
        </w:rPr>
        <w:t xml:space="preserve">IDs </w:t>
      </w:r>
      <w:r w:rsidRPr="00D330FB">
        <w:rPr>
          <w:rFonts w:cstheme="majorHAnsi"/>
        </w:rPr>
        <w:t xml:space="preserve">as well as </w:t>
      </w:r>
      <w:r w:rsidRPr="00D330FB">
        <w:rPr>
          <w:rFonts w:cstheme="majorHAnsi"/>
          <w:b/>
          <w:bCs/>
        </w:rPr>
        <w:t>information handling</w:t>
      </w:r>
      <w:r w:rsidRPr="00D330FB">
        <w:rPr>
          <w:rFonts w:cstheme="majorHAnsi"/>
        </w:rPr>
        <w:t xml:space="preserve"> incidents are consistent with the last reporting period. There has been an increase in the number of incidents completed relating to </w:t>
      </w:r>
      <w:r w:rsidRPr="00D330FB">
        <w:rPr>
          <w:rFonts w:cstheme="majorHAnsi"/>
          <w:b/>
          <w:bCs/>
        </w:rPr>
        <w:t>unauthorised release or disclosure</w:t>
      </w:r>
      <w:r w:rsidRPr="00D330FB">
        <w:rPr>
          <w:rFonts w:cstheme="majorHAnsi"/>
        </w:rPr>
        <w:t xml:space="preserve"> </w:t>
      </w:r>
      <w:r w:rsidRPr="00D330FB">
        <w:rPr>
          <w:rFonts w:cstheme="majorHAnsi"/>
          <w:b/>
          <w:bCs/>
        </w:rPr>
        <w:t>of information</w:t>
      </w:r>
      <w:r w:rsidRPr="00D330FB">
        <w:rPr>
          <w:rFonts w:cstheme="majorHAnsi"/>
        </w:rPr>
        <w:t xml:space="preserve"> and </w:t>
      </w:r>
      <w:r w:rsidRPr="00D330FB">
        <w:rPr>
          <w:rFonts w:cstheme="majorHAnsi"/>
          <w:b/>
          <w:bCs/>
        </w:rPr>
        <w:t>communications faults</w:t>
      </w:r>
      <w:r w:rsidRPr="00D330FB">
        <w:rPr>
          <w:rFonts w:cstheme="majorHAnsi"/>
        </w:rPr>
        <w:t>.</w:t>
      </w:r>
    </w:p>
    <w:p w14:paraId="1E2213F5" w14:textId="7B861836" w:rsidR="00D330FB" w:rsidRPr="00D330FB" w:rsidRDefault="00D330FB" w:rsidP="00D330FB">
      <w:pPr>
        <w:rPr>
          <w:rFonts w:cstheme="majorHAnsi"/>
        </w:rPr>
      </w:pPr>
      <w:r w:rsidRPr="00D330FB">
        <w:rPr>
          <w:rFonts w:cstheme="majorHAnsi"/>
        </w:rPr>
        <w:t xml:space="preserve">The </w:t>
      </w:r>
      <w:r>
        <w:rPr>
          <w:rFonts w:cstheme="majorHAnsi"/>
        </w:rPr>
        <w:t>c</w:t>
      </w:r>
      <w:r w:rsidRPr="00D330FB">
        <w:rPr>
          <w:rFonts w:cstheme="majorHAnsi"/>
        </w:rPr>
        <w:t xml:space="preserve">ommunications </w:t>
      </w:r>
      <w:r>
        <w:rPr>
          <w:rFonts w:cstheme="majorHAnsi"/>
        </w:rPr>
        <w:t>f</w:t>
      </w:r>
      <w:r w:rsidRPr="00D330FB">
        <w:rPr>
          <w:rFonts w:cstheme="majorHAnsi"/>
        </w:rPr>
        <w:t xml:space="preserve">aults category was a new entry into the top five last financial year 22/23 and continues to be in the top five this reporting period as the streamlined process between the SIR team and the Victoria Police Security Control Room, who monitor and manage communications faults, continues to </w:t>
      </w:r>
      <w:r w:rsidR="00CE326C">
        <w:rPr>
          <w:rFonts w:cstheme="majorHAnsi"/>
        </w:rPr>
        <w:t>improve</w:t>
      </w:r>
      <w:r w:rsidRPr="00D330FB">
        <w:rPr>
          <w:rFonts w:cstheme="majorHAnsi"/>
        </w:rPr>
        <w:t xml:space="preserve">. Communication </w:t>
      </w:r>
      <w:r>
        <w:rPr>
          <w:rFonts w:cstheme="majorHAnsi"/>
        </w:rPr>
        <w:t>f</w:t>
      </w:r>
      <w:r w:rsidRPr="00D330FB">
        <w:rPr>
          <w:rFonts w:cstheme="majorHAnsi"/>
        </w:rPr>
        <w:t>aults was a new category developed in 2021-22.</w:t>
      </w:r>
    </w:p>
    <w:p w14:paraId="1C644DE3" w14:textId="77777777" w:rsidR="00D330FB" w:rsidRPr="00D330FB" w:rsidRDefault="00D330FB" w:rsidP="00D330FB">
      <w:pPr>
        <w:rPr>
          <w:rFonts w:cstheme="majorHAnsi"/>
        </w:rPr>
      </w:pPr>
      <w:r w:rsidRPr="00D330FB">
        <w:rPr>
          <w:rFonts w:cstheme="majorHAnsi"/>
        </w:rPr>
        <w:t>Note: OVIC reports on ‘completed’ Victoria Police incidents. The statistics are based on the number of ‘completed’ incidents, meaning they were investigated by Victoria Police and confirmed incidents where any follow-up actions have been completed. OVIC does not report on both ‘open’ and ‘completed’ incidents because there is a percentage that are categorised as ‘no incidents’ once they have been investigated and found not to be an incident, but OVIC will sometimes follow up on items categorised as no incident to confirm Victoria Police’s assessment.</w:t>
      </w:r>
    </w:p>
    <w:p w14:paraId="49B51B85" w14:textId="77777777" w:rsidR="00E7503F" w:rsidRPr="00E7503F" w:rsidRDefault="00E7503F" w:rsidP="00E7503F">
      <w:pPr>
        <w:rPr>
          <w:rFonts w:ascii="Calibri Light" w:eastAsia="Calibri" w:hAnsi="Calibri Light" w:cs="Times New Roman"/>
        </w:rPr>
      </w:pPr>
    </w:p>
    <w:p w14:paraId="39A7E296" w14:textId="2CE6104C" w:rsidR="00D330FB" w:rsidRPr="00CD7036" w:rsidRDefault="00EA2D06" w:rsidP="00D330FB">
      <w:pPr>
        <w:rPr>
          <w:rFonts w:cstheme="majorHAnsi"/>
        </w:rPr>
      </w:pPr>
      <w:r>
        <w:rPr>
          <w:rFonts w:cstheme="majorHAnsi"/>
          <w:noProof/>
        </w:rPr>
        <w:drawing>
          <wp:inline distT="0" distB="0" distL="0" distR="0" wp14:anchorId="110BF254" wp14:editId="0DB7659F">
            <wp:extent cx="5948045" cy="3385996"/>
            <wp:effectExtent l="0" t="0" r="0" b="5080"/>
            <wp:docPr id="9594973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CF0CC04" w14:textId="28B16DEB" w:rsidR="00BF3799" w:rsidRDefault="00A6671C" w:rsidP="00BF3799">
      <w:pPr>
        <w:pStyle w:val="Heading2"/>
      </w:pPr>
      <w:r>
        <w:lastRenderedPageBreak/>
        <w:t>Risk statements</w:t>
      </w:r>
    </w:p>
    <w:p w14:paraId="16ABF936" w14:textId="57EC2235" w:rsidR="00A6671C" w:rsidRDefault="00A6671C" w:rsidP="00A6671C">
      <w:r>
        <w:t xml:space="preserve">Based on the incident notifications received by OVIC, the following risk statements </w:t>
      </w:r>
      <w:r w:rsidR="00915F6F">
        <w:t xml:space="preserve">have been developed </w:t>
      </w:r>
      <w:r>
        <w:t>for consideration by VPS organisations when reviewing their information security risks:</w:t>
      </w:r>
    </w:p>
    <w:tbl>
      <w:tblPr>
        <w:tblStyle w:val="OVICDefaulttable"/>
        <w:tblW w:w="0" w:type="auto"/>
        <w:tblLook w:val="04A0" w:firstRow="1" w:lastRow="0" w:firstColumn="1" w:lastColumn="0" w:noHBand="0" w:noVBand="1"/>
      </w:tblPr>
      <w:tblGrid>
        <w:gridCol w:w="2980"/>
        <w:gridCol w:w="2981"/>
        <w:gridCol w:w="2980"/>
      </w:tblGrid>
      <w:tr w:rsidR="0097704C" w14:paraId="256D75D0" w14:textId="77777777" w:rsidTr="0097704C">
        <w:trPr>
          <w:cnfStyle w:val="100000000000" w:firstRow="1" w:lastRow="0" w:firstColumn="0" w:lastColumn="0" w:oddVBand="0" w:evenVBand="0" w:oddHBand="0" w:evenHBand="0" w:firstRowFirstColumn="0" w:firstRowLastColumn="0" w:lastRowFirstColumn="0" w:lastRowLastColumn="0"/>
          <w:trHeight w:val="252"/>
        </w:trPr>
        <w:tc>
          <w:tcPr>
            <w:tcW w:w="2980" w:type="dxa"/>
          </w:tcPr>
          <w:bookmarkEnd w:id="4"/>
          <w:bookmarkEnd w:id="5"/>
          <w:p w14:paraId="21A813B3" w14:textId="184D7D08" w:rsidR="0097704C" w:rsidRDefault="0097704C" w:rsidP="002E4AEB">
            <w:pPr>
              <w:pStyle w:val="TableText0"/>
            </w:pPr>
            <w:r>
              <w:t>The risk of…</w:t>
            </w:r>
          </w:p>
        </w:tc>
        <w:tc>
          <w:tcPr>
            <w:tcW w:w="2981" w:type="dxa"/>
          </w:tcPr>
          <w:p w14:paraId="4808907F" w14:textId="03842E27" w:rsidR="0097704C" w:rsidRDefault="0097704C" w:rsidP="002E4AEB">
            <w:pPr>
              <w:pStyle w:val="TableText0"/>
            </w:pPr>
            <w:r>
              <w:t>Caused by…</w:t>
            </w:r>
          </w:p>
        </w:tc>
        <w:tc>
          <w:tcPr>
            <w:tcW w:w="2980" w:type="dxa"/>
          </w:tcPr>
          <w:p w14:paraId="0B9C2325" w14:textId="0B1A29B8" w:rsidR="0097704C" w:rsidRDefault="0097704C" w:rsidP="002E4AEB">
            <w:pPr>
              <w:pStyle w:val="TableText0"/>
            </w:pPr>
            <w:r w:rsidRPr="00463989">
              <w:t>Resulting in…</w:t>
            </w:r>
            <w:r>
              <w:rPr>
                <w:rStyle w:val="FootnoteReference"/>
              </w:rPr>
              <w:footnoteReference w:id="2"/>
            </w:r>
          </w:p>
        </w:tc>
      </w:tr>
      <w:tr w:rsidR="0097704C" w14:paraId="5D3D3929" w14:textId="77777777" w:rsidTr="0097704C">
        <w:trPr>
          <w:trHeight w:val="505"/>
        </w:trPr>
        <w:tc>
          <w:tcPr>
            <w:tcW w:w="2980" w:type="dxa"/>
          </w:tcPr>
          <w:p w14:paraId="0953223B" w14:textId="62E49355" w:rsidR="00226BD5" w:rsidRPr="00226BD5" w:rsidRDefault="00226BD5" w:rsidP="0097704C">
            <w:pPr>
              <w:pStyle w:val="Tabletext"/>
            </w:pPr>
            <w:r w:rsidRPr="00226BD5">
              <w:t xml:space="preserve">Inappropriate </w:t>
            </w:r>
            <w:r>
              <w:t>handling and disclosure</w:t>
            </w:r>
            <w:r w:rsidRPr="00226BD5">
              <w:t xml:space="preserve"> of </w:t>
            </w:r>
            <w:r>
              <w:t>payment</w:t>
            </w:r>
            <w:r w:rsidRPr="00226BD5">
              <w:t xml:space="preserve"> information</w:t>
            </w:r>
          </w:p>
          <w:p w14:paraId="734D7D68" w14:textId="3F1E5296" w:rsidR="0097704C" w:rsidRPr="0097704C" w:rsidRDefault="0097704C" w:rsidP="0097704C">
            <w:pPr>
              <w:pStyle w:val="Tabletext"/>
              <w:rPr>
                <w:b/>
                <w:bCs/>
              </w:rPr>
            </w:pPr>
            <w:r w:rsidRPr="0097704C">
              <w:rPr>
                <w:b/>
                <w:bCs/>
              </w:rPr>
              <w:t xml:space="preserve">(Compromise of </w:t>
            </w:r>
            <w:r w:rsidR="00A5700B">
              <w:rPr>
                <w:b/>
                <w:bCs/>
              </w:rPr>
              <w:t xml:space="preserve">confidentiality, </w:t>
            </w:r>
            <w:r w:rsidRPr="0097704C">
              <w:rPr>
                <w:b/>
                <w:bCs/>
              </w:rPr>
              <w:t>integrity)</w:t>
            </w:r>
          </w:p>
        </w:tc>
        <w:tc>
          <w:tcPr>
            <w:tcW w:w="2981" w:type="dxa"/>
          </w:tcPr>
          <w:p w14:paraId="7ED0FE9B" w14:textId="59FE0536" w:rsidR="0097704C" w:rsidRDefault="00226BD5" w:rsidP="0097704C">
            <w:pPr>
              <w:pStyle w:val="Tabletext"/>
            </w:pPr>
            <w:r>
              <w:t>Storing unredacted credit card information</w:t>
            </w:r>
          </w:p>
        </w:tc>
        <w:tc>
          <w:tcPr>
            <w:tcW w:w="2980" w:type="dxa"/>
          </w:tcPr>
          <w:p w14:paraId="2469DBEE" w14:textId="34A4A5AF" w:rsidR="00226BD5" w:rsidRDefault="00226BD5" w:rsidP="002C22DD">
            <w:pPr>
              <w:pStyle w:val="Tabletext"/>
            </w:pPr>
            <w:r>
              <w:t>Impact on legal and regulatory compliance requirements e.g. payment card industry data security standards (</w:t>
            </w:r>
            <w:r w:rsidRPr="00226BD5">
              <w:rPr>
                <w:b/>
                <w:bCs/>
              </w:rPr>
              <w:t>PCI-DSS</w:t>
            </w:r>
            <w:r>
              <w:t>)</w:t>
            </w:r>
          </w:p>
          <w:p w14:paraId="32C47C04" w14:textId="3FDC0211" w:rsidR="0097704C" w:rsidRDefault="0097704C" w:rsidP="0097704C">
            <w:pPr>
              <w:pStyle w:val="Tabletext"/>
            </w:pPr>
            <w:r>
              <w:t>I</w:t>
            </w:r>
            <w:r w:rsidRPr="00075292">
              <w:t>mpact to individuals</w:t>
            </w:r>
            <w:r>
              <w:t xml:space="preserve"> </w:t>
            </w:r>
            <w:r w:rsidRPr="00075292">
              <w:t>whose personal information was affected</w:t>
            </w:r>
          </w:p>
        </w:tc>
      </w:tr>
      <w:tr w:rsidR="0097704C" w14:paraId="6D22EDEF" w14:textId="77777777" w:rsidTr="0097704C">
        <w:trPr>
          <w:trHeight w:val="268"/>
        </w:trPr>
        <w:tc>
          <w:tcPr>
            <w:tcW w:w="2980" w:type="dxa"/>
          </w:tcPr>
          <w:p w14:paraId="758EE7C8" w14:textId="6FDF8022" w:rsidR="0097704C" w:rsidRPr="00484C02" w:rsidRDefault="007977EB" w:rsidP="0097704C">
            <w:pPr>
              <w:pStyle w:val="Tabletext"/>
              <w:rPr>
                <w:b/>
                <w:bCs/>
              </w:rPr>
            </w:pPr>
            <w:r>
              <w:t>I</w:t>
            </w:r>
            <w:r w:rsidR="0097704C">
              <w:t xml:space="preserve">nability to </w:t>
            </w:r>
            <w:r w:rsidR="00697035">
              <w:t>make phone calls or conduct electronic monitoring</w:t>
            </w:r>
          </w:p>
          <w:p w14:paraId="2D61D0EC" w14:textId="3E3E5045" w:rsidR="0097704C" w:rsidRPr="0097704C" w:rsidRDefault="0097704C" w:rsidP="0097704C">
            <w:pPr>
              <w:pStyle w:val="Tabletext"/>
              <w:rPr>
                <w:b/>
                <w:bCs/>
              </w:rPr>
            </w:pPr>
            <w:bookmarkStart w:id="6" w:name="_Hlk115943604"/>
            <w:r w:rsidRPr="0097704C">
              <w:rPr>
                <w:b/>
                <w:bCs/>
              </w:rPr>
              <w:t>(Compromise of availability)</w:t>
            </w:r>
            <w:bookmarkEnd w:id="6"/>
          </w:p>
        </w:tc>
        <w:tc>
          <w:tcPr>
            <w:tcW w:w="2981" w:type="dxa"/>
          </w:tcPr>
          <w:p w14:paraId="1C98AF26" w14:textId="4561B011" w:rsidR="0097704C" w:rsidRDefault="00697035" w:rsidP="0097704C">
            <w:pPr>
              <w:pStyle w:val="Tabletext"/>
            </w:pPr>
            <w:r>
              <w:t>Telecommunications provider outage</w:t>
            </w:r>
          </w:p>
        </w:tc>
        <w:tc>
          <w:tcPr>
            <w:tcW w:w="2980" w:type="dxa"/>
          </w:tcPr>
          <w:p w14:paraId="39C96F82" w14:textId="77777777" w:rsidR="0097704C" w:rsidRDefault="0097704C" w:rsidP="0097704C">
            <w:pPr>
              <w:pStyle w:val="Tabletext"/>
            </w:pPr>
            <w:r>
              <w:t>Impact on service delivery</w:t>
            </w:r>
          </w:p>
          <w:p w14:paraId="28840E3C" w14:textId="298765D9" w:rsidR="00EB7E08" w:rsidRDefault="00EB7E08" w:rsidP="0097704C">
            <w:pPr>
              <w:pStyle w:val="Tabletext"/>
            </w:pPr>
            <w:r>
              <w:t>Impact on public services (reputation of, and confidence in, the organisation)</w:t>
            </w:r>
          </w:p>
        </w:tc>
      </w:tr>
      <w:tr w:rsidR="00CA41C7" w14:paraId="3C766770" w14:textId="77777777" w:rsidTr="0097704C">
        <w:trPr>
          <w:trHeight w:val="268"/>
        </w:trPr>
        <w:tc>
          <w:tcPr>
            <w:tcW w:w="2980" w:type="dxa"/>
          </w:tcPr>
          <w:p w14:paraId="095E85C4" w14:textId="124EB937" w:rsidR="00CA41C7" w:rsidRPr="00484C02" w:rsidRDefault="00697035" w:rsidP="00CA41C7">
            <w:pPr>
              <w:pStyle w:val="Tabletext"/>
              <w:rPr>
                <w:b/>
                <w:bCs/>
              </w:rPr>
            </w:pPr>
            <w:r>
              <w:t>Unauthorised access to customer ticketing data</w:t>
            </w:r>
          </w:p>
          <w:p w14:paraId="1F34FA1D" w14:textId="5B7058A5" w:rsidR="00CA41C7" w:rsidRPr="00484C02" w:rsidRDefault="00CA41C7" w:rsidP="0097704C">
            <w:pPr>
              <w:pStyle w:val="Tabletext"/>
            </w:pPr>
            <w:r w:rsidRPr="0097704C">
              <w:rPr>
                <w:b/>
                <w:bCs/>
              </w:rPr>
              <w:t>(Compromise of confidentiality)</w:t>
            </w:r>
          </w:p>
        </w:tc>
        <w:tc>
          <w:tcPr>
            <w:tcW w:w="2981" w:type="dxa"/>
          </w:tcPr>
          <w:p w14:paraId="4E6BE77D" w14:textId="68ED7F48" w:rsidR="00CA41C7" w:rsidRDefault="00697035" w:rsidP="0097704C">
            <w:pPr>
              <w:pStyle w:val="Tabletext"/>
            </w:pPr>
            <w:r>
              <w:t>Malicious threat actor compromising fourth</w:t>
            </w:r>
            <w:r w:rsidR="00F8728D">
              <w:t>-</w:t>
            </w:r>
            <w:r>
              <w:t>party supply chain</w:t>
            </w:r>
          </w:p>
        </w:tc>
        <w:tc>
          <w:tcPr>
            <w:tcW w:w="2980" w:type="dxa"/>
          </w:tcPr>
          <w:p w14:paraId="199C9198" w14:textId="77777777" w:rsidR="00CA41C7" w:rsidRDefault="00CA41C7" w:rsidP="00CA41C7">
            <w:pPr>
              <w:pStyle w:val="Tabletext"/>
            </w:pPr>
            <w:r>
              <w:t>Impact on public services (reputation of, and confidence in, the organisation)</w:t>
            </w:r>
          </w:p>
          <w:p w14:paraId="1C9C8A68" w14:textId="649B570B" w:rsidR="00EB7E08" w:rsidRDefault="00EB7E08" w:rsidP="0097704C">
            <w:pPr>
              <w:pStyle w:val="Tabletext"/>
            </w:pPr>
            <w:r>
              <w:t>I</w:t>
            </w:r>
            <w:r w:rsidRPr="00075292">
              <w:t>mpact to individuals</w:t>
            </w:r>
            <w:r>
              <w:t xml:space="preserve"> </w:t>
            </w:r>
            <w:r w:rsidRPr="00075292">
              <w:t>whose personal information was affected</w:t>
            </w:r>
          </w:p>
        </w:tc>
      </w:tr>
    </w:tbl>
    <w:p w14:paraId="16EC2272" w14:textId="04059D74" w:rsidR="001A791E" w:rsidRPr="001A791E" w:rsidRDefault="00A6671C" w:rsidP="001A791E">
      <w:pPr>
        <w:pStyle w:val="Heading2"/>
      </w:pPr>
      <w:r>
        <w:t xml:space="preserve">More information </w:t>
      </w:r>
    </w:p>
    <w:p w14:paraId="5978F725" w14:textId="77777777" w:rsidR="00A01C6A" w:rsidRDefault="00A6671C" w:rsidP="00A01C6A">
      <w:bookmarkStart w:id="7" w:name="_Toc30502218"/>
      <w:bookmarkStart w:id="8" w:name="_Toc87857027"/>
      <w:bookmarkStart w:id="9" w:name="_Toc116036529"/>
      <w:r>
        <w:t>For further information on the information security incident notification scheme and to download a notification form visit our website:</w:t>
      </w:r>
      <w:r>
        <w:br/>
      </w:r>
      <w:hyperlink r:id="rId25" w:history="1">
        <w:r w:rsidRPr="00A6671C">
          <w:rPr>
            <w:rStyle w:val="Hyperlink"/>
            <w:color w:val="430098" w:themeColor="text2"/>
          </w:rPr>
          <w:t>https://ovic.vic.gov.au/data-protection/agency-reporting-obligations/incident-notification/</w:t>
        </w:r>
      </w:hyperlink>
      <w:r>
        <w:t xml:space="preserve"> </w:t>
      </w:r>
    </w:p>
    <w:p w14:paraId="5180C86B" w14:textId="6A40F80D" w:rsidR="001A791E" w:rsidRPr="00167077" w:rsidRDefault="00A6671C" w:rsidP="00A01C6A">
      <w:r>
        <w:t xml:space="preserve">We welcome your feedback on this report. </w:t>
      </w:r>
      <w:r w:rsidRPr="001F3DC9">
        <w:t xml:space="preserve">Contact OVIC at </w:t>
      </w:r>
      <w:hyperlink r:id="rId26" w:history="1">
        <w:r w:rsidRPr="00A6671C">
          <w:rPr>
            <w:rStyle w:val="Hyperlink"/>
            <w:color w:val="430098" w:themeColor="text2"/>
          </w:rPr>
          <w:t>security@ovic.vic.gov.au</w:t>
        </w:r>
      </w:hyperlink>
      <w:r>
        <w:t xml:space="preserve"> to discuss this report further.</w:t>
      </w:r>
      <w:bookmarkEnd w:id="7"/>
      <w:bookmarkEnd w:id="8"/>
      <w:bookmarkEnd w:id="9"/>
    </w:p>
    <w:sectPr w:rsidR="001A791E" w:rsidRPr="00167077" w:rsidSect="007A7DBF">
      <w:headerReference w:type="default" r:id="rId27"/>
      <w:footerReference w:type="default" r:id="rId28"/>
      <w:headerReference w:type="first" r:id="rId29"/>
      <w:footerReference w:type="first" r:id="rId30"/>
      <w:pgSz w:w="11906" w:h="16838" w:code="9"/>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B88FA" w14:textId="77777777" w:rsidR="00D338BD" w:rsidRDefault="00D338BD" w:rsidP="00C37A29">
      <w:pPr>
        <w:spacing w:after="0"/>
      </w:pPr>
      <w:r>
        <w:separator/>
      </w:r>
    </w:p>
    <w:p w14:paraId="79D2C0D3" w14:textId="77777777" w:rsidR="00D338BD" w:rsidRDefault="00D338BD"/>
  </w:endnote>
  <w:endnote w:type="continuationSeparator" w:id="0">
    <w:p w14:paraId="15AE64BA" w14:textId="77777777" w:rsidR="00D338BD" w:rsidRDefault="00D338BD" w:rsidP="00C37A29">
      <w:pPr>
        <w:spacing w:after="0"/>
      </w:pPr>
      <w:r>
        <w:continuationSeparator/>
      </w:r>
    </w:p>
    <w:p w14:paraId="5E5AE4DF" w14:textId="77777777" w:rsidR="00D338BD" w:rsidRDefault="00D33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PostGrotesk-Book">
    <w:altName w:val="Times New Roman"/>
    <w:panose1 w:val="020B0604020202020204"/>
    <w:charset w:val="00"/>
    <w:family w:val="auto"/>
    <w:pitch w:val="variable"/>
    <w:sig w:usb0="00000001" w:usb1="500160FB" w:usb2="00000000" w:usb3="00000000" w:csb0="0000009B" w:csb1="00000000"/>
  </w:font>
  <w:font w:name="PostGrotesk-Medium">
    <w:altName w:val="Times New Roman"/>
    <w:panose1 w:val="020B0604020202020204"/>
    <w:charset w:val="00"/>
    <w:family w:val="auto"/>
    <w:pitch w:val="variable"/>
    <w:sig w:usb0="00000001" w:usb1="5001607B" w:usb2="00000000" w:usb3="00000000" w:csb0="00000193" w:csb1="00000000"/>
  </w:font>
  <w:font w:name="National-Book">
    <w:altName w:val="Times New Roman"/>
    <w:panose1 w:val="02000503000000020004"/>
    <w:charset w:val="00"/>
    <w:family w:val="auto"/>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61"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269"/>
    </w:tblGrid>
    <w:tr w:rsidR="002744D6" w14:paraId="3E73E739" w14:textId="77777777" w:rsidTr="00031095">
      <w:tc>
        <w:tcPr>
          <w:tcW w:w="3261" w:type="dxa"/>
          <w:vAlign w:val="center"/>
        </w:tcPr>
        <w:p w14:paraId="66ADDC6F" w14:textId="329457CB" w:rsidR="002744D6" w:rsidRPr="002744D6" w:rsidRDefault="002744D6" w:rsidP="002744D6">
          <w:pPr>
            <w:spacing w:before="0" w:after="0"/>
            <w:rPr>
              <w:color w:val="430098" w:themeColor="text2"/>
              <w:sz w:val="16"/>
              <w:szCs w:val="16"/>
            </w:rPr>
          </w:pPr>
          <w:r w:rsidRPr="00E55CAE">
            <w:rPr>
              <w:color w:val="430098" w:themeColor="text2"/>
              <w:sz w:val="16"/>
              <w:szCs w:val="16"/>
            </w:rPr>
            <w:t>www.ovic.vic.gov.au</w:t>
          </w:r>
          <w:r w:rsidRPr="00ED59AB">
            <w:rPr>
              <w:bCs/>
            </w:rPr>
            <w:t xml:space="preserve"> </w:t>
          </w:r>
          <w:r w:rsidRPr="00ED59AB">
            <w:rPr>
              <w:b/>
              <w:bCs/>
            </w:rPr>
            <w:fldChar w:fldCharType="begin"/>
          </w:r>
          <w:r w:rsidRPr="00ED59AB">
            <w:rPr>
              <w:bCs/>
            </w:rPr>
            <w:instrText xml:space="preserve"> TITLE   \* MERGEFORMAT </w:instrText>
          </w:r>
          <w:r w:rsidRPr="00ED59AB">
            <w:rPr>
              <w:b/>
              <w:bCs/>
            </w:rPr>
            <w:fldChar w:fldCharType="end"/>
          </w:r>
        </w:p>
      </w:tc>
      <w:tc>
        <w:tcPr>
          <w:tcW w:w="2831" w:type="dxa"/>
          <w:vAlign w:val="center"/>
        </w:tcPr>
        <w:p w14:paraId="36EE86BC" w14:textId="77777777" w:rsidR="002744D6" w:rsidRPr="00E55CAE" w:rsidRDefault="002744D6" w:rsidP="002744D6">
          <w:pPr>
            <w:pStyle w:val="FooterToggle"/>
            <w:spacing w:line="259" w:lineRule="auto"/>
            <w:rPr>
              <w:b w:val="0"/>
              <w:bCs/>
            </w:rPr>
          </w:pPr>
          <w:r w:rsidRPr="00E55CAE">
            <w:rPr>
              <w:b w:val="0"/>
              <w:bCs/>
            </w:rPr>
            <w:t>Disclaimer</w:t>
          </w:r>
        </w:p>
        <w:p w14:paraId="77B3B029" w14:textId="77777777" w:rsidR="002744D6" w:rsidRPr="00A3584F" w:rsidRDefault="002744D6" w:rsidP="002744D6">
          <w:pPr>
            <w:spacing w:before="0" w:after="0" w:line="259" w:lineRule="auto"/>
            <w:rPr>
              <w:sz w:val="14"/>
              <w:szCs w:val="14"/>
            </w:rPr>
          </w:pPr>
          <w:r w:rsidRPr="00A3584F">
            <w:rPr>
              <w:sz w:val="14"/>
              <w:szCs w:val="14"/>
            </w:rPr>
            <w:t>The information in this document is general in nature and does not constitute legal advice.</w:t>
          </w:r>
        </w:p>
      </w:tc>
      <w:tc>
        <w:tcPr>
          <w:tcW w:w="3269" w:type="dxa"/>
          <w:vAlign w:val="center"/>
        </w:tcPr>
        <w:p w14:paraId="437A1B3E" w14:textId="77777777" w:rsidR="002744D6" w:rsidRDefault="002744D6" w:rsidP="002744D6">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2</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487555969"/>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7F7A5D67" w14:textId="15367219" w:rsidR="002744D6" w:rsidRPr="00FA1B6A" w:rsidRDefault="002744D6" w:rsidP="002744D6">
        <w:pPr>
          <w:pStyle w:val="ProtectiveMarking"/>
          <w:framePr w:wrap="around" w:y="16036"/>
          <w:spacing w:before="0" w:after="0"/>
          <w:rPr>
            <w:caps w:val="0"/>
            <w:sz w:val="44"/>
            <w:szCs w:val="44"/>
          </w:rPr>
        </w:pPr>
        <w:r w:rsidRPr="00FA1B6A">
          <w:rPr>
            <w:caps w:val="0"/>
            <w:sz w:val="44"/>
            <w:szCs w:val="44"/>
          </w:rPr>
          <w:t>OFFICIAL</w:t>
        </w:r>
      </w:p>
    </w:sdtContent>
  </w:sdt>
  <w:p w14:paraId="3A19B48A" w14:textId="77777777" w:rsidR="00CB1E32" w:rsidRPr="00A81CCD" w:rsidRDefault="00CB1E32" w:rsidP="002744D6">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9"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127"/>
    </w:tblGrid>
    <w:tr w:rsidR="002744D6" w14:paraId="78E5F078" w14:textId="77777777" w:rsidTr="00031095">
      <w:tc>
        <w:tcPr>
          <w:tcW w:w="3261" w:type="dxa"/>
          <w:vAlign w:val="center"/>
        </w:tcPr>
        <w:p w14:paraId="073D9D8D" w14:textId="726FA301" w:rsidR="002744D6" w:rsidRDefault="002744D6" w:rsidP="002744D6">
          <w:pPr>
            <w:pStyle w:val="FooterToggle"/>
            <w:rPr>
              <w:b w:val="0"/>
              <w:bCs/>
            </w:rPr>
          </w:pPr>
          <w:r w:rsidRPr="00E55CAE">
            <w:rPr>
              <w:b w:val="0"/>
              <w:bCs/>
            </w:rPr>
            <w:t xml:space="preserve">CM: </w:t>
          </w:r>
          <w:r>
            <w:rPr>
              <w:b w:val="0"/>
              <w:bCs/>
            </w:rPr>
            <w:t>D2</w:t>
          </w:r>
          <w:r w:rsidR="00750C4D">
            <w:rPr>
              <w:b w:val="0"/>
              <w:bCs/>
            </w:rPr>
            <w:t>4</w:t>
          </w:r>
          <w:r>
            <w:rPr>
              <w:b w:val="0"/>
              <w:bCs/>
            </w:rPr>
            <w:t>/</w:t>
          </w:r>
          <w:r w:rsidR="00D67925">
            <w:rPr>
              <w:b w:val="0"/>
              <w:bCs/>
            </w:rPr>
            <w:t>6803</w:t>
          </w:r>
        </w:p>
        <w:p w14:paraId="4FAC2C83" w14:textId="3486D786" w:rsidR="002744D6" w:rsidRDefault="00D67925" w:rsidP="002744D6">
          <w:pPr>
            <w:spacing w:before="0" w:after="0"/>
            <w:rPr>
              <w:bCs/>
              <w:color w:val="430098" w:themeColor="text2"/>
              <w:sz w:val="16"/>
              <w:szCs w:val="16"/>
            </w:rPr>
          </w:pPr>
          <w:r>
            <w:rPr>
              <w:bCs/>
              <w:color w:val="430098" w:themeColor="text2"/>
              <w:sz w:val="16"/>
              <w:szCs w:val="16"/>
            </w:rPr>
            <w:t>October</w:t>
          </w:r>
          <w:r w:rsidR="002744D6">
            <w:rPr>
              <w:bCs/>
              <w:color w:val="430098" w:themeColor="text2"/>
              <w:sz w:val="16"/>
              <w:szCs w:val="16"/>
            </w:rPr>
            <w:t xml:space="preserve"> 202</w:t>
          </w:r>
          <w:r w:rsidR="00750C4D">
            <w:rPr>
              <w:bCs/>
              <w:color w:val="430098" w:themeColor="text2"/>
              <w:sz w:val="16"/>
              <w:szCs w:val="16"/>
            </w:rPr>
            <w:t>4</w:t>
          </w:r>
        </w:p>
        <w:p w14:paraId="4BBA079F" w14:textId="1E236A27" w:rsidR="002744D6" w:rsidRDefault="002744D6" w:rsidP="002744D6">
          <w:pPr>
            <w:spacing w:before="0" w:after="0"/>
          </w:pPr>
          <w:r w:rsidRPr="00E55CAE">
            <w:rPr>
              <w:bCs/>
              <w:color w:val="430098" w:themeColor="text2"/>
              <w:sz w:val="16"/>
              <w:szCs w:val="16"/>
            </w:rPr>
            <w:t>www.ovic.vic.gov.au</w:t>
          </w:r>
        </w:p>
      </w:tc>
      <w:tc>
        <w:tcPr>
          <w:tcW w:w="2831" w:type="dxa"/>
          <w:vAlign w:val="center"/>
        </w:tcPr>
        <w:p w14:paraId="3AC33647" w14:textId="77777777" w:rsidR="002744D6" w:rsidRPr="00E55CAE" w:rsidRDefault="002744D6" w:rsidP="002744D6">
          <w:pPr>
            <w:pStyle w:val="FooterToggle"/>
            <w:spacing w:line="259" w:lineRule="auto"/>
            <w:rPr>
              <w:b w:val="0"/>
              <w:bCs/>
            </w:rPr>
          </w:pPr>
          <w:r w:rsidRPr="00E55CAE">
            <w:rPr>
              <w:b w:val="0"/>
              <w:bCs/>
            </w:rPr>
            <w:t>Disclaimer</w:t>
          </w:r>
        </w:p>
        <w:p w14:paraId="6E0621A0" w14:textId="77777777" w:rsidR="002744D6" w:rsidRPr="00A3584F" w:rsidRDefault="002744D6" w:rsidP="002744D6">
          <w:pPr>
            <w:spacing w:before="0" w:after="0" w:line="259" w:lineRule="auto"/>
            <w:rPr>
              <w:sz w:val="14"/>
              <w:szCs w:val="14"/>
            </w:rPr>
          </w:pPr>
          <w:r w:rsidRPr="00A3584F">
            <w:rPr>
              <w:sz w:val="14"/>
              <w:szCs w:val="14"/>
            </w:rPr>
            <w:t>The information in this document is general in nature and does not constitute legal advice.</w:t>
          </w:r>
        </w:p>
      </w:tc>
      <w:tc>
        <w:tcPr>
          <w:tcW w:w="3127" w:type="dxa"/>
          <w:vAlign w:val="center"/>
        </w:tcPr>
        <w:p w14:paraId="7C44DD2D" w14:textId="77777777" w:rsidR="002744D6" w:rsidRDefault="002744D6" w:rsidP="002744D6">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908579802"/>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284725CE" w14:textId="34CE3D3E" w:rsidR="002744D6" w:rsidRPr="00FA1B6A" w:rsidRDefault="002744D6" w:rsidP="002744D6">
        <w:pPr>
          <w:pStyle w:val="ProtectiveMarking"/>
          <w:framePr w:wrap="around" w:y="16036"/>
          <w:spacing w:before="0" w:after="0"/>
          <w:rPr>
            <w:caps w:val="0"/>
            <w:sz w:val="44"/>
            <w:szCs w:val="44"/>
          </w:rPr>
        </w:pPr>
        <w:r w:rsidRPr="00FA1B6A">
          <w:rPr>
            <w:caps w:val="0"/>
            <w:sz w:val="44"/>
            <w:szCs w:val="44"/>
          </w:rPr>
          <w:t>OFFICIAL</w:t>
        </w:r>
      </w:p>
    </w:sdtContent>
  </w:sdt>
  <w:p w14:paraId="2E0007CD" w14:textId="77777777" w:rsidR="003B0240" w:rsidRDefault="003B0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4599A" w14:textId="77777777" w:rsidR="00D338BD" w:rsidRDefault="00D338BD" w:rsidP="004C5DAA">
      <w:pPr>
        <w:spacing w:after="120"/>
      </w:pPr>
      <w:r>
        <w:separator/>
      </w:r>
    </w:p>
  </w:footnote>
  <w:footnote w:type="continuationSeparator" w:id="0">
    <w:p w14:paraId="10C20F13" w14:textId="77777777" w:rsidR="00D338BD" w:rsidRDefault="00D338BD" w:rsidP="00C37A29">
      <w:pPr>
        <w:spacing w:after="0"/>
      </w:pPr>
      <w:r>
        <w:continuationSeparator/>
      </w:r>
    </w:p>
    <w:p w14:paraId="7FC91148" w14:textId="77777777" w:rsidR="00D338BD" w:rsidRDefault="00D338BD"/>
  </w:footnote>
  <w:footnote w:id="1">
    <w:p w14:paraId="40F296BA" w14:textId="77777777" w:rsidR="00A6671C" w:rsidRDefault="00A6671C" w:rsidP="00A6671C">
      <w:pPr>
        <w:pStyle w:val="FootnoteText"/>
      </w:pPr>
      <w:r>
        <w:rPr>
          <w:rStyle w:val="FootnoteReference"/>
        </w:rPr>
        <w:footnoteRef/>
      </w:r>
      <w:r>
        <w:t xml:space="preserve"> </w:t>
      </w:r>
      <w:r w:rsidRPr="009F2C07">
        <w:rPr>
          <w:sz w:val="18"/>
          <w:szCs w:val="18"/>
        </w:rPr>
        <w:t xml:space="preserve">Refer to </w:t>
      </w:r>
      <w:hyperlink r:id="rId1" w:history="1">
        <w:r w:rsidRPr="00A6671C">
          <w:rPr>
            <w:rStyle w:val="Hyperlink"/>
            <w:color w:val="430098" w:themeColor="text2"/>
            <w:sz w:val="18"/>
            <w:szCs w:val="18"/>
          </w:rPr>
          <w:t>https://ovic.vic.gov.au/data-protection/victorian-protective-data-security-framework-business-impact-level-table-v2-1/</w:t>
        </w:r>
      </w:hyperlink>
    </w:p>
  </w:footnote>
  <w:footnote w:id="2">
    <w:p w14:paraId="05BF24BB" w14:textId="77777777" w:rsidR="0097704C" w:rsidRPr="00637791" w:rsidRDefault="0097704C" w:rsidP="0097704C">
      <w:pPr>
        <w:pStyle w:val="Body"/>
        <w:rPr>
          <w:rFonts w:asciiTheme="majorHAnsi" w:hAnsiTheme="majorHAnsi" w:cstheme="majorHAnsi"/>
          <w:sz w:val="18"/>
          <w:szCs w:val="18"/>
        </w:rPr>
      </w:pPr>
      <w:r w:rsidRPr="00637791">
        <w:rPr>
          <w:rStyle w:val="FootnoteReference"/>
          <w:rFonts w:asciiTheme="majorHAnsi" w:hAnsiTheme="majorHAnsi" w:cstheme="majorHAnsi"/>
          <w:color w:val="auto"/>
          <w:sz w:val="18"/>
          <w:szCs w:val="18"/>
        </w:rPr>
        <w:footnoteRef/>
      </w:r>
      <w:r w:rsidRPr="00637791">
        <w:rPr>
          <w:rFonts w:asciiTheme="majorHAnsi" w:hAnsiTheme="majorHAnsi" w:cstheme="majorHAnsi"/>
          <w:color w:val="auto"/>
          <w:sz w:val="18"/>
          <w:szCs w:val="18"/>
        </w:rPr>
        <w:t xml:space="preserve"> The extent of the impact could be “limited” or higher depending on the context and nature of the incident and is left for an organisation to determine.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val="0"/>
        <w:sz w:val="44"/>
        <w:szCs w:val="44"/>
      </w:rPr>
      <w:id w:val="-391735166"/>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0BE23A93" w14:textId="07C13E6F" w:rsidR="002744D6" w:rsidRPr="00FA1B6A" w:rsidRDefault="002744D6" w:rsidP="002744D6">
        <w:pPr>
          <w:pStyle w:val="ProtectiveMarking"/>
          <w:framePr w:wrap="around"/>
          <w:spacing w:before="0" w:after="0"/>
          <w:rPr>
            <w:caps w:val="0"/>
            <w:sz w:val="44"/>
            <w:szCs w:val="44"/>
          </w:rPr>
        </w:pPr>
        <w:r w:rsidRPr="00FA1B6A">
          <w:rPr>
            <w:caps w:val="0"/>
            <w:sz w:val="44"/>
            <w:szCs w:val="44"/>
          </w:rPr>
          <w:t>OFFICIAL</w:t>
        </w:r>
      </w:p>
    </w:sdtContent>
  </w:sdt>
  <w:p w14:paraId="554278A7" w14:textId="72BD6264" w:rsidR="00CB1E32" w:rsidRPr="002744D6" w:rsidRDefault="00CB1E32" w:rsidP="00274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val="0"/>
        <w:sz w:val="44"/>
        <w:szCs w:val="44"/>
      </w:rPr>
      <w:id w:val="872343476"/>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35FED51D" w14:textId="10C9D574" w:rsidR="002744D6" w:rsidRPr="00FA1B6A" w:rsidRDefault="002744D6" w:rsidP="002744D6">
        <w:pPr>
          <w:pStyle w:val="ProtectiveMarking"/>
          <w:framePr w:wrap="around"/>
          <w:spacing w:before="0" w:after="0"/>
          <w:rPr>
            <w:caps w:val="0"/>
            <w:sz w:val="44"/>
            <w:szCs w:val="44"/>
          </w:rPr>
        </w:pPr>
        <w:r w:rsidRPr="00FA1B6A">
          <w:rPr>
            <w:caps w:val="0"/>
            <w:sz w:val="44"/>
            <w:szCs w:val="44"/>
          </w:rPr>
          <w:t>OFFICIAL</w:t>
        </w:r>
      </w:p>
    </w:sdtContent>
  </w:sdt>
  <w:p w14:paraId="512C8747" w14:textId="77777777" w:rsidR="009A1E02" w:rsidRDefault="001C0D28">
    <w:pPr>
      <w:pStyle w:val="Header"/>
    </w:pPr>
    <w:r>
      <w:rPr>
        <w:noProof/>
      </w:rPr>
      <w:drawing>
        <wp:anchor distT="4320540" distB="107950" distL="114300" distR="114300" simplePos="0" relativeHeight="251674624" behindDoc="0" locked="1" layoutInCell="1" allowOverlap="1" wp14:anchorId="1608FA04" wp14:editId="716C1E8D">
          <wp:simplePos x="0" y="0"/>
          <wp:positionH relativeFrom="margin">
            <wp:align>left</wp:align>
          </wp:positionH>
          <wp:positionV relativeFrom="page">
            <wp:posOffset>756285</wp:posOffset>
          </wp:positionV>
          <wp:extent cx="1472400" cy="648000"/>
          <wp:effectExtent l="0" t="0" r="0" b="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24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1BD9"/>
    <w:multiLevelType w:val="multilevel"/>
    <w:tmpl w:val="3252CBE4"/>
    <w:numStyleLink w:val="Numbering"/>
  </w:abstractNum>
  <w:abstractNum w:abstractNumId="1"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11DE1E3F"/>
    <w:multiLevelType w:val="hybridMultilevel"/>
    <w:tmpl w:val="F836B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7E1DD3"/>
    <w:multiLevelType w:val="hybridMultilevel"/>
    <w:tmpl w:val="D2F6A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6F539E"/>
    <w:multiLevelType w:val="hybridMultilevel"/>
    <w:tmpl w:val="2652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9B3867"/>
    <w:multiLevelType w:val="hybridMultilevel"/>
    <w:tmpl w:val="EDD23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215C86"/>
    <w:multiLevelType w:val="multilevel"/>
    <w:tmpl w:val="7B2236E6"/>
    <w:numStyleLink w:val="Bullets"/>
  </w:abstractNum>
  <w:abstractNum w:abstractNumId="9" w15:restartNumberingAfterBreak="0">
    <w:nsid w:val="259166FB"/>
    <w:multiLevelType w:val="hybridMultilevel"/>
    <w:tmpl w:val="F0A6D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AC15AD"/>
    <w:multiLevelType w:val="hybridMultilevel"/>
    <w:tmpl w:val="A8600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5D0799"/>
    <w:multiLevelType w:val="hybridMultilevel"/>
    <w:tmpl w:val="28164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9067FA"/>
    <w:multiLevelType w:val="hybridMultilevel"/>
    <w:tmpl w:val="576EA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0C0407"/>
    <w:multiLevelType w:val="hybridMultilevel"/>
    <w:tmpl w:val="47A6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FA1525"/>
    <w:multiLevelType w:val="hybridMultilevel"/>
    <w:tmpl w:val="AC3E7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166FB2"/>
    <w:multiLevelType w:val="hybridMultilevel"/>
    <w:tmpl w:val="AA98F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462616"/>
    <w:multiLevelType w:val="hybridMultilevel"/>
    <w:tmpl w:val="B762A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0138FB"/>
    <w:multiLevelType w:val="hybridMultilevel"/>
    <w:tmpl w:val="7A70908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9" w15:restartNumberingAfterBreak="0">
    <w:nsid w:val="62DE355B"/>
    <w:multiLevelType w:val="hybridMultilevel"/>
    <w:tmpl w:val="5748D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0D40EA"/>
    <w:multiLevelType w:val="multilevel"/>
    <w:tmpl w:val="B6542242"/>
    <w:numStyleLink w:val="LetteredList"/>
  </w:abstractNum>
  <w:abstractNum w:abstractNumId="21" w15:restartNumberingAfterBreak="0">
    <w:nsid w:val="7E3E770C"/>
    <w:multiLevelType w:val="hybridMultilevel"/>
    <w:tmpl w:val="B4188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3418277">
    <w:abstractNumId w:val="18"/>
  </w:num>
  <w:num w:numId="2" w16cid:durableId="846598071">
    <w:abstractNumId w:val="2"/>
  </w:num>
  <w:num w:numId="3" w16cid:durableId="659580476">
    <w:abstractNumId w:val="1"/>
  </w:num>
  <w:num w:numId="4" w16cid:durableId="444039133">
    <w:abstractNumId w:val="5"/>
  </w:num>
  <w:num w:numId="5" w16cid:durableId="725029349">
    <w:abstractNumId w:val="8"/>
  </w:num>
  <w:num w:numId="6" w16cid:durableId="1773672465">
    <w:abstractNumId w:val="0"/>
  </w:num>
  <w:num w:numId="7" w16cid:durableId="1487628207">
    <w:abstractNumId w:val="20"/>
  </w:num>
  <w:num w:numId="8" w16cid:durableId="93940029">
    <w:abstractNumId w:val="3"/>
  </w:num>
  <w:num w:numId="9" w16cid:durableId="74936319">
    <w:abstractNumId w:val="19"/>
  </w:num>
  <w:num w:numId="10" w16cid:durableId="430047757">
    <w:abstractNumId w:val="14"/>
  </w:num>
  <w:num w:numId="11" w16cid:durableId="217018096">
    <w:abstractNumId w:val="12"/>
  </w:num>
  <w:num w:numId="12" w16cid:durableId="1319650601">
    <w:abstractNumId w:val="21"/>
  </w:num>
  <w:num w:numId="13" w16cid:durableId="426389565">
    <w:abstractNumId w:val="16"/>
  </w:num>
  <w:num w:numId="14" w16cid:durableId="426191421">
    <w:abstractNumId w:val="11"/>
  </w:num>
  <w:num w:numId="15" w16cid:durableId="562059193">
    <w:abstractNumId w:val="6"/>
  </w:num>
  <w:num w:numId="16" w16cid:durableId="816917655">
    <w:abstractNumId w:val="13"/>
  </w:num>
  <w:num w:numId="17" w16cid:durableId="319235541">
    <w:abstractNumId w:val="9"/>
  </w:num>
  <w:num w:numId="18" w16cid:durableId="2023043961">
    <w:abstractNumId w:val="15"/>
  </w:num>
  <w:num w:numId="19" w16cid:durableId="2034380099">
    <w:abstractNumId w:val="7"/>
  </w:num>
  <w:num w:numId="20" w16cid:durableId="833642657">
    <w:abstractNumId w:val="17"/>
  </w:num>
  <w:num w:numId="21" w16cid:durableId="1634871879">
    <w:abstractNumId w:val="10"/>
  </w:num>
  <w:num w:numId="22" w16cid:durableId="152798554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E9"/>
    <w:rsid w:val="0000130F"/>
    <w:rsid w:val="000016E9"/>
    <w:rsid w:val="000033F0"/>
    <w:rsid w:val="00003503"/>
    <w:rsid w:val="00012403"/>
    <w:rsid w:val="00015B53"/>
    <w:rsid w:val="00015CA0"/>
    <w:rsid w:val="000167D5"/>
    <w:rsid w:val="000174F8"/>
    <w:rsid w:val="00017E01"/>
    <w:rsid w:val="000226E1"/>
    <w:rsid w:val="000300AF"/>
    <w:rsid w:val="0003148A"/>
    <w:rsid w:val="0003476F"/>
    <w:rsid w:val="00035919"/>
    <w:rsid w:val="00046A3E"/>
    <w:rsid w:val="000529D1"/>
    <w:rsid w:val="00053D74"/>
    <w:rsid w:val="000553AC"/>
    <w:rsid w:val="00062784"/>
    <w:rsid w:val="00070F9D"/>
    <w:rsid w:val="000724AE"/>
    <w:rsid w:val="0007747C"/>
    <w:rsid w:val="0008037D"/>
    <w:rsid w:val="0008240F"/>
    <w:rsid w:val="00086F51"/>
    <w:rsid w:val="000910E4"/>
    <w:rsid w:val="00092062"/>
    <w:rsid w:val="00092650"/>
    <w:rsid w:val="00095443"/>
    <w:rsid w:val="000B497F"/>
    <w:rsid w:val="000B5238"/>
    <w:rsid w:val="000B7A69"/>
    <w:rsid w:val="000C077E"/>
    <w:rsid w:val="000C1AA9"/>
    <w:rsid w:val="000C1FBD"/>
    <w:rsid w:val="000C3319"/>
    <w:rsid w:val="000D3DF9"/>
    <w:rsid w:val="000D528B"/>
    <w:rsid w:val="000D580C"/>
    <w:rsid w:val="000E399A"/>
    <w:rsid w:val="000F2D16"/>
    <w:rsid w:val="0010129F"/>
    <w:rsid w:val="00103F80"/>
    <w:rsid w:val="001077BF"/>
    <w:rsid w:val="00110345"/>
    <w:rsid w:val="00110AC2"/>
    <w:rsid w:val="00112E8F"/>
    <w:rsid w:val="001161D3"/>
    <w:rsid w:val="00120BE5"/>
    <w:rsid w:val="001268BC"/>
    <w:rsid w:val="00126CA0"/>
    <w:rsid w:val="00136475"/>
    <w:rsid w:val="00151C8F"/>
    <w:rsid w:val="001570B0"/>
    <w:rsid w:val="0015730E"/>
    <w:rsid w:val="00166F43"/>
    <w:rsid w:val="00167A03"/>
    <w:rsid w:val="00181F0D"/>
    <w:rsid w:val="00193EE3"/>
    <w:rsid w:val="001954C2"/>
    <w:rsid w:val="001A067F"/>
    <w:rsid w:val="001A0D77"/>
    <w:rsid w:val="001A4940"/>
    <w:rsid w:val="001A791E"/>
    <w:rsid w:val="001B0C78"/>
    <w:rsid w:val="001B6A93"/>
    <w:rsid w:val="001B7DE8"/>
    <w:rsid w:val="001C0D28"/>
    <w:rsid w:val="001C1936"/>
    <w:rsid w:val="001C19AB"/>
    <w:rsid w:val="001C6F58"/>
    <w:rsid w:val="001C781E"/>
    <w:rsid w:val="001C7835"/>
    <w:rsid w:val="001D12EF"/>
    <w:rsid w:val="001E1FF8"/>
    <w:rsid w:val="001E221A"/>
    <w:rsid w:val="001E4FAF"/>
    <w:rsid w:val="001F13C1"/>
    <w:rsid w:val="001F2054"/>
    <w:rsid w:val="001F446D"/>
    <w:rsid w:val="00211CAF"/>
    <w:rsid w:val="00221AB7"/>
    <w:rsid w:val="00222577"/>
    <w:rsid w:val="002254A1"/>
    <w:rsid w:val="00226BD5"/>
    <w:rsid w:val="00236215"/>
    <w:rsid w:val="0023670F"/>
    <w:rsid w:val="0024312C"/>
    <w:rsid w:val="00246435"/>
    <w:rsid w:val="00246BCF"/>
    <w:rsid w:val="0025786F"/>
    <w:rsid w:val="00265D26"/>
    <w:rsid w:val="00267BFB"/>
    <w:rsid w:val="00270834"/>
    <w:rsid w:val="00270843"/>
    <w:rsid w:val="0027131C"/>
    <w:rsid w:val="00273C8C"/>
    <w:rsid w:val="002744D6"/>
    <w:rsid w:val="002761DC"/>
    <w:rsid w:val="002814E6"/>
    <w:rsid w:val="00281560"/>
    <w:rsid w:val="00281644"/>
    <w:rsid w:val="00285557"/>
    <w:rsid w:val="00295C59"/>
    <w:rsid w:val="00296F32"/>
    <w:rsid w:val="00297A9E"/>
    <w:rsid w:val="002A5443"/>
    <w:rsid w:val="002B0312"/>
    <w:rsid w:val="002B544E"/>
    <w:rsid w:val="002B770A"/>
    <w:rsid w:val="002C226F"/>
    <w:rsid w:val="002C22DD"/>
    <w:rsid w:val="002D4A10"/>
    <w:rsid w:val="002D604E"/>
    <w:rsid w:val="002E0EDA"/>
    <w:rsid w:val="002E0FEB"/>
    <w:rsid w:val="002E394D"/>
    <w:rsid w:val="002F07B4"/>
    <w:rsid w:val="002F4A35"/>
    <w:rsid w:val="002F590B"/>
    <w:rsid w:val="00300FC1"/>
    <w:rsid w:val="00303246"/>
    <w:rsid w:val="00305094"/>
    <w:rsid w:val="00305171"/>
    <w:rsid w:val="00305395"/>
    <w:rsid w:val="003126A4"/>
    <w:rsid w:val="003149B8"/>
    <w:rsid w:val="00320132"/>
    <w:rsid w:val="0033468B"/>
    <w:rsid w:val="00336D90"/>
    <w:rsid w:val="0034139E"/>
    <w:rsid w:val="0034140F"/>
    <w:rsid w:val="0034680A"/>
    <w:rsid w:val="00356139"/>
    <w:rsid w:val="003567E4"/>
    <w:rsid w:val="003615F6"/>
    <w:rsid w:val="00363921"/>
    <w:rsid w:val="00363FF8"/>
    <w:rsid w:val="003676E4"/>
    <w:rsid w:val="0037721D"/>
    <w:rsid w:val="0038102A"/>
    <w:rsid w:val="00387B01"/>
    <w:rsid w:val="00390BB8"/>
    <w:rsid w:val="00390CE3"/>
    <w:rsid w:val="00391B2A"/>
    <w:rsid w:val="00396679"/>
    <w:rsid w:val="003A265C"/>
    <w:rsid w:val="003A2A91"/>
    <w:rsid w:val="003A62E1"/>
    <w:rsid w:val="003B0240"/>
    <w:rsid w:val="003B1124"/>
    <w:rsid w:val="003B1BB4"/>
    <w:rsid w:val="003B2787"/>
    <w:rsid w:val="003B3439"/>
    <w:rsid w:val="003B4A8D"/>
    <w:rsid w:val="003B5584"/>
    <w:rsid w:val="003D0865"/>
    <w:rsid w:val="003D11BD"/>
    <w:rsid w:val="003D23A3"/>
    <w:rsid w:val="003D3729"/>
    <w:rsid w:val="003D5856"/>
    <w:rsid w:val="003D7986"/>
    <w:rsid w:val="003E1DC7"/>
    <w:rsid w:val="003F0249"/>
    <w:rsid w:val="003F57CF"/>
    <w:rsid w:val="00400BEB"/>
    <w:rsid w:val="00402EC8"/>
    <w:rsid w:val="00404E4F"/>
    <w:rsid w:val="0040757A"/>
    <w:rsid w:val="00411654"/>
    <w:rsid w:val="0041356A"/>
    <w:rsid w:val="0042339A"/>
    <w:rsid w:val="00424C4D"/>
    <w:rsid w:val="0042508F"/>
    <w:rsid w:val="00430AE6"/>
    <w:rsid w:val="00430E95"/>
    <w:rsid w:val="00434C31"/>
    <w:rsid w:val="0043780B"/>
    <w:rsid w:val="00447EC9"/>
    <w:rsid w:val="004519CE"/>
    <w:rsid w:val="00455000"/>
    <w:rsid w:val="0046088E"/>
    <w:rsid w:val="0046137F"/>
    <w:rsid w:val="00461C6B"/>
    <w:rsid w:val="004635FD"/>
    <w:rsid w:val="00464049"/>
    <w:rsid w:val="004650C0"/>
    <w:rsid w:val="00467EA8"/>
    <w:rsid w:val="00467EF9"/>
    <w:rsid w:val="00474F2E"/>
    <w:rsid w:val="00474FEE"/>
    <w:rsid w:val="004843D5"/>
    <w:rsid w:val="00493799"/>
    <w:rsid w:val="004A4D26"/>
    <w:rsid w:val="004A58DF"/>
    <w:rsid w:val="004A65E6"/>
    <w:rsid w:val="004A6B8C"/>
    <w:rsid w:val="004B4AE7"/>
    <w:rsid w:val="004B52D6"/>
    <w:rsid w:val="004B609E"/>
    <w:rsid w:val="004C1847"/>
    <w:rsid w:val="004C5DAA"/>
    <w:rsid w:val="004D1683"/>
    <w:rsid w:val="004D1958"/>
    <w:rsid w:val="004D2630"/>
    <w:rsid w:val="004D2A3F"/>
    <w:rsid w:val="004E0833"/>
    <w:rsid w:val="004E28C6"/>
    <w:rsid w:val="004E2D44"/>
    <w:rsid w:val="004F138F"/>
    <w:rsid w:val="004F23DB"/>
    <w:rsid w:val="004F5D6B"/>
    <w:rsid w:val="00500FBF"/>
    <w:rsid w:val="0050124F"/>
    <w:rsid w:val="0050670B"/>
    <w:rsid w:val="005069C2"/>
    <w:rsid w:val="00510666"/>
    <w:rsid w:val="005141E8"/>
    <w:rsid w:val="00516E6C"/>
    <w:rsid w:val="00533496"/>
    <w:rsid w:val="00540664"/>
    <w:rsid w:val="00545855"/>
    <w:rsid w:val="0054698D"/>
    <w:rsid w:val="00550C99"/>
    <w:rsid w:val="005512BC"/>
    <w:rsid w:val="00553413"/>
    <w:rsid w:val="00553C23"/>
    <w:rsid w:val="005616A9"/>
    <w:rsid w:val="0056214A"/>
    <w:rsid w:val="005632FA"/>
    <w:rsid w:val="00565F29"/>
    <w:rsid w:val="00581D78"/>
    <w:rsid w:val="0058357D"/>
    <w:rsid w:val="0058369E"/>
    <w:rsid w:val="00583984"/>
    <w:rsid w:val="00586DD1"/>
    <w:rsid w:val="005918C3"/>
    <w:rsid w:val="00593314"/>
    <w:rsid w:val="00594496"/>
    <w:rsid w:val="005A519A"/>
    <w:rsid w:val="005A51A0"/>
    <w:rsid w:val="005A5D7D"/>
    <w:rsid w:val="005A6EEF"/>
    <w:rsid w:val="005A79EE"/>
    <w:rsid w:val="005B0A63"/>
    <w:rsid w:val="005B2CF1"/>
    <w:rsid w:val="005B2DC9"/>
    <w:rsid w:val="005C2F0B"/>
    <w:rsid w:val="005C6618"/>
    <w:rsid w:val="005D79E1"/>
    <w:rsid w:val="005E22F0"/>
    <w:rsid w:val="005F48E2"/>
    <w:rsid w:val="00603E39"/>
    <w:rsid w:val="00603FD5"/>
    <w:rsid w:val="0060679A"/>
    <w:rsid w:val="00611C21"/>
    <w:rsid w:val="00616DC8"/>
    <w:rsid w:val="00623F27"/>
    <w:rsid w:val="00626B7E"/>
    <w:rsid w:val="00627D29"/>
    <w:rsid w:val="00631A11"/>
    <w:rsid w:val="00633B91"/>
    <w:rsid w:val="00637791"/>
    <w:rsid w:val="00646F3B"/>
    <w:rsid w:val="00656C80"/>
    <w:rsid w:val="0068724F"/>
    <w:rsid w:val="00697035"/>
    <w:rsid w:val="006A02D9"/>
    <w:rsid w:val="006A1DEF"/>
    <w:rsid w:val="006A3CC0"/>
    <w:rsid w:val="006A5094"/>
    <w:rsid w:val="006A657D"/>
    <w:rsid w:val="006A73A3"/>
    <w:rsid w:val="006B258F"/>
    <w:rsid w:val="006B4ED3"/>
    <w:rsid w:val="006B5716"/>
    <w:rsid w:val="006B6F9A"/>
    <w:rsid w:val="006C461E"/>
    <w:rsid w:val="006C4AF4"/>
    <w:rsid w:val="006C583F"/>
    <w:rsid w:val="006D3CD4"/>
    <w:rsid w:val="006D3F2F"/>
    <w:rsid w:val="006D4CCF"/>
    <w:rsid w:val="006D50C0"/>
    <w:rsid w:val="006E18C8"/>
    <w:rsid w:val="006E1F45"/>
    <w:rsid w:val="006E2FF4"/>
    <w:rsid w:val="006E3080"/>
    <w:rsid w:val="006E3536"/>
    <w:rsid w:val="006E47B3"/>
    <w:rsid w:val="006E76CC"/>
    <w:rsid w:val="00700AF5"/>
    <w:rsid w:val="00701D90"/>
    <w:rsid w:val="007071AE"/>
    <w:rsid w:val="00707EBC"/>
    <w:rsid w:val="00714488"/>
    <w:rsid w:val="007159D8"/>
    <w:rsid w:val="00716FA5"/>
    <w:rsid w:val="00717F79"/>
    <w:rsid w:val="0072278C"/>
    <w:rsid w:val="007238AF"/>
    <w:rsid w:val="007254A7"/>
    <w:rsid w:val="00730CC8"/>
    <w:rsid w:val="0073421C"/>
    <w:rsid w:val="00735843"/>
    <w:rsid w:val="00735D45"/>
    <w:rsid w:val="007436A4"/>
    <w:rsid w:val="0075052C"/>
    <w:rsid w:val="00750C4D"/>
    <w:rsid w:val="00766DD2"/>
    <w:rsid w:val="007672C6"/>
    <w:rsid w:val="00772DBC"/>
    <w:rsid w:val="00772E4D"/>
    <w:rsid w:val="00775E79"/>
    <w:rsid w:val="00780716"/>
    <w:rsid w:val="00780D70"/>
    <w:rsid w:val="007813EE"/>
    <w:rsid w:val="00786318"/>
    <w:rsid w:val="007927A8"/>
    <w:rsid w:val="00792868"/>
    <w:rsid w:val="00794EE2"/>
    <w:rsid w:val="0079751C"/>
    <w:rsid w:val="007977EB"/>
    <w:rsid w:val="007A0363"/>
    <w:rsid w:val="007A0A5F"/>
    <w:rsid w:val="007A22ED"/>
    <w:rsid w:val="007A2641"/>
    <w:rsid w:val="007A5F28"/>
    <w:rsid w:val="007A7DBF"/>
    <w:rsid w:val="007C267A"/>
    <w:rsid w:val="007C2EB8"/>
    <w:rsid w:val="007C3FC5"/>
    <w:rsid w:val="007C61C7"/>
    <w:rsid w:val="007D55C4"/>
    <w:rsid w:val="007D5981"/>
    <w:rsid w:val="007D606A"/>
    <w:rsid w:val="007E677E"/>
    <w:rsid w:val="007E7FE4"/>
    <w:rsid w:val="007F30E8"/>
    <w:rsid w:val="00802763"/>
    <w:rsid w:val="008043D7"/>
    <w:rsid w:val="00806F01"/>
    <w:rsid w:val="0081533C"/>
    <w:rsid w:val="0081591F"/>
    <w:rsid w:val="0081611A"/>
    <w:rsid w:val="00820E52"/>
    <w:rsid w:val="00842101"/>
    <w:rsid w:val="00843734"/>
    <w:rsid w:val="00845A6C"/>
    <w:rsid w:val="00845C1F"/>
    <w:rsid w:val="008474EA"/>
    <w:rsid w:val="0085372C"/>
    <w:rsid w:val="0085439B"/>
    <w:rsid w:val="00862C66"/>
    <w:rsid w:val="00863F87"/>
    <w:rsid w:val="0087519B"/>
    <w:rsid w:val="008751BD"/>
    <w:rsid w:val="0087753A"/>
    <w:rsid w:val="008801B1"/>
    <w:rsid w:val="008844A1"/>
    <w:rsid w:val="00893A64"/>
    <w:rsid w:val="00894E59"/>
    <w:rsid w:val="00896CBB"/>
    <w:rsid w:val="00897F77"/>
    <w:rsid w:val="008A2BB2"/>
    <w:rsid w:val="008A3B90"/>
    <w:rsid w:val="008A4E3A"/>
    <w:rsid w:val="008A71C9"/>
    <w:rsid w:val="008A7F13"/>
    <w:rsid w:val="008B05C3"/>
    <w:rsid w:val="008B1C63"/>
    <w:rsid w:val="008B4965"/>
    <w:rsid w:val="008B5CC5"/>
    <w:rsid w:val="008B637D"/>
    <w:rsid w:val="008B645A"/>
    <w:rsid w:val="008B7427"/>
    <w:rsid w:val="008C3DA4"/>
    <w:rsid w:val="008C6825"/>
    <w:rsid w:val="008D1ABD"/>
    <w:rsid w:val="008D760A"/>
    <w:rsid w:val="008F4B6E"/>
    <w:rsid w:val="008F70D1"/>
    <w:rsid w:val="008F71C8"/>
    <w:rsid w:val="008F7247"/>
    <w:rsid w:val="0090137A"/>
    <w:rsid w:val="00903437"/>
    <w:rsid w:val="00915301"/>
    <w:rsid w:val="00915F6F"/>
    <w:rsid w:val="00920F7E"/>
    <w:rsid w:val="00924E79"/>
    <w:rsid w:val="009254B8"/>
    <w:rsid w:val="00926DEE"/>
    <w:rsid w:val="00926DF7"/>
    <w:rsid w:val="00927FDE"/>
    <w:rsid w:val="00935C80"/>
    <w:rsid w:val="00936068"/>
    <w:rsid w:val="00941BB2"/>
    <w:rsid w:val="00941D24"/>
    <w:rsid w:val="009517CC"/>
    <w:rsid w:val="009526B7"/>
    <w:rsid w:val="0096004C"/>
    <w:rsid w:val="0096087B"/>
    <w:rsid w:val="009615D4"/>
    <w:rsid w:val="00964D2F"/>
    <w:rsid w:val="00970819"/>
    <w:rsid w:val="009718B3"/>
    <w:rsid w:val="009733AC"/>
    <w:rsid w:val="00973774"/>
    <w:rsid w:val="00974677"/>
    <w:rsid w:val="0097657C"/>
    <w:rsid w:val="00976C50"/>
    <w:rsid w:val="0097704C"/>
    <w:rsid w:val="00983D00"/>
    <w:rsid w:val="00990D47"/>
    <w:rsid w:val="009A1E02"/>
    <w:rsid w:val="009A2F17"/>
    <w:rsid w:val="009A360F"/>
    <w:rsid w:val="009A49D1"/>
    <w:rsid w:val="009B2231"/>
    <w:rsid w:val="009B28EA"/>
    <w:rsid w:val="009B7F5D"/>
    <w:rsid w:val="009C0347"/>
    <w:rsid w:val="009C0FDE"/>
    <w:rsid w:val="009C2F73"/>
    <w:rsid w:val="009C3732"/>
    <w:rsid w:val="009C6E4A"/>
    <w:rsid w:val="009C752B"/>
    <w:rsid w:val="009D24F5"/>
    <w:rsid w:val="009D368D"/>
    <w:rsid w:val="009D439E"/>
    <w:rsid w:val="009E684B"/>
    <w:rsid w:val="009E7ED9"/>
    <w:rsid w:val="009F1AF2"/>
    <w:rsid w:val="009F3A68"/>
    <w:rsid w:val="009F5B49"/>
    <w:rsid w:val="00A01C6A"/>
    <w:rsid w:val="00A06369"/>
    <w:rsid w:val="00A068D6"/>
    <w:rsid w:val="00A07CDF"/>
    <w:rsid w:val="00A12635"/>
    <w:rsid w:val="00A13664"/>
    <w:rsid w:val="00A14B66"/>
    <w:rsid w:val="00A15B25"/>
    <w:rsid w:val="00A20BA0"/>
    <w:rsid w:val="00A24EF4"/>
    <w:rsid w:val="00A27530"/>
    <w:rsid w:val="00A33691"/>
    <w:rsid w:val="00A4119B"/>
    <w:rsid w:val="00A41BF8"/>
    <w:rsid w:val="00A46229"/>
    <w:rsid w:val="00A46A3D"/>
    <w:rsid w:val="00A47F30"/>
    <w:rsid w:val="00A510E8"/>
    <w:rsid w:val="00A5293B"/>
    <w:rsid w:val="00A53F38"/>
    <w:rsid w:val="00A5700B"/>
    <w:rsid w:val="00A60161"/>
    <w:rsid w:val="00A60DA0"/>
    <w:rsid w:val="00A6671C"/>
    <w:rsid w:val="00A718E3"/>
    <w:rsid w:val="00A72376"/>
    <w:rsid w:val="00A75B0E"/>
    <w:rsid w:val="00A81CCD"/>
    <w:rsid w:val="00A84E01"/>
    <w:rsid w:val="00A86FA0"/>
    <w:rsid w:val="00A90151"/>
    <w:rsid w:val="00A90B18"/>
    <w:rsid w:val="00A9359B"/>
    <w:rsid w:val="00A939E8"/>
    <w:rsid w:val="00AA163B"/>
    <w:rsid w:val="00AA7661"/>
    <w:rsid w:val="00AB5F12"/>
    <w:rsid w:val="00AC0558"/>
    <w:rsid w:val="00AC2373"/>
    <w:rsid w:val="00AC24BE"/>
    <w:rsid w:val="00AC2EA8"/>
    <w:rsid w:val="00AC47F1"/>
    <w:rsid w:val="00AD10C5"/>
    <w:rsid w:val="00AD3A56"/>
    <w:rsid w:val="00AD47C6"/>
    <w:rsid w:val="00AD5095"/>
    <w:rsid w:val="00AE417E"/>
    <w:rsid w:val="00AE7C4C"/>
    <w:rsid w:val="00AF36C2"/>
    <w:rsid w:val="00AF7956"/>
    <w:rsid w:val="00B124C7"/>
    <w:rsid w:val="00B1658E"/>
    <w:rsid w:val="00B22D9D"/>
    <w:rsid w:val="00B233EA"/>
    <w:rsid w:val="00B23603"/>
    <w:rsid w:val="00B25616"/>
    <w:rsid w:val="00B32D6C"/>
    <w:rsid w:val="00B3365C"/>
    <w:rsid w:val="00B3749D"/>
    <w:rsid w:val="00B44103"/>
    <w:rsid w:val="00B445E3"/>
    <w:rsid w:val="00B56365"/>
    <w:rsid w:val="00B57C8C"/>
    <w:rsid w:val="00B6239A"/>
    <w:rsid w:val="00B625EA"/>
    <w:rsid w:val="00B65DAA"/>
    <w:rsid w:val="00B667AB"/>
    <w:rsid w:val="00B66B2F"/>
    <w:rsid w:val="00B74F7F"/>
    <w:rsid w:val="00B75B08"/>
    <w:rsid w:val="00B76126"/>
    <w:rsid w:val="00B849A9"/>
    <w:rsid w:val="00B8527B"/>
    <w:rsid w:val="00B87859"/>
    <w:rsid w:val="00B87EE0"/>
    <w:rsid w:val="00B91D47"/>
    <w:rsid w:val="00B968B1"/>
    <w:rsid w:val="00BA3CB8"/>
    <w:rsid w:val="00BA7623"/>
    <w:rsid w:val="00BA771A"/>
    <w:rsid w:val="00BC125A"/>
    <w:rsid w:val="00BC1B87"/>
    <w:rsid w:val="00BC3673"/>
    <w:rsid w:val="00BD6C9B"/>
    <w:rsid w:val="00BD760A"/>
    <w:rsid w:val="00BE0CE8"/>
    <w:rsid w:val="00BE2B45"/>
    <w:rsid w:val="00BE571C"/>
    <w:rsid w:val="00BF3799"/>
    <w:rsid w:val="00BF68C8"/>
    <w:rsid w:val="00C01E68"/>
    <w:rsid w:val="00C110A4"/>
    <w:rsid w:val="00C11924"/>
    <w:rsid w:val="00C12CF1"/>
    <w:rsid w:val="00C16877"/>
    <w:rsid w:val="00C177DC"/>
    <w:rsid w:val="00C2094D"/>
    <w:rsid w:val="00C21935"/>
    <w:rsid w:val="00C279D5"/>
    <w:rsid w:val="00C3264D"/>
    <w:rsid w:val="00C326F9"/>
    <w:rsid w:val="00C331D3"/>
    <w:rsid w:val="00C34C8E"/>
    <w:rsid w:val="00C356AC"/>
    <w:rsid w:val="00C36B3B"/>
    <w:rsid w:val="00C37A29"/>
    <w:rsid w:val="00C409AB"/>
    <w:rsid w:val="00C41603"/>
    <w:rsid w:val="00C41DED"/>
    <w:rsid w:val="00C55960"/>
    <w:rsid w:val="00C57DCA"/>
    <w:rsid w:val="00C60623"/>
    <w:rsid w:val="00C63E89"/>
    <w:rsid w:val="00C66236"/>
    <w:rsid w:val="00C70EFC"/>
    <w:rsid w:val="00C8367B"/>
    <w:rsid w:val="00C930F4"/>
    <w:rsid w:val="00C932F3"/>
    <w:rsid w:val="00C9436C"/>
    <w:rsid w:val="00CA0CCD"/>
    <w:rsid w:val="00CA1FCA"/>
    <w:rsid w:val="00CA215A"/>
    <w:rsid w:val="00CA3C79"/>
    <w:rsid w:val="00CA41C7"/>
    <w:rsid w:val="00CB1E32"/>
    <w:rsid w:val="00CD1EE9"/>
    <w:rsid w:val="00CD61EB"/>
    <w:rsid w:val="00CE0E00"/>
    <w:rsid w:val="00CE326C"/>
    <w:rsid w:val="00CF02F0"/>
    <w:rsid w:val="00CF52B1"/>
    <w:rsid w:val="00CF551D"/>
    <w:rsid w:val="00D0731A"/>
    <w:rsid w:val="00D103E7"/>
    <w:rsid w:val="00D16F74"/>
    <w:rsid w:val="00D215C3"/>
    <w:rsid w:val="00D21D51"/>
    <w:rsid w:val="00D330FB"/>
    <w:rsid w:val="00D338BD"/>
    <w:rsid w:val="00D34FB0"/>
    <w:rsid w:val="00D408CC"/>
    <w:rsid w:val="00D40CA6"/>
    <w:rsid w:val="00D44534"/>
    <w:rsid w:val="00D452E6"/>
    <w:rsid w:val="00D55A6D"/>
    <w:rsid w:val="00D57253"/>
    <w:rsid w:val="00D60649"/>
    <w:rsid w:val="00D61DEA"/>
    <w:rsid w:val="00D61E88"/>
    <w:rsid w:val="00D62A68"/>
    <w:rsid w:val="00D6504B"/>
    <w:rsid w:val="00D65E2E"/>
    <w:rsid w:val="00D666D0"/>
    <w:rsid w:val="00D67238"/>
    <w:rsid w:val="00D67925"/>
    <w:rsid w:val="00D73854"/>
    <w:rsid w:val="00D77A36"/>
    <w:rsid w:val="00D80CBE"/>
    <w:rsid w:val="00D83923"/>
    <w:rsid w:val="00D91674"/>
    <w:rsid w:val="00D9419D"/>
    <w:rsid w:val="00D94CDF"/>
    <w:rsid w:val="00DA046B"/>
    <w:rsid w:val="00DA3107"/>
    <w:rsid w:val="00DA4B37"/>
    <w:rsid w:val="00DB1BE4"/>
    <w:rsid w:val="00DB4E33"/>
    <w:rsid w:val="00DB5C7B"/>
    <w:rsid w:val="00DB7434"/>
    <w:rsid w:val="00DD2867"/>
    <w:rsid w:val="00DD3C7C"/>
    <w:rsid w:val="00DD6CCD"/>
    <w:rsid w:val="00DD711F"/>
    <w:rsid w:val="00DE0ABE"/>
    <w:rsid w:val="00DE0B46"/>
    <w:rsid w:val="00DE1DCC"/>
    <w:rsid w:val="00DE221D"/>
    <w:rsid w:val="00DE59FB"/>
    <w:rsid w:val="00DE602B"/>
    <w:rsid w:val="00DE68E7"/>
    <w:rsid w:val="00DF4408"/>
    <w:rsid w:val="00DF4E3E"/>
    <w:rsid w:val="00E000EB"/>
    <w:rsid w:val="00E02C93"/>
    <w:rsid w:val="00E0453D"/>
    <w:rsid w:val="00E05FA6"/>
    <w:rsid w:val="00E10CD8"/>
    <w:rsid w:val="00E1647C"/>
    <w:rsid w:val="00E20FB9"/>
    <w:rsid w:val="00E22D86"/>
    <w:rsid w:val="00E25474"/>
    <w:rsid w:val="00E32F93"/>
    <w:rsid w:val="00E37516"/>
    <w:rsid w:val="00E406F8"/>
    <w:rsid w:val="00E40B25"/>
    <w:rsid w:val="00E42A61"/>
    <w:rsid w:val="00E47F28"/>
    <w:rsid w:val="00E51BD9"/>
    <w:rsid w:val="00E528F4"/>
    <w:rsid w:val="00E54B2B"/>
    <w:rsid w:val="00E56A45"/>
    <w:rsid w:val="00E57CEC"/>
    <w:rsid w:val="00E615F0"/>
    <w:rsid w:val="00E634F4"/>
    <w:rsid w:val="00E637A7"/>
    <w:rsid w:val="00E663F1"/>
    <w:rsid w:val="00E721D1"/>
    <w:rsid w:val="00E72CBE"/>
    <w:rsid w:val="00E7503F"/>
    <w:rsid w:val="00E7522A"/>
    <w:rsid w:val="00E75FCA"/>
    <w:rsid w:val="00E7697D"/>
    <w:rsid w:val="00E774E2"/>
    <w:rsid w:val="00E803E9"/>
    <w:rsid w:val="00E90E1C"/>
    <w:rsid w:val="00E95766"/>
    <w:rsid w:val="00E95F37"/>
    <w:rsid w:val="00EA1943"/>
    <w:rsid w:val="00EA2D06"/>
    <w:rsid w:val="00EA30F7"/>
    <w:rsid w:val="00EA3594"/>
    <w:rsid w:val="00EA7FB0"/>
    <w:rsid w:val="00EB4BAD"/>
    <w:rsid w:val="00EB7E08"/>
    <w:rsid w:val="00ED02D0"/>
    <w:rsid w:val="00ED47B4"/>
    <w:rsid w:val="00EE4DFE"/>
    <w:rsid w:val="00EE55BD"/>
    <w:rsid w:val="00EE6F14"/>
    <w:rsid w:val="00EE71B4"/>
    <w:rsid w:val="00EF0EDF"/>
    <w:rsid w:val="00EF2DD4"/>
    <w:rsid w:val="00EF3F23"/>
    <w:rsid w:val="00EF4208"/>
    <w:rsid w:val="00EF4324"/>
    <w:rsid w:val="00EF5EBC"/>
    <w:rsid w:val="00F041D8"/>
    <w:rsid w:val="00F05A49"/>
    <w:rsid w:val="00F1284B"/>
    <w:rsid w:val="00F162D4"/>
    <w:rsid w:val="00F24923"/>
    <w:rsid w:val="00F33262"/>
    <w:rsid w:val="00F370AE"/>
    <w:rsid w:val="00F4010B"/>
    <w:rsid w:val="00F4430E"/>
    <w:rsid w:val="00F451D8"/>
    <w:rsid w:val="00F4702C"/>
    <w:rsid w:val="00F47F1C"/>
    <w:rsid w:val="00F505B8"/>
    <w:rsid w:val="00F53397"/>
    <w:rsid w:val="00F54AF7"/>
    <w:rsid w:val="00F55C10"/>
    <w:rsid w:val="00F55D80"/>
    <w:rsid w:val="00F605D7"/>
    <w:rsid w:val="00F625FE"/>
    <w:rsid w:val="00F62CA8"/>
    <w:rsid w:val="00F634F6"/>
    <w:rsid w:val="00F6447A"/>
    <w:rsid w:val="00F649E5"/>
    <w:rsid w:val="00F82603"/>
    <w:rsid w:val="00F83614"/>
    <w:rsid w:val="00F8728D"/>
    <w:rsid w:val="00F87B07"/>
    <w:rsid w:val="00F92739"/>
    <w:rsid w:val="00F92D4F"/>
    <w:rsid w:val="00F934BC"/>
    <w:rsid w:val="00F94880"/>
    <w:rsid w:val="00FA09F2"/>
    <w:rsid w:val="00FA1B6A"/>
    <w:rsid w:val="00FA42A6"/>
    <w:rsid w:val="00FB0D65"/>
    <w:rsid w:val="00FB1EA0"/>
    <w:rsid w:val="00FB5FFF"/>
    <w:rsid w:val="00FC1603"/>
    <w:rsid w:val="00FC2D8B"/>
    <w:rsid w:val="00FD2FF6"/>
    <w:rsid w:val="00FD3306"/>
    <w:rsid w:val="00FE1E52"/>
    <w:rsid w:val="00FE22BA"/>
    <w:rsid w:val="00FE35D0"/>
    <w:rsid w:val="00FE3E6D"/>
    <w:rsid w:val="00FE57D8"/>
    <w:rsid w:val="00FF23BE"/>
    <w:rsid w:val="00FF3D72"/>
    <w:rsid w:val="00FF69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C6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91E"/>
    <w:pPr>
      <w:spacing w:before="120" w:after="240" w:line="264" w:lineRule="auto"/>
    </w:pPr>
    <w:rPr>
      <w:rFonts w:asciiTheme="majorHAnsi" w:hAnsiTheme="majorHAnsi"/>
    </w:rPr>
  </w:style>
  <w:style w:type="paragraph" w:styleId="Heading1">
    <w:name w:val="heading 1"/>
    <w:basedOn w:val="Normal"/>
    <w:next w:val="Normal"/>
    <w:link w:val="Heading1Char"/>
    <w:uiPriority w:val="9"/>
    <w:qFormat/>
    <w:rsid w:val="002F07B4"/>
    <w:pPr>
      <w:keepNext/>
      <w:keepLines/>
      <w:spacing w:before="600" w:after="440"/>
      <w:outlineLvl w:val="0"/>
    </w:pPr>
    <w:rPr>
      <w:rFonts w:eastAsiaTheme="majorEastAsia"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eastAsiaTheme="majorEastAsia" w:cstheme="majorBidi"/>
      <w:color w:val="430098" w:themeColor="text2"/>
      <w:sz w:val="30"/>
      <w:szCs w:val="26"/>
    </w:rPr>
  </w:style>
  <w:style w:type="paragraph" w:styleId="Heading3">
    <w:name w:val="heading 3"/>
    <w:basedOn w:val="Normal"/>
    <w:next w:val="Normal"/>
    <w:link w:val="Heading3Char"/>
    <w:uiPriority w:val="9"/>
    <w:qFormat/>
    <w:rsid w:val="002F07B4"/>
    <w:pPr>
      <w:keepNext/>
      <w:keepLines/>
      <w:spacing w:before="360"/>
      <w:outlineLvl w:val="2"/>
    </w:pPr>
    <w:rPr>
      <w:rFonts w:eastAsiaTheme="majorEastAsia"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eastAsiaTheme="majorEastAsia"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eastAsiaTheme="majorEastAsia"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0D3DF9"/>
    <w:pPr>
      <w:numPr>
        <w:numId w:val="5"/>
      </w:numPr>
      <w:contextualSpacing/>
    </w:pPr>
  </w:style>
  <w:style w:type="paragraph" w:styleId="ListBullet2">
    <w:name w:val="List Bullet 2"/>
    <w:basedOn w:val="Normal"/>
    <w:uiPriority w:val="99"/>
    <w:unhideWhenUsed/>
    <w:qFormat/>
    <w:rsid w:val="000D3DF9"/>
    <w:pPr>
      <w:numPr>
        <w:ilvl w:val="1"/>
        <w:numId w:val="5"/>
      </w:numPr>
      <w:contextualSpacing/>
    </w:pPr>
  </w:style>
  <w:style w:type="paragraph" w:styleId="ListNumber">
    <w:name w:val="List Number"/>
    <w:basedOn w:val="Normal"/>
    <w:uiPriority w:val="99"/>
    <w:unhideWhenUsed/>
    <w:qFormat/>
    <w:rsid w:val="005A51A0"/>
    <w:pPr>
      <w:numPr>
        <w:numId w:val="6"/>
      </w:numPr>
      <w:contextualSpacing/>
    </w:pPr>
  </w:style>
  <w:style w:type="numbering" w:customStyle="1" w:styleId="Bullets">
    <w:name w:val="Bullets"/>
    <w:uiPriority w:val="99"/>
    <w:rsid w:val="000D3DF9"/>
    <w:pPr>
      <w:numPr>
        <w:numId w:val="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5A51A0"/>
    <w:pPr>
      <w:numPr>
        <w:ilvl w:val="1"/>
        <w:numId w:val="6"/>
      </w:numPr>
      <w:contextualSpacing/>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983D00"/>
    <w:rPr>
      <w:sz w:val="14"/>
    </w:rPr>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5A51A0"/>
    <w:pPr>
      <w:numPr>
        <w:numId w:val="2"/>
      </w:numPr>
    </w:pPr>
  </w:style>
  <w:style w:type="paragraph" w:styleId="ListBullet3">
    <w:name w:val="List Bullet 3"/>
    <w:basedOn w:val="Normal"/>
    <w:uiPriority w:val="99"/>
    <w:unhideWhenUsed/>
    <w:rsid w:val="000D3DF9"/>
    <w:pPr>
      <w:numPr>
        <w:ilvl w:val="2"/>
        <w:numId w:val="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5A51A0"/>
    <w:pPr>
      <w:numPr>
        <w:ilvl w:val="2"/>
        <w:numId w:val="6"/>
      </w:numPr>
      <w:contextualSpacing/>
    </w:pPr>
  </w:style>
  <w:style w:type="paragraph" w:styleId="ListNumber4">
    <w:name w:val="List Number 4"/>
    <w:basedOn w:val="Normal"/>
    <w:uiPriority w:val="99"/>
    <w:unhideWhenUsed/>
    <w:qFormat/>
    <w:rsid w:val="005A51A0"/>
    <w:pPr>
      <w:numPr>
        <w:ilvl w:val="3"/>
        <w:numId w:val="6"/>
      </w:numPr>
      <w:contextualSpacing/>
    </w:pPr>
  </w:style>
  <w:style w:type="paragraph" w:styleId="ListNumber5">
    <w:name w:val="List Number 5"/>
    <w:basedOn w:val="Normal"/>
    <w:uiPriority w:val="99"/>
    <w:unhideWhenUsed/>
    <w:rsid w:val="005A51A0"/>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281560"/>
    <w:pPr>
      <w:spacing w:after="360" w:line="228" w:lineRule="auto"/>
      <w:ind w:right="1701"/>
      <w:contextualSpacing/>
      <w:outlineLvl w:val="0"/>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281560"/>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NormalBoldChar">
    <w:name w:val="Normal Bold Char"/>
    <w:basedOn w:val="DefaultParagraphFont"/>
    <w:link w:val="NormalBold"/>
    <w:rsid w:val="002F07B4"/>
    <w:rPr>
      <w:b/>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A20BA0"/>
    <w:pPr>
      <w:numPr>
        <w:numId w:val="7"/>
      </w:numPr>
      <w:contextualSpacing/>
    </w:pPr>
  </w:style>
  <w:style w:type="paragraph" w:styleId="List2">
    <w:name w:val="List 2"/>
    <w:basedOn w:val="Normal"/>
    <w:uiPriority w:val="99"/>
    <w:unhideWhenUsed/>
    <w:qFormat/>
    <w:rsid w:val="00A20BA0"/>
    <w:pPr>
      <w:numPr>
        <w:ilvl w:val="1"/>
        <w:numId w:val="7"/>
      </w:numPr>
      <w:contextualSpacing/>
    </w:pPr>
  </w:style>
  <w:style w:type="numbering" w:customStyle="1" w:styleId="LetteredList">
    <w:name w:val="Lettered List"/>
    <w:uiPriority w:val="99"/>
    <w:rsid w:val="00A20BA0"/>
    <w:pPr>
      <w:numPr>
        <w:numId w:val="4"/>
      </w:numPr>
    </w:pPr>
  </w:style>
  <w:style w:type="paragraph" w:styleId="Subtitle">
    <w:name w:val="Subtitle"/>
    <w:basedOn w:val="Normal"/>
    <w:next w:val="Normal"/>
    <w:link w:val="SubtitleChar"/>
    <w:uiPriority w:val="11"/>
    <w:rsid w:val="00CF551D"/>
    <w:pPr>
      <w:numPr>
        <w:ilvl w:val="1"/>
      </w:numPr>
      <w:spacing w:after="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CF551D"/>
    <w:rPr>
      <w:rFonts w:eastAsiaTheme="minorEastAsia"/>
      <w:color w:val="430098" w:themeColor="text2"/>
      <w:spacing w:val="-4"/>
      <w:sz w:val="30"/>
    </w:rPr>
  </w:style>
  <w:style w:type="paragraph" w:styleId="TOCHeading">
    <w:name w:val="TOC Heading"/>
    <w:basedOn w:val="Heading1"/>
    <w:next w:val="Normal"/>
    <w:uiPriority w:val="39"/>
    <w:qFormat/>
    <w:rsid w:val="006A3CC0"/>
    <w:pPr>
      <w:spacing w:line="259" w:lineRule="auto"/>
    </w:pPr>
    <w:rPr>
      <w:lang w:val="en-US"/>
    </w:rPr>
  </w:style>
  <w:style w:type="paragraph" w:styleId="TOC1">
    <w:name w:val="toc 1"/>
    <w:basedOn w:val="Normal"/>
    <w:next w:val="Normal"/>
    <w:autoRedefine/>
    <w:uiPriority w:val="39"/>
    <w:rsid w:val="00700AF5"/>
    <w:pPr>
      <w:spacing w:before="160" w:after="100"/>
    </w:pPr>
    <w:rPr>
      <w:color w:val="430098" w:themeColor="text2"/>
      <w:sz w:val="24"/>
    </w:rPr>
  </w:style>
  <w:style w:type="paragraph" w:styleId="TOC2">
    <w:name w:val="toc 2"/>
    <w:basedOn w:val="Normal"/>
    <w:next w:val="Normal"/>
    <w:autoRedefine/>
    <w:uiPriority w:val="39"/>
    <w:rsid w:val="006A3CC0"/>
    <w:pPr>
      <w:tabs>
        <w:tab w:val="right" w:leader="dot" w:pos="9288"/>
      </w:tabs>
      <w:spacing w:before="160" w:after="100"/>
    </w:pPr>
    <w:rPr>
      <w:color w:val="430098" w:themeColor="text2"/>
    </w:rPr>
  </w:style>
  <w:style w:type="paragraph" w:styleId="TOC3">
    <w:name w:val="toc 3"/>
    <w:basedOn w:val="Normal"/>
    <w:next w:val="Normal"/>
    <w:autoRedefine/>
    <w:uiPriority w:val="39"/>
    <w:rsid w:val="00700AF5"/>
    <w:pPr>
      <w:tabs>
        <w:tab w:val="right" w:leader="dot" w:pos="9628"/>
      </w:tabs>
      <w:spacing w:after="100"/>
      <w:ind w:left="284"/>
    </w:pPr>
    <w:rPr>
      <w:sz w:val="20"/>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link w:val="NormalBoldChar"/>
    <w:qFormat/>
    <w:rsid w:val="002F07B4"/>
    <w:pPr>
      <w:spacing w:after="120"/>
    </w:pPr>
    <w:rPr>
      <w:b/>
    </w:rPr>
  </w:style>
  <w:style w:type="paragraph" w:customStyle="1" w:styleId="Footer-logolockup">
    <w:name w:val="Footer-logo lockup"/>
    <w:basedOn w:val="Footer"/>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rsid w:val="00E56A45"/>
    <w:pPr>
      <w:jc w:val="right"/>
    </w:pPr>
  </w:style>
  <w:style w:type="paragraph" w:customStyle="1" w:styleId="Footer-Rightframe">
    <w:name w:val="Footer-Right frame"/>
    <w:basedOn w:val="Footer-Right"/>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rsid w:val="004843D5"/>
    <w:rPr>
      <w:b/>
      <w:caps/>
      <w:color w:val="430098" w:themeColor="text2"/>
      <w:spacing w:val="-4"/>
      <w:sz w:val="18"/>
    </w:rPr>
  </w:style>
  <w:style w:type="paragraph" w:customStyle="1" w:styleId="Tabletext">
    <w:name w:val="Table text"/>
    <w:basedOn w:val="Normal"/>
    <w:qFormat/>
    <w:rsid w:val="0056214A"/>
    <w:pPr>
      <w:spacing w:after="160"/>
    </w:pPr>
    <w:rPr>
      <w:sz w:val="18"/>
    </w:rPr>
  </w:style>
  <w:style w:type="paragraph" w:styleId="Quote">
    <w:name w:val="Quote"/>
    <w:basedOn w:val="Normal"/>
    <w:next w:val="Normal"/>
    <w:link w:val="QuoteChar"/>
    <w:uiPriority w:val="29"/>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467EA8"/>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70" w:type="dxa"/>
        <w:left w:w="170" w:type="dxa"/>
        <w:bottom w:w="57" w:type="dxa"/>
        <w:right w:w="170"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band2Vert">
      <w:tblPr/>
      <w:tcPr>
        <w:shd w:val="clear" w:color="auto" w:fill="F5F5F5"/>
      </w:tcPr>
    </w:tblStylePr>
  </w:style>
  <w:style w:type="paragraph" w:customStyle="1" w:styleId="ProtectiveMarking">
    <w:name w:val="Protective Marking"/>
    <w:basedOn w:val="Normal"/>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eastAsia="Times New Roman" w:cstheme="minorHAnsi"/>
      <w:color w:val="430098"/>
      <w:sz w:val="20"/>
      <w:szCs w:val="20"/>
      <w:lang w:eastAsia="en-GB"/>
    </w:rPr>
  </w:style>
  <w:style w:type="character" w:customStyle="1" w:styleId="QuoteChar">
    <w:name w:val="Quote Char"/>
    <w:basedOn w:val="DefaultParagraphFont"/>
    <w:link w:val="Quote"/>
    <w:uiPriority w:val="29"/>
    <w:rsid w:val="00FF3D72"/>
    <w:rPr>
      <w:i/>
      <w:iCs/>
      <w:color w:val="430098" w:themeColor="text2"/>
    </w:rPr>
  </w:style>
  <w:style w:type="paragraph" w:customStyle="1" w:styleId="TitlepageHeading1">
    <w:name w:val="Title page Heading 1"/>
    <w:basedOn w:val="Heading1"/>
    <w:rsid w:val="00A60DA0"/>
    <w:pPr>
      <w:spacing w:before="0"/>
      <w:outlineLvl w:val="1"/>
    </w:pPr>
  </w:style>
  <w:style w:type="paragraph" w:customStyle="1" w:styleId="ListContinue6">
    <w:name w:val="List Continue 6"/>
    <w:basedOn w:val="ListContinue5"/>
    <w:uiPriority w:val="99"/>
    <w:qFormat/>
    <w:rsid w:val="005A51A0"/>
    <w:pPr>
      <w:ind w:left="1701"/>
    </w:pPr>
  </w:style>
  <w:style w:type="paragraph" w:customStyle="1" w:styleId="Agencyinformation">
    <w:name w:val="Agency information"/>
    <w:rsid w:val="003126A4"/>
    <w:pPr>
      <w:pBdr>
        <w:bottom w:val="single" w:sz="8" w:space="20" w:color="430098" w:themeColor="text2"/>
      </w:pBdr>
      <w:spacing w:before="120" w:line="240" w:lineRule="auto"/>
    </w:pPr>
    <w:rPr>
      <w:b/>
      <w:caps/>
      <w:color w:val="430098" w:themeColor="text2"/>
      <w:sz w:val="28"/>
    </w:rPr>
  </w:style>
  <w:style w:type="paragraph" w:customStyle="1" w:styleId="Toggle">
    <w:name w:val="Toggle"/>
    <w:basedOn w:val="Agencyinformation"/>
    <w:qFormat/>
    <w:rsid w:val="00E75FCA"/>
    <w:pPr>
      <w:pBdr>
        <w:bottom w:val="none" w:sz="0" w:space="0" w:color="auto"/>
      </w:pBdr>
      <w:spacing w:before="0" w:after="0"/>
      <w:outlineLvl w:val="0"/>
    </w:pPr>
    <w:rPr>
      <w:caps w:val="0"/>
      <w:color w:val="FFFFFF" w:themeColor="background1"/>
      <w:sz w:val="16"/>
    </w:rPr>
  </w:style>
  <w:style w:type="paragraph" w:customStyle="1" w:styleId="Togglenote">
    <w:name w:val="Toggle note"/>
    <w:basedOn w:val="Toggle"/>
    <w:rsid w:val="00110345"/>
    <w:pPr>
      <w:framePr w:w="680" w:wrap="around" w:vAnchor="text" w:hAnchor="page" w:x="285" w:y="-1020" w:anchorLock="1"/>
      <w:spacing w:line="228" w:lineRule="auto"/>
      <w:outlineLvl w:val="9"/>
    </w:pPr>
    <w:rPr>
      <w:b w:val="0"/>
      <w:vanish/>
      <w:color w:val="EA3AB0" w:themeColor="accent2"/>
      <w:sz w:val="14"/>
    </w:rPr>
  </w:style>
  <w:style w:type="table" w:customStyle="1" w:styleId="OVICFooter">
    <w:name w:val="OVIC Footer"/>
    <w:basedOn w:val="TableNormal"/>
    <w:uiPriority w:val="99"/>
    <w:rsid w:val="009B2231"/>
    <w:pPr>
      <w:spacing w:after="0" w:line="240" w:lineRule="auto"/>
    </w:pPr>
    <w:tblPr>
      <w:tblBorders>
        <w:top w:val="single" w:sz="8" w:space="0" w:color="430098" w:themeColor="text2"/>
      </w:tblBorders>
      <w:tblCellMar>
        <w:top w:w="340" w:type="dxa"/>
        <w:left w:w="0" w:type="dxa"/>
        <w:bottom w:w="680" w:type="dxa"/>
      </w:tblCellMar>
    </w:tblPr>
    <w:tcPr>
      <w:vAlign w:val="bottom"/>
    </w:tcPr>
  </w:style>
  <w:style w:type="paragraph" w:customStyle="1" w:styleId="FooterToggle">
    <w:name w:val="Footer Toggle"/>
    <w:basedOn w:val="Normal"/>
    <w:link w:val="FooterToggleChar"/>
    <w:rsid w:val="00CA1FCA"/>
    <w:pPr>
      <w:spacing w:before="0" w:after="0" w:line="240" w:lineRule="auto"/>
    </w:pPr>
    <w:rPr>
      <w:b/>
      <w:color w:val="430098" w:themeColor="text2"/>
      <w:sz w:val="16"/>
    </w:rPr>
  </w:style>
  <w:style w:type="paragraph" w:customStyle="1" w:styleId="Footercovertoggleholder">
    <w:name w:val="Footer cover toggle holder"/>
    <w:basedOn w:val="Normal"/>
    <w:rsid w:val="00B3365C"/>
    <w:pPr>
      <w:framePr w:w="9299" w:wrap="around" w:vAnchor="page" w:hAnchor="margin" w:yAlign="bottom" w:anchorLock="1"/>
      <w:spacing w:before="0" w:after="160" w:line="259" w:lineRule="auto"/>
    </w:pPr>
  </w:style>
  <w:style w:type="paragraph" w:customStyle="1" w:styleId="FooterToggle-Disclaimer">
    <w:name w:val="Footer Toggle-Disclaimer"/>
    <w:basedOn w:val="FooterToggle"/>
    <w:rsid w:val="00D34FB0"/>
    <w:pPr>
      <w:spacing w:line="228" w:lineRule="auto"/>
      <w:ind w:right="1134"/>
    </w:pPr>
    <w:rPr>
      <w:b w:val="0"/>
      <w:color w:val="auto"/>
      <w:sz w:val="14"/>
    </w:rPr>
  </w:style>
  <w:style w:type="paragraph" w:customStyle="1" w:styleId="PageNumber-right">
    <w:name w:val="Page Number-right"/>
    <w:basedOn w:val="FooterToggle"/>
    <w:link w:val="PageNumber-rightChar"/>
    <w:rsid w:val="00A81CCD"/>
    <w:pPr>
      <w:framePr w:hSpace="181" w:wrap="around" w:vAnchor="page" w:hAnchor="margin" w:yAlign="bottom"/>
      <w:suppressOverlap/>
      <w:jc w:val="right"/>
    </w:pPr>
    <w:rPr>
      <w:b w:val="0"/>
      <w:bCs/>
    </w:rPr>
  </w:style>
  <w:style w:type="character" w:customStyle="1" w:styleId="FooterToggleChar">
    <w:name w:val="Footer Toggle Char"/>
    <w:basedOn w:val="DefaultParagraphFont"/>
    <w:link w:val="FooterToggle"/>
    <w:rsid w:val="00A81CCD"/>
    <w:rPr>
      <w:b/>
      <w:color w:val="430098" w:themeColor="text2"/>
      <w:sz w:val="16"/>
    </w:rPr>
  </w:style>
  <w:style w:type="character" w:customStyle="1" w:styleId="PageNumber-rightChar">
    <w:name w:val="Page Number-right Char"/>
    <w:basedOn w:val="FooterToggleChar"/>
    <w:link w:val="PageNumber-right"/>
    <w:rsid w:val="00A81CCD"/>
    <w:rPr>
      <w:b w:val="0"/>
      <w:bCs/>
      <w:color w:val="430098" w:themeColor="text2"/>
      <w:sz w:val="16"/>
    </w:rPr>
  </w:style>
  <w:style w:type="character" w:styleId="CommentReference">
    <w:name w:val="annotation reference"/>
    <w:basedOn w:val="DefaultParagraphFont"/>
    <w:uiPriority w:val="99"/>
    <w:unhideWhenUsed/>
    <w:rsid w:val="00BF3799"/>
    <w:rPr>
      <w:sz w:val="16"/>
      <w:szCs w:val="16"/>
    </w:rPr>
  </w:style>
  <w:style w:type="paragraph" w:styleId="FootnoteText">
    <w:name w:val="footnote text"/>
    <w:basedOn w:val="Normal"/>
    <w:link w:val="FootnoteTextChar"/>
    <w:uiPriority w:val="99"/>
    <w:unhideWhenUsed/>
    <w:rsid w:val="004C5DAA"/>
    <w:pPr>
      <w:spacing w:before="0" w:after="120" w:line="240" w:lineRule="auto"/>
      <w:ind w:left="85" w:hanging="85"/>
    </w:pPr>
    <w:rPr>
      <w:sz w:val="16"/>
      <w:szCs w:val="20"/>
    </w:rPr>
  </w:style>
  <w:style w:type="character" w:customStyle="1" w:styleId="FootnoteTextChar">
    <w:name w:val="Footnote Text Char"/>
    <w:basedOn w:val="DefaultParagraphFont"/>
    <w:link w:val="FootnoteText"/>
    <w:uiPriority w:val="99"/>
    <w:rsid w:val="004C5DAA"/>
    <w:rPr>
      <w:rFonts w:asciiTheme="majorHAnsi" w:hAnsiTheme="majorHAnsi"/>
      <w:sz w:val="16"/>
      <w:szCs w:val="20"/>
    </w:rPr>
  </w:style>
  <w:style w:type="character" w:styleId="FootnoteReference">
    <w:name w:val="footnote reference"/>
    <w:basedOn w:val="DefaultParagraphFont"/>
    <w:uiPriority w:val="99"/>
    <w:semiHidden/>
    <w:unhideWhenUsed/>
    <w:rsid w:val="004C5DAA"/>
    <w:rPr>
      <w:vertAlign w:val="superscript"/>
    </w:rPr>
  </w:style>
  <w:style w:type="paragraph" w:customStyle="1" w:styleId="Body">
    <w:name w:val="Body"/>
    <w:basedOn w:val="Normal"/>
    <w:qFormat/>
    <w:rsid w:val="00E803E9"/>
    <w:pPr>
      <w:widowControl w:val="0"/>
      <w:suppressAutoHyphens/>
      <w:autoSpaceDE w:val="0"/>
      <w:autoSpaceDN w:val="0"/>
      <w:adjustRightInd w:val="0"/>
      <w:spacing w:before="0" w:line="240" w:lineRule="auto"/>
      <w:textAlignment w:val="center"/>
    </w:pPr>
    <w:rPr>
      <w:rFonts w:ascii="Calibri" w:eastAsia="Calibri" w:hAnsi="Calibri" w:cs="PostGrotesk-Book"/>
      <w:color w:val="55565A"/>
      <w:lang w:val="en-GB"/>
    </w:rPr>
  </w:style>
  <w:style w:type="character" w:styleId="Emphasis">
    <w:name w:val="Emphasis"/>
    <w:basedOn w:val="DefaultParagraphFont"/>
    <w:uiPriority w:val="20"/>
    <w:qFormat/>
    <w:rsid w:val="00E803E9"/>
    <w:rPr>
      <w:i/>
      <w:iCs/>
    </w:rPr>
  </w:style>
  <w:style w:type="paragraph" w:customStyle="1" w:styleId="SectionHeading1">
    <w:name w:val="Section Heading 1"/>
    <w:basedOn w:val="Normal"/>
    <w:qFormat/>
    <w:rsid w:val="00F4430E"/>
    <w:pPr>
      <w:widowControl w:val="0"/>
      <w:suppressAutoHyphens/>
      <w:autoSpaceDE w:val="0"/>
      <w:autoSpaceDN w:val="0"/>
      <w:adjustRightInd w:val="0"/>
      <w:spacing w:before="0" w:after="120" w:line="288" w:lineRule="auto"/>
      <w:textAlignment w:val="center"/>
    </w:pPr>
    <w:rPr>
      <w:rFonts w:ascii="Calibri" w:eastAsia="Calibri" w:hAnsi="Calibri" w:cs="PostGrotesk-Medium"/>
      <w:color w:val="430098"/>
      <w:sz w:val="28"/>
      <w:szCs w:val="28"/>
      <w:lang w:val="en-GB"/>
    </w:rPr>
  </w:style>
  <w:style w:type="paragraph" w:customStyle="1" w:styleId="BodyCopy">
    <w:name w:val="Body Copy"/>
    <w:basedOn w:val="Normal"/>
    <w:uiPriority w:val="99"/>
    <w:qFormat/>
    <w:rsid w:val="00A6671C"/>
    <w:pPr>
      <w:widowControl w:val="0"/>
      <w:suppressAutoHyphens/>
      <w:autoSpaceDE w:val="0"/>
      <w:autoSpaceDN w:val="0"/>
      <w:adjustRightInd w:val="0"/>
      <w:spacing w:after="200"/>
      <w:textAlignment w:val="center"/>
    </w:pPr>
    <w:rPr>
      <w:rFonts w:asciiTheme="minorHAnsi" w:eastAsia="Times New Roman" w:hAnsiTheme="minorHAnsi" w:cs="National-Book"/>
      <w:color w:val="55565A"/>
      <w:lang w:val="en-US"/>
    </w:rPr>
  </w:style>
  <w:style w:type="paragraph" w:customStyle="1" w:styleId="TableText0">
    <w:name w:val="Table Text"/>
    <w:basedOn w:val="NoSpacing"/>
    <w:qFormat/>
    <w:rsid w:val="0097704C"/>
  </w:style>
  <w:style w:type="paragraph" w:styleId="CommentText">
    <w:name w:val="annotation text"/>
    <w:basedOn w:val="Normal"/>
    <w:link w:val="CommentTextChar"/>
    <w:uiPriority w:val="99"/>
    <w:unhideWhenUsed/>
    <w:rsid w:val="00015CA0"/>
    <w:pPr>
      <w:spacing w:line="240" w:lineRule="auto"/>
    </w:pPr>
    <w:rPr>
      <w:sz w:val="20"/>
      <w:szCs w:val="20"/>
    </w:rPr>
  </w:style>
  <w:style w:type="character" w:customStyle="1" w:styleId="CommentTextChar">
    <w:name w:val="Comment Text Char"/>
    <w:basedOn w:val="DefaultParagraphFont"/>
    <w:link w:val="CommentText"/>
    <w:uiPriority w:val="99"/>
    <w:rsid w:val="00015CA0"/>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15CA0"/>
    <w:rPr>
      <w:b/>
      <w:bCs/>
    </w:rPr>
  </w:style>
  <w:style w:type="character" w:customStyle="1" w:styleId="CommentSubjectChar">
    <w:name w:val="Comment Subject Char"/>
    <w:basedOn w:val="CommentTextChar"/>
    <w:link w:val="CommentSubject"/>
    <w:uiPriority w:val="99"/>
    <w:semiHidden/>
    <w:rsid w:val="00015CA0"/>
    <w:rPr>
      <w:rFonts w:asciiTheme="majorHAnsi" w:hAnsiTheme="majorHAnsi"/>
      <w:b/>
      <w:bCs/>
      <w:sz w:val="20"/>
      <w:szCs w:val="20"/>
    </w:rPr>
  </w:style>
  <w:style w:type="character" w:styleId="FollowedHyperlink">
    <w:name w:val="FollowedHyperlink"/>
    <w:basedOn w:val="DefaultParagraphFont"/>
    <w:uiPriority w:val="99"/>
    <w:semiHidden/>
    <w:unhideWhenUsed/>
    <w:rsid w:val="005616A9"/>
    <w:rPr>
      <w:color w:val="000000" w:themeColor="followedHyperlink"/>
      <w:u w:val="single"/>
    </w:rPr>
  </w:style>
  <w:style w:type="paragraph" w:styleId="Revision">
    <w:name w:val="Revision"/>
    <w:hidden/>
    <w:uiPriority w:val="99"/>
    <w:semiHidden/>
    <w:rsid w:val="00E40B25"/>
    <w:pPr>
      <w:spacing w:after="0" w:line="240" w:lineRule="auto"/>
    </w:pPr>
    <w:rPr>
      <w:rFonts w:asciiTheme="majorHAnsi" w:hAnsiTheme="majorHAnsi"/>
    </w:rPr>
  </w:style>
  <w:style w:type="table" w:customStyle="1" w:styleId="OVICDefaulttable1">
    <w:name w:val="OVIC Default table1"/>
    <w:basedOn w:val="TableNormal"/>
    <w:uiPriority w:val="99"/>
    <w:rsid w:val="00E7503F"/>
    <w:pPr>
      <w:spacing w:after="0" w:line="240" w:lineRule="auto"/>
    </w:pPr>
    <w:rPr>
      <w:rFonts w:ascii="Calibri Light" w:hAnsi="Calibri Light"/>
      <w:sz w:val="18"/>
    </w:rPr>
    <w:tblPr>
      <w:tblStyleColBandSize w:val="1"/>
      <w:tblBorders>
        <w:top w:val="single" w:sz="4" w:space="0" w:color="auto"/>
        <w:bottom w:val="single" w:sz="4" w:space="0" w:color="auto"/>
        <w:insideH w:val="single" w:sz="4" w:space="0" w:color="auto"/>
        <w:insideV w:val="single" w:sz="4" w:space="0" w:color="D9D9D9"/>
      </w:tblBorders>
      <w:tblCellMar>
        <w:top w:w="113" w:type="dxa"/>
        <w:left w:w="113" w:type="dxa"/>
        <w:bottom w:w="113" w:type="dxa"/>
        <w:right w:w="113" w:type="dxa"/>
      </w:tblCellMar>
    </w:tblPr>
    <w:tblStylePr w:type="firstRow">
      <w:rPr>
        <w:rFonts w:ascii="Calibri" w:hAnsi="Calibri"/>
        <w:b/>
      </w:rPr>
      <w:tblPr/>
      <w:tcPr>
        <w:tcBorders>
          <w:top w:val="single" w:sz="12" w:space="0" w:color="auto"/>
          <w:left w:val="nil"/>
          <w:bottom w:val="single" w:sz="12" w:space="0" w:color="auto"/>
          <w:right w:val="nil"/>
          <w:insideH w:val="nil"/>
          <w:insideV w:val="single" w:sz="4" w:space="0" w:color="D9D9D9"/>
          <w:tl2br w:val="nil"/>
          <w:tr2bl w:val="nil"/>
        </w:tcBorders>
      </w:tcPr>
    </w:tblStylePr>
    <w:tblStylePr w:type="firstCol">
      <w:rPr>
        <w:b/>
      </w:rPr>
    </w:tblStylePr>
    <w:tblStylePr w:type="band2Vert">
      <w:tblPr/>
      <w:tcPr>
        <w:shd w:val="clear" w:color="auto" w:fill="F5F5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3860">
      <w:bodyDiv w:val="1"/>
      <w:marLeft w:val="0"/>
      <w:marRight w:val="0"/>
      <w:marTop w:val="0"/>
      <w:marBottom w:val="0"/>
      <w:divBdr>
        <w:top w:val="none" w:sz="0" w:space="0" w:color="auto"/>
        <w:left w:val="none" w:sz="0" w:space="0" w:color="auto"/>
        <w:bottom w:val="none" w:sz="0" w:space="0" w:color="auto"/>
        <w:right w:val="none" w:sz="0" w:space="0" w:color="auto"/>
      </w:divBdr>
    </w:div>
    <w:div w:id="192815489">
      <w:bodyDiv w:val="1"/>
      <w:marLeft w:val="0"/>
      <w:marRight w:val="0"/>
      <w:marTop w:val="0"/>
      <w:marBottom w:val="0"/>
      <w:divBdr>
        <w:top w:val="none" w:sz="0" w:space="0" w:color="auto"/>
        <w:left w:val="none" w:sz="0" w:space="0" w:color="auto"/>
        <w:bottom w:val="none" w:sz="0" w:space="0" w:color="auto"/>
        <w:right w:val="none" w:sz="0" w:space="0" w:color="auto"/>
      </w:divBdr>
    </w:div>
    <w:div w:id="333413963">
      <w:bodyDiv w:val="1"/>
      <w:marLeft w:val="0"/>
      <w:marRight w:val="0"/>
      <w:marTop w:val="0"/>
      <w:marBottom w:val="0"/>
      <w:divBdr>
        <w:top w:val="none" w:sz="0" w:space="0" w:color="auto"/>
        <w:left w:val="none" w:sz="0" w:space="0" w:color="auto"/>
        <w:bottom w:val="none" w:sz="0" w:space="0" w:color="auto"/>
        <w:right w:val="none" w:sz="0" w:space="0" w:color="auto"/>
      </w:divBdr>
    </w:div>
    <w:div w:id="387457841">
      <w:bodyDiv w:val="1"/>
      <w:marLeft w:val="0"/>
      <w:marRight w:val="0"/>
      <w:marTop w:val="0"/>
      <w:marBottom w:val="0"/>
      <w:divBdr>
        <w:top w:val="none" w:sz="0" w:space="0" w:color="auto"/>
        <w:left w:val="none" w:sz="0" w:space="0" w:color="auto"/>
        <w:bottom w:val="none" w:sz="0" w:space="0" w:color="auto"/>
        <w:right w:val="none" w:sz="0" w:space="0" w:color="auto"/>
      </w:divBdr>
    </w:div>
    <w:div w:id="445542640">
      <w:bodyDiv w:val="1"/>
      <w:marLeft w:val="0"/>
      <w:marRight w:val="0"/>
      <w:marTop w:val="0"/>
      <w:marBottom w:val="0"/>
      <w:divBdr>
        <w:top w:val="none" w:sz="0" w:space="0" w:color="auto"/>
        <w:left w:val="none" w:sz="0" w:space="0" w:color="auto"/>
        <w:bottom w:val="none" w:sz="0" w:space="0" w:color="auto"/>
        <w:right w:val="none" w:sz="0" w:space="0" w:color="auto"/>
      </w:divBdr>
    </w:div>
    <w:div w:id="507141826">
      <w:bodyDiv w:val="1"/>
      <w:marLeft w:val="0"/>
      <w:marRight w:val="0"/>
      <w:marTop w:val="0"/>
      <w:marBottom w:val="0"/>
      <w:divBdr>
        <w:top w:val="none" w:sz="0" w:space="0" w:color="auto"/>
        <w:left w:val="none" w:sz="0" w:space="0" w:color="auto"/>
        <w:bottom w:val="none" w:sz="0" w:space="0" w:color="auto"/>
        <w:right w:val="none" w:sz="0" w:space="0" w:color="auto"/>
      </w:divBdr>
    </w:div>
    <w:div w:id="532840033">
      <w:bodyDiv w:val="1"/>
      <w:marLeft w:val="0"/>
      <w:marRight w:val="0"/>
      <w:marTop w:val="0"/>
      <w:marBottom w:val="0"/>
      <w:divBdr>
        <w:top w:val="none" w:sz="0" w:space="0" w:color="auto"/>
        <w:left w:val="none" w:sz="0" w:space="0" w:color="auto"/>
        <w:bottom w:val="none" w:sz="0" w:space="0" w:color="auto"/>
        <w:right w:val="none" w:sz="0" w:space="0" w:color="auto"/>
      </w:divBdr>
    </w:div>
    <w:div w:id="544147463">
      <w:bodyDiv w:val="1"/>
      <w:marLeft w:val="0"/>
      <w:marRight w:val="0"/>
      <w:marTop w:val="0"/>
      <w:marBottom w:val="0"/>
      <w:divBdr>
        <w:top w:val="none" w:sz="0" w:space="0" w:color="auto"/>
        <w:left w:val="none" w:sz="0" w:space="0" w:color="auto"/>
        <w:bottom w:val="none" w:sz="0" w:space="0" w:color="auto"/>
        <w:right w:val="none" w:sz="0" w:space="0" w:color="auto"/>
      </w:divBdr>
    </w:div>
    <w:div w:id="646711006">
      <w:bodyDiv w:val="1"/>
      <w:marLeft w:val="0"/>
      <w:marRight w:val="0"/>
      <w:marTop w:val="0"/>
      <w:marBottom w:val="0"/>
      <w:divBdr>
        <w:top w:val="none" w:sz="0" w:space="0" w:color="auto"/>
        <w:left w:val="none" w:sz="0" w:space="0" w:color="auto"/>
        <w:bottom w:val="none" w:sz="0" w:space="0" w:color="auto"/>
        <w:right w:val="none" w:sz="0" w:space="0" w:color="auto"/>
      </w:divBdr>
    </w:div>
    <w:div w:id="650477406">
      <w:bodyDiv w:val="1"/>
      <w:marLeft w:val="0"/>
      <w:marRight w:val="0"/>
      <w:marTop w:val="0"/>
      <w:marBottom w:val="0"/>
      <w:divBdr>
        <w:top w:val="none" w:sz="0" w:space="0" w:color="auto"/>
        <w:left w:val="none" w:sz="0" w:space="0" w:color="auto"/>
        <w:bottom w:val="none" w:sz="0" w:space="0" w:color="auto"/>
        <w:right w:val="none" w:sz="0" w:space="0" w:color="auto"/>
      </w:divBdr>
    </w:div>
    <w:div w:id="695816778">
      <w:bodyDiv w:val="1"/>
      <w:marLeft w:val="0"/>
      <w:marRight w:val="0"/>
      <w:marTop w:val="0"/>
      <w:marBottom w:val="0"/>
      <w:divBdr>
        <w:top w:val="none" w:sz="0" w:space="0" w:color="auto"/>
        <w:left w:val="none" w:sz="0" w:space="0" w:color="auto"/>
        <w:bottom w:val="none" w:sz="0" w:space="0" w:color="auto"/>
        <w:right w:val="none" w:sz="0" w:space="0" w:color="auto"/>
      </w:divBdr>
    </w:div>
    <w:div w:id="699865416">
      <w:bodyDiv w:val="1"/>
      <w:marLeft w:val="0"/>
      <w:marRight w:val="0"/>
      <w:marTop w:val="0"/>
      <w:marBottom w:val="0"/>
      <w:divBdr>
        <w:top w:val="none" w:sz="0" w:space="0" w:color="auto"/>
        <w:left w:val="none" w:sz="0" w:space="0" w:color="auto"/>
        <w:bottom w:val="none" w:sz="0" w:space="0" w:color="auto"/>
        <w:right w:val="none" w:sz="0" w:space="0" w:color="auto"/>
      </w:divBdr>
    </w:div>
    <w:div w:id="716393183">
      <w:bodyDiv w:val="1"/>
      <w:marLeft w:val="0"/>
      <w:marRight w:val="0"/>
      <w:marTop w:val="0"/>
      <w:marBottom w:val="0"/>
      <w:divBdr>
        <w:top w:val="none" w:sz="0" w:space="0" w:color="auto"/>
        <w:left w:val="none" w:sz="0" w:space="0" w:color="auto"/>
        <w:bottom w:val="none" w:sz="0" w:space="0" w:color="auto"/>
        <w:right w:val="none" w:sz="0" w:space="0" w:color="auto"/>
      </w:divBdr>
    </w:div>
    <w:div w:id="724063468">
      <w:bodyDiv w:val="1"/>
      <w:marLeft w:val="0"/>
      <w:marRight w:val="0"/>
      <w:marTop w:val="0"/>
      <w:marBottom w:val="0"/>
      <w:divBdr>
        <w:top w:val="none" w:sz="0" w:space="0" w:color="auto"/>
        <w:left w:val="none" w:sz="0" w:space="0" w:color="auto"/>
        <w:bottom w:val="none" w:sz="0" w:space="0" w:color="auto"/>
        <w:right w:val="none" w:sz="0" w:space="0" w:color="auto"/>
      </w:divBdr>
    </w:div>
    <w:div w:id="765537275">
      <w:bodyDiv w:val="1"/>
      <w:marLeft w:val="0"/>
      <w:marRight w:val="0"/>
      <w:marTop w:val="0"/>
      <w:marBottom w:val="0"/>
      <w:divBdr>
        <w:top w:val="none" w:sz="0" w:space="0" w:color="auto"/>
        <w:left w:val="none" w:sz="0" w:space="0" w:color="auto"/>
        <w:bottom w:val="none" w:sz="0" w:space="0" w:color="auto"/>
        <w:right w:val="none" w:sz="0" w:space="0" w:color="auto"/>
      </w:divBdr>
    </w:div>
    <w:div w:id="794257601">
      <w:bodyDiv w:val="1"/>
      <w:marLeft w:val="0"/>
      <w:marRight w:val="0"/>
      <w:marTop w:val="0"/>
      <w:marBottom w:val="0"/>
      <w:divBdr>
        <w:top w:val="none" w:sz="0" w:space="0" w:color="auto"/>
        <w:left w:val="none" w:sz="0" w:space="0" w:color="auto"/>
        <w:bottom w:val="none" w:sz="0" w:space="0" w:color="auto"/>
        <w:right w:val="none" w:sz="0" w:space="0" w:color="auto"/>
      </w:divBdr>
    </w:div>
    <w:div w:id="866210893">
      <w:bodyDiv w:val="1"/>
      <w:marLeft w:val="0"/>
      <w:marRight w:val="0"/>
      <w:marTop w:val="0"/>
      <w:marBottom w:val="0"/>
      <w:divBdr>
        <w:top w:val="none" w:sz="0" w:space="0" w:color="auto"/>
        <w:left w:val="none" w:sz="0" w:space="0" w:color="auto"/>
        <w:bottom w:val="none" w:sz="0" w:space="0" w:color="auto"/>
        <w:right w:val="none" w:sz="0" w:space="0" w:color="auto"/>
      </w:divBdr>
    </w:div>
    <w:div w:id="938834001">
      <w:bodyDiv w:val="1"/>
      <w:marLeft w:val="0"/>
      <w:marRight w:val="0"/>
      <w:marTop w:val="0"/>
      <w:marBottom w:val="0"/>
      <w:divBdr>
        <w:top w:val="none" w:sz="0" w:space="0" w:color="auto"/>
        <w:left w:val="none" w:sz="0" w:space="0" w:color="auto"/>
        <w:bottom w:val="none" w:sz="0" w:space="0" w:color="auto"/>
        <w:right w:val="none" w:sz="0" w:space="0" w:color="auto"/>
      </w:divBdr>
    </w:div>
    <w:div w:id="1038436813">
      <w:bodyDiv w:val="1"/>
      <w:marLeft w:val="0"/>
      <w:marRight w:val="0"/>
      <w:marTop w:val="0"/>
      <w:marBottom w:val="0"/>
      <w:divBdr>
        <w:top w:val="none" w:sz="0" w:space="0" w:color="auto"/>
        <w:left w:val="none" w:sz="0" w:space="0" w:color="auto"/>
        <w:bottom w:val="none" w:sz="0" w:space="0" w:color="auto"/>
        <w:right w:val="none" w:sz="0" w:space="0" w:color="auto"/>
      </w:divBdr>
    </w:div>
    <w:div w:id="1061296965">
      <w:bodyDiv w:val="1"/>
      <w:marLeft w:val="0"/>
      <w:marRight w:val="0"/>
      <w:marTop w:val="0"/>
      <w:marBottom w:val="0"/>
      <w:divBdr>
        <w:top w:val="none" w:sz="0" w:space="0" w:color="auto"/>
        <w:left w:val="none" w:sz="0" w:space="0" w:color="auto"/>
        <w:bottom w:val="none" w:sz="0" w:space="0" w:color="auto"/>
        <w:right w:val="none" w:sz="0" w:space="0" w:color="auto"/>
      </w:divBdr>
    </w:div>
    <w:div w:id="1317227315">
      <w:bodyDiv w:val="1"/>
      <w:marLeft w:val="0"/>
      <w:marRight w:val="0"/>
      <w:marTop w:val="0"/>
      <w:marBottom w:val="0"/>
      <w:divBdr>
        <w:top w:val="none" w:sz="0" w:space="0" w:color="auto"/>
        <w:left w:val="none" w:sz="0" w:space="0" w:color="auto"/>
        <w:bottom w:val="none" w:sz="0" w:space="0" w:color="auto"/>
        <w:right w:val="none" w:sz="0" w:space="0" w:color="auto"/>
      </w:divBdr>
    </w:div>
    <w:div w:id="1352759264">
      <w:bodyDiv w:val="1"/>
      <w:marLeft w:val="0"/>
      <w:marRight w:val="0"/>
      <w:marTop w:val="0"/>
      <w:marBottom w:val="0"/>
      <w:divBdr>
        <w:top w:val="none" w:sz="0" w:space="0" w:color="auto"/>
        <w:left w:val="none" w:sz="0" w:space="0" w:color="auto"/>
        <w:bottom w:val="none" w:sz="0" w:space="0" w:color="auto"/>
        <w:right w:val="none" w:sz="0" w:space="0" w:color="auto"/>
      </w:divBdr>
    </w:div>
    <w:div w:id="1466314504">
      <w:bodyDiv w:val="1"/>
      <w:marLeft w:val="0"/>
      <w:marRight w:val="0"/>
      <w:marTop w:val="0"/>
      <w:marBottom w:val="0"/>
      <w:divBdr>
        <w:top w:val="none" w:sz="0" w:space="0" w:color="auto"/>
        <w:left w:val="none" w:sz="0" w:space="0" w:color="auto"/>
        <w:bottom w:val="none" w:sz="0" w:space="0" w:color="auto"/>
        <w:right w:val="none" w:sz="0" w:space="0" w:color="auto"/>
      </w:divBdr>
    </w:div>
    <w:div w:id="1609461422">
      <w:bodyDiv w:val="1"/>
      <w:marLeft w:val="0"/>
      <w:marRight w:val="0"/>
      <w:marTop w:val="0"/>
      <w:marBottom w:val="0"/>
      <w:divBdr>
        <w:top w:val="none" w:sz="0" w:space="0" w:color="auto"/>
        <w:left w:val="none" w:sz="0" w:space="0" w:color="auto"/>
        <w:bottom w:val="none" w:sz="0" w:space="0" w:color="auto"/>
        <w:right w:val="none" w:sz="0" w:space="0" w:color="auto"/>
      </w:divBdr>
    </w:div>
    <w:div w:id="1637684888">
      <w:bodyDiv w:val="1"/>
      <w:marLeft w:val="0"/>
      <w:marRight w:val="0"/>
      <w:marTop w:val="0"/>
      <w:marBottom w:val="0"/>
      <w:divBdr>
        <w:top w:val="none" w:sz="0" w:space="0" w:color="auto"/>
        <w:left w:val="none" w:sz="0" w:space="0" w:color="auto"/>
        <w:bottom w:val="none" w:sz="0" w:space="0" w:color="auto"/>
        <w:right w:val="none" w:sz="0" w:space="0" w:color="auto"/>
      </w:divBdr>
    </w:div>
    <w:div w:id="1820075688">
      <w:bodyDiv w:val="1"/>
      <w:marLeft w:val="0"/>
      <w:marRight w:val="0"/>
      <w:marTop w:val="0"/>
      <w:marBottom w:val="0"/>
      <w:divBdr>
        <w:top w:val="none" w:sz="0" w:space="0" w:color="auto"/>
        <w:left w:val="none" w:sz="0" w:space="0" w:color="auto"/>
        <w:bottom w:val="none" w:sz="0" w:space="0" w:color="auto"/>
        <w:right w:val="none" w:sz="0" w:space="0" w:color="auto"/>
      </w:divBdr>
    </w:div>
    <w:div w:id="1957132225">
      <w:bodyDiv w:val="1"/>
      <w:marLeft w:val="0"/>
      <w:marRight w:val="0"/>
      <w:marTop w:val="0"/>
      <w:marBottom w:val="0"/>
      <w:divBdr>
        <w:top w:val="none" w:sz="0" w:space="0" w:color="auto"/>
        <w:left w:val="none" w:sz="0" w:space="0" w:color="auto"/>
        <w:bottom w:val="none" w:sz="0" w:space="0" w:color="auto"/>
        <w:right w:val="none" w:sz="0" w:space="0" w:color="auto"/>
      </w:divBdr>
    </w:div>
    <w:div w:id="2005544729">
      <w:bodyDiv w:val="1"/>
      <w:marLeft w:val="0"/>
      <w:marRight w:val="0"/>
      <w:marTop w:val="0"/>
      <w:marBottom w:val="0"/>
      <w:divBdr>
        <w:top w:val="none" w:sz="0" w:space="0" w:color="auto"/>
        <w:left w:val="none" w:sz="0" w:space="0" w:color="auto"/>
        <w:bottom w:val="none" w:sz="0" w:space="0" w:color="auto"/>
        <w:right w:val="none" w:sz="0" w:space="0" w:color="auto"/>
      </w:divBdr>
    </w:div>
    <w:div w:id="2030911844">
      <w:bodyDiv w:val="1"/>
      <w:marLeft w:val="0"/>
      <w:marRight w:val="0"/>
      <w:marTop w:val="0"/>
      <w:marBottom w:val="0"/>
      <w:divBdr>
        <w:top w:val="none" w:sz="0" w:space="0" w:color="auto"/>
        <w:left w:val="none" w:sz="0" w:space="0" w:color="auto"/>
        <w:bottom w:val="none" w:sz="0" w:space="0" w:color="auto"/>
        <w:right w:val="none" w:sz="0" w:space="0" w:color="auto"/>
      </w:divBdr>
    </w:div>
    <w:div w:id="21126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mailto:security@ovic.vic.gov.au" TargetMode="External"/><Relationship Id="rId3" Type="http://schemas.openxmlformats.org/officeDocument/2006/relationships/numbering" Target="numbering.xml"/><Relationship Id="rId21" Type="http://schemas.openxmlformats.org/officeDocument/2006/relationships/hyperlink" Target="https://www.afr.com/property/commercial/valuation-firm-htw-suspended-by-banks-after-data-breach-20240411-p5fj33" TargetMode="External"/><Relationship Id="rId7" Type="http://schemas.openxmlformats.org/officeDocument/2006/relationships/footnotes" Target="footnotes.xml"/><Relationship Id="rId12" Type="http://schemas.openxmlformats.org/officeDocument/2006/relationships/hyperlink" Target="https://www.nsw.gov.au/id-support-nsw/learn/data-breaches/data-breach-announcements/oraclecms-data-breach" TargetMode="External"/><Relationship Id="rId17" Type="http://schemas.openxmlformats.org/officeDocument/2006/relationships/chart" Target="charts/chart7.xml"/><Relationship Id="rId25" Type="http://schemas.openxmlformats.org/officeDocument/2006/relationships/hyperlink" Target="https://ovic.vic.gov.au/data-protection/agency-reporting-obligations/incident-notific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yperlink" Target="https://ovic.vic.gov.au/mediarelease/zircodata-cyber-incident-involving-victorian-public-sector-informatio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0.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9.xm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www.nsw.gov.au/id-support-nsw/learn/data-breaches/data-breach-announcements/oraclecms-data-breach"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ovic.vic.gov.au/information-security/security-insights/" TargetMode="External"/><Relationship Id="rId14" Type="http://schemas.openxmlformats.org/officeDocument/2006/relationships/chart" Target="charts/chart4.xml"/><Relationship Id="rId22" Type="http://schemas.openxmlformats.org/officeDocument/2006/relationships/hyperlink" Target="https://www.teg.com.au/statement-regarding-ticketek-cyber-incident/"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ovic.vic.gov.au/data-protection/victorian-protective-data-security-framework-business-impact-level-table-v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Notifications by month</c:v>
                </c:pt>
              </c:strCache>
            </c:strRef>
          </c:tx>
          <c:spPr>
            <a:solidFill>
              <a:schemeClr val="accent1"/>
            </a:solidFill>
            <a:ln w="0">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mmm\-yy</c:formatCode>
                <c:ptCount val="12"/>
                <c:pt idx="0">
                  <c:v>45108</c:v>
                </c:pt>
                <c:pt idx="1">
                  <c:v>45139</c:v>
                </c:pt>
                <c:pt idx="2">
                  <c:v>45170</c:v>
                </c:pt>
                <c:pt idx="3">
                  <c:v>45200</c:v>
                </c:pt>
                <c:pt idx="4">
                  <c:v>45231</c:v>
                </c:pt>
                <c:pt idx="5">
                  <c:v>45261</c:v>
                </c:pt>
                <c:pt idx="6">
                  <c:v>45292</c:v>
                </c:pt>
                <c:pt idx="7">
                  <c:v>45323</c:v>
                </c:pt>
                <c:pt idx="8">
                  <c:v>45352</c:v>
                </c:pt>
                <c:pt idx="9">
                  <c:v>45383</c:v>
                </c:pt>
                <c:pt idx="10">
                  <c:v>45413</c:v>
                </c:pt>
                <c:pt idx="11">
                  <c:v>45444</c:v>
                </c:pt>
              </c:numCache>
            </c:numRef>
          </c:cat>
          <c:val>
            <c:numRef>
              <c:f>Sheet1!$B$2:$B$13</c:f>
              <c:numCache>
                <c:formatCode>General</c:formatCode>
                <c:ptCount val="12"/>
                <c:pt idx="0">
                  <c:v>37</c:v>
                </c:pt>
                <c:pt idx="1">
                  <c:v>64</c:v>
                </c:pt>
                <c:pt idx="2">
                  <c:v>46</c:v>
                </c:pt>
                <c:pt idx="3">
                  <c:v>124</c:v>
                </c:pt>
                <c:pt idx="4">
                  <c:v>47</c:v>
                </c:pt>
                <c:pt idx="5">
                  <c:v>24</c:v>
                </c:pt>
                <c:pt idx="6">
                  <c:v>77</c:v>
                </c:pt>
                <c:pt idx="7">
                  <c:v>47</c:v>
                </c:pt>
                <c:pt idx="8">
                  <c:v>55</c:v>
                </c:pt>
                <c:pt idx="9">
                  <c:v>61</c:v>
                </c:pt>
                <c:pt idx="10">
                  <c:v>63</c:v>
                </c:pt>
                <c:pt idx="11">
                  <c:v>81</c:v>
                </c:pt>
              </c:numCache>
            </c:numRef>
          </c:val>
          <c:extLst>
            <c:ext xmlns:c16="http://schemas.microsoft.com/office/drawing/2014/chart" uri="{C3380CC4-5D6E-409C-BE32-E72D297353CC}">
              <c16:uniqueId val="{00000000-9322-0942-8DAB-423EA25951EC}"/>
            </c:ext>
          </c:extLst>
        </c:ser>
        <c:dLbls>
          <c:showLegendKey val="0"/>
          <c:showVal val="0"/>
          <c:showCatName val="0"/>
          <c:showSerName val="0"/>
          <c:showPercent val="0"/>
          <c:showBubbleSize val="0"/>
        </c:dLbls>
        <c:gapWidth val="25"/>
        <c:axId val="1982757695"/>
        <c:axId val="1982734223"/>
      </c:barChart>
      <c:dateAx>
        <c:axId val="1982757695"/>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2734223"/>
        <c:crosses val="autoZero"/>
        <c:auto val="1"/>
        <c:lblOffset val="100"/>
        <c:baseTimeUnit val="months"/>
      </c:dateAx>
      <c:valAx>
        <c:axId val="1982734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27576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Theft or loss of asset</c:v>
                </c:pt>
                <c:pt idx="1">
                  <c:v>Lost or stolen ID</c:v>
                </c:pt>
                <c:pt idx="2">
                  <c:v>Unauthorised release or disclosure of information</c:v>
                </c:pt>
                <c:pt idx="3">
                  <c:v>Communications Fault</c:v>
                </c:pt>
                <c:pt idx="4">
                  <c:v>Information handling</c:v>
                </c:pt>
              </c:strCache>
            </c:strRef>
          </c:cat>
          <c:val>
            <c:numRef>
              <c:f>Sheet1!$B$2:$B$6</c:f>
              <c:numCache>
                <c:formatCode>General</c:formatCode>
                <c:ptCount val="5"/>
                <c:pt idx="0">
                  <c:v>236</c:v>
                </c:pt>
                <c:pt idx="1">
                  <c:v>252</c:v>
                </c:pt>
                <c:pt idx="2">
                  <c:v>131</c:v>
                </c:pt>
                <c:pt idx="3">
                  <c:v>122</c:v>
                </c:pt>
                <c:pt idx="4">
                  <c:v>86</c:v>
                </c:pt>
              </c:numCache>
            </c:numRef>
          </c:val>
          <c:extLst>
            <c:ext xmlns:c16="http://schemas.microsoft.com/office/drawing/2014/chart" uri="{C3380CC4-5D6E-409C-BE32-E72D297353CC}">
              <c16:uniqueId val="{00000000-C968-E842-A03D-098C69C8A143}"/>
            </c:ext>
          </c:extLst>
        </c:ser>
        <c:ser>
          <c:idx val="1"/>
          <c:order val="1"/>
          <c:tx>
            <c:strRef>
              <c:f>Sheet1!$C$1</c:f>
              <c:strCache>
                <c:ptCount val="1"/>
                <c:pt idx="0">
                  <c:v>2022-23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Theft or loss of asset</c:v>
                </c:pt>
                <c:pt idx="1">
                  <c:v>Lost or stolen ID</c:v>
                </c:pt>
                <c:pt idx="2">
                  <c:v>Unauthorised release or disclosure of information</c:v>
                </c:pt>
                <c:pt idx="3">
                  <c:v>Communications Fault</c:v>
                </c:pt>
                <c:pt idx="4">
                  <c:v>Information handling</c:v>
                </c:pt>
              </c:strCache>
            </c:strRef>
          </c:cat>
          <c:val>
            <c:numRef>
              <c:f>Sheet1!$C$2:$C$6</c:f>
              <c:numCache>
                <c:formatCode>General</c:formatCode>
                <c:ptCount val="5"/>
                <c:pt idx="0">
                  <c:v>234</c:v>
                </c:pt>
                <c:pt idx="1">
                  <c:v>214</c:v>
                </c:pt>
                <c:pt idx="2">
                  <c:v>76</c:v>
                </c:pt>
                <c:pt idx="3">
                  <c:v>93</c:v>
                </c:pt>
                <c:pt idx="4">
                  <c:v>94</c:v>
                </c:pt>
              </c:numCache>
            </c:numRef>
          </c:val>
          <c:extLst>
            <c:ext xmlns:c16="http://schemas.microsoft.com/office/drawing/2014/chart" uri="{C3380CC4-5D6E-409C-BE32-E72D297353CC}">
              <c16:uniqueId val="{00000001-C968-E842-A03D-098C69C8A143}"/>
            </c:ext>
          </c:extLst>
        </c:ser>
        <c:ser>
          <c:idx val="2"/>
          <c:order val="2"/>
          <c:tx>
            <c:strRef>
              <c:f>Sheet1!$D$1</c:f>
              <c:strCache>
                <c:ptCount val="1"/>
                <c:pt idx="0">
                  <c:v>2021-22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Theft or loss of asset</c:v>
                </c:pt>
                <c:pt idx="1">
                  <c:v>Lost or stolen ID</c:v>
                </c:pt>
                <c:pt idx="2">
                  <c:v>Unauthorised release or disclosure of information</c:v>
                </c:pt>
                <c:pt idx="3">
                  <c:v>Communications Fault</c:v>
                </c:pt>
                <c:pt idx="4">
                  <c:v>Information handling</c:v>
                </c:pt>
              </c:strCache>
            </c:strRef>
          </c:cat>
          <c:val>
            <c:numRef>
              <c:f>Sheet1!$D$2:$D$6</c:f>
              <c:numCache>
                <c:formatCode>General</c:formatCode>
                <c:ptCount val="5"/>
                <c:pt idx="0">
                  <c:v>241</c:v>
                </c:pt>
                <c:pt idx="1">
                  <c:v>209</c:v>
                </c:pt>
                <c:pt idx="2">
                  <c:v>85</c:v>
                </c:pt>
                <c:pt idx="3">
                  <c:v>39</c:v>
                </c:pt>
                <c:pt idx="4">
                  <c:v>79</c:v>
                </c:pt>
              </c:numCache>
            </c:numRef>
          </c:val>
          <c:extLst>
            <c:ext xmlns:c16="http://schemas.microsoft.com/office/drawing/2014/chart" uri="{C3380CC4-5D6E-409C-BE32-E72D297353CC}">
              <c16:uniqueId val="{00000002-C968-E842-A03D-098C69C8A143}"/>
            </c:ext>
          </c:extLst>
        </c:ser>
        <c:ser>
          <c:idx val="3"/>
          <c:order val="3"/>
          <c:tx>
            <c:strRef>
              <c:f>Sheet1!$E$1</c:f>
              <c:strCache>
                <c:ptCount val="1"/>
                <c:pt idx="0">
                  <c:v>2020-21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Theft or loss of asset</c:v>
                </c:pt>
                <c:pt idx="1">
                  <c:v>Lost or stolen ID</c:v>
                </c:pt>
                <c:pt idx="2">
                  <c:v>Unauthorised release or disclosure of information</c:v>
                </c:pt>
                <c:pt idx="3">
                  <c:v>Communications Fault</c:v>
                </c:pt>
                <c:pt idx="4">
                  <c:v>Information handling</c:v>
                </c:pt>
              </c:strCache>
            </c:strRef>
          </c:cat>
          <c:val>
            <c:numRef>
              <c:f>Sheet1!$E$2:$E$6</c:f>
              <c:numCache>
                <c:formatCode>General</c:formatCode>
                <c:ptCount val="5"/>
                <c:pt idx="0">
                  <c:v>279</c:v>
                </c:pt>
                <c:pt idx="1">
                  <c:v>179</c:v>
                </c:pt>
                <c:pt idx="2">
                  <c:v>103</c:v>
                </c:pt>
                <c:pt idx="3">
                  <c:v>0</c:v>
                </c:pt>
                <c:pt idx="4">
                  <c:v>149</c:v>
                </c:pt>
              </c:numCache>
            </c:numRef>
          </c:val>
          <c:extLst>
            <c:ext xmlns:c16="http://schemas.microsoft.com/office/drawing/2014/chart" uri="{C3380CC4-5D6E-409C-BE32-E72D297353CC}">
              <c16:uniqueId val="{00000003-C968-E842-A03D-098C69C8A143}"/>
            </c:ext>
          </c:extLst>
        </c:ser>
        <c:ser>
          <c:idx val="4"/>
          <c:order val="4"/>
          <c:tx>
            <c:strRef>
              <c:f>Sheet1!$F$1</c:f>
              <c:strCache>
                <c:ptCount val="1"/>
                <c:pt idx="0">
                  <c:v>2019-20</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Theft or loss of asset</c:v>
                </c:pt>
                <c:pt idx="1">
                  <c:v>Lost or stolen ID</c:v>
                </c:pt>
                <c:pt idx="2">
                  <c:v>Unauthorised release or disclosure of information</c:v>
                </c:pt>
                <c:pt idx="3">
                  <c:v>Communications Fault</c:v>
                </c:pt>
                <c:pt idx="4">
                  <c:v>Information handling</c:v>
                </c:pt>
              </c:strCache>
            </c:strRef>
          </c:cat>
          <c:val>
            <c:numRef>
              <c:f>Sheet1!$F$2:$F$6</c:f>
              <c:numCache>
                <c:formatCode>General</c:formatCode>
                <c:ptCount val="5"/>
                <c:pt idx="0">
                  <c:v>196</c:v>
                </c:pt>
                <c:pt idx="1">
                  <c:v>232</c:v>
                </c:pt>
                <c:pt idx="2">
                  <c:v>292</c:v>
                </c:pt>
                <c:pt idx="3">
                  <c:v>0</c:v>
                </c:pt>
                <c:pt idx="4">
                  <c:v>25</c:v>
                </c:pt>
              </c:numCache>
            </c:numRef>
          </c:val>
          <c:extLst>
            <c:ext xmlns:c16="http://schemas.microsoft.com/office/drawing/2014/chart" uri="{C3380CC4-5D6E-409C-BE32-E72D297353CC}">
              <c16:uniqueId val="{00000004-C968-E842-A03D-098C69C8A143}"/>
            </c:ext>
          </c:extLst>
        </c:ser>
        <c:dLbls>
          <c:showLegendKey val="0"/>
          <c:showVal val="0"/>
          <c:showCatName val="0"/>
          <c:showSerName val="0"/>
          <c:showPercent val="0"/>
          <c:showBubbleSize val="0"/>
        </c:dLbls>
        <c:gapWidth val="131"/>
        <c:overlap val="-28"/>
        <c:axId val="265928384"/>
        <c:axId val="266224112"/>
      </c:barChart>
      <c:catAx>
        <c:axId val="26592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224112"/>
        <c:crosses val="autoZero"/>
        <c:auto val="1"/>
        <c:lblAlgn val="ctr"/>
        <c:lblOffset val="100"/>
        <c:noMultiLvlLbl val="0"/>
      </c:catAx>
      <c:valAx>
        <c:axId val="26622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92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Notifications by Portfolio</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Government Services</c:v>
                </c:pt>
                <c:pt idx="1">
                  <c:v>Treasury and Finance</c:v>
                </c:pt>
                <c:pt idx="2">
                  <c:v>Premier and Cabinet</c:v>
                </c:pt>
                <c:pt idx="3">
                  <c:v>Justice and Community Safety</c:v>
                </c:pt>
                <c:pt idx="4">
                  <c:v>Health</c:v>
                </c:pt>
                <c:pt idx="5">
                  <c:v>Families, Fairness and Housing</c:v>
                </c:pt>
                <c:pt idx="6">
                  <c:v>Energy, Environment, and Climate Action</c:v>
                </c:pt>
                <c:pt idx="7">
                  <c:v>Transport and Planning</c:v>
                </c:pt>
                <c:pt idx="8">
                  <c:v>Job, Skills, Industry and Regions</c:v>
                </c:pt>
                <c:pt idx="9">
                  <c:v>Education</c:v>
                </c:pt>
                <c:pt idx="10">
                  <c:v>Local Government</c:v>
                </c:pt>
                <c:pt idx="11">
                  <c:v>Other</c:v>
                </c:pt>
              </c:strCache>
            </c:strRef>
          </c:cat>
          <c:val>
            <c:numRef>
              <c:f>Sheet1!$B$2:$B$13</c:f>
              <c:numCache>
                <c:formatCode>General</c:formatCode>
                <c:ptCount val="12"/>
                <c:pt idx="0">
                  <c:v>3</c:v>
                </c:pt>
                <c:pt idx="1">
                  <c:v>1</c:v>
                </c:pt>
                <c:pt idx="2">
                  <c:v>3</c:v>
                </c:pt>
                <c:pt idx="3">
                  <c:v>108</c:v>
                </c:pt>
                <c:pt idx="4">
                  <c:v>6</c:v>
                </c:pt>
                <c:pt idx="5">
                  <c:v>7</c:v>
                </c:pt>
                <c:pt idx="6">
                  <c:v>27</c:v>
                </c:pt>
                <c:pt idx="7">
                  <c:v>148</c:v>
                </c:pt>
                <c:pt idx="8">
                  <c:v>3</c:v>
                </c:pt>
                <c:pt idx="9">
                  <c:v>7</c:v>
                </c:pt>
                <c:pt idx="10">
                  <c:v>38</c:v>
                </c:pt>
                <c:pt idx="11">
                  <c:v>33</c:v>
                </c:pt>
              </c:numCache>
            </c:numRef>
          </c:val>
          <c:extLst>
            <c:ext xmlns:c16="http://schemas.microsoft.com/office/drawing/2014/chart" uri="{C3380CC4-5D6E-409C-BE32-E72D297353CC}">
              <c16:uniqueId val="{00000000-E5A2-554E-B5F0-9B6B2C972C5A}"/>
            </c:ext>
          </c:extLst>
        </c:ser>
        <c:dLbls>
          <c:showLegendKey val="0"/>
          <c:showVal val="0"/>
          <c:showCatName val="0"/>
          <c:showSerName val="0"/>
          <c:showPercent val="0"/>
          <c:showBubbleSize val="0"/>
        </c:dLbls>
        <c:gapWidth val="25"/>
        <c:axId val="1981913455"/>
        <c:axId val="1981915167"/>
      </c:barChart>
      <c:catAx>
        <c:axId val="1981913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1915167"/>
        <c:crosses val="autoZero"/>
        <c:auto val="1"/>
        <c:lblAlgn val="ctr"/>
        <c:lblOffset val="100"/>
        <c:noMultiLvlLbl val="0"/>
      </c:catAx>
      <c:valAx>
        <c:axId val="1981915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1913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861029579005511E-4"/>
          <c:y val="7.1396882638434619E-2"/>
          <c:w val="0.4692189886167944"/>
          <c:h val="0.89205597469772369"/>
        </c:manualLayout>
      </c:layout>
      <c:doughnutChart>
        <c:varyColors val="1"/>
        <c:ser>
          <c:idx val="0"/>
          <c:order val="0"/>
          <c:tx>
            <c:strRef>
              <c:f>Sheet1!$B$1</c:f>
              <c:strCache>
                <c:ptCount val="1"/>
                <c:pt idx="0">
                  <c:v>Respondent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810-A040-AA27-FA14BF7FFA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810-A040-AA27-FA14BF7FFA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810-A040-AA27-FA14BF7FFA6F}"/>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5-7810-A040-AA27-FA14BF7FFA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Hard Copy</c:v>
                </c:pt>
                <c:pt idx="1">
                  <c:v>Electronic</c:v>
                </c:pt>
                <c:pt idx="2">
                  <c:v>Verbal</c:v>
                </c:pt>
              </c:strCache>
            </c:strRef>
          </c:cat>
          <c:val>
            <c:numRef>
              <c:f>Sheet1!$B$2:$B$4</c:f>
              <c:numCache>
                <c:formatCode>General</c:formatCode>
                <c:ptCount val="3"/>
                <c:pt idx="0">
                  <c:v>71</c:v>
                </c:pt>
                <c:pt idx="1">
                  <c:v>308</c:v>
                </c:pt>
                <c:pt idx="2">
                  <c:v>16</c:v>
                </c:pt>
              </c:numCache>
            </c:numRef>
          </c:val>
          <c:extLst>
            <c:ext xmlns:c16="http://schemas.microsoft.com/office/drawing/2014/chart" uri="{C3380CC4-5D6E-409C-BE32-E72D297353CC}">
              <c16:uniqueId val="{00000006-7810-A040-AA27-FA14BF7FFA6F}"/>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57163841498979295"/>
          <c:y val="0.32021684789401322"/>
          <c:w val="0.19225047389909594"/>
          <c:h val="0.2802012248468941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Column2</c:v>
                </c:pt>
              </c:strCache>
            </c:strRef>
          </c:tx>
          <c:spPr>
            <a:solidFill>
              <a:schemeClr val="accent1"/>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65-7A44-A2A0-EA1888D42057}"/>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965-7A44-A2A0-EA1888D42057}"/>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65-7A44-A2A0-EA1888D42057}"/>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65-7A44-A2A0-EA1888D42057}"/>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965-7A44-A2A0-EA1888D42057}"/>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965-7A44-A2A0-EA1888D42057}"/>
                </c:ext>
              </c:extLst>
            </c:dLbl>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965-7A44-A2A0-EA1888D42057}"/>
                </c:ext>
              </c:extLst>
            </c:dLbl>
            <c:dLbl>
              <c:idx val="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965-7A44-A2A0-EA1888D42057}"/>
                </c:ext>
              </c:extLst>
            </c:dLbl>
            <c:dLbl>
              <c:idx val="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965-7A44-A2A0-EA1888D42057}"/>
                </c:ext>
              </c:extLst>
            </c:dLbl>
            <c:dLbl>
              <c:idx val="9"/>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965-7A44-A2A0-EA1888D42057}"/>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Personal</c:v>
                </c:pt>
                <c:pt idx="1">
                  <c:v>Financial</c:v>
                </c:pt>
                <c:pt idx="2">
                  <c:v>Legal</c:v>
                </c:pt>
                <c:pt idx="3">
                  <c:v>Health</c:v>
                </c:pt>
                <c:pt idx="4">
                  <c:v>Policy</c:v>
                </c:pt>
                <c:pt idx="5">
                  <c:v>Operational</c:v>
                </c:pt>
                <c:pt idx="6">
                  <c:v>Critical Infrastructure</c:v>
                </c:pt>
                <c:pt idx="7">
                  <c:v>Law enforcement</c:v>
                </c:pt>
                <c:pt idx="8">
                  <c:v>Crime Statistics Data</c:v>
                </c:pt>
                <c:pt idx="9">
                  <c:v>Other</c:v>
                </c:pt>
                <c:pt idx="10">
                  <c:v>Unknown</c:v>
                </c:pt>
              </c:strCache>
            </c:strRef>
          </c:cat>
          <c:val>
            <c:numRef>
              <c:f>Sheet1!$B$2:$B$12</c:f>
              <c:numCache>
                <c:formatCode>General</c:formatCode>
                <c:ptCount val="11"/>
                <c:pt idx="0">
                  <c:v>363</c:v>
                </c:pt>
                <c:pt idx="1">
                  <c:v>32</c:v>
                </c:pt>
                <c:pt idx="2">
                  <c:v>26</c:v>
                </c:pt>
                <c:pt idx="3">
                  <c:v>38</c:v>
                </c:pt>
                <c:pt idx="4">
                  <c:v>1</c:v>
                </c:pt>
                <c:pt idx="5">
                  <c:v>19</c:v>
                </c:pt>
                <c:pt idx="6">
                  <c:v>1</c:v>
                </c:pt>
                <c:pt idx="7">
                  <c:v>2</c:v>
                </c:pt>
                <c:pt idx="8">
                  <c:v>1</c:v>
                </c:pt>
                <c:pt idx="9">
                  <c:v>21</c:v>
                </c:pt>
                <c:pt idx="10">
                  <c:v>1</c:v>
                </c:pt>
              </c:numCache>
            </c:numRef>
          </c:val>
          <c:extLst>
            <c:ext xmlns:c16="http://schemas.microsoft.com/office/drawing/2014/chart" uri="{C3380CC4-5D6E-409C-BE32-E72D297353CC}">
              <c16:uniqueId val="{00000000-1965-7A44-A2A0-EA1888D42057}"/>
            </c:ext>
          </c:extLst>
        </c:ser>
        <c:dLbls>
          <c:showLegendKey val="0"/>
          <c:showVal val="0"/>
          <c:showCatName val="0"/>
          <c:showSerName val="0"/>
          <c:showPercent val="0"/>
          <c:showBubbleSize val="0"/>
        </c:dLbls>
        <c:gapWidth val="25"/>
        <c:axId val="1284541184"/>
        <c:axId val="1284542912"/>
      </c:barChart>
      <c:catAx>
        <c:axId val="128454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542912"/>
        <c:crosses val="autoZero"/>
        <c:auto val="1"/>
        <c:lblAlgn val="ctr"/>
        <c:lblOffset val="100"/>
        <c:noMultiLvlLbl val="0"/>
      </c:catAx>
      <c:valAx>
        <c:axId val="1284542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541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17089530475428E-4"/>
          <c:y val="4.3650793650793648E-2"/>
          <c:w val="0.53240740740740744"/>
          <c:h val="0.91269841269841268"/>
        </c:manualLayout>
      </c:layout>
      <c:doughnutChart>
        <c:varyColors val="1"/>
        <c:ser>
          <c:idx val="0"/>
          <c:order val="0"/>
          <c:tx>
            <c:strRef>
              <c:f>Sheet1!$B$1</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5A1-FA4E-B249-F35CF5F1A4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5A1-FA4E-B249-F35CF5F1A49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5A1-FA4E-B249-F35CF5F1A49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5A1-FA4E-B249-F35CF5F1A499}"/>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5-B5A1-FA4E-B249-F35CF5F1A499}"/>
                </c:ext>
              </c:extLst>
            </c:dLbl>
            <c:dLbl>
              <c:idx val="3"/>
              <c:layout>
                <c:manualLayout>
                  <c:x val="0"/>
                  <c:y val="-0.1260047794916358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5A1-FA4E-B249-F35CF5F1A4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Minor</c:v>
                </c:pt>
                <c:pt idx="1">
                  <c:v>Limited</c:v>
                </c:pt>
                <c:pt idx="2">
                  <c:v>Major</c:v>
                </c:pt>
                <c:pt idx="3">
                  <c:v>Serious</c:v>
                </c:pt>
              </c:strCache>
            </c:strRef>
          </c:cat>
          <c:val>
            <c:numRef>
              <c:f>Sheet1!$B$2:$B$5</c:f>
              <c:numCache>
                <c:formatCode>General</c:formatCode>
                <c:ptCount val="4"/>
                <c:pt idx="0">
                  <c:v>8</c:v>
                </c:pt>
                <c:pt idx="1">
                  <c:v>91</c:v>
                </c:pt>
                <c:pt idx="2">
                  <c:v>2</c:v>
                </c:pt>
                <c:pt idx="3">
                  <c:v>0</c:v>
                </c:pt>
              </c:numCache>
            </c:numRef>
          </c:val>
          <c:extLst>
            <c:ext xmlns:c16="http://schemas.microsoft.com/office/drawing/2014/chart" uri="{C3380CC4-5D6E-409C-BE32-E72D297353CC}">
              <c16:uniqueId val="{00000008-B5A1-FA4E-B249-F35CF5F1A499}"/>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4302730387868179"/>
          <c:y val="0.32245844269466317"/>
          <c:w val="0.15789862204724409"/>
          <c:h val="0.3590513685789276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Confidentiality</c:v>
                </c:pt>
                <c:pt idx="1">
                  <c:v>Integrity</c:v>
                </c:pt>
                <c:pt idx="2">
                  <c:v>Availability</c:v>
                </c:pt>
              </c:strCache>
            </c:strRef>
          </c:cat>
          <c:val>
            <c:numRef>
              <c:f>Sheet1!$B$2:$B$4</c:f>
              <c:numCache>
                <c:formatCode>General</c:formatCode>
                <c:ptCount val="3"/>
                <c:pt idx="0">
                  <c:v>371</c:v>
                </c:pt>
                <c:pt idx="1">
                  <c:v>67</c:v>
                </c:pt>
                <c:pt idx="2">
                  <c:v>17</c:v>
                </c:pt>
              </c:numCache>
            </c:numRef>
          </c:val>
          <c:extLst>
            <c:ext xmlns:c16="http://schemas.microsoft.com/office/drawing/2014/chart" uri="{C3380CC4-5D6E-409C-BE32-E72D297353CC}">
              <c16:uniqueId val="{00000000-E8AC-594D-AFAA-ACF1366BD445}"/>
            </c:ext>
          </c:extLst>
        </c:ser>
        <c:dLbls>
          <c:showLegendKey val="0"/>
          <c:showVal val="0"/>
          <c:showCatName val="0"/>
          <c:showSerName val="0"/>
          <c:showPercent val="0"/>
          <c:showBubbleSize val="0"/>
        </c:dLbls>
        <c:gapWidth val="25"/>
        <c:axId val="917686288"/>
        <c:axId val="917689072"/>
      </c:barChart>
      <c:catAx>
        <c:axId val="91768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689072"/>
        <c:crosses val="autoZero"/>
        <c:auto val="1"/>
        <c:lblAlgn val="ctr"/>
        <c:lblOffset val="100"/>
        <c:noMultiLvlLbl val="0"/>
      </c:catAx>
      <c:valAx>
        <c:axId val="91768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686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Respondent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People</c:v>
                </c:pt>
                <c:pt idx="1">
                  <c:v>Process</c:v>
                </c:pt>
                <c:pt idx="2">
                  <c:v>Technology</c:v>
                </c:pt>
                <c:pt idx="3">
                  <c:v>No control in place</c:v>
                </c:pt>
                <c:pt idx="4">
                  <c:v>Unknown</c:v>
                </c:pt>
              </c:strCache>
            </c:strRef>
          </c:cat>
          <c:val>
            <c:numRef>
              <c:f>Sheet1!$B$2:$B$6</c:f>
              <c:numCache>
                <c:formatCode>General</c:formatCode>
                <c:ptCount val="5"/>
                <c:pt idx="0">
                  <c:v>370</c:v>
                </c:pt>
                <c:pt idx="1">
                  <c:v>70</c:v>
                </c:pt>
                <c:pt idx="2">
                  <c:v>35</c:v>
                </c:pt>
                <c:pt idx="3">
                  <c:v>6</c:v>
                </c:pt>
                <c:pt idx="4">
                  <c:v>0</c:v>
                </c:pt>
              </c:numCache>
            </c:numRef>
          </c:val>
          <c:extLst>
            <c:ext xmlns:c16="http://schemas.microsoft.com/office/drawing/2014/chart" uri="{C3380CC4-5D6E-409C-BE32-E72D297353CC}">
              <c16:uniqueId val="{00000000-4364-2847-AD86-4D92672739AA}"/>
            </c:ext>
          </c:extLst>
        </c:ser>
        <c:dLbls>
          <c:showLegendKey val="0"/>
          <c:showVal val="0"/>
          <c:showCatName val="0"/>
          <c:showSerName val="0"/>
          <c:showPercent val="0"/>
          <c:showBubbleSize val="0"/>
        </c:dLbls>
        <c:gapWidth val="25"/>
        <c:axId val="917621152"/>
        <c:axId val="917763344"/>
      </c:barChart>
      <c:catAx>
        <c:axId val="91762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763344"/>
        <c:crosses val="autoZero"/>
        <c:auto val="1"/>
        <c:lblAlgn val="ctr"/>
        <c:lblOffset val="100"/>
        <c:noMultiLvlLbl val="0"/>
      </c:catAx>
      <c:valAx>
        <c:axId val="91776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621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Respondent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Internal</c:v>
                </c:pt>
                <c:pt idx="1">
                  <c:v>Authorised third party</c:v>
                </c:pt>
                <c:pt idx="2">
                  <c:v>Other External</c:v>
                </c:pt>
                <c:pt idx="3">
                  <c:v>Other / Unknown</c:v>
                </c:pt>
              </c:strCache>
            </c:strRef>
          </c:cat>
          <c:val>
            <c:numRef>
              <c:f>Sheet1!$B$2:$B$5</c:f>
              <c:numCache>
                <c:formatCode>General</c:formatCode>
                <c:ptCount val="4"/>
                <c:pt idx="0">
                  <c:v>329</c:v>
                </c:pt>
                <c:pt idx="1">
                  <c:v>21</c:v>
                </c:pt>
                <c:pt idx="2">
                  <c:v>28</c:v>
                </c:pt>
                <c:pt idx="3">
                  <c:v>12</c:v>
                </c:pt>
              </c:numCache>
            </c:numRef>
          </c:val>
          <c:extLst>
            <c:ext xmlns:c16="http://schemas.microsoft.com/office/drawing/2014/chart" uri="{C3380CC4-5D6E-409C-BE32-E72D297353CC}">
              <c16:uniqueId val="{00000000-0A0D-5244-8D60-E4C4A01592E0}"/>
            </c:ext>
          </c:extLst>
        </c:ser>
        <c:dLbls>
          <c:showLegendKey val="0"/>
          <c:showVal val="0"/>
          <c:showCatName val="0"/>
          <c:showSerName val="0"/>
          <c:showPercent val="0"/>
          <c:showBubbleSize val="0"/>
        </c:dLbls>
        <c:gapWidth val="25"/>
        <c:axId val="917883872"/>
        <c:axId val="917885584"/>
      </c:barChart>
      <c:catAx>
        <c:axId val="91788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885584"/>
        <c:crosses val="autoZero"/>
        <c:auto val="1"/>
        <c:lblAlgn val="ctr"/>
        <c:lblOffset val="100"/>
        <c:noMultiLvlLbl val="0"/>
      </c:catAx>
      <c:valAx>
        <c:axId val="917885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883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Respondent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Accidental / Error</c:v>
                </c:pt>
                <c:pt idx="1">
                  <c:v>Intentional / Malicious</c:v>
                </c:pt>
                <c:pt idx="2">
                  <c:v>Natural</c:v>
                </c:pt>
                <c:pt idx="3">
                  <c:v>Failure</c:v>
                </c:pt>
                <c:pt idx="4">
                  <c:v>Unknown</c:v>
                </c:pt>
              </c:strCache>
            </c:strRef>
          </c:cat>
          <c:val>
            <c:numRef>
              <c:f>Sheet1!$B$2:$B$6</c:f>
              <c:numCache>
                <c:formatCode>General</c:formatCode>
                <c:ptCount val="5"/>
                <c:pt idx="0">
                  <c:v>337</c:v>
                </c:pt>
                <c:pt idx="1">
                  <c:v>41</c:v>
                </c:pt>
                <c:pt idx="2">
                  <c:v>0</c:v>
                </c:pt>
                <c:pt idx="3">
                  <c:v>6</c:v>
                </c:pt>
                <c:pt idx="4">
                  <c:v>7</c:v>
                </c:pt>
              </c:numCache>
            </c:numRef>
          </c:val>
          <c:extLst>
            <c:ext xmlns:c16="http://schemas.microsoft.com/office/drawing/2014/chart" uri="{C3380CC4-5D6E-409C-BE32-E72D297353CC}">
              <c16:uniqueId val="{00000000-6E16-0F44-8F63-88D1B119DD58}"/>
            </c:ext>
          </c:extLst>
        </c:ser>
        <c:dLbls>
          <c:showLegendKey val="0"/>
          <c:showVal val="0"/>
          <c:showCatName val="0"/>
          <c:showSerName val="0"/>
          <c:showPercent val="0"/>
          <c:showBubbleSize val="0"/>
        </c:dLbls>
        <c:gapWidth val="25"/>
        <c:axId val="856152096"/>
        <c:axId val="856153808"/>
      </c:barChart>
      <c:catAx>
        <c:axId val="85615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6153808"/>
        <c:crosses val="autoZero"/>
        <c:auto val="1"/>
        <c:lblAlgn val="ctr"/>
        <c:lblOffset val="100"/>
        <c:noMultiLvlLbl val="0"/>
      </c:catAx>
      <c:valAx>
        <c:axId val="856153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6152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0.13676</cdr:x>
      <cdr:y>0.46885</cdr:y>
    </cdr:from>
    <cdr:to>
      <cdr:x>0.32992</cdr:x>
      <cdr:y>0.63552</cdr:y>
    </cdr:to>
    <cdr:sp macro="" textlink="">
      <cdr:nvSpPr>
        <cdr:cNvPr id="2" name="Text Box 1"/>
        <cdr:cNvSpPr txBox="1"/>
      </cdr:nvSpPr>
      <cdr:spPr>
        <a:xfrm xmlns:a="http://schemas.openxmlformats.org/drawingml/2006/main">
          <a:off x="631325" y="1138479"/>
          <a:ext cx="891733" cy="4047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t>395</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655736DC7A407081DE594DAB9BAB3B"/>
        <w:category>
          <w:name w:val="General"/>
          <w:gallery w:val="placeholder"/>
        </w:category>
        <w:types>
          <w:type w:val="bbPlcHdr"/>
        </w:types>
        <w:behaviors>
          <w:behavior w:val="content"/>
        </w:behaviors>
        <w:guid w:val="{88F26C70-6643-4D0C-BF69-4F98B1CA3E76}"/>
      </w:docPartPr>
      <w:docPartBody>
        <w:p w:rsidR="00B17D1B" w:rsidRDefault="00B17D1B">
          <w:pPr>
            <w:pStyle w:val="3F655736DC7A407081DE594DAB9BAB3B"/>
          </w:pPr>
          <w:r>
            <w:t>[Select Title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PostGrotesk-Book">
    <w:altName w:val="Times New Roman"/>
    <w:panose1 w:val="020B0604020202020204"/>
    <w:charset w:val="00"/>
    <w:family w:val="auto"/>
    <w:pitch w:val="variable"/>
    <w:sig w:usb0="00000001" w:usb1="500160FB" w:usb2="00000000" w:usb3="00000000" w:csb0="0000009B" w:csb1="00000000"/>
  </w:font>
  <w:font w:name="PostGrotesk-Medium">
    <w:altName w:val="Times New Roman"/>
    <w:panose1 w:val="020B0604020202020204"/>
    <w:charset w:val="00"/>
    <w:family w:val="auto"/>
    <w:pitch w:val="variable"/>
    <w:sig w:usb0="00000001" w:usb1="5001607B" w:usb2="00000000" w:usb3="00000000" w:csb0="00000193" w:csb1="00000000"/>
  </w:font>
  <w:font w:name="National-Book">
    <w:altName w:val="Times New Roman"/>
    <w:panose1 w:val="02000503000000020004"/>
    <w:charset w:val="00"/>
    <w:family w:val="auto"/>
    <w:notTrueType/>
    <w:pitch w:val="variable"/>
    <w:sig w:usb0="A00000FF" w:usb1="5000207B" w:usb2="00000010" w:usb3="00000000" w:csb0="0000009B"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1B"/>
    <w:rsid w:val="000B7A69"/>
    <w:rsid w:val="00176EE1"/>
    <w:rsid w:val="001C5471"/>
    <w:rsid w:val="001D12EF"/>
    <w:rsid w:val="001E24A1"/>
    <w:rsid w:val="00220D0A"/>
    <w:rsid w:val="00246DC9"/>
    <w:rsid w:val="00270843"/>
    <w:rsid w:val="002969F1"/>
    <w:rsid w:val="002D368D"/>
    <w:rsid w:val="00336D90"/>
    <w:rsid w:val="00411654"/>
    <w:rsid w:val="0043780B"/>
    <w:rsid w:val="004544CA"/>
    <w:rsid w:val="00493799"/>
    <w:rsid w:val="00494D56"/>
    <w:rsid w:val="004A1F8E"/>
    <w:rsid w:val="0050124F"/>
    <w:rsid w:val="005069C2"/>
    <w:rsid w:val="00516E6C"/>
    <w:rsid w:val="00565F29"/>
    <w:rsid w:val="005B2DC9"/>
    <w:rsid w:val="005B34A1"/>
    <w:rsid w:val="005B6058"/>
    <w:rsid w:val="005D5A03"/>
    <w:rsid w:val="005E6DEB"/>
    <w:rsid w:val="00653AE6"/>
    <w:rsid w:val="00654155"/>
    <w:rsid w:val="007333EA"/>
    <w:rsid w:val="007D55C4"/>
    <w:rsid w:val="00896CBB"/>
    <w:rsid w:val="00920F7E"/>
    <w:rsid w:val="00930679"/>
    <w:rsid w:val="00940813"/>
    <w:rsid w:val="00951622"/>
    <w:rsid w:val="009536EB"/>
    <w:rsid w:val="00963AD8"/>
    <w:rsid w:val="00963B3B"/>
    <w:rsid w:val="009B6B19"/>
    <w:rsid w:val="00A46229"/>
    <w:rsid w:val="00B17D1B"/>
    <w:rsid w:val="00B302C8"/>
    <w:rsid w:val="00C46B6B"/>
    <w:rsid w:val="00CC18E3"/>
    <w:rsid w:val="00D57253"/>
    <w:rsid w:val="00DA4B37"/>
    <w:rsid w:val="00DE5240"/>
    <w:rsid w:val="00E5258F"/>
    <w:rsid w:val="00EF3A51"/>
    <w:rsid w:val="00EF4324"/>
    <w:rsid w:val="00F31834"/>
    <w:rsid w:val="00F370AE"/>
    <w:rsid w:val="00F73CE9"/>
    <w:rsid w:val="00FA42A6"/>
    <w:rsid w:val="00FF2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655736DC7A407081DE594DAB9BAB3B">
    <w:name w:val="3F655736DC7A407081DE594DAB9BAB3B"/>
  </w:style>
  <w:style w:type="character" w:styleId="PlaceholderText">
    <w:name w:val="Placeholder Text"/>
    <w:basedOn w:val="DefaultParagraphFont"/>
    <w:uiPriority w:val="99"/>
    <w:semiHidden/>
    <w:rsid w:val="002969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3448</Words>
  <Characters>20138</Characters>
  <Application>Microsoft Office Word</Application>
  <DocSecurity>0</DocSecurity>
  <Lines>359</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2024-11-14T04:57:00Z</dcterms:created>
  <dcterms:modified xsi:type="dcterms:W3CDTF">2024-11-14T04:57:00Z</dcterms:modified>
  <cp:category/>
</cp:coreProperties>
</file>