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8618" w14:textId="44967C6A" w:rsidR="00771051" w:rsidRPr="001D1FE7" w:rsidRDefault="00771051" w:rsidP="00771051">
      <w:pPr>
        <w:pStyle w:val="SectionHeading1"/>
        <w:rPr>
          <w:sz w:val="24"/>
          <w:szCs w:val="24"/>
        </w:rPr>
      </w:pPr>
      <w:r>
        <w:rPr>
          <w:sz w:val="24"/>
          <w:szCs w:val="24"/>
        </w:rPr>
        <w:t>T</w:t>
      </w:r>
      <w:r w:rsidRPr="001D1FE7">
        <w:rPr>
          <w:sz w:val="24"/>
          <w:szCs w:val="24"/>
        </w:rPr>
        <w:t>he</w:t>
      </w:r>
      <w:r w:rsidR="00300CFA">
        <w:rPr>
          <w:sz w:val="24"/>
          <w:szCs w:val="24"/>
        </w:rPr>
        <w:t xml:space="preserve"> information security</w:t>
      </w:r>
      <w:r w:rsidRPr="001D1FE7">
        <w:rPr>
          <w:sz w:val="24"/>
          <w:szCs w:val="24"/>
        </w:rPr>
        <w:t xml:space="preserve"> incident notification scheme</w:t>
      </w:r>
      <w:r w:rsidR="004B17E4">
        <w:rPr>
          <w:sz w:val="24"/>
          <w:szCs w:val="24"/>
        </w:rPr>
        <w:t xml:space="preserve"> (</w:t>
      </w:r>
      <w:r w:rsidR="004B17E4" w:rsidRPr="00C86B59">
        <w:rPr>
          <w:b/>
          <w:bCs/>
          <w:sz w:val="24"/>
          <w:szCs w:val="24"/>
        </w:rPr>
        <w:t>the scheme</w:t>
      </w:r>
      <w:r w:rsidR="004B17E4">
        <w:rPr>
          <w:sz w:val="24"/>
          <w:szCs w:val="24"/>
        </w:rPr>
        <w:t>)</w:t>
      </w:r>
      <w:r w:rsidRPr="001D1FE7">
        <w:rPr>
          <w:sz w:val="24"/>
          <w:szCs w:val="24"/>
        </w:rPr>
        <w:t xml:space="preserve"> provide</w:t>
      </w:r>
      <w:r w:rsidR="00BC5B11">
        <w:rPr>
          <w:sz w:val="24"/>
          <w:szCs w:val="24"/>
        </w:rPr>
        <w:t>s</w:t>
      </w:r>
      <w:r w:rsidRPr="001D1FE7">
        <w:rPr>
          <w:sz w:val="24"/>
          <w:szCs w:val="24"/>
        </w:rPr>
        <w:t xml:space="preserve"> tangible resources, trends analysis and risk reporting. </w:t>
      </w:r>
    </w:p>
    <w:p w14:paraId="0B6E49CF" w14:textId="77777777" w:rsidR="00C86B59" w:rsidRDefault="00C86B59" w:rsidP="00C86B59">
      <w:pPr>
        <w:pStyle w:val="SectionHeading1"/>
      </w:pPr>
      <w:r>
        <w:t>Overview of this report</w:t>
      </w:r>
    </w:p>
    <w:p w14:paraId="21123D87" w14:textId="5BD8EE31" w:rsidR="00C86B59" w:rsidRDefault="00C86B59" w:rsidP="00C86B59">
      <w:pPr>
        <w:pStyle w:val="Body"/>
      </w:pPr>
      <w:r>
        <w:t>The Incident Insight</w:t>
      </w:r>
      <w:r w:rsidR="007C3638">
        <w:t>s</w:t>
      </w:r>
      <w:r>
        <w:t xml:space="preserve"> Report provides a summary and analysis of the information security incident notifications received by OVIC between </w:t>
      </w:r>
      <w:r w:rsidR="00956F61" w:rsidRPr="00956F61">
        <w:rPr>
          <w:b/>
          <w:bCs/>
        </w:rPr>
        <w:t>1</w:t>
      </w:r>
      <w:r w:rsidRPr="00956F61">
        <w:rPr>
          <w:b/>
          <w:bCs/>
        </w:rPr>
        <w:t xml:space="preserve"> </w:t>
      </w:r>
      <w:r w:rsidR="00956F61">
        <w:rPr>
          <w:b/>
          <w:bCs/>
        </w:rPr>
        <w:t>July</w:t>
      </w:r>
      <w:r w:rsidRPr="00D015C3">
        <w:rPr>
          <w:b/>
          <w:bCs/>
        </w:rPr>
        <w:t xml:space="preserve"> 20</w:t>
      </w:r>
      <w:r w:rsidR="00956F61">
        <w:rPr>
          <w:b/>
          <w:bCs/>
        </w:rPr>
        <w:t>20</w:t>
      </w:r>
      <w:r w:rsidRPr="00D015C3">
        <w:rPr>
          <w:b/>
          <w:bCs/>
        </w:rPr>
        <w:t xml:space="preserve"> </w:t>
      </w:r>
      <w:r w:rsidRPr="00C86B59">
        <w:t>to</w:t>
      </w:r>
      <w:r w:rsidRPr="00D015C3">
        <w:rPr>
          <w:b/>
          <w:bCs/>
        </w:rPr>
        <w:t xml:space="preserve"> 3</w:t>
      </w:r>
      <w:r w:rsidR="00956F61">
        <w:rPr>
          <w:b/>
          <w:bCs/>
        </w:rPr>
        <w:t>1</w:t>
      </w:r>
      <w:r w:rsidRPr="00D015C3">
        <w:rPr>
          <w:b/>
          <w:bCs/>
        </w:rPr>
        <w:t xml:space="preserve"> </w:t>
      </w:r>
      <w:r w:rsidR="00956F61">
        <w:rPr>
          <w:b/>
          <w:bCs/>
        </w:rPr>
        <w:t>December</w:t>
      </w:r>
      <w:r w:rsidRPr="00D015C3">
        <w:rPr>
          <w:b/>
          <w:bCs/>
        </w:rPr>
        <w:t xml:space="preserve"> 2020</w:t>
      </w:r>
      <w:r>
        <w:t>.</w:t>
      </w:r>
    </w:p>
    <w:p w14:paraId="236497AA" w14:textId="1D5F378C" w:rsidR="00020250" w:rsidRDefault="00020250" w:rsidP="00C86B59">
      <w:pPr>
        <w:pStyle w:val="Body"/>
      </w:pPr>
      <w:r w:rsidRPr="00020250">
        <w:t xml:space="preserve">Our </w:t>
      </w:r>
      <w:r>
        <w:t>observations and take</w:t>
      </w:r>
      <w:r w:rsidR="00DB7882">
        <w:t>-</w:t>
      </w:r>
      <w:r>
        <w:t xml:space="preserve">outs in this report are based on </w:t>
      </w:r>
      <w:r w:rsidRPr="00020250">
        <w:t>compar</w:t>
      </w:r>
      <w:r>
        <w:t xml:space="preserve">ing the </w:t>
      </w:r>
      <w:r w:rsidR="0094555E">
        <w:t xml:space="preserve">statistics </w:t>
      </w:r>
      <w:r>
        <w:t xml:space="preserve">previous published </w:t>
      </w:r>
      <w:r w:rsidR="0094555E">
        <w:t>in the</w:t>
      </w:r>
      <w:r w:rsidRPr="00020250">
        <w:t xml:space="preserve"> </w:t>
      </w:r>
      <w:hyperlink r:id="rId8" w:history="1">
        <w:r w:rsidRPr="00DE48BB">
          <w:rPr>
            <w:rStyle w:val="Hyperlink"/>
          </w:rPr>
          <w:t>Incident Insights Report for 29 October 2019 – 30 June 2020</w:t>
        </w:r>
      </w:hyperlink>
      <w:r w:rsidRPr="00020250">
        <w:t xml:space="preserve"> with </w:t>
      </w:r>
      <w:r>
        <w:t>the notifications received by our office between July – December 2020</w:t>
      </w:r>
      <w:r w:rsidR="0094555E">
        <w:t>.</w:t>
      </w:r>
      <w:r w:rsidRPr="00020250">
        <w:t xml:space="preserve"> </w:t>
      </w:r>
      <w:r w:rsidR="0094555E">
        <w:t xml:space="preserve">We acknowledge these are different </w:t>
      </w:r>
      <w:r w:rsidR="00DB7882">
        <w:t>lengths of time</w:t>
      </w:r>
      <w:r w:rsidR="0094555E">
        <w:t xml:space="preserve"> as we </w:t>
      </w:r>
      <w:r w:rsidR="00DB7882">
        <w:t>enter</w:t>
      </w:r>
      <w:r w:rsidR="0094555E">
        <w:t xml:space="preserve"> </w:t>
      </w:r>
      <w:r w:rsidR="00DB7882">
        <w:t xml:space="preserve">more </w:t>
      </w:r>
      <w:r w:rsidR="0094555E">
        <w:t>regular reporting cycles</w:t>
      </w:r>
      <w:r>
        <w:t>.</w:t>
      </w:r>
    </w:p>
    <w:p w14:paraId="74297344" w14:textId="78D87745" w:rsidR="00956F61" w:rsidRDefault="00956F61" w:rsidP="00C86B59">
      <w:pPr>
        <w:pStyle w:val="Body"/>
      </w:pPr>
      <w:r>
        <w:t xml:space="preserve">Victoria Police incident statistics are reported on </w:t>
      </w:r>
      <w:r w:rsidR="009C1C13">
        <w:t>an annual</w:t>
      </w:r>
      <w:r>
        <w:t xml:space="preserve"> basis </w:t>
      </w:r>
      <w:r w:rsidR="009C1C13">
        <w:t xml:space="preserve">consistent with existing reporting commitments. </w:t>
      </w:r>
      <w:r w:rsidR="00AC495A">
        <w:t xml:space="preserve">For their latest incident statistics refer to OVIC’s </w:t>
      </w:r>
      <w:hyperlink r:id="rId9" w:history="1">
        <w:r w:rsidR="00AC495A" w:rsidRPr="00DE48BB">
          <w:rPr>
            <w:rStyle w:val="Hyperlink"/>
          </w:rPr>
          <w:t>Incident Insights Report for 29 October 2019 – 30 June 2020</w:t>
        </w:r>
      </w:hyperlink>
      <w:r w:rsidR="00AC495A">
        <w:t>.</w:t>
      </w:r>
      <w:r w:rsidR="00AC495A" w:rsidRPr="00AC495A" w:rsidDel="009C1C13">
        <w:t xml:space="preserve"> </w:t>
      </w:r>
    </w:p>
    <w:p w14:paraId="376C0B20" w14:textId="77777777" w:rsidR="00020250" w:rsidRDefault="00020250">
      <w:pPr>
        <w:rPr>
          <w:rFonts w:ascii="Calibri" w:eastAsia="Calibri" w:hAnsi="Calibri" w:cs="PostGrotesk-Medium"/>
          <w:color w:val="430098"/>
          <w:sz w:val="28"/>
          <w:szCs w:val="28"/>
          <w:lang w:val="en-GB"/>
        </w:rPr>
      </w:pPr>
      <w:r>
        <w:br w:type="page"/>
      </w:r>
    </w:p>
    <w:p w14:paraId="6202AFEA" w14:textId="34E1043B" w:rsidR="00BC354F" w:rsidRDefault="003A60FC" w:rsidP="00BC354F">
      <w:pPr>
        <w:pStyle w:val="SectionHeading1"/>
      </w:pPr>
      <w:r>
        <w:lastRenderedPageBreak/>
        <w:t xml:space="preserve">Information security incident notification </w:t>
      </w:r>
      <w:r w:rsidR="00BC354F">
        <w:t>insights</w:t>
      </w:r>
      <w:r w:rsidR="0055769E">
        <w:t xml:space="preserve"> from </w:t>
      </w:r>
      <w:r w:rsidR="00956F61">
        <w:t>July</w:t>
      </w:r>
      <w:r w:rsidR="0055769E">
        <w:t xml:space="preserve"> 20</w:t>
      </w:r>
      <w:r w:rsidR="00956F61">
        <w:t>20</w:t>
      </w:r>
      <w:r w:rsidR="0055769E">
        <w:t xml:space="preserve"> – </w:t>
      </w:r>
      <w:r w:rsidR="00956F61">
        <w:t>December</w:t>
      </w:r>
      <w:r w:rsidR="0055769E">
        <w:t xml:space="preserve"> 2020</w:t>
      </w:r>
    </w:p>
    <w:p w14:paraId="4C16CCC3" w14:textId="77777777" w:rsidR="00695D85" w:rsidRDefault="00695D85" w:rsidP="00BC354F">
      <w:pPr>
        <w:pStyle w:val="SectionHeading1"/>
        <w:rPr>
          <w:sz w:val="24"/>
          <w:szCs w:val="24"/>
        </w:rPr>
      </w:pPr>
    </w:p>
    <w:p w14:paraId="3C323463" w14:textId="2AD5186D" w:rsidR="00E93FC2" w:rsidRPr="00E93FC2" w:rsidRDefault="00E93FC2" w:rsidP="00BC354F">
      <w:pPr>
        <w:pStyle w:val="SectionHeading1"/>
        <w:rPr>
          <w:sz w:val="24"/>
          <w:szCs w:val="24"/>
        </w:rPr>
      </w:pPr>
      <w:r w:rsidRPr="00E93FC2">
        <w:rPr>
          <w:sz w:val="24"/>
          <w:szCs w:val="24"/>
        </w:rPr>
        <w:t>Notifications by month</w:t>
      </w:r>
    </w:p>
    <w:p w14:paraId="20E58954" w14:textId="71411E0D" w:rsidR="00695D85" w:rsidRDefault="00B64CFC" w:rsidP="00B64CFC">
      <w:pPr>
        <w:pStyle w:val="Body"/>
        <w:jc w:val="center"/>
      </w:pPr>
      <w:r w:rsidRPr="00B64CFC">
        <w:drawing>
          <wp:inline distT="0" distB="0" distL="0" distR="0" wp14:anchorId="6A2AD746" wp14:editId="48309145">
            <wp:extent cx="6120130" cy="3752850"/>
            <wp:effectExtent l="0" t="0" r="0" b="0"/>
            <wp:docPr id="1086503375" name="Picture 1" descr="A graph of a number of colum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03375" name="Picture 1" descr="A graph of a number of columns&#10;&#10;Description automatically generated with medium confidence"/>
                    <pic:cNvPicPr/>
                  </pic:nvPicPr>
                  <pic:blipFill>
                    <a:blip r:embed="rId10"/>
                    <a:stretch>
                      <a:fillRect/>
                    </a:stretch>
                  </pic:blipFill>
                  <pic:spPr>
                    <a:xfrm>
                      <a:off x="0" y="0"/>
                      <a:ext cx="6120130" cy="3752850"/>
                    </a:xfrm>
                    <a:prstGeom prst="rect">
                      <a:avLst/>
                    </a:prstGeom>
                  </pic:spPr>
                </pic:pic>
              </a:graphicData>
            </a:graphic>
          </wp:inline>
        </w:drawing>
      </w:r>
    </w:p>
    <w:p w14:paraId="399A776E" w14:textId="4E4BD5DA" w:rsidR="00DE48BB" w:rsidRDefault="00F248F0" w:rsidP="00BC5B11">
      <w:pPr>
        <w:pStyle w:val="Body"/>
      </w:pPr>
      <w:bookmarkStart w:id="0" w:name="_Hlk57106984"/>
      <w:r>
        <w:t xml:space="preserve">OVIC received </w:t>
      </w:r>
      <w:r w:rsidR="00DE48BB" w:rsidRPr="00DE48BB">
        <w:rPr>
          <w:lang w:val="en-AU"/>
        </w:rPr>
        <w:t xml:space="preserve">155 notifications </w:t>
      </w:r>
      <w:r w:rsidR="00DE48BB">
        <w:t xml:space="preserve">between 1 July 2020 to 31 December 2020 (inclusive). This represents </w:t>
      </w:r>
      <w:r w:rsidR="00DE48BB" w:rsidRPr="00DE48BB">
        <w:rPr>
          <w:lang w:val="en-AU"/>
        </w:rPr>
        <w:t xml:space="preserve">double the number of notifications </w:t>
      </w:r>
      <w:r w:rsidR="00C621FB">
        <w:t>compared to the last reporting period</w:t>
      </w:r>
      <w:r>
        <w:t xml:space="preserve">. </w:t>
      </w:r>
      <w:bookmarkEnd w:id="0"/>
    </w:p>
    <w:p w14:paraId="255BBCA0" w14:textId="69771376" w:rsidR="00F248F0" w:rsidRDefault="00F248F0" w:rsidP="00BC5B11">
      <w:pPr>
        <w:pStyle w:val="Body"/>
      </w:pPr>
      <w:r>
        <w:t>We received the highest number of notifications in November 2020</w:t>
      </w:r>
      <w:r w:rsidR="007001D0">
        <w:t>.</w:t>
      </w:r>
      <w:r w:rsidR="00777AD6">
        <w:t xml:space="preserve"> </w:t>
      </w:r>
      <w:r w:rsidR="007001D0">
        <w:t>T</w:t>
      </w:r>
      <w:r w:rsidR="00777AD6">
        <w:t>his does not</w:t>
      </w:r>
      <w:r w:rsidR="007001D0">
        <w:t xml:space="preserve"> necessarily</w:t>
      </w:r>
      <w:r w:rsidR="00777AD6">
        <w:t xml:space="preserve"> reflect more incidents occurring during this month</w:t>
      </w:r>
      <w:r w:rsidR="007001D0">
        <w:t>,</w:t>
      </w:r>
      <w:r w:rsidR="00777AD6">
        <w:t xml:space="preserve"> </w:t>
      </w:r>
      <w:r w:rsidR="007001D0">
        <w:t>as</w:t>
      </w:r>
      <w:r w:rsidR="00777AD6">
        <w:t xml:space="preserve"> some agencies </w:t>
      </w:r>
      <w:r w:rsidR="007001D0">
        <w:t xml:space="preserve">provided </w:t>
      </w:r>
      <w:r w:rsidR="006804A9">
        <w:t>multiple</w:t>
      </w:r>
      <w:r w:rsidR="00777AD6">
        <w:t xml:space="preserve"> months’ worth of notifications to us at one time</w:t>
      </w:r>
      <w:r>
        <w:t xml:space="preserve">. </w:t>
      </w:r>
      <w:r w:rsidR="003925A1">
        <w:t xml:space="preserve">For this </w:t>
      </w:r>
      <w:r w:rsidR="00E47BE0">
        <w:t>reason,</w:t>
      </w:r>
      <w:r w:rsidR="003925A1">
        <w:t xml:space="preserve"> caution should be observed drawing conclusions from month-to-month comparisons.</w:t>
      </w:r>
    </w:p>
    <w:p w14:paraId="21CB4A37" w14:textId="00C86601" w:rsidR="00256DA4" w:rsidRPr="00B64CFC" w:rsidRDefault="00C109ED" w:rsidP="00BC5B11">
      <w:pPr>
        <w:pStyle w:val="Body"/>
        <w:rPr>
          <w:i/>
          <w:iCs/>
        </w:rPr>
      </w:pPr>
      <w:r w:rsidRPr="00D455FD">
        <w:rPr>
          <w:b/>
          <w:bCs/>
        </w:rPr>
        <w:t>Takeout:</w:t>
      </w:r>
      <w:r>
        <w:t xml:space="preserve"> </w:t>
      </w:r>
      <w:r w:rsidR="007001D0">
        <w:br/>
      </w:r>
      <w:r w:rsidR="00F248F0" w:rsidRPr="00B64CFC">
        <w:rPr>
          <w:i/>
          <w:iCs/>
        </w:rPr>
        <w:t>As predicted in the previous report,</w:t>
      </w:r>
      <w:r w:rsidR="00256DA4" w:rsidRPr="00B64CFC">
        <w:rPr>
          <w:i/>
          <w:iCs/>
        </w:rPr>
        <w:t xml:space="preserve"> notifications have steadily increased</w:t>
      </w:r>
      <w:r w:rsidR="00F248F0" w:rsidRPr="00B64CFC">
        <w:rPr>
          <w:i/>
          <w:iCs/>
        </w:rPr>
        <w:t xml:space="preserve"> (78 </w:t>
      </w:r>
      <w:r w:rsidR="00256DA4" w:rsidRPr="00B64CFC">
        <w:rPr>
          <w:i/>
          <w:iCs/>
        </w:rPr>
        <w:t xml:space="preserve">in the </w:t>
      </w:r>
      <w:r w:rsidR="00F248F0" w:rsidRPr="00B64CFC">
        <w:rPr>
          <w:i/>
          <w:iCs/>
        </w:rPr>
        <w:t xml:space="preserve">last reporting period compared to 155 this </w:t>
      </w:r>
      <w:r w:rsidR="00256DA4" w:rsidRPr="00B64CFC">
        <w:rPr>
          <w:i/>
          <w:iCs/>
        </w:rPr>
        <w:t>period</w:t>
      </w:r>
      <w:r w:rsidR="00F248F0" w:rsidRPr="00B64CFC">
        <w:rPr>
          <w:i/>
          <w:iCs/>
        </w:rPr>
        <w:t xml:space="preserve">) </w:t>
      </w:r>
      <w:r w:rsidR="00173280" w:rsidRPr="00B64CFC">
        <w:rPr>
          <w:i/>
          <w:iCs/>
        </w:rPr>
        <w:t xml:space="preserve">as awareness </w:t>
      </w:r>
      <w:r w:rsidR="007D5DB5" w:rsidRPr="00B64CFC">
        <w:rPr>
          <w:i/>
          <w:iCs/>
        </w:rPr>
        <w:t xml:space="preserve">of the scheme increases </w:t>
      </w:r>
      <w:r w:rsidR="0055769E" w:rsidRPr="00B64CFC">
        <w:rPr>
          <w:i/>
          <w:iCs/>
        </w:rPr>
        <w:t>across the VPS</w:t>
      </w:r>
      <w:r w:rsidR="00173280" w:rsidRPr="00B64CFC">
        <w:rPr>
          <w:i/>
          <w:iCs/>
        </w:rPr>
        <w:t>.</w:t>
      </w:r>
      <w:r w:rsidRPr="00B64CFC">
        <w:rPr>
          <w:i/>
          <w:iCs/>
        </w:rPr>
        <w:t xml:space="preserve"> </w:t>
      </w:r>
    </w:p>
    <w:p w14:paraId="1E547663" w14:textId="01945635" w:rsidR="00C109ED" w:rsidRPr="00B64CFC" w:rsidRDefault="00D8350E" w:rsidP="00BC5B11">
      <w:pPr>
        <w:pStyle w:val="Body"/>
        <w:rPr>
          <w:i/>
          <w:iCs/>
        </w:rPr>
      </w:pPr>
      <w:r w:rsidRPr="00B64CFC">
        <w:rPr>
          <w:i/>
          <w:iCs/>
        </w:rPr>
        <w:t>T</w:t>
      </w:r>
      <w:r w:rsidR="0055769E" w:rsidRPr="00B64CFC">
        <w:rPr>
          <w:i/>
          <w:iCs/>
        </w:rPr>
        <w:t xml:space="preserve">he </w:t>
      </w:r>
      <w:r w:rsidR="00C109ED" w:rsidRPr="00B64CFC">
        <w:rPr>
          <w:i/>
          <w:iCs/>
        </w:rPr>
        <w:t xml:space="preserve">decline in notifications in </w:t>
      </w:r>
      <w:r w:rsidR="00F248F0" w:rsidRPr="00B64CFC">
        <w:rPr>
          <w:i/>
          <w:iCs/>
        </w:rPr>
        <w:t>December</w:t>
      </w:r>
      <w:r w:rsidR="00EA6BBB" w:rsidRPr="00B64CFC">
        <w:rPr>
          <w:i/>
          <w:iCs/>
        </w:rPr>
        <w:t xml:space="preserve"> </w:t>
      </w:r>
      <w:r w:rsidR="007D5DB5" w:rsidRPr="00B64CFC">
        <w:rPr>
          <w:i/>
          <w:iCs/>
        </w:rPr>
        <w:t xml:space="preserve">2020 </w:t>
      </w:r>
      <w:r w:rsidR="00256DA4" w:rsidRPr="00B64CFC">
        <w:rPr>
          <w:i/>
          <w:iCs/>
        </w:rPr>
        <w:t>does not necessarily reflect less incidents occurring</w:t>
      </w:r>
      <w:r w:rsidR="0063679E" w:rsidRPr="00B64CFC">
        <w:rPr>
          <w:i/>
          <w:iCs/>
        </w:rPr>
        <w:t xml:space="preserve"> and</w:t>
      </w:r>
      <w:r w:rsidR="00256DA4" w:rsidRPr="00B64CFC">
        <w:rPr>
          <w:i/>
          <w:iCs/>
        </w:rPr>
        <w:t xml:space="preserve"> </w:t>
      </w:r>
      <w:r w:rsidRPr="00B64CFC">
        <w:rPr>
          <w:i/>
          <w:iCs/>
        </w:rPr>
        <w:t xml:space="preserve">could be </w:t>
      </w:r>
      <w:r w:rsidR="00C109ED" w:rsidRPr="00B64CFC">
        <w:rPr>
          <w:i/>
          <w:iCs/>
        </w:rPr>
        <w:t xml:space="preserve">a </w:t>
      </w:r>
      <w:r w:rsidR="00EA6BBB" w:rsidRPr="00B64CFC">
        <w:rPr>
          <w:i/>
          <w:iCs/>
        </w:rPr>
        <w:t xml:space="preserve">result of </w:t>
      </w:r>
      <w:r w:rsidR="00F248F0" w:rsidRPr="00B64CFC">
        <w:rPr>
          <w:i/>
          <w:iCs/>
        </w:rPr>
        <w:t>organisations focussing on completing other business priorities before the end of year.</w:t>
      </w:r>
    </w:p>
    <w:p w14:paraId="0CA3450C" w14:textId="77777777" w:rsidR="0076524F" w:rsidRDefault="0076524F" w:rsidP="00E93FC2">
      <w:pPr>
        <w:pStyle w:val="SectionHeading1"/>
        <w:rPr>
          <w:sz w:val="24"/>
          <w:szCs w:val="24"/>
        </w:rPr>
      </w:pPr>
    </w:p>
    <w:p w14:paraId="41507103" w14:textId="77777777" w:rsidR="006804A9" w:rsidRDefault="006804A9">
      <w:pPr>
        <w:rPr>
          <w:rFonts w:ascii="Calibri" w:eastAsia="Calibri" w:hAnsi="Calibri" w:cs="PostGrotesk-Medium"/>
          <w:color w:val="430098"/>
          <w:sz w:val="24"/>
          <w:szCs w:val="24"/>
          <w:lang w:val="en-GB"/>
        </w:rPr>
      </w:pPr>
      <w:r>
        <w:rPr>
          <w:sz w:val="24"/>
          <w:szCs w:val="24"/>
        </w:rPr>
        <w:br w:type="page"/>
      </w:r>
    </w:p>
    <w:p w14:paraId="70D444E5" w14:textId="06107B22" w:rsidR="00E93FC2" w:rsidRDefault="00E93FC2" w:rsidP="00E93FC2">
      <w:pPr>
        <w:pStyle w:val="SectionHeading1"/>
        <w:rPr>
          <w:sz w:val="24"/>
          <w:szCs w:val="24"/>
        </w:rPr>
      </w:pPr>
      <w:r w:rsidRPr="00E93FC2">
        <w:rPr>
          <w:sz w:val="24"/>
          <w:szCs w:val="24"/>
        </w:rPr>
        <w:lastRenderedPageBreak/>
        <w:t xml:space="preserve">Notifications by </w:t>
      </w:r>
      <w:r>
        <w:rPr>
          <w:sz w:val="24"/>
          <w:szCs w:val="24"/>
        </w:rPr>
        <w:t>portfolio</w:t>
      </w:r>
    </w:p>
    <w:p w14:paraId="370811DD" w14:textId="62405E60" w:rsidR="0076524F" w:rsidRPr="00E93FC2" w:rsidRDefault="00B64CFC" w:rsidP="00B64CFC">
      <w:pPr>
        <w:pStyle w:val="SectionHeading1"/>
        <w:jc w:val="center"/>
        <w:rPr>
          <w:sz w:val="24"/>
          <w:szCs w:val="24"/>
        </w:rPr>
      </w:pPr>
      <w:r w:rsidRPr="00B64CFC">
        <w:rPr>
          <w:sz w:val="24"/>
          <w:szCs w:val="24"/>
        </w:rPr>
        <w:drawing>
          <wp:inline distT="0" distB="0" distL="0" distR="0" wp14:anchorId="5A717C43" wp14:editId="4EB90C0D">
            <wp:extent cx="6058746" cy="3629532"/>
            <wp:effectExtent l="0" t="0" r="0" b="9525"/>
            <wp:docPr id="477394563" name="Picture 1" descr="A pie char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94563" name="Picture 1" descr="A pie chart with numbers and text&#10;&#10;Description automatically generated"/>
                    <pic:cNvPicPr/>
                  </pic:nvPicPr>
                  <pic:blipFill>
                    <a:blip r:embed="rId11"/>
                    <a:stretch>
                      <a:fillRect/>
                    </a:stretch>
                  </pic:blipFill>
                  <pic:spPr>
                    <a:xfrm>
                      <a:off x="0" y="0"/>
                      <a:ext cx="6058746" cy="3629532"/>
                    </a:xfrm>
                    <a:prstGeom prst="rect">
                      <a:avLst/>
                    </a:prstGeom>
                  </pic:spPr>
                </pic:pic>
              </a:graphicData>
            </a:graphic>
          </wp:inline>
        </w:drawing>
      </w:r>
    </w:p>
    <w:p w14:paraId="5153B629" w14:textId="7AD1F343" w:rsidR="00695D85" w:rsidRDefault="002C7FE4" w:rsidP="00CA175E">
      <w:pPr>
        <w:pStyle w:val="Body"/>
      </w:pPr>
      <w:r>
        <w:t>O</w:t>
      </w:r>
      <w:r w:rsidR="00CA175E">
        <w:t xml:space="preserve">f the </w:t>
      </w:r>
      <w:r w:rsidR="00B63399">
        <w:t>155</w:t>
      </w:r>
      <w:r w:rsidR="00CA175E">
        <w:t xml:space="preserve"> notifications received</w:t>
      </w:r>
      <w:r w:rsidR="0055769E">
        <w:t xml:space="preserve"> by OVIC</w:t>
      </w:r>
      <w:r w:rsidR="006804A9">
        <w:t>,</w:t>
      </w:r>
      <w:r w:rsidR="00CA175E">
        <w:t xml:space="preserve"> the majority came from </w:t>
      </w:r>
      <w:r>
        <w:t>the</w:t>
      </w:r>
      <w:r w:rsidR="0055769E">
        <w:t xml:space="preserve"> </w:t>
      </w:r>
      <w:r w:rsidR="00CA175E">
        <w:t>Justice and Health and Human Services</w:t>
      </w:r>
      <w:r w:rsidR="00687185">
        <w:t xml:space="preserve"> sectors</w:t>
      </w:r>
      <w:r w:rsidR="00CA175E">
        <w:t>.</w:t>
      </w:r>
      <w:r>
        <w:t xml:space="preserve"> This follows a similar trend observed in the Oct 2019 – Jun 2020 report.</w:t>
      </w:r>
    </w:p>
    <w:p w14:paraId="636E4986" w14:textId="5B480981" w:rsidR="003C3D0B" w:rsidRDefault="003C3D0B" w:rsidP="00CA175E">
      <w:pPr>
        <w:pStyle w:val="Body"/>
      </w:pPr>
      <w:r w:rsidRPr="00061A6F">
        <w:t>We received notifications from the Jobs, Precincts and Regions portfolio for the first time during this reporting period.</w:t>
      </w:r>
    </w:p>
    <w:p w14:paraId="75A1708D" w14:textId="4D67D77E" w:rsidR="003C3D0B" w:rsidRDefault="003C3D0B" w:rsidP="00CA175E">
      <w:pPr>
        <w:pStyle w:val="Body"/>
      </w:pPr>
      <w:r w:rsidRPr="00061A6F">
        <w:t>The Education sector had the largest increase in notifications compared to the last report</w:t>
      </w:r>
      <w:r>
        <w:t>,</w:t>
      </w:r>
      <w:r w:rsidRPr="00061A6F">
        <w:t xml:space="preserve"> followed by the Treasury and Finance and Health and Human </w:t>
      </w:r>
      <w:r>
        <w:t>S</w:t>
      </w:r>
      <w:r w:rsidRPr="00061A6F">
        <w:t>ervices sectors.</w:t>
      </w:r>
    </w:p>
    <w:p w14:paraId="22E7C34A" w14:textId="43D6C289" w:rsidR="00385C6F" w:rsidRPr="00B64CFC" w:rsidRDefault="00695D85" w:rsidP="00687185">
      <w:pPr>
        <w:pStyle w:val="Body"/>
        <w:rPr>
          <w:i/>
          <w:iCs/>
        </w:rPr>
      </w:pPr>
      <w:r w:rsidRPr="00D455FD">
        <w:rPr>
          <w:b/>
          <w:bCs/>
        </w:rPr>
        <w:t>Takeout:</w:t>
      </w:r>
      <w:r>
        <w:rPr>
          <w:i/>
          <w:iCs/>
        </w:rPr>
        <w:t xml:space="preserve"> </w:t>
      </w:r>
      <w:r w:rsidR="007001D0">
        <w:rPr>
          <w:i/>
          <w:iCs/>
        </w:rPr>
        <w:br/>
      </w:r>
      <w:r w:rsidR="003925A1" w:rsidRPr="00B64CFC">
        <w:rPr>
          <w:i/>
          <w:iCs/>
        </w:rPr>
        <w:t>A</w:t>
      </w:r>
      <w:r w:rsidR="007277FA" w:rsidRPr="00B64CFC">
        <w:rPr>
          <w:i/>
          <w:iCs/>
        </w:rPr>
        <w:t xml:space="preserve"> greater representation of information security incident </w:t>
      </w:r>
      <w:r w:rsidR="00F436A4" w:rsidRPr="00B64CFC">
        <w:rPr>
          <w:i/>
          <w:iCs/>
        </w:rPr>
        <w:t xml:space="preserve">notifications </w:t>
      </w:r>
      <w:r w:rsidR="007277FA" w:rsidRPr="00B64CFC">
        <w:rPr>
          <w:i/>
          <w:iCs/>
        </w:rPr>
        <w:t xml:space="preserve">across all </w:t>
      </w:r>
      <w:r w:rsidR="004A6FB4" w:rsidRPr="00B64CFC">
        <w:rPr>
          <w:i/>
          <w:iCs/>
        </w:rPr>
        <w:t>sectors</w:t>
      </w:r>
      <w:r w:rsidR="007277FA" w:rsidRPr="00B64CFC">
        <w:rPr>
          <w:i/>
          <w:iCs/>
        </w:rPr>
        <w:t xml:space="preserve">, </w:t>
      </w:r>
      <w:r w:rsidR="003925A1" w:rsidRPr="00B64CFC">
        <w:rPr>
          <w:i/>
          <w:iCs/>
        </w:rPr>
        <w:t>is a welcome development</w:t>
      </w:r>
      <w:r w:rsidR="007277FA" w:rsidRPr="00B64CFC">
        <w:rPr>
          <w:i/>
          <w:iCs/>
        </w:rPr>
        <w:t xml:space="preserve">. This is likely a reflection of greater awareness about the scheme </w:t>
      </w:r>
      <w:r w:rsidR="00385C6F" w:rsidRPr="00B64CFC">
        <w:rPr>
          <w:i/>
          <w:iCs/>
        </w:rPr>
        <w:t>I</w:t>
      </w:r>
      <w:r w:rsidR="007277FA" w:rsidRPr="00B64CFC">
        <w:rPr>
          <w:i/>
          <w:iCs/>
        </w:rPr>
        <w:t xml:space="preserve">t may also </w:t>
      </w:r>
      <w:r w:rsidR="00385C6F" w:rsidRPr="00B64CFC">
        <w:rPr>
          <w:i/>
          <w:iCs/>
        </w:rPr>
        <w:t>reflect</w:t>
      </w:r>
      <w:r w:rsidR="007277FA" w:rsidRPr="00B64CFC">
        <w:rPr>
          <w:i/>
          <w:iCs/>
        </w:rPr>
        <w:t xml:space="preserve"> increased awareness and identification of information security incidents as they occur and more streamlined reporting procedures in individual organisations. </w:t>
      </w:r>
    </w:p>
    <w:p w14:paraId="3506197B" w14:textId="13036FCE" w:rsidR="00695D85" w:rsidRPr="00B64CFC" w:rsidRDefault="0027322A" w:rsidP="00687185">
      <w:pPr>
        <w:pStyle w:val="Body"/>
        <w:rPr>
          <w:i/>
          <w:iCs/>
          <w:sz w:val="24"/>
          <w:szCs w:val="24"/>
        </w:rPr>
      </w:pPr>
      <w:r w:rsidRPr="00B64CFC">
        <w:rPr>
          <w:rStyle w:val="Emphasis"/>
          <w:rFonts w:cstheme="minorHAnsi"/>
          <w:shd w:val="clear" w:color="auto" w:fill="FFFFFF"/>
        </w:rPr>
        <w:t>W</w:t>
      </w:r>
      <w:r w:rsidR="007277FA" w:rsidRPr="00B64CFC">
        <w:rPr>
          <w:rStyle w:val="Emphasis"/>
          <w:rFonts w:cstheme="minorHAnsi"/>
          <w:shd w:val="clear" w:color="auto" w:fill="FFFFFF"/>
        </w:rPr>
        <w:t xml:space="preserve">hile </w:t>
      </w:r>
      <w:r w:rsidRPr="00B64CFC">
        <w:rPr>
          <w:rStyle w:val="Emphasis"/>
          <w:rFonts w:cstheme="minorHAnsi"/>
          <w:shd w:val="clear" w:color="auto" w:fill="FFFFFF"/>
        </w:rPr>
        <w:t xml:space="preserve">we received a higher number of notifications from </w:t>
      </w:r>
      <w:r w:rsidR="007277FA" w:rsidRPr="00B64CFC">
        <w:rPr>
          <w:rStyle w:val="Emphasis"/>
          <w:rFonts w:cstheme="minorHAnsi"/>
          <w:shd w:val="clear" w:color="auto" w:fill="FFFFFF"/>
        </w:rPr>
        <w:t>some sectors, the statistics do not necessarily mean that these portfolios have the most incidents. Instead, the number of notifications may indicate that these portfolios have greater awareness of the scheme, resources to identify and analyse incidents, and a willingness to report to OVIC.</w:t>
      </w:r>
      <w:r w:rsidR="003925A1" w:rsidRPr="00B64CFC">
        <w:rPr>
          <w:rStyle w:val="Emphasis"/>
          <w:rFonts w:cstheme="minorHAnsi"/>
          <w:shd w:val="clear" w:color="auto" w:fill="FFFFFF"/>
        </w:rPr>
        <w:t xml:space="preserve"> In addition, because more agencies are now reporting (e.g.</w:t>
      </w:r>
      <w:r w:rsidR="00651761" w:rsidRPr="00B64CFC">
        <w:rPr>
          <w:rStyle w:val="Emphasis"/>
          <w:rFonts w:cstheme="minorHAnsi"/>
          <w:shd w:val="clear" w:color="auto" w:fill="FFFFFF"/>
        </w:rPr>
        <w:t>,</w:t>
      </w:r>
      <w:r w:rsidR="003925A1" w:rsidRPr="00B64CFC">
        <w:rPr>
          <w:rStyle w:val="Emphasis"/>
          <w:rFonts w:cstheme="minorHAnsi"/>
          <w:shd w:val="clear" w:color="auto" w:fill="FFFFFF"/>
        </w:rPr>
        <w:t xml:space="preserve"> DJPR) the increased number of incidents does not mean a decrease in the security of the VPS overall.</w:t>
      </w:r>
    </w:p>
    <w:p w14:paraId="7876BF18" w14:textId="77777777" w:rsidR="00695D85" w:rsidRDefault="00695D85" w:rsidP="00E93FC2">
      <w:pPr>
        <w:pStyle w:val="SectionHeading1"/>
        <w:rPr>
          <w:sz w:val="24"/>
          <w:szCs w:val="24"/>
        </w:rPr>
      </w:pPr>
    </w:p>
    <w:p w14:paraId="4D73C9AA" w14:textId="77777777" w:rsidR="00651761" w:rsidRDefault="00651761">
      <w:pPr>
        <w:rPr>
          <w:rFonts w:ascii="Calibri" w:eastAsia="Calibri" w:hAnsi="Calibri" w:cs="PostGrotesk-Medium"/>
          <w:color w:val="430098"/>
          <w:sz w:val="24"/>
          <w:szCs w:val="24"/>
          <w:lang w:val="en-GB"/>
        </w:rPr>
      </w:pPr>
      <w:r>
        <w:rPr>
          <w:sz w:val="24"/>
          <w:szCs w:val="24"/>
        </w:rPr>
        <w:br w:type="page"/>
      </w:r>
    </w:p>
    <w:p w14:paraId="20E4A683" w14:textId="0465B8EB" w:rsidR="00E93FC2" w:rsidRDefault="00E93FC2" w:rsidP="00E93FC2">
      <w:pPr>
        <w:pStyle w:val="SectionHeading1"/>
        <w:rPr>
          <w:sz w:val="24"/>
          <w:szCs w:val="24"/>
        </w:rPr>
      </w:pPr>
      <w:r>
        <w:rPr>
          <w:sz w:val="24"/>
          <w:szCs w:val="24"/>
        </w:rPr>
        <w:lastRenderedPageBreak/>
        <w:t>Information format</w:t>
      </w:r>
    </w:p>
    <w:p w14:paraId="7CED0567" w14:textId="72EEFFA8" w:rsidR="00DE4C2C" w:rsidRPr="00E93FC2" w:rsidRDefault="00B64CFC" w:rsidP="00B64CFC">
      <w:pPr>
        <w:pStyle w:val="SectionHeading1"/>
        <w:jc w:val="center"/>
        <w:rPr>
          <w:sz w:val="24"/>
          <w:szCs w:val="24"/>
        </w:rPr>
      </w:pPr>
      <w:r w:rsidRPr="00B64CFC">
        <w:rPr>
          <w:sz w:val="24"/>
          <w:szCs w:val="24"/>
        </w:rPr>
        <w:drawing>
          <wp:inline distT="0" distB="0" distL="0" distR="0" wp14:anchorId="55D2B243" wp14:editId="70B44049">
            <wp:extent cx="6120130" cy="1537335"/>
            <wp:effectExtent l="0" t="0" r="0" b="5715"/>
            <wp:docPr id="500871841" name="Picture 1" descr="A blue rectangle with a ba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71841" name="Picture 1" descr="A blue rectangle with a bar code&#10;&#10;Description automatically generated"/>
                    <pic:cNvPicPr/>
                  </pic:nvPicPr>
                  <pic:blipFill>
                    <a:blip r:embed="rId12"/>
                    <a:stretch>
                      <a:fillRect/>
                    </a:stretch>
                  </pic:blipFill>
                  <pic:spPr>
                    <a:xfrm>
                      <a:off x="0" y="0"/>
                      <a:ext cx="6120130" cy="1537335"/>
                    </a:xfrm>
                    <a:prstGeom prst="rect">
                      <a:avLst/>
                    </a:prstGeom>
                  </pic:spPr>
                </pic:pic>
              </a:graphicData>
            </a:graphic>
          </wp:inline>
        </w:drawing>
      </w:r>
    </w:p>
    <w:p w14:paraId="634DFDCC" w14:textId="4B00DC99" w:rsidR="00F436A4" w:rsidRDefault="00F436A4" w:rsidP="00CA175E">
      <w:pPr>
        <w:pStyle w:val="Body"/>
      </w:pPr>
      <w:proofErr w:type="gramStart"/>
      <w:r>
        <w:t>S</w:t>
      </w:r>
      <w:r w:rsidR="00DE4C2C">
        <w:t>imilar to</w:t>
      </w:r>
      <w:proofErr w:type="gramEnd"/>
      <w:r w:rsidR="00DE4C2C">
        <w:t xml:space="preserve"> the previous six months</w:t>
      </w:r>
      <w:r>
        <w:t>,</w:t>
      </w:r>
      <w:r w:rsidR="00DE4C2C">
        <w:t xml:space="preserve"> the majority</w:t>
      </w:r>
      <w:r>
        <w:t xml:space="preserve"> of incident notifications</w:t>
      </w:r>
      <w:r w:rsidR="00DE4C2C">
        <w:t xml:space="preserve"> related to electronic information followed by hard copy information.</w:t>
      </w:r>
      <w:r w:rsidR="005E18CE">
        <w:t xml:space="preserve"> </w:t>
      </w:r>
    </w:p>
    <w:p w14:paraId="483E00FF" w14:textId="57631CF6" w:rsidR="00F436A4" w:rsidRDefault="005E18CE" w:rsidP="00CA175E">
      <w:pPr>
        <w:pStyle w:val="Body"/>
      </w:pPr>
      <w:r>
        <w:t>Of the notifications relating to information in electronic format, approximately 65% of incidents related to emails</w:t>
      </w:r>
      <w:r w:rsidR="00F436A4">
        <w:t xml:space="preserve">. These incidents were </w:t>
      </w:r>
      <w:r w:rsidR="003C3D0B">
        <w:t>either related to</w:t>
      </w:r>
      <w:r>
        <w:t xml:space="preserve"> phishing</w:t>
      </w:r>
      <w:r w:rsidR="00EC4AAB">
        <w:t xml:space="preserve">, incorrect recipients, incorrect attachments, compromised email accounts or not using the BCC field to send emails to </w:t>
      </w:r>
      <w:proofErr w:type="gramStart"/>
      <w:r w:rsidR="00EC4AAB">
        <w:t>a large number of</w:t>
      </w:r>
      <w:proofErr w:type="gramEnd"/>
      <w:r w:rsidR="00EC4AAB">
        <w:t xml:space="preserve"> recipients</w:t>
      </w:r>
      <w:r>
        <w:t xml:space="preserve">. </w:t>
      </w:r>
    </w:p>
    <w:p w14:paraId="54FE045E" w14:textId="7F4A94BE" w:rsidR="000F45EB" w:rsidRPr="00FE63F4" w:rsidRDefault="00E87365" w:rsidP="00CA175E">
      <w:pPr>
        <w:pStyle w:val="Body"/>
      </w:pPr>
      <w:r w:rsidRPr="002038DF">
        <w:t>OVIC</w:t>
      </w:r>
      <w:r w:rsidR="00F436A4">
        <w:t xml:space="preserve"> receives notifications</w:t>
      </w:r>
      <w:r w:rsidRPr="002038DF">
        <w:t xml:space="preserve"> in differ</w:t>
      </w:r>
      <w:r w:rsidR="00F436A4">
        <w:t>ent</w:t>
      </w:r>
      <w:r w:rsidRPr="002038DF">
        <w:t xml:space="preserve"> forms</w:t>
      </w:r>
      <w:r w:rsidR="00F436A4">
        <w:t xml:space="preserve"> and not always through the incident notification form published on our website. </w:t>
      </w:r>
      <w:r w:rsidRPr="002038DF">
        <w:t xml:space="preserve"> </w:t>
      </w:r>
      <w:r w:rsidR="00F436A4">
        <w:t xml:space="preserve">As a result, </w:t>
      </w:r>
      <w:r w:rsidRPr="002038DF">
        <w:t>we were unable to ascertain the format of the affected information in one of the notifications</w:t>
      </w:r>
      <w:r w:rsidRPr="00D86981">
        <w:rPr>
          <w:i/>
          <w:iCs/>
        </w:rPr>
        <w:t xml:space="preserve">. </w:t>
      </w:r>
    </w:p>
    <w:p w14:paraId="3190D2A5" w14:textId="77777777" w:rsidR="003C3D0B" w:rsidRPr="00B64CFC" w:rsidRDefault="000F45EB" w:rsidP="003C3D0B">
      <w:pPr>
        <w:pStyle w:val="Body"/>
        <w:rPr>
          <w:i/>
          <w:iCs/>
        </w:rPr>
      </w:pPr>
      <w:r w:rsidRPr="00A50870">
        <w:rPr>
          <w:b/>
          <w:bCs/>
        </w:rPr>
        <w:t>Takeout:</w:t>
      </w:r>
      <w:r w:rsidRPr="00D86981">
        <w:rPr>
          <w:i/>
          <w:iCs/>
        </w:rPr>
        <w:t xml:space="preserve"> </w:t>
      </w:r>
      <w:r w:rsidR="007001D0">
        <w:rPr>
          <w:i/>
          <w:iCs/>
        </w:rPr>
        <w:br/>
      </w:r>
      <w:r w:rsidR="003C3D0B" w:rsidRPr="00B64CFC">
        <w:rPr>
          <w:i/>
          <w:iCs/>
        </w:rPr>
        <w:t>Although it is not readily apparent in the statistics when presented as percentages, there was an increase in notifications affecting hard copy information and verbal disclosures.</w:t>
      </w:r>
    </w:p>
    <w:p w14:paraId="3323C384" w14:textId="29E6524E" w:rsidR="00FB4656" w:rsidRPr="00B64CFC" w:rsidRDefault="003C3D0B" w:rsidP="00CA175E">
      <w:pPr>
        <w:pStyle w:val="Body"/>
        <w:rPr>
          <w:i/>
          <w:iCs/>
        </w:rPr>
      </w:pPr>
      <w:r w:rsidRPr="00B64CFC">
        <w:rPr>
          <w:i/>
          <w:iCs/>
        </w:rPr>
        <w:t>T</w:t>
      </w:r>
      <w:r w:rsidR="00FB4656" w:rsidRPr="00B64CFC">
        <w:rPr>
          <w:i/>
          <w:iCs/>
        </w:rPr>
        <w:t>he increase in</w:t>
      </w:r>
      <w:r w:rsidR="002038DF" w:rsidRPr="00B64CFC">
        <w:rPr>
          <w:i/>
          <w:iCs/>
        </w:rPr>
        <w:t xml:space="preserve"> notifications related to incidents other than electronic information demonstrates an increasing level of maturity by the VPS in this space. </w:t>
      </w:r>
    </w:p>
    <w:p w14:paraId="27B235A0" w14:textId="5A380632" w:rsidR="002D3014" w:rsidRDefault="002D3014">
      <w:pPr>
        <w:rPr>
          <w:rFonts w:ascii="Calibri" w:eastAsia="Calibri" w:hAnsi="Calibri" w:cs="PostGrotesk-Medium"/>
          <w:color w:val="430098"/>
          <w:sz w:val="24"/>
          <w:szCs w:val="24"/>
          <w:lang w:val="en-GB"/>
        </w:rPr>
      </w:pPr>
    </w:p>
    <w:p w14:paraId="4DC0234E" w14:textId="77777777" w:rsidR="00B64CFC" w:rsidRDefault="00B64CFC">
      <w:pPr>
        <w:rPr>
          <w:rFonts w:ascii="Calibri" w:eastAsia="Calibri" w:hAnsi="Calibri" w:cs="PostGrotesk-Medium"/>
          <w:color w:val="430098"/>
          <w:sz w:val="24"/>
          <w:szCs w:val="24"/>
          <w:lang w:val="en-GB"/>
        </w:rPr>
      </w:pPr>
      <w:r>
        <w:rPr>
          <w:sz w:val="24"/>
          <w:szCs w:val="24"/>
        </w:rPr>
        <w:br w:type="page"/>
      </w:r>
    </w:p>
    <w:p w14:paraId="0CB905AD" w14:textId="4E131958" w:rsidR="00695D85" w:rsidRDefault="009D2AB2" w:rsidP="00695D85">
      <w:pPr>
        <w:pStyle w:val="SectionHeading1"/>
        <w:rPr>
          <w:sz w:val="24"/>
          <w:szCs w:val="24"/>
        </w:rPr>
      </w:pPr>
      <w:r>
        <w:rPr>
          <w:sz w:val="24"/>
          <w:szCs w:val="24"/>
        </w:rPr>
        <w:lastRenderedPageBreak/>
        <w:t xml:space="preserve">Type of information </w:t>
      </w:r>
      <w:proofErr w:type="gramStart"/>
      <w:r>
        <w:rPr>
          <w:sz w:val="24"/>
          <w:szCs w:val="24"/>
        </w:rPr>
        <w:t>impacted</w:t>
      </w:r>
      <w:proofErr w:type="gramEnd"/>
    </w:p>
    <w:p w14:paraId="6184D78E" w14:textId="6A99A87A" w:rsidR="002D3014" w:rsidRDefault="00B64CFC" w:rsidP="00B64CFC">
      <w:pPr>
        <w:pStyle w:val="SectionHeading1"/>
        <w:jc w:val="center"/>
        <w:rPr>
          <w:sz w:val="24"/>
          <w:szCs w:val="24"/>
        </w:rPr>
      </w:pPr>
      <w:r w:rsidRPr="00B64CFC">
        <w:rPr>
          <w:sz w:val="24"/>
          <w:szCs w:val="24"/>
        </w:rPr>
        <w:drawing>
          <wp:inline distT="0" distB="0" distL="0" distR="0" wp14:anchorId="23E13447" wp14:editId="5B8C61C6">
            <wp:extent cx="4772691" cy="3391373"/>
            <wp:effectExtent l="0" t="0" r="8890" b="0"/>
            <wp:docPr id="966794238" name="Picture 1" descr="A colorful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794238" name="Picture 1" descr="A colorful circle with text&#10;&#10;Description automatically generated"/>
                    <pic:cNvPicPr/>
                  </pic:nvPicPr>
                  <pic:blipFill>
                    <a:blip r:embed="rId13"/>
                    <a:stretch>
                      <a:fillRect/>
                    </a:stretch>
                  </pic:blipFill>
                  <pic:spPr>
                    <a:xfrm>
                      <a:off x="0" y="0"/>
                      <a:ext cx="4772691" cy="3391373"/>
                    </a:xfrm>
                    <a:prstGeom prst="rect">
                      <a:avLst/>
                    </a:prstGeom>
                  </pic:spPr>
                </pic:pic>
              </a:graphicData>
            </a:graphic>
          </wp:inline>
        </w:drawing>
      </w:r>
    </w:p>
    <w:p w14:paraId="2A5DFD75" w14:textId="77777777" w:rsidR="004E4D08" w:rsidRDefault="000C2FE0" w:rsidP="00B5019B">
      <w:pPr>
        <w:pStyle w:val="Body"/>
      </w:pPr>
      <w:bookmarkStart w:id="1" w:name="_Hlk57107077"/>
      <w:r>
        <w:t>M</w:t>
      </w:r>
      <w:r w:rsidR="00695D85">
        <w:t>ost notifications received by OVIC related to compromises of personal information</w:t>
      </w:r>
      <w:bookmarkEnd w:id="1"/>
      <w:r w:rsidR="004E4D08">
        <w:t>,</w:t>
      </w:r>
      <w:r w:rsidR="004E4D08" w:rsidRPr="004E4D08">
        <w:rPr>
          <w:rFonts w:asciiTheme="minorHAnsi" w:eastAsiaTheme="minorHAnsi" w:hAnsiTheme="minorHAnsi" w:cstheme="minorBidi"/>
          <w:color w:val="auto"/>
          <w:lang w:val="en-AU"/>
        </w:rPr>
        <w:t xml:space="preserve"> </w:t>
      </w:r>
      <w:r w:rsidR="004E4D08" w:rsidRPr="004E4D08">
        <w:rPr>
          <w:lang w:val="en-AU"/>
        </w:rPr>
        <w:t>followed by health information</w:t>
      </w:r>
      <w:r w:rsidR="00FB4656">
        <w:t xml:space="preserve">. </w:t>
      </w:r>
    </w:p>
    <w:p w14:paraId="046F5AC9" w14:textId="42859DA5" w:rsidR="004E4D08" w:rsidRDefault="004E4D08" w:rsidP="00B5019B">
      <w:pPr>
        <w:pStyle w:val="Body"/>
      </w:pPr>
      <w:r>
        <w:t xml:space="preserve">Compared to the last reporting period, notifications related to personal information </w:t>
      </w:r>
      <w:r w:rsidR="003C3D0B">
        <w:t xml:space="preserve">increased </w:t>
      </w:r>
      <w:r w:rsidR="00117DF6">
        <w:t>from 63% to 81%</w:t>
      </w:r>
      <w:r w:rsidR="00695D85">
        <w:t>.</w:t>
      </w:r>
      <w:r w:rsidR="002D3014">
        <w:t xml:space="preserve"> </w:t>
      </w:r>
    </w:p>
    <w:p w14:paraId="7C4801E7" w14:textId="5837436A" w:rsidR="00695D85" w:rsidRPr="00B5019B" w:rsidRDefault="002D3014" w:rsidP="00B5019B">
      <w:pPr>
        <w:pStyle w:val="Body"/>
      </w:pPr>
      <w:r>
        <w:t xml:space="preserve">There was </w:t>
      </w:r>
      <w:r w:rsidR="004E4D08">
        <w:t xml:space="preserve">also </w:t>
      </w:r>
      <w:r>
        <w:t>a decrease in the number of incident</w:t>
      </w:r>
      <w:r w:rsidR="00A44D08">
        <w:t xml:space="preserve"> notifications</w:t>
      </w:r>
      <w:r>
        <w:t xml:space="preserve"> relating to operational information</w:t>
      </w:r>
      <w:r w:rsidR="00A44D08">
        <w:t xml:space="preserve"> from 9% </w:t>
      </w:r>
      <w:r w:rsidR="004E4D08">
        <w:t xml:space="preserve">in the </w:t>
      </w:r>
      <w:r w:rsidR="00A44D08">
        <w:t>last reporting period to 3% this reporting period.</w:t>
      </w:r>
    </w:p>
    <w:p w14:paraId="19E058D7" w14:textId="335A649A" w:rsidR="00B5019B" w:rsidRPr="00B64CFC" w:rsidRDefault="00B5019B" w:rsidP="00B5019B">
      <w:pPr>
        <w:pStyle w:val="Body"/>
        <w:rPr>
          <w:i/>
          <w:iCs/>
        </w:rPr>
      </w:pPr>
      <w:r w:rsidRPr="00A50870">
        <w:rPr>
          <w:b/>
          <w:bCs/>
        </w:rPr>
        <w:t>Takeout:</w:t>
      </w:r>
      <w:r>
        <w:t xml:space="preserve"> </w:t>
      </w:r>
      <w:r w:rsidR="007001D0">
        <w:br/>
      </w:r>
      <w:r w:rsidRPr="00B64CFC">
        <w:rPr>
          <w:i/>
          <w:iCs/>
        </w:rPr>
        <w:t xml:space="preserve">OVIC </w:t>
      </w:r>
      <w:r w:rsidR="00A44D08" w:rsidRPr="00B64CFC">
        <w:rPr>
          <w:i/>
          <w:iCs/>
        </w:rPr>
        <w:t xml:space="preserve">published some follow up guidance regarding this field in its </w:t>
      </w:r>
      <w:hyperlink r:id="rId14" w:history="1">
        <w:r w:rsidR="00A44D08" w:rsidRPr="00B64CFC">
          <w:rPr>
            <w:rStyle w:val="Hyperlink"/>
            <w:i/>
            <w:iCs/>
          </w:rPr>
          <w:t>January 2021 newsletter</w:t>
        </w:r>
      </w:hyperlink>
      <w:r w:rsidR="00A44D08" w:rsidRPr="00B64CFC">
        <w:rPr>
          <w:i/>
          <w:iCs/>
        </w:rPr>
        <w:t xml:space="preserve"> to spotlight the types of information OVIC accepts notifications for</w:t>
      </w:r>
      <w:r w:rsidR="00E47BE0" w:rsidRPr="00B64CFC">
        <w:rPr>
          <w:i/>
          <w:iCs/>
        </w:rPr>
        <w:t xml:space="preserve"> given VPS organisations handle a broad range of information</w:t>
      </w:r>
      <w:r w:rsidRPr="00B64CFC">
        <w:rPr>
          <w:i/>
          <w:iCs/>
        </w:rPr>
        <w:t>.</w:t>
      </w:r>
    </w:p>
    <w:p w14:paraId="7B956ECD" w14:textId="77777777" w:rsidR="00B5019B" w:rsidRDefault="00B5019B" w:rsidP="00695D85">
      <w:pPr>
        <w:pStyle w:val="SectionHeading1"/>
        <w:rPr>
          <w:sz w:val="24"/>
          <w:szCs w:val="24"/>
        </w:rPr>
      </w:pPr>
    </w:p>
    <w:p w14:paraId="2E916155" w14:textId="77777777" w:rsidR="00B64CFC" w:rsidRDefault="00B64CFC">
      <w:pPr>
        <w:rPr>
          <w:rFonts w:ascii="Calibri" w:eastAsia="Calibri" w:hAnsi="Calibri" w:cs="PostGrotesk-Medium"/>
          <w:color w:val="430098"/>
          <w:sz w:val="24"/>
          <w:szCs w:val="24"/>
          <w:lang w:val="en-GB"/>
        </w:rPr>
      </w:pPr>
      <w:r>
        <w:rPr>
          <w:sz w:val="24"/>
          <w:szCs w:val="24"/>
        </w:rPr>
        <w:br w:type="page"/>
      </w:r>
    </w:p>
    <w:p w14:paraId="2EC89EDE" w14:textId="338FCBFC" w:rsidR="00B5019B" w:rsidRDefault="00B5019B" w:rsidP="00B5019B">
      <w:pPr>
        <w:pStyle w:val="SectionHeading1"/>
        <w:rPr>
          <w:sz w:val="24"/>
          <w:szCs w:val="24"/>
        </w:rPr>
      </w:pPr>
      <w:r w:rsidRPr="009D2AB2">
        <w:rPr>
          <w:sz w:val="24"/>
          <w:szCs w:val="24"/>
        </w:rPr>
        <w:lastRenderedPageBreak/>
        <w:t xml:space="preserve">Information </w:t>
      </w:r>
      <w:r w:rsidR="008C71AA">
        <w:rPr>
          <w:sz w:val="24"/>
          <w:szCs w:val="24"/>
        </w:rPr>
        <w:t xml:space="preserve">business impact level </w:t>
      </w:r>
    </w:p>
    <w:p w14:paraId="40A53075" w14:textId="354BD3AB" w:rsidR="00A44D08" w:rsidRPr="009D2AB2" w:rsidRDefault="00B64CFC" w:rsidP="00B64CFC">
      <w:pPr>
        <w:pStyle w:val="SectionHeading1"/>
        <w:jc w:val="center"/>
        <w:rPr>
          <w:i/>
          <w:iCs/>
          <w:sz w:val="24"/>
          <w:szCs w:val="24"/>
        </w:rPr>
      </w:pPr>
      <w:r w:rsidRPr="00B64CFC">
        <w:rPr>
          <w:i/>
          <w:iCs/>
          <w:sz w:val="24"/>
          <w:szCs w:val="24"/>
        </w:rPr>
        <w:drawing>
          <wp:inline distT="0" distB="0" distL="0" distR="0" wp14:anchorId="3904168C" wp14:editId="72246B34">
            <wp:extent cx="6120130" cy="3147060"/>
            <wp:effectExtent l="0" t="0" r="0" b="0"/>
            <wp:docPr id="1308812207" name="Picture 1" descr="A blue and pin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12207" name="Picture 1" descr="A blue and pink squares&#10;&#10;Description automatically generated"/>
                    <pic:cNvPicPr/>
                  </pic:nvPicPr>
                  <pic:blipFill>
                    <a:blip r:embed="rId15"/>
                    <a:stretch>
                      <a:fillRect/>
                    </a:stretch>
                  </pic:blipFill>
                  <pic:spPr>
                    <a:xfrm>
                      <a:off x="0" y="0"/>
                      <a:ext cx="6120130" cy="3147060"/>
                    </a:xfrm>
                    <a:prstGeom prst="rect">
                      <a:avLst/>
                    </a:prstGeom>
                  </pic:spPr>
                </pic:pic>
              </a:graphicData>
            </a:graphic>
          </wp:inline>
        </w:drawing>
      </w:r>
    </w:p>
    <w:p w14:paraId="1829E36E" w14:textId="75536FBD" w:rsidR="00037385" w:rsidRDefault="000F6636" w:rsidP="00B5019B">
      <w:pPr>
        <w:pStyle w:val="Body"/>
      </w:pPr>
      <w:r>
        <w:t>Most</w:t>
      </w:r>
      <w:r w:rsidR="00B5019B">
        <w:t xml:space="preserve"> notifications</w:t>
      </w:r>
      <w:r w:rsidR="00B5019B" w:rsidRPr="00DD167B">
        <w:t xml:space="preserve"> </w:t>
      </w:r>
      <w:r w:rsidR="00B5019B">
        <w:t>received by OVIC were for BIL 2 information</w:t>
      </w:r>
      <w:r>
        <w:t>,</w:t>
      </w:r>
      <w:r w:rsidR="00A82B91">
        <w:t xml:space="preserve"> consistent with the last reporting period</w:t>
      </w:r>
      <w:r w:rsidR="00B5019B">
        <w:t xml:space="preserve">. </w:t>
      </w:r>
    </w:p>
    <w:p w14:paraId="3D806920" w14:textId="048EA2F2" w:rsidR="00B5019B" w:rsidRDefault="00037385" w:rsidP="00B5019B">
      <w:pPr>
        <w:pStyle w:val="Body"/>
      </w:pPr>
      <w:r>
        <w:t xml:space="preserve">OVIC received </w:t>
      </w:r>
      <w:proofErr w:type="gramStart"/>
      <w:r>
        <w:t>a</w:t>
      </w:r>
      <w:r w:rsidR="003C57DC">
        <w:t xml:space="preserve"> number of</w:t>
      </w:r>
      <w:proofErr w:type="gramEnd"/>
      <w:r w:rsidR="003C57DC">
        <w:t xml:space="preserve"> notifications </w:t>
      </w:r>
      <w:r>
        <w:t xml:space="preserve">through </w:t>
      </w:r>
      <w:r w:rsidR="000F6636">
        <w:t>the</w:t>
      </w:r>
      <w:r w:rsidR="003C57DC">
        <w:t xml:space="preserve"> </w:t>
      </w:r>
      <w:r w:rsidR="000F6636">
        <w:t>p</w:t>
      </w:r>
      <w:r w:rsidR="003C57DC">
        <w:t>rivacy data breach reporting form which collects different information</w:t>
      </w:r>
      <w:r w:rsidR="000F6636">
        <w:t>.</w:t>
      </w:r>
      <w:r w:rsidR="003C57DC">
        <w:t xml:space="preserve"> </w:t>
      </w:r>
      <w:r w:rsidR="000F6636">
        <w:t xml:space="preserve">As a result </w:t>
      </w:r>
      <w:r w:rsidR="003C57DC">
        <w:t>t</w:t>
      </w:r>
      <w:r w:rsidR="00A44D08">
        <w:t xml:space="preserve">here was an increase from </w:t>
      </w:r>
      <w:r w:rsidR="003C57DC">
        <w:t>1% to 14% of notifications received that did not</w:t>
      </w:r>
      <w:r w:rsidR="00B5019B">
        <w:t xml:space="preserve"> identify the BIL of the information affected.</w:t>
      </w:r>
    </w:p>
    <w:p w14:paraId="024DCA3E" w14:textId="1044BF86" w:rsidR="00B5019B" w:rsidRPr="00B64CFC" w:rsidRDefault="00B5019B" w:rsidP="00B5019B">
      <w:pPr>
        <w:pStyle w:val="Body"/>
        <w:rPr>
          <w:i/>
          <w:iCs/>
        </w:rPr>
      </w:pPr>
      <w:r w:rsidRPr="00A50870">
        <w:rPr>
          <w:b/>
          <w:bCs/>
        </w:rPr>
        <w:t>Takeout:</w:t>
      </w:r>
      <w:r>
        <w:t xml:space="preserve"> </w:t>
      </w:r>
      <w:r w:rsidR="007001D0">
        <w:br/>
      </w:r>
      <w:r w:rsidR="003C57DC" w:rsidRPr="00B64CFC">
        <w:rPr>
          <w:i/>
          <w:iCs/>
        </w:rPr>
        <w:t>OVIC is reviewing the notification scheme after a year of operation to see where improvements can be made</w:t>
      </w:r>
      <w:r w:rsidRPr="00B64CFC">
        <w:rPr>
          <w:i/>
          <w:iCs/>
        </w:rPr>
        <w:t>.</w:t>
      </w:r>
    </w:p>
    <w:p w14:paraId="38741F2B" w14:textId="0AE768C4" w:rsidR="003925A1" w:rsidRPr="00B64CFC" w:rsidRDefault="003925A1" w:rsidP="00B5019B">
      <w:pPr>
        <w:pStyle w:val="Body"/>
        <w:rPr>
          <w:i/>
          <w:iCs/>
        </w:rPr>
      </w:pPr>
      <w:bookmarkStart w:id="2" w:name="_Hlk64020959"/>
      <w:r w:rsidRPr="00B64CFC">
        <w:rPr>
          <w:i/>
          <w:iCs/>
        </w:rPr>
        <w:t xml:space="preserve">Notifying OVIC of information security incidents regardless of impact level provides us with greater insights to share with the </w:t>
      </w:r>
      <w:r w:rsidR="00651761" w:rsidRPr="00B64CFC">
        <w:rPr>
          <w:i/>
          <w:iCs/>
        </w:rPr>
        <w:t>VPS and</w:t>
      </w:r>
      <w:r w:rsidR="00C63C7A" w:rsidRPr="00B64CFC">
        <w:rPr>
          <w:i/>
          <w:iCs/>
        </w:rPr>
        <w:t xml:space="preserve"> informs the development of training and awareness material</w:t>
      </w:r>
      <w:r w:rsidRPr="00B64CFC">
        <w:rPr>
          <w:i/>
          <w:iCs/>
        </w:rPr>
        <w:t>.</w:t>
      </w:r>
    </w:p>
    <w:bookmarkEnd w:id="2"/>
    <w:p w14:paraId="626492DB" w14:textId="77777777" w:rsidR="00872304" w:rsidRDefault="00872304" w:rsidP="00B5019B">
      <w:pPr>
        <w:pStyle w:val="SectionHeading1"/>
        <w:rPr>
          <w:sz w:val="24"/>
          <w:szCs w:val="24"/>
        </w:rPr>
      </w:pPr>
    </w:p>
    <w:p w14:paraId="4CD9E6F2" w14:textId="77777777" w:rsidR="00B64CFC" w:rsidRDefault="00B64CFC">
      <w:pPr>
        <w:rPr>
          <w:rFonts w:ascii="Calibri" w:eastAsia="Calibri" w:hAnsi="Calibri" w:cs="PostGrotesk-Medium"/>
          <w:color w:val="430098"/>
          <w:sz w:val="24"/>
          <w:szCs w:val="24"/>
          <w:lang w:val="en-GB"/>
        </w:rPr>
      </w:pPr>
      <w:r>
        <w:rPr>
          <w:sz w:val="24"/>
          <w:szCs w:val="24"/>
        </w:rPr>
        <w:br w:type="page"/>
      </w:r>
    </w:p>
    <w:p w14:paraId="2121A60D" w14:textId="164414AD" w:rsidR="00CB19CB" w:rsidRDefault="00B5019B" w:rsidP="00B5019B">
      <w:pPr>
        <w:pStyle w:val="SectionHeading1"/>
        <w:rPr>
          <w:sz w:val="24"/>
          <w:szCs w:val="24"/>
        </w:rPr>
      </w:pPr>
      <w:r>
        <w:rPr>
          <w:sz w:val="24"/>
          <w:szCs w:val="24"/>
        </w:rPr>
        <w:lastRenderedPageBreak/>
        <w:t xml:space="preserve">Potential business impact category </w:t>
      </w:r>
      <w:proofErr w:type="gramStart"/>
      <w:r>
        <w:rPr>
          <w:sz w:val="24"/>
          <w:szCs w:val="24"/>
        </w:rPr>
        <w:t>affected</w:t>
      </w:r>
      <w:proofErr w:type="gramEnd"/>
    </w:p>
    <w:p w14:paraId="3C181EE3" w14:textId="4C8E3970" w:rsidR="00651761" w:rsidRDefault="00B64CFC" w:rsidP="00B64CFC">
      <w:pPr>
        <w:pStyle w:val="Body"/>
        <w:jc w:val="center"/>
      </w:pPr>
      <w:r w:rsidRPr="00B64CFC">
        <w:drawing>
          <wp:inline distT="0" distB="0" distL="0" distR="0" wp14:anchorId="073E5E0D" wp14:editId="45FAAAE1">
            <wp:extent cx="4782217" cy="3077004"/>
            <wp:effectExtent l="0" t="0" r="0" b="9525"/>
            <wp:docPr id="804009802" name="Picture 1" descr="A blue circle with different colo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009802" name="Picture 1" descr="A blue circle with different colored numbers&#10;&#10;Description automatically generated"/>
                    <pic:cNvPicPr/>
                  </pic:nvPicPr>
                  <pic:blipFill>
                    <a:blip r:embed="rId16"/>
                    <a:stretch>
                      <a:fillRect/>
                    </a:stretch>
                  </pic:blipFill>
                  <pic:spPr>
                    <a:xfrm>
                      <a:off x="0" y="0"/>
                      <a:ext cx="4782217" cy="3077004"/>
                    </a:xfrm>
                    <a:prstGeom prst="rect">
                      <a:avLst/>
                    </a:prstGeom>
                  </pic:spPr>
                </pic:pic>
              </a:graphicData>
            </a:graphic>
          </wp:inline>
        </w:drawing>
      </w:r>
    </w:p>
    <w:p w14:paraId="58FDFB49" w14:textId="05E4F859" w:rsidR="00F55A27" w:rsidRDefault="000F6636" w:rsidP="00B66C6F">
      <w:pPr>
        <w:pStyle w:val="Body"/>
      </w:pPr>
      <w:r>
        <w:t>G</w:t>
      </w:r>
      <w:r w:rsidR="00A11D5B">
        <w:t xml:space="preserve">iven </w:t>
      </w:r>
      <w:proofErr w:type="gramStart"/>
      <w:r w:rsidR="00B66C6F">
        <w:t>the majority of</w:t>
      </w:r>
      <w:proofErr w:type="gramEnd"/>
      <w:r w:rsidR="00B66C6F">
        <w:t xml:space="preserve"> notifications related to personal information, the </w:t>
      </w:r>
      <w:r w:rsidR="00F55A27">
        <w:t>most</w:t>
      </w:r>
      <w:r w:rsidR="00F07F57">
        <w:t xml:space="preserve"> commonly</w:t>
      </w:r>
      <w:r w:rsidR="00F55A27">
        <w:t xml:space="preserve"> selected </w:t>
      </w:r>
      <w:r w:rsidR="001405E2">
        <w:t>BIL</w:t>
      </w:r>
      <w:r w:rsidR="00F55A27">
        <w:t xml:space="preserve"> category was ‘</w:t>
      </w:r>
      <w:r w:rsidR="00F55A27" w:rsidRPr="00A50870">
        <w:t>personal</w:t>
      </w:r>
      <w:r w:rsidR="00F55A27" w:rsidRPr="001405E2">
        <w:rPr>
          <w:i/>
          <w:iCs/>
        </w:rPr>
        <w:t>’</w:t>
      </w:r>
      <w:r w:rsidR="00F07F57">
        <w:rPr>
          <w:i/>
          <w:iCs/>
        </w:rPr>
        <w:t>,</w:t>
      </w:r>
      <w:r w:rsidR="00F55A27">
        <w:t xml:space="preserve"> </w:t>
      </w:r>
      <w:r w:rsidR="0033113E">
        <w:t xml:space="preserve">as </w:t>
      </w:r>
      <w:r w:rsidR="00F55A27">
        <w:t>the compromise</w:t>
      </w:r>
      <w:r w:rsidR="00F07F57">
        <w:t xml:space="preserve"> was assessed to have the potential to</w:t>
      </w:r>
      <w:r w:rsidR="00F55A27">
        <w:t xml:space="preserve"> cause harm to an individual.</w:t>
      </w:r>
    </w:p>
    <w:p w14:paraId="3ACF3F67" w14:textId="7D1FD65C" w:rsidR="0084756B" w:rsidRPr="00A50870" w:rsidRDefault="00F55A27" w:rsidP="00B66C6F">
      <w:pPr>
        <w:pStyle w:val="Body"/>
      </w:pPr>
      <w:r w:rsidRPr="00A50870">
        <w:rPr>
          <w:b/>
          <w:bCs/>
        </w:rPr>
        <w:t>Takeout:</w:t>
      </w:r>
      <w:r>
        <w:t xml:space="preserve"> </w:t>
      </w:r>
      <w:r w:rsidR="007001D0">
        <w:br/>
      </w:r>
      <w:r w:rsidR="00FB45FD" w:rsidRPr="00B64CFC">
        <w:rPr>
          <w:i/>
          <w:iCs/>
        </w:rPr>
        <w:t xml:space="preserve">OVIC is planning </w:t>
      </w:r>
      <w:r w:rsidR="00421A3A" w:rsidRPr="00B64CFC">
        <w:rPr>
          <w:i/>
          <w:iCs/>
        </w:rPr>
        <w:t xml:space="preserve">to publish some guidance in the </w:t>
      </w:r>
      <w:hyperlink r:id="rId17" w:history="1">
        <w:r w:rsidR="000F6636" w:rsidRPr="00B64CFC">
          <w:rPr>
            <w:rStyle w:val="Hyperlink"/>
            <w:i/>
            <w:iCs/>
          </w:rPr>
          <w:t xml:space="preserve">monthly </w:t>
        </w:r>
        <w:r w:rsidR="00421A3A" w:rsidRPr="00B64CFC">
          <w:rPr>
            <w:rStyle w:val="Hyperlink"/>
            <w:i/>
            <w:iCs/>
          </w:rPr>
          <w:t>newsletter</w:t>
        </w:r>
      </w:hyperlink>
      <w:r w:rsidR="0033113E" w:rsidRPr="00B64CFC">
        <w:rPr>
          <w:i/>
          <w:iCs/>
        </w:rPr>
        <w:t xml:space="preserve"> </w:t>
      </w:r>
      <w:r w:rsidR="00421A3A" w:rsidRPr="00B64CFC">
        <w:rPr>
          <w:i/>
          <w:iCs/>
        </w:rPr>
        <w:t xml:space="preserve">by </w:t>
      </w:r>
      <w:r w:rsidR="00FB45FD" w:rsidRPr="00B64CFC">
        <w:rPr>
          <w:i/>
          <w:iCs/>
        </w:rPr>
        <w:t>spotlight</w:t>
      </w:r>
      <w:r w:rsidR="00A11D5B" w:rsidRPr="00B64CFC">
        <w:rPr>
          <w:i/>
          <w:iCs/>
        </w:rPr>
        <w:t>ing</w:t>
      </w:r>
      <w:r w:rsidR="00FB45FD" w:rsidRPr="00B64CFC">
        <w:rPr>
          <w:i/>
          <w:iCs/>
        </w:rPr>
        <w:t xml:space="preserve"> certain fields </w:t>
      </w:r>
      <w:r w:rsidR="00421A3A" w:rsidRPr="00B64CFC">
        <w:rPr>
          <w:i/>
          <w:iCs/>
        </w:rPr>
        <w:t>each month</w:t>
      </w:r>
      <w:r w:rsidR="00A11D5B" w:rsidRPr="00B64CFC">
        <w:rPr>
          <w:i/>
          <w:iCs/>
        </w:rPr>
        <w:t>,</w:t>
      </w:r>
      <w:r w:rsidR="00421A3A" w:rsidRPr="00B64CFC">
        <w:rPr>
          <w:i/>
          <w:iCs/>
        </w:rPr>
        <w:t xml:space="preserve"> </w:t>
      </w:r>
      <w:r w:rsidR="00FB45FD" w:rsidRPr="00B64CFC">
        <w:rPr>
          <w:i/>
          <w:iCs/>
        </w:rPr>
        <w:t xml:space="preserve">and what organisations should consider when completing </w:t>
      </w:r>
      <w:r w:rsidR="00A11D5B" w:rsidRPr="00B64CFC">
        <w:rPr>
          <w:i/>
          <w:iCs/>
        </w:rPr>
        <w:t>each field</w:t>
      </w:r>
      <w:r w:rsidR="00FB45FD" w:rsidRPr="00B64CFC">
        <w:rPr>
          <w:i/>
          <w:iCs/>
        </w:rPr>
        <w:t>.</w:t>
      </w:r>
      <w:r w:rsidR="00FB45FD" w:rsidRPr="00A50870">
        <w:t xml:space="preserve"> </w:t>
      </w:r>
    </w:p>
    <w:p w14:paraId="015E28FE" w14:textId="77777777" w:rsidR="00695D85" w:rsidRDefault="00695D85" w:rsidP="009D2AB2">
      <w:pPr>
        <w:pStyle w:val="SectionHeading1"/>
        <w:rPr>
          <w:sz w:val="24"/>
          <w:szCs w:val="24"/>
        </w:rPr>
      </w:pPr>
    </w:p>
    <w:p w14:paraId="39DFBDB8" w14:textId="77777777" w:rsidR="00B64CFC" w:rsidRDefault="00B64CFC">
      <w:pPr>
        <w:rPr>
          <w:rFonts w:ascii="Calibri" w:eastAsia="Calibri" w:hAnsi="Calibri" w:cs="PostGrotesk-Medium"/>
          <w:color w:val="430098"/>
          <w:sz w:val="24"/>
          <w:szCs w:val="24"/>
          <w:lang w:val="en-GB"/>
        </w:rPr>
      </w:pPr>
      <w:r>
        <w:rPr>
          <w:sz w:val="24"/>
          <w:szCs w:val="24"/>
        </w:rPr>
        <w:br w:type="page"/>
      </w:r>
    </w:p>
    <w:p w14:paraId="22C2A6FA" w14:textId="3C7A4617" w:rsidR="009D2AB2" w:rsidRDefault="009D2AB2" w:rsidP="009D2AB2">
      <w:pPr>
        <w:pStyle w:val="SectionHeading1"/>
        <w:rPr>
          <w:sz w:val="24"/>
          <w:szCs w:val="24"/>
        </w:rPr>
      </w:pPr>
      <w:r w:rsidRPr="009D2AB2">
        <w:rPr>
          <w:sz w:val="24"/>
          <w:szCs w:val="24"/>
        </w:rPr>
        <w:lastRenderedPageBreak/>
        <w:t xml:space="preserve">Security attributes </w:t>
      </w:r>
      <w:proofErr w:type="gramStart"/>
      <w:r w:rsidRPr="009D2AB2">
        <w:rPr>
          <w:sz w:val="24"/>
          <w:szCs w:val="24"/>
        </w:rPr>
        <w:t>impacted</w:t>
      </w:r>
      <w:proofErr w:type="gramEnd"/>
    </w:p>
    <w:p w14:paraId="59BC5AE4" w14:textId="5B493E5E" w:rsidR="00421A3A" w:rsidRPr="009D2AB2" w:rsidRDefault="00B64CFC" w:rsidP="00B64CFC">
      <w:pPr>
        <w:pStyle w:val="SectionHeading1"/>
        <w:jc w:val="center"/>
        <w:rPr>
          <w:i/>
          <w:iCs/>
          <w:sz w:val="24"/>
          <w:szCs w:val="24"/>
        </w:rPr>
      </w:pPr>
      <w:r w:rsidRPr="00B64CFC">
        <w:rPr>
          <w:i/>
          <w:iCs/>
          <w:sz w:val="24"/>
          <w:szCs w:val="24"/>
        </w:rPr>
        <w:drawing>
          <wp:inline distT="0" distB="0" distL="0" distR="0" wp14:anchorId="23EA7970" wp14:editId="692C9AF1">
            <wp:extent cx="4572638" cy="3019846"/>
            <wp:effectExtent l="0" t="0" r="0" b="9525"/>
            <wp:docPr id="364596755" name="Picture 1" descr="A blue circle with pink and purpl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96755" name="Picture 1" descr="A blue circle with pink and purple circles&#10;&#10;Description automatically generated"/>
                    <pic:cNvPicPr/>
                  </pic:nvPicPr>
                  <pic:blipFill>
                    <a:blip r:embed="rId18"/>
                    <a:stretch>
                      <a:fillRect/>
                    </a:stretch>
                  </pic:blipFill>
                  <pic:spPr>
                    <a:xfrm>
                      <a:off x="0" y="0"/>
                      <a:ext cx="4572638" cy="3019846"/>
                    </a:xfrm>
                    <a:prstGeom prst="rect">
                      <a:avLst/>
                    </a:prstGeom>
                  </pic:spPr>
                </pic:pic>
              </a:graphicData>
            </a:graphic>
          </wp:inline>
        </w:drawing>
      </w:r>
    </w:p>
    <w:p w14:paraId="2A43C317" w14:textId="5AEF8E87" w:rsidR="00B42EA1" w:rsidRDefault="0033113E" w:rsidP="00B66C6F">
      <w:pPr>
        <w:pStyle w:val="Body"/>
      </w:pPr>
      <w:bookmarkStart w:id="3" w:name="_Hlk57107159"/>
      <w:r>
        <w:t xml:space="preserve">While the number of notifications received relating to compromises in the confidentiality of public sector information doubled, the percentage compared to other security attributes remained consistent with the last reporting period. </w:t>
      </w:r>
      <w:bookmarkEnd w:id="3"/>
    </w:p>
    <w:p w14:paraId="7516659B" w14:textId="68AAE208" w:rsidR="00CB19CB" w:rsidRPr="00B64CFC" w:rsidRDefault="00B42EA1" w:rsidP="00CB19CB">
      <w:pPr>
        <w:pStyle w:val="Body"/>
        <w:spacing w:after="120"/>
        <w:rPr>
          <w:i/>
          <w:iCs/>
        </w:rPr>
      </w:pPr>
      <w:r w:rsidRPr="00A93F41">
        <w:rPr>
          <w:b/>
          <w:bCs/>
        </w:rPr>
        <w:t>Takeout:</w:t>
      </w:r>
      <w:r>
        <w:t xml:space="preserve"> </w:t>
      </w:r>
      <w:r w:rsidR="007001D0">
        <w:br/>
      </w:r>
      <w:r w:rsidR="00402367" w:rsidRPr="00B64CFC">
        <w:rPr>
          <w:i/>
          <w:iCs/>
        </w:rPr>
        <w:t>A</w:t>
      </w:r>
      <w:r w:rsidRPr="00B64CFC">
        <w:rPr>
          <w:i/>
          <w:iCs/>
        </w:rPr>
        <w:t>ccidentally sending an email to the wrong recipient</w:t>
      </w:r>
      <w:r w:rsidR="00402367" w:rsidRPr="00B64CFC">
        <w:rPr>
          <w:i/>
          <w:iCs/>
        </w:rPr>
        <w:t xml:space="preserve"> continues to be the </w:t>
      </w:r>
      <w:r w:rsidR="00763056" w:rsidRPr="00B64CFC">
        <w:rPr>
          <w:i/>
          <w:iCs/>
        </w:rPr>
        <w:t xml:space="preserve">leading </w:t>
      </w:r>
      <w:r w:rsidR="00402367" w:rsidRPr="00B64CFC">
        <w:rPr>
          <w:i/>
          <w:iCs/>
        </w:rPr>
        <w:t>cause of</w:t>
      </w:r>
      <w:r w:rsidR="00763056" w:rsidRPr="00B64CFC">
        <w:rPr>
          <w:i/>
          <w:iCs/>
        </w:rPr>
        <w:t xml:space="preserve"> confidentiality related incident notifications. In fact, email disclosure makes up</w:t>
      </w:r>
      <w:r w:rsidR="00402367" w:rsidRPr="00B64CFC">
        <w:rPr>
          <w:i/>
          <w:iCs/>
        </w:rPr>
        <w:t xml:space="preserve"> </w:t>
      </w:r>
      <w:r w:rsidR="00F73283" w:rsidRPr="00B64CFC">
        <w:rPr>
          <w:i/>
          <w:iCs/>
        </w:rPr>
        <w:t>almost 30% of incident</w:t>
      </w:r>
      <w:r w:rsidR="008F27F0" w:rsidRPr="00B64CFC">
        <w:rPr>
          <w:i/>
          <w:iCs/>
        </w:rPr>
        <w:t xml:space="preserve"> notifications received</w:t>
      </w:r>
      <w:r w:rsidRPr="00B64CFC">
        <w:rPr>
          <w:i/>
          <w:iCs/>
        </w:rPr>
        <w:t>.</w:t>
      </w:r>
      <w:r w:rsidR="00763056" w:rsidRPr="00B64CFC">
        <w:rPr>
          <w:i/>
          <w:iCs/>
        </w:rPr>
        <w:t xml:space="preserve"> </w:t>
      </w:r>
      <w:r w:rsidR="0033113E" w:rsidRPr="00B64CFC">
        <w:rPr>
          <w:i/>
          <w:iCs/>
        </w:rPr>
        <w:t xml:space="preserve">OVIC recently published guidance on </w:t>
      </w:r>
      <w:hyperlink r:id="rId19" w:history="1">
        <w:r w:rsidR="00763056" w:rsidRPr="00B64CFC">
          <w:rPr>
            <w:rStyle w:val="Hyperlink"/>
            <w:i/>
            <w:iCs/>
          </w:rPr>
          <w:t>Tips to reduce data breaches when sending emails</w:t>
        </w:r>
      </w:hyperlink>
      <w:r w:rsidR="00CB19CB" w:rsidRPr="00B64CFC">
        <w:rPr>
          <w:i/>
          <w:iCs/>
        </w:rPr>
        <w:t xml:space="preserve"> </w:t>
      </w:r>
      <w:r w:rsidR="00763056" w:rsidRPr="00B64CFC">
        <w:rPr>
          <w:i/>
          <w:iCs/>
        </w:rPr>
        <w:t>published on our website.</w:t>
      </w:r>
    </w:p>
    <w:p w14:paraId="74B6EE46" w14:textId="3846205A" w:rsidR="00695D85" w:rsidRPr="00B64CFC" w:rsidRDefault="0033113E" w:rsidP="00FD4EFE">
      <w:pPr>
        <w:pStyle w:val="Body"/>
        <w:rPr>
          <w:i/>
          <w:iCs/>
        </w:rPr>
      </w:pPr>
      <w:r w:rsidRPr="00B64CFC">
        <w:rPr>
          <w:i/>
          <w:iCs/>
        </w:rPr>
        <w:t>I</w:t>
      </w:r>
      <w:r w:rsidR="00FD4EFE" w:rsidRPr="00B64CFC">
        <w:rPr>
          <w:i/>
          <w:iCs/>
        </w:rPr>
        <w:t>n the Office of the Australian Information Commissioner’s (</w:t>
      </w:r>
      <w:r w:rsidR="00FD4EFE" w:rsidRPr="00B64CFC">
        <w:rPr>
          <w:b/>
          <w:bCs/>
          <w:i/>
          <w:iCs/>
        </w:rPr>
        <w:t>OAIC</w:t>
      </w:r>
      <w:r w:rsidR="00FD4EFE" w:rsidRPr="00B64CFC">
        <w:rPr>
          <w:i/>
          <w:iCs/>
        </w:rPr>
        <w:t>) Jul</w:t>
      </w:r>
      <w:r w:rsidR="0027322A" w:rsidRPr="00B64CFC">
        <w:rPr>
          <w:i/>
          <w:iCs/>
        </w:rPr>
        <w:t xml:space="preserve"> </w:t>
      </w:r>
      <w:r w:rsidR="00FD4EFE" w:rsidRPr="00B64CFC">
        <w:rPr>
          <w:i/>
          <w:iCs/>
        </w:rPr>
        <w:t>-</w:t>
      </w:r>
      <w:r w:rsidR="0027322A" w:rsidRPr="00B64CFC">
        <w:rPr>
          <w:i/>
          <w:iCs/>
        </w:rPr>
        <w:t xml:space="preserve"> </w:t>
      </w:r>
      <w:r w:rsidR="00FD4EFE" w:rsidRPr="00B64CFC">
        <w:rPr>
          <w:i/>
          <w:iCs/>
        </w:rPr>
        <w:t>Dec 2020 Notifiable Data Breaches Report</w:t>
      </w:r>
      <w:r w:rsidR="00FD4EFE" w:rsidRPr="00B64CFC">
        <w:rPr>
          <w:rStyle w:val="FootnoteReference"/>
          <w:i/>
          <w:iCs/>
          <w:sz w:val="24"/>
          <w:szCs w:val="24"/>
        </w:rPr>
        <w:footnoteReference w:id="1"/>
      </w:r>
      <w:r w:rsidR="00FD4EFE" w:rsidRPr="00B64CFC">
        <w:rPr>
          <w:i/>
          <w:iCs/>
        </w:rPr>
        <w:t xml:space="preserve"> human error</w:t>
      </w:r>
      <w:r w:rsidRPr="00B64CFC">
        <w:rPr>
          <w:i/>
          <w:iCs/>
        </w:rPr>
        <w:t xml:space="preserve"> was attributed</w:t>
      </w:r>
      <w:r w:rsidR="00FD4EFE" w:rsidRPr="00B64CFC">
        <w:rPr>
          <w:i/>
          <w:iCs/>
        </w:rPr>
        <w:t xml:space="preserve"> to 38% of notifications to their office during the same period.</w:t>
      </w:r>
    </w:p>
    <w:p w14:paraId="58049979" w14:textId="5407187A" w:rsidR="004B08BD" w:rsidRDefault="004B08BD">
      <w:pPr>
        <w:rPr>
          <w:rFonts w:ascii="Calibri" w:eastAsia="Calibri" w:hAnsi="Calibri" w:cs="PostGrotesk-Medium"/>
          <w:color w:val="430098"/>
          <w:sz w:val="24"/>
          <w:szCs w:val="24"/>
          <w:lang w:val="en-GB"/>
        </w:rPr>
      </w:pPr>
    </w:p>
    <w:p w14:paraId="79D978AC" w14:textId="77777777" w:rsidR="004D37B1" w:rsidRDefault="004D37B1">
      <w:pPr>
        <w:rPr>
          <w:rFonts w:ascii="Calibri" w:eastAsia="Calibri" w:hAnsi="Calibri" w:cs="PostGrotesk-Medium"/>
          <w:color w:val="430098"/>
          <w:sz w:val="24"/>
          <w:szCs w:val="24"/>
          <w:lang w:val="en-GB"/>
        </w:rPr>
      </w:pPr>
      <w:r>
        <w:rPr>
          <w:sz w:val="24"/>
          <w:szCs w:val="24"/>
        </w:rPr>
        <w:br w:type="page"/>
      </w:r>
    </w:p>
    <w:p w14:paraId="273D32AC" w14:textId="3272D170" w:rsidR="00CB19CB" w:rsidRDefault="009D2AB2" w:rsidP="009D2AB2">
      <w:pPr>
        <w:pStyle w:val="SectionHeading1"/>
        <w:rPr>
          <w:sz w:val="24"/>
          <w:szCs w:val="24"/>
        </w:rPr>
      </w:pPr>
      <w:r w:rsidRPr="009D2AB2">
        <w:rPr>
          <w:sz w:val="24"/>
          <w:szCs w:val="24"/>
        </w:rPr>
        <w:lastRenderedPageBreak/>
        <w:t xml:space="preserve">Security areas </w:t>
      </w:r>
      <w:proofErr w:type="gramStart"/>
      <w:r w:rsidRPr="009D2AB2">
        <w:rPr>
          <w:sz w:val="24"/>
          <w:szCs w:val="24"/>
        </w:rPr>
        <w:t>affected</w:t>
      </w:r>
      <w:proofErr w:type="gramEnd"/>
    </w:p>
    <w:p w14:paraId="0A5B129B" w14:textId="0449EDA4" w:rsidR="000F30D7" w:rsidRPr="009D2AB2" w:rsidRDefault="004D37B1" w:rsidP="004D37B1">
      <w:pPr>
        <w:pStyle w:val="SectionHeading1"/>
        <w:jc w:val="center"/>
        <w:rPr>
          <w:sz w:val="24"/>
          <w:szCs w:val="24"/>
        </w:rPr>
      </w:pPr>
      <w:r w:rsidRPr="004D37B1">
        <w:rPr>
          <w:sz w:val="24"/>
          <w:szCs w:val="24"/>
        </w:rPr>
        <w:drawing>
          <wp:inline distT="0" distB="0" distL="0" distR="0" wp14:anchorId="232E6899" wp14:editId="27E95B39">
            <wp:extent cx="6120130" cy="1591945"/>
            <wp:effectExtent l="0" t="0" r="0" b="8255"/>
            <wp:docPr id="222803851" name="Picture 1" descr="A blue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03851" name="Picture 1" descr="A blue and white flag&#10;&#10;Description automatically generated"/>
                    <pic:cNvPicPr/>
                  </pic:nvPicPr>
                  <pic:blipFill>
                    <a:blip r:embed="rId20"/>
                    <a:stretch>
                      <a:fillRect/>
                    </a:stretch>
                  </pic:blipFill>
                  <pic:spPr>
                    <a:xfrm>
                      <a:off x="0" y="0"/>
                      <a:ext cx="6120130" cy="1591945"/>
                    </a:xfrm>
                    <a:prstGeom prst="rect">
                      <a:avLst/>
                    </a:prstGeom>
                  </pic:spPr>
                </pic:pic>
              </a:graphicData>
            </a:graphic>
          </wp:inline>
        </w:drawing>
      </w:r>
    </w:p>
    <w:p w14:paraId="7D5C1BB1" w14:textId="285785E5" w:rsidR="00FD4EFE" w:rsidRDefault="000F30D7" w:rsidP="00FD4EFE">
      <w:pPr>
        <w:pStyle w:val="Body"/>
      </w:pPr>
      <w:r>
        <w:t>There continues to be a high number of notifications</w:t>
      </w:r>
      <w:r w:rsidR="000F6D4F">
        <w:t xml:space="preserve"> received</w:t>
      </w:r>
      <w:r>
        <w:t xml:space="preserve"> that</w:t>
      </w:r>
      <w:r w:rsidR="00CB19CB">
        <w:t xml:space="preserve"> nominate ‘information’ as the security area affected</w:t>
      </w:r>
      <w:r w:rsidR="00FD4EFE">
        <w:t xml:space="preserve">. </w:t>
      </w:r>
      <w:r w:rsidR="00FD4EFE" w:rsidRPr="00FD4EFE">
        <w:t xml:space="preserve"> </w:t>
      </w:r>
    </w:p>
    <w:p w14:paraId="5150E198" w14:textId="519F60D1" w:rsidR="00FC7C49" w:rsidRDefault="00FD4EFE" w:rsidP="00FD4EFE">
      <w:pPr>
        <w:pStyle w:val="Body"/>
      </w:pPr>
      <w:r>
        <w:t>‘Information’ as a security area refers to the process of valuing public sector information and applying protective markings. An example of an incident affecting the ‘information’ security area might the inappropriate application of a protective marking on information.</w:t>
      </w:r>
    </w:p>
    <w:p w14:paraId="6E7B4D13" w14:textId="1A21854C" w:rsidR="000F6D4F" w:rsidRPr="004D37B1" w:rsidRDefault="00CB19CB" w:rsidP="00CB19CB">
      <w:pPr>
        <w:pStyle w:val="Body"/>
        <w:rPr>
          <w:i/>
          <w:iCs/>
          <w:lang w:val="en-AU"/>
        </w:rPr>
      </w:pPr>
      <w:r w:rsidRPr="0019098D">
        <w:rPr>
          <w:b/>
          <w:bCs/>
        </w:rPr>
        <w:t>Takeout:</w:t>
      </w:r>
      <w:r>
        <w:t xml:space="preserve"> </w:t>
      </w:r>
      <w:r w:rsidR="007001D0">
        <w:br/>
      </w:r>
      <w:r w:rsidR="000F6D4F" w:rsidRPr="004D37B1">
        <w:rPr>
          <w:i/>
          <w:iCs/>
          <w:lang w:val="en-AU"/>
        </w:rPr>
        <w:t>Some notifications suggested that ‘</w:t>
      </w:r>
      <w:r w:rsidR="006F271F" w:rsidRPr="004D37B1">
        <w:rPr>
          <w:i/>
          <w:iCs/>
          <w:lang w:val="en-AU"/>
        </w:rPr>
        <w:t>i</w:t>
      </w:r>
      <w:r w:rsidR="000F6D4F" w:rsidRPr="004D37B1">
        <w:rPr>
          <w:i/>
          <w:iCs/>
          <w:lang w:val="en-AU"/>
        </w:rPr>
        <w:t>nformation’ had been selected simply because the organisation was submitting an information security incident notification.</w:t>
      </w:r>
      <w:r w:rsidR="006F271F" w:rsidRPr="004D37B1">
        <w:rPr>
          <w:i/>
          <w:iCs/>
          <w:lang w:val="en-AU"/>
        </w:rPr>
        <w:t xml:space="preserve"> Selecting the security area of ‘information’ is not wrong (considering the reporting context), but a more helpful insight would be understanding what particular security control failed, and the associated security area of this control i.e., an individual disclosed information that they should not have, which relates to the personnel security area.</w:t>
      </w:r>
    </w:p>
    <w:p w14:paraId="55DA3C0C" w14:textId="2FF51297" w:rsidR="004D37B1" w:rsidRPr="004D37B1" w:rsidRDefault="004D37B1" w:rsidP="004D37B1">
      <w:pPr>
        <w:pStyle w:val="SectionHeading1"/>
        <w:rPr>
          <w:rFonts w:cs="PostGrotesk-Book"/>
          <w:i/>
          <w:iCs/>
          <w:color w:val="55565A"/>
          <w:sz w:val="22"/>
          <w:szCs w:val="22"/>
        </w:rPr>
      </w:pPr>
      <w:r w:rsidRPr="004D37B1">
        <w:rPr>
          <w:rFonts w:cs="PostGrotesk-Book"/>
          <w:i/>
          <w:iCs/>
          <w:color w:val="55565A"/>
          <w:sz w:val="22"/>
          <w:szCs w:val="22"/>
        </w:rPr>
        <w:t xml:space="preserve">OVIC published some follow up guidance regarding this field in its </w:t>
      </w:r>
      <w:hyperlink r:id="rId21" w:history="1">
        <w:r w:rsidRPr="004D37B1">
          <w:rPr>
            <w:rStyle w:val="Hyperlink"/>
            <w:rFonts w:cs="PostGrotesk-Book"/>
            <w:i/>
            <w:iCs/>
            <w:sz w:val="22"/>
            <w:szCs w:val="22"/>
          </w:rPr>
          <w:t>February 2021 newsletter</w:t>
        </w:r>
      </w:hyperlink>
      <w:r w:rsidRPr="004D37B1">
        <w:rPr>
          <w:rFonts w:cs="PostGrotesk-Book"/>
          <w:i/>
          <w:iCs/>
          <w:color w:val="55565A"/>
          <w:sz w:val="22"/>
          <w:szCs w:val="22"/>
        </w:rPr>
        <w:t xml:space="preserve"> to spotlight the available options under this field and provide an explanation of each area.</w:t>
      </w:r>
    </w:p>
    <w:p w14:paraId="702D982B" w14:textId="68538D51" w:rsidR="00B5019B" w:rsidRPr="004D37B1" w:rsidRDefault="004D37B1" w:rsidP="004D37B1">
      <w:pPr>
        <w:pStyle w:val="SectionHeading1"/>
      </w:pPr>
      <w:r w:rsidRPr="004D37B1">
        <w:rPr>
          <w:rFonts w:cs="PostGrotesk-Book"/>
          <w:b/>
          <w:bCs/>
          <w:color w:val="55565A"/>
          <w:sz w:val="22"/>
          <w:szCs w:val="22"/>
        </w:rPr>
        <w:t>Note</w:t>
      </w:r>
      <w:r w:rsidRPr="004D37B1">
        <w:rPr>
          <w:rFonts w:cs="PostGrotesk-Book"/>
          <w:color w:val="55565A"/>
          <w:sz w:val="22"/>
          <w:szCs w:val="22"/>
        </w:rPr>
        <w:t>: Whole number percentage values have been used for readability and are approximate.</w:t>
      </w:r>
    </w:p>
    <w:p w14:paraId="3EBC53C2" w14:textId="77777777" w:rsidR="004D37B1" w:rsidRDefault="004D37B1">
      <w:pPr>
        <w:rPr>
          <w:rFonts w:ascii="Calibri" w:eastAsia="Calibri" w:hAnsi="Calibri" w:cs="PostGrotesk-Medium"/>
          <w:color w:val="430098"/>
          <w:sz w:val="28"/>
          <w:szCs w:val="28"/>
          <w:lang w:val="en-GB"/>
        </w:rPr>
      </w:pPr>
      <w:r>
        <w:br w:type="page"/>
      </w:r>
    </w:p>
    <w:p w14:paraId="774A37AF" w14:textId="67D703DE" w:rsidR="000C7AB9" w:rsidRDefault="000C7AB9" w:rsidP="000C7AB9">
      <w:pPr>
        <w:pStyle w:val="SectionHeading1"/>
      </w:pPr>
      <w:r>
        <w:lastRenderedPageBreak/>
        <w:t xml:space="preserve">Risk </w:t>
      </w:r>
      <w:proofErr w:type="gramStart"/>
      <w:r>
        <w:t>statements</w:t>
      </w:r>
      <w:proofErr w:type="gramEnd"/>
    </w:p>
    <w:p w14:paraId="7FE1915C" w14:textId="5B4DB76C" w:rsidR="00771051" w:rsidRDefault="00A30219" w:rsidP="00A82A88">
      <w:pPr>
        <w:pStyle w:val="Body"/>
      </w:pPr>
      <w:r>
        <w:t>Based on</w:t>
      </w:r>
      <w:r w:rsidR="00463989">
        <w:t xml:space="preserve"> </w:t>
      </w:r>
      <w:r w:rsidR="00C761D8">
        <w:t xml:space="preserve">the </w:t>
      </w:r>
      <w:r w:rsidR="00463989">
        <w:t xml:space="preserve">incident </w:t>
      </w:r>
      <w:r w:rsidR="008D1E1C">
        <w:t xml:space="preserve">notifications </w:t>
      </w:r>
      <w:r w:rsidR="00463989">
        <w:t xml:space="preserve">received by OVIC, </w:t>
      </w:r>
      <w:r>
        <w:t xml:space="preserve">we have </w:t>
      </w:r>
      <w:r w:rsidR="00C761D8">
        <w:t>developed</w:t>
      </w:r>
      <w:r w:rsidR="00463989">
        <w:t xml:space="preserve"> the following r</w:t>
      </w:r>
      <w:r w:rsidR="00771051">
        <w:t xml:space="preserve">isk </w:t>
      </w:r>
      <w:r w:rsidR="00463989">
        <w:t>s</w:t>
      </w:r>
      <w:r w:rsidR="00771051">
        <w:t>tatements</w:t>
      </w:r>
      <w:r w:rsidR="005907C9">
        <w:t xml:space="preserve"> </w:t>
      </w:r>
      <w:r>
        <w:t>for</w:t>
      </w:r>
      <w:r w:rsidR="005907C9">
        <w:t xml:space="preserve"> consideration by </w:t>
      </w:r>
      <w:r w:rsidR="00BF560F">
        <w:t>VPS organisations</w:t>
      </w:r>
      <w:r>
        <w:t xml:space="preserve"> when reviewing their information security risks</w:t>
      </w:r>
      <w:r w:rsidR="00097964">
        <w:t>:</w:t>
      </w:r>
    </w:p>
    <w:tbl>
      <w:tblPr>
        <w:tblStyle w:val="GridTable4-Accent4"/>
        <w:tblW w:w="96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4A0" w:firstRow="1" w:lastRow="0" w:firstColumn="1" w:lastColumn="0" w:noHBand="0" w:noVBand="1"/>
      </w:tblPr>
      <w:tblGrid>
        <w:gridCol w:w="3211"/>
        <w:gridCol w:w="3211"/>
        <w:gridCol w:w="3212"/>
      </w:tblGrid>
      <w:tr w:rsidR="00463989" w:rsidRPr="00075292" w14:paraId="2B2F151B" w14:textId="77777777" w:rsidTr="00DB44E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Borders>
              <w:top w:val="none" w:sz="0" w:space="0" w:color="auto"/>
              <w:left w:val="none" w:sz="0" w:space="0" w:color="auto"/>
              <w:bottom w:val="none" w:sz="0" w:space="0" w:color="auto"/>
              <w:right w:val="none" w:sz="0" w:space="0" w:color="auto"/>
            </w:tcBorders>
            <w:shd w:val="clear" w:color="auto" w:fill="420098"/>
          </w:tcPr>
          <w:p w14:paraId="26B3ED04" w14:textId="193B0137" w:rsidR="00463989" w:rsidRPr="00463989" w:rsidRDefault="00463989" w:rsidP="00463989">
            <w:pPr>
              <w:spacing w:before="120" w:after="120"/>
              <w:ind w:left="360"/>
            </w:pPr>
            <w:r w:rsidRPr="00463989">
              <w:t>The risk of…</w:t>
            </w:r>
          </w:p>
        </w:tc>
        <w:tc>
          <w:tcPr>
            <w:tcW w:w="3211" w:type="dxa"/>
            <w:tcBorders>
              <w:top w:val="none" w:sz="0" w:space="0" w:color="auto"/>
              <w:left w:val="none" w:sz="0" w:space="0" w:color="auto"/>
              <w:bottom w:val="none" w:sz="0" w:space="0" w:color="auto"/>
              <w:right w:val="none" w:sz="0" w:space="0" w:color="auto"/>
            </w:tcBorders>
            <w:shd w:val="clear" w:color="auto" w:fill="420098"/>
          </w:tcPr>
          <w:p w14:paraId="5F9887F2" w14:textId="6E110E00"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Caused by…</w:t>
            </w:r>
          </w:p>
        </w:tc>
        <w:tc>
          <w:tcPr>
            <w:tcW w:w="3212" w:type="dxa"/>
            <w:tcBorders>
              <w:top w:val="none" w:sz="0" w:space="0" w:color="auto"/>
              <w:left w:val="none" w:sz="0" w:space="0" w:color="auto"/>
              <w:bottom w:val="none" w:sz="0" w:space="0" w:color="auto"/>
              <w:right w:val="none" w:sz="0" w:space="0" w:color="auto"/>
            </w:tcBorders>
            <w:shd w:val="clear" w:color="auto" w:fill="420098"/>
          </w:tcPr>
          <w:p w14:paraId="79A4326A" w14:textId="21C2815E" w:rsidR="00463989" w:rsidRPr="00463989" w:rsidRDefault="00463989" w:rsidP="00463989">
            <w:pPr>
              <w:spacing w:before="120" w:after="120"/>
              <w:ind w:left="360"/>
              <w:cnfStyle w:val="100000000000" w:firstRow="1" w:lastRow="0" w:firstColumn="0" w:lastColumn="0" w:oddVBand="0" w:evenVBand="0" w:oddHBand="0" w:evenHBand="0" w:firstRowFirstColumn="0" w:firstRowLastColumn="0" w:lastRowFirstColumn="0" w:lastRowLastColumn="0"/>
            </w:pPr>
            <w:r w:rsidRPr="00463989">
              <w:t>Resulting in…</w:t>
            </w:r>
            <w:r w:rsidR="00A30219">
              <w:rPr>
                <w:rStyle w:val="FootnoteReference"/>
              </w:rPr>
              <w:footnoteReference w:id="2"/>
            </w:r>
          </w:p>
        </w:tc>
      </w:tr>
      <w:tr w:rsidR="00463989" w:rsidRPr="00075292" w14:paraId="3B4572D1" w14:textId="77777777" w:rsidTr="00DB44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33EC8F00" w14:textId="046CDEFF" w:rsidR="00463989" w:rsidRDefault="00463989" w:rsidP="00DB44ED">
            <w:pPr>
              <w:pStyle w:val="BodyCopy"/>
            </w:pPr>
            <w:r w:rsidRPr="00733049">
              <w:rPr>
                <w:b w:val="0"/>
                <w:bCs w:val="0"/>
              </w:rPr>
              <w:t>Unauthorised disclosure</w:t>
            </w:r>
            <w:r w:rsidR="00653DDE">
              <w:rPr>
                <w:b w:val="0"/>
                <w:bCs w:val="0"/>
              </w:rPr>
              <w:t xml:space="preserve"> </w:t>
            </w:r>
            <w:r w:rsidRPr="00733049">
              <w:rPr>
                <w:b w:val="0"/>
                <w:bCs w:val="0"/>
              </w:rPr>
              <w:t xml:space="preserve">of </w:t>
            </w:r>
            <w:r w:rsidR="004A73A0">
              <w:rPr>
                <w:b w:val="0"/>
                <w:bCs w:val="0"/>
              </w:rPr>
              <w:t>client</w:t>
            </w:r>
            <w:r w:rsidR="004A73A0" w:rsidRPr="00733049">
              <w:rPr>
                <w:b w:val="0"/>
                <w:bCs w:val="0"/>
              </w:rPr>
              <w:t xml:space="preserve"> </w:t>
            </w:r>
            <w:r w:rsidRPr="00733049">
              <w:rPr>
                <w:b w:val="0"/>
                <w:bCs w:val="0"/>
              </w:rPr>
              <w:t>information</w:t>
            </w:r>
            <w:r w:rsidR="00E722BE">
              <w:rPr>
                <w:b w:val="0"/>
                <w:bCs w:val="0"/>
              </w:rPr>
              <w:t xml:space="preserve"> </w:t>
            </w:r>
          </w:p>
          <w:p w14:paraId="48496561" w14:textId="497BB855" w:rsidR="004D46D1" w:rsidRPr="00733049" w:rsidRDefault="00776EBD" w:rsidP="00653DDE">
            <w:pPr>
              <w:pStyle w:val="BodyCopy"/>
              <w:rPr>
                <w:b w:val="0"/>
                <w:bCs w:val="0"/>
              </w:rPr>
            </w:pPr>
            <w:r w:rsidRPr="009E4C09">
              <w:rPr>
                <w:b w:val="0"/>
                <w:bCs w:val="0"/>
                <w:i/>
                <w:iCs/>
              </w:rPr>
              <w:t>(Compromise of confidentiality)</w:t>
            </w:r>
          </w:p>
        </w:tc>
        <w:tc>
          <w:tcPr>
            <w:tcW w:w="3211" w:type="dxa"/>
            <w:shd w:val="clear" w:color="auto" w:fill="EAE5E3"/>
          </w:tcPr>
          <w:p w14:paraId="42C31966" w14:textId="15845EC9" w:rsidR="00463989" w:rsidRPr="00075292" w:rsidRDefault="000C7AB9" w:rsidP="00DB44ED">
            <w:pPr>
              <w:pStyle w:val="BodyCopy"/>
              <w:cnfStyle w:val="000000100000" w:firstRow="0" w:lastRow="0" w:firstColumn="0" w:lastColumn="0" w:oddVBand="0" w:evenVBand="0" w:oddHBand="1" w:evenHBand="0" w:firstRowFirstColumn="0" w:firstRowLastColumn="0" w:lastRowFirstColumn="0" w:lastRowLastColumn="0"/>
            </w:pPr>
            <w:r>
              <w:t>E</w:t>
            </w:r>
            <w:r w:rsidR="00463989" w:rsidRPr="00075292">
              <w:t xml:space="preserve">mployees </w:t>
            </w:r>
            <w:r>
              <w:t xml:space="preserve">accidentally </w:t>
            </w:r>
            <w:r w:rsidR="004A73A0">
              <w:t>attaching incorrect documents to emails (</w:t>
            </w:r>
            <w:r w:rsidR="000F6636">
              <w:t>e.g</w:t>
            </w:r>
            <w:r w:rsidR="004A73A0">
              <w:t>.</w:t>
            </w:r>
            <w:r w:rsidR="00AB0E23">
              <w:t>,</w:t>
            </w:r>
            <w:r w:rsidR="004A73A0">
              <w:t xml:space="preserve"> related to another matter)</w:t>
            </w:r>
          </w:p>
        </w:tc>
        <w:tc>
          <w:tcPr>
            <w:tcW w:w="3212" w:type="dxa"/>
            <w:shd w:val="clear" w:color="auto" w:fill="EAE5E3"/>
          </w:tcPr>
          <w:p w14:paraId="51B22BC1" w14:textId="5A3D6D43" w:rsidR="008F27F0" w:rsidRPr="00075292" w:rsidRDefault="00653DDE" w:rsidP="00DB44ED">
            <w:pPr>
              <w:pStyle w:val="BodyCopy"/>
              <w:cnfStyle w:val="000000100000" w:firstRow="0" w:lastRow="0" w:firstColumn="0" w:lastColumn="0" w:oddVBand="0" w:evenVBand="0" w:oddHBand="1" w:evenHBand="0" w:firstRowFirstColumn="0" w:firstRowLastColumn="0" w:lastRowFirstColumn="0" w:lastRowLastColumn="0"/>
            </w:pPr>
            <w:r>
              <w:t>I</w:t>
            </w:r>
            <w:r w:rsidR="00463989" w:rsidRPr="00075292">
              <w:t xml:space="preserve">mpact to individuals whose personal information was affected </w:t>
            </w:r>
          </w:p>
        </w:tc>
      </w:tr>
      <w:tr w:rsidR="00463989" w14:paraId="325B48E8" w14:textId="77777777" w:rsidTr="00DB44ED">
        <w:trPr>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54D9BDE4" w14:textId="49F17699" w:rsidR="00776EBD" w:rsidRDefault="004A73A0" w:rsidP="00DB44ED">
            <w:pPr>
              <w:pStyle w:val="BodyCopy"/>
            </w:pPr>
            <w:r>
              <w:rPr>
                <w:b w:val="0"/>
                <w:bCs w:val="0"/>
              </w:rPr>
              <w:t>Inappropriate handling of identity documents</w:t>
            </w:r>
          </w:p>
          <w:p w14:paraId="72527E62" w14:textId="46F9295C" w:rsidR="004A73A0" w:rsidRPr="00733049" w:rsidRDefault="004A73A0" w:rsidP="00DB44ED">
            <w:pPr>
              <w:pStyle w:val="BodyCopy"/>
              <w:rPr>
                <w:b w:val="0"/>
                <w:bCs w:val="0"/>
              </w:rPr>
            </w:pPr>
            <w:r w:rsidRPr="009E4C09">
              <w:rPr>
                <w:b w:val="0"/>
                <w:bCs w:val="0"/>
                <w:i/>
                <w:iCs/>
              </w:rPr>
              <w:t>(Compromise of confidentiality</w:t>
            </w:r>
            <w:r w:rsidR="0066330D">
              <w:rPr>
                <w:b w:val="0"/>
                <w:bCs w:val="0"/>
                <w:i/>
                <w:iCs/>
              </w:rPr>
              <w:t xml:space="preserve"> and integrity</w:t>
            </w:r>
            <w:r w:rsidRPr="009E4C09">
              <w:rPr>
                <w:b w:val="0"/>
                <w:bCs w:val="0"/>
                <w:i/>
                <w:iCs/>
              </w:rPr>
              <w:t>)</w:t>
            </w:r>
          </w:p>
        </w:tc>
        <w:tc>
          <w:tcPr>
            <w:tcW w:w="3211" w:type="dxa"/>
            <w:shd w:val="clear" w:color="auto" w:fill="EAE5E3"/>
          </w:tcPr>
          <w:p w14:paraId="61C77A39" w14:textId="7E394E43" w:rsidR="00463989" w:rsidRDefault="004A73A0" w:rsidP="00DB44ED">
            <w:pPr>
              <w:pStyle w:val="BodyCopy"/>
              <w:cnfStyle w:val="000000000000" w:firstRow="0" w:lastRow="0" w:firstColumn="0" w:lastColumn="0" w:oddVBand="0" w:evenVBand="0" w:oddHBand="0" w:evenHBand="0" w:firstRowFirstColumn="0" w:firstRowLastColumn="0" w:lastRowFirstColumn="0" w:lastRowLastColumn="0"/>
            </w:pPr>
            <w:r>
              <w:t>Employees failing to follow the quality assurance process and mailing documents to incorrect recipient</w:t>
            </w:r>
          </w:p>
        </w:tc>
        <w:tc>
          <w:tcPr>
            <w:tcW w:w="3212" w:type="dxa"/>
            <w:shd w:val="clear" w:color="auto" w:fill="EAE5E3"/>
          </w:tcPr>
          <w:p w14:paraId="3CA8CA07" w14:textId="24EC9873" w:rsidR="00463989" w:rsidRPr="00C04DFC" w:rsidRDefault="004A73A0" w:rsidP="00DB44ED">
            <w:pPr>
              <w:pStyle w:val="BodyCopy"/>
              <w:cnfStyle w:val="000000000000" w:firstRow="0" w:lastRow="0" w:firstColumn="0" w:lastColumn="0" w:oddVBand="0" w:evenVBand="0" w:oddHBand="0" w:evenHBand="0" w:firstRowFirstColumn="0" w:firstRowLastColumn="0" w:lastRowFirstColumn="0" w:lastRowLastColumn="0"/>
            </w:pPr>
            <w:r>
              <w:t>I</w:t>
            </w:r>
            <w:r w:rsidRPr="00075292">
              <w:t xml:space="preserve">mpact to individuals whose personal information was affected </w:t>
            </w:r>
          </w:p>
        </w:tc>
      </w:tr>
      <w:tr w:rsidR="00463989" w14:paraId="129FB84B" w14:textId="77777777" w:rsidTr="00DB44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696BC9F8" w14:textId="4EB369D8" w:rsidR="00776EBD" w:rsidRPr="000E1F46" w:rsidRDefault="000E1F46" w:rsidP="00DB44ED">
            <w:pPr>
              <w:pStyle w:val="BodyCopy"/>
              <w:rPr>
                <w:b w:val="0"/>
                <w:bCs w:val="0"/>
              </w:rPr>
            </w:pPr>
            <w:r w:rsidRPr="000E1F46">
              <w:rPr>
                <w:b w:val="0"/>
                <w:bCs w:val="0"/>
              </w:rPr>
              <w:t xml:space="preserve">Inability to access customer records when required </w:t>
            </w:r>
          </w:p>
          <w:p w14:paraId="7308C85E" w14:textId="00F21A53" w:rsidR="000E1F46" w:rsidRPr="00776EBD" w:rsidRDefault="000E1F46" w:rsidP="00DB44ED">
            <w:pPr>
              <w:pStyle w:val="BodyCopy"/>
              <w:rPr>
                <w:b w:val="0"/>
                <w:bCs w:val="0"/>
                <w:i/>
                <w:iCs/>
              </w:rPr>
            </w:pPr>
            <w:r>
              <w:rPr>
                <w:b w:val="0"/>
                <w:bCs w:val="0"/>
                <w:i/>
                <w:iCs/>
              </w:rPr>
              <w:t>(Compromise of availability)</w:t>
            </w:r>
          </w:p>
        </w:tc>
        <w:tc>
          <w:tcPr>
            <w:tcW w:w="3211" w:type="dxa"/>
            <w:shd w:val="clear" w:color="auto" w:fill="EAE5E3"/>
          </w:tcPr>
          <w:p w14:paraId="32FBA10E" w14:textId="4B3C94CB" w:rsidR="00463989" w:rsidRDefault="000E1F46" w:rsidP="00DB44ED">
            <w:pPr>
              <w:pStyle w:val="BodyCopy"/>
              <w:cnfStyle w:val="000000100000" w:firstRow="0" w:lastRow="0" w:firstColumn="0" w:lastColumn="0" w:oddVBand="0" w:evenVBand="0" w:oddHBand="1" w:evenHBand="0" w:firstRowFirstColumn="0" w:firstRowLastColumn="0" w:lastRowFirstColumn="0" w:lastRowLastColumn="0"/>
            </w:pPr>
            <w:r>
              <w:t>Incorrect access controls being applied</w:t>
            </w:r>
            <w:r w:rsidR="003F2021">
              <w:t xml:space="preserve"> by administrator</w:t>
            </w:r>
            <w:r>
              <w:t xml:space="preserve"> during </w:t>
            </w:r>
            <w:r w:rsidR="0066330D">
              <w:t>a cloud migration</w:t>
            </w:r>
            <w:r>
              <w:t xml:space="preserve"> of</w:t>
            </w:r>
            <w:r w:rsidR="0066330D">
              <w:t xml:space="preserve"> an </w:t>
            </w:r>
            <w:r>
              <w:t xml:space="preserve">ICT system </w:t>
            </w:r>
          </w:p>
        </w:tc>
        <w:tc>
          <w:tcPr>
            <w:tcW w:w="3212" w:type="dxa"/>
            <w:shd w:val="clear" w:color="auto" w:fill="EAE5E3"/>
          </w:tcPr>
          <w:p w14:paraId="7A5E66EE" w14:textId="7391454F" w:rsidR="00463989" w:rsidRPr="00C04DFC" w:rsidRDefault="000E1F46" w:rsidP="00DB44ED">
            <w:pPr>
              <w:pStyle w:val="BodyCopy"/>
              <w:cnfStyle w:val="000000100000" w:firstRow="0" w:lastRow="0" w:firstColumn="0" w:lastColumn="0" w:oddVBand="0" w:evenVBand="0" w:oddHBand="1" w:evenHBand="0" w:firstRowFirstColumn="0" w:firstRowLastColumn="0" w:lastRowFirstColumn="0" w:lastRowLastColumn="0"/>
            </w:pPr>
            <w:r>
              <w:t>Impact to service delivery</w:t>
            </w:r>
          </w:p>
        </w:tc>
      </w:tr>
      <w:tr w:rsidR="00E52C54" w14:paraId="4BE0496A" w14:textId="77777777" w:rsidTr="00DB44ED">
        <w:trPr>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6E41E4FE" w14:textId="5971412E" w:rsidR="00E52C54" w:rsidRDefault="000E1F46" w:rsidP="00DB44ED">
            <w:pPr>
              <w:pStyle w:val="BodyCopy"/>
            </w:pPr>
            <w:r>
              <w:rPr>
                <w:b w:val="0"/>
                <w:bCs w:val="0"/>
              </w:rPr>
              <w:t xml:space="preserve">Unauthorised </w:t>
            </w:r>
            <w:r w:rsidR="009F288F">
              <w:rPr>
                <w:b w:val="0"/>
                <w:bCs w:val="0"/>
              </w:rPr>
              <w:t>disclosure</w:t>
            </w:r>
            <w:r>
              <w:rPr>
                <w:b w:val="0"/>
                <w:bCs w:val="0"/>
              </w:rPr>
              <w:t xml:space="preserve"> of</w:t>
            </w:r>
            <w:r w:rsidR="009F288F">
              <w:rPr>
                <w:b w:val="0"/>
                <w:bCs w:val="0"/>
              </w:rPr>
              <w:t xml:space="preserve"> staff</w:t>
            </w:r>
            <w:r w:rsidR="00087904">
              <w:rPr>
                <w:b w:val="0"/>
                <w:bCs w:val="0"/>
              </w:rPr>
              <w:t xml:space="preserve"> information</w:t>
            </w:r>
          </w:p>
          <w:p w14:paraId="5ED0E853" w14:textId="60AE486E" w:rsidR="000E1F46" w:rsidRDefault="000E1F46" w:rsidP="00DB44ED">
            <w:pPr>
              <w:pStyle w:val="BodyCopy"/>
              <w:rPr>
                <w:b w:val="0"/>
                <w:bCs w:val="0"/>
              </w:rPr>
            </w:pPr>
            <w:r>
              <w:rPr>
                <w:b w:val="0"/>
                <w:bCs w:val="0"/>
                <w:i/>
                <w:iCs/>
              </w:rPr>
              <w:t xml:space="preserve">(Compromise of </w:t>
            </w:r>
            <w:r w:rsidR="009F288F">
              <w:rPr>
                <w:b w:val="0"/>
                <w:bCs w:val="0"/>
                <w:i/>
                <w:iCs/>
              </w:rPr>
              <w:t>confidentiality</w:t>
            </w:r>
            <w:r>
              <w:rPr>
                <w:b w:val="0"/>
                <w:bCs w:val="0"/>
                <w:i/>
                <w:iCs/>
              </w:rPr>
              <w:t>)</w:t>
            </w:r>
          </w:p>
        </w:tc>
        <w:tc>
          <w:tcPr>
            <w:tcW w:w="3211" w:type="dxa"/>
            <w:shd w:val="clear" w:color="auto" w:fill="EAE5E3"/>
          </w:tcPr>
          <w:p w14:paraId="0F6D91EB" w14:textId="197094F1" w:rsidR="0066330D" w:rsidRDefault="009F288F" w:rsidP="00DB44ED">
            <w:pPr>
              <w:pStyle w:val="BodyCopy"/>
              <w:cnfStyle w:val="000000000000" w:firstRow="0" w:lastRow="0" w:firstColumn="0" w:lastColumn="0" w:oddVBand="0" w:evenVBand="0" w:oddHBand="0" w:evenHBand="0" w:firstRowFirstColumn="0" w:firstRowLastColumn="0" w:lastRowFirstColumn="0" w:lastRowLastColumn="0"/>
            </w:pPr>
            <w:r>
              <w:t>Third party</w:t>
            </w:r>
            <w:r w:rsidR="003F2021">
              <w:t xml:space="preserve"> inadvertently</w:t>
            </w:r>
            <w:r>
              <w:t xml:space="preserve"> using ‘live’ production data instead of dummy data in a test environment </w:t>
            </w:r>
          </w:p>
        </w:tc>
        <w:tc>
          <w:tcPr>
            <w:tcW w:w="3212" w:type="dxa"/>
            <w:shd w:val="clear" w:color="auto" w:fill="EAE5E3"/>
          </w:tcPr>
          <w:p w14:paraId="7983AF12" w14:textId="2900E462" w:rsidR="00E52C54" w:rsidRDefault="009F288F" w:rsidP="00DB44ED">
            <w:pPr>
              <w:pStyle w:val="BodyCopy"/>
              <w:cnfStyle w:val="000000000000" w:firstRow="0" w:lastRow="0" w:firstColumn="0" w:lastColumn="0" w:oddVBand="0" w:evenVBand="0" w:oddHBand="0" w:evenHBand="0" w:firstRowFirstColumn="0" w:firstRowLastColumn="0" w:lastRowFirstColumn="0" w:lastRowLastColumn="0"/>
            </w:pPr>
            <w:r>
              <w:t>I</w:t>
            </w:r>
            <w:r w:rsidRPr="00075292">
              <w:t>mpact to individuals whose personal information was affected</w:t>
            </w:r>
          </w:p>
        </w:tc>
      </w:tr>
      <w:tr w:rsidR="00E52C54" w14:paraId="30DF168A" w14:textId="77777777" w:rsidTr="00DB44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46EC506E" w14:textId="77777777" w:rsidR="000E1F46" w:rsidRPr="0019098D" w:rsidRDefault="000E1F46" w:rsidP="00DB44ED">
            <w:pPr>
              <w:pStyle w:val="BodyCopy"/>
              <w:rPr>
                <w:b w:val="0"/>
                <w:bCs w:val="0"/>
              </w:rPr>
            </w:pPr>
            <w:r w:rsidRPr="0019098D">
              <w:rPr>
                <w:b w:val="0"/>
                <w:bCs w:val="0"/>
              </w:rPr>
              <w:t xml:space="preserve">Unauthorised access and use of operational information </w:t>
            </w:r>
          </w:p>
          <w:p w14:paraId="454EA667" w14:textId="0210507C" w:rsidR="00E52C54" w:rsidRPr="00776EBD" w:rsidRDefault="000E1F46" w:rsidP="00DB44ED">
            <w:pPr>
              <w:pStyle w:val="BodyCopy"/>
              <w:rPr>
                <w:b w:val="0"/>
                <w:bCs w:val="0"/>
                <w:i/>
                <w:iCs/>
              </w:rPr>
            </w:pPr>
            <w:r>
              <w:rPr>
                <w:b w:val="0"/>
                <w:bCs w:val="0"/>
                <w:i/>
                <w:iCs/>
              </w:rPr>
              <w:t>(Compromise of confidentiality)</w:t>
            </w:r>
          </w:p>
        </w:tc>
        <w:tc>
          <w:tcPr>
            <w:tcW w:w="3211" w:type="dxa"/>
            <w:shd w:val="clear" w:color="auto" w:fill="EAE5E3"/>
          </w:tcPr>
          <w:p w14:paraId="7552A052" w14:textId="1234F487" w:rsidR="00E52C54" w:rsidRDefault="000E1F46" w:rsidP="00DB44ED">
            <w:pPr>
              <w:pStyle w:val="BodyCopy"/>
              <w:cnfStyle w:val="000000100000" w:firstRow="0" w:lastRow="0" w:firstColumn="0" w:lastColumn="0" w:oddVBand="0" w:evenVBand="0" w:oddHBand="1" w:evenHBand="0" w:firstRowFirstColumn="0" w:firstRowLastColumn="0" w:lastRowFirstColumn="0" w:lastRowLastColumn="0"/>
            </w:pPr>
            <w:r>
              <w:t xml:space="preserve">Malicious employee sending operational information </w:t>
            </w:r>
            <w:r w:rsidR="0066330D">
              <w:t>to their own personal email address</w:t>
            </w:r>
            <w:r w:rsidR="002852E9">
              <w:t xml:space="preserve"> or storage provider (e.g</w:t>
            </w:r>
            <w:r w:rsidR="0019098D">
              <w:t>.,</w:t>
            </w:r>
            <w:r w:rsidR="002852E9">
              <w:t xml:space="preserve"> </w:t>
            </w:r>
            <w:r w:rsidR="000F6636">
              <w:t>D</w:t>
            </w:r>
            <w:r w:rsidR="002852E9">
              <w:t xml:space="preserve">ropbox, </w:t>
            </w:r>
            <w:r w:rsidR="000F6636">
              <w:t>O</w:t>
            </w:r>
            <w:r w:rsidR="002852E9">
              <w:t>ne drive etc</w:t>
            </w:r>
            <w:r w:rsidR="00AB0E23">
              <w:t>.</w:t>
            </w:r>
            <w:r w:rsidR="002852E9">
              <w:t>)</w:t>
            </w:r>
          </w:p>
        </w:tc>
        <w:tc>
          <w:tcPr>
            <w:tcW w:w="3212" w:type="dxa"/>
            <w:shd w:val="clear" w:color="auto" w:fill="EAE5E3"/>
          </w:tcPr>
          <w:p w14:paraId="7DDD60FF" w14:textId="01958700" w:rsidR="00E52C54" w:rsidRDefault="000E1F46" w:rsidP="00DB44ED">
            <w:pPr>
              <w:pStyle w:val="BodyCopy"/>
              <w:cnfStyle w:val="000000100000" w:firstRow="0" w:lastRow="0" w:firstColumn="0" w:lastColumn="0" w:oddVBand="0" w:evenVBand="0" w:oddHBand="1" w:evenHBand="0" w:firstRowFirstColumn="0" w:firstRowLastColumn="0" w:lastRowFirstColumn="0" w:lastRowLastColumn="0"/>
            </w:pPr>
            <w:r>
              <w:t>Impact on public services (reputation of, and confidence in, the organisation)</w:t>
            </w:r>
          </w:p>
        </w:tc>
      </w:tr>
    </w:tbl>
    <w:p w14:paraId="555B32AD" w14:textId="1ACF3921" w:rsidR="00463989" w:rsidRDefault="00463989"/>
    <w:p w14:paraId="1C2019CA" w14:textId="77777777" w:rsidR="00463989" w:rsidRPr="000C7AB9" w:rsidRDefault="00463989" w:rsidP="000C7AB9">
      <w:pPr>
        <w:pStyle w:val="SectionHeading"/>
        <w:rPr>
          <w:b w:val="0"/>
          <w:bCs/>
          <w:sz w:val="28"/>
          <w:szCs w:val="28"/>
        </w:rPr>
      </w:pPr>
      <w:r w:rsidRPr="000C7AB9">
        <w:rPr>
          <w:b w:val="0"/>
          <w:bCs/>
          <w:sz w:val="28"/>
          <w:szCs w:val="28"/>
        </w:rPr>
        <w:t>More information</w:t>
      </w:r>
    </w:p>
    <w:p w14:paraId="7A90DF72" w14:textId="7C69E966" w:rsidR="00463989" w:rsidRDefault="00463989" w:rsidP="00463989">
      <w:pPr>
        <w:pStyle w:val="Body"/>
      </w:pPr>
      <w:r>
        <w:t xml:space="preserve">For further information </w:t>
      </w:r>
      <w:r w:rsidR="00006C16">
        <w:t xml:space="preserve">on </w:t>
      </w:r>
      <w:r>
        <w:t xml:space="preserve">the information security incident notification scheme </w:t>
      </w:r>
      <w:r w:rsidR="00006C16">
        <w:t xml:space="preserve">and to </w:t>
      </w:r>
      <w:r>
        <w:t xml:space="preserve">download a notification form, </w:t>
      </w:r>
      <w:r w:rsidR="00006C16">
        <w:t>visit</w:t>
      </w:r>
      <w:r>
        <w:t xml:space="preserve"> our website</w:t>
      </w:r>
      <w:r w:rsidR="00006C16">
        <w:t>:</w:t>
      </w:r>
      <w:r w:rsidR="00006C16">
        <w:br/>
      </w:r>
      <w:hyperlink r:id="rId22" w:history="1">
        <w:r w:rsidR="00006C16" w:rsidRPr="00006C16">
          <w:rPr>
            <w:rStyle w:val="Hyperlink"/>
          </w:rPr>
          <w:t>https://ovic.vic.gov.au/data-protection/agency-reporting-obligations/incident-notification/</w:t>
        </w:r>
      </w:hyperlink>
      <w:r>
        <w:t xml:space="preserve"> </w:t>
      </w:r>
    </w:p>
    <w:p w14:paraId="1C8C490D" w14:textId="20339E36" w:rsidR="000C7AB9" w:rsidRPr="00B5019B" w:rsidRDefault="00006C16" w:rsidP="00B5019B">
      <w:pPr>
        <w:pStyle w:val="Body"/>
      </w:pPr>
      <w:r>
        <w:t xml:space="preserve">We welcome your feedback on this report. </w:t>
      </w:r>
      <w:r w:rsidR="00463989" w:rsidRPr="001F3DC9">
        <w:t xml:space="preserve">Contact OVIC at </w:t>
      </w:r>
      <w:hyperlink r:id="rId23" w:history="1">
        <w:r w:rsidR="00463989" w:rsidRPr="00952599">
          <w:rPr>
            <w:rStyle w:val="Hyperlink"/>
          </w:rPr>
          <w:t>security@ovic.vic.gov.au</w:t>
        </w:r>
      </w:hyperlink>
      <w:r w:rsidR="00463989">
        <w:t xml:space="preserve"> </w:t>
      </w:r>
      <w:r w:rsidR="00463989" w:rsidRPr="001F3DC9">
        <w:t xml:space="preserve">if you </w:t>
      </w:r>
      <w:r w:rsidR="00463989">
        <w:t>would like to discuss this report any further.</w:t>
      </w:r>
    </w:p>
    <w:sectPr w:rsidR="000C7AB9" w:rsidRPr="00B5019B" w:rsidSect="002B353D">
      <w:headerReference w:type="default" r:id="rId24"/>
      <w:footerReference w:type="default" r:id="rId25"/>
      <w:headerReference w:type="first" r:id="rId26"/>
      <w:footerReference w:type="first" r:id="rId2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0DA86" w14:textId="77777777" w:rsidR="000F6636" w:rsidRDefault="000F6636" w:rsidP="00771051">
      <w:pPr>
        <w:spacing w:after="0" w:line="240" w:lineRule="auto"/>
      </w:pPr>
      <w:r>
        <w:separator/>
      </w:r>
    </w:p>
  </w:endnote>
  <w:endnote w:type="continuationSeparator" w:id="0">
    <w:p w14:paraId="1C9ED82D" w14:textId="77777777" w:rsidR="000F6636" w:rsidRDefault="000F6636" w:rsidP="007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National-Book">
    <w:altName w:val="Times New Roman"/>
    <w:charset w:val="00"/>
    <w:family w:val="auto"/>
    <w:pitch w:val="variable"/>
    <w:sig w:usb0="00000001"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18FFA" w14:textId="6DE3F458" w:rsidR="000F6636" w:rsidRPr="00C40D5B" w:rsidRDefault="000F6636" w:rsidP="00C40D5B">
    <w:pPr>
      <w:pStyle w:val="SectionHeading"/>
      <w:jc w:val="center"/>
      <w:rPr>
        <w:color w:val="FF0000"/>
        <w:sz w:val="44"/>
        <w:szCs w:val="44"/>
      </w:rPr>
    </w:pPr>
    <w:r w:rsidRPr="00C40D5B">
      <w:rPr>
        <w:color w:val="FF0000"/>
        <w:sz w:val="44"/>
        <w:szCs w:val="44"/>
      </w:rPr>
      <w:t>OFFICIAL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35E66" w14:textId="27FB6020" w:rsidR="000F6636" w:rsidRPr="00C40D5B" w:rsidRDefault="000F6636" w:rsidP="00C40D5B">
    <w:pPr>
      <w:pStyle w:val="SectionHeading"/>
      <w:jc w:val="center"/>
      <w:rPr>
        <w:color w:val="FF0000"/>
        <w:sz w:val="44"/>
        <w:szCs w:val="44"/>
      </w:rPr>
    </w:pPr>
    <w:r w:rsidRPr="00C40D5B">
      <w:rPr>
        <w:color w:val="FF0000"/>
        <w:sz w:val="44"/>
        <w:szCs w:val="44"/>
      </w:rPr>
      <w:t>OFFICIAL</w:t>
    </w:r>
  </w:p>
  <w:p w14:paraId="26916963" w14:textId="6A236A56" w:rsidR="000F6636" w:rsidRDefault="000F6636" w:rsidP="00C40D5B">
    <w:pPr>
      <w:pStyle w:val="SectionHeading"/>
    </w:pPr>
    <w:r w:rsidRPr="00487066">
      <w:rPr>
        <w:sz w:val="20"/>
        <w:szCs w:val="20"/>
      </w:rPr>
      <w:t xml:space="preserve">Freedom of Information </w:t>
    </w:r>
    <w:r w:rsidRPr="00487066">
      <w:rPr>
        <w:color w:val="E5007D"/>
        <w:sz w:val="20"/>
        <w:szCs w:val="20"/>
      </w:rPr>
      <w:t>|</w:t>
    </w:r>
    <w:r w:rsidRPr="00487066">
      <w:rPr>
        <w:sz w:val="20"/>
        <w:szCs w:val="20"/>
      </w:rPr>
      <w:t xml:space="preserve"> Privacy </w:t>
    </w:r>
    <w:r w:rsidRPr="00487066">
      <w:rPr>
        <w:color w:val="E5007D"/>
        <w:sz w:val="20"/>
        <w:szCs w:val="20"/>
      </w:rPr>
      <w:t>|</w:t>
    </w:r>
    <w:r w:rsidRPr="00487066">
      <w:rPr>
        <w:sz w:val="20"/>
        <w:szCs w:val="20"/>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C8311" w14:textId="77777777" w:rsidR="000F6636" w:rsidRDefault="000F6636" w:rsidP="00771051">
      <w:pPr>
        <w:spacing w:after="0" w:line="240" w:lineRule="auto"/>
      </w:pPr>
      <w:r>
        <w:separator/>
      </w:r>
    </w:p>
  </w:footnote>
  <w:footnote w:type="continuationSeparator" w:id="0">
    <w:p w14:paraId="65A00CAE" w14:textId="77777777" w:rsidR="000F6636" w:rsidRDefault="000F6636" w:rsidP="00771051">
      <w:pPr>
        <w:spacing w:after="0" w:line="240" w:lineRule="auto"/>
      </w:pPr>
      <w:r>
        <w:continuationSeparator/>
      </w:r>
    </w:p>
  </w:footnote>
  <w:footnote w:id="1">
    <w:p w14:paraId="1F5A6341" w14:textId="0FF4A98D" w:rsidR="000F6636" w:rsidRDefault="000F6636" w:rsidP="00FD4EFE">
      <w:pPr>
        <w:pStyle w:val="Body"/>
      </w:pPr>
      <w:r>
        <w:rPr>
          <w:rStyle w:val="FootnoteReference"/>
        </w:rPr>
        <w:footnoteRef/>
      </w:r>
      <w:r>
        <w:t xml:space="preserve"> </w:t>
      </w:r>
      <w:r w:rsidRPr="00FD4EFE">
        <w:rPr>
          <w:sz w:val="18"/>
          <w:szCs w:val="18"/>
        </w:rPr>
        <w:t xml:space="preserve">Refer to OAIC’s website for a copy of their </w:t>
      </w:r>
      <w:r>
        <w:rPr>
          <w:sz w:val="18"/>
          <w:szCs w:val="18"/>
        </w:rPr>
        <w:t xml:space="preserve">Jul-Dec </w:t>
      </w:r>
      <w:r w:rsidRPr="00FD4EFE">
        <w:rPr>
          <w:sz w:val="18"/>
          <w:szCs w:val="18"/>
        </w:rPr>
        <w:t xml:space="preserve">report </w:t>
      </w:r>
      <w:hyperlink r:id="rId1" w:history="1">
        <w:r w:rsidR="004D37B1" w:rsidRPr="007061EA">
          <w:rPr>
            <w:rStyle w:val="Hyperlink"/>
            <w:sz w:val="18"/>
            <w:szCs w:val="18"/>
          </w:rPr>
          <w:t>https://www.oaic.gov.au/privacy/notifiable-data-breaches/notifiable-data-breaches-statistics/notifiable-data-breaches-report-july-december-2020/</w:t>
        </w:r>
      </w:hyperlink>
      <w:r w:rsidR="004D37B1">
        <w:rPr>
          <w:sz w:val="18"/>
          <w:szCs w:val="18"/>
        </w:rPr>
        <w:t xml:space="preserve"> </w:t>
      </w:r>
    </w:p>
  </w:footnote>
  <w:footnote w:id="2">
    <w:p w14:paraId="3DE9C558" w14:textId="62225E06" w:rsidR="000F6636" w:rsidRPr="00777AD6" w:rsidRDefault="000F6636">
      <w:pPr>
        <w:pStyle w:val="FootnoteText"/>
        <w:rPr>
          <w:color w:val="595959" w:themeColor="text1" w:themeTint="A6"/>
          <w:sz w:val="16"/>
          <w:szCs w:val="16"/>
        </w:rPr>
      </w:pPr>
      <w:r w:rsidRPr="00777AD6">
        <w:rPr>
          <w:rStyle w:val="FootnoteReference"/>
          <w:color w:val="595959" w:themeColor="text1" w:themeTint="A6"/>
          <w:sz w:val="16"/>
          <w:szCs w:val="16"/>
        </w:rPr>
        <w:footnoteRef/>
      </w:r>
      <w:r w:rsidRPr="00777AD6">
        <w:rPr>
          <w:color w:val="595959" w:themeColor="text1" w:themeTint="A6"/>
          <w:sz w:val="16"/>
          <w:szCs w:val="16"/>
        </w:rPr>
        <w:t xml:space="preserve"> The extent of the impact could be “limited” or higher depending on the context and nature of the incident and is left for an organisation to determine.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CDA2F" w14:textId="240E659E" w:rsidR="000F6636" w:rsidRPr="00C40D5B" w:rsidRDefault="000F6636" w:rsidP="00C40D5B">
    <w:pPr>
      <w:pStyle w:val="SectionHeading"/>
      <w:jc w:val="center"/>
      <w:rPr>
        <w:color w:val="FF0000"/>
        <w:sz w:val="44"/>
        <w:szCs w:val="44"/>
      </w:rPr>
    </w:pPr>
    <w:r w:rsidRPr="00C40D5B">
      <w:rPr>
        <w:color w:val="FF0000"/>
        <w:sz w:val="44"/>
        <w:szCs w:val="4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97118" w14:textId="77777777" w:rsidR="000F6636" w:rsidRPr="00D70A8A" w:rsidRDefault="000F6636" w:rsidP="002B353D">
    <w:pPr>
      <w:pStyle w:val="Header"/>
      <w:tabs>
        <w:tab w:val="clear" w:pos="4513"/>
        <w:tab w:val="clear" w:pos="9026"/>
        <w:tab w:val="left" w:pos="6946"/>
      </w:tabs>
      <w:spacing w:after="180"/>
      <w:rPr>
        <w:color w:val="7F7F7F"/>
        <w:sz w:val="26"/>
        <w:szCs w:val="26"/>
      </w:rPr>
    </w:pPr>
    <w:r>
      <w:rPr>
        <w:noProof/>
        <w:color w:val="7F7F7F"/>
        <w:sz w:val="28"/>
        <w:szCs w:val="28"/>
        <w:lang w:eastAsia="en-AU"/>
      </w:rPr>
      <w:drawing>
        <wp:anchor distT="0" distB="0" distL="114300" distR="114300" simplePos="0" relativeHeight="251659264" behindDoc="1" locked="0" layoutInCell="1" allowOverlap="1" wp14:anchorId="0D5B5D44" wp14:editId="0515B81F">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23" name="Picture 2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Pr>
        <w:color w:val="430098"/>
        <w:sz w:val="26"/>
        <w:szCs w:val="26"/>
      </w:rPr>
      <w:t>AGENCIES and BODIES</w:t>
    </w:r>
  </w:p>
  <w:p w14:paraId="73244EC7" w14:textId="77777777" w:rsidR="000F6636" w:rsidRPr="00B37C5F" w:rsidRDefault="000F6636" w:rsidP="002B353D">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52EF16D0" w14:textId="77777777" w:rsidR="000F6636" w:rsidRPr="00142FDF" w:rsidRDefault="000F6636" w:rsidP="002B353D">
    <w:pPr>
      <w:pStyle w:val="DocumentTitle"/>
      <w:rPr>
        <w:color w:val="7F7F7F"/>
        <w:sz w:val="20"/>
        <w:szCs w:val="20"/>
      </w:rPr>
    </w:pPr>
    <w:r>
      <w:rPr>
        <w:noProof/>
        <w:lang w:val="en-AU" w:eastAsia="en-AU"/>
      </w:rPr>
      <w:drawing>
        <wp:anchor distT="0" distB="0" distL="114300" distR="114300" simplePos="0" relativeHeight="251660288" behindDoc="0" locked="0" layoutInCell="1" allowOverlap="1" wp14:anchorId="2D453C81" wp14:editId="542EE007">
          <wp:simplePos x="0" y="0"/>
          <wp:positionH relativeFrom="column">
            <wp:posOffset>-20955</wp:posOffset>
          </wp:positionH>
          <wp:positionV relativeFrom="paragraph">
            <wp:posOffset>172085</wp:posOffset>
          </wp:positionV>
          <wp:extent cx="6119495" cy="70485"/>
          <wp:effectExtent l="0" t="0" r="0" b="5715"/>
          <wp:wrapNone/>
          <wp:docPr id="25" name="Picture 2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t>Incident Insights Report</w:t>
    </w:r>
  </w:p>
  <w:p w14:paraId="394B0068" w14:textId="77777777" w:rsidR="000F6636" w:rsidRDefault="000F6636" w:rsidP="002B353D">
    <w:pPr>
      <w:pStyle w:val="Header"/>
    </w:pPr>
    <w:r>
      <w:rPr>
        <w:rFonts w:ascii="Arial" w:hAnsi="Arial" w:cs="Arial"/>
        <w:color w:val="555559"/>
        <w:sz w:val="30"/>
        <w:szCs w:val="30"/>
      </w:rPr>
      <w:t>1 July 2020 – 31 December 2020</w:t>
    </w:r>
  </w:p>
  <w:p w14:paraId="3530856F" w14:textId="77777777" w:rsidR="000F6636" w:rsidRDefault="000F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B1953"/>
    <w:multiLevelType w:val="hybridMultilevel"/>
    <w:tmpl w:val="B254CB0A"/>
    <w:lvl w:ilvl="0" w:tplc="D4F08EC0">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EC6914"/>
    <w:multiLevelType w:val="hybridMultilevel"/>
    <w:tmpl w:val="E256B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CBE7CD2"/>
    <w:multiLevelType w:val="hybridMultilevel"/>
    <w:tmpl w:val="A6E8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BB7FBC"/>
    <w:multiLevelType w:val="hybridMultilevel"/>
    <w:tmpl w:val="2530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1D5372"/>
    <w:multiLevelType w:val="hybridMultilevel"/>
    <w:tmpl w:val="1AD4B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0171669">
    <w:abstractNumId w:val="2"/>
  </w:num>
  <w:num w:numId="2" w16cid:durableId="1684670775">
    <w:abstractNumId w:val="3"/>
  </w:num>
  <w:num w:numId="3" w16cid:durableId="899946505">
    <w:abstractNumId w:val="4"/>
  </w:num>
  <w:num w:numId="4" w16cid:durableId="2086224579">
    <w:abstractNumId w:val="1"/>
  </w:num>
  <w:num w:numId="5" w16cid:durableId="123577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E"/>
    <w:rsid w:val="00005969"/>
    <w:rsid w:val="00005E22"/>
    <w:rsid w:val="00006C16"/>
    <w:rsid w:val="0001504B"/>
    <w:rsid w:val="000176FD"/>
    <w:rsid w:val="00020250"/>
    <w:rsid w:val="00037385"/>
    <w:rsid w:val="00042D00"/>
    <w:rsid w:val="00043E66"/>
    <w:rsid w:val="00064A83"/>
    <w:rsid w:val="00087904"/>
    <w:rsid w:val="000904B5"/>
    <w:rsid w:val="00097964"/>
    <w:rsid w:val="000A0700"/>
    <w:rsid w:val="000C2FE0"/>
    <w:rsid w:val="000C3730"/>
    <w:rsid w:val="000C7AB9"/>
    <w:rsid w:val="000D3955"/>
    <w:rsid w:val="000E1F46"/>
    <w:rsid w:val="000F30D7"/>
    <w:rsid w:val="000F45EB"/>
    <w:rsid w:val="000F6636"/>
    <w:rsid w:val="000F6D4F"/>
    <w:rsid w:val="00117DF6"/>
    <w:rsid w:val="001405E2"/>
    <w:rsid w:val="0015589E"/>
    <w:rsid w:val="00173280"/>
    <w:rsid w:val="0019098D"/>
    <w:rsid w:val="001940E6"/>
    <w:rsid w:val="001B3399"/>
    <w:rsid w:val="001C61A9"/>
    <w:rsid w:val="001D4783"/>
    <w:rsid w:val="001E383E"/>
    <w:rsid w:val="001E6FE4"/>
    <w:rsid w:val="001F4AF1"/>
    <w:rsid w:val="002038DF"/>
    <w:rsid w:val="00225942"/>
    <w:rsid w:val="002415A5"/>
    <w:rsid w:val="002448E8"/>
    <w:rsid w:val="00251F92"/>
    <w:rsid w:val="00256291"/>
    <w:rsid w:val="00256DA4"/>
    <w:rsid w:val="00265DBC"/>
    <w:rsid w:val="0027322A"/>
    <w:rsid w:val="0028150C"/>
    <w:rsid w:val="002852E9"/>
    <w:rsid w:val="0029040E"/>
    <w:rsid w:val="002B353D"/>
    <w:rsid w:val="002C11FE"/>
    <w:rsid w:val="002C36B8"/>
    <w:rsid w:val="002C7FE4"/>
    <w:rsid w:val="002D3014"/>
    <w:rsid w:val="00300CFA"/>
    <w:rsid w:val="00312A38"/>
    <w:rsid w:val="00313A50"/>
    <w:rsid w:val="0033113E"/>
    <w:rsid w:val="00354E39"/>
    <w:rsid w:val="00385C6F"/>
    <w:rsid w:val="003925A1"/>
    <w:rsid w:val="003A60FC"/>
    <w:rsid w:val="003A7D9B"/>
    <w:rsid w:val="003C3D0B"/>
    <w:rsid w:val="003C57DC"/>
    <w:rsid w:val="003D2B7D"/>
    <w:rsid w:val="003F2021"/>
    <w:rsid w:val="00402367"/>
    <w:rsid w:val="00421A3A"/>
    <w:rsid w:val="00463989"/>
    <w:rsid w:val="0047181E"/>
    <w:rsid w:val="00483005"/>
    <w:rsid w:val="00487066"/>
    <w:rsid w:val="004944A5"/>
    <w:rsid w:val="004A6FB4"/>
    <w:rsid w:val="004A73A0"/>
    <w:rsid w:val="004A7887"/>
    <w:rsid w:val="004B08BD"/>
    <w:rsid w:val="004B17E4"/>
    <w:rsid w:val="004D37B1"/>
    <w:rsid w:val="004D46D1"/>
    <w:rsid w:val="004E4D08"/>
    <w:rsid w:val="004E4F2C"/>
    <w:rsid w:val="00543FE5"/>
    <w:rsid w:val="0055769E"/>
    <w:rsid w:val="00562E60"/>
    <w:rsid w:val="00584094"/>
    <w:rsid w:val="005907C9"/>
    <w:rsid w:val="005A4F71"/>
    <w:rsid w:val="005A6E16"/>
    <w:rsid w:val="005C3D7B"/>
    <w:rsid w:val="005E18CE"/>
    <w:rsid w:val="005E2487"/>
    <w:rsid w:val="0063309A"/>
    <w:rsid w:val="0063679E"/>
    <w:rsid w:val="00644E81"/>
    <w:rsid w:val="00651761"/>
    <w:rsid w:val="00653DDE"/>
    <w:rsid w:val="0066330D"/>
    <w:rsid w:val="006804A9"/>
    <w:rsid w:val="0068490E"/>
    <w:rsid w:val="00687185"/>
    <w:rsid w:val="00695D85"/>
    <w:rsid w:val="00696AAD"/>
    <w:rsid w:val="006B5E30"/>
    <w:rsid w:val="006D5775"/>
    <w:rsid w:val="006F271F"/>
    <w:rsid w:val="007001D0"/>
    <w:rsid w:val="007277FA"/>
    <w:rsid w:val="00740238"/>
    <w:rsid w:val="0076019E"/>
    <w:rsid w:val="00763056"/>
    <w:rsid w:val="0076524F"/>
    <w:rsid w:val="007652E6"/>
    <w:rsid w:val="00771051"/>
    <w:rsid w:val="00776EBD"/>
    <w:rsid w:val="00777AD6"/>
    <w:rsid w:val="007876B1"/>
    <w:rsid w:val="007B4F1A"/>
    <w:rsid w:val="007C3638"/>
    <w:rsid w:val="007D0697"/>
    <w:rsid w:val="007D5DB5"/>
    <w:rsid w:val="007E328A"/>
    <w:rsid w:val="007F61EB"/>
    <w:rsid w:val="00804A12"/>
    <w:rsid w:val="00821F2B"/>
    <w:rsid w:val="0084756B"/>
    <w:rsid w:val="00872304"/>
    <w:rsid w:val="0087741A"/>
    <w:rsid w:val="00884E92"/>
    <w:rsid w:val="008C71AA"/>
    <w:rsid w:val="008D1B82"/>
    <w:rsid w:val="008D1E1C"/>
    <w:rsid w:val="008D5062"/>
    <w:rsid w:val="008F27F0"/>
    <w:rsid w:val="00915DCF"/>
    <w:rsid w:val="00920E81"/>
    <w:rsid w:val="00921F4E"/>
    <w:rsid w:val="0094555E"/>
    <w:rsid w:val="00956F61"/>
    <w:rsid w:val="009607BE"/>
    <w:rsid w:val="00996A18"/>
    <w:rsid w:val="009C16F7"/>
    <w:rsid w:val="009C1C13"/>
    <w:rsid w:val="009C38A7"/>
    <w:rsid w:val="009D2AB2"/>
    <w:rsid w:val="009F288F"/>
    <w:rsid w:val="00A11D5B"/>
    <w:rsid w:val="00A30219"/>
    <w:rsid w:val="00A34816"/>
    <w:rsid w:val="00A44D08"/>
    <w:rsid w:val="00A50870"/>
    <w:rsid w:val="00A728EC"/>
    <w:rsid w:val="00A82A88"/>
    <w:rsid w:val="00A82B91"/>
    <w:rsid w:val="00A93F41"/>
    <w:rsid w:val="00AA1519"/>
    <w:rsid w:val="00AB0E23"/>
    <w:rsid w:val="00AC495A"/>
    <w:rsid w:val="00AC6EC8"/>
    <w:rsid w:val="00AE68E6"/>
    <w:rsid w:val="00B12B2F"/>
    <w:rsid w:val="00B25FB0"/>
    <w:rsid w:val="00B4134E"/>
    <w:rsid w:val="00B42EA1"/>
    <w:rsid w:val="00B5019B"/>
    <w:rsid w:val="00B56ED0"/>
    <w:rsid w:val="00B63399"/>
    <w:rsid w:val="00B64CFC"/>
    <w:rsid w:val="00B66C6F"/>
    <w:rsid w:val="00B7282D"/>
    <w:rsid w:val="00B81FA3"/>
    <w:rsid w:val="00B86CBA"/>
    <w:rsid w:val="00B93984"/>
    <w:rsid w:val="00B959AC"/>
    <w:rsid w:val="00BB1429"/>
    <w:rsid w:val="00BC137E"/>
    <w:rsid w:val="00BC354F"/>
    <w:rsid w:val="00BC5B11"/>
    <w:rsid w:val="00BF560F"/>
    <w:rsid w:val="00C109ED"/>
    <w:rsid w:val="00C2589E"/>
    <w:rsid w:val="00C32C74"/>
    <w:rsid w:val="00C40D5B"/>
    <w:rsid w:val="00C44649"/>
    <w:rsid w:val="00C621FB"/>
    <w:rsid w:val="00C63C7A"/>
    <w:rsid w:val="00C66CB8"/>
    <w:rsid w:val="00C761D8"/>
    <w:rsid w:val="00C86B59"/>
    <w:rsid w:val="00C87253"/>
    <w:rsid w:val="00CA175E"/>
    <w:rsid w:val="00CB19CB"/>
    <w:rsid w:val="00D015C3"/>
    <w:rsid w:val="00D23F74"/>
    <w:rsid w:val="00D30584"/>
    <w:rsid w:val="00D30BF2"/>
    <w:rsid w:val="00D455FD"/>
    <w:rsid w:val="00D458A2"/>
    <w:rsid w:val="00D4616C"/>
    <w:rsid w:val="00D53B9F"/>
    <w:rsid w:val="00D62FA8"/>
    <w:rsid w:val="00D81627"/>
    <w:rsid w:val="00D8350E"/>
    <w:rsid w:val="00D86981"/>
    <w:rsid w:val="00DA66D0"/>
    <w:rsid w:val="00DA7AF0"/>
    <w:rsid w:val="00DB44ED"/>
    <w:rsid w:val="00DB50A8"/>
    <w:rsid w:val="00DB7882"/>
    <w:rsid w:val="00DD155F"/>
    <w:rsid w:val="00DD167B"/>
    <w:rsid w:val="00DD7278"/>
    <w:rsid w:val="00DE0074"/>
    <w:rsid w:val="00DE48BB"/>
    <w:rsid w:val="00DE4C2C"/>
    <w:rsid w:val="00DE78B5"/>
    <w:rsid w:val="00DF040A"/>
    <w:rsid w:val="00DF20F4"/>
    <w:rsid w:val="00E20A5C"/>
    <w:rsid w:val="00E47BE0"/>
    <w:rsid w:val="00E52C54"/>
    <w:rsid w:val="00E722BE"/>
    <w:rsid w:val="00E87365"/>
    <w:rsid w:val="00E93FC2"/>
    <w:rsid w:val="00EA6BBB"/>
    <w:rsid w:val="00EB09E6"/>
    <w:rsid w:val="00EC4AAB"/>
    <w:rsid w:val="00EE3AA7"/>
    <w:rsid w:val="00F034F4"/>
    <w:rsid w:val="00F0593D"/>
    <w:rsid w:val="00F07F57"/>
    <w:rsid w:val="00F13EE4"/>
    <w:rsid w:val="00F248F0"/>
    <w:rsid w:val="00F35A57"/>
    <w:rsid w:val="00F436A4"/>
    <w:rsid w:val="00F5151C"/>
    <w:rsid w:val="00F55A27"/>
    <w:rsid w:val="00F73283"/>
    <w:rsid w:val="00F9151A"/>
    <w:rsid w:val="00F919F1"/>
    <w:rsid w:val="00F92938"/>
    <w:rsid w:val="00FA1831"/>
    <w:rsid w:val="00FB45FD"/>
    <w:rsid w:val="00FB4656"/>
    <w:rsid w:val="00FC7C49"/>
    <w:rsid w:val="00FD4EFE"/>
    <w:rsid w:val="00FE6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CF8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E"/>
    <w:rPr>
      <w:rFonts w:ascii="Segoe UI" w:hAnsi="Segoe UI" w:cs="Segoe UI"/>
      <w:sz w:val="18"/>
      <w:szCs w:val="18"/>
    </w:rPr>
  </w:style>
  <w:style w:type="paragraph" w:styleId="Header">
    <w:name w:val="header"/>
    <w:basedOn w:val="Normal"/>
    <w:link w:val="HeaderChar"/>
    <w:uiPriority w:val="99"/>
    <w:unhideWhenUsed/>
    <w:rsid w:val="0077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051"/>
  </w:style>
  <w:style w:type="paragraph" w:styleId="Footer">
    <w:name w:val="footer"/>
    <w:basedOn w:val="Normal"/>
    <w:link w:val="FooterChar"/>
    <w:uiPriority w:val="99"/>
    <w:unhideWhenUsed/>
    <w:rsid w:val="0077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051"/>
  </w:style>
  <w:style w:type="paragraph" w:customStyle="1" w:styleId="DocumentTitle">
    <w:name w:val="Document Title"/>
    <w:basedOn w:val="Header"/>
    <w:qFormat/>
    <w:rsid w:val="00771051"/>
    <w:pPr>
      <w:tabs>
        <w:tab w:val="clear" w:pos="9026"/>
        <w:tab w:val="left" w:pos="6946"/>
      </w:tabs>
      <w:spacing w:before="840" w:after="120"/>
    </w:pPr>
    <w:rPr>
      <w:rFonts w:ascii="Arial" w:eastAsia="Calibri" w:hAnsi="Arial" w:cs="Arial"/>
      <w:b/>
      <w:color w:val="430098"/>
      <w:sz w:val="40"/>
      <w:szCs w:val="40"/>
      <w:lang w:val="en-GB"/>
    </w:rPr>
  </w:style>
  <w:style w:type="paragraph" w:customStyle="1" w:styleId="Body">
    <w:name w:val="Body"/>
    <w:basedOn w:val="Normal"/>
    <w:qFormat/>
    <w:rsid w:val="00771051"/>
    <w:pPr>
      <w:widowControl w:val="0"/>
      <w:suppressAutoHyphens/>
      <w:autoSpaceDE w:val="0"/>
      <w:autoSpaceDN w:val="0"/>
      <w:adjustRightInd w:val="0"/>
      <w:spacing w:after="240" w:line="240" w:lineRule="auto"/>
      <w:textAlignment w:val="center"/>
    </w:pPr>
    <w:rPr>
      <w:rFonts w:ascii="Calibri" w:eastAsia="Calibri" w:hAnsi="Calibri" w:cs="PostGrotesk-Book"/>
      <w:color w:val="55565A"/>
      <w:lang w:val="en-GB"/>
    </w:rPr>
  </w:style>
  <w:style w:type="paragraph" w:customStyle="1" w:styleId="SectionHeading1">
    <w:name w:val="Section Heading 1"/>
    <w:basedOn w:val="Normal"/>
    <w:qFormat/>
    <w:rsid w:val="00771051"/>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character" w:styleId="Hyperlink">
    <w:name w:val="Hyperlink"/>
    <w:uiPriority w:val="99"/>
    <w:rsid w:val="00771051"/>
    <w:rPr>
      <w:color w:val="430098"/>
      <w:w w:val="100"/>
      <w:u w:val="single" w:color="430098"/>
    </w:rPr>
  </w:style>
  <w:style w:type="paragraph" w:styleId="FootnoteText">
    <w:name w:val="footnote text"/>
    <w:basedOn w:val="Normal"/>
    <w:link w:val="FootnoteTextChar"/>
    <w:uiPriority w:val="99"/>
    <w:semiHidden/>
    <w:unhideWhenUsed/>
    <w:rsid w:val="0077105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1051"/>
    <w:rPr>
      <w:rFonts w:eastAsia="Times New Roman" w:cs="Times New Roman"/>
      <w:sz w:val="20"/>
      <w:szCs w:val="20"/>
    </w:rPr>
  </w:style>
  <w:style w:type="character" w:styleId="FootnoteReference">
    <w:name w:val="footnote reference"/>
    <w:basedOn w:val="DefaultParagraphFont"/>
    <w:uiPriority w:val="99"/>
    <w:semiHidden/>
    <w:unhideWhenUsed/>
    <w:rsid w:val="00771051"/>
    <w:rPr>
      <w:vertAlign w:val="superscript"/>
    </w:rPr>
  </w:style>
  <w:style w:type="character" w:styleId="CommentReference">
    <w:name w:val="annotation reference"/>
    <w:basedOn w:val="DefaultParagraphFont"/>
    <w:uiPriority w:val="99"/>
    <w:semiHidden/>
    <w:unhideWhenUsed/>
    <w:rsid w:val="00BB1429"/>
    <w:rPr>
      <w:sz w:val="16"/>
      <w:szCs w:val="16"/>
    </w:rPr>
  </w:style>
  <w:style w:type="paragraph" w:styleId="CommentText">
    <w:name w:val="annotation text"/>
    <w:basedOn w:val="Normal"/>
    <w:link w:val="CommentTextChar"/>
    <w:uiPriority w:val="99"/>
    <w:unhideWhenUsed/>
    <w:rsid w:val="00BB1429"/>
    <w:pPr>
      <w:spacing w:line="240" w:lineRule="auto"/>
    </w:pPr>
    <w:rPr>
      <w:sz w:val="20"/>
      <w:szCs w:val="20"/>
    </w:rPr>
  </w:style>
  <w:style w:type="character" w:customStyle="1" w:styleId="CommentTextChar">
    <w:name w:val="Comment Text Char"/>
    <w:basedOn w:val="DefaultParagraphFont"/>
    <w:link w:val="CommentText"/>
    <w:uiPriority w:val="99"/>
    <w:rsid w:val="00BB1429"/>
    <w:rPr>
      <w:sz w:val="20"/>
      <w:szCs w:val="20"/>
    </w:rPr>
  </w:style>
  <w:style w:type="paragraph" w:styleId="CommentSubject">
    <w:name w:val="annotation subject"/>
    <w:basedOn w:val="CommentText"/>
    <w:next w:val="CommentText"/>
    <w:link w:val="CommentSubjectChar"/>
    <w:uiPriority w:val="99"/>
    <w:semiHidden/>
    <w:unhideWhenUsed/>
    <w:rsid w:val="00BB1429"/>
    <w:rPr>
      <w:b/>
      <w:bCs/>
    </w:rPr>
  </w:style>
  <w:style w:type="character" w:customStyle="1" w:styleId="CommentSubjectChar">
    <w:name w:val="Comment Subject Char"/>
    <w:basedOn w:val="CommentTextChar"/>
    <w:link w:val="CommentSubject"/>
    <w:uiPriority w:val="99"/>
    <w:semiHidden/>
    <w:rsid w:val="00BB1429"/>
    <w:rPr>
      <w:b/>
      <w:bCs/>
      <w:sz w:val="20"/>
      <w:szCs w:val="20"/>
    </w:rPr>
  </w:style>
  <w:style w:type="paragraph" w:customStyle="1" w:styleId="BodyCopy">
    <w:name w:val="Body Copy"/>
    <w:basedOn w:val="Normal"/>
    <w:uiPriority w:val="99"/>
    <w:qFormat/>
    <w:rsid w:val="00463989"/>
    <w:pPr>
      <w:widowControl w:val="0"/>
      <w:suppressAutoHyphens/>
      <w:autoSpaceDE w:val="0"/>
      <w:autoSpaceDN w:val="0"/>
      <w:adjustRightInd w:val="0"/>
      <w:spacing w:before="120" w:after="200" w:line="264" w:lineRule="auto"/>
      <w:textAlignment w:val="center"/>
    </w:pPr>
    <w:rPr>
      <w:rFonts w:eastAsia="Times New Roman" w:cs="National-Book"/>
      <w:color w:val="55565A"/>
      <w:lang w:val="en-US"/>
    </w:rPr>
  </w:style>
  <w:style w:type="paragraph" w:styleId="ListParagraph">
    <w:name w:val="List Paragraph"/>
    <w:basedOn w:val="Normal"/>
    <w:uiPriority w:val="34"/>
    <w:qFormat/>
    <w:rsid w:val="00463989"/>
    <w:pPr>
      <w:spacing w:after="0" w:line="240" w:lineRule="auto"/>
      <w:ind w:left="720"/>
      <w:contextualSpacing/>
    </w:pPr>
    <w:rPr>
      <w:rFonts w:eastAsia="Times New Roman" w:cs="Times New Roman"/>
      <w:szCs w:val="24"/>
    </w:rPr>
  </w:style>
  <w:style w:type="table" w:styleId="GridTable4-Accent4">
    <w:name w:val="Grid Table 4 Accent 4"/>
    <w:basedOn w:val="TableNormal"/>
    <w:uiPriority w:val="49"/>
    <w:rsid w:val="00463989"/>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ectionHeading">
    <w:name w:val="Section Heading"/>
    <w:basedOn w:val="Heading1"/>
    <w:qFormat/>
    <w:rsid w:val="00463989"/>
    <w:pPr>
      <w:keepNext w:val="0"/>
      <w:keepLines w:val="0"/>
      <w:spacing w:before="120" w:after="160" w:line="264" w:lineRule="auto"/>
    </w:pPr>
    <w:rPr>
      <w:rFonts w:ascii="Calibri" w:eastAsia="Times New Roman" w:hAnsi="Calibri" w:cs="Times New Roman"/>
      <w:b/>
      <w:color w:val="5620A9"/>
    </w:rPr>
  </w:style>
  <w:style w:type="character" w:customStyle="1" w:styleId="Heading1Char">
    <w:name w:val="Heading 1 Char"/>
    <w:basedOn w:val="DefaultParagraphFont"/>
    <w:link w:val="Heading1"/>
    <w:uiPriority w:val="9"/>
    <w:rsid w:val="004639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63989"/>
    <w:rPr>
      <w:color w:val="605E5C"/>
      <w:shd w:val="clear" w:color="auto" w:fill="E1DFDD"/>
    </w:rPr>
  </w:style>
  <w:style w:type="paragraph" w:styleId="Revision">
    <w:name w:val="Revision"/>
    <w:hidden/>
    <w:uiPriority w:val="99"/>
    <w:semiHidden/>
    <w:rsid w:val="00920E81"/>
    <w:pPr>
      <w:spacing w:after="0" w:line="240" w:lineRule="auto"/>
    </w:pPr>
  </w:style>
  <w:style w:type="character" w:styleId="Emphasis">
    <w:name w:val="Emphasis"/>
    <w:basedOn w:val="DefaultParagraphFont"/>
    <w:uiPriority w:val="20"/>
    <w:qFormat/>
    <w:rsid w:val="00B2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9344">
      <w:bodyDiv w:val="1"/>
      <w:marLeft w:val="0"/>
      <w:marRight w:val="0"/>
      <w:marTop w:val="0"/>
      <w:marBottom w:val="0"/>
      <w:divBdr>
        <w:top w:val="none" w:sz="0" w:space="0" w:color="auto"/>
        <w:left w:val="none" w:sz="0" w:space="0" w:color="auto"/>
        <w:bottom w:val="none" w:sz="0" w:space="0" w:color="auto"/>
        <w:right w:val="none" w:sz="0" w:space="0" w:color="auto"/>
      </w:divBdr>
    </w:div>
    <w:div w:id="500001560">
      <w:bodyDiv w:val="1"/>
      <w:marLeft w:val="0"/>
      <w:marRight w:val="0"/>
      <w:marTop w:val="0"/>
      <w:marBottom w:val="0"/>
      <w:divBdr>
        <w:top w:val="none" w:sz="0" w:space="0" w:color="auto"/>
        <w:left w:val="none" w:sz="0" w:space="0" w:color="auto"/>
        <w:bottom w:val="none" w:sz="0" w:space="0" w:color="auto"/>
        <w:right w:val="none" w:sz="0" w:space="0" w:color="auto"/>
      </w:divBdr>
    </w:div>
    <w:div w:id="555164817">
      <w:bodyDiv w:val="1"/>
      <w:marLeft w:val="0"/>
      <w:marRight w:val="0"/>
      <w:marTop w:val="0"/>
      <w:marBottom w:val="0"/>
      <w:divBdr>
        <w:top w:val="none" w:sz="0" w:space="0" w:color="auto"/>
        <w:left w:val="none" w:sz="0" w:space="0" w:color="auto"/>
        <w:bottom w:val="none" w:sz="0" w:space="0" w:color="auto"/>
        <w:right w:val="none" w:sz="0" w:space="0" w:color="auto"/>
      </w:divBdr>
    </w:div>
    <w:div w:id="788816693">
      <w:bodyDiv w:val="1"/>
      <w:marLeft w:val="0"/>
      <w:marRight w:val="0"/>
      <w:marTop w:val="0"/>
      <w:marBottom w:val="0"/>
      <w:divBdr>
        <w:top w:val="none" w:sz="0" w:space="0" w:color="auto"/>
        <w:left w:val="none" w:sz="0" w:space="0" w:color="auto"/>
        <w:bottom w:val="none" w:sz="0" w:space="0" w:color="auto"/>
        <w:right w:val="none" w:sz="0" w:space="0" w:color="auto"/>
      </w:divBdr>
    </w:div>
    <w:div w:id="910458090">
      <w:bodyDiv w:val="1"/>
      <w:marLeft w:val="0"/>
      <w:marRight w:val="0"/>
      <w:marTop w:val="0"/>
      <w:marBottom w:val="0"/>
      <w:divBdr>
        <w:top w:val="none" w:sz="0" w:space="0" w:color="auto"/>
        <w:left w:val="none" w:sz="0" w:space="0" w:color="auto"/>
        <w:bottom w:val="none" w:sz="0" w:space="0" w:color="auto"/>
        <w:right w:val="none" w:sz="0" w:space="0" w:color="auto"/>
      </w:divBdr>
    </w:div>
    <w:div w:id="1203513390">
      <w:bodyDiv w:val="1"/>
      <w:marLeft w:val="0"/>
      <w:marRight w:val="0"/>
      <w:marTop w:val="0"/>
      <w:marBottom w:val="0"/>
      <w:divBdr>
        <w:top w:val="none" w:sz="0" w:space="0" w:color="auto"/>
        <w:left w:val="none" w:sz="0" w:space="0" w:color="auto"/>
        <w:bottom w:val="none" w:sz="0" w:space="0" w:color="auto"/>
        <w:right w:val="none" w:sz="0" w:space="0" w:color="auto"/>
      </w:divBdr>
    </w:div>
    <w:div w:id="1489902198">
      <w:bodyDiv w:val="1"/>
      <w:marLeft w:val="0"/>
      <w:marRight w:val="0"/>
      <w:marTop w:val="0"/>
      <w:marBottom w:val="0"/>
      <w:divBdr>
        <w:top w:val="none" w:sz="0" w:space="0" w:color="auto"/>
        <w:left w:val="none" w:sz="0" w:space="0" w:color="auto"/>
        <w:bottom w:val="none" w:sz="0" w:space="0" w:color="auto"/>
        <w:right w:val="none" w:sz="0" w:space="0" w:color="auto"/>
      </w:divBdr>
    </w:div>
    <w:div w:id="1563634045">
      <w:bodyDiv w:val="1"/>
      <w:marLeft w:val="0"/>
      <w:marRight w:val="0"/>
      <w:marTop w:val="0"/>
      <w:marBottom w:val="0"/>
      <w:divBdr>
        <w:top w:val="none" w:sz="0" w:space="0" w:color="auto"/>
        <w:left w:val="none" w:sz="0" w:space="0" w:color="auto"/>
        <w:bottom w:val="none" w:sz="0" w:space="0" w:color="auto"/>
        <w:right w:val="none" w:sz="0" w:space="0" w:color="auto"/>
      </w:divBdr>
    </w:div>
    <w:div w:id="16469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data-protection/security-insights/incident-insights-report29-october-2019-30-june-2020/"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ailchi.mp/f8d28c940e6d/ovic-newsletter-feb?e=%5bUNIQID%5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vic.vic.gov.au/monthly-newslett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security@ovic.vic.gov.a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ovic.vic.gov.au/resource/tips-to-reduce-data-breaches-when-sending-emails/" TargetMode="External"/><Relationship Id="rId4" Type="http://schemas.openxmlformats.org/officeDocument/2006/relationships/settings" Target="settings.xml"/><Relationship Id="rId9" Type="http://schemas.openxmlformats.org/officeDocument/2006/relationships/hyperlink" Target="https://ovic.vic.gov.au/data-protection/security-insights/incident-insights-report29-october-2019-30-june-2020/" TargetMode="External"/><Relationship Id="rId14" Type="http://schemas.openxmlformats.org/officeDocument/2006/relationships/hyperlink" Target="https://mailchi.mp/f81a1d6d1dca/ovic-newsletter-january21?e=%5bUNIQID%5d" TargetMode="External"/><Relationship Id="rId22" Type="http://schemas.openxmlformats.org/officeDocument/2006/relationships/hyperlink" Target="https://ovic.vic.gov.au/data-protection/agency-reporting-obligations/incident-notification/"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ic.gov.au/privacy/notifiable-data-breaches/notifiable-data-breaches-statistics/notifiable-data-breaches-report-july-december-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EE7-E428-4E2E-AE4E-9EE3CBAC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2024-04-04T02:16:00Z</dcterms:created>
  <dcterms:modified xsi:type="dcterms:W3CDTF">2024-04-04T02:16:00Z</dcterms:modified>
</cp:coreProperties>
</file>