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389EB" w14:textId="1ACCF4CF" w:rsidR="00771051" w:rsidRPr="002F0938" w:rsidRDefault="00300CFA" w:rsidP="00771051">
      <w:pPr>
        <w:pStyle w:val="DocumentTitle"/>
        <w:spacing w:before="120"/>
        <w:rPr>
          <w:sz w:val="36"/>
          <w:szCs w:val="36"/>
        </w:rPr>
      </w:pPr>
      <w:r>
        <w:rPr>
          <w:sz w:val="36"/>
          <w:szCs w:val="36"/>
        </w:rPr>
        <w:t xml:space="preserve">Incident Insights Report: </w:t>
      </w:r>
      <w:r w:rsidR="00584094">
        <w:rPr>
          <w:sz w:val="36"/>
          <w:szCs w:val="36"/>
        </w:rPr>
        <w:t xml:space="preserve">29 </w:t>
      </w:r>
      <w:r>
        <w:rPr>
          <w:sz w:val="36"/>
          <w:szCs w:val="36"/>
        </w:rPr>
        <w:t>October 2019 -</w:t>
      </w:r>
      <w:r w:rsidR="00BC137E">
        <w:rPr>
          <w:sz w:val="36"/>
          <w:szCs w:val="36"/>
        </w:rPr>
        <w:t xml:space="preserve"> 30 Jun</w:t>
      </w:r>
      <w:r w:rsidR="00354E39">
        <w:rPr>
          <w:sz w:val="36"/>
          <w:szCs w:val="36"/>
        </w:rPr>
        <w:t>e</w:t>
      </w:r>
      <w:r w:rsidR="00BC137E">
        <w:rPr>
          <w:sz w:val="36"/>
          <w:szCs w:val="36"/>
        </w:rPr>
        <w:t xml:space="preserve"> 2020</w:t>
      </w:r>
    </w:p>
    <w:p w14:paraId="27B18618" w14:textId="7A60AE4F" w:rsidR="00771051" w:rsidRPr="001D1FE7" w:rsidRDefault="00771051" w:rsidP="00771051">
      <w:pPr>
        <w:pStyle w:val="SectionHeading1"/>
        <w:rPr>
          <w:sz w:val="24"/>
          <w:szCs w:val="24"/>
        </w:rPr>
      </w:pPr>
      <w:r>
        <w:rPr>
          <w:sz w:val="24"/>
          <w:szCs w:val="24"/>
        </w:rPr>
        <w:t>T</w:t>
      </w:r>
      <w:r w:rsidRPr="001D1FE7">
        <w:rPr>
          <w:sz w:val="24"/>
          <w:szCs w:val="24"/>
        </w:rPr>
        <w:t>he</w:t>
      </w:r>
      <w:r w:rsidR="00300CFA">
        <w:rPr>
          <w:sz w:val="24"/>
          <w:szCs w:val="24"/>
        </w:rPr>
        <w:t xml:space="preserve"> information security</w:t>
      </w:r>
      <w:r w:rsidRPr="001D1FE7">
        <w:rPr>
          <w:sz w:val="24"/>
          <w:szCs w:val="24"/>
        </w:rPr>
        <w:t xml:space="preserve"> incident notification scheme</w:t>
      </w:r>
      <w:r w:rsidR="004B17E4">
        <w:rPr>
          <w:sz w:val="24"/>
          <w:szCs w:val="24"/>
        </w:rPr>
        <w:t xml:space="preserve"> (</w:t>
      </w:r>
      <w:r w:rsidR="004B17E4" w:rsidRPr="00C86B59">
        <w:rPr>
          <w:b/>
          <w:bCs/>
          <w:sz w:val="24"/>
          <w:szCs w:val="24"/>
        </w:rPr>
        <w:t>the scheme</w:t>
      </w:r>
      <w:r w:rsidR="004B17E4">
        <w:rPr>
          <w:sz w:val="24"/>
          <w:szCs w:val="24"/>
        </w:rPr>
        <w:t>)</w:t>
      </w:r>
      <w:r w:rsidRPr="001D1FE7">
        <w:rPr>
          <w:sz w:val="24"/>
          <w:szCs w:val="24"/>
        </w:rPr>
        <w:t xml:space="preserve"> provide</w:t>
      </w:r>
      <w:r w:rsidR="00BC5B11">
        <w:rPr>
          <w:sz w:val="24"/>
          <w:szCs w:val="24"/>
        </w:rPr>
        <w:t>s</w:t>
      </w:r>
      <w:r w:rsidRPr="001D1FE7">
        <w:rPr>
          <w:sz w:val="24"/>
          <w:szCs w:val="24"/>
        </w:rPr>
        <w:t xml:space="preserve"> tangible resources, trends analysis and risk reporting. </w:t>
      </w:r>
    </w:p>
    <w:p w14:paraId="587B8388" w14:textId="77777777" w:rsidR="004A3AA3" w:rsidRDefault="004A3AA3" w:rsidP="00C86B59">
      <w:pPr>
        <w:pStyle w:val="SectionHeading1"/>
      </w:pPr>
    </w:p>
    <w:p w14:paraId="0B6E49CF" w14:textId="3EAB9B8F" w:rsidR="00C86B59" w:rsidRDefault="00C86B59" w:rsidP="00C86B59">
      <w:pPr>
        <w:pStyle w:val="SectionHeading1"/>
      </w:pPr>
      <w:r>
        <w:t>Overview of this report</w:t>
      </w:r>
    </w:p>
    <w:p w14:paraId="21123D87" w14:textId="1DF3BCAB" w:rsidR="00C86B59" w:rsidRDefault="00C86B59" w:rsidP="00C86B59">
      <w:pPr>
        <w:pStyle w:val="Body"/>
      </w:pPr>
      <w:r>
        <w:t>The Incident</w:t>
      </w:r>
      <w:r w:rsidR="00D60874">
        <w:t>s</w:t>
      </w:r>
      <w:r>
        <w:t xml:space="preserve"> Insight Report provides a summary and analysis of the information security incident notifications received by OVIC between </w:t>
      </w:r>
      <w:r w:rsidRPr="00D015C3">
        <w:rPr>
          <w:b/>
          <w:bCs/>
        </w:rPr>
        <w:t xml:space="preserve">29 October 2019 </w:t>
      </w:r>
      <w:r w:rsidRPr="00C86B59">
        <w:t>to</w:t>
      </w:r>
      <w:r w:rsidRPr="00D015C3">
        <w:rPr>
          <w:b/>
          <w:bCs/>
        </w:rPr>
        <w:t xml:space="preserve"> 30 June 2020</w:t>
      </w:r>
      <w:r>
        <w:t>.</w:t>
      </w:r>
    </w:p>
    <w:p w14:paraId="53CF27C7" w14:textId="77777777" w:rsidR="00C86B59" w:rsidRDefault="00C86B59" w:rsidP="00C86B59">
      <w:pPr>
        <w:pStyle w:val="Body"/>
      </w:pPr>
      <w:r>
        <w:t>OVIC is publishing this report to enable Victorian public sector (</w:t>
      </w:r>
      <w:r w:rsidRPr="00C86B59">
        <w:rPr>
          <w:b/>
          <w:bCs/>
        </w:rPr>
        <w:t>VPS</w:t>
      </w:r>
      <w:r>
        <w:t>) organisations to use these insights to inform their own information security risk assessments.</w:t>
      </w:r>
    </w:p>
    <w:p w14:paraId="4D35DEED" w14:textId="77777777" w:rsidR="00C86B59" w:rsidRDefault="00C86B59" w:rsidP="00C86B59">
      <w:pPr>
        <w:pStyle w:val="Body"/>
        <w:spacing w:before="120" w:after="120"/>
      </w:pPr>
      <w:r>
        <w:t>This report covers key areas captured in incident notifications, including:</w:t>
      </w:r>
    </w:p>
    <w:p w14:paraId="26B5F793" w14:textId="77777777" w:rsidR="00C86B59" w:rsidRDefault="00C86B59" w:rsidP="00C86B59">
      <w:pPr>
        <w:pStyle w:val="Body"/>
        <w:numPr>
          <w:ilvl w:val="0"/>
          <w:numId w:val="4"/>
        </w:numPr>
        <w:spacing w:before="120" w:after="120"/>
      </w:pPr>
      <w:r>
        <w:t>information affected and format;</w:t>
      </w:r>
    </w:p>
    <w:p w14:paraId="2DE79533" w14:textId="2A99BEB2" w:rsidR="00C86B59" w:rsidRDefault="004944A5" w:rsidP="00C86B59">
      <w:pPr>
        <w:pStyle w:val="Body"/>
        <w:numPr>
          <w:ilvl w:val="0"/>
          <w:numId w:val="4"/>
        </w:numPr>
        <w:spacing w:before="120" w:after="120"/>
      </w:pPr>
      <w:r>
        <w:t>Business Impact Level (</w:t>
      </w:r>
      <w:r w:rsidR="00C86B59" w:rsidRPr="004944A5">
        <w:rPr>
          <w:b/>
          <w:bCs/>
        </w:rPr>
        <w:t>BIL</w:t>
      </w:r>
      <w:r>
        <w:t>)</w:t>
      </w:r>
      <w:r w:rsidR="00C86B59">
        <w:t xml:space="preserve"> and corresponding BIL categories; and</w:t>
      </w:r>
    </w:p>
    <w:p w14:paraId="2853945B" w14:textId="77777777" w:rsidR="00C86B59" w:rsidRDefault="00C86B59" w:rsidP="00C86B59">
      <w:pPr>
        <w:pStyle w:val="Body"/>
        <w:numPr>
          <w:ilvl w:val="0"/>
          <w:numId w:val="4"/>
        </w:numPr>
        <w:spacing w:before="120" w:after="120"/>
      </w:pPr>
      <w:r>
        <w:t xml:space="preserve">security attributes and areas. </w:t>
      </w:r>
    </w:p>
    <w:p w14:paraId="296F1DD5" w14:textId="77777777" w:rsidR="00C86B59" w:rsidRDefault="00C86B59" w:rsidP="00C86B59">
      <w:pPr>
        <w:pStyle w:val="Body"/>
        <w:spacing w:before="120" w:after="120"/>
      </w:pPr>
      <w:r>
        <w:t>The report also includes the amount of notifications received and the portfolio in which agencies reside, and</w:t>
      </w:r>
      <w:r w:rsidRPr="00300CFA">
        <w:t xml:space="preserve"> </w:t>
      </w:r>
      <w:r>
        <w:t>incidents submitted via OVIC’s voluntary privacy data breach reporting mechanism and the Department of Premier and Cabinet’s Cyber Incident Response Service (</w:t>
      </w:r>
      <w:r w:rsidRPr="00EE1F57">
        <w:rPr>
          <w:b/>
          <w:bCs/>
        </w:rPr>
        <w:t>CIRS</w:t>
      </w:r>
      <w:r>
        <w:t xml:space="preserve">). Victoria Police incident statistics are captured separately and reported at the end of this report. </w:t>
      </w:r>
    </w:p>
    <w:p w14:paraId="26D845C1" w14:textId="77777777" w:rsidR="00C86B59" w:rsidRDefault="00C86B59" w:rsidP="00C86B59">
      <w:pPr>
        <w:pStyle w:val="Body"/>
        <w:spacing w:after="120"/>
      </w:pPr>
      <w:r>
        <w:t>This report provides statistics on the total number of notifications received under the scheme regardless of whether they:</w:t>
      </w:r>
    </w:p>
    <w:p w14:paraId="51F8BAA1" w14:textId="77777777" w:rsidR="00C86B59" w:rsidRDefault="00C86B59" w:rsidP="00C86B59">
      <w:pPr>
        <w:pStyle w:val="Body"/>
        <w:numPr>
          <w:ilvl w:val="0"/>
          <w:numId w:val="2"/>
        </w:numPr>
        <w:spacing w:after="120"/>
      </w:pPr>
      <w:r>
        <w:t xml:space="preserve">meet the BIL 2 or above threshold; or </w:t>
      </w:r>
    </w:p>
    <w:p w14:paraId="4E1C9132" w14:textId="77777777" w:rsidR="00C86B59" w:rsidRDefault="00C86B59" w:rsidP="00C86B59">
      <w:pPr>
        <w:pStyle w:val="Body"/>
        <w:numPr>
          <w:ilvl w:val="0"/>
          <w:numId w:val="2"/>
        </w:numPr>
        <w:spacing w:after="120"/>
      </w:pPr>
      <w:r>
        <w:t xml:space="preserve">relate to in scope agencies under Part 4 of the </w:t>
      </w:r>
      <w:r w:rsidRPr="004B17E4">
        <w:rPr>
          <w:i/>
          <w:iCs/>
        </w:rPr>
        <w:t>Privacy and Data Protection Act 2014</w:t>
      </w:r>
      <w:r>
        <w:rPr>
          <w:i/>
          <w:iCs/>
        </w:rPr>
        <w:t xml:space="preserve"> </w:t>
      </w:r>
      <w:r w:rsidRPr="00C86B59">
        <w:t>(Vic)</w:t>
      </w:r>
      <w:r w:rsidRPr="00DF040A">
        <w:t>.</w:t>
      </w:r>
      <w:r>
        <w:t xml:space="preserve"> </w:t>
      </w:r>
    </w:p>
    <w:p w14:paraId="38F1B113" w14:textId="77777777" w:rsidR="00C86B59" w:rsidRDefault="00C86B59" w:rsidP="00C86B59">
      <w:pPr>
        <w:pStyle w:val="Body"/>
      </w:pPr>
      <w:r>
        <w:t>This report will provide VPS organisations with greater insights into the whole of Victorian Government threat landscape.</w:t>
      </w:r>
    </w:p>
    <w:p w14:paraId="246F772A" w14:textId="3BB8BB2E" w:rsidR="00771051" w:rsidRDefault="00771051" w:rsidP="00C86B59">
      <w:pPr>
        <w:pStyle w:val="SectionHeading1"/>
      </w:pPr>
      <w:r>
        <w:t>What is the scheme about?</w:t>
      </w:r>
    </w:p>
    <w:p w14:paraId="7742C558" w14:textId="77777777" w:rsidR="00584094" w:rsidRDefault="00BC354F" w:rsidP="00771051">
      <w:pPr>
        <w:pStyle w:val="Body"/>
      </w:pPr>
      <w:r>
        <w:t xml:space="preserve">The scheme came into operation with the gazetting of the </w:t>
      </w:r>
      <w:r w:rsidR="00354E39">
        <w:t xml:space="preserve">Victorian Protective Data Security Standards </w:t>
      </w:r>
      <w:r w:rsidR="00354E39" w:rsidRPr="00354E39">
        <w:t>(</w:t>
      </w:r>
      <w:r w:rsidRPr="004B17E4">
        <w:rPr>
          <w:b/>
          <w:bCs/>
        </w:rPr>
        <w:t>VPDSS</w:t>
      </w:r>
      <w:r w:rsidR="00354E39" w:rsidRPr="00354E39">
        <w:t>)</w:t>
      </w:r>
      <w:r>
        <w:t xml:space="preserve"> V2.0 on 29 Oct</w:t>
      </w:r>
      <w:r w:rsidR="00584094">
        <w:t>ober</w:t>
      </w:r>
      <w:r>
        <w:t xml:space="preserve"> 2019. </w:t>
      </w:r>
    </w:p>
    <w:p w14:paraId="633B4E43" w14:textId="279D5789" w:rsidR="00771051" w:rsidRDefault="00584094" w:rsidP="00771051">
      <w:pPr>
        <w:pStyle w:val="Body"/>
      </w:pPr>
      <w:r>
        <w:t xml:space="preserve">The scheme has been developed to centrally coordinate notification of information security incidents within Victorian government. It requires </w:t>
      </w:r>
      <w:r>
        <w:rPr>
          <w:rFonts w:cstheme="minorHAnsi"/>
        </w:rPr>
        <w:t>agencies or bodies to</w:t>
      </w:r>
      <w:r w:rsidRPr="00A84EDE">
        <w:rPr>
          <w:rFonts w:cstheme="minorHAnsi"/>
        </w:rPr>
        <w:t xml:space="preserve"> </w:t>
      </w:r>
      <w:r>
        <w:rPr>
          <w:rFonts w:cstheme="minorHAnsi"/>
        </w:rPr>
        <w:t>notify</w:t>
      </w:r>
      <w:r w:rsidRPr="00A84EDE">
        <w:rPr>
          <w:rFonts w:cstheme="minorHAnsi"/>
        </w:rPr>
        <w:t xml:space="preserve"> OVIC</w:t>
      </w:r>
      <w:r>
        <w:rPr>
          <w:rFonts w:cstheme="minorHAnsi"/>
        </w:rPr>
        <w:t xml:space="preserve"> of incidents that compromise the confidentiality, integrity or availability of public sector information with a ‘limited’ business impact or </w:t>
      </w:r>
      <w:r>
        <w:rPr>
          <w:rFonts w:cstheme="minorHAnsi"/>
        </w:rPr>
        <w:lastRenderedPageBreak/>
        <w:t>higher</w:t>
      </w:r>
      <w:r>
        <w:rPr>
          <w:rStyle w:val="FootnoteReference"/>
          <w:rFonts w:cstheme="minorHAnsi"/>
        </w:rPr>
        <w:footnoteReference w:id="1"/>
      </w:r>
      <w:r>
        <w:rPr>
          <w:rFonts w:cstheme="minorHAnsi"/>
        </w:rPr>
        <w:t xml:space="preserve"> on </w:t>
      </w:r>
      <w:r>
        <w:t>government operations, organisations or individuals.</w:t>
      </w:r>
      <w:r>
        <w:rPr>
          <w:rFonts w:cstheme="minorHAnsi"/>
        </w:rPr>
        <w:t xml:space="preserve"> </w:t>
      </w:r>
      <w:r w:rsidR="00771051">
        <w:t>Element E9.010 within the VPDSS states:</w:t>
      </w:r>
    </w:p>
    <w:p w14:paraId="75364F88" w14:textId="71B712D8" w:rsidR="00771051" w:rsidRPr="00A453E3" w:rsidRDefault="00D458A2" w:rsidP="004A3AA3">
      <w:pPr>
        <w:pStyle w:val="Body"/>
        <w:rPr>
          <w:i/>
          <w:iCs/>
        </w:rPr>
      </w:pPr>
      <w:r>
        <w:rPr>
          <w:rFonts w:cstheme="minorHAnsi"/>
          <w:i/>
          <w:iCs/>
        </w:rPr>
        <w:t>“</w:t>
      </w:r>
      <w:r w:rsidR="00771051" w:rsidRPr="00A453E3">
        <w:rPr>
          <w:rFonts w:cstheme="minorHAnsi"/>
          <w:i/>
          <w:iCs/>
        </w:rPr>
        <w:t>The organisation notifies OVIC of incidents that have an adverse impact on the confidentiality, integrity or availability of public sector information with a business impact level (</w:t>
      </w:r>
      <w:r w:rsidR="00771051" w:rsidRPr="004B17E4">
        <w:rPr>
          <w:rFonts w:cstheme="minorHAnsi"/>
          <w:b/>
          <w:bCs/>
          <w:i/>
          <w:iCs/>
        </w:rPr>
        <w:t>BIL</w:t>
      </w:r>
      <w:r w:rsidR="00771051" w:rsidRPr="00A453E3">
        <w:rPr>
          <w:rFonts w:cstheme="minorHAnsi"/>
          <w:i/>
          <w:iCs/>
        </w:rPr>
        <w:t>) of 2 (limited) or higher</w:t>
      </w:r>
      <w:r w:rsidR="00771051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”</w:t>
      </w:r>
    </w:p>
    <w:p w14:paraId="2F8CD8A9" w14:textId="77777777" w:rsidR="00C109ED" w:rsidRDefault="00771051" w:rsidP="004A3AA3">
      <w:pPr>
        <w:pStyle w:val="Body"/>
      </w:pPr>
      <w:r>
        <w:t xml:space="preserve">Incident notification assists OVIC with developing a comprehensive security risk profile of the Victorian government which can be used for trend analysis and understanding of the threat environment. </w:t>
      </w:r>
    </w:p>
    <w:p w14:paraId="2006AB83" w14:textId="6F67BCDB" w:rsidR="00B66C6F" w:rsidRPr="00D81627" w:rsidRDefault="00B66C6F" w:rsidP="00696AAD">
      <w:pPr>
        <w:pStyle w:val="Body"/>
        <w:spacing w:after="120"/>
      </w:pPr>
      <w:r>
        <w:br w:type="page"/>
      </w:r>
    </w:p>
    <w:p w14:paraId="6202AFEA" w14:textId="15E1B55B" w:rsidR="00BC354F" w:rsidRDefault="00BC354F" w:rsidP="00BC354F">
      <w:pPr>
        <w:pStyle w:val="SectionHeading1"/>
      </w:pPr>
      <w:r>
        <w:lastRenderedPageBreak/>
        <w:t>Notification insights</w:t>
      </w:r>
      <w:r w:rsidR="0055769E">
        <w:t xml:space="preserve"> from October 2019 – June 2020</w:t>
      </w:r>
    </w:p>
    <w:p w14:paraId="148CC321" w14:textId="00CD5AEB" w:rsidR="00BC354F" w:rsidRDefault="00BC354F" w:rsidP="00BC5B11">
      <w:pPr>
        <w:pStyle w:val="Body"/>
      </w:pPr>
    </w:p>
    <w:p w14:paraId="06636CB0" w14:textId="77777777" w:rsidR="005A7CAB" w:rsidRDefault="005A7CAB" w:rsidP="005A7CAB">
      <w:pPr>
        <w:pStyle w:val="Body"/>
        <w:jc w:val="center"/>
      </w:pPr>
      <w:r w:rsidRPr="005A7CAB">
        <w:rPr>
          <w:noProof/>
        </w:rPr>
        <w:drawing>
          <wp:inline distT="0" distB="0" distL="0" distR="0" wp14:anchorId="6AE0B5A1" wp14:editId="05A499EF">
            <wp:extent cx="6015355" cy="4451985"/>
            <wp:effectExtent l="0" t="0" r="4445" b="5715"/>
            <wp:docPr id="163166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6658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760B6" w14:textId="005CE254" w:rsidR="00BC5B11" w:rsidRDefault="00BC5B11" w:rsidP="005A7CAB">
      <w:pPr>
        <w:pStyle w:val="Body"/>
      </w:pPr>
      <w:r>
        <w:t xml:space="preserve">OVIC received </w:t>
      </w:r>
      <w:r w:rsidR="00C109ED">
        <w:t>78 notifications</w:t>
      </w:r>
      <w:r w:rsidR="00584094">
        <w:t xml:space="preserve"> from October 2019 – June 2020. We received </w:t>
      </w:r>
      <w:r w:rsidR="00C109ED">
        <w:t xml:space="preserve">the highest </w:t>
      </w:r>
      <w:r w:rsidR="00173280">
        <w:t xml:space="preserve">number </w:t>
      </w:r>
      <w:r w:rsidR="00584094">
        <w:t xml:space="preserve">of notifications </w:t>
      </w:r>
      <w:r w:rsidR="00C109ED">
        <w:t>in June</w:t>
      </w:r>
      <w:r w:rsidR="00B7282D">
        <w:t xml:space="preserve"> 2020</w:t>
      </w:r>
      <w:r w:rsidR="00C109ED">
        <w:t>.</w:t>
      </w:r>
    </w:p>
    <w:p w14:paraId="1E547663" w14:textId="25D3BA59" w:rsidR="00C109ED" w:rsidRPr="00C109ED" w:rsidRDefault="00C109ED" w:rsidP="00BC5B11">
      <w:pPr>
        <w:pStyle w:val="Body"/>
        <w:rPr>
          <w:i/>
          <w:iCs/>
        </w:rPr>
      </w:pPr>
      <w:r>
        <w:t xml:space="preserve">Takeout: </w:t>
      </w:r>
      <w:r w:rsidRPr="00C109ED">
        <w:rPr>
          <w:i/>
          <w:iCs/>
        </w:rPr>
        <w:t xml:space="preserve">This steady incline </w:t>
      </w:r>
      <w:r w:rsidR="0055769E">
        <w:rPr>
          <w:i/>
          <w:iCs/>
        </w:rPr>
        <w:t xml:space="preserve">appears to correlate with </w:t>
      </w:r>
      <w:r w:rsidR="00EA6BBB">
        <w:rPr>
          <w:i/>
          <w:iCs/>
        </w:rPr>
        <w:t>increased</w:t>
      </w:r>
      <w:r w:rsidR="00173280">
        <w:rPr>
          <w:i/>
          <w:iCs/>
        </w:rPr>
        <w:t xml:space="preserve"> </w:t>
      </w:r>
      <w:r w:rsidR="00EA6BBB">
        <w:rPr>
          <w:i/>
          <w:iCs/>
        </w:rPr>
        <w:t>awareness</w:t>
      </w:r>
      <w:r w:rsidRPr="00C109ED">
        <w:rPr>
          <w:i/>
          <w:iCs/>
        </w:rPr>
        <w:t xml:space="preserve"> of the scheme</w:t>
      </w:r>
      <w:r w:rsidR="00173280">
        <w:rPr>
          <w:i/>
          <w:iCs/>
        </w:rPr>
        <w:t xml:space="preserve">, rather than </w:t>
      </w:r>
      <w:r w:rsidR="00EA6BBB">
        <w:rPr>
          <w:i/>
          <w:iCs/>
        </w:rPr>
        <w:t>a</w:t>
      </w:r>
      <w:r w:rsidR="00173280">
        <w:rPr>
          <w:i/>
          <w:iCs/>
        </w:rPr>
        <w:t xml:space="preserve"> </w:t>
      </w:r>
      <w:r w:rsidR="00EA6BBB">
        <w:rPr>
          <w:i/>
          <w:iCs/>
        </w:rPr>
        <w:t>rise</w:t>
      </w:r>
      <w:r w:rsidR="00173280">
        <w:rPr>
          <w:i/>
          <w:iCs/>
        </w:rPr>
        <w:t xml:space="preserve"> of actual incidents. We believe this trend will continue as awareness </w:t>
      </w:r>
      <w:r w:rsidR="007D5DB5">
        <w:rPr>
          <w:i/>
          <w:iCs/>
        </w:rPr>
        <w:t xml:space="preserve">of the scheme increases </w:t>
      </w:r>
      <w:r w:rsidR="0055769E">
        <w:rPr>
          <w:i/>
          <w:iCs/>
        </w:rPr>
        <w:t>across the VPS</w:t>
      </w:r>
      <w:r w:rsidR="00173280">
        <w:rPr>
          <w:i/>
          <w:iCs/>
        </w:rPr>
        <w:t>.</w:t>
      </w:r>
      <w:r w:rsidRPr="00C109ED">
        <w:rPr>
          <w:i/>
          <w:iCs/>
        </w:rPr>
        <w:t xml:space="preserve"> </w:t>
      </w:r>
      <w:r w:rsidR="00EA6BBB">
        <w:rPr>
          <w:i/>
          <w:iCs/>
        </w:rPr>
        <w:t xml:space="preserve">This was </w:t>
      </w:r>
      <w:r w:rsidR="00A30219">
        <w:rPr>
          <w:i/>
          <w:iCs/>
        </w:rPr>
        <w:t>evidenced</w:t>
      </w:r>
      <w:r w:rsidR="00EA6BBB">
        <w:rPr>
          <w:i/>
          <w:iCs/>
        </w:rPr>
        <w:t xml:space="preserve"> with the increase in</w:t>
      </w:r>
      <w:r w:rsidR="007D5DB5">
        <w:rPr>
          <w:i/>
          <w:iCs/>
        </w:rPr>
        <w:t xml:space="preserve"> notifications</w:t>
      </w:r>
      <w:r w:rsidR="00006C16">
        <w:rPr>
          <w:i/>
          <w:iCs/>
        </w:rPr>
        <w:t xml:space="preserve"> received</w:t>
      </w:r>
      <w:r w:rsidR="007D5DB5">
        <w:rPr>
          <w:i/>
          <w:iCs/>
        </w:rPr>
        <w:t xml:space="preserve"> in</w:t>
      </w:r>
      <w:r w:rsidR="00EA6BBB">
        <w:rPr>
          <w:i/>
          <w:iCs/>
        </w:rPr>
        <w:t xml:space="preserve"> </w:t>
      </w:r>
      <w:r w:rsidRPr="00C109ED">
        <w:rPr>
          <w:i/>
          <w:iCs/>
        </w:rPr>
        <w:t>March 2020</w:t>
      </w:r>
      <w:r w:rsidR="0055769E">
        <w:rPr>
          <w:i/>
          <w:iCs/>
        </w:rPr>
        <w:t>,</w:t>
      </w:r>
      <w:r w:rsidR="00D86981">
        <w:rPr>
          <w:i/>
          <w:iCs/>
        </w:rPr>
        <w:t xml:space="preserve"> </w:t>
      </w:r>
      <w:r w:rsidR="00EA6BBB">
        <w:rPr>
          <w:i/>
          <w:iCs/>
        </w:rPr>
        <w:t xml:space="preserve">following </w:t>
      </w:r>
      <w:r w:rsidRPr="00C109ED">
        <w:rPr>
          <w:i/>
          <w:iCs/>
        </w:rPr>
        <w:t xml:space="preserve">OVIC’s </w:t>
      </w:r>
      <w:r w:rsidR="0055769E" w:rsidRPr="00C109ED">
        <w:rPr>
          <w:i/>
          <w:iCs/>
        </w:rPr>
        <w:t>February 2020</w:t>
      </w:r>
      <w:r w:rsidR="00D86981">
        <w:rPr>
          <w:i/>
          <w:iCs/>
        </w:rPr>
        <w:t xml:space="preserve"> </w:t>
      </w:r>
      <w:r w:rsidRPr="00C109ED">
        <w:rPr>
          <w:i/>
          <w:iCs/>
        </w:rPr>
        <w:t>V</w:t>
      </w:r>
      <w:r w:rsidR="007D5DB5">
        <w:rPr>
          <w:i/>
          <w:iCs/>
        </w:rPr>
        <w:t>ictorian Information Security</w:t>
      </w:r>
      <w:r w:rsidR="004944A5">
        <w:rPr>
          <w:i/>
          <w:iCs/>
        </w:rPr>
        <w:t xml:space="preserve"> Network</w:t>
      </w:r>
      <w:r w:rsidR="007D5DB5">
        <w:rPr>
          <w:i/>
          <w:iCs/>
        </w:rPr>
        <w:t xml:space="preserve"> (</w:t>
      </w:r>
      <w:r w:rsidR="007D5DB5" w:rsidRPr="004944A5">
        <w:rPr>
          <w:b/>
          <w:bCs/>
          <w:i/>
          <w:iCs/>
        </w:rPr>
        <w:t>V</w:t>
      </w:r>
      <w:r w:rsidRPr="004944A5">
        <w:rPr>
          <w:b/>
          <w:bCs/>
          <w:i/>
          <w:iCs/>
        </w:rPr>
        <w:t>ISN</w:t>
      </w:r>
      <w:r w:rsidR="007D5DB5">
        <w:rPr>
          <w:i/>
          <w:iCs/>
        </w:rPr>
        <w:t>)</w:t>
      </w:r>
      <w:r w:rsidRPr="00C109ED">
        <w:rPr>
          <w:i/>
          <w:iCs/>
        </w:rPr>
        <w:t xml:space="preserve"> event </w:t>
      </w:r>
      <w:r w:rsidR="0055769E">
        <w:rPr>
          <w:i/>
          <w:iCs/>
        </w:rPr>
        <w:t>promoting</w:t>
      </w:r>
      <w:r w:rsidR="0055769E" w:rsidRPr="00C109ED">
        <w:rPr>
          <w:i/>
          <w:iCs/>
        </w:rPr>
        <w:t xml:space="preserve"> </w:t>
      </w:r>
      <w:r w:rsidRPr="00C109ED">
        <w:rPr>
          <w:i/>
          <w:iCs/>
        </w:rPr>
        <w:t>the scheme</w:t>
      </w:r>
      <w:r>
        <w:rPr>
          <w:i/>
          <w:iCs/>
        </w:rPr>
        <w:t xml:space="preserve">. </w:t>
      </w:r>
      <w:r w:rsidR="00D8350E">
        <w:rPr>
          <w:i/>
          <w:iCs/>
        </w:rPr>
        <w:t>T</w:t>
      </w:r>
      <w:r w:rsidR="0055769E">
        <w:rPr>
          <w:i/>
          <w:iCs/>
        </w:rPr>
        <w:t>he</w:t>
      </w:r>
      <w:r w:rsidR="0055769E" w:rsidRPr="00C109ED">
        <w:rPr>
          <w:i/>
          <w:iCs/>
        </w:rPr>
        <w:t xml:space="preserve"> </w:t>
      </w:r>
      <w:r w:rsidRPr="00C109ED">
        <w:rPr>
          <w:i/>
          <w:iCs/>
        </w:rPr>
        <w:t>decline in notifications in April</w:t>
      </w:r>
      <w:r w:rsidR="00EA6BBB">
        <w:rPr>
          <w:i/>
          <w:iCs/>
        </w:rPr>
        <w:t xml:space="preserve"> </w:t>
      </w:r>
      <w:r w:rsidR="007D5DB5">
        <w:rPr>
          <w:i/>
          <w:iCs/>
        </w:rPr>
        <w:t xml:space="preserve">2020 </w:t>
      </w:r>
      <w:r w:rsidR="00D8350E">
        <w:rPr>
          <w:i/>
          <w:iCs/>
        </w:rPr>
        <w:t>could be</w:t>
      </w:r>
      <w:r w:rsidR="00D8350E" w:rsidRPr="00C109ED">
        <w:rPr>
          <w:i/>
          <w:iCs/>
        </w:rPr>
        <w:t xml:space="preserve"> </w:t>
      </w:r>
      <w:r w:rsidRPr="00C109ED">
        <w:rPr>
          <w:i/>
          <w:iCs/>
        </w:rPr>
        <w:t xml:space="preserve">a </w:t>
      </w:r>
      <w:r w:rsidR="00EA6BBB">
        <w:rPr>
          <w:i/>
          <w:iCs/>
        </w:rPr>
        <w:t xml:space="preserve">result of </w:t>
      </w:r>
      <w:r w:rsidRPr="00C109ED">
        <w:rPr>
          <w:i/>
          <w:iCs/>
        </w:rPr>
        <w:t xml:space="preserve">the </w:t>
      </w:r>
      <w:r w:rsidR="0055769E">
        <w:rPr>
          <w:i/>
          <w:iCs/>
        </w:rPr>
        <w:t xml:space="preserve">mobilisation of </w:t>
      </w:r>
      <w:r w:rsidRPr="00C109ED">
        <w:rPr>
          <w:i/>
          <w:iCs/>
        </w:rPr>
        <w:t>VPS</w:t>
      </w:r>
      <w:r w:rsidR="0055769E">
        <w:rPr>
          <w:i/>
          <w:iCs/>
        </w:rPr>
        <w:t xml:space="preserve"> workforce</w:t>
      </w:r>
      <w:r w:rsidRPr="00C109ED">
        <w:rPr>
          <w:i/>
          <w:iCs/>
        </w:rPr>
        <w:t xml:space="preserve"> </w:t>
      </w:r>
      <w:r w:rsidR="0055769E">
        <w:rPr>
          <w:i/>
          <w:iCs/>
        </w:rPr>
        <w:t>and remo</w:t>
      </w:r>
      <w:r w:rsidR="007D5DB5">
        <w:rPr>
          <w:i/>
          <w:iCs/>
        </w:rPr>
        <w:t>t</w:t>
      </w:r>
      <w:r w:rsidR="0055769E">
        <w:rPr>
          <w:i/>
          <w:iCs/>
        </w:rPr>
        <w:t>e working arrangements</w:t>
      </w:r>
      <w:r w:rsidRPr="00C109ED">
        <w:rPr>
          <w:i/>
          <w:iCs/>
        </w:rPr>
        <w:t xml:space="preserve"> due to COVID-19</w:t>
      </w:r>
      <w:r w:rsidR="00EA6BBB">
        <w:rPr>
          <w:i/>
          <w:iCs/>
        </w:rPr>
        <w:t xml:space="preserve">. </w:t>
      </w:r>
      <w:r w:rsidR="0055769E">
        <w:rPr>
          <w:i/>
          <w:iCs/>
        </w:rPr>
        <w:t xml:space="preserve">OVIC </w:t>
      </w:r>
      <w:r w:rsidR="00EA6BBB">
        <w:rPr>
          <w:i/>
          <w:iCs/>
        </w:rPr>
        <w:t xml:space="preserve">has </w:t>
      </w:r>
      <w:r w:rsidR="0055769E">
        <w:rPr>
          <w:i/>
          <w:iCs/>
        </w:rPr>
        <w:t xml:space="preserve">seen </w:t>
      </w:r>
      <w:r w:rsidR="00CA175E">
        <w:rPr>
          <w:i/>
          <w:iCs/>
        </w:rPr>
        <w:t>a steady incline in notifications since</w:t>
      </w:r>
      <w:r w:rsidR="0055769E">
        <w:rPr>
          <w:i/>
          <w:iCs/>
        </w:rPr>
        <w:t xml:space="preserve"> April 2020</w:t>
      </w:r>
      <w:r w:rsidR="001B3399">
        <w:rPr>
          <w:i/>
          <w:iCs/>
        </w:rPr>
        <w:t>.</w:t>
      </w:r>
    </w:p>
    <w:p w14:paraId="64A57C56" w14:textId="2F4D49F2" w:rsidR="00CA175E" w:rsidRDefault="00CA175E">
      <w:pPr>
        <w:rPr>
          <w:noProof/>
        </w:rPr>
      </w:pPr>
    </w:p>
    <w:p w14:paraId="6F525445" w14:textId="7E9C5C3B" w:rsidR="005A7CAB" w:rsidRDefault="005A7CAB" w:rsidP="004A3AA3">
      <w:pPr>
        <w:jc w:val="center"/>
      </w:pPr>
      <w:r w:rsidRPr="005A7CAB">
        <w:rPr>
          <w:noProof/>
        </w:rPr>
        <w:lastRenderedPageBreak/>
        <w:drawing>
          <wp:inline distT="0" distB="0" distL="0" distR="0" wp14:anchorId="4F8B5013" wp14:editId="76B5133A">
            <wp:extent cx="6015355" cy="4596765"/>
            <wp:effectExtent l="0" t="0" r="4445" b="0"/>
            <wp:docPr id="901632818" name="Picture 1" descr="A colorful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632818" name="Picture 1" descr="A colorful circle with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9C9B6" w14:textId="46A0B3DC" w:rsidR="00CA175E" w:rsidRDefault="00CA175E" w:rsidP="00CA175E">
      <w:pPr>
        <w:pStyle w:val="Body"/>
      </w:pPr>
      <w:r>
        <w:t>Of the 78 notifications received</w:t>
      </w:r>
      <w:r w:rsidR="0055769E">
        <w:t xml:space="preserve"> by OVIC</w:t>
      </w:r>
      <w:r>
        <w:t xml:space="preserve">, the majority came from </w:t>
      </w:r>
      <w:r w:rsidR="0055769E">
        <w:t xml:space="preserve">two portfolios: </w:t>
      </w:r>
      <w:r>
        <w:t>Justice and Health and Human Services.</w:t>
      </w:r>
    </w:p>
    <w:p w14:paraId="370B5FC6" w14:textId="5863D8C8" w:rsidR="00CA175E" w:rsidRDefault="00CA175E" w:rsidP="00CA175E">
      <w:pPr>
        <w:pStyle w:val="Body"/>
        <w:rPr>
          <w:i/>
          <w:iCs/>
        </w:rPr>
      </w:pPr>
      <w:r>
        <w:t xml:space="preserve">Takeout: </w:t>
      </w:r>
      <w:r w:rsidR="0055769E">
        <w:rPr>
          <w:i/>
          <w:iCs/>
        </w:rPr>
        <w:t>While these two portfolios had the greatest number of notifications, the statistic</w:t>
      </w:r>
      <w:r w:rsidR="0055769E" w:rsidRPr="00CA175E">
        <w:rPr>
          <w:i/>
          <w:iCs/>
        </w:rPr>
        <w:t xml:space="preserve"> </w:t>
      </w:r>
      <w:r w:rsidRPr="00CA175E">
        <w:rPr>
          <w:i/>
          <w:iCs/>
        </w:rPr>
        <w:t xml:space="preserve">doesn’t necessarily </w:t>
      </w:r>
      <w:r w:rsidR="00AE68E6">
        <w:rPr>
          <w:i/>
          <w:iCs/>
        </w:rPr>
        <w:t xml:space="preserve">mean </w:t>
      </w:r>
      <w:r w:rsidRPr="00CA175E">
        <w:rPr>
          <w:i/>
          <w:iCs/>
        </w:rPr>
        <w:t>that these portfolios have the most incidents</w:t>
      </w:r>
      <w:r w:rsidR="0055769E">
        <w:rPr>
          <w:i/>
          <w:iCs/>
        </w:rPr>
        <w:t>. Instead, the number of notifications</w:t>
      </w:r>
      <w:r w:rsidRPr="00CA175E">
        <w:rPr>
          <w:i/>
          <w:iCs/>
        </w:rPr>
        <w:t xml:space="preserve"> may indicate that </w:t>
      </w:r>
      <w:r w:rsidR="0055769E">
        <w:rPr>
          <w:i/>
          <w:iCs/>
        </w:rPr>
        <w:t xml:space="preserve">these portfolios </w:t>
      </w:r>
      <w:r w:rsidRPr="00CA175E">
        <w:rPr>
          <w:i/>
          <w:iCs/>
        </w:rPr>
        <w:t xml:space="preserve">have greater </w:t>
      </w:r>
      <w:r w:rsidR="000F45EB">
        <w:rPr>
          <w:i/>
          <w:iCs/>
        </w:rPr>
        <w:t>awareness of the scheme</w:t>
      </w:r>
      <w:r w:rsidR="0055769E">
        <w:rPr>
          <w:i/>
          <w:iCs/>
        </w:rPr>
        <w:t>,</w:t>
      </w:r>
      <w:r w:rsidR="000F45EB">
        <w:rPr>
          <w:i/>
          <w:iCs/>
        </w:rPr>
        <w:t xml:space="preserve"> </w:t>
      </w:r>
      <w:r w:rsidRPr="00CA175E">
        <w:rPr>
          <w:i/>
          <w:iCs/>
        </w:rPr>
        <w:t xml:space="preserve">resources </w:t>
      </w:r>
      <w:r w:rsidR="00006C16">
        <w:rPr>
          <w:i/>
          <w:iCs/>
        </w:rPr>
        <w:t>to</w:t>
      </w:r>
      <w:r w:rsidR="0055769E">
        <w:rPr>
          <w:i/>
          <w:iCs/>
        </w:rPr>
        <w:t xml:space="preserve"> </w:t>
      </w:r>
      <w:r w:rsidRPr="00CA175E">
        <w:rPr>
          <w:i/>
          <w:iCs/>
        </w:rPr>
        <w:t>identify and analyse incidents</w:t>
      </w:r>
      <w:r w:rsidR="0055769E">
        <w:rPr>
          <w:i/>
          <w:iCs/>
        </w:rPr>
        <w:t>,</w:t>
      </w:r>
      <w:r w:rsidRPr="00CA175E">
        <w:rPr>
          <w:i/>
          <w:iCs/>
        </w:rPr>
        <w:t xml:space="preserve"> </w:t>
      </w:r>
      <w:r w:rsidR="000F45EB">
        <w:rPr>
          <w:i/>
          <w:iCs/>
        </w:rPr>
        <w:t>and</w:t>
      </w:r>
      <w:r w:rsidRPr="00CA175E">
        <w:rPr>
          <w:i/>
          <w:iCs/>
        </w:rPr>
        <w:t xml:space="preserve"> a </w:t>
      </w:r>
      <w:r w:rsidR="0055769E">
        <w:rPr>
          <w:i/>
          <w:iCs/>
        </w:rPr>
        <w:t>willing</w:t>
      </w:r>
      <w:r w:rsidR="00006C16">
        <w:rPr>
          <w:i/>
          <w:iCs/>
        </w:rPr>
        <w:t>ness</w:t>
      </w:r>
      <w:r w:rsidR="0055769E" w:rsidRPr="00CA175E">
        <w:rPr>
          <w:i/>
          <w:iCs/>
        </w:rPr>
        <w:t xml:space="preserve"> </w:t>
      </w:r>
      <w:r w:rsidRPr="00CA175E">
        <w:rPr>
          <w:i/>
          <w:iCs/>
        </w:rPr>
        <w:t xml:space="preserve">to report to </w:t>
      </w:r>
      <w:r w:rsidR="00D8350E">
        <w:rPr>
          <w:i/>
          <w:iCs/>
        </w:rPr>
        <w:t>OVIC</w:t>
      </w:r>
      <w:r w:rsidRPr="00CA175E">
        <w:rPr>
          <w:i/>
          <w:iCs/>
        </w:rPr>
        <w:t>.</w:t>
      </w:r>
    </w:p>
    <w:p w14:paraId="32EFC0B4" w14:textId="77777777" w:rsidR="004A3AA3" w:rsidRDefault="004A3AA3" w:rsidP="00CA175E">
      <w:pPr>
        <w:pStyle w:val="Body"/>
        <w:rPr>
          <w:i/>
          <w:iCs/>
        </w:rPr>
      </w:pPr>
    </w:p>
    <w:p w14:paraId="1F2B03A3" w14:textId="77777777" w:rsidR="004A3AA3" w:rsidRDefault="004A3AA3">
      <w:pPr>
        <w:rPr>
          <w:rFonts w:ascii="Calibri" w:eastAsia="Calibri" w:hAnsi="Calibri" w:cs="PostGrotesk-Book"/>
          <w:color w:val="55565A"/>
          <w:lang w:val="en-GB"/>
        </w:rPr>
      </w:pPr>
      <w:r>
        <w:br w:type="page"/>
      </w:r>
    </w:p>
    <w:p w14:paraId="51ED24BA" w14:textId="32C087EB" w:rsidR="00CB19CB" w:rsidRDefault="005A7CAB" w:rsidP="004A3AA3">
      <w:pPr>
        <w:pStyle w:val="Body"/>
        <w:jc w:val="center"/>
      </w:pPr>
      <w:r w:rsidRPr="005A7CAB">
        <w:rPr>
          <w:noProof/>
        </w:rPr>
        <w:lastRenderedPageBreak/>
        <w:drawing>
          <wp:inline distT="0" distB="0" distL="0" distR="0" wp14:anchorId="06AD032B" wp14:editId="6E430E1D">
            <wp:extent cx="6015355" cy="2401570"/>
            <wp:effectExtent l="0" t="0" r="4445" b="0"/>
            <wp:docPr id="591733292" name="Picture 1" descr="A blue rect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733292" name="Picture 1" descr="A blue rectangle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E045E" w14:textId="73469130" w:rsidR="000F45EB" w:rsidRPr="00FE63F4" w:rsidRDefault="000F45EB" w:rsidP="00CA175E">
      <w:pPr>
        <w:pStyle w:val="Body"/>
      </w:pPr>
      <w:r w:rsidRPr="00FE63F4">
        <w:t xml:space="preserve">Unsurprisingly, </w:t>
      </w:r>
      <w:r w:rsidR="0055769E">
        <w:t>given</w:t>
      </w:r>
      <w:r w:rsidR="0055769E" w:rsidRPr="00FE63F4">
        <w:t xml:space="preserve"> </w:t>
      </w:r>
      <w:r w:rsidRPr="00FE63F4">
        <w:t xml:space="preserve">the large </w:t>
      </w:r>
      <w:r w:rsidR="00B12B2F">
        <w:t xml:space="preserve">number of </w:t>
      </w:r>
      <w:r w:rsidRPr="00FE63F4">
        <w:t>digitisation projects currently underway across the State</w:t>
      </w:r>
      <w:r w:rsidR="0055769E">
        <w:t xml:space="preserve">, </w:t>
      </w:r>
      <w:r w:rsidR="00AE68E6">
        <w:t xml:space="preserve">less </w:t>
      </w:r>
      <w:r w:rsidRPr="00FE63F4">
        <w:t>information</w:t>
      </w:r>
      <w:r w:rsidR="0055769E">
        <w:t xml:space="preserve"> is</w:t>
      </w:r>
      <w:r w:rsidRPr="00FE63F4">
        <w:t xml:space="preserve"> being generated</w:t>
      </w:r>
      <w:r w:rsidR="00AE68E6">
        <w:t xml:space="preserve"> in paper form</w:t>
      </w:r>
      <w:r w:rsidR="0055769E">
        <w:t>. As such</w:t>
      </w:r>
      <w:r w:rsidRPr="00FE63F4">
        <w:t xml:space="preserve">, </w:t>
      </w:r>
      <w:r w:rsidR="00D8350E" w:rsidRPr="00FE63F4">
        <w:t>most of</w:t>
      </w:r>
      <w:r w:rsidRPr="00FE63F4">
        <w:t xml:space="preserve"> the incidents reported related to</w:t>
      </w:r>
      <w:r w:rsidR="0055769E">
        <w:t xml:space="preserve"> compromises of</w:t>
      </w:r>
      <w:r w:rsidRPr="00FE63F4">
        <w:t xml:space="preserve"> electronic</w:t>
      </w:r>
      <w:r w:rsidR="0055769E">
        <w:t xml:space="preserve"> (soft copy)</w:t>
      </w:r>
      <w:r w:rsidRPr="00FE63F4">
        <w:t xml:space="preserve"> information. </w:t>
      </w:r>
    </w:p>
    <w:p w14:paraId="158B7306" w14:textId="4A17CD66" w:rsidR="000F45EB" w:rsidRPr="00D86981" w:rsidRDefault="000F45EB" w:rsidP="00CA175E">
      <w:pPr>
        <w:pStyle w:val="Body"/>
        <w:rPr>
          <w:i/>
          <w:iCs/>
        </w:rPr>
      </w:pPr>
      <w:r w:rsidRPr="00FE63F4">
        <w:t>Takeout:</w:t>
      </w:r>
      <w:r w:rsidRPr="00D86981">
        <w:rPr>
          <w:i/>
          <w:iCs/>
        </w:rPr>
        <w:t xml:space="preserve"> </w:t>
      </w:r>
      <w:r w:rsidR="00D86981" w:rsidRPr="00D86981">
        <w:rPr>
          <w:i/>
          <w:iCs/>
        </w:rPr>
        <w:t>Whilst there is a shift across the VPS to ‘digital first’ and an emphasis on soft copy information, organisations should remain mindful of potential compromises to hard copy information or unauthorised verbal disclosures</w:t>
      </w:r>
      <w:r w:rsidR="00FE63F4" w:rsidRPr="00D86981">
        <w:rPr>
          <w:i/>
          <w:iCs/>
        </w:rPr>
        <w:t>.</w:t>
      </w:r>
      <w:r w:rsidRPr="00D86981">
        <w:rPr>
          <w:i/>
          <w:iCs/>
        </w:rPr>
        <w:t xml:space="preserve"> </w:t>
      </w:r>
    </w:p>
    <w:p w14:paraId="2E09CEE8" w14:textId="6FD71F58" w:rsidR="00B93984" w:rsidRDefault="00B93984">
      <w:pPr>
        <w:sectPr w:rsidR="00B93984" w:rsidSect="0063309A">
          <w:headerReference w:type="default" r:id="rId11"/>
          <w:footerReference w:type="default" r:id="rId12"/>
          <w:headerReference w:type="first" r:id="rId13"/>
          <w:footerReference w:type="first" r:id="rId14"/>
          <w:pgSz w:w="11905" w:h="16838" w:orient="landscape" w:code="8"/>
          <w:pgMar w:top="1440" w:right="992" w:bottom="1021" w:left="1440" w:header="709" w:footer="709" w:gutter="0"/>
          <w:cols w:space="708"/>
          <w:titlePg/>
          <w:docGrid w:linePitch="360"/>
        </w:sectPr>
      </w:pPr>
    </w:p>
    <w:p w14:paraId="0DFB5E67" w14:textId="77777777" w:rsidR="005A7CAB" w:rsidRDefault="005A7CAB" w:rsidP="004A3AA3">
      <w:pPr>
        <w:pStyle w:val="Body"/>
        <w:jc w:val="center"/>
      </w:pPr>
      <w:r w:rsidRPr="005A7CAB">
        <w:rPr>
          <w:noProof/>
        </w:rPr>
        <w:lastRenderedPageBreak/>
        <w:drawing>
          <wp:inline distT="0" distB="0" distL="0" distR="0" wp14:anchorId="0E5B734D" wp14:editId="6563002D">
            <wp:extent cx="4696480" cy="4753638"/>
            <wp:effectExtent l="0" t="0" r="8890" b="8890"/>
            <wp:docPr id="1988763109" name="Picture 1" descr="A colorful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763109" name="Picture 1" descr="A colorful circle with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47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CBB9" w14:textId="220AA8D3" w:rsidR="00EA6BBB" w:rsidRDefault="00EA6BBB" w:rsidP="00B66C6F">
      <w:pPr>
        <w:pStyle w:val="Body"/>
      </w:pPr>
      <w:r>
        <w:t xml:space="preserve">Most notifications </w:t>
      </w:r>
      <w:r w:rsidR="00DD167B">
        <w:t xml:space="preserve">received by OVIC </w:t>
      </w:r>
      <w:r>
        <w:t xml:space="preserve">related to </w:t>
      </w:r>
      <w:r w:rsidR="00DD167B">
        <w:t xml:space="preserve">compromises of </w:t>
      </w:r>
      <w:r>
        <w:t xml:space="preserve">personal information. </w:t>
      </w:r>
      <w:r w:rsidR="00DD167B">
        <w:t xml:space="preserve">At this stage of the scheme, this </w:t>
      </w:r>
      <w:r>
        <w:t>is unsurprising</w:t>
      </w:r>
      <w:r w:rsidR="00DD167B">
        <w:t>,</w:t>
      </w:r>
      <w:r>
        <w:t xml:space="preserve"> </w:t>
      </w:r>
      <w:r w:rsidR="00920E81">
        <w:t>as this reflects the historic nature of reporting privacy breaches</w:t>
      </w:r>
      <w:r w:rsidR="00653DDE">
        <w:t xml:space="preserve"> to </w:t>
      </w:r>
      <w:r w:rsidR="00D8350E">
        <w:t>OVIC</w:t>
      </w:r>
      <w:r w:rsidR="00AE68E6">
        <w:t>,</w:t>
      </w:r>
      <w:r w:rsidR="001B3399">
        <w:t xml:space="preserve"> and familiarity with other privacy related notifiable data breach schemes</w:t>
      </w:r>
      <w:r w:rsidR="001B3399">
        <w:rPr>
          <w:rStyle w:val="FootnoteReference"/>
        </w:rPr>
        <w:footnoteReference w:id="2"/>
      </w:r>
      <w:r w:rsidR="00920E81">
        <w:t>.</w:t>
      </w:r>
    </w:p>
    <w:p w14:paraId="019CA1A9" w14:textId="7F614E49" w:rsidR="00CB19CB" w:rsidRDefault="000D3955" w:rsidP="00B66C6F">
      <w:pPr>
        <w:pStyle w:val="Body"/>
        <w:rPr>
          <w:i/>
          <w:iCs/>
        </w:rPr>
      </w:pPr>
      <w:r>
        <w:t xml:space="preserve">Takeout: </w:t>
      </w:r>
      <w:r w:rsidR="00D81627" w:rsidRPr="00354E39">
        <w:rPr>
          <w:i/>
          <w:iCs/>
        </w:rPr>
        <w:t xml:space="preserve">OVIC </w:t>
      </w:r>
      <w:r w:rsidR="00920E81">
        <w:rPr>
          <w:i/>
          <w:iCs/>
        </w:rPr>
        <w:t xml:space="preserve">will continue to educate and advocate for </w:t>
      </w:r>
      <w:r w:rsidR="00D81627" w:rsidRPr="00354E39">
        <w:rPr>
          <w:i/>
          <w:iCs/>
        </w:rPr>
        <w:t xml:space="preserve">the VPS </w:t>
      </w:r>
      <w:r w:rsidR="00920E81">
        <w:rPr>
          <w:i/>
          <w:iCs/>
        </w:rPr>
        <w:t xml:space="preserve">to notify OVIC of incidents that impact all types of information (e.g. financial, legal, </w:t>
      </w:r>
      <w:r w:rsidR="00653DDE">
        <w:rPr>
          <w:i/>
          <w:iCs/>
        </w:rPr>
        <w:t>policy</w:t>
      </w:r>
      <w:r w:rsidR="00920E81">
        <w:rPr>
          <w:i/>
          <w:iCs/>
        </w:rPr>
        <w:t>, projects etc).</w:t>
      </w:r>
    </w:p>
    <w:p w14:paraId="2121A60D" w14:textId="77777777" w:rsidR="00CB19CB" w:rsidRDefault="00CB19CB" w:rsidP="00B66C6F">
      <w:pPr>
        <w:pStyle w:val="Body"/>
        <w:rPr>
          <w:i/>
          <w:iCs/>
        </w:rPr>
      </w:pPr>
    </w:p>
    <w:p w14:paraId="02F9A4BE" w14:textId="77777777" w:rsidR="005A7CAB" w:rsidRDefault="005A7CAB" w:rsidP="004A3AA3">
      <w:pPr>
        <w:pStyle w:val="Body"/>
        <w:jc w:val="center"/>
      </w:pPr>
      <w:r w:rsidRPr="005A7CAB">
        <w:rPr>
          <w:noProof/>
        </w:rPr>
        <w:lastRenderedPageBreak/>
        <w:drawing>
          <wp:inline distT="0" distB="0" distL="0" distR="0" wp14:anchorId="25DE63CE" wp14:editId="6E0837FC">
            <wp:extent cx="6015355" cy="4017645"/>
            <wp:effectExtent l="0" t="0" r="4445" b="1905"/>
            <wp:docPr id="455804753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804753" name="Picture 1" descr="A screenshot of a computer scree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F23C" w14:textId="4C58BA8E" w:rsidR="007F61EB" w:rsidRDefault="007F61EB" w:rsidP="00B66C6F">
      <w:pPr>
        <w:pStyle w:val="Body"/>
      </w:pPr>
      <w:proofErr w:type="gramStart"/>
      <w:r>
        <w:t>The majority of</w:t>
      </w:r>
      <w:proofErr w:type="gramEnd"/>
      <w:r>
        <w:t xml:space="preserve"> the notifications</w:t>
      </w:r>
      <w:r w:rsidR="00DD167B" w:rsidRPr="00DD167B">
        <w:t xml:space="preserve"> </w:t>
      </w:r>
      <w:r w:rsidR="00DD167B">
        <w:t>received by OVIC</w:t>
      </w:r>
      <w:r>
        <w:t xml:space="preserve"> were for </w:t>
      </w:r>
      <w:r w:rsidR="000176FD">
        <w:t>BIL</w:t>
      </w:r>
      <w:r w:rsidR="007652E6">
        <w:t xml:space="preserve"> </w:t>
      </w:r>
      <w:r w:rsidR="000176FD">
        <w:t>2</w:t>
      </w:r>
      <w:r w:rsidR="00920E81">
        <w:t xml:space="preserve"> </w:t>
      </w:r>
      <w:r>
        <w:t xml:space="preserve">information. </w:t>
      </w:r>
      <w:r w:rsidR="00D8350E">
        <w:t>T</w:t>
      </w:r>
      <w:r w:rsidR="00DD167B">
        <w:t>his aligns with existing data points that indicates</w:t>
      </w:r>
      <w:r>
        <w:t xml:space="preserve"> there is only a small </w:t>
      </w:r>
      <w:r w:rsidR="00AE68E6">
        <w:t xml:space="preserve">amount </w:t>
      </w:r>
      <w:r>
        <w:t>of higher sensitivity</w:t>
      </w:r>
      <w:r w:rsidR="00DD167B">
        <w:t xml:space="preserve"> (BIL 3 and above)</w:t>
      </w:r>
      <w:r>
        <w:t xml:space="preserve"> information handled by </w:t>
      </w:r>
      <w:r w:rsidR="00DD167B">
        <w:t xml:space="preserve">VPS </w:t>
      </w:r>
      <w:r>
        <w:t xml:space="preserve">organisations. </w:t>
      </w:r>
      <w:r w:rsidR="00915DCF">
        <w:t xml:space="preserve">Although the scheme has a notification threshold of incidents that meet BIL </w:t>
      </w:r>
      <w:r w:rsidR="00354E39">
        <w:t>2</w:t>
      </w:r>
      <w:r w:rsidR="00915DCF">
        <w:t xml:space="preserve"> or higher, OVIC did receive some notifications </w:t>
      </w:r>
      <w:r w:rsidR="00354E39">
        <w:t>related to BIL 1 information.</w:t>
      </w:r>
      <w:r w:rsidR="009C16F7">
        <w:t xml:space="preserve"> </w:t>
      </w:r>
      <w:r w:rsidR="00DD167B">
        <w:t xml:space="preserve">As </w:t>
      </w:r>
      <w:r w:rsidR="009C16F7">
        <w:t>OVIC accepts notifications in a variety of forms</w:t>
      </w:r>
      <w:r w:rsidR="00DD167B">
        <w:t xml:space="preserve"> (e.g. referred notifications from </w:t>
      </w:r>
      <w:r w:rsidR="00DB50A8">
        <w:t xml:space="preserve">OVIC’s </w:t>
      </w:r>
      <w:r w:rsidR="00DD167B">
        <w:t xml:space="preserve">privacy </w:t>
      </w:r>
      <w:r w:rsidR="00DB50A8">
        <w:t xml:space="preserve">team </w:t>
      </w:r>
      <w:r w:rsidR="00DD167B">
        <w:t>and CIRS)</w:t>
      </w:r>
      <w:r w:rsidR="009C16F7">
        <w:t xml:space="preserve">, not all notifications </w:t>
      </w:r>
      <w:r w:rsidR="00DD167B">
        <w:t xml:space="preserve">identify </w:t>
      </w:r>
      <w:r w:rsidR="009C16F7">
        <w:t xml:space="preserve">the </w:t>
      </w:r>
      <w:r w:rsidR="001405E2">
        <w:t>BIL</w:t>
      </w:r>
      <w:r w:rsidR="009C16F7">
        <w:t xml:space="preserve"> of the information affected.</w:t>
      </w:r>
    </w:p>
    <w:p w14:paraId="6BC413CB" w14:textId="52004E90" w:rsidR="007F61EB" w:rsidRPr="00354E39" w:rsidRDefault="007F61EB" w:rsidP="00B66C6F">
      <w:pPr>
        <w:pStyle w:val="Body"/>
        <w:rPr>
          <w:i/>
          <w:iCs/>
        </w:rPr>
      </w:pPr>
      <w:r>
        <w:t>Takeout:</w:t>
      </w:r>
      <w:r w:rsidR="00354E39">
        <w:t xml:space="preserve"> </w:t>
      </w:r>
      <w:r w:rsidR="00DD167B" w:rsidRPr="001405E2">
        <w:rPr>
          <w:i/>
          <w:iCs/>
        </w:rPr>
        <w:t>While not an explicit requirement of the scheme, i</w:t>
      </w:r>
      <w:r w:rsidR="003A7D9B" w:rsidRPr="001405E2">
        <w:rPr>
          <w:i/>
          <w:iCs/>
        </w:rPr>
        <w:t>t is</w:t>
      </w:r>
      <w:r w:rsidR="00354E39">
        <w:rPr>
          <w:i/>
          <w:iCs/>
        </w:rPr>
        <w:t xml:space="preserve"> pleasing to see that organisations are providing incident notifications to OVIC regardless of impact level</w:t>
      </w:r>
      <w:r w:rsidR="003A7D9B">
        <w:rPr>
          <w:i/>
          <w:iCs/>
        </w:rPr>
        <w:t xml:space="preserve"> – this provides us with greater insights to share with the VPS</w:t>
      </w:r>
      <w:r w:rsidR="00354E39">
        <w:rPr>
          <w:i/>
          <w:iCs/>
        </w:rPr>
        <w:t>.</w:t>
      </w:r>
    </w:p>
    <w:p w14:paraId="71A493FD" w14:textId="25F7B9F4" w:rsidR="005A7CAB" w:rsidRDefault="005A7CAB" w:rsidP="004A3AA3">
      <w:pPr>
        <w:pStyle w:val="Body"/>
        <w:jc w:val="center"/>
        <w:rPr>
          <w:noProof/>
        </w:rPr>
      </w:pPr>
      <w:r w:rsidRPr="005A7CAB">
        <w:rPr>
          <w:noProof/>
        </w:rPr>
        <w:lastRenderedPageBreak/>
        <w:drawing>
          <wp:inline distT="0" distB="0" distL="0" distR="0" wp14:anchorId="2BA589E7" wp14:editId="08A8341B">
            <wp:extent cx="4839375" cy="4420217"/>
            <wp:effectExtent l="0" t="0" r="0" b="0"/>
            <wp:docPr id="679161419" name="Picture 1" descr="A pie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161419" name="Picture 1" descr="A pie chart with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FB49" w14:textId="16C3D3E4" w:rsidR="00F55A27" w:rsidRDefault="00A30219" w:rsidP="00B66C6F">
      <w:pPr>
        <w:pStyle w:val="Body"/>
      </w:pPr>
      <w:r>
        <w:t>As</w:t>
      </w:r>
      <w:r w:rsidR="00B66C6F">
        <w:t xml:space="preserve"> </w:t>
      </w:r>
      <w:proofErr w:type="gramStart"/>
      <w:r w:rsidR="00B66C6F">
        <w:t>the majority of</w:t>
      </w:r>
      <w:proofErr w:type="gramEnd"/>
      <w:r w:rsidR="00B66C6F">
        <w:t xml:space="preserve"> the notifications related to personal information, the </w:t>
      </w:r>
      <w:r w:rsidR="00F55A27">
        <w:t>most</w:t>
      </w:r>
      <w:r w:rsidR="00F07F57">
        <w:t xml:space="preserve"> commonly</w:t>
      </w:r>
      <w:r w:rsidR="00F55A27">
        <w:t xml:space="preserve"> selected </w:t>
      </w:r>
      <w:r w:rsidR="001405E2">
        <w:t>BIL</w:t>
      </w:r>
      <w:r w:rsidR="00F55A27">
        <w:t xml:space="preserve"> category was ‘</w:t>
      </w:r>
      <w:r w:rsidR="00F55A27" w:rsidRPr="001405E2">
        <w:rPr>
          <w:i/>
          <w:iCs/>
        </w:rPr>
        <w:t>personal’</w:t>
      </w:r>
      <w:r w:rsidR="00F07F57">
        <w:rPr>
          <w:i/>
          <w:iCs/>
        </w:rPr>
        <w:t>,</w:t>
      </w:r>
      <w:r w:rsidR="00F55A27">
        <w:t xml:space="preserve"> as the compromise</w:t>
      </w:r>
      <w:r w:rsidR="00F07F57">
        <w:t xml:space="preserve"> was assessed to have the potential to</w:t>
      </w:r>
      <w:r w:rsidR="00F55A27">
        <w:t xml:space="preserve"> cause harm to an individual.</w:t>
      </w:r>
    </w:p>
    <w:p w14:paraId="3ACF3F67" w14:textId="07BD42F0" w:rsidR="0084756B" w:rsidRDefault="00F55A27" w:rsidP="00B66C6F">
      <w:pPr>
        <w:pStyle w:val="Body"/>
        <w:rPr>
          <w:i/>
          <w:iCs/>
        </w:rPr>
      </w:pPr>
      <w:r>
        <w:t xml:space="preserve">Takeout: </w:t>
      </w:r>
      <w:r w:rsidR="00006C16">
        <w:rPr>
          <w:i/>
          <w:iCs/>
        </w:rPr>
        <w:t>I</w:t>
      </w:r>
      <w:r w:rsidR="00B959AC">
        <w:rPr>
          <w:i/>
          <w:iCs/>
        </w:rPr>
        <w:t xml:space="preserve">t </w:t>
      </w:r>
      <w:r w:rsidRPr="00F55A27">
        <w:rPr>
          <w:i/>
          <w:iCs/>
        </w:rPr>
        <w:t>was surprising to see the category</w:t>
      </w:r>
      <w:r w:rsidR="00B959AC">
        <w:rPr>
          <w:i/>
          <w:iCs/>
        </w:rPr>
        <w:t xml:space="preserve"> of</w:t>
      </w:r>
      <w:r w:rsidRPr="00F55A27">
        <w:rPr>
          <w:i/>
          <w:iCs/>
        </w:rPr>
        <w:t xml:space="preserve"> ‘public services’ not </w:t>
      </w:r>
      <w:r w:rsidR="00B959AC">
        <w:rPr>
          <w:i/>
          <w:iCs/>
        </w:rPr>
        <w:t xml:space="preserve">being </w:t>
      </w:r>
      <w:r w:rsidRPr="00F55A27">
        <w:rPr>
          <w:i/>
          <w:iCs/>
        </w:rPr>
        <w:t>selected in every notification</w:t>
      </w:r>
      <w:r w:rsidR="00B959AC">
        <w:rPr>
          <w:i/>
          <w:iCs/>
        </w:rPr>
        <w:t>,</w:t>
      </w:r>
      <w:r w:rsidRPr="00F55A27">
        <w:rPr>
          <w:i/>
          <w:iCs/>
        </w:rPr>
        <w:t xml:space="preserve"> as the compromise of </w:t>
      </w:r>
      <w:r w:rsidR="00B959AC">
        <w:rPr>
          <w:i/>
          <w:iCs/>
        </w:rPr>
        <w:t>public sector</w:t>
      </w:r>
      <w:r w:rsidR="00B959AC" w:rsidRPr="00F55A27">
        <w:rPr>
          <w:i/>
          <w:iCs/>
        </w:rPr>
        <w:t xml:space="preserve"> </w:t>
      </w:r>
      <w:r w:rsidRPr="00F55A27">
        <w:rPr>
          <w:i/>
          <w:iCs/>
        </w:rPr>
        <w:t xml:space="preserve">information </w:t>
      </w:r>
      <w:r w:rsidR="00B959AC">
        <w:rPr>
          <w:i/>
          <w:iCs/>
        </w:rPr>
        <w:t>has the potential to</w:t>
      </w:r>
      <w:r w:rsidR="00B959AC" w:rsidRPr="00F55A27">
        <w:rPr>
          <w:i/>
          <w:iCs/>
        </w:rPr>
        <w:t xml:space="preserve"> </w:t>
      </w:r>
      <w:r w:rsidRPr="00F55A27">
        <w:rPr>
          <w:i/>
          <w:iCs/>
        </w:rPr>
        <w:t xml:space="preserve">cause reputational harm to the organisation. This may reflect limited knowledge of the BIL categories and may be an opportunity for OVIC to develop more guidance </w:t>
      </w:r>
      <w:r w:rsidR="003A7D9B">
        <w:rPr>
          <w:i/>
          <w:iCs/>
        </w:rPr>
        <w:t>in this area</w:t>
      </w:r>
      <w:r w:rsidRPr="00F55A27">
        <w:rPr>
          <w:i/>
          <w:iCs/>
        </w:rPr>
        <w:t>.</w:t>
      </w:r>
    </w:p>
    <w:p w14:paraId="5FE5CBEE" w14:textId="11405E5A" w:rsidR="005A7CAB" w:rsidRDefault="005A7CAB" w:rsidP="004A3AA3">
      <w:pPr>
        <w:pStyle w:val="Body"/>
        <w:jc w:val="center"/>
        <w:rPr>
          <w:noProof/>
        </w:rPr>
      </w:pPr>
      <w:r w:rsidRPr="005A7CAB">
        <w:rPr>
          <w:noProof/>
        </w:rPr>
        <w:lastRenderedPageBreak/>
        <w:drawing>
          <wp:inline distT="0" distB="0" distL="0" distR="0" wp14:anchorId="6D705498" wp14:editId="096A4A60">
            <wp:extent cx="4763165" cy="4391638"/>
            <wp:effectExtent l="0" t="0" r="0" b="9525"/>
            <wp:docPr id="734823323" name="Picture 1" descr="A pie chart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823323" name="Picture 1" descr="A pie chart with numbers and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3C317" w14:textId="34C0B4D3" w:rsidR="00B42EA1" w:rsidRDefault="009C16F7" w:rsidP="00B66C6F">
      <w:pPr>
        <w:pStyle w:val="Body"/>
      </w:pPr>
      <w:proofErr w:type="gramStart"/>
      <w:r>
        <w:t>The majority of</w:t>
      </w:r>
      <w:proofErr w:type="gramEnd"/>
      <w:r>
        <w:t xml:space="preserve"> the notifications received were related to </w:t>
      </w:r>
      <w:r w:rsidR="00B959AC">
        <w:t xml:space="preserve">compromises of </w:t>
      </w:r>
      <w:r>
        <w:t xml:space="preserve">the confidentiality of </w:t>
      </w:r>
      <w:r w:rsidR="00B959AC">
        <w:t xml:space="preserve">public sector </w:t>
      </w:r>
      <w:r>
        <w:t>information e.g. inappropriate disclosure</w:t>
      </w:r>
      <w:r w:rsidR="00B959AC">
        <w:t>, as opposed to compromises of the integrity or availability of information or ICT systems</w:t>
      </w:r>
      <w:r w:rsidR="0063309A">
        <w:t>.</w:t>
      </w:r>
    </w:p>
    <w:p w14:paraId="7516659B" w14:textId="4DB401CB" w:rsidR="00CB19CB" w:rsidRDefault="00B42EA1" w:rsidP="00CB19CB">
      <w:pPr>
        <w:pStyle w:val="Body"/>
        <w:spacing w:after="120"/>
      </w:pPr>
      <w:r>
        <w:t xml:space="preserve">Takeout: </w:t>
      </w:r>
      <w:r w:rsidRPr="00B42EA1">
        <w:rPr>
          <w:i/>
          <w:iCs/>
        </w:rPr>
        <w:t xml:space="preserve">Inappropriate disclosure </w:t>
      </w:r>
      <w:r w:rsidR="003A7D9B">
        <w:rPr>
          <w:i/>
          <w:iCs/>
        </w:rPr>
        <w:t>(</w:t>
      </w:r>
      <w:r w:rsidRPr="00B42EA1">
        <w:rPr>
          <w:i/>
          <w:iCs/>
        </w:rPr>
        <w:t>such as accidentally sending an email to the wrong recipient</w:t>
      </w:r>
      <w:r w:rsidR="003A7D9B">
        <w:rPr>
          <w:i/>
          <w:iCs/>
        </w:rPr>
        <w:t>)</w:t>
      </w:r>
      <w:r w:rsidRPr="00B42EA1">
        <w:rPr>
          <w:i/>
          <w:iCs/>
        </w:rPr>
        <w:t xml:space="preserve"> is also a key finding in the Verizon Data Breach Report</w:t>
      </w:r>
      <w:r w:rsidR="00653DDE">
        <w:rPr>
          <w:rStyle w:val="FootnoteReference"/>
          <w:i/>
          <w:iCs/>
        </w:rPr>
        <w:footnoteReference w:id="3"/>
      </w:r>
      <w:r w:rsidRPr="00B42EA1">
        <w:rPr>
          <w:i/>
          <w:iCs/>
        </w:rPr>
        <w:t>.</w:t>
      </w:r>
      <w:r w:rsidR="00CB19CB" w:rsidRPr="00CB19CB">
        <w:t xml:space="preserve"> </w:t>
      </w:r>
    </w:p>
    <w:p w14:paraId="273D32AC" w14:textId="20504844" w:rsidR="004A3AA3" w:rsidRDefault="004A3AA3">
      <w:pPr>
        <w:rPr>
          <w:rFonts w:ascii="Calibri" w:eastAsia="Calibri" w:hAnsi="Calibri" w:cs="PostGrotesk-Book"/>
          <w:color w:val="55565A"/>
          <w:lang w:val="en-GB"/>
        </w:rPr>
      </w:pPr>
      <w:r>
        <w:br w:type="page"/>
      </w:r>
    </w:p>
    <w:p w14:paraId="3F16BB6F" w14:textId="77777777" w:rsidR="005A7CAB" w:rsidRDefault="005A7CAB" w:rsidP="004A3AA3">
      <w:pPr>
        <w:pStyle w:val="Body"/>
        <w:spacing w:after="120"/>
        <w:jc w:val="center"/>
      </w:pPr>
      <w:r w:rsidRPr="005A7CAB">
        <w:rPr>
          <w:noProof/>
        </w:rPr>
        <w:lastRenderedPageBreak/>
        <w:drawing>
          <wp:inline distT="0" distB="0" distL="0" distR="0" wp14:anchorId="6F4DA76E" wp14:editId="0A1CB121">
            <wp:extent cx="6015355" cy="2439670"/>
            <wp:effectExtent l="0" t="0" r="4445" b="0"/>
            <wp:docPr id="759912022" name="Picture 1" descr="A blue rect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12022" name="Picture 1" descr="A blue rectangle with black 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7DFDE" w14:textId="09C3FEE8" w:rsidR="00CB19CB" w:rsidRDefault="00CB19CB" w:rsidP="00CB19CB">
      <w:pPr>
        <w:pStyle w:val="Body"/>
        <w:spacing w:after="120"/>
      </w:pPr>
      <w:r>
        <w:t xml:space="preserve">Even though </w:t>
      </w:r>
      <w:proofErr w:type="gramStart"/>
      <w:r>
        <w:t>the majority of</w:t>
      </w:r>
      <w:proofErr w:type="gramEnd"/>
      <w:r>
        <w:t xml:space="preserve"> the notifications nominated ‘information’ as the security area affected, </w:t>
      </w:r>
      <w:r w:rsidR="0087741A">
        <w:t xml:space="preserve">the descriptions of </w:t>
      </w:r>
      <w:r>
        <w:t xml:space="preserve">most notifications related to control deficiencies around ‘ICT security’ practices given the format of the information was electronic (soft copy). </w:t>
      </w:r>
    </w:p>
    <w:p w14:paraId="4EC3FD39" w14:textId="7AC74E5B" w:rsidR="00CB19CB" w:rsidRDefault="00CB19CB" w:rsidP="00CB19CB">
      <w:pPr>
        <w:pStyle w:val="Body"/>
        <w:rPr>
          <w:i/>
          <w:iCs/>
        </w:rPr>
      </w:pPr>
      <w:r>
        <w:t xml:space="preserve">Takeout: </w:t>
      </w:r>
      <w:r w:rsidRPr="00043E66">
        <w:rPr>
          <w:i/>
          <w:iCs/>
        </w:rPr>
        <w:t xml:space="preserve">OVIC will provide further guidance on </w:t>
      </w:r>
      <w:r>
        <w:rPr>
          <w:i/>
          <w:iCs/>
        </w:rPr>
        <w:t>helping organisations understand</w:t>
      </w:r>
      <w:r w:rsidRPr="00043E66">
        <w:rPr>
          <w:i/>
          <w:iCs/>
        </w:rPr>
        <w:t xml:space="preserve"> what is meant by the security area ‘information’ </w:t>
      </w:r>
      <w:r w:rsidR="00DB50A8">
        <w:rPr>
          <w:i/>
          <w:iCs/>
        </w:rPr>
        <w:t>e.g.</w:t>
      </w:r>
      <w:r w:rsidRPr="00043E66">
        <w:rPr>
          <w:i/>
          <w:iCs/>
        </w:rPr>
        <w:t xml:space="preserve"> inappropriate protective markings.</w:t>
      </w:r>
    </w:p>
    <w:p w14:paraId="4FD648AD" w14:textId="77777777" w:rsidR="00CB19CB" w:rsidRDefault="00CB19CB" w:rsidP="00CB19CB">
      <w:pPr>
        <w:pStyle w:val="Body"/>
      </w:pPr>
    </w:p>
    <w:p w14:paraId="7C4E4FED" w14:textId="77777777" w:rsidR="004A3AA3" w:rsidRDefault="004A3AA3">
      <w:pPr>
        <w:rPr>
          <w:rFonts w:ascii="Calibri" w:eastAsia="Calibri" w:hAnsi="Calibri" w:cs="PostGrotesk-Medium"/>
          <w:color w:val="430098"/>
          <w:sz w:val="28"/>
          <w:szCs w:val="28"/>
          <w:lang w:val="en-GB"/>
        </w:rPr>
      </w:pPr>
      <w:r>
        <w:br w:type="page"/>
      </w:r>
    </w:p>
    <w:p w14:paraId="6AAF04F0" w14:textId="504B8586" w:rsidR="00CB19CB" w:rsidRDefault="00CB19CB" w:rsidP="00CB19CB">
      <w:pPr>
        <w:pStyle w:val="SectionHeading1"/>
      </w:pPr>
      <w:r>
        <w:lastRenderedPageBreak/>
        <w:t xml:space="preserve">Victoria </w:t>
      </w:r>
      <w:r w:rsidR="0087741A">
        <w:t>P</w:t>
      </w:r>
      <w:r>
        <w:t>olice statistics</w:t>
      </w:r>
    </w:p>
    <w:p w14:paraId="575D6133" w14:textId="15F6E70C" w:rsidR="00CB19CB" w:rsidRDefault="00CB19CB" w:rsidP="00CB19CB">
      <w:pPr>
        <w:pStyle w:val="Body"/>
      </w:pPr>
      <w:r>
        <w:t xml:space="preserve">OVIC receives </w:t>
      </w:r>
      <w:r w:rsidR="00006C16">
        <w:t xml:space="preserve">notifications of </w:t>
      </w:r>
      <w:r>
        <w:t>incidents from the Victoria Police Security Incident Register team.</w:t>
      </w:r>
    </w:p>
    <w:p w14:paraId="3466BE97" w14:textId="6D549263" w:rsidR="00CB19CB" w:rsidRDefault="00CB19CB" w:rsidP="00CB19CB">
      <w:pPr>
        <w:pStyle w:val="Body"/>
      </w:pPr>
      <w:r>
        <w:t>Comparison between the 2018</w:t>
      </w:r>
      <w:r w:rsidR="0087741A">
        <w:t>-</w:t>
      </w:r>
      <w:r>
        <w:t>19 (depicted in orange) and 2019-20 (depicted in blue) period shows the top three closed incident categories are the same</w:t>
      </w:r>
      <w:r w:rsidR="00006C16">
        <w:t>.</w:t>
      </w:r>
      <w:r>
        <w:t xml:space="preserve"> </w:t>
      </w:r>
      <w:r w:rsidR="00006C16">
        <w:t>H</w:t>
      </w:r>
      <w:r>
        <w:t>owever</w:t>
      </w:r>
      <w:r w:rsidR="00006C16">
        <w:t>,</w:t>
      </w:r>
      <w:r>
        <w:t xml:space="preserve"> the numbers for 2019</w:t>
      </w:r>
      <w:r w:rsidR="0087741A">
        <w:t>-</w:t>
      </w:r>
      <w:r>
        <w:t xml:space="preserve">20 show a considerable increase in closed incidents related to these categories. </w:t>
      </w:r>
      <w:r w:rsidR="00006C16">
        <w:t>T</w:t>
      </w:r>
      <w:r>
        <w:t xml:space="preserve">his may not only be due to the increase in actual incidents but may also indicate improved processes and systems in detecting and handling incidents by Victoria Police. </w:t>
      </w:r>
    </w:p>
    <w:p w14:paraId="585589D8" w14:textId="73A71E9F" w:rsidR="00BB1429" w:rsidRDefault="005A7CAB" w:rsidP="004A3AA3">
      <w:pPr>
        <w:jc w:val="center"/>
      </w:pPr>
      <w:r w:rsidRPr="005A7CAB">
        <w:rPr>
          <w:noProof/>
        </w:rPr>
        <w:drawing>
          <wp:inline distT="0" distB="0" distL="0" distR="0" wp14:anchorId="6D4E9C4A" wp14:editId="1D94F632">
            <wp:extent cx="6015355" cy="3823970"/>
            <wp:effectExtent l="0" t="0" r="4445" b="5080"/>
            <wp:docPr id="744643162" name="Picture 1" descr="A graph of different colored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643162" name="Picture 1" descr="A graph of different colored squares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90EAE" w14:textId="77777777" w:rsidR="005A7CAB" w:rsidRDefault="005A7CAB"/>
    <w:p w14:paraId="34330D0E" w14:textId="77777777" w:rsidR="004A3AA3" w:rsidRDefault="004A3AA3">
      <w:pPr>
        <w:rPr>
          <w:rFonts w:ascii="Calibri" w:eastAsia="Calibri" w:hAnsi="Calibri" w:cs="PostGrotesk-Medium"/>
          <w:color w:val="430098"/>
          <w:sz w:val="28"/>
          <w:szCs w:val="28"/>
          <w:lang w:val="en-GB"/>
        </w:rPr>
      </w:pPr>
      <w:r>
        <w:br w:type="page"/>
      </w:r>
    </w:p>
    <w:p w14:paraId="774A37AF" w14:textId="1F69AD88" w:rsidR="000C7AB9" w:rsidRDefault="000C7AB9" w:rsidP="000C7AB9">
      <w:pPr>
        <w:pStyle w:val="SectionHeading1"/>
      </w:pPr>
      <w:r>
        <w:lastRenderedPageBreak/>
        <w:t xml:space="preserve">Risk </w:t>
      </w:r>
      <w:proofErr w:type="gramStart"/>
      <w:r>
        <w:t>statements</w:t>
      </w:r>
      <w:proofErr w:type="gramEnd"/>
    </w:p>
    <w:p w14:paraId="7FE1915C" w14:textId="5B4DB76C" w:rsidR="00771051" w:rsidRDefault="00A30219" w:rsidP="00A82A88">
      <w:pPr>
        <w:pStyle w:val="Body"/>
      </w:pPr>
      <w:r>
        <w:t>Based on</w:t>
      </w:r>
      <w:r w:rsidR="00463989">
        <w:t xml:space="preserve"> </w:t>
      </w:r>
      <w:r w:rsidR="00C761D8">
        <w:t xml:space="preserve">the </w:t>
      </w:r>
      <w:r w:rsidR="00463989">
        <w:t xml:space="preserve">incident </w:t>
      </w:r>
      <w:r w:rsidR="008D1E1C">
        <w:t xml:space="preserve">notifications </w:t>
      </w:r>
      <w:r w:rsidR="00463989">
        <w:t xml:space="preserve">received by OVIC, </w:t>
      </w:r>
      <w:r>
        <w:t xml:space="preserve">we have </w:t>
      </w:r>
      <w:r w:rsidR="00C761D8">
        <w:t>developed</w:t>
      </w:r>
      <w:r w:rsidR="00463989">
        <w:t xml:space="preserve"> the following r</w:t>
      </w:r>
      <w:r w:rsidR="00771051">
        <w:t xml:space="preserve">isk </w:t>
      </w:r>
      <w:r w:rsidR="00463989">
        <w:t>s</w:t>
      </w:r>
      <w:r w:rsidR="00771051">
        <w:t>tatements</w:t>
      </w:r>
      <w:r w:rsidR="005907C9">
        <w:t xml:space="preserve"> </w:t>
      </w:r>
      <w:r>
        <w:t>for</w:t>
      </w:r>
      <w:r w:rsidR="005907C9">
        <w:t xml:space="preserve"> consideration by </w:t>
      </w:r>
      <w:r w:rsidR="00BF560F">
        <w:t>VPS organisations</w:t>
      </w:r>
      <w:r>
        <w:t xml:space="preserve"> when reviewing their information security risks</w:t>
      </w:r>
      <w:r w:rsidR="00097964">
        <w:t>:</w:t>
      </w:r>
    </w:p>
    <w:tbl>
      <w:tblPr>
        <w:tblStyle w:val="GridTable4-Accent4"/>
        <w:tblW w:w="9634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EAE5E3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463989" w:rsidRPr="00075292" w14:paraId="2B2F151B" w14:textId="77777777" w:rsidTr="00D87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20098"/>
          </w:tcPr>
          <w:p w14:paraId="26B3ED04" w14:textId="193B0137" w:rsidR="00463989" w:rsidRPr="00463989" w:rsidRDefault="00463989" w:rsidP="00463989">
            <w:pPr>
              <w:spacing w:before="120" w:after="120"/>
              <w:ind w:left="360"/>
            </w:pPr>
            <w:r w:rsidRPr="00463989">
              <w:t>The risk of…</w:t>
            </w:r>
          </w:p>
        </w:tc>
        <w:tc>
          <w:tcPr>
            <w:tcW w:w="3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20098"/>
          </w:tcPr>
          <w:p w14:paraId="5F9887F2" w14:textId="6E110E00" w:rsidR="00463989" w:rsidRPr="00463989" w:rsidRDefault="00463989" w:rsidP="00463989">
            <w:pPr>
              <w:spacing w:before="120" w:after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989">
              <w:t>Caused by…</w:t>
            </w:r>
          </w:p>
        </w:tc>
        <w:tc>
          <w:tcPr>
            <w:tcW w:w="3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20098"/>
          </w:tcPr>
          <w:p w14:paraId="79A4326A" w14:textId="21C2815E" w:rsidR="00463989" w:rsidRPr="00463989" w:rsidRDefault="00463989" w:rsidP="00463989">
            <w:pPr>
              <w:spacing w:before="120" w:after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989">
              <w:t>Resulting in…</w:t>
            </w:r>
            <w:r w:rsidR="00A30219">
              <w:rPr>
                <w:rStyle w:val="FootnoteReference"/>
              </w:rPr>
              <w:footnoteReference w:id="4"/>
            </w:r>
          </w:p>
        </w:tc>
      </w:tr>
      <w:tr w:rsidR="00463989" w:rsidRPr="00075292" w14:paraId="3B4572D1" w14:textId="77777777" w:rsidTr="00D8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shd w:val="clear" w:color="auto" w:fill="EAE5E3"/>
          </w:tcPr>
          <w:p w14:paraId="33EC8F00" w14:textId="79082916" w:rsidR="00463989" w:rsidRDefault="00463989" w:rsidP="00D8778A">
            <w:pPr>
              <w:pStyle w:val="BodyCopy"/>
            </w:pPr>
            <w:r w:rsidRPr="00733049">
              <w:rPr>
                <w:b w:val="0"/>
                <w:bCs w:val="0"/>
              </w:rPr>
              <w:t>Unauthorised disclosure</w:t>
            </w:r>
            <w:r w:rsidR="00653DDE">
              <w:rPr>
                <w:b w:val="0"/>
                <w:bCs w:val="0"/>
              </w:rPr>
              <w:t xml:space="preserve"> </w:t>
            </w:r>
            <w:r w:rsidRPr="00733049">
              <w:rPr>
                <w:b w:val="0"/>
                <w:bCs w:val="0"/>
              </w:rPr>
              <w:t>of personal information</w:t>
            </w:r>
            <w:r w:rsidR="00E722BE">
              <w:rPr>
                <w:b w:val="0"/>
                <w:bCs w:val="0"/>
              </w:rPr>
              <w:t xml:space="preserve"> </w:t>
            </w:r>
          </w:p>
          <w:p w14:paraId="48496561" w14:textId="497BB855" w:rsidR="004D46D1" w:rsidRPr="00733049" w:rsidRDefault="00776EBD" w:rsidP="00653DDE">
            <w:pPr>
              <w:pStyle w:val="BodyCopy"/>
              <w:rPr>
                <w:b w:val="0"/>
                <w:bCs w:val="0"/>
              </w:rPr>
            </w:pPr>
            <w:r w:rsidRPr="009E4C09">
              <w:rPr>
                <w:b w:val="0"/>
                <w:bCs w:val="0"/>
                <w:i/>
                <w:iCs/>
              </w:rPr>
              <w:t>(Compromise of confidentiality)</w:t>
            </w:r>
          </w:p>
        </w:tc>
        <w:tc>
          <w:tcPr>
            <w:tcW w:w="3211" w:type="dxa"/>
            <w:shd w:val="clear" w:color="auto" w:fill="EAE5E3"/>
          </w:tcPr>
          <w:p w14:paraId="42C31966" w14:textId="2CDC6CAF" w:rsidR="00463989" w:rsidRPr="00075292" w:rsidRDefault="000C7AB9" w:rsidP="00D8778A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463989" w:rsidRPr="00075292">
              <w:t xml:space="preserve">mployees </w:t>
            </w:r>
            <w:r>
              <w:t>accidentally sending emails to incorrect recipients</w:t>
            </w:r>
          </w:p>
        </w:tc>
        <w:tc>
          <w:tcPr>
            <w:tcW w:w="3212" w:type="dxa"/>
            <w:shd w:val="clear" w:color="auto" w:fill="EAE5E3"/>
          </w:tcPr>
          <w:p w14:paraId="51B22BC1" w14:textId="37295A00" w:rsidR="00463989" w:rsidRPr="00075292" w:rsidRDefault="00653DDE" w:rsidP="00D8778A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463989" w:rsidRPr="00075292">
              <w:t xml:space="preserve">mpact to individuals whose personal information was affected </w:t>
            </w:r>
          </w:p>
        </w:tc>
      </w:tr>
      <w:tr w:rsidR="00463989" w14:paraId="325B48E8" w14:textId="77777777" w:rsidTr="00D877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shd w:val="clear" w:color="auto" w:fill="EAE5E3"/>
          </w:tcPr>
          <w:p w14:paraId="1BC56CBB" w14:textId="28ADDD4C" w:rsidR="00463989" w:rsidRDefault="00463989" w:rsidP="00D8778A">
            <w:pPr>
              <w:pStyle w:val="BodyCopy"/>
            </w:pPr>
            <w:r w:rsidRPr="00733049">
              <w:rPr>
                <w:b w:val="0"/>
                <w:bCs w:val="0"/>
              </w:rPr>
              <w:t xml:space="preserve">Unauthorised </w:t>
            </w:r>
            <w:r w:rsidR="00E722BE">
              <w:rPr>
                <w:b w:val="0"/>
                <w:bCs w:val="0"/>
              </w:rPr>
              <w:t>collection and use</w:t>
            </w:r>
            <w:r w:rsidR="00776EBD">
              <w:rPr>
                <w:b w:val="0"/>
                <w:bCs w:val="0"/>
              </w:rPr>
              <w:t xml:space="preserve"> </w:t>
            </w:r>
            <w:r w:rsidR="00E722BE">
              <w:rPr>
                <w:b w:val="0"/>
                <w:bCs w:val="0"/>
              </w:rPr>
              <w:t xml:space="preserve">of client information </w:t>
            </w:r>
          </w:p>
          <w:p w14:paraId="72527E62" w14:textId="7FE8F448" w:rsidR="00776EBD" w:rsidRPr="00733049" w:rsidRDefault="00776EBD" w:rsidP="00D8778A">
            <w:pPr>
              <w:pStyle w:val="BodyCopy"/>
              <w:rPr>
                <w:b w:val="0"/>
                <w:bCs w:val="0"/>
              </w:rPr>
            </w:pPr>
            <w:r w:rsidRPr="009E4C09">
              <w:rPr>
                <w:b w:val="0"/>
                <w:bCs w:val="0"/>
                <w:i/>
                <w:iCs/>
              </w:rPr>
              <w:t>(Compromise of confidentiality)</w:t>
            </w:r>
          </w:p>
        </w:tc>
        <w:tc>
          <w:tcPr>
            <w:tcW w:w="3211" w:type="dxa"/>
            <w:shd w:val="clear" w:color="auto" w:fill="EAE5E3"/>
          </w:tcPr>
          <w:p w14:paraId="61C77A39" w14:textId="13D3DC2F" w:rsidR="00463989" w:rsidRDefault="00E722BE" w:rsidP="00D8778A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Former employee extracting data from a system for their own personal gain</w:t>
            </w:r>
          </w:p>
        </w:tc>
        <w:tc>
          <w:tcPr>
            <w:tcW w:w="3212" w:type="dxa"/>
            <w:shd w:val="clear" w:color="auto" w:fill="EAE5E3"/>
          </w:tcPr>
          <w:p w14:paraId="3CA8CA07" w14:textId="69E16F71" w:rsidR="00463989" w:rsidRPr="00C04DFC" w:rsidRDefault="00BF560F" w:rsidP="00D8778A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E722BE">
              <w:t>inancial impact to the organisation</w:t>
            </w:r>
          </w:p>
        </w:tc>
      </w:tr>
      <w:tr w:rsidR="00463989" w14:paraId="129FB84B" w14:textId="77777777" w:rsidTr="00D8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shd w:val="clear" w:color="auto" w:fill="EAE5E3"/>
          </w:tcPr>
          <w:p w14:paraId="02D2E2CC" w14:textId="0DAA1688" w:rsidR="00463989" w:rsidRDefault="00E722BE" w:rsidP="00D8778A">
            <w:pPr>
              <w:pStyle w:val="BodyCopy"/>
            </w:pPr>
            <w:r>
              <w:rPr>
                <w:b w:val="0"/>
                <w:bCs w:val="0"/>
              </w:rPr>
              <w:t xml:space="preserve">Unauthorised </w:t>
            </w:r>
            <w:r w:rsidR="00E52C54">
              <w:rPr>
                <w:b w:val="0"/>
                <w:bCs w:val="0"/>
              </w:rPr>
              <w:t xml:space="preserve">handling of customer records </w:t>
            </w:r>
          </w:p>
          <w:p w14:paraId="7308C85E" w14:textId="5992104C" w:rsidR="00776EBD" w:rsidRPr="00776EBD" w:rsidRDefault="00776EBD" w:rsidP="00D8778A">
            <w:pPr>
              <w:pStyle w:val="BodyCopy"/>
              <w:rPr>
                <w:b w:val="0"/>
                <w:bCs w:val="0"/>
                <w:i/>
                <w:iCs/>
              </w:rPr>
            </w:pPr>
            <w:r w:rsidRPr="00776EBD">
              <w:rPr>
                <w:b w:val="0"/>
                <w:bCs w:val="0"/>
                <w:i/>
                <w:iCs/>
              </w:rPr>
              <w:t>(Compromise of confidentiality)</w:t>
            </w:r>
          </w:p>
        </w:tc>
        <w:tc>
          <w:tcPr>
            <w:tcW w:w="3211" w:type="dxa"/>
            <w:shd w:val="clear" w:color="auto" w:fill="EAE5E3"/>
          </w:tcPr>
          <w:p w14:paraId="32FBA10E" w14:textId="624D0F9C" w:rsidR="00463989" w:rsidRDefault="00E52C54" w:rsidP="00D8778A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Third party employees with inappropriate email settings</w:t>
            </w:r>
          </w:p>
        </w:tc>
        <w:tc>
          <w:tcPr>
            <w:tcW w:w="3212" w:type="dxa"/>
            <w:shd w:val="clear" w:color="auto" w:fill="EAE5E3"/>
          </w:tcPr>
          <w:p w14:paraId="7A5E66EE" w14:textId="7CFEBD1C" w:rsidR="00463989" w:rsidRPr="00C04DFC" w:rsidRDefault="00A30219" w:rsidP="00D8778A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Impact to </w:t>
            </w:r>
            <w:r w:rsidR="00E52C54">
              <w:t>legal and regulatory compliance</w:t>
            </w:r>
          </w:p>
        </w:tc>
      </w:tr>
      <w:tr w:rsidR="00E52C54" w14:paraId="4BE0496A" w14:textId="77777777" w:rsidTr="00D877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shd w:val="clear" w:color="auto" w:fill="EAE5E3"/>
          </w:tcPr>
          <w:p w14:paraId="4522011E" w14:textId="512F2816" w:rsidR="00776EBD" w:rsidRDefault="00E52C54" w:rsidP="00D8778A">
            <w:pPr>
              <w:pStyle w:val="BodyCopy"/>
            </w:pPr>
            <w:r>
              <w:rPr>
                <w:b w:val="0"/>
                <w:bCs w:val="0"/>
              </w:rPr>
              <w:t xml:space="preserve">Unauthorised access to health information </w:t>
            </w:r>
          </w:p>
          <w:p w14:paraId="5ED0E853" w14:textId="1921B52D" w:rsidR="00E52C54" w:rsidRDefault="00776EBD" w:rsidP="00D8778A">
            <w:pPr>
              <w:pStyle w:val="BodyCopy"/>
              <w:rPr>
                <w:b w:val="0"/>
                <w:bCs w:val="0"/>
              </w:rPr>
            </w:pPr>
            <w:r w:rsidRPr="00776EBD">
              <w:rPr>
                <w:b w:val="0"/>
                <w:bCs w:val="0"/>
                <w:i/>
                <w:iCs/>
              </w:rPr>
              <w:t>(C</w:t>
            </w:r>
            <w:r w:rsidR="00E52C54" w:rsidRPr="00776EBD">
              <w:rPr>
                <w:b w:val="0"/>
                <w:bCs w:val="0"/>
                <w:i/>
                <w:iCs/>
              </w:rPr>
              <w:t>ompromise of the availability</w:t>
            </w:r>
            <w:r w:rsidRPr="00776EBD">
              <w:rPr>
                <w:b w:val="0"/>
                <w:bCs w:val="0"/>
                <w:i/>
                <w:iCs/>
              </w:rPr>
              <w:t>)</w:t>
            </w:r>
            <w:r w:rsidR="00E52C54">
              <w:rPr>
                <w:b w:val="0"/>
                <w:bCs w:val="0"/>
              </w:rPr>
              <w:t xml:space="preserve"> </w:t>
            </w:r>
          </w:p>
        </w:tc>
        <w:tc>
          <w:tcPr>
            <w:tcW w:w="3211" w:type="dxa"/>
            <w:shd w:val="clear" w:color="auto" w:fill="EAE5E3"/>
          </w:tcPr>
          <w:p w14:paraId="0F6D91EB" w14:textId="1A3F86B6" w:rsidR="00E52C54" w:rsidRDefault="00E52C54" w:rsidP="00D8778A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Malicious external threat actor</w:t>
            </w:r>
            <w:r w:rsidR="00F5151C">
              <w:t xml:space="preserve"> intercepting mobile communications</w:t>
            </w:r>
          </w:p>
        </w:tc>
        <w:tc>
          <w:tcPr>
            <w:tcW w:w="3212" w:type="dxa"/>
            <w:shd w:val="clear" w:color="auto" w:fill="EAE5E3"/>
          </w:tcPr>
          <w:p w14:paraId="7983AF12" w14:textId="5EF189DA" w:rsidR="00E52C54" w:rsidRDefault="00776EBD" w:rsidP="00D8778A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E52C54">
              <w:t xml:space="preserve">mpact to service delivery </w:t>
            </w:r>
          </w:p>
        </w:tc>
      </w:tr>
      <w:tr w:rsidR="00E52C54" w14:paraId="30DF168A" w14:textId="77777777" w:rsidTr="00D8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shd w:val="clear" w:color="auto" w:fill="EAE5E3"/>
          </w:tcPr>
          <w:p w14:paraId="2244045F" w14:textId="3D304961" w:rsidR="00776EBD" w:rsidRDefault="00E52C54" w:rsidP="00D8778A">
            <w:pPr>
              <w:pStyle w:val="BodyCopy"/>
            </w:pPr>
            <w:r>
              <w:rPr>
                <w:b w:val="0"/>
                <w:bCs w:val="0"/>
              </w:rPr>
              <w:t xml:space="preserve">Unauthorised modification of a database </w:t>
            </w:r>
          </w:p>
          <w:p w14:paraId="454EA667" w14:textId="007BD367" w:rsidR="00E52C54" w:rsidRPr="00776EBD" w:rsidRDefault="00776EBD" w:rsidP="00D8778A">
            <w:pPr>
              <w:pStyle w:val="BodyCopy"/>
              <w:rPr>
                <w:b w:val="0"/>
                <w:bCs w:val="0"/>
                <w:i/>
                <w:iCs/>
              </w:rPr>
            </w:pPr>
            <w:r w:rsidRPr="00776EBD">
              <w:rPr>
                <w:b w:val="0"/>
                <w:bCs w:val="0"/>
                <w:i/>
                <w:iCs/>
              </w:rPr>
              <w:t>(C</w:t>
            </w:r>
            <w:r w:rsidR="00E52C54" w:rsidRPr="00776EBD">
              <w:rPr>
                <w:b w:val="0"/>
                <w:bCs w:val="0"/>
                <w:i/>
                <w:iCs/>
              </w:rPr>
              <w:t>ompromise of the integrity</w:t>
            </w:r>
            <w:r w:rsidRPr="00776EBD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tcW w:w="3211" w:type="dxa"/>
            <w:shd w:val="clear" w:color="auto" w:fill="EAE5E3"/>
          </w:tcPr>
          <w:p w14:paraId="7552A052" w14:textId="1736F35B" w:rsidR="00E52C54" w:rsidRDefault="00E52C54" w:rsidP="00D8778A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Cybercriminal exploiting a vulnerability in a cloud hosted system</w:t>
            </w:r>
          </w:p>
        </w:tc>
        <w:tc>
          <w:tcPr>
            <w:tcW w:w="3212" w:type="dxa"/>
            <w:shd w:val="clear" w:color="auto" w:fill="EAE5E3"/>
          </w:tcPr>
          <w:p w14:paraId="7DDD60FF" w14:textId="5569328A" w:rsidR="00E52C54" w:rsidRDefault="00776EBD" w:rsidP="00D8778A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E52C54" w:rsidRPr="00075292">
              <w:t>mpact to individuals whose personal information was affected</w:t>
            </w:r>
          </w:p>
        </w:tc>
      </w:tr>
      <w:tr w:rsidR="00E52C54" w14:paraId="54E2ADEB" w14:textId="77777777" w:rsidTr="00D877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shd w:val="clear" w:color="auto" w:fill="EAE5E3"/>
          </w:tcPr>
          <w:p w14:paraId="2F4201C1" w14:textId="58765EC1" w:rsidR="00776EBD" w:rsidRDefault="00F5151C" w:rsidP="00D8778A">
            <w:pPr>
              <w:pStyle w:val="BodyCopy"/>
            </w:pPr>
            <w:r>
              <w:rPr>
                <w:b w:val="0"/>
                <w:bCs w:val="0"/>
              </w:rPr>
              <w:t xml:space="preserve">Unauthorised access to government information </w:t>
            </w:r>
          </w:p>
          <w:p w14:paraId="05D14024" w14:textId="501DF787" w:rsidR="00E52C54" w:rsidRPr="00776EBD" w:rsidRDefault="00776EBD" w:rsidP="00D8778A">
            <w:pPr>
              <w:pStyle w:val="BodyCopy"/>
              <w:rPr>
                <w:b w:val="0"/>
                <w:bCs w:val="0"/>
                <w:i/>
                <w:iCs/>
              </w:rPr>
            </w:pPr>
            <w:r w:rsidRPr="00776EBD">
              <w:rPr>
                <w:b w:val="0"/>
                <w:bCs w:val="0"/>
                <w:i/>
                <w:iCs/>
              </w:rPr>
              <w:t>(C</w:t>
            </w:r>
            <w:r w:rsidR="00F5151C" w:rsidRPr="00776EBD">
              <w:rPr>
                <w:b w:val="0"/>
                <w:bCs w:val="0"/>
                <w:i/>
                <w:iCs/>
              </w:rPr>
              <w:t>ompromise of the confidentiality</w:t>
            </w:r>
            <w:r w:rsidRPr="00776EBD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tcW w:w="3211" w:type="dxa"/>
            <w:shd w:val="clear" w:color="auto" w:fill="EAE5E3"/>
          </w:tcPr>
          <w:p w14:paraId="479645AC" w14:textId="6E89EF47" w:rsidR="00E52C54" w:rsidRDefault="00F5151C" w:rsidP="00D8778A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Inappropriate disposal of hard copy records</w:t>
            </w:r>
          </w:p>
        </w:tc>
        <w:tc>
          <w:tcPr>
            <w:tcW w:w="3212" w:type="dxa"/>
            <w:shd w:val="clear" w:color="auto" w:fill="EAE5E3"/>
          </w:tcPr>
          <w:p w14:paraId="6AFBB1D8" w14:textId="7C0E3F89" w:rsidR="00E52C54" w:rsidRDefault="00776EBD" w:rsidP="00D8778A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F5151C">
              <w:t>mpact to reputation</w:t>
            </w:r>
          </w:p>
        </w:tc>
      </w:tr>
    </w:tbl>
    <w:p w14:paraId="555B32AD" w14:textId="1ACF3921" w:rsidR="00463989" w:rsidRDefault="00463989"/>
    <w:p w14:paraId="1C2019CA" w14:textId="77777777" w:rsidR="00463989" w:rsidRPr="000C7AB9" w:rsidRDefault="00463989" w:rsidP="000C7AB9">
      <w:pPr>
        <w:pStyle w:val="SectionHeading"/>
        <w:rPr>
          <w:b w:val="0"/>
          <w:bCs/>
          <w:sz w:val="28"/>
          <w:szCs w:val="28"/>
        </w:rPr>
      </w:pPr>
      <w:r w:rsidRPr="000C7AB9">
        <w:rPr>
          <w:b w:val="0"/>
          <w:bCs/>
          <w:sz w:val="28"/>
          <w:szCs w:val="28"/>
        </w:rPr>
        <w:t>More information</w:t>
      </w:r>
    </w:p>
    <w:p w14:paraId="7A90DF72" w14:textId="4F6F5CCE" w:rsidR="00463989" w:rsidRDefault="00463989" w:rsidP="00463989">
      <w:pPr>
        <w:pStyle w:val="Body"/>
      </w:pPr>
      <w:r>
        <w:t xml:space="preserve">For further information </w:t>
      </w:r>
      <w:r w:rsidR="00006C16">
        <w:t xml:space="preserve">on </w:t>
      </w:r>
      <w:r>
        <w:t xml:space="preserve">the information security incident notification scheme </w:t>
      </w:r>
      <w:r w:rsidR="00006C16">
        <w:t xml:space="preserve">and to </w:t>
      </w:r>
      <w:r>
        <w:t xml:space="preserve"> download a notification form, </w:t>
      </w:r>
      <w:r w:rsidR="00006C16">
        <w:t>visit</w:t>
      </w:r>
      <w:r>
        <w:t xml:space="preserve"> our website</w:t>
      </w:r>
      <w:r w:rsidR="00006C16">
        <w:t>:</w:t>
      </w:r>
      <w:r w:rsidR="00006C16">
        <w:br/>
      </w:r>
      <w:hyperlink r:id="rId21" w:history="1">
        <w:r w:rsidR="00006C16" w:rsidRPr="00006C16">
          <w:rPr>
            <w:rStyle w:val="Hyperlink"/>
          </w:rPr>
          <w:t>https://ovic.vic.gov.au/data-protection/agency-reporting-obligations/incident-notification/</w:t>
        </w:r>
      </w:hyperlink>
      <w:r>
        <w:t xml:space="preserve"> </w:t>
      </w:r>
    </w:p>
    <w:p w14:paraId="1C8C490D" w14:textId="3E50BB5A" w:rsidR="000C7AB9" w:rsidRPr="000C7AB9" w:rsidRDefault="00006C16" w:rsidP="0035543F">
      <w:pPr>
        <w:pStyle w:val="Body"/>
        <w:rPr>
          <w:i/>
          <w:iCs/>
        </w:rPr>
      </w:pPr>
      <w:r>
        <w:t xml:space="preserve">We welcome your feedback on this report. </w:t>
      </w:r>
      <w:r w:rsidR="00463989" w:rsidRPr="001F3DC9">
        <w:t xml:space="preserve">Contact OVIC at </w:t>
      </w:r>
      <w:hyperlink r:id="rId22" w:history="1">
        <w:r w:rsidR="00463989" w:rsidRPr="00952599">
          <w:rPr>
            <w:rStyle w:val="Hyperlink"/>
          </w:rPr>
          <w:t>security@ovic.vic.gov.au</w:t>
        </w:r>
      </w:hyperlink>
      <w:r w:rsidR="00463989">
        <w:t xml:space="preserve"> </w:t>
      </w:r>
      <w:r w:rsidR="00463989" w:rsidRPr="001F3DC9">
        <w:t xml:space="preserve">if you </w:t>
      </w:r>
      <w:r w:rsidR="00463989">
        <w:t>would like to discuss this report any further.</w:t>
      </w:r>
    </w:p>
    <w:sectPr w:rsidR="000C7AB9" w:rsidRPr="000C7AB9" w:rsidSect="00CB19CB">
      <w:headerReference w:type="default" r:id="rId23"/>
      <w:pgSz w:w="11905" w:h="16838" w:orient="landscape" w:code="8"/>
      <w:pgMar w:top="1440" w:right="992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0DA86" w14:textId="77777777" w:rsidR="00F919F1" w:rsidRDefault="00F919F1" w:rsidP="00771051">
      <w:pPr>
        <w:spacing w:after="0" w:line="240" w:lineRule="auto"/>
      </w:pPr>
      <w:r>
        <w:separator/>
      </w:r>
    </w:p>
  </w:endnote>
  <w:endnote w:type="continuationSeparator" w:id="0">
    <w:p w14:paraId="1C9ED82D" w14:textId="77777777" w:rsidR="00F919F1" w:rsidRDefault="00F919F1" w:rsidP="0077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National-Book">
    <w:altName w:val="Times New Roman"/>
    <w:charset w:val="00"/>
    <w:family w:val="auto"/>
    <w:pitch w:val="variable"/>
    <w:sig w:usb0="00000001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5FEE2" w14:textId="4287188C" w:rsidR="00470C50" w:rsidRPr="00470C50" w:rsidRDefault="00470C50" w:rsidP="00470C50">
    <w:pPr>
      <w:pStyle w:val="Footer"/>
      <w:jc w:val="center"/>
      <w:rPr>
        <w:b/>
        <w:bCs/>
        <w:color w:val="FF0000"/>
        <w:sz w:val="44"/>
        <w:szCs w:val="44"/>
      </w:rPr>
    </w:pPr>
    <w:r w:rsidRPr="00470C50">
      <w:rPr>
        <w:b/>
        <w:bCs/>
        <w:color w:val="FF0000"/>
        <w:sz w:val="44"/>
        <w:szCs w:val="44"/>
      </w:rPr>
      <w:t>OFFICIAL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20E06" w14:textId="3502F7A9" w:rsidR="00470C50" w:rsidRPr="00470C50" w:rsidRDefault="00470C50" w:rsidP="00470C50">
    <w:pPr>
      <w:pStyle w:val="Footer"/>
      <w:jc w:val="center"/>
      <w:rPr>
        <w:b/>
        <w:bCs/>
        <w:color w:val="FF0000"/>
        <w:sz w:val="44"/>
        <w:szCs w:val="44"/>
      </w:rPr>
    </w:pPr>
    <w:r w:rsidRPr="00470C50">
      <w:rPr>
        <w:b/>
        <w:bCs/>
        <w:color w:val="FF0000"/>
        <w:sz w:val="44"/>
        <w:szCs w:val="44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C8311" w14:textId="77777777" w:rsidR="00F919F1" w:rsidRDefault="00F919F1" w:rsidP="00771051">
      <w:pPr>
        <w:spacing w:after="0" w:line="240" w:lineRule="auto"/>
      </w:pPr>
      <w:r>
        <w:separator/>
      </w:r>
    </w:p>
  </w:footnote>
  <w:footnote w:type="continuationSeparator" w:id="0">
    <w:p w14:paraId="65A00CAE" w14:textId="77777777" w:rsidR="00F919F1" w:rsidRDefault="00F919F1" w:rsidP="00771051">
      <w:pPr>
        <w:spacing w:after="0" w:line="240" w:lineRule="auto"/>
      </w:pPr>
      <w:r>
        <w:continuationSeparator/>
      </w:r>
    </w:p>
  </w:footnote>
  <w:footnote w:id="1">
    <w:p w14:paraId="4E44929D" w14:textId="77777777" w:rsidR="00584094" w:rsidRPr="00817A87" w:rsidRDefault="00584094" w:rsidP="00584094">
      <w:pPr>
        <w:pStyle w:val="FootnoteText"/>
        <w:rPr>
          <w:sz w:val="16"/>
          <w:szCs w:val="16"/>
          <w:lang w:val="en-US"/>
        </w:rPr>
      </w:pPr>
      <w:r w:rsidRPr="00817A87">
        <w:rPr>
          <w:rStyle w:val="FootnoteReference"/>
          <w:sz w:val="16"/>
          <w:szCs w:val="16"/>
        </w:rPr>
        <w:footnoteRef/>
      </w:r>
      <w:r w:rsidRPr="00817A87">
        <w:rPr>
          <w:sz w:val="16"/>
          <w:szCs w:val="16"/>
        </w:rPr>
        <w:t xml:space="preserve"> </w:t>
      </w:r>
      <w:r w:rsidRPr="00817A87">
        <w:rPr>
          <w:sz w:val="16"/>
          <w:szCs w:val="16"/>
          <w:lang w:val="en-US"/>
        </w:rPr>
        <w:t>Ref</w:t>
      </w:r>
      <w:r>
        <w:rPr>
          <w:sz w:val="16"/>
          <w:szCs w:val="16"/>
          <w:lang w:val="en-US"/>
        </w:rPr>
        <w:t>e</w:t>
      </w:r>
      <w:r w:rsidRPr="00817A87">
        <w:rPr>
          <w:sz w:val="16"/>
          <w:szCs w:val="16"/>
          <w:lang w:val="en-US"/>
        </w:rPr>
        <w:t xml:space="preserve">r to the </w:t>
      </w:r>
      <w:r>
        <w:rPr>
          <w:sz w:val="16"/>
          <w:szCs w:val="16"/>
          <w:lang w:val="en-US"/>
        </w:rPr>
        <w:t xml:space="preserve">current </w:t>
      </w:r>
      <w:r w:rsidRPr="00817A87">
        <w:rPr>
          <w:sz w:val="16"/>
          <w:szCs w:val="16"/>
          <w:lang w:val="en-US"/>
        </w:rPr>
        <w:t xml:space="preserve">VPDSF BIL table on the OVIC website </w:t>
      </w:r>
      <w:hyperlink r:id="rId1" w:history="1">
        <w:r w:rsidRPr="00A34EF3">
          <w:rPr>
            <w:rStyle w:val="Hyperlink"/>
            <w:sz w:val="16"/>
            <w:szCs w:val="16"/>
            <w:lang w:val="en-US"/>
          </w:rPr>
          <w:t>https://ovic.vic.gov.au/data-protection/for-agencies/vpdsf-resources/</w:t>
        </w:r>
      </w:hyperlink>
      <w:r>
        <w:rPr>
          <w:sz w:val="16"/>
          <w:szCs w:val="16"/>
          <w:lang w:val="en-US"/>
        </w:rPr>
        <w:t xml:space="preserve"> </w:t>
      </w:r>
      <w:r w:rsidRPr="00817A87">
        <w:rPr>
          <w:sz w:val="16"/>
          <w:szCs w:val="16"/>
          <w:lang w:val="en-US"/>
        </w:rPr>
        <w:t>for further inform</w:t>
      </w:r>
      <w:r>
        <w:rPr>
          <w:sz w:val="16"/>
          <w:szCs w:val="16"/>
          <w:lang w:val="en-US"/>
        </w:rPr>
        <w:t>atio</w:t>
      </w:r>
      <w:r w:rsidRPr="00817A87">
        <w:rPr>
          <w:sz w:val="16"/>
          <w:szCs w:val="16"/>
          <w:lang w:val="en-US"/>
        </w:rPr>
        <w:t>n.</w:t>
      </w:r>
    </w:p>
  </w:footnote>
  <w:footnote w:id="2">
    <w:p w14:paraId="5070E2F9" w14:textId="41AB88BD" w:rsidR="001B3399" w:rsidRDefault="001B33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3399">
        <w:rPr>
          <w:sz w:val="16"/>
          <w:szCs w:val="16"/>
        </w:rPr>
        <w:t>Other well</w:t>
      </w:r>
      <w:r w:rsidR="0087741A">
        <w:rPr>
          <w:sz w:val="16"/>
          <w:szCs w:val="16"/>
        </w:rPr>
        <w:t>-</w:t>
      </w:r>
      <w:r w:rsidRPr="001B3399">
        <w:rPr>
          <w:sz w:val="16"/>
          <w:szCs w:val="16"/>
        </w:rPr>
        <w:t xml:space="preserve">known schemes include the Office of the Australian Information Commissioner’s (OAIC) Notifiable data breaches </w:t>
      </w:r>
      <w:hyperlink r:id="rId2" w:history="1">
        <w:r w:rsidRPr="001B3399">
          <w:rPr>
            <w:rStyle w:val="Hyperlink"/>
            <w:sz w:val="16"/>
            <w:szCs w:val="16"/>
          </w:rPr>
          <w:t>https://www.oaic.gov.au/privacy/notifiable-data-breaches/</w:t>
        </w:r>
      </w:hyperlink>
      <w:r w:rsidRPr="001B3399">
        <w:rPr>
          <w:sz w:val="16"/>
          <w:szCs w:val="16"/>
        </w:rPr>
        <w:t xml:space="preserve"> </w:t>
      </w:r>
    </w:p>
  </w:footnote>
  <w:footnote w:id="3">
    <w:p w14:paraId="236B1AF6" w14:textId="271AD903" w:rsidR="00653DDE" w:rsidRPr="00653DDE" w:rsidRDefault="00653DD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53DDE">
        <w:rPr>
          <w:sz w:val="16"/>
          <w:szCs w:val="16"/>
        </w:rPr>
        <w:t xml:space="preserve">Refer to Verizon’s website for a copy of their report </w:t>
      </w:r>
      <w:hyperlink r:id="rId3" w:history="1">
        <w:r w:rsidRPr="00653DDE">
          <w:rPr>
            <w:rStyle w:val="Hyperlink"/>
            <w:sz w:val="16"/>
            <w:szCs w:val="16"/>
          </w:rPr>
          <w:t>https://enterprise.verizon.com/en-au/resources/reports/dbir/</w:t>
        </w:r>
      </w:hyperlink>
      <w:r w:rsidRPr="00653DDE">
        <w:rPr>
          <w:sz w:val="18"/>
          <w:szCs w:val="18"/>
        </w:rPr>
        <w:t xml:space="preserve"> </w:t>
      </w:r>
    </w:p>
  </w:footnote>
  <w:footnote w:id="4">
    <w:p w14:paraId="3DE9C558" w14:textId="7EE2301F" w:rsidR="00A30219" w:rsidRPr="00653DDE" w:rsidRDefault="00A30219">
      <w:pPr>
        <w:pStyle w:val="FootnoteText"/>
        <w:rPr>
          <w:sz w:val="16"/>
          <w:szCs w:val="16"/>
        </w:rPr>
      </w:pPr>
      <w:r w:rsidRPr="00653DDE">
        <w:rPr>
          <w:rStyle w:val="FootnoteReference"/>
          <w:sz w:val="16"/>
          <w:szCs w:val="16"/>
        </w:rPr>
        <w:footnoteRef/>
      </w:r>
      <w:r w:rsidRPr="00653DDE">
        <w:rPr>
          <w:sz w:val="16"/>
          <w:szCs w:val="16"/>
        </w:rPr>
        <w:t xml:space="preserve"> The extent of the </w:t>
      </w:r>
      <w:r w:rsidR="00653DDE">
        <w:rPr>
          <w:sz w:val="16"/>
          <w:szCs w:val="16"/>
        </w:rPr>
        <w:t>i</w:t>
      </w:r>
      <w:r w:rsidRPr="00653DDE">
        <w:rPr>
          <w:sz w:val="16"/>
          <w:szCs w:val="16"/>
        </w:rPr>
        <w:t>mpact could be “limited” or higher depending on the context and nature of the incident and is left for an organisation to determine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998DD" w14:textId="7CA8D743" w:rsidR="00470C50" w:rsidRDefault="00470C50" w:rsidP="00470C50">
    <w:pPr>
      <w:pStyle w:val="Header"/>
      <w:jc w:val="center"/>
    </w:pPr>
    <w:r w:rsidRPr="00470C50">
      <w:rPr>
        <w:b/>
        <w:bCs/>
        <w:color w:val="FF0000"/>
        <w:sz w:val="44"/>
        <w:szCs w:val="44"/>
      </w:rPr>
      <w:t>OFFICIAL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224F5" w14:textId="7EC83EB4" w:rsidR="00470C50" w:rsidRPr="00470C50" w:rsidRDefault="00470C50" w:rsidP="00470C50">
    <w:pPr>
      <w:pStyle w:val="Header"/>
      <w:tabs>
        <w:tab w:val="clear" w:pos="4513"/>
        <w:tab w:val="clear" w:pos="9026"/>
        <w:tab w:val="left" w:pos="6946"/>
      </w:tabs>
      <w:spacing w:after="180"/>
      <w:jc w:val="center"/>
      <w:rPr>
        <w:b/>
        <w:bCs/>
        <w:color w:val="FF0000"/>
        <w:sz w:val="44"/>
        <w:szCs w:val="44"/>
      </w:rPr>
    </w:pPr>
    <w:bookmarkStart w:id="0" w:name="_Hlk163127105"/>
    <w:r w:rsidRPr="00470C50">
      <w:rPr>
        <w:b/>
        <w:bCs/>
        <w:color w:val="FF0000"/>
        <w:sz w:val="44"/>
        <w:szCs w:val="44"/>
      </w:rPr>
      <w:t>OFFICIAL</w:t>
    </w:r>
    <w:bookmarkEnd w:id="0"/>
  </w:p>
  <w:p w14:paraId="357DAF55" w14:textId="5970C994" w:rsidR="001E6FE4" w:rsidRPr="00D70A8A" w:rsidRDefault="001E6FE4" w:rsidP="001E6FE4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eastAsia="en-AU"/>
      </w:rPr>
      <w:drawing>
        <wp:anchor distT="0" distB="0" distL="114300" distR="114300" simplePos="0" relativeHeight="251663360" behindDoc="1" locked="0" layoutInCell="1" allowOverlap="1" wp14:anchorId="467A7B44" wp14:editId="63D7CD06">
          <wp:simplePos x="0" y="0"/>
          <wp:positionH relativeFrom="column">
            <wp:posOffset>6350</wp:posOffset>
          </wp:positionH>
          <wp:positionV relativeFrom="paragraph">
            <wp:posOffset>-47625</wp:posOffset>
          </wp:positionV>
          <wp:extent cx="1565910" cy="720090"/>
          <wp:effectExtent l="0" t="0" r="0" b="3810"/>
          <wp:wrapThrough wrapText="bothSides">
            <wp:wrapPolygon edited="0">
              <wp:start x="0" y="0"/>
              <wp:lineTo x="0" y="21143"/>
              <wp:lineTo x="21285" y="21143"/>
              <wp:lineTo x="21285" y="0"/>
              <wp:lineTo x="0" y="0"/>
            </wp:wrapPolygon>
          </wp:wrapThrough>
          <wp:docPr id="4" name="Picture 4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8"/>
        <w:szCs w:val="28"/>
      </w:rPr>
      <w:tab/>
    </w:r>
    <w:r w:rsidRPr="00D70A8A">
      <w:rPr>
        <w:color w:val="555559"/>
        <w:sz w:val="26"/>
        <w:szCs w:val="26"/>
      </w:rPr>
      <w:t>INFORMATION FOR</w:t>
    </w:r>
    <w:r w:rsidRPr="00D70A8A">
      <w:rPr>
        <w:color w:val="7F7F7F"/>
        <w:sz w:val="26"/>
        <w:szCs w:val="26"/>
      </w:rPr>
      <w:br/>
    </w:r>
    <w:r w:rsidRPr="00D70A8A">
      <w:rPr>
        <w:color w:val="7F7F7F"/>
        <w:sz w:val="26"/>
        <w:szCs w:val="26"/>
      </w:rPr>
      <w:tab/>
    </w:r>
    <w:r>
      <w:rPr>
        <w:color w:val="430098"/>
        <w:sz w:val="26"/>
        <w:szCs w:val="26"/>
      </w:rPr>
      <w:t>AGENCIES and BODIES</w:t>
    </w:r>
  </w:p>
  <w:p w14:paraId="31BC2FF0" w14:textId="77777777" w:rsidR="001E6FE4" w:rsidRPr="00B37C5F" w:rsidRDefault="001E6FE4" w:rsidP="001E6FE4">
    <w:pPr>
      <w:pStyle w:val="Header"/>
      <w:tabs>
        <w:tab w:val="clear" w:pos="4513"/>
        <w:tab w:val="left" w:pos="6946"/>
      </w:tabs>
      <w:spacing w:after="60"/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1B87DEC9" w14:textId="77777777" w:rsidR="001E6FE4" w:rsidRPr="00B37C5F" w:rsidRDefault="001E6FE4" w:rsidP="001E6FE4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68E1398B" wp14:editId="23696596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5715"/>
          <wp:wrapNone/>
          <wp:docPr id="8" name="Picture 8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88C39" w14:textId="77777777" w:rsidR="001E6FE4" w:rsidRDefault="001E6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CDA2F" w14:textId="6DBE02B6" w:rsidR="00F0593D" w:rsidRPr="00771051" w:rsidRDefault="00F0593D" w:rsidP="00F0593D">
    <w:pPr>
      <w:pStyle w:val="Header"/>
      <w:tabs>
        <w:tab w:val="clear" w:pos="4513"/>
        <w:tab w:val="clear" w:pos="9026"/>
        <w:tab w:val="left" w:pos="6946"/>
      </w:tabs>
      <w:spacing w:after="180"/>
    </w:pPr>
    <w:r w:rsidRPr="00B37C5F">
      <w:rPr>
        <w:color w:val="7F7F7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C6914"/>
    <w:multiLevelType w:val="hybridMultilevel"/>
    <w:tmpl w:val="E256B7F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BE7CD2"/>
    <w:multiLevelType w:val="hybridMultilevel"/>
    <w:tmpl w:val="A6E8B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7FBC"/>
    <w:multiLevelType w:val="hybridMultilevel"/>
    <w:tmpl w:val="2530E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5372"/>
    <w:multiLevelType w:val="hybridMultilevel"/>
    <w:tmpl w:val="1AD4BB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862101">
    <w:abstractNumId w:val="1"/>
  </w:num>
  <w:num w:numId="2" w16cid:durableId="1272664694">
    <w:abstractNumId w:val="2"/>
  </w:num>
  <w:num w:numId="3" w16cid:durableId="1896349730">
    <w:abstractNumId w:val="3"/>
  </w:num>
  <w:num w:numId="4" w16cid:durableId="195424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bookFoldPrint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3E"/>
    <w:rsid w:val="00006C16"/>
    <w:rsid w:val="0001504B"/>
    <w:rsid w:val="000176FD"/>
    <w:rsid w:val="00043E66"/>
    <w:rsid w:val="000904B5"/>
    <w:rsid w:val="00097964"/>
    <w:rsid w:val="000C3730"/>
    <w:rsid w:val="000C7AB9"/>
    <w:rsid w:val="000D3955"/>
    <w:rsid w:val="000F45EB"/>
    <w:rsid w:val="001405E2"/>
    <w:rsid w:val="0015589E"/>
    <w:rsid w:val="00173280"/>
    <w:rsid w:val="001940E6"/>
    <w:rsid w:val="001B3399"/>
    <w:rsid w:val="001D4783"/>
    <w:rsid w:val="001E383E"/>
    <w:rsid w:val="001E6FE4"/>
    <w:rsid w:val="001F4AF1"/>
    <w:rsid w:val="00225942"/>
    <w:rsid w:val="002448E8"/>
    <w:rsid w:val="00256291"/>
    <w:rsid w:val="0029040E"/>
    <w:rsid w:val="002C11FE"/>
    <w:rsid w:val="00300CFA"/>
    <w:rsid w:val="00354E39"/>
    <w:rsid w:val="0035543F"/>
    <w:rsid w:val="003A7D9B"/>
    <w:rsid w:val="003D2B7D"/>
    <w:rsid w:val="00463989"/>
    <w:rsid w:val="00470C50"/>
    <w:rsid w:val="004944A5"/>
    <w:rsid w:val="004A3AA3"/>
    <w:rsid w:val="004B17E4"/>
    <w:rsid w:val="004D46D1"/>
    <w:rsid w:val="004E4F2C"/>
    <w:rsid w:val="00534F8C"/>
    <w:rsid w:val="0055769E"/>
    <w:rsid w:val="00562E60"/>
    <w:rsid w:val="00584094"/>
    <w:rsid w:val="005907C9"/>
    <w:rsid w:val="005A4F71"/>
    <w:rsid w:val="005A7CAB"/>
    <w:rsid w:val="0063309A"/>
    <w:rsid w:val="00644E81"/>
    <w:rsid w:val="00653DDE"/>
    <w:rsid w:val="0068490E"/>
    <w:rsid w:val="00696AAD"/>
    <w:rsid w:val="007652E6"/>
    <w:rsid w:val="00771051"/>
    <w:rsid w:val="00776EBD"/>
    <w:rsid w:val="007876B1"/>
    <w:rsid w:val="007D5DB5"/>
    <w:rsid w:val="007F61EB"/>
    <w:rsid w:val="0084756B"/>
    <w:rsid w:val="0087741A"/>
    <w:rsid w:val="008D1B82"/>
    <w:rsid w:val="008D1E1C"/>
    <w:rsid w:val="008D5062"/>
    <w:rsid w:val="00915DCF"/>
    <w:rsid w:val="00920E81"/>
    <w:rsid w:val="009607BE"/>
    <w:rsid w:val="00996A18"/>
    <w:rsid w:val="009C16F7"/>
    <w:rsid w:val="00A30219"/>
    <w:rsid w:val="00A82A88"/>
    <w:rsid w:val="00AE68E6"/>
    <w:rsid w:val="00B12B2F"/>
    <w:rsid w:val="00B42EA1"/>
    <w:rsid w:val="00B56ED0"/>
    <w:rsid w:val="00B66C6F"/>
    <w:rsid w:val="00B7282D"/>
    <w:rsid w:val="00B93984"/>
    <w:rsid w:val="00B959AC"/>
    <w:rsid w:val="00BB1429"/>
    <w:rsid w:val="00BC137E"/>
    <w:rsid w:val="00BC354F"/>
    <w:rsid w:val="00BC5B11"/>
    <w:rsid w:val="00BF560F"/>
    <w:rsid w:val="00C109ED"/>
    <w:rsid w:val="00C66CB8"/>
    <w:rsid w:val="00C761D8"/>
    <w:rsid w:val="00C86B59"/>
    <w:rsid w:val="00C87253"/>
    <w:rsid w:val="00CA175E"/>
    <w:rsid w:val="00CB19CB"/>
    <w:rsid w:val="00D015C3"/>
    <w:rsid w:val="00D23F74"/>
    <w:rsid w:val="00D30BF2"/>
    <w:rsid w:val="00D458A2"/>
    <w:rsid w:val="00D53B9F"/>
    <w:rsid w:val="00D60874"/>
    <w:rsid w:val="00D62FA8"/>
    <w:rsid w:val="00D76CA0"/>
    <w:rsid w:val="00D81627"/>
    <w:rsid w:val="00D8350E"/>
    <w:rsid w:val="00D86981"/>
    <w:rsid w:val="00DA66D0"/>
    <w:rsid w:val="00DA7AF0"/>
    <w:rsid w:val="00DB50A8"/>
    <w:rsid w:val="00DD167B"/>
    <w:rsid w:val="00DD7278"/>
    <w:rsid w:val="00DE0074"/>
    <w:rsid w:val="00DF040A"/>
    <w:rsid w:val="00E20A5C"/>
    <w:rsid w:val="00E52C54"/>
    <w:rsid w:val="00E722BE"/>
    <w:rsid w:val="00EA6BBB"/>
    <w:rsid w:val="00F0593D"/>
    <w:rsid w:val="00F07F57"/>
    <w:rsid w:val="00F35A57"/>
    <w:rsid w:val="00F5151C"/>
    <w:rsid w:val="00F55A27"/>
    <w:rsid w:val="00F9151A"/>
    <w:rsid w:val="00F919F1"/>
    <w:rsid w:val="00F92938"/>
    <w:rsid w:val="00FA1831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CF83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51"/>
  </w:style>
  <w:style w:type="paragraph" w:styleId="Footer">
    <w:name w:val="footer"/>
    <w:basedOn w:val="Normal"/>
    <w:link w:val="FooterChar"/>
    <w:uiPriority w:val="99"/>
    <w:unhideWhenUsed/>
    <w:rsid w:val="0077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51"/>
  </w:style>
  <w:style w:type="paragraph" w:customStyle="1" w:styleId="DocumentTitle">
    <w:name w:val="Document Title"/>
    <w:basedOn w:val="Header"/>
    <w:qFormat/>
    <w:rsid w:val="00771051"/>
    <w:pPr>
      <w:tabs>
        <w:tab w:val="clear" w:pos="9026"/>
        <w:tab w:val="left" w:pos="6946"/>
      </w:tabs>
      <w:spacing w:before="840" w:after="120"/>
    </w:pPr>
    <w:rPr>
      <w:rFonts w:ascii="Arial" w:eastAsia="Calibri" w:hAnsi="Arial" w:cs="Arial"/>
      <w:b/>
      <w:color w:val="430098"/>
      <w:sz w:val="40"/>
      <w:szCs w:val="40"/>
      <w:lang w:val="en-GB"/>
    </w:rPr>
  </w:style>
  <w:style w:type="paragraph" w:customStyle="1" w:styleId="Body">
    <w:name w:val="Body"/>
    <w:basedOn w:val="Normal"/>
    <w:qFormat/>
    <w:rsid w:val="00771051"/>
    <w:pPr>
      <w:widowControl w:val="0"/>
      <w:suppressAutoHyphens/>
      <w:autoSpaceDE w:val="0"/>
      <w:autoSpaceDN w:val="0"/>
      <w:adjustRightInd w:val="0"/>
      <w:spacing w:after="240" w:line="240" w:lineRule="auto"/>
      <w:textAlignment w:val="center"/>
    </w:pPr>
    <w:rPr>
      <w:rFonts w:ascii="Calibri" w:eastAsia="Calibri" w:hAnsi="Calibri" w:cs="PostGrotesk-Book"/>
      <w:color w:val="55565A"/>
      <w:lang w:val="en-GB"/>
    </w:rPr>
  </w:style>
  <w:style w:type="paragraph" w:customStyle="1" w:styleId="SectionHeading1">
    <w:name w:val="Section Heading 1"/>
    <w:basedOn w:val="Normal"/>
    <w:qFormat/>
    <w:rsid w:val="00771051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libri" w:eastAsia="Calibri" w:hAnsi="Calibri" w:cs="PostGrotesk-Medium"/>
      <w:color w:val="430098"/>
      <w:sz w:val="28"/>
      <w:szCs w:val="28"/>
      <w:lang w:val="en-GB"/>
    </w:rPr>
  </w:style>
  <w:style w:type="character" w:styleId="Hyperlink">
    <w:name w:val="Hyperlink"/>
    <w:uiPriority w:val="99"/>
    <w:rsid w:val="00771051"/>
    <w:rPr>
      <w:color w:val="430098"/>
      <w:w w:val="100"/>
      <w:u w:val="single" w:color="43009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05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05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0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29"/>
    <w:rPr>
      <w:b/>
      <w:bCs/>
      <w:sz w:val="20"/>
      <w:szCs w:val="20"/>
    </w:rPr>
  </w:style>
  <w:style w:type="paragraph" w:customStyle="1" w:styleId="BodyCopy">
    <w:name w:val="Body Copy"/>
    <w:basedOn w:val="Normal"/>
    <w:uiPriority w:val="99"/>
    <w:qFormat/>
    <w:rsid w:val="00463989"/>
    <w:pPr>
      <w:widowControl w:val="0"/>
      <w:suppressAutoHyphens/>
      <w:autoSpaceDE w:val="0"/>
      <w:autoSpaceDN w:val="0"/>
      <w:adjustRightInd w:val="0"/>
      <w:spacing w:before="120" w:after="200" w:line="264" w:lineRule="auto"/>
      <w:textAlignment w:val="center"/>
    </w:pPr>
    <w:rPr>
      <w:rFonts w:eastAsia="Times New Roman" w:cs="National-Book"/>
      <w:color w:val="55565A"/>
      <w:lang w:val="en-US"/>
    </w:rPr>
  </w:style>
  <w:style w:type="paragraph" w:styleId="ListParagraph">
    <w:name w:val="List Paragraph"/>
    <w:basedOn w:val="Normal"/>
    <w:uiPriority w:val="34"/>
    <w:qFormat/>
    <w:rsid w:val="00463989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table" w:styleId="GridTable4-Accent4">
    <w:name w:val="Grid Table 4 Accent 4"/>
    <w:basedOn w:val="TableNormal"/>
    <w:uiPriority w:val="49"/>
    <w:rsid w:val="00463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SectionHeading">
    <w:name w:val="Section Heading"/>
    <w:basedOn w:val="Heading1"/>
    <w:qFormat/>
    <w:rsid w:val="00463989"/>
    <w:pPr>
      <w:keepNext w:val="0"/>
      <w:keepLines w:val="0"/>
      <w:spacing w:before="120" w:after="160" w:line="264" w:lineRule="auto"/>
    </w:pPr>
    <w:rPr>
      <w:rFonts w:ascii="Calibri" w:eastAsia="Times New Roman" w:hAnsi="Calibri" w:cs="Times New Roman"/>
      <w:b/>
      <w:color w:val="5620A9"/>
    </w:rPr>
  </w:style>
  <w:style w:type="character" w:customStyle="1" w:styleId="Heading1Char">
    <w:name w:val="Heading 1 Char"/>
    <w:basedOn w:val="DefaultParagraphFont"/>
    <w:link w:val="Heading1"/>
    <w:uiPriority w:val="9"/>
    <w:rsid w:val="004639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639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0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ovic.vic.gov.au/data-protection/agency-reporting-obligations/incident-notification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@ovic.vic.gov.a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terprise.verizon.com/en-au/resources/reports/dbir/" TargetMode="External"/><Relationship Id="rId2" Type="http://schemas.openxmlformats.org/officeDocument/2006/relationships/hyperlink" Target="https://www.oaic.gov.au/privacy/notifiable-data-breaches/" TargetMode="External"/><Relationship Id="rId1" Type="http://schemas.openxmlformats.org/officeDocument/2006/relationships/hyperlink" Target="https://ovic.vic.gov.au/data-protection/for-agencies/vpdsf-resourc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EEE7-E428-4E2E-AE4E-9EE3CBAC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2024-04-04T01:42:00Z</dcterms:created>
  <dcterms:modified xsi:type="dcterms:W3CDTF">2024-04-04T01:46:00Z</dcterms:modified>
</cp:coreProperties>
</file>