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894A" w14:textId="77777777" w:rsidR="00E75FCA" w:rsidRPr="00E75FCA" w:rsidRDefault="00E75FCA" w:rsidP="00E75FCA">
      <w:pPr>
        <w:pStyle w:val="Toggle"/>
        <w:rPr>
          <w:b w:val="0"/>
          <w:bCs/>
        </w:rPr>
      </w:pPr>
    </w:p>
    <w:p w14:paraId="7BF5CB39" w14:textId="3FACDFC7" w:rsidR="00A53F38" w:rsidRDefault="00A53F38" w:rsidP="00A53F38">
      <w:pPr>
        <w:pStyle w:val="Agencyinformation"/>
      </w:pPr>
      <w:r>
        <w:t xml:space="preserve">Information for </w:t>
      </w:r>
      <w:sdt>
        <w:sdtPr>
          <w:id w:val="-1971114257"/>
          <w:placeholder>
            <w:docPart w:val="3F655736DC7A407081DE594DAB9BAB3B"/>
          </w:placeholder>
          <w:comboBox>
            <w:listItem w:displayText="agencies" w:value="agencies"/>
            <w:listItem w:displayText="the public" w:value="the public"/>
          </w:comboBox>
        </w:sdtPr>
        <w:sdtContent>
          <w:r w:rsidR="00E803E9">
            <w:t>agencies</w:t>
          </w:r>
        </w:sdtContent>
      </w:sdt>
      <w:r>
        <w:t xml:space="preserve"> </w:t>
      </w:r>
    </w:p>
    <w:p w14:paraId="1F8246C4" w14:textId="04528243" w:rsidR="00EA3594" w:rsidRPr="00281560" w:rsidRDefault="00E803E9" w:rsidP="00EA3594">
      <w:pPr>
        <w:pStyle w:val="Title"/>
      </w:pPr>
      <w:r>
        <w:t>Incident Insights Report</w:t>
      </w:r>
    </w:p>
    <w:p w14:paraId="63E186D2" w14:textId="30D2825F" w:rsidR="00EA3594" w:rsidRDefault="00E803E9" w:rsidP="009A49D1">
      <w:pPr>
        <w:pStyle w:val="Subtitle"/>
      </w:pPr>
      <w:r>
        <w:t>1 J</w:t>
      </w:r>
      <w:r w:rsidR="003B2787">
        <w:t>uly</w:t>
      </w:r>
      <w:r>
        <w:t xml:space="preserve"> 202</w:t>
      </w:r>
      <w:r w:rsidR="00B849A9">
        <w:t>3</w:t>
      </w:r>
      <w:r>
        <w:t xml:space="preserve"> – </w:t>
      </w:r>
      <w:r w:rsidR="00E40B25">
        <w:t>3</w:t>
      </w:r>
      <w:r w:rsidR="003B2787">
        <w:t>1</w:t>
      </w:r>
      <w:r w:rsidR="00E40B25">
        <w:t xml:space="preserve"> </w:t>
      </w:r>
      <w:r w:rsidR="003B2787">
        <w:t>December</w:t>
      </w:r>
      <w:r>
        <w:t xml:space="preserve"> 202</w:t>
      </w:r>
      <w:r w:rsidR="00B849A9">
        <w:t>3</w:t>
      </w:r>
    </w:p>
    <w:p w14:paraId="38B097DC" w14:textId="25C5645F" w:rsidR="00E803E9" w:rsidRDefault="00E803E9" w:rsidP="00A01C6A">
      <w:r>
        <w:t>T</w:t>
      </w:r>
      <w:r w:rsidRPr="001D1FE7">
        <w:t>he</w:t>
      </w:r>
      <w:r>
        <w:t xml:space="preserve"> information security</w:t>
      </w:r>
      <w:r w:rsidRPr="001D1FE7">
        <w:t xml:space="preserve"> incident notification scheme</w:t>
      </w:r>
      <w:r>
        <w:t xml:space="preserve"> (</w:t>
      </w:r>
      <w:r w:rsidRPr="00C86B59">
        <w:rPr>
          <w:b/>
          <w:bCs/>
        </w:rPr>
        <w:t>the scheme</w:t>
      </w:r>
      <w:r>
        <w:t>)</w:t>
      </w:r>
      <w:r w:rsidRPr="001D1FE7">
        <w:t xml:space="preserve"> provide</w:t>
      </w:r>
      <w:r>
        <w:t>s</w:t>
      </w:r>
      <w:r w:rsidRPr="001D1FE7">
        <w:t xml:space="preserve"> resources, trends analysis and risk reporting.</w:t>
      </w:r>
    </w:p>
    <w:p w14:paraId="5DFE1A47" w14:textId="56132CF5" w:rsidR="00BF3799" w:rsidRPr="00FB0D65" w:rsidRDefault="00E803E9" w:rsidP="00BF3799">
      <w:pPr>
        <w:pStyle w:val="Heading2"/>
      </w:pPr>
      <w:r>
        <w:t>Overview of this report</w:t>
      </w:r>
    </w:p>
    <w:p w14:paraId="7F712256" w14:textId="6CE0FE68" w:rsidR="00E803E9" w:rsidRDefault="00E803E9" w:rsidP="00E803E9">
      <w:r>
        <w:t xml:space="preserve">The Incident Insights Report provides a summary and analysis of the information security incident notifications received by OVIC between </w:t>
      </w:r>
      <w:r w:rsidRPr="00956F61">
        <w:rPr>
          <w:b/>
          <w:bCs/>
        </w:rPr>
        <w:t xml:space="preserve">1 </w:t>
      </w:r>
      <w:r>
        <w:rPr>
          <w:b/>
          <w:bCs/>
        </w:rPr>
        <w:t>J</w:t>
      </w:r>
      <w:r w:rsidR="003B2787">
        <w:rPr>
          <w:b/>
          <w:bCs/>
        </w:rPr>
        <w:t>uly</w:t>
      </w:r>
      <w:r w:rsidRPr="00D015C3">
        <w:rPr>
          <w:b/>
          <w:bCs/>
        </w:rPr>
        <w:t xml:space="preserve"> 20</w:t>
      </w:r>
      <w:r>
        <w:rPr>
          <w:b/>
          <w:bCs/>
        </w:rPr>
        <w:t>2</w:t>
      </w:r>
      <w:r w:rsidR="00B849A9">
        <w:rPr>
          <w:b/>
          <w:bCs/>
        </w:rPr>
        <w:t>3</w:t>
      </w:r>
      <w:r w:rsidRPr="00D015C3">
        <w:rPr>
          <w:b/>
          <w:bCs/>
        </w:rPr>
        <w:t xml:space="preserve"> </w:t>
      </w:r>
      <w:r w:rsidRPr="00C86B59">
        <w:t>to</w:t>
      </w:r>
      <w:r w:rsidRPr="00D015C3">
        <w:rPr>
          <w:b/>
          <w:bCs/>
        </w:rPr>
        <w:t xml:space="preserve"> </w:t>
      </w:r>
      <w:r w:rsidR="00E40B25" w:rsidRPr="00D015C3">
        <w:rPr>
          <w:b/>
          <w:bCs/>
        </w:rPr>
        <w:t>3</w:t>
      </w:r>
      <w:r w:rsidR="003B2787">
        <w:rPr>
          <w:b/>
          <w:bCs/>
        </w:rPr>
        <w:t>1 December</w:t>
      </w:r>
      <w:r w:rsidRPr="00D015C3">
        <w:rPr>
          <w:b/>
          <w:bCs/>
        </w:rPr>
        <w:t xml:space="preserve"> 202</w:t>
      </w:r>
      <w:r w:rsidR="00B849A9">
        <w:rPr>
          <w:b/>
          <w:bCs/>
        </w:rPr>
        <w:t>3</w:t>
      </w:r>
      <w:r>
        <w:t>.</w:t>
      </w:r>
    </w:p>
    <w:p w14:paraId="323F2C36" w14:textId="77777777" w:rsidR="00E803E9" w:rsidRPr="004650C0" w:rsidRDefault="00E803E9" w:rsidP="00E803E9">
      <w:r w:rsidRPr="004650C0">
        <w:t xml:space="preserve">The analysis in this report is based on comparing the statistics published in previous </w:t>
      </w:r>
      <w:r w:rsidRPr="004650C0">
        <w:rPr>
          <w:u w:color="430098"/>
        </w:rPr>
        <w:t>Incident Insights Reports</w:t>
      </w:r>
      <w:r w:rsidRPr="004650C0">
        <w:t xml:space="preserve"> with the notifications received by our office under the scheme. </w:t>
      </w:r>
    </w:p>
    <w:p w14:paraId="3C8FEDE8" w14:textId="44E0618F" w:rsidR="00E803E9" w:rsidRDefault="00E803E9" w:rsidP="00E803E9">
      <w:r w:rsidRPr="004650C0">
        <w:t xml:space="preserve">Victoria Police incident statistics are reported on annually, consistent with existing reporting commitments. </w:t>
      </w:r>
      <w:r w:rsidR="00750C4D" w:rsidRPr="00750C4D">
        <w:t xml:space="preserve">For </w:t>
      </w:r>
      <w:r w:rsidR="00941D24">
        <w:t>the</w:t>
      </w:r>
      <w:r w:rsidR="00941D24" w:rsidRPr="00750C4D">
        <w:t xml:space="preserve"> </w:t>
      </w:r>
      <w:r w:rsidR="00750C4D" w:rsidRPr="00750C4D">
        <w:t xml:space="preserve">latest incident statistics </w:t>
      </w:r>
      <w:r w:rsidR="00941D24">
        <w:t xml:space="preserve">from Victoria Police </w:t>
      </w:r>
      <w:r w:rsidR="00750C4D" w:rsidRPr="00750C4D">
        <w:t>refer to OVIC’s</w:t>
      </w:r>
      <w:r w:rsidR="00D666D0" w:rsidRPr="004650C0">
        <w:t xml:space="preserve"> </w:t>
      </w:r>
      <w:hyperlink r:id="rId9" w:history="1">
        <w:r w:rsidR="00D666D0" w:rsidRPr="00750C4D">
          <w:rPr>
            <w:rStyle w:val="Hyperlink"/>
          </w:rPr>
          <w:t>Incident Insights Report for 1 January – 30 June 202</w:t>
        </w:r>
        <w:r w:rsidR="00750C4D" w:rsidRPr="00750C4D">
          <w:rPr>
            <w:rStyle w:val="Hyperlink"/>
          </w:rPr>
          <w:t>3</w:t>
        </w:r>
      </w:hyperlink>
      <w:r w:rsidRPr="004650C0">
        <w:t>.</w:t>
      </w:r>
      <w:r w:rsidRPr="00AC495A" w:rsidDel="009C1C13">
        <w:t xml:space="preserve"> </w:t>
      </w:r>
    </w:p>
    <w:p w14:paraId="403D018C" w14:textId="1B0454C8" w:rsidR="00E803E9" w:rsidRDefault="00E803E9" w:rsidP="00E803E9">
      <w:r>
        <w:t xml:space="preserve">Note: The incident notification form allows for </w:t>
      </w:r>
      <w:r w:rsidRPr="00CD411E">
        <w:rPr>
          <w:b/>
          <w:bCs/>
        </w:rPr>
        <w:t>more than one</w:t>
      </w:r>
      <w:r w:rsidRPr="00C00CF5">
        <w:t xml:space="preserve"> response </w:t>
      </w:r>
      <w:r>
        <w:t>to</w:t>
      </w:r>
      <w:r w:rsidRPr="00C00CF5">
        <w:t xml:space="preserve"> be selected</w:t>
      </w:r>
      <w:r>
        <w:t xml:space="preserve"> for the fields</w:t>
      </w:r>
      <w:r w:rsidR="00750C4D">
        <w:t>,</w:t>
      </w:r>
      <w:r>
        <w:t xml:space="preserve"> </w:t>
      </w:r>
      <w:r w:rsidRPr="00CD411E">
        <w:rPr>
          <w:b/>
          <w:bCs/>
        </w:rPr>
        <w:t>information format</w:t>
      </w:r>
      <w:r>
        <w:t xml:space="preserve">, </w:t>
      </w:r>
      <w:r w:rsidRPr="00CD411E">
        <w:rPr>
          <w:b/>
          <w:bCs/>
        </w:rPr>
        <w:t>type of information</w:t>
      </w:r>
      <w:r>
        <w:t xml:space="preserve">, </w:t>
      </w:r>
      <w:r w:rsidRPr="00CD411E">
        <w:rPr>
          <w:b/>
          <w:bCs/>
        </w:rPr>
        <w:t>security attributes</w:t>
      </w:r>
      <w:r>
        <w:t xml:space="preserve">, </w:t>
      </w:r>
      <w:r w:rsidRPr="00CD411E">
        <w:rPr>
          <w:b/>
          <w:bCs/>
        </w:rPr>
        <w:t>control area</w:t>
      </w:r>
      <w:r>
        <w:t xml:space="preserve">, </w:t>
      </w:r>
      <w:r w:rsidRPr="00CD411E">
        <w:rPr>
          <w:b/>
          <w:bCs/>
        </w:rPr>
        <w:t>threat actor</w:t>
      </w:r>
      <w:r>
        <w:t xml:space="preserve">, and </w:t>
      </w:r>
      <w:r w:rsidRPr="00CD411E">
        <w:rPr>
          <w:b/>
          <w:bCs/>
        </w:rPr>
        <w:t>threat type</w:t>
      </w:r>
      <w:r w:rsidRPr="00C00CF5">
        <w:t xml:space="preserve">. The sum of percentages </w:t>
      </w:r>
      <w:r>
        <w:t>for these fields</w:t>
      </w:r>
      <w:r w:rsidRPr="00C00CF5">
        <w:t xml:space="preserve"> will exceed 100% (as expected) reflecting the nature of multiple responses for each </w:t>
      </w:r>
      <w:r>
        <w:t>question</w:t>
      </w:r>
      <w:r w:rsidRPr="00C00CF5">
        <w:t xml:space="preserve">. </w:t>
      </w:r>
      <w:bookmarkStart w:id="0" w:name="_Hlk130905743"/>
      <w:r w:rsidRPr="00C00CF5">
        <w:t xml:space="preserve">These </w:t>
      </w:r>
      <w:r>
        <w:t>sections</w:t>
      </w:r>
      <w:r w:rsidRPr="00C00CF5">
        <w:t xml:space="preserve"> are marked </w:t>
      </w:r>
      <w:r w:rsidR="00A60161">
        <w:t>accordingly</w:t>
      </w:r>
      <w:r>
        <w:t xml:space="preserve"> in this report</w:t>
      </w:r>
      <w:r w:rsidRPr="00C00CF5">
        <w:t>.</w:t>
      </w:r>
    </w:p>
    <w:bookmarkEnd w:id="0"/>
    <w:p w14:paraId="69E69ABA" w14:textId="77777777" w:rsidR="00F4430E" w:rsidRDefault="00F4430E" w:rsidP="00E803E9"/>
    <w:p w14:paraId="1D44EBC3" w14:textId="77777777" w:rsidR="000167D5" w:rsidRDefault="000167D5">
      <w:pPr>
        <w:spacing w:before="0" w:after="160" w:line="259" w:lineRule="auto"/>
        <w:rPr>
          <w:rFonts w:eastAsiaTheme="majorEastAsia" w:cstheme="majorBidi"/>
          <w:color w:val="430098" w:themeColor="text2"/>
          <w:sz w:val="30"/>
          <w:szCs w:val="26"/>
        </w:rPr>
      </w:pPr>
      <w:r>
        <w:br w:type="page"/>
      </w:r>
    </w:p>
    <w:p w14:paraId="3BF85FA0" w14:textId="07F6789A" w:rsidR="00BF3799" w:rsidRDefault="00E803E9" w:rsidP="00BF3799">
      <w:pPr>
        <w:pStyle w:val="Heading2"/>
      </w:pPr>
      <w:r w:rsidRPr="00E803E9">
        <w:lastRenderedPageBreak/>
        <w:t>Information security incident notification insights from J</w:t>
      </w:r>
      <w:r w:rsidR="00750C4D">
        <w:t>uly</w:t>
      </w:r>
      <w:r w:rsidRPr="00E803E9">
        <w:t xml:space="preserve"> – </w:t>
      </w:r>
      <w:r w:rsidR="00750C4D">
        <w:t>December</w:t>
      </w:r>
      <w:r w:rsidRPr="00E803E9">
        <w:t xml:space="preserve"> 202</w:t>
      </w:r>
      <w:r w:rsidR="00820E52">
        <w:t>3</w:t>
      </w:r>
    </w:p>
    <w:p w14:paraId="349BC3C4" w14:textId="64FFC4DC" w:rsidR="00E803E9" w:rsidRDefault="00E803E9" w:rsidP="00FA1B6A">
      <w:pPr>
        <w:pStyle w:val="Heading2"/>
      </w:pPr>
      <w:r>
        <w:t>Notifications by month</w:t>
      </w:r>
    </w:p>
    <w:p w14:paraId="45281B9C" w14:textId="42D2F3BE" w:rsidR="00FA09F2" w:rsidRPr="00FA09F2" w:rsidRDefault="00FA09F2" w:rsidP="00FA1B6A">
      <w:r>
        <w:rPr>
          <w:noProof/>
        </w:rPr>
        <w:drawing>
          <wp:inline distT="0" distB="0" distL="0" distR="0" wp14:anchorId="31DD9A9D" wp14:editId="574DD013">
            <wp:extent cx="5486400" cy="2315981"/>
            <wp:effectExtent l="0" t="0" r="0" b="0"/>
            <wp:docPr id="182989357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5A901D" w14:textId="79167073" w:rsidR="00A01C6A" w:rsidRDefault="00DE68E7" w:rsidP="00AC47F1">
      <w:pPr>
        <w:pStyle w:val="Heading3"/>
      </w:pPr>
      <w:r w:rsidRPr="00DE68E7">
        <w:t>Insights:</w:t>
      </w:r>
    </w:p>
    <w:p w14:paraId="365D07CE" w14:textId="794B392C" w:rsidR="00E803E9" w:rsidRPr="000167D5" w:rsidRDefault="00E803E9" w:rsidP="00E803E9">
      <w:r w:rsidRPr="000167D5">
        <w:t xml:space="preserve">OVIC received </w:t>
      </w:r>
      <w:r w:rsidR="00070F9D" w:rsidRPr="00070F9D">
        <w:rPr>
          <w:b/>
          <w:bCs/>
        </w:rPr>
        <w:t>342</w:t>
      </w:r>
      <w:r w:rsidRPr="000167D5">
        <w:t xml:space="preserve"> notifications between </w:t>
      </w:r>
      <w:r w:rsidRPr="000167D5">
        <w:rPr>
          <w:b/>
          <w:bCs/>
        </w:rPr>
        <w:t xml:space="preserve">1 </w:t>
      </w:r>
      <w:r w:rsidR="00D666D0" w:rsidRPr="000167D5">
        <w:rPr>
          <w:b/>
          <w:bCs/>
        </w:rPr>
        <w:t>J</w:t>
      </w:r>
      <w:r w:rsidR="00070F9D">
        <w:rPr>
          <w:b/>
          <w:bCs/>
        </w:rPr>
        <w:t>uly</w:t>
      </w:r>
      <w:r w:rsidRPr="000167D5">
        <w:t xml:space="preserve"> to </w:t>
      </w:r>
      <w:r w:rsidRPr="000167D5">
        <w:rPr>
          <w:b/>
          <w:bCs/>
        </w:rPr>
        <w:t>3</w:t>
      </w:r>
      <w:r w:rsidR="00070F9D">
        <w:rPr>
          <w:b/>
          <w:bCs/>
        </w:rPr>
        <w:t>1 December</w:t>
      </w:r>
      <w:r w:rsidRPr="000167D5">
        <w:rPr>
          <w:b/>
          <w:bCs/>
        </w:rPr>
        <w:t xml:space="preserve"> 202</w:t>
      </w:r>
      <w:r w:rsidR="00D666D0" w:rsidRPr="000167D5">
        <w:rPr>
          <w:b/>
          <w:bCs/>
        </w:rPr>
        <w:t>3</w:t>
      </w:r>
      <w:r w:rsidRPr="000167D5">
        <w:t xml:space="preserve"> (inclusive). This </w:t>
      </w:r>
      <w:r w:rsidR="00D666D0" w:rsidRPr="000167D5">
        <w:t xml:space="preserve">period saw a </w:t>
      </w:r>
      <w:r w:rsidR="000167D5" w:rsidRPr="000167D5">
        <w:rPr>
          <w:b/>
          <w:bCs/>
        </w:rPr>
        <w:t>2</w:t>
      </w:r>
      <w:r w:rsidR="00707EBC">
        <w:rPr>
          <w:b/>
          <w:bCs/>
        </w:rPr>
        <w:t>0</w:t>
      </w:r>
      <w:r w:rsidR="00DE0B46">
        <w:rPr>
          <w:b/>
          <w:bCs/>
        </w:rPr>
        <w:t>%</w:t>
      </w:r>
      <w:r w:rsidR="00D666D0" w:rsidRPr="000167D5">
        <w:t xml:space="preserve"> </w:t>
      </w:r>
      <w:r w:rsidR="00707EBC">
        <w:t>in</w:t>
      </w:r>
      <w:r w:rsidR="00D666D0" w:rsidRPr="000167D5">
        <w:t xml:space="preserve">crease in notifications </w:t>
      </w:r>
      <w:r w:rsidRPr="000167D5">
        <w:t xml:space="preserve">compared to </w:t>
      </w:r>
      <w:r w:rsidR="00D666D0" w:rsidRPr="000167D5">
        <w:t xml:space="preserve">the previous </w:t>
      </w:r>
      <w:r w:rsidR="00820E52">
        <w:t>notification</w:t>
      </w:r>
      <w:r w:rsidR="00D666D0" w:rsidRPr="000167D5">
        <w:t xml:space="preserve"> period </w:t>
      </w:r>
      <w:r w:rsidR="00707EBC">
        <w:t>January</w:t>
      </w:r>
      <w:r w:rsidRPr="000167D5">
        <w:t xml:space="preserve"> to </w:t>
      </w:r>
      <w:r w:rsidR="00707EBC">
        <w:t>June</w:t>
      </w:r>
      <w:r w:rsidRPr="000167D5">
        <w:t xml:space="preserve"> 202</w:t>
      </w:r>
      <w:r w:rsidR="00707EBC">
        <w:t>3</w:t>
      </w:r>
      <w:r w:rsidRPr="000167D5">
        <w:t xml:space="preserve"> (</w:t>
      </w:r>
      <w:r w:rsidR="00707EBC">
        <w:rPr>
          <w:b/>
          <w:bCs/>
        </w:rPr>
        <w:t>2</w:t>
      </w:r>
      <w:r w:rsidR="00D666D0" w:rsidRPr="000167D5">
        <w:rPr>
          <w:b/>
          <w:bCs/>
        </w:rPr>
        <w:t>8</w:t>
      </w:r>
      <w:r w:rsidR="00707EBC">
        <w:rPr>
          <w:b/>
          <w:bCs/>
        </w:rPr>
        <w:t>3</w:t>
      </w:r>
      <w:r w:rsidRPr="000167D5">
        <w:rPr>
          <w:b/>
          <w:bCs/>
        </w:rPr>
        <w:t xml:space="preserve"> notifications</w:t>
      </w:r>
      <w:r w:rsidRPr="000167D5">
        <w:t xml:space="preserve">) and </w:t>
      </w:r>
      <w:r w:rsidR="00D666D0" w:rsidRPr="000167D5">
        <w:t>a</w:t>
      </w:r>
      <w:r w:rsidR="00707EBC">
        <w:t xml:space="preserve">n </w:t>
      </w:r>
      <w:r w:rsidR="00707EBC" w:rsidRPr="00707EBC">
        <w:rPr>
          <w:b/>
          <w:bCs/>
        </w:rPr>
        <w:t>11%</w:t>
      </w:r>
      <w:r w:rsidR="00D666D0" w:rsidRPr="000167D5">
        <w:t xml:space="preserve"> decrease</w:t>
      </w:r>
      <w:r w:rsidRPr="000167D5">
        <w:t xml:space="preserve"> from the previous period J</w:t>
      </w:r>
      <w:r w:rsidR="00707EBC">
        <w:t>uly</w:t>
      </w:r>
      <w:r w:rsidRPr="000167D5">
        <w:t xml:space="preserve"> to </w:t>
      </w:r>
      <w:r w:rsidR="00707EBC">
        <w:t>December</w:t>
      </w:r>
      <w:r w:rsidRPr="000167D5">
        <w:t xml:space="preserve"> 2022 (</w:t>
      </w:r>
      <w:r w:rsidR="00707EBC">
        <w:rPr>
          <w:b/>
          <w:bCs/>
        </w:rPr>
        <w:t>387</w:t>
      </w:r>
      <w:r w:rsidRPr="000167D5">
        <w:rPr>
          <w:b/>
          <w:bCs/>
        </w:rPr>
        <w:t xml:space="preserve"> notifications</w:t>
      </w:r>
      <w:r w:rsidRPr="000167D5">
        <w:t xml:space="preserve">). </w:t>
      </w:r>
    </w:p>
    <w:p w14:paraId="6EC29C20" w14:textId="3B47C485" w:rsidR="000167D5" w:rsidRDefault="00E95F37" w:rsidP="000167D5">
      <w:r>
        <w:t>OVIC</w:t>
      </w:r>
      <w:r w:rsidRPr="000167D5">
        <w:t xml:space="preserve"> </w:t>
      </w:r>
      <w:r w:rsidR="00E803E9" w:rsidRPr="000167D5">
        <w:t>received the highest number of notifications (</w:t>
      </w:r>
      <w:r w:rsidR="00707EBC">
        <w:rPr>
          <w:b/>
          <w:bCs/>
        </w:rPr>
        <w:t>124</w:t>
      </w:r>
      <w:r w:rsidR="00E803E9" w:rsidRPr="000167D5">
        <w:t xml:space="preserve">) in </w:t>
      </w:r>
      <w:r w:rsidR="00707EBC">
        <w:t>October</w:t>
      </w:r>
      <w:r w:rsidR="00BC1B87">
        <w:t>,</w:t>
      </w:r>
      <w:r w:rsidR="00E803E9" w:rsidRPr="000167D5">
        <w:t xml:space="preserve"> which is </w:t>
      </w:r>
      <w:r w:rsidR="00046A3E" w:rsidRPr="000167D5">
        <w:t>a large</w:t>
      </w:r>
      <w:r w:rsidR="00707EBC">
        <w:t>st</w:t>
      </w:r>
      <w:r w:rsidR="00046A3E" w:rsidRPr="000167D5">
        <w:t xml:space="preserve"> </w:t>
      </w:r>
      <w:r w:rsidR="00707EBC">
        <w:t>monthly number received</w:t>
      </w:r>
      <w:r w:rsidR="00E803E9" w:rsidRPr="000167D5">
        <w:t xml:space="preserve"> since the establishment of the information security incident notification scheme.</w:t>
      </w:r>
      <w:r w:rsidR="000167D5">
        <w:t xml:space="preserve"> </w:t>
      </w:r>
    </w:p>
    <w:p w14:paraId="3E81CCCC" w14:textId="01DBEA52" w:rsidR="00E803E9" w:rsidRDefault="00E803E9" w:rsidP="00F4430E">
      <w:r w:rsidRPr="00701D90">
        <w:t xml:space="preserve">The higher numbers in </w:t>
      </w:r>
      <w:r w:rsidR="00707EBC">
        <w:t>October</w:t>
      </w:r>
      <w:r w:rsidRPr="00701D90">
        <w:t xml:space="preserve"> mostly came from the Department of Justice and Community Safety (</w:t>
      </w:r>
      <w:r w:rsidRPr="00701D90">
        <w:rPr>
          <w:b/>
          <w:bCs/>
        </w:rPr>
        <w:t>DJCS</w:t>
      </w:r>
      <w:r w:rsidRPr="00701D90">
        <w:t xml:space="preserve">). This was due to DJCS sending through </w:t>
      </w:r>
      <w:r w:rsidR="000167D5" w:rsidRPr="00701D90">
        <w:t xml:space="preserve">multiple months’ worth of </w:t>
      </w:r>
      <w:r w:rsidRPr="00701D90">
        <w:t xml:space="preserve">notifications before the end of </w:t>
      </w:r>
      <w:r w:rsidR="000167D5" w:rsidRPr="00701D90">
        <w:t xml:space="preserve">the </w:t>
      </w:r>
      <w:r w:rsidR="00820E52">
        <w:t>notification</w:t>
      </w:r>
      <w:r w:rsidR="000167D5" w:rsidRPr="00701D90">
        <w:t xml:space="preserve"> period</w:t>
      </w:r>
      <w:r w:rsidRPr="00701D90">
        <w:t>.</w:t>
      </w:r>
      <w:r w:rsidR="000167D5" w:rsidRPr="00701D90">
        <w:t xml:space="preserve"> </w:t>
      </w:r>
    </w:p>
    <w:p w14:paraId="6BCA8FF6" w14:textId="5D0C0D26" w:rsidR="007F30E8" w:rsidRPr="00701D90" w:rsidRDefault="007F30E8" w:rsidP="00F4430E">
      <w:r>
        <w:t>It is interesting to note the lower figures for November (</w:t>
      </w:r>
      <w:r w:rsidRPr="007F30E8">
        <w:rPr>
          <w:b/>
          <w:bCs/>
        </w:rPr>
        <w:t>47</w:t>
      </w:r>
      <w:r>
        <w:t>) and December (</w:t>
      </w:r>
      <w:r w:rsidRPr="007F30E8">
        <w:rPr>
          <w:b/>
          <w:bCs/>
        </w:rPr>
        <w:t>24</w:t>
      </w:r>
      <w:r>
        <w:t>). In previous years these have been higher (for example 91 in November 2022 and 86 in December 2022) as organisations tend to complete administrative activities before the end of the year.</w:t>
      </w:r>
    </w:p>
    <w:p w14:paraId="149A86FA" w14:textId="77777777" w:rsidR="00E803E9" w:rsidRPr="00701D90" w:rsidRDefault="00E803E9" w:rsidP="00E803E9">
      <w:r w:rsidRPr="00701D90">
        <w:t>Note:</w:t>
      </w:r>
    </w:p>
    <w:p w14:paraId="0738E8A2" w14:textId="77777777" w:rsidR="00E803E9" w:rsidRPr="00701D90" w:rsidRDefault="00E803E9" w:rsidP="004A6B8C">
      <w:pPr>
        <w:pStyle w:val="ListParagraph"/>
        <w:numPr>
          <w:ilvl w:val="0"/>
          <w:numId w:val="8"/>
        </w:numPr>
      </w:pPr>
      <w:r w:rsidRPr="00701D90">
        <w:t>the date of notification does not necessarily reflect when an incident occurred, but rather reflects when a notification was made to OVIC; and</w:t>
      </w:r>
    </w:p>
    <w:p w14:paraId="2A8F85E1" w14:textId="43956186" w:rsidR="00A01C6A" w:rsidRPr="00701D90" w:rsidRDefault="00E803E9" w:rsidP="004A6B8C">
      <w:pPr>
        <w:pStyle w:val="ListParagraph"/>
        <w:numPr>
          <w:ilvl w:val="0"/>
          <w:numId w:val="8"/>
        </w:numPr>
      </w:pPr>
      <w:r w:rsidRPr="00701D90">
        <w:t>the higher number of notifications from these organisations does not necessarily reflect that they have more incidents but rather that they have established incident management and reporting processes.</w:t>
      </w:r>
    </w:p>
    <w:p w14:paraId="7B92A6C2" w14:textId="7232CD9D" w:rsidR="00E803E9" w:rsidRPr="005A519A" w:rsidRDefault="00E803E9" w:rsidP="00FA1B6A">
      <w:pPr>
        <w:pStyle w:val="Heading2"/>
      </w:pPr>
      <w:bookmarkStart w:id="1" w:name="_Hlk130903686"/>
      <w:r w:rsidRPr="005A519A">
        <w:lastRenderedPageBreak/>
        <w:t>Notifications by portfolio</w:t>
      </w:r>
    </w:p>
    <w:p w14:paraId="6A799874" w14:textId="242ACB65" w:rsidR="005A519A" w:rsidRPr="005A519A" w:rsidRDefault="004C1847" w:rsidP="00FA1B6A">
      <w:r>
        <w:rPr>
          <w:noProof/>
        </w:rPr>
        <w:drawing>
          <wp:inline distT="0" distB="0" distL="0" distR="0" wp14:anchorId="18C99E76" wp14:editId="2E1F6127">
            <wp:extent cx="5486400" cy="4354643"/>
            <wp:effectExtent l="0" t="0" r="0" b="1905"/>
            <wp:docPr id="27895146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bookmarkEnd w:id="1"/>
    <w:p w14:paraId="3D31536E" w14:textId="362BA58D" w:rsidR="001B0C78" w:rsidRDefault="00DE68E7" w:rsidP="00AC47F1">
      <w:pPr>
        <w:pStyle w:val="Heading3"/>
      </w:pPr>
      <w:r>
        <w:t>Insights:</w:t>
      </w:r>
    </w:p>
    <w:p w14:paraId="24CB63D1" w14:textId="73F23B18" w:rsidR="00E803E9" w:rsidRPr="00E803E9" w:rsidRDefault="00E803E9" w:rsidP="00E803E9">
      <w:r w:rsidRPr="00E803E9">
        <w:t xml:space="preserve">Of the </w:t>
      </w:r>
      <w:r w:rsidR="001B0C78">
        <w:rPr>
          <w:b/>
          <w:bCs/>
        </w:rPr>
        <w:t>3</w:t>
      </w:r>
      <w:r w:rsidR="007F30E8">
        <w:rPr>
          <w:b/>
          <w:bCs/>
        </w:rPr>
        <w:t>42</w:t>
      </w:r>
      <w:r w:rsidRPr="00E803E9">
        <w:t xml:space="preserve"> notifications received by OVIC, most came from the justice and transport sectors. These were mostly from DJCS, and </w:t>
      </w:r>
      <w:r w:rsidR="002B544E">
        <w:t>the Transport Accident Commission (</w:t>
      </w:r>
      <w:r w:rsidRPr="002B544E">
        <w:rPr>
          <w:b/>
          <w:bCs/>
        </w:rPr>
        <w:t>TAC</w:t>
      </w:r>
      <w:r w:rsidR="002B544E">
        <w:t>)</w:t>
      </w:r>
      <w:r w:rsidRPr="00E803E9">
        <w:t xml:space="preserve"> due to </w:t>
      </w:r>
      <w:r w:rsidR="002B544E">
        <w:t>their</w:t>
      </w:r>
      <w:r w:rsidRPr="00E803E9">
        <w:t xml:space="preserve"> established incident notification protocols. </w:t>
      </w:r>
    </w:p>
    <w:p w14:paraId="6FF4162E" w14:textId="39AD73D8" w:rsidR="00DE68E7" w:rsidRDefault="00D452E6" w:rsidP="00915301">
      <w:r w:rsidRPr="00E803E9">
        <w:rPr>
          <w:rStyle w:val="Emphasis"/>
          <w:rFonts w:cstheme="minorHAnsi"/>
          <w:i w:val="0"/>
          <w:iCs w:val="0"/>
          <w:shd w:val="clear" w:color="auto" w:fill="FFFFFF"/>
        </w:rPr>
        <w:t xml:space="preserve">This </w:t>
      </w:r>
      <w:r w:rsidR="00820E52">
        <w:rPr>
          <w:rStyle w:val="Emphasis"/>
          <w:rFonts w:cstheme="minorHAnsi"/>
          <w:i w:val="0"/>
          <w:iCs w:val="0"/>
          <w:shd w:val="clear" w:color="auto" w:fill="FFFFFF"/>
        </w:rPr>
        <w:t>notification</w:t>
      </w:r>
      <w:r w:rsidRPr="00E803E9">
        <w:rPr>
          <w:rStyle w:val="Emphasis"/>
          <w:rFonts w:cstheme="minorHAnsi"/>
          <w:i w:val="0"/>
          <w:iCs w:val="0"/>
          <w:shd w:val="clear" w:color="auto" w:fill="FFFFFF"/>
        </w:rPr>
        <w:t xml:space="preserve"> period saw a</w:t>
      </w:r>
      <w:r w:rsidR="00915301">
        <w:rPr>
          <w:rStyle w:val="Emphasis"/>
          <w:rFonts w:cstheme="minorHAnsi"/>
          <w:i w:val="0"/>
          <w:iCs w:val="0"/>
          <w:shd w:val="clear" w:color="auto" w:fill="FFFFFF"/>
        </w:rPr>
        <w:t>n</w:t>
      </w:r>
      <w:r w:rsidRPr="00E803E9">
        <w:rPr>
          <w:rStyle w:val="Emphasis"/>
          <w:rFonts w:cstheme="minorHAnsi"/>
          <w:i w:val="0"/>
          <w:iCs w:val="0"/>
          <w:shd w:val="clear" w:color="auto" w:fill="FFFFFF"/>
        </w:rPr>
        <w:t xml:space="preserve"> </w:t>
      </w:r>
      <w:r w:rsidR="00915301">
        <w:rPr>
          <w:rStyle w:val="Emphasis"/>
          <w:rFonts w:cstheme="minorHAnsi"/>
          <w:i w:val="0"/>
          <w:iCs w:val="0"/>
          <w:shd w:val="clear" w:color="auto" w:fill="FFFFFF"/>
        </w:rPr>
        <w:t>in</w:t>
      </w:r>
      <w:r w:rsidRPr="00E803E9">
        <w:rPr>
          <w:rStyle w:val="Emphasis"/>
          <w:rFonts w:cstheme="minorHAnsi"/>
          <w:i w:val="0"/>
          <w:iCs w:val="0"/>
          <w:shd w:val="clear" w:color="auto" w:fill="FFFFFF"/>
        </w:rPr>
        <w:t xml:space="preserve">crease in the number of notifications </w:t>
      </w:r>
      <w:r w:rsidRPr="00D452E6">
        <w:t>across all</w:t>
      </w:r>
      <w:r>
        <w:t xml:space="preserve"> the portfolios except </w:t>
      </w:r>
      <w:r w:rsidR="00820E52">
        <w:t>two</w:t>
      </w:r>
      <w:r w:rsidR="00C63E89">
        <w:t xml:space="preserve">.  </w:t>
      </w:r>
      <w:r w:rsidR="00820E52">
        <w:t>N</w:t>
      </w:r>
      <w:r w:rsidR="00C63E89" w:rsidRPr="00C63E89">
        <w:t xml:space="preserve">otifications from the </w:t>
      </w:r>
      <w:r w:rsidR="00C63E89">
        <w:t>education</w:t>
      </w:r>
      <w:r w:rsidR="00C63E89" w:rsidRPr="00C63E89">
        <w:t xml:space="preserve"> (</w:t>
      </w:r>
      <w:r w:rsidR="00C63E89" w:rsidRPr="00C63E89">
        <w:rPr>
          <w:b/>
          <w:bCs/>
        </w:rPr>
        <w:t>2</w:t>
      </w:r>
      <w:r w:rsidR="00C63E89" w:rsidRPr="00C63E89">
        <w:t>) and energy, environment, and climate action (</w:t>
      </w:r>
      <w:r w:rsidR="00C63E89" w:rsidRPr="00C63E89">
        <w:rPr>
          <w:b/>
          <w:bCs/>
        </w:rPr>
        <w:t>22</w:t>
      </w:r>
      <w:r w:rsidR="00C63E89" w:rsidRPr="00C63E89">
        <w:t xml:space="preserve">) portfolios </w:t>
      </w:r>
      <w:r w:rsidR="00C63E89">
        <w:t>fell</w:t>
      </w:r>
      <w:r w:rsidR="00C63E89" w:rsidRPr="00C63E89">
        <w:t xml:space="preserve"> compared to the last reporting period which were </w:t>
      </w:r>
      <w:r w:rsidR="00C63E89">
        <w:t xml:space="preserve">20 </w:t>
      </w:r>
      <w:r w:rsidR="00C63E89" w:rsidRPr="00C63E89">
        <w:t xml:space="preserve">and </w:t>
      </w:r>
      <w:r w:rsidR="00C63E89">
        <w:t>27</w:t>
      </w:r>
      <w:r w:rsidR="00C63E89" w:rsidRPr="00C63E89">
        <w:t xml:space="preserve"> respectively</w:t>
      </w:r>
      <w:r w:rsidR="00C63E89">
        <w:t>.</w:t>
      </w:r>
      <w:r>
        <w:t xml:space="preserve"> </w:t>
      </w:r>
      <w:r w:rsidR="00C63E89">
        <w:t>No</w:t>
      </w:r>
      <w:r w:rsidR="00915301">
        <w:t xml:space="preserve">tifications from the transport and planning sector remain the same at </w:t>
      </w:r>
      <w:r w:rsidR="00915301" w:rsidRPr="00915301">
        <w:rPr>
          <w:b/>
          <w:bCs/>
        </w:rPr>
        <w:t>123</w:t>
      </w:r>
      <w:r w:rsidR="00915301">
        <w:rPr>
          <w:b/>
          <w:bCs/>
        </w:rPr>
        <w:t xml:space="preserve"> </w:t>
      </w:r>
      <w:r w:rsidR="00915301" w:rsidRPr="00915301">
        <w:t>as well as government services</w:t>
      </w:r>
      <w:r w:rsidR="00FF6932">
        <w:t>,</w:t>
      </w:r>
      <w:r w:rsidR="00915301" w:rsidRPr="00915301">
        <w:t xml:space="preserve"> (</w:t>
      </w:r>
      <w:r w:rsidR="00915301">
        <w:rPr>
          <w:b/>
          <w:bCs/>
        </w:rPr>
        <w:t>1</w:t>
      </w:r>
      <w:r w:rsidR="00915301" w:rsidRPr="00915301">
        <w:t>) and treasury and finance (</w:t>
      </w:r>
      <w:r w:rsidR="00915301">
        <w:rPr>
          <w:b/>
          <w:bCs/>
        </w:rPr>
        <w:t>2</w:t>
      </w:r>
      <w:r w:rsidR="00915301" w:rsidRPr="00915301">
        <w:t xml:space="preserve">) </w:t>
      </w:r>
      <w:r w:rsidR="00C63E89">
        <w:t>portfolios</w:t>
      </w:r>
      <w:r w:rsidR="00FF6932">
        <w:t>,</w:t>
      </w:r>
      <w:r w:rsidR="00C63E89">
        <w:t xml:space="preserve"> which also have the same number of notifications compared to the last period</w:t>
      </w:r>
      <w:r w:rsidR="00915301">
        <w:t>.</w:t>
      </w:r>
    </w:p>
    <w:p w14:paraId="2157541A" w14:textId="6E5F3E4F" w:rsidR="00D452E6" w:rsidRPr="00D452E6" w:rsidRDefault="00C63E89" w:rsidP="00E803E9">
      <w:r w:rsidRPr="00C63E89">
        <w:t xml:space="preserve">Notifications from local government continue to steadily rise this </w:t>
      </w:r>
      <w:r w:rsidR="00820E52">
        <w:t>notification</w:t>
      </w:r>
      <w:r w:rsidRPr="00C63E89">
        <w:t xml:space="preserve"> period</w:t>
      </w:r>
      <w:r>
        <w:t xml:space="preserve"> (</w:t>
      </w:r>
      <w:r w:rsidRPr="00C63E89">
        <w:rPr>
          <w:b/>
          <w:bCs/>
        </w:rPr>
        <w:t>30</w:t>
      </w:r>
      <w:r>
        <w:t>)</w:t>
      </w:r>
      <w:r w:rsidR="00D452E6" w:rsidRPr="00D452E6">
        <w:t xml:space="preserve"> compared to the previous periods</w:t>
      </w:r>
      <w:r>
        <w:t xml:space="preserve"> January to June 2023 with </w:t>
      </w:r>
      <w:r w:rsidRPr="00C63E89">
        <w:rPr>
          <w:b/>
          <w:bCs/>
        </w:rPr>
        <w:t>26</w:t>
      </w:r>
      <w:r>
        <w:t xml:space="preserve">, </w:t>
      </w:r>
      <w:r w:rsidR="00D452E6" w:rsidRPr="00D452E6">
        <w:t xml:space="preserve">July to December 2022 with </w:t>
      </w:r>
      <w:r w:rsidR="00D452E6" w:rsidRPr="002B544E">
        <w:rPr>
          <w:b/>
          <w:bCs/>
        </w:rPr>
        <w:t>15</w:t>
      </w:r>
      <w:r w:rsidR="00D452E6" w:rsidRPr="00D452E6">
        <w:t xml:space="preserve"> and January to June 2022 with </w:t>
      </w:r>
      <w:r w:rsidR="009733AC">
        <w:rPr>
          <w:b/>
          <w:bCs/>
        </w:rPr>
        <w:t>eight</w:t>
      </w:r>
      <w:r w:rsidR="00D452E6" w:rsidRPr="00D452E6">
        <w:t xml:space="preserve"> </w:t>
      </w:r>
      <w:r w:rsidR="00FF6932">
        <w:t>(</w:t>
      </w:r>
      <w:r w:rsidR="00FF6932" w:rsidRPr="00FF6932">
        <w:rPr>
          <w:b/>
          <w:bCs/>
        </w:rPr>
        <w:t>8</w:t>
      </w:r>
      <w:r w:rsidR="00FF6932">
        <w:t xml:space="preserve">) </w:t>
      </w:r>
      <w:r w:rsidR="00D452E6" w:rsidRPr="00D452E6">
        <w:t>notifications.</w:t>
      </w:r>
    </w:p>
    <w:p w14:paraId="4E1B2B4F" w14:textId="100B418A" w:rsidR="00E803E9" w:rsidRPr="00C930F4" w:rsidRDefault="00E803E9" w:rsidP="00D6504B">
      <w:pPr>
        <w:keepNext/>
        <w:rPr>
          <w:rStyle w:val="Emphasis"/>
          <w:i w:val="0"/>
          <w:iCs w:val="0"/>
        </w:rPr>
      </w:pPr>
      <w:r w:rsidRPr="00C930F4">
        <w:rPr>
          <w:rStyle w:val="Emphasis"/>
          <w:i w:val="0"/>
          <w:iCs w:val="0"/>
        </w:rPr>
        <w:lastRenderedPageBreak/>
        <w:t xml:space="preserve">This reporting period saw </w:t>
      </w:r>
      <w:r w:rsidR="00FF6932" w:rsidRPr="00820E52">
        <w:rPr>
          <w:rStyle w:val="Emphasis"/>
          <w:i w:val="0"/>
          <w:iCs w:val="0"/>
        </w:rPr>
        <w:t>eight</w:t>
      </w:r>
      <w:r w:rsidR="00FF6932">
        <w:rPr>
          <w:rStyle w:val="Emphasis"/>
          <w:i w:val="0"/>
          <w:iCs w:val="0"/>
        </w:rPr>
        <w:t xml:space="preserve"> (</w:t>
      </w:r>
      <w:r w:rsidR="00FF6932" w:rsidRPr="00FF6932">
        <w:rPr>
          <w:rStyle w:val="Emphasis"/>
          <w:b/>
          <w:bCs/>
          <w:i w:val="0"/>
          <w:iCs w:val="0"/>
        </w:rPr>
        <w:t>8</w:t>
      </w:r>
      <w:r w:rsidR="00FF6932">
        <w:rPr>
          <w:rStyle w:val="Emphasis"/>
          <w:i w:val="0"/>
          <w:iCs w:val="0"/>
        </w:rPr>
        <w:t>)</w:t>
      </w:r>
      <w:r w:rsidRPr="00C930F4">
        <w:rPr>
          <w:rStyle w:val="Emphasis"/>
          <w:i w:val="0"/>
          <w:iCs w:val="0"/>
        </w:rPr>
        <w:t xml:space="preserve"> </w:t>
      </w:r>
      <w:r w:rsidRPr="00C930F4">
        <w:rPr>
          <w:rStyle w:val="Emphasis"/>
          <w:b/>
          <w:bCs/>
          <w:i w:val="0"/>
          <w:iCs w:val="0"/>
        </w:rPr>
        <w:t>Other</w:t>
      </w:r>
      <w:r w:rsidRPr="00C930F4">
        <w:rPr>
          <w:rStyle w:val="Emphasis"/>
          <w:i w:val="0"/>
          <w:iCs w:val="0"/>
        </w:rPr>
        <w:t xml:space="preserve"> notifications received from:</w:t>
      </w:r>
    </w:p>
    <w:p w14:paraId="4DFCEEF7" w14:textId="06377AC4" w:rsidR="009733AC" w:rsidRPr="00C930F4" w:rsidRDefault="009733AC" w:rsidP="004A6B8C">
      <w:pPr>
        <w:pStyle w:val="ListParagraph"/>
        <w:numPr>
          <w:ilvl w:val="0"/>
          <w:numId w:val="9"/>
        </w:numPr>
        <w:rPr>
          <w:rStyle w:val="Emphasis"/>
          <w:i w:val="0"/>
          <w:iCs w:val="0"/>
        </w:rPr>
      </w:pPr>
      <w:r w:rsidRPr="00C930F4">
        <w:rPr>
          <w:rStyle w:val="Emphasis"/>
          <w:i w:val="0"/>
          <w:iCs w:val="0"/>
        </w:rPr>
        <w:t xml:space="preserve">organisations </w:t>
      </w:r>
      <w:r w:rsidR="00BC1B87">
        <w:rPr>
          <w:rStyle w:val="Emphasis"/>
          <w:i w:val="0"/>
          <w:iCs w:val="0"/>
        </w:rPr>
        <w:t>that</w:t>
      </w:r>
      <w:r w:rsidR="00BC1B87" w:rsidRPr="00C930F4">
        <w:rPr>
          <w:rStyle w:val="Emphasis"/>
          <w:i w:val="0"/>
          <w:iCs w:val="0"/>
        </w:rPr>
        <w:t xml:space="preserve"> </w:t>
      </w:r>
      <w:r w:rsidRPr="00C930F4">
        <w:rPr>
          <w:rStyle w:val="Emphasis"/>
          <w:i w:val="0"/>
          <w:iCs w:val="0"/>
        </w:rPr>
        <w:t xml:space="preserve">do not reside under a portfolio e.g., </w:t>
      </w:r>
      <w:r w:rsidR="00FF6932" w:rsidRPr="00FF6932">
        <w:rPr>
          <w:rStyle w:val="Emphasis"/>
          <w:i w:val="0"/>
          <w:iCs w:val="0"/>
        </w:rPr>
        <w:t>Independent Broad</w:t>
      </w:r>
      <w:r w:rsidR="008B7427">
        <w:rPr>
          <w:rStyle w:val="Emphasis"/>
          <w:i w:val="0"/>
          <w:iCs w:val="0"/>
        </w:rPr>
        <w:t>-</w:t>
      </w:r>
      <w:r w:rsidR="00FF6932" w:rsidRPr="00FF6932">
        <w:rPr>
          <w:rStyle w:val="Emphasis"/>
          <w:i w:val="0"/>
          <w:iCs w:val="0"/>
        </w:rPr>
        <w:t>based Anti</w:t>
      </w:r>
      <w:r w:rsidR="008B7427">
        <w:rPr>
          <w:rStyle w:val="Emphasis"/>
          <w:i w:val="0"/>
          <w:iCs w:val="0"/>
        </w:rPr>
        <w:t>-</w:t>
      </w:r>
      <w:proofErr w:type="gramStart"/>
      <w:r w:rsidR="00FF6932" w:rsidRPr="00FF6932">
        <w:rPr>
          <w:rStyle w:val="Emphasis"/>
          <w:i w:val="0"/>
          <w:iCs w:val="0"/>
        </w:rPr>
        <w:t>corruption</w:t>
      </w:r>
      <w:proofErr w:type="gramEnd"/>
      <w:r w:rsidR="00FF6932" w:rsidRPr="00FF6932">
        <w:rPr>
          <w:rStyle w:val="Emphasis"/>
          <w:i w:val="0"/>
          <w:iCs w:val="0"/>
        </w:rPr>
        <w:t xml:space="preserve"> Commission (</w:t>
      </w:r>
      <w:r w:rsidR="00FF6932" w:rsidRPr="00FF6932">
        <w:rPr>
          <w:rStyle w:val="Emphasis"/>
          <w:b/>
          <w:bCs/>
          <w:i w:val="0"/>
          <w:iCs w:val="0"/>
        </w:rPr>
        <w:t>IBAC</w:t>
      </w:r>
      <w:r w:rsidR="00FF6932" w:rsidRPr="00FF6932">
        <w:rPr>
          <w:rStyle w:val="Emphasis"/>
          <w:i w:val="0"/>
          <w:iCs w:val="0"/>
        </w:rPr>
        <w:t>)</w:t>
      </w:r>
      <w:r w:rsidRPr="00C930F4">
        <w:rPr>
          <w:rStyle w:val="Emphasis"/>
          <w:i w:val="0"/>
          <w:iCs w:val="0"/>
        </w:rPr>
        <w:t>;</w:t>
      </w:r>
    </w:p>
    <w:p w14:paraId="03594E7E" w14:textId="156486DB" w:rsidR="00E803E9" w:rsidRPr="00C930F4" w:rsidRDefault="00FF6932" w:rsidP="004A6B8C">
      <w:pPr>
        <w:pStyle w:val="ListParagraph"/>
        <w:numPr>
          <w:ilvl w:val="0"/>
          <w:numId w:val="9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organisations not in OVIC’s</w:t>
      </w:r>
      <w:r w:rsidR="00E803E9" w:rsidRPr="00C930F4">
        <w:rPr>
          <w:rStyle w:val="Emphasis"/>
          <w:i w:val="0"/>
          <w:iCs w:val="0"/>
        </w:rPr>
        <w:t xml:space="preserve"> </w:t>
      </w:r>
      <w:proofErr w:type="gramStart"/>
      <w:r w:rsidR="00E803E9" w:rsidRPr="00C930F4">
        <w:rPr>
          <w:rStyle w:val="Emphasis"/>
          <w:i w:val="0"/>
          <w:iCs w:val="0"/>
        </w:rPr>
        <w:t>jurisdiction;</w:t>
      </w:r>
      <w:proofErr w:type="gramEnd"/>
      <w:r w:rsidR="00E803E9" w:rsidRPr="00C930F4">
        <w:rPr>
          <w:rStyle w:val="Emphasis"/>
          <w:i w:val="0"/>
          <w:iCs w:val="0"/>
        </w:rPr>
        <w:t xml:space="preserve"> </w:t>
      </w:r>
    </w:p>
    <w:p w14:paraId="68C917C1" w14:textId="24A5BA38" w:rsidR="00E803E9" w:rsidRPr="00C930F4" w:rsidRDefault="00FF6932" w:rsidP="004A6B8C">
      <w:pPr>
        <w:pStyle w:val="ListParagraph"/>
        <w:numPr>
          <w:ilvl w:val="0"/>
          <w:numId w:val="9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citizens observing inappropriate information handling</w:t>
      </w:r>
      <w:r w:rsidR="00E803E9" w:rsidRPr="00DE0B46">
        <w:rPr>
          <w:rStyle w:val="Emphasis"/>
          <w:i w:val="0"/>
          <w:iCs w:val="0"/>
        </w:rPr>
        <w:t>.</w:t>
      </w:r>
      <w:r w:rsidR="00E803E9" w:rsidRPr="00C930F4">
        <w:rPr>
          <w:rStyle w:val="Emphasis"/>
          <w:i w:val="0"/>
          <w:iCs w:val="0"/>
        </w:rPr>
        <w:t xml:space="preserve"> </w:t>
      </w:r>
    </w:p>
    <w:p w14:paraId="07435A74" w14:textId="77777777" w:rsidR="001C781E" w:rsidRDefault="001C781E">
      <w:pPr>
        <w:spacing w:before="0" w:after="160" w:line="259" w:lineRule="auto"/>
        <w:rPr>
          <w:rFonts w:eastAsiaTheme="majorEastAsia" w:cstheme="majorBidi"/>
          <w:color w:val="430098" w:themeColor="text2"/>
          <w:sz w:val="30"/>
          <w:szCs w:val="26"/>
        </w:rPr>
      </w:pPr>
      <w:r>
        <w:br w:type="page"/>
      </w:r>
    </w:p>
    <w:p w14:paraId="34B64D02" w14:textId="7DBAEDD7" w:rsidR="00F4430E" w:rsidRDefault="00F4430E" w:rsidP="00FA1B6A">
      <w:pPr>
        <w:pStyle w:val="Heading2"/>
      </w:pPr>
      <w:r>
        <w:lastRenderedPageBreak/>
        <w:t xml:space="preserve">Information format </w:t>
      </w:r>
      <w:r w:rsidRPr="002C6E03">
        <w:t>(Multiple options can be selected)</w:t>
      </w:r>
    </w:p>
    <w:p w14:paraId="13EE1A12" w14:textId="0568D241" w:rsidR="00C21935" w:rsidRDefault="00603E39" w:rsidP="00FA1B6A">
      <w:pPr>
        <w:pStyle w:val="Heading3"/>
      </w:pPr>
      <w:r>
        <w:t>Information format r</w:t>
      </w:r>
      <w:r w:rsidR="00C21935">
        <w:t xml:space="preserve">espondent </w:t>
      </w:r>
      <w:r w:rsidR="00390CE3">
        <w:t>percentage</w:t>
      </w:r>
    </w:p>
    <w:p w14:paraId="6D390CE8" w14:textId="34216E0B" w:rsidR="00C21935" w:rsidRDefault="00C21935" w:rsidP="00F4430E">
      <w:r>
        <w:rPr>
          <w:noProof/>
        </w:rPr>
        <w:drawing>
          <wp:inline distT="0" distB="0" distL="0" distR="0" wp14:anchorId="01876B20" wp14:editId="2F4B7B03">
            <wp:extent cx="4616450" cy="2428407"/>
            <wp:effectExtent l="0" t="0" r="0" b="0"/>
            <wp:docPr id="106752414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9746F1" w14:textId="5D1BE28E" w:rsidR="003567E4" w:rsidRDefault="00A4119B" w:rsidP="00AC47F1">
      <w:pPr>
        <w:pStyle w:val="Heading3"/>
      </w:pPr>
      <w:r>
        <w:t>Insights:</w:t>
      </w:r>
    </w:p>
    <w:p w14:paraId="5210001F" w14:textId="075350BC" w:rsidR="007927A8" w:rsidRDefault="00A4119B" w:rsidP="00F4430E">
      <w:r>
        <w:t>Notifications</w:t>
      </w:r>
      <w:r w:rsidRPr="009C752B">
        <w:t xml:space="preserve"> </w:t>
      </w:r>
      <w:r w:rsidR="00D0731A" w:rsidRPr="009C752B">
        <w:t>affecting electronic information continues to be the most selected information format</w:t>
      </w:r>
      <w:r w:rsidR="001954C2">
        <w:t xml:space="preserve"> </w:t>
      </w:r>
      <w:r w:rsidR="001954C2" w:rsidRPr="001954C2">
        <w:rPr>
          <w:b/>
          <w:bCs/>
        </w:rPr>
        <w:t>(80%)</w:t>
      </w:r>
      <w:r w:rsidR="00F4430E" w:rsidRPr="009C752B">
        <w:t xml:space="preserve">. Most notifications indicated compromises of </w:t>
      </w:r>
      <w:r w:rsidR="00F4430E" w:rsidRPr="009C752B">
        <w:rPr>
          <w:b/>
          <w:bCs/>
        </w:rPr>
        <w:t>electronic</w:t>
      </w:r>
      <w:r w:rsidR="00F4430E" w:rsidRPr="009C752B">
        <w:t xml:space="preserve"> information </w:t>
      </w:r>
      <w:r w:rsidR="001954C2" w:rsidRPr="001954C2">
        <w:t>(</w:t>
      </w:r>
      <w:r w:rsidR="001954C2" w:rsidRPr="001954C2">
        <w:rPr>
          <w:b/>
          <w:bCs/>
        </w:rPr>
        <w:t>273</w:t>
      </w:r>
      <w:r w:rsidR="001954C2" w:rsidRPr="001954C2">
        <w:t xml:space="preserve">) </w:t>
      </w:r>
      <w:r w:rsidR="00F4430E" w:rsidRPr="009C752B">
        <w:t xml:space="preserve">followed by </w:t>
      </w:r>
      <w:r w:rsidR="00F4430E" w:rsidRPr="009C752B">
        <w:rPr>
          <w:b/>
          <w:bCs/>
        </w:rPr>
        <w:t>hard copy</w:t>
      </w:r>
      <w:r w:rsidR="00F4430E" w:rsidRPr="009C752B">
        <w:t xml:space="preserve"> information (</w:t>
      </w:r>
      <w:r w:rsidR="00D65E2E" w:rsidRPr="00D65E2E">
        <w:rPr>
          <w:b/>
          <w:bCs/>
        </w:rPr>
        <w:t>57</w:t>
      </w:r>
      <w:r w:rsidR="00F4430E" w:rsidRPr="009C752B">
        <w:t>).</w:t>
      </w:r>
      <w:r w:rsidR="0072278C">
        <w:t xml:space="preserve"> Incidents involving verbal information </w:t>
      </w:r>
      <w:r w:rsidR="001954C2" w:rsidRPr="001954C2">
        <w:t>(</w:t>
      </w:r>
      <w:r w:rsidR="001954C2" w:rsidRPr="001954C2">
        <w:rPr>
          <w:b/>
          <w:bCs/>
        </w:rPr>
        <w:t>5%</w:t>
      </w:r>
      <w:r w:rsidR="001954C2" w:rsidRPr="001954C2">
        <w:t>)</w:t>
      </w:r>
      <w:r w:rsidR="001954C2">
        <w:t xml:space="preserve"> </w:t>
      </w:r>
      <w:r w:rsidR="00DE221D">
        <w:t>tripled</w:t>
      </w:r>
      <w:r w:rsidR="0072278C">
        <w:t xml:space="preserve"> from four (</w:t>
      </w:r>
      <w:r w:rsidR="0072278C" w:rsidRPr="00DE221D">
        <w:rPr>
          <w:b/>
          <w:bCs/>
        </w:rPr>
        <w:t>4</w:t>
      </w:r>
      <w:r w:rsidR="0072278C">
        <w:t xml:space="preserve">) in the previous </w:t>
      </w:r>
      <w:r w:rsidR="00A27530">
        <w:t>notification</w:t>
      </w:r>
      <w:r w:rsidR="0072278C">
        <w:t xml:space="preserve"> period to </w:t>
      </w:r>
      <w:r w:rsidR="0072278C" w:rsidRPr="00DE221D">
        <w:rPr>
          <w:b/>
          <w:bCs/>
        </w:rPr>
        <w:t>17</w:t>
      </w:r>
      <w:r w:rsidR="00F4430E" w:rsidRPr="009C752B">
        <w:t xml:space="preserve"> </w:t>
      </w:r>
      <w:r w:rsidR="00DE221D">
        <w:t>this period. All of these relate to unauthorised disclosure / oversharing of public sector information. Some examples of verbal disclosures include</w:t>
      </w:r>
      <w:r w:rsidR="007927A8">
        <w:t>:</w:t>
      </w:r>
    </w:p>
    <w:p w14:paraId="25F39A35" w14:textId="77777777" w:rsidR="007927A8" w:rsidRDefault="00DE221D" w:rsidP="007927A8">
      <w:pPr>
        <w:pStyle w:val="ListParagraph"/>
        <w:numPr>
          <w:ilvl w:val="0"/>
          <w:numId w:val="14"/>
        </w:numPr>
      </w:pPr>
      <w:r>
        <w:t xml:space="preserve">failing to identify the identity of a caller before </w:t>
      </w:r>
      <w:r w:rsidR="00820E52">
        <w:t>providing</w:t>
      </w:r>
      <w:r>
        <w:t xml:space="preserve"> personal </w:t>
      </w:r>
      <w:proofErr w:type="gramStart"/>
      <w:r>
        <w:t>information</w:t>
      </w:r>
      <w:r w:rsidR="00820E52">
        <w:t>;</w:t>
      </w:r>
      <w:proofErr w:type="gramEnd"/>
      <w:r>
        <w:t xml:space="preserve"> </w:t>
      </w:r>
    </w:p>
    <w:p w14:paraId="37136A21" w14:textId="77777777" w:rsidR="007927A8" w:rsidRDefault="00626B7E" w:rsidP="007927A8">
      <w:pPr>
        <w:pStyle w:val="ListParagraph"/>
        <w:numPr>
          <w:ilvl w:val="0"/>
          <w:numId w:val="14"/>
        </w:numPr>
      </w:pPr>
      <w:r>
        <w:t>reading</w:t>
      </w:r>
      <w:r w:rsidR="00DE221D">
        <w:t xml:space="preserve"> an email in an open meeting before checking the contents of the email first</w:t>
      </w:r>
      <w:r w:rsidR="00820E52">
        <w:t>;</w:t>
      </w:r>
      <w:r w:rsidR="00DE221D">
        <w:t xml:space="preserve"> </w:t>
      </w:r>
      <w:r w:rsidR="007927A8">
        <w:t xml:space="preserve">and </w:t>
      </w:r>
    </w:p>
    <w:p w14:paraId="06E10D75" w14:textId="1EF4F979" w:rsidR="00F4430E" w:rsidRPr="009C752B" w:rsidRDefault="00DE221D" w:rsidP="007927A8">
      <w:pPr>
        <w:pStyle w:val="ListParagraph"/>
        <w:numPr>
          <w:ilvl w:val="0"/>
          <w:numId w:val="14"/>
        </w:numPr>
      </w:pPr>
      <w:r>
        <w:t xml:space="preserve">attending a social event on a weekend and hearing discussions about work related topics.  </w:t>
      </w:r>
      <w:r w:rsidR="00F4430E" w:rsidRPr="009C752B">
        <w:t xml:space="preserve">  </w:t>
      </w:r>
    </w:p>
    <w:p w14:paraId="30A9A4F6" w14:textId="21A89366" w:rsidR="00F4430E" w:rsidRPr="00B918AC" w:rsidRDefault="00D65E2E" w:rsidP="00DF4408">
      <w:r>
        <w:rPr>
          <w:b/>
          <w:bCs/>
        </w:rPr>
        <w:t>53</w:t>
      </w:r>
      <w:r w:rsidR="00935C80" w:rsidRPr="009C752B">
        <w:rPr>
          <w:b/>
          <w:bCs/>
        </w:rPr>
        <w:t>%</w:t>
      </w:r>
      <w:r w:rsidR="00F4430E" w:rsidRPr="009C752B">
        <w:t xml:space="preserve"> of the incidents affecting electronic information related to emails</w:t>
      </w:r>
      <w:r w:rsidR="00935C80" w:rsidRPr="009C752B">
        <w:t xml:space="preserve"> </w:t>
      </w:r>
      <w:r w:rsidR="00A27530">
        <w:t>and s</w:t>
      </w:r>
      <w:r w:rsidR="009C752B" w:rsidRPr="009C752B">
        <w:t>imilarly,</w:t>
      </w:r>
      <w:r w:rsidR="009C752B" w:rsidRPr="009C752B">
        <w:rPr>
          <w:b/>
          <w:bCs/>
        </w:rPr>
        <w:t xml:space="preserve"> </w:t>
      </w:r>
      <w:r>
        <w:rPr>
          <w:b/>
          <w:bCs/>
        </w:rPr>
        <w:t>56</w:t>
      </w:r>
      <w:r w:rsidR="009C752B" w:rsidRPr="009C752B">
        <w:rPr>
          <w:b/>
          <w:bCs/>
        </w:rPr>
        <w:t>%</w:t>
      </w:r>
      <w:r w:rsidR="00F4430E" w:rsidRPr="009C752B">
        <w:t xml:space="preserve"> of the incidents involving hard copy information were related to mail. </w:t>
      </w:r>
      <w:r w:rsidR="00A27530" w:rsidRPr="00A27530">
        <w:t xml:space="preserve">Consistent with previous notification periods, </w:t>
      </w:r>
      <w:r w:rsidR="00A27530" w:rsidRPr="00A27530">
        <w:rPr>
          <w:b/>
          <w:bCs/>
        </w:rPr>
        <w:t>75%</w:t>
      </w:r>
      <w:r w:rsidR="00A27530" w:rsidRPr="00A27530">
        <w:t xml:space="preserve"> of the incident notifications, regardless of information format, involved unauthorised release/disclosure of information including verbal disclosures; sending emails or mail to the incorrect recipient; or attaching incorrect information.</w:t>
      </w:r>
    </w:p>
    <w:p w14:paraId="772A4C41" w14:textId="3253FA24" w:rsidR="00F4430E" w:rsidRDefault="00F4430E" w:rsidP="00F4430E">
      <w:r w:rsidRPr="00F27312">
        <w:t xml:space="preserve">Although </w:t>
      </w:r>
      <w:r>
        <w:t xml:space="preserve">it is </w:t>
      </w:r>
      <w:r w:rsidRPr="00F27312">
        <w:t xml:space="preserve">uncommon for multiple information formats to be affected in the same incident, multiple options can be selected for this field. There were </w:t>
      </w:r>
      <w:r w:rsidR="00D65E2E">
        <w:t>five</w:t>
      </w:r>
      <w:r w:rsidRPr="00F27312">
        <w:t xml:space="preserve"> (</w:t>
      </w:r>
      <w:r w:rsidR="00D65E2E" w:rsidRPr="00D65E2E">
        <w:rPr>
          <w:b/>
          <w:bCs/>
        </w:rPr>
        <w:t>5</w:t>
      </w:r>
      <w:r w:rsidRPr="00F27312">
        <w:t xml:space="preserve">) notifications that selected more than one information format attribute. </w:t>
      </w:r>
    </w:p>
    <w:p w14:paraId="1111C477" w14:textId="5F36F360" w:rsidR="00F4430E" w:rsidRDefault="00F4430E" w:rsidP="00F4430E">
      <w:pPr>
        <w:rPr>
          <w:i/>
          <w:iCs/>
        </w:rPr>
      </w:pPr>
      <w:r w:rsidRPr="00F27312">
        <w:t xml:space="preserve">For example, </w:t>
      </w:r>
      <w:r w:rsidR="00D65E2E">
        <w:t>one</w:t>
      </w:r>
      <w:r w:rsidR="00D55A6D">
        <w:t xml:space="preserve"> incident related to </w:t>
      </w:r>
      <w:r w:rsidR="003D7986">
        <w:t xml:space="preserve">a </w:t>
      </w:r>
      <w:r w:rsidR="003D7986" w:rsidRPr="003D7986">
        <w:t xml:space="preserve">staff member </w:t>
      </w:r>
      <w:r w:rsidR="003D7986">
        <w:t>taking</w:t>
      </w:r>
      <w:r w:rsidR="003D7986" w:rsidRPr="003D7986">
        <w:t xml:space="preserve"> photos of the contents </w:t>
      </w:r>
      <w:r w:rsidR="003D7986">
        <w:t>d</w:t>
      </w:r>
      <w:r w:rsidR="003D7986" w:rsidRPr="003D7986">
        <w:t xml:space="preserve">isplayed on their computer screen </w:t>
      </w:r>
      <w:r w:rsidR="003D7986">
        <w:t xml:space="preserve">(electronic) </w:t>
      </w:r>
      <w:r w:rsidR="003D7986" w:rsidRPr="003D7986">
        <w:t xml:space="preserve">and </w:t>
      </w:r>
      <w:r w:rsidR="003D7986">
        <w:t xml:space="preserve">then </w:t>
      </w:r>
      <w:r w:rsidR="003D7986" w:rsidRPr="003D7986">
        <w:t>print</w:t>
      </w:r>
      <w:r w:rsidR="003D7986">
        <w:t>ing the photos (hard copy) to take</w:t>
      </w:r>
      <w:r w:rsidR="003D7986" w:rsidRPr="003D7986">
        <w:t xml:space="preserve"> off site</w:t>
      </w:r>
      <w:r w:rsidRPr="00F27312">
        <w:t xml:space="preserve">. Another incident </w:t>
      </w:r>
      <w:r w:rsidRPr="00F27312">
        <w:lastRenderedPageBreak/>
        <w:t xml:space="preserve">was related </w:t>
      </w:r>
      <w:r w:rsidR="003D7986">
        <w:t xml:space="preserve">a citizen observing the contents displayed on computer screen (electronic) </w:t>
      </w:r>
      <w:r w:rsidR="00820E52">
        <w:t>as well as viewing</w:t>
      </w:r>
      <w:r w:rsidR="003D7986">
        <w:t xml:space="preserve"> the contents of a hard copy file of a staff member on an aeroplane</w:t>
      </w:r>
      <w:r w:rsidRPr="00F27312">
        <w:t xml:space="preserve">. </w:t>
      </w:r>
    </w:p>
    <w:p w14:paraId="5BC86BF1" w14:textId="77777777" w:rsidR="00AC47F1" w:rsidRDefault="00AC47F1">
      <w:pPr>
        <w:spacing w:before="0" w:after="160" w:line="259" w:lineRule="auto"/>
        <w:rPr>
          <w:rFonts w:eastAsiaTheme="majorEastAsia" w:cstheme="majorBidi"/>
          <w:color w:val="430098" w:themeColor="text2"/>
          <w:sz w:val="30"/>
          <w:szCs w:val="26"/>
        </w:rPr>
      </w:pPr>
      <w:r>
        <w:br w:type="page"/>
      </w:r>
    </w:p>
    <w:p w14:paraId="176ADDD9" w14:textId="7035D20F" w:rsidR="00A6671C" w:rsidRDefault="00A6671C" w:rsidP="00FA1B6A">
      <w:pPr>
        <w:pStyle w:val="Heading2"/>
      </w:pPr>
      <w:r>
        <w:lastRenderedPageBreak/>
        <w:t xml:space="preserve">Type of information impacted </w:t>
      </w:r>
      <w:r w:rsidRPr="002C6E03">
        <w:t>(Multiple options can be selected)</w:t>
      </w:r>
    </w:p>
    <w:p w14:paraId="4625D030" w14:textId="148556F6" w:rsidR="001C781E" w:rsidRPr="001C781E" w:rsidRDefault="001C781E" w:rsidP="001C781E">
      <w:r>
        <w:rPr>
          <w:noProof/>
        </w:rPr>
        <w:drawing>
          <wp:inline distT="0" distB="0" distL="0" distR="0" wp14:anchorId="5A65E3D2" wp14:editId="22941AC0">
            <wp:extent cx="5486400" cy="3620124"/>
            <wp:effectExtent l="0" t="0" r="0" b="0"/>
            <wp:docPr id="16287771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F9A6A7" w14:textId="7761FACB" w:rsidR="00A4119B" w:rsidRDefault="00A4119B" w:rsidP="00AC47F1">
      <w:pPr>
        <w:pStyle w:val="Heading3"/>
      </w:pPr>
      <w:r>
        <w:t>Insights:</w:t>
      </w:r>
    </w:p>
    <w:p w14:paraId="4EDF60CE" w14:textId="0CBC44B1" w:rsidR="00A6671C" w:rsidRDefault="00A6671C" w:rsidP="00A6671C">
      <w:r>
        <w:t xml:space="preserve">Notifications regarding the type of information involved in incidents were consistent with previous </w:t>
      </w:r>
      <w:r w:rsidR="007A2641">
        <w:t>notification</w:t>
      </w:r>
      <w:r>
        <w:t xml:space="preserve"> periods. </w:t>
      </w:r>
      <w:r w:rsidR="00973774">
        <w:t>M</w:t>
      </w:r>
      <w:r>
        <w:t>ost (</w:t>
      </w:r>
      <w:r w:rsidRPr="000133E0">
        <w:rPr>
          <w:b/>
          <w:bCs/>
        </w:rPr>
        <w:t>9</w:t>
      </w:r>
      <w:r w:rsidR="00973774">
        <w:rPr>
          <w:b/>
          <w:bCs/>
        </w:rPr>
        <w:t>4</w:t>
      </w:r>
      <w:r w:rsidRPr="000133E0">
        <w:rPr>
          <w:b/>
          <w:bCs/>
        </w:rPr>
        <w:t>%</w:t>
      </w:r>
      <w:r>
        <w:t xml:space="preserve">) notifications indicated compromises of </w:t>
      </w:r>
      <w:r w:rsidRPr="00820E52">
        <w:rPr>
          <w:b/>
          <w:bCs/>
        </w:rPr>
        <w:t>personal</w:t>
      </w:r>
      <w:r>
        <w:t xml:space="preserve"> information</w:t>
      </w:r>
      <w:r w:rsidR="00BC1B87">
        <w:t>,</w:t>
      </w:r>
      <w:r>
        <w:t xml:space="preserve"> followed by</w:t>
      </w:r>
      <w:r w:rsidR="00BC1B87">
        <w:t xml:space="preserve"> compromises of</w:t>
      </w:r>
      <w:r>
        <w:t xml:space="preserve"> </w:t>
      </w:r>
      <w:r w:rsidRPr="00820E52">
        <w:rPr>
          <w:b/>
          <w:bCs/>
        </w:rPr>
        <w:t>health</w:t>
      </w:r>
      <w:r>
        <w:t xml:space="preserve"> information. </w:t>
      </w:r>
      <w:r w:rsidR="008B7427">
        <w:t>Just a reminder, the scheme covers incidents related to all public sector information</w:t>
      </w:r>
      <w:r w:rsidR="00BC1B87">
        <w:t>,</w:t>
      </w:r>
      <w:r w:rsidR="008B7427">
        <w:t xml:space="preserve"> not just personal information.</w:t>
      </w:r>
    </w:p>
    <w:p w14:paraId="7080C0A9" w14:textId="15F3ABE8" w:rsidR="00A6671C" w:rsidRDefault="00A6671C" w:rsidP="00A6671C">
      <w:r>
        <w:t xml:space="preserve">There were </w:t>
      </w:r>
      <w:r w:rsidR="00973774" w:rsidRPr="00973774">
        <w:rPr>
          <w:b/>
          <w:bCs/>
        </w:rPr>
        <w:t>11</w:t>
      </w:r>
      <w:r w:rsidRPr="00973774">
        <w:rPr>
          <w:b/>
          <w:bCs/>
        </w:rPr>
        <w:t xml:space="preserve"> </w:t>
      </w:r>
      <w:r>
        <w:t xml:space="preserve">notifications where the </w:t>
      </w:r>
      <w:r w:rsidR="00973774">
        <w:rPr>
          <w:b/>
          <w:bCs/>
        </w:rPr>
        <w:t>o</w:t>
      </w:r>
      <w:r w:rsidRPr="00C31C02">
        <w:rPr>
          <w:b/>
          <w:bCs/>
        </w:rPr>
        <w:t>ther</w:t>
      </w:r>
      <w:r>
        <w:t xml:space="preserve"> information type was selected.</w:t>
      </w:r>
      <w:r w:rsidR="00973774">
        <w:t xml:space="preserve"> </w:t>
      </w:r>
      <w:r>
        <w:t>Examples include incidents related to:</w:t>
      </w:r>
    </w:p>
    <w:p w14:paraId="152A19B6" w14:textId="1E2B6397" w:rsidR="006E18C8" w:rsidRDefault="006E18C8" w:rsidP="004A6B8C">
      <w:pPr>
        <w:pStyle w:val="ListParagraph"/>
        <w:numPr>
          <w:ilvl w:val="0"/>
          <w:numId w:val="10"/>
        </w:numPr>
      </w:pPr>
      <w:r>
        <w:t xml:space="preserve">claim </w:t>
      </w:r>
      <w:proofErr w:type="gramStart"/>
      <w:r>
        <w:t>numbers;</w:t>
      </w:r>
      <w:proofErr w:type="gramEnd"/>
    </w:p>
    <w:p w14:paraId="4C52193F" w14:textId="7F39E061" w:rsidR="006E18C8" w:rsidRDefault="006E18C8" w:rsidP="004A6B8C">
      <w:pPr>
        <w:pStyle w:val="ListParagraph"/>
        <w:numPr>
          <w:ilvl w:val="0"/>
          <w:numId w:val="10"/>
        </w:numPr>
      </w:pPr>
      <w:r w:rsidRPr="00363921">
        <w:t>credentials (username and password</w:t>
      </w:r>
      <w:proofErr w:type="gramStart"/>
      <w:r w:rsidRPr="00363921">
        <w:t>);</w:t>
      </w:r>
      <w:proofErr w:type="gramEnd"/>
    </w:p>
    <w:p w14:paraId="36CD22A2" w14:textId="4E11638E" w:rsidR="007A2641" w:rsidRDefault="007A2641" w:rsidP="004A6B8C">
      <w:pPr>
        <w:pStyle w:val="ListParagraph"/>
        <w:numPr>
          <w:ilvl w:val="0"/>
          <w:numId w:val="10"/>
        </w:numPr>
      </w:pPr>
      <w:r>
        <w:t xml:space="preserve">application vulnerability </w:t>
      </w:r>
      <w:proofErr w:type="gramStart"/>
      <w:r>
        <w:t>details;</w:t>
      </w:r>
      <w:proofErr w:type="gramEnd"/>
    </w:p>
    <w:p w14:paraId="62748258" w14:textId="0C2517AE" w:rsidR="007A2641" w:rsidRPr="00363921" w:rsidRDefault="007A2641" w:rsidP="004A6B8C">
      <w:pPr>
        <w:pStyle w:val="ListParagraph"/>
        <w:numPr>
          <w:ilvl w:val="0"/>
          <w:numId w:val="10"/>
        </w:numPr>
      </w:pPr>
      <w:r w:rsidRPr="007A2641">
        <w:t>project and committee documents</w:t>
      </w:r>
      <w:r>
        <w:t>.</w:t>
      </w:r>
    </w:p>
    <w:p w14:paraId="4CEA5822" w14:textId="5A2385E3" w:rsidR="00A6671C" w:rsidRPr="00363921" w:rsidRDefault="00A6671C" w:rsidP="00A6671C">
      <w:r w:rsidRPr="00363921">
        <w:t>There w</w:t>
      </w:r>
      <w:r w:rsidR="007A2641">
        <w:t>ere</w:t>
      </w:r>
      <w:r w:rsidR="00363921" w:rsidRPr="00363921">
        <w:t xml:space="preserve"> </w:t>
      </w:r>
      <w:r w:rsidR="007A2641">
        <w:t>three</w:t>
      </w:r>
      <w:r w:rsidR="00363921" w:rsidRPr="00363921">
        <w:t xml:space="preserve"> (</w:t>
      </w:r>
      <w:r w:rsidR="007A2641" w:rsidRPr="007A2641">
        <w:rPr>
          <w:b/>
          <w:bCs/>
        </w:rPr>
        <w:t>3</w:t>
      </w:r>
      <w:r w:rsidR="00363921" w:rsidRPr="00363921">
        <w:t>)</w:t>
      </w:r>
      <w:r w:rsidRPr="00363921">
        <w:t xml:space="preserve"> </w:t>
      </w:r>
      <w:r w:rsidR="00A4119B">
        <w:t>incident</w:t>
      </w:r>
      <w:r w:rsidR="00820E52">
        <w:t>s</w:t>
      </w:r>
      <w:r w:rsidR="00A4119B" w:rsidRPr="00363921">
        <w:t xml:space="preserve"> </w:t>
      </w:r>
      <w:r w:rsidRPr="00363921">
        <w:t xml:space="preserve">where the type of information involved was </w:t>
      </w:r>
      <w:r w:rsidR="00363921">
        <w:rPr>
          <w:b/>
          <w:bCs/>
        </w:rPr>
        <w:t>u</w:t>
      </w:r>
      <w:r w:rsidRPr="00363921">
        <w:rPr>
          <w:b/>
          <w:bCs/>
        </w:rPr>
        <w:t>nknown</w:t>
      </w:r>
      <w:r w:rsidR="00363921" w:rsidRPr="00363921">
        <w:rPr>
          <w:b/>
          <w:bCs/>
        </w:rPr>
        <w:t xml:space="preserve"> </w:t>
      </w:r>
      <w:r w:rsidR="00363921" w:rsidRPr="00363921">
        <w:t>because</w:t>
      </w:r>
      <w:r w:rsidR="007A2641">
        <w:t xml:space="preserve"> the organisation could not ascertain with any certainty what information was locally saved on a stolen laptop; the incident was so long ago that the emails in question had since been deleted; and, the extent of the incident could not be ascertained (i.e., how far the threat actor got) to enable the organisation to determine what information was affected</w:t>
      </w:r>
      <w:r w:rsidRPr="00363921">
        <w:t xml:space="preserve">. </w:t>
      </w:r>
    </w:p>
    <w:p w14:paraId="595B04E9" w14:textId="4D0464A7" w:rsidR="00A6671C" w:rsidRPr="00363921" w:rsidRDefault="00BC1B87" w:rsidP="00A6671C">
      <w:r>
        <w:lastRenderedPageBreak/>
        <w:t>As in</w:t>
      </w:r>
      <w:r w:rsidR="00363921">
        <w:t xml:space="preserve"> the last </w:t>
      </w:r>
      <w:r w:rsidR="007A2641">
        <w:t>notification</w:t>
      </w:r>
      <w:r w:rsidR="00363921">
        <w:t xml:space="preserve"> period, t</w:t>
      </w:r>
      <w:r w:rsidR="00A6671C" w:rsidRPr="00363921">
        <w:t xml:space="preserve">here were </w:t>
      </w:r>
      <w:r w:rsidR="007A2641">
        <w:t>three</w:t>
      </w:r>
      <w:r w:rsidR="00A6671C" w:rsidRPr="00363921">
        <w:t xml:space="preserve"> (</w:t>
      </w:r>
      <w:r w:rsidR="007A2641" w:rsidRPr="007A2641">
        <w:rPr>
          <w:b/>
          <w:bCs/>
        </w:rPr>
        <w:t>3</w:t>
      </w:r>
      <w:r w:rsidR="00A6671C" w:rsidRPr="00363921">
        <w:t xml:space="preserve">) incidents that affected </w:t>
      </w:r>
      <w:r w:rsidR="00A6671C" w:rsidRPr="00363921">
        <w:rPr>
          <w:b/>
          <w:bCs/>
        </w:rPr>
        <w:t>law enforcement data</w:t>
      </w:r>
      <w:r w:rsidR="00A6671C" w:rsidRPr="00363921">
        <w:t xml:space="preserve"> handled by organisations other than Victoria Police (Victoria Police incident</w:t>
      </w:r>
      <w:r w:rsidR="00A4119B">
        <w:t xml:space="preserve"> notification</w:t>
      </w:r>
      <w:r w:rsidR="00A6671C" w:rsidRPr="00363921">
        <w:t>s are captured separately)</w:t>
      </w:r>
      <w:r>
        <w:t>, e.g.</w:t>
      </w:r>
      <w:r w:rsidR="00D91674">
        <w:t xml:space="preserve">, the </w:t>
      </w:r>
      <w:hyperlink r:id="rId14" w:history="1">
        <w:r w:rsidR="00D91674" w:rsidRPr="00D91674">
          <w:rPr>
            <w:rStyle w:val="Hyperlink"/>
          </w:rPr>
          <w:t>Court Services Victoria incident</w:t>
        </w:r>
      </w:hyperlink>
      <w:r w:rsidR="00D91674">
        <w:t xml:space="preserve">. </w:t>
      </w:r>
      <w:r w:rsidR="00A14B66">
        <w:t>There were two (</w:t>
      </w:r>
      <w:r w:rsidR="00A14B66" w:rsidRPr="00E37516">
        <w:rPr>
          <w:b/>
          <w:bCs/>
        </w:rPr>
        <w:t>2</w:t>
      </w:r>
      <w:r w:rsidR="00A14B66">
        <w:t xml:space="preserve">) notifications where </w:t>
      </w:r>
      <w:r w:rsidR="00A14B66" w:rsidRPr="00A14B66">
        <w:rPr>
          <w:b/>
          <w:bCs/>
        </w:rPr>
        <w:t>critical infrastructure</w:t>
      </w:r>
      <w:r w:rsidR="00A14B66">
        <w:t xml:space="preserve"> (</w:t>
      </w:r>
      <w:r w:rsidR="00A14B66" w:rsidRPr="00A14B66">
        <w:rPr>
          <w:b/>
          <w:bCs/>
        </w:rPr>
        <w:t>CI</w:t>
      </w:r>
      <w:r w:rsidR="00A14B66">
        <w:t xml:space="preserve">) was selected. Although one of these appears to have selected CI incorrectly, the other </w:t>
      </w:r>
      <w:r w:rsidR="00F82603">
        <w:t>notification is about</w:t>
      </w:r>
      <w:r w:rsidR="00A14B66">
        <w:t xml:space="preserve"> information related to a CI asset.</w:t>
      </w:r>
    </w:p>
    <w:p w14:paraId="13D835B7" w14:textId="49FDF505" w:rsidR="00A6671C" w:rsidRPr="0003476F" w:rsidRDefault="00AC2EA8" w:rsidP="00A6671C">
      <w:r>
        <w:t>M</w:t>
      </w:r>
      <w:r w:rsidRPr="00AC2EA8">
        <w:t xml:space="preserve">ultiple </w:t>
      </w:r>
      <w:r>
        <w:t xml:space="preserve">information types can be involved in a single incident. </w:t>
      </w:r>
      <w:r w:rsidRPr="00AC2EA8">
        <w:rPr>
          <w:b/>
          <w:bCs/>
        </w:rPr>
        <w:t>19%</w:t>
      </w:r>
      <w:r w:rsidR="00A6671C" w:rsidRPr="0003476F">
        <w:t xml:space="preserve"> </w:t>
      </w:r>
      <w:r>
        <w:t xml:space="preserve">of </w:t>
      </w:r>
      <w:r w:rsidR="00A6671C" w:rsidRPr="0003476F">
        <w:t xml:space="preserve">notifications selected </w:t>
      </w:r>
      <w:r w:rsidRPr="00AC2EA8">
        <w:t>more than one information type</w:t>
      </w:r>
      <w:r w:rsidR="00A6671C" w:rsidRPr="0003476F">
        <w:t xml:space="preserve">. </w:t>
      </w:r>
    </w:p>
    <w:p w14:paraId="68916380" w14:textId="7B8BDFD1" w:rsidR="00A6671C" w:rsidRDefault="00A6671C" w:rsidP="00A6671C">
      <w:r w:rsidRPr="0003476F">
        <w:t>There w</w:t>
      </w:r>
      <w:r w:rsidR="0003476F" w:rsidRPr="0003476F">
        <w:t>ere</w:t>
      </w:r>
      <w:r w:rsidRPr="0003476F">
        <w:t xml:space="preserve"> </w:t>
      </w:r>
      <w:r w:rsidR="0087753A">
        <w:t>two</w:t>
      </w:r>
      <w:r w:rsidRPr="0003476F">
        <w:t xml:space="preserve"> (</w:t>
      </w:r>
      <w:r w:rsidR="0087753A">
        <w:rPr>
          <w:b/>
          <w:bCs/>
        </w:rPr>
        <w:t>2</w:t>
      </w:r>
      <w:r w:rsidRPr="0003476F">
        <w:t>) notification</w:t>
      </w:r>
      <w:r w:rsidR="0003476F" w:rsidRPr="0003476F">
        <w:t>s</w:t>
      </w:r>
      <w:r w:rsidRPr="0003476F">
        <w:t xml:space="preserve"> where four (</w:t>
      </w:r>
      <w:r w:rsidRPr="0003476F">
        <w:rPr>
          <w:b/>
          <w:bCs/>
        </w:rPr>
        <w:t>4</w:t>
      </w:r>
      <w:r w:rsidRPr="0003476F">
        <w:t>) or more options were selected</w:t>
      </w:r>
      <w:r w:rsidR="0087753A">
        <w:t xml:space="preserve"> </w:t>
      </w:r>
      <w:r w:rsidRPr="0003476F">
        <w:t>includ</w:t>
      </w:r>
      <w:r w:rsidR="0087753A">
        <w:t>ing</w:t>
      </w:r>
      <w:r w:rsidRPr="0003476F">
        <w:t xml:space="preserve"> an incident where </w:t>
      </w:r>
      <w:r w:rsidR="0087753A" w:rsidRPr="0087753A">
        <w:rPr>
          <w:b/>
          <w:bCs/>
        </w:rPr>
        <w:t xml:space="preserve">personal, operational, critical infrastructure, </w:t>
      </w:r>
      <w:r w:rsidR="0087753A" w:rsidRPr="0087753A">
        <w:t>and</w:t>
      </w:r>
      <w:r w:rsidR="0087753A" w:rsidRPr="0087753A">
        <w:rPr>
          <w:b/>
          <w:bCs/>
        </w:rPr>
        <w:t xml:space="preserve"> law enforcement information</w:t>
      </w:r>
      <w:r w:rsidR="0087753A">
        <w:t xml:space="preserve"> was published on an uncontrolled website</w:t>
      </w:r>
      <w:r w:rsidRPr="0003476F">
        <w:t xml:space="preserve"> and </w:t>
      </w:r>
      <w:r w:rsidR="0003476F" w:rsidRPr="0003476F">
        <w:t xml:space="preserve">an incident </w:t>
      </w:r>
      <w:r w:rsidR="0087753A">
        <w:t>where a SharePoint site storing a range of information had incorrect permissions</w:t>
      </w:r>
      <w:r w:rsidRPr="0003476F">
        <w:t>.</w:t>
      </w:r>
    </w:p>
    <w:p w14:paraId="7F0D88FD" w14:textId="2B272D18" w:rsidR="006D3CD4" w:rsidRDefault="00AC2EA8" w:rsidP="00A6671C">
      <w:r>
        <w:t>A</w:t>
      </w:r>
      <w:r w:rsidR="006D3CD4">
        <w:t xml:space="preserve">ll </w:t>
      </w:r>
      <w:r>
        <w:t>except two (</w:t>
      </w:r>
      <w:r w:rsidRPr="00AC2EA8">
        <w:rPr>
          <w:b/>
          <w:bCs/>
        </w:rPr>
        <w:t>2</w:t>
      </w:r>
      <w:r>
        <w:t xml:space="preserve">) </w:t>
      </w:r>
      <w:r w:rsidR="006D3CD4">
        <w:t xml:space="preserve">notifications where </w:t>
      </w:r>
      <w:r w:rsidR="006D3CD4" w:rsidRPr="006D3CD4">
        <w:rPr>
          <w:b/>
          <w:bCs/>
        </w:rPr>
        <w:t>health</w:t>
      </w:r>
      <w:r w:rsidR="006D3CD4">
        <w:t xml:space="preserve"> information was selected, </w:t>
      </w:r>
      <w:r w:rsidR="006D3CD4" w:rsidRPr="006D3CD4">
        <w:rPr>
          <w:b/>
          <w:bCs/>
        </w:rPr>
        <w:t>personal</w:t>
      </w:r>
      <w:r w:rsidR="006D3CD4">
        <w:t xml:space="preserve"> </w:t>
      </w:r>
      <w:r>
        <w:t xml:space="preserve">information </w:t>
      </w:r>
      <w:r w:rsidR="006D3CD4">
        <w:t xml:space="preserve">was also selected. Similarly, for notifications where more than one information type was selected, </w:t>
      </w:r>
      <w:r w:rsidR="006D3CD4" w:rsidRPr="00AC2EA8">
        <w:rPr>
          <w:b/>
          <w:bCs/>
        </w:rPr>
        <w:t>personal</w:t>
      </w:r>
      <w:r w:rsidR="006D3CD4">
        <w:t xml:space="preserve"> information was selected for all but </w:t>
      </w:r>
      <w:r>
        <w:t>four</w:t>
      </w:r>
      <w:r w:rsidR="006D3CD4">
        <w:t xml:space="preserve"> </w:t>
      </w:r>
      <w:r>
        <w:t>(</w:t>
      </w:r>
      <w:r w:rsidRPr="00AC2EA8">
        <w:rPr>
          <w:b/>
          <w:bCs/>
        </w:rPr>
        <w:t>4</w:t>
      </w:r>
      <w:r>
        <w:t xml:space="preserve">) </w:t>
      </w:r>
      <w:r w:rsidR="006D3CD4">
        <w:t>of these instances.</w:t>
      </w:r>
    </w:p>
    <w:p w14:paraId="04716AD3" w14:textId="40CE9745" w:rsidR="007A5F28" w:rsidRPr="0003476F" w:rsidRDefault="007A5F28" w:rsidP="00A6671C">
      <w:r>
        <w:t xml:space="preserve">There were no notifications that selected incidents relating to </w:t>
      </w:r>
      <w:r w:rsidRPr="007A5F28">
        <w:rPr>
          <w:b/>
          <w:bCs/>
        </w:rPr>
        <w:t>policy</w:t>
      </w:r>
      <w:r>
        <w:t xml:space="preserve"> information or </w:t>
      </w:r>
      <w:r w:rsidRPr="007A5F28">
        <w:rPr>
          <w:b/>
          <w:bCs/>
        </w:rPr>
        <w:t>crime statistics data</w:t>
      </w:r>
      <w:r>
        <w:t>.</w:t>
      </w:r>
    </w:p>
    <w:p w14:paraId="4D29D667" w14:textId="77777777" w:rsidR="00C9436C" w:rsidRDefault="00C9436C">
      <w:pPr>
        <w:spacing w:before="0" w:after="160" w:line="259" w:lineRule="auto"/>
        <w:rPr>
          <w:rFonts w:eastAsiaTheme="majorEastAsia" w:cstheme="majorBidi"/>
          <w:sz w:val="26"/>
          <w:szCs w:val="24"/>
        </w:rPr>
      </w:pPr>
      <w:r>
        <w:br w:type="page"/>
      </w:r>
    </w:p>
    <w:p w14:paraId="2E1D9BE6" w14:textId="312E02B0" w:rsidR="00A6671C" w:rsidRDefault="00A6671C" w:rsidP="00FA1B6A">
      <w:pPr>
        <w:pStyle w:val="Heading2"/>
      </w:pPr>
      <w:r w:rsidRPr="009D2AB2">
        <w:lastRenderedPageBreak/>
        <w:t xml:space="preserve">Information </w:t>
      </w:r>
      <w:r>
        <w:t>Business Impact Level (</w:t>
      </w:r>
      <w:r w:rsidRPr="00B413CC">
        <w:rPr>
          <w:b/>
          <w:bCs/>
        </w:rPr>
        <w:t>BIL</w:t>
      </w:r>
      <w:r>
        <w:t>)</w:t>
      </w:r>
      <w:r>
        <w:rPr>
          <w:rStyle w:val="FootnoteReference"/>
          <w:sz w:val="24"/>
        </w:rPr>
        <w:footnoteReference w:id="1"/>
      </w:r>
      <w:r>
        <w:t xml:space="preserve"> </w:t>
      </w:r>
    </w:p>
    <w:p w14:paraId="60E9797C" w14:textId="0E22EC8B" w:rsidR="00390CE3" w:rsidRDefault="00390CE3" w:rsidP="00FA1B6A">
      <w:pPr>
        <w:pStyle w:val="Heading3"/>
      </w:pPr>
      <w:r>
        <w:t xml:space="preserve">Highest BIL </w:t>
      </w:r>
      <w:r w:rsidR="00603E39">
        <w:t>p</w:t>
      </w:r>
      <w:r>
        <w:t>ercentage</w:t>
      </w:r>
    </w:p>
    <w:p w14:paraId="2DA49A80" w14:textId="29D67ECC" w:rsidR="00390CE3" w:rsidRDefault="00390CE3" w:rsidP="00A6671C">
      <w:r>
        <w:rPr>
          <w:noProof/>
        </w:rPr>
        <w:drawing>
          <wp:inline distT="0" distB="0" distL="0" distR="0" wp14:anchorId="24CB140E" wp14:editId="3AB637D0">
            <wp:extent cx="5051685" cy="2923082"/>
            <wp:effectExtent l="0" t="0" r="3175" b="0"/>
            <wp:docPr id="71795212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24A022" w14:textId="6527A4EE" w:rsidR="00A4119B" w:rsidRDefault="00A4119B" w:rsidP="00AC47F1">
      <w:pPr>
        <w:pStyle w:val="Heading3"/>
      </w:pPr>
      <w:r>
        <w:t>Insights:</w:t>
      </w:r>
    </w:p>
    <w:p w14:paraId="4A15338B" w14:textId="574CD850" w:rsidR="00A6671C" w:rsidRDefault="009E7ED9" w:rsidP="00A6671C">
      <w:r>
        <w:t>The Business Impact Level (</w:t>
      </w:r>
      <w:r w:rsidRPr="00E4653C">
        <w:rPr>
          <w:b/>
          <w:bCs/>
        </w:rPr>
        <w:t>BIL</w:t>
      </w:r>
      <w:r>
        <w:t>)</w:t>
      </w:r>
      <w:r w:rsidRPr="007323B2">
        <w:t xml:space="preserve"> </w:t>
      </w:r>
      <w:r>
        <w:t xml:space="preserve">statistics for this </w:t>
      </w:r>
      <w:r w:rsidR="00E02C93">
        <w:t>notification</w:t>
      </w:r>
      <w:r>
        <w:t xml:space="preserve"> period are consistent with the previous </w:t>
      </w:r>
      <w:r w:rsidR="00E02C93">
        <w:t>period</w:t>
      </w:r>
      <w:r>
        <w:t xml:space="preserve">. </w:t>
      </w:r>
      <w:r w:rsidR="00A6671C" w:rsidRPr="006D3CD4">
        <w:t>The number of notifications identifying incidents a</w:t>
      </w:r>
      <w:r w:rsidR="00A6671C" w:rsidRPr="007323B2">
        <w:t xml:space="preserve">ffecting information assessed as </w:t>
      </w:r>
      <w:r w:rsidR="00A6671C">
        <w:t xml:space="preserve">having a </w:t>
      </w:r>
      <w:r w:rsidR="00A6671C" w:rsidRPr="00E721D1">
        <w:rPr>
          <w:b/>
          <w:bCs/>
        </w:rPr>
        <w:t>Limited</w:t>
      </w:r>
      <w:r w:rsidR="00A6671C">
        <w:t xml:space="preserve"> impact or </w:t>
      </w:r>
      <w:r w:rsidRPr="00E721D1">
        <w:rPr>
          <w:b/>
          <w:bCs/>
        </w:rPr>
        <w:t xml:space="preserve">BIL </w:t>
      </w:r>
      <w:r w:rsidR="00A6671C" w:rsidRPr="00E721D1">
        <w:rPr>
          <w:b/>
          <w:bCs/>
        </w:rPr>
        <w:t>2</w:t>
      </w:r>
      <w:r w:rsidR="00A6671C">
        <w:t xml:space="preserve"> </w:t>
      </w:r>
      <w:r>
        <w:t>is</w:t>
      </w:r>
      <w:r w:rsidR="00A6671C" w:rsidRPr="007323B2">
        <w:t xml:space="preserve"> </w:t>
      </w:r>
      <w:r w:rsidR="00E02C93">
        <w:rPr>
          <w:b/>
          <w:bCs/>
        </w:rPr>
        <w:t>89</w:t>
      </w:r>
      <w:r w:rsidR="00A6671C" w:rsidRPr="007323B2">
        <w:rPr>
          <w:b/>
          <w:bCs/>
        </w:rPr>
        <w:t>%</w:t>
      </w:r>
      <w:r>
        <w:rPr>
          <w:b/>
          <w:bCs/>
        </w:rPr>
        <w:t xml:space="preserve"> </w:t>
      </w:r>
      <w:r w:rsidRPr="009E7ED9">
        <w:t xml:space="preserve">and </w:t>
      </w:r>
      <w:r w:rsidRPr="00E721D1">
        <w:rPr>
          <w:b/>
          <w:bCs/>
        </w:rPr>
        <w:t>Minor</w:t>
      </w:r>
      <w:r w:rsidRPr="009E7ED9">
        <w:t xml:space="preserve"> impact or </w:t>
      </w:r>
      <w:r w:rsidRPr="00E721D1">
        <w:rPr>
          <w:b/>
          <w:bCs/>
        </w:rPr>
        <w:t>BIL 1</w:t>
      </w:r>
      <w:r w:rsidRPr="009E7ED9">
        <w:t xml:space="preserve"> is </w:t>
      </w:r>
      <w:r w:rsidR="00E02C93" w:rsidRPr="00E02C93">
        <w:rPr>
          <w:b/>
          <w:bCs/>
        </w:rPr>
        <w:t>7</w:t>
      </w:r>
      <w:r>
        <w:rPr>
          <w:b/>
          <w:bCs/>
        </w:rPr>
        <w:t>%</w:t>
      </w:r>
      <w:r w:rsidR="00A6671C" w:rsidRPr="007323B2">
        <w:t>.</w:t>
      </w:r>
    </w:p>
    <w:p w14:paraId="241BF609" w14:textId="77777777" w:rsidR="007927A8" w:rsidRDefault="0046088E" w:rsidP="00EA7FB0">
      <w:r>
        <w:t>This period saw a rise in the number of notifications across all the business impacts</w:t>
      </w:r>
      <w:r w:rsidR="008474EA">
        <w:t xml:space="preserve"> levels. This </w:t>
      </w:r>
      <w:r>
        <w:t>includ</w:t>
      </w:r>
      <w:r w:rsidR="008474EA">
        <w:t xml:space="preserve">es </w:t>
      </w:r>
      <w:r w:rsidR="00EA7FB0">
        <w:t xml:space="preserve">double the notifications </w:t>
      </w:r>
      <w:r w:rsidR="00DA046B">
        <w:t>(</w:t>
      </w:r>
      <w:r w:rsidR="00EA7FB0" w:rsidRPr="00EA7FB0">
        <w:rPr>
          <w:b/>
          <w:bCs/>
        </w:rPr>
        <w:t>12</w:t>
      </w:r>
      <w:r w:rsidR="00DA046B">
        <w:t xml:space="preserve">) </w:t>
      </w:r>
      <w:r w:rsidR="00A6671C">
        <w:t xml:space="preserve">nominating </w:t>
      </w:r>
      <w:r w:rsidR="00A6671C" w:rsidRPr="00E62230">
        <w:rPr>
          <w:b/>
          <w:bCs/>
        </w:rPr>
        <w:t>BIL 3</w:t>
      </w:r>
      <w:r w:rsidR="00A6671C">
        <w:t xml:space="preserve"> </w:t>
      </w:r>
      <w:r w:rsidR="00DA046B">
        <w:t>information was affected compared to</w:t>
      </w:r>
      <w:r w:rsidR="00A6671C">
        <w:t xml:space="preserve"> the last </w:t>
      </w:r>
      <w:r w:rsidR="00EA7FB0">
        <w:t>notification</w:t>
      </w:r>
      <w:r w:rsidR="00DA046B">
        <w:t xml:space="preserve"> period</w:t>
      </w:r>
      <w:r w:rsidR="008474EA">
        <w:t>. Some examples include</w:t>
      </w:r>
      <w:r w:rsidR="007927A8">
        <w:t>:</w:t>
      </w:r>
    </w:p>
    <w:p w14:paraId="3FF9C340" w14:textId="77777777" w:rsidR="007927A8" w:rsidRDefault="008474EA" w:rsidP="007927A8">
      <w:pPr>
        <w:pStyle w:val="ListParagraph"/>
        <w:numPr>
          <w:ilvl w:val="0"/>
          <w:numId w:val="13"/>
        </w:numPr>
      </w:pPr>
      <w:r>
        <w:t xml:space="preserve">the release of unredacted </w:t>
      </w:r>
      <w:r w:rsidRPr="008474EA">
        <w:t>subpoenaed</w:t>
      </w:r>
      <w:r>
        <w:t xml:space="preserve"> </w:t>
      </w:r>
      <w:proofErr w:type="gramStart"/>
      <w:r>
        <w:t>material;</w:t>
      </w:r>
      <w:proofErr w:type="gramEnd"/>
      <w:r>
        <w:t xml:space="preserve"> </w:t>
      </w:r>
    </w:p>
    <w:p w14:paraId="637BD29F" w14:textId="672FEC8C" w:rsidR="007927A8" w:rsidRDefault="008474EA" w:rsidP="007927A8">
      <w:pPr>
        <w:pStyle w:val="ListParagraph"/>
        <w:numPr>
          <w:ilvl w:val="0"/>
          <w:numId w:val="13"/>
        </w:numPr>
      </w:pPr>
      <w:r>
        <w:t xml:space="preserve">the sharing of committee documents containing sensitive commercial negotiations to attendees with </w:t>
      </w:r>
      <w:proofErr w:type="gramStart"/>
      <w:r>
        <w:t>conflict of interest</w:t>
      </w:r>
      <w:proofErr w:type="gramEnd"/>
      <w:r>
        <w:t xml:space="preserve"> issues</w:t>
      </w:r>
      <w:r w:rsidR="007927A8">
        <w:t>;</w:t>
      </w:r>
      <w:r>
        <w:t xml:space="preserve"> and </w:t>
      </w:r>
    </w:p>
    <w:p w14:paraId="1EEB4DD9" w14:textId="6BC44444" w:rsidR="00EA7FB0" w:rsidRDefault="008474EA" w:rsidP="007927A8">
      <w:pPr>
        <w:pStyle w:val="ListParagraph"/>
        <w:numPr>
          <w:ilvl w:val="0"/>
          <w:numId w:val="13"/>
        </w:numPr>
      </w:pPr>
      <w:r>
        <w:t>leaving a sensitive voicemail message which could put a domestic violence client at high risk</w:t>
      </w:r>
      <w:r w:rsidR="00A6671C">
        <w:t xml:space="preserve">. </w:t>
      </w:r>
    </w:p>
    <w:p w14:paraId="4B3E2F82" w14:textId="6315A5B9" w:rsidR="0046088E" w:rsidRDefault="00EA7FB0" w:rsidP="0046088E">
      <w:r>
        <w:t>There were two (</w:t>
      </w:r>
      <w:r w:rsidRPr="007927A8">
        <w:rPr>
          <w:b/>
          <w:bCs/>
        </w:rPr>
        <w:t>2</w:t>
      </w:r>
      <w:r>
        <w:t xml:space="preserve">) notifications that nominated </w:t>
      </w:r>
      <w:r w:rsidRPr="00EA7FB0">
        <w:rPr>
          <w:b/>
          <w:bCs/>
        </w:rPr>
        <w:t>BIL 4</w:t>
      </w:r>
      <w:r>
        <w:t xml:space="preserve"> information was affected.</w:t>
      </w:r>
      <w:r w:rsidR="00AD10C5">
        <w:t xml:space="preserve"> An example of one of these incidents was the loss of availability of a critical system </w:t>
      </w:r>
      <w:r w:rsidR="00AD10C5" w:rsidRPr="00AD10C5">
        <w:t xml:space="preserve">needed to provide </w:t>
      </w:r>
      <w:r w:rsidR="00AD10C5">
        <w:t xml:space="preserve">real-time </w:t>
      </w:r>
      <w:r w:rsidR="00AD10C5" w:rsidRPr="00AD10C5">
        <w:t>funds to clients</w:t>
      </w:r>
      <w:r w:rsidR="00AD10C5">
        <w:t xml:space="preserve"> to meet strict payment obligations</w:t>
      </w:r>
      <w:r w:rsidR="00BC1B87">
        <w:t>,</w:t>
      </w:r>
      <w:r w:rsidR="00AD10C5">
        <w:t xml:space="preserve"> rather than a</w:t>
      </w:r>
      <w:r w:rsidR="0024312C">
        <w:t>n incident involving a compromise to the</w:t>
      </w:r>
      <w:r w:rsidR="00AD10C5">
        <w:t xml:space="preserve"> confidentiality </w:t>
      </w:r>
      <w:r w:rsidR="0024312C">
        <w:t>of information</w:t>
      </w:r>
      <w:r w:rsidR="00AD10C5">
        <w:t>.</w:t>
      </w:r>
    </w:p>
    <w:p w14:paraId="4D65B9FB" w14:textId="22F91267" w:rsidR="00C9436C" w:rsidRPr="00C9436C" w:rsidRDefault="00924E79" w:rsidP="00EA7FB0">
      <w:r>
        <w:t xml:space="preserve">Note: The BIL field relates to the information </w:t>
      </w:r>
      <w:r w:rsidR="00DD6CCD">
        <w:t>(</w:t>
      </w:r>
      <w:r w:rsidR="00583984">
        <w:t xml:space="preserve">e.g., </w:t>
      </w:r>
      <w:r w:rsidR="00DD6CCD" w:rsidRPr="00DD6CCD">
        <w:t>BIL</w:t>
      </w:r>
      <w:r w:rsidR="00583984">
        <w:t xml:space="preserve"> </w:t>
      </w:r>
      <w:r w:rsidR="00DD6CCD" w:rsidRPr="00DD6CCD">
        <w:t>2 / Limited / OFFICIAL</w:t>
      </w:r>
      <w:r w:rsidR="00583984">
        <w:t xml:space="preserve">: </w:t>
      </w:r>
      <w:r w:rsidR="00DD6CCD" w:rsidRPr="00DD6CCD">
        <w:t>Sensitive</w:t>
      </w:r>
      <w:r w:rsidR="00583984">
        <w:t>) affected in the incident and</w:t>
      </w:r>
      <w:r w:rsidR="00DD6CCD" w:rsidRPr="00DD6CCD">
        <w:t xml:space="preserve"> does not relate to the severity of </w:t>
      </w:r>
      <w:r w:rsidR="00583984">
        <w:t>the</w:t>
      </w:r>
      <w:r w:rsidR="00DD6CCD" w:rsidRPr="00DD6CCD">
        <w:t xml:space="preserve"> incident</w:t>
      </w:r>
      <w:r w:rsidR="00583984">
        <w:t xml:space="preserve"> itself</w:t>
      </w:r>
      <w:r w:rsidR="00DD6CCD" w:rsidRPr="00DD6CCD">
        <w:t xml:space="preserve">. For example, an incident </w:t>
      </w:r>
      <w:r w:rsidR="00583984">
        <w:t xml:space="preserve">relating to </w:t>
      </w:r>
      <w:r w:rsidR="00583984">
        <w:lastRenderedPageBreak/>
        <w:t>inadvertently sending an email attachment containing</w:t>
      </w:r>
      <w:r w:rsidR="00DD6CCD" w:rsidRPr="00DD6CCD">
        <w:t xml:space="preserve"> </w:t>
      </w:r>
      <w:r w:rsidR="00583984">
        <w:t>sensitive</w:t>
      </w:r>
      <w:r w:rsidR="00DD6CCD" w:rsidRPr="00DD6CCD">
        <w:t xml:space="preserve"> </w:t>
      </w:r>
      <w:r w:rsidR="00583984">
        <w:t xml:space="preserve">personal </w:t>
      </w:r>
      <w:r w:rsidR="00DD6CCD" w:rsidRPr="00DD6CCD">
        <w:t xml:space="preserve">information </w:t>
      </w:r>
      <w:r w:rsidR="00583984" w:rsidRPr="00583984">
        <w:t>to the incorrect recipient</w:t>
      </w:r>
      <w:r w:rsidR="00583984">
        <w:t xml:space="preserve"> </w:t>
      </w:r>
      <w:r w:rsidR="00583984" w:rsidRPr="00583984">
        <w:t>should be notified under the scheme</w:t>
      </w:r>
      <w:r w:rsidR="00BC1B87">
        <w:t>,</w:t>
      </w:r>
      <w:r w:rsidR="00583984" w:rsidRPr="00583984">
        <w:t xml:space="preserve"> </w:t>
      </w:r>
      <w:r w:rsidR="00583984">
        <w:t xml:space="preserve">because </w:t>
      </w:r>
      <w:r w:rsidR="00583984" w:rsidRPr="00583984">
        <w:t xml:space="preserve">it </w:t>
      </w:r>
      <w:r w:rsidR="00387B01">
        <w:t>i</w:t>
      </w:r>
      <w:r w:rsidR="00583984" w:rsidRPr="00583984">
        <w:t>mpacts BIL 2 information</w:t>
      </w:r>
      <w:r w:rsidR="00583984">
        <w:t xml:space="preserve">. </w:t>
      </w:r>
      <w:r w:rsidR="00BC1B87">
        <w:t xml:space="preserve">This is true even </w:t>
      </w:r>
      <w:r w:rsidR="00583984">
        <w:t xml:space="preserve">though the severity of the incident </w:t>
      </w:r>
      <w:r w:rsidR="00387B01">
        <w:t>itself may be asse</w:t>
      </w:r>
      <w:r w:rsidR="00387B01" w:rsidRPr="00387B01">
        <w:t xml:space="preserve">ssed as LOW because it was managed locally with minimal adverse impact </w:t>
      </w:r>
      <w:r w:rsidR="00387B01">
        <w:t>e.g., incident</w:t>
      </w:r>
      <w:r w:rsidR="00583984">
        <w:t xml:space="preserve"> was </w:t>
      </w:r>
      <w:r w:rsidR="00DD6CCD" w:rsidRPr="00DD6CCD">
        <w:t>contained quickly</w:t>
      </w:r>
      <w:r w:rsidR="00387B01">
        <w:t>,</w:t>
      </w:r>
      <w:r w:rsidR="00DD6CCD" w:rsidRPr="00DD6CCD">
        <w:t xml:space="preserve"> </w:t>
      </w:r>
      <w:r w:rsidR="00387B01">
        <w:t>s</w:t>
      </w:r>
      <w:r w:rsidR="00DD6CCD" w:rsidRPr="00DD6CCD">
        <w:t>wiftly acted upon</w:t>
      </w:r>
      <w:r w:rsidR="00387B01">
        <w:t>,</w:t>
      </w:r>
      <w:r w:rsidR="00DD6CCD" w:rsidRPr="00DD6CCD">
        <w:t xml:space="preserve"> deleted</w:t>
      </w:r>
      <w:r w:rsidR="00387B01">
        <w:t>,</w:t>
      </w:r>
      <w:r w:rsidR="00DD6CCD" w:rsidRPr="00DD6CCD">
        <w:t xml:space="preserve"> affected person notified.</w:t>
      </w:r>
      <w:r w:rsidR="00C9436C">
        <w:br w:type="page"/>
      </w:r>
    </w:p>
    <w:p w14:paraId="32866EC7" w14:textId="59131DA9" w:rsidR="00A6671C" w:rsidRDefault="00A6671C" w:rsidP="00FA1B6A">
      <w:pPr>
        <w:pStyle w:val="Heading2"/>
      </w:pPr>
      <w:r w:rsidRPr="009D2AB2">
        <w:lastRenderedPageBreak/>
        <w:t>Security attributes impacted</w:t>
      </w:r>
      <w:r>
        <w:t xml:space="preserve"> </w:t>
      </w:r>
      <w:r w:rsidRPr="002C6E03">
        <w:t>(Multiple options can be selected)</w:t>
      </w:r>
    </w:p>
    <w:p w14:paraId="11276501" w14:textId="4A4657B1" w:rsidR="000D528B" w:rsidRDefault="000D528B" w:rsidP="00A6671C">
      <w:bookmarkStart w:id="2" w:name="_Hlk57107159"/>
      <w:r>
        <w:rPr>
          <w:noProof/>
        </w:rPr>
        <w:drawing>
          <wp:inline distT="0" distB="0" distL="0" distR="0" wp14:anchorId="079EFE37" wp14:editId="49FED236">
            <wp:extent cx="2578308" cy="3200400"/>
            <wp:effectExtent l="0" t="0" r="0" b="0"/>
            <wp:docPr id="24622084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D87D886" w14:textId="200D27AA" w:rsidR="00A4119B" w:rsidRDefault="00A4119B" w:rsidP="00AC47F1">
      <w:pPr>
        <w:pStyle w:val="Heading3"/>
      </w:pPr>
      <w:r>
        <w:t>Insights:</w:t>
      </w:r>
    </w:p>
    <w:p w14:paraId="17DF8719" w14:textId="4F87B3A2" w:rsidR="00A6671C" w:rsidRDefault="00A6671C" w:rsidP="00A6671C">
      <w:r w:rsidRPr="001949C1">
        <w:t xml:space="preserve">All except for </w:t>
      </w:r>
      <w:r w:rsidR="00626B7E" w:rsidRPr="00626B7E">
        <w:rPr>
          <w:b/>
          <w:bCs/>
        </w:rPr>
        <w:t>1</w:t>
      </w:r>
      <w:r w:rsidR="00B233EA" w:rsidRPr="00626B7E">
        <w:rPr>
          <w:b/>
          <w:bCs/>
        </w:rPr>
        <w:t>6</w:t>
      </w:r>
      <w:r w:rsidRPr="001949C1">
        <w:t xml:space="preserve"> incident notifications indicate</w:t>
      </w:r>
      <w:r>
        <w:t>d</w:t>
      </w:r>
      <w:r w:rsidRPr="001949C1">
        <w:t xml:space="preserve"> compromises of the </w:t>
      </w:r>
      <w:r w:rsidRPr="007071AE">
        <w:rPr>
          <w:b/>
          <w:bCs/>
        </w:rPr>
        <w:t>confidentiality</w:t>
      </w:r>
      <w:r w:rsidRPr="001949C1">
        <w:t xml:space="preserve"> </w:t>
      </w:r>
      <w:r w:rsidR="001954C2">
        <w:t>(</w:t>
      </w:r>
      <w:r w:rsidR="001954C2" w:rsidRPr="001954C2">
        <w:rPr>
          <w:b/>
          <w:bCs/>
        </w:rPr>
        <w:t>326</w:t>
      </w:r>
      <w:r w:rsidR="001954C2">
        <w:t xml:space="preserve">) </w:t>
      </w:r>
      <w:r w:rsidRPr="001949C1">
        <w:t xml:space="preserve">of information followed by </w:t>
      </w:r>
      <w:r w:rsidRPr="007071AE">
        <w:rPr>
          <w:b/>
          <w:bCs/>
        </w:rPr>
        <w:t>integrity</w:t>
      </w:r>
      <w:r w:rsidRPr="001949C1">
        <w:t xml:space="preserve"> </w:t>
      </w:r>
      <w:r w:rsidR="001954C2">
        <w:t>(</w:t>
      </w:r>
      <w:r w:rsidR="001954C2" w:rsidRPr="001954C2">
        <w:rPr>
          <w:b/>
          <w:bCs/>
        </w:rPr>
        <w:t>30</w:t>
      </w:r>
      <w:r w:rsidR="001954C2">
        <w:t xml:space="preserve">) </w:t>
      </w:r>
      <w:r w:rsidRPr="001949C1">
        <w:t xml:space="preserve">and </w:t>
      </w:r>
      <w:r w:rsidRPr="007071AE">
        <w:rPr>
          <w:b/>
          <w:bCs/>
        </w:rPr>
        <w:t>availability</w:t>
      </w:r>
      <w:r w:rsidR="001954C2">
        <w:rPr>
          <w:b/>
          <w:bCs/>
        </w:rPr>
        <w:t xml:space="preserve"> </w:t>
      </w:r>
      <w:r w:rsidR="001954C2" w:rsidRPr="001954C2">
        <w:t>(</w:t>
      </w:r>
      <w:r w:rsidR="001954C2" w:rsidRPr="001954C2">
        <w:rPr>
          <w:b/>
          <w:bCs/>
        </w:rPr>
        <w:t>21</w:t>
      </w:r>
      <w:r w:rsidR="001954C2" w:rsidRPr="001954C2">
        <w:t>)</w:t>
      </w:r>
      <w:r w:rsidRPr="001949C1">
        <w:t xml:space="preserve">. </w:t>
      </w:r>
      <w:r w:rsidR="006E76CC">
        <w:t xml:space="preserve">Incidents affecting the </w:t>
      </w:r>
      <w:r w:rsidR="006E76CC" w:rsidRPr="006E76CC">
        <w:rPr>
          <w:b/>
          <w:bCs/>
        </w:rPr>
        <w:t>availability</w:t>
      </w:r>
      <w:r w:rsidR="006E76CC">
        <w:t xml:space="preserve"> of information remained the same at </w:t>
      </w:r>
      <w:r w:rsidRPr="001949C1">
        <w:rPr>
          <w:b/>
          <w:bCs/>
        </w:rPr>
        <w:t>6%</w:t>
      </w:r>
      <w:r w:rsidR="00626B7E" w:rsidRPr="00626B7E">
        <w:t xml:space="preserve"> for the third </w:t>
      </w:r>
      <w:r w:rsidR="00626B7E">
        <w:t xml:space="preserve">consecutive </w:t>
      </w:r>
      <w:r w:rsidR="00626B7E" w:rsidRPr="00626B7E">
        <w:t>notification period</w:t>
      </w:r>
      <w:r w:rsidRPr="001949C1">
        <w:t>.</w:t>
      </w:r>
      <w:bookmarkEnd w:id="2"/>
    </w:p>
    <w:p w14:paraId="2EB6C6F1" w14:textId="1DA86682" w:rsidR="00843734" w:rsidRDefault="00843734" w:rsidP="00A6671C">
      <w:r>
        <w:t>Unauthorised disclosure (</w:t>
      </w:r>
      <w:r w:rsidRPr="00843734">
        <w:rPr>
          <w:b/>
          <w:bCs/>
        </w:rPr>
        <w:t>confidentiality</w:t>
      </w:r>
      <w:r>
        <w:t xml:space="preserve">) of public sector information regardless of information format (hard copy, electronic, verbal) continues to dominate the incidents for this period accounting for </w:t>
      </w:r>
      <w:r w:rsidR="00626B7E" w:rsidRPr="00626B7E">
        <w:rPr>
          <w:b/>
          <w:bCs/>
        </w:rPr>
        <w:t>75</w:t>
      </w:r>
      <w:r w:rsidRPr="0040757A">
        <w:rPr>
          <w:b/>
          <w:bCs/>
        </w:rPr>
        <w:t>%</w:t>
      </w:r>
      <w:r>
        <w:t xml:space="preserve"> of the notifications received.</w:t>
      </w:r>
    </w:p>
    <w:p w14:paraId="38FB9905" w14:textId="56D9DF1A" w:rsidR="00A6671C" w:rsidRPr="006E1F45" w:rsidRDefault="00626B7E" w:rsidP="00A6671C">
      <w:r w:rsidRPr="00626B7E">
        <w:t>Nine</w:t>
      </w:r>
      <w:r>
        <w:rPr>
          <w:b/>
          <w:bCs/>
        </w:rPr>
        <w:t xml:space="preserve"> </w:t>
      </w:r>
      <w:r w:rsidRPr="00626B7E">
        <w:t>percent (</w:t>
      </w:r>
      <w:r w:rsidRPr="00626B7E">
        <w:rPr>
          <w:b/>
          <w:bCs/>
        </w:rPr>
        <w:t>9</w:t>
      </w:r>
      <w:r w:rsidR="00A6671C" w:rsidRPr="006E1F45">
        <w:rPr>
          <w:b/>
          <w:bCs/>
        </w:rPr>
        <w:t>%</w:t>
      </w:r>
      <w:r>
        <w:t xml:space="preserve">) </w:t>
      </w:r>
      <w:r w:rsidR="00A6671C" w:rsidRPr="006E1F45">
        <w:t xml:space="preserve">of incident notifications </w:t>
      </w:r>
      <w:r w:rsidR="00A718E3" w:rsidRPr="006E1F45">
        <w:t>selected</w:t>
      </w:r>
      <w:r w:rsidR="00A6671C" w:rsidRPr="006E1F45">
        <w:t xml:space="preserve"> more than one option for this field. </w:t>
      </w:r>
      <w:r w:rsidR="00A718E3" w:rsidRPr="006E1F45">
        <w:t xml:space="preserve">In almost all </w:t>
      </w:r>
      <w:r w:rsidR="007071AE">
        <w:t>instances</w:t>
      </w:r>
      <w:r w:rsidR="00A718E3" w:rsidRPr="006E1F45">
        <w:t xml:space="preserve"> where multiple security attributes were selected, </w:t>
      </w:r>
      <w:r w:rsidR="00A718E3" w:rsidRPr="006E1F45">
        <w:rPr>
          <w:b/>
          <w:bCs/>
        </w:rPr>
        <w:t>confidentiality</w:t>
      </w:r>
      <w:r w:rsidR="00A718E3" w:rsidRPr="006E1F45">
        <w:t xml:space="preserve"> was selected. </w:t>
      </w:r>
      <w:r w:rsidR="0034140F">
        <w:t xml:space="preserve">There was only </w:t>
      </w:r>
      <w:r w:rsidR="0034140F" w:rsidRPr="007071AE">
        <w:t>one</w:t>
      </w:r>
      <w:r w:rsidR="0034140F">
        <w:t xml:space="preserve"> </w:t>
      </w:r>
      <w:r w:rsidR="007071AE">
        <w:t>(</w:t>
      </w:r>
      <w:r w:rsidR="007071AE" w:rsidRPr="007071AE">
        <w:rPr>
          <w:b/>
          <w:bCs/>
        </w:rPr>
        <w:t>1</w:t>
      </w:r>
      <w:r w:rsidR="007071AE">
        <w:t xml:space="preserve">) </w:t>
      </w:r>
      <w:r w:rsidR="0034140F">
        <w:t>instance where the confidentiality security attribute was not selected where the incident affected multiple attributes. In this notification</w:t>
      </w:r>
      <w:r w:rsidR="007071AE">
        <w:t>,</w:t>
      </w:r>
      <w:r w:rsidR="0034140F">
        <w:t xml:space="preserve"> the incident affected the integrity and availability of the information </w:t>
      </w:r>
      <w:r w:rsidR="00E10CD8">
        <w:t xml:space="preserve">due to </w:t>
      </w:r>
      <w:r>
        <w:t xml:space="preserve">a staff member either not entering the required information into the organisation’s </w:t>
      </w:r>
      <w:r w:rsidR="005B0A63">
        <w:t>case management system or only partially entering the information meaning records weren’t complete and up to date</w:t>
      </w:r>
      <w:r w:rsidR="00E10CD8">
        <w:t>.</w:t>
      </w:r>
    </w:p>
    <w:p w14:paraId="0B44402C" w14:textId="77777777" w:rsidR="007071AE" w:rsidRDefault="003F57CF" w:rsidP="00A6671C">
      <w:r w:rsidRPr="006E1F45">
        <w:t>There w</w:t>
      </w:r>
      <w:r w:rsidR="005B0A63">
        <w:t>ere seven (</w:t>
      </w:r>
      <w:r w:rsidR="005B0A63" w:rsidRPr="005B0A63">
        <w:rPr>
          <w:b/>
          <w:bCs/>
        </w:rPr>
        <w:t>7</w:t>
      </w:r>
      <w:r w:rsidR="005B0A63">
        <w:t>)</w:t>
      </w:r>
      <w:r w:rsidRPr="006E1F45">
        <w:t xml:space="preserve"> notification</w:t>
      </w:r>
      <w:r w:rsidR="005B0A63">
        <w:t>s</w:t>
      </w:r>
      <w:r w:rsidRPr="006E1F45">
        <w:t xml:space="preserve"> where the </w:t>
      </w:r>
      <w:r w:rsidRPr="006E1F45">
        <w:rPr>
          <w:b/>
          <w:bCs/>
        </w:rPr>
        <w:t>availability</w:t>
      </w:r>
      <w:r w:rsidRPr="006E1F45">
        <w:t xml:space="preserve"> security attribute was selected on its own </w:t>
      </w:r>
      <w:r w:rsidR="005B0A63">
        <w:t xml:space="preserve">for </w:t>
      </w:r>
      <w:proofErr w:type="gramStart"/>
      <w:r w:rsidR="005B0A63">
        <w:t>example</w:t>
      </w:r>
      <w:r w:rsidR="007071AE">
        <w:t>;</w:t>
      </w:r>
      <w:proofErr w:type="gramEnd"/>
      <w:r w:rsidR="005B0A63">
        <w:t xml:space="preserve"> </w:t>
      </w:r>
    </w:p>
    <w:p w14:paraId="47BD8D3B" w14:textId="77777777" w:rsidR="007071AE" w:rsidRDefault="005B0A63" w:rsidP="007071AE">
      <w:pPr>
        <w:pStyle w:val="ListParagraph"/>
        <w:numPr>
          <w:ilvl w:val="0"/>
          <w:numId w:val="15"/>
        </w:numPr>
      </w:pPr>
      <w:r>
        <w:t xml:space="preserve">stolen </w:t>
      </w:r>
      <w:proofErr w:type="gramStart"/>
      <w:r>
        <w:t>laptop</w:t>
      </w:r>
      <w:r w:rsidR="003B1124">
        <w:t>;</w:t>
      </w:r>
      <w:proofErr w:type="gramEnd"/>
      <w:r>
        <w:t xml:space="preserve"> </w:t>
      </w:r>
    </w:p>
    <w:p w14:paraId="22874CF7" w14:textId="77777777" w:rsidR="007071AE" w:rsidRDefault="005B0A63" w:rsidP="007071AE">
      <w:pPr>
        <w:pStyle w:val="ListParagraph"/>
        <w:numPr>
          <w:ilvl w:val="0"/>
          <w:numId w:val="15"/>
        </w:numPr>
      </w:pPr>
      <w:r>
        <w:t>critical system crash</w:t>
      </w:r>
      <w:r w:rsidR="003B1124">
        <w:t>;</w:t>
      </w:r>
      <w:r>
        <w:t xml:space="preserve"> and </w:t>
      </w:r>
    </w:p>
    <w:p w14:paraId="22657ECF" w14:textId="4DDFECAB" w:rsidR="003F57CF" w:rsidRDefault="005B0A63" w:rsidP="007071AE">
      <w:pPr>
        <w:pStyle w:val="ListParagraph"/>
        <w:numPr>
          <w:ilvl w:val="0"/>
          <w:numId w:val="15"/>
        </w:numPr>
      </w:pPr>
      <w:r>
        <w:lastRenderedPageBreak/>
        <w:t>an email add-on application stopping emails coming into shared mailboxes</w:t>
      </w:r>
      <w:r w:rsidR="003F57CF" w:rsidRPr="006E1F45">
        <w:t>.</w:t>
      </w:r>
    </w:p>
    <w:p w14:paraId="20DD0766" w14:textId="2D322914" w:rsidR="00E1647C" w:rsidRDefault="00E1647C" w:rsidP="00A6671C">
      <w:r>
        <w:t xml:space="preserve">This period also saw a different trend with the </w:t>
      </w:r>
      <w:r w:rsidRPr="00E1647C">
        <w:rPr>
          <w:b/>
          <w:bCs/>
        </w:rPr>
        <w:t>availability</w:t>
      </w:r>
      <w:r>
        <w:t xml:space="preserve"> security attribute where it was selected not because the information was not available to those who need to access the public sector information</w:t>
      </w:r>
      <w:r w:rsidR="00B124C7">
        <w:t>,</w:t>
      </w:r>
      <w:r>
        <w:t xml:space="preserve"> but because the information was available to everyone including those who do not have a need-to-know.</w:t>
      </w:r>
    </w:p>
    <w:p w14:paraId="740F9CD0" w14:textId="5A71904C" w:rsidR="007071AE" w:rsidRDefault="00A718E3" w:rsidP="00A6671C">
      <w:r w:rsidRPr="006E1F45">
        <w:t xml:space="preserve">There were </w:t>
      </w:r>
      <w:r w:rsidR="005B0A63">
        <w:t>eight</w:t>
      </w:r>
      <w:r w:rsidRPr="006E1F45">
        <w:t xml:space="preserve"> (</w:t>
      </w:r>
      <w:r w:rsidR="005B0A63">
        <w:rPr>
          <w:b/>
          <w:bCs/>
        </w:rPr>
        <w:t>8</w:t>
      </w:r>
      <w:r w:rsidRPr="006E1F45">
        <w:t xml:space="preserve">) notifications where the </w:t>
      </w:r>
      <w:r w:rsidRPr="0034140F">
        <w:rPr>
          <w:b/>
          <w:bCs/>
        </w:rPr>
        <w:t>integrity</w:t>
      </w:r>
      <w:r w:rsidRPr="006E1F45">
        <w:t xml:space="preserve"> </w:t>
      </w:r>
      <w:r w:rsidR="005B0A63" w:rsidRPr="005B0A63">
        <w:t xml:space="preserve">security attribute was selected on its own </w:t>
      </w:r>
      <w:r w:rsidRPr="006E1F45">
        <w:t>for example</w:t>
      </w:r>
      <w:r w:rsidR="007071AE">
        <w:t>:</w:t>
      </w:r>
      <w:r w:rsidRPr="006E1F45">
        <w:t xml:space="preserve"> </w:t>
      </w:r>
    </w:p>
    <w:p w14:paraId="24360869" w14:textId="77777777" w:rsidR="007071AE" w:rsidRDefault="00A718E3" w:rsidP="007071AE">
      <w:pPr>
        <w:pStyle w:val="ListParagraph"/>
        <w:numPr>
          <w:ilvl w:val="0"/>
          <w:numId w:val="16"/>
        </w:numPr>
      </w:pPr>
      <w:r w:rsidRPr="006E1F45">
        <w:t>the wrong claim number</w:t>
      </w:r>
      <w:r w:rsidR="005B0A63">
        <w:t>, address or contact number</w:t>
      </w:r>
      <w:r w:rsidRPr="006E1F45">
        <w:t xml:space="preserve"> being added to a case</w:t>
      </w:r>
      <w:r w:rsidR="0034140F">
        <w:t xml:space="preserve"> </w:t>
      </w:r>
      <w:proofErr w:type="gramStart"/>
      <w:r w:rsidR="0034140F">
        <w:t>file</w:t>
      </w:r>
      <w:r w:rsidR="003B1124">
        <w:t>;</w:t>
      </w:r>
      <w:proofErr w:type="gramEnd"/>
      <w:r w:rsidR="005B0A63">
        <w:t xml:space="preserve"> </w:t>
      </w:r>
    </w:p>
    <w:p w14:paraId="7AD39790" w14:textId="77777777" w:rsidR="007071AE" w:rsidRDefault="005B0A63" w:rsidP="007071AE">
      <w:pPr>
        <w:pStyle w:val="ListParagraph"/>
        <w:numPr>
          <w:ilvl w:val="0"/>
          <w:numId w:val="16"/>
        </w:numPr>
      </w:pPr>
      <w:r>
        <w:t>linking two cases incorrectly</w:t>
      </w:r>
      <w:r w:rsidR="003B1124">
        <w:t>;</w:t>
      </w:r>
      <w:r>
        <w:t xml:space="preserve"> </w:t>
      </w:r>
      <w:r w:rsidR="003B1124">
        <w:t xml:space="preserve">and </w:t>
      </w:r>
    </w:p>
    <w:p w14:paraId="78EA64E7" w14:textId="47ED6F4C" w:rsidR="0034140F" w:rsidRDefault="005B0A63" w:rsidP="007071AE">
      <w:pPr>
        <w:pStyle w:val="ListParagraph"/>
        <w:numPr>
          <w:ilvl w:val="0"/>
          <w:numId w:val="16"/>
        </w:numPr>
      </w:pPr>
      <w:r>
        <w:t xml:space="preserve">saving </w:t>
      </w:r>
      <w:r w:rsidRPr="005B0A63">
        <w:t xml:space="preserve">one client’s email to another client’s </w:t>
      </w:r>
      <w:r>
        <w:t>file</w:t>
      </w:r>
      <w:r w:rsidR="00A718E3" w:rsidRPr="006E1F45">
        <w:t xml:space="preserve">.  </w:t>
      </w:r>
    </w:p>
    <w:p w14:paraId="5CD3971B" w14:textId="162EF162" w:rsidR="0075052C" w:rsidRPr="0040757A" w:rsidRDefault="0034140F" w:rsidP="0040757A">
      <w:r>
        <w:t xml:space="preserve">There were </w:t>
      </w:r>
      <w:r w:rsidR="003B1124">
        <w:t>six</w:t>
      </w:r>
      <w:r>
        <w:t xml:space="preserve"> (</w:t>
      </w:r>
      <w:r w:rsidR="003B1124">
        <w:rPr>
          <w:b/>
          <w:bCs/>
        </w:rPr>
        <w:t>6</w:t>
      </w:r>
      <w:r>
        <w:t>) notifications w</w:t>
      </w:r>
      <w:r w:rsidR="00E10CD8">
        <w:t>h</w:t>
      </w:r>
      <w:r>
        <w:t xml:space="preserve">ere all three security attributes were selected. For example, </w:t>
      </w:r>
      <w:r w:rsidR="00E10CD8">
        <w:t xml:space="preserve">a client’s </w:t>
      </w:r>
      <w:r w:rsidR="003B1124">
        <w:t>email</w:t>
      </w:r>
      <w:r w:rsidR="00E10CD8">
        <w:t xml:space="preserve"> address was registered incorrectly so they never received </w:t>
      </w:r>
      <w:r w:rsidR="003B1124">
        <w:t>e</w:t>
      </w:r>
      <w:r w:rsidR="00E10CD8">
        <w:t>mail correspondence from the organisation but someone else did</w:t>
      </w:r>
      <w:r w:rsidR="00A6671C">
        <w:t>.</w:t>
      </w:r>
      <w:r w:rsidR="006B5716">
        <w:t xml:space="preserve"> Another example is </w:t>
      </w:r>
      <w:r w:rsidR="003B1124">
        <w:t>related to incorrect SharePoint permissions and a misconfigured system allowing access to all users including those who do not have a need-to-know</w:t>
      </w:r>
      <w:r w:rsidR="006B5716">
        <w:t>.</w:t>
      </w:r>
      <w:r w:rsidR="0075052C">
        <w:br w:type="page"/>
      </w:r>
    </w:p>
    <w:p w14:paraId="61B5078D" w14:textId="26D1E1E3" w:rsidR="00A6671C" w:rsidRPr="000D528B" w:rsidRDefault="00A6671C" w:rsidP="00FA1B6A">
      <w:pPr>
        <w:pStyle w:val="Heading2"/>
      </w:pPr>
      <w:r w:rsidRPr="000D528B">
        <w:lastRenderedPageBreak/>
        <w:t>Control area(s) affected (Multiple options can be selected)</w:t>
      </w:r>
    </w:p>
    <w:p w14:paraId="6F0D8768" w14:textId="3C41CD36" w:rsidR="000D528B" w:rsidRDefault="000D528B" w:rsidP="00A6671C">
      <w:r>
        <w:rPr>
          <w:noProof/>
        </w:rPr>
        <w:drawing>
          <wp:inline distT="0" distB="0" distL="0" distR="0" wp14:anchorId="436A6C7B" wp14:editId="4512D8F9">
            <wp:extent cx="3717561" cy="3200400"/>
            <wp:effectExtent l="0" t="0" r="3810" b="0"/>
            <wp:docPr id="19435473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97FDDB" w14:textId="24D62E40" w:rsidR="00A4119B" w:rsidRDefault="00A4119B" w:rsidP="00AC47F1">
      <w:pPr>
        <w:pStyle w:val="Heading3"/>
      </w:pPr>
      <w:r>
        <w:t>Insights:</w:t>
      </w:r>
    </w:p>
    <w:p w14:paraId="574A59F3" w14:textId="26ABE827" w:rsidR="0097657C" w:rsidRDefault="00A6671C" w:rsidP="0097657C">
      <w:r w:rsidRPr="00F33262">
        <w:t xml:space="preserve">This </w:t>
      </w:r>
      <w:r w:rsidR="00C60623">
        <w:t>notification</w:t>
      </w:r>
      <w:r w:rsidRPr="00F33262">
        <w:t xml:space="preserve"> period saw </w:t>
      </w:r>
      <w:r w:rsidR="00F33262" w:rsidRPr="00F33262">
        <w:t>the same percentage of</w:t>
      </w:r>
      <w:r w:rsidRPr="00F33262">
        <w:t xml:space="preserve"> incident</w:t>
      </w:r>
      <w:r w:rsidR="00F33262" w:rsidRPr="00F33262">
        <w:t>s</w:t>
      </w:r>
      <w:r w:rsidRPr="00F33262">
        <w:t xml:space="preserve"> </w:t>
      </w:r>
      <w:r w:rsidR="00F33262" w:rsidRPr="00F33262">
        <w:t>caused by</w:t>
      </w:r>
      <w:r w:rsidRPr="00F33262">
        <w:t xml:space="preserve"> </w:t>
      </w:r>
      <w:r w:rsidRPr="00F33262">
        <w:rPr>
          <w:b/>
          <w:bCs/>
        </w:rPr>
        <w:t>people</w:t>
      </w:r>
      <w:r w:rsidRPr="00F33262">
        <w:t xml:space="preserve"> (</w:t>
      </w:r>
      <w:r w:rsidRPr="00F33262">
        <w:rPr>
          <w:b/>
          <w:bCs/>
        </w:rPr>
        <w:t>92%</w:t>
      </w:r>
      <w:r w:rsidRPr="00F33262">
        <w:t xml:space="preserve">) </w:t>
      </w:r>
      <w:r w:rsidR="00F33262" w:rsidRPr="00F33262">
        <w:t xml:space="preserve">as </w:t>
      </w:r>
      <w:r w:rsidR="00BC1B87">
        <w:t xml:space="preserve">in </w:t>
      </w:r>
      <w:r w:rsidR="00F33262" w:rsidRPr="00F33262">
        <w:t xml:space="preserve">the previous </w:t>
      </w:r>
      <w:r w:rsidR="00C60623">
        <w:t>two notification</w:t>
      </w:r>
      <w:r w:rsidR="00F33262" w:rsidRPr="00F33262">
        <w:t xml:space="preserve"> period</w:t>
      </w:r>
      <w:r w:rsidR="00C60623">
        <w:t>s</w:t>
      </w:r>
      <w:r w:rsidR="00F33262" w:rsidRPr="00F33262">
        <w:t xml:space="preserve">. </w:t>
      </w:r>
    </w:p>
    <w:p w14:paraId="46A76947" w14:textId="4D74060E" w:rsidR="00A4119B" w:rsidRDefault="00A4119B" w:rsidP="0097657C">
      <w:r w:rsidRPr="00A4119B">
        <w:t xml:space="preserve">The key causal factors for security incidents </w:t>
      </w:r>
      <w:proofErr w:type="gramStart"/>
      <w:r w:rsidRPr="00A4119B">
        <w:t>remain</w:t>
      </w:r>
      <w:r w:rsidR="00BC1B87">
        <w:t>:</w:t>
      </w:r>
      <w:proofErr w:type="gramEnd"/>
      <w:r w:rsidR="00BC1B87">
        <w:t xml:space="preserve"> </w:t>
      </w:r>
      <w:r w:rsidRPr="00A4119B">
        <w:t>people, internal, and accidental</w:t>
      </w:r>
      <w:r w:rsidR="004D1683">
        <w:t>,</w:t>
      </w:r>
      <w:r w:rsidRPr="00A4119B">
        <w:t xml:space="preserve"> for example, </w:t>
      </w:r>
      <w:r w:rsidR="00C60623">
        <w:t>mail misdelivery whether it is postal mail or email</w:t>
      </w:r>
      <w:r w:rsidRPr="00A4119B">
        <w:t xml:space="preserve"> (</w:t>
      </w:r>
      <w:r w:rsidRPr="00C60623">
        <w:rPr>
          <w:b/>
          <w:bCs/>
        </w:rPr>
        <w:t>4</w:t>
      </w:r>
      <w:r w:rsidR="00C60623">
        <w:rPr>
          <w:b/>
          <w:bCs/>
        </w:rPr>
        <w:t>7</w:t>
      </w:r>
      <w:r w:rsidRPr="00C60623">
        <w:rPr>
          <w:b/>
          <w:bCs/>
        </w:rPr>
        <w:t>%</w:t>
      </w:r>
      <w:r w:rsidRPr="00A4119B">
        <w:t>).</w:t>
      </w:r>
    </w:p>
    <w:p w14:paraId="4365ABD5" w14:textId="0DE4804D" w:rsidR="00A6671C" w:rsidRPr="00B625EA" w:rsidRDefault="00C60623" w:rsidP="00A6671C">
      <w:r>
        <w:t>There was a large increase in the number of notifications selecting</w:t>
      </w:r>
      <w:r w:rsidR="00F33262" w:rsidRPr="00F33262">
        <w:t xml:space="preserve"> </w:t>
      </w:r>
      <w:r w:rsidR="00A6671C" w:rsidRPr="00F33262">
        <w:rPr>
          <w:b/>
          <w:bCs/>
        </w:rPr>
        <w:t>process</w:t>
      </w:r>
      <w:r w:rsidR="00F33262" w:rsidRPr="00F33262">
        <w:rPr>
          <w:b/>
          <w:bCs/>
        </w:rPr>
        <w:t xml:space="preserve"> </w:t>
      </w:r>
      <w:r w:rsidR="00F33262" w:rsidRPr="00F33262">
        <w:t>(</w:t>
      </w:r>
      <w:r w:rsidRPr="00C60623">
        <w:rPr>
          <w:b/>
          <w:bCs/>
        </w:rPr>
        <w:t>86</w:t>
      </w:r>
      <w:r w:rsidR="00F33262" w:rsidRPr="00F33262">
        <w:t>)</w:t>
      </w:r>
      <w:r w:rsidR="00F33262" w:rsidRPr="00F33262">
        <w:rPr>
          <w:b/>
          <w:bCs/>
        </w:rPr>
        <w:t xml:space="preserve"> </w:t>
      </w:r>
      <w:r w:rsidRPr="00C60623">
        <w:t>compared to the last notification period (</w:t>
      </w:r>
      <w:r>
        <w:rPr>
          <w:b/>
          <w:bCs/>
        </w:rPr>
        <w:t>39</w:t>
      </w:r>
      <w:r w:rsidRPr="00C60623">
        <w:t>)</w:t>
      </w:r>
      <w:r>
        <w:t xml:space="preserve"> and</w:t>
      </w:r>
      <w:r w:rsidR="000033F0">
        <w:t xml:space="preserve"> the numbers for</w:t>
      </w:r>
      <w:r>
        <w:t xml:space="preserve"> </w:t>
      </w:r>
      <w:r w:rsidR="00F33262" w:rsidRPr="00F33262">
        <w:rPr>
          <w:b/>
          <w:bCs/>
        </w:rPr>
        <w:t>technology</w:t>
      </w:r>
      <w:r w:rsidR="00A6671C" w:rsidRPr="00F33262">
        <w:t xml:space="preserve"> </w:t>
      </w:r>
      <w:r w:rsidR="00F33262" w:rsidRPr="00F33262">
        <w:t>(</w:t>
      </w:r>
      <w:r w:rsidR="00F33262" w:rsidRPr="00F33262">
        <w:rPr>
          <w:b/>
          <w:bCs/>
        </w:rPr>
        <w:t>27</w:t>
      </w:r>
      <w:r w:rsidR="00F33262" w:rsidRPr="00F33262">
        <w:t xml:space="preserve">) </w:t>
      </w:r>
      <w:r w:rsidR="00DD2867">
        <w:t xml:space="preserve">related incidents </w:t>
      </w:r>
      <w:r w:rsidR="000033F0">
        <w:t>remained the same as the previous period</w:t>
      </w:r>
      <w:r w:rsidR="00A6671C" w:rsidRPr="00B625EA">
        <w:t xml:space="preserve">. </w:t>
      </w:r>
    </w:p>
    <w:p w14:paraId="63CFD05C" w14:textId="5C805EAC" w:rsidR="00A4119B" w:rsidRPr="00B625EA" w:rsidRDefault="00222577" w:rsidP="00A4119B">
      <w:r>
        <w:t xml:space="preserve">Where multiple control areas are part of the incident, most of the time, the </w:t>
      </w:r>
      <w:r w:rsidRPr="00222577">
        <w:rPr>
          <w:b/>
          <w:bCs/>
        </w:rPr>
        <w:t>people</w:t>
      </w:r>
      <w:r>
        <w:t xml:space="preserve"> field is selected in addition to other causal factors. </w:t>
      </w:r>
      <w:r w:rsidR="00A4119B" w:rsidRPr="00B625EA">
        <w:t xml:space="preserve">There were only </w:t>
      </w:r>
      <w:r w:rsidR="00A4119B" w:rsidRPr="00DD2867">
        <w:t>two</w:t>
      </w:r>
      <w:r w:rsidR="00A4119B" w:rsidRPr="00B625EA">
        <w:t xml:space="preserve"> </w:t>
      </w:r>
      <w:r w:rsidR="00DD2867">
        <w:t>(</w:t>
      </w:r>
      <w:r w:rsidR="00DD2867" w:rsidRPr="00DD2867">
        <w:rPr>
          <w:b/>
          <w:bCs/>
        </w:rPr>
        <w:t>2</w:t>
      </w:r>
      <w:r w:rsidR="00DD2867">
        <w:t xml:space="preserve">) </w:t>
      </w:r>
      <w:r w:rsidR="00A4119B" w:rsidRPr="00B625EA">
        <w:t xml:space="preserve">notifications where </w:t>
      </w:r>
      <w:r w:rsidR="00DD2867" w:rsidRPr="00DD2867">
        <w:rPr>
          <w:b/>
          <w:bCs/>
        </w:rPr>
        <w:t>process</w:t>
      </w:r>
      <w:r w:rsidR="00DD2867">
        <w:t xml:space="preserve"> and </w:t>
      </w:r>
      <w:r w:rsidR="00DD2867" w:rsidRPr="00DD2867">
        <w:rPr>
          <w:b/>
          <w:bCs/>
        </w:rPr>
        <w:t>technology</w:t>
      </w:r>
      <w:r w:rsidR="00DD2867">
        <w:t xml:space="preserve"> were</w:t>
      </w:r>
      <w:r w:rsidR="00A4119B" w:rsidRPr="00B625EA">
        <w:t xml:space="preserve"> selected </w:t>
      </w:r>
      <w:r w:rsidR="00DD2867">
        <w:t>without</w:t>
      </w:r>
      <w:r w:rsidR="00A4119B" w:rsidRPr="00B625EA">
        <w:t xml:space="preserve"> people </w:t>
      </w:r>
      <w:r w:rsidR="00DD2867">
        <w:t>as</w:t>
      </w:r>
      <w:r w:rsidR="00A4119B" w:rsidRPr="00B625EA">
        <w:t xml:space="preserve"> one of the causal factors, for example </w:t>
      </w:r>
      <w:r w:rsidR="00DD2867">
        <w:t xml:space="preserve">a system </w:t>
      </w:r>
      <w:r w:rsidR="005C2F0B">
        <w:t>automatically sending a completed form to an incorrectly linked email address</w:t>
      </w:r>
      <w:r w:rsidR="00A4119B" w:rsidRPr="00B625EA">
        <w:t>.</w:t>
      </w:r>
    </w:p>
    <w:p w14:paraId="1B3A1E0E" w14:textId="56E403CF" w:rsidR="00A4119B" w:rsidRPr="00B625EA" w:rsidRDefault="00A4119B" w:rsidP="00A4119B">
      <w:r w:rsidRPr="00B625EA">
        <w:t xml:space="preserve">There were </w:t>
      </w:r>
      <w:r w:rsidR="00DD2867">
        <w:t>seven</w:t>
      </w:r>
      <w:r w:rsidRPr="00B625EA">
        <w:t xml:space="preserve"> (</w:t>
      </w:r>
      <w:r w:rsidR="00DD2867" w:rsidRPr="00DD2867">
        <w:rPr>
          <w:b/>
          <w:bCs/>
        </w:rPr>
        <w:t>7</w:t>
      </w:r>
      <w:r w:rsidRPr="00B625EA">
        <w:t xml:space="preserve">) notifications where </w:t>
      </w:r>
      <w:r w:rsidRPr="00B625EA">
        <w:rPr>
          <w:b/>
          <w:bCs/>
        </w:rPr>
        <w:t>process</w:t>
      </w:r>
      <w:r w:rsidRPr="00B625EA">
        <w:t xml:space="preserve"> was selected on its own and </w:t>
      </w:r>
      <w:r w:rsidR="00DD2867" w:rsidRPr="00DD2867">
        <w:rPr>
          <w:b/>
          <w:bCs/>
        </w:rPr>
        <w:t>10</w:t>
      </w:r>
      <w:r w:rsidRPr="00B625EA">
        <w:t xml:space="preserve"> notifications where </w:t>
      </w:r>
      <w:r w:rsidRPr="00B625EA">
        <w:rPr>
          <w:b/>
          <w:bCs/>
        </w:rPr>
        <w:t>technology</w:t>
      </w:r>
      <w:r w:rsidRPr="00B625EA">
        <w:t xml:space="preserve"> was selected on its own as </w:t>
      </w:r>
      <w:r>
        <w:t>the</w:t>
      </w:r>
      <w:r w:rsidRPr="00B625EA">
        <w:t xml:space="preserve"> cause of </w:t>
      </w:r>
      <w:r>
        <w:t>the</w:t>
      </w:r>
      <w:r w:rsidRPr="00B625EA">
        <w:t xml:space="preserve"> incident.</w:t>
      </w:r>
    </w:p>
    <w:p w14:paraId="652BA66E" w14:textId="5FCAE30D" w:rsidR="00A4119B" w:rsidRPr="00553C23" w:rsidRDefault="00A4119B" w:rsidP="00A4119B">
      <w:r w:rsidRPr="00553C23">
        <w:t xml:space="preserve">There were </w:t>
      </w:r>
      <w:r w:rsidR="005C2F0B">
        <w:t>six</w:t>
      </w:r>
      <w:r w:rsidRPr="00553C23">
        <w:t xml:space="preserve"> (</w:t>
      </w:r>
      <w:r w:rsidR="005C2F0B">
        <w:rPr>
          <w:b/>
          <w:bCs/>
        </w:rPr>
        <w:t>6</w:t>
      </w:r>
      <w:r w:rsidRPr="00553C23">
        <w:t xml:space="preserve">) notifications that nominated all three control areas: </w:t>
      </w:r>
      <w:r w:rsidRPr="00553C23">
        <w:rPr>
          <w:b/>
          <w:bCs/>
        </w:rPr>
        <w:t>people</w:t>
      </w:r>
      <w:r w:rsidRPr="00553C23">
        <w:t xml:space="preserve">, </w:t>
      </w:r>
      <w:r w:rsidRPr="00553C23">
        <w:rPr>
          <w:b/>
          <w:bCs/>
        </w:rPr>
        <w:t>process</w:t>
      </w:r>
      <w:r w:rsidRPr="00553C23">
        <w:t xml:space="preserve">, and </w:t>
      </w:r>
      <w:r w:rsidRPr="00553C23">
        <w:rPr>
          <w:b/>
          <w:bCs/>
        </w:rPr>
        <w:t>technology</w:t>
      </w:r>
      <w:r w:rsidRPr="00553C23">
        <w:t>.</w:t>
      </w:r>
      <w:r w:rsidR="004F23DB">
        <w:t xml:space="preserve"> </w:t>
      </w:r>
      <w:r w:rsidRPr="00553C23">
        <w:t>Some examples of when these three control areas were selected include:</w:t>
      </w:r>
    </w:p>
    <w:p w14:paraId="569CAD51" w14:textId="1C7656B3" w:rsidR="00A4119B" w:rsidRPr="00553C23" w:rsidRDefault="009A360F" w:rsidP="004A6B8C">
      <w:pPr>
        <w:pStyle w:val="ListParagraph"/>
        <w:numPr>
          <w:ilvl w:val="0"/>
          <w:numId w:val="11"/>
        </w:numPr>
      </w:pPr>
      <w:r>
        <w:lastRenderedPageBreak/>
        <w:t>i</w:t>
      </w:r>
      <w:r w:rsidR="005C2F0B">
        <w:t xml:space="preserve">nadvertent release of unredacted </w:t>
      </w:r>
      <w:r w:rsidR="00EF5EBC">
        <w:t xml:space="preserve">sensitive </w:t>
      </w:r>
      <w:proofErr w:type="gramStart"/>
      <w:r w:rsidR="005C2F0B">
        <w:t>documents</w:t>
      </w:r>
      <w:r>
        <w:t>;</w:t>
      </w:r>
      <w:proofErr w:type="gramEnd"/>
    </w:p>
    <w:p w14:paraId="0E69CC3B" w14:textId="01C71530" w:rsidR="00A4119B" w:rsidRDefault="009A360F" w:rsidP="004A6B8C">
      <w:pPr>
        <w:pStyle w:val="ListParagraph"/>
        <w:numPr>
          <w:ilvl w:val="0"/>
          <w:numId w:val="11"/>
        </w:numPr>
      </w:pPr>
      <w:r>
        <w:t>r</w:t>
      </w:r>
      <w:r w:rsidR="00EF5EBC">
        <w:t>elease of a</w:t>
      </w:r>
      <w:r w:rsidR="00EF5EBC" w:rsidRPr="00EF5EBC">
        <w:t xml:space="preserve">rrears </w:t>
      </w:r>
      <w:r w:rsidR="00EF5EBC">
        <w:t xml:space="preserve">notices to </w:t>
      </w:r>
      <w:r w:rsidR="00EF5EBC" w:rsidRPr="00EF5EBC">
        <w:t>incorrect parties via email</w:t>
      </w:r>
      <w:r w:rsidR="00EF5EBC">
        <w:t xml:space="preserve"> due to the incorrect merging of two files into a system and not cross checking before sending</w:t>
      </w:r>
      <w:r>
        <w:t>;</w:t>
      </w:r>
      <w:r w:rsidR="00A4119B" w:rsidRPr="00553C23">
        <w:t xml:space="preserve"> and</w:t>
      </w:r>
    </w:p>
    <w:p w14:paraId="4560916E" w14:textId="2FE82772" w:rsidR="00A4119B" w:rsidRDefault="009A360F" w:rsidP="004A6B8C">
      <w:pPr>
        <w:pStyle w:val="ListParagraph"/>
        <w:numPr>
          <w:ilvl w:val="0"/>
          <w:numId w:val="11"/>
        </w:numPr>
      </w:pPr>
      <w:r>
        <w:t>p</w:t>
      </w:r>
      <w:r w:rsidR="00EF5EBC">
        <w:t>ublic sector information p</w:t>
      </w:r>
      <w:r w:rsidR="00EF5EBC" w:rsidRPr="00EF5EBC">
        <w:t>ublished on an uncontrolled website</w:t>
      </w:r>
      <w:r w:rsidR="00A4119B" w:rsidRPr="00553C23">
        <w:t>.</w:t>
      </w:r>
    </w:p>
    <w:p w14:paraId="273DFDC2" w14:textId="5B5611B0" w:rsidR="00ED47B4" w:rsidRDefault="00A6671C" w:rsidP="00A6671C">
      <w:r w:rsidRPr="00B625EA">
        <w:t xml:space="preserve">There were </w:t>
      </w:r>
      <w:r w:rsidR="00EF5EBC">
        <w:t>five</w:t>
      </w:r>
      <w:r w:rsidRPr="00B625EA">
        <w:t xml:space="preserve"> (</w:t>
      </w:r>
      <w:r w:rsidR="00EF5EBC">
        <w:rPr>
          <w:b/>
          <w:bCs/>
        </w:rPr>
        <w:t>5</w:t>
      </w:r>
      <w:r w:rsidRPr="00B625EA">
        <w:t xml:space="preserve">) notifications where </w:t>
      </w:r>
      <w:r w:rsidR="00EF5EBC" w:rsidRPr="00EF5EBC">
        <w:rPr>
          <w:b/>
          <w:bCs/>
        </w:rPr>
        <w:t>no</w:t>
      </w:r>
      <w:r w:rsidRPr="00EF5EBC">
        <w:rPr>
          <w:b/>
          <w:bCs/>
        </w:rPr>
        <w:t xml:space="preserve"> control(s)</w:t>
      </w:r>
      <w:r w:rsidRPr="00B625EA">
        <w:t xml:space="preserve"> </w:t>
      </w:r>
      <w:r w:rsidR="00EF5EBC">
        <w:t xml:space="preserve">was selected </w:t>
      </w:r>
      <w:r w:rsidR="00ED47B4">
        <w:t xml:space="preserve">for example, an organisation caught up in the </w:t>
      </w:r>
      <w:hyperlink r:id="rId18" w:history="1">
        <w:r w:rsidR="00ED47B4" w:rsidRPr="00A07CDF">
          <w:rPr>
            <w:rStyle w:val="Hyperlink"/>
          </w:rPr>
          <w:t>Pareto data breach</w:t>
        </w:r>
      </w:hyperlink>
      <w:r w:rsidR="00ED47B4">
        <w:t xml:space="preserve"> where their information had been retained for longer than required past their engagement with the third party. </w:t>
      </w:r>
    </w:p>
    <w:p w14:paraId="306C55B6" w14:textId="2A1FF670" w:rsidR="00A6671C" w:rsidRPr="00B625EA" w:rsidRDefault="00ED47B4" w:rsidP="00A6671C">
      <w:r>
        <w:t>T</w:t>
      </w:r>
      <w:r w:rsidR="00A6671C" w:rsidRPr="00B625EA">
        <w:t xml:space="preserve">here were </w:t>
      </w:r>
      <w:r w:rsidR="00B625EA" w:rsidRPr="00B625EA">
        <w:t>three (</w:t>
      </w:r>
      <w:r w:rsidR="00B625EA" w:rsidRPr="00B625EA">
        <w:rPr>
          <w:b/>
          <w:bCs/>
        </w:rPr>
        <w:t>3</w:t>
      </w:r>
      <w:r w:rsidR="00B625EA" w:rsidRPr="00B625EA">
        <w:t xml:space="preserve">) </w:t>
      </w:r>
      <w:r w:rsidR="00A6671C" w:rsidRPr="00B625EA">
        <w:t>notifications where the control area affected could not be determined.</w:t>
      </w:r>
    </w:p>
    <w:p w14:paraId="472105AD" w14:textId="5FA2DB58" w:rsidR="00A6671C" w:rsidRPr="00553C23" w:rsidRDefault="00A6671C" w:rsidP="00A6671C">
      <w:r w:rsidRPr="00553C23">
        <w:br/>
      </w:r>
    </w:p>
    <w:p w14:paraId="49E5C52F" w14:textId="0537B53D" w:rsidR="00A6671C" w:rsidRPr="00553C23" w:rsidRDefault="00A6671C" w:rsidP="00AD47C6"/>
    <w:p w14:paraId="048CD744" w14:textId="77777777" w:rsidR="005D79E1" w:rsidRDefault="005D79E1">
      <w:pPr>
        <w:spacing w:before="0" w:after="160" w:line="259" w:lineRule="auto"/>
        <w:rPr>
          <w:rFonts w:eastAsiaTheme="majorEastAsia" w:cstheme="majorBidi"/>
          <w:color w:val="430098" w:themeColor="text2"/>
          <w:sz w:val="30"/>
          <w:szCs w:val="26"/>
        </w:rPr>
      </w:pPr>
      <w:bookmarkStart w:id="3" w:name="_Hlk115940024"/>
      <w:r>
        <w:br w:type="page"/>
      </w:r>
    </w:p>
    <w:p w14:paraId="5F49CE9E" w14:textId="64D2C2EC" w:rsidR="00A6671C" w:rsidRDefault="00A6671C" w:rsidP="00FA1B6A">
      <w:pPr>
        <w:pStyle w:val="Heading2"/>
      </w:pPr>
      <w:r>
        <w:lastRenderedPageBreak/>
        <w:t>Threat actor(s)</w:t>
      </w:r>
      <w:bookmarkEnd w:id="3"/>
      <w:r>
        <w:t xml:space="preserve"> </w:t>
      </w:r>
      <w:r w:rsidRPr="002C6E03">
        <w:t>(Multiple options can be selected)</w:t>
      </w:r>
    </w:p>
    <w:p w14:paraId="36C0939A" w14:textId="7FB363EE" w:rsidR="005D79E1" w:rsidRDefault="005D79E1" w:rsidP="00A6671C">
      <w:r>
        <w:rPr>
          <w:noProof/>
        </w:rPr>
        <w:drawing>
          <wp:inline distT="0" distB="0" distL="0" distR="0" wp14:anchorId="200DA291" wp14:editId="1860BF26">
            <wp:extent cx="3095469" cy="3200400"/>
            <wp:effectExtent l="0" t="0" r="3810" b="0"/>
            <wp:docPr id="107514497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C6CAE2D" w14:textId="44ECFF9F" w:rsidR="00A4119B" w:rsidRDefault="00A4119B" w:rsidP="00AC47F1">
      <w:pPr>
        <w:pStyle w:val="Heading3"/>
      </w:pPr>
      <w:r>
        <w:t>Insights:</w:t>
      </w:r>
    </w:p>
    <w:p w14:paraId="37608944" w14:textId="3ABC0125" w:rsidR="00B968B1" w:rsidRDefault="00B968B1" w:rsidP="00A6671C">
      <w:r w:rsidRPr="00B968B1">
        <w:t xml:space="preserve">The key causal factors of security incidents </w:t>
      </w:r>
      <w:proofErr w:type="gramStart"/>
      <w:r w:rsidRPr="00B968B1">
        <w:t>remain</w:t>
      </w:r>
      <w:r w:rsidR="00D6504B">
        <w:t>:</w:t>
      </w:r>
      <w:proofErr w:type="gramEnd"/>
      <w:r w:rsidRPr="00B968B1">
        <w:t xml:space="preserve"> people, internal, and accidental.</w:t>
      </w:r>
    </w:p>
    <w:p w14:paraId="21A6857D" w14:textId="356F4B2B" w:rsidR="00A6671C" w:rsidRDefault="00181F0D" w:rsidP="00A6671C">
      <w:r>
        <w:t>T</w:t>
      </w:r>
      <w:r w:rsidR="00863F87" w:rsidRPr="00F33262">
        <w:t xml:space="preserve">his </w:t>
      </w:r>
      <w:r>
        <w:t>notification</w:t>
      </w:r>
      <w:r w:rsidR="00863F87" w:rsidRPr="00F33262">
        <w:t xml:space="preserve"> period saw </w:t>
      </w:r>
      <w:r w:rsidR="00BC1B87">
        <w:t>the spread of</w:t>
      </w:r>
      <w:r w:rsidR="00BC1B87" w:rsidRPr="00F33262">
        <w:t xml:space="preserve"> </w:t>
      </w:r>
      <w:r w:rsidR="00BC1B87">
        <w:t xml:space="preserve">threat actor </w:t>
      </w:r>
      <w:r w:rsidR="00BC1B87" w:rsidRPr="00F33262">
        <w:t>percentage</w:t>
      </w:r>
      <w:r w:rsidR="00BC1B87">
        <w:t>s</w:t>
      </w:r>
      <w:r w:rsidR="00BC1B87" w:rsidRPr="00F33262">
        <w:t xml:space="preserve"> </w:t>
      </w:r>
      <w:r w:rsidR="00BC1B87">
        <w:t xml:space="preserve">selected in the notifications </w:t>
      </w:r>
      <w:proofErr w:type="gramStart"/>
      <w:r>
        <w:t>similar</w:t>
      </w:r>
      <w:r w:rsidR="008F71C8">
        <w:t xml:space="preserve"> </w:t>
      </w:r>
      <w:r w:rsidR="00BC1B87">
        <w:t>to</w:t>
      </w:r>
      <w:proofErr w:type="gramEnd"/>
      <w:r w:rsidR="00BC1B87">
        <w:t xml:space="preserve"> </w:t>
      </w:r>
      <w:r w:rsidR="008F71C8" w:rsidRPr="00F33262">
        <w:t xml:space="preserve">the previous </w:t>
      </w:r>
      <w:r>
        <w:t>notification</w:t>
      </w:r>
      <w:r w:rsidR="008F71C8" w:rsidRPr="00F33262">
        <w:t xml:space="preserve"> period</w:t>
      </w:r>
      <w:r w:rsidR="00BC1B87">
        <w:t>,</w:t>
      </w:r>
      <w:r w:rsidR="008F71C8" w:rsidRPr="00F33262">
        <w:t xml:space="preserve"> </w:t>
      </w:r>
      <w:r w:rsidR="008F71C8">
        <w:t xml:space="preserve">including </w:t>
      </w:r>
      <w:r w:rsidR="008F71C8" w:rsidRPr="008F71C8">
        <w:rPr>
          <w:b/>
          <w:bCs/>
        </w:rPr>
        <w:t>8</w:t>
      </w:r>
      <w:r>
        <w:rPr>
          <w:b/>
          <w:bCs/>
        </w:rPr>
        <w:t>4</w:t>
      </w:r>
      <w:r w:rsidR="008F71C8" w:rsidRPr="008F71C8">
        <w:rPr>
          <w:b/>
          <w:bCs/>
        </w:rPr>
        <w:t>%</w:t>
      </w:r>
      <w:r w:rsidR="008F71C8">
        <w:t xml:space="preserve"> </w:t>
      </w:r>
      <w:r w:rsidR="00863F87" w:rsidRPr="00F33262">
        <w:t xml:space="preserve">caused by </w:t>
      </w:r>
      <w:r w:rsidR="00863F87" w:rsidRPr="00863F87">
        <w:rPr>
          <w:b/>
          <w:bCs/>
        </w:rPr>
        <w:t>internal</w:t>
      </w:r>
      <w:r w:rsidR="00863F87">
        <w:t xml:space="preserve"> staff</w:t>
      </w:r>
      <w:r w:rsidR="008F71C8">
        <w:t xml:space="preserve">, </w:t>
      </w:r>
      <w:r>
        <w:rPr>
          <w:b/>
          <w:bCs/>
        </w:rPr>
        <w:t>9</w:t>
      </w:r>
      <w:r w:rsidR="00863F87" w:rsidRPr="00F33262">
        <w:rPr>
          <w:b/>
          <w:bCs/>
        </w:rPr>
        <w:t>%</w:t>
      </w:r>
      <w:r w:rsidR="008F71C8">
        <w:t xml:space="preserve"> caused by </w:t>
      </w:r>
      <w:r w:rsidR="008F71C8" w:rsidRPr="008F71C8">
        <w:rPr>
          <w:b/>
          <w:bCs/>
        </w:rPr>
        <w:t>authorised third parties</w:t>
      </w:r>
      <w:r w:rsidR="008F71C8">
        <w:t xml:space="preserve"> and </w:t>
      </w:r>
      <w:r>
        <w:rPr>
          <w:b/>
          <w:bCs/>
        </w:rPr>
        <w:t>6</w:t>
      </w:r>
      <w:r w:rsidR="008F71C8" w:rsidRPr="008F71C8">
        <w:rPr>
          <w:b/>
          <w:bCs/>
        </w:rPr>
        <w:t>%</w:t>
      </w:r>
      <w:r w:rsidR="008F71C8">
        <w:t xml:space="preserve"> caused by </w:t>
      </w:r>
      <w:r w:rsidR="008F71C8" w:rsidRPr="008F71C8">
        <w:rPr>
          <w:b/>
          <w:bCs/>
        </w:rPr>
        <w:t>other external</w:t>
      </w:r>
      <w:r w:rsidR="008F71C8">
        <w:t xml:space="preserve"> threat actors</w:t>
      </w:r>
      <w:r w:rsidR="00863F87" w:rsidRPr="00F33262">
        <w:t>.</w:t>
      </w:r>
      <w:r w:rsidR="00F6447A">
        <w:t xml:space="preserve"> </w:t>
      </w:r>
    </w:p>
    <w:p w14:paraId="1B552B0E" w14:textId="2239CE6F" w:rsidR="000174F8" w:rsidRPr="000174F8" w:rsidRDefault="00181F0D" w:rsidP="000174F8">
      <w:r>
        <w:t>T</w:t>
      </w:r>
      <w:r w:rsidR="000174F8" w:rsidRPr="000174F8">
        <w:t xml:space="preserve">he number of notifications </w:t>
      </w:r>
      <w:r>
        <w:t>selecting</w:t>
      </w:r>
      <w:r w:rsidR="000174F8" w:rsidRPr="000174F8">
        <w:t xml:space="preserve"> </w:t>
      </w:r>
      <w:r w:rsidR="000174F8" w:rsidRPr="000174F8">
        <w:rPr>
          <w:b/>
          <w:bCs/>
        </w:rPr>
        <w:t>authorised third parties</w:t>
      </w:r>
      <w:r w:rsidR="000174F8" w:rsidRPr="000174F8">
        <w:t xml:space="preserve"> as the cause of the incident (</w:t>
      </w:r>
      <w:r>
        <w:rPr>
          <w:b/>
          <w:bCs/>
        </w:rPr>
        <w:t>30</w:t>
      </w:r>
      <w:r w:rsidR="000174F8" w:rsidRPr="000174F8">
        <w:t xml:space="preserve">) </w:t>
      </w:r>
      <w:r>
        <w:t xml:space="preserve">increased </w:t>
      </w:r>
      <w:r w:rsidR="000174F8" w:rsidRPr="000174F8">
        <w:t xml:space="preserve">compared to the last period </w:t>
      </w:r>
      <w:r>
        <w:rPr>
          <w:b/>
          <w:bCs/>
        </w:rPr>
        <w:t>18</w:t>
      </w:r>
      <w:r w:rsidR="005B2CF1" w:rsidRPr="005B2CF1">
        <w:t>,</w:t>
      </w:r>
      <w:r w:rsidR="005B2CF1">
        <w:rPr>
          <w:b/>
          <w:bCs/>
        </w:rPr>
        <w:t xml:space="preserve"> </w:t>
      </w:r>
      <w:r w:rsidR="005B2CF1" w:rsidRPr="005B2CF1">
        <w:t xml:space="preserve">highlighting the </w:t>
      </w:r>
      <w:r w:rsidR="005B2CF1">
        <w:t xml:space="preserve">ongoing </w:t>
      </w:r>
      <w:r w:rsidR="005B2CF1" w:rsidRPr="005B2CF1">
        <w:t>risks around information sharing between organisations</w:t>
      </w:r>
      <w:r w:rsidR="000174F8" w:rsidRPr="005B2CF1">
        <w:t>.</w:t>
      </w:r>
      <w:r w:rsidR="000174F8" w:rsidRPr="000174F8">
        <w:t xml:space="preserve"> </w:t>
      </w:r>
    </w:p>
    <w:p w14:paraId="63947820" w14:textId="2FE7EE6E" w:rsidR="00A6671C" w:rsidRPr="008F71C8" w:rsidRDefault="00A6671C" w:rsidP="00A6671C">
      <w:r w:rsidRPr="008F71C8">
        <w:t xml:space="preserve">There were </w:t>
      </w:r>
      <w:r w:rsidR="00181F0D">
        <w:rPr>
          <w:b/>
          <w:bCs/>
        </w:rPr>
        <w:t>11</w:t>
      </w:r>
      <w:r w:rsidRPr="008F71C8">
        <w:t xml:space="preserve"> notifications where the threat actor could not be ascertained</w:t>
      </w:r>
      <w:r w:rsidR="00F451D8">
        <w:t>, for example</w:t>
      </w:r>
      <w:r w:rsidR="00BC1B87">
        <w:t xml:space="preserve"> when</w:t>
      </w:r>
      <w:r w:rsidR="00F451D8">
        <w:t xml:space="preserve"> the incident was still under investigation</w:t>
      </w:r>
      <w:r w:rsidRPr="008F71C8">
        <w:t>.</w:t>
      </w:r>
    </w:p>
    <w:p w14:paraId="023B39AC" w14:textId="3E4C0583" w:rsidR="008A7F13" w:rsidRDefault="00AF36C2" w:rsidP="00AC47F1">
      <w:pPr>
        <w:rPr>
          <w:rFonts w:eastAsiaTheme="majorEastAsia" w:cstheme="majorBidi"/>
          <w:color w:val="430098" w:themeColor="text2"/>
          <w:sz w:val="30"/>
          <w:szCs w:val="26"/>
        </w:rPr>
      </w:pPr>
      <w:r w:rsidRPr="00AF36C2">
        <w:t>A</w:t>
      </w:r>
      <w:r w:rsidR="00A6671C" w:rsidRPr="00AF36C2">
        <w:t xml:space="preserve">lthough it’s not common for more than one threat actor to be involved in an incident, there were </w:t>
      </w:r>
      <w:r w:rsidR="003615F6">
        <w:t>five</w:t>
      </w:r>
      <w:r w:rsidR="00A6671C" w:rsidRPr="00AF36C2">
        <w:t xml:space="preserve"> (</w:t>
      </w:r>
      <w:r w:rsidR="003615F6">
        <w:rPr>
          <w:b/>
          <w:bCs/>
        </w:rPr>
        <w:t>5</w:t>
      </w:r>
      <w:r w:rsidR="00A6671C" w:rsidRPr="00AF36C2">
        <w:t xml:space="preserve">) </w:t>
      </w:r>
      <w:r w:rsidR="00D408CC">
        <w:t xml:space="preserve">notifications </w:t>
      </w:r>
      <w:r w:rsidR="00A6671C" w:rsidRPr="00AF36C2">
        <w:t xml:space="preserve">where </w:t>
      </w:r>
      <w:r w:rsidRPr="00AF36C2">
        <w:t xml:space="preserve">multiple threat actors were selected. For example, </w:t>
      </w:r>
      <w:r w:rsidR="00A6671C" w:rsidRPr="00AF36C2">
        <w:t xml:space="preserve">both </w:t>
      </w:r>
      <w:r w:rsidR="00A6671C" w:rsidRPr="00AF36C2">
        <w:rPr>
          <w:b/>
          <w:bCs/>
        </w:rPr>
        <w:t>internal</w:t>
      </w:r>
      <w:r w:rsidR="00A6671C" w:rsidRPr="00AF36C2">
        <w:t xml:space="preserve"> and </w:t>
      </w:r>
      <w:r w:rsidR="00A6671C" w:rsidRPr="00AF36C2">
        <w:rPr>
          <w:b/>
          <w:bCs/>
        </w:rPr>
        <w:t>authorised third-party</w:t>
      </w:r>
      <w:r w:rsidR="00A6671C" w:rsidRPr="00AF36C2">
        <w:t xml:space="preserve"> were selected</w:t>
      </w:r>
      <w:r w:rsidRPr="00AF36C2">
        <w:t xml:space="preserve"> </w:t>
      </w:r>
      <w:r w:rsidR="003615F6">
        <w:t xml:space="preserve">where </w:t>
      </w:r>
      <w:r w:rsidR="00F451D8">
        <w:t>one organisation sent a</w:t>
      </w:r>
      <w:r w:rsidR="003615F6">
        <w:t xml:space="preserve"> USB drive </w:t>
      </w:r>
      <w:r w:rsidR="00F451D8">
        <w:t xml:space="preserve">to another and </w:t>
      </w:r>
      <w:r w:rsidR="003615F6">
        <w:t xml:space="preserve">it was delivered to the </w:t>
      </w:r>
      <w:r w:rsidR="003615F6" w:rsidRPr="003615F6">
        <w:t>front desk, rather than the registry, at which point it was passed onto facilities who screen all packages for dangerous items</w:t>
      </w:r>
      <w:r w:rsidR="00390BB8">
        <w:t>,</w:t>
      </w:r>
      <w:r w:rsidR="00F451D8">
        <w:t xml:space="preserve"> and then </w:t>
      </w:r>
      <w:r w:rsidR="003615F6" w:rsidRPr="003615F6">
        <w:t>was lost within a secure area</w:t>
      </w:r>
      <w:r w:rsidR="003615F6">
        <w:t>.</w:t>
      </w:r>
      <w:r w:rsidR="00F451D8">
        <w:t xml:space="preserve"> Another example is where an authorised third party </w:t>
      </w:r>
      <w:r w:rsidR="00F451D8" w:rsidRPr="00F451D8">
        <w:t xml:space="preserve">input </w:t>
      </w:r>
      <w:r w:rsidR="00F451D8">
        <w:t xml:space="preserve">an incorrect </w:t>
      </w:r>
      <w:r w:rsidR="00F451D8" w:rsidRPr="00F451D8">
        <w:t xml:space="preserve">wrong </w:t>
      </w:r>
      <w:r w:rsidR="006C583F">
        <w:t xml:space="preserve">phone </w:t>
      </w:r>
      <w:r w:rsidR="00F451D8" w:rsidRPr="00F451D8">
        <w:t xml:space="preserve">number </w:t>
      </w:r>
      <w:r w:rsidR="00F451D8">
        <w:t>onto a client’s file</w:t>
      </w:r>
      <w:r w:rsidR="007A22ED">
        <w:t>,</w:t>
      </w:r>
      <w:r w:rsidR="00F451D8">
        <w:t xml:space="preserve"> so the public sector organisation </w:t>
      </w:r>
      <w:r w:rsidR="00F451D8" w:rsidRPr="00F451D8">
        <w:t>sent text and calls</w:t>
      </w:r>
      <w:r w:rsidR="00F451D8">
        <w:t xml:space="preserve"> to the incorrect recipient.</w:t>
      </w:r>
      <w:r w:rsidR="008A7F13">
        <w:br w:type="page"/>
      </w:r>
    </w:p>
    <w:p w14:paraId="3ABDD28F" w14:textId="254C7BEF" w:rsidR="00A6671C" w:rsidRPr="008A7F13" w:rsidRDefault="0075052C" w:rsidP="00FA1B6A">
      <w:pPr>
        <w:pStyle w:val="Heading2"/>
      </w:pPr>
      <w:r w:rsidRPr="008A7F13">
        <w:lastRenderedPageBreak/>
        <w:t>T</w:t>
      </w:r>
      <w:r w:rsidR="00A6671C" w:rsidRPr="008A7F13">
        <w:t>hreat type(s) (Multiple options can be selected)</w:t>
      </w:r>
    </w:p>
    <w:p w14:paraId="28F76656" w14:textId="0375C5C4" w:rsidR="008A7F13" w:rsidRPr="00FA1B6A" w:rsidRDefault="008A7F13" w:rsidP="008A7F13">
      <w:r>
        <w:rPr>
          <w:noProof/>
        </w:rPr>
        <w:drawing>
          <wp:inline distT="0" distB="0" distL="0" distR="0" wp14:anchorId="5830A879" wp14:editId="318B37F1">
            <wp:extent cx="4017364" cy="3200400"/>
            <wp:effectExtent l="0" t="0" r="0" b="0"/>
            <wp:docPr id="9938476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2D34D11" w14:textId="206D76EC" w:rsidR="00B968B1" w:rsidRPr="00AD47C6" w:rsidRDefault="00B968B1" w:rsidP="00AC47F1">
      <w:pPr>
        <w:pStyle w:val="Heading3"/>
      </w:pPr>
      <w:r w:rsidRPr="00AD47C6">
        <w:t>Insights:</w:t>
      </w:r>
    </w:p>
    <w:p w14:paraId="26950F78" w14:textId="754D03EB" w:rsidR="00B968B1" w:rsidRDefault="00B968B1" w:rsidP="00A6671C">
      <w:r w:rsidRPr="00B968B1">
        <w:t xml:space="preserve">The key causal factors of security incidents </w:t>
      </w:r>
      <w:proofErr w:type="gramStart"/>
      <w:r w:rsidRPr="00B968B1">
        <w:t>remain</w:t>
      </w:r>
      <w:r w:rsidR="00390BB8">
        <w:t>:</w:t>
      </w:r>
      <w:proofErr w:type="gramEnd"/>
      <w:r w:rsidRPr="00B968B1">
        <w:t xml:space="preserve"> people, internal, and accidental.</w:t>
      </w:r>
    </w:p>
    <w:p w14:paraId="1D660A4C" w14:textId="02109D6D" w:rsidR="00A6671C" w:rsidRPr="002761DC" w:rsidRDefault="00390BB8" w:rsidP="00A6671C">
      <w:r>
        <w:t>As in</w:t>
      </w:r>
      <w:r w:rsidR="002761DC" w:rsidRPr="002761DC">
        <w:t xml:space="preserve"> previous </w:t>
      </w:r>
      <w:r w:rsidR="00CD1EE9">
        <w:t>notification</w:t>
      </w:r>
      <w:r w:rsidR="002761DC" w:rsidRPr="002761DC">
        <w:t xml:space="preserve"> periods, most notifications (</w:t>
      </w:r>
      <w:r w:rsidR="002761DC" w:rsidRPr="002761DC">
        <w:rPr>
          <w:b/>
          <w:bCs/>
        </w:rPr>
        <w:t>8</w:t>
      </w:r>
      <w:r w:rsidR="00CD1EE9">
        <w:rPr>
          <w:b/>
          <w:bCs/>
        </w:rPr>
        <w:t>4</w:t>
      </w:r>
      <w:r w:rsidR="002761DC" w:rsidRPr="002761DC">
        <w:rPr>
          <w:b/>
          <w:bCs/>
        </w:rPr>
        <w:t>%</w:t>
      </w:r>
      <w:r w:rsidR="002761DC" w:rsidRPr="002761DC">
        <w:t xml:space="preserve">) </w:t>
      </w:r>
      <w:r w:rsidR="00A6671C" w:rsidRPr="002761DC">
        <w:t xml:space="preserve">related to </w:t>
      </w:r>
      <w:r w:rsidR="00A6671C" w:rsidRPr="002761DC">
        <w:rPr>
          <w:b/>
          <w:bCs/>
        </w:rPr>
        <w:t>accidental</w:t>
      </w:r>
      <w:r w:rsidR="00A6671C" w:rsidRPr="002761DC">
        <w:t xml:space="preserve"> actions</w:t>
      </w:r>
      <w:r w:rsidR="004D1683">
        <w:t xml:space="preserve"> (</w:t>
      </w:r>
      <w:r w:rsidR="004D1683" w:rsidRPr="004D1683">
        <w:rPr>
          <w:b/>
          <w:bCs/>
        </w:rPr>
        <w:t>288</w:t>
      </w:r>
      <w:r w:rsidR="004D1683">
        <w:t>)</w:t>
      </w:r>
      <w:r w:rsidR="00A6671C" w:rsidRPr="002761DC">
        <w:t xml:space="preserve"> and </w:t>
      </w:r>
      <w:r w:rsidR="00A6671C" w:rsidRPr="002761DC">
        <w:rPr>
          <w:b/>
          <w:bCs/>
        </w:rPr>
        <w:t>1</w:t>
      </w:r>
      <w:r w:rsidR="00CD1EE9">
        <w:rPr>
          <w:b/>
          <w:bCs/>
        </w:rPr>
        <w:t>1</w:t>
      </w:r>
      <w:r w:rsidR="00A6671C" w:rsidRPr="002761DC">
        <w:rPr>
          <w:b/>
          <w:bCs/>
        </w:rPr>
        <w:t>%</w:t>
      </w:r>
      <w:r w:rsidR="00A6671C" w:rsidRPr="002761DC">
        <w:t xml:space="preserve"> </w:t>
      </w:r>
      <w:r w:rsidR="00A6671C" w:rsidRPr="002761DC">
        <w:rPr>
          <w:b/>
          <w:bCs/>
        </w:rPr>
        <w:t>intentional</w:t>
      </w:r>
      <w:r w:rsidR="00A6671C" w:rsidRPr="002761DC">
        <w:t xml:space="preserve"> actions</w:t>
      </w:r>
      <w:r w:rsidR="004D1683">
        <w:t xml:space="preserve"> (</w:t>
      </w:r>
      <w:r w:rsidR="004D1683" w:rsidRPr="004D1683">
        <w:rPr>
          <w:b/>
          <w:bCs/>
        </w:rPr>
        <w:t>36</w:t>
      </w:r>
      <w:r w:rsidR="004D1683">
        <w:t>)</w:t>
      </w:r>
      <w:r w:rsidR="00A6671C" w:rsidRPr="002761DC">
        <w:t xml:space="preserve">. </w:t>
      </w:r>
    </w:p>
    <w:p w14:paraId="6EA5CBAA" w14:textId="118BB9F4" w:rsidR="002761DC" w:rsidRPr="002761DC" w:rsidRDefault="00CD1EE9" w:rsidP="002761DC">
      <w:r>
        <w:t>Once again, t</w:t>
      </w:r>
      <w:r w:rsidR="00A6671C" w:rsidRPr="002761DC">
        <w:t>here w</w:t>
      </w:r>
      <w:r w:rsidR="002761DC" w:rsidRPr="002761DC">
        <w:t>ere</w:t>
      </w:r>
      <w:r w:rsidR="00A6671C" w:rsidRPr="002761DC">
        <w:t xml:space="preserve"> </w:t>
      </w:r>
      <w:r w:rsidR="002761DC" w:rsidRPr="002761DC">
        <w:t>no</w:t>
      </w:r>
      <w:r w:rsidR="00A6671C" w:rsidRPr="002761DC">
        <w:t xml:space="preserve"> notification</w:t>
      </w:r>
      <w:r w:rsidR="002761DC" w:rsidRPr="002761DC">
        <w:t>s</w:t>
      </w:r>
      <w:r w:rsidR="00A6671C" w:rsidRPr="002761DC">
        <w:t xml:space="preserve"> </w:t>
      </w:r>
      <w:r w:rsidR="002761DC" w:rsidRPr="002761DC">
        <w:t xml:space="preserve">in this period that were due to </w:t>
      </w:r>
      <w:r w:rsidR="00A6671C" w:rsidRPr="002761DC">
        <w:rPr>
          <w:b/>
          <w:bCs/>
        </w:rPr>
        <w:t>natural</w:t>
      </w:r>
      <w:r w:rsidR="00A6671C" w:rsidRPr="002761DC">
        <w:t xml:space="preserve"> </w:t>
      </w:r>
      <w:r w:rsidR="002761DC" w:rsidRPr="002761DC">
        <w:t>causes.</w:t>
      </w:r>
    </w:p>
    <w:p w14:paraId="3F187B0F" w14:textId="77777777" w:rsidR="00A6671C" w:rsidRPr="002761DC" w:rsidRDefault="00A6671C" w:rsidP="00A6671C">
      <w:r w:rsidRPr="002761DC">
        <w:t xml:space="preserve">Although multiple options can be selected for this field, there is usually one threat type associated with each incident. </w:t>
      </w:r>
    </w:p>
    <w:p w14:paraId="0D51E794" w14:textId="624A5B10" w:rsidR="00A6671C" w:rsidRPr="00C57DCA" w:rsidRDefault="00A6671C" w:rsidP="00A6671C">
      <w:r w:rsidRPr="00A5293B">
        <w:t xml:space="preserve">There were </w:t>
      </w:r>
      <w:r w:rsidR="00CD1EE9">
        <w:t>five</w:t>
      </w:r>
      <w:r w:rsidR="002761DC" w:rsidRPr="00A5293B">
        <w:t xml:space="preserve"> (</w:t>
      </w:r>
      <w:r w:rsidR="00CD1EE9">
        <w:rPr>
          <w:b/>
          <w:bCs/>
        </w:rPr>
        <w:t>5</w:t>
      </w:r>
      <w:r w:rsidR="002761DC" w:rsidRPr="00A5293B">
        <w:t>)</w:t>
      </w:r>
      <w:r w:rsidRPr="00A5293B">
        <w:t xml:space="preserve"> occurrences where more than one threat type was selected. For example, </w:t>
      </w:r>
      <w:r w:rsidR="00CD1EE9" w:rsidRPr="00CD1EE9">
        <w:rPr>
          <w:b/>
          <w:bCs/>
        </w:rPr>
        <w:t>accidental</w:t>
      </w:r>
      <w:r w:rsidR="00CD1EE9">
        <w:t xml:space="preserve"> and </w:t>
      </w:r>
      <w:r w:rsidR="00CD1EE9" w:rsidRPr="00CD1EE9">
        <w:rPr>
          <w:b/>
          <w:bCs/>
        </w:rPr>
        <w:t>failure</w:t>
      </w:r>
      <w:r w:rsidR="00CD1EE9">
        <w:t xml:space="preserve"> was selected for a system crash following a staff member rebooting one network device after a configuration change</w:t>
      </w:r>
      <w:r w:rsidR="00390BB8">
        <w:t>,</w:t>
      </w:r>
      <w:r w:rsidR="00CD1EE9">
        <w:t xml:space="preserve"> which caused a chain reaction on the rest of the network</w:t>
      </w:r>
      <w:r w:rsidR="00390BB8">
        <w:t>,</w:t>
      </w:r>
      <w:r w:rsidR="00CD1EE9">
        <w:t xml:space="preserve"> leading to connectivity issues</w:t>
      </w:r>
      <w:r w:rsidRPr="00C57DCA">
        <w:t xml:space="preserve">. </w:t>
      </w:r>
    </w:p>
    <w:p w14:paraId="71AB2CEA" w14:textId="6E2FF4F7" w:rsidR="0075052C" w:rsidRDefault="00656C80" w:rsidP="008B5CC5">
      <w:r w:rsidRPr="00C57DCA">
        <w:rPr>
          <w:b/>
          <w:bCs/>
        </w:rPr>
        <w:t>6</w:t>
      </w:r>
      <w:r w:rsidR="00775E79">
        <w:rPr>
          <w:b/>
          <w:bCs/>
        </w:rPr>
        <w:t>1</w:t>
      </w:r>
      <w:r w:rsidRPr="00C57DCA">
        <w:rPr>
          <w:b/>
          <w:bCs/>
        </w:rPr>
        <w:t>%</w:t>
      </w:r>
      <w:r w:rsidRPr="00C57DCA">
        <w:t xml:space="preserve"> of</w:t>
      </w:r>
      <w:r w:rsidR="00A6671C" w:rsidRPr="00C57DCA">
        <w:t xml:space="preserve"> notifications </w:t>
      </w:r>
      <w:r w:rsidRPr="00C57DCA">
        <w:t xml:space="preserve">that relate to </w:t>
      </w:r>
      <w:r w:rsidRPr="00C57DCA">
        <w:rPr>
          <w:b/>
          <w:bCs/>
        </w:rPr>
        <w:t>intentional</w:t>
      </w:r>
      <w:r w:rsidRPr="00C57DCA">
        <w:t xml:space="preserve"> actions </w:t>
      </w:r>
      <w:r w:rsidR="00C57DCA">
        <w:t>were</w:t>
      </w:r>
      <w:r w:rsidRPr="00C57DCA">
        <w:t xml:space="preserve"> conducted by external threat actors</w:t>
      </w:r>
      <w:r w:rsidR="00C57DCA" w:rsidRPr="00C57DCA">
        <w:t xml:space="preserve"> </w:t>
      </w:r>
      <w:r w:rsidR="00775E79">
        <w:t xml:space="preserve">such as hacking groups or opportunistic thieves, and </w:t>
      </w:r>
      <w:r w:rsidR="00C57DCA" w:rsidRPr="00C57DCA">
        <w:rPr>
          <w:b/>
          <w:bCs/>
        </w:rPr>
        <w:t>3</w:t>
      </w:r>
      <w:r w:rsidR="00775E79">
        <w:rPr>
          <w:b/>
          <w:bCs/>
        </w:rPr>
        <w:t>9</w:t>
      </w:r>
      <w:r w:rsidR="00C57DCA" w:rsidRPr="00C57DCA">
        <w:rPr>
          <w:b/>
          <w:bCs/>
        </w:rPr>
        <w:t>%</w:t>
      </w:r>
      <w:r w:rsidR="00C57DCA" w:rsidRPr="00C57DCA">
        <w:t xml:space="preserve"> were caused by internal staff</w:t>
      </w:r>
      <w:r w:rsidRPr="00C57DCA">
        <w:t xml:space="preserve">. </w:t>
      </w:r>
      <w:bookmarkStart w:id="4" w:name="_Toc30502211"/>
      <w:bookmarkStart w:id="5" w:name="_Toc87857020"/>
      <w:r w:rsidR="00775E79">
        <w:t xml:space="preserve">This was the first notification period to receive a notification related to the use of the generative </w:t>
      </w:r>
      <w:r w:rsidR="00775E79" w:rsidRPr="00775E79">
        <w:t xml:space="preserve">artificial intelligence </w:t>
      </w:r>
      <w:r w:rsidR="00775E79">
        <w:t>(</w:t>
      </w:r>
      <w:r w:rsidR="00775E79" w:rsidRPr="00775E79">
        <w:rPr>
          <w:b/>
          <w:bCs/>
        </w:rPr>
        <w:t>AI</w:t>
      </w:r>
      <w:r w:rsidR="00775E79">
        <w:t xml:space="preserve">) </w:t>
      </w:r>
      <w:r w:rsidR="00775E79" w:rsidRPr="00775E79">
        <w:t>application</w:t>
      </w:r>
      <w:r w:rsidR="00775E79">
        <w:t xml:space="preserve"> ChatGPT by a staff member to write a report (internal and intentional).</w:t>
      </w:r>
    </w:p>
    <w:p w14:paraId="5B1D6119" w14:textId="219E74FE" w:rsidR="00775E79" w:rsidRDefault="00775E79" w:rsidP="008B5CC5">
      <w:r>
        <w:lastRenderedPageBreak/>
        <w:t xml:space="preserve">There was an increase in the number of notifications where the threat actor was </w:t>
      </w:r>
      <w:r w:rsidRPr="00775E79">
        <w:rPr>
          <w:b/>
          <w:bCs/>
        </w:rPr>
        <w:t>unknown</w:t>
      </w:r>
      <w:r>
        <w:t xml:space="preserve"> (</w:t>
      </w:r>
      <w:r w:rsidRPr="00775E79">
        <w:rPr>
          <w:b/>
          <w:bCs/>
        </w:rPr>
        <w:t>13</w:t>
      </w:r>
      <w:r>
        <w:t>) compared to the last notification period of two (</w:t>
      </w:r>
      <w:r w:rsidRPr="00775E79">
        <w:rPr>
          <w:b/>
          <w:bCs/>
        </w:rPr>
        <w:t>2</w:t>
      </w:r>
      <w:r>
        <w:t>). Some examples of incidents where the threat actor was unknown include:</w:t>
      </w:r>
    </w:p>
    <w:p w14:paraId="73ECB329" w14:textId="12A06179" w:rsidR="00775E79" w:rsidRPr="00775E79" w:rsidRDefault="006C583F" w:rsidP="004A6B8C">
      <w:pPr>
        <w:pStyle w:val="ListParagraph"/>
        <w:numPr>
          <w:ilvl w:val="0"/>
          <w:numId w:val="12"/>
        </w:numPr>
      </w:pPr>
      <w:r>
        <w:t>a</w:t>
      </w:r>
      <w:r w:rsidR="000553AC">
        <w:t>n authorised third</w:t>
      </w:r>
      <w:r w:rsidR="008B7427">
        <w:t>-</w:t>
      </w:r>
      <w:r w:rsidR="000553AC">
        <w:t xml:space="preserve">party vacating premises in a rush and the premises remaining abandoned for a lengthy period until the public sector organisation attended the premises to find </w:t>
      </w:r>
      <w:r w:rsidR="000553AC" w:rsidRPr="000553AC">
        <w:t xml:space="preserve">unsecured </w:t>
      </w:r>
      <w:r w:rsidR="000553AC">
        <w:t xml:space="preserve">scattered </w:t>
      </w:r>
      <w:proofErr w:type="gramStart"/>
      <w:r w:rsidR="000553AC" w:rsidRPr="000553AC">
        <w:t>documents</w:t>
      </w:r>
      <w:proofErr w:type="gramEnd"/>
      <w:r w:rsidR="000553AC">
        <w:t xml:space="preserve"> </w:t>
      </w:r>
    </w:p>
    <w:p w14:paraId="608F29F2" w14:textId="3AA766FE" w:rsidR="00775E79" w:rsidRDefault="006C583F" w:rsidP="004A6B8C">
      <w:pPr>
        <w:pStyle w:val="ListParagraph"/>
        <w:numPr>
          <w:ilvl w:val="0"/>
          <w:numId w:val="12"/>
        </w:numPr>
      </w:pPr>
      <w:r>
        <w:t>a</w:t>
      </w:r>
      <w:r w:rsidR="000553AC">
        <w:t xml:space="preserve"> complaint form published on a website displayed data from previous visitor’s </w:t>
      </w:r>
      <w:proofErr w:type="gramStart"/>
      <w:r w:rsidR="000553AC">
        <w:t>entries</w:t>
      </w:r>
      <w:proofErr w:type="gramEnd"/>
    </w:p>
    <w:p w14:paraId="2E003BE6" w14:textId="497C3D09" w:rsidR="000553AC" w:rsidRPr="00775E79" w:rsidRDefault="006C583F" w:rsidP="004A6B8C">
      <w:pPr>
        <w:pStyle w:val="ListParagraph"/>
        <w:numPr>
          <w:ilvl w:val="0"/>
          <w:numId w:val="12"/>
        </w:numPr>
      </w:pPr>
      <w:r>
        <w:t>a</w:t>
      </w:r>
      <w:r w:rsidR="000553AC">
        <w:t xml:space="preserve"> misdelivery of a box of files by an authorised </w:t>
      </w:r>
      <w:proofErr w:type="gramStart"/>
      <w:r w:rsidR="000553AC">
        <w:t>third party</w:t>
      </w:r>
      <w:proofErr w:type="gramEnd"/>
      <w:r w:rsidR="000553AC">
        <w:t xml:space="preserve"> provider to the wrong public sector organisation</w:t>
      </w:r>
      <w:r w:rsidR="004A6B8C">
        <w:t xml:space="preserve"> after they sat unclaimed in the authorised third party’s office for a few months </w:t>
      </w:r>
    </w:p>
    <w:p w14:paraId="7B910525" w14:textId="77777777" w:rsidR="00CF52B1" w:rsidRDefault="00CF52B1">
      <w:pPr>
        <w:spacing w:before="0" w:after="160" w:line="259" w:lineRule="auto"/>
        <w:rPr>
          <w:rFonts w:eastAsiaTheme="majorEastAsia" w:cstheme="majorBidi"/>
          <w:color w:val="430098" w:themeColor="text2"/>
          <w:sz w:val="30"/>
          <w:szCs w:val="26"/>
        </w:rPr>
      </w:pPr>
      <w:r>
        <w:br w:type="page"/>
      </w:r>
    </w:p>
    <w:p w14:paraId="2CF0CC04" w14:textId="28B16DEB" w:rsidR="00BF3799" w:rsidRDefault="00A6671C" w:rsidP="00BF3799">
      <w:pPr>
        <w:pStyle w:val="Heading2"/>
      </w:pPr>
      <w:r>
        <w:lastRenderedPageBreak/>
        <w:t xml:space="preserve">Risk </w:t>
      </w:r>
      <w:proofErr w:type="gramStart"/>
      <w:r>
        <w:t>statements</w:t>
      </w:r>
      <w:proofErr w:type="gramEnd"/>
    </w:p>
    <w:p w14:paraId="16ABF936" w14:textId="57EC2235" w:rsidR="00A6671C" w:rsidRDefault="00A6671C" w:rsidP="00A6671C">
      <w:r>
        <w:t xml:space="preserve">Based on the incident notifications received by OVIC, the following risk statements </w:t>
      </w:r>
      <w:r w:rsidR="00915F6F">
        <w:t xml:space="preserve">have been developed </w:t>
      </w:r>
      <w:r>
        <w:t>for consideration by VPS organisations when reviewing their information security risks:</w:t>
      </w:r>
    </w:p>
    <w:tbl>
      <w:tblPr>
        <w:tblStyle w:val="OVICDefaulttable"/>
        <w:tblW w:w="0" w:type="auto"/>
        <w:tblLook w:val="04A0" w:firstRow="1" w:lastRow="0" w:firstColumn="1" w:lastColumn="0" w:noHBand="0" w:noVBand="1"/>
      </w:tblPr>
      <w:tblGrid>
        <w:gridCol w:w="2980"/>
        <w:gridCol w:w="2981"/>
        <w:gridCol w:w="2980"/>
      </w:tblGrid>
      <w:tr w:rsidR="0097704C" w14:paraId="256D75D0" w14:textId="77777777" w:rsidTr="00977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2980" w:type="dxa"/>
          </w:tcPr>
          <w:bookmarkEnd w:id="4"/>
          <w:bookmarkEnd w:id="5"/>
          <w:p w14:paraId="21A813B3" w14:textId="184D7D08" w:rsidR="0097704C" w:rsidRDefault="0097704C" w:rsidP="002E4AEB">
            <w:pPr>
              <w:pStyle w:val="TableText0"/>
            </w:pPr>
            <w:r>
              <w:t>The risk of…</w:t>
            </w:r>
          </w:p>
        </w:tc>
        <w:tc>
          <w:tcPr>
            <w:tcW w:w="2981" w:type="dxa"/>
          </w:tcPr>
          <w:p w14:paraId="4808907F" w14:textId="03842E27" w:rsidR="0097704C" w:rsidRDefault="0097704C" w:rsidP="002E4AEB">
            <w:pPr>
              <w:pStyle w:val="TableText0"/>
            </w:pPr>
            <w:r>
              <w:t>Caused by…</w:t>
            </w:r>
          </w:p>
        </w:tc>
        <w:tc>
          <w:tcPr>
            <w:tcW w:w="2980" w:type="dxa"/>
          </w:tcPr>
          <w:p w14:paraId="0B9C2325" w14:textId="0B1A29B8" w:rsidR="0097704C" w:rsidRDefault="0097704C" w:rsidP="002E4AEB">
            <w:pPr>
              <w:pStyle w:val="TableText0"/>
            </w:pPr>
            <w:r w:rsidRPr="00463989">
              <w:t>Resulting in…</w:t>
            </w:r>
            <w:r>
              <w:rPr>
                <w:rStyle w:val="FootnoteReference"/>
              </w:rPr>
              <w:footnoteReference w:id="2"/>
            </w:r>
          </w:p>
        </w:tc>
      </w:tr>
      <w:tr w:rsidR="0097704C" w14:paraId="5D3D3929" w14:textId="77777777" w:rsidTr="0097704C">
        <w:trPr>
          <w:trHeight w:val="505"/>
        </w:trPr>
        <w:tc>
          <w:tcPr>
            <w:tcW w:w="2980" w:type="dxa"/>
          </w:tcPr>
          <w:p w14:paraId="5E09C2CD" w14:textId="2AE3196E" w:rsidR="0097704C" w:rsidRDefault="00A5700B" w:rsidP="0097704C">
            <w:pPr>
              <w:pStyle w:val="Tabletext"/>
            </w:pPr>
            <w:r w:rsidRPr="00A5700B">
              <w:t xml:space="preserve">Employee </w:t>
            </w:r>
            <w:r w:rsidR="001B7DE8">
              <w:t>payroll</w:t>
            </w:r>
            <w:r w:rsidRPr="00A5700B">
              <w:t xml:space="preserve"> information shared without employee consent with a superannuation </w:t>
            </w:r>
            <w:proofErr w:type="gramStart"/>
            <w:r w:rsidRPr="00A5700B">
              <w:t>fund</w:t>
            </w:r>
            <w:proofErr w:type="gramEnd"/>
            <w:r w:rsidR="00402EC8">
              <w:t xml:space="preserve"> </w:t>
            </w:r>
          </w:p>
          <w:p w14:paraId="734D7D68" w14:textId="6EC1545F" w:rsidR="0097704C" w:rsidRPr="0097704C" w:rsidRDefault="0097704C" w:rsidP="0097704C">
            <w:pPr>
              <w:pStyle w:val="Tabletext"/>
              <w:rPr>
                <w:b/>
                <w:bCs/>
              </w:rPr>
            </w:pPr>
            <w:r w:rsidRPr="0097704C">
              <w:rPr>
                <w:b/>
                <w:bCs/>
              </w:rPr>
              <w:t xml:space="preserve">(Compromise of </w:t>
            </w:r>
            <w:r w:rsidR="00A5700B">
              <w:rPr>
                <w:b/>
                <w:bCs/>
              </w:rPr>
              <w:t xml:space="preserve">confidentiality, </w:t>
            </w:r>
            <w:r w:rsidRPr="0097704C">
              <w:rPr>
                <w:b/>
                <w:bCs/>
              </w:rPr>
              <w:t>integrity)</w:t>
            </w:r>
          </w:p>
        </w:tc>
        <w:tc>
          <w:tcPr>
            <w:tcW w:w="2981" w:type="dxa"/>
          </w:tcPr>
          <w:p w14:paraId="7ED0FE9B" w14:textId="6BFCE949" w:rsidR="0097704C" w:rsidRDefault="001B7DE8" w:rsidP="0097704C">
            <w:pPr>
              <w:pStyle w:val="Tabletext"/>
            </w:pPr>
            <w:r>
              <w:t>System change triggering an override function</w:t>
            </w:r>
            <w:r w:rsidRPr="001B7DE8">
              <w:t xml:space="preserve"> and subsequently incorrectly process</w:t>
            </w:r>
            <w:r>
              <w:t xml:space="preserve">ing data </w:t>
            </w:r>
            <w:r w:rsidRPr="001B7DE8">
              <w:t xml:space="preserve">reverting </w:t>
            </w:r>
            <w:r>
              <w:t xml:space="preserve">employees </w:t>
            </w:r>
            <w:r w:rsidRPr="001B7DE8">
              <w:t>to the default fund</w:t>
            </w:r>
            <w:r>
              <w:t xml:space="preserve"> and informing the fund </w:t>
            </w:r>
          </w:p>
        </w:tc>
        <w:tc>
          <w:tcPr>
            <w:tcW w:w="2980" w:type="dxa"/>
          </w:tcPr>
          <w:p w14:paraId="3B3D123B" w14:textId="77777777" w:rsidR="002C22DD" w:rsidRDefault="002C22DD" w:rsidP="002C22DD">
            <w:pPr>
              <w:pStyle w:val="Tabletext"/>
            </w:pPr>
            <w:r>
              <w:t>Impact on public services (reputation of, and confidence in, the organisation)</w:t>
            </w:r>
          </w:p>
          <w:p w14:paraId="32C47C04" w14:textId="3FDC0211" w:rsidR="0097704C" w:rsidRDefault="0097704C" w:rsidP="0097704C">
            <w:pPr>
              <w:pStyle w:val="Tabletext"/>
            </w:pPr>
            <w:r>
              <w:t>I</w:t>
            </w:r>
            <w:r w:rsidRPr="00075292">
              <w:t>mpact to individuals</w:t>
            </w:r>
            <w:r>
              <w:t xml:space="preserve"> </w:t>
            </w:r>
            <w:r w:rsidRPr="00075292">
              <w:t>whose personal information was affected</w:t>
            </w:r>
          </w:p>
        </w:tc>
      </w:tr>
      <w:tr w:rsidR="0097704C" w14:paraId="6D22EDEF" w14:textId="77777777" w:rsidTr="0097704C">
        <w:trPr>
          <w:trHeight w:val="268"/>
        </w:trPr>
        <w:tc>
          <w:tcPr>
            <w:tcW w:w="2980" w:type="dxa"/>
          </w:tcPr>
          <w:p w14:paraId="758EE7C8" w14:textId="24DAABD1" w:rsidR="0097704C" w:rsidRPr="00484C02" w:rsidRDefault="007977EB" w:rsidP="0097704C">
            <w:pPr>
              <w:pStyle w:val="Tabletext"/>
              <w:rPr>
                <w:b/>
                <w:bCs/>
              </w:rPr>
            </w:pPr>
            <w:r>
              <w:t>I</w:t>
            </w:r>
            <w:r w:rsidR="0097704C">
              <w:t>nability to access</w:t>
            </w:r>
            <w:r w:rsidR="0097704C" w:rsidRPr="00484C02">
              <w:t xml:space="preserve"> </w:t>
            </w:r>
            <w:r w:rsidR="0097704C">
              <w:t xml:space="preserve">public sector </w:t>
            </w:r>
            <w:proofErr w:type="gramStart"/>
            <w:r w:rsidR="0097704C">
              <w:t>information</w:t>
            </w:r>
            <w:proofErr w:type="gramEnd"/>
            <w:r w:rsidR="0097704C">
              <w:t xml:space="preserve"> </w:t>
            </w:r>
          </w:p>
          <w:p w14:paraId="2D61D0EC" w14:textId="3E3E5045" w:rsidR="0097704C" w:rsidRPr="0097704C" w:rsidRDefault="0097704C" w:rsidP="0097704C">
            <w:pPr>
              <w:pStyle w:val="Tabletext"/>
              <w:rPr>
                <w:b/>
                <w:bCs/>
              </w:rPr>
            </w:pPr>
            <w:bookmarkStart w:id="6" w:name="_Hlk115943604"/>
            <w:r w:rsidRPr="0097704C">
              <w:rPr>
                <w:b/>
                <w:bCs/>
              </w:rPr>
              <w:t>(Compromise of availability)</w:t>
            </w:r>
            <w:bookmarkEnd w:id="6"/>
          </w:p>
        </w:tc>
        <w:tc>
          <w:tcPr>
            <w:tcW w:w="2981" w:type="dxa"/>
          </w:tcPr>
          <w:p w14:paraId="1C98AF26" w14:textId="59D4FE94" w:rsidR="0097704C" w:rsidRDefault="00A07CDF" w:rsidP="0097704C">
            <w:pPr>
              <w:pStyle w:val="Tabletext"/>
            </w:pPr>
            <w:r>
              <w:t>S</w:t>
            </w:r>
            <w:r w:rsidR="006C583F" w:rsidRPr="006C583F">
              <w:t>ystem crash following a staff member rebooting one network device after a configuration change which caused a chain reaction on the rest of the network leading to connectivity issues</w:t>
            </w:r>
          </w:p>
        </w:tc>
        <w:tc>
          <w:tcPr>
            <w:tcW w:w="2980" w:type="dxa"/>
          </w:tcPr>
          <w:p w14:paraId="39C96F82" w14:textId="77777777" w:rsidR="0097704C" w:rsidRDefault="0097704C" w:rsidP="0097704C">
            <w:pPr>
              <w:pStyle w:val="Tabletext"/>
            </w:pPr>
            <w:r>
              <w:t>Impact on service delivery</w:t>
            </w:r>
          </w:p>
          <w:p w14:paraId="28840E3C" w14:textId="298765D9" w:rsidR="00EB7E08" w:rsidRDefault="00EB7E08" w:rsidP="0097704C">
            <w:pPr>
              <w:pStyle w:val="Tabletext"/>
            </w:pPr>
            <w:r>
              <w:t>Impact on public services (reputation of, and confidence in, the organisation)</w:t>
            </w:r>
          </w:p>
        </w:tc>
      </w:tr>
      <w:tr w:rsidR="00CA41C7" w14:paraId="3C766770" w14:textId="77777777" w:rsidTr="0097704C">
        <w:trPr>
          <w:trHeight w:val="268"/>
        </w:trPr>
        <w:tc>
          <w:tcPr>
            <w:tcW w:w="2980" w:type="dxa"/>
          </w:tcPr>
          <w:p w14:paraId="095E85C4" w14:textId="7B7FB6C6" w:rsidR="00CA41C7" w:rsidRPr="00484C02" w:rsidRDefault="00A5700B" w:rsidP="00CA41C7">
            <w:pPr>
              <w:pStyle w:val="Tabletext"/>
              <w:rPr>
                <w:b/>
                <w:bCs/>
              </w:rPr>
            </w:pPr>
            <w:r>
              <w:t>Inadvertent release of client information</w:t>
            </w:r>
            <w:r w:rsidR="00CA41C7">
              <w:t xml:space="preserve"> </w:t>
            </w:r>
          </w:p>
          <w:p w14:paraId="1F34FA1D" w14:textId="5B7058A5" w:rsidR="00CA41C7" w:rsidRPr="00484C02" w:rsidRDefault="00CA41C7" w:rsidP="0097704C">
            <w:pPr>
              <w:pStyle w:val="Tabletext"/>
            </w:pPr>
            <w:r w:rsidRPr="0097704C">
              <w:rPr>
                <w:b/>
                <w:bCs/>
              </w:rPr>
              <w:t>(Compromise of confidentiality)</w:t>
            </w:r>
          </w:p>
        </w:tc>
        <w:tc>
          <w:tcPr>
            <w:tcW w:w="2981" w:type="dxa"/>
          </w:tcPr>
          <w:p w14:paraId="4E6BE77D" w14:textId="7C9BEF13" w:rsidR="00CA41C7" w:rsidRDefault="00A5700B" w:rsidP="0097704C">
            <w:pPr>
              <w:pStyle w:val="Tabletext"/>
            </w:pPr>
            <w:r>
              <w:t>Public sector organisation not redacting documents</w:t>
            </w:r>
          </w:p>
        </w:tc>
        <w:tc>
          <w:tcPr>
            <w:tcW w:w="2980" w:type="dxa"/>
          </w:tcPr>
          <w:p w14:paraId="199C9198" w14:textId="77777777" w:rsidR="00CA41C7" w:rsidRDefault="00CA41C7" w:rsidP="00CA41C7">
            <w:pPr>
              <w:pStyle w:val="Tabletext"/>
            </w:pPr>
            <w:r>
              <w:t>Impact on public services (reputation of, and confidence in, the organisation)</w:t>
            </w:r>
          </w:p>
          <w:p w14:paraId="1C9C8A68" w14:textId="649B570B" w:rsidR="00EB7E08" w:rsidRDefault="00EB7E08" w:rsidP="0097704C">
            <w:pPr>
              <w:pStyle w:val="Tabletext"/>
            </w:pPr>
            <w:r>
              <w:t>I</w:t>
            </w:r>
            <w:r w:rsidRPr="00075292">
              <w:t>mpact to individuals</w:t>
            </w:r>
            <w:r>
              <w:t xml:space="preserve"> </w:t>
            </w:r>
            <w:r w:rsidRPr="00075292">
              <w:t>whose personal information was affected</w:t>
            </w:r>
          </w:p>
        </w:tc>
      </w:tr>
    </w:tbl>
    <w:p w14:paraId="16EC2272" w14:textId="04059D74" w:rsidR="001A791E" w:rsidRPr="001A791E" w:rsidRDefault="00A6671C" w:rsidP="001A791E">
      <w:pPr>
        <w:pStyle w:val="Heading2"/>
      </w:pPr>
      <w:r>
        <w:t xml:space="preserve">More information </w:t>
      </w:r>
    </w:p>
    <w:p w14:paraId="5978F725" w14:textId="77777777" w:rsidR="00A01C6A" w:rsidRDefault="00A6671C" w:rsidP="00A01C6A">
      <w:bookmarkStart w:id="7" w:name="_Toc30502218"/>
      <w:bookmarkStart w:id="8" w:name="_Toc87857027"/>
      <w:bookmarkStart w:id="9" w:name="_Toc116036529"/>
      <w:r>
        <w:t>For further information on the information security incident notification scheme and to download a notification form visit our website:</w:t>
      </w:r>
      <w:r>
        <w:br/>
      </w:r>
      <w:hyperlink r:id="rId21" w:history="1">
        <w:r w:rsidRPr="00A6671C">
          <w:rPr>
            <w:rStyle w:val="Hyperlink"/>
            <w:color w:val="430098" w:themeColor="text2"/>
          </w:rPr>
          <w:t>https://ovic.vic.gov.au/data-protection/agency-reporting-obligations/incident-notification/</w:t>
        </w:r>
      </w:hyperlink>
      <w:r>
        <w:t xml:space="preserve"> </w:t>
      </w:r>
    </w:p>
    <w:p w14:paraId="5180C86B" w14:textId="6A40F80D" w:rsidR="001A791E" w:rsidRPr="00167077" w:rsidRDefault="00A6671C" w:rsidP="00A01C6A">
      <w:r>
        <w:t xml:space="preserve">We welcome your feedback on this report. </w:t>
      </w:r>
      <w:r w:rsidRPr="001F3DC9">
        <w:t xml:space="preserve">Contact OVIC at </w:t>
      </w:r>
      <w:hyperlink r:id="rId22" w:history="1">
        <w:r w:rsidRPr="00A6671C">
          <w:rPr>
            <w:rStyle w:val="Hyperlink"/>
            <w:color w:val="430098" w:themeColor="text2"/>
          </w:rPr>
          <w:t>security@ovic.vic.gov.au</w:t>
        </w:r>
      </w:hyperlink>
      <w:r>
        <w:t xml:space="preserve"> to discuss this report further.</w:t>
      </w:r>
      <w:bookmarkEnd w:id="7"/>
      <w:bookmarkEnd w:id="8"/>
      <w:bookmarkEnd w:id="9"/>
    </w:p>
    <w:sectPr w:rsidR="001A791E" w:rsidRPr="00167077" w:rsidSect="007A7DB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E408" w14:textId="77777777" w:rsidR="007A7DBF" w:rsidRDefault="007A7DBF" w:rsidP="00C37A29">
      <w:pPr>
        <w:spacing w:after="0"/>
      </w:pPr>
      <w:r>
        <w:separator/>
      </w:r>
    </w:p>
    <w:p w14:paraId="3387F8E0" w14:textId="77777777" w:rsidR="007A7DBF" w:rsidRDefault="007A7DBF"/>
  </w:endnote>
  <w:endnote w:type="continuationSeparator" w:id="0">
    <w:p w14:paraId="3A861681" w14:textId="77777777" w:rsidR="007A7DBF" w:rsidRDefault="007A7DBF" w:rsidP="00C37A29">
      <w:pPr>
        <w:spacing w:after="0"/>
      </w:pPr>
      <w:r>
        <w:continuationSeparator/>
      </w:r>
    </w:p>
    <w:p w14:paraId="451A2284" w14:textId="77777777" w:rsidR="007A7DBF" w:rsidRDefault="007A7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National-Book">
    <w:altName w:val="Times New Roman"/>
    <w:panose1 w:val="02000503000000020004"/>
    <w:charset w:val="00"/>
    <w:family w:val="auto"/>
    <w:notTrueType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7323" w14:textId="77777777" w:rsidR="00FB5FFF" w:rsidRDefault="00FB5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1" w:type="dxa"/>
      <w:tblBorders>
        <w:top w:val="single" w:sz="4" w:space="0" w:color="430098" w:themeColor="text2"/>
        <w:left w:val="none" w:sz="0" w:space="0" w:color="auto"/>
        <w:bottom w:val="none" w:sz="0" w:space="0" w:color="auto"/>
        <w:right w:val="none" w:sz="0" w:space="0" w:color="auto"/>
        <w:insideH w:val="single" w:sz="4" w:space="0" w:color="430098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831"/>
      <w:gridCol w:w="3269"/>
    </w:tblGrid>
    <w:tr w:rsidR="002744D6" w14:paraId="3E73E739" w14:textId="77777777" w:rsidTr="00031095">
      <w:tc>
        <w:tcPr>
          <w:tcW w:w="3261" w:type="dxa"/>
          <w:vAlign w:val="center"/>
        </w:tcPr>
        <w:p w14:paraId="66ADDC6F" w14:textId="329457CB" w:rsidR="002744D6" w:rsidRPr="002744D6" w:rsidRDefault="002744D6" w:rsidP="002744D6">
          <w:pPr>
            <w:spacing w:before="0" w:after="0"/>
            <w:rPr>
              <w:color w:val="430098" w:themeColor="text2"/>
              <w:sz w:val="16"/>
              <w:szCs w:val="16"/>
            </w:rPr>
          </w:pPr>
          <w:r w:rsidRPr="00E55CAE">
            <w:rPr>
              <w:color w:val="430098" w:themeColor="text2"/>
              <w:sz w:val="16"/>
              <w:szCs w:val="16"/>
            </w:rPr>
            <w:t>www.ovic.vic.gov.au</w:t>
          </w:r>
          <w:r w:rsidRPr="00ED59AB">
            <w:rPr>
              <w:bCs/>
            </w:rPr>
            <w:t xml:space="preserve"> </w:t>
          </w:r>
          <w:r w:rsidRPr="00ED59AB">
            <w:rPr>
              <w:b/>
              <w:bCs/>
            </w:rPr>
            <w:fldChar w:fldCharType="begin"/>
          </w:r>
          <w:r w:rsidRPr="00ED59AB">
            <w:rPr>
              <w:bCs/>
            </w:rPr>
            <w:instrText xml:space="preserve"> TITLE   \* MERGEFORMAT </w:instrText>
          </w:r>
          <w:r w:rsidRPr="00ED59AB">
            <w:rPr>
              <w:b/>
              <w:bCs/>
            </w:rPr>
            <w:fldChar w:fldCharType="end"/>
          </w:r>
        </w:p>
      </w:tc>
      <w:tc>
        <w:tcPr>
          <w:tcW w:w="2831" w:type="dxa"/>
          <w:vAlign w:val="center"/>
        </w:tcPr>
        <w:p w14:paraId="36EE86BC" w14:textId="77777777" w:rsidR="002744D6" w:rsidRPr="00E55CAE" w:rsidRDefault="002744D6" w:rsidP="002744D6">
          <w:pPr>
            <w:pStyle w:val="FooterToggle"/>
            <w:spacing w:line="259" w:lineRule="auto"/>
            <w:rPr>
              <w:b w:val="0"/>
              <w:bCs/>
            </w:rPr>
          </w:pPr>
          <w:r w:rsidRPr="00E55CAE">
            <w:rPr>
              <w:b w:val="0"/>
              <w:bCs/>
            </w:rPr>
            <w:t>Disclaimer</w:t>
          </w:r>
        </w:p>
        <w:p w14:paraId="77B3B029" w14:textId="77777777" w:rsidR="002744D6" w:rsidRPr="00A3584F" w:rsidRDefault="002744D6" w:rsidP="002744D6">
          <w:pPr>
            <w:spacing w:before="0" w:after="0" w:line="259" w:lineRule="auto"/>
            <w:rPr>
              <w:sz w:val="14"/>
              <w:szCs w:val="14"/>
            </w:rPr>
          </w:pPr>
          <w:r w:rsidRPr="00A3584F">
            <w:rPr>
              <w:sz w:val="14"/>
              <w:szCs w:val="14"/>
            </w:rPr>
            <w:t>The information in this document is general in nature and does not constitute legal advice.</w:t>
          </w:r>
        </w:p>
      </w:tc>
      <w:tc>
        <w:tcPr>
          <w:tcW w:w="3269" w:type="dxa"/>
          <w:vAlign w:val="center"/>
        </w:tcPr>
        <w:p w14:paraId="437A1B3E" w14:textId="77777777" w:rsidR="002744D6" w:rsidRDefault="002744D6" w:rsidP="002744D6">
          <w:pPr>
            <w:pStyle w:val="PageNumber-right"/>
            <w:framePr w:hSpace="0" w:wrap="auto" w:vAnchor="margin" w:hAnchor="text" w:yAlign="inline"/>
            <w:suppressOverlap w:val="0"/>
          </w:pPr>
          <w:r w:rsidRPr="00A3584F"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PAGE  \* Arabic  \* MERGEFORMAT</w:instrText>
          </w:r>
          <w:r w:rsidRPr="00A3584F"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 w:rsidRPr="00A3584F">
            <w:rPr>
              <w:lang w:val="en-GB"/>
            </w:rPr>
            <w:fldChar w:fldCharType="end"/>
          </w:r>
          <w:r w:rsidRPr="00A3584F">
            <w:rPr>
              <w:lang w:val="en-GB"/>
            </w:rPr>
            <w:t xml:space="preserve"> /</w:t>
          </w:r>
          <w:r>
            <w:rPr>
              <w:lang w:val="en-GB"/>
            </w:rPr>
            <w:t xml:space="preserve"> </w:t>
          </w:r>
          <w:r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</w:tc>
    </w:tr>
  </w:tbl>
  <w:sdt>
    <w:sdtPr>
      <w:rPr>
        <w:caps w:val="0"/>
        <w:sz w:val="44"/>
        <w:szCs w:val="44"/>
      </w:rPr>
      <w:id w:val="-487555969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7F7A5D67" w14:textId="15367219" w:rsidR="002744D6" w:rsidRPr="00FA1B6A" w:rsidRDefault="002744D6" w:rsidP="002744D6">
        <w:pPr>
          <w:pStyle w:val="ProtectiveMarking"/>
          <w:framePr w:wrap="around" w:y="16036"/>
          <w:spacing w:before="0" w:after="0"/>
          <w:rPr>
            <w:caps w:val="0"/>
            <w:sz w:val="44"/>
            <w:szCs w:val="44"/>
          </w:rPr>
        </w:pPr>
        <w:r w:rsidRPr="00FA1B6A">
          <w:rPr>
            <w:caps w:val="0"/>
            <w:sz w:val="44"/>
            <w:szCs w:val="44"/>
          </w:rPr>
          <w:t>OFFICIAL</w:t>
        </w:r>
      </w:p>
    </w:sdtContent>
  </w:sdt>
  <w:p w14:paraId="3A19B48A" w14:textId="77777777" w:rsidR="00CB1E32" w:rsidRPr="00A81CCD" w:rsidRDefault="00CB1E32" w:rsidP="002744D6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9" w:type="dxa"/>
      <w:tblBorders>
        <w:top w:val="single" w:sz="4" w:space="0" w:color="430098" w:themeColor="text2"/>
        <w:left w:val="none" w:sz="0" w:space="0" w:color="auto"/>
        <w:bottom w:val="none" w:sz="0" w:space="0" w:color="auto"/>
        <w:right w:val="none" w:sz="0" w:space="0" w:color="auto"/>
        <w:insideH w:val="single" w:sz="4" w:space="0" w:color="430098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831"/>
      <w:gridCol w:w="3127"/>
    </w:tblGrid>
    <w:tr w:rsidR="002744D6" w14:paraId="78E5F078" w14:textId="77777777" w:rsidTr="00031095">
      <w:tc>
        <w:tcPr>
          <w:tcW w:w="3261" w:type="dxa"/>
          <w:vAlign w:val="center"/>
        </w:tcPr>
        <w:p w14:paraId="073D9D8D" w14:textId="5BB74951" w:rsidR="002744D6" w:rsidRDefault="002744D6" w:rsidP="002744D6">
          <w:pPr>
            <w:pStyle w:val="FooterToggle"/>
            <w:rPr>
              <w:b w:val="0"/>
              <w:bCs/>
            </w:rPr>
          </w:pPr>
          <w:r w:rsidRPr="00E55CAE">
            <w:rPr>
              <w:b w:val="0"/>
              <w:bCs/>
            </w:rPr>
            <w:t xml:space="preserve">CM: </w:t>
          </w:r>
          <w:r>
            <w:rPr>
              <w:b w:val="0"/>
              <w:bCs/>
            </w:rPr>
            <w:t>D2</w:t>
          </w:r>
          <w:r w:rsidR="00750C4D">
            <w:rPr>
              <w:b w:val="0"/>
              <w:bCs/>
            </w:rPr>
            <w:t>4</w:t>
          </w:r>
          <w:r>
            <w:rPr>
              <w:b w:val="0"/>
              <w:bCs/>
            </w:rPr>
            <w:t>/</w:t>
          </w:r>
          <w:r w:rsidR="00802763">
            <w:rPr>
              <w:b w:val="0"/>
              <w:bCs/>
            </w:rPr>
            <w:t>507</w:t>
          </w:r>
        </w:p>
        <w:p w14:paraId="4FAC2C83" w14:textId="248EA3B1" w:rsidR="002744D6" w:rsidRDefault="00750C4D" w:rsidP="002744D6">
          <w:pPr>
            <w:spacing w:before="0" w:after="0"/>
            <w:rPr>
              <w:bCs/>
              <w:color w:val="430098" w:themeColor="text2"/>
              <w:sz w:val="16"/>
              <w:szCs w:val="16"/>
            </w:rPr>
          </w:pPr>
          <w:r>
            <w:rPr>
              <w:bCs/>
              <w:color w:val="430098" w:themeColor="text2"/>
              <w:sz w:val="16"/>
              <w:szCs w:val="16"/>
            </w:rPr>
            <w:t>March</w:t>
          </w:r>
          <w:r w:rsidR="002744D6">
            <w:rPr>
              <w:bCs/>
              <w:color w:val="430098" w:themeColor="text2"/>
              <w:sz w:val="16"/>
              <w:szCs w:val="16"/>
            </w:rPr>
            <w:t xml:space="preserve"> 202</w:t>
          </w:r>
          <w:r>
            <w:rPr>
              <w:bCs/>
              <w:color w:val="430098" w:themeColor="text2"/>
              <w:sz w:val="16"/>
              <w:szCs w:val="16"/>
            </w:rPr>
            <w:t>4</w:t>
          </w:r>
        </w:p>
        <w:p w14:paraId="4BBA079F" w14:textId="1E236A27" w:rsidR="002744D6" w:rsidRDefault="002744D6" w:rsidP="002744D6">
          <w:pPr>
            <w:spacing w:before="0" w:after="0"/>
          </w:pPr>
          <w:r w:rsidRPr="00E55CAE">
            <w:rPr>
              <w:bCs/>
              <w:color w:val="430098" w:themeColor="text2"/>
              <w:sz w:val="16"/>
              <w:szCs w:val="16"/>
            </w:rPr>
            <w:t>www.ovic.vic.gov.au</w:t>
          </w:r>
        </w:p>
      </w:tc>
      <w:tc>
        <w:tcPr>
          <w:tcW w:w="2831" w:type="dxa"/>
          <w:vAlign w:val="center"/>
        </w:tcPr>
        <w:p w14:paraId="3AC33647" w14:textId="77777777" w:rsidR="002744D6" w:rsidRPr="00E55CAE" w:rsidRDefault="002744D6" w:rsidP="002744D6">
          <w:pPr>
            <w:pStyle w:val="FooterToggle"/>
            <w:spacing w:line="259" w:lineRule="auto"/>
            <w:rPr>
              <w:b w:val="0"/>
              <w:bCs/>
            </w:rPr>
          </w:pPr>
          <w:r w:rsidRPr="00E55CAE">
            <w:rPr>
              <w:b w:val="0"/>
              <w:bCs/>
            </w:rPr>
            <w:t>Disclaimer</w:t>
          </w:r>
        </w:p>
        <w:p w14:paraId="6E0621A0" w14:textId="77777777" w:rsidR="002744D6" w:rsidRPr="00A3584F" w:rsidRDefault="002744D6" w:rsidP="002744D6">
          <w:pPr>
            <w:spacing w:before="0" w:after="0" w:line="259" w:lineRule="auto"/>
            <w:rPr>
              <w:sz w:val="14"/>
              <w:szCs w:val="14"/>
            </w:rPr>
          </w:pPr>
          <w:r w:rsidRPr="00A3584F">
            <w:rPr>
              <w:sz w:val="14"/>
              <w:szCs w:val="14"/>
            </w:rPr>
            <w:t>The information in this document is general in nature and does not constitute legal advice.</w:t>
          </w:r>
        </w:p>
      </w:tc>
      <w:tc>
        <w:tcPr>
          <w:tcW w:w="3127" w:type="dxa"/>
          <w:vAlign w:val="center"/>
        </w:tcPr>
        <w:p w14:paraId="7C44DD2D" w14:textId="77777777" w:rsidR="002744D6" w:rsidRDefault="002744D6" w:rsidP="002744D6">
          <w:pPr>
            <w:pStyle w:val="PageNumber-right"/>
            <w:framePr w:hSpace="0" w:wrap="auto" w:vAnchor="margin" w:hAnchor="text" w:yAlign="inline"/>
            <w:suppressOverlap w:val="0"/>
          </w:pPr>
          <w:r w:rsidRPr="00A3584F"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PAGE  \* Arabic  \* MERGEFORMAT</w:instrText>
          </w:r>
          <w:r w:rsidRPr="00A3584F"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 w:rsidRPr="00A3584F">
            <w:rPr>
              <w:lang w:val="en-GB"/>
            </w:rPr>
            <w:fldChar w:fldCharType="end"/>
          </w:r>
          <w:r w:rsidRPr="00A3584F">
            <w:rPr>
              <w:lang w:val="en-GB"/>
            </w:rPr>
            <w:t xml:space="preserve"> /</w:t>
          </w:r>
          <w:r>
            <w:rPr>
              <w:lang w:val="en-GB"/>
            </w:rPr>
            <w:t xml:space="preserve"> </w:t>
          </w:r>
          <w:r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</w:tc>
    </w:tr>
  </w:tbl>
  <w:sdt>
    <w:sdtPr>
      <w:rPr>
        <w:caps w:val="0"/>
        <w:sz w:val="44"/>
        <w:szCs w:val="44"/>
      </w:rPr>
      <w:id w:val="908579802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284725CE" w14:textId="34CE3D3E" w:rsidR="002744D6" w:rsidRPr="00FA1B6A" w:rsidRDefault="002744D6" w:rsidP="002744D6">
        <w:pPr>
          <w:pStyle w:val="ProtectiveMarking"/>
          <w:framePr w:wrap="around" w:y="16036"/>
          <w:spacing w:before="0" w:after="0"/>
          <w:rPr>
            <w:caps w:val="0"/>
            <w:sz w:val="44"/>
            <w:szCs w:val="44"/>
          </w:rPr>
        </w:pPr>
        <w:r w:rsidRPr="00FA1B6A">
          <w:rPr>
            <w:caps w:val="0"/>
            <w:sz w:val="44"/>
            <w:szCs w:val="44"/>
          </w:rPr>
          <w:t>OFFICIAL</w:t>
        </w:r>
      </w:p>
    </w:sdtContent>
  </w:sdt>
  <w:p w14:paraId="2E0007CD" w14:textId="77777777" w:rsidR="003B0240" w:rsidRDefault="003B0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8128" w14:textId="77777777" w:rsidR="007A7DBF" w:rsidRDefault="007A7DBF" w:rsidP="004C5DAA">
      <w:pPr>
        <w:spacing w:after="120"/>
      </w:pPr>
      <w:r>
        <w:separator/>
      </w:r>
    </w:p>
  </w:footnote>
  <w:footnote w:type="continuationSeparator" w:id="0">
    <w:p w14:paraId="5DF67A3B" w14:textId="77777777" w:rsidR="007A7DBF" w:rsidRDefault="007A7DBF" w:rsidP="00C37A29">
      <w:pPr>
        <w:spacing w:after="0"/>
      </w:pPr>
      <w:r>
        <w:continuationSeparator/>
      </w:r>
    </w:p>
    <w:p w14:paraId="53BC19C0" w14:textId="77777777" w:rsidR="007A7DBF" w:rsidRDefault="007A7DBF"/>
  </w:footnote>
  <w:footnote w:id="1">
    <w:p w14:paraId="40F296BA" w14:textId="77777777" w:rsidR="00A6671C" w:rsidRDefault="00A6671C" w:rsidP="00A66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2C07">
        <w:rPr>
          <w:sz w:val="18"/>
          <w:szCs w:val="18"/>
        </w:rPr>
        <w:t xml:space="preserve">Refer to </w:t>
      </w:r>
      <w:hyperlink r:id="rId1" w:history="1">
        <w:r w:rsidRPr="00A6671C">
          <w:rPr>
            <w:rStyle w:val="Hyperlink"/>
            <w:color w:val="430098" w:themeColor="text2"/>
            <w:sz w:val="18"/>
            <w:szCs w:val="18"/>
          </w:rPr>
          <w:t>https://ovic.vic.gov.au/data-protection/victorian-protective-data-security-framework-business-impact-level-table-v2-1/</w:t>
        </w:r>
      </w:hyperlink>
    </w:p>
  </w:footnote>
  <w:footnote w:id="2">
    <w:p w14:paraId="05BF24BB" w14:textId="77777777" w:rsidR="0097704C" w:rsidRPr="00637791" w:rsidRDefault="0097704C" w:rsidP="0097704C">
      <w:pPr>
        <w:pStyle w:val="Body"/>
        <w:rPr>
          <w:rFonts w:asciiTheme="majorHAnsi" w:hAnsiTheme="majorHAnsi" w:cstheme="majorHAnsi"/>
          <w:sz w:val="18"/>
          <w:szCs w:val="18"/>
        </w:rPr>
      </w:pPr>
      <w:r w:rsidRPr="00637791">
        <w:rPr>
          <w:rStyle w:val="FootnoteReference"/>
          <w:rFonts w:asciiTheme="majorHAnsi" w:hAnsiTheme="majorHAnsi" w:cstheme="majorHAnsi"/>
          <w:color w:val="auto"/>
          <w:sz w:val="18"/>
          <w:szCs w:val="18"/>
        </w:rPr>
        <w:footnoteRef/>
      </w:r>
      <w:r w:rsidRPr="00637791">
        <w:rPr>
          <w:rFonts w:asciiTheme="majorHAnsi" w:hAnsiTheme="majorHAnsi" w:cstheme="majorHAnsi"/>
          <w:color w:val="auto"/>
          <w:sz w:val="18"/>
          <w:szCs w:val="18"/>
        </w:rPr>
        <w:t xml:space="preserve"> The extent of the impact could be “limited” or higher depending on the context and nature of the incident and is left for an organisation to determine.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9714" w14:textId="77777777" w:rsidR="00FB5FFF" w:rsidRDefault="00FB5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 w:val="0"/>
        <w:sz w:val="44"/>
        <w:szCs w:val="44"/>
      </w:rPr>
      <w:id w:val="-391735166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0BE23A93" w14:textId="07C13E6F" w:rsidR="002744D6" w:rsidRPr="00FA1B6A" w:rsidRDefault="002744D6" w:rsidP="002744D6">
        <w:pPr>
          <w:pStyle w:val="ProtectiveMarking"/>
          <w:framePr w:wrap="around"/>
          <w:spacing w:before="0" w:after="0"/>
          <w:rPr>
            <w:caps w:val="0"/>
            <w:sz w:val="44"/>
            <w:szCs w:val="44"/>
          </w:rPr>
        </w:pPr>
        <w:r w:rsidRPr="00FA1B6A">
          <w:rPr>
            <w:caps w:val="0"/>
            <w:sz w:val="44"/>
            <w:szCs w:val="44"/>
          </w:rPr>
          <w:t>OFFICIAL</w:t>
        </w:r>
      </w:p>
    </w:sdtContent>
  </w:sdt>
  <w:p w14:paraId="554278A7" w14:textId="72BD6264" w:rsidR="00CB1E32" w:rsidRPr="002744D6" w:rsidRDefault="00CB1E32" w:rsidP="00274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 w:val="0"/>
        <w:sz w:val="44"/>
        <w:szCs w:val="44"/>
      </w:rPr>
      <w:id w:val="872343476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35FED51D" w14:textId="10C9D574" w:rsidR="002744D6" w:rsidRPr="00FA1B6A" w:rsidRDefault="002744D6" w:rsidP="002744D6">
        <w:pPr>
          <w:pStyle w:val="ProtectiveMarking"/>
          <w:framePr w:wrap="around"/>
          <w:spacing w:before="0" w:after="0"/>
          <w:rPr>
            <w:caps w:val="0"/>
            <w:sz w:val="44"/>
            <w:szCs w:val="44"/>
          </w:rPr>
        </w:pPr>
        <w:r w:rsidRPr="00FA1B6A">
          <w:rPr>
            <w:caps w:val="0"/>
            <w:sz w:val="44"/>
            <w:szCs w:val="44"/>
          </w:rPr>
          <w:t>OFFICIAL</w:t>
        </w:r>
      </w:p>
    </w:sdtContent>
  </w:sdt>
  <w:p w14:paraId="512C8747" w14:textId="77777777" w:rsidR="009A1E02" w:rsidRDefault="001C0D28">
    <w:pPr>
      <w:pStyle w:val="Header"/>
    </w:pPr>
    <w:r>
      <w:rPr>
        <w:noProof/>
      </w:rPr>
      <w:drawing>
        <wp:anchor distT="4320540" distB="107950" distL="114300" distR="114300" simplePos="0" relativeHeight="251674624" behindDoc="0" locked="1" layoutInCell="1" allowOverlap="1" wp14:anchorId="1608FA04" wp14:editId="716C1E8D">
          <wp:simplePos x="0" y="0"/>
          <wp:positionH relativeFrom="margin">
            <wp:align>left</wp:align>
          </wp:positionH>
          <wp:positionV relativeFrom="page">
            <wp:posOffset>756285</wp:posOffset>
          </wp:positionV>
          <wp:extent cx="1472400" cy="648000"/>
          <wp:effectExtent l="0" t="0" r="0" b="0"/>
          <wp:wrapTopAndBottom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BD9"/>
    <w:multiLevelType w:val="multilevel"/>
    <w:tmpl w:val="3252CBE4"/>
    <w:numStyleLink w:val="Numbering"/>
  </w:abstractNum>
  <w:abstractNum w:abstractNumId="1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6F37EA"/>
    <w:multiLevelType w:val="multilevel"/>
    <w:tmpl w:val="3252CBE4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11DE1E3F"/>
    <w:multiLevelType w:val="hybridMultilevel"/>
    <w:tmpl w:val="F836B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39"/>
    <w:multiLevelType w:val="multilevel"/>
    <w:tmpl w:val="B6542242"/>
    <w:styleLink w:val="LetteredList"/>
    <w:lvl w:ilvl="0">
      <w:start w:val="1"/>
      <w:numFmt w:val="lowerLetter"/>
      <w:pStyle w:val="List"/>
      <w:lvlText w:val="(%1)."/>
      <w:lvlJc w:val="left"/>
      <w:pPr>
        <w:ind w:left="1701" w:hanging="567"/>
      </w:pPr>
      <w:rPr>
        <w:rFonts w:hint="default"/>
      </w:rPr>
    </w:lvl>
    <w:lvl w:ilvl="1">
      <w:start w:val="1"/>
      <w:numFmt w:val="lowerRoman"/>
      <w:pStyle w:val="List2"/>
      <w:lvlText w:val="(%2)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6F539E"/>
    <w:multiLevelType w:val="hybridMultilevel"/>
    <w:tmpl w:val="2652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5C86"/>
    <w:multiLevelType w:val="multilevel"/>
    <w:tmpl w:val="7B2236E6"/>
    <w:numStyleLink w:val="Bullets"/>
  </w:abstractNum>
  <w:abstractNum w:abstractNumId="7" w15:restartNumberingAfterBreak="0">
    <w:nsid w:val="2D5D0799"/>
    <w:multiLevelType w:val="hybridMultilevel"/>
    <w:tmpl w:val="2D50B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067FA"/>
    <w:multiLevelType w:val="hybridMultilevel"/>
    <w:tmpl w:val="576EA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0407"/>
    <w:multiLevelType w:val="hybridMultilevel"/>
    <w:tmpl w:val="47A64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1525"/>
    <w:multiLevelType w:val="hybridMultilevel"/>
    <w:tmpl w:val="AC3E7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62616"/>
    <w:multiLevelType w:val="hybridMultilevel"/>
    <w:tmpl w:val="B762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1502C"/>
    <w:multiLevelType w:val="multilevel"/>
    <w:tmpl w:val="7B2236E6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34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3" w15:restartNumberingAfterBreak="0">
    <w:nsid w:val="62DE355B"/>
    <w:multiLevelType w:val="hybridMultilevel"/>
    <w:tmpl w:val="5748D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D40EA"/>
    <w:multiLevelType w:val="multilevel"/>
    <w:tmpl w:val="B6542242"/>
    <w:numStyleLink w:val="LetteredList"/>
  </w:abstractNum>
  <w:abstractNum w:abstractNumId="15" w15:restartNumberingAfterBreak="0">
    <w:nsid w:val="7E3E770C"/>
    <w:multiLevelType w:val="hybridMultilevel"/>
    <w:tmpl w:val="B4188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18277">
    <w:abstractNumId w:val="12"/>
  </w:num>
  <w:num w:numId="2" w16cid:durableId="846598071">
    <w:abstractNumId w:val="2"/>
  </w:num>
  <w:num w:numId="3" w16cid:durableId="659580476">
    <w:abstractNumId w:val="1"/>
  </w:num>
  <w:num w:numId="4" w16cid:durableId="444039133">
    <w:abstractNumId w:val="4"/>
  </w:num>
  <w:num w:numId="5" w16cid:durableId="725029349">
    <w:abstractNumId w:val="6"/>
  </w:num>
  <w:num w:numId="6" w16cid:durableId="1773672465">
    <w:abstractNumId w:val="0"/>
  </w:num>
  <w:num w:numId="7" w16cid:durableId="1487628207">
    <w:abstractNumId w:val="14"/>
  </w:num>
  <w:num w:numId="8" w16cid:durableId="93940029">
    <w:abstractNumId w:val="3"/>
  </w:num>
  <w:num w:numId="9" w16cid:durableId="74936319">
    <w:abstractNumId w:val="13"/>
  </w:num>
  <w:num w:numId="10" w16cid:durableId="430047757">
    <w:abstractNumId w:val="10"/>
  </w:num>
  <w:num w:numId="11" w16cid:durableId="217018096">
    <w:abstractNumId w:val="8"/>
  </w:num>
  <w:num w:numId="12" w16cid:durableId="1319650601">
    <w:abstractNumId w:val="15"/>
  </w:num>
  <w:num w:numId="13" w16cid:durableId="426389565">
    <w:abstractNumId w:val="11"/>
  </w:num>
  <w:num w:numId="14" w16cid:durableId="426191421">
    <w:abstractNumId w:val="7"/>
  </w:num>
  <w:num w:numId="15" w16cid:durableId="562059193">
    <w:abstractNumId w:val="5"/>
  </w:num>
  <w:num w:numId="16" w16cid:durableId="81691765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E9"/>
    <w:rsid w:val="0000130F"/>
    <w:rsid w:val="000016E9"/>
    <w:rsid w:val="000033F0"/>
    <w:rsid w:val="00015CA0"/>
    <w:rsid w:val="000167D5"/>
    <w:rsid w:val="000174F8"/>
    <w:rsid w:val="000300AF"/>
    <w:rsid w:val="0003148A"/>
    <w:rsid w:val="0003476F"/>
    <w:rsid w:val="00046A3E"/>
    <w:rsid w:val="000529D1"/>
    <w:rsid w:val="000553AC"/>
    <w:rsid w:val="00062784"/>
    <w:rsid w:val="00070F9D"/>
    <w:rsid w:val="000724AE"/>
    <w:rsid w:val="0007747C"/>
    <w:rsid w:val="0008037D"/>
    <w:rsid w:val="0008240F"/>
    <w:rsid w:val="00086F51"/>
    <w:rsid w:val="000910E4"/>
    <w:rsid w:val="00092650"/>
    <w:rsid w:val="000B497F"/>
    <w:rsid w:val="000C1AA9"/>
    <w:rsid w:val="000C3319"/>
    <w:rsid w:val="000D3DF9"/>
    <w:rsid w:val="000D528B"/>
    <w:rsid w:val="000D580C"/>
    <w:rsid w:val="000F2D16"/>
    <w:rsid w:val="0010129F"/>
    <w:rsid w:val="00110345"/>
    <w:rsid w:val="00110AC2"/>
    <w:rsid w:val="00112E8F"/>
    <w:rsid w:val="001161D3"/>
    <w:rsid w:val="00120BE5"/>
    <w:rsid w:val="001268BC"/>
    <w:rsid w:val="00126CA0"/>
    <w:rsid w:val="00136475"/>
    <w:rsid w:val="00151C8F"/>
    <w:rsid w:val="001570B0"/>
    <w:rsid w:val="00166F43"/>
    <w:rsid w:val="00167A03"/>
    <w:rsid w:val="00181F0D"/>
    <w:rsid w:val="001954C2"/>
    <w:rsid w:val="001A067F"/>
    <w:rsid w:val="001A0D77"/>
    <w:rsid w:val="001A4940"/>
    <w:rsid w:val="001A791E"/>
    <w:rsid w:val="001B0C78"/>
    <w:rsid w:val="001B7DE8"/>
    <w:rsid w:val="001C0D28"/>
    <w:rsid w:val="001C19AB"/>
    <w:rsid w:val="001C781E"/>
    <w:rsid w:val="001C7835"/>
    <w:rsid w:val="001E4FAF"/>
    <w:rsid w:val="001F13C1"/>
    <w:rsid w:val="001F2054"/>
    <w:rsid w:val="001F446D"/>
    <w:rsid w:val="00221AB7"/>
    <w:rsid w:val="00222577"/>
    <w:rsid w:val="00236215"/>
    <w:rsid w:val="0023670F"/>
    <w:rsid w:val="0024312C"/>
    <w:rsid w:val="00246435"/>
    <w:rsid w:val="00246BCF"/>
    <w:rsid w:val="0025786F"/>
    <w:rsid w:val="00265D26"/>
    <w:rsid w:val="00270834"/>
    <w:rsid w:val="0027131C"/>
    <w:rsid w:val="002744D6"/>
    <w:rsid w:val="002761DC"/>
    <w:rsid w:val="002814E6"/>
    <w:rsid w:val="00281560"/>
    <w:rsid w:val="00295C59"/>
    <w:rsid w:val="00296F32"/>
    <w:rsid w:val="002B0312"/>
    <w:rsid w:val="002B544E"/>
    <w:rsid w:val="002B770A"/>
    <w:rsid w:val="002C22DD"/>
    <w:rsid w:val="002D4A10"/>
    <w:rsid w:val="002E0EDA"/>
    <w:rsid w:val="002E0FEB"/>
    <w:rsid w:val="002E394D"/>
    <w:rsid w:val="002F07B4"/>
    <w:rsid w:val="002F4A35"/>
    <w:rsid w:val="00303246"/>
    <w:rsid w:val="00305171"/>
    <w:rsid w:val="003126A4"/>
    <w:rsid w:val="00320132"/>
    <w:rsid w:val="0034139E"/>
    <w:rsid w:val="0034140F"/>
    <w:rsid w:val="0034680A"/>
    <w:rsid w:val="003567E4"/>
    <w:rsid w:val="003615F6"/>
    <w:rsid w:val="00363921"/>
    <w:rsid w:val="00363FF8"/>
    <w:rsid w:val="003676E4"/>
    <w:rsid w:val="0037721D"/>
    <w:rsid w:val="0038102A"/>
    <w:rsid w:val="00387B01"/>
    <w:rsid w:val="00390BB8"/>
    <w:rsid w:val="00390CE3"/>
    <w:rsid w:val="003A265C"/>
    <w:rsid w:val="003B0240"/>
    <w:rsid w:val="003B1124"/>
    <w:rsid w:val="003B1BB4"/>
    <w:rsid w:val="003B2787"/>
    <w:rsid w:val="003B4A8D"/>
    <w:rsid w:val="003B5584"/>
    <w:rsid w:val="003D0865"/>
    <w:rsid w:val="003D23A3"/>
    <w:rsid w:val="003D3729"/>
    <w:rsid w:val="003D5856"/>
    <w:rsid w:val="003D7986"/>
    <w:rsid w:val="003E1DC7"/>
    <w:rsid w:val="003F57CF"/>
    <w:rsid w:val="00402EC8"/>
    <w:rsid w:val="00404E4F"/>
    <w:rsid w:val="0040757A"/>
    <w:rsid w:val="0042339A"/>
    <w:rsid w:val="00424C4D"/>
    <w:rsid w:val="0042508F"/>
    <w:rsid w:val="00455000"/>
    <w:rsid w:val="0046088E"/>
    <w:rsid w:val="0046137F"/>
    <w:rsid w:val="004635FD"/>
    <w:rsid w:val="004650C0"/>
    <w:rsid w:val="00467EA8"/>
    <w:rsid w:val="00474FEE"/>
    <w:rsid w:val="004843D5"/>
    <w:rsid w:val="004A65E6"/>
    <w:rsid w:val="004A6B8C"/>
    <w:rsid w:val="004B4AE7"/>
    <w:rsid w:val="004B609E"/>
    <w:rsid w:val="004C1847"/>
    <w:rsid w:val="004C5DAA"/>
    <w:rsid w:val="004D1683"/>
    <w:rsid w:val="004D1958"/>
    <w:rsid w:val="004D2A3F"/>
    <w:rsid w:val="004E0833"/>
    <w:rsid w:val="004E28C6"/>
    <w:rsid w:val="004E2D44"/>
    <w:rsid w:val="004F138F"/>
    <w:rsid w:val="004F23DB"/>
    <w:rsid w:val="004F5D6B"/>
    <w:rsid w:val="00500FBF"/>
    <w:rsid w:val="0050670B"/>
    <w:rsid w:val="005141E8"/>
    <w:rsid w:val="00533496"/>
    <w:rsid w:val="00545855"/>
    <w:rsid w:val="0054698D"/>
    <w:rsid w:val="00550C99"/>
    <w:rsid w:val="00553413"/>
    <w:rsid w:val="00553C23"/>
    <w:rsid w:val="005616A9"/>
    <w:rsid w:val="0056214A"/>
    <w:rsid w:val="005632FA"/>
    <w:rsid w:val="0058369E"/>
    <w:rsid w:val="00583984"/>
    <w:rsid w:val="00586DD1"/>
    <w:rsid w:val="00593314"/>
    <w:rsid w:val="00594496"/>
    <w:rsid w:val="005A519A"/>
    <w:rsid w:val="005A51A0"/>
    <w:rsid w:val="005A5D7D"/>
    <w:rsid w:val="005A6EEF"/>
    <w:rsid w:val="005B0A63"/>
    <w:rsid w:val="005B2CF1"/>
    <w:rsid w:val="005C2F0B"/>
    <w:rsid w:val="005C6618"/>
    <w:rsid w:val="005D79E1"/>
    <w:rsid w:val="005F48E2"/>
    <w:rsid w:val="00603E39"/>
    <w:rsid w:val="00603FD5"/>
    <w:rsid w:val="00616DC8"/>
    <w:rsid w:val="00623F27"/>
    <w:rsid w:val="00626B7E"/>
    <w:rsid w:val="00631A11"/>
    <w:rsid w:val="00637791"/>
    <w:rsid w:val="00646F3B"/>
    <w:rsid w:val="00656C80"/>
    <w:rsid w:val="0068724F"/>
    <w:rsid w:val="006A02D9"/>
    <w:rsid w:val="006A1DEF"/>
    <w:rsid w:val="006A3CC0"/>
    <w:rsid w:val="006A5094"/>
    <w:rsid w:val="006A657D"/>
    <w:rsid w:val="006B258F"/>
    <w:rsid w:val="006B5716"/>
    <w:rsid w:val="006B6F9A"/>
    <w:rsid w:val="006C461E"/>
    <w:rsid w:val="006C4AF4"/>
    <w:rsid w:val="006C583F"/>
    <w:rsid w:val="006D3CD4"/>
    <w:rsid w:val="006D3F2F"/>
    <w:rsid w:val="006E18C8"/>
    <w:rsid w:val="006E1F45"/>
    <w:rsid w:val="006E2FF4"/>
    <w:rsid w:val="006E3080"/>
    <w:rsid w:val="006E3536"/>
    <w:rsid w:val="006E76CC"/>
    <w:rsid w:val="00700AF5"/>
    <w:rsid w:val="00701D90"/>
    <w:rsid w:val="007071AE"/>
    <w:rsid w:val="00707EBC"/>
    <w:rsid w:val="00714488"/>
    <w:rsid w:val="00716FA5"/>
    <w:rsid w:val="00717F79"/>
    <w:rsid w:val="0072278C"/>
    <w:rsid w:val="007254A7"/>
    <w:rsid w:val="00730CC8"/>
    <w:rsid w:val="0073421C"/>
    <w:rsid w:val="00735843"/>
    <w:rsid w:val="007436A4"/>
    <w:rsid w:val="0075052C"/>
    <w:rsid w:val="00750C4D"/>
    <w:rsid w:val="00775E79"/>
    <w:rsid w:val="00780D70"/>
    <w:rsid w:val="00786318"/>
    <w:rsid w:val="007927A8"/>
    <w:rsid w:val="00792868"/>
    <w:rsid w:val="00794EE2"/>
    <w:rsid w:val="0079751C"/>
    <w:rsid w:val="007977EB"/>
    <w:rsid w:val="007A0363"/>
    <w:rsid w:val="007A22ED"/>
    <w:rsid w:val="007A2641"/>
    <w:rsid w:val="007A5F28"/>
    <w:rsid w:val="007A7DBF"/>
    <w:rsid w:val="007C2EB8"/>
    <w:rsid w:val="007C3FC5"/>
    <w:rsid w:val="007C61C7"/>
    <w:rsid w:val="007D5981"/>
    <w:rsid w:val="007E677E"/>
    <w:rsid w:val="007E7FE4"/>
    <w:rsid w:val="007F30E8"/>
    <w:rsid w:val="00802763"/>
    <w:rsid w:val="00806F01"/>
    <w:rsid w:val="0081533C"/>
    <w:rsid w:val="0081591F"/>
    <w:rsid w:val="0081611A"/>
    <w:rsid w:val="00820E52"/>
    <w:rsid w:val="00842101"/>
    <w:rsid w:val="00843734"/>
    <w:rsid w:val="00845A6C"/>
    <w:rsid w:val="00845C1F"/>
    <w:rsid w:val="008474EA"/>
    <w:rsid w:val="0085372C"/>
    <w:rsid w:val="0085439B"/>
    <w:rsid w:val="00862C66"/>
    <w:rsid w:val="00863F87"/>
    <w:rsid w:val="0087753A"/>
    <w:rsid w:val="008801B1"/>
    <w:rsid w:val="008844A1"/>
    <w:rsid w:val="00897F77"/>
    <w:rsid w:val="008A2BB2"/>
    <w:rsid w:val="008A4E3A"/>
    <w:rsid w:val="008A7F13"/>
    <w:rsid w:val="008B05C3"/>
    <w:rsid w:val="008B1C63"/>
    <w:rsid w:val="008B4965"/>
    <w:rsid w:val="008B5CC5"/>
    <w:rsid w:val="008B637D"/>
    <w:rsid w:val="008B7427"/>
    <w:rsid w:val="008D1ABD"/>
    <w:rsid w:val="008D760A"/>
    <w:rsid w:val="008F70D1"/>
    <w:rsid w:val="008F71C8"/>
    <w:rsid w:val="0090137A"/>
    <w:rsid w:val="00903437"/>
    <w:rsid w:val="00915301"/>
    <w:rsid w:val="00915F6F"/>
    <w:rsid w:val="00924E79"/>
    <w:rsid w:val="009254B8"/>
    <w:rsid w:val="00926DEE"/>
    <w:rsid w:val="00926DF7"/>
    <w:rsid w:val="00927FDE"/>
    <w:rsid w:val="00935C80"/>
    <w:rsid w:val="00936068"/>
    <w:rsid w:val="00941BB2"/>
    <w:rsid w:val="00941D24"/>
    <w:rsid w:val="009517CC"/>
    <w:rsid w:val="009615D4"/>
    <w:rsid w:val="00964D2F"/>
    <w:rsid w:val="00970819"/>
    <w:rsid w:val="009718B3"/>
    <w:rsid w:val="009733AC"/>
    <w:rsid w:val="00973774"/>
    <w:rsid w:val="00974677"/>
    <w:rsid w:val="0097657C"/>
    <w:rsid w:val="00976C50"/>
    <w:rsid w:val="0097704C"/>
    <w:rsid w:val="00983D00"/>
    <w:rsid w:val="00990D47"/>
    <w:rsid w:val="009A1E02"/>
    <w:rsid w:val="009A2F17"/>
    <w:rsid w:val="009A360F"/>
    <w:rsid w:val="009A49D1"/>
    <w:rsid w:val="009B2231"/>
    <w:rsid w:val="009B7F5D"/>
    <w:rsid w:val="009C0347"/>
    <w:rsid w:val="009C0FDE"/>
    <w:rsid w:val="009C752B"/>
    <w:rsid w:val="009D24F5"/>
    <w:rsid w:val="009D439E"/>
    <w:rsid w:val="009E684B"/>
    <w:rsid w:val="009E7ED9"/>
    <w:rsid w:val="009F1AF2"/>
    <w:rsid w:val="009F3A68"/>
    <w:rsid w:val="009F5B49"/>
    <w:rsid w:val="00A01C6A"/>
    <w:rsid w:val="00A068D6"/>
    <w:rsid w:val="00A07CDF"/>
    <w:rsid w:val="00A12635"/>
    <w:rsid w:val="00A13664"/>
    <w:rsid w:val="00A14B66"/>
    <w:rsid w:val="00A20BA0"/>
    <w:rsid w:val="00A24EF4"/>
    <w:rsid w:val="00A27530"/>
    <w:rsid w:val="00A4119B"/>
    <w:rsid w:val="00A47F30"/>
    <w:rsid w:val="00A5293B"/>
    <w:rsid w:val="00A53F38"/>
    <w:rsid w:val="00A5700B"/>
    <w:rsid w:val="00A60161"/>
    <w:rsid w:val="00A60DA0"/>
    <w:rsid w:val="00A6671C"/>
    <w:rsid w:val="00A718E3"/>
    <w:rsid w:val="00A72376"/>
    <w:rsid w:val="00A81CCD"/>
    <w:rsid w:val="00A84E01"/>
    <w:rsid w:val="00A86FA0"/>
    <w:rsid w:val="00A90151"/>
    <w:rsid w:val="00A90B18"/>
    <w:rsid w:val="00A9359B"/>
    <w:rsid w:val="00AA163B"/>
    <w:rsid w:val="00AA7661"/>
    <w:rsid w:val="00AB5F12"/>
    <w:rsid w:val="00AC0558"/>
    <w:rsid w:val="00AC2373"/>
    <w:rsid w:val="00AC24BE"/>
    <w:rsid w:val="00AC2EA8"/>
    <w:rsid w:val="00AC47F1"/>
    <w:rsid w:val="00AD10C5"/>
    <w:rsid w:val="00AD3A56"/>
    <w:rsid w:val="00AD47C6"/>
    <w:rsid w:val="00AE7C4C"/>
    <w:rsid w:val="00AF36C2"/>
    <w:rsid w:val="00AF7956"/>
    <w:rsid w:val="00B124C7"/>
    <w:rsid w:val="00B22D9D"/>
    <w:rsid w:val="00B233EA"/>
    <w:rsid w:val="00B23603"/>
    <w:rsid w:val="00B25616"/>
    <w:rsid w:val="00B32D6C"/>
    <w:rsid w:val="00B3365C"/>
    <w:rsid w:val="00B3749D"/>
    <w:rsid w:val="00B44103"/>
    <w:rsid w:val="00B445E3"/>
    <w:rsid w:val="00B56365"/>
    <w:rsid w:val="00B57C8C"/>
    <w:rsid w:val="00B6239A"/>
    <w:rsid w:val="00B625EA"/>
    <w:rsid w:val="00B65DAA"/>
    <w:rsid w:val="00B667AB"/>
    <w:rsid w:val="00B66B2F"/>
    <w:rsid w:val="00B74F7F"/>
    <w:rsid w:val="00B75B08"/>
    <w:rsid w:val="00B76126"/>
    <w:rsid w:val="00B849A9"/>
    <w:rsid w:val="00B87859"/>
    <w:rsid w:val="00B91D47"/>
    <w:rsid w:val="00B968B1"/>
    <w:rsid w:val="00BA3CB8"/>
    <w:rsid w:val="00BA7623"/>
    <w:rsid w:val="00BA771A"/>
    <w:rsid w:val="00BC1B87"/>
    <w:rsid w:val="00BD760A"/>
    <w:rsid w:val="00BE0CE8"/>
    <w:rsid w:val="00BE571C"/>
    <w:rsid w:val="00BF3799"/>
    <w:rsid w:val="00BF68C8"/>
    <w:rsid w:val="00C01E68"/>
    <w:rsid w:val="00C110A4"/>
    <w:rsid w:val="00C11924"/>
    <w:rsid w:val="00C12CF1"/>
    <w:rsid w:val="00C177DC"/>
    <w:rsid w:val="00C2094D"/>
    <w:rsid w:val="00C21935"/>
    <w:rsid w:val="00C326F9"/>
    <w:rsid w:val="00C34C8E"/>
    <w:rsid w:val="00C356AC"/>
    <w:rsid w:val="00C36B3B"/>
    <w:rsid w:val="00C37A29"/>
    <w:rsid w:val="00C41DED"/>
    <w:rsid w:val="00C57DCA"/>
    <w:rsid w:val="00C60623"/>
    <w:rsid w:val="00C63E89"/>
    <w:rsid w:val="00C70EFC"/>
    <w:rsid w:val="00C8367B"/>
    <w:rsid w:val="00C930F4"/>
    <w:rsid w:val="00C932F3"/>
    <w:rsid w:val="00C9436C"/>
    <w:rsid w:val="00CA1FCA"/>
    <w:rsid w:val="00CA215A"/>
    <w:rsid w:val="00CA3C79"/>
    <w:rsid w:val="00CA41C7"/>
    <w:rsid w:val="00CB1E32"/>
    <w:rsid w:val="00CD1EE9"/>
    <w:rsid w:val="00CD61EB"/>
    <w:rsid w:val="00CF02F0"/>
    <w:rsid w:val="00CF52B1"/>
    <w:rsid w:val="00CF551D"/>
    <w:rsid w:val="00D0731A"/>
    <w:rsid w:val="00D103E7"/>
    <w:rsid w:val="00D16F74"/>
    <w:rsid w:val="00D215C3"/>
    <w:rsid w:val="00D34FB0"/>
    <w:rsid w:val="00D408CC"/>
    <w:rsid w:val="00D452E6"/>
    <w:rsid w:val="00D55A6D"/>
    <w:rsid w:val="00D60649"/>
    <w:rsid w:val="00D61E88"/>
    <w:rsid w:val="00D6504B"/>
    <w:rsid w:val="00D65E2E"/>
    <w:rsid w:val="00D666D0"/>
    <w:rsid w:val="00D73854"/>
    <w:rsid w:val="00D77A36"/>
    <w:rsid w:val="00D80CBE"/>
    <w:rsid w:val="00D83923"/>
    <w:rsid w:val="00D91674"/>
    <w:rsid w:val="00D9419D"/>
    <w:rsid w:val="00D94CDF"/>
    <w:rsid w:val="00DA046B"/>
    <w:rsid w:val="00DB7434"/>
    <w:rsid w:val="00DD2867"/>
    <w:rsid w:val="00DD3C7C"/>
    <w:rsid w:val="00DD6CCD"/>
    <w:rsid w:val="00DD711F"/>
    <w:rsid w:val="00DE0B46"/>
    <w:rsid w:val="00DE1DCC"/>
    <w:rsid w:val="00DE221D"/>
    <w:rsid w:val="00DE59FB"/>
    <w:rsid w:val="00DE602B"/>
    <w:rsid w:val="00DE68E7"/>
    <w:rsid w:val="00DF4408"/>
    <w:rsid w:val="00DF4E3E"/>
    <w:rsid w:val="00E02C93"/>
    <w:rsid w:val="00E0453D"/>
    <w:rsid w:val="00E05FA6"/>
    <w:rsid w:val="00E10CD8"/>
    <w:rsid w:val="00E1647C"/>
    <w:rsid w:val="00E20FB9"/>
    <w:rsid w:val="00E25474"/>
    <w:rsid w:val="00E32F93"/>
    <w:rsid w:val="00E37516"/>
    <w:rsid w:val="00E40B25"/>
    <w:rsid w:val="00E42A61"/>
    <w:rsid w:val="00E47F28"/>
    <w:rsid w:val="00E51BD9"/>
    <w:rsid w:val="00E54B2B"/>
    <w:rsid w:val="00E56A45"/>
    <w:rsid w:val="00E57CEC"/>
    <w:rsid w:val="00E615F0"/>
    <w:rsid w:val="00E634F4"/>
    <w:rsid w:val="00E637A7"/>
    <w:rsid w:val="00E663F1"/>
    <w:rsid w:val="00E721D1"/>
    <w:rsid w:val="00E72CBE"/>
    <w:rsid w:val="00E7522A"/>
    <w:rsid w:val="00E75FCA"/>
    <w:rsid w:val="00E774E2"/>
    <w:rsid w:val="00E803E9"/>
    <w:rsid w:val="00E90E1C"/>
    <w:rsid w:val="00E95766"/>
    <w:rsid w:val="00E95F37"/>
    <w:rsid w:val="00EA1943"/>
    <w:rsid w:val="00EA3594"/>
    <w:rsid w:val="00EA7FB0"/>
    <w:rsid w:val="00EB4BAD"/>
    <w:rsid w:val="00EB7E08"/>
    <w:rsid w:val="00ED47B4"/>
    <w:rsid w:val="00EE4DFE"/>
    <w:rsid w:val="00EE6F14"/>
    <w:rsid w:val="00EF0EDF"/>
    <w:rsid w:val="00EF2DD4"/>
    <w:rsid w:val="00EF3F23"/>
    <w:rsid w:val="00EF5EBC"/>
    <w:rsid w:val="00F05A49"/>
    <w:rsid w:val="00F162D4"/>
    <w:rsid w:val="00F33262"/>
    <w:rsid w:val="00F4010B"/>
    <w:rsid w:val="00F4430E"/>
    <w:rsid w:val="00F451D8"/>
    <w:rsid w:val="00F4702C"/>
    <w:rsid w:val="00F47F1C"/>
    <w:rsid w:val="00F505B8"/>
    <w:rsid w:val="00F53397"/>
    <w:rsid w:val="00F625FE"/>
    <w:rsid w:val="00F634F6"/>
    <w:rsid w:val="00F6447A"/>
    <w:rsid w:val="00F649E5"/>
    <w:rsid w:val="00F82603"/>
    <w:rsid w:val="00F87B07"/>
    <w:rsid w:val="00F92D4F"/>
    <w:rsid w:val="00F934BC"/>
    <w:rsid w:val="00F94880"/>
    <w:rsid w:val="00FA09F2"/>
    <w:rsid w:val="00FA1B6A"/>
    <w:rsid w:val="00FB0D65"/>
    <w:rsid w:val="00FB1EA0"/>
    <w:rsid w:val="00FB5FFF"/>
    <w:rsid w:val="00FC1603"/>
    <w:rsid w:val="00FC2D8B"/>
    <w:rsid w:val="00FD2FF6"/>
    <w:rsid w:val="00FD3306"/>
    <w:rsid w:val="00FE22BA"/>
    <w:rsid w:val="00FE35D0"/>
    <w:rsid w:val="00FE57D8"/>
    <w:rsid w:val="00FF3D72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6103"/>
  <w15:chartTrackingRefBased/>
  <w15:docId w15:val="{E394460A-DC3D-41F1-AD06-0CBE0FF1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E"/>
    <w:pPr>
      <w:spacing w:before="120" w:after="24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7B4"/>
    <w:pPr>
      <w:keepNext/>
      <w:keepLines/>
      <w:spacing w:before="600" w:after="440"/>
      <w:outlineLvl w:val="0"/>
    </w:pPr>
    <w:rPr>
      <w:rFonts w:eastAsiaTheme="majorEastAsia" w:cstheme="majorBidi"/>
      <w:color w:val="430098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07B4"/>
    <w:pPr>
      <w:keepNext/>
      <w:keepLines/>
      <w:spacing w:before="480" w:after="360"/>
      <w:outlineLvl w:val="1"/>
    </w:pPr>
    <w:rPr>
      <w:rFonts w:eastAsiaTheme="majorEastAsia" w:cstheme="majorBidi"/>
      <w:color w:val="430098" w:themeColor="tex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07B4"/>
    <w:pPr>
      <w:keepNext/>
      <w:keepLines/>
      <w:spacing w:before="360"/>
      <w:outlineLvl w:val="2"/>
    </w:pPr>
    <w:rPr>
      <w:rFonts w:eastAsiaTheme="majorEastAsia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0D3DF9"/>
    <w:pPr>
      <w:keepNext/>
      <w:keepLines/>
      <w:spacing w:after="120"/>
      <w:outlineLvl w:val="3"/>
    </w:pPr>
    <w:rPr>
      <w:rFonts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C12CF1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0D3DF9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D3DF9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5A51A0"/>
    <w:pPr>
      <w:numPr>
        <w:numId w:val="6"/>
      </w:numPr>
      <w:contextualSpacing/>
    </w:pPr>
  </w:style>
  <w:style w:type="numbering" w:customStyle="1" w:styleId="Bullets">
    <w:name w:val="Bullets"/>
    <w:uiPriority w:val="99"/>
    <w:rsid w:val="000D3DF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07B4"/>
    <w:rPr>
      <w:rFonts w:asciiTheme="majorHAnsi" w:eastAsiaTheme="majorEastAsia" w:hAnsiTheme="majorHAnsi" w:cstheme="majorBidi"/>
      <w:color w:val="430098" w:themeColor="text2"/>
      <w:sz w:val="40"/>
      <w:szCs w:val="32"/>
    </w:rPr>
  </w:style>
  <w:style w:type="paragraph" w:styleId="ListNumber2">
    <w:name w:val="List Number 2"/>
    <w:basedOn w:val="Normal"/>
    <w:uiPriority w:val="99"/>
    <w:unhideWhenUsed/>
    <w:qFormat/>
    <w:rsid w:val="005A51A0"/>
    <w:pPr>
      <w:numPr>
        <w:ilvl w:val="1"/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3DF9"/>
    <w:rPr>
      <w:rFonts w:asciiTheme="majorHAnsi" w:eastAsiaTheme="majorEastAsia" w:hAnsiTheme="majorHAnsi" w:cstheme="majorBidi"/>
      <w:color w:val="430098" w:themeColor="text2"/>
      <w:sz w:val="30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D00"/>
    <w:pPr>
      <w:tabs>
        <w:tab w:val="center" w:pos="4513"/>
        <w:tab w:val="right" w:pos="9026"/>
      </w:tabs>
      <w:spacing w:before="0"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83D0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5141E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1E8"/>
    <w:rPr>
      <w:sz w:val="18"/>
    </w:rPr>
  </w:style>
  <w:style w:type="numbering" w:customStyle="1" w:styleId="Numbering">
    <w:name w:val="Numbering"/>
    <w:uiPriority w:val="99"/>
    <w:rsid w:val="005A51A0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0D3DF9"/>
    <w:pPr>
      <w:numPr>
        <w:ilvl w:val="2"/>
        <w:numId w:val="5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5A51A0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5A51A0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99"/>
    <w:unhideWhenUsed/>
    <w:rsid w:val="005A51A0"/>
    <w:pPr>
      <w:numPr>
        <w:ilvl w:val="4"/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3DF9"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3DF9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7B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281560"/>
    <w:pPr>
      <w:spacing w:after="360" w:line="228" w:lineRule="auto"/>
      <w:ind w:right="1701"/>
      <w:contextualSpacing/>
      <w:outlineLvl w:val="0"/>
    </w:pPr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560"/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paragraph" w:customStyle="1" w:styleId="Breakoutbox">
    <w:name w:val="Break out box"/>
    <w:basedOn w:val="Normal"/>
    <w:link w:val="BreakoutboxChar"/>
    <w:semiHidden/>
    <w:qFormat/>
    <w:rsid w:val="00166F43"/>
    <w:pPr>
      <w:pBdr>
        <w:top w:val="single" w:sz="4" w:space="20" w:color="F5F5F5"/>
        <w:left w:val="single" w:sz="4" w:space="20" w:color="F5F5F5"/>
        <w:bottom w:val="single" w:sz="4" w:space="20" w:color="F5F5F5"/>
        <w:right w:val="single" w:sz="4" w:space="20" w:color="F5F5F5"/>
      </w:pBdr>
      <w:shd w:val="clear" w:color="auto" w:fill="F5F5F5"/>
      <w:ind w:left="425" w:right="425"/>
    </w:pPr>
  </w:style>
  <w:style w:type="paragraph" w:customStyle="1" w:styleId="BreakoutboxHeading">
    <w:name w:val="Break out box Heading"/>
    <w:basedOn w:val="Breakoutbox"/>
    <w:next w:val="Breakoutbox"/>
    <w:link w:val="BreakoutboxHeadingChar"/>
    <w:semiHidden/>
    <w:qFormat/>
    <w:rsid w:val="004B609E"/>
    <w:rPr>
      <w:b/>
    </w:rPr>
  </w:style>
  <w:style w:type="character" w:customStyle="1" w:styleId="BreakoutboxChar">
    <w:name w:val="Break out box Char"/>
    <w:basedOn w:val="DefaultParagraphFont"/>
    <w:link w:val="Breakoutbox"/>
    <w:semiHidden/>
    <w:rsid w:val="00166F43"/>
    <w:rPr>
      <w:shd w:val="clear" w:color="auto" w:fill="F5F5F5"/>
    </w:rPr>
  </w:style>
  <w:style w:type="character" w:customStyle="1" w:styleId="BreakoutboxHeadingChar">
    <w:name w:val="Break out box Heading Char"/>
    <w:basedOn w:val="BreakoutboxChar"/>
    <w:link w:val="BreakoutboxHeading"/>
    <w:semiHidden/>
    <w:rsid w:val="0050670B"/>
    <w:rPr>
      <w:b/>
      <w:color w:val="FFFFFF" w:themeColor="background1"/>
      <w:sz w:val="20"/>
      <w:shd w:val="clear" w:color="auto" w:fill="430098" w:themeFill="text2"/>
    </w:rPr>
  </w:style>
  <w:style w:type="character" w:customStyle="1" w:styleId="NormalBoldChar">
    <w:name w:val="Normal Bold Char"/>
    <w:basedOn w:val="DefaultParagraphFont"/>
    <w:link w:val="NormalBold"/>
    <w:rsid w:val="002F07B4"/>
    <w:rPr>
      <w:b/>
    </w:rPr>
  </w:style>
  <w:style w:type="character" w:styleId="Strong">
    <w:name w:val="Strong"/>
    <w:basedOn w:val="DefaultParagraphFont"/>
    <w:uiPriority w:val="22"/>
    <w:qFormat/>
    <w:rsid w:val="000016E9"/>
    <w:rPr>
      <w:b/>
      <w:bCs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Charttitles"/>
    <w:next w:val="Normal"/>
    <w:uiPriority w:val="35"/>
    <w:unhideWhenUsed/>
    <w:qFormat/>
    <w:rsid w:val="004D1958"/>
  </w:style>
  <w:style w:type="paragraph" w:styleId="List">
    <w:name w:val="List"/>
    <w:basedOn w:val="Normal"/>
    <w:uiPriority w:val="99"/>
    <w:unhideWhenUsed/>
    <w:qFormat/>
    <w:rsid w:val="00A20BA0"/>
    <w:pPr>
      <w:numPr>
        <w:numId w:val="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A20BA0"/>
    <w:pPr>
      <w:numPr>
        <w:ilvl w:val="1"/>
        <w:numId w:val="7"/>
      </w:numPr>
      <w:contextualSpacing/>
    </w:pPr>
  </w:style>
  <w:style w:type="numbering" w:customStyle="1" w:styleId="LetteredList">
    <w:name w:val="Lettered List"/>
    <w:uiPriority w:val="99"/>
    <w:rsid w:val="00A20BA0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rsid w:val="00CF551D"/>
    <w:pPr>
      <w:numPr>
        <w:ilvl w:val="1"/>
      </w:numPr>
      <w:spacing w:after="0" w:line="228" w:lineRule="auto"/>
      <w:ind w:right="1701"/>
    </w:pPr>
    <w:rPr>
      <w:rFonts w:eastAsiaTheme="minorEastAsia"/>
      <w:color w:val="430098" w:themeColor="text2"/>
      <w:spacing w:val="-4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F551D"/>
    <w:rPr>
      <w:rFonts w:eastAsiaTheme="minorEastAsia"/>
      <w:color w:val="430098" w:themeColor="text2"/>
      <w:spacing w:val="-4"/>
      <w:sz w:val="30"/>
    </w:rPr>
  </w:style>
  <w:style w:type="paragraph" w:styleId="TOCHeading">
    <w:name w:val="TOC Heading"/>
    <w:basedOn w:val="Heading1"/>
    <w:next w:val="Normal"/>
    <w:uiPriority w:val="39"/>
    <w:qFormat/>
    <w:rsid w:val="006A3CC0"/>
    <w:pPr>
      <w:spacing w:line="259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00AF5"/>
    <w:pPr>
      <w:spacing w:before="160" w:after="100"/>
    </w:pPr>
    <w:rPr>
      <w:color w:val="430098" w:themeColor="text2"/>
      <w:sz w:val="24"/>
    </w:rPr>
  </w:style>
  <w:style w:type="paragraph" w:styleId="TOC2">
    <w:name w:val="toc 2"/>
    <w:basedOn w:val="Normal"/>
    <w:next w:val="Normal"/>
    <w:autoRedefine/>
    <w:uiPriority w:val="39"/>
    <w:rsid w:val="006A3CC0"/>
    <w:pPr>
      <w:tabs>
        <w:tab w:val="right" w:leader="dot" w:pos="9288"/>
      </w:tabs>
      <w:spacing w:before="160" w:after="100"/>
    </w:pPr>
    <w:rPr>
      <w:color w:val="430098" w:themeColor="text2"/>
    </w:rPr>
  </w:style>
  <w:style w:type="paragraph" w:styleId="TOC3">
    <w:name w:val="toc 3"/>
    <w:basedOn w:val="Normal"/>
    <w:next w:val="Normal"/>
    <w:autoRedefine/>
    <w:uiPriority w:val="39"/>
    <w:rsid w:val="00700AF5"/>
    <w:pPr>
      <w:tabs>
        <w:tab w:val="right" w:leader="dot" w:pos="9628"/>
      </w:tabs>
      <w:spacing w:after="100"/>
      <w:ind w:left="284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link w:val="NormalBoldChar"/>
    <w:qFormat/>
    <w:rsid w:val="002F07B4"/>
    <w:pPr>
      <w:spacing w:after="120"/>
    </w:pPr>
    <w:rPr>
      <w:b/>
    </w:rPr>
  </w:style>
  <w:style w:type="paragraph" w:customStyle="1" w:styleId="Footer-logolockup">
    <w:name w:val="Footer-logo lockup"/>
    <w:basedOn w:val="Footer"/>
    <w:rsid w:val="00FB1EA0"/>
    <w:pPr>
      <w:framePr w:w="2268" w:h="1588" w:hRule="exact" w:wrap="around" w:vAnchor="page" w:hAnchor="margin" w:x="1815" w:yAlign="bottom" w:anchorLock="1"/>
      <w:spacing w:before="0"/>
    </w:pPr>
    <w:rPr>
      <w:color w:val="430098" w:themeColor="text2"/>
      <w:spacing w:val="-4"/>
      <w:sz w:val="13"/>
    </w:rPr>
  </w:style>
  <w:style w:type="paragraph" w:customStyle="1" w:styleId="Footer-Right">
    <w:name w:val="Footer-Right"/>
    <w:basedOn w:val="Footer"/>
    <w:rsid w:val="00E56A45"/>
    <w:pPr>
      <w:jc w:val="right"/>
    </w:pPr>
  </w:style>
  <w:style w:type="paragraph" w:customStyle="1" w:styleId="Footer-Rightframe">
    <w:name w:val="Footer-Right frame"/>
    <w:basedOn w:val="Footer-Right"/>
    <w:rsid w:val="003A265C"/>
    <w:pPr>
      <w:framePr w:wrap="around" w:vAnchor="page" w:hAnchor="margin" w:xAlign="right" w:yAlign="bottom" w:anchorLock="1"/>
      <w:spacing w:after="1080"/>
      <w:ind w:right="28"/>
    </w:pPr>
    <w:rPr>
      <w:color w:val="430098" w:themeColor="tex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747C"/>
    <w:rPr>
      <w:color w:val="605E5C"/>
      <w:shd w:val="clear" w:color="auto" w:fill="E1DFDD"/>
    </w:rPr>
  </w:style>
  <w:style w:type="paragraph" w:customStyle="1" w:styleId="Streamselection">
    <w:name w:val="Stream selection"/>
    <w:basedOn w:val="Normal"/>
    <w:link w:val="StreamselectionChar"/>
    <w:rsid w:val="004843D5"/>
    <w:pPr>
      <w:spacing w:before="0" w:after="0" w:line="240" w:lineRule="auto"/>
      <w:jc w:val="center"/>
    </w:pPr>
    <w:rPr>
      <w:b/>
      <w:caps/>
      <w:color w:val="430098" w:themeColor="text2"/>
      <w:spacing w:val="-4"/>
      <w:sz w:val="18"/>
    </w:rPr>
  </w:style>
  <w:style w:type="paragraph" w:customStyle="1" w:styleId="BackcoverURL">
    <w:name w:val="Back cover URL"/>
    <w:basedOn w:val="Normal"/>
    <w:rsid w:val="00990D47"/>
    <w:pPr>
      <w:spacing w:before="0"/>
      <w:jc w:val="center"/>
    </w:pPr>
    <w:rPr>
      <w:noProof/>
      <w:color w:val="430098" w:themeColor="text2"/>
      <w:sz w:val="18"/>
    </w:rPr>
  </w:style>
  <w:style w:type="character" w:customStyle="1" w:styleId="StreamselectionChar">
    <w:name w:val="Stream selection Char"/>
    <w:basedOn w:val="DefaultParagraphFont"/>
    <w:link w:val="Streamselection"/>
    <w:rsid w:val="004843D5"/>
    <w:rPr>
      <w:b/>
      <w:caps/>
      <w:color w:val="430098" w:themeColor="text2"/>
      <w:spacing w:val="-4"/>
      <w:sz w:val="18"/>
    </w:rPr>
  </w:style>
  <w:style w:type="paragraph" w:customStyle="1" w:styleId="Tabletext">
    <w:name w:val="Table text"/>
    <w:basedOn w:val="Normal"/>
    <w:qFormat/>
    <w:rsid w:val="0056214A"/>
    <w:pPr>
      <w:spacing w:after="160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FF3D72"/>
    <w:pPr>
      <w:pBdr>
        <w:left w:val="single" w:sz="36" w:space="14" w:color="A489C7"/>
      </w:pBdr>
      <w:spacing w:before="200" w:after="0"/>
      <w:ind w:left="397" w:right="1134"/>
    </w:pPr>
    <w:rPr>
      <w:i/>
      <w:iCs/>
      <w:color w:val="430098" w:themeColor="text2"/>
    </w:rPr>
  </w:style>
  <w:style w:type="table" w:customStyle="1" w:styleId="OVICDefaulttable">
    <w:name w:val="OVIC Default table"/>
    <w:basedOn w:val="TableNormal"/>
    <w:uiPriority w:val="99"/>
    <w:rsid w:val="00467EA8"/>
    <w:pPr>
      <w:spacing w:after="0" w:line="240" w:lineRule="auto"/>
    </w:pPr>
    <w:rPr>
      <w:rFonts w:asciiTheme="majorHAnsi" w:hAnsiTheme="majorHAnsi"/>
      <w:sz w:val="18"/>
    </w:r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D9D9D9" w:themeColor="background1" w:themeShade="D9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rPr>
        <w:rFonts w:asciiTheme="minorHAnsi" w:hAnsiTheme="minorHAnsi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band2Vert">
      <w:tblPr/>
      <w:tcPr>
        <w:shd w:val="clear" w:color="auto" w:fill="F5F5F5"/>
      </w:tcPr>
    </w:tblStylePr>
  </w:style>
  <w:style w:type="paragraph" w:customStyle="1" w:styleId="ProtectiveMarking">
    <w:name w:val="Protective Marking"/>
    <w:basedOn w:val="Normal"/>
    <w:rsid w:val="007C2EB8"/>
    <w:pPr>
      <w:framePr w:wrap="around" w:vAnchor="page" w:hAnchor="page" w:xAlign="center" w:y="568" w:anchorLock="1"/>
    </w:pPr>
    <w:rPr>
      <w:b/>
      <w:caps/>
      <w:color w:val="FF0000"/>
      <w:sz w:val="25"/>
    </w:rPr>
  </w:style>
  <w:style w:type="paragraph" w:customStyle="1" w:styleId="Streamselectionholder">
    <w:name w:val="Stream selection holder"/>
    <w:basedOn w:val="Normal"/>
    <w:rsid w:val="004843D5"/>
    <w:pPr>
      <w:spacing w:before="0" w:after="160" w:line="259" w:lineRule="auto"/>
    </w:pPr>
    <w:rPr>
      <w:b/>
      <w:caps/>
      <w:color w:val="430098" w:themeColor="text2"/>
      <w:sz w:val="18"/>
    </w:rPr>
  </w:style>
  <w:style w:type="paragraph" w:customStyle="1" w:styleId="Charttitles">
    <w:name w:val="Chart titles"/>
    <w:basedOn w:val="Normal"/>
    <w:uiPriority w:val="7"/>
    <w:qFormat/>
    <w:rsid w:val="0034139E"/>
    <w:pPr>
      <w:spacing w:before="480" w:after="360" w:line="240" w:lineRule="auto"/>
      <w:ind w:right="941"/>
    </w:pPr>
    <w:rPr>
      <w:rFonts w:eastAsia="Times New Roman" w:cstheme="minorHAnsi"/>
      <w:color w:val="430098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F3D72"/>
    <w:rPr>
      <w:i/>
      <w:iCs/>
      <w:color w:val="430098" w:themeColor="text2"/>
    </w:rPr>
  </w:style>
  <w:style w:type="paragraph" w:customStyle="1" w:styleId="TitlepageHeading1">
    <w:name w:val="Title page Heading 1"/>
    <w:basedOn w:val="Heading1"/>
    <w:rsid w:val="00A60DA0"/>
    <w:pPr>
      <w:spacing w:before="0"/>
      <w:outlineLvl w:val="1"/>
    </w:pPr>
  </w:style>
  <w:style w:type="paragraph" w:customStyle="1" w:styleId="ListContinue6">
    <w:name w:val="List Continue 6"/>
    <w:basedOn w:val="ListContinue5"/>
    <w:uiPriority w:val="99"/>
    <w:qFormat/>
    <w:rsid w:val="005A51A0"/>
    <w:pPr>
      <w:ind w:left="1701"/>
    </w:pPr>
  </w:style>
  <w:style w:type="paragraph" w:customStyle="1" w:styleId="Agencyinformation">
    <w:name w:val="Agency information"/>
    <w:rsid w:val="003126A4"/>
    <w:pPr>
      <w:pBdr>
        <w:bottom w:val="single" w:sz="8" w:space="20" w:color="430098" w:themeColor="text2"/>
      </w:pBdr>
      <w:spacing w:before="120" w:line="240" w:lineRule="auto"/>
    </w:pPr>
    <w:rPr>
      <w:b/>
      <w:caps/>
      <w:color w:val="430098" w:themeColor="text2"/>
      <w:sz w:val="28"/>
    </w:rPr>
  </w:style>
  <w:style w:type="paragraph" w:customStyle="1" w:styleId="Toggle">
    <w:name w:val="Toggle"/>
    <w:basedOn w:val="Agencyinformation"/>
    <w:qFormat/>
    <w:rsid w:val="00E75FCA"/>
    <w:pPr>
      <w:pBdr>
        <w:bottom w:val="none" w:sz="0" w:space="0" w:color="auto"/>
      </w:pBdr>
      <w:spacing w:before="0" w:after="0"/>
      <w:outlineLvl w:val="0"/>
    </w:pPr>
    <w:rPr>
      <w:caps w:val="0"/>
      <w:color w:val="FFFFFF" w:themeColor="background1"/>
      <w:sz w:val="16"/>
    </w:rPr>
  </w:style>
  <w:style w:type="paragraph" w:customStyle="1" w:styleId="Togglenote">
    <w:name w:val="Toggle note"/>
    <w:basedOn w:val="Toggle"/>
    <w:rsid w:val="00110345"/>
    <w:pPr>
      <w:framePr w:w="680" w:wrap="around" w:vAnchor="text" w:hAnchor="page" w:x="285" w:y="-1020" w:anchorLock="1"/>
      <w:spacing w:line="228" w:lineRule="auto"/>
      <w:outlineLvl w:val="9"/>
    </w:pPr>
    <w:rPr>
      <w:b w:val="0"/>
      <w:vanish/>
      <w:color w:val="EA3AB0" w:themeColor="accent2"/>
      <w:sz w:val="14"/>
    </w:rPr>
  </w:style>
  <w:style w:type="table" w:customStyle="1" w:styleId="OVICFooter">
    <w:name w:val="OVIC Footer"/>
    <w:basedOn w:val="TableNormal"/>
    <w:uiPriority w:val="99"/>
    <w:rsid w:val="009B2231"/>
    <w:pPr>
      <w:spacing w:after="0" w:line="240" w:lineRule="auto"/>
    </w:pPr>
    <w:tblPr>
      <w:tblBorders>
        <w:top w:val="single" w:sz="8" w:space="0" w:color="430098" w:themeColor="text2"/>
      </w:tblBorders>
      <w:tblCellMar>
        <w:top w:w="340" w:type="dxa"/>
        <w:left w:w="0" w:type="dxa"/>
        <w:bottom w:w="680" w:type="dxa"/>
      </w:tblCellMar>
    </w:tblPr>
    <w:tcPr>
      <w:vAlign w:val="bottom"/>
    </w:tcPr>
  </w:style>
  <w:style w:type="paragraph" w:customStyle="1" w:styleId="FooterToggle">
    <w:name w:val="Footer Toggle"/>
    <w:basedOn w:val="Normal"/>
    <w:link w:val="FooterToggleChar"/>
    <w:rsid w:val="00CA1FCA"/>
    <w:pPr>
      <w:spacing w:before="0" w:after="0" w:line="240" w:lineRule="auto"/>
    </w:pPr>
    <w:rPr>
      <w:b/>
      <w:color w:val="430098" w:themeColor="text2"/>
      <w:sz w:val="16"/>
    </w:rPr>
  </w:style>
  <w:style w:type="paragraph" w:customStyle="1" w:styleId="Footercovertoggleholder">
    <w:name w:val="Footer cover toggle holder"/>
    <w:basedOn w:val="Normal"/>
    <w:rsid w:val="00B3365C"/>
    <w:pPr>
      <w:framePr w:w="9299" w:wrap="around" w:vAnchor="page" w:hAnchor="margin" w:yAlign="bottom" w:anchorLock="1"/>
      <w:spacing w:before="0" w:after="160" w:line="259" w:lineRule="auto"/>
    </w:pPr>
  </w:style>
  <w:style w:type="paragraph" w:customStyle="1" w:styleId="FooterToggle-Disclaimer">
    <w:name w:val="Footer Toggle-Disclaimer"/>
    <w:basedOn w:val="FooterToggle"/>
    <w:rsid w:val="00D34FB0"/>
    <w:pPr>
      <w:spacing w:line="228" w:lineRule="auto"/>
      <w:ind w:right="1134"/>
    </w:pPr>
    <w:rPr>
      <w:b w:val="0"/>
      <w:color w:val="auto"/>
      <w:sz w:val="14"/>
    </w:rPr>
  </w:style>
  <w:style w:type="paragraph" w:customStyle="1" w:styleId="PageNumber-right">
    <w:name w:val="Page Number-right"/>
    <w:basedOn w:val="FooterToggle"/>
    <w:link w:val="PageNumber-rightChar"/>
    <w:rsid w:val="00A81CCD"/>
    <w:pPr>
      <w:framePr w:hSpace="181" w:wrap="around" w:vAnchor="page" w:hAnchor="margin" w:yAlign="bottom"/>
      <w:suppressOverlap/>
      <w:jc w:val="right"/>
    </w:pPr>
    <w:rPr>
      <w:b w:val="0"/>
      <w:bCs/>
    </w:rPr>
  </w:style>
  <w:style w:type="character" w:customStyle="1" w:styleId="FooterToggleChar">
    <w:name w:val="Footer Toggle Char"/>
    <w:basedOn w:val="DefaultParagraphFont"/>
    <w:link w:val="FooterToggle"/>
    <w:rsid w:val="00A81CCD"/>
    <w:rPr>
      <w:b/>
      <w:color w:val="430098" w:themeColor="text2"/>
      <w:sz w:val="16"/>
    </w:rPr>
  </w:style>
  <w:style w:type="character" w:customStyle="1" w:styleId="PageNumber-rightChar">
    <w:name w:val="Page Number-right Char"/>
    <w:basedOn w:val="FooterToggleChar"/>
    <w:link w:val="PageNumber-right"/>
    <w:rsid w:val="00A81CCD"/>
    <w:rPr>
      <w:b w:val="0"/>
      <w:bCs/>
      <w:color w:val="430098" w:themeColor="text2"/>
      <w:sz w:val="16"/>
    </w:rPr>
  </w:style>
  <w:style w:type="character" w:styleId="CommentReference">
    <w:name w:val="annotation reference"/>
    <w:basedOn w:val="DefaultParagraphFont"/>
    <w:uiPriority w:val="99"/>
    <w:unhideWhenUsed/>
    <w:rsid w:val="00BF379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C5DAA"/>
    <w:pPr>
      <w:spacing w:before="0" w:after="120" w:line="240" w:lineRule="auto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DAA"/>
    <w:rPr>
      <w:rFonts w:asciiTheme="majorHAnsi" w:hAnsiTheme="majorHAns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DAA"/>
    <w:rPr>
      <w:vertAlign w:val="superscript"/>
    </w:rPr>
  </w:style>
  <w:style w:type="paragraph" w:customStyle="1" w:styleId="Body">
    <w:name w:val="Body"/>
    <w:basedOn w:val="Normal"/>
    <w:qFormat/>
    <w:rsid w:val="00E803E9"/>
    <w:pPr>
      <w:widowControl w:val="0"/>
      <w:suppressAutoHyphens/>
      <w:autoSpaceDE w:val="0"/>
      <w:autoSpaceDN w:val="0"/>
      <w:adjustRightInd w:val="0"/>
      <w:spacing w:before="0" w:line="240" w:lineRule="auto"/>
      <w:textAlignment w:val="center"/>
    </w:pPr>
    <w:rPr>
      <w:rFonts w:ascii="Calibri" w:eastAsia="Calibri" w:hAnsi="Calibri" w:cs="PostGrotesk-Book"/>
      <w:color w:val="55565A"/>
      <w:lang w:val="en-GB"/>
    </w:rPr>
  </w:style>
  <w:style w:type="character" w:styleId="Emphasis">
    <w:name w:val="Emphasis"/>
    <w:basedOn w:val="DefaultParagraphFont"/>
    <w:uiPriority w:val="20"/>
    <w:qFormat/>
    <w:rsid w:val="00E803E9"/>
    <w:rPr>
      <w:i/>
      <w:iCs/>
    </w:rPr>
  </w:style>
  <w:style w:type="paragraph" w:customStyle="1" w:styleId="SectionHeading1">
    <w:name w:val="Section Heading 1"/>
    <w:basedOn w:val="Normal"/>
    <w:qFormat/>
    <w:rsid w:val="00F4430E"/>
    <w:pPr>
      <w:widowControl w:val="0"/>
      <w:suppressAutoHyphens/>
      <w:autoSpaceDE w:val="0"/>
      <w:autoSpaceDN w:val="0"/>
      <w:adjustRightInd w:val="0"/>
      <w:spacing w:before="0" w:after="120" w:line="288" w:lineRule="auto"/>
      <w:textAlignment w:val="center"/>
    </w:pPr>
    <w:rPr>
      <w:rFonts w:ascii="Calibri" w:eastAsia="Calibri" w:hAnsi="Calibri" w:cs="PostGrotesk-Medium"/>
      <w:color w:val="430098"/>
      <w:sz w:val="28"/>
      <w:szCs w:val="28"/>
      <w:lang w:val="en-GB"/>
    </w:rPr>
  </w:style>
  <w:style w:type="paragraph" w:customStyle="1" w:styleId="BodyCopy">
    <w:name w:val="Body Copy"/>
    <w:basedOn w:val="Normal"/>
    <w:uiPriority w:val="99"/>
    <w:qFormat/>
    <w:rsid w:val="00A6671C"/>
    <w:pPr>
      <w:widowControl w:val="0"/>
      <w:suppressAutoHyphens/>
      <w:autoSpaceDE w:val="0"/>
      <w:autoSpaceDN w:val="0"/>
      <w:adjustRightInd w:val="0"/>
      <w:spacing w:after="200"/>
      <w:textAlignment w:val="center"/>
    </w:pPr>
    <w:rPr>
      <w:rFonts w:asciiTheme="minorHAnsi" w:eastAsia="Times New Roman" w:hAnsiTheme="minorHAnsi" w:cs="National-Book"/>
      <w:color w:val="55565A"/>
      <w:lang w:val="en-US"/>
    </w:rPr>
  </w:style>
  <w:style w:type="paragraph" w:customStyle="1" w:styleId="TableText0">
    <w:name w:val="Table Text"/>
    <w:basedOn w:val="NoSpacing"/>
    <w:qFormat/>
    <w:rsid w:val="0097704C"/>
  </w:style>
  <w:style w:type="paragraph" w:styleId="CommentText">
    <w:name w:val="annotation text"/>
    <w:basedOn w:val="Normal"/>
    <w:link w:val="CommentTextChar"/>
    <w:uiPriority w:val="99"/>
    <w:unhideWhenUsed/>
    <w:rsid w:val="00015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CA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A0"/>
    <w:rPr>
      <w:rFonts w:asciiTheme="majorHAnsi" w:hAnsiTheme="maj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16A9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E40B25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s://www.abc.net.au/news/2023-08-23/qld-charity-donors-dark-web-cyber-criminals-pareto-phone/102757194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ovic.vic.gov.au/data-protection/agency-reporting-obligations/incident-notification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ovic.vic.gov.au/information-security/security-insights/incident-insights-report-1-january-2023-30-june-2023/" TargetMode="External"/><Relationship Id="rId14" Type="http://schemas.openxmlformats.org/officeDocument/2006/relationships/hyperlink" Target="https://courts.vic.gov.au/news/court-services-victoria-cyber-incident" TargetMode="External"/><Relationship Id="rId22" Type="http://schemas.openxmlformats.org/officeDocument/2006/relationships/hyperlink" Target="mailto:security@ovic.vic.gov.au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vic.vic.gov.au/data-protection/victorian-protective-data-security-framework-business-impact-level-table-v2-1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Notifications by month</c:v>
                </c:pt>
              </c:strCache>
            </c:strRef>
          </c:tx>
          <c:spPr>
            <a:solidFill>
              <a:schemeClr val="accent1"/>
            </a:solidFill>
            <a:ln w="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Sheet1!$A$2:$A$13</c:f>
              <c:numCache>
                <c:formatCode>mmm\-yy</c:formatCode>
                <c:ptCount val="12"/>
                <c:pt idx="0">
                  <c:v>45108</c:v>
                </c:pt>
                <c:pt idx="1">
                  <c:v>45139</c:v>
                </c:pt>
                <c:pt idx="2">
                  <c:v>45170</c:v>
                </c:pt>
                <c:pt idx="3">
                  <c:v>45200</c:v>
                </c:pt>
                <c:pt idx="4">
                  <c:v>45231</c:v>
                </c:pt>
                <c:pt idx="5">
                  <c:v>45261</c:v>
                </c:pt>
                <c:pt idx="6">
                  <c:v>45292</c:v>
                </c:pt>
                <c:pt idx="7">
                  <c:v>45323</c:v>
                </c:pt>
                <c:pt idx="8">
                  <c:v>45352</c:v>
                </c:pt>
                <c:pt idx="9">
                  <c:v>45383</c:v>
                </c:pt>
                <c:pt idx="10">
                  <c:v>45413</c:v>
                </c:pt>
                <c:pt idx="11">
                  <c:v>45444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37</c:v>
                </c:pt>
                <c:pt idx="1">
                  <c:v>64</c:v>
                </c:pt>
                <c:pt idx="2">
                  <c:v>46</c:v>
                </c:pt>
                <c:pt idx="3">
                  <c:v>124</c:v>
                </c:pt>
                <c:pt idx="4">
                  <c:v>47</c:v>
                </c:pt>
                <c:pt idx="5">
                  <c:v>24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C5-614C-83F3-13D43294A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1982757695"/>
        <c:axId val="1982734223"/>
      </c:barChart>
      <c:dateAx>
        <c:axId val="1982757695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2734223"/>
        <c:crosses val="autoZero"/>
        <c:auto val="1"/>
        <c:lblOffset val="100"/>
        <c:baseTimeUnit val="months"/>
      </c:dateAx>
      <c:valAx>
        <c:axId val="1982734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2757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Notifications by Portfolio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Government Services</c:v>
                </c:pt>
                <c:pt idx="1">
                  <c:v>Treasury and Finance</c:v>
                </c:pt>
                <c:pt idx="2">
                  <c:v>Premier and Cabinet</c:v>
                </c:pt>
                <c:pt idx="3">
                  <c:v>Justice and Community Safety</c:v>
                </c:pt>
                <c:pt idx="4">
                  <c:v>Health</c:v>
                </c:pt>
                <c:pt idx="5">
                  <c:v>Families, Fairness and Housing</c:v>
                </c:pt>
                <c:pt idx="6">
                  <c:v>Energy, Environment, and Climate Action</c:v>
                </c:pt>
                <c:pt idx="7">
                  <c:v>Transport and Planning</c:v>
                </c:pt>
                <c:pt idx="8">
                  <c:v>Job, Skills, Industry and Regions</c:v>
                </c:pt>
                <c:pt idx="9">
                  <c:v>Education</c:v>
                </c:pt>
                <c:pt idx="10">
                  <c:v>Local Government</c:v>
                </c:pt>
                <c:pt idx="11">
                  <c:v>Other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98</c:v>
                </c:pt>
                <c:pt idx="4">
                  <c:v>27</c:v>
                </c:pt>
                <c:pt idx="5">
                  <c:v>20</c:v>
                </c:pt>
                <c:pt idx="6">
                  <c:v>22</c:v>
                </c:pt>
                <c:pt idx="7">
                  <c:v>123</c:v>
                </c:pt>
                <c:pt idx="8">
                  <c:v>6</c:v>
                </c:pt>
                <c:pt idx="9">
                  <c:v>2</c:v>
                </c:pt>
                <c:pt idx="10">
                  <c:v>30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0-FA44-A111-440D2BF87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1981913455"/>
        <c:axId val="1981915167"/>
      </c:barChart>
      <c:catAx>
        <c:axId val="1981913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1915167"/>
        <c:crosses val="autoZero"/>
        <c:auto val="1"/>
        <c:lblAlgn val="ctr"/>
        <c:lblOffset val="100"/>
        <c:noMultiLvlLbl val="0"/>
      </c:catAx>
      <c:valAx>
        <c:axId val="1981915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1913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61029579005511E-4"/>
          <c:y val="7.1396882638434619E-2"/>
          <c:w val="0.4692189886167944"/>
          <c:h val="0.8920559746977236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Respondent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47-0146-88FA-4A9F28C980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EC-2E4E-BBC9-2920DEDFF9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A47-0146-88FA-4A9F28C9807B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0A47-0146-88FA-4A9F28C980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Hard Copy</c:v>
                </c:pt>
                <c:pt idx="1">
                  <c:v>Electronic</c:v>
                </c:pt>
                <c:pt idx="2">
                  <c:v>Verbal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80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47-0146-88FA-4A9F28C980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163841498979295"/>
          <c:y val="0.32021684789401322"/>
          <c:w val="0.19225047389909594"/>
          <c:h val="0.280201224846894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Respondent #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Personal</c:v>
                </c:pt>
                <c:pt idx="1">
                  <c:v>Financial</c:v>
                </c:pt>
                <c:pt idx="2">
                  <c:v>Legal</c:v>
                </c:pt>
                <c:pt idx="3">
                  <c:v>Health</c:v>
                </c:pt>
                <c:pt idx="4">
                  <c:v>Policy</c:v>
                </c:pt>
                <c:pt idx="5">
                  <c:v>Operational</c:v>
                </c:pt>
                <c:pt idx="6">
                  <c:v>Critical Infrastructure</c:v>
                </c:pt>
                <c:pt idx="7">
                  <c:v>Law Enforcement</c:v>
                </c:pt>
                <c:pt idx="8">
                  <c:v>Crime Statistics Data</c:v>
                </c:pt>
                <c:pt idx="9">
                  <c:v>Other</c:v>
                </c:pt>
                <c:pt idx="10">
                  <c:v>Unknown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322</c:v>
                </c:pt>
                <c:pt idx="1">
                  <c:v>16</c:v>
                </c:pt>
                <c:pt idx="2">
                  <c:v>11</c:v>
                </c:pt>
                <c:pt idx="3">
                  <c:v>41</c:v>
                </c:pt>
                <c:pt idx="4">
                  <c:v>0</c:v>
                </c:pt>
                <c:pt idx="5">
                  <c:v>14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11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6-1A4B-8203-16FD7FBE29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917562768"/>
        <c:axId val="917564480"/>
      </c:barChart>
      <c:catAx>
        <c:axId val="91756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564480"/>
        <c:crosses val="autoZero"/>
        <c:auto val="1"/>
        <c:lblAlgn val="ctr"/>
        <c:lblOffset val="100"/>
        <c:noMultiLvlLbl val="0"/>
      </c:catAx>
      <c:valAx>
        <c:axId val="91756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56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17089530475428E-4"/>
          <c:y val="4.3650793650793648E-2"/>
          <c:w val="0.53240740740740744"/>
          <c:h val="0.9126984126984126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DA-A846-B6DC-305A27EEEB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DA-A846-B6DC-305A27EEEB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C25-D841-ABF1-933779127F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25-D841-ABF1-933779127FF3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0C25-D841-ABF1-933779127FF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C25-D841-ABF1-933779127F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Minor</c:v>
                </c:pt>
                <c:pt idx="1">
                  <c:v>Limited</c:v>
                </c:pt>
                <c:pt idx="2">
                  <c:v>Major</c:v>
                </c:pt>
                <c:pt idx="3">
                  <c:v>Serious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89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25-D841-ABF1-933779127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302730387868179"/>
          <c:y val="0.32245844269466317"/>
          <c:w val="0.15789862204724409"/>
          <c:h val="0.35905136857892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Confidentiality</c:v>
                </c:pt>
                <c:pt idx="1">
                  <c:v>Integrity</c:v>
                </c:pt>
                <c:pt idx="2">
                  <c:v>Availability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326</c:v>
                </c:pt>
                <c:pt idx="1">
                  <c:v>30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C-684F-8B01-20DB53F34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917686288"/>
        <c:axId val="917689072"/>
      </c:barChart>
      <c:catAx>
        <c:axId val="91768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689072"/>
        <c:crosses val="autoZero"/>
        <c:auto val="1"/>
        <c:lblAlgn val="ctr"/>
        <c:lblOffset val="100"/>
        <c:noMultiLvlLbl val="0"/>
      </c:catAx>
      <c:valAx>
        <c:axId val="91768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68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Respondent  #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People</c:v>
                </c:pt>
                <c:pt idx="1">
                  <c:v>Process</c:v>
                </c:pt>
                <c:pt idx="2">
                  <c:v>Technology</c:v>
                </c:pt>
                <c:pt idx="3">
                  <c:v>No control in place</c:v>
                </c:pt>
                <c:pt idx="4">
                  <c:v>Unknown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315</c:v>
                </c:pt>
                <c:pt idx="1">
                  <c:v>86</c:v>
                </c:pt>
                <c:pt idx="2">
                  <c:v>27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C6-C845-AA6B-02D639FFB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917621152"/>
        <c:axId val="917763344"/>
      </c:barChart>
      <c:catAx>
        <c:axId val="91762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763344"/>
        <c:crosses val="autoZero"/>
        <c:auto val="1"/>
        <c:lblAlgn val="ctr"/>
        <c:lblOffset val="100"/>
        <c:noMultiLvlLbl val="0"/>
      </c:catAx>
      <c:valAx>
        <c:axId val="91776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62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Respondent  #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Internal</c:v>
                </c:pt>
                <c:pt idx="1">
                  <c:v>Authorised third party</c:v>
                </c:pt>
                <c:pt idx="2">
                  <c:v>Other External</c:v>
                </c:pt>
                <c:pt idx="3">
                  <c:v>Other / Unknown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286</c:v>
                </c:pt>
                <c:pt idx="1">
                  <c:v>30</c:v>
                </c:pt>
                <c:pt idx="2">
                  <c:v>20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9-EA44-8F3B-70978BE50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917883872"/>
        <c:axId val="917885584"/>
      </c:barChart>
      <c:catAx>
        <c:axId val="91788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885584"/>
        <c:crosses val="autoZero"/>
        <c:auto val="1"/>
        <c:lblAlgn val="ctr"/>
        <c:lblOffset val="100"/>
        <c:noMultiLvlLbl val="0"/>
      </c:catAx>
      <c:valAx>
        <c:axId val="91788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88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Respondent #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Accidental / Error</c:v>
                </c:pt>
                <c:pt idx="1">
                  <c:v>Intentional / Malicious</c:v>
                </c:pt>
                <c:pt idx="2">
                  <c:v>Natural</c:v>
                </c:pt>
                <c:pt idx="3">
                  <c:v>Failure</c:v>
                </c:pt>
                <c:pt idx="4">
                  <c:v>Unknown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288</c:v>
                </c:pt>
                <c:pt idx="1">
                  <c:v>36</c:v>
                </c:pt>
                <c:pt idx="2">
                  <c:v>0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F-E54F-8C62-30797FE3A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856152096"/>
        <c:axId val="856153808"/>
      </c:barChart>
      <c:catAx>
        <c:axId val="85615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153808"/>
        <c:crosses val="autoZero"/>
        <c:auto val="1"/>
        <c:lblAlgn val="ctr"/>
        <c:lblOffset val="100"/>
        <c:noMultiLvlLbl val="0"/>
      </c:catAx>
      <c:valAx>
        <c:axId val="85615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15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0.13676</cdr:x>
      <cdr:y>0.46885</cdr:y>
    </cdr:from>
    <cdr:to>
      <cdr:x>0.32992</cdr:x>
      <cdr:y>0.63552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31325" y="1138479"/>
          <a:ext cx="891733" cy="40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100"/>
            <a:t>347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655736DC7A407081DE594DAB9B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6C70-6643-4D0C-BF69-4F98B1CA3E76}"/>
      </w:docPartPr>
      <w:docPartBody>
        <w:p w:rsidR="00B17D1B" w:rsidRDefault="00B17D1B">
          <w:pPr>
            <w:pStyle w:val="3F655736DC7A407081DE594DAB9BAB3B"/>
          </w:pPr>
          <w:r>
            <w:t>[Select Title options]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National-Book">
    <w:altName w:val="Times New Roman"/>
    <w:panose1 w:val="02000503000000020004"/>
    <w:charset w:val="00"/>
    <w:family w:val="auto"/>
    <w:notTrueType/>
    <w:pitch w:val="variable"/>
    <w:sig w:usb0="A00000FF" w:usb1="5000207B" w:usb2="00000010" w:usb3="00000000" w:csb0="0000009B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1B"/>
    <w:rsid w:val="00176EE1"/>
    <w:rsid w:val="001C5471"/>
    <w:rsid w:val="001E24A1"/>
    <w:rsid w:val="00220D0A"/>
    <w:rsid w:val="002969F1"/>
    <w:rsid w:val="002D368D"/>
    <w:rsid w:val="004544CA"/>
    <w:rsid w:val="00494D56"/>
    <w:rsid w:val="004A1F8E"/>
    <w:rsid w:val="005B34A1"/>
    <w:rsid w:val="005B6058"/>
    <w:rsid w:val="005D5A03"/>
    <w:rsid w:val="00653AE6"/>
    <w:rsid w:val="007333EA"/>
    <w:rsid w:val="00940813"/>
    <w:rsid w:val="00951622"/>
    <w:rsid w:val="009536EB"/>
    <w:rsid w:val="00963AD8"/>
    <w:rsid w:val="00963B3B"/>
    <w:rsid w:val="009B6B19"/>
    <w:rsid w:val="00B17D1B"/>
    <w:rsid w:val="00DE5240"/>
    <w:rsid w:val="00E5258F"/>
    <w:rsid w:val="00F31834"/>
    <w:rsid w:val="00F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655736DC7A407081DE594DAB9BAB3B">
    <w:name w:val="3F655736DC7A407081DE594DAB9BAB3B"/>
  </w:style>
  <w:style w:type="character" w:styleId="PlaceholderText">
    <w:name w:val="Placeholder Text"/>
    <w:basedOn w:val="DefaultParagraphFont"/>
    <w:uiPriority w:val="99"/>
    <w:semiHidden/>
    <w:rsid w:val="002969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VIC">
      <a:dk1>
        <a:sysClr val="windowText" lastClr="000000"/>
      </a:dk1>
      <a:lt1>
        <a:sysClr val="window" lastClr="FFFFFF"/>
      </a:lt1>
      <a:dk2>
        <a:srgbClr val="430098"/>
      </a:dk2>
      <a:lt2>
        <a:srgbClr val="FFFFFF"/>
      </a:lt2>
      <a:accent1>
        <a:srgbClr val="430098"/>
      </a:accent1>
      <a:accent2>
        <a:srgbClr val="EA3AB0"/>
      </a:accent2>
      <a:accent3>
        <a:srgbClr val="69E8FD"/>
      </a:accent3>
      <a:accent4>
        <a:srgbClr val="44A0F8"/>
      </a:accent4>
      <a:accent5>
        <a:srgbClr val="FAD94A"/>
      </a:accent5>
      <a:accent6>
        <a:srgbClr val="7F7F7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18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Corso</dc:creator>
  <cp:keywords/>
  <dc:description/>
  <cp:lastModifiedBy>Dean Bardell-Williams</cp:lastModifiedBy>
  <cp:revision>19</cp:revision>
  <dcterms:created xsi:type="dcterms:W3CDTF">2024-02-14T02:07:00Z</dcterms:created>
  <dcterms:modified xsi:type="dcterms:W3CDTF">2024-03-25T02:47:00Z</dcterms:modified>
</cp:coreProperties>
</file>