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C1DC" w14:textId="77777777" w:rsidR="00732968" w:rsidRDefault="00732968" w:rsidP="008753FB">
      <w:pPr>
        <w:pStyle w:val="Body"/>
        <w:spacing w:before="60" w:after="60" w:line="240" w:lineRule="auto"/>
        <w:rPr>
          <w:lang w:val="en-GB"/>
        </w:rPr>
      </w:pPr>
    </w:p>
    <w:p w14:paraId="2D480AC9" w14:textId="77777777" w:rsidR="00732968" w:rsidRDefault="00732968" w:rsidP="008753FB">
      <w:pPr>
        <w:pStyle w:val="Body"/>
        <w:spacing w:before="60" w:after="60" w:line="240" w:lineRule="auto"/>
        <w:rPr>
          <w:lang w:val="en-GB"/>
        </w:rPr>
      </w:pPr>
    </w:p>
    <w:p w14:paraId="3FD29025" w14:textId="77777777" w:rsidR="00732968" w:rsidRDefault="00732968" w:rsidP="008753FB">
      <w:pPr>
        <w:pStyle w:val="Body"/>
        <w:spacing w:before="60" w:after="60" w:line="240" w:lineRule="auto"/>
        <w:rPr>
          <w:lang w:val="en-GB"/>
        </w:rPr>
      </w:pPr>
    </w:p>
    <w:p w14:paraId="0BF0AE17" w14:textId="77777777" w:rsidR="00732968" w:rsidRDefault="00732968" w:rsidP="008753FB">
      <w:pPr>
        <w:pStyle w:val="Body"/>
        <w:spacing w:before="60" w:after="60" w:line="240" w:lineRule="auto"/>
        <w:rPr>
          <w:lang w:val="en-GB"/>
        </w:rPr>
      </w:pPr>
    </w:p>
    <w:p w14:paraId="2B53693F" w14:textId="77777777" w:rsidR="00732968" w:rsidRDefault="00732968" w:rsidP="008753FB">
      <w:pPr>
        <w:pStyle w:val="Body"/>
        <w:spacing w:before="60" w:after="60" w:line="240" w:lineRule="auto"/>
        <w:rPr>
          <w:lang w:val="en-GB"/>
        </w:rPr>
      </w:pPr>
    </w:p>
    <w:p w14:paraId="39F954E7" w14:textId="77777777" w:rsidR="00732968" w:rsidRDefault="00732968" w:rsidP="008753FB">
      <w:pPr>
        <w:pStyle w:val="Body"/>
        <w:spacing w:before="60" w:after="60" w:line="240" w:lineRule="auto"/>
        <w:rPr>
          <w:lang w:val="en-GB"/>
        </w:rPr>
      </w:pPr>
    </w:p>
    <w:p w14:paraId="2D3AF28B" w14:textId="77777777" w:rsidR="00732968" w:rsidRDefault="00732968" w:rsidP="008753FB">
      <w:pPr>
        <w:pStyle w:val="Body"/>
        <w:spacing w:before="60" w:after="60" w:line="240" w:lineRule="auto"/>
        <w:rPr>
          <w:lang w:val="en-GB"/>
        </w:rPr>
      </w:pPr>
    </w:p>
    <w:p w14:paraId="4977830E" w14:textId="77777777" w:rsidR="00732968" w:rsidRDefault="00732968" w:rsidP="008753FB">
      <w:pPr>
        <w:pStyle w:val="Body"/>
        <w:spacing w:before="60" w:after="60" w:line="240" w:lineRule="auto"/>
        <w:rPr>
          <w:lang w:val="en-GB"/>
        </w:rPr>
      </w:pPr>
    </w:p>
    <w:p w14:paraId="08EB91A5" w14:textId="77777777" w:rsidR="00732968" w:rsidRDefault="00732968" w:rsidP="008753FB">
      <w:pPr>
        <w:pStyle w:val="Body"/>
        <w:spacing w:before="60" w:after="60" w:line="240" w:lineRule="auto"/>
        <w:rPr>
          <w:lang w:val="en-GB"/>
        </w:rPr>
      </w:pPr>
    </w:p>
    <w:p w14:paraId="503F2D73" w14:textId="77777777" w:rsidR="00732968" w:rsidRDefault="00732968" w:rsidP="008753FB">
      <w:pPr>
        <w:pStyle w:val="Body"/>
        <w:spacing w:before="60" w:after="60" w:line="240" w:lineRule="auto"/>
        <w:rPr>
          <w:lang w:val="en-GB"/>
        </w:rPr>
      </w:pPr>
    </w:p>
    <w:p w14:paraId="22BF6BB2" w14:textId="77777777" w:rsidR="00732968" w:rsidRDefault="00732968" w:rsidP="008753FB">
      <w:pPr>
        <w:pStyle w:val="Body"/>
        <w:spacing w:before="60" w:after="60" w:line="240" w:lineRule="auto"/>
        <w:rPr>
          <w:lang w:val="en-GB"/>
        </w:rPr>
      </w:pPr>
    </w:p>
    <w:p w14:paraId="0F553337" w14:textId="77777777" w:rsidR="00C54BF0" w:rsidRDefault="00C54BF0" w:rsidP="00C54BF0">
      <w:pPr>
        <w:pStyle w:val="Body"/>
        <w:spacing w:before="0" w:after="0"/>
        <w:rPr>
          <w:b/>
          <w:bCs/>
          <w:color w:val="430098"/>
          <w:sz w:val="44"/>
          <w:szCs w:val="44"/>
        </w:rPr>
      </w:pPr>
    </w:p>
    <w:p w14:paraId="0D4238B4" w14:textId="77777777" w:rsidR="00C54BF0" w:rsidRDefault="00C54BF0" w:rsidP="00C54BF0">
      <w:pPr>
        <w:pStyle w:val="Body"/>
        <w:spacing w:before="0" w:after="0"/>
        <w:rPr>
          <w:b/>
          <w:bCs/>
          <w:color w:val="430098"/>
          <w:sz w:val="44"/>
          <w:szCs w:val="44"/>
        </w:rPr>
      </w:pPr>
    </w:p>
    <w:p w14:paraId="24935A1E" w14:textId="529A8737" w:rsidR="00732968" w:rsidRPr="001A4B84" w:rsidRDefault="00732968" w:rsidP="00C54BF0">
      <w:pPr>
        <w:pStyle w:val="Body"/>
        <w:spacing w:before="0" w:after="0"/>
        <w:rPr>
          <w:b/>
          <w:bCs/>
          <w:color w:val="430098"/>
          <w:sz w:val="44"/>
          <w:szCs w:val="44"/>
        </w:rPr>
      </w:pPr>
      <w:r w:rsidRPr="001A4B84">
        <w:rPr>
          <w:b/>
          <w:bCs/>
          <w:color w:val="430098"/>
          <w:sz w:val="44"/>
          <w:szCs w:val="44"/>
        </w:rPr>
        <w:t>Freedom of Information Guidelines</w:t>
      </w:r>
    </w:p>
    <w:p w14:paraId="43F4EB31" w14:textId="77777777" w:rsidR="006369F4" w:rsidRPr="001A4B84" w:rsidRDefault="006369F4" w:rsidP="00C54BF0">
      <w:pPr>
        <w:pStyle w:val="Body"/>
        <w:spacing w:before="0" w:after="0"/>
      </w:pPr>
    </w:p>
    <w:p w14:paraId="0E75E80F" w14:textId="5FFAEB4E" w:rsidR="00856A11" w:rsidRPr="001A4B84" w:rsidRDefault="00732968" w:rsidP="00C54BF0">
      <w:pPr>
        <w:pStyle w:val="Body"/>
        <w:spacing w:before="0" w:after="0"/>
        <w:rPr>
          <w:b/>
          <w:bCs/>
          <w:color w:val="430098"/>
          <w:sz w:val="32"/>
          <w:szCs w:val="32"/>
        </w:rPr>
      </w:pPr>
      <w:r w:rsidRPr="001A4B84">
        <w:rPr>
          <w:b/>
          <w:bCs/>
          <w:color w:val="430098"/>
          <w:sz w:val="32"/>
          <w:szCs w:val="32"/>
        </w:rPr>
        <w:t xml:space="preserve">Part </w:t>
      </w:r>
      <w:r w:rsidR="00C6619D" w:rsidRPr="001A4B84">
        <w:rPr>
          <w:b/>
          <w:bCs/>
          <w:color w:val="430098"/>
          <w:sz w:val="32"/>
          <w:szCs w:val="32"/>
        </w:rPr>
        <w:t>IV</w:t>
      </w:r>
      <w:r w:rsidRPr="001A4B84">
        <w:rPr>
          <w:b/>
          <w:bCs/>
          <w:color w:val="430098"/>
          <w:sz w:val="32"/>
          <w:szCs w:val="32"/>
        </w:rPr>
        <w:t xml:space="preserve"> </w:t>
      </w:r>
      <w:r w:rsidR="00C24836" w:rsidRPr="001A4B84">
        <w:rPr>
          <w:b/>
          <w:bCs/>
          <w:color w:val="430098"/>
          <w:sz w:val="32"/>
          <w:szCs w:val="32"/>
        </w:rPr>
        <w:t>–</w:t>
      </w:r>
      <w:r w:rsidRPr="001A4B84">
        <w:rPr>
          <w:b/>
          <w:bCs/>
          <w:color w:val="430098"/>
          <w:sz w:val="32"/>
          <w:szCs w:val="32"/>
        </w:rPr>
        <w:t xml:space="preserve"> </w:t>
      </w:r>
      <w:r w:rsidR="00C6619D" w:rsidRPr="001A4B84">
        <w:rPr>
          <w:b/>
          <w:bCs/>
          <w:color w:val="430098"/>
          <w:sz w:val="32"/>
          <w:szCs w:val="32"/>
        </w:rPr>
        <w:t>Exempt documents</w:t>
      </w:r>
      <w:r w:rsidR="001A4B84">
        <w:rPr>
          <w:b/>
          <w:bCs/>
          <w:color w:val="430098"/>
          <w:sz w:val="32"/>
          <w:szCs w:val="32"/>
        </w:rPr>
        <w:br/>
      </w:r>
      <w:r w:rsidR="00856A11" w:rsidRPr="001A4B84">
        <w:rPr>
          <w:b/>
          <w:bCs/>
          <w:color w:val="430098"/>
          <w:sz w:val="32"/>
          <w:szCs w:val="32"/>
        </w:rPr>
        <w:t>Section</w:t>
      </w:r>
      <w:r w:rsidR="000D0810">
        <w:rPr>
          <w:b/>
          <w:bCs/>
          <w:color w:val="430098"/>
          <w:sz w:val="32"/>
          <w:szCs w:val="32"/>
        </w:rPr>
        <w:t xml:space="preserve"> 34 </w:t>
      </w:r>
      <w:r w:rsidR="00A22F59">
        <w:rPr>
          <w:b/>
          <w:bCs/>
          <w:color w:val="430098"/>
          <w:sz w:val="32"/>
          <w:szCs w:val="32"/>
        </w:rPr>
        <w:t>– Documents relating to trade secrets etc.</w:t>
      </w:r>
    </w:p>
    <w:p w14:paraId="745E604C" w14:textId="77777777" w:rsidR="00452739" w:rsidRPr="001A4B84" w:rsidRDefault="00452739" w:rsidP="00C54BF0">
      <w:pPr>
        <w:pStyle w:val="Body"/>
        <w:spacing w:before="0" w:after="0"/>
      </w:pPr>
    </w:p>
    <w:p w14:paraId="63A133ED" w14:textId="77777777" w:rsidR="00452739" w:rsidRPr="001A4B84" w:rsidRDefault="00452739" w:rsidP="00C54BF0">
      <w:pPr>
        <w:pStyle w:val="Body"/>
        <w:spacing w:before="0" w:after="0"/>
        <w:rPr>
          <w:b/>
          <w:bCs/>
          <w:color w:val="430098"/>
          <w:sz w:val="32"/>
          <w:szCs w:val="32"/>
        </w:rPr>
      </w:pPr>
      <w:r w:rsidRPr="001A4B84">
        <w:rPr>
          <w:b/>
          <w:bCs/>
          <w:i/>
          <w:iCs/>
          <w:color w:val="430098"/>
          <w:sz w:val="32"/>
          <w:szCs w:val="32"/>
        </w:rPr>
        <w:t>Freedom of Information Act 1982</w:t>
      </w:r>
      <w:r w:rsidRPr="001A4B84">
        <w:rPr>
          <w:b/>
          <w:bCs/>
          <w:color w:val="430098"/>
          <w:sz w:val="32"/>
          <w:szCs w:val="32"/>
        </w:rPr>
        <w:t xml:space="preserve"> (Vic)</w:t>
      </w:r>
    </w:p>
    <w:p w14:paraId="3A51EFBA" w14:textId="77777777" w:rsidR="00732968" w:rsidRPr="00452739" w:rsidRDefault="00732968" w:rsidP="008753FB">
      <w:pPr>
        <w:pStyle w:val="Body"/>
        <w:spacing w:before="60" w:after="60" w:line="240" w:lineRule="auto"/>
        <w:rPr>
          <w:lang w:val="en-GB"/>
        </w:rPr>
        <w:sectPr w:rsidR="00732968" w:rsidRPr="00452739" w:rsidSect="00F265B5">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134" w:right="1134" w:bottom="1134" w:left="1134" w:header="720" w:footer="510" w:gutter="0"/>
          <w:cols w:space="720"/>
          <w:noEndnote/>
          <w:titlePg/>
          <w:docGrid w:linePitch="326"/>
        </w:sectPr>
      </w:pPr>
    </w:p>
    <w:p w14:paraId="74668A3C" w14:textId="5E74B271" w:rsidR="00452739" w:rsidRPr="003C297D" w:rsidRDefault="00AF5A37" w:rsidP="003C297D">
      <w:pPr>
        <w:pStyle w:val="Body"/>
        <w:spacing w:before="0" w:after="0"/>
        <w:rPr>
          <w:b/>
          <w:bCs/>
          <w:color w:val="430098"/>
          <w:sz w:val="32"/>
          <w:szCs w:val="32"/>
        </w:rPr>
      </w:pPr>
      <w:r>
        <w:rPr>
          <w:b/>
          <w:bCs/>
          <w:color w:val="430098"/>
          <w:sz w:val="32"/>
          <w:szCs w:val="32"/>
        </w:rPr>
        <w:lastRenderedPageBreak/>
        <w:t>S</w:t>
      </w:r>
      <w:r w:rsidR="000C7679">
        <w:rPr>
          <w:b/>
          <w:bCs/>
          <w:color w:val="430098"/>
          <w:sz w:val="32"/>
          <w:szCs w:val="32"/>
        </w:rPr>
        <w:t xml:space="preserve">ection 34 </w:t>
      </w:r>
      <w:r w:rsidR="00F039EE">
        <w:rPr>
          <w:b/>
          <w:bCs/>
          <w:color w:val="430098"/>
          <w:sz w:val="32"/>
          <w:szCs w:val="32"/>
        </w:rPr>
        <w:t>– Documents relating to trade secrets etc.</w:t>
      </w:r>
    </w:p>
    <w:p w14:paraId="16F6114C" w14:textId="77777777" w:rsidR="00FB7772" w:rsidRDefault="00FB7772" w:rsidP="00FB7772">
      <w:pPr>
        <w:pStyle w:val="Body"/>
      </w:pPr>
      <w:r w:rsidRPr="00E968FA">
        <w:t>All legislative references are to the</w:t>
      </w:r>
      <w:r>
        <w:t xml:space="preserve"> </w:t>
      </w:r>
      <w:r w:rsidRPr="00E51A46">
        <w:rPr>
          <w:i/>
          <w:iCs/>
        </w:rPr>
        <w:t>Freedom of Information Act 1982</w:t>
      </w:r>
      <w:r>
        <w:t xml:space="preserve"> (Vic)</w:t>
      </w:r>
      <w:r w:rsidRPr="00E968FA">
        <w:t xml:space="preserve"> unless otherwise stated. </w:t>
      </w:r>
    </w:p>
    <w:p w14:paraId="1CD20D92" w14:textId="604FE969" w:rsidR="00DF1B44" w:rsidRDefault="00FB7772" w:rsidP="00FB7772">
      <w:pPr>
        <w:pStyle w:val="TOCHeading"/>
      </w:pPr>
      <w:r>
        <w:t>Contents</w:t>
      </w:r>
    </w:p>
    <w:bookmarkStart w:id="0" w:name="_Toc532399298"/>
    <w:p w14:paraId="5710E687" w14:textId="3E28875E" w:rsidR="000D0810" w:rsidRDefault="00A70355">
      <w:pPr>
        <w:pStyle w:val="TOC1"/>
        <w:tabs>
          <w:tab w:val="right" w:leader="dot" w:pos="9622"/>
        </w:tabs>
        <w:rPr>
          <w:rFonts w:eastAsiaTheme="minorEastAsia" w:cstheme="minorBidi"/>
          <w:b w:val="0"/>
          <w:bCs w:val="0"/>
          <w:noProof/>
          <w:kern w:val="2"/>
          <w:sz w:val="24"/>
          <w:szCs w:val="24"/>
          <w14:ligatures w14:val="standardContextual"/>
        </w:rPr>
      </w:pPr>
      <w:r>
        <w:rPr>
          <w:i/>
          <w:iCs/>
        </w:rPr>
        <w:fldChar w:fldCharType="begin"/>
      </w:r>
      <w:r>
        <w:rPr>
          <w:i/>
          <w:iCs/>
        </w:rPr>
        <w:instrText xml:space="preserve"> TOC \o "1-2" \h \z \u </w:instrText>
      </w:r>
      <w:r>
        <w:rPr>
          <w:i/>
          <w:iCs/>
        </w:rPr>
        <w:fldChar w:fldCharType="separate"/>
      </w:r>
      <w:hyperlink w:anchor="_Toc150764343" w:history="1">
        <w:r w:rsidR="000D0810" w:rsidRPr="006D3501">
          <w:rPr>
            <w:rStyle w:val="Hyperlink"/>
            <w:noProof/>
          </w:rPr>
          <w:t>Section 34 – Documents relating to trade secrets etc.</w:t>
        </w:r>
        <w:r w:rsidR="000D0810">
          <w:rPr>
            <w:noProof/>
            <w:webHidden/>
          </w:rPr>
          <w:tab/>
        </w:r>
        <w:r w:rsidR="000D0810">
          <w:rPr>
            <w:noProof/>
            <w:webHidden/>
          </w:rPr>
          <w:fldChar w:fldCharType="begin"/>
        </w:r>
        <w:r w:rsidR="000D0810">
          <w:rPr>
            <w:noProof/>
            <w:webHidden/>
          </w:rPr>
          <w:instrText xml:space="preserve"> PAGEREF _Toc150764343 \h </w:instrText>
        </w:r>
        <w:r w:rsidR="000D0810">
          <w:rPr>
            <w:noProof/>
            <w:webHidden/>
          </w:rPr>
        </w:r>
        <w:r w:rsidR="000D0810">
          <w:rPr>
            <w:noProof/>
            <w:webHidden/>
          </w:rPr>
          <w:fldChar w:fldCharType="separate"/>
        </w:r>
        <w:r w:rsidR="000D0810">
          <w:rPr>
            <w:noProof/>
            <w:webHidden/>
          </w:rPr>
          <w:t>3</w:t>
        </w:r>
        <w:r w:rsidR="000D0810">
          <w:rPr>
            <w:noProof/>
            <w:webHidden/>
          </w:rPr>
          <w:fldChar w:fldCharType="end"/>
        </w:r>
      </w:hyperlink>
    </w:p>
    <w:p w14:paraId="3E68A98D" w14:textId="587444C8"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44" w:history="1">
        <w:r w:rsidR="000D0810" w:rsidRPr="006D3501">
          <w:rPr>
            <w:rStyle w:val="Hyperlink"/>
            <w:noProof/>
          </w:rPr>
          <w:t>Legislation</w:t>
        </w:r>
        <w:r w:rsidR="000D0810">
          <w:rPr>
            <w:noProof/>
            <w:webHidden/>
          </w:rPr>
          <w:tab/>
        </w:r>
        <w:r w:rsidR="000D0810">
          <w:rPr>
            <w:noProof/>
            <w:webHidden/>
          </w:rPr>
          <w:fldChar w:fldCharType="begin"/>
        </w:r>
        <w:r w:rsidR="000D0810">
          <w:rPr>
            <w:noProof/>
            <w:webHidden/>
          </w:rPr>
          <w:instrText xml:space="preserve"> PAGEREF _Toc150764344 \h </w:instrText>
        </w:r>
        <w:r w:rsidR="000D0810">
          <w:rPr>
            <w:noProof/>
            <w:webHidden/>
          </w:rPr>
        </w:r>
        <w:r w:rsidR="000D0810">
          <w:rPr>
            <w:noProof/>
            <w:webHidden/>
          </w:rPr>
          <w:fldChar w:fldCharType="separate"/>
        </w:r>
        <w:r w:rsidR="000D0810">
          <w:rPr>
            <w:noProof/>
            <w:webHidden/>
          </w:rPr>
          <w:t>3</w:t>
        </w:r>
        <w:r w:rsidR="000D0810">
          <w:rPr>
            <w:noProof/>
            <w:webHidden/>
          </w:rPr>
          <w:fldChar w:fldCharType="end"/>
        </w:r>
      </w:hyperlink>
    </w:p>
    <w:p w14:paraId="503D5E43" w14:textId="3390EBE1"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45" w:history="1">
        <w:r w:rsidR="000D0810" w:rsidRPr="006D3501">
          <w:rPr>
            <w:rStyle w:val="Hyperlink"/>
            <w:noProof/>
          </w:rPr>
          <w:t>Guidelines</w:t>
        </w:r>
        <w:r w:rsidR="000D0810">
          <w:rPr>
            <w:noProof/>
            <w:webHidden/>
          </w:rPr>
          <w:tab/>
        </w:r>
        <w:r w:rsidR="000D0810">
          <w:rPr>
            <w:noProof/>
            <w:webHidden/>
          </w:rPr>
          <w:fldChar w:fldCharType="begin"/>
        </w:r>
        <w:r w:rsidR="000D0810">
          <w:rPr>
            <w:noProof/>
            <w:webHidden/>
          </w:rPr>
          <w:instrText xml:space="preserve"> PAGEREF _Toc150764345 \h </w:instrText>
        </w:r>
        <w:r w:rsidR="000D0810">
          <w:rPr>
            <w:noProof/>
            <w:webHidden/>
          </w:rPr>
        </w:r>
        <w:r w:rsidR="000D0810">
          <w:rPr>
            <w:noProof/>
            <w:webHidden/>
          </w:rPr>
          <w:fldChar w:fldCharType="separate"/>
        </w:r>
        <w:r w:rsidR="000D0810">
          <w:rPr>
            <w:noProof/>
            <w:webHidden/>
          </w:rPr>
          <w:t>4</w:t>
        </w:r>
        <w:r w:rsidR="000D0810">
          <w:rPr>
            <w:noProof/>
            <w:webHidden/>
          </w:rPr>
          <w:fldChar w:fldCharType="end"/>
        </w:r>
      </w:hyperlink>
    </w:p>
    <w:p w14:paraId="5D561A96" w14:textId="0739136D"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46" w:history="1">
        <w:r w:rsidR="000D0810" w:rsidRPr="006D3501">
          <w:rPr>
            <w:rStyle w:val="Hyperlink"/>
            <w:noProof/>
          </w:rPr>
          <w:t>Overview</w:t>
        </w:r>
        <w:r w:rsidR="000D0810">
          <w:rPr>
            <w:noProof/>
            <w:webHidden/>
          </w:rPr>
          <w:tab/>
        </w:r>
        <w:r w:rsidR="000D0810">
          <w:rPr>
            <w:noProof/>
            <w:webHidden/>
          </w:rPr>
          <w:fldChar w:fldCharType="begin"/>
        </w:r>
        <w:r w:rsidR="000D0810">
          <w:rPr>
            <w:noProof/>
            <w:webHidden/>
          </w:rPr>
          <w:instrText xml:space="preserve"> PAGEREF _Toc150764346 \h </w:instrText>
        </w:r>
        <w:r w:rsidR="000D0810">
          <w:rPr>
            <w:noProof/>
            <w:webHidden/>
          </w:rPr>
        </w:r>
        <w:r w:rsidR="000D0810">
          <w:rPr>
            <w:noProof/>
            <w:webHidden/>
          </w:rPr>
          <w:fldChar w:fldCharType="separate"/>
        </w:r>
        <w:r w:rsidR="000D0810">
          <w:rPr>
            <w:noProof/>
            <w:webHidden/>
          </w:rPr>
          <w:t>4</w:t>
        </w:r>
        <w:r w:rsidR="000D0810">
          <w:rPr>
            <w:noProof/>
            <w:webHidden/>
          </w:rPr>
          <w:fldChar w:fldCharType="end"/>
        </w:r>
      </w:hyperlink>
    </w:p>
    <w:p w14:paraId="4B46DC0F" w14:textId="44A9ED8B"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47" w:history="1">
        <w:r w:rsidR="000D0810" w:rsidRPr="006D3501">
          <w:rPr>
            <w:rStyle w:val="Hyperlink"/>
            <w:noProof/>
          </w:rPr>
          <w:t>Section 34(1) exemption – meaning of common terms and phrases</w:t>
        </w:r>
        <w:r w:rsidR="000D0810">
          <w:rPr>
            <w:noProof/>
            <w:webHidden/>
          </w:rPr>
          <w:tab/>
        </w:r>
        <w:r w:rsidR="000D0810">
          <w:rPr>
            <w:noProof/>
            <w:webHidden/>
          </w:rPr>
          <w:fldChar w:fldCharType="begin"/>
        </w:r>
        <w:r w:rsidR="000D0810">
          <w:rPr>
            <w:noProof/>
            <w:webHidden/>
          </w:rPr>
          <w:instrText xml:space="preserve"> PAGEREF _Toc150764347 \h </w:instrText>
        </w:r>
        <w:r w:rsidR="000D0810">
          <w:rPr>
            <w:noProof/>
            <w:webHidden/>
          </w:rPr>
        </w:r>
        <w:r w:rsidR="000D0810">
          <w:rPr>
            <w:noProof/>
            <w:webHidden/>
          </w:rPr>
          <w:fldChar w:fldCharType="separate"/>
        </w:r>
        <w:r w:rsidR="000D0810">
          <w:rPr>
            <w:noProof/>
            <w:webHidden/>
          </w:rPr>
          <w:t>5</w:t>
        </w:r>
        <w:r w:rsidR="000D0810">
          <w:rPr>
            <w:noProof/>
            <w:webHidden/>
          </w:rPr>
          <w:fldChar w:fldCharType="end"/>
        </w:r>
      </w:hyperlink>
    </w:p>
    <w:p w14:paraId="7875170B" w14:textId="4E00B61A"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48" w:history="1">
        <w:r w:rsidR="000D0810" w:rsidRPr="006D3501">
          <w:rPr>
            <w:rStyle w:val="Hyperlink"/>
            <w:noProof/>
          </w:rPr>
          <w:t>Section 34(1)(a) exemption – trade secrets of a business, commercial or financial undertaking</w:t>
        </w:r>
        <w:r w:rsidR="000D0810">
          <w:rPr>
            <w:noProof/>
            <w:webHidden/>
          </w:rPr>
          <w:tab/>
        </w:r>
        <w:r w:rsidR="000D0810">
          <w:rPr>
            <w:noProof/>
            <w:webHidden/>
          </w:rPr>
          <w:fldChar w:fldCharType="begin"/>
        </w:r>
        <w:r w:rsidR="000D0810">
          <w:rPr>
            <w:noProof/>
            <w:webHidden/>
          </w:rPr>
          <w:instrText xml:space="preserve"> PAGEREF _Toc150764348 \h </w:instrText>
        </w:r>
        <w:r w:rsidR="000D0810">
          <w:rPr>
            <w:noProof/>
            <w:webHidden/>
          </w:rPr>
        </w:r>
        <w:r w:rsidR="000D0810">
          <w:rPr>
            <w:noProof/>
            <w:webHidden/>
          </w:rPr>
          <w:fldChar w:fldCharType="separate"/>
        </w:r>
        <w:r w:rsidR="000D0810">
          <w:rPr>
            <w:noProof/>
            <w:webHidden/>
          </w:rPr>
          <w:t>9</w:t>
        </w:r>
        <w:r w:rsidR="000D0810">
          <w:rPr>
            <w:noProof/>
            <w:webHidden/>
          </w:rPr>
          <w:fldChar w:fldCharType="end"/>
        </w:r>
      </w:hyperlink>
    </w:p>
    <w:p w14:paraId="3F01FAE8" w14:textId="7C21DEAA"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49" w:history="1">
        <w:r w:rsidR="000D0810" w:rsidRPr="006D3501">
          <w:rPr>
            <w:rStyle w:val="Hyperlink"/>
            <w:noProof/>
          </w:rPr>
          <w:t>Section 34(1)(b) exemption – business, commercial or financial information of a third party undertaking</w:t>
        </w:r>
        <w:r w:rsidR="000D0810">
          <w:rPr>
            <w:noProof/>
            <w:webHidden/>
          </w:rPr>
          <w:tab/>
        </w:r>
        <w:r w:rsidR="000D0810">
          <w:rPr>
            <w:noProof/>
            <w:webHidden/>
          </w:rPr>
          <w:fldChar w:fldCharType="begin"/>
        </w:r>
        <w:r w:rsidR="000D0810">
          <w:rPr>
            <w:noProof/>
            <w:webHidden/>
          </w:rPr>
          <w:instrText xml:space="preserve"> PAGEREF _Toc150764349 \h </w:instrText>
        </w:r>
        <w:r w:rsidR="000D0810">
          <w:rPr>
            <w:noProof/>
            <w:webHidden/>
          </w:rPr>
        </w:r>
        <w:r w:rsidR="000D0810">
          <w:rPr>
            <w:noProof/>
            <w:webHidden/>
          </w:rPr>
          <w:fldChar w:fldCharType="separate"/>
        </w:r>
        <w:r w:rsidR="000D0810">
          <w:rPr>
            <w:noProof/>
            <w:webHidden/>
          </w:rPr>
          <w:t>11</w:t>
        </w:r>
        <w:r w:rsidR="000D0810">
          <w:rPr>
            <w:noProof/>
            <w:webHidden/>
          </w:rPr>
          <w:fldChar w:fldCharType="end"/>
        </w:r>
      </w:hyperlink>
    </w:p>
    <w:p w14:paraId="4A035E23" w14:textId="4F0A4816"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50" w:history="1">
        <w:r w:rsidR="000D0810" w:rsidRPr="006D3501">
          <w:rPr>
            <w:rStyle w:val="Hyperlink"/>
            <w:noProof/>
          </w:rPr>
          <w:t>Section 34(4)(a)(i) exemption – trade secret of an agency</w:t>
        </w:r>
        <w:r w:rsidR="000D0810">
          <w:rPr>
            <w:noProof/>
            <w:webHidden/>
          </w:rPr>
          <w:tab/>
        </w:r>
        <w:r w:rsidR="000D0810">
          <w:rPr>
            <w:noProof/>
            <w:webHidden/>
          </w:rPr>
          <w:fldChar w:fldCharType="begin"/>
        </w:r>
        <w:r w:rsidR="000D0810">
          <w:rPr>
            <w:noProof/>
            <w:webHidden/>
          </w:rPr>
          <w:instrText xml:space="preserve"> PAGEREF _Toc150764350 \h </w:instrText>
        </w:r>
        <w:r w:rsidR="000D0810">
          <w:rPr>
            <w:noProof/>
            <w:webHidden/>
          </w:rPr>
        </w:r>
        <w:r w:rsidR="000D0810">
          <w:rPr>
            <w:noProof/>
            <w:webHidden/>
          </w:rPr>
          <w:fldChar w:fldCharType="separate"/>
        </w:r>
        <w:r w:rsidR="000D0810">
          <w:rPr>
            <w:noProof/>
            <w:webHidden/>
          </w:rPr>
          <w:t>20</w:t>
        </w:r>
        <w:r w:rsidR="000D0810">
          <w:rPr>
            <w:noProof/>
            <w:webHidden/>
          </w:rPr>
          <w:fldChar w:fldCharType="end"/>
        </w:r>
      </w:hyperlink>
    </w:p>
    <w:p w14:paraId="7E3F45F8" w14:textId="41C3FF06"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51" w:history="1">
        <w:r w:rsidR="000D0810" w:rsidRPr="006D3501">
          <w:rPr>
            <w:rStyle w:val="Hyperlink"/>
            <w:noProof/>
          </w:rPr>
          <w:t>Section 34(4)(a)(ii) exemption – business, commercial or financial information of an agency engaged in trade or commerce</w:t>
        </w:r>
        <w:r w:rsidR="000D0810">
          <w:rPr>
            <w:noProof/>
            <w:webHidden/>
          </w:rPr>
          <w:tab/>
        </w:r>
        <w:r w:rsidR="000D0810">
          <w:rPr>
            <w:noProof/>
            <w:webHidden/>
          </w:rPr>
          <w:fldChar w:fldCharType="begin"/>
        </w:r>
        <w:r w:rsidR="000D0810">
          <w:rPr>
            <w:noProof/>
            <w:webHidden/>
          </w:rPr>
          <w:instrText xml:space="preserve"> PAGEREF _Toc150764351 \h </w:instrText>
        </w:r>
        <w:r w:rsidR="000D0810">
          <w:rPr>
            <w:noProof/>
            <w:webHidden/>
          </w:rPr>
        </w:r>
        <w:r w:rsidR="000D0810">
          <w:rPr>
            <w:noProof/>
            <w:webHidden/>
          </w:rPr>
          <w:fldChar w:fldCharType="separate"/>
        </w:r>
        <w:r w:rsidR="000D0810">
          <w:rPr>
            <w:noProof/>
            <w:webHidden/>
          </w:rPr>
          <w:t>22</w:t>
        </w:r>
        <w:r w:rsidR="000D0810">
          <w:rPr>
            <w:noProof/>
            <w:webHidden/>
          </w:rPr>
          <w:fldChar w:fldCharType="end"/>
        </w:r>
      </w:hyperlink>
    </w:p>
    <w:p w14:paraId="5C6C3274" w14:textId="147E804A"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52" w:history="1">
        <w:r w:rsidR="000D0810" w:rsidRPr="006D3501">
          <w:rPr>
            <w:rStyle w:val="Hyperlink"/>
            <w:noProof/>
          </w:rPr>
          <w:t>Section 34(4)(a)(i) and (ii) exemptions – common element - Likely to expose the agency unreasonably to disadvantage</w:t>
        </w:r>
        <w:r w:rsidR="000D0810">
          <w:rPr>
            <w:noProof/>
            <w:webHidden/>
          </w:rPr>
          <w:tab/>
        </w:r>
        <w:r w:rsidR="000D0810">
          <w:rPr>
            <w:noProof/>
            <w:webHidden/>
          </w:rPr>
          <w:fldChar w:fldCharType="begin"/>
        </w:r>
        <w:r w:rsidR="000D0810">
          <w:rPr>
            <w:noProof/>
            <w:webHidden/>
          </w:rPr>
          <w:instrText xml:space="preserve"> PAGEREF _Toc150764352 \h </w:instrText>
        </w:r>
        <w:r w:rsidR="000D0810">
          <w:rPr>
            <w:noProof/>
            <w:webHidden/>
          </w:rPr>
        </w:r>
        <w:r w:rsidR="000D0810">
          <w:rPr>
            <w:noProof/>
            <w:webHidden/>
          </w:rPr>
          <w:fldChar w:fldCharType="separate"/>
        </w:r>
        <w:r w:rsidR="000D0810">
          <w:rPr>
            <w:noProof/>
            <w:webHidden/>
          </w:rPr>
          <w:t>25</w:t>
        </w:r>
        <w:r w:rsidR="000D0810">
          <w:rPr>
            <w:noProof/>
            <w:webHidden/>
          </w:rPr>
          <w:fldChar w:fldCharType="end"/>
        </w:r>
      </w:hyperlink>
    </w:p>
    <w:p w14:paraId="3DD8739E" w14:textId="72044F7B"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53" w:history="1">
        <w:r w:rsidR="000D0810" w:rsidRPr="006D3501">
          <w:rPr>
            <w:rStyle w:val="Hyperlink"/>
            <w:noProof/>
          </w:rPr>
          <w:t>Consultation with another agency – section 34(4)(a)(i) and (ii) exemptions</w:t>
        </w:r>
        <w:r w:rsidR="000D0810">
          <w:rPr>
            <w:noProof/>
            <w:webHidden/>
          </w:rPr>
          <w:tab/>
        </w:r>
        <w:r w:rsidR="000D0810">
          <w:rPr>
            <w:noProof/>
            <w:webHidden/>
          </w:rPr>
          <w:fldChar w:fldCharType="begin"/>
        </w:r>
        <w:r w:rsidR="000D0810">
          <w:rPr>
            <w:noProof/>
            <w:webHidden/>
          </w:rPr>
          <w:instrText xml:space="preserve"> PAGEREF _Toc150764353 \h </w:instrText>
        </w:r>
        <w:r w:rsidR="000D0810">
          <w:rPr>
            <w:noProof/>
            <w:webHidden/>
          </w:rPr>
        </w:r>
        <w:r w:rsidR="000D0810">
          <w:rPr>
            <w:noProof/>
            <w:webHidden/>
          </w:rPr>
          <w:fldChar w:fldCharType="separate"/>
        </w:r>
        <w:r w:rsidR="000D0810">
          <w:rPr>
            <w:noProof/>
            <w:webHidden/>
          </w:rPr>
          <w:t>30</w:t>
        </w:r>
        <w:r w:rsidR="000D0810">
          <w:rPr>
            <w:noProof/>
            <w:webHidden/>
          </w:rPr>
          <w:fldChar w:fldCharType="end"/>
        </w:r>
      </w:hyperlink>
    </w:p>
    <w:p w14:paraId="33D84852" w14:textId="382F31AE"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54" w:history="1">
        <w:r w:rsidR="000D0810" w:rsidRPr="006D3501">
          <w:rPr>
            <w:rStyle w:val="Hyperlink"/>
            <w:noProof/>
          </w:rPr>
          <w:t>Section 34(4)(b) exemption – results of scientific or technical research</w:t>
        </w:r>
        <w:r w:rsidR="000D0810">
          <w:rPr>
            <w:noProof/>
            <w:webHidden/>
          </w:rPr>
          <w:tab/>
        </w:r>
        <w:r w:rsidR="000D0810">
          <w:rPr>
            <w:noProof/>
            <w:webHidden/>
          </w:rPr>
          <w:fldChar w:fldCharType="begin"/>
        </w:r>
        <w:r w:rsidR="000D0810">
          <w:rPr>
            <w:noProof/>
            <w:webHidden/>
          </w:rPr>
          <w:instrText xml:space="preserve"> PAGEREF _Toc150764354 \h </w:instrText>
        </w:r>
        <w:r w:rsidR="000D0810">
          <w:rPr>
            <w:noProof/>
            <w:webHidden/>
          </w:rPr>
        </w:r>
        <w:r w:rsidR="000D0810">
          <w:rPr>
            <w:noProof/>
            <w:webHidden/>
          </w:rPr>
          <w:fldChar w:fldCharType="separate"/>
        </w:r>
        <w:r w:rsidR="000D0810">
          <w:rPr>
            <w:noProof/>
            <w:webHidden/>
          </w:rPr>
          <w:t>30</w:t>
        </w:r>
        <w:r w:rsidR="000D0810">
          <w:rPr>
            <w:noProof/>
            <w:webHidden/>
          </w:rPr>
          <w:fldChar w:fldCharType="end"/>
        </w:r>
      </w:hyperlink>
    </w:p>
    <w:p w14:paraId="0B5B360D" w14:textId="27025AA6" w:rsidR="000D0810" w:rsidRDefault="00000000">
      <w:pPr>
        <w:pStyle w:val="TOC2"/>
        <w:tabs>
          <w:tab w:val="right" w:leader="dot" w:pos="9622"/>
        </w:tabs>
        <w:rPr>
          <w:rFonts w:eastAsiaTheme="minorEastAsia" w:cstheme="minorBidi"/>
          <w:i w:val="0"/>
          <w:iCs w:val="0"/>
          <w:noProof/>
          <w:kern w:val="2"/>
          <w:sz w:val="24"/>
          <w:szCs w:val="24"/>
          <w14:ligatures w14:val="standardContextual"/>
        </w:rPr>
      </w:pPr>
      <w:hyperlink w:anchor="_Toc150764355" w:history="1">
        <w:r w:rsidR="000D0810" w:rsidRPr="006D3501">
          <w:rPr>
            <w:rStyle w:val="Hyperlink"/>
            <w:noProof/>
          </w:rPr>
          <w:t>Section 34(4)(c) – examination papers and examiner reports</w:t>
        </w:r>
        <w:r w:rsidR="000D0810">
          <w:rPr>
            <w:noProof/>
            <w:webHidden/>
          </w:rPr>
          <w:tab/>
        </w:r>
        <w:r w:rsidR="000D0810">
          <w:rPr>
            <w:noProof/>
            <w:webHidden/>
          </w:rPr>
          <w:fldChar w:fldCharType="begin"/>
        </w:r>
        <w:r w:rsidR="000D0810">
          <w:rPr>
            <w:noProof/>
            <w:webHidden/>
          </w:rPr>
          <w:instrText xml:space="preserve"> PAGEREF _Toc150764355 \h </w:instrText>
        </w:r>
        <w:r w:rsidR="000D0810">
          <w:rPr>
            <w:noProof/>
            <w:webHidden/>
          </w:rPr>
        </w:r>
        <w:r w:rsidR="000D0810">
          <w:rPr>
            <w:noProof/>
            <w:webHidden/>
          </w:rPr>
          <w:fldChar w:fldCharType="separate"/>
        </w:r>
        <w:r w:rsidR="000D0810">
          <w:rPr>
            <w:noProof/>
            <w:webHidden/>
          </w:rPr>
          <w:t>34</w:t>
        </w:r>
        <w:r w:rsidR="000D0810">
          <w:rPr>
            <w:noProof/>
            <w:webHidden/>
          </w:rPr>
          <w:fldChar w:fldCharType="end"/>
        </w:r>
      </w:hyperlink>
    </w:p>
    <w:p w14:paraId="2C78D26A" w14:textId="45355668" w:rsidR="00C150E9" w:rsidRPr="00566699" w:rsidRDefault="00A70355" w:rsidP="00C150E9">
      <w:pPr>
        <w:pStyle w:val="1TitleLevel1"/>
      </w:pPr>
      <w:r>
        <w:rPr>
          <w:rFonts w:cstheme="minorHAnsi"/>
          <w:b w:val="0"/>
          <w:bCs/>
          <w:i/>
          <w:iCs/>
          <w:sz w:val="20"/>
          <w:szCs w:val="20"/>
        </w:rPr>
        <w:fldChar w:fldCharType="end"/>
      </w:r>
      <w:r w:rsidR="004F4ED5">
        <w:br w:type="page"/>
      </w:r>
      <w:bookmarkStart w:id="1" w:name="_Toc150764343"/>
      <w:r w:rsidR="00C150E9" w:rsidRPr="00566699">
        <w:lastRenderedPageBreak/>
        <w:t>Section 34 – Documents relating to trade secrets etc.</w:t>
      </w:r>
      <w:bookmarkEnd w:id="1"/>
    </w:p>
    <w:p w14:paraId="322D042D" w14:textId="06BD6B54" w:rsidR="00C150E9" w:rsidRDefault="003E048D" w:rsidP="00C150E9">
      <w:pPr>
        <w:pStyle w:val="2HeadingLevel2"/>
      </w:pPr>
      <w:bookmarkStart w:id="2" w:name="_Toc150764344"/>
      <w:r>
        <w:t>Extract of l</w:t>
      </w:r>
      <w:r w:rsidR="00C150E9">
        <w:t>egislation</w:t>
      </w:r>
      <w:bookmarkEnd w:id="2"/>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589"/>
        <w:gridCol w:w="567"/>
        <w:gridCol w:w="542"/>
        <w:gridCol w:w="7211"/>
      </w:tblGrid>
      <w:tr w:rsidR="00C150E9" w:rsidRPr="00194D24" w14:paraId="24F24BAD" w14:textId="77777777" w:rsidTr="00F12D53">
        <w:tc>
          <w:tcPr>
            <w:tcW w:w="589" w:type="dxa"/>
          </w:tcPr>
          <w:p w14:paraId="04060543" w14:textId="77777777" w:rsidR="00C150E9" w:rsidRPr="00194D24" w:rsidRDefault="00C150E9" w:rsidP="00F12D53">
            <w:pPr>
              <w:pStyle w:val="Body"/>
              <w:spacing w:before="60" w:after="60" w:line="240" w:lineRule="auto"/>
              <w:rPr>
                <w:b/>
                <w:bCs/>
              </w:rPr>
            </w:pPr>
            <w:r w:rsidRPr="00194D24">
              <w:rPr>
                <w:b/>
                <w:bCs/>
              </w:rPr>
              <w:t>3</w:t>
            </w:r>
            <w:r>
              <w:rPr>
                <w:b/>
                <w:bCs/>
              </w:rPr>
              <w:t>4</w:t>
            </w:r>
          </w:p>
        </w:tc>
        <w:tc>
          <w:tcPr>
            <w:tcW w:w="8909" w:type="dxa"/>
            <w:gridSpan w:val="4"/>
          </w:tcPr>
          <w:p w14:paraId="76047B12" w14:textId="77777777" w:rsidR="00C150E9" w:rsidRPr="00194D24" w:rsidRDefault="00C150E9" w:rsidP="00F12D53">
            <w:pPr>
              <w:pStyle w:val="Body"/>
              <w:spacing w:before="60" w:after="60"/>
              <w:rPr>
                <w:b/>
                <w:bCs/>
              </w:rPr>
            </w:pPr>
            <w:r>
              <w:rPr>
                <w:b/>
                <w:bCs/>
              </w:rPr>
              <w:t>Documents relating to trade secrets etc.</w:t>
            </w:r>
          </w:p>
        </w:tc>
      </w:tr>
      <w:tr w:rsidR="00C150E9" w14:paraId="549BA28B" w14:textId="77777777" w:rsidTr="00F12D53">
        <w:tc>
          <w:tcPr>
            <w:tcW w:w="589" w:type="dxa"/>
          </w:tcPr>
          <w:p w14:paraId="7E4DFDBE" w14:textId="77777777" w:rsidR="00C150E9" w:rsidRDefault="00C150E9" w:rsidP="00F12D53">
            <w:pPr>
              <w:pStyle w:val="Body"/>
              <w:spacing w:before="60" w:after="60" w:line="240" w:lineRule="auto"/>
            </w:pPr>
          </w:p>
        </w:tc>
        <w:tc>
          <w:tcPr>
            <w:tcW w:w="589" w:type="dxa"/>
          </w:tcPr>
          <w:p w14:paraId="110C5052" w14:textId="77777777" w:rsidR="00C150E9" w:rsidRPr="001D30B0" w:rsidRDefault="00C150E9" w:rsidP="00F12D53">
            <w:pPr>
              <w:pStyle w:val="Body"/>
              <w:spacing w:before="60" w:after="60" w:line="240" w:lineRule="auto"/>
            </w:pPr>
            <w:r>
              <w:t>(1)</w:t>
            </w:r>
          </w:p>
        </w:tc>
        <w:tc>
          <w:tcPr>
            <w:tcW w:w="8320" w:type="dxa"/>
            <w:gridSpan w:val="3"/>
          </w:tcPr>
          <w:p w14:paraId="20721BA7" w14:textId="77777777" w:rsidR="00C150E9" w:rsidRDefault="00C150E9" w:rsidP="00F12D53">
            <w:pPr>
              <w:pStyle w:val="Body"/>
              <w:spacing w:before="60" w:after="60"/>
            </w:pPr>
            <w:r w:rsidRPr="00FC1501">
              <w:t>A document is an exempt document if its disclosure under this Act would disclose information acquired by an agency or a Minister from a business, commercial or financial undertaking and the information relates to—</w:t>
            </w:r>
          </w:p>
        </w:tc>
      </w:tr>
      <w:tr w:rsidR="00C150E9" w14:paraId="65A1B18A" w14:textId="77777777" w:rsidTr="00F12D53">
        <w:tc>
          <w:tcPr>
            <w:tcW w:w="589" w:type="dxa"/>
          </w:tcPr>
          <w:p w14:paraId="71B79645" w14:textId="77777777" w:rsidR="00C150E9" w:rsidRDefault="00C150E9" w:rsidP="00F12D53">
            <w:pPr>
              <w:pStyle w:val="Body"/>
              <w:spacing w:before="60" w:after="60" w:line="240" w:lineRule="auto"/>
            </w:pPr>
          </w:p>
        </w:tc>
        <w:tc>
          <w:tcPr>
            <w:tcW w:w="589" w:type="dxa"/>
          </w:tcPr>
          <w:p w14:paraId="2B0CC4DC" w14:textId="77777777" w:rsidR="00C150E9" w:rsidRDefault="00C150E9" w:rsidP="00F12D53">
            <w:pPr>
              <w:pStyle w:val="Body"/>
              <w:spacing w:before="60" w:after="60" w:line="240" w:lineRule="auto"/>
            </w:pPr>
          </w:p>
        </w:tc>
        <w:tc>
          <w:tcPr>
            <w:tcW w:w="567" w:type="dxa"/>
          </w:tcPr>
          <w:p w14:paraId="23E90610" w14:textId="77777777" w:rsidR="00C150E9" w:rsidRPr="00BE6F70" w:rsidRDefault="00C150E9" w:rsidP="00F12D53">
            <w:pPr>
              <w:pStyle w:val="Body"/>
              <w:spacing w:before="60" w:after="60"/>
            </w:pPr>
            <w:r>
              <w:t>(a)</w:t>
            </w:r>
          </w:p>
        </w:tc>
        <w:tc>
          <w:tcPr>
            <w:tcW w:w="7753" w:type="dxa"/>
            <w:gridSpan w:val="2"/>
          </w:tcPr>
          <w:p w14:paraId="3D9A5AFF" w14:textId="77777777" w:rsidR="00C150E9" w:rsidRPr="00BE6F70" w:rsidRDefault="00C150E9" w:rsidP="00F12D53">
            <w:pPr>
              <w:pStyle w:val="Body"/>
              <w:spacing w:before="60" w:after="60"/>
            </w:pPr>
            <w:r w:rsidRPr="00FC1501">
              <w:t>trade secrets; or</w:t>
            </w:r>
          </w:p>
        </w:tc>
      </w:tr>
      <w:tr w:rsidR="00C150E9" w14:paraId="7D938717" w14:textId="77777777" w:rsidTr="00F12D53">
        <w:tc>
          <w:tcPr>
            <w:tcW w:w="589" w:type="dxa"/>
          </w:tcPr>
          <w:p w14:paraId="0724F139" w14:textId="77777777" w:rsidR="00C150E9" w:rsidRDefault="00C150E9" w:rsidP="00F12D53">
            <w:pPr>
              <w:pStyle w:val="Body"/>
              <w:spacing w:before="60" w:after="60" w:line="240" w:lineRule="auto"/>
            </w:pPr>
          </w:p>
        </w:tc>
        <w:tc>
          <w:tcPr>
            <w:tcW w:w="589" w:type="dxa"/>
          </w:tcPr>
          <w:p w14:paraId="2F46D560" w14:textId="77777777" w:rsidR="00C150E9" w:rsidRDefault="00C150E9" w:rsidP="00F12D53">
            <w:pPr>
              <w:pStyle w:val="Body"/>
              <w:spacing w:before="60" w:after="60" w:line="240" w:lineRule="auto"/>
            </w:pPr>
          </w:p>
        </w:tc>
        <w:tc>
          <w:tcPr>
            <w:tcW w:w="567" w:type="dxa"/>
          </w:tcPr>
          <w:p w14:paraId="4B748A28" w14:textId="77777777" w:rsidR="00C150E9" w:rsidRDefault="00C150E9" w:rsidP="00F12D53">
            <w:pPr>
              <w:pStyle w:val="Body"/>
              <w:spacing w:before="60" w:after="60"/>
            </w:pPr>
            <w:r>
              <w:t>(b)</w:t>
            </w:r>
          </w:p>
        </w:tc>
        <w:tc>
          <w:tcPr>
            <w:tcW w:w="7753" w:type="dxa"/>
            <w:gridSpan w:val="2"/>
          </w:tcPr>
          <w:p w14:paraId="50E508E8" w14:textId="77777777" w:rsidR="00C150E9" w:rsidRPr="00FC1501" w:rsidRDefault="00C150E9" w:rsidP="00F12D53">
            <w:pPr>
              <w:pStyle w:val="Body"/>
              <w:spacing w:before="60" w:after="60"/>
            </w:pPr>
            <w:r w:rsidRPr="00FC1501">
              <w:t>other matters of a business, commercial or financial nature and the disclosure of the information would be likely to expose the undertaking unreasonably to disadvantage.</w:t>
            </w:r>
          </w:p>
        </w:tc>
      </w:tr>
      <w:tr w:rsidR="00C150E9" w14:paraId="008CA0B3" w14:textId="77777777" w:rsidTr="00F12D53">
        <w:tc>
          <w:tcPr>
            <w:tcW w:w="589" w:type="dxa"/>
          </w:tcPr>
          <w:p w14:paraId="1FB28341" w14:textId="77777777" w:rsidR="00C150E9" w:rsidRDefault="00C150E9" w:rsidP="00F12D53">
            <w:pPr>
              <w:pStyle w:val="Body"/>
              <w:spacing w:before="60" w:after="60" w:line="240" w:lineRule="auto"/>
            </w:pPr>
          </w:p>
        </w:tc>
        <w:tc>
          <w:tcPr>
            <w:tcW w:w="589" w:type="dxa"/>
          </w:tcPr>
          <w:p w14:paraId="1E621EDF" w14:textId="77777777" w:rsidR="00C150E9" w:rsidRDefault="00C150E9" w:rsidP="00F12D53">
            <w:pPr>
              <w:pStyle w:val="Body"/>
              <w:spacing w:before="60" w:after="60" w:line="240" w:lineRule="auto"/>
            </w:pPr>
            <w:r>
              <w:t>(2)</w:t>
            </w:r>
          </w:p>
        </w:tc>
        <w:tc>
          <w:tcPr>
            <w:tcW w:w="8320" w:type="dxa"/>
            <w:gridSpan w:val="3"/>
          </w:tcPr>
          <w:p w14:paraId="354704B7" w14:textId="77777777" w:rsidR="00C150E9" w:rsidRPr="00042358" w:rsidRDefault="00C150E9" w:rsidP="00F12D53">
            <w:pPr>
              <w:pStyle w:val="Body"/>
              <w:spacing w:before="60" w:after="60"/>
            </w:pPr>
            <w:r w:rsidRPr="00A03B80">
              <w:t>In deciding whether disclosure of information would expose an undertaking unreasonably to disadvantage, for the purposes of paragraph (b) of subsection (1), an agency or Minister may take account of any of the following considerations—</w:t>
            </w:r>
          </w:p>
        </w:tc>
      </w:tr>
      <w:tr w:rsidR="00C150E9" w14:paraId="14D13712" w14:textId="77777777" w:rsidTr="00F12D53">
        <w:tc>
          <w:tcPr>
            <w:tcW w:w="589" w:type="dxa"/>
          </w:tcPr>
          <w:p w14:paraId="2DFD99B1" w14:textId="77777777" w:rsidR="00C150E9" w:rsidRDefault="00C150E9" w:rsidP="00F12D53">
            <w:pPr>
              <w:pStyle w:val="Body"/>
              <w:spacing w:before="60" w:after="60" w:line="240" w:lineRule="auto"/>
            </w:pPr>
          </w:p>
        </w:tc>
        <w:tc>
          <w:tcPr>
            <w:tcW w:w="589" w:type="dxa"/>
          </w:tcPr>
          <w:p w14:paraId="74FDEAA6" w14:textId="77777777" w:rsidR="00C150E9" w:rsidRDefault="00C150E9" w:rsidP="00F12D53">
            <w:pPr>
              <w:pStyle w:val="Body"/>
              <w:spacing w:before="60" w:after="60" w:line="240" w:lineRule="auto"/>
            </w:pPr>
          </w:p>
        </w:tc>
        <w:tc>
          <w:tcPr>
            <w:tcW w:w="567" w:type="dxa"/>
          </w:tcPr>
          <w:p w14:paraId="4C1FD55B" w14:textId="77777777" w:rsidR="00C150E9" w:rsidRPr="00BE6F70" w:rsidRDefault="00C150E9" w:rsidP="00F12D53">
            <w:pPr>
              <w:pStyle w:val="Body"/>
              <w:spacing w:before="60" w:after="60"/>
            </w:pPr>
            <w:r>
              <w:t>(a)</w:t>
            </w:r>
          </w:p>
        </w:tc>
        <w:tc>
          <w:tcPr>
            <w:tcW w:w="7753" w:type="dxa"/>
            <w:gridSpan w:val="2"/>
          </w:tcPr>
          <w:p w14:paraId="7C48EDA1" w14:textId="77777777" w:rsidR="00C150E9" w:rsidRPr="00BE6F70" w:rsidRDefault="00C150E9" w:rsidP="00F12D53">
            <w:pPr>
              <w:pStyle w:val="Body"/>
              <w:spacing w:before="60" w:after="60"/>
            </w:pPr>
            <w:r w:rsidRPr="00A03B80">
              <w:t>whether the information is generally available to competitors of the undertaking;</w:t>
            </w:r>
          </w:p>
        </w:tc>
      </w:tr>
      <w:tr w:rsidR="00C150E9" w14:paraId="0ABF3425" w14:textId="77777777" w:rsidTr="00F12D53">
        <w:tc>
          <w:tcPr>
            <w:tcW w:w="589" w:type="dxa"/>
          </w:tcPr>
          <w:p w14:paraId="393A7180" w14:textId="77777777" w:rsidR="00C150E9" w:rsidRDefault="00C150E9" w:rsidP="00F12D53">
            <w:pPr>
              <w:pStyle w:val="Body"/>
              <w:spacing w:before="60" w:after="60" w:line="240" w:lineRule="auto"/>
            </w:pPr>
          </w:p>
        </w:tc>
        <w:tc>
          <w:tcPr>
            <w:tcW w:w="589" w:type="dxa"/>
          </w:tcPr>
          <w:p w14:paraId="12210BAD" w14:textId="77777777" w:rsidR="00C150E9" w:rsidRDefault="00C150E9" w:rsidP="00F12D53">
            <w:pPr>
              <w:pStyle w:val="Body"/>
              <w:spacing w:before="60" w:after="60" w:line="240" w:lineRule="auto"/>
            </w:pPr>
          </w:p>
        </w:tc>
        <w:tc>
          <w:tcPr>
            <w:tcW w:w="567" w:type="dxa"/>
          </w:tcPr>
          <w:p w14:paraId="18C9ACF7" w14:textId="77777777" w:rsidR="00C150E9" w:rsidRDefault="00C150E9" w:rsidP="00F12D53">
            <w:pPr>
              <w:pStyle w:val="Body"/>
              <w:spacing w:before="60" w:after="60"/>
            </w:pPr>
            <w:r>
              <w:t>(b)</w:t>
            </w:r>
          </w:p>
        </w:tc>
        <w:tc>
          <w:tcPr>
            <w:tcW w:w="7753" w:type="dxa"/>
            <w:gridSpan w:val="2"/>
          </w:tcPr>
          <w:p w14:paraId="0BFD2D4A" w14:textId="77777777" w:rsidR="00C150E9" w:rsidRPr="00BE6F70" w:rsidRDefault="00C150E9" w:rsidP="00F12D53">
            <w:pPr>
              <w:pStyle w:val="Body"/>
              <w:spacing w:before="60" w:after="60"/>
            </w:pPr>
            <w:r w:rsidRPr="00A03B80">
              <w:t>whether the information would be exempt matter if it were generated by an agency or a Minister;</w:t>
            </w:r>
          </w:p>
        </w:tc>
      </w:tr>
      <w:tr w:rsidR="00C150E9" w14:paraId="6C49CC38" w14:textId="77777777" w:rsidTr="00F12D53">
        <w:tc>
          <w:tcPr>
            <w:tcW w:w="589" w:type="dxa"/>
          </w:tcPr>
          <w:p w14:paraId="6440351F" w14:textId="77777777" w:rsidR="00C150E9" w:rsidRDefault="00C150E9" w:rsidP="00F12D53">
            <w:pPr>
              <w:pStyle w:val="Body"/>
              <w:spacing w:before="60" w:after="60" w:line="240" w:lineRule="auto"/>
            </w:pPr>
          </w:p>
        </w:tc>
        <w:tc>
          <w:tcPr>
            <w:tcW w:w="589" w:type="dxa"/>
          </w:tcPr>
          <w:p w14:paraId="0E42E39F" w14:textId="77777777" w:rsidR="00C150E9" w:rsidRDefault="00C150E9" w:rsidP="00F12D53">
            <w:pPr>
              <w:pStyle w:val="Body"/>
              <w:spacing w:before="60" w:after="60" w:line="240" w:lineRule="auto"/>
            </w:pPr>
          </w:p>
        </w:tc>
        <w:tc>
          <w:tcPr>
            <w:tcW w:w="567" w:type="dxa"/>
          </w:tcPr>
          <w:p w14:paraId="3722F9D1" w14:textId="77777777" w:rsidR="00C150E9" w:rsidRDefault="00C150E9" w:rsidP="00F12D53">
            <w:pPr>
              <w:pStyle w:val="Body"/>
              <w:spacing w:before="60" w:after="60"/>
            </w:pPr>
            <w:r>
              <w:t>(c)</w:t>
            </w:r>
          </w:p>
        </w:tc>
        <w:tc>
          <w:tcPr>
            <w:tcW w:w="7753" w:type="dxa"/>
            <w:gridSpan w:val="2"/>
          </w:tcPr>
          <w:p w14:paraId="53D6A376" w14:textId="77777777" w:rsidR="00C150E9" w:rsidRPr="00A03B80" w:rsidRDefault="00C150E9" w:rsidP="00F12D53">
            <w:pPr>
              <w:pStyle w:val="Body"/>
              <w:spacing w:before="60" w:after="60"/>
            </w:pPr>
            <w:r w:rsidRPr="00A03B80">
              <w:t>whether the information could be disclosed without causing substantial harm to the competitive position of the undertaking; and</w:t>
            </w:r>
          </w:p>
        </w:tc>
      </w:tr>
      <w:tr w:rsidR="00C150E9" w14:paraId="46735126" w14:textId="77777777" w:rsidTr="00F12D53">
        <w:tc>
          <w:tcPr>
            <w:tcW w:w="589" w:type="dxa"/>
          </w:tcPr>
          <w:p w14:paraId="662C5ED4" w14:textId="77777777" w:rsidR="00C150E9" w:rsidRDefault="00C150E9" w:rsidP="00F12D53">
            <w:pPr>
              <w:pStyle w:val="Body"/>
              <w:spacing w:before="60" w:after="60" w:line="240" w:lineRule="auto"/>
            </w:pPr>
          </w:p>
        </w:tc>
        <w:tc>
          <w:tcPr>
            <w:tcW w:w="589" w:type="dxa"/>
          </w:tcPr>
          <w:p w14:paraId="4F3EC6CD" w14:textId="77777777" w:rsidR="00C150E9" w:rsidRDefault="00C150E9" w:rsidP="00F12D53">
            <w:pPr>
              <w:pStyle w:val="Body"/>
              <w:spacing w:before="60" w:after="60" w:line="240" w:lineRule="auto"/>
            </w:pPr>
          </w:p>
        </w:tc>
        <w:tc>
          <w:tcPr>
            <w:tcW w:w="567" w:type="dxa"/>
          </w:tcPr>
          <w:p w14:paraId="365D93DE" w14:textId="77777777" w:rsidR="00C150E9" w:rsidRDefault="00C150E9" w:rsidP="00F12D53">
            <w:pPr>
              <w:pStyle w:val="Body"/>
              <w:spacing w:before="60" w:after="60"/>
            </w:pPr>
            <w:r>
              <w:t>(d)</w:t>
            </w:r>
          </w:p>
        </w:tc>
        <w:tc>
          <w:tcPr>
            <w:tcW w:w="7753" w:type="dxa"/>
            <w:gridSpan w:val="2"/>
          </w:tcPr>
          <w:p w14:paraId="3EFE8CFB" w14:textId="77777777" w:rsidR="00C150E9" w:rsidRPr="00A03B80" w:rsidRDefault="00C150E9" w:rsidP="00F12D53">
            <w:pPr>
              <w:pStyle w:val="Body"/>
              <w:spacing w:before="60" w:after="60"/>
            </w:pPr>
            <w:r w:rsidRPr="00A03B80">
              <w:t>whether there are any considerations in the public interest in favour of disclosure which outweigh considerations of competitive disadvantage to the undertaking, for instance, the public interest in evaluating aspects of government regulation of corporate practices or environmental controls—</w:t>
            </w:r>
          </w:p>
        </w:tc>
      </w:tr>
      <w:tr w:rsidR="00C150E9" w14:paraId="58ED785F" w14:textId="77777777" w:rsidTr="00F12D53">
        <w:tc>
          <w:tcPr>
            <w:tcW w:w="589" w:type="dxa"/>
          </w:tcPr>
          <w:p w14:paraId="50FD0215" w14:textId="77777777" w:rsidR="00C150E9" w:rsidRDefault="00C150E9" w:rsidP="00F12D53">
            <w:pPr>
              <w:pStyle w:val="Body"/>
              <w:spacing w:before="60" w:after="60" w:line="240" w:lineRule="auto"/>
            </w:pPr>
          </w:p>
        </w:tc>
        <w:tc>
          <w:tcPr>
            <w:tcW w:w="589" w:type="dxa"/>
          </w:tcPr>
          <w:p w14:paraId="1545D352" w14:textId="77777777" w:rsidR="00C150E9" w:rsidRDefault="00C150E9" w:rsidP="00F12D53">
            <w:pPr>
              <w:pStyle w:val="Body"/>
              <w:spacing w:before="60" w:after="60" w:line="240" w:lineRule="auto"/>
            </w:pPr>
          </w:p>
        </w:tc>
        <w:tc>
          <w:tcPr>
            <w:tcW w:w="8320" w:type="dxa"/>
            <w:gridSpan w:val="3"/>
          </w:tcPr>
          <w:p w14:paraId="32C8B5A6" w14:textId="77777777" w:rsidR="00C150E9" w:rsidRPr="00042358" w:rsidRDefault="00C150E9" w:rsidP="00F12D53">
            <w:pPr>
              <w:pStyle w:val="Body"/>
              <w:spacing w:before="60" w:after="60"/>
            </w:pPr>
            <w:r w:rsidRPr="00A03B80">
              <w:t>and of any other consideration or considerations which in the opinion of the agency or Minister is or are relevant.</w:t>
            </w:r>
          </w:p>
        </w:tc>
      </w:tr>
      <w:tr w:rsidR="00C150E9" w:rsidRPr="00335CC3" w14:paraId="40A29A41" w14:textId="77777777" w:rsidTr="00F12D53">
        <w:tc>
          <w:tcPr>
            <w:tcW w:w="589" w:type="dxa"/>
          </w:tcPr>
          <w:p w14:paraId="292FB0E6" w14:textId="77777777" w:rsidR="00C150E9" w:rsidRDefault="00C150E9" w:rsidP="00F12D53">
            <w:pPr>
              <w:pStyle w:val="Body"/>
              <w:spacing w:before="60" w:after="60" w:line="240" w:lineRule="auto"/>
            </w:pPr>
          </w:p>
        </w:tc>
        <w:tc>
          <w:tcPr>
            <w:tcW w:w="589" w:type="dxa"/>
          </w:tcPr>
          <w:p w14:paraId="25A23FF9" w14:textId="77777777" w:rsidR="00C150E9" w:rsidRDefault="00C150E9" w:rsidP="00F12D53">
            <w:pPr>
              <w:pStyle w:val="Body"/>
              <w:spacing w:before="60" w:after="60" w:line="240" w:lineRule="auto"/>
            </w:pPr>
            <w:r>
              <w:t>(3)</w:t>
            </w:r>
          </w:p>
        </w:tc>
        <w:tc>
          <w:tcPr>
            <w:tcW w:w="8320" w:type="dxa"/>
            <w:gridSpan w:val="3"/>
          </w:tcPr>
          <w:p w14:paraId="5C7CF3D2" w14:textId="77777777" w:rsidR="00C150E9" w:rsidRPr="00A03B80" w:rsidRDefault="00C150E9" w:rsidP="00F12D53">
            <w:pPr>
              <w:pStyle w:val="Body"/>
              <w:spacing w:before="60" w:after="60"/>
              <w:rPr>
                <w:rFonts w:ascii="Times New Roman" w:hAnsi="Times New Roman"/>
                <w:sz w:val="24"/>
              </w:rPr>
            </w:pPr>
            <w:r>
              <w:t>An agency or Minister, in deciding whether the disclosure of information would expose an undertaking unreasonably to disadvantage, if practicable, must—</w:t>
            </w:r>
          </w:p>
        </w:tc>
      </w:tr>
      <w:tr w:rsidR="00C150E9" w:rsidRPr="00BE6F70" w14:paraId="4FC6C006" w14:textId="77777777" w:rsidTr="00F12D53">
        <w:tc>
          <w:tcPr>
            <w:tcW w:w="589" w:type="dxa"/>
          </w:tcPr>
          <w:p w14:paraId="390476B9" w14:textId="77777777" w:rsidR="00C150E9" w:rsidRDefault="00C150E9" w:rsidP="00F12D53">
            <w:pPr>
              <w:pStyle w:val="Body"/>
              <w:spacing w:before="60" w:after="60" w:line="240" w:lineRule="auto"/>
            </w:pPr>
          </w:p>
        </w:tc>
        <w:tc>
          <w:tcPr>
            <w:tcW w:w="589" w:type="dxa"/>
          </w:tcPr>
          <w:p w14:paraId="7B4B5924" w14:textId="77777777" w:rsidR="00C150E9" w:rsidRDefault="00C150E9" w:rsidP="00F12D53">
            <w:pPr>
              <w:pStyle w:val="Body"/>
              <w:spacing w:before="60" w:after="60" w:line="240" w:lineRule="auto"/>
            </w:pPr>
          </w:p>
        </w:tc>
        <w:tc>
          <w:tcPr>
            <w:tcW w:w="567" w:type="dxa"/>
          </w:tcPr>
          <w:p w14:paraId="14A7B44A" w14:textId="77777777" w:rsidR="00C150E9" w:rsidRPr="00BE6F70" w:rsidRDefault="00C150E9" w:rsidP="00F12D53">
            <w:pPr>
              <w:pStyle w:val="Body"/>
              <w:spacing w:before="60" w:after="60"/>
            </w:pPr>
            <w:r>
              <w:t>(a)</w:t>
            </w:r>
          </w:p>
        </w:tc>
        <w:tc>
          <w:tcPr>
            <w:tcW w:w="7753" w:type="dxa"/>
            <w:gridSpan w:val="2"/>
          </w:tcPr>
          <w:p w14:paraId="00BC3841" w14:textId="77777777" w:rsidR="00C150E9" w:rsidRPr="00BE6F70" w:rsidRDefault="00C150E9" w:rsidP="00F12D53">
            <w:pPr>
              <w:pStyle w:val="Body"/>
              <w:spacing w:before="60" w:after="60"/>
            </w:pPr>
            <w:r w:rsidRPr="00A03B80">
              <w:t xml:space="preserve">notify the undertaking that the agency or Minister has received a request for access to the document; and </w:t>
            </w:r>
          </w:p>
        </w:tc>
      </w:tr>
      <w:tr w:rsidR="00C150E9" w:rsidRPr="00BE6F70" w14:paraId="78F952B7" w14:textId="77777777" w:rsidTr="00F12D53">
        <w:tc>
          <w:tcPr>
            <w:tcW w:w="589" w:type="dxa"/>
          </w:tcPr>
          <w:p w14:paraId="16C178AE" w14:textId="77777777" w:rsidR="00C150E9" w:rsidRDefault="00C150E9" w:rsidP="00F12D53">
            <w:pPr>
              <w:pStyle w:val="Body"/>
              <w:spacing w:before="60" w:after="60" w:line="240" w:lineRule="auto"/>
            </w:pPr>
          </w:p>
        </w:tc>
        <w:tc>
          <w:tcPr>
            <w:tcW w:w="589" w:type="dxa"/>
          </w:tcPr>
          <w:p w14:paraId="173F69A1" w14:textId="77777777" w:rsidR="00C150E9" w:rsidRDefault="00C150E9" w:rsidP="00F12D53">
            <w:pPr>
              <w:pStyle w:val="Body"/>
              <w:spacing w:before="60" w:after="60" w:line="240" w:lineRule="auto"/>
            </w:pPr>
          </w:p>
        </w:tc>
        <w:tc>
          <w:tcPr>
            <w:tcW w:w="567" w:type="dxa"/>
          </w:tcPr>
          <w:p w14:paraId="76C404BA" w14:textId="77777777" w:rsidR="00C150E9" w:rsidRDefault="00C150E9" w:rsidP="00F12D53">
            <w:pPr>
              <w:pStyle w:val="Body"/>
              <w:spacing w:before="60" w:after="60"/>
            </w:pPr>
            <w:r>
              <w:t>(b)</w:t>
            </w:r>
          </w:p>
        </w:tc>
        <w:tc>
          <w:tcPr>
            <w:tcW w:w="7753" w:type="dxa"/>
            <w:gridSpan w:val="2"/>
          </w:tcPr>
          <w:p w14:paraId="58F63919" w14:textId="77777777" w:rsidR="00C150E9" w:rsidRPr="00A03B80" w:rsidRDefault="00C150E9" w:rsidP="00F12D53">
            <w:pPr>
              <w:pStyle w:val="Body"/>
              <w:spacing w:before="60" w:after="60"/>
            </w:pPr>
            <w:r w:rsidRPr="00A03B80">
              <w:t>seek the undertaking's view as to whether disclosure of the document should occur; and</w:t>
            </w:r>
          </w:p>
        </w:tc>
      </w:tr>
      <w:tr w:rsidR="00C150E9" w:rsidRPr="00BE6F70" w14:paraId="6D5B2280" w14:textId="77777777" w:rsidTr="00F12D53">
        <w:tc>
          <w:tcPr>
            <w:tcW w:w="589" w:type="dxa"/>
          </w:tcPr>
          <w:p w14:paraId="0FE72022" w14:textId="77777777" w:rsidR="00C150E9" w:rsidRDefault="00C150E9" w:rsidP="00F12D53">
            <w:pPr>
              <w:pStyle w:val="Body"/>
              <w:spacing w:before="60" w:after="60" w:line="240" w:lineRule="auto"/>
            </w:pPr>
          </w:p>
        </w:tc>
        <w:tc>
          <w:tcPr>
            <w:tcW w:w="589" w:type="dxa"/>
          </w:tcPr>
          <w:p w14:paraId="30C8702D" w14:textId="77777777" w:rsidR="00C150E9" w:rsidRDefault="00C150E9" w:rsidP="00F12D53">
            <w:pPr>
              <w:pStyle w:val="Body"/>
              <w:spacing w:before="60" w:after="60" w:line="240" w:lineRule="auto"/>
            </w:pPr>
          </w:p>
        </w:tc>
        <w:tc>
          <w:tcPr>
            <w:tcW w:w="567" w:type="dxa"/>
          </w:tcPr>
          <w:p w14:paraId="14842E31" w14:textId="77777777" w:rsidR="00C150E9" w:rsidRDefault="00C150E9" w:rsidP="00F12D53">
            <w:pPr>
              <w:pStyle w:val="Body"/>
              <w:spacing w:before="60" w:after="60"/>
            </w:pPr>
            <w:r>
              <w:t>(c)</w:t>
            </w:r>
          </w:p>
        </w:tc>
        <w:tc>
          <w:tcPr>
            <w:tcW w:w="7753" w:type="dxa"/>
            <w:gridSpan w:val="2"/>
          </w:tcPr>
          <w:p w14:paraId="2DECB7FD" w14:textId="77777777" w:rsidR="00C150E9" w:rsidRPr="00A03B80" w:rsidRDefault="00C150E9" w:rsidP="00F12D53">
            <w:pPr>
              <w:pStyle w:val="Body"/>
              <w:spacing w:before="60" w:after="60"/>
            </w:pPr>
            <w:r w:rsidRPr="00A03B80">
              <w:t>state that if the undertaking consents to disclosure of the document, or disclosure subject to deletion of information likely to expose the undertaking to disadvantage, the undertaking is not entitled to apply to the Tribunal for review of a decision to grant access to that document.</w:t>
            </w:r>
          </w:p>
        </w:tc>
      </w:tr>
      <w:tr w:rsidR="00C150E9" w:rsidRPr="00BE6F70" w14:paraId="017B093B" w14:textId="77777777" w:rsidTr="00F12D53">
        <w:tc>
          <w:tcPr>
            <w:tcW w:w="589" w:type="dxa"/>
          </w:tcPr>
          <w:p w14:paraId="5C476E2D" w14:textId="77777777" w:rsidR="00C150E9" w:rsidRDefault="00C150E9" w:rsidP="00F12D53">
            <w:pPr>
              <w:pStyle w:val="Body"/>
              <w:spacing w:before="60" w:after="60" w:line="240" w:lineRule="auto"/>
            </w:pPr>
          </w:p>
        </w:tc>
        <w:tc>
          <w:tcPr>
            <w:tcW w:w="589" w:type="dxa"/>
          </w:tcPr>
          <w:p w14:paraId="3B5AA0EB" w14:textId="77777777" w:rsidR="00C150E9" w:rsidRDefault="00C150E9" w:rsidP="00F12D53">
            <w:pPr>
              <w:pStyle w:val="Body"/>
              <w:spacing w:before="60" w:after="60" w:line="240" w:lineRule="auto"/>
            </w:pPr>
            <w:r>
              <w:t>(3A)</w:t>
            </w:r>
          </w:p>
        </w:tc>
        <w:tc>
          <w:tcPr>
            <w:tcW w:w="8320" w:type="dxa"/>
            <w:gridSpan w:val="3"/>
          </w:tcPr>
          <w:p w14:paraId="1EDC38C8" w14:textId="77777777" w:rsidR="00C150E9" w:rsidRPr="00A03B80" w:rsidRDefault="00C150E9" w:rsidP="00F12D53">
            <w:pPr>
              <w:pStyle w:val="Body"/>
              <w:spacing w:before="60" w:after="60"/>
            </w:pPr>
            <w:r w:rsidRPr="00A03B80">
              <w:t>If the agency or Minister, after consultation, decides to disclose the document, the agency or Minister must notify the undertaking from which the document was acquired of the—</w:t>
            </w:r>
          </w:p>
        </w:tc>
      </w:tr>
      <w:tr w:rsidR="00C150E9" w:rsidRPr="00BE6F70" w14:paraId="27A2CF64" w14:textId="77777777" w:rsidTr="00F12D53">
        <w:tc>
          <w:tcPr>
            <w:tcW w:w="589" w:type="dxa"/>
          </w:tcPr>
          <w:p w14:paraId="681DD53A" w14:textId="77777777" w:rsidR="00C150E9" w:rsidRDefault="00C150E9" w:rsidP="00F12D53">
            <w:pPr>
              <w:pStyle w:val="Body"/>
              <w:spacing w:before="60" w:after="60" w:line="240" w:lineRule="auto"/>
            </w:pPr>
          </w:p>
        </w:tc>
        <w:tc>
          <w:tcPr>
            <w:tcW w:w="589" w:type="dxa"/>
          </w:tcPr>
          <w:p w14:paraId="5B8A0622" w14:textId="77777777" w:rsidR="00C150E9" w:rsidRDefault="00C150E9" w:rsidP="00F12D53">
            <w:pPr>
              <w:pStyle w:val="Body"/>
              <w:spacing w:before="60" w:after="60" w:line="240" w:lineRule="auto"/>
            </w:pPr>
          </w:p>
        </w:tc>
        <w:tc>
          <w:tcPr>
            <w:tcW w:w="567" w:type="dxa"/>
          </w:tcPr>
          <w:p w14:paraId="591A3984" w14:textId="77777777" w:rsidR="00C150E9" w:rsidRDefault="00C150E9" w:rsidP="00F12D53">
            <w:pPr>
              <w:pStyle w:val="Body"/>
              <w:spacing w:before="60" w:after="60"/>
            </w:pPr>
            <w:r>
              <w:t>(a)</w:t>
            </w:r>
          </w:p>
        </w:tc>
        <w:tc>
          <w:tcPr>
            <w:tcW w:w="7753" w:type="dxa"/>
            <w:gridSpan w:val="2"/>
          </w:tcPr>
          <w:p w14:paraId="5E1D5DC2" w14:textId="77777777" w:rsidR="00C150E9" w:rsidRPr="00A03B80" w:rsidRDefault="00C150E9" w:rsidP="00F12D53">
            <w:pPr>
              <w:pStyle w:val="Body"/>
              <w:spacing w:before="60" w:after="60"/>
            </w:pPr>
            <w:r w:rsidRPr="00A03B80">
              <w:t>decision to grant access to the document; and</w:t>
            </w:r>
          </w:p>
        </w:tc>
      </w:tr>
      <w:tr w:rsidR="00C150E9" w:rsidRPr="00BE6F70" w14:paraId="45364082" w14:textId="77777777" w:rsidTr="00F12D53">
        <w:tc>
          <w:tcPr>
            <w:tcW w:w="589" w:type="dxa"/>
          </w:tcPr>
          <w:p w14:paraId="2BFB0918" w14:textId="77777777" w:rsidR="00C150E9" w:rsidRDefault="00C150E9" w:rsidP="00F12D53">
            <w:pPr>
              <w:pStyle w:val="Body"/>
              <w:spacing w:before="60" w:after="60" w:line="240" w:lineRule="auto"/>
            </w:pPr>
          </w:p>
        </w:tc>
        <w:tc>
          <w:tcPr>
            <w:tcW w:w="589" w:type="dxa"/>
          </w:tcPr>
          <w:p w14:paraId="5898A86C" w14:textId="77777777" w:rsidR="00C150E9" w:rsidRDefault="00C150E9" w:rsidP="00F12D53">
            <w:pPr>
              <w:pStyle w:val="Body"/>
              <w:spacing w:before="60" w:after="60" w:line="240" w:lineRule="auto"/>
            </w:pPr>
          </w:p>
        </w:tc>
        <w:tc>
          <w:tcPr>
            <w:tcW w:w="567" w:type="dxa"/>
          </w:tcPr>
          <w:p w14:paraId="738214BE" w14:textId="77777777" w:rsidR="00C150E9" w:rsidRDefault="00C150E9" w:rsidP="00F12D53">
            <w:pPr>
              <w:pStyle w:val="Body"/>
              <w:spacing w:before="60" w:after="60"/>
            </w:pPr>
            <w:r>
              <w:t>(b)</w:t>
            </w:r>
          </w:p>
        </w:tc>
        <w:tc>
          <w:tcPr>
            <w:tcW w:w="7753" w:type="dxa"/>
            <w:gridSpan w:val="2"/>
          </w:tcPr>
          <w:p w14:paraId="6062B13C" w14:textId="77777777" w:rsidR="00C150E9" w:rsidRPr="00A03B80" w:rsidRDefault="00C150E9" w:rsidP="00F12D53">
            <w:pPr>
              <w:pStyle w:val="Body"/>
              <w:spacing w:before="60" w:after="60"/>
            </w:pPr>
            <w:r w:rsidRPr="00A03B80">
              <w:t>right to make an application for review of the decision provided by section 50(3A).</w:t>
            </w:r>
          </w:p>
        </w:tc>
      </w:tr>
      <w:tr w:rsidR="00C150E9" w:rsidRPr="00BE6F70" w14:paraId="39DEC20A" w14:textId="77777777" w:rsidTr="00F12D53">
        <w:tc>
          <w:tcPr>
            <w:tcW w:w="589" w:type="dxa"/>
          </w:tcPr>
          <w:p w14:paraId="4D55A2C7" w14:textId="77777777" w:rsidR="00C150E9" w:rsidRDefault="00C150E9" w:rsidP="00F12D53">
            <w:pPr>
              <w:pStyle w:val="Body"/>
              <w:spacing w:before="60" w:after="60" w:line="240" w:lineRule="auto"/>
            </w:pPr>
          </w:p>
        </w:tc>
        <w:tc>
          <w:tcPr>
            <w:tcW w:w="589" w:type="dxa"/>
          </w:tcPr>
          <w:p w14:paraId="6952872E" w14:textId="77777777" w:rsidR="00C150E9" w:rsidRDefault="00C150E9" w:rsidP="00F12D53">
            <w:pPr>
              <w:pStyle w:val="Body"/>
              <w:spacing w:before="60" w:after="60" w:line="240" w:lineRule="auto"/>
            </w:pPr>
            <w:r>
              <w:t>(3B)</w:t>
            </w:r>
          </w:p>
        </w:tc>
        <w:tc>
          <w:tcPr>
            <w:tcW w:w="8320" w:type="dxa"/>
            <w:gridSpan w:val="3"/>
          </w:tcPr>
          <w:p w14:paraId="1E18D637" w14:textId="77777777" w:rsidR="00C150E9" w:rsidRPr="00A03B80" w:rsidRDefault="00C150E9" w:rsidP="00F12D53">
            <w:pPr>
              <w:pStyle w:val="Body"/>
              <w:spacing w:before="60" w:after="60"/>
            </w:pPr>
            <w:r w:rsidRPr="00A03B80">
              <w:t>An agency or Minister is not required to notify an undertaking that has consented to disclosure of a document, or a document with deletions, of the decision to disclose that document or document with deletions (as the case requires).</w:t>
            </w:r>
          </w:p>
        </w:tc>
      </w:tr>
      <w:tr w:rsidR="00C150E9" w:rsidRPr="00BE6F70" w14:paraId="04AA43BB" w14:textId="77777777" w:rsidTr="00F12D53">
        <w:tc>
          <w:tcPr>
            <w:tcW w:w="589" w:type="dxa"/>
          </w:tcPr>
          <w:p w14:paraId="31C6CD1B" w14:textId="77777777" w:rsidR="00C150E9" w:rsidRDefault="00C150E9" w:rsidP="00F12D53">
            <w:pPr>
              <w:pStyle w:val="Body"/>
              <w:spacing w:before="60" w:after="60" w:line="240" w:lineRule="auto"/>
            </w:pPr>
          </w:p>
        </w:tc>
        <w:tc>
          <w:tcPr>
            <w:tcW w:w="589" w:type="dxa"/>
          </w:tcPr>
          <w:p w14:paraId="32B7459F" w14:textId="77777777" w:rsidR="00C150E9" w:rsidRDefault="00C150E9" w:rsidP="00F12D53">
            <w:pPr>
              <w:pStyle w:val="Body"/>
              <w:spacing w:before="60" w:after="60" w:line="240" w:lineRule="auto"/>
            </w:pPr>
            <w:r>
              <w:t>(4)</w:t>
            </w:r>
          </w:p>
        </w:tc>
        <w:tc>
          <w:tcPr>
            <w:tcW w:w="8320" w:type="dxa"/>
            <w:gridSpan w:val="3"/>
          </w:tcPr>
          <w:p w14:paraId="3BF6C32C" w14:textId="77777777" w:rsidR="00C150E9" w:rsidRPr="00A03B80" w:rsidRDefault="00C150E9" w:rsidP="00F12D53">
            <w:pPr>
              <w:pStyle w:val="Body"/>
              <w:spacing w:before="60" w:after="60"/>
              <w:rPr>
                <w:rFonts w:ascii="Times New Roman" w:hAnsi="Times New Roman"/>
                <w:sz w:val="24"/>
              </w:rPr>
            </w:pPr>
            <w:r>
              <w:t>A document is an exempt document if—</w:t>
            </w:r>
          </w:p>
        </w:tc>
      </w:tr>
      <w:tr w:rsidR="00C150E9" w:rsidRPr="00BE6F70" w14:paraId="13BC8EB6" w14:textId="77777777" w:rsidTr="00F12D53">
        <w:tc>
          <w:tcPr>
            <w:tcW w:w="589" w:type="dxa"/>
          </w:tcPr>
          <w:p w14:paraId="12F5211F" w14:textId="77777777" w:rsidR="00C150E9" w:rsidRDefault="00C150E9" w:rsidP="00F12D53">
            <w:pPr>
              <w:pStyle w:val="Body"/>
              <w:spacing w:before="60" w:after="60" w:line="240" w:lineRule="auto"/>
            </w:pPr>
          </w:p>
        </w:tc>
        <w:tc>
          <w:tcPr>
            <w:tcW w:w="589" w:type="dxa"/>
          </w:tcPr>
          <w:p w14:paraId="610460FA" w14:textId="77777777" w:rsidR="00C150E9" w:rsidRDefault="00C150E9" w:rsidP="00F12D53">
            <w:pPr>
              <w:pStyle w:val="Body"/>
              <w:spacing w:before="60" w:after="60" w:line="240" w:lineRule="auto"/>
            </w:pPr>
          </w:p>
        </w:tc>
        <w:tc>
          <w:tcPr>
            <w:tcW w:w="567" w:type="dxa"/>
          </w:tcPr>
          <w:p w14:paraId="000931F0" w14:textId="77777777" w:rsidR="00C150E9" w:rsidRDefault="00C150E9" w:rsidP="00F12D53">
            <w:pPr>
              <w:pStyle w:val="Body"/>
              <w:spacing w:before="60" w:after="60"/>
            </w:pPr>
            <w:r>
              <w:t>(a)</w:t>
            </w:r>
          </w:p>
        </w:tc>
        <w:tc>
          <w:tcPr>
            <w:tcW w:w="7753" w:type="dxa"/>
            <w:gridSpan w:val="2"/>
          </w:tcPr>
          <w:p w14:paraId="7BCD72DD" w14:textId="77777777" w:rsidR="00C150E9" w:rsidRPr="00A03B80" w:rsidRDefault="00C150E9" w:rsidP="00F12D53">
            <w:pPr>
              <w:pStyle w:val="Body"/>
              <w:spacing w:before="60" w:after="60"/>
            </w:pPr>
            <w:r w:rsidRPr="00A03B80">
              <w:t>it contains—</w:t>
            </w:r>
          </w:p>
        </w:tc>
      </w:tr>
      <w:tr w:rsidR="00C150E9" w:rsidRPr="00BE6F70" w14:paraId="2D80CA3F" w14:textId="77777777" w:rsidTr="00F12D53">
        <w:tc>
          <w:tcPr>
            <w:tcW w:w="589" w:type="dxa"/>
          </w:tcPr>
          <w:p w14:paraId="43BB97FC" w14:textId="77777777" w:rsidR="00C150E9" w:rsidRDefault="00C150E9" w:rsidP="00F12D53">
            <w:pPr>
              <w:pStyle w:val="Body"/>
              <w:spacing w:before="60" w:after="60" w:line="240" w:lineRule="auto"/>
            </w:pPr>
          </w:p>
        </w:tc>
        <w:tc>
          <w:tcPr>
            <w:tcW w:w="589" w:type="dxa"/>
          </w:tcPr>
          <w:p w14:paraId="0EC27D69" w14:textId="77777777" w:rsidR="00C150E9" w:rsidRDefault="00C150E9" w:rsidP="00F12D53">
            <w:pPr>
              <w:pStyle w:val="Body"/>
              <w:spacing w:before="60" w:after="60" w:line="240" w:lineRule="auto"/>
            </w:pPr>
          </w:p>
        </w:tc>
        <w:tc>
          <w:tcPr>
            <w:tcW w:w="567" w:type="dxa"/>
          </w:tcPr>
          <w:p w14:paraId="5651D6F9" w14:textId="77777777" w:rsidR="00C150E9" w:rsidRDefault="00C150E9" w:rsidP="00F12D53">
            <w:pPr>
              <w:pStyle w:val="Body"/>
              <w:spacing w:before="60" w:after="60"/>
            </w:pPr>
          </w:p>
        </w:tc>
        <w:tc>
          <w:tcPr>
            <w:tcW w:w="542" w:type="dxa"/>
          </w:tcPr>
          <w:p w14:paraId="1CB0E048" w14:textId="77777777" w:rsidR="00C150E9" w:rsidRPr="00A03B80" w:rsidRDefault="00C150E9" w:rsidP="00F12D53">
            <w:pPr>
              <w:pStyle w:val="Body"/>
              <w:spacing w:before="60" w:after="60"/>
            </w:pPr>
            <w:r>
              <w:t>(</w:t>
            </w:r>
            <w:proofErr w:type="spellStart"/>
            <w:r>
              <w:t>i</w:t>
            </w:r>
            <w:proofErr w:type="spellEnd"/>
            <w:r>
              <w:t>)</w:t>
            </w:r>
          </w:p>
        </w:tc>
        <w:tc>
          <w:tcPr>
            <w:tcW w:w="7211" w:type="dxa"/>
          </w:tcPr>
          <w:p w14:paraId="4898EB1E" w14:textId="77777777" w:rsidR="00C150E9" w:rsidRPr="00A03B80" w:rsidRDefault="00C150E9" w:rsidP="00F12D53">
            <w:pPr>
              <w:pStyle w:val="Body"/>
              <w:spacing w:before="60" w:after="60"/>
            </w:pPr>
            <w:r w:rsidRPr="00A03B80">
              <w:t>a trade secret of an agency; or</w:t>
            </w:r>
          </w:p>
        </w:tc>
      </w:tr>
      <w:tr w:rsidR="00C150E9" w:rsidRPr="00BE6F70" w14:paraId="04E4EFDC" w14:textId="77777777" w:rsidTr="00F12D53">
        <w:tc>
          <w:tcPr>
            <w:tcW w:w="589" w:type="dxa"/>
          </w:tcPr>
          <w:p w14:paraId="40DB9F64" w14:textId="77777777" w:rsidR="00C150E9" w:rsidRDefault="00C150E9" w:rsidP="00F12D53">
            <w:pPr>
              <w:pStyle w:val="Body"/>
              <w:spacing w:before="60" w:after="60" w:line="240" w:lineRule="auto"/>
            </w:pPr>
          </w:p>
        </w:tc>
        <w:tc>
          <w:tcPr>
            <w:tcW w:w="589" w:type="dxa"/>
          </w:tcPr>
          <w:p w14:paraId="447E8443" w14:textId="77777777" w:rsidR="00C150E9" w:rsidRDefault="00C150E9" w:rsidP="00F12D53">
            <w:pPr>
              <w:pStyle w:val="Body"/>
              <w:spacing w:before="60" w:after="60" w:line="240" w:lineRule="auto"/>
            </w:pPr>
          </w:p>
        </w:tc>
        <w:tc>
          <w:tcPr>
            <w:tcW w:w="567" w:type="dxa"/>
          </w:tcPr>
          <w:p w14:paraId="44A4DC60" w14:textId="77777777" w:rsidR="00C150E9" w:rsidRDefault="00C150E9" w:rsidP="00F12D53">
            <w:pPr>
              <w:pStyle w:val="Body"/>
              <w:spacing w:before="60" w:after="60"/>
            </w:pPr>
          </w:p>
        </w:tc>
        <w:tc>
          <w:tcPr>
            <w:tcW w:w="542" w:type="dxa"/>
          </w:tcPr>
          <w:p w14:paraId="03A72725" w14:textId="77777777" w:rsidR="00C150E9" w:rsidRDefault="00C150E9" w:rsidP="00F12D53">
            <w:pPr>
              <w:pStyle w:val="Body"/>
              <w:spacing w:before="60" w:after="60"/>
            </w:pPr>
            <w:r>
              <w:t>(ii)</w:t>
            </w:r>
          </w:p>
        </w:tc>
        <w:tc>
          <w:tcPr>
            <w:tcW w:w="7211" w:type="dxa"/>
          </w:tcPr>
          <w:p w14:paraId="3E9568DE" w14:textId="77777777" w:rsidR="00C150E9" w:rsidRPr="00A03B80" w:rsidRDefault="00C150E9" w:rsidP="00F12D53">
            <w:pPr>
              <w:pStyle w:val="Body"/>
              <w:spacing w:before="60" w:after="60"/>
            </w:pPr>
            <w:r w:rsidRPr="00A03B80">
              <w:t>in the case of an agency engaged in trade or commerce—information of a business, commercial or financial nature—</w:t>
            </w:r>
          </w:p>
        </w:tc>
      </w:tr>
      <w:tr w:rsidR="00C150E9" w:rsidRPr="00BE6F70" w14:paraId="3E70ADE7" w14:textId="77777777" w:rsidTr="00F12D53">
        <w:tc>
          <w:tcPr>
            <w:tcW w:w="589" w:type="dxa"/>
          </w:tcPr>
          <w:p w14:paraId="5DD26AEA" w14:textId="77777777" w:rsidR="00C150E9" w:rsidRDefault="00C150E9" w:rsidP="00F12D53">
            <w:pPr>
              <w:pStyle w:val="Body"/>
              <w:spacing w:before="60" w:after="60" w:line="240" w:lineRule="auto"/>
            </w:pPr>
          </w:p>
        </w:tc>
        <w:tc>
          <w:tcPr>
            <w:tcW w:w="589" w:type="dxa"/>
          </w:tcPr>
          <w:p w14:paraId="6C5C8259" w14:textId="77777777" w:rsidR="00C150E9" w:rsidRDefault="00C150E9" w:rsidP="00F12D53">
            <w:pPr>
              <w:pStyle w:val="Body"/>
              <w:spacing w:before="60" w:after="60" w:line="240" w:lineRule="auto"/>
            </w:pPr>
          </w:p>
        </w:tc>
        <w:tc>
          <w:tcPr>
            <w:tcW w:w="567" w:type="dxa"/>
          </w:tcPr>
          <w:p w14:paraId="34018D63" w14:textId="77777777" w:rsidR="00C150E9" w:rsidRDefault="00C150E9" w:rsidP="00F12D53">
            <w:pPr>
              <w:pStyle w:val="Body"/>
              <w:spacing w:before="60" w:after="60"/>
            </w:pPr>
          </w:p>
        </w:tc>
        <w:tc>
          <w:tcPr>
            <w:tcW w:w="7753" w:type="dxa"/>
            <w:gridSpan w:val="2"/>
          </w:tcPr>
          <w:p w14:paraId="3A99EEF3" w14:textId="77777777" w:rsidR="00C150E9" w:rsidRPr="00A03B80" w:rsidRDefault="00C150E9" w:rsidP="00F12D53">
            <w:pPr>
              <w:pStyle w:val="Body"/>
              <w:spacing w:before="60" w:after="60"/>
            </w:pPr>
            <w:r w:rsidRPr="00A03B80">
              <w:t>that would if disclosed under this Act be likely to expose the agency unreasonably to disadvantage;</w:t>
            </w:r>
          </w:p>
        </w:tc>
      </w:tr>
      <w:tr w:rsidR="00C150E9" w:rsidRPr="00BE6F70" w14:paraId="79ADB106" w14:textId="77777777" w:rsidTr="00F12D53">
        <w:tc>
          <w:tcPr>
            <w:tcW w:w="589" w:type="dxa"/>
          </w:tcPr>
          <w:p w14:paraId="03CC57A8" w14:textId="77777777" w:rsidR="00C150E9" w:rsidRDefault="00C150E9" w:rsidP="00F12D53">
            <w:pPr>
              <w:pStyle w:val="Body"/>
              <w:spacing w:before="60" w:after="60" w:line="240" w:lineRule="auto"/>
            </w:pPr>
          </w:p>
        </w:tc>
        <w:tc>
          <w:tcPr>
            <w:tcW w:w="589" w:type="dxa"/>
          </w:tcPr>
          <w:p w14:paraId="514B6840" w14:textId="77777777" w:rsidR="00C150E9" w:rsidRDefault="00C150E9" w:rsidP="00F12D53">
            <w:pPr>
              <w:pStyle w:val="Body"/>
              <w:spacing w:before="60" w:after="60" w:line="240" w:lineRule="auto"/>
            </w:pPr>
          </w:p>
        </w:tc>
        <w:tc>
          <w:tcPr>
            <w:tcW w:w="567" w:type="dxa"/>
          </w:tcPr>
          <w:p w14:paraId="54EB3D22" w14:textId="77777777" w:rsidR="00C150E9" w:rsidRDefault="00C150E9" w:rsidP="00F12D53">
            <w:pPr>
              <w:pStyle w:val="Body"/>
              <w:spacing w:before="60" w:after="60"/>
            </w:pPr>
            <w:r>
              <w:t>(b)</w:t>
            </w:r>
          </w:p>
        </w:tc>
        <w:tc>
          <w:tcPr>
            <w:tcW w:w="7753" w:type="dxa"/>
            <w:gridSpan w:val="2"/>
          </w:tcPr>
          <w:p w14:paraId="5F95320B" w14:textId="77777777" w:rsidR="00C150E9" w:rsidRPr="00A03B80" w:rsidRDefault="00C150E9" w:rsidP="00F12D53">
            <w:pPr>
              <w:pStyle w:val="Body"/>
              <w:spacing w:before="60" w:after="60"/>
            </w:pPr>
            <w:r w:rsidRPr="00A03B80">
              <w:t>it contains the results of scientific or technical research undertaken by an officer of an agency, and—</w:t>
            </w:r>
          </w:p>
        </w:tc>
      </w:tr>
      <w:tr w:rsidR="00C150E9" w:rsidRPr="00BE6F70" w14:paraId="13BC8CFA" w14:textId="77777777" w:rsidTr="00F12D53">
        <w:tc>
          <w:tcPr>
            <w:tcW w:w="589" w:type="dxa"/>
          </w:tcPr>
          <w:p w14:paraId="176D3C00" w14:textId="77777777" w:rsidR="00C150E9" w:rsidRDefault="00C150E9" w:rsidP="00F12D53">
            <w:pPr>
              <w:pStyle w:val="Body"/>
              <w:spacing w:before="60" w:after="60" w:line="240" w:lineRule="auto"/>
            </w:pPr>
          </w:p>
        </w:tc>
        <w:tc>
          <w:tcPr>
            <w:tcW w:w="589" w:type="dxa"/>
          </w:tcPr>
          <w:p w14:paraId="54A39966" w14:textId="77777777" w:rsidR="00C150E9" w:rsidRDefault="00C150E9" w:rsidP="00F12D53">
            <w:pPr>
              <w:pStyle w:val="Body"/>
              <w:spacing w:before="60" w:after="60" w:line="240" w:lineRule="auto"/>
            </w:pPr>
          </w:p>
        </w:tc>
        <w:tc>
          <w:tcPr>
            <w:tcW w:w="567" w:type="dxa"/>
          </w:tcPr>
          <w:p w14:paraId="2340D03F" w14:textId="77777777" w:rsidR="00C150E9" w:rsidRDefault="00C150E9" w:rsidP="00F12D53">
            <w:pPr>
              <w:pStyle w:val="Body"/>
              <w:spacing w:before="60" w:after="60"/>
            </w:pPr>
          </w:p>
        </w:tc>
        <w:tc>
          <w:tcPr>
            <w:tcW w:w="542" w:type="dxa"/>
          </w:tcPr>
          <w:p w14:paraId="0881D3D6" w14:textId="77777777" w:rsidR="00C150E9" w:rsidRPr="00A03B80" w:rsidRDefault="00C150E9" w:rsidP="00F12D53">
            <w:pPr>
              <w:pStyle w:val="Body"/>
              <w:spacing w:before="60" w:after="60"/>
            </w:pPr>
            <w:r>
              <w:t>(</w:t>
            </w:r>
            <w:proofErr w:type="spellStart"/>
            <w:r>
              <w:t>i</w:t>
            </w:r>
            <w:proofErr w:type="spellEnd"/>
            <w:r>
              <w:t>)</w:t>
            </w:r>
          </w:p>
        </w:tc>
        <w:tc>
          <w:tcPr>
            <w:tcW w:w="7211" w:type="dxa"/>
          </w:tcPr>
          <w:p w14:paraId="77A86F23" w14:textId="77777777" w:rsidR="00C150E9" w:rsidRPr="00A03B80" w:rsidRDefault="00C150E9" w:rsidP="00F12D53">
            <w:pPr>
              <w:pStyle w:val="Body"/>
              <w:spacing w:before="60" w:after="60"/>
            </w:pPr>
            <w:r w:rsidRPr="00A03B80">
              <w:t>the research could lead to a patentable invention;</w:t>
            </w:r>
          </w:p>
        </w:tc>
      </w:tr>
      <w:tr w:rsidR="00C150E9" w:rsidRPr="00BE6F70" w14:paraId="6FEFF0E8" w14:textId="77777777" w:rsidTr="00F12D53">
        <w:tc>
          <w:tcPr>
            <w:tcW w:w="589" w:type="dxa"/>
          </w:tcPr>
          <w:p w14:paraId="4378FEA7" w14:textId="77777777" w:rsidR="00C150E9" w:rsidRDefault="00C150E9" w:rsidP="00F12D53">
            <w:pPr>
              <w:pStyle w:val="Body"/>
              <w:spacing w:before="60" w:after="60" w:line="240" w:lineRule="auto"/>
            </w:pPr>
          </w:p>
        </w:tc>
        <w:tc>
          <w:tcPr>
            <w:tcW w:w="589" w:type="dxa"/>
          </w:tcPr>
          <w:p w14:paraId="13CE307A" w14:textId="77777777" w:rsidR="00C150E9" w:rsidRDefault="00C150E9" w:rsidP="00F12D53">
            <w:pPr>
              <w:pStyle w:val="Body"/>
              <w:spacing w:before="60" w:after="60" w:line="240" w:lineRule="auto"/>
            </w:pPr>
          </w:p>
        </w:tc>
        <w:tc>
          <w:tcPr>
            <w:tcW w:w="567" w:type="dxa"/>
          </w:tcPr>
          <w:p w14:paraId="682669B2" w14:textId="77777777" w:rsidR="00C150E9" w:rsidRDefault="00C150E9" w:rsidP="00F12D53">
            <w:pPr>
              <w:pStyle w:val="Body"/>
              <w:spacing w:before="60" w:after="60"/>
            </w:pPr>
          </w:p>
        </w:tc>
        <w:tc>
          <w:tcPr>
            <w:tcW w:w="542" w:type="dxa"/>
          </w:tcPr>
          <w:p w14:paraId="24B1C668" w14:textId="77777777" w:rsidR="00C150E9" w:rsidRDefault="00C150E9" w:rsidP="00F12D53">
            <w:pPr>
              <w:pStyle w:val="Body"/>
              <w:spacing w:before="60" w:after="60"/>
            </w:pPr>
            <w:r>
              <w:t>(ii)</w:t>
            </w:r>
          </w:p>
        </w:tc>
        <w:tc>
          <w:tcPr>
            <w:tcW w:w="7211" w:type="dxa"/>
          </w:tcPr>
          <w:p w14:paraId="5315371B" w14:textId="77777777" w:rsidR="00C150E9" w:rsidRPr="00A03B80" w:rsidRDefault="00C150E9" w:rsidP="00F12D53">
            <w:pPr>
              <w:pStyle w:val="Body"/>
              <w:spacing w:before="60" w:after="60"/>
            </w:pPr>
            <w:r w:rsidRPr="00A03B80">
              <w:t>the disclosure of the results of an incomplete state under this Act would be reasonably likely to expose a business, commercial or financial undertaking unreasonably to disadvantage; o</w:t>
            </w:r>
            <w:r>
              <w:t>r</w:t>
            </w:r>
          </w:p>
        </w:tc>
      </w:tr>
      <w:tr w:rsidR="00C150E9" w:rsidRPr="00BE6F70" w14:paraId="5A3C9157" w14:textId="77777777" w:rsidTr="00F12D53">
        <w:tc>
          <w:tcPr>
            <w:tcW w:w="589" w:type="dxa"/>
          </w:tcPr>
          <w:p w14:paraId="62F9D5E9" w14:textId="77777777" w:rsidR="00C150E9" w:rsidRDefault="00C150E9" w:rsidP="00F12D53">
            <w:pPr>
              <w:pStyle w:val="Body"/>
              <w:spacing w:before="60" w:after="60" w:line="240" w:lineRule="auto"/>
            </w:pPr>
          </w:p>
        </w:tc>
        <w:tc>
          <w:tcPr>
            <w:tcW w:w="589" w:type="dxa"/>
          </w:tcPr>
          <w:p w14:paraId="25903F8F" w14:textId="77777777" w:rsidR="00C150E9" w:rsidRDefault="00C150E9" w:rsidP="00F12D53">
            <w:pPr>
              <w:pStyle w:val="Body"/>
              <w:spacing w:before="60" w:after="60" w:line="240" w:lineRule="auto"/>
            </w:pPr>
          </w:p>
        </w:tc>
        <w:tc>
          <w:tcPr>
            <w:tcW w:w="567" w:type="dxa"/>
          </w:tcPr>
          <w:p w14:paraId="29E32AB7" w14:textId="77777777" w:rsidR="00C150E9" w:rsidRDefault="00C150E9" w:rsidP="00F12D53">
            <w:pPr>
              <w:pStyle w:val="Body"/>
              <w:spacing w:before="60" w:after="60"/>
            </w:pPr>
          </w:p>
        </w:tc>
        <w:tc>
          <w:tcPr>
            <w:tcW w:w="542" w:type="dxa"/>
          </w:tcPr>
          <w:p w14:paraId="0AEA7930" w14:textId="77777777" w:rsidR="00C150E9" w:rsidRDefault="00C150E9" w:rsidP="00F12D53">
            <w:pPr>
              <w:pStyle w:val="Body"/>
              <w:spacing w:before="60" w:after="60"/>
            </w:pPr>
            <w:r>
              <w:t>(iii)</w:t>
            </w:r>
          </w:p>
        </w:tc>
        <w:tc>
          <w:tcPr>
            <w:tcW w:w="7211" w:type="dxa"/>
          </w:tcPr>
          <w:p w14:paraId="6037DD95" w14:textId="77777777" w:rsidR="00C150E9" w:rsidRPr="00A03B80" w:rsidRDefault="00C150E9" w:rsidP="00F12D53">
            <w:pPr>
              <w:pStyle w:val="Body"/>
              <w:spacing w:before="60" w:after="60"/>
            </w:pPr>
            <w:r w:rsidRPr="00A03B80">
              <w:t>the disclosure of the results before the completion of the research would be reasonably likely to expose the agency or the officer of the agency unreasonably to disadvantage; or</w:t>
            </w:r>
          </w:p>
        </w:tc>
      </w:tr>
      <w:tr w:rsidR="00C150E9" w:rsidRPr="00BE6F70" w14:paraId="2FE037AB" w14:textId="77777777" w:rsidTr="00F12D53">
        <w:tc>
          <w:tcPr>
            <w:tcW w:w="589" w:type="dxa"/>
          </w:tcPr>
          <w:p w14:paraId="60A0AC3E" w14:textId="77777777" w:rsidR="00C150E9" w:rsidRDefault="00C150E9" w:rsidP="00F12D53">
            <w:pPr>
              <w:pStyle w:val="Body"/>
              <w:spacing w:before="60" w:after="60" w:line="240" w:lineRule="auto"/>
            </w:pPr>
          </w:p>
        </w:tc>
        <w:tc>
          <w:tcPr>
            <w:tcW w:w="589" w:type="dxa"/>
          </w:tcPr>
          <w:p w14:paraId="0EFCA71C" w14:textId="77777777" w:rsidR="00C150E9" w:rsidRDefault="00C150E9" w:rsidP="00F12D53">
            <w:pPr>
              <w:pStyle w:val="Body"/>
              <w:spacing w:before="60" w:after="60" w:line="240" w:lineRule="auto"/>
            </w:pPr>
          </w:p>
        </w:tc>
        <w:tc>
          <w:tcPr>
            <w:tcW w:w="567" w:type="dxa"/>
          </w:tcPr>
          <w:p w14:paraId="0DA395D2" w14:textId="77777777" w:rsidR="00C150E9" w:rsidRDefault="00C150E9" w:rsidP="00F12D53">
            <w:pPr>
              <w:pStyle w:val="Body"/>
              <w:spacing w:before="60" w:after="60"/>
            </w:pPr>
            <w:r>
              <w:t>(c)</w:t>
            </w:r>
          </w:p>
        </w:tc>
        <w:tc>
          <w:tcPr>
            <w:tcW w:w="7753" w:type="dxa"/>
            <w:gridSpan w:val="2"/>
          </w:tcPr>
          <w:p w14:paraId="57B7590D" w14:textId="77777777" w:rsidR="00C150E9" w:rsidRPr="00A03B80" w:rsidRDefault="00C150E9" w:rsidP="00F12D53">
            <w:pPr>
              <w:pStyle w:val="Body"/>
              <w:spacing w:before="60" w:after="60"/>
            </w:pPr>
            <w:r w:rsidRPr="00A03B80">
              <w:t>it is an examination paper, a paper submitted by a student in the course of an examination, an examiner's report or similar document and</w:t>
            </w:r>
            <w:r>
              <w:t xml:space="preserve"> </w:t>
            </w:r>
            <w:r w:rsidRPr="00A03B80">
              <w:t>the use or uses for which the document was prepared have not been completed.</w:t>
            </w:r>
          </w:p>
        </w:tc>
      </w:tr>
    </w:tbl>
    <w:p w14:paraId="47C45CD5" w14:textId="77777777" w:rsidR="00C150E9" w:rsidRPr="00F2421B" w:rsidRDefault="00C150E9" w:rsidP="00C150E9">
      <w:pPr>
        <w:pStyle w:val="2HeadingLevel2"/>
      </w:pPr>
      <w:bookmarkStart w:id="3" w:name="_Toc150764345"/>
      <w:r>
        <w:t>Guidelines</w:t>
      </w:r>
      <w:bookmarkEnd w:id="3"/>
    </w:p>
    <w:p w14:paraId="532A3CAE" w14:textId="77777777" w:rsidR="00C150E9" w:rsidRDefault="00C150E9" w:rsidP="00C150E9">
      <w:pPr>
        <w:pStyle w:val="2HeadingLevel2"/>
      </w:pPr>
      <w:bookmarkStart w:id="4" w:name="_Toc150764346"/>
      <w:r>
        <w:t>Overview</w:t>
      </w:r>
      <w:bookmarkEnd w:id="4"/>
    </w:p>
    <w:p w14:paraId="1666CF3B" w14:textId="77777777" w:rsidR="00C150E9" w:rsidRDefault="00C150E9" w:rsidP="00C150E9">
      <w:pPr>
        <w:pStyle w:val="3BodyInteger"/>
      </w:pPr>
      <w:r w:rsidRPr="002E0D81">
        <w:t xml:space="preserve">Section 34 of the </w:t>
      </w:r>
      <w:r>
        <w:t>Act</w:t>
      </w:r>
      <w:r w:rsidRPr="00E3073B">
        <w:t xml:space="preserve"> </w:t>
      </w:r>
      <w:r w:rsidRPr="009D1D57">
        <w:t xml:space="preserve">contains </w:t>
      </w:r>
      <w:r>
        <w:t xml:space="preserve">several </w:t>
      </w:r>
      <w:r w:rsidRPr="009D1D57">
        <w:t>exemptions</w:t>
      </w:r>
      <w:r w:rsidRPr="002E0D81">
        <w:t>.</w:t>
      </w:r>
      <w:r>
        <w:t xml:space="preserve"> In summary:</w:t>
      </w:r>
    </w:p>
    <w:p w14:paraId="0128D31E" w14:textId="77777777" w:rsidR="00C150E9" w:rsidRDefault="00C150E9" w:rsidP="00C150E9">
      <w:pPr>
        <w:pStyle w:val="3BodyInteger"/>
        <w:numPr>
          <w:ilvl w:val="2"/>
          <w:numId w:val="15"/>
        </w:numPr>
      </w:pPr>
      <w:r>
        <w:t>Section 34(1)(a) protects trade secrets of a business, commercial or financial undertaking;</w:t>
      </w:r>
    </w:p>
    <w:p w14:paraId="1637E0B8" w14:textId="77777777" w:rsidR="00C150E9" w:rsidRDefault="00C150E9" w:rsidP="00C150E9">
      <w:pPr>
        <w:pStyle w:val="3BodyInteger"/>
        <w:numPr>
          <w:ilvl w:val="2"/>
          <w:numId w:val="15"/>
        </w:numPr>
      </w:pPr>
      <w:r>
        <w:t>Section 34(1)(b) protects other business, commercial or financial information of an undertaking, where disclosure would likely expose the undertaking to an unreasonable disadvantage;</w:t>
      </w:r>
    </w:p>
    <w:p w14:paraId="78B4BCDF" w14:textId="77777777" w:rsidR="00C150E9" w:rsidRDefault="00C150E9" w:rsidP="00C150E9">
      <w:pPr>
        <w:pStyle w:val="3BodyInteger"/>
        <w:numPr>
          <w:ilvl w:val="2"/>
          <w:numId w:val="15"/>
        </w:numPr>
      </w:pPr>
      <w:r>
        <w:t>Section 34(4)(a)(</w:t>
      </w:r>
      <w:proofErr w:type="spellStart"/>
      <w:r>
        <w:t>i</w:t>
      </w:r>
      <w:proofErr w:type="spellEnd"/>
      <w:r>
        <w:t>) protects trade secrets of an agency;</w:t>
      </w:r>
    </w:p>
    <w:p w14:paraId="48BEAE09" w14:textId="77777777" w:rsidR="00C150E9" w:rsidRDefault="00C150E9" w:rsidP="00C150E9">
      <w:pPr>
        <w:pStyle w:val="3BodyInteger"/>
        <w:numPr>
          <w:ilvl w:val="2"/>
          <w:numId w:val="15"/>
        </w:numPr>
      </w:pPr>
      <w:r>
        <w:t>Section 34(4)(a)(ii) protects other business, commercial or financial information of agencies engaged in trade or commerce;</w:t>
      </w:r>
    </w:p>
    <w:p w14:paraId="56276A75" w14:textId="77777777" w:rsidR="00C150E9" w:rsidRDefault="00C150E9" w:rsidP="00C150E9">
      <w:pPr>
        <w:pStyle w:val="3BodyInteger"/>
        <w:numPr>
          <w:ilvl w:val="2"/>
          <w:numId w:val="15"/>
        </w:numPr>
      </w:pPr>
      <w:r>
        <w:t>Section 34(4)(b) protects the results of scientific or technical research undertaken by an agency; and</w:t>
      </w:r>
    </w:p>
    <w:p w14:paraId="412BE684" w14:textId="77777777" w:rsidR="00C150E9" w:rsidRDefault="00C150E9" w:rsidP="00C150E9">
      <w:pPr>
        <w:pStyle w:val="3BodyInteger"/>
        <w:numPr>
          <w:ilvl w:val="2"/>
          <w:numId w:val="15"/>
        </w:numPr>
      </w:pPr>
      <w:r>
        <w:t>Section 34(4)(c) protects examination papers, examiner’s reports and similar documents, where the document’s use is not yet completed.</w:t>
      </w:r>
    </w:p>
    <w:p w14:paraId="4C3731E4" w14:textId="77777777" w:rsidR="00C150E9" w:rsidRDefault="00C150E9" w:rsidP="00C150E9">
      <w:pPr>
        <w:pStyle w:val="3BodyInteger"/>
      </w:pPr>
      <w:r>
        <w:lastRenderedPageBreak/>
        <w:t>Where an agency or Minister is considering whether information in a document is exempt under section 34(1)(b), section 34(3) requires the agency or Minister to consult with the relevant third party, as part of its decision-making process. There is no requirement to consult with third parties when considering the other exemptions in section 34.</w:t>
      </w:r>
    </w:p>
    <w:p w14:paraId="7C81CCCB" w14:textId="77777777" w:rsidR="00C150E9" w:rsidRDefault="00C150E9" w:rsidP="00C150E9">
      <w:pPr>
        <w:pStyle w:val="3BodyInteger"/>
      </w:pPr>
      <w:r>
        <w:t>Section 34(2) sets out considerations that an agency or Minister may take account of, when deciding if information is exempt under section 34(1)(b).</w:t>
      </w:r>
    </w:p>
    <w:p w14:paraId="1A9A8734" w14:textId="00F3CE67" w:rsidR="00C150E9" w:rsidRDefault="00C150E9" w:rsidP="00C150E9">
      <w:pPr>
        <w:pStyle w:val="3BodyInteger"/>
      </w:pPr>
      <w:r>
        <w:t xml:space="preserve">Section 34 must be read consistently with the objects of the Act </w:t>
      </w:r>
      <w:r w:rsidRPr="0057240F">
        <w:t xml:space="preserve">in </w:t>
      </w:r>
      <w:hyperlink r:id="rId14" w:history="1">
        <w:r w:rsidRPr="0057240F">
          <w:rPr>
            <w:rStyle w:val="Hyperlink"/>
          </w:rPr>
          <w:t>section 3</w:t>
        </w:r>
      </w:hyperlink>
      <w:r w:rsidRPr="0057240F">
        <w:t>,</w:t>
      </w:r>
      <w:r>
        <w:t xml:space="preserve"> which is to extend as far as possible the right of the community to access government held information. This right is only limited by exemptions necessary for the protection of essential public interests and private and business affairs.</w:t>
      </w:r>
      <w:r>
        <w:rPr>
          <w:rStyle w:val="FootnoteReference"/>
        </w:rPr>
        <w:footnoteReference w:id="1"/>
      </w:r>
      <w:r>
        <w:t xml:space="preserve"> If it is unclear whether section 34 applies to a document, the exemption should be interpreted narrowly, in a way that favours access to information.</w:t>
      </w:r>
      <w:r>
        <w:rPr>
          <w:rStyle w:val="FootnoteReference"/>
        </w:rPr>
        <w:footnoteReference w:id="2"/>
      </w:r>
    </w:p>
    <w:p w14:paraId="35418851" w14:textId="77777777" w:rsidR="00C150E9" w:rsidRDefault="00C150E9" w:rsidP="00C150E9">
      <w:pPr>
        <w:pStyle w:val="3SubheadingLevel3"/>
      </w:pPr>
      <w:r>
        <w:t>Discretion to disclose exempt documents</w:t>
      </w:r>
    </w:p>
    <w:p w14:paraId="2E176EA2" w14:textId="77777777" w:rsidR="00C150E9" w:rsidRDefault="00C150E9" w:rsidP="00C150E9">
      <w:pPr>
        <w:pStyle w:val="3BodyInteger"/>
        <w:ind w:left="426" w:hanging="426"/>
      </w:pPr>
      <w:r>
        <w:t>The decision to exempt a document under section 34 is discretionary.</w:t>
      </w:r>
      <w:r>
        <w:rPr>
          <w:rStyle w:val="FootnoteReference"/>
        </w:rPr>
        <w:footnoteReference w:id="3"/>
      </w:r>
      <w:r>
        <w:t xml:space="preserve"> </w:t>
      </w:r>
    </w:p>
    <w:p w14:paraId="53FC0335" w14:textId="4F37BA32" w:rsidR="00C150E9" w:rsidRDefault="00C150E9" w:rsidP="00C150E9">
      <w:pPr>
        <w:pStyle w:val="3BodyInteger"/>
      </w:pPr>
      <w:r>
        <w:t xml:space="preserve">An </w:t>
      </w:r>
      <w:hyperlink r:id="rId15" w:anchor="definitions-agency" w:history="1">
        <w:r w:rsidRPr="0057240F">
          <w:rPr>
            <w:rStyle w:val="Hyperlink"/>
          </w:rPr>
          <w:t>agency</w:t>
        </w:r>
      </w:hyperlink>
      <w:r w:rsidRPr="0057240F">
        <w:t xml:space="preserve"> or Minister</w:t>
      </w:r>
      <w:r>
        <w:t xml:space="preserve"> can choose to provide access to information that would otherwise be exempt under section 34, where it is proper to do so and where the agency or Minister is not legally prevented from providing access.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C150E9" w:rsidRPr="00A02939" w14:paraId="470E7F46" w14:textId="77777777" w:rsidTr="00F12D53">
        <w:tc>
          <w:tcPr>
            <w:tcW w:w="8466" w:type="dxa"/>
            <w:shd w:val="clear" w:color="auto" w:fill="F4F3F2"/>
          </w:tcPr>
          <w:p w14:paraId="0613F79A" w14:textId="79B0C09B" w:rsidR="00C150E9" w:rsidRPr="00A02939" w:rsidRDefault="0057240F" w:rsidP="00F12D53">
            <w:pPr>
              <w:pStyle w:val="Body"/>
            </w:pPr>
            <w:r>
              <w:t>For m</w:t>
            </w:r>
            <w:r w:rsidR="00C150E9" w:rsidRPr="00A02939">
              <w:t>ore information</w:t>
            </w:r>
            <w:r>
              <w:t xml:space="preserve"> on providing acc</w:t>
            </w:r>
            <w:r w:rsidRPr="0057240F">
              <w:t>ess to information outside of the Act, see</w:t>
            </w:r>
            <w:r w:rsidR="00C150E9" w:rsidRPr="0057240F">
              <w:t xml:space="preserve"> </w:t>
            </w:r>
            <w:hyperlink r:id="rId16" w:history="1">
              <w:r w:rsidR="00C150E9" w:rsidRPr="0057240F">
                <w:rPr>
                  <w:rStyle w:val="Hyperlink"/>
                </w:rPr>
                <w:t>section 16 – Access to documents apart from Act</w:t>
              </w:r>
            </w:hyperlink>
            <w:r w:rsidRPr="0057240F">
              <w:t>.</w:t>
            </w:r>
          </w:p>
        </w:tc>
      </w:tr>
    </w:tbl>
    <w:p w14:paraId="12358057" w14:textId="77777777" w:rsidR="00C150E9" w:rsidRDefault="00C150E9" w:rsidP="00C150E9">
      <w:pPr>
        <w:pStyle w:val="2HeadingLevel2"/>
      </w:pPr>
      <w:bookmarkStart w:id="5" w:name="_Toc150764347"/>
      <w:r>
        <w:t>Section 34(1) exemption – meaning of common terms and phrases</w:t>
      </w:r>
      <w:bookmarkEnd w:id="5"/>
      <w:r>
        <w:t xml:space="preserve"> </w:t>
      </w:r>
    </w:p>
    <w:p w14:paraId="29895044" w14:textId="77777777" w:rsidR="00C150E9" w:rsidRDefault="00C150E9" w:rsidP="00C150E9">
      <w:pPr>
        <w:pStyle w:val="3BodyInteger"/>
      </w:pPr>
      <w:r>
        <w:t>To be exempt information under section 34(1)(a) or section 34(1)(b), the information must have been acquired by the agency or Minister from a business, commercial or financial undertaking.</w:t>
      </w:r>
    </w:p>
    <w:p w14:paraId="13D8FF32" w14:textId="77777777" w:rsidR="00C150E9" w:rsidRPr="00E361F1" w:rsidRDefault="00C150E9" w:rsidP="00C150E9">
      <w:pPr>
        <w:pStyle w:val="3SubheadingLevel3"/>
      </w:pPr>
      <w:r w:rsidRPr="00E361F1">
        <w:t xml:space="preserve">Information acquired </w:t>
      </w:r>
    </w:p>
    <w:p w14:paraId="06C2E760" w14:textId="77777777" w:rsidR="00C150E9" w:rsidRPr="00E361F1" w:rsidRDefault="00C150E9" w:rsidP="00C150E9">
      <w:pPr>
        <w:pStyle w:val="3BodyInteger"/>
      </w:pPr>
      <w:r w:rsidRPr="00E361F1">
        <w:t>The phrase ‘information acquired’ in section 34(1) involves some positive handing over of information to an agency in a precise form.</w:t>
      </w:r>
      <w:r>
        <w:rPr>
          <w:rStyle w:val="FootnoteReference"/>
        </w:rPr>
        <w:footnoteReference w:id="4"/>
      </w:r>
      <w:r w:rsidRPr="00E361F1">
        <w:t xml:space="preserve"> </w:t>
      </w:r>
    </w:p>
    <w:p w14:paraId="7E3308EA" w14:textId="77777777" w:rsidR="00C150E9" w:rsidRPr="00E361F1" w:rsidRDefault="00C150E9" w:rsidP="00C150E9">
      <w:pPr>
        <w:pStyle w:val="3BodyInteger"/>
      </w:pPr>
      <w:bookmarkStart w:id="6" w:name="_Hlk40867269"/>
      <w:r w:rsidRPr="00E361F1">
        <w:t>The actual document itself does not itself need to be acquired from an undertaking.</w:t>
      </w:r>
      <w:r>
        <w:rPr>
          <w:rStyle w:val="FootnoteReference"/>
        </w:rPr>
        <w:footnoteReference w:id="5"/>
      </w:r>
      <w:r w:rsidRPr="00E361F1">
        <w:t xml:space="preserve"> It need only </w:t>
      </w:r>
      <w:r>
        <w:t>disclose</w:t>
      </w:r>
      <w:r w:rsidRPr="00E361F1">
        <w:t xml:space="preserve"> relevant information acquired from the undertaking.</w:t>
      </w:r>
      <w:r w:rsidRPr="00E361F1">
        <w:rPr>
          <w:vertAlign w:val="superscript"/>
        </w:rPr>
        <w:footnoteReference w:id="6"/>
      </w:r>
      <w:r w:rsidRPr="00E361F1">
        <w:t xml:space="preserve"> For example, a document may contain information extracted or paraphrased from information acquired from an undertaking. </w:t>
      </w:r>
    </w:p>
    <w:p w14:paraId="06E9FE4F" w14:textId="77777777" w:rsidR="00C150E9" w:rsidRDefault="00C150E9" w:rsidP="00C150E9">
      <w:pPr>
        <w:pStyle w:val="3BodyInteger"/>
      </w:pPr>
      <w:r>
        <w:lastRenderedPageBreak/>
        <w:t>The information can be acquired from an undertaking through a third party.</w:t>
      </w:r>
      <w:r>
        <w:rPr>
          <w:rStyle w:val="FootnoteReference"/>
        </w:rPr>
        <w:footnoteReference w:id="7"/>
      </w:r>
      <w:r>
        <w:t xml:space="preserve"> For example, the undertaking’s real estate agent or accountant, or a barrister submitting an invoice to a law firm, who then submits the invoice to the agency for payment.</w:t>
      </w:r>
      <w:r>
        <w:rPr>
          <w:rStyle w:val="FootnoteReference"/>
        </w:rPr>
        <w:footnoteReference w:id="8"/>
      </w:r>
    </w:p>
    <w:p w14:paraId="59CDD592" w14:textId="77777777" w:rsidR="00C150E9" w:rsidRDefault="00C150E9" w:rsidP="00C150E9">
      <w:pPr>
        <w:pStyle w:val="3BodyInteger"/>
      </w:pPr>
      <w:r w:rsidRPr="00E361F1">
        <w:t>However, information generated by an agency about the undertaking, or mutual information arising out of negotiations or collaboration between an agency and an undertaking, is generally not ‘acquired’ by the agency from the undertaking.</w:t>
      </w:r>
      <w:r>
        <w:rPr>
          <w:rStyle w:val="FootnoteReference"/>
        </w:rPr>
        <w:footnoteReference w:id="9"/>
      </w:r>
      <w:r w:rsidRPr="00E361F1">
        <w:t xml:space="preserve">  </w:t>
      </w:r>
    </w:p>
    <w:p w14:paraId="488716B5" w14:textId="77777777" w:rsidR="00C150E9" w:rsidRDefault="00C150E9" w:rsidP="00C150E9">
      <w:pPr>
        <w:pStyle w:val="3BodyInteger"/>
      </w:pPr>
      <w:r>
        <w:t>The terms of a concluded contractual agreement may or may not contain information acquired from the undertaking.</w:t>
      </w:r>
      <w:r>
        <w:rPr>
          <w:rStyle w:val="FootnoteReference"/>
        </w:rPr>
        <w:footnoteReference w:id="10"/>
      </w:r>
      <w:r>
        <w:t xml:space="preserve"> Each case needs to be examined on its own merits to determine whether in fact: </w:t>
      </w:r>
    </w:p>
    <w:p w14:paraId="017F0156" w14:textId="77777777" w:rsidR="00C150E9" w:rsidRDefault="00C150E9" w:rsidP="00C150E9">
      <w:pPr>
        <w:pStyle w:val="3BodyInteger"/>
        <w:numPr>
          <w:ilvl w:val="2"/>
          <w:numId w:val="15"/>
        </w:numPr>
      </w:pPr>
      <w:r>
        <w:t xml:space="preserve">an agency acquired information from the undertaking; and </w:t>
      </w:r>
    </w:p>
    <w:p w14:paraId="00630315" w14:textId="77777777" w:rsidR="00C150E9" w:rsidRDefault="00C150E9" w:rsidP="00C150E9">
      <w:pPr>
        <w:pStyle w:val="3BodyInteger"/>
        <w:numPr>
          <w:ilvl w:val="2"/>
          <w:numId w:val="15"/>
        </w:numPr>
      </w:pPr>
      <w:r>
        <w:t>whether disclosure of the terms of the concluded contract would disclose the acquired information.</w:t>
      </w:r>
      <w:r>
        <w:rPr>
          <w:rStyle w:val="FootnoteReference"/>
        </w:rPr>
        <w:footnoteReference w:id="11"/>
      </w:r>
    </w:p>
    <w:p w14:paraId="7179F101" w14:textId="77777777" w:rsidR="00C150E9" w:rsidRDefault="00C150E9" w:rsidP="00C150E9">
      <w:pPr>
        <w:pStyle w:val="3BodyInteger"/>
      </w:pPr>
      <w:r>
        <w:t xml:space="preserve"> Records of transactions entered into by an agency with an undertaking may or may not reveal information acquired by the agency from the undertaking. Each case needs to be determined on its own facts.</w:t>
      </w:r>
      <w:r>
        <w:rPr>
          <w:rStyle w:val="FootnoteReference"/>
        </w:rPr>
        <w:footnoteReference w:id="12"/>
      </w:r>
      <w:r>
        <w:t xml:space="preserve"> </w:t>
      </w:r>
    </w:p>
    <w:p w14:paraId="6E1F976D" w14:textId="77777777" w:rsidR="00C150E9" w:rsidRPr="00E361F1" w:rsidRDefault="00C150E9" w:rsidP="00C150E9">
      <w:pPr>
        <w:pStyle w:val="3BodyInteger"/>
      </w:pPr>
      <w:r>
        <w:t>Where an agreement records the price payable between an agency and a business undertaking for a good, service, concession or other right, disclosing that information may reveal the price at which the business undertaking is prepared to do business – this is information acquired from the undertaking.</w:t>
      </w:r>
      <w:r>
        <w:rPr>
          <w:rStyle w:val="FootnoteReference"/>
        </w:rPr>
        <w:footnoteReference w:id="13"/>
      </w:r>
      <w:r>
        <w:t xml:space="preserve"> Whereas, an amount representing a retrospective compromise, revealing information mutual to the agency and the undertaking may not meet the requirement of the exemption.</w:t>
      </w:r>
      <w:r>
        <w:rPr>
          <w:rStyle w:val="FootnoteReference"/>
        </w:rPr>
        <w:footnoteReference w:id="14"/>
      </w:r>
      <w:r>
        <w:t xml:space="preserve"> </w:t>
      </w:r>
    </w:p>
    <w:bookmarkEnd w:id="6"/>
    <w:p w14:paraId="4D011FB7" w14:textId="77777777" w:rsidR="00C150E9" w:rsidRPr="00E361F1" w:rsidRDefault="00C150E9" w:rsidP="00C150E9">
      <w:pPr>
        <w:pStyle w:val="3SubheadingLevel3"/>
      </w:pPr>
      <w:r w:rsidRPr="00E361F1">
        <w:t xml:space="preserve">Business, commercial, or </w:t>
      </w:r>
      <w:r w:rsidRPr="001D1E53">
        <w:t>financial</w:t>
      </w:r>
      <w:r w:rsidRPr="00E361F1">
        <w:t xml:space="preserve"> undertaking</w:t>
      </w:r>
    </w:p>
    <w:p w14:paraId="3F2A97B5" w14:textId="77777777" w:rsidR="00C150E9" w:rsidRDefault="00C150E9" w:rsidP="00C150E9">
      <w:pPr>
        <w:pStyle w:val="3BodyInteger"/>
      </w:pPr>
      <w:r w:rsidRPr="00E361F1">
        <w:t>The phrase ‘business, commercial or financial undertaking’ generally refers to an entity, such as a company or organisation, that is engaged in business, trade, or commerce for a financial profit or gain.</w:t>
      </w:r>
      <w:r>
        <w:rPr>
          <w:rStyle w:val="FootnoteReference"/>
        </w:rPr>
        <w:footnoteReference w:id="15"/>
      </w:r>
    </w:p>
    <w:p w14:paraId="600AC7A1" w14:textId="77777777" w:rsidR="00C150E9" w:rsidRDefault="00C150E9" w:rsidP="00C150E9">
      <w:pPr>
        <w:pStyle w:val="3BodyInteger"/>
      </w:pPr>
      <w:r>
        <w:t>An undertaking that is partly government funded or partly controlled by government officers can still be a ‘business, commercial or financial undertaking’ for the purposes of section 34(1).</w:t>
      </w:r>
      <w:r>
        <w:rPr>
          <w:rStyle w:val="FootnoteReference"/>
        </w:rPr>
        <w:footnoteReference w:id="16"/>
      </w:r>
    </w:p>
    <w:p w14:paraId="18995344" w14:textId="77777777" w:rsidR="00C150E9" w:rsidRDefault="00C150E9" w:rsidP="00C150E9">
      <w:pPr>
        <w:pStyle w:val="4Sub-subheadingLevel4"/>
      </w:pPr>
      <w:r>
        <w:t>Case examples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C150E9" w:rsidRPr="00392453" w14:paraId="034D5228" w14:textId="77777777" w:rsidTr="004536E2">
        <w:trPr>
          <w:trHeight w:val="402"/>
        </w:trPr>
        <w:tc>
          <w:tcPr>
            <w:tcW w:w="9498" w:type="dxa"/>
            <w:shd w:val="clear" w:color="auto" w:fill="FFFEC6"/>
          </w:tcPr>
          <w:p w14:paraId="4D1C2122" w14:textId="77777777" w:rsidR="00C150E9" w:rsidRDefault="00C150E9" w:rsidP="00F12D53">
            <w:pPr>
              <w:pStyle w:val="Body"/>
              <w:rPr>
                <w:b/>
                <w:bCs/>
              </w:rPr>
            </w:pPr>
            <w:r w:rsidRPr="00C53746">
              <w:rPr>
                <w:b/>
                <w:bCs/>
              </w:rPr>
              <w:t>Example</w:t>
            </w:r>
            <w:r>
              <w:rPr>
                <w:b/>
                <w:bCs/>
              </w:rPr>
              <w:t>s</w:t>
            </w:r>
          </w:p>
          <w:p w14:paraId="4B2FEF7D" w14:textId="77777777" w:rsidR="00C150E9" w:rsidRPr="00445320" w:rsidRDefault="00C150E9" w:rsidP="00F12D53">
            <w:pPr>
              <w:pStyle w:val="Body"/>
              <w:rPr>
                <w:b/>
                <w:bCs/>
              </w:rPr>
            </w:pPr>
            <w:r w:rsidRPr="00445320">
              <w:rPr>
                <w:b/>
                <w:bCs/>
                <w:i/>
                <w:iCs/>
              </w:rPr>
              <w:t>Mildenhall v Department of Treasury</w:t>
            </w:r>
            <w:r>
              <w:rPr>
                <w:b/>
                <w:bCs/>
                <w:i/>
                <w:iCs/>
              </w:rPr>
              <w:t xml:space="preserve"> &amp; </w:t>
            </w:r>
            <w:proofErr w:type="spellStart"/>
            <w:r>
              <w:rPr>
                <w:b/>
                <w:bCs/>
                <w:i/>
                <w:iCs/>
              </w:rPr>
              <w:t>Ors</w:t>
            </w:r>
            <w:proofErr w:type="spellEnd"/>
            <w:r w:rsidRPr="00445320">
              <w:rPr>
                <w:b/>
                <w:bCs/>
              </w:rPr>
              <w:t xml:space="preserve"> (1994) 7 VAR 342</w:t>
            </w:r>
          </w:p>
          <w:p w14:paraId="09037BF6" w14:textId="77777777" w:rsidR="00C150E9" w:rsidRPr="00445320" w:rsidRDefault="00C150E9" w:rsidP="00F12D53">
            <w:pPr>
              <w:pStyle w:val="Body"/>
              <w:rPr>
                <w:b/>
                <w:bCs/>
              </w:rPr>
            </w:pPr>
            <w:r w:rsidRPr="00445320">
              <w:rPr>
                <w:b/>
                <w:bCs/>
              </w:rPr>
              <w:t>Background:</w:t>
            </w:r>
          </w:p>
          <w:p w14:paraId="65B72EE8" w14:textId="77777777" w:rsidR="00C150E9" w:rsidRPr="00445320" w:rsidRDefault="00C150E9" w:rsidP="00C150E9">
            <w:pPr>
              <w:pStyle w:val="Body"/>
              <w:numPr>
                <w:ilvl w:val="0"/>
                <w:numId w:val="144"/>
              </w:numPr>
              <w:rPr>
                <w:b/>
                <w:bCs/>
              </w:rPr>
            </w:pPr>
            <w:r>
              <w:lastRenderedPageBreak/>
              <w:t>The Applicant requested access to all documents relating to the award of the Grand Prix to Victoria.</w:t>
            </w:r>
          </w:p>
          <w:p w14:paraId="3F8F705E" w14:textId="77777777" w:rsidR="00C150E9" w:rsidRPr="00445320" w:rsidRDefault="00C150E9" w:rsidP="00C150E9">
            <w:pPr>
              <w:pStyle w:val="Body"/>
              <w:numPr>
                <w:ilvl w:val="0"/>
                <w:numId w:val="144"/>
              </w:numPr>
              <w:rPr>
                <w:b/>
                <w:bCs/>
              </w:rPr>
            </w:pPr>
            <w:r>
              <w:t>The Agency refused access to some documents on the basis they were exempt in whole or in part under section 34(1). The Agency argued that disclosure of the documents would disclose information acquired from a business, financial or commercial undertaking.</w:t>
            </w:r>
          </w:p>
          <w:p w14:paraId="7CD6AA2D" w14:textId="77777777" w:rsidR="00C150E9" w:rsidRPr="00445320" w:rsidRDefault="00C150E9" w:rsidP="00F12D53">
            <w:pPr>
              <w:pStyle w:val="Body"/>
              <w:rPr>
                <w:b/>
                <w:bCs/>
              </w:rPr>
            </w:pPr>
            <w:r>
              <w:rPr>
                <w:b/>
                <w:bCs/>
              </w:rPr>
              <w:t>Business, commercial or financial undertaking:</w:t>
            </w:r>
          </w:p>
          <w:p w14:paraId="524B6CFE" w14:textId="77777777" w:rsidR="00C150E9" w:rsidRPr="00445320" w:rsidRDefault="00C150E9" w:rsidP="00C150E9">
            <w:pPr>
              <w:pStyle w:val="Body"/>
              <w:numPr>
                <w:ilvl w:val="0"/>
                <w:numId w:val="144"/>
              </w:numPr>
              <w:rPr>
                <w:b/>
                <w:bCs/>
              </w:rPr>
            </w:pPr>
            <w:r>
              <w:t>In 1991 the Victorian State Government formed a public company limited by guarantee called Melbourne Major Events Co Ltd (</w:t>
            </w:r>
            <w:r w:rsidRPr="008A5117">
              <w:rPr>
                <w:b/>
                <w:bCs/>
              </w:rPr>
              <w:t>MME</w:t>
            </w:r>
            <w:r>
              <w:t>) for the purpose of identifying and attracting major sporting and cultural events to Victoria.  Some features of the memorandum and articles establishing MME included that MME was prohibited from carrying on a business for the profit of its members, was not able to acquire property without the approval of the State Treasurer, the Premier of the State of Victoria was able to appoint directors and the directors were required to exercise their powers within financial guidelines, expenditure rules and procedures set by the directors in consultation with the State Treasurer.</w:t>
            </w:r>
          </w:p>
          <w:p w14:paraId="32A134A6" w14:textId="77777777" w:rsidR="00C150E9" w:rsidRPr="008A5117" w:rsidRDefault="00C150E9" w:rsidP="00C150E9">
            <w:pPr>
              <w:pStyle w:val="Body"/>
              <w:numPr>
                <w:ilvl w:val="0"/>
                <w:numId w:val="144"/>
              </w:numPr>
              <w:rPr>
                <w:b/>
                <w:bCs/>
              </w:rPr>
            </w:pPr>
            <w:r>
              <w:t>In 1993 MME obtained the right to stage the Grand Prix in Melbourne, and established a wholly owned subsidiary company, Melbourne Grand Prix Promotions Pty Ltd (</w:t>
            </w:r>
            <w:r w:rsidRPr="008A5117">
              <w:rPr>
                <w:b/>
                <w:bCs/>
              </w:rPr>
              <w:t>MGPP</w:t>
            </w:r>
            <w:r>
              <w:t xml:space="preserve">), to promote the Grand Prix in Melbourne. MGPP was a proprietary company whose shares were all owned by MME and its directors were the same as MME. The memorandum of MGPP contained similar provisions to MME. </w:t>
            </w:r>
          </w:p>
          <w:p w14:paraId="6D6D9F1E" w14:textId="77777777" w:rsidR="00C150E9" w:rsidRPr="008A5117" w:rsidRDefault="00C150E9" w:rsidP="00C150E9">
            <w:pPr>
              <w:pStyle w:val="Body"/>
              <w:numPr>
                <w:ilvl w:val="0"/>
                <w:numId w:val="144"/>
              </w:numPr>
              <w:rPr>
                <w:b/>
                <w:bCs/>
              </w:rPr>
            </w:pPr>
            <w:r>
              <w:t xml:space="preserve">Both MME and MGPP were subject to the now repealed </w:t>
            </w:r>
            <w:r w:rsidRPr="00A2384A">
              <w:rPr>
                <w:i/>
                <w:iCs/>
              </w:rPr>
              <w:t>Corporations Law</w:t>
            </w:r>
            <w:r>
              <w:t>.</w:t>
            </w:r>
          </w:p>
          <w:p w14:paraId="217E216F" w14:textId="77777777" w:rsidR="00C150E9" w:rsidRDefault="00C150E9" w:rsidP="00F12D53">
            <w:pPr>
              <w:pStyle w:val="Body"/>
              <w:rPr>
                <w:b/>
                <w:bCs/>
              </w:rPr>
            </w:pPr>
            <w:r>
              <w:rPr>
                <w:b/>
                <w:bCs/>
              </w:rPr>
              <w:t>Decision – were MME and MGPP a ‘business, commercial or financial undertaking’?</w:t>
            </w:r>
          </w:p>
          <w:p w14:paraId="7ED56993" w14:textId="77777777" w:rsidR="00C150E9" w:rsidRPr="008A5117" w:rsidRDefault="00C150E9" w:rsidP="00F12D53">
            <w:pPr>
              <w:pStyle w:val="Body"/>
              <w:rPr>
                <w:b/>
                <w:bCs/>
              </w:rPr>
            </w:pPr>
            <w:r>
              <w:t>On this question, Judge Fagan, President of the then Administrative Appeals Tribunal of Victoria held:</w:t>
            </w:r>
          </w:p>
          <w:p w14:paraId="5C402CD4" w14:textId="77777777" w:rsidR="00C150E9" w:rsidRPr="008A5117" w:rsidRDefault="00C150E9" w:rsidP="00C150E9">
            <w:pPr>
              <w:pStyle w:val="Body"/>
              <w:numPr>
                <w:ilvl w:val="0"/>
                <w:numId w:val="144"/>
              </w:numPr>
              <w:rPr>
                <w:b/>
                <w:bCs/>
              </w:rPr>
            </w:pPr>
            <w:r>
              <w:t>Both companies had been carrying on activities as a business, commercial or financial undertaking. They were involved in the business of attracting major cultural and sporting events to Victoria and encouraging private sector funding of those events. The events themselves are substantial business, commercial and financial undertakings. MME sought sponsorship for itself and acted as a promoter of some events and supplied certain commercial services for a fee. Judge Fagan considered MGPP’s memorandum and articles, the purpose for which it was set up and the activities thus far undertaken by MGPP and found it clear that it was a business, commercial or financial undertaking.</w:t>
            </w:r>
          </w:p>
          <w:p w14:paraId="2504A798" w14:textId="77777777" w:rsidR="00C150E9" w:rsidRPr="00146821" w:rsidRDefault="00C150E9" w:rsidP="00C150E9">
            <w:pPr>
              <w:pStyle w:val="Body"/>
              <w:numPr>
                <w:ilvl w:val="0"/>
                <w:numId w:val="144"/>
              </w:numPr>
              <w:rPr>
                <w:b/>
                <w:bCs/>
              </w:rPr>
            </w:pPr>
            <w:r>
              <w:t xml:space="preserve">The fact the major activities carried on by MME and MGPP related to attracting or managing major events in Melbourne within the parameters of the terms of each company’s memorandum and articles of association did not remove the two companies of the character of a business, commercial or financial undertaking. </w:t>
            </w:r>
          </w:p>
          <w:p w14:paraId="3E9E3F3F" w14:textId="77777777" w:rsidR="00C150E9" w:rsidRDefault="00C150E9" w:rsidP="00C150E9">
            <w:pPr>
              <w:pStyle w:val="Body"/>
              <w:numPr>
                <w:ilvl w:val="0"/>
                <w:numId w:val="144"/>
              </w:numPr>
            </w:pPr>
            <w:r>
              <w:t>What a company does with profits, gains and assets it acquires from its activities is a matter for it within the limits of its memorandum and articles. The restriction on the disposition of profits, gains and assets, does not of itself prevent it from being a company of a business, commercial or financial undertaking in all cases.</w:t>
            </w:r>
          </w:p>
          <w:p w14:paraId="57ED233C" w14:textId="77777777" w:rsidR="00C150E9" w:rsidRPr="00923948" w:rsidRDefault="00C150E9" w:rsidP="00C150E9">
            <w:pPr>
              <w:pStyle w:val="Body"/>
              <w:numPr>
                <w:ilvl w:val="0"/>
                <w:numId w:val="144"/>
              </w:numPr>
              <w:rPr>
                <w:b/>
                <w:bCs/>
              </w:rPr>
            </w:pPr>
            <w:r>
              <w:lastRenderedPageBreak/>
              <w:t>In this case, MME and MGPP were still permitted to carry on business for profit or gain, for the purposes of the lawful objects of the company. For example, the acquisition of assets could be devoted to the objects of the company rather than the individual members.</w:t>
            </w:r>
          </w:p>
          <w:p w14:paraId="6B13DD38" w14:textId="3D0F73BC" w:rsidR="00C150E9" w:rsidRPr="002F5537" w:rsidRDefault="00C150E9" w:rsidP="00F12D53">
            <w:pPr>
              <w:pStyle w:val="Body"/>
              <w:numPr>
                <w:ilvl w:val="0"/>
                <w:numId w:val="144"/>
              </w:numPr>
              <w:rPr>
                <w:b/>
                <w:bCs/>
              </w:rPr>
            </w:pPr>
            <w:r>
              <w:t>The degree of control of the Premier and Treasurer was considerable, but not absolute. Partial government control of a company by government officers will not of itself deprive a company of the quality of a business, commercial or financial undertaking. Modern governments are often and perhaps necessarily involved in management of enterprises of this character.</w:t>
            </w:r>
          </w:p>
          <w:p w14:paraId="741A93D8" w14:textId="77777777" w:rsidR="00C150E9" w:rsidRPr="00146821" w:rsidRDefault="00000000" w:rsidP="00F12D53">
            <w:pPr>
              <w:pStyle w:val="Body"/>
              <w:rPr>
                <w:b/>
                <w:bCs/>
              </w:rPr>
            </w:pPr>
            <w:hyperlink r:id="rId17" w:history="1">
              <w:r w:rsidR="00C150E9" w:rsidRPr="00FF1B78">
                <w:rPr>
                  <w:rStyle w:val="Hyperlink"/>
                  <w:b/>
                  <w:bCs/>
                </w:rPr>
                <w:t>Stewart v Department of Tourism, Sport and the Commonwealth Games [2003] VCAT 45</w:t>
              </w:r>
            </w:hyperlink>
          </w:p>
          <w:p w14:paraId="3AA6B1E4" w14:textId="77777777" w:rsidR="00C150E9" w:rsidRPr="00146821" w:rsidRDefault="00C150E9" w:rsidP="00F12D53">
            <w:pPr>
              <w:pStyle w:val="Body"/>
              <w:rPr>
                <w:b/>
                <w:bCs/>
              </w:rPr>
            </w:pPr>
            <w:r w:rsidRPr="00146821">
              <w:rPr>
                <w:b/>
                <w:bCs/>
              </w:rPr>
              <w:t>Background:</w:t>
            </w:r>
          </w:p>
          <w:p w14:paraId="28034B60" w14:textId="77777777" w:rsidR="00C150E9" w:rsidRDefault="00C150E9" w:rsidP="00C150E9">
            <w:pPr>
              <w:pStyle w:val="Body"/>
              <w:numPr>
                <w:ilvl w:val="0"/>
                <w:numId w:val="146"/>
              </w:numPr>
            </w:pPr>
            <w:r>
              <w:t>The Applicant sought access to an agreement between the State of Victoria and the Australian Commonwealth Games Association (</w:t>
            </w:r>
            <w:r w:rsidRPr="00F80E53">
              <w:rPr>
                <w:b/>
                <w:bCs/>
              </w:rPr>
              <w:t>ACGA</w:t>
            </w:r>
            <w:r>
              <w:t>), an agreement between the ACGA and Melbourne 2006 Pty Ltd, and any contracts, agreement and memoranda of understanding between those parties in relation to the staging of the Commonwealth Games in 2006.</w:t>
            </w:r>
          </w:p>
          <w:p w14:paraId="216F69A9" w14:textId="77777777" w:rsidR="00C150E9" w:rsidRDefault="00C150E9" w:rsidP="00C150E9">
            <w:pPr>
              <w:pStyle w:val="Body"/>
              <w:numPr>
                <w:ilvl w:val="0"/>
                <w:numId w:val="146"/>
              </w:numPr>
            </w:pPr>
            <w:r>
              <w:t>Melbourne 2006 Pty Ltd was an entity set up by the State of Victoria to run the 2006 Commonwealth Games, and that would be wound up following completion of the Commonwealth Games.</w:t>
            </w:r>
          </w:p>
          <w:p w14:paraId="4A352C52" w14:textId="77777777" w:rsidR="00C150E9" w:rsidRDefault="00C150E9" w:rsidP="00C150E9">
            <w:pPr>
              <w:pStyle w:val="Body"/>
              <w:numPr>
                <w:ilvl w:val="0"/>
                <w:numId w:val="146"/>
              </w:numPr>
            </w:pPr>
            <w:r>
              <w:t>Melbourne 2006 was subject to a considerable element of control by government officers and contained unusual features in its constitution and operations.</w:t>
            </w:r>
          </w:p>
          <w:p w14:paraId="74F21AE8" w14:textId="77777777" w:rsidR="00C150E9" w:rsidRDefault="00C150E9" w:rsidP="00C150E9">
            <w:pPr>
              <w:pStyle w:val="Body"/>
              <w:numPr>
                <w:ilvl w:val="0"/>
                <w:numId w:val="146"/>
              </w:numPr>
            </w:pPr>
            <w:r>
              <w:t>The Department refused access to some documents on the basis they were exempt under section 34.</w:t>
            </w:r>
          </w:p>
          <w:p w14:paraId="06FF1D50" w14:textId="77777777" w:rsidR="00C150E9" w:rsidRPr="00146821" w:rsidRDefault="00C150E9" w:rsidP="00F12D53">
            <w:pPr>
              <w:pStyle w:val="Body"/>
              <w:rPr>
                <w:b/>
                <w:bCs/>
              </w:rPr>
            </w:pPr>
            <w:r w:rsidRPr="00146821">
              <w:rPr>
                <w:b/>
                <w:bCs/>
              </w:rPr>
              <w:t>Decision</w:t>
            </w:r>
            <w:r>
              <w:rPr>
                <w:b/>
                <w:bCs/>
              </w:rPr>
              <w:t xml:space="preserve"> – was Melbourne 2006 Pty Ltd a business, financial or commercial undertaking?</w:t>
            </w:r>
          </w:p>
          <w:p w14:paraId="04143040" w14:textId="77777777" w:rsidR="00C150E9" w:rsidRDefault="00C150E9" w:rsidP="00C150E9">
            <w:pPr>
              <w:pStyle w:val="Body"/>
              <w:numPr>
                <w:ilvl w:val="0"/>
                <w:numId w:val="145"/>
              </w:numPr>
            </w:pPr>
            <w:r>
              <w:t xml:space="preserve">Judge Bowman found that Melbourne 2006 Pty Ltd was clearly a business or commercial undertaking. </w:t>
            </w:r>
          </w:p>
          <w:p w14:paraId="158BC4D8" w14:textId="77777777" w:rsidR="00C150E9" w:rsidRPr="00D51C9F" w:rsidRDefault="00C150E9" w:rsidP="00C150E9">
            <w:pPr>
              <w:pStyle w:val="Body"/>
              <w:numPr>
                <w:ilvl w:val="0"/>
                <w:numId w:val="145"/>
              </w:numPr>
              <w:rPr>
                <w:b/>
                <w:bCs/>
              </w:rPr>
            </w:pPr>
            <w:r>
              <w:t xml:space="preserve">Melbourne 2006 Pty Ltd bore “considerable resemblance” to the two companies, MME and MGPP, that were found to be business, commercial or financial undertakings in </w:t>
            </w:r>
            <w:r w:rsidRPr="00D51C9F">
              <w:rPr>
                <w:i/>
                <w:iCs/>
              </w:rPr>
              <w:t xml:space="preserve">Mildenhall v Department of Treasury &amp; </w:t>
            </w:r>
            <w:proofErr w:type="spellStart"/>
            <w:r>
              <w:rPr>
                <w:i/>
                <w:iCs/>
              </w:rPr>
              <w:t>O</w:t>
            </w:r>
            <w:r w:rsidRPr="00D51C9F">
              <w:rPr>
                <w:i/>
                <w:iCs/>
              </w:rPr>
              <w:t>rs</w:t>
            </w:r>
            <w:proofErr w:type="spellEnd"/>
            <w:r w:rsidRPr="00D51C9F">
              <w:t xml:space="preserve"> (1994) 7 VAR 342</w:t>
            </w:r>
            <w:r>
              <w:t xml:space="preserve">. </w:t>
            </w:r>
          </w:p>
          <w:p w14:paraId="2E0B51C9" w14:textId="77777777" w:rsidR="00C150E9" w:rsidRPr="008A5117" w:rsidRDefault="00C150E9" w:rsidP="00C150E9">
            <w:pPr>
              <w:pStyle w:val="Body"/>
              <w:numPr>
                <w:ilvl w:val="0"/>
                <w:numId w:val="145"/>
              </w:numPr>
            </w:pPr>
            <w:r>
              <w:t xml:space="preserve">The annual report of Melbourne 2006 supported this finding, referring </w:t>
            </w:r>
            <w:r w:rsidRPr="00734EA8">
              <w:t xml:space="preserve">to </w:t>
            </w:r>
            <w:r>
              <w:t>“</w:t>
            </w:r>
            <w:r w:rsidRPr="00734EA8">
              <w:t>such things as the grant of licences to commercially exploit the Games on a worldwide basis, broadcast rights, and world-wide sponsorship rights</w:t>
            </w:r>
            <w:r>
              <w:t>”.</w:t>
            </w:r>
          </w:p>
        </w:tc>
      </w:tr>
    </w:tbl>
    <w:p w14:paraId="129A295F" w14:textId="77777777" w:rsidR="00C150E9" w:rsidRDefault="00C150E9" w:rsidP="00C150E9">
      <w:pPr>
        <w:pStyle w:val="2HeadingLevel2"/>
      </w:pPr>
      <w:bookmarkStart w:id="7" w:name="_Toc150764348"/>
      <w:r>
        <w:lastRenderedPageBreak/>
        <w:t>Section 34(1)(a) exemption – trade secrets of a business, commercial or financial undertaking</w:t>
      </w:r>
      <w:bookmarkEnd w:id="7"/>
    </w:p>
    <w:p w14:paraId="3F31CA93" w14:textId="77777777" w:rsidR="00C150E9" w:rsidRPr="00E361F1" w:rsidRDefault="00C150E9" w:rsidP="00C150E9">
      <w:pPr>
        <w:pStyle w:val="3BodyInteger"/>
      </w:pPr>
      <w:r w:rsidRPr="00E361F1">
        <w:t>A document or information is exempt under section 34(1)(a) if two conditions are satisfied:</w:t>
      </w:r>
    </w:p>
    <w:p w14:paraId="7435318E" w14:textId="77777777" w:rsidR="00C150E9" w:rsidRPr="00E361F1" w:rsidRDefault="00C150E9" w:rsidP="00C150E9">
      <w:pPr>
        <w:pStyle w:val="Body"/>
        <w:widowControl w:val="0"/>
        <w:numPr>
          <w:ilvl w:val="0"/>
          <w:numId w:val="6"/>
        </w:numPr>
        <w:suppressAutoHyphens/>
        <w:autoSpaceDE w:val="0"/>
        <w:autoSpaceDN w:val="0"/>
        <w:adjustRightInd w:val="0"/>
        <w:spacing w:after="200"/>
        <w:ind w:left="993" w:hanging="426"/>
        <w:textAlignment w:val="center"/>
      </w:pPr>
      <w:r w:rsidRPr="00E361F1">
        <w:t xml:space="preserve">the document or information was acquired from a business, commercial, or financial undertaking; </w:t>
      </w:r>
      <w:r w:rsidRPr="00541F43">
        <w:t>and</w:t>
      </w:r>
    </w:p>
    <w:p w14:paraId="37BB11B8" w14:textId="77777777" w:rsidR="00C150E9" w:rsidRPr="00E361F1" w:rsidRDefault="00C150E9" w:rsidP="00C150E9">
      <w:pPr>
        <w:pStyle w:val="Body"/>
        <w:widowControl w:val="0"/>
        <w:numPr>
          <w:ilvl w:val="0"/>
          <w:numId w:val="6"/>
        </w:numPr>
        <w:suppressAutoHyphens/>
        <w:autoSpaceDE w:val="0"/>
        <w:autoSpaceDN w:val="0"/>
        <w:adjustRightInd w:val="0"/>
        <w:spacing w:after="200"/>
        <w:ind w:left="993" w:hanging="426"/>
        <w:textAlignment w:val="center"/>
      </w:pPr>
      <w:r w:rsidRPr="00E361F1">
        <w:t>the document or information contains trade secrets of the undertaking.</w:t>
      </w:r>
    </w:p>
    <w:p w14:paraId="1EA3805C" w14:textId="77777777" w:rsidR="00C150E9" w:rsidRDefault="00C150E9" w:rsidP="00C150E9">
      <w:pPr>
        <w:pStyle w:val="3BodyInteger"/>
      </w:pPr>
      <w:r>
        <w:lastRenderedPageBreak/>
        <w:t>See above for guidance about the first condition. See below for guidance about the second condition.</w:t>
      </w:r>
    </w:p>
    <w:p w14:paraId="01800BF6" w14:textId="77777777" w:rsidR="00C150E9" w:rsidRDefault="00C150E9" w:rsidP="00C150E9">
      <w:pPr>
        <w:pStyle w:val="3SubheadingLevel3"/>
      </w:pPr>
      <w:r>
        <w:t>Steps to applying the exemption</w:t>
      </w:r>
    </w:p>
    <w:p w14:paraId="28579B3C" w14:textId="77777777" w:rsidR="00C150E9" w:rsidRDefault="00C150E9" w:rsidP="00C150E9">
      <w:pPr>
        <w:pStyle w:val="3BodyInteger"/>
      </w:pPr>
      <w:r>
        <w:t>It is best practice for an agency or Minister seeking to apply the section 34(1)(a) exemption to:</w:t>
      </w:r>
    </w:p>
    <w:p w14:paraId="43EB0F7C" w14:textId="77777777" w:rsidR="00C150E9" w:rsidRDefault="00C150E9" w:rsidP="00C150E9">
      <w:pPr>
        <w:pStyle w:val="3BodyInteger"/>
        <w:numPr>
          <w:ilvl w:val="2"/>
          <w:numId w:val="15"/>
        </w:numPr>
      </w:pPr>
      <w:r>
        <w:t>Specifically identify the information considered to be a trade secret.</w:t>
      </w:r>
    </w:p>
    <w:p w14:paraId="2BBDE05A" w14:textId="77777777" w:rsidR="00C150E9" w:rsidRDefault="00C150E9" w:rsidP="00C150E9">
      <w:pPr>
        <w:pStyle w:val="3BodyInteger"/>
        <w:numPr>
          <w:ilvl w:val="2"/>
          <w:numId w:val="15"/>
        </w:numPr>
      </w:pPr>
      <w:r>
        <w:t>Determine whether the information was acquired from a business, commercial or financial undertaking, identifying when it was received and from what undertaking;</w:t>
      </w:r>
    </w:p>
    <w:p w14:paraId="2E54A5D4" w14:textId="77777777" w:rsidR="00C150E9" w:rsidRDefault="00C150E9" w:rsidP="00C150E9">
      <w:pPr>
        <w:pStyle w:val="3BodyInteger"/>
        <w:numPr>
          <w:ilvl w:val="2"/>
          <w:numId w:val="15"/>
        </w:numPr>
      </w:pPr>
      <w:r>
        <w:t>Consult with the undertaking to seek its views on whether the information constitutes a trade secret, and whether it consents to disclosure.</w:t>
      </w:r>
      <w:r>
        <w:rPr>
          <w:rStyle w:val="FootnoteReference"/>
        </w:rPr>
        <w:footnoteReference w:id="17"/>
      </w:r>
      <w:r>
        <w:t xml:space="preserve"> If not, obtain reasons and supporting documentation about why the information constitutes a trade secret. </w:t>
      </w:r>
    </w:p>
    <w:p w14:paraId="006A7449" w14:textId="640F318D" w:rsidR="00C150E9" w:rsidRDefault="00C150E9" w:rsidP="00C150E9">
      <w:pPr>
        <w:pStyle w:val="3BodyInteger"/>
        <w:numPr>
          <w:ilvl w:val="3"/>
          <w:numId w:val="15"/>
        </w:numPr>
      </w:pPr>
      <w:r>
        <w:t xml:space="preserve">Consider seeking an extension of time </w:t>
      </w:r>
      <w:r w:rsidRPr="004151EB">
        <w:t xml:space="preserve">under </w:t>
      </w:r>
      <w:hyperlink r:id="rId18" w:history="1">
        <w:r w:rsidRPr="004151EB">
          <w:rPr>
            <w:rStyle w:val="Hyperlink"/>
          </w:rPr>
          <w:t>section 21(2)(b)</w:t>
        </w:r>
      </w:hyperlink>
      <w:r w:rsidRPr="004151EB">
        <w:t xml:space="preserve"> if</w:t>
      </w:r>
      <w:r>
        <w:t xml:space="preserve"> additional time is required to conduct consultation.</w:t>
      </w:r>
    </w:p>
    <w:p w14:paraId="0EFBC5D3" w14:textId="77777777" w:rsidR="00C150E9" w:rsidRDefault="00C150E9" w:rsidP="00C150E9">
      <w:pPr>
        <w:pStyle w:val="3BodyInteger"/>
        <w:numPr>
          <w:ilvl w:val="2"/>
          <w:numId w:val="15"/>
        </w:numPr>
      </w:pPr>
      <w:r>
        <w:t>Determine if the information constitutes a trade secret of the undertaking, and should be exempt.</w:t>
      </w:r>
    </w:p>
    <w:p w14:paraId="6BE0F70F" w14:textId="77777777" w:rsidR="00C150E9" w:rsidRDefault="00C150E9" w:rsidP="00C150E9">
      <w:pPr>
        <w:pStyle w:val="3BodyInteger"/>
        <w:numPr>
          <w:ilvl w:val="2"/>
          <w:numId w:val="15"/>
        </w:numPr>
      </w:pPr>
      <w:r>
        <w:t>If a decision is made to release the information, and the undertaking did not consent to the disclosure, or did not reply, notify the affected undertaking of the decision and their right to appeal to the Victorian Civil and Administrative Tribunal (</w:t>
      </w:r>
      <w:r w:rsidRPr="009920C9">
        <w:rPr>
          <w:b/>
          <w:bCs/>
        </w:rPr>
        <w:t>VCAT</w:t>
      </w:r>
      <w:r>
        <w:t xml:space="preserve">), including the 60-day appeal period. </w:t>
      </w:r>
    </w:p>
    <w:p w14:paraId="3072E3C3" w14:textId="77777777" w:rsidR="00C150E9" w:rsidRDefault="00C150E9" w:rsidP="00C150E9">
      <w:pPr>
        <w:pStyle w:val="3BodyInteger"/>
        <w:numPr>
          <w:ilvl w:val="2"/>
          <w:numId w:val="15"/>
        </w:numPr>
      </w:pPr>
      <w:r>
        <w:t>Wait until the review period has ended, and where applicable, the conclusion of any appeal or VCAT proceedings before providing the documents to the applicant.</w:t>
      </w:r>
    </w:p>
    <w:p w14:paraId="429881E3" w14:textId="77777777" w:rsidR="00C150E9" w:rsidRDefault="00C150E9" w:rsidP="00C150E9">
      <w:pPr>
        <w:pStyle w:val="3BodyInteger"/>
        <w:numPr>
          <w:ilvl w:val="3"/>
          <w:numId w:val="15"/>
        </w:numPr>
      </w:pPr>
      <w:r>
        <w:t>If there are other documents falling within the request that do not contain the affected undertaking’s information, these can be released to the applicant at the same time as the decision notice, without needing to wait for the appeal period to end.</w:t>
      </w:r>
    </w:p>
    <w:p w14:paraId="6FBBB755" w14:textId="77777777" w:rsidR="00C150E9" w:rsidRPr="00E361F1" w:rsidRDefault="00C150E9" w:rsidP="00C150E9">
      <w:pPr>
        <w:pStyle w:val="3SubheadingLevel3"/>
      </w:pPr>
      <w:r w:rsidRPr="00E361F1">
        <w:t>Trade secrets</w:t>
      </w:r>
    </w:p>
    <w:p w14:paraId="0F7517DE" w14:textId="77777777" w:rsidR="00C150E9" w:rsidRDefault="00C150E9" w:rsidP="00C150E9">
      <w:pPr>
        <w:pStyle w:val="3BodyInteger"/>
      </w:pPr>
      <w:r>
        <w:t>To be exempt under section 34(1)(a), t</w:t>
      </w:r>
      <w:r w:rsidRPr="00E361F1">
        <w:t>he information acquired</w:t>
      </w:r>
      <w:r>
        <w:t xml:space="preserve"> from the business, commercial or financial undertaking</w:t>
      </w:r>
      <w:r w:rsidRPr="00E361F1">
        <w:t xml:space="preserve"> must constitute a trade secret of the undertaking. </w:t>
      </w:r>
    </w:p>
    <w:p w14:paraId="1A2146FD" w14:textId="77777777" w:rsidR="00C150E9" w:rsidRDefault="00C150E9" w:rsidP="00C150E9">
      <w:pPr>
        <w:pStyle w:val="3BodyInteger"/>
      </w:pPr>
      <w:r>
        <w:t>The phrase</w:t>
      </w:r>
      <w:r w:rsidRPr="00E361F1">
        <w:t xml:space="preserve"> ‘trade secret’ is not defined</w:t>
      </w:r>
      <w:r>
        <w:t xml:space="preserve"> in the Act. Determining what is a ‘trade secret’ is primarily a question of fact for the administrative decision maker.</w:t>
      </w:r>
      <w:r>
        <w:rPr>
          <w:rStyle w:val="FootnoteReference"/>
        </w:rPr>
        <w:footnoteReference w:id="18"/>
      </w:r>
      <w:r>
        <w:t xml:space="preserve"> </w:t>
      </w:r>
      <w:r w:rsidRPr="00E361F1">
        <w:t xml:space="preserve"> </w:t>
      </w:r>
    </w:p>
    <w:p w14:paraId="09AD1940" w14:textId="77777777" w:rsidR="00C150E9" w:rsidRDefault="00C150E9" w:rsidP="00C150E9">
      <w:pPr>
        <w:pStyle w:val="3BodyInteger"/>
      </w:pPr>
      <w:r>
        <w:t>A trade secret</w:t>
      </w:r>
      <w:r w:rsidRPr="00E361F1">
        <w:t xml:space="preserve"> is generally proprietary knowledge of the undertaking</w:t>
      </w:r>
      <w:r>
        <w:t xml:space="preserve"> but does not include every piece of commercially sensitive information</w:t>
      </w:r>
      <w:r w:rsidRPr="00E361F1">
        <w:t>.</w:t>
      </w:r>
      <w:r>
        <w:rPr>
          <w:rStyle w:val="FootnoteReference"/>
        </w:rPr>
        <w:footnoteReference w:id="19"/>
      </w:r>
      <w:r w:rsidRPr="00E361F1">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2032C20C" w14:textId="77777777" w:rsidTr="00F12D53">
        <w:trPr>
          <w:trHeight w:val="402"/>
        </w:trPr>
        <w:tc>
          <w:tcPr>
            <w:tcW w:w="8931" w:type="dxa"/>
            <w:shd w:val="clear" w:color="auto" w:fill="FFFEC6"/>
          </w:tcPr>
          <w:p w14:paraId="50AE6EB6" w14:textId="77777777" w:rsidR="00C150E9" w:rsidRDefault="00C150E9" w:rsidP="00F12D53">
            <w:pPr>
              <w:pStyle w:val="Body"/>
              <w:rPr>
                <w:b/>
                <w:bCs/>
              </w:rPr>
            </w:pPr>
            <w:bookmarkStart w:id="8" w:name="_Hlk135838807"/>
            <w:r w:rsidRPr="00C53746">
              <w:rPr>
                <w:b/>
                <w:bCs/>
              </w:rPr>
              <w:t>Example</w:t>
            </w:r>
            <w:r>
              <w:rPr>
                <w:b/>
                <w:bCs/>
              </w:rPr>
              <w:t>s</w:t>
            </w:r>
          </w:p>
          <w:p w14:paraId="4EDA1A60" w14:textId="77777777" w:rsidR="00C150E9" w:rsidRPr="00C503B1" w:rsidRDefault="00C150E9" w:rsidP="00F12D53">
            <w:pPr>
              <w:pStyle w:val="Body"/>
              <w:rPr>
                <w:b/>
                <w:bCs/>
              </w:rPr>
            </w:pPr>
            <w:r>
              <w:lastRenderedPageBreak/>
              <w:t>S</w:t>
            </w:r>
            <w:r w:rsidRPr="00E361F1">
              <w:t>ecret formulas, processes, or methods used in production of goods or provision of services</w:t>
            </w:r>
            <w:r>
              <w:t>.</w:t>
            </w:r>
          </w:p>
        </w:tc>
      </w:tr>
    </w:tbl>
    <w:bookmarkEnd w:id="8"/>
    <w:p w14:paraId="564B12C9" w14:textId="77777777" w:rsidR="00C150E9" w:rsidRPr="00E361F1" w:rsidRDefault="00C150E9" w:rsidP="00C150E9">
      <w:pPr>
        <w:pStyle w:val="3BodyInteger"/>
      </w:pPr>
      <w:r w:rsidRPr="00E361F1">
        <w:lastRenderedPageBreak/>
        <w:t xml:space="preserve">There are </w:t>
      </w:r>
      <w:r>
        <w:t>several</w:t>
      </w:r>
      <w:r w:rsidRPr="00E361F1">
        <w:t xml:space="preserve"> </w:t>
      </w:r>
      <w:r>
        <w:t>factors indicating that</w:t>
      </w:r>
      <w:r w:rsidRPr="00E361F1">
        <w:t xml:space="preserve"> information </w:t>
      </w:r>
      <w:r>
        <w:t xml:space="preserve">may </w:t>
      </w:r>
      <w:r w:rsidRPr="00E361F1">
        <w:t>constitut</w:t>
      </w:r>
      <w:r>
        <w:t>e</w:t>
      </w:r>
      <w:r w:rsidRPr="00E361F1">
        <w:t xml:space="preserve"> a trade secret.</w:t>
      </w:r>
      <w:r w:rsidRPr="00E361F1">
        <w:rPr>
          <w:vertAlign w:val="superscript"/>
        </w:rPr>
        <w:footnoteReference w:id="20"/>
      </w:r>
      <w:r w:rsidRPr="00E361F1">
        <w:t xml:space="preserve"> These include:</w:t>
      </w:r>
    </w:p>
    <w:p w14:paraId="191C8D5A" w14:textId="77777777" w:rsidR="00C150E9" w:rsidRPr="00E361F1" w:rsidRDefault="00C150E9" w:rsidP="00C150E9">
      <w:pPr>
        <w:pStyle w:val="Body"/>
        <w:numPr>
          <w:ilvl w:val="0"/>
          <w:numId w:val="87"/>
        </w:numPr>
        <w:ind w:left="993"/>
      </w:pPr>
      <w:r w:rsidRPr="00E361F1">
        <w:t xml:space="preserve">the extent to which the information is known outside of the undertaking’s business; </w:t>
      </w:r>
    </w:p>
    <w:p w14:paraId="7767717C" w14:textId="77777777" w:rsidR="00C150E9" w:rsidRPr="00E361F1" w:rsidRDefault="00C150E9" w:rsidP="00C150E9">
      <w:pPr>
        <w:pStyle w:val="Body"/>
        <w:numPr>
          <w:ilvl w:val="0"/>
          <w:numId w:val="87"/>
        </w:numPr>
        <w:ind w:left="993"/>
      </w:pPr>
      <w:r w:rsidRPr="00E361F1">
        <w:t xml:space="preserve">measures taken by the undertaking to guard the secrecy of the information; </w:t>
      </w:r>
    </w:p>
    <w:p w14:paraId="5679A04D" w14:textId="77777777" w:rsidR="00C150E9" w:rsidRPr="00E361F1" w:rsidRDefault="00C150E9" w:rsidP="00C150E9">
      <w:pPr>
        <w:pStyle w:val="Body"/>
        <w:numPr>
          <w:ilvl w:val="0"/>
          <w:numId w:val="87"/>
        </w:numPr>
        <w:ind w:left="993"/>
      </w:pPr>
      <w:r w:rsidRPr="00E361F1">
        <w:t xml:space="preserve">the value of the information to the undertaking and competitors; </w:t>
      </w:r>
    </w:p>
    <w:p w14:paraId="1307865D" w14:textId="77777777" w:rsidR="00C150E9" w:rsidRPr="00E361F1" w:rsidRDefault="00C150E9" w:rsidP="00C150E9">
      <w:pPr>
        <w:pStyle w:val="Body"/>
        <w:numPr>
          <w:ilvl w:val="0"/>
          <w:numId w:val="87"/>
        </w:numPr>
        <w:ind w:left="993"/>
      </w:pPr>
      <w:r w:rsidRPr="00E361F1">
        <w:t>the effort and money spent by the undertaking in developing the information; and</w:t>
      </w:r>
    </w:p>
    <w:p w14:paraId="22BA4FD7" w14:textId="77777777" w:rsidR="00C150E9" w:rsidRPr="00E361F1" w:rsidRDefault="00C150E9" w:rsidP="00C150E9">
      <w:pPr>
        <w:pStyle w:val="Body"/>
        <w:numPr>
          <w:ilvl w:val="0"/>
          <w:numId w:val="87"/>
        </w:numPr>
        <w:ind w:left="993"/>
      </w:pPr>
      <w:r w:rsidRPr="00E361F1">
        <w:t xml:space="preserve">the ease or difficulty with which others might acquire or duplicate the secret. </w:t>
      </w:r>
    </w:p>
    <w:p w14:paraId="6095AB78" w14:textId="77777777" w:rsidR="00C150E9" w:rsidRDefault="00C150E9" w:rsidP="00C150E9">
      <w:pPr>
        <w:pStyle w:val="3BodyInteger"/>
      </w:pPr>
      <w:r>
        <w:t>Information may be a trade secret even if it is not of a technical character.</w:t>
      </w:r>
      <w:r>
        <w:rPr>
          <w:rStyle w:val="FootnoteReference"/>
        </w:rPr>
        <w:footnoteReference w:id="21"/>
      </w:r>
      <w:r>
        <w:t xml:space="preserve"> </w:t>
      </w:r>
    </w:p>
    <w:p w14:paraId="68DFF58E" w14:textId="77777777" w:rsidR="00C150E9" w:rsidRDefault="00C150E9" w:rsidP="00C150E9">
      <w:pPr>
        <w:pStyle w:val="3BodyInteger"/>
      </w:pPr>
      <w:r w:rsidRPr="00E361F1">
        <w:t>Information is generally not considered to be a trade secret where the processes, procedures, or methods are well known or widespread (including in that industry), could be assumed, or are publicly available.</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465B4807" w14:textId="77777777" w:rsidTr="00F12D53">
        <w:trPr>
          <w:trHeight w:val="402"/>
        </w:trPr>
        <w:tc>
          <w:tcPr>
            <w:tcW w:w="8931" w:type="dxa"/>
            <w:shd w:val="clear" w:color="auto" w:fill="FFFEC6"/>
          </w:tcPr>
          <w:p w14:paraId="72DC360E" w14:textId="77777777" w:rsidR="00C150E9" w:rsidRDefault="00C150E9" w:rsidP="00F12D53">
            <w:pPr>
              <w:pStyle w:val="Body"/>
              <w:rPr>
                <w:b/>
                <w:bCs/>
              </w:rPr>
            </w:pPr>
            <w:r w:rsidRPr="00C53746">
              <w:rPr>
                <w:b/>
                <w:bCs/>
              </w:rPr>
              <w:t>Example</w:t>
            </w:r>
          </w:p>
          <w:p w14:paraId="05129F64" w14:textId="77777777" w:rsidR="00C150E9" w:rsidRPr="00602A92" w:rsidRDefault="00000000" w:rsidP="00F12D53">
            <w:pPr>
              <w:pStyle w:val="Body"/>
              <w:rPr>
                <w:b/>
                <w:bCs/>
              </w:rPr>
            </w:pPr>
            <w:hyperlink r:id="rId19" w:history="1">
              <w:r w:rsidR="00C150E9" w:rsidRPr="00776283">
                <w:rPr>
                  <w:rStyle w:val="Hyperlink"/>
                  <w:b/>
                  <w:bCs/>
                </w:rPr>
                <w:t>Tilley v VicRoads [2010] VCAT 483</w:t>
              </w:r>
            </w:hyperlink>
          </w:p>
          <w:p w14:paraId="36796CCF" w14:textId="77777777" w:rsidR="00C150E9" w:rsidRDefault="00C150E9" w:rsidP="00F12D53">
            <w:pPr>
              <w:pStyle w:val="Body"/>
              <w:rPr>
                <w:b/>
                <w:bCs/>
              </w:rPr>
            </w:pPr>
            <w:r>
              <w:rPr>
                <w:b/>
                <w:bCs/>
              </w:rPr>
              <w:t>Background:</w:t>
            </w:r>
          </w:p>
          <w:p w14:paraId="6B5024DA" w14:textId="77777777" w:rsidR="00C150E9" w:rsidRDefault="00C150E9" w:rsidP="00C150E9">
            <w:pPr>
              <w:pStyle w:val="Body"/>
              <w:numPr>
                <w:ilvl w:val="0"/>
                <w:numId w:val="147"/>
              </w:numPr>
            </w:pPr>
            <w:r>
              <w:t xml:space="preserve">The Applicant requested access to </w:t>
            </w:r>
            <w:r w:rsidRPr="00910C49">
              <w:t xml:space="preserve">documents relating to </w:t>
            </w:r>
            <w:r>
              <w:t>a special registration scheme for heavy vehicles.</w:t>
            </w:r>
            <w:r w:rsidRPr="00910C49">
              <w:t xml:space="preserve"> </w:t>
            </w:r>
          </w:p>
          <w:p w14:paraId="7CA2AF5C" w14:textId="77777777" w:rsidR="00C150E9" w:rsidRPr="00910C49" w:rsidRDefault="00C150E9" w:rsidP="00C150E9">
            <w:pPr>
              <w:pStyle w:val="Body"/>
              <w:numPr>
                <w:ilvl w:val="0"/>
                <w:numId w:val="147"/>
              </w:numPr>
            </w:pPr>
            <w:r>
              <w:t>The Agency refused access to some information on the basis it contained information relating to trade secrets acquired from companies who applied to be part of the scheme.</w:t>
            </w:r>
          </w:p>
          <w:p w14:paraId="082E597B" w14:textId="77777777" w:rsidR="00C150E9" w:rsidRPr="00FF6125" w:rsidRDefault="00C150E9" w:rsidP="00F12D53">
            <w:pPr>
              <w:pStyle w:val="Body"/>
              <w:rPr>
                <w:b/>
                <w:bCs/>
              </w:rPr>
            </w:pPr>
            <w:r w:rsidRPr="00FF6125">
              <w:rPr>
                <w:b/>
                <w:bCs/>
              </w:rPr>
              <w:t>Decision:</w:t>
            </w:r>
          </w:p>
          <w:p w14:paraId="752B7D4D" w14:textId="77777777" w:rsidR="00C150E9" w:rsidRDefault="00C150E9" w:rsidP="00C150E9">
            <w:pPr>
              <w:pStyle w:val="Body"/>
              <w:numPr>
                <w:ilvl w:val="0"/>
                <w:numId w:val="148"/>
              </w:numPr>
            </w:pPr>
            <w:r>
              <w:t>The documents contained information relating to trade secrets. The evidence satisfied the factors for a trade secret.</w:t>
            </w:r>
          </w:p>
          <w:p w14:paraId="2072E6F7" w14:textId="77777777" w:rsidR="00C150E9" w:rsidRDefault="00C150E9" w:rsidP="00C150E9">
            <w:pPr>
              <w:pStyle w:val="Body"/>
              <w:numPr>
                <w:ilvl w:val="0"/>
                <w:numId w:val="148"/>
              </w:numPr>
            </w:pPr>
            <w:r>
              <w:t xml:space="preserve">Member Proctor (as he then was), accepted evidence that the documents </w:t>
            </w:r>
            <w:r w:rsidRPr="00AF0FAB">
              <w:t xml:space="preserve">contained information provided by </w:t>
            </w:r>
            <w:r>
              <w:t>company A</w:t>
            </w:r>
            <w:r w:rsidRPr="00AF0FAB">
              <w:t xml:space="preserve"> to VicRoads about a vehicle design. </w:t>
            </w:r>
            <w:r>
              <w:t>“</w:t>
            </w:r>
            <w:r w:rsidRPr="00AF0FAB">
              <w:t>The design is innovative, has significant commercial value, cost significant time and money, is secret and would be valuable to MSD’s competitors. The innovation should increase vehicle stability and thus improve safety and allow for an increased payload. The vehicle has not yet been built</w:t>
            </w:r>
            <w:r>
              <w:t>.”</w:t>
            </w:r>
          </w:p>
          <w:p w14:paraId="73134C19" w14:textId="77777777" w:rsidR="00C150E9" w:rsidRPr="00910C49" w:rsidRDefault="00C150E9" w:rsidP="00C150E9">
            <w:pPr>
              <w:pStyle w:val="Body"/>
              <w:numPr>
                <w:ilvl w:val="0"/>
                <w:numId w:val="148"/>
              </w:numPr>
            </w:pPr>
            <w:r>
              <w:t xml:space="preserve">With respect to Company B, Member Proctor accepted evidence that </w:t>
            </w:r>
            <w:r w:rsidRPr="00FF6125">
              <w:t xml:space="preserve">the vehicle design was an innovative improvement to an existing vehicle. The design had significant </w:t>
            </w:r>
            <w:r w:rsidRPr="00FF6125">
              <w:lastRenderedPageBreak/>
              <w:t>commercial value and a significant amount of time and money had been spent on developing it. The information had been kept secret and would be valuable to Company B’s competitors</w:t>
            </w:r>
            <w:r>
              <w:t xml:space="preserve">. Member Proctor accepted </w:t>
            </w:r>
            <w:r w:rsidRPr="00FF6125">
              <w:t xml:space="preserve">evidence that the appearance of the vehicle has not disclosed the trade secrets. </w:t>
            </w:r>
            <w:r>
              <w:t>“</w:t>
            </w:r>
            <w:r w:rsidRPr="00FF6125">
              <w:t>Numerous components and measurements could not be discovered by seeing or photographing the vehicle. The vehicle is either in operation or parked in a secure depot, to physically measure it would require access and a significant amount of time. Drivers have entered into a confidentiality agreement with Company B with their employer with regard to their knowledge of the vehicle</w:t>
            </w:r>
            <w:r>
              <w:t xml:space="preserve">.” </w:t>
            </w:r>
          </w:p>
        </w:tc>
      </w:tr>
    </w:tbl>
    <w:p w14:paraId="36E7126E" w14:textId="77777777" w:rsidR="00C150E9" w:rsidRDefault="00C150E9" w:rsidP="00C150E9">
      <w:pPr>
        <w:pStyle w:val="3SubheadingLevel3"/>
      </w:pPr>
      <w:r>
        <w:lastRenderedPageBreak/>
        <w:t>Consultation with the undertaking</w:t>
      </w:r>
    </w:p>
    <w:p w14:paraId="59BAD04A" w14:textId="77777777" w:rsidR="00C150E9" w:rsidRDefault="00C150E9" w:rsidP="00C150E9">
      <w:pPr>
        <w:pStyle w:val="3BodyInteger"/>
      </w:pPr>
      <w:r>
        <w:t>The Act does not require an agency or Minister to consult under section 34(1)(a). However, it is the undertaking, not the agency or Minister, that is likely to possess the required knowledge to determine whether the information constitutes a trade secret.</w:t>
      </w:r>
    </w:p>
    <w:p w14:paraId="6ED587EA" w14:textId="77777777" w:rsidR="00C150E9" w:rsidRDefault="00C150E9" w:rsidP="00C150E9">
      <w:pPr>
        <w:pStyle w:val="3BodyInteger"/>
      </w:pPr>
      <w:r>
        <w:t>Consequently, where is it not clear that information is a trade secret, it is best practice for an agency or Minister to consult with the undertaking, if practicable, to properly understand whether information is a trade secret.</w:t>
      </w:r>
    </w:p>
    <w:p w14:paraId="10CBFE77" w14:textId="77777777" w:rsidR="00C150E9" w:rsidRDefault="00C150E9" w:rsidP="00C150E9">
      <w:pPr>
        <w:pStyle w:val="3BodyInteger"/>
      </w:pPr>
      <w:r>
        <w:t>When consulting, an agency should:</w:t>
      </w:r>
    </w:p>
    <w:p w14:paraId="7CEDE8A1" w14:textId="77777777" w:rsidR="00C150E9" w:rsidRDefault="00C150E9" w:rsidP="00C150E9">
      <w:pPr>
        <w:pStyle w:val="3BodyInteger"/>
        <w:numPr>
          <w:ilvl w:val="2"/>
          <w:numId w:val="15"/>
        </w:numPr>
      </w:pPr>
      <w:r>
        <w:t>notify the undertaking of the request; and</w:t>
      </w:r>
    </w:p>
    <w:p w14:paraId="4E025AAE" w14:textId="77777777" w:rsidR="00C150E9" w:rsidRDefault="00C150E9" w:rsidP="00C150E9">
      <w:pPr>
        <w:pStyle w:val="3BodyInteger"/>
        <w:numPr>
          <w:ilvl w:val="2"/>
          <w:numId w:val="15"/>
        </w:numPr>
      </w:pPr>
      <w:r>
        <w:t>ask the undertaking whether the information is a trade secret and if so, why.</w:t>
      </w:r>
    </w:p>
    <w:p w14:paraId="4B5D9828" w14:textId="77777777" w:rsidR="00C150E9" w:rsidRDefault="00C150E9" w:rsidP="00C150E9">
      <w:pPr>
        <w:pStyle w:val="2HeadingLevel2"/>
      </w:pPr>
      <w:bookmarkStart w:id="9" w:name="_Toc150764349"/>
      <w:r>
        <w:t>Section 34(1)(b) exemption – business, commercial or financial information of a third party undertaking</w:t>
      </w:r>
      <w:bookmarkEnd w:id="9"/>
    </w:p>
    <w:p w14:paraId="60A3134A" w14:textId="77777777" w:rsidR="00C150E9" w:rsidRPr="002E0D81" w:rsidRDefault="00C150E9" w:rsidP="00C150E9">
      <w:pPr>
        <w:pStyle w:val="3BodyInteger"/>
      </w:pPr>
      <w:r w:rsidRPr="002E0D81">
        <w:t>A document or information is exempt under section 34(1)(b) if three conditions are satisfied:</w:t>
      </w:r>
    </w:p>
    <w:p w14:paraId="6B27F923" w14:textId="77777777" w:rsidR="00C150E9" w:rsidRPr="002E0D81" w:rsidRDefault="00C150E9" w:rsidP="00C150E9">
      <w:pPr>
        <w:pStyle w:val="Body"/>
        <w:widowControl w:val="0"/>
        <w:numPr>
          <w:ilvl w:val="0"/>
          <w:numId w:val="7"/>
        </w:numPr>
        <w:suppressAutoHyphens/>
        <w:autoSpaceDE w:val="0"/>
        <w:autoSpaceDN w:val="0"/>
        <w:adjustRightInd w:val="0"/>
        <w:spacing w:after="200"/>
        <w:ind w:left="993"/>
        <w:textAlignment w:val="center"/>
      </w:pPr>
      <w:r w:rsidRPr="002E0D81">
        <w:t xml:space="preserve">the document or information was acquired from a business, commercial, or financial undertaking; </w:t>
      </w:r>
      <w:r w:rsidRPr="00B85144">
        <w:t>and</w:t>
      </w:r>
    </w:p>
    <w:p w14:paraId="778DAC32" w14:textId="77777777" w:rsidR="00C150E9" w:rsidRPr="002E0D81" w:rsidRDefault="00C150E9" w:rsidP="00C150E9">
      <w:pPr>
        <w:pStyle w:val="Body"/>
        <w:widowControl w:val="0"/>
        <w:numPr>
          <w:ilvl w:val="0"/>
          <w:numId w:val="7"/>
        </w:numPr>
        <w:suppressAutoHyphens/>
        <w:autoSpaceDE w:val="0"/>
        <w:autoSpaceDN w:val="0"/>
        <w:adjustRightInd w:val="0"/>
        <w:spacing w:after="200"/>
        <w:ind w:left="993"/>
        <w:textAlignment w:val="center"/>
      </w:pPr>
      <w:r w:rsidRPr="002E0D81">
        <w:t xml:space="preserve">the information relates to matters of a business, commercial or financial nature; </w:t>
      </w:r>
      <w:r w:rsidRPr="00B85144">
        <w:t xml:space="preserve">and </w:t>
      </w:r>
    </w:p>
    <w:p w14:paraId="1113FD5E" w14:textId="77777777" w:rsidR="00C150E9" w:rsidRDefault="00C150E9" w:rsidP="00C150E9">
      <w:pPr>
        <w:pStyle w:val="Body"/>
        <w:widowControl w:val="0"/>
        <w:numPr>
          <w:ilvl w:val="0"/>
          <w:numId w:val="7"/>
        </w:numPr>
        <w:suppressAutoHyphens/>
        <w:autoSpaceDE w:val="0"/>
        <w:autoSpaceDN w:val="0"/>
        <w:adjustRightInd w:val="0"/>
        <w:spacing w:after="200"/>
        <w:ind w:left="993"/>
        <w:textAlignment w:val="center"/>
      </w:pPr>
      <w:r w:rsidRPr="002E0D81">
        <w:t xml:space="preserve">disclosure of the information is </w:t>
      </w:r>
      <w:r w:rsidRPr="00B85144">
        <w:t>likely to expose the undertaking unreasonably</w:t>
      </w:r>
      <w:r w:rsidRPr="002E0D81">
        <w:t xml:space="preserve"> to disadvantage (based on matters listed in section 34(2) and any other relevant considerations).</w:t>
      </w:r>
    </w:p>
    <w:p w14:paraId="46EBB4B9" w14:textId="77777777" w:rsidR="00C150E9" w:rsidRDefault="00C150E9" w:rsidP="00C150E9">
      <w:pPr>
        <w:pStyle w:val="3SubheadingLevel3"/>
      </w:pPr>
      <w:r>
        <w:t>Steps to applying the exemption</w:t>
      </w:r>
    </w:p>
    <w:p w14:paraId="5B80F22D" w14:textId="77777777" w:rsidR="00C150E9" w:rsidRDefault="00C150E9" w:rsidP="00C150E9">
      <w:pPr>
        <w:pStyle w:val="3BodyInteger"/>
      </w:pPr>
      <w:r>
        <w:t>It is best practice for an agency or Minister seeking to apply the section 34(1)(b) exemption to:</w:t>
      </w:r>
    </w:p>
    <w:p w14:paraId="7CD7816F" w14:textId="77777777" w:rsidR="00C150E9" w:rsidRDefault="00C150E9" w:rsidP="00C150E9">
      <w:pPr>
        <w:pStyle w:val="3BodyInteger"/>
        <w:numPr>
          <w:ilvl w:val="2"/>
          <w:numId w:val="15"/>
        </w:numPr>
      </w:pPr>
      <w:r>
        <w:t>Specifically identify the information considered to be business, commercial or financial information.</w:t>
      </w:r>
    </w:p>
    <w:p w14:paraId="728D7E66" w14:textId="77777777" w:rsidR="00C150E9" w:rsidRDefault="00C150E9" w:rsidP="00C150E9">
      <w:pPr>
        <w:pStyle w:val="3BodyInteger"/>
        <w:numPr>
          <w:ilvl w:val="2"/>
          <w:numId w:val="15"/>
        </w:numPr>
      </w:pPr>
      <w:r>
        <w:t>Determine whether the information was acquired from a business, commercial or financial undertaking, identifying when it was received and from what undertaking.</w:t>
      </w:r>
    </w:p>
    <w:p w14:paraId="393711A8" w14:textId="77777777" w:rsidR="00C150E9" w:rsidRDefault="00C150E9" w:rsidP="00C150E9">
      <w:pPr>
        <w:pStyle w:val="3BodyInteger"/>
        <w:numPr>
          <w:ilvl w:val="2"/>
          <w:numId w:val="15"/>
        </w:numPr>
      </w:pPr>
      <w:r>
        <w:t>Determine whether the information relates to matters of a business, commercial or financial nature.</w:t>
      </w:r>
    </w:p>
    <w:p w14:paraId="10AD2497" w14:textId="77777777" w:rsidR="00C150E9" w:rsidRDefault="00C150E9" w:rsidP="00C150E9">
      <w:pPr>
        <w:pStyle w:val="3BodyInteger"/>
        <w:numPr>
          <w:ilvl w:val="2"/>
          <w:numId w:val="15"/>
        </w:numPr>
      </w:pPr>
      <w:r>
        <w:lastRenderedPageBreak/>
        <w:t xml:space="preserve">Consult with the undertaking to seek its views on disclosure of the information and how disclosure would expose it unreasonably to disadvantage. </w:t>
      </w:r>
    </w:p>
    <w:p w14:paraId="5D615E11" w14:textId="65A92B9D" w:rsidR="00C150E9" w:rsidRDefault="00C150E9" w:rsidP="00C150E9">
      <w:pPr>
        <w:pStyle w:val="3BodyInteger"/>
        <w:numPr>
          <w:ilvl w:val="3"/>
          <w:numId w:val="15"/>
        </w:numPr>
      </w:pPr>
      <w:r>
        <w:t xml:space="preserve">Consider whether an extension of time </w:t>
      </w:r>
      <w:r w:rsidRPr="003D1CAF">
        <w:t xml:space="preserve">under </w:t>
      </w:r>
      <w:hyperlink r:id="rId20" w:history="1">
        <w:r w:rsidRPr="003D1CAF">
          <w:rPr>
            <w:rStyle w:val="Hyperlink"/>
          </w:rPr>
          <w:t>section 21(2)</w:t>
        </w:r>
      </w:hyperlink>
      <w:r w:rsidRPr="003D1CAF">
        <w:t xml:space="preserve"> is permitted</w:t>
      </w:r>
      <w:r>
        <w:t xml:space="preserve"> due to the need for consultation under section 34.</w:t>
      </w:r>
    </w:p>
    <w:p w14:paraId="7B628844" w14:textId="77777777" w:rsidR="00C150E9" w:rsidRDefault="00C150E9" w:rsidP="00C150E9">
      <w:pPr>
        <w:pStyle w:val="3BodyInteger"/>
        <w:numPr>
          <w:ilvl w:val="2"/>
          <w:numId w:val="15"/>
        </w:numPr>
      </w:pPr>
      <w:r>
        <w:t>Critically and objectively consider whether disclosure would be likely to expose the undertaking unreasonably to disadvantage by identifying and establishing three elements:</w:t>
      </w:r>
    </w:p>
    <w:p w14:paraId="0E128D98" w14:textId="77777777" w:rsidR="00C150E9" w:rsidRDefault="00C150E9" w:rsidP="00C150E9">
      <w:pPr>
        <w:pStyle w:val="3BodyInteger"/>
        <w:numPr>
          <w:ilvl w:val="3"/>
          <w:numId w:val="15"/>
        </w:numPr>
      </w:pPr>
      <w:r>
        <w:t>what the disadvantage is;</w:t>
      </w:r>
    </w:p>
    <w:p w14:paraId="78CEC17A" w14:textId="77777777" w:rsidR="00C150E9" w:rsidRDefault="00C150E9" w:rsidP="00C150E9">
      <w:pPr>
        <w:pStyle w:val="3BodyInteger"/>
        <w:numPr>
          <w:ilvl w:val="3"/>
          <w:numId w:val="15"/>
        </w:numPr>
      </w:pPr>
      <w:r>
        <w:t>whether the disadvantage is likely to occur; and</w:t>
      </w:r>
    </w:p>
    <w:p w14:paraId="2EE16D8B" w14:textId="77777777" w:rsidR="00C150E9" w:rsidRDefault="00C150E9" w:rsidP="00C150E9">
      <w:pPr>
        <w:pStyle w:val="3BodyInteger"/>
        <w:numPr>
          <w:ilvl w:val="3"/>
          <w:numId w:val="15"/>
        </w:numPr>
      </w:pPr>
      <w:r>
        <w:t>whether the disadvantage is unreasonable.</w:t>
      </w:r>
    </w:p>
    <w:p w14:paraId="19342984" w14:textId="77777777" w:rsidR="00C150E9" w:rsidRDefault="00C150E9" w:rsidP="00C150E9">
      <w:pPr>
        <w:pStyle w:val="3BodyInteger"/>
        <w:numPr>
          <w:ilvl w:val="0"/>
          <w:numId w:val="0"/>
        </w:numPr>
        <w:ind w:left="938"/>
      </w:pPr>
      <w:r>
        <w:t>If the undertaking consents to disclosure or fails to object to disclosure without explanation, this is a strong indication that the document is not exempt.</w:t>
      </w:r>
    </w:p>
    <w:p w14:paraId="01297364" w14:textId="77777777" w:rsidR="00C150E9" w:rsidRDefault="00C150E9" w:rsidP="00C150E9">
      <w:pPr>
        <w:pStyle w:val="3BodyInteger"/>
        <w:numPr>
          <w:ilvl w:val="2"/>
          <w:numId w:val="15"/>
        </w:numPr>
      </w:pPr>
      <w:r>
        <w:t>If a decision is made to release the information, notify any affected undertakings that did not consent to the disclosure, of the decision and their right to appeal to the Victorian Civil and Administrative Tribunal (VCAT), including the 60-day appeal period.</w:t>
      </w:r>
    </w:p>
    <w:p w14:paraId="2E3C6CEA" w14:textId="77777777" w:rsidR="00C150E9" w:rsidRDefault="00C150E9" w:rsidP="00C150E9">
      <w:pPr>
        <w:pStyle w:val="3BodyInteger"/>
        <w:numPr>
          <w:ilvl w:val="2"/>
          <w:numId w:val="15"/>
        </w:numPr>
      </w:pPr>
      <w:r>
        <w:t>Wait until the conclusion of the review period, and if applicable any appeal or VCAT proceedings before providing the documents to the applicant.</w:t>
      </w:r>
    </w:p>
    <w:p w14:paraId="5F2B1F94" w14:textId="77777777" w:rsidR="00C150E9" w:rsidRDefault="00C150E9" w:rsidP="00C150E9">
      <w:pPr>
        <w:pStyle w:val="3BodyInteger"/>
        <w:numPr>
          <w:ilvl w:val="3"/>
          <w:numId w:val="15"/>
        </w:numPr>
      </w:pPr>
      <w:r>
        <w:t>If there are other documents falling within the request that do not contain the affected undertaking’s information, these can be released to the applicant at the same time as the decision notice, without needing to wait for the appeal period to end.</w:t>
      </w:r>
    </w:p>
    <w:p w14:paraId="14675C8E" w14:textId="77777777" w:rsidR="00C150E9" w:rsidRPr="002E0D81" w:rsidRDefault="00C150E9" w:rsidP="00C150E9">
      <w:pPr>
        <w:pStyle w:val="3SubheadingLevel3"/>
      </w:pPr>
      <w:bookmarkStart w:id="10" w:name="_Toc513544948"/>
      <w:bookmarkStart w:id="11" w:name="_Toc9187135"/>
      <w:r w:rsidRPr="002E0D81">
        <w:t>Information that relates to matters of a business, commercial or financial nature</w:t>
      </w:r>
      <w:bookmarkEnd w:id="10"/>
      <w:bookmarkEnd w:id="11"/>
    </w:p>
    <w:p w14:paraId="5C565F0B" w14:textId="77777777" w:rsidR="00C150E9" w:rsidRDefault="00C150E9" w:rsidP="00C150E9">
      <w:pPr>
        <w:pStyle w:val="3BodyInteger"/>
      </w:pPr>
      <w:r>
        <w:t>See the heading ‘meaning of common terms and phrases’ above, for guidance about the first condition of the exemption – which is that the information must have been acquired from a business commercial or financial undertaking.</w:t>
      </w:r>
    </w:p>
    <w:p w14:paraId="78891052" w14:textId="77777777" w:rsidR="00C150E9" w:rsidRDefault="00C150E9" w:rsidP="00C150E9">
      <w:pPr>
        <w:pStyle w:val="3BodyInteger"/>
      </w:pPr>
      <w:r>
        <w:t xml:space="preserve">The second condition requires the </w:t>
      </w:r>
      <w:r w:rsidRPr="002E0D81">
        <w:t xml:space="preserve">acquired information </w:t>
      </w:r>
      <w:r>
        <w:t>to</w:t>
      </w:r>
      <w:r w:rsidRPr="002E0D81">
        <w:t xml:space="preserve"> have a business, commercial, or financial nature. ‘Business’, ‘commercial’ and ‘financial’ should each be given </w:t>
      </w:r>
      <w:r>
        <w:t>their</w:t>
      </w:r>
      <w:r w:rsidRPr="002E0D81">
        <w:t xml:space="preserve"> ordinary meaning.</w:t>
      </w:r>
      <w:r w:rsidRPr="002E0D81">
        <w:rPr>
          <w:vertAlign w:val="superscript"/>
        </w:rPr>
        <w:footnoteReference w:id="22"/>
      </w:r>
      <w:r w:rsidRPr="002E0D81">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6B597302" w14:textId="77777777" w:rsidTr="00F12D53">
        <w:trPr>
          <w:trHeight w:val="402"/>
        </w:trPr>
        <w:tc>
          <w:tcPr>
            <w:tcW w:w="8931" w:type="dxa"/>
            <w:shd w:val="clear" w:color="auto" w:fill="FFFEC6"/>
          </w:tcPr>
          <w:p w14:paraId="3D440623" w14:textId="77777777" w:rsidR="00C150E9" w:rsidRDefault="00C150E9" w:rsidP="00F12D53">
            <w:pPr>
              <w:pStyle w:val="Body"/>
              <w:rPr>
                <w:b/>
                <w:bCs/>
              </w:rPr>
            </w:pPr>
            <w:bookmarkStart w:id="12" w:name="_Hlk137045464"/>
            <w:r w:rsidRPr="00C53746">
              <w:rPr>
                <w:b/>
                <w:bCs/>
              </w:rPr>
              <w:t>Example</w:t>
            </w:r>
            <w:r>
              <w:rPr>
                <w:b/>
                <w:bCs/>
              </w:rPr>
              <w:t>s</w:t>
            </w:r>
          </w:p>
          <w:p w14:paraId="75AC3937" w14:textId="77777777" w:rsidR="00C150E9" w:rsidRPr="002E0D81" w:rsidRDefault="00C150E9" w:rsidP="00C150E9">
            <w:pPr>
              <w:pStyle w:val="Body"/>
              <w:numPr>
                <w:ilvl w:val="0"/>
                <w:numId w:val="91"/>
              </w:numPr>
              <w:ind w:left="993" w:hanging="349"/>
            </w:pPr>
            <w:r w:rsidRPr="002E0D81">
              <w:t xml:space="preserve">business plans and strategies; </w:t>
            </w:r>
          </w:p>
          <w:p w14:paraId="6B1BDE47" w14:textId="77777777" w:rsidR="00C150E9" w:rsidRPr="002E0D81" w:rsidRDefault="00C150E9" w:rsidP="00C150E9">
            <w:pPr>
              <w:pStyle w:val="Body"/>
              <w:numPr>
                <w:ilvl w:val="0"/>
                <w:numId w:val="91"/>
              </w:numPr>
              <w:ind w:left="993" w:hanging="349"/>
            </w:pPr>
            <w:r w:rsidRPr="002E0D81">
              <w:t xml:space="preserve">planning applications and background commercial information; </w:t>
            </w:r>
          </w:p>
          <w:p w14:paraId="272B27D4" w14:textId="77777777" w:rsidR="00C150E9" w:rsidRDefault="00C150E9" w:rsidP="00C150E9">
            <w:pPr>
              <w:pStyle w:val="Body"/>
              <w:numPr>
                <w:ilvl w:val="0"/>
                <w:numId w:val="91"/>
              </w:numPr>
              <w:ind w:left="993" w:hanging="349"/>
            </w:pPr>
            <w:r w:rsidRPr="002E0D81">
              <w:t xml:space="preserve">commercial information in tender documents; </w:t>
            </w:r>
          </w:p>
          <w:p w14:paraId="3DA3C85B" w14:textId="77777777" w:rsidR="00C150E9" w:rsidRDefault="00C150E9" w:rsidP="00C150E9">
            <w:pPr>
              <w:pStyle w:val="Body"/>
              <w:numPr>
                <w:ilvl w:val="0"/>
                <w:numId w:val="91"/>
              </w:numPr>
              <w:ind w:left="993" w:hanging="349"/>
            </w:pPr>
            <w:r w:rsidRPr="002E0D81">
              <w:t>financial reports or records</w:t>
            </w:r>
            <w:r>
              <w:t>; or</w:t>
            </w:r>
          </w:p>
          <w:p w14:paraId="4F4A2AD1" w14:textId="77777777" w:rsidR="00C150E9" w:rsidRPr="00F36BF4" w:rsidRDefault="00C150E9" w:rsidP="00C150E9">
            <w:pPr>
              <w:pStyle w:val="Body"/>
              <w:numPr>
                <w:ilvl w:val="0"/>
                <w:numId w:val="91"/>
              </w:numPr>
              <w:ind w:left="993" w:hanging="349"/>
            </w:pPr>
            <w:r>
              <w:t>invoices that include e</w:t>
            </w:r>
            <w:r w:rsidRPr="0046394B">
              <w:t>stimates, rates, fees and personnel applied to each task and the methodology applied to the tasks</w:t>
            </w:r>
            <w:r>
              <w:t>.</w:t>
            </w:r>
            <w:r>
              <w:rPr>
                <w:rStyle w:val="FootnoteReference"/>
              </w:rPr>
              <w:footnoteReference w:id="23"/>
            </w:r>
          </w:p>
        </w:tc>
      </w:tr>
    </w:tbl>
    <w:bookmarkEnd w:id="12"/>
    <w:p w14:paraId="619E00D2" w14:textId="77777777" w:rsidR="00C150E9" w:rsidRDefault="00C150E9" w:rsidP="00C150E9">
      <w:pPr>
        <w:pStyle w:val="3BodyInteger"/>
      </w:pPr>
      <w:r>
        <w:t>Information will ‘relate to’ matters of a business, financial or commercial nature if there is a sufficient or material connection or relationship between the information that would be disclosed by the disclosure of the documents and matters of a business, financial or commercial nature.</w:t>
      </w:r>
      <w:r>
        <w:rPr>
          <w:rStyle w:val="FootnoteReference"/>
        </w:rPr>
        <w:footnoteReference w:id="24"/>
      </w:r>
    </w:p>
    <w:p w14:paraId="0592641D" w14:textId="77777777" w:rsidR="00C150E9" w:rsidRPr="002E0D81" w:rsidRDefault="00C150E9" w:rsidP="00C150E9">
      <w:pPr>
        <w:pStyle w:val="3SubheadingLevel3"/>
      </w:pPr>
      <w:r w:rsidRPr="002E0D81">
        <w:t xml:space="preserve">Likely to expose </w:t>
      </w:r>
      <w:r>
        <w:t xml:space="preserve">the </w:t>
      </w:r>
      <w:r w:rsidRPr="002E0D81">
        <w:t>undertaking unreasonably to disadvantage</w:t>
      </w:r>
    </w:p>
    <w:p w14:paraId="5C176E9F" w14:textId="77777777" w:rsidR="00C150E9" w:rsidRPr="002E0D81" w:rsidRDefault="00C150E9" w:rsidP="00C150E9">
      <w:pPr>
        <w:pStyle w:val="3BodyInteger"/>
      </w:pPr>
      <w:r w:rsidRPr="002E0D81">
        <w:t xml:space="preserve">When determining if disclosure is likely to expose the undertaking unreasonably to disadvantage, three distinct elements must be identified and considered: </w:t>
      </w:r>
    </w:p>
    <w:p w14:paraId="09FBAB8C" w14:textId="77777777" w:rsidR="00C150E9" w:rsidRPr="002E0D81" w:rsidRDefault="00C150E9" w:rsidP="00C150E9">
      <w:pPr>
        <w:pStyle w:val="Body"/>
        <w:numPr>
          <w:ilvl w:val="0"/>
          <w:numId w:val="88"/>
        </w:numPr>
        <w:ind w:left="993"/>
      </w:pPr>
      <w:r w:rsidRPr="002E0D81">
        <w:t>what the disadvantage is;</w:t>
      </w:r>
    </w:p>
    <w:p w14:paraId="16F0CEE9" w14:textId="77777777" w:rsidR="00C150E9" w:rsidRPr="003E0A1F" w:rsidRDefault="00C150E9" w:rsidP="00C150E9">
      <w:pPr>
        <w:pStyle w:val="Body"/>
        <w:numPr>
          <w:ilvl w:val="0"/>
          <w:numId w:val="88"/>
        </w:numPr>
        <w:ind w:left="993"/>
      </w:pPr>
      <w:r w:rsidRPr="002E0D81">
        <w:t xml:space="preserve">why and when </w:t>
      </w:r>
      <w:r w:rsidRPr="003E0A1F">
        <w:t>disadvantage is likely to occur; and</w:t>
      </w:r>
    </w:p>
    <w:p w14:paraId="2F3E8B33" w14:textId="77777777" w:rsidR="00C150E9" w:rsidRPr="003E0A1F" w:rsidRDefault="00C150E9" w:rsidP="00C150E9">
      <w:pPr>
        <w:pStyle w:val="Body"/>
        <w:numPr>
          <w:ilvl w:val="0"/>
          <w:numId w:val="88"/>
        </w:numPr>
        <w:ind w:left="993"/>
      </w:pPr>
      <w:r w:rsidRPr="003E0A1F">
        <w:t>the disadvantage is unreasonable.</w:t>
      </w:r>
    </w:p>
    <w:p w14:paraId="0D6EF31B" w14:textId="77777777" w:rsidR="00C150E9" w:rsidRPr="002E0D81" w:rsidRDefault="00C150E9" w:rsidP="00C150E9">
      <w:pPr>
        <w:pStyle w:val="4Sub-subheadingLevel4"/>
      </w:pPr>
      <w:r>
        <w:t>Identifying the</w:t>
      </w:r>
      <w:r w:rsidRPr="002E0D81">
        <w:t xml:space="preserve"> </w:t>
      </w:r>
      <w:r w:rsidRPr="001D1E53">
        <w:t>disadvantage</w:t>
      </w:r>
    </w:p>
    <w:p w14:paraId="74710289" w14:textId="77777777" w:rsidR="00C150E9" w:rsidRPr="002E0D81" w:rsidRDefault="00C150E9" w:rsidP="00C150E9">
      <w:pPr>
        <w:pStyle w:val="3BodyInteger"/>
      </w:pPr>
      <w:r w:rsidRPr="002E0D81">
        <w:t>In considering whether disclosure will expose an undertaking to unreasonable disadvantage, an agency should, along with any other relevant consideration, have regard to the factors set out in section 34(2)</w:t>
      </w:r>
      <w:r>
        <w:t>. These are</w:t>
      </w:r>
      <w:r w:rsidRPr="002E0D81">
        <w:t xml:space="preserve">: </w:t>
      </w:r>
    </w:p>
    <w:p w14:paraId="2E7B36A9" w14:textId="77777777" w:rsidR="00C150E9" w:rsidRPr="00B217D5" w:rsidRDefault="00C150E9" w:rsidP="00C150E9">
      <w:pPr>
        <w:pStyle w:val="Body"/>
        <w:numPr>
          <w:ilvl w:val="0"/>
          <w:numId w:val="89"/>
        </w:numPr>
        <w:ind w:left="993"/>
      </w:pPr>
      <w:r w:rsidRPr="00B217D5">
        <w:t xml:space="preserve">whether the information is generally available to competitors of the undertaking; </w:t>
      </w:r>
    </w:p>
    <w:p w14:paraId="47ECB2A8" w14:textId="77777777" w:rsidR="00C150E9" w:rsidRPr="00B217D5" w:rsidRDefault="00C150E9" w:rsidP="00C150E9">
      <w:pPr>
        <w:pStyle w:val="Body"/>
        <w:numPr>
          <w:ilvl w:val="0"/>
          <w:numId w:val="89"/>
        </w:numPr>
        <w:ind w:left="993"/>
      </w:pPr>
      <w:r w:rsidRPr="00B217D5">
        <w:t xml:space="preserve">whether the information would be exempt if it were generated by an agency or a Minister; </w:t>
      </w:r>
    </w:p>
    <w:p w14:paraId="5E8EB8E3" w14:textId="77777777" w:rsidR="00C150E9" w:rsidRPr="00B217D5" w:rsidRDefault="00C150E9" w:rsidP="00C150E9">
      <w:pPr>
        <w:pStyle w:val="Body"/>
        <w:numPr>
          <w:ilvl w:val="0"/>
          <w:numId w:val="89"/>
        </w:numPr>
        <w:ind w:left="993"/>
      </w:pPr>
      <w:r w:rsidRPr="00B217D5">
        <w:t xml:space="preserve">whether the information could be disclosed without causing substantial harm to the competitive position of the undertaking; and </w:t>
      </w:r>
    </w:p>
    <w:p w14:paraId="2457BED9" w14:textId="77777777" w:rsidR="00C150E9" w:rsidRPr="002E0D81" w:rsidRDefault="00C150E9" w:rsidP="00C150E9">
      <w:pPr>
        <w:pStyle w:val="Body"/>
        <w:numPr>
          <w:ilvl w:val="0"/>
          <w:numId w:val="89"/>
        </w:numPr>
        <w:ind w:left="993"/>
      </w:pPr>
      <w:r w:rsidRPr="00B217D5">
        <w:t>whether there</w:t>
      </w:r>
      <w:r w:rsidRPr="002E0D81">
        <w:t xml:space="preserve"> are any considerations in the public interest in favour of disclosure which outweigh considerations of competitive disadvantage to the undertaking, for instance, the public interest in evaluating aspects of government regulation of corporate practices or environmental controls.</w:t>
      </w:r>
    </w:p>
    <w:p w14:paraId="55415143" w14:textId="77777777" w:rsidR="00C150E9" w:rsidRPr="002E0D81" w:rsidRDefault="00C150E9" w:rsidP="00C150E9">
      <w:pPr>
        <w:pStyle w:val="3BodyInteger"/>
      </w:pPr>
      <w:r w:rsidRPr="002E0D81">
        <w:t>Other relevant considerations that have been highlighted</w:t>
      </w:r>
      <w:r>
        <w:t xml:space="preserve"> in case law</w:t>
      </w:r>
      <w:r w:rsidRPr="002E0D81">
        <w:rPr>
          <w:vertAlign w:val="superscript"/>
        </w:rPr>
        <w:footnoteReference w:id="25"/>
      </w:r>
      <w:r w:rsidRPr="002E0D81">
        <w:t xml:space="preserve"> include whether disclosure would: </w:t>
      </w:r>
    </w:p>
    <w:p w14:paraId="45D76DA7" w14:textId="77777777" w:rsidR="00C150E9" w:rsidRPr="00B217D5" w:rsidRDefault="00C150E9" w:rsidP="00C150E9">
      <w:pPr>
        <w:pStyle w:val="Body"/>
        <w:numPr>
          <w:ilvl w:val="0"/>
          <w:numId w:val="90"/>
        </w:numPr>
        <w:ind w:left="993"/>
      </w:pPr>
      <w:r w:rsidRPr="00B217D5">
        <w:t>give a competitor of the undertaking a competitive financial advantage;</w:t>
      </w:r>
    </w:p>
    <w:p w14:paraId="7496723C" w14:textId="77777777" w:rsidR="00C150E9" w:rsidRPr="00B217D5" w:rsidRDefault="00C150E9" w:rsidP="00C150E9">
      <w:pPr>
        <w:pStyle w:val="Body"/>
        <w:numPr>
          <w:ilvl w:val="0"/>
          <w:numId w:val="90"/>
        </w:numPr>
        <w:ind w:left="993"/>
      </w:pPr>
      <w:r w:rsidRPr="00B217D5">
        <w:t>enable that competitor to engage in destructive competition with the undertaking; or</w:t>
      </w:r>
    </w:p>
    <w:p w14:paraId="4AA96E71" w14:textId="77777777" w:rsidR="00C150E9" w:rsidRPr="002E0D81" w:rsidRDefault="00C150E9" w:rsidP="00C150E9">
      <w:pPr>
        <w:pStyle w:val="Body"/>
        <w:numPr>
          <w:ilvl w:val="0"/>
          <w:numId w:val="90"/>
        </w:numPr>
        <w:ind w:left="993"/>
      </w:pPr>
      <w:r w:rsidRPr="00B217D5">
        <w:t>lead to unwarranted conclusions about the undertaking's financial affairs and position that result in commercial</w:t>
      </w:r>
      <w:r w:rsidRPr="002E0D81">
        <w:t xml:space="preserve"> and market consequences.</w:t>
      </w:r>
    </w:p>
    <w:p w14:paraId="60FECEA0" w14:textId="77777777" w:rsidR="00C150E9" w:rsidRPr="002E0D81" w:rsidRDefault="00C150E9" w:rsidP="00C150E9">
      <w:pPr>
        <w:pStyle w:val="3BodyInteger"/>
      </w:pPr>
      <w:r w:rsidRPr="002E0D81">
        <w:t xml:space="preserve">Under section 34(2)(d), examples of public interest factors in favour of disclosure include: </w:t>
      </w:r>
    </w:p>
    <w:p w14:paraId="2A49A758" w14:textId="77777777" w:rsidR="00C150E9" w:rsidRPr="002E0D81" w:rsidRDefault="00C150E9" w:rsidP="00C150E9">
      <w:pPr>
        <w:pStyle w:val="Body"/>
        <w:numPr>
          <w:ilvl w:val="0"/>
          <w:numId w:val="90"/>
        </w:numPr>
        <w:ind w:left="993"/>
      </w:pPr>
      <w:r w:rsidRPr="00B217D5">
        <w:t>transparency</w:t>
      </w:r>
      <w:r w:rsidRPr="002E0D81">
        <w:t xml:space="preserve"> and </w:t>
      </w:r>
      <w:r w:rsidRPr="00B217D5">
        <w:t>accountability</w:t>
      </w:r>
      <w:r w:rsidRPr="002E0D81">
        <w:t>, particularly in the expenditure of public money;</w:t>
      </w:r>
    </w:p>
    <w:p w14:paraId="66A59EED" w14:textId="77777777" w:rsidR="00C150E9" w:rsidRPr="002E0D81" w:rsidRDefault="00C150E9" w:rsidP="00C150E9">
      <w:pPr>
        <w:pStyle w:val="Body"/>
        <w:numPr>
          <w:ilvl w:val="0"/>
          <w:numId w:val="90"/>
        </w:numPr>
        <w:ind w:left="993"/>
      </w:pPr>
      <w:r w:rsidRPr="00B217D5">
        <w:t>scrutiny</w:t>
      </w:r>
      <w:r w:rsidRPr="002E0D81">
        <w:t xml:space="preserve"> of government decisions, especially involving allegations of wrong-doing;</w:t>
      </w:r>
    </w:p>
    <w:p w14:paraId="7ACEE0A2" w14:textId="77777777" w:rsidR="00C150E9" w:rsidRPr="002E0D81" w:rsidRDefault="00C150E9" w:rsidP="00C150E9">
      <w:pPr>
        <w:pStyle w:val="Body"/>
        <w:numPr>
          <w:ilvl w:val="0"/>
          <w:numId w:val="90"/>
        </w:numPr>
        <w:ind w:left="993"/>
      </w:pPr>
      <w:r w:rsidRPr="002E0D81">
        <w:t xml:space="preserve">allowing </w:t>
      </w:r>
      <w:r>
        <w:t xml:space="preserve">the </w:t>
      </w:r>
      <w:r w:rsidRPr="002E0D81">
        <w:t xml:space="preserve">public to be </w:t>
      </w:r>
      <w:r w:rsidRPr="00B217D5">
        <w:t xml:space="preserve">better informed </w:t>
      </w:r>
      <w:r w:rsidRPr="002E0D81">
        <w:t xml:space="preserve">about decisions like the privatisation of government services; </w:t>
      </w:r>
      <w:r>
        <w:t>and</w:t>
      </w:r>
    </w:p>
    <w:p w14:paraId="6D8C8E53" w14:textId="77777777" w:rsidR="00C150E9" w:rsidRPr="002E0D81" w:rsidRDefault="00C150E9" w:rsidP="00C150E9">
      <w:pPr>
        <w:pStyle w:val="Body"/>
        <w:numPr>
          <w:ilvl w:val="0"/>
          <w:numId w:val="90"/>
        </w:numPr>
        <w:ind w:left="993"/>
      </w:pPr>
      <w:r w:rsidRPr="002E0D81">
        <w:t xml:space="preserve">contributing to informed public </w:t>
      </w:r>
      <w:r w:rsidRPr="002E0D81">
        <w:rPr>
          <w:bCs/>
        </w:rPr>
        <w:t>debate.</w:t>
      </w:r>
    </w:p>
    <w:p w14:paraId="443D0083" w14:textId="77777777" w:rsidR="00C150E9" w:rsidRDefault="00C150E9" w:rsidP="00C150E9">
      <w:pPr>
        <w:pStyle w:val="3BodyInteger"/>
      </w:pPr>
      <w:r w:rsidRPr="002E0D81">
        <w:t>Government transparency and accountability requires private organisations contracting with government to expect more public scrutiny over their dealings</w:t>
      </w:r>
      <w:r>
        <w:t>. This includes</w:t>
      </w:r>
      <w:r w:rsidRPr="002E0D81">
        <w:t xml:space="preserve"> the possibility that their business, financial or commercial information may be disclosed to the public under the Act.</w:t>
      </w:r>
      <w:r w:rsidRPr="002E0D81">
        <w:rPr>
          <w:vertAlign w:val="superscript"/>
        </w:rPr>
        <w:footnoteReference w:id="26"/>
      </w:r>
      <w:r w:rsidRPr="002E0D81">
        <w:rPr>
          <w:vertAlign w:val="superscript"/>
        </w:rPr>
        <w:t xml:space="preserve"> </w:t>
      </w:r>
      <w:r w:rsidRPr="002E0D81">
        <w:t>The exemption in section 34(1)(b) balances government transparency and public accountability against protecting legitimate commercial interests.</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4BF1F53B" w14:textId="77777777" w:rsidTr="00F12D53">
        <w:trPr>
          <w:trHeight w:val="402"/>
        </w:trPr>
        <w:tc>
          <w:tcPr>
            <w:tcW w:w="8931" w:type="dxa"/>
            <w:shd w:val="clear" w:color="auto" w:fill="FFFEC6"/>
          </w:tcPr>
          <w:p w14:paraId="73496CE4" w14:textId="77777777" w:rsidR="00C150E9" w:rsidRDefault="00C150E9" w:rsidP="00F12D53">
            <w:pPr>
              <w:pStyle w:val="Body"/>
              <w:rPr>
                <w:b/>
                <w:bCs/>
              </w:rPr>
            </w:pPr>
            <w:bookmarkStart w:id="14" w:name="_Hlk137048020"/>
            <w:r w:rsidRPr="00C53746">
              <w:rPr>
                <w:b/>
                <w:bCs/>
              </w:rPr>
              <w:t>Example</w:t>
            </w:r>
          </w:p>
          <w:p w14:paraId="62E355B8" w14:textId="77777777" w:rsidR="00C150E9" w:rsidRDefault="00000000" w:rsidP="00F12D53">
            <w:pPr>
              <w:pStyle w:val="Body"/>
              <w:rPr>
                <w:b/>
                <w:bCs/>
              </w:rPr>
            </w:pPr>
            <w:hyperlink r:id="rId21" w:history="1">
              <w:r w:rsidR="00C150E9" w:rsidRPr="00202747">
                <w:rPr>
                  <w:rStyle w:val="Hyperlink"/>
                  <w:b/>
                  <w:bCs/>
                </w:rPr>
                <w:t xml:space="preserve">Asher v Victorian </w:t>
              </w:r>
              <w:proofErr w:type="spellStart"/>
              <w:r w:rsidR="00C150E9" w:rsidRPr="00202747">
                <w:rPr>
                  <w:rStyle w:val="Hyperlink"/>
                  <w:b/>
                  <w:bCs/>
                </w:rPr>
                <w:t>WorkCover</w:t>
              </w:r>
              <w:proofErr w:type="spellEnd"/>
              <w:r w:rsidR="00C150E9" w:rsidRPr="00202747">
                <w:rPr>
                  <w:rStyle w:val="Hyperlink"/>
                  <w:b/>
                  <w:bCs/>
                </w:rPr>
                <w:t xml:space="preserve"> Authority [2002] VCAT 369</w:t>
              </w:r>
            </w:hyperlink>
          </w:p>
          <w:p w14:paraId="465C6D74" w14:textId="77777777" w:rsidR="00C150E9" w:rsidRDefault="00C150E9" w:rsidP="00C150E9">
            <w:pPr>
              <w:pStyle w:val="Body"/>
              <w:numPr>
                <w:ilvl w:val="0"/>
                <w:numId w:val="175"/>
              </w:numPr>
            </w:pPr>
            <w:r>
              <w:t xml:space="preserve">In this case, VCAT </w:t>
            </w:r>
            <w:r w:rsidRPr="00721ADF">
              <w:t>observed that “practices that are completely acceptable, and indeed expected</w:t>
            </w:r>
            <w:r>
              <w:t xml:space="preserve"> </w:t>
            </w:r>
            <w:r w:rsidRPr="00721ADF">
              <w:t xml:space="preserve">between private sector organisations take on a different hue when the contract is between public and private entities and public money is involved”. </w:t>
            </w:r>
          </w:p>
          <w:p w14:paraId="62DFCD69" w14:textId="77777777" w:rsidR="00C150E9" w:rsidRDefault="00C150E9" w:rsidP="00C150E9">
            <w:pPr>
              <w:pStyle w:val="Body"/>
              <w:numPr>
                <w:ilvl w:val="0"/>
                <w:numId w:val="175"/>
              </w:numPr>
            </w:pPr>
            <w:r w:rsidRPr="00721ADF">
              <w:t xml:space="preserve">VCAT </w:t>
            </w:r>
            <w:r>
              <w:t>found</w:t>
            </w:r>
            <w:r w:rsidRPr="00721ADF">
              <w:t xml:space="preserve"> that disclosure of information in an advertising contract between the respondent and a private company (namely, some dollar amounts and some narrative detailing what service was to be provided and for how much) would not be likely to expose the private company unreasonably to disadvantage. </w:t>
            </w:r>
          </w:p>
          <w:p w14:paraId="3ED81FEB" w14:textId="77777777" w:rsidR="00C150E9" w:rsidRDefault="00C150E9" w:rsidP="00C150E9">
            <w:pPr>
              <w:pStyle w:val="Body"/>
              <w:numPr>
                <w:ilvl w:val="0"/>
                <w:numId w:val="175"/>
              </w:numPr>
            </w:pPr>
            <w:r w:rsidRPr="00721ADF">
              <w:t xml:space="preserve">VCAT concluded that there was greater weight to be placed on the need for transparency and accountability than on the tenuous evidence that the company would be disadvantaged </w:t>
            </w:r>
            <w:r>
              <w:t>in relation to</w:t>
            </w:r>
            <w:r w:rsidRPr="00721ADF">
              <w:t xml:space="preserve"> its competitors. </w:t>
            </w:r>
          </w:p>
          <w:p w14:paraId="044D4DFF" w14:textId="77777777" w:rsidR="00C150E9" w:rsidRDefault="00C150E9" w:rsidP="00C150E9">
            <w:pPr>
              <w:pStyle w:val="Body"/>
              <w:numPr>
                <w:ilvl w:val="0"/>
                <w:numId w:val="175"/>
              </w:numPr>
            </w:pPr>
            <w:r w:rsidRPr="00721ADF">
              <w:t xml:space="preserve">VCAT noted that although the information was not generally available to the company's competitors, that was only one of the factors for consideration and that factor, by itself, did not </w:t>
            </w:r>
            <w:r>
              <w:t>mean the information should not be disclosed.</w:t>
            </w:r>
          </w:p>
          <w:p w14:paraId="24B5D806" w14:textId="77777777" w:rsidR="00C150E9" w:rsidRDefault="00C150E9" w:rsidP="00F12D53">
            <w:pPr>
              <w:pStyle w:val="Body"/>
            </w:pPr>
            <w:r w:rsidRPr="00721ADF">
              <w:t>VCAT also found that</w:t>
            </w:r>
            <w:r>
              <w:t>:</w:t>
            </w:r>
            <w:r w:rsidRPr="00721ADF">
              <w:t xml:space="preserve"> </w:t>
            </w:r>
          </w:p>
          <w:p w14:paraId="6F2D3458" w14:textId="77777777" w:rsidR="00C150E9" w:rsidRDefault="00C150E9" w:rsidP="00C150E9">
            <w:pPr>
              <w:pStyle w:val="Body"/>
              <w:numPr>
                <w:ilvl w:val="0"/>
                <w:numId w:val="174"/>
              </w:numPr>
            </w:pPr>
            <w:r w:rsidRPr="00721ADF">
              <w:t xml:space="preserve">disclosure of material that formed part of the private company's tender proposal (namely, a costing of a particular advertising campaign strategy) would not be likely to expose that company unreasonably to disadvantage. </w:t>
            </w:r>
          </w:p>
          <w:p w14:paraId="343E0FD4" w14:textId="77777777" w:rsidR="00C150E9" w:rsidRPr="00F36BF4" w:rsidRDefault="00C150E9" w:rsidP="00C150E9">
            <w:pPr>
              <w:pStyle w:val="Body"/>
              <w:numPr>
                <w:ilvl w:val="0"/>
                <w:numId w:val="174"/>
              </w:numPr>
            </w:pPr>
            <w:r w:rsidRPr="00721ADF">
              <w:t>disclosure of the hourly rate of a firm engaged to supervise probity aspects of the tender process would not expose that firm unreasonably to disadvantage</w:t>
            </w:r>
            <w:r>
              <w:t>.</w:t>
            </w:r>
          </w:p>
        </w:tc>
      </w:tr>
    </w:tbl>
    <w:bookmarkEnd w:id="14"/>
    <w:p w14:paraId="1C59C1A3" w14:textId="77777777" w:rsidR="00C150E9" w:rsidRPr="002E0D81" w:rsidRDefault="00C150E9" w:rsidP="00C150E9">
      <w:pPr>
        <w:pStyle w:val="4Sub-subheadingLevel4"/>
      </w:pPr>
      <w:r w:rsidRPr="002E0D81">
        <w:t>The meaning of ‘likely’</w:t>
      </w:r>
    </w:p>
    <w:p w14:paraId="3A663E97" w14:textId="77777777" w:rsidR="00C150E9" w:rsidRPr="002E0D81" w:rsidRDefault="00C150E9" w:rsidP="00C150E9">
      <w:pPr>
        <w:pStyle w:val="3BodyInteger"/>
      </w:pPr>
      <w:r w:rsidRPr="002E0D81">
        <w:t xml:space="preserve">Disclosure of the information must be </w:t>
      </w:r>
      <w:r w:rsidRPr="002E0D81">
        <w:rPr>
          <w:i/>
          <w:iCs/>
        </w:rPr>
        <w:t>likely</w:t>
      </w:r>
      <w:r w:rsidRPr="002E0D81">
        <w:t xml:space="preserve"> to cause unreasonable disadvantage. ‘Likely’ is given its plain English me</w:t>
      </w:r>
      <w:r w:rsidRPr="001071DE">
        <w:rPr>
          <w:color w:val="auto"/>
        </w:rPr>
        <w:t xml:space="preserve">aning – </w:t>
      </w:r>
      <w:r w:rsidRPr="001071DE">
        <w:rPr>
          <w:color w:val="auto"/>
          <w:shd w:val="clear" w:color="auto" w:fill="FFFFFF"/>
        </w:rPr>
        <w:t>seeming like truth, fact, or certainty, or reasonably to be believed or expected.</w:t>
      </w:r>
      <w:r w:rsidRPr="001071DE">
        <w:rPr>
          <w:rStyle w:val="FootnoteReference"/>
          <w:rFonts w:cstheme="minorHAnsi"/>
          <w:color w:val="auto"/>
          <w:shd w:val="clear" w:color="auto" w:fill="FFFFFF"/>
        </w:rPr>
        <w:footnoteReference w:id="27"/>
      </w:r>
      <w:r w:rsidRPr="001071DE">
        <w:rPr>
          <w:color w:val="auto"/>
          <w:shd w:val="clear" w:color="auto" w:fill="FFFFFF"/>
        </w:rPr>
        <w:t xml:space="preserve"> </w:t>
      </w:r>
      <w:r>
        <w:rPr>
          <w:color w:val="auto"/>
          <w:shd w:val="clear" w:color="auto" w:fill="FFFFFF"/>
        </w:rPr>
        <w:t xml:space="preserve">His Honour Judge Bowman, sitting as VCAT Vice President, said that the test is one of likelihood rather than certainty, and referred with approval to the dictionary definition of “likely” as </w:t>
      </w:r>
      <w:r>
        <w:t>“</w:t>
      </w:r>
      <w:r w:rsidRPr="002E0D81">
        <w:t>probable, such as well might happen or be true</w:t>
      </w:r>
      <w:r>
        <w:t>”.</w:t>
      </w:r>
      <w:r w:rsidRPr="002E0D81">
        <w:rPr>
          <w:vertAlign w:val="superscript"/>
        </w:rPr>
        <w:footnoteReference w:id="28"/>
      </w:r>
      <w:r w:rsidRPr="002E0D81">
        <w:t xml:space="preserve"> </w:t>
      </w:r>
    </w:p>
    <w:p w14:paraId="7F7BFF6B" w14:textId="77777777" w:rsidR="00C150E9" w:rsidRPr="002E0D81" w:rsidRDefault="00C150E9" w:rsidP="00C150E9">
      <w:pPr>
        <w:pStyle w:val="3BodyInteger"/>
      </w:pPr>
      <w:r w:rsidRPr="002E0D81">
        <w:t>An agency should carefully consider if disclosure is ‘likely’ to cause unreasonable disadvantage, as opposed to it being a mere possibility – then articulate that consideration in their written reasons.</w:t>
      </w:r>
    </w:p>
    <w:p w14:paraId="5302A089" w14:textId="77777777" w:rsidR="00C150E9" w:rsidRPr="002E0D81" w:rsidRDefault="00C150E9" w:rsidP="00C150E9">
      <w:pPr>
        <w:pStyle w:val="4Sub-subheadingLevel4"/>
      </w:pPr>
      <w:r w:rsidRPr="002E0D81">
        <w:t>Unreasonable</w:t>
      </w:r>
    </w:p>
    <w:p w14:paraId="26D57A91" w14:textId="77777777" w:rsidR="00C150E9" w:rsidRPr="006E7CC8" w:rsidRDefault="00C150E9" w:rsidP="00C150E9">
      <w:pPr>
        <w:pStyle w:val="3BodyInteger"/>
      </w:pPr>
      <w:bookmarkStart w:id="15" w:name="_Hlk40877017"/>
      <w:r w:rsidRPr="002E0D81">
        <w:t xml:space="preserve">An agency must establish that disclosure would likely cause ‘unreasonable’ disadvantage – not just any level of disadvantage. </w:t>
      </w:r>
      <w:r w:rsidRPr="002E0D81">
        <w:rPr>
          <w:shd w:val="clear" w:color="auto" w:fill="FFFFFF"/>
        </w:rPr>
        <w:t xml:space="preserve">Whether disclosure is likely to expose an undertaking </w:t>
      </w:r>
      <w:r w:rsidRPr="00390F0E">
        <w:rPr>
          <w:shd w:val="clear" w:color="auto" w:fill="FFFFFF"/>
        </w:rPr>
        <w:t xml:space="preserve">unreasonably </w:t>
      </w:r>
      <w:r w:rsidRPr="002E0D81">
        <w:rPr>
          <w:shd w:val="clear" w:color="auto" w:fill="FFFFFF"/>
        </w:rPr>
        <w:t xml:space="preserve">to disadvantage depends on the particular facts and circumstances of the matter, considering the consequences that </w:t>
      </w:r>
      <w:r>
        <w:rPr>
          <w:shd w:val="clear" w:color="auto" w:fill="FFFFFF"/>
        </w:rPr>
        <w:t xml:space="preserve">are </w:t>
      </w:r>
      <w:r w:rsidRPr="002E0D81">
        <w:rPr>
          <w:shd w:val="clear" w:color="auto" w:fill="FFFFFF"/>
        </w:rPr>
        <w:t>likely to follow from disclosure of the information. An agency must be able to articulate in their reasons why the disadvantage is unreasonable, as opposed to mere disadvantage.</w:t>
      </w:r>
    </w:p>
    <w:p w14:paraId="66CBDB80" w14:textId="77777777" w:rsidR="00C150E9" w:rsidRDefault="00C150E9" w:rsidP="00C150E9">
      <w:pPr>
        <w:pStyle w:val="3BodyInteger"/>
      </w:pPr>
      <w:r>
        <w:t>Where the business, commercial or financial information is so small and inconsiderable or so incidental to an undertaking’s central operations, its disclosure is unlikely to meet the threshold of unreasonable disadvantage.</w:t>
      </w:r>
      <w:r>
        <w:rPr>
          <w:rStyle w:val="FootnoteReference"/>
        </w:rPr>
        <w:footnoteReference w:id="29"/>
      </w:r>
    </w:p>
    <w:p w14:paraId="35B09AA3" w14:textId="77777777" w:rsidR="00C150E9" w:rsidRPr="00070FE7" w:rsidRDefault="00C150E9" w:rsidP="00C150E9">
      <w:pPr>
        <w:pStyle w:val="3BodyInteger"/>
      </w:pPr>
      <w:r>
        <w:rPr>
          <w:shd w:val="clear" w:color="auto" w:fill="FFFFFF"/>
        </w:rPr>
        <w:t>The timing of the access decision is a relevant factor that may affect the level of disadvantage likely to be suffered by an undertaking.</w:t>
      </w:r>
      <w:r>
        <w:rPr>
          <w:rStyle w:val="FootnoteReference"/>
          <w:shd w:val="clear" w:color="auto" w:fill="FFFFFF"/>
        </w:rPr>
        <w:footnoteReference w:id="30"/>
      </w:r>
      <w:r>
        <w:rPr>
          <w:shd w:val="clear" w:color="auto" w:fill="FFFFFF"/>
        </w:rPr>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0E55FA9C" w14:textId="77777777" w:rsidTr="00F12D53">
        <w:trPr>
          <w:trHeight w:val="402"/>
        </w:trPr>
        <w:tc>
          <w:tcPr>
            <w:tcW w:w="8931" w:type="dxa"/>
            <w:shd w:val="clear" w:color="auto" w:fill="FFFEC6"/>
          </w:tcPr>
          <w:p w14:paraId="53293096" w14:textId="77777777" w:rsidR="00C150E9" w:rsidRDefault="00C150E9" w:rsidP="00F12D53">
            <w:pPr>
              <w:pStyle w:val="Body"/>
              <w:rPr>
                <w:b/>
                <w:bCs/>
              </w:rPr>
            </w:pPr>
            <w:r w:rsidRPr="00C53746">
              <w:rPr>
                <w:b/>
                <w:bCs/>
              </w:rPr>
              <w:t>Example</w:t>
            </w:r>
          </w:p>
          <w:p w14:paraId="6E39CE5E" w14:textId="77777777" w:rsidR="00C150E9" w:rsidRPr="00EF7702" w:rsidRDefault="00000000" w:rsidP="00F12D53">
            <w:pPr>
              <w:pStyle w:val="Body"/>
              <w:rPr>
                <w:b/>
                <w:bCs/>
              </w:rPr>
            </w:pPr>
            <w:hyperlink r:id="rId22" w:history="1">
              <w:r w:rsidR="00C150E9" w:rsidRPr="00EF7702">
                <w:rPr>
                  <w:rStyle w:val="Hyperlink"/>
                  <w:b/>
                  <w:bCs/>
                </w:rPr>
                <w:t>Stewart v Department of Tourism, Sport and the Commonwealth Games [2003] VCAT 45</w:t>
              </w:r>
            </w:hyperlink>
            <w:r w:rsidR="00C150E9" w:rsidRPr="00EF7702">
              <w:rPr>
                <w:b/>
                <w:bCs/>
              </w:rPr>
              <w:t xml:space="preserve"> </w:t>
            </w:r>
          </w:p>
          <w:p w14:paraId="3AAEF139" w14:textId="77777777" w:rsidR="00C150E9" w:rsidRPr="00EF7702" w:rsidRDefault="00C150E9" w:rsidP="00F12D53">
            <w:pPr>
              <w:pStyle w:val="Body"/>
              <w:rPr>
                <w:b/>
                <w:bCs/>
              </w:rPr>
            </w:pPr>
            <w:r w:rsidRPr="00EF7702">
              <w:rPr>
                <w:b/>
                <w:bCs/>
              </w:rPr>
              <w:t>Background:</w:t>
            </w:r>
          </w:p>
          <w:p w14:paraId="6468E1F6" w14:textId="77777777" w:rsidR="00C150E9" w:rsidRDefault="00C150E9" w:rsidP="00C150E9">
            <w:pPr>
              <w:pStyle w:val="Body"/>
              <w:numPr>
                <w:ilvl w:val="0"/>
                <w:numId w:val="177"/>
              </w:numPr>
            </w:pPr>
            <w:r>
              <w:t xml:space="preserve">The Applicant requested access to </w:t>
            </w:r>
            <w:r w:rsidRPr="00070FE7">
              <w:t xml:space="preserve">two contracts relating to the staging of the 2006 Commonwealth Games. </w:t>
            </w:r>
          </w:p>
          <w:p w14:paraId="26B1746F" w14:textId="77777777" w:rsidR="00C150E9" w:rsidRDefault="00C150E9" w:rsidP="00C150E9">
            <w:pPr>
              <w:pStyle w:val="Body"/>
              <w:numPr>
                <w:ilvl w:val="0"/>
                <w:numId w:val="177"/>
              </w:numPr>
            </w:pPr>
            <w:r w:rsidRPr="00070FE7">
              <w:t xml:space="preserve">At the time of the </w:t>
            </w:r>
            <w:r>
              <w:t xml:space="preserve">Tribunal’s </w:t>
            </w:r>
            <w:r w:rsidRPr="00070FE7">
              <w:t xml:space="preserve">decision a number of important marketing and financial arrangements for the Commonwealth Games were about to be negotiated, including the sale of items related to the Commonwealth Games and various television and broadcasting rights. </w:t>
            </w:r>
          </w:p>
          <w:p w14:paraId="00CC868B" w14:textId="77777777" w:rsidR="00C150E9" w:rsidRDefault="00C150E9" w:rsidP="00C150E9">
            <w:pPr>
              <w:pStyle w:val="Body"/>
              <w:numPr>
                <w:ilvl w:val="0"/>
                <w:numId w:val="177"/>
              </w:numPr>
            </w:pPr>
            <w:r w:rsidRPr="00070FE7">
              <w:t xml:space="preserve">The Agency argued that the breach of the contracts’ confidentiality clause, </w:t>
            </w:r>
            <w:r>
              <w:t>through disclosure of</w:t>
            </w:r>
            <w:r w:rsidRPr="00070FE7">
              <w:t xml:space="preserve"> the contracts under the Act, would expose</w:t>
            </w:r>
            <w:r>
              <w:t xml:space="preserve"> the undertaking,</w:t>
            </w:r>
            <w:r w:rsidRPr="00070FE7">
              <w:t xml:space="preserve"> Melbourne 2006</w:t>
            </w:r>
            <w:r>
              <w:t>,</w:t>
            </w:r>
            <w:r w:rsidRPr="00070FE7">
              <w:t xml:space="preserve"> unreasonably to disadvantage as it would demonstrate an inability of the undertaking to keep confidential, the information in the documents.   </w:t>
            </w:r>
          </w:p>
          <w:p w14:paraId="41522929" w14:textId="77777777" w:rsidR="00C150E9" w:rsidRPr="00EF7702" w:rsidRDefault="00C150E9" w:rsidP="00F12D53">
            <w:pPr>
              <w:pStyle w:val="Body"/>
              <w:rPr>
                <w:b/>
                <w:bCs/>
              </w:rPr>
            </w:pPr>
            <w:r w:rsidRPr="00EF7702">
              <w:rPr>
                <w:b/>
                <w:bCs/>
              </w:rPr>
              <w:t>Decision:</w:t>
            </w:r>
          </w:p>
          <w:p w14:paraId="0801D940" w14:textId="77777777" w:rsidR="00C150E9" w:rsidRDefault="00C150E9" w:rsidP="00C150E9">
            <w:pPr>
              <w:pStyle w:val="Body"/>
              <w:numPr>
                <w:ilvl w:val="0"/>
                <w:numId w:val="176"/>
              </w:numPr>
            </w:pPr>
            <w:r>
              <w:t>T</w:t>
            </w:r>
            <w:r w:rsidRPr="00070FE7">
              <w:t>he Tribunal held that disclosure of</w:t>
            </w:r>
            <w:r>
              <w:t xml:space="preserve"> the</w:t>
            </w:r>
            <w:r w:rsidRPr="00070FE7">
              <w:t xml:space="preserve"> two contracts would be likely to expose the undertakings unreasonably to disadvantage</w:t>
            </w:r>
            <w:r>
              <w:t>.</w:t>
            </w:r>
          </w:p>
          <w:p w14:paraId="49F8128A" w14:textId="77777777" w:rsidR="00C150E9" w:rsidRPr="00070FE7" w:rsidRDefault="00C150E9" w:rsidP="00C150E9">
            <w:pPr>
              <w:pStyle w:val="Body"/>
              <w:numPr>
                <w:ilvl w:val="0"/>
                <w:numId w:val="176"/>
              </w:numPr>
            </w:pPr>
            <w:r w:rsidRPr="00070FE7">
              <w:t xml:space="preserve">The Tribunal </w:t>
            </w:r>
            <w:r>
              <w:t>observed at [32]</w:t>
            </w:r>
            <w:r w:rsidRPr="00070FE7">
              <w:t>:</w:t>
            </w:r>
          </w:p>
          <w:p w14:paraId="4CEC0B01" w14:textId="77777777" w:rsidR="00C150E9" w:rsidRPr="00070FE7" w:rsidRDefault="00C150E9" w:rsidP="00F12D53">
            <w:pPr>
              <w:pStyle w:val="Body"/>
            </w:pPr>
            <w:r w:rsidRPr="00070FE7">
              <w:t>“Obviously a confidentiality clause cannot simply be inserted in every contract involving an agency so as to defeat the purposes of the Act. The circumstances of each case and document must be considered. However, the timing of events does seem to me to be a legitimate argument. In the context of such timing, it seems to me to be at least arguable that the disclosure of relevant information in breach of a confidentiality clause and impacting upon the anticipation of confidential dealings may of itself be sufficient to satisfy the requirement that it "would be likely to expose the undertaking unreasonably to disadvantage."</w:t>
            </w:r>
          </w:p>
          <w:p w14:paraId="166EFB29" w14:textId="77777777" w:rsidR="00C150E9" w:rsidRDefault="00C150E9" w:rsidP="00C150E9">
            <w:pPr>
              <w:pStyle w:val="Body"/>
              <w:numPr>
                <w:ilvl w:val="0"/>
                <w:numId w:val="178"/>
              </w:numPr>
            </w:pPr>
            <w:r w:rsidRPr="00070FE7">
              <w:t xml:space="preserve">Further, the Tribunal found that, given the timing, it made sense that disclosure of the contracts could discourage rightsholders and event promoters from engaging in business in Victoria. Sponsors and rightsholders are unwilling to have the details of their commercial arrangements made public. The ability to keep this information confidential increases the number of companies who would be prepared to negotiate such commercial agreements with Melbourne 2006 and therefore increase the potential revenues from </w:t>
            </w:r>
            <w:r>
              <w:t>the Commonwealth Games</w:t>
            </w:r>
            <w:r w:rsidRPr="00070FE7">
              <w:t xml:space="preserve">. </w:t>
            </w:r>
            <w:r>
              <w:t>The Tribunal commented at [48]:</w:t>
            </w:r>
          </w:p>
          <w:p w14:paraId="3AA6068C" w14:textId="77777777" w:rsidR="00C150E9" w:rsidRPr="00F36BF4" w:rsidRDefault="00C150E9" w:rsidP="00F12D53">
            <w:pPr>
              <w:pStyle w:val="Body"/>
            </w:pPr>
            <w:r w:rsidRPr="00070FE7">
              <w:t>“I might say that the timing of the application had some bearing upon my thinking. Without in any way prejudging the matter, it might be that an application such as this would have greater prospects of success if the financial arrangements referred to … were concluded matters. The fact that such matters are not concluded seems to me to have bearing upon the disadvantage likely to be suffered unreasonably by the undertakings … In applications such as this, there are many factors to be considered. Doubtless in some applications the degree of alleged disadvantage remains a constant. In others, the degree of disadvantage may increase, decrease or disappear altogether with the effluxion of time.”</w:t>
            </w:r>
          </w:p>
        </w:tc>
      </w:tr>
    </w:tbl>
    <w:p w14:paraId="137BECAB" w14:textId="77777777" w:rsidR="00C150E9" w:rsidRDefault="00C150E9" w:rsidP="00C150E9">
      <w:pPr>
        <w:pStyle w:val="4Sub-subheadingLevel4"/>
      </w:pPr>
      <w:r>
        <w:t>Case examples</w:t>
      </w:r>
    </w:p>
    <w:p w14:paraId="1433263A" w14:textId="77777777" w:rsidR="00C150E9" w:rsidRDefault="00C150E9" w:rsidP="00C150E9">
      <w:pPr>
        <w:pStyle w:val="3BodyInteger"/>
      </w:pPr>
      <w:r>
        <w:t>Case law examples where unreasonable disadvantage was not established, include:</w:t>
      </w:r>
    </w:p>
    <w:p w14:paraId="094E4B33" w14:textId="77777777" w:rsidR="00C150E9" w:rsidRDefault="00C150E9" w:rsidP="00C150E9">
      <w:pPr>
        <w:pStyle w:val="3BodyInteger"/>
        <w:numPr>
          <w:ilvl w:val="2"/>
          <w:numId w:val="15"/>
        </w:numPr>
      </w:pPr>
      <w:r>
        <w:t>Disclosure of a</w:t>
      </w:r>
      <w:r w:rsidRPr="00F83222">
        <w:t xml:space="preserve"> purchase order which revealed the total costs charged by an independent assessor for conducting an investigation for the agency</w:t>
      </w:r>
      <w:r>
        <w:t>.</w:t>
      </w:r>
      <w:r>
        <w:rPr>
          <w:rStyle w:val="FootnoteReference"/>
        </w:rPr>
        <w:footnoteReference w:id="31"/>
      </w:r>
      <w:r>
        <w:t xml:space="preserve"> The document did not reveal the assessors approach to the investigation, which is information that would have given competitors a bidding advantage.</w:t>
      </w:r>
      <w:r>
        <w:rPr>
          <w:rStyle w:val="FootnoteReference"/>
        </w:rPr>
        <w:footnoteReference w:id="32"/>
      </w:r>
    </w:p>
    <w:p w14:paraId="1BA7ABFC" w14:textId="77777777" w:rsidR="00C150E9" w:rsidRDefault="00C150E9" w:rsidP="00C150E9">
      <w:pPr>
        <w:pStyle w:val="3BodyInteger"/>
        <w:numPr>
          <w:ilvl w:val="2"/>
          <w:numId w:val="15"/>
        </w:numPr>
      </w:pPr>
      <w:r>
        <w:t xml:space="preserve">Disclosure of the indemnity limits of a </w:t>
      </w:r>
      <w:r w:rsidRPr="00F83222">
        <w:t>building surveyor's professional indemnity insurance</w:t>
      </w:r>
      <w:r>
        <w:t xml:space="preserve">, contained in the building surveyor’s </w:t>
      </w:r>
      <w:r w:rsidRPr="00F83222">
        <w:t xml:space="preserve">certificate of currency for </w:t>
      </w:r>
      <w:r>
        <w:t>the</w:t>
      </w:r>
      <w:r w:rsidRPr="00F83222">
        <w:t xml:space="preserve"> insurance</w:t>
      </w:r>
      <w:r>
        <w:t>.</w:t>
      </w:r>
      <w:r>
        <w:rPr>
          <w:rStyle w:val="FootnoteReference"/>
        </w:rPr>
        <w:footnoteReference w:id="33"/>
      </w:r>
      <w:r w:rsidRPr="00F83222">
        <w:t xml:space="preserve"> </w:t>
      </w:r>
      <w:r>
        <w:t>In this case, the evidence demonstrated the certificates were designed to be shown to third parties</w:t>
      </w:r>
      <w:r>
        <w:rPr>
          <w:rStyle w:val="FootnoteReference"/>
        </w:rPr>
        <w:footnoteReference w:id="34"/>
      </w:r>
      <w:r>
        <w:t xml:space="preserve"> and the building surveyor was not concerned about his competitors receiving the certificate.</w:t>
      </w:r>
    </w:p>
    <w:p w14:paraId="0A7DAED4" w14:textId="77777777" w:rsidR="00C150E9" w:rsidRDefault="00C150E9" w:rsidP="00C150E9">
      <w:pPr>
        <w:pStyle w:val="3BodyInteger"/>
        <w:numPr>
          <w:ilvl w:val="2"/>
          <w:numId w:val="15"/>
        </w:numPr>
      </w:pPr>
      <w:r>
        <w:t xml:space="preserve">Disclosure of emails from the staff of the agency to a cleaning contractor, relating to </w:t>
      </w:r>
      <w:r w:rsidRPr="00F83222">
        <w:t>work the contractor had done, was doing, or ought to have been doing under various contracts</w:t>
      </w:r>
      <w:r>
        <w:t xml:space="preserve"> to clean high-rise public housing in Victoria.</w:t>
      </w:r>
      <w:r>
        <w:rPr>
          <w:rStyle w:val="FootnoteReference"/>
        </w:rPr>
        <w:footnoteReference w:id="35"/>
      </w:r>
      <w:r>
        <w:t xml:space="preserve"> In this case, VCAT noted the absence of direct evidence from the cleaning contractor, and the fact that deficiencies in the performance of the contract were legitimate matters of wider public interest.</w:t>
      </w:r>
      <w:r>
        <w:rPr>
          <w:rStyle w:val="FootnoteReference"/>
        </w:rPr>
        <w:footnoteReference w:id="36"/>
      </w:r>
    </w:p>
    <w:p w14:paraId="12A8AB0C" w14:textId="77777777" w:rsidR="00C150E9" w:rsidRDefault="00C150E9" w:rsidP="00C150E9">
      <w:pPr>
        <w:pStyle w:val="3BodyInteger"/>
        <w:numPr>
          <w:ilvl w:val="2"/>
          <w:numId w:val="15"/>
        </w:numPr>
      </w:pPr>
      <w:r>
        <w:t xml:space="preserve">A </w:t>
      </w:r>
      <w:r w:rsidRPr="00057459">
        <w:t xml:space="preserve">document </w:t>
      </w:r>
      <w:r>
        <w:t>disclosing</w:t>
      </w:r>
      <w:r w:rsidRPr="00057459">
        <w:t xml:space="preserve"> the background and scope of work </w:t>
      </w:r>
      <w:r>
        <w:t xml:space="preserve">an auditing </w:t>
      </w:r>
      <w:r w:rsidRPr="00057459">
        <w:t>firm had been asked to perform</w:t>
      </w:r>
      <w:r>
        <w:t xml:space="preserve">, </w:t>
      </w:r>
      <w:r w:rsidRPr="00057459">
        <w:t>and nothing more</w:t>
      </w:r>
      <w:r>
        <w:t xml:space="preserve">, did </w:t>
      </w:r>
      <w:r w:rsidRPr="00057459">
        <w:t>not disclose the firm's methodology</w:t>
      </w:r>
      <w:r>
        <w:t xml:space="preserve"> (and was therefore not harmful to the firm’s competitive position).</w:t>
      </w:r>
      <w:r>
        <w:rPr>
          <w:rStyle w:val="FootnoteReference"/>
        </w:rPr>
        <w:footnoteReference w:id="37"/>
      </w:r>
      <w:r>
        <w:t xml:space="preserve"> Whereas</w:t>
      </w:r>
      <w:r w:rsidRPr="00057459">
        <w:t>, an audit report that detailed how transactions were sampled or explained the actual analysis of the job at hand “might properly be regarded as unique to a firm and thus worthy of protection from commercial competitors and capable of being described as methodology”</w:t>
      </w:r>
      <w:r>
        <w:t>.</w:t>
      </w:r>
      <w:r>
        <w:rPr>
          <w:rStyle w:val="FootnoteReference"/>
        </w:rPr>
        <w:footnoteReference w:id="38"/>
      </w:r>
    </w:p>
    <w:p w14:paraId="6BB6AF64" w14:textId="77777777" w:rsidR="00C150E9" w:rsidRDefault="00C150E9" w:rsidP="00C150E9">
      <w:pPr>
        <w:pStyle w:val="3BodyInteger"/>
      </w:pPr>
      <w:r>
        <w:t>Case law examples where unreasonable disadvantage was established, include:</w:t>
      </w:r>
    </w:p>
    <w:p w14:paraId="5A738CD5" w14:textId="77777777" w:rsidR="00C150E9" w:rsidRDefault="00C150E9" w:rsidP="00C150E9">
      <w:pPr>
        <w:pStyle w:val="3BodyInteger"/>
        <w:numPr>
          <w:ilvl w:val="2"/>
          <w:numId w:val="15"/>
        </w:numPr>
      </w:pPr>
      <w:r>
        <w:t>Information in contractual documents between a government health services provider and a private pathology and diagnostic services provider which revealed turnaround times for pathology tests performed by the contractor. VCAT accepted evidence that information about turnaround times was not known to the contractor’s competitors and that disclosure of the information would give the undertaking’s competitors an unfair advantage in future public hospital tender processes.</w:t>
      </w:r>
      <w:r>
        <w:rPr>
          <w:rStyle w:val="FootnoteReference"/>
        </w:rPr>
        <w:footnoteReference w:id="39"/>
      </w:r>
      <w:r>
        <w:t xml:space="preserve"> </w:t>
      </w:r>
    </w:p>
    <w:p w14:paraId="1DEEAAD0" w14:textId="77777777" w:rsidR="00C150E9" w:rsidRDefault="00C150E9" w:rsidP="00C150E9">
      <w:pPr>
        <w:pStyle w:val="3BodyInteger"/>
        <w:numPr>
          <w:ilvl w:val="2"/>
          <w:numId w:val="15"/>
        </w:numPr>
      </w:pPr>
      <w:r>
        <w:t>Law firm invoices containing hours worked and hourly rates (as opposed to gross totals), and documents containing fee estimates.</w:t>
      </w:r>
      <w:r>
        <w:rPr>
          <w:rStyle w:val="FootnoteReference"/>
        </w:rPr>
        <w:footnoteReference w:id="40"/>
      </w:r>
      <w:r>
        <w:t xml:space="preserve"> In both cases, the evidence demonstrated that the hourly rates for an individual law firm are not generally available and are confidential and commercially sensitive information for each firm. Disclosure would enable a competitor to engage in destructive competition with the business.</w:t>
      </w:r>
    </w:p>
    <w:p w14:paraId="681BA276" w14:textId="77777777" w:rsidR="00C150E9" w:rsidRDefault="00C150E9" w:rsidP="00C150E9">
      <w:pPr>
        <w:pStyle w:val="3BodyInteger"/>
        <w:numPr>
          <w:ilvl w:val="2"/>
          <w:numId w:val="15"/>
        </w:numPr>
      </w:pPr>
      <w:r>
        <w:t xml:space="preserve">Project models provided to an agency in relation to negotiation of a contract price for an upgrade to </w:t>
      </w:r>
      <w:proofErr w:type="spellStart"/>
      <w:r>
        <w:t>CityLink</w:t>
      </w:r>
      <w:proofErr w:type="spellEnd"/>
      <w:r>
        <w:t>.</w:t>
      </w:r>
      <w:r>
        <w:rPr>
          <w:rStyle w:val="FootnoteReference"/>
        </w:rPr>
        <w:footnoteReference w:id="41"/>
      </w:r>
      <w:r>
        <w:t xml:space="preserve"> </w:t>
      </w:r>
    </w:p>
    <w:p w14:paraId="07346BDA" w14:textId="77777777" w:rsidR="00C150E9" w:rsidRDefault="00C150E9" w:rsidP="00C150E9">
      <w:pPr>
        <w:pStyle w:val="3BodyInteger"/>
        <w:numPr>
          <w:ilvl w:val="2"/>
          <w:numId w:val="15"/>
        </w:numPr>
      </w:pPr>
      <w:r>
        <w:t>A State purchase contract for the provision of print management and associated services.</w:t>
      </w:r>
      <w:r>
        <w:rPr>
          <w:rStyle w:val="FootnoteReference"/>
        </w:rPr>
        <w:footnoteReference w:id="42"/>
      </w:r>
    </w:p>
    <w:p w14:paraId="011A3BA7" w14:textId="77777777" w:rsidR="00C150E9" w:rsidRPr="00D40984" w:rsidRDefault="00C150E9" w:rsidP="00C150E9">
      <w:pPr>
        <w:pStyle w:val="3BodyInteger"/>
        <w:numPr>
          <w:ilvl w:val="2"/>
          <w:numId w:val="15"/>
        </w:numPr>
      </w:pPr>
      <w:r>
        <w:t>D</w:t>
      </w:r>
      <w:r w:rsidRPr="00992BE7">
        <w:t xml:space="preserve">isclosure of </w:t>
      </w:r>
      <w:r>
        <w:t>a consultant’s</w:t>
      </w:r>
      <w:r w:rsidRPr="00992BE7">
        <w:t xml:space="preserve"> methodology,</w:t>
      </w:r>
      <w:r>
        <w:t xml:space="preserve"> as revealed in the requested reports, in circumstances where its competitors had not developed and did not use the same methodology. The methodology was described by the consultant as a systematic way of structuring and putting information together which had been developed over time, with substantial time and effort, that set the consultant apart from its competitors. VCAT accepted the consultant’s evidence and found that disclosure would</w:t>
      </w:r>
      <w:r w:rsidRPr="00992BE7">
        <w:t xml:space="preserve"> cause </w:t>
      </w:r>
      <w:r>
        <w:t>the consultant</w:t>
      </w:r>
      <w:r w:rsidRPr="00992BE7">
        <w:t xml:space="preserve"> unreasonable disadvantage because it would </w:t>
      </w:r>
      <w:r>
        <w:t xml:space="preserve">enable competitors to take its methodology and have a </w:t>
      </w:r>
      <w:r w:rsidRPr="00992BE7">
        <w:t>ready-made starting point</w:t>
      </w:r>
      <w:r>
        <w:t>.</w:t>
      </w:r>
      <w:r>
        <w:rPr>
          <w:rStyle w:val="FootnoteReference"/>
        </w:rPr>
        <w:footnoteReference w:id="43"/>
      </w:r>
    </w:p>
    <w:p w14:paraId="666F24A5" w14:textId="77777777" w:rsidR="00C150E9" w:rsidRDefault="00C150E9" w:rsidP="00C150E9">
      <w:pPr>
        <w:pStyle w:val="3SubheadingLevel3"/>
      </w:pPr>
      <w:r>
        <w:t>Requirement to consult with an undertaking – section 34(3)</w:t>
      </w:r>
    </w:p>
    <w:p w14:paraId="50DDC9E0" w14:textId="77777777" w:rsidR="00C150E9" w:rsidRPr="002E0D81" w:rsidRDefault="00C150E9" w:rsidP="00C150E9">
      <w:pPr>
        <w:pStyle w:val="3BodyInteger"/>
      </w:pPr>
      <w:r>
        <w:t xml:space="preserve">In deciding whether </w:t>
      </w:r>
      <w:r w:rsidRPr="002E0D81">
        <w:t>disclosure would expose an undertaking unreasonably to disadvantage</w:t>
      </w:r>
      <w:r>
        <w:t xml:space="preserve">, </w:t>
      </w:r>
      <w:r w:rsidRPr="002E0D81">
        <w:t>section 34(3)</w:t>
      </w:r>
      <w:r>
        <w:t xml:space="preserve"> requires an agency or Minister to, </w:t>
      </w:r>
      <w:r w:rsidRPr="002E0D81">
        <w:t xml:space="preserve">if practicable: </w:t>
      </w:r>
    </w:p>
    <w:p w14:paraId="679665F2" w14:textId="77777777" w:rsidR="00C150E9" w:rsidRPr="002E0D81" w:rsidRDefault="00C150E9" w:rsidP="00C150E9">
      <w:pPr>
        <w:pStyle w:val="Body"/>
        <w:numPr>
          <w:ilvl w:val="0"/>
          <w:numId w:val="91"/>
        </w:numPr>
        <w:ind w:left="993" w:hanging="349"/>
      </w:pPr>
      <w:r w:rsidRPr="002E0D81">
        <w:t xml:space="preserve">notify the undertaking of the request; </w:t>
      </w:r>
    </w:p>
    <w:p w14:paraId="0FD1F160" w14:textId="77777777" w:rsidR="00C150E9" w:rsidRPr="002E0D81" w:rsidRDefault="00C150E9" w:rsidP="00C150E9">
      <w:pPr>
        <w:pStyle w:val="Body"/>
        <w:numPr>
          <w:ilvl w:val="0"/>
          <w:numId w:val="91"/>
        </w:numPr>
        <w:ind w:left="993" w:hanging="349"/>
      </w:pPr>
      <w:r w:rsidRPr="002E0D81">
        <w:t>ask the undertaking how and why disclosure would expose it unreasonably to disadvantage, if at all;</w:t>
      </w:r>
    </w:p>
    <w:p w14:paraId="0425980A" w14:textId="77777777" w:rsidR="00C150E9" w:rsidRPr="002E0D81" w:rsidRDefault="00C150E9" w:rsidP="00C150E9">
      <w:pPr>
        <w:pStyle w:val="Body"/>
        <w:numPr>
          <w:ilvl w:val="0"/>
          <w:numId w:val="91"/>
        </w:numPr>
        <w:ind w:left="993" w:hanging="349"/>
      </w:pPr>
      <w:r w:rsidRPr="002E0D81">
        <w:t xml:space="preserve">ask whether the undertaking consents to </w:t>
      </w:r>
      <w:r>
        <w:t>the</w:t>
      </w:r>
      <w:r w:rsidRPr="002E0D81">
        <w:t xml:space="preserve"> disclosure of </w:t>
      </w:r>
      <w:r>
        <w:t>the</w:t>
      </w:r>
      <w:r w:rsidRPr="002E0D81">
        <w:t xml:space="preserve"> information, or disclosure subject to deletion; </w:t>
      </w:r>
      <w:r w:rsidRPr="002E0D81">
        <w:rPr>
          <w:bCs/>
        </w:rPr>
        <w:t>and</w:t>
      </w:r>
    </w:p>
    <w:p w14:paraId="314678E6" w14:textId="77777777" w:rsidR="00C150E9" w:rsidRPr="002E0D81" w:rsidRDefault="00C150E9" w:rsidP="00C150E9">
      <w:pPr>
        <w:pStyle w:val="Body"/>
        <w:numPr>
          <w:ilvl w:val="0"/>
          <w:numId w:val="91"/>
        </w:numPr>
        <w:ind w:left="993" w:hanging="349"/>
      </w:pPr>
      <w:bookmarkStart w:id="16" w:name="_Hlk31274957"/>
      <w:r>
        <w:t>advise</w:t>
      </w:r>
      <w:r w:rsidRPr="002E0D81">
        <w:t xml:space="preserve"> that if the undertaking consents to disclosure, or disclosure subject to deletions, it cannot apply to VCAT for review of the decision.</w:t>
      </w:r>
    </w:p>
    <w:bookmarkEnd w:id="16"/>
    <w:p w14:paraId="7798CB0B" w14:textId="77777777" w:rsidR="00C150E9" w:rsidRDefault="00C150E9" w:rsidP="00C150E9">
      <w:pPr>
        <w:pStyle w:val="3BodyInteger"/>
      </w:pPr>
      <w:r w:rsidRPr="002E0D81">
        <w:t xml:space="preserve">When seeking the views of the business undertaking, it is important that an agency highlights that all of the elements of section 34(1)(b) must be made out before the document can be considered exempt. </w:t>
      </w:r>
    </w:p>
    <w:p w14:paraId="3BB26DBE" w14:textId="77777777" w:rsidR="00C150E9" w:rsidRDefault="00C150E9" w:rsidP="00C150E9">
      <w:pPr>
        <w:pStyle w:val="3BodyInteger"/>
      </w:pPr>
      <w:r>
        <w:t>Informing the undertaking of the elements of the exemption will enable the undertaking to provide an informed response and ensure their reasons are relevant, if they object to the document being released.</w:t>
      </w:r>
    </w:p>
    <w:p w14:paraId="4728D888" w14:textId="77777777" w:rsidR="00C150E9" w:rsidRPr="002E0D81" w:rsidRDefault="00C150E9" w:rsidP="00C150E9">
      <w:pPr>
        <w:pStyle w:val="3BodyInteger"/>
      </w:pPr>
      <w:r w:rsidRPr="002E0D81">
        <w:t>An agency should request and obtain detailed information from an undertaking about:</w:t>
      </w:r>
    </w:p>
    <w:p w14:paraId="0507B054" w14:textId="77777777" w:rsidR="00C150E9" w:rsidRPr="002E0D81" w:rsidRDefault="00C150E9" w:rsidP="00C150E9">
      <w:pPr>
        <w:pStyle w:val="Body"/>
        <w:numPr>
          <w:ilvl w:val="0"/>
          <w:numId w:val="91"/>
        </w:numPr>
        <w:ind w:left="993" w:hanging="349"/>
      </w:pPr>
      <w:r w:rsidRPr="002E0D81">
        <w:t>what the disadvantage is;</w:t>
      </w:r>
    </w:p>
    <w:p w14:paraId="13042E9B" w14:textId="77777777" w:rsidR="00C150E9" w:rsidRPr="002E0D81" w:rsidRDefault="00C150E9" w:rsidP="00C150E9">
      <w:pPr>
        <w:pStyle w:val="Body"/>
        <w:numPr>
          <w:ilvl w:val="0"/>
          <w:numId w:val="91"/>
        </w:numPr>
        <w:ind w:left="993" w:hanging="349"/>
      </w:pPr>
      <w:r w:rsidRPr="002E0D81">
        <w:t xml:space="preserve">whether the disadvantage </w:t>
      </w:r>
      <w:r w:rsidRPr="003E0A1F">
        <w:t>is likely</w:t>
      </w:r>
      <w:r w:rsidRPr="002E0D81">
        <w:t xml:space="preserve"> to occur; and </w:t>
      </w:r>
    </w:p>
    <w:p w14:paraId="227CAA9B" w14:textId="77777777" w:rsidR="00C150E9" w:rsidRPr="002E0D81" w:rsidRDefault="00C150E9" w:rsidP="00C150E9">
      <w:pPr>
        <w:pStyle w:val="Body"/>
        <w:numPr>
          <w:ilvl w:val="0"/>
          <w:numId w:val="91"/>
        </w:numPr>
        <w:ind w:left="993" w:hanging="349"/>
      </w:pPr>
      <w:r w:rsidRPr="002E0D81">
        <w:t xml:space="preserve">why the disadvantage </w:t>
      </w:r>
      <w:r w:rsidRPr="003E0A1F">
        <w:t>is unreasonable.</w:t>
      </w:r>
      <w:r w:rsidRPr="002E0D81">
        <w:t xml:space="preserve"> </w:t>
      </w:r>
    </w:p>
    <w:p w14:paraId="23A9BBED" w14:textId="77777777" w:rsidR="00C150E9" w:rsidRDefault="00C150E9" w:rsidP="00C150E9">
      <w:pPr>
        <w:pStyle w:val="3BodyInteger"/>
      </w:pPr>
      <w:r w:rsidRPr="002E0D81">
        <w:t xml:space="preserve">The opinion of the undertaking is not determinative and is only </w:t>
      </w:r>
      <w:r>
        <w:t>one</w:t>
      </w:r>
      <w:r w:rsidRPr="002E0D81">
        <w:t xml:space="preserve"> factor to be weighed by an agency when deciding if disclosure of the information is likely to expose the undertaking unreasonably to disadvantage. An undertaking may strongly object to release, but that is not enough to satisfy the exemption. If an agency</w:t>
      </w:r>
      <w:r>
        <w:t xml:space="preserve"> or Minister</w:t>
      </w:r>
      <w:r w:rsidRPr="002E0D81">
        <w:t xml:space="preserve"> is not satisfied that all elements of the exemption are made out, an agency </w:t>
      </w:r>
      <w:r>
        <w:t xml:space="preserve">or Minister </w:t>
      </w:r>
      <w:r w:rsidRPr="002E0D81">
        <w:t xml:space="preserve">must release the document. </w:t>
      </w:r>
    </w:p>
    <w:p w14:paraId="419B2EBE" w14:textId="77777777" w:rsidR="00C150E9" w:rsidRPr="002E0D81" w:rsidRDefault="00C150E9" w:rsidP="00C150E9">
      <w:pPr>
        <w:pStyle w:val="3BodyInteger"/>
      </w:pPr>
      <w:r>
        <w:t>Conversely, if the undertaking consents to disclosure or fails to object to disclosure without explanation, this is a powerful reason in favour of finding that the document is not exempt.</w:t>
      </w:r>
      <w:r>
        <w:rPr>
          <w:rStyle w:val="FootnoteReference"/>
        </w:rPr>
        <w:footnoteReference w:id="44"/>
      </w:r>
      <w:r>
        <w:t xml:space="preserve"> The object of section 34(1) is to protect the undertaking’s information. An agency or Minister will have difficulty establishing that release of a document would disadvantage the undertaking in circumstances where the undertaking is asked to provide their views, and does not express concerns about release.</w:t>
      </w:r>
    </w:p>
    <w:p w14:paraId="795CF8F9" w14:textId="77777777" w:rsidR="00C150E9" w:rsidRPr="002E0D81" w:rsidRDefault="00C150E9" w:rsidP="00C150E9">
      <w:pPr>
        <w:pStyle w:val="3BodyInteger"/>
      </w:pPr>
      <w:r w:rsidRPr="002E0D81">
        <w:t xml:space="preserve">When consulting, the 30-day timeframe to decide a request may be extended by up to 15 days </w:t>
      </w:r>
      <w:r>
        <w:t>under section 21(2)(a).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325"/>
      </w:tblGrid>
      <w:tr w:rsidR="00C150E9" w:rsidRPr="00A02939" w14:paraId="6AFEFA92" w14:textId="77777777" w:rsidTr="00F12D53">
        <w:tc>
          <w:tcPr>
            <w:tcW w:w="8325" w:type="dxa"/>
            <w:shd w:val="clear" w:color="auto" w:fill="F4F3F2"/>
          </w:tcPr>
          <w:p w14:paraId="7EC8735F" w14:textId="77777777" w:rsidR="00C150E9" w:rsidRPr="00A02939" w:rsidRDefault="00C150E9" w:rsidP="00F12D53">
            <w:pPr>
              <w:pStyle w:val="Body"/>
            </w:pPr>
            <w:r>
              <w:t xml:space="preserve">For more information, see </w:t>
            </w:r>
            <w:hyperlink r:id="rId23" w:history="1">
              <w:r w:rsidRPr="00A51742">
                <w:rPr>
                  <w:rStyle w:val="Hyperlink"/>
                </w:rPr>
                <w:t>section 21 – Time within which formal requests to be decided</w:t>
              </w:r>
            </w:hyperlink>
            <w:r>
              <w:t xml:space="preserve">. </w:t>
            </w:r>
          </w:p>
        </w:tc>
      </w:tr>
    </w:tbl>
    <w:p w14:paraId="52DFA501" w14:textId="77777777" w:rsidR="00C150E9" w:rsidRDefault="00C150E9" w:rsidP="00C150E9">
      <w:pPr>
        <w:pStyle w:val="3BodyInteger"/>
      </w:pPr>
      <w:r>
        <w:t>An agency or Minister is only required to consult with an undertaking where it is practicable to do so.</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325"/>
      </w:tblGrid>
      <w:tr w:rsidR="00C150E9" w:rsidRPr="00A02939" w14:paraId="27CF5733" w14:textId="77777777" w:rsidTr="00F12D53">
        <w:tc>
          <w:tcPr>
            <w:tcW w:w="8325" w:type="dxa"/>
            <w:shd w:val="clear" w:color="auto" w:fill="F4F3F2"/>
          </w:tcPr>
          <w:p w14:paraId="68C9FBD7" w14:textId="77777777" w:rsidR="00C150E9" w:rsidRPr="00A02939" w:rsidRDefault="00C150E9" w:rsidP="00F12D53">
            <w:pPr>
              <w:pStyle w:val="Body"/>
            </w:pPr>
            <w:r>
              <w:t xml:space="preserve">For more information on whether consultation is practicable, </w:t>
            </w:r>
            <w:r w:rsidRPr="000F2EDD">
              <w:t xml:space="preserve">see </w:t>
            </w:r>
            <w:hyperlink r:id="rId24" w:history="1">
              <w:r w:rsidRPr="00FF4018">
                <w:rPr>
                  <w:rStyle w:val="Hyperlink"/>
                </w:rPr>
                <w:t>section 33</w:t>
              </w:r>
            </w:hyperlink>
            <w:r w:rsidRPr="000F2EDD">
              <w:t xml:space="preserve"> of</w:t>
            </w:r>
            <w:r>
              <w:t xml:space="preserve"> the FOI Guidelines. </w:t>
            </w:r>
          </w:p>
        </w:tc>
      </w:tr>
    </w:tbl>
    <w:p w14:paraId="58510F2D" w14:textId="77777777" w:rsidR="00C150E9" w:rsidRPr="002E0D81" w:rsidRDefault="00C150E9" w:rsidP="00C150E9">
      <w:pPr>
        <w:pStyle w:val="3BodyInteger"/>
      </w:pPr>
      <w:r>
        <w:t>Consultation may occur in any manner or form. For example, by telephone, email, post, or a meeting.</w:t>
      </w:r>
    </w:p>
    <w:p w14:paraId="38C00E69" w14:textId="77777777" w:rsidR="00C150E9" w:rsidRDefault="00000000" w:rsidP="00C150E9">
      <w:pPr>
        <w:pStyle w:val="3BodyInteger"/>
      </w:pPr>
      <w:hyperlink r:id="rId25" w:anchor="7._Practicability_of_consulting_third_parties_" w:history="1">
        <w:r w:rsidR="00C150E9" w:rsidRPr="002E0D81">
          <w:rPr>
            <w:rStyle w:val="Hyperlink"/>
          </w:rPr>
          <w:t>Professional Standard 7.3</w:t>
        </w:r>
      </w:hyperlink>
      <w:r w:rsidR="00C150E9" w:rsidRPr="002E0D81">
        <w:rPr>
          <w:color w:val="7030A0"/>
        </w:rPr>
        <w:t xml:space="preserve"> </w:t>
      </w:r>
      <w:r w:rsidR="00C150E9" w:rsidRPr="002E0D81">
        <w:t>requires a record of the consultation to be kept. This includes who was consulted, whether they consented or objected, and any reasons provided.</w:t>
      </w:r>
    </w:p>
    <w:p w14:paraId="3AF59C8D" w14:textId="77777777" w:rsidR="00C150E9" w:rsidRDefault="00C150E9" w:rsidP="00C150E9">
      <w:pPr>
        <w:pStyle w:val="4Sub-subheadingLevel4"/>
      </w:pPr>
      <w:r>
        <w:t>More information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750"/>
      </w:tblGrid>
      <w:tr w:rsidR="00C150E9" w:rsidRPr="00A02939" w14:paraId="2DCB1074" w14:textId="77777777" w:rsidTr="00F12D53">
        <w:tc>
          <w:tcPr>
            <w:tcW w:w="8750" w:type="dxa"/>
            <w:shd w:val="clear" w:color="auto" w:fill="F4F3F2"/>
          </w:tcPr>
          <w:p w14:paraId="7B838EDB" w14:textId="2FB5EA74" w:rsidR="00C150E9" w:rsidRDefault="007F765A" w:rsidP="00F12D53">
            <w:pPr>
              <w:pStyle w:val="Body"/>
            </w:pPr>
            <w:r>
              <w:t xml:space="preserve">See </w:t>
            </w:r>
            <w:hyperlink r:id="rId26" w:history="1">
              <w:r w:rsidR="00C150E9" w:rsidRPr="000F2EDD">
                <w:rPr>
                  <w:rStyle w:val="Hyperlink"/>
                </w:rPr>
                <w:t>section 33</w:t>
              </w:r>
            </w:hyperlink>
            <w:r w:rsidR="00C150E9">
              <w:t xml:space="preserve"> of the FOI Guidelines for more information about:</w:t>
            </w:r>
          </w:p>
          <w:p w14:paraId="010C6C43" w14:textId="77777777" w:rsidR="00C150E9" w:rsidRDefault="00C150E9" w:rsidP="00C150E9">
            <w:pPr>
              <w:pStyle w:val="Body"/>
              <w:numPr>
                <w:ilvl w:val="0"/>
                <w:numId w:val="108"/>
              </w:numPr>
            </w:pPr>
            <w:r>
              <w:t>determining whether consultation is not practicable</w:t>
            </w:r>
          </w:p>
          <w:p w14:paraId="54A1EDD3" w14:textId="77777777" w:rsidR="00C150E9" w:rsidRDefault="00C150E9" w:rsidP="00C150E9">
            <w:pPr>
              <w:pStyle w:val="Body"/>
              <w:numPr>
                <w:ilvl w:val="0"/>
                <w:numId w:val="108"/>
              </w:numPr>
            </w:pPr>
            <w:r>
              <w:t>how to conduct consultation</w:t>
            </w:r>
          </w:p>
          <w:p w14:paraId="632DAD4A" w14:textId="77777777" w:rsidR="00C150E9" w:rsidRDefault="00C150E9" w:rsidP="00C150E9">
            <w:pPr>
              <w:pStyle w:val="Body"/>
              <w:numPr>
                <w:ilvl w:val="0"/>
                <w:numId w:val="108"/>
              </w:numPr>
            </w:pPr>
            <w:r>
              <w:t>privacy considerations</w:t>
            </w:r>
          </w:p>
          <w:p w14:paraId="6A5DDBED" w14:textId="77777777" w:rsidR="00C150E9" w:rsidRPr="00A02939" w:rsidRDefault="00C150E9" w:rsidP="00C150E9">
            <w:pPr>
              <w:pStyle w:val="Body"/>
              <w:numPr>
                <w:ilvl w:val="0"/>
                <w:numId w:val="108"/>
              </w:numPr>
            </w:pPr>
            <w:r>
              <w:t>keeping records of consultation under the Professional Standards</w:t>
            </w:r>
          </w:p>
        </w:tc>
      </w:tr>
    </w:tbl>
    <w:p w14:paraId="6243078F" w14:textId="77777777" w:rsidR="00C150E9" w:rsidRPr="00E361F1" w:rsidRDefault="00C150E9" w:rsidP="00C150E9">
      <w:pPr>
        <w:pStyle w:val="3SubheadingLevel3"/>
      </w:pPr>
      <w:r w:rsidRPr="00E361F1">
        <w:t xml:space="preserve">Notifying an undertaking of a decision to disclose </w:t>
      </w:r>
      <w:r>
        <w:t>information – section 34(3A) and (3B)</w:t>
      </w:r>
    </w:p>
    <w:p w14:paraId="4085D57C" w14:textId="77777777" w:rsidR="00C150E9" w:rsidRPr="00E361F1" w:rsidRDefault="00C150E9" w:rsidP="00C150E9">
      <w:pPr>
        <w:pStyle w:val="3BodyInteger"/>
      </w:pPr>
      <w:r>
        <w:t xml:space="preserve">If an undertaking objected to release of the information or document, or did not respond to the consultation, and a decision </w:t>
      </w:r>
      <w:r w:rsidRPr="00E361F1">
        <w:t xml:space="preserve">is made to release </w:t>
      </w:r>
      <w:r>
        <w:t>the</w:t>
      </w:r>
      <w:r w:rsidRPr="00E361F1">
        <w:t xml:space="preserve"> document or information, section 34(3A) requires the agency to notify the undertaking of: </w:t>
      </w:r>
    </w:p>
    <w:p w14:paraId="695BDC66" w14:textId="77777777" w:rsidR="00C150E9" w:rsidRPr="00E361F1" w:rsidRDefault="00C150E9" w:rsidP="00C150E9">
      <w:pPr>
        <w:pStyle w:val="Body"/>
        <w:numPr>
          <w:ilvl w:val="0"/>
          <w:numId w:val="91"/>
        </w:numPr>
        <w:ind w:left="993" w:hanging="349"/>
      </w:pPr>
      <w:r w:rsidRPr="00E361F1">
        <w:t xml:space="preserve">the decision to grant access to the document; and </w:t>
      </w:r>
    </w:p>
    <w:p w14:paraId="0423138B" w14:textId="77777777" w:rsidR="00C150E9" w:rsidRPr="00E361F1" w:rsidRDefault="00C150E9" w:rsidP="00C150E9">
      <w:pPr>
        <w:pStyle w:val="Body"/>
        <w:numPr>
          <w:ilvl w:val="0"/>
          <w:numId w:val="91"/>
        </w:numPr>
        <w:ind w:left="993" w:hanging="349"/>
      </w:pPr>
      <w:r w:rsidRPr="00E361F1">
        <w:t xml:space="preserve">the undertaking’s right to apply to VCAT for a review of the decision. </w:t>
      </w:r>
    </w:p>
    <w:p w14:paraId="50B170D8" w14:textId="77777777" w:rsidR="00C150E9" w:rsidRDefault="00C150E9" w:rsidP="00C150E9">
      <w:pPr>
        <w:pStyle w:val="3BodyInteger"/>
      </w:pPr>
      <w:r>
        <w:t>There is no requirement to notify an undertaking that consented to the release of the information or document, provided the decision reflects release of the information or document, as agreed by the undertaking (section 34(3B)).</w:t>
      </w:r>
    </w:p>
    <w:p w14:paraId="4242F4E5" w14:textId="77777777" w:rsidR="00C150E9" w:rsidRDefault="00C150E9" w:rsidP="00C150E9">
      <w:pPr>
        <w:pStyle w:val="3BodyInteger"/>
      </w:pPr>
      <w:r>
        <w:t xml:space="preserve">The applicant should be advised the document will only be released at the end of the undertaking’s 60 day review period, which begins on the day the undertaking is notified of the decision.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325"/>
      </w:tblGrid>
      <w:tr w:rsidR="00C150E9" w:rsidRPr="00A02939" w14:paraId="7E05C387" w14:textId="77777777" w:rsidTr="00F12D53">
        <w:tc>
          <w:tcPr>
            <w:tcW w:w="8325" w:type="dxa"/>
            <w:shd w:val="clear" w:color="auto" w:fill="F4F3F2"/>
          </w:tcPr>
          <w:p w14:paraId="1DB9DAA6" w14:textId="77777777" w:rsidR="00C150E9" w:rsidRPr="00A02939" w:rsidRDefault="00C150E9" w:rsidP="00F12D53">
            <w:pPr>
              <w:pStyle w:val="Body"/>
            </w:pPr>
            <w:r>
              <w:t xml:space="preserve">Read more about notifying applicants of third party review rights in </w:t>
            </w:r>
            <w:hyperlink r:id="rId27" w:history="1">
              <w:r w:rsidRPr="003A6F33">
                <w:rPr>
                  <w:rStyle w:val="Hyperlink"/>
                </w:rPr>
                <w:t>section 27</w:t>
              </w:r>
            </w:hyperlink>
            <w:r>
              <w:t>.</w:t>
            </w:r>
          </w:p>
        </w:tc>
      </w:tr>
    </w:tbl>
    <w:p w14:paraId="3E2B1F35" w14:textId="77777777" w:rsidR="00C150E9" w:rsidRDefault="00C150E9" w:rsidP="00C150E9">
      <w:pPr>
        <w:pStyle w:val="3BodyInteger"/>
      </w:pPr>
      <w:r w:rsidRPr="00DC63D5">
        <w:t xml:space="preserve">If </w:t>
      </w:r>
      <w:r>
        <w:t>an undertaking</w:t>
      </w:r>
      <w:r w:rsidRPr="00DC63D5">
        <w:t xml:space="preserve"> who objected to </w:t>
      </w:r>
      <w:r w:rsidRPr="003A6F33">
        <w:t>disclosure</w:t>
      </w:r>
      <w:r w:rsidRPr="00DC63D5">
        <w:t xml:space="preserve"> exercises their right to seek review by VCAT, an agency</w:t>
      </w:r>
      <w:r>
        <w:t xml:space="preserve"> or Minister</w:t>
      </w:r>
      <w:r w:rsidRPr="00DC63D5">
        <w:t xml:space="preserve"> must not disclose the documents until the VCAT proceedings are finalised and directions made.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325"/>
      </w:tblGrid>
      <w:tr w:rsidR="00C150E9" w:rsidRPr="00A02939" w14:paraId="6BC501E8" w14:textId="77777777" w:rsidTr="007F765A">
        <w:tc>
          <w:tcPr>
            <w:tcW w:w="8325" w:type="dxa"/>
            <w:shd w:val="clear" w:color="auto" w:fill="F4F3F2"/>
          </w:tcPr>
          <w:p w14:paraId="17591630" w14:textId="77777777" w:rsidR="00C150E9" w:rsidRDefault="00C150E9" w:rsidP="00F12D53">
            <w:pPr>
              <w:pStyle w:val="Body"/>
            </w:pPr>
            <w:r>
              <w:t xml:space="preserve">For more information, </w:t>
            </w:r>
            <w:r w:rsidRPr="003A6F33">
              <w:t xml:space="preserve">see </w:t>
            </w:r>
            <w:hyperlink r:id="rId28" w:history="1">
              <w:r w:rsidRPr="003A6F33">
                <w:rPr>
                  <w:rStyle w:val="Hyperlink"/>
                </w:rPr>
                <w:t>section 50 – Applications for review by the Tribunal</w:t>
              </w:r>
            </w:hyperlink>
            <w:r>
              <w:t>.</w:t>
            </w:r>
          </w:p>
          <w:p w14:paraId="4FB4F26C" w14:textId="15BCFF98" w:rsidR="00C150E9" w:rsidRPr="00A02939" w:rsidRDefault="00C150E9" w:rsidP="00F12D53">
            <w:pPr>
              <w:pStyle w:val="3BodyInteger"/>
              <w:numPr>
                <w:ilvl w:val="0"/>
                <w:numId w:val="0"/>
              </w:numPr>
              <w:ind w:left="37" w:hanging="37"/>
            </w:pPr>
            <w:r>
              <w:t xml:space="preserve">For information about reviews before OVIC, see </w:t>
            </w:r>
            <w:r w:rsidRPr="002C0111">
              <w:t xml:space="preserve">sections </w:t>
            </w:r>
            <w:hyperlink r:id="rId29" w:history="1">
              <w:r w:rsidRPr="002C0111">
                <w:rPr>
                  <w:rStyle w:val="Hyperlink"/>
                </w:rPr>
                <w:t>49P(5)</w:t>
              </w:r>
            </w:hyperlink>
            <w:r w:rsidRPr="002C0111">
              <w:t xml:space="preserve"> and </w:t>
            </w:r>
            <w:hyperlink r:id="rId30" w:history="1">
              <w:r w:rsidRPr="002C0111">
                <w:rPr>
                  <w:rStyle w:val="Hyperlink"/>
                </w:rPr>
                <w:t>50(3A)</w:t>
              </w:r>
            </w:hyperlink>
            <w:r w:rsidRPr="002C0111">
              <w:t xml:space="preserve"> of</w:t>
            </w:r>
            <w:r>
              <w:t xml:space="preserve"> the Guidelines.</w:t>
            </w:r>
          </w:p>
        </w:tc>
      </w:tr>
    </w:tbl>
    <w:p w14:paraId="7FE717F7" w14:textId="77777777" w:rsidR="00C150E9" w:rsidRDefault="00C150E9" w:rsidP="00C150E9">
      <w:pPr>
        <w:pStyle w:val="4Sub-subheadingLevel4"/>
      </w:pPr>
      <w:r>
        <w:t>Practicability of notifying an undertaking of the agency’s decision</w:t>
      </w:r>
    </w:p>
    <w:p w14:paraId="5F8F5424" w14:textId="77777777" w:rsidR="00C150E9" w:rsidRDefault="00C150E9" w:rsidP="00C150E9">
      <w:pPr>
        <w:pStyle w:val="3BodyInteger"/>
      </w:pPr>
      <w:r>
        <w:t>If the undertaking was not consulted under section 34(3) because it was not practicable to do so, then there is no requirement under section 34(3A) for the agency to notify the undertaking of the agency’s decision to grant access to the document. The agency can release the information to the applicant without waiting 60 days.</w:t>
      </w:r>
    </w:p>
    <w:p w14:paraId="189BDB32" w14:textId="77777777" w:rsidR="00C150E9" w:rsidRDefault="00C150E9" w:rsidP="00C150E9">
      <w:pPr>
        <w:pStyle w:val="3BodyInteger"/>
      </w:pPr>
      <w:r>
        <w:t xml:space="preserve">If the undertaking was consulted under section 34(3), but cannot be located at the time of the agency’s decision, the agency should send the notification required by section 34(3A) to the last known address of the undertaking and wait 60 days before releasing the information to the applicant. </w:t>
      </w:r>
    </w:p>
    <w:p w14:paraId="2E34D925" w14:textId="77777777" w:rsidR="00C150E9" w:rsidRDefault="00C150E9" w:rsidP="00C150E9">
      <w:pPr>
        <w:pStyle w:val="3BodyInteger"/>
      </w:pPr>
      <w:r>
        <w:t>If the agency is reasonably satisfied that the undertaking no longer exists at the time of the agency’s decision, then there is no requirement to notify the undertaking of the agency’s decision under section 34(3A). To be reasonably satisfied, the agency should search the company database on the Australian Securities and Investment Commission (ASIC) website or the business name register on the Consumer Affairs Victoria (CAV) website to confirm the status of the business. A google search is not sufficient.</w:t>
      </w:r>
    </w:p>
    <w:p w14:paraId="3C7B1AF6" w14:textId="77777777" w:rsidR="00C150E9" w:rsidRDefault="00C150E9" w:rsidP="00C150E9">
      <w:pPr>
        <w:pStyle w:val="2HeadingLevel2"/>
      </w:pPr>
      <w:bookmarkStart w:id="17" w:name="_Toc150764350"/>
      <w:bookmarkEnd w:id="15"/>
      <w:r>
        <w:t>Section 34(4)(a)(</w:t>
      </w:r>
      <w:proofErr w:type="spellStart"/>
      <w:r>
        <w:t>i</w:t>
      </w:r>
      <w:proofErr w:type="spellEnd"/>
      <w:r>
        <w:t>) exemption – trade secret of an agency</w:t>
      </w:r>
      <w:bookmarkEnd w:id="17"/>
    </w:p>
    <w:p w14:paraId="59C623E3" w14:textId="77777777" w:rsidR="00C150E9" w:rsidRDefault="00C150E9" w:rsidP="00C150E9">
      <w:pPr>
        <w:pStyle w:val="3BodyInteger"/>
      </w:pPr>
      <w:r w:rsidRPr="00E361F1">
        <w:t xml:space="preserve">A document or information is exempt under section </w:t>
      </w:r>
      <w:r w:rsidRPr="007E5980">
        <w:t>34(4)(a)(</w:t>
      </w:r>
      <w:proofErr w:type="spellStart"/>
      <w:r w:rsidRPr="007E5980">
        <w:t>i</w:t>
      </w:r>
      <w:proofErr w:type="spellEnd"/>
      <w:r w:rsidRPr="007E5980">
        <w:t>)</w:t>
      </w:r>
      <w:r w:rsidRPr="00E361F1">
        <w:t xml:space="preserve"> if two conditions are satisfied:</w:t>
      </w:r>
    </w:p>
    <w:p w14:paraId="215B911C" w14:textId="77777777" w:rsidR="00C150E9" w:rsidRPr="00D41ED5" w:rsidRDefault="00C150E9" w:rsidP="00C150E9">
      <w:pPr>
        <w:pStyle w:val="Body"/>
        <w:widowControl w:val="0"/>
        <w:numPr>
          <w:ilvl w:val="0"/>
          <w:numId w:val="8"/>
        </w:numPr>
        <w:suppressAutoHyphens/>
        <w:autoSpaceDE w:val="0"/>
        <w:autoSpaceDN w:val="0"/>
        <w:adjustRightInd w:val="0"/>
        <w:spacing w:after="200"/>
        <w:ind w:left="993" w:hanging="426"/>
        <w:textAlignment w:val="center"/>
      </w:pPr>
      <w:r w:rsidRPr="00D41ED5">
        <w:t xml:space="preserve">the document </w:t>
      </w:r>
      <w:r>
        <w:t xml:space="preserve">or information </w:t>
      </w:r>
      <w:r w:rsidRPr="00D41ED5">
        <w:t>contains a trade secret of an agency; </w:t>
      </w:r>
      <w:r w:rsidRPr="0079679E">
        <w:t>and</w:t>
      </w:r>
    </w:p>
    <w:p w14:paraId="50DAAA40" w14:textId="77777777" w:rsidR="00C150E9" w:rsidRPr="00390F0E" w:rsidRDefault="00C150E9" w:rsidP="00C150E9">
      <w:pPr>
        <w:pStyle w:val="Body"/>
        <w:widowControl w:val="0"/>
        <w:numPr>
          <w:ilvl w:val="0"/>
          <w:numId w:val="8"/>
        </w:numPr>
        <w:suppressAutoHyphens/>
        <w:autoSpaceDE w:val="0"/>
        <w:autoSpaceDN w:val="0"/>
        <w:adjustRightInd w:val="0"/>
        <w:spacing w:after="200"/>
        <w:ind w:left="993" w:hanging="426"/>
        <w:textAlignment w:val="center"/>
        <w:rPr>
          <w:rFonts w:ascii="Times New Roman" w:hAnsi="Times New Roman"/>
        </w:rPr>
      </w:pPr>
      <w:r w:rsidRPr="00D41ED5">
        <w:t>disclosure would be likely to expose the agency unreasonably</w:t>
      </w:r>
      <w:r w:rsidRPr="00D41ED5">
        <w:rPr>
          <w:shd w:val="clear" w:color="auto" w:fill="FFFFFF"/>
        </w:rPr>
        <w:t xml:space="preserve"> to disadvantage.</w:t>
      </w:r>
    </w:p>
    <w:p w14:paraId="6FC2333C" w14:textId="77777777" w:rsidR="00C150E9" w:rsidRDefault="00C150E9" w:rsidP="00C150E9">
      <w:pPr>
        <w:pStyle w:val="3BodyInteger"/>
      </w:pPr>
      <w:r>
        <w:t>For guidance about the first condition, see the sub-heading below titled ‘what is a trade secret?’.</w:t>
      </w:r>
    </w:p>
    <w:p w14:paraId="08348AC6" w14:textId="77777777" w:rsidR="00C150E9" w:rsidRDefault="00C150E9" w:rsidP="00C150E9">
      <w:pPr>
        <w:pStyle w:val="3BodyInteger"/>
        <w:numPr>
          <w:ilvl w:val="1"/>
          <w:numId w:val="15"/>
        </w:numPr>
      </w:pPr>
      <w:r>
        <w:t>For guidance about the second condition, see the heading below ‘section 34(4)(a)(</w:t>
      </w:r>
      <w:proofErr w:type="spellStart"/>
      <w:r>
        <w:t>i</w:t>
      </w:r>
      <w:proofErr w:type="spellEnd"/>
      <w:r>
        <w:t xml:space="preserve">) and (ii) – common element’. </w:t>
      </w:r>
    </w:p>
    <w:p w14:paraId="62BC78B6" w14:textId="77777777" w:rsidR="00C150E9" w:rsidRDefault="00C150E9" w:rsidP="00C150E9">
      <w:pPr>
        <w:pStyle w:val="3SubheadingLevel3"/>
      </w:pPr>
      <w:r>
        <w:t>Steps to applying the exemption</w:t>
      </w:r>
    </w:p>
    <w:p w14:paraId="736FD374" w14:textId="77777777" w:rsidR="00C150E9" w:rsidRDefault="00C150E9" w:rsidP="00C150E9">
      <w:pPr>
        <w:pStyle w:val="3BodyInteger"/>
      </w:pPr>
      <w:r>
        <w:t>It is best practice for an agency or Minister seeking to apply the section 34(4)(a)(</w:t>
      </w:r>
      <w:proofErr w:type="spellStart"/>
      <w:r>
        <w:t>i</w:t>
      </w:r>
      <w:proofErr w:type="spellEnd"/>
      <w:r>
        <w:t>) exemption to:</w:t>
      </w:r>
    </w:p>
    <w:p w14:paraId="240FF437" w14:textId="77777777" w:rsidR="00C150E9" w:rsidRDefault="00C150E9" w:rsidP="00C150E9">
      <w:pPr>
        <w:pStyle w:val="3BodyInteger"/>
        <w:numPr>
          <w:ilvl w:val="2"/>
          <w:numId w:val="15"/>
        </w:numPr>
      </w:pPr>
      <w:r>
        <w:t>Specifically identify the information considered to be a trade secret.</w:t>
      </w:r>
    </w:p>
    <w:p w14:paraId="1318AB30" w14:textId="77777777" w:rsidR="00C150E9" w:rsidRDefault="00C150E9" w:rsidP="00C150E9">
      <w:pPr>
        <w:pStyle w:val="3BodyInteger"/>
        <w:numPr>
          <w:ilvl w:val="2"/>
          <w:numId w:val="15"/>
        </w:numPr>
      </w:pPr>
      <w:r>
        <w:t>Determine if the information is in fact a trade secret of the agency.</w:t>
      </w:r>
    </w:p>
    <w:p w14:paraId="346C15AC" w14:textId="77777777" w:rsidR="00C150E9" w:rsidRDefault="00C150E9" w:rsidP="00C150E9">
      <w:pPr>
        <w:pStyle w:val="3BodyInteger"/>
        <w:numPr>
          <w:ilvl w:val="2"/>
          <w:numId w:val="15"/>
        </w:numPr>
      </w:pPr>
      <w:r>
        <w:t>Critically and objectively consider whether disclosure would be likely to expose the agency unreasonably to disadvantage by identifying and establishing three elements:</w:t>
      </w:r>
    </w:p>
    <w:p w14:paraId="31883B08" w14:textId="77777777" w:rsidR="00C150E9" w:rsidRDefault="00C150E9" w:rsidP="00C150E9">
      <w:pPr>
        <w:pStyle w:val="3BodyInteger"/>
        <w:numPr>
          <w:ilvl w:val="3"/>
          <w:numId w:val="15"/>
        </w:numPr>
      </w:pPr>
      <w:r>
        <w:t>what the disadvantage is;</w:t>
      </w:r>
    </w:p>
    <w:p w14:paraId="524D69B0" w14:textId="77777777" w:rsidR="00C150E9" w:rsidRDefault="00C150E9" w:rsidP="00C150E9">
      <w:pPr>
        <w:pStyle w:val="3BodyInteger"/>
        <w:numPr>
          <w:ilvl w:val="3"/>
          <w:numId w:val="15"/>
        </w:numPr>
      </w:pPr>
      <w:r>
        <w:t>whether the disadvantage is likely to occur; and</w:t>
      </w:r>
    </w:p>
    <w:p w14:paraId="7EDC5F39" w14:textId="77777777" w:rsidR="00C150E9" w:rsidRDefault="00C150E9" w:rsidP="00C150E9">
      <w:pPr>
        <w:pStyle w:val="3BodyInteger"/>
        <w:numPr>
          <w:ilvl w:val="3"/>
          <w:numId w:val="15"/>
        </w:numPr>
      </w:pPr>
      <w:r>
        <w:t>the disadvantage is unreasonable.</w:t>
      </w:r>
    </w:p>
    <w:p w14:paraId="673E0930" w14:textId="62992D02" w:rsidR="00C150E9" w:rsidRDefault="00C150E9" w:rsidP="00C150E9">
      <w:pPr>
        <w:pStyle w:val="3BodyInteger"/>
        <w:numPr>
          <w:ilvl w:val="2"/>
          <w:numId w:val="15"/>
        </w:numPr>
      </w:pPr>
      <w:r>
        <w:t xml:space="preserve">If the exemption is made out, consider whether to exercise the discretion in </w:t>
      </w:r>
      <w:hyperlink r:id="rId31" w:history="1">
        <w:r w:rsidRPr="00973711">
          <w:rPr>
            <w:rStyle w:val="Hyperlink"/>
          </w:rPr>
          <w:t>section 16(2)</w:t>
        </w:r>
      </w:hyperlink>
      <w:r>
        <w:t xml:space="preserve"> to provide access to the information or document despite the exemption applying.</w:t>
      </w:r>
    </w:p>
    <w:p w14:paraId="51F35D77" w14:textId="77777777" w:rsidR="00C150E9" w:rsidRDefault="00C150E9" w:rsidP="00C150E9">
      <w:pPr>
        <w:pStyle w:val="3SubheadingLevel3"/>
      </w:pPr>
      <w:r>
        <w:t>What is a trade secret?</w:t>
      </w:r>
    </w:p>
    <w:p w14:paraId="00556EB5" w14:textId="77777777" w:rsidR="00C150E9" w:rsidRDefault="00C150E9" w:rsidP="00C150E9">
      <w:pPr>
        <w:pStyle w:val="3BodyInteger"/>
      </w:pPr>
      <w:r w:rsidRPr="00E361F1">
        <w:t>A ‘trade secret’ is not defined</w:t>
      </w:r>
      <w:r>
        <w:t xml:space="preserve"> in the Act</w:t>
      </w:r>
      <w:r w:rsidRPr="00E361F1">
        <w:t xml:space="preserve">, however it is generally </w:t>
      </w:r>
      <w:r>
        <w:t xml:space="preserve">considered to be </w:t>
      </w:r>
      <w:r w:rsidRPr="00E361F1">
        <w:t xml:space="preserve">proprietary knowledge of the </w:t>
      </w:r>
      <w:r>
        <w:t>agency</w:t>
      </w:r>
      <w:r w:rsidRPr="00E361F1">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503988FE" w14:textId="77777777" w:rsidTr="00F12D53">
        <w:trPr>
          <w:trHeight w:val="402"/>
        </w:trPr>
        <w:tc>
          <w:tcPr>
            <w:tcW w:w="8931" w:type="dxa"/>
            <w:shd w:val="clear" w:color="auto" w:fill="FFFEC6"/>
          </w:tcPr>
          <w:p w14:paraId="6884CC60" w14:textId="77777777" w:rsidR="00C150E9" w:rsidRDefault="00C150E9" w:rsidP="00F12D53">
            <w:pPr>
              <w:pStyle w:val="Body"/>
              <w:rPr>
                <w:b/>
                <w:bCs/>
              </w:rPr>
            </w:pPr>
            <w:bookmarkStart w:id="18" w:name="_Hlk144821453"/>
            <w:r w:rsidRPr="00C53746">
              <w:rPr>
                <w:b/>
                <w:bCs/>
              </w:rPr>
              <w:t>Example</w:t>
            </w:r>
            <w:r>
              <w:rPr>
                <w:b/>
                <w:bCs/>
              </w:rPr>
              <w:t>s</w:t>
            </w:r>
          </w:p>
          <w:p w14:paraId="49A168AD" w14:textId="77777777" w:rsidR="00C150E9" w:rsidRPr="00C503B1" w:rsidRDefault="00C150E9" w:rsidP="00F12D53">
            <w:pPr>
              <w:pStyle w:val="Body"/>
              <w:rPr>
                <w:b/>
                <w:bCs/>
              </w:rPr>
            </w:pPr>
            <w:r>
              <w:t>S</w:t>
            </w:r>
            <w:r w:rsidRPr="00E361F1">
              <w:t>ecret formulas, processes, or methods used in production of goods or provision of services</w:t>
            </w:r>
            <w:r>
              <w:t>.</w:t>
            </w:r>
          </w:p>
        </w:tc>
      </w:tr>
    </w:tbl>
    <w:bookmarkEnd w:id="18"/>
    <w:p w14:paraId="4A495170" w14:textId="77777777" w:rsidR="00C150E9" w:rsidRPr="00E361F1" w:rsidRDefault="00C150E9" w:rsidP="00C150E9">
      <w:pPr>
        <w:pStyle w:val="3BodyInteger"/>
      </w:pPr>
      <w:r w:rsidRPr="00E361F1">
        <w:t>There are a number of indicators to information constituting a trade secret.</w:t>
      </w:r>
      <w:r w:rsidRPr="00E361F1">
        <w:rPr>
          <w:vertAlign w:val="superscript"/>
        </w:rPr>
        <w:footnoteReference w:id="45"/>
      </w:r>
      <w:r w:rsidRPr="00E361F1">
        <w:t xml:space="preserve"> These include:</w:t>
      </w:r>
    </w:p>
    <w:p w14:paraId="79C6155E" w14:textId="77777777" w:rsidR="00C150E9" w:rsidRPr="00E361F1" w:rsidRDefault="00C150E9" w:rsidP="00C150E9">
      <w:pPr>
        <w:pStyle w:val="Body"/>
        <w:numPr>
          <w:ilvl w:val="0"/>
          <w:numId w:val="87"/>
        </w:numPr>
        <w:ind w:left="993"/>
      </w:pPr>
      <w:r w:rsidRPr="00E361F1">
        <w:t xml:space="preserve">whether the information is of a technical character; </w:t>
      </w:r>
    </w:p>
    <w:p w14:paraId="3F2EB5A1" w14:textId="77777777" w:rsidR="00C150E9" w:rsidRPr="00E361F1" w:rsidRDefault="00C150E9" w:rsidP="00C150E9">
      <w:pPr>
        <w:pStyle w:val="Body"/>
        <w:numPr>
          <w:ilvl w:val="0"/>
          <w:numId w:val="87"/>
        </w:numPr>
        <w:ind w:left="993"/>
      </w:pPr>
      <w:r w:rsidRPr="00E361F1">
        <w:t xml:space="preserve">the extent to which the information is known outside of the </w:t>
      </w:r>
      <w:r>
        <w:t>agency</w:t>
      </w:r>
      <w:r w:rsidRPr="00E361F1">
        <w:t xml:space="preserve">; </w:t>
      </w:r>
    </w:p>
    <w:p w14:paraId="7DFAAC57" w14:textId="77777777" w:rsidR="00C150E9" w:rsidRPr="00E361F1" w:rsidRDefault="00C150E9" w:rsidP="00C150E9">
      <w:pPr>
        <w:pStyle w:val="Body"/>
        <w:numPr>
          <w:ilvl w:val="0"/>
          <w:numId w:val="87"/>
        </w:numPr>
        <w:ind w:left="993"/>
      </w:pPr>
      <w:r w:rsidRPr="00E361F1">
        <w:t xml:space="preserve">measures taken by the </w:t>
      </w:r>
      <w:r>
        <w:t>agency</w:t>
      </w:r>
      <w:r w:rsidRPr="00E361F1">
        <w:t xml:space="preserve"> to guard the secrecy of the information; </w:t>
      </w:r>
    </w:p>
    <w:p w14:paraId="14B2710E" w14:textId="77777777" w:rsidR="00C150E9" w:rsidRPr="00E361F1" w:rsidRDefault="00C150E9" w:rsidP="00C150E9">
      <w:pPr>
        <w:pStyle w:val="Body"/>
        <w:numPr>
          <w:ilvl w:val="0"/>
          <w:numId w:val="87"/>
        </w:numPr>
        <w:ind w:left="993"/>
      </w:pPr>
      <w:r w:rsidRPr="00E361F1">
        <w:t xml:space="preserve">the value of the information to the </w:t>
      </w:r>
      <w:r>
        <w:t>agency</w:t>
      </w:r>
      <w:r w:rsidRPr="00E361F1">
        <w:t xml:space="preserve"> and </w:t>
      </w:r>
      <w:r>
        <w:t xml:space="preserve">any </w:t>
      </w:r>
      <w:r w:rsidRPr="00E361F1">
        <w:t xml:space="preserve">competitors; </w:t>
      </w:r>
    </w:p>
    <w:p w14:paraId="1CA7EBB2" w14:textId="77777777" w:rsidR="00C150E9" w:rsidRPr="00E361F1" w:rsidRDefault="00C150E9" w:rsidP="00C150E9">
      <w:pPr>
        <w:pStyle w:val="Body"/>
        <w:numPr>
          <w:ilvl w:val="0"/>
          <w:numId w:val="87"/>
        </w:numPr>
        <w:ind w:left="993"/>
      </w:pPr>
      <w:r w:rsidRPr="00E361F1">
        <w:t xml:space="preserve">the effort and money spent by the </w:t>
      </w:r>
      <w:r>
        <w:t>agency</w:t>
      </w:r>
      <w:r w:rsidRPr="00E361F1">
        <w:t xml:space="preserve"> in developing the information; and</w:t>
      </w:r>
    </w:p>
    <w:p w14:paraId="7109DBAF" w14:textId="77777777" w:rsidR="00C150E9" w:rsidRPr="00E361F1" w:rsidRDefault="00C150E9" w:rsidP="00C150E9">
      <w:pPr>
        <w:pStyle w:val="Body"/>
        <w:numPr>
          <w:ilvl w:val="0"/>
          <w:numId w:val="87"/>
        </w:numPr>
        <w:ind w:left="993"/>
      </w:pPr>
      <w:r w:rsidRPr="00E361F1">
        <w:t xml:space="preserve">the ease or difficulty with which others might acquire or duplicate the secret. </w:t>
      </w:r>
    </w:p>
    <w:p w14:paraId="223DC87B" w14:textId="77777777" w:rsidR="00C150E9" w:rsidRDefault="00C150E9" w:rsidP="00C150E9">
      <w:pPr>
        <w:pStyle w:val="3BodyInteger"/>
      </w:pPr>
      <w:r w:rsidRPr="00E361F1">
        <w:t>Information is generally not considered to be a trade secret where the processes, procedures, or methods are well known or widespread (including in that industry), could be assumed, or are publicly available.</w:t>
      </w:r>
    </w:p>
    <w:p w14:paraId="3740CC8F" w14:textId="77777777" w:rsidR="00C150E9" w:rsidRPr="00E361F1" w:rsidRDefault="00C150E9" w:rsidP="00C150E9">
      <w:pPr>
        <w:pStyle w:val="3BodyInteger"/>
      </w:pPr>
      <w:r>
        <w:t>Timing is also a relevant consideration, as something which was originally secret may lose its secret character over time.</w:t>
      </w:r>
    </w:p>
    <w:p w14:paraId="4BF4546D" w14:textId="77777777" w:rsidR="00C150E9" w:rsidRDefault="00C150E9" w:rsidP="00C150E9">
      <w:pPr>
        <w:pStyle w:val="2HeadingLevel2"/>
      </w:pPr>
      <w:bookmarkStart w:id="19" w:name="_Toc150764351"/>
      <w:r>
        <w:t>Section 34(4)(a)(ii) exemption – business, commercial or financial information of an agency engaged in trade or commerce</w:t>
      </w:r>
      <w:bookmarkEnd w:id="19"/>
    </w:p>
    <w:p w14:paraId="7757C890" w14:textId="77777777" w:rsidR="00C150E9" w:rsidRPr="002E2F2B" w:rsidRDefault="00C150E9" w:rsidP="00C150E9">
      <w:pPr>
        <w:pStyle w:val="3BodyInteger"/>
      </w:pPr>
      <w:r w:rsidRPr="002E2F2B">
        <w:t>A document or information is exempt under section 34(4)(a)(ii) if three conditions are satisfied:</w:t>
      </w:r>
    </w:p>
    <w:p w14:paraId="7DB63CE3" w14:textId="77777777" w:rsidR="00C150E9" w:rsidRPr="002E2F2B" w:rsidRDefault="00C150E9" w:rsidP="00C150E9">
      <w:pPr>
        <w:pStyle w:val="Body"/>
        <w:widowControl w:val="0"/>
        <w:numPr>
          <w:ilvl w:val="0"/>
          <w:numId w:val="9"/>
        </w:numPr>
        <w:suppressAutoHyphens/>
        <w:autoSpaceDE w:val="0"/>
        <w:autoSpaceDN w:val="0"/>
        <w:adjustRightInd w:val="0"/>
        <w:spacing w:after="200"/>
        <w:ind w:left="993"/>
        <w:textAlignment w:val="center"/>
        <w:rPr>
          <w:shd w:val="clear" w:color="auto" w:fill="FFFFFF"/>
        </w:rPr>
      </w:pPr>
      <w:r w:rsidRPr="002E2F2B">
        <w:rPr>
          <w:shd w:val="clear" w:color="auto" w:fill="FFFFFF"/>
        </w:rPr>
        <w:t>the agency is engaged in trade or commerce;</w:t>
      </w:r>
      <w:r>
        <w:rPr>
          <w:b/>
          <w:bCs/>
          <w:shd w:val="clear" w:color="auto" w:fill="FFFFFF"/>
        </w:rPr>
        <w:t xml:space="preserve"> </w:t>
      </w:r>
      <w:r w:rsidRPr="0087655A">
        <w:rPr>
          <w:shd w:val="clear" w:color="auto" w:fill="FFFFFF"/>
        </w:rPr>
        <w:t>and</w:t>
      </w:r>
    </w:p>
    <w:p w14:paraId="534AC4FA" w14:textId="77777777" w:rsidR="00C150E9" w:rsidRPr="002E2F2B" w:rsidRDefault="00C150E9" w:rsidP="00C150E9">
      <w:pPr>
        <w:pStyle w:val="Body"/>
        <w:widowControl w:val="0"/>
        <w:numPr>
          <w:ilvl w:val="0"/>
          <w:numId w:val="9"/>
        </w:numPr>
        <w:suppressAutoHyphens/>
        <w:autoSpaceDE w:val="0"/>
        <w:autoSpaceDN w:val="0"/>
        <w:adjustRightInd w:val="0"/>
        <w:spacing w:after="200"/>
        <w:ind w:left="993"/>
        <w:textAlignment w:val="center"/>
        <w:rPr>
          <w:shd w:val="clear" w:color="auto" w:fill="FFFFFF"/>
        </w:rPr>
      </w:pPr>
      <w:r w:rsidRPr="002E2F2B">
        <w:rPr>
          <w:shd w:val="clear" w:color="auto" w:fill="FFFFFF"/>
        </w:rPr>
        <w:t xml:space="preserve">the document contains information of a business, commercial or financial nature; </w:t>
      </w:r>
      <w:r w:rsidRPr="0087655A">
        <w:rPr>
          <w:shd w:val="clear" w:color="auto" w:fill="FFFFFF"/>
        </w:rPr>
        <w:t>and</w:t>
      </w:r>
    </w:p>
    <w:p w14:paraId="7673960A" w14:textId="77777777" w:rsidR="00C150E9" w:rsidRPr="002E2F2B" w:rsidRDefault="00C150E9" w:rsidP="00C150E9">
      <w:pPr>
        <w:pStyle w:val="Body"/>
        <w:widowControl w:val="0"/>
        <w:numPr>
          <w:ilvl w:val="0"/>
          <w:numId w:val="9"/>
        </w:numPr>
        <w:suppressAutoHyphens/>
        <w:autoSpaceDE w:val="0"/>
        <w:autoSpaceDN w:val="0"/>
        <w:adjustRightInd w:val="0"/>
        <w:spacing w:after="200"/>
        <w:ind w:left="993"/>
        <w:textAlignment w:val="center"/>
        <w:rPr>
          <w:shd w:val="clear" w:color="auto" w:fill="FFFFFF"/>
        </w:rPr>
      </w:pPr>
      <w:r w:rsidRPr="002E2F2B">
        <w:rPr>
          <w:shd w:val="clear" w:color="auto" w:fill="FFFFFF"/>
        </w:rPr>
        <w:t>disclosure of the information would be likely to expose the agency unreasonably to disadvantage.</w:t>
      </w:r>
    </w:p>
    <w:p w14:paraId="4B4FFB10" w14:textId="77777777" w:rsidR="00C150E9" w:rsidRPr="009F565A" w:rsidRDefault="00C150E9" w:rsidP="00C150E9">
      <w:pPr>
        <w:pStyle w:val="3BodyInteger"/>
        <w:rPr>
          <w:shd w:val="clear" w:color="auto" w:fill="FFFFFF"/>
        </w:rPr>
      </w:pPr>
      <w:r>
        <w:t>The exemption in section 34(4)(a)(ii) is intended to apply where a public sector body conducts itself or part of its operations, in a manner similar to a commercial entity.</w:t>
      </w:r>
    </w:p>
    <w:p w14:paraId="565F7133" w14:textId="77777777" w:rsidR="00C150E9" w:rsidRDefault="00C150E9" w:rsidP="00C150E9">
      <w:pPr>
        <w:pStyle w:val="3BodyInteger"/>
        <w:rPr>
          <w:shd w:val="clear" w:color="auto" w:fill="FFFFFF"/>
        </w:rPr>
      </w:pPr>
      <w:r>
        <w:rPr>
          <w:shd w:val="clear" w:color="auto" w:fill="FFFFFF"/>
        </w:rPr>
        <w:t>Guidance about the first and second conditions is in this section of the Guidelines.</w:t>
      </w:r>
    </w:p>
    <w:p w14:paraId="268689F2" w14:textId="77777777" w:rsidR="00C150E9" w:rsidRDefault="00C150E9" w:rsidP="00C150E9">
      <w:pPr>
        <w:pStyle w:val="3BodyInteger"/>
        <w:rPr>
          <w:shd w:val="clear" w:color="auto" w:fill="FFFFFF"/>
        </w:rPr>
      </w:pPr>
      <w:r>
        <w:rPr>
          <w:shd w:val="clear" w:color="auto" w:fill="FFFFFF"/>
        </w:rPr>
        <w:t>For guidance about the third condition, see the heading below ‘section 34(4)(a)(</w:t>
      </w:r>
      <w:proofErr w:type="spellStart"/>
      <w:r>
        <w:rPr>
          <w:shd w:val="clear" w:color="auto" w:fill="FFFFFF"/>
        </w:rPr>
        <w:t>i</w:t>
      </w:r>
      <w:proofErr w:type="spellEnd"/>
      <w:r>
        <w:rPr>
          <w:shd w:val="clear" w:color="auto" w:fill="FFFFFF"/>
        </w:rPr>
        <w:t>) and (ii) – common element’.</w:t>
      </w:r>
    </w:p>
    <w:p w14:paraId="1266C948" w14:textId="77777777" w:rsidR="00C150E9" w:rsidRDefault="00C150E9" w:rsidP="00C150E9">
      <w:pPr>
        <w:pStyle w:val="3SubheadingLevel3"/>
        <w:rPr>
          <w:shd w:val="clear" w:color="auto" w:fill="FFFFFF"/>
        </w:rPr>
      </w:pPr>
      <w:r>
        <w:rPr>
          <w:shd w:val="clear" w:color="auto" w:fill="FFFFFF"/>
        </w:rPr>
        <w:t>Steps to applying the exemption</w:t>
      </w:r>
    </w:p>
    <w:p w14:paraId="0C4483C2" w14:textId="77777777" w:rsidR="00C150E9" w:rsidRPr="0087655A" w:rsidRDefault="00C150E9" w:rsidP="00C150E9">
      <w:pPr>
        <w:pStyle w:val="3BodyInteger"/>
        <w:rPr>
          <w:shd w:val="clear" w:color="auto" w:fill="FFFFFF"/>
        </w:rPr>
      </w:pPr>
      <w:r>
        <w:t>It is best practice for an agency or Minister seeking to apply the section 34(4)(a)(ii) exemption to:</w:t>
      </w:r>
    </w:p>
    <w:p w14:paraId="3B7F7096" w14:textId="77777777" w:rsidR="00C150E9" w:rsidRPr="0087655A" w:rsidRDefault="00C150E9" w:rsidP="00C150E9">
      <w:pPr>
        <w:pStyle w:val="3BodyInteger"/>
        <w:numPr>
          <w:ilvl w:val="2"/>
          <w:numId w:val="15"/>
        </w:numPr>
        <w:rPr>
          <w:shd w:val="clear" w:color="auto" w:fill="FFFFFF"/>
        </w:rPr>
      </w:pPr>
      <w:r>
        <w:t>Specifically identify the information considered to be business, commercial or financial information.</w:t>
      </w:r>
    </w:p>
    <w:p w14:paraId="230EEC6E" w14:textId="77777777" w:rsidR="00C150E9" w:rsidRPr="0087655A" w:rsidRDefault="00C150E9" w:rsidP="00C150E9">
      <w:pPr>
        <w:pStyle w:val="3BodyInteger"/>
        <w:numPr>
          <w:ilvl w:val="2"/>
          <w:numId w:val="15"/>
        </w:numPr>
        <w:rPr>
          <w:shd w:val="clear" w:color="auto" w:fill="FFFFFF"/>
        </w:rPr>
      </w:pPr>
      <w:r>
        <w:t>Establish that the agency is engaged in trade or commerce in relation to the information. Note that ‘governmental’ activities (delivering statutory services or functions) are often not trade or commerce.</w:t>
      </w:r>
    </w:p>
    <w:p w14:paraId="0E910BCF" w14:textId="77777777" w:rsidR="00C150E9" w:rsidRPr="0087655A" w:rsidRDefault="00C150E9" w:rsidP="00C150E9">
      <w:pPr>
        <w:pStyle w:val="3BodyInteger"/>
        <w:numPr>
          <w:ilvl w:val="2"/>
          <w:numId w:val="15"/>
        </w:numPr>
        <w:rPr>
          <w:shd w:val="clear" w:color="auto" w:fill="FFFFFF"/>
        </w:rPr>
      </w:pPr>
      <w:r>
        <w:t>Determine whether the information relates to matters of a business, commercial, or financial nature.</w:t>
      </w:r>
    </w:p>
    <w:p w14:paraId="6D7EC17D" w14:textId="77777777" w:rsidR="00C150E9" w:rsidRPr="0087655A" w:rsidRDefault="00C150E9" w:rsidP="00C150E9">
      <w:pPr>
        <w:pStyle w:val="3BodyInteger"/>
        <w:numPr>
          <w:ilvl w:val="2"/>
          <w:numId w:val="15"/>
        </w:numPr>
        <w:rPr>
          <w:shd w:val="clear" w:color="auto" w:fill="FFFFFF"/>
        </w:rPr>
      </w:pPr>
      <w:r>
        <w:t>Critically and objectively consider whether disclosure would be likely to expose the agency unreasonably to disadvantage by identifying and establishing three elements:</w:t>
      </w:r>
    </w:p>
    <w:p w14:paraId="32D1C894" w14:textId="77777777" w:rsidR="00C150E9" w:rsidRPr="0087655A" w:rsidRDefault="00C150E9" w:rsidP="00C150E9">
      <w:pPr>
        <w:pStyle w:val="3BodyInteger"/>
        <w:numPr>
          <w:ilvl w:val="3"/>
          <w:numId w:val="15"/>
        </w:numPr>
        <w:rPr>
          <w:shd w:val="clear" w:color="auto" w:fill="FFFFFF"/>
        </w:rPr>
      </w:pPr>
      <w:r>
        <w:t>what the disadvantage is;</w:t>
      </w:r>
    </w:p>
    <w:p w14:paraId="3508AC75" w14:textId="77777777" w:rsidR="00C150E9" w:rsidRPr="0087655A" w:rsidRDefault="00C150E9" w:rsidP="00C150E9">
      <w:pPr>
        <w:pStyle w:val="3BodyInteger"/>
        <w:numPr>
          <w:ilvl w:val="3"/>
          <w:numId w:val="15"/>
        </w:numPr>
        <w:rPr>
          <w:shd w:val="clear" w:color="auto" w:fill="FFFFFF"/>
        </w:rPr>
      </w:pPr>
      <w:r>
        <w:t>that the disadvantage is likely to occur; and</w:t>
      </w:r>
    </w:p>
    <w:p w14:paraId="28CCE46A" w14:textId="77777777" w:rsidR="00C150E9" w:rsidRPr="0087655A" w:rsidRDefault="00C150E9" w:rsidP="00C150E9">
      <w:pPr>
        <w:pStyle w:val="3BodyInteger"/>
        <w:numPr>
          <w:ilvl w:val="3"/>
          <w:numId w:val="15"/>
        </w:numPr>
        <w:rPr>
          <w:shd w:val="clear" w:color="auto" w:fill="FFFFFF"/>
        </w:rPr>
      </w:pPr>
      <w:r>
        <w:t>that the disadvantage is unreasonable.</w:t>
      </w:r>
    </w:p>
    <w:p w14:paraId="57637D2A" w14:textId="77777777" w:rsidR="00C150E9" w:rsidRDefault="00C150E9" w:rsidP="00C150E9">
      <w:pPr>
        <w:pStyle w:val="3BodyInteger"/>
        <w:numPr>
          <w:ilvl w:val="2"/>
          <w:numId w:val="15"/>
        </w:numPr>
        <w:rPr>
          <w:shd w:val="clear" w:color="auto" w:fill="FFFFFF"/>
        </w:rPr>
      </w:pPr>
      <w:r>
        <w:t>If the exemption is made out, consider whether to exercise the discretion in section 16(2) to provide access to the information or document despite the exemption applying.</w:t>
      </w:r>
    </w:p>
    <w:p w14:paraId="1EC5991D" w14:textId="77777777" w:rsidR="00C150E9" w:rsidRPr="002E2F2B" w:rsidRDefault="00C150E9" w:rsidP="00C150E9">
      <w:pPr>
        <w:pStyle w:val="3SubheadingLevel3"/>
      </w:pPr>
      <w:bookmarkStart w:id="20" w:name="_Toc513544959"/>
      <w:bookmarkStart w:id="21" w:name="_Toc9187146"/>
      <w:r w:rsidRPr="002E2F2B">
        <w:t>An agency engaged in ‘trade or commerce</w:t>
      </w:r>
      <w:bookmarkEnd w:id="20"/>
      <w:bookmarkEnd w:id="21"/>
      <w:r w:rsidRPr="002E2F2B">
        <w:t>’</w:t>
      </w:r>
    </w:p>
    <w:p w14:paraId="1D8FB3BF" w14:textId="77777777" w:rsidR="00C150E9" w:rsidRDefault="00C150E9" w:rsidP="00C150E9">
      <w:pPr>
        <w:pStyle w:val="3BodyInteger"/>
        <w:rPr>
          <w:shd w:val="clear" w:color="auto" w:fill="FFFFFF"/>
        </w:rPr>
      </w:pPr>
      <w:r>
        <w:rPr>
          <w:shd w:val="clear" w:color="auto" w:fill="FFFFFF"/>
        </w:rPr>
        <w:t>The words trade or commerce are expressions of fact and terms of common knowledge.</w:t>
      </w:r>
      <w:r>
        <w:rPr>
          <w:rStyle w:val="FootnoteReference"/>
          <w:shd w:val="clear" w:color="auto" w:fill="FFFFFF"/>
        </w:rPr>
        <w:footnoteReference w:id="46"/>
      </w:r>
    </w:p>
    <w:p w14:paraId="2CEF616F" w14:textId="77777777" w:rsidR="00C150E9" w:rsidRDefault="00C150E9" w:rsidP="00C150E9">
      <w:pPr>
        <w:pStyle w:val="3BodyInteger"/>
        <w:rPr>
          <w:shd w:val="clear" w:color="auto" w:fill="FFFFFF"/>
        </w:rPr>
      </w:pPr>
      <w:r w:rsidRPr="002E2F2B">
        <w:rPr>
          <w:shd w:val="clear" w:color="auto" w:fill="FFFFFF"/>
        </w:rPr>
        <w:t xml:space="preserve">Whether an agency </w:t>
      </w:r>
      <w:r w:rsidRPr="002E2F2B">
        <w:t>is</w:t>
      </w:r>
      <w:r w:rsidRPr="002E2F2B">
        <w:rPr>
          <w:shd w:val="clear" w:color="auto" w:fill="FFFFFF"/>
        </w:rPr>
        <w:t xml:space="preserve"> engaged in trade or commerce always depends on the specific facts and circumstances, but requires clear evidence that the agency is doing more than delivering government services or functions. Trade or commerce activities must ‘of their nature, bear a trading or commercial character’.</w:t>
      </w:r>
      <w:r w:rsidRPr="002E2F2B">
        <w:rPr>
          <w:shd w:val="clear" w:color="auto" w:fill="FFFFFF"/>
          <w:vertAlign w:val="superscript"/>
        </w:rPr>
        <w:footnoteReference w:id="47"/>
      </w:r>
      <w:r w:rsidRPr="002E2F2B">
        <w:rPr>
          <w:shd w:val="clear" w:color="auto" w:fill="FFFFFF"/>
        </w:rPr>
        <w:t xml:space="preserve"> </w:t>
      </w:r>
    </w:p>
    <w:p w14:paraId="767997E4" w14:textId="77777777" w:rsidR="00C150E9" w:rsidRDefault="00C150E9" w:rsidP="00C150E9">
      <w:pPr>
        <w:pStyle w:val="3BodyInteger"/>
        <w:rPr>
          <w:shd w:val="clear" w:color="auto" w:fill="FFFFFF"/>
        </w:rPr>
      </w:pPr>
      <w:r>
        <w:rPr>
          <w:shd w:val="clear" w:color="auto" w:fill="FFFFFF"/>
        </w:rPr>
        <w:t>The issue of whether an agency is engaged in trade or commerce is to be determined as at the date of the request.</w:t>
      </w:r>
      <w:r>
        <w:rPr>
          <w:rStyle w:val="FootnoteReference"/>
          <w:shd w:val="clear" w:color="auto" w:fill="FFFFFF"/>
        </w:rPr>
        <w:footnoteReference w:id="48"/>
      </w:r>
    </w:p>
    <w:p w14:paraId="31C50B5A" w14:textId="77777777" w:rsidR="00C150E9" w:rsidRDefault="00C150E9" w:rsidP="00C150E9">
      <w:pPr>
        <w:pStyle w:val="3BodyInteger"/>
        <w:rPr>
          <w:shd w:val="clear" w:color="auto" w:fill="FFFFFF"/>
        </w:rPr>
      </w:pPr>
      <w:r>
        <w:rPr>
          <w:shd w:val="clear" w:color="auto" w:fill="FFFFFF"/>
        </w:rPr>
        <w:t>An agency can be engaged in trade or commerce even if the agency’s activities are predominantly governmental.</w:t>
      </w:r>
      <w:r>
        <w:rPr>
          <w:rStyle w:val="FootnoteReference"/>
          <w:shd w:val="clear" w:color="auto" w:fill="FFFFFF"/>
        </w:rPr>
        <w:footnoteReference w:id="49"/>
      </w:r>
    </w:p>
    <w:p w14:paraId="6F514965" w14:textId="77777777" w:rsidR="00C150E9" w:rsidRDefault="00C150E9" w:rsidP="00C150E9">
      <w:pPr>
        <w:pStyle w:val="3BodyInteger"/>
        <w:rPr>
          <w:shd w:val="clear" w:color="auto" w:fill="FFFFFF"/>
        </w:rPr>
      </w:pPr>
      <w:r>
        <w:rPr>
          <w:shd w:val="clear" w:color="auto" w:fill="FFFFFF"/>
        </w:rPr>
        <w:t>The information of a business, commercial or financial nature that is in the requested documents must be connected to the trade or commerce activity the agency is engaged in, and not government services or functions.</w:t>
      </w:r>
    </w:p>
    <w:p w14:paraId="1C798F65" w14:textId="77777777" w:rsidR="00C150E9" w:rsidRPr="002E2F2B" w:rsidRDefault="00C150E9" w:rsidP="00C150E9">
      <w:pPr>
        <w:pStyle w:val="3BodyInteger"/>
        <w:rPr>
          <w:shd w:val="clear" w:color="auto" w:fill="FFFFFF"/>
        </w:rPr>
      </w:pPr>
      <w:r w:rsidRPr="002E2F2B">
        <w:rPr>
          <w:shd w:val="clear" w:color="auto" w:fill="FFFFFF"/>
        </w:rPr>
        <w:t xml:space="preserve">Just because an agency is </w:t>
      </w:r>
      <w:r w:rsidRPr="002E2F2B">
        <w:t>engaging</w:t>
      </w:r>
      <w:r w:rsidRPr="002E2F2B">
        <w:rPr>
          <w:shd w:val="clear" w:color="auto" w:fill="FFFFFF"/>
        </w:rPr>
        <w:t xml:space="preserve"> in commercial or financial transactions, does not necessarily mean it is engaging in trade or commerce. </w:t>
      </w:r>
      <w:r>
        <w:rPr>
          <w:shd w:val="clear" w:color="auto" w:fill="FFFFFF"/>
        </w:rPr>
        <w:t xml:space="preserve">In </w:t>
      </w:r>
      <w:hyperlink r:id="rId32" w:history="1">
        <w:r w:rsidRPr="00855E0D">
          <w:rPr>
            <w:rStyle w:val="Hyperlink"/>
            <w:i/>
            <w:iCs/>
            <w:shd w:val="clear" w:color="auto" w:fill="FFFFFF"/>
          </w:rPr>
          <w:t>Pallas v Road Corporation</w:t>
        </w:r>
        <w:r w:rsidRPr="00650830">
          <w:rPr>
            <w:rStyle w:val="Hyperlink"/>
            <w:shd w:val="clear" w:color="auto" w:fill="FFFFFF"/>
          </w:rPr>
          <w:t xml:space="preserve"> [2013] VCAT 1967</w:t>
        </w:r>
      </w:hyperlink>
      <w:r>
        <w:rPr>
          <w:shd w:val="clear" w:color="auto" w:fill="FFFFFF"/>
        </w:rPr>
        <w:t>, the VCAT found that a</w:t>
      </w:r>
      <w:r w:rsidRPr="002E2F2B">
        <w:rPr>
          <w:shd w:val="clear" w:color="auto" w:fill="FFFFFF"/>
        </w:rPr>
        <w:t xml:space="preserve">n agency that enters into </w:t>
      </w:r>
      <w:r w:rsidRPr="002E2F2B">
        <w:t>contracts</w:t>
      </w:r>
      <w:r w:rsidRPr="002E2F2B">
        <w:rPr>
          <w:shd w:val="clear" w:color="auto" w:fill="FFFFFF"/>
        </w:rPr>
        <w:t xml:space="preserve"> to deliver statutory services or functions, is not doing so for the purposes of trade or commerce, they are doing so to fulfil their statutory functions and deliver governmental services.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56FCF8C4" w14:textId="77777777" w:rsidTr="00B14268">
        <w:trPr>
          <w:trHeight w:val="402"/>
        </w:trPr>
        <w:tc>
          <w:tcPr>
            <w:tcW w:w="8931" w:type="dxa"/>
            <w:shd w:val="clear" w:color="auto" w:fill="FFFEC6"/>
          </w:tcPr>
          <w:p w14:paraId="7E7ED826" w14:textId="77777777" w:rsidR="00C150E9" w:rsidRPr="00B14268" w:rsidRDefault="00C150E9" w:rsidP="00F12D53">
            <w:pPr>
              <w:pStyle w:val="Body"/>
              <w:rPr>
                <w:b/>
                <w:bCs/>
              </w:rPr>
            </w:pPr>
            <w:r w:rsidRPr="00B14268">
              <w:rPr>
                <w:b/>
                <w:bCs/>
              </w:rPr>
              <w:t>Example</w:t>
            </w:r>
          </w:p>
          <w:p w14:paraId="63372E6D" w14:textId="77777777" w:rsidR="00C150E9" w:rsidRPr="00B14268" w:rsidRDefault="00C150E9" w:rsidP="00B14268">
            <w:pPr>
              <w:pStyle w:val="Body"/>
            </w:pPr>
            <w:r w:rsidRPr="00B14268">
              <w:t>In Pallas, VCAT found that building public roads, including appointing contractors in competitive tenders, is not engaging in ‘trade or commerce’ - it is delivering a government service.</w:t>
            </w:r>
            <w:r w:rsidRPr="00B14268">
              <w:rPr>
                <w:rStyle w:val="FootnoteReference"/>
              </w:rPr>
              <w:footnoteReference w:id="50"/>
            </w:r>
          </w:p>
        </w:tc>
      </w:tr>
    </w:tbl>
    <w:p w14:paraId="41E069FE" w14:textId="77777777" w:rsidR="00C150E9" w:rsidRDefault="00C150E9" w:rsidP="00C150E9">
      <w:pPr>
        <w:pStyle w:val="3BodyInteger"/>
        <w:rPr>
          <w:shd w:val="clear" w:color="auto" w:fill="FFFFFF"/>
        </w:rPr>
      </w:pPr>
      <w:r w:rsidRPr="0007005C">
        <w:rPr>
          <w:shd w:val="clear" w:color="auto" w:fill="FFFFFF"/>
        </w:rPr>
        <w:t xml:space="preserve">Following </w:t>
      </w:r>
      <w:r w:rsidRPr="0007005C">
        <w:rPr>
          <w:i/>
          <w:iCs/>
          <w:shd w:val="clear" w:color="auto" w:fill="FFFFFF"/>
        </w:rPr>
        <w:t>Pallas</w:t>
      </w:r>
      <w:r w:rsidRPr="0007005C">
        <w:rPr>
          <w:shd w:val="clear" w:color="auto" w:fill="FFFFFF"/>
        </w:rPr>
        <w:t>, tendering out projects, entering commercial contracts, managing budgets, or buying goods and services does not necessarily constitute engaging in trade or commerce for the purpose of this exemption.</w:t>
      </w:r>
      <w:r>
        <w:rPr>
          <w:rStyle w:val="FootnoteReference"/>
          <w:shd w:val="clear" w:color="auto" w:fill="FFFFFF"/>
        </w:rPr>
        <w:footnoteReference w:id="51"/>
      </w:r>
      <w:r w:rsidRPr="0007005C">
        <w:rPr>
          <w:shd w:val="clear" w:color="auto" w:fill="FFFFFF"/>
        </w:rPr>
        <w:t xml:space="preserve"> </w:t>
      </w:r>
    </w:p>
    <w:p w14:paraId="594F199A" w14:textId="77777777" w:rsidR="00C150E9" w:rsidRDefault="00C150E9" w:rsidP="00C150E9">
      <w:pPr>
        <w:pStyle w:val="3BodyInteger"/>
        <w:rPr>
          <w:shd w:val="clear" w:color="auto" w:fill="FFFFFF"/>
        </w:rPr>
      </w:pPr>
      <w:r w:rsidRPr="008A3269">
        <w:rPr>
          <w:shd w:val="clear" w:color="auto" w:fill="FFFFFF"/>
        </w:rPr>
        <w:t>Th</w:t>
      </w:r>
      <w:r>
        <w:rPr>
          <w:shd w:val="clear" w:color="auto" w:fill="FFFFFF"/>
        </w:rPr>
        <w:t>e</w:t>
      </w:r>
      <w:r w:rsidRPr="008A3269">
        <w:rPr>
          <w:shd w:val="clear" w:color="auto" w:fill="FFFFFF"/>
        </w:rPr>
        <w:t xml:space="preserve"> approach </w:t>
      </w:r>
      <w:r>
        <w:rPr>
          <w:shd w:val="clear" w:color="auto" w:fill="FFFFFF"/>
        </w:rPr>
        <w:t xml:space="preserve">in </w:t>
      </w:r>
      <w:r w:rsidRPr="00A2384A">
        <w:rPr>
          <w:i/>
          <w:iCs/>
          <w:shd w:val="clear" w:color="auto" w:fill="FFFFFF"/>
        </w:rPr>
        <w:t>Pallas</w:t>
      </w:r>
      <w:r>
        <w:rPr>
          <w:shd w:val="clear" w:color="auto" w:fill="FFFFFF"/>
        </w:rPr>
        <w:t xml:space="preserve"> </w:t>
      </w:r>
      <w:r w:rsidRPr="008A3269">
        <w:rPr>
          <w:shd w:val="clear" w:color="auto" w:fill="FFFFFF"/>
        </w:rPr>
        <w:t xml:space="preserve">has not been universally adopted by VCAT. Other decisions consider that when carrying out governmental functions for which the agency in question was created for, the agency can still be engaging in trade or commerce </w:t>
      </w:r>
      <w:r>
        <w:rPr>
          <w:shd w:val="clear" w:color="auto" w:fill="FFFFFF"/>
        </w:rPr>
        <w:t>when</w:t>
      </w:r>
      <w:r w:rsidRPr="008A3269">
        <w:rPr>
          <w:shd w:val="clear" w:color="auto" w:fill="FFFFFF"/>
        </w:rPr>
        <w:t xml:space="preserve"> engaging contracted service providers</w:t>
      </w:r>
      <w:r>
        <w:rPr>
          <w:shd w:val="clear" w:color="auto" w:fill="FFFFFF"/>
        </w:rPr>
        <w:t>.</w:t>
      </w:r>
      <w:r>
        <w:rPr>
          <w:rStyle w:val="FootnoteReference"/>
          <w:shd w:val="clear" w:color="auto" w:fill="FFFFFF"/>
        </w:rPr>
        <w:footnoteReference w:id="52"/>
      </w:r>
    </w:p>
    <w:p w14:paraId="4A960B1A" w14:textId="77777777" w:rsidR="00C150E9" w:rsidRPr="007F5F75" w:rsidRDefault="00C150E9" w:rsidP="00C150E9">
      <w:pPr>
        <w:pStyle w:val="4Sub-subheadingLevel4"/>
        <w:rPr>
          <w:shd w:val="clear" w:color="auto" w:fill="FFFFFF"/>
        </w:rPr>
      </w:pPr>
      <w:r>
        <w:rPr>
          <w:shd w:val="clear" w:color="auto" w:fill="FFFFFF"/>
        </w:rPr>
        <w:t>Case examples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413C1D" w:rsidRPr="00392453" w14:paraId="43F43CAC" w14:textId="77777777" w:rsidTr="00413C1D">
        <w:trPr>
          <w:trHeight w:val="402"/>
        </w:trPr>
        <w:tc>
          <w:tcPr>
            <w:tcW w:w="9498" w:type="dxa"/>
            <w:shd w:val="clear" w:color="auto" w:fill="FFFEC6"/>
          </w:tcPr>
          <w:p w14:paraId="09B2F460" w14:textId="24E4A753" w:rsidR="00413C1D" w:rsidRPr="00B14268" w:rsidRDefault="00413C1D" w:rsidP="00F12D53">
            <w:pPr>
              <w:pStyle w:val="Body"/>
              <w:rPr>
                <w:b/>
                <w:bCs/>
              </w:rPr>
            </w:pPr>
            <w:r w:rsidRPr="00B14268">
              <w:rPr>
                <w:b/>
                <w:bCs/>
              </w:rPr>
              <w:t>Example</w:t>
            </w:r>
            <w:r>
              <w:rPr>
                <w:b/>
                <w:bCs/>
              </w:rPr>
              <w:t>s</w:t>
            </w:r>
          </w:p>
          <w:p w14:paraId="47337B48" w14:textId="028FD46B" w:rsidR="00413C1D" w:rsidRPr="00BD0F1B" w:rsidRDefault="00413C1D" w:rsidP="00F12D53">
            <w:pPr>
              <w:pStyle w:val="Body"/>
              <w:rPr>
                <w:b/>
                <w:bCs/>
                <w:shd w:val="clear" w:color="auto" w:fill="FFFFFF"/>
              </w:rPr>
            </w:pPr>
            <w:r w:rsidRPr="00413C1D">
              <w:t xml:space="preserve">In </w:t>
            </w:r>
            <w:hyperlink r:id="rId33" w:history="1">
              <w:r w:rsidRPr="00413C1D">
                <w:rPr>
                  <w:rStyle w:val="Hyperlink"/>
                  <w:i/>
                  <w:iCs/>
                </w:rPr>
                <w:t xml:space="preserve">Davis v Department of Transport </w:t>
              </w:r>
              <w:r w:rsidRPr="00413C1D">
                <w:rPr>
                  <w:rStyle w:val="Hyperlink"/>
                </w:rPr>
                <w:t>[2022] VCAT 721</w:t>
              </w:r>
            </w:hyperlink>
            <w:r w:rsidRPr="00413C1D">
              <w:t xml:space="preserve">, the </w:t>
            </w:r>
            <w:r>
              <w:t xml:space="preserve">Applicant requested access to a master plan and business case for future government consideration of a long-term upgrade to a train station owned by the State Government, including precinct development and commercial opportunities. The VCAT accepted that </w:t>
            </w:r>
            <w:r w:rsidRPr="00D926D0">
              <w:t>the Department was engaged in trade or commerce with respect to the project on behalf of the State, and it would be officers of the Department who would be engaged in any future negotiations</w:t>
            </w:r>
            <w:r>
              <w:t xml:space="preserve"> with the private sector about development options for the site</w:t>
            </w:r>
            <w:r w:rsidRPr="00D926D0">
              <w:t>.</w:t>
            </w:r>
            <w:r w:rsidRPr="00D926D0">
              <w:rPr>
                <w:vertAlign w:val="superscript"/>
              </w:rPr>
              <w:footnoteReference w:id="53"/>
            </w:r>
            <w:r>
              <w:t xml:space="preserve"> In this situation, the agency is engaged in trade or commerce as the landlord or potential vendor of real estate.</w:t>
            </w:r>
            <w:r>
              <w:rPr>
                <w:rStyle w:val="FootnoteReference"/>
              </w:rPr>
              <w:footnoteReference w:id="54"/>
            </w:r>
          </w:p>
          <w:p w14:paraId="1D0D59AB" w14:textId="77777777" w:rsidR="00BD0F1B" w:rsidRPr="00BD0F1B" w:rsidRDefault="00BD0F1B" w:rsidP="00BD0F1B">
            <w:pPr>
              <w:pStyle w:val="Body"/>
            </w:pPr>
            <w:r w:rsidRPr="00BD0F1B">
              <w:t xml:space="preserve">In </w:t>
            </w:r>
            <w:hyperlink r:id="rId34" w:history="1">
              <w:r w:rsidRPr="00BD0F1B">
                <w:rPr>
                  <w:rStyle w:val="Hyperlink"/>
                  <w:i/>
                  <w:iCs/>
                </w:rPr>
                <w:t>Save Albert Park Inc v Australian Grand Prix Corporation</w:t>
              </w:r>
              <w:r w:rsidRPr="00BD0F1B">
                <w:rPr>
                  <w:rStyle w:val="Hyperlink"/>
                </w:rPr>
                <w:t xml:space="preserve"> [2008] VCAT 168</w:t>
              </w:r>
            </w:hyperlink>
            <w:r w:rsidRPr="00BD0F1B">
              <w:t>, Vice President Judge Harbison held that the Australian Grand Prix Corporation was engaged in trade or commerce within the meaning of section 34(4)(a).</w:t>
            </w:r>
            <w:r w:rsidRPr="00BD0F1B">
              <w:rPr>
                <w:rStyle w:val="FootnoteReference"/>
                <w:vertAlign w:val="baseline"/>
              </w:rPr>
              <w:footnoteReference w:id="55"/>
            </w:r>
            <w:r w:rsidRPr="00BD0F1B">
              <w:t xml:space="preserve"> Her Honour rejected the applicant's argument that because the respondent was the sole body established to conduct the Grand Prix in Melbourne each year, it did not have competitors and did not operate in a competitive commercial environment. Her Honour stated at [32]:</w:t>
            </w:r>
          </w:p>
          <w:p w14:paraId="3155CF08" w14:textId="08DD2784" w:rsidR="00BD0F1B" w:rsidRPr="00BD0F1B" w:rsidRDefault="00BD0F1B" w:rsidP="00BD0F1B">
            <w:pPr>
              <w:pStyle w:val="Body"/>
              <w:ind w:left="720"/>
              <w:rPr>
                <w:sz w:val="20"/>
                <w:szCs w:val="20"/>
              </w:rPr>
            </w:pPr>
            <w:r w:rsidRPr="00BD0F1B">
              <w:rPr>
                <w:sz w:val="20"/>
                <w:szCs w:val="20"/>
              </w:rPr>
              <w:t>In my view it is apparent from the powers given to the Respondent, and from all of the documents in evidence, that the role of the Respondent is not simply to stage the Grand Prix – it is responsible also to try to achieve its financial and commercial success, through its efforts in promoting the event, and through the overall financial and commercial management of the event. In doing so, it must compete with alternative entertainment. This activity is properly to be characterised as being engaged in trade or commerce. I do not need to be positively satisfied that the Respondent competes with interstate events, or even with all other types of available entertainment. There is in my view ample evidence in the material to show that the Respondent is engaged in trade and commerce.</w:t>
            </w:r>
          </w:p>
        </w:tc>
      </w:tr>
    </w:tbl>
    <w:p w14:paraId="5548D5D4" w14:textId="77777777" w:rsidR="00C150E9" w:rsidRPr="002E0D81" w:rsidRDefault="00C150E9" w:rsidP="00C150E9">
      <w:pPr>
        <w:pStyle w:val="3SubheadingLevel3"/>
      </w:pPr>
      <w:r w:rsidRPr="002E0D81">
        <w:t>Information of a business, commercial or financial nature</w:t>
      </w:r>
    </w:p>
    <w:p w14:paraId="66400792" w14:textId="77777777" w:rsidR="00C150E9" w:rsidRDefault="00C150E9" w:rsidP="00C150E9">
      <w:pPr>
        <w:pStyle w:val="3BodyInteger"/>
      </w:pPr>
      <w:r>
        <w:t xml:space="preserve">The </w:t>
      </w:r>
      <w:r w:rsidRPr="002E0D81">
        <w:t xml:space="preserve">information </w:t>
      </w:r>
      <w:r>
        <w:t>must</w:t>
      </w:r>
      <w:r w:rsidRPr="002E0D81">
        <w:t xml:space="preserve"> have a business, commercial, or financial nature. ‘Business’, ‘commercial’ and ‘financial’ should each be given </w:t>
      </w:r>
      <w:r>
        <w:t>their</w:t>
      </w:r>
      <w:r w:rsidRPr="002E0D81">
        <w:t xml:space="preserve"> ordinary meaning.</w:t>
      </w:r>
      <w:r w:rsidRPr="002E0D81">
        <w:rPr>
          <w:vertAlign w:val="superscript"/>
        </w:rPr>
        <w:footnoteReference w:id="56"/>
      </w:r>
      <w:r w:rsidRPr="002E0D81">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1E15449E" w14:textId="77777777" w:rsidTr="00F12D53">
        <w:trPr>
          <w:trHeight w:val="402"/>
        </w:trPr>
        <w:tc>
          <w:tcPr>
            <w:tcW w:w="8931" w:type="dxa"/>
            <w:shd w:val="clear" w:color="auto" w:fill="FFFEC6"/>
          </w:tcPr>
          <w:p w14:paraId="416F58E9" w14:textId="77777777" w:rsidR="00C150E9" w:rsidRDefault="00C150E9" w:rsidP="00F12D53">
            <w:pPr>
              <w:pStyle w:val="Body"/>
              <w:rPr>
                <w:b/>
                <w:bCs/>
              </w:rPr>
            </w:pPr>
            <w:bookmarkStart w:id="22" w:name="_Hlk144897826"/>
            <w:r w:rsidRPr="00C53746">
              <w:rPr>
                <w:b/>
                <w:bCs/>
              </w:rPr>
              <w:t>Example</w:t>
            </w:r>
            <w:r>
              <w:rPr>
                <w:b/>
                <w:bCs/>
              </w:rPr>
              <w:t>s</w:t>
            </w:r>
          </w:p>
          <w:p w14:paraId="67B2B98F" w14:textId="77777777" w:rsidR="00C150E9" w:rsidRPr="002E0D81" w:rsidRDefault="00C150E9" w:rsidP="00C150E9">
            <w:pPr>
              <w:pStyle w:val="Body"/>
              <w:numPr>
                <w:ilvl w:val="0"/>
                <w:numId w:val="91"/>
              </w:numPr>
              <w:ind w:left="993" w:hanging="349"/>
            </w:pPr>
            <w:r w:rsidRPr="002E0D81">
              <w:t xml:space="preserve">business plans and strategies; </w:t>
            </w:r>
          </w:p>
          <w:p w14:paraId="4E8597C3" w14:textId="77777777" w:rsidR="00C150E9" w:rsidRPr="002E0D81" w:rsidRDefault="00C150E9" w:rsidP="00C150E9">
            <w:pPr>
              <w:pStyle w:val="Body"/>
              <w:numPr>
                <w:ilvl w:val="0"/>
                <w:numId w:val="91"/>
              </w:numPr>
              <w:ind w:left="993" w:hanging="349"/>
            </w:pPr>
            <w:r>
              <w:t xml:space="preserve">background </w:t>
            </w:r>
            <w:r w:rsidRPr="002E0D81">
              <w:t xml:space="preserve">planning </w:t>
            </w:r>
            <w:r>
              <w:t>and c</w:t>
            </w:r>
            <w:r w:rsidRPr="002E0D81">
              <w:t xml:space="preserve">ommercial information; </w:t>
            </w:r>
          </w:p>
          <w:p w14:paraId="761BF47F" w14:textId="77777777" w:rsidR="00C150E9" w:rsidRDefault="00C150E9" w:rsidP="00C150E9">
            <w:pPr>
              <w:pStyle w:val="Body"/>
              <w:numPr>
                <w:ilvl w:val="0"/>
                <w:numId w:val="91"/>
              </w:numPr>
              <w:ind w:left="993" w:hanging="349"/>
            </w:pPr>
            <w:r w:rsidRPr="002E0D81">
              <w:t xml:space="preserve">financial reports </w:t>
            </w:r>
            <w:r>
              <w:t>and</w:t>
            </w:r>
            <w:r w:rsidRPr="002E0D81">
              <w:t xml:space="preserve"> records</w:t>
            </w:r>
            <w:r>
              <w:t>;</w:t>
            </w:r>
          </w:p>
          <w:p w14:paraId="297F921E" w14:textId="77777777" w:rsidR="00C150E9" w:rsidRPr="00F36BF4" w:rsidRDefault="00C150E9" w:rsidP="00C150E9">
            <w:pPr>
              <w:pStyle w:val="Body"/>
              <w:numPr>
                <w:ilvl w:val="0"/>
                <w:numId w:val="91"/>
              </w:numPr>
              <w:ind w:left="993" w:hanging="349"/>
            </w:pPr>
            <w:r>
              <w:t>development options for property owned by the State Government.</w:t>
            </w:r>
            <w:r>
              <w:rPr>
                <w:rStyle w:val="FootnoteReference"/>
              </w:rPr>
              <w:footnoteReference w:id="57"/>
            </w:r>
          </w:p>
        </w:tc>
      </w:tr>
    </w:tbl>
    <w:bookmarkEnd w:id="22"/>
    <w:p w14:paraId="30F63252" w14:textId="77777777" w:rsidR="00C150E9" w:rsidRPr="00180CC6" w:rsidRDefault="00C150E9" w:rsidP="00C150E9">
      <w:pPr>
        <w:pStyle w:val="3BodyInteger"/>
        <w:rPr>
          <w:shd w:val="clear" w:color="auto" w:fill="FFFFFF"/>
        </w:rPr>
      </w:pPr>
      <w:r>
        <w:rPr>
          <w:shd w:val="clear" w:color="auto" w:fill="FFFFFF"/>
        </w:rPr>
        <w:t xml:space="preserve">In </w:t>
      </w:r>
      <w:r w:rsidRPr="00D13439">
        <w:rPr>
          <w:i/>
          <w:iCs/>
          <w:shd w:val="clear" w:color="auto" w:fill="FFFFFF"/>
        </w:rPr>
        <w:t>Stewart</w:t>
      </w:r>
      <w:r>
        <w:rPr>
          <w:shd w:val="clear" w:color="auto" w:fill="FFFFFF"/>
        </w:rPr>
        <w:t>, VCAT found the documents did contain information of a business, financial or commercial nature, being matters relating to broadcasting and sponsorship rights and licences, marketing and fundraising.</w:t>
      </w:r>
      <w:r>
        <w:rPr>
          <w:rStyle w:val="FootnoteReference"/>
          <w:shd w:val="clear" w:color="auto" w:fill="FFFFFF"/>
        </w:rPr>
        <w:footnoteReference w:id="58"/>
      </w:r>
    </w:p>
    <w:p w14:paraId="6FF55438" w14:textId="77777777" w:rsidR="00C150E9" w:rsidRDefault="00C150E9" w:rsidP="00C150E9">
      <w:pPr>
        <w:pStyle w:val="2HeadingLevel2"/>
      </w:pPr>
      <w:bookmarkStart w:id="23" w:name="_Toc150764352"/>
      <w:r>
        <w:t>Section 34(4)(a)(</w:t>
      </w:r>
      <w:proofErr w:type="spellStart"/>
      <w:r>
        <w:t>i</w:t>
      </w:r>
      <w:proofErr w:type="spellEnd"/>
      <w:r>
        <w:t>) and (ii) exemptions – common element - Likely to expose the agency unreasonably to disadvantage</w:t>
      </w:r>
      <w:bookmarkEnd w:id="23"/>
    </w:p>
    <w:p w14:paraId="31ACDFC8" w14:textId="77777777" w:rsidR="00C150E9" w:rsidRPr="002E0D81" w:rsidRDefault="00C150E9" w:rsidP="00C150E9">
      <w:pPr>
        <w:pStyle w:val="3BodyInteger"/>
      </w:pPr>
      <w:r>
        <w:t>To be an exempt document under section 34(4)(a)(</w:t>
      </w:r>
      <w:proofErr w:type="spellStart"/>
      <w:r>
        <w:t>i</w:t>
      </w:r>
      <w:proofErr w:type="spellEnd"/>
      <w:r>
        <w:t xml:space="preserve">) or section 34(4)(a)(ii), the disclosure of the document must be likely to expose the agency unreasonably to disadvantage. </w:t>
      </w:r>
    </w:p>
    <w:p w14:paraId="5011C3A9" w14:textId="77777777" w:rsidR="00C150E9" w:rsidRPr="002E0D81" w:rsidRDefault="00C150E9" w:rsidP="00C150E9">
      <w:pPr>
        <w:pStyle w:val="3BodyInteger"/>
      </w:pPr>
      <w:r w:rsidRPr="002E0D81">
        <w:t xml:space="preserve">When determining if disclosure is likely to expose the </w:t>
      </w:r>
      <w:r>
        <w:t>agency</w:t>
      </w:r>
      <w:r w:rsidRPr="002E0D81">
        <w:t xml:space="preserve"> unreasonably to disadvantage, three distinct elements must be identified and considered: </w:t>
      </w:r>
    </w:p>
    <w:p w14:paraId="548C1996" w14:textId="77777777" w:rsidR="00C150E9" w:rsidRPr="002E0D81" w:rsidRDefault="00C150E9" w:rsidP="00C150E9">
      <w:pPr>
        <w:pStyle w:val="Body"/>
        <w:numPr>
          <w:ilvl w:val="0"/>
          <w:numId w:val="88"/>
        </w:numPr>
        <w:ind w:left="993"/>
      </w:pPr>
      <w:r w:rsidRPr="002E0D81">
        <w:t>what the disadvantage is;</w:t>
      </w:r>
    </w:p>
    <w:p w14:paraId="1DBE7E9D" w14:textId="77777777" w:rsidR="00C150E9" w:rsidRDefault="00C150E9" w:rsidP="00C150E9">
      <w:pPr>
        <w:pStyle w:val="Body"/>
        <w:numPr>
          <w:ilvl w:val="0"/>
          <w:numId w:val="88"/>
        </w:numPr>
        <w:ind w:left="993"/>
      </w:pPr>
      <w:r w:rsidRPr="002E0D81">
        <w:t xml:space="preserve">why and when </w:t>
      </w:r>
      <w:r w:rsidRPr="003E0A1F">
        <w:t>disadvantage is likely to occur; and</w:t>
      </w:r>
    </w:p>
    <w:p w14:paraId="300C0ED3" w14:textId="77777777" w:rsidR="00C150E9" w:rsidRDefault="00C150E9" w:rsidP="00C150E9">
      <w:pPr>
        <w:pStyle w:val="Body"/>
        <w:numPr>
          <w:ilvl w:val="0"/>
          <w:numId w:val="88"/>
        </w:numPr>
        <w:ind w:left="993"/>
      </w:pPr>
      <w:r w:rsidRPr="003E0A1F">
        <w:t>the disadvantage is unreasonable</w:t>
      </w:r>
      <w:r>
        <w:t>.</w:t>
      </w:r>
    </w:p>
    <w:p w14:paraId="59A17A8F" w14:textId="77777777" w:rsidR="00C150E9" w:rsidRDefault="00C150E9" w:rsidP="00C150E9">
      <w:pPr>
        <w:pStyle w:val="3SubheadingLevel3"/>
      </w:pPr>
      <w:r>
        <w:t>Unreasonable disadvantage</w:t>
      </w:r>
    </w:p>
    <w:p w14:paraId="22E7ABD9" w14:textId="77777777" w:rsidR="00C150E9" w:rsidRDefault="00C150E9" w:rsidP="00C150E9">
      <w:pPr>
        <w:pStyle w:val="3BodyInteger"/>
      </w:pPr>
      <w:r>
        <w:t xml:space="preserve">An agency </w:t>
      </w:r>
      <w:r w:rsidRPr="0088481A">
        <w:t xml:space="preserve">must be able to articulate </w:t>
      </w:r>
      <w:r>
        <w:t xml:space="preserve">or describe </w:t>
      </w:r>
      <w:r w:rsidRPr="0088481A">
        <w:t xml:space="preserve">how disclosing the information </w:t>
      </w:r>
      <w:r>
        <w:t xml:space="preserve">would unreasonably expose </w:t>
      </w:r>
      <w:r w:rsidRPr="0088481A">
        <w:t>the agency to disadvantage</w:t>
      </w:r>
      <w:r>
        <w:t>.</w:t>
      </w:r>
    </w:p>
    <w:p w14:paraId="2CB86CE3" w14:textId="77777777" w:rsidR="00C150E9" w:rsidRDefault="00C150E9" w:rsidP="00C150E9">
      <w:pPr>
        <w:pStyle w:val="3BodyInteger"/>
      </w:pPr>
      <w:r>
        <w:t>T</w:t>
      </w:r>
      <w:r w:rsidRPr="0088481A">
        <w:t>ribunals and courts d</w:t>
      </w:r>
      <w:r>
        <w:t>escribe</w:t>
      </w:r>
      <w:r w:rsidRPr="0088481A">
        <w:t xml:space="preserve"> ‘disadvantage’ in terms of </w:t>
      </w:r>
      <w:r>
        <w:t xml:space="preserve">the business, commercial or </w:t>
      </w:r>
      <w:r w:rsidRPr="0088481A">
        <w:t>financial implications</w:t>
      </w:r>
      <w:r>
        <w:t xml:space="preserve"> of disclosure. In particular, whether disclosure is likely to:</w:t>
      </w:r>
    </w:p>
    <w:p w14:paraId="3A361E20" w14:textId="77777777" w:rsidR="00C150E9" w:rsidRDefault="00C150E9" w:rsidP="00C150E9">
      <w:pPr>
        <w:pStyle w:val="3BodyInteger"/>
        <w:numPr>
          <w:ilvl w:val="2"/>
          <w:numId w:val="15"/>
        </w:numPr>
      </w:pPr>
      <w:r>
        <w:t>red</w:t>
      </w:r>
      <w:r w:rsidRPr="0088481A">
        <w:t>uce an agency’s capacity to compete in a competitive market for buying and selling goods or services</w:t>
      </w:r>
      <w:r>
        <w:t>;</w:t>
      </w:r>
      <w:r>
        <w:rPr>
          <w:rStyle w:val="FootnoteReference"/>
        </w:rPr>
        <w:footnoteReference w:id="59"/>
      </w:r>
    </w:p>
    <w:p w14:paraId="492E8D69" w14:textId="77777777" w:rsidR="00C150E9" w:rsidRDefault="00C150E9" w:rsidP="00C150E9">
      <w:pPr>
        <w:pStyle w:val="3BodyInteger"/>
        <w:numPr>
          <w:ilvl w:val="2"/>
          <w:numId w:val="15"/>
        </w:numPr>
      </w:pPr>
      <w:r>
        <w:t>reduce an agency’s capacity to negotiate future commercial contracts;</w:t>
      </w:r>
      <w:r>
        <w:rPr>
          <w:rStyle w:val="FootnoteReference"/>
        </w:rPr>
        <w:footnoteReference w:id="60"/>
      </w:r>
    </w:p>
    <w:p w14:paraId="19F3E28B" w14:textId="77777777" w:rsidR="00C150E9" w:rsidRDefault="00C150E9" w:rsidP="00C150E9">
      <w:pPr>
        <w:pStyle w:val="3BodyInteger"/>
        <w:numPr>
          <w:ilvl w:val="2"/>
          <w:numId w:val="15"/>
        </w:numPr>
      </w:pPr>
      <w:r>
        <w:t>strengthen the bargaining position of entities the agency negotiates with, at the expense of the agency competing for marketplace share;</w:t>
      </w:r>
      <w:r>
        <w:rPr>
          <w:rStyle w:val="FootnoteReference"/>
        </w:rPr>
        <w:footnoteReference w:id="61"/>
      </w:r>
      <w:r>
        <w:t xml:space="preserve"> or</w:t>
      </w:r>
    </w:p>
    <w:p w14:paraId="3C46A977" w14:textId="77777777" w:rsidR="00C150E9" w:rsidRDefault="00C150E9" w:rsidP="00C150E9">
      <w:pPr>
        <w:pStyle w:val="3BodyInteger"/>
        <w:numPr>
          <w:ilvl w:val="2"/>
          <w:numId w:val="15"/>
        </w:numPr>
      </w:pPr>
      <w:r>
        <w:t>expose the rates that an agency is prepared to accept for various services – and if so, the likely impact on the agency’s operations.</w:t>
      </w:r>
    </w:p>
    <w:p w14:paraId="7DE01231" w14:textId="77777777" w:rsidR="00C150E9" w:rsidRPr="002E0D81" w:rsidRDefault="00C150E9" w:rsidP="00C150E9">
      <w:pPr>
        <w:pStyle w:val="3SubheadingLevel3"/>
      </w:pPr>
      <w:r w:rsidRPr="002E0D81">
        <w:t>The meaning of ‘likely’</w:t>
      </w:r>
    </w:p>
    <w:p w14:paraId="1826EB72" w14:textId="77777777" w:rsidR="00C150E9" w:rsidRPr="002E0D81" w:rsidRDefault="00C150E9" w:rsidP="00C150E9">
      <w:pPr>
        <w:pStyle w:val="3BodyInteger"/>
      </w:pPr>
      <w:r w:rsidRPr="002E0D81">
        <w:t xml:space="preserve">Disclosure of the information must be </w:t>
      </w:r>
      <w:r w:rsidRPr="009932DC">
        <w:rPr>
          <w:b/>
          <w:bCs/>
        </w:rPr>
        <w:t>likely</w:t>
      </w:r>
      <w:r w:rsidRPr="002E0D81">
        <w:t xml:space="preserve"> to cause unreasonable disadvantage. ‘Likely’ </w:t>
      </w:r>
      <w:r>
        <w:t>should be</w:t>
      </w:r>
      <w:r w:rsidRPr="002E0D81">
        <w:t xml:space="preserve"> given its plain English me</w:t>
      </w:r>
      <w:r w:rsidRPr="001071DE">
        <w:rPr>
          <w:color w:val="auto"/>
        </w:rPr>
        <w:t xml:space="preserve">aning – </w:t>
      </w:r>
      <w:r w:rsidRPr="001071DE">
        <w:rPr>
          <w:color w:val="auto"/>
          <w:shd w:val="clear" w:color="auto" w:fill="FFFFFF"/>
        </w:rPr>
        <w:t>seeming like truth, fact, or certainty, or reasonably to be believed or expected</w:t>
      </w:r>
      <w:r>
        <w:rPr>
          <w:color w:val="auto"/>
          <w:shd w:val="clear" w:color="auto" w:fill="FFFFFF"/>
        </w:rPr>
        <w:t>.</w:t>
      </w:r>
      <w:r w:rsidRPr="00763E31">
        <w:rPr>
          <w:color w:val="auto"/>
          <w:shd w:val="clear" w:color="auto" w:fill="FFFFFF"/>
        </w:rPr>
        <w:t xml:space="preserve"> </w:t>
      </w:r>
      <w:r>
        <w:rPr>
          <w:color w:val="auto"/>
          <w:shd w:val="clear" w:color="auto" w:fill="FFFFFF"/>
        </w:rPr>
        <w:t xml:space="preserve">His Honour Judge Bowman, sitting as VCAT Vice President, said that the test is one of likelihood rather than certainty, and referred with approval to the dictionary definition of “likely” as </w:t>
      </w:r>
      <w:r>
        <w:t>“</w:t>
      </w:r>
      <w:r w:rsidRPr="002E0D81">
        <w:t>probable, such as well might happen or be true</w:t>
      </w:r>
      <w:r>
        <w:t>”.</w:t>
      </w:r>
      <w:r w:rsidRPr="002E0D81">
        <w:rPr>
          <w:vertAlign w:val="superscript"/>
        </w:rPr>
        <w:footnoteReference w:id="62"/>
      </w:r>
      <w:r w:rsidRPr="002E0D81">
        <w:t xml:space="preserve"> </w:t>
      </w:r>
    </w:p>
    <w:p w14:paraId="282341D1" w14:textId="77777777" w:rsidR="00C150E9" w:rsidRPr="002E0D81" w:rsidRDefault="00C150E9" w:rsidP="00C150E9">
      <w:pPr>
        <w:pStyle w:val="3BodyInteger"/>
      </w:pPr>
      <w:r w:rsidRPr="002E0D81">
        <w:t>An agency should carefully consider if disclosure is ‘likely’ to cause unreasonable disadvantage, as opposed to it being a mere possibility – then articulate that consideration in their written reasons.</w:t>
      </w:r>
    </w:p>
    <w:p w14:paraId="6BA0BAC0" w14:textId="77777777" w:rsidR="00C150E9" w:rsidRDefault="00C150E9" w:rsidP="00C150E9">
      <w:pPr>
        <w:pStyle w:val="3SubheadingLevel3"/>
      </w:pPr>
      <w:r>
        <w:t>Unreasonable</w:t>
      </w:r>
    </w:p>
    <w:p w14:paraId="10295110" w14:textId="77777777" w:rsidR="00C150E9" w:rsidRDefault="00C150E9" w:rsidP="00C150E9">
      <w:pPr>
        <w:pStyle w:val="3BodyInteger"/>
      </w:pPr>
      <w:r>
        <w:t xml:space="preserve">An agency </w:t>
      </w:r>
      <w:r w:rsidRPr="00525AD1">
        <w:t xml:space="preserve">must establish that disclosure would likely cause ‘unreasonable’ disadvantage – not just any level of disadvantage. Whether disclosure is likely to expose </w:t>
      </w:r>
      <w:r>
        <w:t>the agency</w:t>
      </w:r>
      <w:r w:rsidRPr="00525AD1">
        <w:t> unreasonably to disadvantage depends on the particular facts and circumstances of the matter, considering the consequences that</w:t>
      </w:r>
      <w:r>
        <w:t xml:space="preserve"> are</w:t>
      </w:r>
      <w:r w:rsidRPr="00525AD1">
        <w:t xml:space="preserve"> likely to follow from disclosure of the information. An agency must be able to articulate in their reasons why the disadvantage is unreasonable, as opposed to mere disadvantage</w:t>
      </w:r>
      <w:r>
        <w:t>.</w:t>
      </w:r>
    </w:p>
    <w:p w14:paraId="1C17894A" w14:textId="77777777" w:rsidR="00C150E9" w:rsidRDefault="00C150E9" w:rsidP="00C150E9">
      <w:pPr>
        <w:pStyle w:val="3BodyInteger"/>
      </w:pPr>
      <w:r>
        <w:t xml:space="preserve">Whether </w:t>
      </w:r>
      <w:r w:rsidRPr="00525AD1">
        <w:t>disadvantage would be </w:t>
      </w:r>
      <w:r w:rsidRPr="00735E08">
        <w:rPr>
          <w:b/>
          <w:bCs/>
        </w:rPr>
        <w:t>unreasonable </w:t>
      </w:r>
      <w:r w:rsidRPr="00525AD1">
        <w:t>for the purposes of section 34(4)(a) involves the consideration of all circumstances, including factors both in favour of, and against disclosure, such a</w:t>
      </w:r>
      <w:r>
        <w:t>s:</w:t>
      </w:r>
      <w:r>
        <w:rPr>
          <w:rStyle w:val="FootnoteReference"/>
        </w:rPr>
        <w:footnoteReference w:id="63"/>
      </w:r>
    </w:p>
    <w:p w14:paraId="4DFA9162" w14:textId="77777777" w:rsidR="00C150E9" w:rsidRDefault="00C150E9" w:rsidP="00C150E9">
      <w:pPr>
        <w:pStyle w:val="3BodyInteger"/>
        <w:numPr>
          <w:ilvl w:val="2"/>
          <w:numId w:val="15"/>
        </w:numPr>
      </w:pPr>
      <w:r>
        <w:t>the nature of the information;</w:t>
      </w:r>
    </w:p>
    <w:p w14:paraId="20A82A9B" w14:textId="77777777" w:rsidR="00C150E9" w:rsidRDefault="00C150E9" w:rsidP="00C150E9">
      <w:pPr>
        <w:pStyle w:val="3BodyInteger"/>
        <w:numPr>
          <w:ilvl w:val="2"/>
          <w:numId w:val="15"/>
        </w:numPr>
      </w:pPr>
      <w:r>
        <w:t>whether there is any public interest in disclosure or nondisclosure;</w:t>
      </w:r>
    </w:p>
    <w:p w14:paraId="6E773327" w14:textId="77777777" w:rsidR="00C150E9" w:rsidRDefault="00C150E9" w:rsidP="00C150E9">
      <w:pPr>
        <w:pStyle w:val="3BodyInteger"/>
        <w:numPr>
          <w:ilvl w:val="2"/>
          <w:numId w:val="15"/>
        </w:numPr>
      </w:pPr>
      <w:r>
        <w:t>the circumstances in which the information was obtained or created;</w:t>
      </w:r>
    </w:p>
    <w:p w14:paraId="6DF25DDF" w14:textId="77777777" w:rsidR="00C150E9" w:rsidRDefault="00C150E9" w:rsidP="00C150E9">
      <w:pPr>
        <w:pStyle w:val="3BodyInteger"/>
        <w:numPr>
          <w:ilvl w:val="2"/>
          <w:numId w:val="15"/>
        </w:numPr>
      </w:pPr>
      <w:r>
        <w:t>whether the information has any current relevance; and</w:t>
      </w:r>
    </w:p>
    <w:p w14:paraId="060813D9" w14:textId="77777777" w:rsidR="00C150E9" w:rsidRDefault="00C150E9" w:rsidP="00C150E9">
      <w:pPr>
        <w:pStyle w:val="3BodyInteger"/>
        <w:numPr>
          <w:ilvl w:val="2"/>
          <w:numId w:val="15"/>
        </w:numPr>
      </w:pPr>
      <w:r>
        <w:t>the identity of the applicant and the likely motives of the applicant.</w:t>
      </w:r>
    </w:p>
    <w:p w14:paraId="7EEE2B98" w14:textId="77777777" w:rsidR="00C150E9" w:rsidRPr="006B371A" w:rsidRDefault="00C150E9" w:rsidP="00C150E9">
      <w:pPr>
        <w:pStyle w:val="3BodyInteger"/>
      </w:pPr>
      <w:r>
        <w:t>The word ‘unreasonably’ should be seen in the context of the balancing process between competing factors of the perceived need for confidentiality and the need for public accountability and transparency on the part of the government, its departments and agencies.</w:t>
      </w:r>
      <w:r>
        <w:rPr>
          <w:rStyle w:val="FootnoteReference"/>
        </w:rPr>
        <w:footnoteReference w:id="64"/>
      </w:r>
    </w:p>
    <w:p w14:paraId="120B562A" w14:textId="77777777" w:rsidR="00C150E9" w:rsidRDefault="00C150E9" w:rsidP="00C150E9">
      <w:pPr>
        <w:pStyle w:val="3SubheadingLevel3"/>
      </w:pPr>
      <w:r>
        <w:t>Case examples</w:t>
      </w:r>
    </w:p>
    <w:p w14:paraId="57F54AF8" w14:textId="77777777" w:rsidR="00C150E9" w:rsidRDefault="00C150E9" w:rsidP="00C150E9">
      <w:pPr>
        <w:pStyle w:val="3BodyInteger"/>
      </w:pPr>
      <w:r>
        <w:t>Case law examples where unreasonable disadvantage to the agency was not established, include:</w:t>
      </w:r>
    </w:p>
    <w:p w14:paraId="7849F165" w14:textId="77777777" w:rsidR="00C150E9" w:rsidRDefault="00C150E9" w:rsidP="00C150E9">
      <w:pPr>
        <w:pStyle w:val="3BodyInteger"/>
        <w:numPr>
          <w:ilvl w:val="2"/>
          <w:numId w:val="179"/>
        </w:numPr>
      </w:pPr>
      <w:r>
        <w:t xml:space="preserve">In </w:t>
      </w:r>
      <w:r w:rsidRPr="00877319">
        <w:rPr>
          <w:i/>
          <w:iCs/>
        </w:rPr>
        <w:t>Byrne v Swan Hill Rural City Council</w:t>
      </w:r>
      <w:r>
        <w:t>, VCAT accepted there is a measure of disadvantage to government agencies in not being able to offer confidentiality to the business undertakings with whom they do business. However, in the context of the policy evident in freedom of information legislation,</w:t>
      </w:r>
      <w:r w:rsidRPr="00936B57">
        <w:t xml:space="preserve"> th</w:t>
      </w:r>
      <w:r>
        <w:t>e</w:t>
      </w:r>
      <w:r w:rsidRPr="00936B57">
        <w:t xml:space="preserve"> </w:t>
      </w:r>
      <w:r w:rsidRPr="005C37CD">
        <w:rPr>
          <w:b/>
          <w:bCs/>
        </w:rPr>
        <w:t>disadvantage is not unreasonable</w:t>
      </w:r>
      <w:r>
        <w:t>.</w:t>
      </w:r>
      <w:r>
        <w:rPr>
          <w:rStyle w:val="FootnoteReference"/>
        </w:rPr>
        <w:footnoteReference w:id="65"/>
      </w:r>
      <w:r>
        <w:t xml:space="preserve"> In this case, VCAT found that disclosure of the tender of the successful tenderer for the contract to manage swimming pools owned by the Council would not expose the Council unreasonably to disadvantage.</w:t>
      </w:r>
      <w:r w:rsidRPr="00344361">
        <w:t xml:space="preserve"> </w:t>
      </w:r>
      <w:r>
        <w:t>The VCAT found it unlikely that the companies tendering for the contract could simply refuse to deal with bodies subject to the FOI Act.</w:t>
      </w:r>
    </w:p>
    <w:p w14:paraId="47BE9FB6" w14:textId="77777777" w:rsidR="00C150E9" w:rsidRDefault="00C150E9" w:rsidP="00C150E9">
      <w:pPr>
        <w:pStyle w:val="3BodyInteger"/>
        <w:numPr>
          <w:ilvl w:val="2"/>
          <w:numId w:val="179"/>
        </w:numPr>
      </w:pPr>
      <w:r>
        <w:t xml:space="preserve">In </w:t>
      </w:r>
      <w:hyperlink r:id="rId35" w:history="1">
        <w:r w:rsidRPr="005C37CD">
          <w:rPr>
            <w:rStyle w:val="Hyperlink"/>
            <w:i/>
            <w:iCs/>
          </w:rPr>
          <w:t>Dalla-Riva v Department of Treasury &amp; Finance</w:t>
        </w:r>
      </w:hyperlink>
      <w:r>
        <w:t>, VCAT was not satisfied that the disclosure of a consultant’s Public Sector Comparator (</w:t>
      </w:r>
      <w:r w:rsidRPr="005C37CD">
        <w:rPr>
          <w:b/>
          <w:bCs/>
        </w:rPr>
        <w:t>PSC</w:t>
      </w:r>
      <w:r>
        <w:t xml:space="preserve">) final report, which compared private sector bids for the </w:t>
      </w:r>
      <w:r w:rsidRPr="00D46F1F">
        <w:t>Mitcham-Frankston Freeway Project with the cost to government of delivering that project</w:t>
      </w:r>
      <w:r>
        <w:t>,</w:t>
      </w:r>
      <w:r w:rsidRPr="00D46F1F">
        <w:t xml:space="preserve"> would be likely to expose the agency unreasonably to disadvantage</w:t>
      </w:r>
      <w:r>
        <w:t>.</w:t>
      </w:r>
      <w:r>
        <w:rPr>
          <w:rStyle w:val="FootnoteReference"/>
        </w:rPr>
        <w:footnoteReference w:id="66"/>
      </w:r>
      <w:r>
        <w:t xml:space="preserve"> Relevant to this decision was: </w:t>
      </w:r>
    </w:p>
    <w:p w14:paraId="7701D1DF" w14:textId="77777777" w:rsidR="00C150E9" w:rsidRDefault="00C150E9" w:rsidP="00C150E9">
      <w:pPr>
        <w:pStyle w:val="3BodyInteger"/>
        <w:numPr>
          <w:ilvl w:val="3"/>
          <w:numId w:val="179"/>
        </w:numPr>
      </w:pPr>
      <w:r>
        <w:t>its timing, in that the contract for the project had already been awarded and contractual negotiations had been concluded for some time. Therefore, disclosure would not impact the state of mind of bidders for the project and would not impact on the contractual relationship between the government and the successful bidder;</w:t>
      </w:r>
    </w:p>
    <w:p w14:paraId="1BDD402A" w14:textId="77777777" w:rsidR="00C150E9" w:rsidRDefault="00C150E9" w:rsidP="00C150E9">
      <w:pPr>
        <w:pStyle w:val="3BodyInteger"/>
        <w:numPr>
          <w:ilvl w:val="3"/>
          <w:numId w:val="179"/>
        </w:numPr>
      </w:pPr>
      <w:r>
        <w:t>the significant public interest in transparency of the PSC process, to assess whether the process is of value for unique one-off projects, given how expensive PSC reports are to prepare, and the fact the government had chosen private delivery of the project, rather than a public/private partnership, before the PSC report was finalised; and</w:t>
      </w:r>
    </w:p>
    <w:p w14:paraId="11F3512B" w14:textId="77777777" w:rsidR="00C150E9" w:rsidRDefault="00C150E9" w:rsidP="00C150E9">
      <w:pPr>
        <w:pStyle w:val="3BodyInteger"/>
        <w:numPr>
          <w:ilvl w:val="3"/>
          <w:numId w:val="179"/>
        </w:numPr>
      </w:pPr>
      <w:r>
        <w:t xml:space="preserve">the importance of ensuring that public debate on an issue is informed by the facts. VCAT considered release of the facts in the PSC report would inform, rather than mislead the public. </w:t>
      </w:r>
    </w:p>
    <w:p w14:paraId="3E7DA428" w14:textId="77777777" w:rsidR="00C150E9" w:rsidRDefault="00C150E9" w:rsidP="00C150E9">
      <w:pPr>
        <w:pStyle w:val="3BodyInteger"/>
        <w:numPr>
          <w:ilvl w:val="2"/>
          <w:numId w:val="179"/>
        </w:numPr>
      </w:pPr>
      <w:r>
        <w:t xml:space="preserve">In </w:t>
      </w:r>
      <w:hyperlink r:id="rId36" w:history="1">
        <w:r w:rsidRPr="00FE1696">
          <w:rPr>
            <w:rStyle w:val="Hyperlink"/>
            <w:i/>
            <w:iCs/>
          </w:rPr>
          <w:t>Honeywood v Department of Innovation, Industry and Regional Development</w:t>
        </w:r>
      </w:hyperlink>
      <w:r>
        <w:t>, a draft document prepared two years before the date of request, that did not go forward to the Minister, was superseded by events and not developed any further, and accurate at the time of its preparation, was not likely to expose the Department unreasonably to disadvantage if disclosed.</w:t>
      </w:r>
      <w:r>
        <w:rPr>
          <w:rStyle w:val="FootnoteReference"/>
        </w:rPr>
        <w:footnoteReference w:id="67"/>
      </w:r>
    </w:p>
    <w:p w14:paraId="750F5B95" w14:textId="77777777" w:rsidR="00C150E9" w:rsidRDefault="00C150E9" w:rsidP="00C150E9">
      <w:pPr>
        <w:pStyle w:val="3BodyInteger"/>
      </w:pPr>
      <w:r>
        <w:t>Case law examples where unreasonable disadvantage to the agency was established, include:</w:t>
      </w:r>
    </w:p>
    <w:p w14:paraId="69396726" w14:textId="77777777" w:rsidR="00C150E9" w:rsidRDefault="00C150E9" w:rsidP="00C150E9">
      <w:pPr>
        <w:pStyle w:val="3BodyInteger"/>
        <w:numPr>
          <w:ilvl w:val="2"/>
          <w:numId w:val="179"/>
        </w:numPr>
      </w:pPr>
      <w:r>
        <w:t xml:space="preserve">In </w:t>
      </w:r>
      <w:hyperlink r:id="rId37" w:history="1">
        <w:r w:rsidRPr="00A97379">
          <w:rPr>
            <w:rStyle w:val="Hyperlink"/>
            <w:i/>
            <w:iCs/>
          </w:rPr>
          <w:t>Stewart v Department of Tourism, Sport and the Commonwealth Games</w:t>
        </w:r>
      </w:hyperlink>
      <w:r>
        <w:t xml:space="preserve">, VCAT found that disclosure of two contracts would be likely to expose the agency unreasonably to disadvantage. Relevant to the decision was its timing, in that the agency was about to begin marketing the Commonwealth Games and dealing with sponsors, suppliers and </w:t>
      </w:r>
      <w:proofErr w:type="spellStart"/>
      <w:r>
        <w:t>licencees</w:t>
      </w:r>
      <w:proofErr w:type="spellEnd"/>
      <w:r>
        <w:t>, rather than these events having already happened at the time of the request. The VCAT found that “[a]t this particular time, the safeguarding of confidentiality is important”.</w:t>
      </w:r>
      <w:r>
        <w:rPr>
          <w:rStyle w:val="FootnoteReference"/>
        </w:rPr>
        <w:footnoteReference w:id="68"/>
      </w:r>
    </w:p>
    <w:p w14:paraId="5A371EF4" w14:textId="77777777" w:rsidR="00C150E9" w:rsidRDefault="00C150E9" w:rsidP="00C150E9">
      <w:pPr>
        <w:pStyle w:val="3BodyInteger"/>
        <w:numPr>
          <w:ilvl w:val="2"/>
          <w:numId w:val="179"/>
        </w:numPr>
      </w:pPr>
      <w:r>
        <w:t xml:space="preserve">In </w:t>
      </w:r>
      <w:hyperlink r:id="rId38" w:history="1">
        <w:proofErr w:type="spellStart"/>
        <w:r w:rsidRPr="00441B52">
          <w:rPr>
            <w:rStyle w:val="Hyperlink"/>
            <w:i/>
            <w:iCs/>
          </w:rPr>
          <w:t>CityLink</w:t>
        </w:r>
        <w:proofErr w:type="spellEnd"/>
        <w:r w:rsidRPr="00441B52">
          <w:rPr>
            <w:rStyle w:val="Hyperlink"/>
            <w:i/>
            <w:iCs/>
          </w:rPr>
          <w:t xml:space="preserve"> Melbourne Limited v Department of Transport</w:t>
        </w:r>
        <w:r w:rsidRPr="00441B52">
          <w:rPr>
            <w:rStyle w:val="Hyperlink"/>
          </w:rPr>
          <w:t> [2020] VCAT 1078</w:t>
        </w:r>
      </w:hyperlink>
      <w:r>
        <w:rPr>
          <w:u w:color="430098"/>
        </w:rPr>
        <w:t xml:space="preserve">, VCAT found disclosure of internal emails </w:t>
      </w:r>
      <w:r w:rsidRPr="003D1420">
        <w:t xml:space="preserve">concerning financial modelling for contract negotiations between VicRoads and </w:t>
      </w:r>
      <w:proofErr w:type="spellStart"/>
      <w:r w:rsidRPr="003D1420">
        <w:t>CityLink</w:t>
      </w:r>
      <w:proofErr w:type="spellEnd"/>
      <w:r w:rsidRPr="003D1420">
        <w:t>, document</w:t>
      </w:r>
      <w:r>
        <w:t>s</w:t>
      </w:r>
      <w:r w:rsidRPr="003D1420">
        <w:t xml:space="preserve"> containing </w:t>
      </w:r>
      <w:r>
        <w:t xml:space="preserve">the </w:t>
      </w:r>
      <w:r w:rsidRPr="003D1420">
        <w:t>scope of work for advice on negotiations</w:t>
      </w:r>
      <w:r>
        <w:t xml:space="preserve"> and </w:t>
      </w:r>
      <w:r w:rsidRPr="003D1420">
        <w:t>internal commercial assessments,</w:t>
      </w:r>
      <w:r>
        <w:t xml:space="preserve"> would be likely to expose the Department unreasonably to disadvantage. Relevant to the decision was the fact:</w:t>
      </w:r>
      <w:r>
        <w:rPr>
          <w:rStyle w:val="FootnoteReference"/>
        </w:rPr>
        <w:footnoteReference w:id="69"/>
      </w:r>
    </w:p>
    <w:p w14:paraId="0FAB640A" w14:textId="77777777" w:rsidR="00C150E9" w:rsidRDefault="00C150E9" w:rsidP="00C150E9">
      <w:pPr>
        <w:pStyle w:val="3BodyInteger"/>
        <w:numPr>
          <w:ilvl w:val="3"/>
          <w:numId w:val="179"/>
        </w:numPr>
      </w:pPr>
      <w:r>
        <w:t xml:space="preserve">the discussions were confidential, reflected ongoing concerns and contained current information as to how the State values and assesses commercial proposals, including the State’s assessment of </w:t>
      </w:r>
      <w:proofErr w:type="spellStart"/>
      <w:r>
        <w:t>CityLink’s</w:t>
      </w:r>
      <w:proofErr w:type="spellEnd"/>
      <w:r>
        <w:t xml:space="preserve"> proposal;</w:t>
      </w:r>
    </w:p>
    <w:p w14:paraId="3D298E9A" w14:textId="77777777" w:rsidR="00C150E9" w:rsidRDefault="00C150E9" w:rsidP="00C150E9">
      <w:pPr>
        <w:pStyle w:val="3BodyInteger"/>
        <w:numPr>
          <w:ilvl w:val="3"/>
          <w:numId w:val="179"/>
        </w:numPr>
      </w:pPr>
      <w:r>
        <w:t xml:space="preserve">the information was relevant and sensitive, and its disclosure was likely to expose the State to unreasonable disadvantage in future negotiations with </w:t>
      </w:r>
      <w:proofErr w:type="spellStart"/>
      <w:r>
        <w:t>CityLink</w:t>
      </w:r>
      <w:proofErr w:type="spellEnd"/>
      <w:r>
        <w:t>;</w:t>
      </w:r>
    </w:p>
    <w:p w14:paraId="7E5081E8" w14:textId="77777777" w:rsidR="00C150E9" w:rsidRDefault="00C150E9" w:rsidP="00C150E9">
      <w:pPr>
        <w:pStyle w:val="3BodyInteger"/>
        <w:numPr>
          <w:ilvl w:val="3"/>
          <w:numId w:val="179"/>
        </w:numPr>
      </w:pPr>
      <w:r>
        <w:t xml:space="preserve">there was no current evidence of a public interest in accountability and transparency that outweighed the strong interest in the information remaining confidential. </w:t>
      </w:r>
    </w:p>
    <w:p w14:paraId="7194AAEC" w14:textId="77777777" w:rsidR="00C150E9" w:rsidRDefault="00C150E9" w:rsidP="00C150E9">
      <w:pPr>
        <w:pStyle w:val="3BodyInteger"/>
        <w:numPr>
          <w:ilvl w:val="2"/>
          <w:numId w:val="179"/>
        </w:numPr>
      </w:pPr>
      <w:r>
        <w:t xml:space="preserve">In </w:t>
      </w:r>
      <w:hyperlink r:id="rId39" w:history="1">
        <w:r w:rsidRPr="00FA51E5">
          <w:rPr>
            <w:rStyle w:val="Hyperlink"/>
            <w:i/>
            <w:iCs/>
          </w:rPr>
          <w:t>Fitzherbert v Department of Health and Human Services</w:t>
        </w:r>
      </w:hyperlink>
      <w:r>
        <w:t>, VCAT found that disclosure of the maintenance log of a cleaning contractor, containing job prices, unit prices and total prices charged, would expose the Department unreasonably to disadvantage in future maintenance tenders. The tender process includes a schedule of rates for specific work items. By releasing the maintenance log and comparing it to the tender schedule of rates, competitors of the contractor would be able to determine the charges the Department had previously accepted, over and above the tender schedule of rates, leading to the Department paying higher prices for maintenance services.</w:t>
      </w:r>
      <w:r>
        <w:rPr>
          <w:rStyle w:val="FootnoteReference"/>
        </w:rPr>
        <w:footnoteReference w:id="70"/>
      </w:r>
      <w:r>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7E12FC87" w14:textId="77777777" w:rsidTr="00F12D53">
        <w:trPr>
          <w:trHeight w:val="402"/>
        </w:trPr>
        <w:tc>
          <w:tcPr>
            <w:tcW w:w="8931" w:type="dxa"/>
            <w:shd w:val="clear" w:color="auto" w:fill="FFFEC6"/>
          </w:tcPr>
          <w:p w14:paraId="6F6E137F" w14:textId="77777777" w:rsidR="00C150E9" w:rsidRDefault="00C150E9" w:rsidP="00F12D53">
            <w:pPr>
              <w:pStyle w:val="Body"/>
              <w:rPr>
                <w:b/>
                <w:bCs/>
              </w:rPr>
            </w:pPr>
            <w:r w:rsidRPr="00C53746">
              <w:rPr>
                <w:b/>
                <w:bCs/>
              </w:rPr>
              <w:t>Example</w:t>
            </w:r>
            <w:r>
              <w:rPr>
                <w:b/>
                <w:bCs/>
              </w:rPr>
              <w:t xml:space="preserve"> – Invoices for legal services</w:t>
            </w:r>
          </w:p>
          <w:p w14:paraId="6CEEE166" w14:textId="77777777" w:rsidR="00C150E9" w:rsidRPr="00493D28" w:rsidRDefault="00000000" w:rsidP="00F12D53">
            <w:pPr>
              <w:pStyle w:val="Body"/>
              <w:rPr>
                <w:b/>
                <w:bCs/>
              </w:rPr>
            </w:pPr>
            <w:hyperlink r:id="rId40" w:history="1">
              <w:r w:rsidR="00C150E9" w:rsidRPr="00493D28">
                <w:rPr>
                  <w:rStyle w:val="Hyperlink"/>
                  <w:b/>
                  <w:bCs/>
                  <w:i/>
                  <w:iCs/>
                </w:rPr>
                <w:t>Commissioner of State Revenue v Tucker</w:t>
              </w:r>
              <w:r w:rsidR="00C150E9" w:rsidRPr="00493D28">
                <w:rPr>
                  <w:rStyle w:val="Hyperlink"/>
                  <w:b/>
                  <w:bCs/>
                </w:rPr>
                <w:t xml:space="preserve"> [2021] VCAT 238</w:t>
              </w:r>
            </w:hyperlink>
            <w:r w:rsidR="00C150E9" w:rsidRPr="00493D28">
              <w:rPr>
                <w:b/>
                <w:bCs/>
              </w:rPr>
              <w:t xml:space="preserve"> </w:t>
            </w:r>
            <w:bookmarkStart w:id="26" w:name="_Hlk144983877"/>
            <w:r w:rsidR="00C150E9" w:rsidRPr="00493D28">
              <w:rPr>
                <w:b/>
                <w:bCs/>
              </w:rPr>
              <w:t xml:space="preserve">and </w:t>
            </w:r>
            <w:hyperlink r:id="rId41" w:history="1">
              <w:r w:rsidR="00C150E9" w:rsidRPr="00493D28">
                <w:rPr>
                  <w:rStyle w:val="Hyperlink"/>
                  <w:b/>
                  <w:bCs/>
                  <w:i/>
                  <w:iCs/>
                </w:rPr>
                <w:t>Chopra v Department of Education and Training</w:t>
              </w:r>
              <w:r w:rsidR="00C150E9" w:rsidRPr="00493D28">
                <w:rPr>
                  <w:rStyle w:val="Hyperlink"/>
                  <w:b/>
                  <w:bCs/>
                </w:rPr>
                <w:t xml:space="preserve"> [2019] VCAT 1860</w:t>
              </w:r>
            </w:hyperlink>
            <w:bookmarkEnd w:id="26"/>
            <w:r w:rsidR="00C150E9" w:rsidRPr="00493D28">
              <w:rPr>
                <w:b/>
                <w:bCs/>
              </w:rPr>
              <w:t>.</w:t>
            </w:r>
          </w:p>
          <w:p w14:paraId="234A0669" w14:textId="77777777" w:rsidR="00C150E9" w:rsidRPr="002A12B3" w:rsidRDefault="00C150E9" w:rsidP="00F12D53">
            <w:pPr>
              <w:pStyle w:val="Body"/>
              <w:rPr>
                <w:b/>
                <w:bCs/>
              </w:rPr>
            </w:pPr>
            <w:r w:rsidRPr="002A12B3">
              <w:rPr>
                <w:b/>
                <w:bCs/>
              </w:rPr>
              <w:t>Background:</w:t>
            </w:r>
          </w:p>
          <w:p w14:paraId="69E4A376" w14:textId="77777777" w:rsidR="00C150E9" w:rsidRDefault="00C150E9" w:rsidP="00C150E9">
            <w:pPr>
              <w:pStyle w:val="Body"/>
              <w:numPr>
                <w:ilvl w:val="0"/>
                <w:numId w:val="188"/>
              </w:numPr>
            </w:pPr>
            <w:r>
              <w:t>In both cases, the applicants requested access to invoices for legal services, expenditure claims, purchase orders and estimate of legal fees.</w:t>
            </w:r>
          </w:p>
          <w:p w14:paraId="035FE45A" w14:textId="77777777" w:rsidR="00C150E9" w:rsidRDefault="00C150E9" w:rsidP="00C150E9">
            <w:pPr>
              <w:pStyle w:val="Body"/>
              <w:numPr>
                <w:ilvl w:val="0"/>
                <w:numId w:val="188"/>
              </w:numPr>
            </w:pPr>
            <w:r>
              <w:t>In both cases, the agencies refused access to these documents under section 34(4)(a)(ii) and other exemptions.</w:t>
            </w:r>
          </w:p>
          <w:p w14:paraId="10C7F530" w14:textId="77777777" w:rsidR="00C150E9" w:rsidRPr="002A12B3" w:rsidRDefault="00C150E9" w:rsidP="00F12D53">
            <w:pPr>
              <w:pStyle w:val="Body"/>
              <w:rPr>
                <w:b/>
                <w:bCs/>
              </w:rPr>
            </w:pPr>
            <w:r w:rsidRPr="002A12B3">
              <w:rPr>
                <w:b/>
                <w:bCs/>
              </w:rPr>
              <w:t>Agency evidence:</w:t>
            </w:r>
          </w:p>
          <w:p w14:paraId="6215F785" w14:textId="77777777" w:rsidR="00C150E9" w:rsidRDefault="00C150E9" w:rsidP="00F12D53">
            <w:pPr>
              <w:pStyle w:val="Body"/>
            </w:pPr>
            <w:r>
              <w:t>The agencies argued that release of the documents:</w:t>
            </w:r>
          </w:p>
          <w:p w14:paraId="7FC59549" w14:textId="77777777" w:rsidR="00C150E9" w:rsidRDefault="00C150E9" w:rsidP="00C150E9">
            <w:pPr>
              <w:pStyle w:val="Body"/>
              <w:numPr>
                <w:ilvl w:val="0"/>
                <w:numId w:val="188"/>
              </w:numPr>
            </w:pPr>
            <w:r>
              <w:t>would set a floor for the price of legal services, and the breach of confidentiality may drive law firms out of the market, narrowing the field, and further driving up prices for legal services; and</w:t>
            </w:r>
          </w:p>
          <w:p w14:paraId="59FD07E8" w14:textId="77777777" w:rsidR="00C150E9" w:rsidRDefault="00C150E9" w:rsidP="00C150E9">
            <w:pPr>
              <w:pStyle w:val="Body"/>
              <w:numPr>
                <w:ilvl w:val="0"/>
                <w:numId w:val="188"/>
              </w:numPr>
            </w:pPr>
            <w:r>
              <w:t>would give a misleading impression of typical legal expenditure by the agencies in the types of matters brought by the applicants, who were frequent litigants against the agencies. This may unreasonably undermine the agencies’ ability to properly defend proceedings brought against them by these frequent litigants.</w:t>
            </w:r>
          </w:p>
          <w:p w14:paraId="5B2528D2" w14:textId="77777777" w:rsidR="00C150E9" w:rsidRPr="002A12B3" w:rsidRDefault="00C150E9" w:rsidP="00F12D53">
            <w:pPr>
              <w:pStyle w:val="Body"/>
              <w:rPr>
                <w:b/>
                <w:bCs/>
              </w:rPr>
            </w:pPr>
            <w:r w:rsidRPr="002A12B3">
              <w:rPr>
                <w:b/>
                <w:bCs/>
              </w:rPr>
              <w:t>Decision:</w:t>
            </w:r>
          </w:p>
          <w:p w14:paraId="3B9BDC74" w14:textId="77777777" w:rsidR="00C150E9" w:rsidRDefault="00C150E9" w:rsidP="00C150E9">
            <w:pPr>
              <w:pStyle w:val="Body"/>
              <w:numPr>
                <w:ilvl w:val="0"/>
                <w:numId w:val="188"/>
              </w:numPr>
            </w:pPr>
            <w:r>
              <w:t xml:space="preserve">In each case, VCAT accepted the agencies’ evidence, and found that disclosure of the invoices and other expenditure documents would expose the agencies unreasonably to disadvantage. </w:t>
            </w:r>
          </w:p>
          <w:p w14:paraId="656511A6" w14:textId="77777777" w:rsidR="00C150E9" w:rsidRDefault="00C150E9" w:rsidP="00C150E9">
            <w:pPr>
              <w:pStyle w:val="Body"/>
              <w:numPr>
                <w:ilvl w:val="0"/>
                <w:numId w:val="188"/>
              </w:numPr>
            </w:pPr>
            <w:r>
              <w:t xml:space="preserve">Highly relevant to the finding that the disadvantage to the agencies was ‘unreasonable’, was the fact that in each case, the applicants had a long history of dispute with the respective agencies and would be able to link information in the documents with existing knowledge or draw inferences from the information in the documents because of existing knowledge. </w:t>
            </w:r>
          </w:p>
          <w:p w14:paraId="71630064" w14:textId="77777777" w:rsidR="00C150E9" w:rsidRPr="00F36BF4" w:rsidRDefault="00C150E9" w:rsidP="00C150E9">
            <w:pPr>
              <w:pStyle w:val="Body"/>
              <w:numPr>
                <w:ilvl w:val="0"/>
                <w:numId w:val="188"/>
              </w:numPr>
            </w:pPr>
            <w:r>
              <w:t>VCAT found there was considerable risk the applicants would use the information in the documents mischievously to further their campaigns against the agencies, including by taking the information out of context, commencing further litigation, and exposing officers of the agencies and employees of the law firm, to unwarranted and misplaced criticism.</w:t>
            </w:r>
            <w:r>
              <w:rPr>
                <w:rStyle w:val="FootnoteReference"/>
              </w:rPr>
              <w:footnoteReference w:id="71"/>
            </w:r>
          </w:p>
        </w:tc>
      </w:tr>
    </w:tbl>
    <w:p w14:paraId="396EBF27" w14:textId="77777777" w:rsidR="00C150E9" w:rsidRDefault="00C150E9" w:rsidP="00C150E9">
      <w:pPr>
        <w:pStyle w:val="3BodyInteger"/>
        <w:numPr>
          <w:ilvl w:val="0"/>
          <w:numId w:val="0"/>
        </w:numPr>
      </w:pP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23EFFAFE" w14:textId="77777777" w:rsidTr="00F12D53">
        <w:trPr>
          <w:trHeight w:val="402"/>
        </w:trPr>
        <w:tc>
          <w:tcPr>
            <w:tcW w:w="8931" w:type="dxa"/>
            <w:shd w:val="clear" w:color="auto" w:fill="FFFEC6"/>
          </w:tcPr>
          <w:p w14:paraId="68A81B99" w14:textId="77777777" w:rsidR="00C150E9" w:rsidRDefault="00C150E9" w:rsidP="00F12D53">
            <w:pPr>
              <w:pStyle w:val="Body"/>
              <w:rPr>
                <w:b/>
                <w:bCs/>
              </w:rPr>
            </w:pPr>
            <w:r w:rsidRPr="00C53746">
              <w:rPr>
                <w:b/>
                <w:bCs/>
              </w:rPr>
              <w:t>Example</w:t>
            </w:r>
            <w:r>
              <w:rPr>
                <w:b/>
                <w:bCs/>
              </w:rPr>
              <w:t xml:space="preserve"> – Master plan and business case</w:t>
            </w:r>
          </w:p>
          <w:bookmarkStart w:id="27" w:name="_Hlk144973999"/>
          <w:p w14:paraId="1437B405" w14:textId="77777777" w:rsidR="00C150E9" w:rsidRDefault="00C150E9" w:rsidP="00F12D53">
            <w:pPr>
              <w:pStyle w:val="Body"/>
              <w:rPr>
                <w:b/>
                <w:bCs/>
              </w:rPr>
            </w:pPr>
            <w:r w:rsidRPr="00D926D0">
              <w:rPr>
                <w:b/>
                <w:bCs/>
              </w:rPr>
              <w:fldChar w:fldCharType="begin"/>
            </w:r>
            <w:r w:rsidRPr="00D926D0">
              <w:rPr>
                <w:b/>
                <w:bCs/>
              </w:rPr>
              <w:instrText>HYPERLINK "http://www.austlii.edu.au/cgi-bin/viewdoc/au/cases/vic/VCAT/2022/721.html"</w:instrText>
            </w:r>
            <w:r w:rsidRPr="00D926D0">
              <w:rPr>
                <w:b/>
                <w:bCs/>
              </w:rPr>
            </w:r>
            <w:r w:rsidRPr="00D926D0">
              <w:rPr>
                <w:b/>
                <w:bCs/>
              </w:rPr>
              <w:fldChar w:fldCharType="separate"/>
            </w:r>
            <w:r w:rsidRPr="00D926D0">
              <w:rPr>
                <w:rStyle w:val="Hyperlink"/>
                <w:b/>
                <w:bCs/>
                <w:i/>
                <w:iCs/>
              </w:rPr>
              <w:t>Davis v Department of Transport</w:t>
            </w:r>
            <w:r w:rsidRPr="00D926D0">
              <w:rPr>
                <w:rStyle w:val="Hyperlink"/>
                <w:b/>
                <w:bCs/>
              </w:rPr>
              <w:t xml:space="preserve"> [2022] VCAT 721</w:t>
            </w:r>
            <w:r w:rsidRPr="00D926D0">
              <w:rPr>
                <w:b/>
                <w:bCs/>
              </w:rPr>
              <w:fldChar w:fldCharType="end"/>
            </w:r>
          </w:p>
          <w:bookmarkEnd w:id="27"/>
          <w:p w14:paraId="3801EBD3" w14:textId="77777777" w:rsidR="00C150E9" w:rsidRDefault="00C150E9" w:rsidP="00F12D53">
            <w:pPr>
              <w:pStyle w:val="Body"/>
            </w:pPr>
            <w:r w:rsidRPr="00D926D0">
              <w:rPr>
                <w:b/>
                <w:bCs/>
              </w:rPr>
              <w:t>Background</w:t>
            </w:r>
            <w:r>
              <w:t>:</w:t>
            </w:r>
          </w:p>
          <w:p w14:paraId="3CC0C67C" w14:textId="77777777" w:rsidR="00C150E9" w:rsidRDefault="00C150E9" w:rsidP="00C150E9">
            <w:pPr>
              <w:pStyle w:val="Body"/>
              <w:numPr>
                <w:ilvl w:val="0"/>
                <w:numId w:val="185"/>
              </w:numPr>
            </w:pPr>
            <w:r>
              <w:t>The Applicant requested access to a master plan and business case for future government consideration of a long-term upgrade to a train station owned by the State Government, including precinct development and commercial opportunities.</w:t>
            </w:r>
          </w:p>
          <w:p w14:paraId="4A8B4BCD" w14:textId="77777777" w:rsidR="00C150E9" w:rsidRDefault="00C150E9" w:rsidP="00C150E9">
            <w:pPr>
              <w:pStyle w:val="Body"/>
              <w:numPr>
                <w:ilvl w:val="0"/>
                <w:numId w:val="185"/>
              </w:numPr>
            </w:pPr>
            <w:r>
              <w:t>The Department refused access in part to the document under section 34(4)(a)(ii) and other exemptions.</w:t>
            </w:r>
          </w:p>
          <w:p w14:paraId="5CE7DF9F" w14:textId="77777777" w:rsidR="00C150E9" w:rsidRPr="006D1ED5" w:rsidRDefault="00C150E9" w:rsidP="00F12D53">
            <w:pPr>
              <w:pStyle w:val="Body"/>
              <w:rPr>
                <w:b/>
                <w:bCs/>
              </w:rPr>
            </w:pPr>
            <w:r w:rsidRPr="006D1ED5">
              <w:rPr>
                <w:b/>
                <w:bCs/>
              </w:rPr>
              <w:t>Department’s evidence</w:t>
            </w:r>
            <w:r>
              <w:rPr>
                <w:b/>
                <w:bCs/>
              </w:rPr>
              <w:t>:</w:t>
            </w:r>
          </w:p>
          <w:p w14:paraId="467AC308" w14:textId="77777777" w:rsidR="00C150E9" w:rsidRDefault="00C150E9" w:rsidP="00C150E9">
            <w:pPr>
              <w:pStyle w:val="Body"/>
              <w:numPr>
                <w:ilvl w:val="0"/>
                <w:numId w:val="187"/>
              </w:numPr>
              <w:ind w:left="744"/>
            </w:pPr>
            <w:r>
              <w:t>The Department argued that it is obliged to maximise any commercial benefits to the taxpayer when engaging in property dealings and transactions.</w:t>
            </w:r>
          </w:p>
          <w:p w14:paraId="6E98F5CD" w14:textId="77777777" w:rsidR="00C150E9" w:rsidRDefault="00C150E9" w:rsidP="00C150E9">
            <w:pPr>
              <w:pStyle w:val="Body"/>
              <w:numPr>
                <w:ilvl w:val="0"/>
                <w:numId w:val="185"/>
              </w:numPr>
            </w:pPr>
            <w:r>
              <w:t>D</w:t>
            </w:r>
            <w:r w:rsidRPr="00D926D0">
              <w:t>isclosure of financial estimates, and other business and commercial information</w:t>
            </w:r>
            <w:r>
              <w:t xml:space="preserve"> in the document</w:t>
            </w:r>
            <w:r w:rsidRPr="00D926D0">
              <w:t>, would be likely to prejudice current or future commercial negotiations carried out by the State, or undermine the State’s commercial position</w:t>
            </w:r>
            <w:r>
              <w:t>.</w:t>
            </w:r>
            <w:r>
              <w:rPr>
                <w:rStyle w:val="FootnoteReference"/>
              </w:rPr>
              <w:footnoteReference w:id="72"/>
            </w:r>
          </w:p>
          <w:p w14:paraId="7D1AA8E3" w14:textId="77777777" w:rsidR="00C150E9" w:rsidRDefault="00C150E9" w:rsidP="00C150E9">
            <w:pPr>
              <w:pStyle w:val="Body"/>
              <w:numPr>
                <w:ilvl w:val="0"/>
                <w:numId w:val="185"/>
              </w:numPr>
            </w:pPr>
            <w:r>
              <w:t xml:space="preserve">In its evidence, the Department pointed to an undisclosed item in the document, </w:t>
            </w:r>
            <w:r w:rsidRPr="00D926D0">
              <w:t xml:space="preserve">explaining that it placed a value on a potential future transaction. </w:t>
            </w:r>
            <w:r>
              <w:t>The Department argued</w:t>
            </w:r>
            <w:r w:rsidRPr="00D926D0">
              <w:t xml:space="preserve"> that disclosure of that information </w:t>
            </w:r>
            <w:r>
              <w:t xml:space="preserve">to potential future purchasers </w:t>
            </w:r>
            <w:r w:rsidRPr="00D926D0">
              <w:t>would be commercially disadvantageous to the State</w:t>
            </w:r>
            <w:r>
              <w:t xml:space="preserve">, and the </w:t>
            </w:r>
            <w:r w:rsidRPr="00D926D0">
              <w:t>very indication that the State may be considering options of th</w:t>
            </w:r>
            <w:r>
              <w:t>is</w:t>
            </w:r>
            <w:r w:rsidRPr="00D926D0">
              <w:t xml:space="preserve"> kind</w:t>
            </w:r>
            <w:r>
              <w:t xml:space="preserve">, </w:t>
            </w:r>
            <w:r w:rsidRPr="00D926D0">
              <w:t>ha</w:t>
            </w:r>
            <w:r>
              <w:t>d</w:t>
            </w:r>
            <w:r w:rsidRPr="00D926D0">
              <w:t xml:space="preserve"> the potential to disadvantage </w:t>
            </w:r>
            <w:r>
              <w:t>the State</w:t>
            </w:r>
            <w:r w:rsidRPr="00D926D0">
              <w:t xml:space="preserve"> commercially</w:t>
            </w:r>
            <w:r>
              <w:t>.</w:t>
            </w:r>
          </w:p>
          <w:p w14:paraId="02CE1091" w14:textId="77777777" w:rsidR="00C150E9" w:rsidRDefault="00C150E9" w:rsidP="00C150E9">
            <w:pPr>
              <w:pStyle w:val="Body"/>
              <w:numPr>
                <w:ilvl w:val="0"/>
                <w:numId w:val="185"/>
              </w:numPr>
            </w:pPr>
            <w:r>
              <w:t>Disclosure would allow potential purchasers to access information from which they could strengthen their bargaining position at the expense of the Department and ultimately the taxpayer.</w:t>
            </w:r>
          </w:p>
          <w:p w14:paraId="365E4725" w14:textId="77777777" w:rsidR="00C150E9" w:rsidRPr="00ED6224" w:rsidRDefault="00C150E9" w:rsidP="00F12D53">
            <w:pPr>
              <w:pStyle w:val="Body"/>
              <w:rPr>
                <w:b/>
                <w:bCs/>
              </w:rPr>
            </w:pPr>
            <w:r w:rsidRPr="00ED6224">
              <w:rPr>
                <w:b/>
                <w:bCs/>
              </w:rPr>
              <w:t>Decision:</w:t>
            </w:r>
          </w:p>
          <w:p w14:paraId="59DC2052" w14:textId="77777777" w:rsidR="00C150E9" w:rsidRDefault="00C150E9" w:rsidP="00C150E9">
            <w:pPr>
              <w:pStyle w:val="Body"/>
              <w:numPr>
                <w:ilvl w:val="0"/>
                <w:numId w:val="186"/>
              </w:numPr>
            </w:pPr>
            <w:r>
              <w:t xml:space="preserve">VCAT accepted </w:t>
            </w:r>
            <w:r w:rsidRPr="00D926D0">
              <w:t>that the Department was engaged in trade or commerce with respect to the project on behalf of the State, and it would be officers of the Department who would be engaged in any future negotiations</w:t>
            </w:r>
            <w:r>
              <w:t xml:space="preserve"> with the private sector about development options for the site</w:t>
            </w:r>
            <w:r w:rsidRPr="00D926D0">
              <w:t>.</w:t>
            </w:r>
            <w:r w:rsidRPr="00D926D0">
              <w:rPr>
                <w:vertAlign w:val="superscript"/>
              </w:rPr>
              <w:footnoteReference w:id="73"/>
            </w:r>
          </w:p>
          <w:p w14:paraId="6CD0DE60" w14:textId="77777777" w:rsidR="00C150E9" w:rsidRPr="00F36BF4" w:rsidRDefault="00C150E9" w:rsidP="00C150E9">
            <w:pPr>
              <w:pStyle w:val="Body"/>
              <w:numPr>
                <w:ilvl w:val="0"/>
                <w:numId w:val="186"/>
              </w:numPr>
            </w:pPr>
            <w:r>
              <w:t>VCAT accepted the Department’s evidence that it would be likely to be exposed unreasonably to disadvantage if the document was disclosed.</w:t>
            </w:r>
          </w:p>
        </w:tc>
      </w:tr>
    </w:tbl>
    <w:p w14:paraId="72388E00" w14:textId="77777777" w:rsidR="00C150E9" w:rsidRDefault="00C150E9" w:rsidP="00C150E9">
      <w:pPr>
        <w:pStyle w:val="2HeadingLevel2"/>
      </w:pPr>
      <w:bookmarkStart w:id="28" w:name="_Toc150764353"/>
      <w:r>
        <w:t>Consultation with another agency – section 34(4)(a)(</w:t>
      </w:r>
      <w:proofErr w:type="spellStart"/>
      <w:r>
        <w:t>i</w:t>
      </w:r>
      <w:proofErr w:type="spellEnd"/>
      <w:r>
        <w:t>) and (ii) exemptions</w:t>
      </w:r>
      <w:bookmarkEnd w:id="28"/>
    </w:p>
    <w:p w14:paraId="7EAC8CC2" w14:textId="77777777" w:rsidR="00C150E9" w:rsidRDefault="00C150E9" w:rsidP="00C150E9">
      <w:pPr>
        <w:pStyle w:val="3BodyInteger"/>
      </w:pPr>
      <w:r>
        <w:t>The Act does not require an agency to consult with any other agency to which the information relates prior to making a decision under section 34(4)(a)(</w:t>
      </w:r>
      <w:proofErr w:type="spellStart"/>
      <w:r>
        <w:t>i</w:t>
      </w:r>
      <w:proofErr w:type="spellEnd"/>
      <w:r>
        <w:t xml:space="preserve">) or (ii). </w:t>
      </w:r>
    </w:p>
    <w:p w14:paraId="3CA0EAEF" w14:textId="77777777" w:rsidR="00C150E9" w:rsidRDefault="00C150E9" w:rsidP="00C150E9">
      <w:pPr>
        <w:pStyle w:val="3BodyInteger"/>
      </w:pPr>
      <w:r>
        <w:t xml:space="preserve">There is also no right to seek review by the other agency. However, the other agency may have a right to apply to be joined as a party under section 60 of the </w:t>
      </w:r>
      <w:hyperlink r:id="rId42" w:history="1">
        <w:r w:rsidRPr="00EB399C">
          <w:rPr>
            <w:rStyle w:val="Hyperlink"/>
          </w:rPr>
          <w:t>Victorian Civil and Administrative Tribunal Act 1998</w:t>
        </w:r>
      </w:hyperlink>
      <w:r>
        <w:t xml:space="preserve"> (Vic).</w:t>
      </w:r>
    </w:p>
    <w:p w14:paraId="0461A16E" w14:textId="77777777" w:rsidR="00C150E9" w:rsidRDefault="00C150E9" w:rsidP="00C150E9">
      <w:pPr>
        <w:pStyle w:val="2HeadingLevel2"/>
      </w:pPr>
      <w:bookmarkStart w:id="29" w:name="_Toc150764354"/>
      <w:r>
        <w:t>Section 34(4)(b) exemption – results of scientific or technical research</w:t>
      </w:r>
      <w:bookmarkEnd w:id="29"/>
    </w:p>
    <w:p w14:paraId="307A9AD4" w14:textId="77777777" w:rsidR="00C150E9" w:rsidRDefault="00C150E9" w:rsidP="00C150E9">
      <w:pPr>
        <w:pStyle w:val="3BodyInteger"/>
      </w:pPr>
      <w:r>
        <w:t xml:space="preserve">A </w:t>
      </w:r>
      <w:r w:rsidRPr="002E2F2B">
        <w:t>document or information is exempt under section 34(4)</w:t>
      </w:r>
      <w:r>
        <w:t>(b)</w:t>
      </w:r>
      <w:r w:rsidRPr="002E2F2B">
        <w:t>) if</w:t>
      </w:r>
      <w:r>
        <w:t>:</w:t>
      </w:r>
    </w:p>
    <w:p w14:paraId="6A9294C0" w14:textId="77777777" w:rsidR="00C150E9" w:rsidRDefault="00C150E9" w:rsidP="00C150E9">
      <w:pPr>
        <w:pStyle w:val="3BodyInteger"/>
        <w:numPr>
          <w:ilvl w:val="2"/>
          <w:numId w:val="15"/>
        </w:numPr>
      </w:pPr>
      <w:r>
        <w:t>it contains the results of scientific or technical research (</w:t>
      </w:r>
      <w:r w:rsidRPr="00072041">
        <w:rPr>
          <w:b/>
          <w:bCs/>
        </w:rPr>
        <w:t>research</w:t>
      </w:r>
      <w:r>
        <w:t>); and</w:t>
      </w:r>
    </w:p>
    <w:p w14:paraId="14616C82" w14:textId="77777777" w:rsidR="00C150E9" w:rsidRDefault="00C150E9" w:rsidP="00C150E9">
      <w:pPr>
        <w:pStyle w:val="3BodyInteger"/>
        <w:numPr>
          <w:ilvl w:val="2"/>
          <w:numId w:val="15"/>
        </w:numPr>
      </w:pPr>
      <w:r>
        <w:t>the research is undertaken by an officer of an agency; and</w:t>
      </w:r>
    </w:p>
    <w:p w14:paraId="788C7A22" w14:textId="77777777" w:rsidR="00C150E9" w:rsidRDefault="00C150E9" w:rsidP="00C150E9">
      <w:pPr>
        <w:pStyle w:val="3BodyInteger"/>
        <w:numPr>
          <w:ilvl w:val="3"/>
          <w:numId w:val="15"/>
        </w:numPr>
      </w:pPr>
      <w:r>
        <w:t>the research could lead to a patentable invention (section 34(4)(b)(</w:t>
      </w:r>
      <w:proofErr w:type="spellStart"/>
      <w:r>
        <w:t>i</w:t>
      </w:r>
      <w:proofErr w:type="spellEnd"/>
      <w:r>
        <w:t>)); or</w:t>
      </w:r>
    </w:p>
    <w:p w14:paraId="4036726C" w14:textId="77777777" w:rsidR="00C150E9" w:rsidRDefault="00C150E9" w:rsidP="00C150E9">
      <w:pPr>
        <w:pStyle w:val="3BodyInteger"/>
        <w:numPr>
          <w:ilvl w:val="3"/>
          <w:numId w:val="15"/>
        </w:numPr>
      </w:pPr>
      <w:r>
        <w:t xml:space="preserve">the research is not yet completed, and disclosure of the incomplete results would be reasonably likely to: </w:t>
      </w:r>
    </w:p>
    <w:p w14:paraId="03D06DAF" w14:textId="77777777" w:rsidR="00C150E9" w:rsidRDefault="00C150E9" w:rsidP="00C150E9">
      <w:pPr>
        <w:pStyle w:val="3BodyInteger"/>
        <w:numPr>
          <w:ilvl w:val="4"/>
          <w:numId w:val="15"/>
        </w:numPr>
      </w:pPr>
      <w:r>
        <w:t>expose a business, commercial or financial undertaking unreasonably to disadvantage (section 34(4)(b)(ii)); or</w:t>
      </w:r>
    </w:p>
    <w:p w14:paraId="6E0C7AE2" w14:textId="77777777" w:rsidR="00C150E9" w:rsidRDefault="00C150E9" w:rsidP="00C150E9">
      <w:pPr>
        <w:pStyle w:val="3BodyInteger"/>
        <w:numPr>
          <w:ilvl w:val="4"/>
          <w:numId w:val="15"/>
        </w:numPr>
      </w:pPr>
      <w:r>
        <w:t>expose the agency or the officer of the agency unreasonably to disadvantage (section 34(4)(b)(iii))</w:t>
      </w:r>
      <w:r w:rsidRPr="00E361F1">
        <w:t xml:space="preserve">. </w:t>
      </w:r>
    </w:p>
    <w:p w14:paraId="6FD325A9" w14:textId="77777777" w:rsidR="00C150E9" w:rsidRDefault="00C150E9" w:rsidP="00C150E9">
      <w:pPr>
        <w:pStyle w:val="3SubheadingLevel3"/>
      </w:pPr>
      <w:r>
        <w:t>Scientific or technical research</w:t>
      </w:r>
    </w:p>
    <w:p w14:paraId="1258C473" w14:textId="77777777" w:rsidR="00C150E9" w:rsidRDefault="00C150E9" w:rsidP="00C150E9">
      <w:pPr>
        <w:pStyle w:val="3BodyInteger"/>
      </w:pPr>
      <w:r>
        <w:t>The words ‘scientific’ and ‘technical’ should be given their ordinary meaning.</w:t>
      </w:r>
      <w:r>
        <w:rPr>
          <w:rStyle w:val="FootnoteReference"/>
        </w:rPr>
        <w:footnoteReference w:id="74"/>
      </w:r>
    </w:p>
    <w:p w14:paraId="72753396" w14:textId="77777777" w:rsidR="00C150E9" w:rsidRDefault="00C150E9" w:rsidP="00C150E9">
      <w:pPr>
        <w:pStyle w:val="3BodyInteger"/>
      </w:pPr>
      <w:r>
        <w:t>The word scientific includes physics, chemistry and the social sciences.</w:t>
      </w:r>
      <w:r>
        <w:rPr>
          <w:rStyle w:val="FootnoteReference"/>
        </w:rPr>
        <w:footnoteReference w:id="75"/>
      </w:r>
      <w:r>
        <w:t xml:space="preserve"> </w:t>
      </w:r>
    </w:p>
    <w:p w14:paraId="1548EA18" w14:textId="77777777" w:rsidR="00C150E9" w:rsidRDefault="00C150E9" w:rsidP="00C150E9">
      <w:pPr>
        <w:pStyle w:val="3BodyInteger"/>
      </w:pPr>
      <w:r>
        <w:t>The word technical includes things which belong to, relate to, are appropriate to, peculiar to or characteristic of a particular art, science, profession or occupation including the technical arts and applied sciences.</w:t>
      </w:r>
      <w:r>
        <w:rPr>
          <w:rStyle w:val="FootnoteReference"/>
        </w:rPr>
        <w:footnoteReference w:id="76"/>
      </w:r>
    </w:p>
    <w:p w14:paraId="29496413" w14:textId="77777777" w:rsidR="00C150E9" w:rsidRDefault="00C150E9" w:rsidP="00C150E9">
      <w:pPr>
        <w:pStyle w:val="3SubheadingLevel3"/>
      </w:pPr>
      <w:r>
        <w:t>Officer of an agency</w:t>
      </w:r>
    </w:p>
    <w:p w14:paraId="7F910012" w14:textId="77777777" w:rsidR="00C150E9" w:rsidRDefault="00C150E9" w:rsidP="00C150E9">
      <w:pPr>
        <w:pStyle w:val="3BodyInteger"/>
      </w:pPr>
      <w:r w:rsidRPr="00332257">
        <w:t xml:space="preserve">The term ‘officer’ is defined in </w:t>
      </w:r>
      <w:r w:rsidRPr="00B04FF4">
        <w:t>section 5(1).</w:t>
      </w:r>
      <w:r>
        <w:t xml:space="preserve"> It includes independent contractors and consultants engaged by an agency to carry out work or provide services.</w:t>
      </w:r>
      <w:r>
        <w:rPr>
          <w:rStyle w:val="FootnoteReference"/>
        </w:rPr>
        <w:footnoteReference w:id="77"/>
      </w:r>
      <w:r w:rsidRPr="00332257">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C150E9" w:rsidRPr="00A02939" w14:paraId="77F44DDB" w14:textId="77777777" w:rsidTr="00F12D53">
        <w:tc>
          <w:tcPr>
            <w:tcW w:w="8466" w:type="dxa"/>
            <w:shd w:val="clear" w:color="auto" w:fill="F4F3F2"/>
          </w:tcPr>
          <w:p w14:paraId="78BCA434" w14:textId="2B164ED7" w:rsidR="00C150E9" w:rsidRPr="00A02939" w:rsidRDefault="00C150E9" w:rsidP="00F12D53">
            <w:pPr>
              <w:pStyle w:val="Body"/>
            </w:pPr>
            <w:bookmarkStart w:id="32" w:name="_Hlk144896785"/>
            <w:r>
              <w:t xml:space="preserve">For more information </w:t>
            </w:r>
            <w:r w:rsidRPr="003044BC">
              <w:t xml:space="preserve">read </w:t>
            </w:r>
            <w:hyperlink r:id="rId43" w:history="1">
              <w:r w:rsidRPr="003044BC">
                <w:rPr>
                  <w:rStyle w:val="Hyperlink"/>
                </w:rPr>
                <w:t>section 5</w:t>
              </w:r>
            </w:hyperlink>
            <w:r>
              <w:t xml:space="preserve"> of the Guidelines.</w:t>
            </w:r>
          </w:p>
        </w:tc>
      </w:tr>
    </w:tbl>
    <w:bookmarkEnd w:id="32"/>
    <w:p w14:paraId="725BCB35" w14:textId="77777777" w:rsidR="00C150E9" w:rsidRDefault="00C150E9" w:rsidP="00C150E9">
      <w:pPr>
        <w:pStyle w:val="3SubheadingLevel3"/>
      </w:pPr>
      <w:r>
        <w:t>Patentable invention</w:t>
      </w:r>
    </w:p>
    <w:p w14:paraId="468FABD0" w14:textId="77777777" w:rsidR="00C150E9" w:rsidRDefault="00C150E9" w:rsidP="00C150E9">
      <w:pPr>
        <w:pStyle w:val="3BodyInteger"/>
      </w:pPr>
      <w:r>
        <w:t>A patent protects any device, substance, method or process that is new, inventive or useful.</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C150E9" w:rsidRPr="00A02939" w14:paraId="0D2CB464" w14:textId="77777777" w:rsidTr="00F12D53">
        <w:tc>
          <w:tcPr>
            <w:tcW w:w="8466" w:type="dxa"/>
            <w:shd w:val="clear" w:color="auto" w:fill="F4F3F2"/>
          </w:tcPr>
          <w:p w14:paraId="10BF1246" w14:textId="77777777" w:rsidR="00C150E9" w:rsidRPr="00A02939" w:rsidRDefault="00C150E9" w:rsidP="00F12D53">
            <w:pPr>
              <w:pStyle w:val="Body"/>
            </w:pPr>
            <w:bookmarkStart w:id="33" w:name="_Hlk144897253"/>
            <w:r>
              <w:t xml:space="preserve">For more information visit </w:t>
            </w:r>
            <w:hyperlink r:id="rId44" w:history="1">
              <w:r w:rsidRPr="00F33D61">
                <w:rPr>
                  <w:rStyle w:val="Hyperlink"/>
                </w:rPr>
                <w:t>IP Australia</w:t>
              </w:r>
            </w:hyperlink>
            <w:r>
              <w:t>.</w:t>
            </w:r>
          </w:p>
        </w:tc>
      </w:tr>
    </w:tbl>
    <w:bookmarkEnd w:id="33"/>
    <w:p w14:paraId="07111335" w14:textId="77777777" w:rsidR="00C150E9" w:rsidRDefault="00C150E9" w:rsidP="00C150E9">
      <w:pPr>
        <w:pStyle w:val="3SubheadingLevel3"/>
      </w:pPr>
      <w:r>
        <w:t>Disclosure of incomplete results would be reasonably likely to expose undertaking or agency to disadvantage</w:t>
      </w:r>
    </w:p>
    <w:p w14:paraId="351A988B" w14:textId="77777777" w:rsidR="00C150E9" w:rsidRDefault="00C150E9" w:rsidP="00C150E9">
      <w:pPr>
        <w:pStyle w:val="3BodyInteger"/>
      </w:pPr>
      <w:r>
        <w:t>The exemption will not apply to the results of research if the research has been finalised.</w:t>
      </w:r>
      <w:r>
        <w:rPr>
          <w:rStyle w:val="FootnoteReference"/>
        </w:rPr>
        <w:footnoteReference w:id="78"/>
      </w:r>
      <w:r>
        <w:t xml:space="preserve"> </w:t>
      </w:r>
    </w:p>
    <w:p w14:paraId="585AE07D" w14:textId="77777777" w:rsidR="00C150E9" w:rsidRDefault="00C150E9" w:rsidP="00C150E9">
      <w:pPr>
        <w:pStyle w:val="3BodyInteger"/>
      </w:pPr>
      <w:r>
        <w:t>A research project may extend over months or years, with many stages, and with interim or preliminary results being achieved at those various stages. The exemption is intended to apply to results achieved at these earlier stages of a research project.</w:t>
      </w:r>
      <w:r>
        <w:rPr>
          <w:rStyle w:val="FootnoteReference"/>
        </w:rPr>
        <w:footnoteReference w:id="79"/>
      </w:r>
    </w:p>
    <w:p w14:paraId="31630D01" w14:textId="77777777" w:rsidR="00C150E9" w:rsidRDefault="00C150E9" w:rsidP="00C150E9">
      <w:pPr>
        <w:pStyle w:val="3BodyInteger"/>
      </w:pPr>
      <w:r>
        <w:t>Examples of where there may be an unreasonable disadvantage include where premature disclosure would be reasonably likely to:</w:t>
      </w:r>
    </w:p>
    <w:p w14:paraId="3FF6A0ED" w14:textId="77777777" w:rsidR="00C150E9" w:rsidRDefault="00C150E9" w:rsidP="00C150E9">
      <w:pPr>
        <w:pStyle w:val="3BodyInteger"/>
        <w:numPr>
          <w:ilvl w:val="2"/>
          <w:numId w:val="179"/>
        </w:numPr>
      </w:pPr>
      <w:r>
        <w:t xml:space="preserve">lead to a misleading conclusion as to the likely results and outcome of the research project; or </w:t>
      </w:r>
    </w:p>
    <w:p w14:paraId="73887B76" w14:textId="77777777" w:rsidR="00C150E9" w:rsidRDefault="00C150E9" w:rsidP="00C150E9">
      <w:pPr>
        <w:pStyle w:val="3BodyInteger"/>
        <w:numPr>
          <w:ilvl w:val="2"/>
          <w:numId w:val="179"/>
        </w:numPr>
      </w:pPr>
      <w:r>
        <w:t>affect the undertaking’s competitiveness in overseas markets.</w:t>
      </w:r>
      <w:r>
        <w:rPr>
          <w:rStyle w:val="FootnoteReference"/>
        </w:rPr>
        <w:footnoteReference w:id="80"/>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3F2"/>
        <w:tblLook w:val="04A0" w:firstRow="1" w:lastRow="0" w:firstColumn="1" w:lastColumn="0" w:noHBand="0" w:noVBand="1"/>
      </w:tblPr>
      <w:tblGrid>
        <w:gridCol w:w="8466"/>
      </w:tblGrid>
      <w:tr w:rsidR="00C150E9" w:rsidRPr="00A02939" w14:paraId="46727C7B" w14:textId="77777777" w:rsidTr="00F12D53">
        <w:tc>
          <w:tcPr>
            <w:tcW w:w="8466" w:type="dxa"/>
            <w:shd w:val="clear" w:color="auto" w:fill="F4F3F2"/>
          </w:tcPr>
          <w:p w14:paraId="55F55620" w14:textId="77777777" w:rsidR="00C150E9" w:rsidRDefault="00C150E9" w:rsidP="00F12D53">
            <w:pPr>
              <w:pStyle w:val="3BodyInteger"/>
              <w:numPr>
                <w:ilvl w:val="0"/>
                <w:numId w:val="0"/>
              </w:numPr>
              <w:ind w:left="432" w:hanging="432"/>
            </w:pPr>
            <w:r>
              <w:t>For information about this condition of the exemption, see the sections above titled:</w:t>
            </w:r>
          </w:p>
          <w:p w14:paraId="3FF5F7FF" w14:textId="77777777" w:rsidR="00C150E9" w:rsidRDefault="00C150E9" w:rsidP="00C150E9">
            <w:pPr>
              <w:pStyle w:val="3BodyInteger"/>
              <w:numPr>
                <w:ilvl w:val="1"/>
                <w:numId w:val="180"/>
              </w:numPr>
            </w:pPr>
            <w:r>
              <w:t>Section 34(1)(b) exemption – likely to expose the undertaking unreasonably to disadvantage; and</w:t>
            </w:r>
          </w:p>
          <w:p w14:paraId="5A37BA77" w14:textId="77777777" w:rsidR="00C150E9" w:rsidRDefault="00C150E9" w:rsidP="00C150E9">
            <w:pPr>
              <w:pStyle w:val="3BodyInteger"/>
              <w:numPr>
                <w:ilvl w:val="1"/>
                <w:numId w:val="180"/>
              </w:numPr>
            </w:pPr>
            <w:r>
              <w:t>Section 34(4)(a)(</w:t>
            </w:r>
            <w:proofErr w:type="spellStart"/>
            <w:r>
              <w:t>i</w:t>
            </w:r>
            <w:proofErr w:type="spellEnd"/>
            <w:r>
              <w:t xml:space="preserve">) and (ii) exemptions – common element – likely to expose the agency unreasonably to disadvantage. </w:t>
            </w:r>
          </w:p>
          <w:p w14:paraId="26F9565A" w14:textId="33FDEDCD" w:rsidR="00C150E9" w:rsidRPr="00A02939" w:rsidRDefault="00C150E9" w:rsidP="00F12D53">
            <w:pPr>
              <w:pStyle w:val="3BodyInteger"/>
              <w:numPr>
                <w:ilvl w:val="0"/>
                <w:numId w:val="0"/>
              </w:numPr>
              <w:ind w:left="432" w:hanging="432"/>
            </w:pPr>
            <w:r>
              <w:t xml:space="preserve">See also </w:t>
            </w:r>
            <w:hyperlink r:id="rId45" w:history="1">
              <w:r w:rsidR="00076B11" w:rsidRPr="00076B11">
                <w:rPr>
                  <w:rStyle w:val="Hyperlink"/>
                </w:rPr>
                <w:t>s</w:t>
              </w:r>
              <w:r w:rsidRPr="00076B11">
                <w:rPr>
                  <w:rStyle w:val="Hyperlink"/>
                </w:rPr>
                <w:t>ection 35(1)(b)</w:t>
              </w:r>
            </w:hyperlink>
            <w:r>
              <w:t xml:space="preserve"> – the meaning of ‘reasonably likely’.</w:t>
            </w:r>
          </w:p>
        </w:tc>
      </w:tr>
    </w:tbl>
    <w:p w14:paraId="311E66F5" w14:textId="77777777" w:rsidR="00C150E9" w:rsidRDefault="00C150E9" w:rsidP="00C150E9">
      <w:pPr>
        <w:pStyle w:val="3SubheadingLevel3"/>
      </w:pPr>
      <w:r>
        <w:t>Case example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9498"/>
      </w:tblGrid>
      <w:tr w:rsidR="00C150E9" w:rsidRPr="00392453" w14:paraId="373D0F55" w14:textId="77777777" w:rsidTr="006518EE">
        <w:trPr>
          <w:trHeight w:val="402"/>
        </w:trPr>
        <w:tc>
          <w:tcPr>
            <w:tcW w:w="9498" w:type="dxa"/>
            <w:shd w:val="clear" w:color="auto" w:fill="FFFEC6"/>
          </w:tcPr>
          <w:bookmarkStart w:id="34" w:name="_Hlk144898499"/>
          <w:p w14:paraId="76608A89" w14:textId="77777777" w:rsidR="00C150E9" w:rsidRPr="00CF3EEF" w:rsidRDefault="00C150E9" w:rsidP="00F12D53">
            <w:pPr>
              <w:pStyle w:val="Body"/>
              <w:rPr>
                <w:b/>
                <w:bCs/>
                <w:i/>
                <w:iCs/>
              </w:rPr>
            </w:pPr>
            <w:r w:rsidRPr="00CF3EEF">
              <w:rPr>
                <w:b/>
                <w:bCs/>
                <w:i/>
                <w:iCs/>
              </w:rPr>
              <w:fldChar w:fldCharType="begin"/>
            </w:r>
            <w:r w:rsidRPr="00CF3EEF">
              <w:rPr>
                <w:b/>
                <w:bCs/>
                <w:i/>
                <w:iCs/>
              </w:rPr>
              <w:instrText>HYPERLINK "http://www.austlii.edu.au/cgi-bin/viewdoc/au/cases/vic/VCAT/2016/1596.html"</w:instrText>
            </w:r>
            <w:r w:rsidRPr="00CF3EEF">
              <w:rPr>
                <w:b/>
                <w:bCs/>
                <w:i/>
                <w:iCs/>
              </w:rPr>
            </w:r>
            <w:r w:rsidRPr="00CF3EEF">
              <w:rPr>
                <w:b/>
                <w:bCs/>
                <w:i/>
                <w:iCs/>
              </w:rPr>
              <w:fldChar w:fldCharType="separate"/>
            </w:r>
            <w:r w:rsidRPr="00CF3EEF">
              <w:rPr>
                <w:rStyle w:val="Hyperlink"/>
                <w:b/>
                <w:bCs/>
              </w:rPr>
              <w:t>Johnson v Cancer Council of Victoria [2016] VCAT 1596</w:t>
            </w:r>
            <w:r w:rsidRPr="00CF3EEF">
              <w:rPr>
                <w:b/>
                <w:bCs/>
                <w:i/>
                <w:iCs/>
              </w:rPr>
              <w:fldChar w:fldCharType="end"/>
            </w:r>
            <w:bookmarkEnd w:id="34"/>
          </w:p>
          <w:p w14:paraId="70AF992F" w14:textId="77777777" w:rsidR="00C150E9" w:rsidRPr="00CC6B3D" w:rsidRDefault="00C150E9" w:rsidP="00F12D53">
            <w:pPr>
              <w:pStyle w:val="Body"/>
              <w:rPr>
                <w:b/>
                <w:bCs/>
              </w:rPr>
            </w:pPr>
            <w:r w:rsidRPr="00CC6B3D">
              <w:rPr>
                <w:b/>
                <w:bCs/>
              </w:rPr>
              <w:t>Background:</w:t>
            </w:r>
          </w:p>
          <w:p w14:paraId="1B94A42D" w14:textId="77777777" w:rsidR="00C150E9" w:rsidRDefault="00C150E9" w:rsidP="00C150E9">
            <w:pPr>
              <w:pStyle w:val="Body"/>
              <w:numPr>
                <w:ilvl w:val="1"/>
                <w:numId w:val="181"/>
              </w:numPr>
            </w:pPr>
            <w:r>
              <w:t>The applicant requested access to survey questions and response data from surveys conducted by the Cancer Council of Victoria (</w:t>
            </w:r>
            <w:r w:rsidRPr="007602C7">
              <w:rPr>
                <w:b/>
                <w:bCs/>
              </w:rPr>
              <w:t>Council</w:t>
            </w:r>
            <w:r>
              <w:t>), regarding cigarette plain packaging.</w:t>
            </w:r>
          </w:p>
          <w:p w14:paraId="306B0ED1" w14:textId="77777777" w:rsidR="00C150E9" w:rsidRDefault="00C150E9" w:rsidP="00C150E9">
            <w:pPr>
              <w:pStyle w:val="Body"/>
              <w:numPr>
                <w:ilvl w:val="1"/>
                <w:numId w:val="181"/>
              </w:numPr>
            </w:pPr>
            <w:r>
              <w:t xml:space="preserve">The Council is a research institute recognised by the National Health and Medical Research Council. It conducts behavioural research studies using a science-based approach, which aim to assist in the prevention and early detection of cancer. </w:t>
            </w:r>
          </w:p>
          <w:p w14:paraId="162431CF" w14:textId="77777777" w:rsidR="00C150E9" w:rsidRDefault="00C150E9" w:rsidP="00C150E9">
            <w:pPr>
              <w:pStyle w:val="Body"/>
              <w:numPr>
                <w:ilvl w:val="1"/>
                <w:numId w:val="181"/>
              </w:numPr>
            </w:pPr>
            <w:r>
              <w:t xml:space="preserve">The Council refused access to some working datasets under section 34(4)(b)(iii) – disclosure of incomplete search results would be reasonably likely to expose the agency or an officer of an agency unreasonably to disadvantage. </w:t>
            </w:r>
          </w:p>
          <w:p w14:paraId="0597896D" w14:textId="77777777" w:rsidR="00C150E9" w:rsidRDefault="00C150E9" w:rsidP="00C150E9">
            <w:pPr>
              <w:pStyle w:val="Body"/>
              <w:numPr>
                <w:ilvl w:val="1"/>
                <w:numId w:val="181"/>
              </w:numPr>
            </w:pPr>
            <w:r>
              <w:t>The Council argued that the working datasets were not final datasets. They contained cleaned and coded data that underlie published papers, but also contain data intended to form the basis of future planned published papers.</w:t>
            </w:r>
          </w:p>
          <w:p w14:paraId="217FC90E" w14:textId="77777777" w:rsidR="00C150E9" w:rsidRPr="00CC6B3D" w:rsidRDefault="00C150E9" w:rsidP="00F12D53">
            <w:pPr>
              <w:pStyle w:val="Body"/>
              <w:rPr>
                <w:b/>
                <w:bCs/>
              </w:rPr>
            </w:pPr>
            <w:r w:rsidRPr="00CC6B3D">
              <w:rPr>
                <w:b/>
                <w:bCs/>
              </w:rPr>
              <w:t>Decision:</w:t>
            </w:r>
          </w:p>
          <w:p w14:paraId="3E50E93D" w14:textId="77777777" w:rsidR="00C150E9" w:rsidRDefault="00C150E9" w:rsidP="00F12D53">
            <w:pPr>
              <w:pStyle w:val="Body"/>
            </w:pPr>
            <w:r>
              <w:t>VCAT found:</w:t>
            </w:r>
          </w:p>
          <w:p w14:paraId="4110AA1E" w14:textId="77777777" w:rsidR="00C150E9" w:rsidRDefault="00C150E9" w:rsidP="00C150E9">
            <w:pPr>
              <w:pStyle w:val="Body"/>
              <w:numPr>
                <w:ilvl w:val="1"/>
                <w:numId w:val="184"/>
              </w:numPr>
            </w:pPr>
            <w:r>
              <w:t xml:space="preserve">The datasets did contain the results of scientific research undertaken by the Council. </w:t>
            </w:r>
          </w:p>
          <w:p w14:paraId="375B1C63" w14:textId="77777777" w:rsidR="00C150E9" w:rsidRDefault="00C150E9" w:rsidP="00C150E9">
            <w:pPr>
              <w:pStyle w:val="Body"/>
              <w:numPr>
                <w:ilvl w:val="1"/>
                <w:numId w:val="184"/>
              </w:numPr>
            </w:pPr>
            <w:r>
              <w:t>On the basis of witness evidence, 5 of the 6 datasets did contain results of research that was not yet completed, because the results were to be the subject of additional research papers, to be published in the future.</w:t>
            </w:r>
          </w:p>
          <w:p w14:paraId="3D5CD37D" w14:textId="77777777" w:rsidR="00C150E9" w:rsidRDefault="00C150E9" w:rsidP="00C150E9">
            <w:pPr>
              <w:pStyle w:val="Body"/>
              <w:numPr>
                <w:ilvl w:val="1"/>
                <w:numId w:val="184"/>
              </w:numPr>
            </w:pPr>
            <w:r>
              <w:t>One dataset related to completed research, and therefore could not be exempt under section 34(4)(b)(iii).</w:t>
            </w:r>
          </w:p>
          <w:p w14:paraId="2D2A2DDD" w14:textId="77777777" w:rsidR="00C150E9" w:rsidRDefault="00C150E9" w:rsidP="00F12D53">
            <w:pPr>
              <w:pStyle w:val="Body"/>
            </w:pPr>
            <w:r>
              <w:t>VCAT found disclosure of the incomplete research results would be reasonably likely to expose the Council and the researchers acting on behalf of the Council, unreasonably to disadvantage. In making this finding, VCAT accepted the evidence of the Council’s researchers (at [268]-[272]) that:</w:t>
            </w:r>
          </w:p>
          <w:p w14:paraId="462E4DC1" w14:textId="77777777" w:rsidR="00C150E9" w:rsidRDefault="00C150E9" w:rsidP="00C150E9">
            <w:pPr>
              <w:pStyle w:val="Body"/>
              <w:numPr>
                <w:ilvl w:val="1"/>
                <w:numId w:val="183"/>
              </w:numPr>
            </w:pPr>
            <w:r>
              <w:t>d</w:t>
            </w:r>
            <w:r w:rsidRPr="00AD7444">
              <w:t>eliberation is an integral part of the scientific method. Researchers expect that privacy will be maintained to promote open and frank exchange of ideas within the research teams and mentoring from supervisors</w:t>
            </w:r>
            <w:r>
              <w:t>;</w:t>
            </w:r>
          </w:p>
          <w:p w14:paraId="7969B01D" w14:textId="77777777" w:rsidR="00C150E9" w:rsidRDefault="00C150E9" w:rsidP="00C150E9">
            <w:pPr>
              <w:pStyle w:val="Body"/>
              <w:numPr>
                <w:ilvl w:val="1"/>
                <w:numId w:val="183"/>
              </w:numPr>
            </w:pPr>
            <w:r>
              <w:t>premature r</w:t>
            </w:r>
            <w:r w:rsidRPr="00AD7444">
              <w:t>elease of data will disadvantage the Council’s researchers who are conducting the project, by permitting others who have nothing to do with the study to analyse and make use of the data before the Council’s researchers have the opportunity to complete their analyse</w:t>
            </w:r>
            <w:r>
              <w:t>s</w:t>
            </w:r>
            <w:r w:rsidRPr="00AD7444">
              <w:t xml:space="preserve"> of the data and prepare papers</w:t>
            </w:r>
            <w:r>
              <w:t>;</w:t>
            </w:r>
          </w:p>
          <w:p w14:paraId="669641EB" w14:textId="77777777" w:rsidR="00C150E9" w:rsidRDefault="00C150E9" w:rsidP="00C150E9">
            <w:pPr>
              <w:pStyle w:val="Body"/>
              <w:numPr>
                <w:ilvl w:val="1"/>
                <w:numId w:val="183"/>
              </w:numPr>
            </w:pPr>
            <w:r>
              <w:t>the r</w:t>
            </w:r>
            <w:r w:rsidRPr="00AD7444">
              <w:t>e</w:t>
            </w:r>
            <w:r>
              <w:t>se</w:t>
            </w:r>
            <w:r w:rsidRPr="00AD7444">
              <w:t>arch process is undertaken on the understanding that the work is in draft form, so that there is opportunity to detect and correct errors, and identify alternative interpretations of findings prior to the research being scrutinised by independent scientific reviewers when the paper is submitted for publication</w:t>
            </w:r>
            <w:r>
              <w:t>;</w:t>
            </w:r>
          </w:p>
          <w:p w14:paraId="2D6BB81A" w14:textId="77777777" w:rsidR="00C150E9" w:rsidRDefault="00C150E9" w:rsidP="00C150E9">
            <w:pPr>
              <w:pStyle w:val="Body"/>
              <w:numPr>
                <w:ilvl w:val="1"/>
                <w:numId w:val="183"/>
              </w:numPr>
            </w:pPr>
            <w:r>
              <w:t>the r</w:t>
            </w:r>
            <w:r w:rsidRPr="00AD7444">
              <w:t>esearch process involves researchers challenging each other and their work, analysing data from different perspectives, expressing sceptical views, identifying weaknesses, reaching dead-ends, re-examining hypotheses, and methods and revising data upon receiving new information. Premature publication of data would cause disadvantage</w:t>
            </w:r>
            <w:r>
              <w:t>;</w:t>
            </w:r>
          </w:p>
          <w:p w14:paraId="18828E39" w14:textId="77777777" w:rsidR="00C150E9" w:rsidRDefault="00C150E9" w:rsidP="00C150E9">
            <w:pPr>
              <w:pStyle w:val="Body"/>
              <w:numPr>
                <w:ilvl w:val="1"/>
                <w:numId w:val="183"/>
              </w:numPr>
            </w:pPr>
            <w:r>
              <w:t>in empi</w:t>
            </w:r>
            <w:r w:rsidRPr="00AD7444">
              <w:t>rical studies, researchers are judged on their final manuscript and published description and summary of the results of analysis – not on draft or non-final datasets</w:t>
            </w:r>
            <w:r>
              <w:t>;</w:t>
            </w:r>
          </w:p>
          <w:p w14:paraId="6396CCD7" w14:textId="77777777" w:rsidR="00C150E9" w:rsidRDefault="00C150E9" w:rsidP="00C150E9">
            <w:pPr>
              <w:pStyle w:val="Body"/>
              <w:numPr>
                <w:ilvl w:val="1"/>
                <w:numId w:val="183"/>
              </w:numPr>
            </w:pPr>
            <w:r>
              <w:t>draft do</w:t>
            </w:r>
            <w:r w:rsidRPr="00AD7444">
              <w:t>cuments are unlikely to contain the full justifications or the complete methodology which would be set out in full manuscripts</w:t>
            </w:r>
            <w:r>
              <w:t>;</w:t>
            </w:r>
          </w:p>
          <w:p w14:paraId="2B3D2D6C" w14:textId="77777777" w:rsidR="00C150E9" w:rsidRDefault="00C150E9" w:rsidP="00C150E9">
            <w:pPr>
              <w:pStyle w:val="Body"/>
              <w:numPr>
                <w:ilvl w:val="1"/>
                <w:numId w:val="183"/>
              </w:numPr>
            </w:pPr>
            <w:r>
              <w:t>draft d</w:t>
            </w:r>
            <w:r w:rsidRPr="00AD7444">
              <w:t>ocuments do not present data in a format suitable for public dissemination and may contain data errors or unclear responses</w:t>
            </w:r>
            <w:r>
              <w:t>;</w:t>
            </w:r>
          </w:p>
          <w:p w14:paraId="65044F7D" w14:textId="77777777" w:rsidR="00C150E9" w:rsidRDefault="00C150E9" w:rsidP="00C150E9">
            <w:pPr>
              <w:pStyle w:val="Body"/>
              <w:numPr>
                <w:ilvl w:val="1"/>
                <w:numId w:val="183"/>
              </w:numPr>
            </w:pPr>
            <w:r>
              <w:t>draft d</w:t>
            </w:r>
            <w:r w:rsidRPr="00AD7444">
              <w:t>ocuments contain non-final datasets that are later revised, and conclusions that are later refined, honed or omitted as a result of scientific peer review</w:t>
            </w:r>
            <w:r>
              <w:t>;</w:t>
            </w:r>
          </w:p>
          <w:p w14:paraId="716A64A5" w14:textId="77777777" w:rsidR="00C150E9" w:rsidRDefault="00C150E9" w:rsidP="00C150E9">
            <w:pPr>
              <w:pStyle w:val="Body"/>
              <w:numPr>
                <w:ilvl w:val="1"/>
                <w:numId w:val="183"/>
              </w:numPr>
            </w:pPr>
            <w:r>
              <w:t>release o</w:t>
            </w:r>
            <w:r w:rsidRPr="00AD7444">
              <w:t>f internal or draft research documents may result in confusion or misrepresentation of the research in public particularly if draft documents differ from published data</w:t>
            </w:r>
            <w:r>
              <w:t>;</w:t>
            </w:r>
          </w:p>
          <w:p w14:paraId="19A3FFE9" w14:textId="77777777" w:rsidR="00C150E9" w:rsidRDefault="00C150E9" w:rsidP="00C150E9">
            <w:pPr>
              <w:pStyle w:val="Body"/>
              <w:numPr>
                <w:ilvl w:val="1"/>
                <w:numId w:val="183"/>
              </w:numPr>
            </w:pPr>
            <w:r>
              <w:t>there m</w:t>
            </w:r>
            <w:r w:rsidRPr="00AD7444">
              <w:t>ay be unfair or unreasonable criticism of the research or researcher if preliminary or uncorrected research material is subjected to public scrutiny before it is subject to correction and peer review processes</w:t>
            </w:r>
            <w:r>
              <w:t>;</w:t>
            </w:r>
          </w:p>
          <w:p w14:paraId="439D4BC3" w14:textId="77777777" w:rsidR="00C150E9" w:rsidRDefault="00C150E9" w:rsidP="00C150E9">
            <w:pPr>
              <w:pStyle w:val="Body"/>
              <w:numPr>
                <w:ilvl w:val="1"/>
                <w:numId w:val="183"/>
              </w:numPr>
            </w:pPr>
            <w:r>
              <w:t>opponents of r</w:t>
            </w:r>
            <w:r w:rsidRPr="00AD7444">
              <w:t>esearch may take advantage of the release of draft or incomplete documents to make allegations of scientific dishonesty or bias which may adversely affect the reputation of a researcher, even if ultimately unfounded or unsubstantiated</w:t>
            </w:r>
            <w:r>
              <w:t>;</w:t>
            </w:r>
          </w:p>
          <w:p w14:paraId="04704193" w14:textId="77777777" w:rsidR="00C150E9" w:rsidRDefault="00C150E9" w:rsidP="00C150E9">
            <w:pPr>
              <w:pStyle w:val="Body"/>
              <w:numPr>
                <w:ilvl w:val="1"/>
                <w:numId w:val="183"/>
              </w:numPr>
            </w:pPr>
            <w:r>
              <w:t>inappropriate sc</w:t>
            </w:r>
            <w:r w:rsidRPr="00527397">
              <w:t>rutiny of draft documents may damage the effectiveness of the final published reports</w:t>
            </w:r>
            <w:r>
              <w:t>.</w:t>
            </w:r>
          </w:p>
          <w:p w14:paraId="61904DB0" w14:textId="77777777" w:rsidR="00C150E9" w:rsidRDefault="00C150E9" w:rsidP="00F12D53">
            <w:pPr>
              <w:pStyle w:val="Body"/>
            </w:pPr>
            <w:r>
              <w:t>Other disadvantages to the Council or its researchers include:</w:t>
            </w:r>
          </w:p>
          <w:p w14:paraId="780135FF" w14:textId="77777777" w:rsidR="00C150E9" w:rsidRDefault="00C150E9" w:rsidP="00C150E9">
            <w:pPr>
              <w:pStyle w:val="Body"/>
              <w:numPr>
                <w:ilvl w:val="1"/>
                <w:numId w:val="182"/>
              </w:numPr>
            </w:pPr>
            <w:r>
              <w:t>loss of access to schools for research and cancer prevention education;</w:t>
            </w:r>
          </w:p>
          <w:p w14:paraId="61816867" w14:textId="77777777" w:rsidR="00C150E9" w:rsidRDefault="00C150E9" w:rsidP="00C150E9">
            <w:pPr>
              <w:pStyle w:val="Body"/>
              <w:numPr>
                <w:ilvl w:val="1"/>
                <w:numId w:val="182"/>
              </w:numPr>
            </w:pPr>
            <w:r>
              <w:t>reduced w</w:t>
            </w:r>
            <w:r w:rsidRPr="00527397">
              <w:t>illingness of the public, including cancer patients, to participate in other research projects</w:t>
            </w:r>
            <w:r>
              <w:t>;</w:t>
            </w:r>
          </w:p>
          <w:p w14:paraId="3C8F1F7E" w14:textId="77777777" w:rsidR="00C150E9" w:rsidRDefault="00C150E9" w:rsidP="00C150E9">
            <w:pPr>
              <w:pStyle w:val="Body"/>
              <w:numPr>
                <w:ilvl w:val="1"/>
                <w:numId w:val="182"/>
              </w:numPr>
            </w:pPr>
            <w:r>
              <w:t>loss of comp</w:t>
            </w:r>
            <w:r w:rsidRPr="00527397">
              <w:t>etitive edge for attracting high calibre staff and securing funding</w:t>
            </w:r>
            <w:r>
              <w:t>;</w:t>
            </w:r>
          </w:p>
          <w:p w14:paraId="59B80A13" w14:textId="77777777" w:rsidR="00C150E9" w:rsidRDefault="00C150E9" w:rsidP="00C150E9">
            <w:pPr>
              <w:pStyle w:val="Body"/>
              <w:numPr>
                <w:ilvl w:val="1"/>
                <w:numId w:val="182"/>
              </w:numPr>
            </w:pPr>
            <w:r>
              <w:t>loss of trust among donors and volunteers;</w:t>
            </w:r>
          </w:p>
          <w:p w14:paraId="04676AED" w14:textId="77777777" w:rsidR="00C150E9" w:rsidRDefault="00C150E9" w:rsidP="00C150E9">
            <w:pPr>
              <w:pStyle w:val="Body"/>
              <w:numPr>
                <w:ilvl w:val="1"/>
                <w:numId w:val="182"/>
              </w:numPr>
            </w:pPr>
            <w:r>
              <w:t>loss of privacy of the data;</w:t>
            </w:r>
          </w:p>
          <w:p w14:paraId="0E7DA86B" w14:textId="77777777" w:rsidR="00C150E9" w:rsidRDefault="00C150E9" w:rsidP="00C150E9">
            <w:pPr>
              <w:pStyle w:val="Body"/>
              <w:numPr>
                <w:ilvl w:val="1"/>
                <w:numId w:val="182"/>
              </w:numPr>
            </w:pPr>
            <w:r>
              <w:t>risk of unethical use of the data in breach of ethics approvals; and</w:t>
            </w:r>
          </w:p>
          <w:p w14:paraId="05B2CBB2" w14:textId="77777777" w:rsidR="00C150E9" w:rsidRPr="00CF3EEF" w:rsidRDefault="00C150E9" w:rsidP="00C150E9">
            <w:pPr>
              <w:pStyle w:val="Body"/>
              <w:numPr>
                <w:ilvl w:val="1"/>
                <w:numId w:val="182"/>
              </w:numPr>
            </w:pPr>
            <w:r>
              <w:t>risks to the scientific process.</w:t>
            </w:r>
          </w:p>
        </w:tc>
      </w:tr>
    </w:tbl>
    <w:p w14:paraId="3C81F50A" w14:textId="77777777" w:rsidR="00C150E9" w:rsidRDefault="00C150E9" w:rsidP="00C150E9">
      <w:pPr>
        <w:pStyle w:val="2HeadingLevel2"/>
      </w:pPr>
      <w:bookmarkStart w:id="35" w:name="_Toc150764355"/>
      <w:r>
        <w:t>Section 34(4)(c) – examination papers and examiner reports</w:t>
      </w:r>
      <w:bookmarkEnd w:id="35"/>
    </w:p>
    <w:p w14:paraId="60A24D35" w14:textId="77777777" w:rsidR="00C150E9" w:rsidRDefault="00C150E9" w:rsidP="00C150E9">
      <w:pPr>
        <w:pStyle w:val="3BodyInteger"/>
      </w:pPr>
      <w:r>
        <w:t xml:space="preserve">A </w:t>
      </w:r>
      <w:r w:rsidRPr="002E2F2B">
        <w:t>document or information is exempt under section 34(4)</w:t>
      </w:r>
      <w:r>
        <w:t>(c)</w:t>
      </w:r>
      <w:r w:rsidRPr="002E2F2B">
        <w:t>) if</w:t>
      </w:r>
      <w:r>
        <w:t xml:space="preserve"> two conditions are satisfied:</w:t>
      </w:r>
    </w:p>
    <w:p w14:paraId="4D78DC85" w14:textId="77777777" w:rsidR="00C150E9" w:rsidRDefault="00C150E9" w:rsidP="00C150E9">
      <w:pPr>
        <w:pStyle w:val="3BodyInteger"/>
        <w:numPr>
          <w:ilvl w:val="2"/>
          <w:numId w:val="179"/>
        </w:numPr>
      </w:pPr>
      <w:r>
        <w:t>Firstly, it is:</w:t>
      </w:r>
    </w:p>
    <w:p w14:paraId="30B0B43B" w14:textId="77777777" w:rsidR="00C150E9" w:rsidRDefault="00C150E9" w:rsidP="00C150E9">
      <w:pPr>
        <w:pStyle w:val="3BodyInteger"/>
        <w:numPr>
          <w:ilvl w:val="3"/>
          <w:numId w:val="179"/>
        </w:numPr>
      </w:pPr>
      <w:r>
        <w:t>an examination paper; or</w:t>
      </w:r>
    </w:p>
    <w:p w14:paraId="05FF1414" w14:textId="77777777" w:rsidR="00C150E9" w:rsidRDefault="00C150E9" w:rsidP="00C150E9">
      <w:pPr>
        <w:pStyle w:val="3BodyInteger"/>
        <w:numPr>
          <w:ilvl w:val="3"/>
          <w:numId w:val="179"/>
        </w:numPr>
      </w:pPr>
      <w:r>
        <w:t>a paper submitted by a student during an examination; or</w:t>
      </w:r>
    </w:p>
    <w:p w14:paraId="25B1F22C" w14:textId="77777777" w:rsidR="00C150E9" w:rsidRDefault="00C150E9" w:rsidP="00C150E9">
      <w:pPr>
        <w:pStyle w:val="3BodyInteger"/>
        <w:numPr>
          <w:ilvl w:val="3"/>
          <w:numId w:val="179"/>
        </w:numPr>
      </w:pPr>
      <w:r>
        <w:t>an examiner’s report; or</w:t>
      </w:r>
    </w:p>
    <w:p w14:paraId="36A45096" w14:textId="77777777" w:rsidR="00C150E9" w:rsidRDefault="00C150E9" w:rsidP="00C150E9">
      <w:pPr>
        <w:pStyle w:val="3BodyInteger"/>
        <w:numPr>
          <w:ilvl w:val="3"/>
          <w:numId w:val="179"/>
        </w:numPr>
      </w:pPr>
      <w:r>
        <w:t>similar document; and</w:t>
      </w:r>
    </w:p>
    <w:p w14:paraId="58B452B9" w14:textId="77777777" w:rsidR="00C150E9" w:rsidRDefault="00C150E9" w:rsidP="00C150E9">
      <w:pPr>
        <w:pStyle w:val="3BodyInteger"/>
        <w:numPr>
          <w:ilvl w:val="2"/>
          <w:numId w:val="179"/>
        </w:numPr>
      </w:pPr>
      <w:r>
        <w:t>Secondly, the use or uses for which the document was prepared have not been completed.</w:t>
      </w:r>
    </w:p>
    <w:p w14:paraId="18D660F2" w14:textId="77777777" w:rsidR="00C150E9" w:rsidRDefault="00C150E9" w:rsidP="00C150E9">
      <w:pPr>
        <w:pStyle w:val="3BodyInteger"/>
      </w:pPr>
      <w:r>
        <w:t>The purpose of the exemption is to protect the efficacy of the testing and the integrity of the examination process.</w:t>
      </w:r>
      <w:r>
        <w:rPr>
          <w:rStyle w:val="FootnoteReference"/>
        </w:rPr>
        <w:footnoteReference w:id="81"/>
      </w:r>
    </w:p>
    <w:p w14:paraId="7351E04E" w14:textId="77777777" w:rsidR="00C150E9" w:rsidRDefault="00C150E9" w:rsidP="00C150E9">
      <w:pPr>
        <w:pStyle w:val="3BodyInteger"/>
      </w:pPr>
      <w:r>
        <w:t>The term ‘examination’ has a broad definition and can include non-academic related examinations.</w:t>
      </w:r>
      <w:r>
        <w:rPr>
          <w:rStyle w:val="FootnoteReference"/>
        </w:rPr>
        <w:footnoteReference w:id="82"/>
      </w:r>
      <w:r>
        <w:t xml:space="preserve"> For example, selection reports containing questions prepared for recruitment processes.</w:t>
      </w:r>
    </w:p>
    <w:p w14:paraId="2716F99D" w14:textId="77777777" w:rsidR="00C150E9" w:rsidRDefault="00C150E9" w:rsidP="00C150E9">
      <w:pPr>
        <w:pStyle w:val="3BodyInteger"/>
      </w:pPr>
      <w:r>
        <w:t>A ‘marking guide’ has been found to be a ‘similar document’ for the purposes of this exemption.</w:t>
      </w:r>
      <w:r>
        <w:rPr>
          <w:rStyle w:val="FootnoteReference"/>
        </w:rPr>
        <w:footnoteReference w:id="83"/>
      </w:r>
    </w:p>
    <w:p w14:paraId="3772B774" w14:textId="77777777" w:rsidR="00C150E9" w:rsidRDefault="00C150E9" w:rsidP="00C150E9">
      <w:pPr>
        <w:pStyle w:val="3BodyInteger"/>
      </w:pPr>
      <w:r>
        <w:t>If the use or uses of a document have been completed, the exemption cannot apply.</w:t>
      </w:r>
      <w:r>
        <w:rPr>
          <w:rStyle w:val="FootnoteReference"/>
        </w:rPr>
        <w:footnoteReference w:id="84"/>
      </w:r>
    </w:p>
    <w:p w14:paraId="46F4B88E" w14:textId="77777777" w:rsidR="00C150E9" w:rsidRDefault="00C150E9" w:rsidP="00C150E9">
      <w:pPr>
        <w:pStyle w:val="3BodyInteger"/>
      </w:pPr>
      <w:r>
        <w:t>The exemption does not involve any public interest considerations. Any potential prejudice or disadvantage to the agency in a document’s disclosure, or public interest in a document not being disclosed, is irrelevant.</w:t>
      </w:r>
      <w:r>
        <w:rPr>
          <w:rStyle w:val="FootnoteReference"/>
        </w:rPr>
        <w:footnoteReference w:id="85"/>
      </w:r>
    </w:p>
    <w:p w14:paraId="3558EA24" w14:textId="77777777" w:rsidR="00C150E9" w:rsidRDefault="00C150E9" w:rsidP="00C150E9">
      <w:pPr>
        <w:pStyle w:val="3BodyInteger"/>
      </w:pPr>
      <w:r>
        <w:t>The words ‘prepared’ and ‘completed’ should be given their ordinary meaning.</w:t>
      </w:r>
      <w:r>
        <w:rPr>
          <w:rStyle w:val="FootnoteReference"/>
        </w:rPr>
        <w:footnoteReference w:id="86"/>
      </w:r>
    </w:p>
    <w:p w14:paraId="2F1B36A7" w14:textId="77777777" w:rsidR="00C150E9" w:rsidRDefault="00C150E9" w:rsidP="00C150E9">
      <w:pPr>
        <w:pStyle w:val="3BodyInteger"/>
      </w:pPr>
      <w:r>
        <w:t>The ‘use’ or ‘uses’ of a document, must be a use ‘for which the document was prepared’, not a use of the information contained in the document or secondary use, created or realised after the document’s preparation.</w:t>
      </w:r>
      <w:r>
        <w:rPr>
          <w:rStyle w:val="FootnoteReference"/>
        </w:rPr>
        <w:footnoteReference w:id="87"/>
      </w:r>
      <w:r>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1B7F9A14" w14:textId="77777777" w:rsidTr="00F12D53">
        <w:trPr>
          <w:trHeight w:val="402"/>
        </w:trPr>
        <w:tc>
          <w:tcPr>
            <w:tcW w:w="8931" w:type="dxa"/>
            <w:shd w:val="clear" w:color="auto" w:fill="FFFEC6"/>
          </w:tcPr>
          <w:p w14:paraId="420C7AC3" w14:textId="77777777" w:rsidR="00C150E9" w:rsidRDefault="00C150E9" w:rsidP="00F12D53">
            <w:pPr>
              <w:pStyle w:val="Body"/>
              <w:rPr>
                <w:b/>
                <w:bCs/>
              </w:rPr>
            </w:pPr>
            <w:bookmarkStart w:id="36" w:name="_Hlk144904697"/>
            <w:r w:rsidRPr="00C53746">
              <w:rPr>
                <w:b/>
                <w:bCs/>
              </w:rPr>
              <w:t>Example</w:t>
            </w:r>
            <w:r>
              <w:rPr>
                <w:b/>
                <w:bCs/>
              </w:rPr>
              <w:t>s</w:t>
            </w:r>
          </w:p>
          <w:p w14:paraId="73CE595D" w14:textId="77777777" w:rsidR="00C150E9" w:rsidRDefault="00C150E9" w:rsidP="00C150E9">
            <w:pPr>
              <w:pStyle w:val="Body"/>
              <w:numPr>
                <w:ilvl w:val="0"/>
                <w:numId w:val="189"/>
              </w:numPr>
            </w:pPr>
            <w:r>
              <w:t>An examination paper prepared solely for use in a particular examination, in a particular subject, in a particular semester, cannot be exempt under section 34(4)(c) if a decision is made to use examination questions and other material contained in the document in the following year’s examination.</w:t>
            </w:r>
          </w:p>
          <w:p w14:paraId="4E472C69" w14:textId="77777777" w:rsidR="00C150E9" w:rsidRPr="00F36BF4" w:rsidRDefault="00C150E9" w:rsidP="00C150E9">
            <w:pPr>
              <w:pStyle w:val="Body"/>
              <w:numPr>
                <w:ilvl w:val="0"/>
                <w:numId w:val="189"/>
              </w:numPr>
            </w:pPr>
            <w:r>
              <w:t>Whereas a marking guide prepared for ongoing use in assessments in future examinations, that will, in fact, be used by the agency again, can be exempt under section 34(4)(c), as the marking guide’s future use was a use for which the document was prepared, and there is evidence to support that the use is not yet complete.</w:t>
            </w:r>
            <w:r>
              <w:rPr>
                <w:rStyle w:val="FootnoteReference"/>
              </w:rPr>
              <w:footnoteReference w:id="88"/>
            </w:r>
          </w:p>
        </w:tc>
      </w:tr>
    </w:tbl>
    <w:bookmarkEnd w:id="36"/>
    <w:p w14:paraId="0946B441" w14:textId="77777777" w:rsidR="00C150E9" w:rsidRDefault="00C150E9" w:rsidP="00C150E9">
      <w:pPr>
        <w:pStyle w:val="3BodyInteger"/>
      </w:pPr>
      <w:r>
        <w:t xml:space="preserve">The issue is whether the use or uses for which a </w:t>
      </w:r>
      <w:r w:rsidRPr="009108A2">
        <w:rPr>
          <w:b/>
          <w:bCs/>
        </w:rPr>
        <w:t>document</w:t>
      </w:r>
      <w:r>
        <w:t xml:space="preserve"> has been prepared have been completed, </w:t>
      </w:r>
      <w:r w:rsidRPr="009108A2">
        <w:rPr>
          <w:b/>
          <w:bCs/>
        </w:rPr>
        <w:t>not</w:t>
      </w:r>
      <w:r>
        <w:t xml:space="preserve"> whether the uses for which </w:t>
      </w:r>
      <w:r w:rsidRPr="009108A2">
        <w:rPr>
          <w:b/>
          <w:bCs/>
        </w:rPr>
        <w:t>the information in a document</w:t>
      </w:r>
      <w:r>
        <w:t>, as it appears in other documents held by the agency, has been completed.</w:t>
      </w:r>
      <w:r>
        <w:rPr>
          <w:rStyle w:val="FootnoteReference"/>
        </w:rPr>
        <w:footnoteReference w:id="89"/>
      </w:r>
      <w:r>
        <w:t xml:space="preserve"> </w:t>
      </w:r>
    </w:p>
    <w:tbl>
      <w:tblPr>
        <w:tblStyle w:val="TableGrid"/>
        <w:tblW w:w="89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EC6"/>
        <w:tblLook w:val="04A0" w:firstRow="1" w:lastRow="0" w:firstColumn="1" w:lastColumn="0" w:noHBand="0" w:noVBand="1"/>
      </w:tblPr>
      <w:tblGrid>
        <w:gridCol w:w="8931"/>
      </w:tblGrid>
      <w:tr w:rsidR="00C150E9" w:rsidRPr="00392453" w14:paraId="1091BD49" w14:textId="77777777" w:rsidTr="00F12D53">
        <w:trPr>
          <w:trHeight w:val="402"/>
        </w:trPr>
        <w:tc>
          <w:tcPr>
            <w:tcW w:w="8931" w:type="dxa"/>
            <w:shd w:val="clear" w:color="auto" w:fill="FFFEC6"/>
          </w:tcPr>
          <w:p w14:paraId="787DE3EC" w14:textId="77777777" w:rsidR="00C150E9" w:rsidRDefault="00C150E9" w:rsidP="00F12D53">
            <w:pPr>
              <w:pStyle w:val="Body"/>
              <w:rPr>
                <w:b/>
                <w:bCs/>
              </w:rPr>
            </w:pPr>
            <w:r w:rsidRPr="00C53746">
              <w:rPr>
                <w:b/>
                <w:bCs/>
              </w:rPr>
              <w:t>Example</w:t>
            </w:r>
          </w:p>
          <w:p w14:paraId="109DCB6D" w14:textId="77777777" w:rsidR="00C150E9" w:rsidRPr="00F36BF4" w:rsidRDefault="00C150E9" w:rsidP="00F12D53">
            <w:pPr>
              <w:pStyle w:val="Body"/>
            </w:pPr>
            <w:r>
              <w:t>The fact an agency may store examination questions drawn from examination papers on a database for future use, does not change the fact that the examination papers themselves were prepared for particular examinations, in particular subjects, in particular semesters.</w:t>
            </w:r>
          </w:p>
        </w:tc>
      </w:tr>
    </w:tbl>
    <w:p w14:paraId="42176533" w14:textId="77777777" w:rsidR="00C150E9" w:rsidRDefault="00C150E9" w:rsidP="00C150E9">
      <w:pPr>
        <w:pStyle w:val="3BodyInteger"/>
      </w:pPr>
      <w:r>
        <w:t>The VCAT has held that an examination paper’s use is completed at the end of the examination assessment period, when the results are published.</w:t>
      </w:r>
      <w:r>
        <w:rPr>
          <w:rStyle w:val="FootnoteReference"/>
        </w:rPr>
        <w:footnoteReference w:id="90"/>
      </w:r>
    </w:p>
    <w:p w14:paraId="16921A8A" w14:textId="77777777" w:rsidR="00C150E9" w:rsidRDefault="00C150E9" w:rsidP="00C150E9"/>
    <w:bookmarkEnd w:id="0"/>
    <w:p w14:paraId="0FC02CE5" w14:textId="7E10DEC5" w:rsidR="004820B2" w:rsidRDefault="004820B2" w:rsidP="008753FB">
      <w:pPr>
        <w:pStyle w:val="Body"/>
        <w:spacing w:before="60" w:after="60" w:line="240" w:lineRule="auto"/>
      </w:pPr>
    </w:p>
    <w:sectPr w:rsidR="004820B2" w:rsidSect="003A0519">
      <w:endnotePr>
        <w:numFmt w:val="decimal"/>
      </w:endnotePr>
      <w:type w:val="continuous"/>
      <w:pgSz w:w="11900" w:h="16840"/>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8B6F2" w14:textId="77777777" w:rsidR="00A02504" w:rsidRDefault="00A02504" w:rsidP="00F75F73">
      <w:r>
        <w:separator/>
      </w:r>
    </w:p>
  </w:endnote>
  <w:endnote w:type="continuationSeparator" w:id="0">
    <w:p w14:paraId="592133DC" w14:textId="77777777" w:rsidR="00A02504" w:rsidRDefault="00A02504" w:rsidP="00F7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tional-Book">
    <w:altName w:val="Cambria"/>
    <w:panose1 w:val="020B0604020202020204"/>
    <w:charset w:val="00"/>
    <w:family w:val="auto"/>
    <w:pitch w:val="variable"/>
    <w:sig w:usb0="00000001" w:usb1="5000207B" w:usb2="00000010" w:usb3="00000000" w:csb0="0000009B" w:csb1="00000000"/>
  </w:font>
  <w:font w:name="Calibri-Bold">
    <w:altName w:val="Times New Roman"/>
    <w:panose1 w:val="020B0604020202020204"/>
    <w:charset w:val="00"/>
    <w:family w:val="auto"/>
    <w:pitch w:val="variable"/>
    <w:sig w:usb0="00000001"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4FD7" w14:textId="77777777" w:rsidR="002B622D" w:rsidRDefault="002B622D" w:rsidP="004373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AE397" w14:textId="77777777" w:rsidR="002B622D" w:rsidRDefault="002B622D" w:rsidP="00F75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062A" w14:textId="77777777" w:rsidR="002B622D" w:rsidRPr="006953AF" w:rsidRDefault="002B622D" w:rsidP="00B14E3F">
    <w:pPr>
      <w:tabs>
        <w:tab w:val="center" w:pos="4513"/>
        <w:tab w:val="right" w:pos="9632"/>
      </w:tabs>
      <w:ind w:right="-7"/>
      <w:rPr>
        <w:rFonts w:cstheme="minorHAnsi"/>
        <w:color w:val="430098"/>
        <w:sz w:val="20"/>
        <w:szCs w:val="20"/>
      </w:rPr>
    </w:pPr>
    <w:r w:rsidRPr="006953AF">
      <w:rPr>
        <w:rFonts w:cstheme="minorHAnsi"/>
        <w:color w:val="430098"/>
        <w:sz w:val="18"/>
        <w:szCs w:val="20"/>
      </w:rPr>
      <w:t xml:space="preserve">Freedom of Information </w:t>
    </w:r>
    <w:r w:rsidRPr="006953AF">
      <w:rPr>
        <w:rFonts w:cstheme="minorHAnsi"/>
        <w:color w:val="E5007D"/>
        <w:sz w:val="18"/>
        <w:szCs w:val="20"/>
      </w:rPr>
      <w:t>|</w:t>
    </w:r>
    <w:r w:rsidRPr="006953AF">
      <w:rPr>
        <w:rFonts w:cstheme="minorHAnsi"/>
        <w:color w:val="430098"/>
        <w:sz w:val="18"/>
        <w:szCs w:val="20"/>
      </w:rPr>
      <w:t xml:space="preserve"> Privacy </w:t>
    </w:r>
    <w:r w:rsidRPr="006953AF">
      <w:rPr>
        <w:rFonts w:cstheme="minorHAnsi"/>
        <w:color w:val="E5007D"/>
        <w:sz w:val="18"/>
        <w:szCs w:val="20"/>
      </w:rPr>
      <w:t>|</w:t>
    </w:r>
    <w:r w:rsidRPr="006953AF">
      <w:rPr>
        <w:rFonts w:cstheme="minorHAnsi"/>
        <w:color w:val="430098"/>
        <w:sz w:val="18"/>
        <w:szCs w:val="20"/>
      </w:rPr>
      <w:t xml:space="preserve"> Data Protection</w:t>
    </w:r>
    <w:r w:rsidRPr="006953AF">
      <w:rPr>
        <w:rFonts w:cstheme="minorHAnsi"/>
        <w:color w:val="430098"/>
        <w:sz w:val="18"/>
        <w:szCs w:val="20"/>
      </w:rPr>
      <w:tab/>
    </w:r>
    <w:r w:rsidRPr="006953AF">
      <w:rPr>
        <w:rFonts w:cstheme="minorHAnsi"/>
        <w:color w:val="430098"/>
        <w:sz w:val="18"/>
        <w:szCs w:val="20"/>
      </w:rPr>
      <w:tab/>
    </w:r>
    <w:r w:rsidRPr="006953AF">
      <w:rPr>
        <w:rFonts w:cstheme="minorHAnsi"/>
        <w:color w:val="430098"/>
        <w:sz w:val="18"/>
        <w:szCs w:val="20"/>
      </w:rPr>
      <w:fldChar w:fldCharType="begin"/>
    </w:r>
    <w:r w:rsidRPr="006953AF">
      <w:rPr>
        <w:rFonts w:cstheme="minorHAnsi"/>
        <w:color w:val="430098"/>
        <w:sz w:val="18"/>
        <w:szCs w:val="20"/>
      </w:rPr>
      <w:instrText xml:space="preserve"> PAGE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r w:rsidRPr="006953AF">
      <w:rPr>
        <w:rFonts w:cstheme="minorHAnsi"/>
        <w:color w:val="430098"/>
        <w:sz w:val="18"/>
        <w:szCs w:val="20"/>
      </w:rPr>
      <w:t xml:space="preserve"> of </w:t>
    </w:r>
    <w:r w:rsidRPr="006953AF">
      <w:rPr>
        <w:rFonts w:cstheme="minorHAnsi"/>
        <w:color w:val="430098"/>
        <w:sz w:val="18"/>
        <w:szCs w:val="20"/>
      </w:rPr>
      <w:fldChar w:fldCharType="begin"/>
    </w:r>
    <w:r w:rsidRPr="006953AF">
      <w:rPr>
        <w:rFonts w:cstheme="minorHAnsi"/>
        <w:color w:val="430098"/>
        <w:sz w:val="18"/>
        <w:szCs w:val="20"/>
      </w:rPr>
      <w:instrText xml:space="preserve"> NUMPAGES  \* Arabic  \* MERGEFORMAT </w:instrText>
    </w:r>
    <w:r w:rsidRPr="006953AF">
      <w:rPr>
        <w:rFonts w:cstheme="minorHAnsi"/>
        <w:color w:val="430098"/>
        <w:sz w:val="18"/>
        <w:szCs w:val="20"/>
      </w:rPr>
      <w:fldChar w:fldCharType="separate"/>
    </w:r>
    <w:r w:rsidRPr="006953AF">
      <w:rPr>
        <w:rFonts w:cstheme="minorHAnsi"/>
        <w:color w:val="430098"/>
        <w:sz w:val="18"/>
        <w:szCs w:val="20"/>
      </w:rPr>
      <w:t>2</w:t>
    </w:r>
    <w:r w:rsidRPr="006953AF">
      <w:rPr>
        <w:rFonts w:cstheme="minorHAnsi"/>
        <w:color w:val="430098"/>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9C04" w14:textId="77777777" w:rsidR="002B622D" w:rsidRPr="0007485C" w:rsidRDefault="002B622D" w:rsidP="00F265B5">
    <w:pPr>
      <w:tabs>
        <w:tab w:val="center" w:pos="4513"/>
        <w:tab w:val="right" w:pos="9026"/>
      </w:tabs>
      <w:ind w:right="360"/>
      <w:rPr>
        <w:color w:val="430098"/>
      </w:rPr>
    </w:pPr>
    <w:r w:rsidRPr="0007485C">
      <w:rPr>
        <w:rFonts w:cs="Arial"/>
        <w:color w:val="430098"/>
        <w:sz w:val="22"/>
      </w:rPr>
      <w:t xml:space="preserve">Freedom of Information </w:t>
    </w:r>
    <w:r w:rsidRPr="0007485C">
      <w:rPr>
        <w:rFonts w:cs="Arial"/>
        <w:color w:val="E5007D"/>
        <w:sz w:val="22"/>
      </w:rPr>
      <w:t>|</w:t>
    </w:r>
    <w:r w:rsidRPr="0007485C">
      <w:rPr>
        <w:rFonts w:cs="Arial"/>
        <w:color w:val="430098"/>
        <w:sz w:val="22"/>
      </w:rPr>
      <w:t xml:space="preserve"> Privacy </w:t>
    </w:r>
    <w:r w:rsidRPr="0007485C">
      <w:rPr>
        <w:rFonts w:cs="Arial"/>
        <w:color w:val="E5007D"/>
        <w:sz w:val="22"/>
      </w:rPr>
      <w:t>|</w:t>
    </w:r>
    <w:r w:rsidRPr="0007485C">
      <w:rPr>
        <w:rFonts w:cs="Arial"/>
        <w:color w:val="430098"/>
        <w:sz w:val="22"/>
      </w:rPr>
      <w:t xml:space="preserve"> 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0442F" w14:textId="77777777" w:rsidR="00A02504" w:rsidRDefault="00A02504" w:rsidP="00F75F73">
      <w:r>
        <w:separator/>
      </w:r>
    </w:p>
  </w:footnote>
  <w:footnote w:type="continuationSeparator" w:id="0">
    <w:p w14:paraId="6B2BB7FD" w14:textId="77777777" w:rsidR="00A02504" w:rsidRDefault="00A02504" w:rsidP="00F75F73">
      <w:r>
        <w:continuationSeparator/>
      </w:r>
    </w:p>
  </w:footnote>
  <w:footnote w:id="1">
    <w:p w14:paraId="683F2612"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1" w:history="1">
        <w:r w:rsidRPr="004F020A">
          <w:rPr>
            <w:rStyle w:val="Hyperlink"/>
            <w:rFonts w:cstheme="minorHAnsi"/>
            <w:i/>
            <w:iCs/>
            <w:sz w:val="16"/>
            <w:szCs w:val="16"/>
          </w:rPr>
          <w:t>Ryan v Department of Infrastructure</w:t>
        </w:r>
      </w:hyperlink>
      <w:r w:rsidRPr="004F020A">
        <w:rPr>
          <w:rFonts w:cstheme="minorHAnsi"/>
          <w:sz w:val="16"/>
          <w:szCs w:val="16"/>
        </w:rPr>
        <w:t xml:space="preserve"> [2004] VCAT 2346, [32].</w:t>
      </w:r>
    </w:p>
  </w:footnote>
  <w:footnote w:id="2">
    <w:p w14:paraId="59A48024"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2" w:history="1">
        <w:r w:rsidRPr="004F020A">
          <w:rPr>
            <w:rStyle w:val="Hyperlink"/>
            <w:rFonts w:cstheme="minorHAnsi"/>
            <w:i/>
            <w:iCs/>
            <w:sz w:val="16"/>
            <w:szCs w:val="16"/>
          </w:rPr>
          <w:t>Hennessy v Minister Responsible for the Establishment of an Anti-Corruption Commission</w:t>
        </w:r>
      </w:hyperlink>
      <w:r w:rsidRPr="004F020A">
        <w:rPr>
          <w:rFonts w:cstheme="minorHAnsi"/>
          <w:sz w:val="16"/>
          <w:szCs w:val="16"/>
        </w:rPr>
        <w:t xml:space="preserve"> [2013] VCAT 822, [21] and </w:t>
      </w:r>
      <w:hyperlink r:id="rId3" w:anchor="fnB4" w:history="1">
        <w:r w:rsidRPr="004F020A">
          <w:rPr>
            <w:rStyle w:val="Hyperlink"/>
            <w:rFonts w:cstheme="minorHAnsi"/>
            <w:i/>
            <w:iCs/>
            <w:sz w:val="16"/>
            <w:szCs w:val="16"/>
          </w:rPr>
          <w:t xml:space="preserve">Environment Victoria Inc v Department of Primary Industries </w:t>
        </w:r>
        <w:r w:rsidRPr="004F020A">
          <w:rPr>
            <w:rStyle w:val="Hyperlink"/>
            <w:rFonts w:cstheme="minorHAnsi"/>
            <w:sz w:val="16"/>
            <w:szCs w:val="16"/>
          </w:rPr>
          <w:t>[2013] VCAT 39</w:t>
        </w:r>
      </w:hyperlink>
      <w:r w:rsidRPr="004F020A">
        <w:rPr>
          <w:rFonts w:cstheme="minorHAnsi"/>
          <w:sz w:val="16"/>
          <w:szCs w:val="16"/>
        </w:rPr>
        <w:t xml:space="preserve">, [29], both referring to </w:t>
      </w:r>
      <w:r w:rsidRPr="004F020A">
        <w:rPr>
          <w:rFonts w:cstheme="minorHAnsi"/>
          <w:i/>
          <w:iCs/>
          <w:sz w:val="16"/>
          <w:szCs w:val="16"/>
        </w:rPr>
        <w:t>Ryder v Booth</w:t>
      </w:r>
      <w:r w:rsidRPr="004F020A">
        <w:rPr>
          <w:rFonts w:cstheme="minorHAnsi"/>
          <w:sz w:val="16"/>
          <w:szCs w:val="16"/>
        </w:rPr>
        <w:t> (1989) VR 869, 877</w:t>
      </w:r>
      <w:r w:rsidRPr="004F020A">
        <w:rPr>
          <w:rFonts w:cstheme="minorHAnsi"/>
          <w:color w:val="000000" w:themeColor="text1"/>
          <w:sz w:val="16"/>
          <w:szCs w:val="16"/>
        </w:rPr>
        <w:t xml:space="preserve">. While these decisions do not deal with section 34, they refer to the principle set out in </w:t>
      </w:r>
      <w:r w:rsidRPr="004F020A">
        <w:rPr>
          <w:rFonts w:cstheme="minorHAnsi"/>
          <w:i/>
          <w:iCs/>
          <w:color w:val="000000" w:themeColor="text1"/>
          <w:sz w:val="16"/>
          <w:szCs w:val="16"/>
        </w:rPr>
        <w:t xml:space="preserve">Ryder v Booth </w:t>
      </w:r>
      <w:r w:rsidRPr="004F020A">
        <w:rPr>
          <w:rFonts w:cstheme="minorHAnsi"/>
          <w:color w:val="000000" w:themeColor="text1"/>
          <w:sz w:val="16"/>
          <w:szCs w:val="16"/>
        </w:rPr>
        <w:t>t</w:t>
      </w:r>
      <w:r w:rsidRPr="004F020A">
        <w:rPr>
          <w:rFonts w:cstheme="minorHAnsi"/>
          <w:color w:val="000000" w:themeColor="text1"/>
          <w:sz w:val="16"/>
          <w:szCs w:val="16"/>
          <w:shd w:val="clear" w:color="auto" w:fill="FFFFFF"/>
        </w:rPr>
        <w:t>hat because the FOI Act is remedial legislation, where ambiguity is encountered the rights given by the Act should be construed liberally and exceptions narrowly. </w:t>
      </w:r>
    </w:p>
  </w:footnote>
  <w:footnote w:id="3">
    <w:p w14:paraId="16D4CBBC"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4" w:history="1">
        <w:r w:rsidRPr="004F020A">
          <w:rPr>
            <w:rStyle w:val="Hyperlink"/>
            <w:rFonts w:cstheme="minorHAnsi"/>
            <w:i/>
            <w:iCs/>
            <w:sz w:val="16"/>
            <w:szCs w:val="16"/>
          </w:rPr>
          <w:t xml:space="preserve">Victorian Public Service Board v Wright </w:t>
        </w:r>
        <w:r w:rsidRPr="004F020A">
          <w:rPr>
            <w:rStyle w:val="Hyperlink"/>
            <w:rFonts w:cstheme="minorHAnsi"/>
            <w:sz w:val="16"/>
            <w:szCs w:val="16"/>
          </w:rPr>
          <w:t>[1986] HCA 16</w:t>
        </w:r>
      </w:hyperlink>
      <w:r w:rsidRPr="004F020A">
        <w:rPr>
          <w:rFonts w:cstheme="minorHAnsi"/>
          <w:sz w:val="16"/>
          <w:szCs w:val="16"/>
        </w:rPr>
        <w:t>, [3].</w:t>
      </w:r>
    </w:p>
  </w:footnote>
  <w:footnote w:id="4">
    <w:p w14:paraId="7C9898ED"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Thwaites v Department of Human Services</w:t>
      </w:r>
      <w:r w:rsidRPr="004F020A">
        <w:rPr>
          <w:rFonts w:cstheme="minorHAnsi"/>
          <w:sz w:val="16"/>
          <w:szCs w:val="16"/>
        </w:rPr>
        <w:t xml:space="preserve"> (1999) 15 VAR 1, 14.</w:t>
      </w:r>
    </w:p>
  </w:footnote>
  <w:footnote w:id="5">
    <w:p w14:paraId="052FADB1"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 xml:space="preserve">Gill v Department of Industry, Technology and Resources </w:t>
      </w:r>
      <w:r w:rsidRPr="004F020A">
        <w:rPr>
          <w:rFonts w:cstheme="minorHAnsi"/>
          <w:sz w:val="16"/>
          <w:szCs w:val="16"/>
        </w:rPr>
        <w:t xml:space="preserve">(1985) 1 VAR 97, 106. </w:t>
      </w:r>
    </w:p>
  </w:footnote>
  <w:footnote w:id="6">
    <w:p w14:paraId="112720DE" w14:textId="77777777" w:rsidR="00C150E9" w:rsidRPr="004F020A" w:rsidRDefault="00C150E9" w:rsidP="00C150E9">
      <w:pPr>
        <w:pStyle w:val="FootnoteText"/>
        <w:spacing w:after="60"/>
        <w:ind w:left="142" w:hanging="142"/>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 xml:space="preserve">Gill v Department of Industry, Technology and Resources </w:t>
      </w:r>
      <w:r w:rsidRPr="004F020A">
        <w:rPr>
          <w:rFonts w:cstheme="minorHAnsi"/>
          <w:sz w:val="16"/>
          <w:szCs w:val="16"/>
        </w:rPr>
        <w:t xml:space="preserve">(1985) 1 VAR 97, 106; </w:t>
      </w:r>
      <w:r w:rsidRPr="004F020A">
        <w:rPr>
          <w:rFonts w:cstheme="minorHAnsi"/>
          <w:i/>
          <w:sz w:val="16"/>
          <w:szCs w:val="16"/>
        </w:rPr>
        <w:t xml:space="preserve">Holbrook v Department of Natural Resources </w:t>
      </w:r>
      <w:r w:rsidRPr="004F020A">
        <w:rPr>
          <w:rFonts w:cstheme="minorHAnsi"/>
          <w:sz w:val="16"/>
          <w:szCs w:val="16"/>
        </w:rPr>
        <w:t>(1997) 13 VAR 1, 8.</w:t>
      </w:r>
    </w:p>
  </w:footnote>
  <w:footnote w:id="7">
    <w:p w14:paraId="252495A7"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Re City Parking Pty Ltd</w:t>
      </w:r>
      <w:r w:rsidRPr="004F020A">
        <w:rPr>
          <w:rFonts w:cstheme="minorHAnsi"/>
          <w:sz w:val="16"/>
          <w:szCs w:val="16"/>
        </w:rPr>
        <w:t xml:space="preserve"> (1996) 10 VAR 170, [198].</w:t>
      </w:r>
    </w:p>
  </w:footnote>
  <w:footnote w:id="8">
    <w:p w14:paraId="078DF992"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See example, </w:t>
      </w:r>
      <w:hyperlink r:id="rId5" w:history="1">
        <w:r w:rsidRPr="004F020A">
          <w:rPr>
            <w:rStyle w:val="Hyperlink"/>
            <w:rFonts w:cstheme="minorHAnsi"/>
            <w:i/>
            <w:iCs/>
            <w:sz w:val="16"/>
            <w:szCs w:val="16"/>
          </w:rPr>
          <w:t xml:space="preserve">Commissioner of State Revenue v Tucker </w:t>
        </w:r>
        <w:r w:rsidRPr="004F020A">
          <w:rPr>
            <w:rStyle w:val="Hyperlink"/>
            <w:rFonts w:cstheme="minorHAnsi"/>
            <w:sz w:val="16"/>
            <w:szCs w:val="16"/>
          </w:rPr>
          <w:t>[2021] VCAT 238</w:t>
        </w:r>
      </w:hyperlink>
      <w:r w:rsidRPr="004F020A">
        <w:rPr>
          <w:rFonts w:cstheme="minorHAnsi"/>
          <w:sz w:val="16"/>
          <w:szCs w:val="16"/>
        </w:rPr>
        <w:t>, [157].</w:t>
      </w:r>
    </w:p>
  </w:footnote>
  <w:footnote w:id="9">
    <w:p w14:paraId="6CABF79B"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sz w:val="16"/>
          <w:szCs w:val="16"/>
        </w:rPr>
        <w:t xml:space="preserve">Holbrook v Department of Natural Resources </w:t>
      </w:r>
      <w:r w:rsidRPr="004F020A">
        <w:rPr>
          <w:rFonts w:cstheme="minorHAnsi"/>
          <w:sz w:val="16"/>
          <w:szCs w:val="16"/>
        </w:rPr>
        <w:t>(1997) 13 VAR 1, 8.</w:t>
      </w:r>
    </w:p>
  </w:footnote>
  <w:footnote w:id="10">
    <w:p w14:paraId="1C46DD89"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6" w:history="1">
        <w:r w:rsidRPr="004F020A">
          <w:rPr>
            <w:rStyle w:val="Hyperlink"/>
            <w:rFonts w:cstheme="minorHAnsi"/>
            <w:i/>
            <w:iCs/>
            <w:sz w:val="16"/>
            <w:szCs w:val="16"/>
          </w:rPr>
          <w:t>Stewart v Department of Tourism, Sport and the Commonwealth Games</w:t>
        </w:r>
        <w:r w:rsidRPr="004F020A">
          <w:rPr>
            <w:rStyle w:val="Hyperlink"/>
            <w:rFonts w:cstheme="minorHAnsi"/>
            <w:sz w:val="16"/>
            <w:szCs w:val="16"/>
          </w:rPr>
          <w:t xml:space="preserve"> [2003] VCAT 45</w:t>
        </w:r>
      </w:hyperlink>
      <w:r w:rsidRPr="004F020A">
        <w:rPr>
          <w:rFonts w:cstheme="minorHAnsi"/>
          <w:sz w:val="16"/>
          <w:szCs w:val="16"/>
        </w:rPr>
        <w:t>, [19]-[20].</w:t>
      </w:r>
    </w:p>
  </w:footnote>
  <w:footnote w:id="11">
    <w:p w14:paraId="65AD9DB8"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7" w:history="1">
        <w:r w:rsidRPr="004F020A">
          <w:rPr>
            <w:rStyle w:val="Hyperlink"/>
            <w:rFonts w:cstheme="minorHAnsi"/>
            <w:i/>
            <w:iCs/>
            <w:sz w:val="16"/>
            <w:szCs w:val="16"/>
          </w:rPr>
          <w:t>Specialist Diagnostic Services Pty Ltd v Western Health</w:t>
        </w:r>
        <w:r w:rsidRPr="004F020A">
          <w:rPr>
            <w:rStyle w:val="Hyperlink"/>
            <w:rFonts w:cstheme="minorHAnsi"/>
            <w:sz w:val="16"/>
            <w:szCs w:val="16"/>
          </w:rPr>
          <w:t xml:space="preserve"> [2016] VCAT 17</w:t>
        </w:r>
      </w:hyperlink>
      <w:r w:rsidRPr="004F020A">
        <w:rPr>
          <w:rFonts w:cstheme="minorHAnsi"/>
          <w:sz w:val="16"/>
          <w:szCs w:val="16"/>
        </w:rPr>
        <w:t>, [50]-[51].</w:t>
      </w:r>
    </w:p>
  </w:footnote>
  <w:footnote w:id="12">
    <w:p w14:paraId="50888A96"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Holbrook v Department of Natural Resources &amp; Environment</w:t>
      </w:r>
      <w:r w:rsidRPr="004F020A">
        <w:rPr>
          <w:rFonts w:cstheme="minorHAnsi"/>
          <w:sz w:val="16"/>
          <w:szCs w:val="16"/>
        </w:rPr>
        <w:t xml:space="preserve"> (1997) 13 VAR 1, 8.</w:t>
      </w:r>
    </w:p>
  </w:footnote>
  <w:footnote w:id="13">
    <w:p w14:paraId="2139882B"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Holbrook v Department of Natural Resources &amp; Environment</w:t>
      </w:r>
      <w:r w:rsidRPr="004F020A">
        <w:rPr>
          <w:rFonts w:cstheme="minorHAnsi"/>
          <w:sz w:val="16"/>
          <w:szCs w:val="16"/>
        </w:rPr>
        <w:t xml:space="preserve"> (1997) 13 VAR 1, 8.</w:t>
      </w:r>
    </w:p>
  </w:footnote>
  <w:footnote w:id="14">
    <w:p w14:paraId="37298DC6"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Holbrook v Department of Natural Resources &amp; Environment</w:t>
      </w:r>
      <w:r w:rsidRPr="004F020A">
        <w:rPr>
          <w:rFonts w:cstheme="minorHAnsi"/>
          <w:sz w:val="16"/>
          <w:szCs w:val="16"/>
        </w:rPr>
        <w:t xml:space="preserve"> (1997) 13 VAR 1, 8.</w:t>
      </w:r>
    </w:p>
  </w:footnote>
  <w:footnote w:id="15">
    <w:p w14:paraId="5030A897"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See </w:t>
      </w:r>
      <w:hyperlink r:id="rId8" w:history="1">
        <w:r w:rsidRPr="004F020A">
          <w:rPr>
            <w:rStyle w:val="Hyperlink"/>
            <w:rFonts w:cstheme="minorHAnsi"/>
            <w:i/>
            <w:iCs/>
            <w:sz w:val="16"/>
            <w:szCs w:val="16"/>
          </w:rPr>
          <w:t>Commissioner of State Revenue v Tucker</w:t>
        </w:r>
        <w:r w:rsidRPr="004F020A">
          <w:rPr>
            <w:rStyle w:val="Hyperlink"/>
            <w:rFonts w:cstheme="minorHAnsi"/>
            <w:sz w:val="16"/>
            <w:szCs w:val="16"/>
          </w:rPr>
          <w:t xml:space="preserve"> [2021] VCAT 238</w:t>
        </w:r>
      </w:hyperlink>
      <w:r w:rsidRPr="004F020A">
        <w:rPr>
          <w:rFonts w:cstheme="minorHAnsi"/>
          <w:sz w:val="16"/>
          <w:szCs w:val="16"/>
        </w:rPr>
        <w:t xml:space="preserve">, [156], citing </w:t>
      </w:r>
      <w:r w:rsidRPr="004F020A">
        <w:rPr>
          <w:rFonts w:cstheme="minorHAnsi"/>
          <w:i/>
          <w:iCs/>
          <w:sz w:val="16"/>
          <w:szCs w:val="16"/>
        </w:rPr>
        <w:t>Marple v Department of Agriculture</w:t>
      </w:r>
      <w:r w:rsidRPr="004F020A">
        <w:rPr>
          <w:rFonts w:cstheme="minorHAnsi"/>
          <w:sz w:val="16"/>
          <w:szCs w:val="16"/>
        </w:rPr>
        <w:t> </w:t>
      </w:r>
      <w:r w:rsidRPr="004F020A">
        <w:rPr>
          <w:rFonts w:cstheme="minorHAnsi"/>
          <w:sz w:val="16"/>
          <w:szCs w:val="16"/>
          <w:u w:color="430098"/>
        </w:rPr>
        <w:t>(1995) 9 VAR 29</w:t>
      </w:r>
      <w:r w:rsidRPr="004F020A">
        <w:rPr>
          <w:rFonts w:cstheme="minorHAnsi"/>
          <w:sz w:val="16"/>
          <w:szCs w:val="16"/>
        </w:rPr>
        <w:t>.</w:t>
      </w:r>
    </w:p>
  </w:footnote>
  <w:footnote w:id="16">
    <w:p w14:paraId="75C08384"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9" w:history="1">
        <w:r w:rsidRPr="004F020A">
          <w:rPr>
            <w:rStyle w:val="Hyperlink"/>
            <w:rFonts w:cstheme="minorHAnsi"/>
            <w:i/>
            <w:iCs/>
            <w:sz w:val="16"/>
            <w:szCs w:val="16"/>
          </w:rPr>
          <w:t xml:space="preserve">Stewart v Department of Tourism, Sport and the Commonwealth Games </w:t>
        </w:r>
        <w:r w:rsidRPr="004F020A">
          <w:rPr>
            <w:rStyle w:val="Hyperlink"/>
            <w:rFonts w:cstheme="minorHAnsi"/>
            <w:sz w:val="16"/>
            <w:szCs w:val="16"/>
          </w:rPr>
          <w:t>[2003] VCAT 45</w:t>
        </w:r>
      </w:hyperlink>
      <w:r w:rsidRPr="004F020A">
        <w:rPr>
          <w:rFonts w:cstheme="minorHAnsi"/>
          <w:sz w:val="16"/>
          <w:szCs w:val="16"/>
        </w:rPr>
        <w:t>, [21].</w:t>
      </w:r>
    </w:p>
  </w:footnote>
  <w:footnote w:id="17">
    <w:p w14:paraId="758256E9"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The Act does not require an agency or Minister to consult under section 34(1)(a). However, consultation is strongly encouraged.</w:t>
      </w:r>
    </w:p>
  </w:footnote>
  <w:footnote w:id="18">
    <w:p w14:paraId="244D2182"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10" w:history="1">
        <w:r w:rsidRPr="004F020A">
          <w:rPr>
            <w:rStyle w:val="Hyperlink"/>
            <w:rFonts w:cstheme="minorHAnsi"/>
            <w:i/>
            <w:iCs/>
            <w:sz w:val="16"/>
            <w:szCs w:val="16"/>
          </w:rPr>
          <w:t>Searle Australia Pty Ltd v Public Interest Advocacy Centre</w:t>
        </w:r>
        <w:r w:rsidRPr="004F020A">
          <w:rPr>
            <w:rStyle w:val="Hyperlink"/>
            <w:rFonts w:cstheme="minorHAnsi"/>
            <w:sz w:val="16"/>
            <w:szCs w:val="16"/>
          </w:rPr>
          <w:t xml:space="preserve"> [1992] FCA 241</w:t>
        </w:r>
      </w:hyperlink>
      <w:r w:rsidRPr="004F020A">
        <w:rPr>
          <w:rFonts w:cstheme="minorHAnsi"/>
          <w:sz w:val="16"/>
          <w:szCs w:val="16"/>
        </w:rPr>
        <w:t xml:space="preserve">, [30]-[32] in relation to the equivalent provision in the Commonwealth FOI Act, followed in </w:t>
      </w:r>
      <w:hyperlink r:id="rId11" w:history="1">
        <w:r w:rsidRPr="004F020A">
          <w:rPr>
            <w:rStyle w:val="Hyperlink"/>
            <w:rFonts w:cstheme="minorHAnsi"/>
            <w:i/>
            <w:iCs/>
            <w:sz w:val="16"/>
            <w:szCs w:val="16"/>
          </w:rPr>
          <w:t xml:space="preserve">Stewart v Department of Tourism, Sport and the Commonwealth Games </w:t>
        </w:r>
        <w:r w:rsidRPr="004F020A">
          <w:rPr>
            <w:rStyle w:val="Hyperlink"/>
            <w:rFonts w:cstheme="minorHAnsi"/>
            <w:sz w:val="16"/>
            <w:szCs w:val="16"/>
          </w:rPr>
          <w:t>[2003] VCAT 45</w:t>
        </w:r>
      </w:hyperlink>
      <w:r w:rsidRPr="004F020A">
        <w:rPr>
          <w:rFonts w:cstheme="minorHAnsi"/>
          <w:sz w:val="16"/>
          <w:szCs w:val="16"/>
        </w:rPr>
        <w:t>, [27].</w:t>
      </w:r>
    </w:p>
  </w:footnote>
  <w:footnote w:id="19">
    <w:p w14:paraId="3E0B2B41"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Byrne v Swan Hill Rural City Council</w:t>
      </w:r>
      <w:r w:rsidRPr="004F020A">
        <w:rPr>
          <w:rFonts w:cstheme="minorHAnsi"/>
          <w:sz w:val="16"/>
          <w:szCs w:val="16"/>
        </w:rPr>
        <w:t xml:space="preserve"> (2000) 16 VAR 366, [27]; </w:t>
      </w:r>
      <w:hyperlink r:id="rId12" w:history="1">
        <w:r w:rsidRPr="004F020A">
          <w:rPr>
            <w:rStyle w:val="Hyperlink"/>
            <w:rFonts w:cstheme="minorHAnsi"/>
            <w:i/>
            <w:iCs/>
            <w:sz w:val="16"/>
            <w:szCs w:val="16"/>
          </w:rPr>
          <w:t xml:space="preserve">Stewart v Department of Tourism, Sport and the Commonwealth Games </w:t>
        </w:r>
        <w:r w:rsidRPr="004F020A">
          <w:rPr>
            <w:rStyle w:val="Hyperlink"/>
            <w:rFonts w:cstheme="minorHAnsi"/>
            <w:sz w:val="16"/>
            <w:szCs w:val="16"/>
          </w:rPr>
          <w:t>[2003] VCAT 45</w:t>
        </w:r>
      </w:hyperlink>
      <w:r w:rsidRPr="004F020A">
        <w:rPr>
          <w:rFonts w:cstheme="minorHAnsi"/>
          <w:sz w:val="16"/>
          <w:szCs w:val="16"/>
        </w:rPr>
        <w:t>, [26].</w:t>
      </w:r>
    </w:p>
  </w:footnote>
  <w:footnote w:id="20">
    <w:p w14:paraId="4D872AD7" w14:textId="77777777" w:rsidR="00C150E9" w:rsidRPr="004F020A" w:rsidRDefault="00C150E9" w:rsidP="00C150E9">
      <w:pPr>
        <w:pStyle w:val="FootnoteText"/>
        <w:spacing w:after="60"/>
        <w:ind w:left="142" w:hanging="142"/>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sz w:val="16"/>
          <w:szCs w:val="16"/>
        </w:rPr>
        <w:t>Re Bankers Trust Australia Ltd v Ministry of Transport</w:t>
      </w:r>
      <w:r w:rsidRPr="004F020A">
        <w:rPr>
          <w:rFonts w:cstheme="minorHAnsi"/>
          <w:sz w:val="16"/>
          <w:szCs w:val="16"/>
        </w:rPr>
        <w:t xml:space="preserve"> (1989) 2 VAR 33, 38-9 in relation to the equivalent provision in the Commonwealth FOI Act</w:t>
      </w:r>
      <w:r w:rsidRPr="004F020A">
        <w:rPr>
          <w:rFonts w:cstheme="minorHAnsi"/>
          <w:i/>
          <w:sz w:val="16"/>
          <w:szCs w:val="16"/>
        </w:rPr>
        <w:t>; Re Organon (Aust) Pty Ltd v Department of Community Services and Health</w:t>
      </w:r>
      <w:r w:rsidRPr="004F020A">
        <w:rPr>
          <w:rFonts w:cstheme="minorHAnsi"/>
          <w:sz w:val="16"/>
          <w:szCs w:val="16"/>
        </w:rPr>
        <w:t xml:space="preserve"> (1987) 13 ALD 588, [24] in relation to the equivalent provision in the Commonwealth FOI Act . These factors are “merely guides”: </w:t>
      </w:r>
      <w:hyperlink r:id="rId13" w:history="1">
        <w:r w:rsidRPr="004F020A">
          <w:rPr>
            <w:rStyle w:val="Hyperlink"/>
            <w:rFonts w:cstheme="minorHAnsi"/>
            <w:i/>
            <w:iCs/>
            <w:sz w:val="16"/>
            <w:szCs w:val="16"/>
          </w:rPr>
          <w:t xml:space="preserve">Searle Australia Pty Ltd v Public Interest Advocacy Centre </w:t>
        </w:r>
        <w:r w:rsidRPr="004F020A">
          <w:rPr>
            <w:rStyle w:val="Hyperlink"/>
            <w:rFonts w:cstheme="minorHAnsi"/>
            <w:sz w:val="16"/>
            <w:szCs w:val="16"/>
          </w:rPr>
          <w:t>[1992] FCA 241</w:t>
        </w:r>
      </w:hyperlink>
      <w:r w:rsidRPr="004F020A">
        <w:rPr>
          <w:rFonts w:cstheme="minorHAnsi"/>
          <w:sz w:val="16"/>
          <w:szCs w:val="16"/>
        </w:rPr>
        <w:t>, [37].</w:t>
      </w:r>
    </w:p>
  </w:footnote>
  <w:footnote w:id="21">
    <w:p w14:paraId="558345DB"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14" w:history="1">
        <w:r w:rsidRPr="004F020A">
          <w:rPr>
            <w:rStyle w:val="Hyperlink"/>
            <w:rFonts w:cstheme="minorHAnsi"/>
            <w:i/>
            <w:iCs/>
            <w:sz w:val="16"/>
            <w:szCs w:val="16"/>
          </w:rPr>
          <w:t xml:space="preserve">Searle Australia Pty Ltd v Public Interest Advocacy Centre </w:t>
        </w:r>
        <w:r w:rsidRPr="004F020A">
          <w:rPr>
            <w:rStyle w:val="Hyperlink"/>
            <w:rFonts w:cstheme="minorHAnsi"/>
            <w:sz w:val="16"/>
            <w:szCs w:val="16"/>
          </w:rPr>
          <w:t>[1992] FCA 241</w:t>
        </w:r>
      </w:hyperlink>
      <w:r w:rsidRPr="004F020A">
        <w:rPr>
          <w:rFonts w:cstheme="minorHAnsi"/>
          <w:sz w:val="16"/>
          <w:szCs w:val="16"/>
        </w:rPr>
        <w:t xml:space="preserve">, 33; </w:t>
      </w:r>
      <w:hyperlink r:id="rId15" w:history="1">
        <w:r w:rsidRPr="004F020A">
          <w:rPr>
            <w:rStyle w:val="Hyperlink"/>
            <w:rFonts w:cstheme="minorHAnsi"/>
            <w:i/>
            <w:iCs/>
            <w:sz w:val="16"/>
            <w:szCs w:val="16"/>
          </w:rPr>
          <w:t>Stewart v Department of Tourism, Sport and the Commonwealth Games</w:t>
        </w:r>
        <w:r w:rsidRPr="004F020A">
          <w:rPr>
            <w:rStyle w:val="Hyperlink"/>
            <w:rFonts w:cstheme="minorHAnsi"/>
            <w:sz w:val="16"/>
            <w:szCs w:val="16"/>
          </w:rPr>
          <w:t xml:space="preserve"> [2003] VCAT 45</w:t>
        </w:r>
      </w:hyperlink>
      <w:r w:rsidRPr="004F020A">
        <w:rPr>
          <w:rFonts w:cstheme="minorHAnsi"/>
          <w:sz w:val="16"/>
          <w:szCs w:val="16"/>
        </w:rPr>
        <w:t>, [26].</w:t>
      </w:r>
    </w:p>
  </w:footnote>
  <w:footnote w:id="22">
    <w:p w14:paraId="281BD4E7" w14:textId="77777777" w:rsidR="00C150E9" w:rsidRPr="004F020A" w:rsidRDefault="00C150E9" w:rsidP="00C150E9">
      <w:pPr>
        <w:pStyle w:val="FootnoteText"/>
        <w:spacing w:after="60"/>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16" w:history="1">
        <w:r w:rsidRPr="004F020A">
          <w:rPr>
            <w:rStyle w:val="Hyperlink"/>
            <w:rFonts w:cstheme="minorHAnsi"/>
            <w:i/>
            <w:iCs/>
            <w:sz w:val="16"/>
            <w:szCs w:val="16"/>
          </w:rPr>
          <w:t>Gibson v Latrobe CC</w:t>
        </w:r>
        <w:r w:rsidRPr="004F020A">
          <w:rPr>
            <w:rStyle w:val="Hyperlink"/>
            <w:rFonts w:cstheme="minorHAnsi"/>
            <w:sz w:val="16"/>
            <w:szCs w:val="16"/>
          </w:rPr>
          <w:t xml:space="preserve"> [2008] VCAT 1340</w:t>
        </w:r>
      </w:hyperlink>
      <w:r w:rsidRPr="004F020A">
        <w:rPr>
          <w:rFonts w:cstheme="minorHAnsi"/>
          <w:sz w:val="16"/>
          <w:szCs w:val="16"/>
        </w:rPr>
        <w:t>, [25].</w:t>
      </w:r>
    </w:p>
  </w:footnote>
  <w:footnote w:id="23">
    <w:p w14:paraId="4EC35C70"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17" w:history="1">
        <w:r w:rsidRPr="004F020A">
          <w:rPr>
            <w:rStyle w:val="Hyperlink"/>
            <w:rFonts w:cstheme="minorHAnsi"/>
            <w:i/>
            <w:iCs/>
            <w:sz w:val="16"/>
            <w:szCs w:val="16"/>
          </w:rPr>
          <w:t>Commissioner of State Revenue v Tucker</w:t>
        </w:r>
        <w:r w:rsidRPr="004F020A">
          <w:rPr>
            <w:rStyle w:val="Hyperlink"/>
            <w:rFonts w:cstheme="minorHAnsi"/>
            <w:sz w:val="16"/>
            <w:szCs w:val="16"/>
          </w:rPr>
          <w:t xml:space="preserve"> [2021] VCAT 238</w:t>
        </w:r>
      </w:hyperlink>
      <w:r w:rsidRPr="004F020A">
        <w:rPr>
          <w:rFonts w:cstheme="minorHAnsi"/>
          <w:sz w:val="16"/>
          <w:szCs w:val="16"/>
        </w:rPr>
        <w:t>, [158].</w:t>
      </w:r>
    </w:p>
  </w:footnote>
  <w:footnote w:id="24">
    <w:p w14:paraId="37BE0935"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18" w:history="1">
        <w:r w:rsidRPr="004F020A">
          <w:rPr>
            <w:rStyle w:val="Hyperlink"/>
            <w:rFonts w:cstheme="minorHAnsi"/>
            <w:i/>
            <w:iCs/>
            <w:sz w:val="16"/>
            <w:szCs w:val="16"/>
          </w:rPr>
          <w:t xml:space="preserve">Commissioner of State Revenue v Tucker </w:t>
        </w:r>
        <w:r w:rsidRPr="004F020A">
          <w:rPr>
            <w:rStyle w:val="Hyperlink"/>
            <w:rFonts w:cstheme="minorHAnsi"/>
            <w:sz w:val="16"/>
            <w:szCs w:val="16"/>
          </w:rPr>
          <w:t>[2021] VCAT 238</w:t>
        </w:r>
      </w:hyperlink>
      <w:r w:rsidRPr="004F020A">
        <w:rPr>
          <w:rFonts w:cstheme="minorHAnsi"/>
          <w:sz w:val="16"/>
          <w:szCs w:val="16"/>
        </w:rPr>
        <w:t xml:space="preserve">, [158], citing </w:t>
      </w:r>
      <w:hyperlink r:id="rId19" w:history="1">
        <w:r w:rsidRPr="004F020A">
          <w:rPr>
            <w:rStyle w:val="Hyperlink"/>
            <w:rFonts w:cstheme="minorHAnsi"/>
            <w:i/>
            <w:iCs/>
            <w:sz w:val="16"/>
            <w:szCs w:val="16"/>
            <w:shd w:val="clear" w:color="auto" w:fill="FFFFFF"/>
          </w:rPr>
          <w:t>J &amp; G Knowles &amp; Associates Pty Ltd v Commissioner of Taxation</w:t>
        </w:r>
        <w:r w:rsidRPr="004F020A">
          <w:rPr>
            <w:rStyle w:val="Hyperlink"/>
            <w:rFonts w:cstheme="minorHAnsi"/>
            <w:sz w:val="16"/>
            <w:szCs w:val="16"/>
            <w:shd w:val="clear" w:color="auto" w:fill="FFFFFF"/>
          </w:rPr>
          <w:t> [2000] FCA 196</w:t>
        </w:r>
      </w:hyperlink>
      <w:r w:rsidRPr="004F020A">
        <w:rPr>
          <w:rFonts w:cstheme="minorHAnsi"/>
          <w:color w:val="333333"/>
          <w:sz w:val="16"/>
          <w:szCs w:val="16"/>
          <w:shd w:val="clear" w:color="auto" w:fill="FFFFFF"/>
        </w:rPr>
        <w:t>.</w:t>
      </w:r>
    </w:p>
  </w:footnote>
  <w:footnote w:id="25">
    <w:p w14:paraId="10740BE6" w14:textId="77777777" w:rsidR="00C150E9" w:rsidRPr="004F020A" w:rsidRDefault="00C150E9" w:rsidP="00C150E9">
      <w:pPr>
        <w:shd w:val="clear" w:color="auto" w:fill="FFFFFF"/>
        <w:spacing w:after="60"/>
        <w:ind w:left="180" w:hanging="180"/>
        <w:rPr>
          <w:rFonts w:cstheme="minorHAnsi"/>
          <w:sz w:val="16"/>
          <w:szCs w:val="16"/>
          <w:lang w:val="en"/>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sz w:val="16"/>
          <w:szCs w:val="16"/>
          <w:lang w:val="en"/>
        </w:rPr>
        <w:t>Dalla-Riva v Department of Treasury and Finance</w:t>
      </w:r>
      <w:r w:rsidRPr="004F020A">
        <w:rPr>
          <w:rFonts w:cstheme="minorHAnsi"/>
          <w:sz w:val="16"/>
          <w:szCs w:val="16"/>
          <w:lang w:val="en"/>
        </w:rPr>
        <w:t xml:space="preserve"> [2007] VCAT 1301, [33]. </w:t>
      </w:r>
    </w:p>
  </w:footnote>
  <w:footnote w:id="26">
    <w:p w14:paraId="4EF941A2" w14:textId="77777777" w:rsidR="00C150E9" w:rsidRPr="004F020A" w:rsidRDefault="00C150E9" w:rsidP="00C150E9">
      <w:pPr>
        <w:pStyle w:val="FootnoteText"/>
        <w:spacing w:after="60"/>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bookmarkStart w:id="13" w:name="_Hlk145681313"/>
      <w:r w:rsidRPr="004F020A">
        <w:rPr>
          <w:rFonts w:cstheme="minorHAnsi"/>
          <w:i/>
          <w:sz w:val="16"/>
          <w:szCs w:val="16"/>
        </w:rPr>
        <w:t>Re Thwaites and Metropolitan Ambulance Service</w:t>
      </w:r>
      <w:r w:rsidRPr="004F020A">
        <w:rPr>
          <w:rFonts w:cstheme="minorHAnsi"/>
          <w:sz w:val="16"/>
          <w:szCs w:val="16"/>
        </w:rPr>
        <w:t xml:space="preserve"> (1996) 9 VAR 427</w:t>
      </w:r>
      <w:bookmarkEnd w:id="13"/>
      <w:r w:rsidRPr="004F020A">
        <w:rPr>
          <w:rFonts w:cstheme="minorHAnsi"/>
          <w:sz w:val="16"/>
          <w:szCs w:val="16"/>
        </w:rPr>
        <w:t>, [477].</w:t>
      </w:r>
    </w:p>
  </w:footnote>
  <w:footnote w:id="27">
    <w:p w14:paraId="4B57BDD7" w14:textId="77777777" w:rsidR="00C150E9" w:rsidRPr="004F020A" w:rsidRDefault="00C150E9" w:rsidP="00C150E9">
      <w:pPr>
        <w:pStyle w:val="FootnoteText"/>
        <w:spacing w:after="60"/>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See Macquarie Dictionary. </w:t>
      </w:r>
    </w:p>
  </w:footnote>
  <w:footnote w:id="28">
    <w:p w14:paraId="001AC0B8" w14:textId="77777777" w:rsidR="00C150E9" w:rsidRPr="004F020A" w:rsidRDefault="00C150E9" w:rsidP="00C150E9">
      <w:pPr>
        <w:pStyle w:val="FootnoteText"/>
        <w:spacing w:after="60"/>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20" w:history="1">
        <w:r w:rsidRPr="004F020A">
          <w:rPr>
            <w:rStyle w:val="Hyperlink"/>
            <w:rFonts w:cstheme="minorHAnsi"/>
            <w:i/>
            <w:iCs/>
            <w:sz w:val="16"/>
            <w:szCs w:val="16"/>
          </w:rPr>
          <w:t xml:space="preserve">Asher v Department of innovation, Industry and Regional Development </w:t>
        </w:r>
        <w:r w:rsidRPr="004F020A">
          <w:rPr>
            <w:rStyle w:val="Hyperlink"/>
            <w:rFonts w:cstheme="minorHAnsi"/>
            <w:sz w:val="16"/>
            <w:szCs w:val="16"/>
          </w:rPr>
          <w:t>[2005] VCAT 2702</w:t>
        </w:r>
      </w:hyperlink>
      <w:r w:rsidRPr="004F020A">
        <w:rPr>
          <w:rFonts w:cstheme="minorHAnsi"/>
          <w:sz w:val="16"/>
          <w:szCs w:val="16"/>
        </w:rPr>
        <w:t xml:space="preserve">, [38]. </w:t>
      </w:r>
    </w:p>
  </w:footnote>
  <w:footnote w:id="29">
    <w:p w14:paraId="1D5FFDA1"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sz w:val="16"/>
          <w:szCs w:val="16"/>
        </w:rPr>
        <w:t xml:space="preserve">Holbrook v Department of Natural Resources </w:t>
      </w:r>
      <w:r w:rsidRPr="004F020A">
        <w:rPr>
          <w:rFonts w:cstheme="minorHAnsi"/>
          <w:sz w:val="16"/>
          <w:szCs w:val="16"/>
        </w:rPr>
        <w:t>(1997) 13 VAR 1, 8.</w:t>
      </w:r>
    </w:p>
  </w:footnote>
  <w:footnote w:id="30">
    <w:p w14:paraId="0691D878"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21" w:history="1">
        <w:r w:rsidRPr="004F020A">
          <w:rPr>
            <w:rStyle w:val="Hyperlink"/>
            <w:rFonts w:cstheme="minorHAnsi"/>
            <w:i/>
            <w:iCs/>
            <w:sz w:val="16"/>
            <w:szCs w:val="16"/>
          </w:rPr>
          <w:t>Stewart v Department of Tourism, Sport and the Commonwealth Games</w:t>
        </w:r>
        <w:r w:rsidRPr="004F020A">
          <w:rPr>
            <w:rStyle w:val="Hyperlink"/>
            <w:rFonts w:cstheme="minorHAnsi"/>
            <w:sz w:val="16"/>
            <w:szCs w:val="16"/>
          </w:rPr>
          <w:t xml:space="preserve"> [2003] VCAT 45</w:t>
        </w:r>
      </w:hyperlink>
      <w:r w:rsidRPr="004F020A">
        <w:rPr>
          <w:rFonts w:cstheme="minorHAnsi"/>
          <w:sz w:val="16"/>
          <w:szCs w:val="16"/>
        </w:rPr>
        <w:t>, [32]-[38], [48].</w:t>
      </w:r>
    </w:p>
  </w:footnote>
  <w:footnote w:id="31">
    <w:p w14:paraId="242A2054"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22" w:history="1">
        <w:r w:rsidRPr="004F020A">
          <w:rPr>
            <w:rStyle w:val="Hyperlink"/>
            <w:rFonts w:cstheme="minorHAnsi"/>
            <w:i/>
            <w:iCs/>
            <w:sz w:val="16"/>
            <w:szCs w:val="16"/>
          </w:rPr>
          <w:t>AOZ v JLV </w:t>
        </w:r>
        <w:r w:rsidRPr="004F020A">
          <w:rPr>
            <w:rStyle w:val="Hyperlink"/>
            <w:rFonts w:cstheme="minorHAnsi"/>
            <w:sz w:val="16"/>
            <w:szCs w:val="16"/>
          </w:rPr>
          <w:t>[2019] VCAT 31</w:t>
        </w:r>
      </w:hyperlink>
      <w:r w:rsidRPr="004F020A">
        <w:rPr>
          <w:rFonts w:cstheme="minorHAnsi"/>
          <w:sz w:val="16"/>
          <w:szCs w:val="16"/>
          <w:u w:color="430098"/>
        </w:rPr>
        <w:t>, [182]-[183].</w:t>
      </w:r>
    </w:p>
  </w:footnote>
  <w:footnote w:id="32">
    <w:p w14:paraId="7F26FAD9"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23" w:history="1">
        <w:r w:rsidRPr="004F020A">
          <w:rPr>
            <w:rStyle w:val="Hyperlink"/>
            <w:rFonts w:cstheme="minorHAnsi"/>
            <w:i/>
            <w:iCs/>
            <w:sz w:val="16"/>
            <w:szCs w:val="16"/>
          </w:rPr>
          <w:t>AOZ v JLV</w:t>
        </w:r>
        <w:r w:rsidRPr="004F020A">
          <w:rPr>
            <w:rStyle w:val="Hyperlink"/>
            <w:rFonts w:cstheme="minorHAnsi"/>
            <w:sz w:val="16"/>
            <w:szCs w:val="16"/>
          </w:rPr>
          <w:t> [2019] VCAT 31</w:t>
        </w:r>
      </w:hyperlink>
      <w:r w:rsidRPr="004F020A">
        <w:rPr>
          <w:rFonts w:cstheme="minorHAnsi"/>
          <w:sz w:val="16"/>
          <w:szCs w:val="16"/>
          <w:u w:color="430098"/>
        </w:rPr>
        <w:t>, [182].</w:t>
      </w:r>
    </w:p>
  </w:footnote>
  <w:footnote w:id="33">
    <w:p w14:paraId="157249DA"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24" w:history="1">
        <w:r w:rsidRPr="004F020A">
          <w:rPr>
            <w:rStyle w:val="Hyperlink"/>
            <w:rFonts w:cstheme="minorHAnsi"/>
            <w:i/>
            <w:iCs/>
            <w:sz w:val="16"/>
            <w:szCs w:val="16"/>
          </w:rPr>
          <w:t>Faine v Victorian Building Authority</w:t>
        </w:r>
        <w:r w:rsidRPr="004F020A">
          <w:rPr>
            <w:rStyle w:val="Hyperlink"/>
            <w:rFonts w:cstheme="minorHAnsi"/>
            <w:sz w:val="16"/>
            <w:szCs w:val="16"/>
          </w:rPr>
          <w:t> [2019] VCAT 111</w:t>
        </w:r>
      </w:hyperlink>
      <w:r w:rsidRPr="004F020A">
        <w:rPr>
          <w:rFonts w:cstheme="minorHAnsi"/>
          <w:sz w:val="16"/>
          <w:szCs w:val="16"/>
          <w:u w:color="430098"/>
        </w:rPr>
        <w:t>, [59]-[60].</w:t>
      </w:r>
    </w:p>
  </w:footnote>
  <w:footnote w:id="34">
    <w:p w14:paraId="5C87DCC7"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25" w:history="1">
        <w:r w:rsidRPr="004F020A">
          <w:rPr>
            <w:rStyle w:val="Hyperlink"/>
            <w:rFonts w:cstheme="minorHAnsi"/>
            <w:i/>
            <w:iCs/>
            <w:sz w:val="16"/>
            <w:szCs w:val="16"/>
          </w:rPr>
          <w:t>Faine v Victorian Building Authority</w:t>
        </w:r>
        <w:r w:rsidRPr="004F020A">
          <w:rPr>
            <w:rStyle w:val="Hyperlink"/>
            <w:rFonts w:cstheme="minorHAnsi"/>
            <w:sz w:val="16"/>
            <w:szCs w:val="16"/>
          </w:rPr>
          <w:t> [2019] VCAT 111</w:t>
        </w:r>
      </w:hyperlink>
      <w:r w:rsidRPr="004F020A">
        <w:rPr>
          <w:rStyle w:val="Hyperlink"/>
          <w:rFonts w:cstheme="minorHAnsi"/>
          <w:sz w:val="16"/>
          <w:szCs w:val="16"/>
        </w:rPr>
        <w:t xml:space="preserve">, [31]. </w:t>
      </w:r>
    </w:p>
  </w:footnote>
  <w:footnote w:id="35">
    <w:p w14:paraId="632D9B0D"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26" w:history="1">
        <w:r w:rsidRPr="004F020A">
          <w:rPr>
            <w:rStyle w:val="Hyperlink"/>
            <w:rFonts w:cstheme="minorHAnsi"/>
            <w:i/>
            <w:iCs/>
            <w:sz w:val="16"/>
            <w:szCs w:val="16"/>
          </w:rPr>
          <w:t>Fitzherbert v Department of Health and Human Services</w:t>
        </w:r>
        <w:r w:rsidRPr="004F020A">
          <w:rPr>
            <w:rStyle w:val="Hyperlink"/>
            <w:rFonts w:cstheme="minorHAnsi"/>
            <w:sz w:val="16"/>
            <w:szCs w:val="16"/>
          </w:rPr>
          <w:t> [2019] VCAT 201</w:t>
        </w:r>
      </w:hyperlink>
      <w:r w:rsidRPr="004F020A">
        <w:rPr>
          <w:rFonts w:cstheme="minorHAnsi"/>
          <w:sz w:val="16"/>
          <w:szCs w:val="16"/>
          <w:u w:color="430098"/>
        </w:rPr>
        <w:t>.</w:t>
      </w:r>
    </w:p>
  </w:footnote>
  <w:footnote w:id="36">
    <w:p w14:paraId="67A23CFA"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27" w:history="1">
        <w:r w:rsidRPr="004F020A">
          <w:rPr>
            <w:rStyle w:val="Hyperlink"/>
            <w:rFonts w:cstheme="minorHAnsi"/>
            <w:i/>
            <w:iCs/>
            <w:sz w:val="16"/>
            <w:szCs w:val="16"/>
          </w:rPr>
          <w:t>Fitzherbert v Department of Health and Human Services </w:t>
        </w:r>
        <w:r w:rsidRPr="004F020A">
          <w:rPr>
            <w:rStyle w:val="Hyperlink"/>
            <w:rFonts w:cstheme="minorHAnsi"/>
            <w:sz w:val="16"/>
            <w:szCs w:val="16"/>
          </w:rPr>
          <w:t>[2019] VCAT 201</w:t>
        </w:r>
      </w:hyperlink>
      <w:r w:rsidRPr="004F020A">
        <w:rPr>
          <w:rFonts w:cstheme="minorHAnsi"/>
          <w:sz w:val="16"/>
          <w:szCs w:val="16"/>
          <w:u w:color="430098"/>
        </w:rPr>
        <w:t xml:space="preserve">, [56]-[57]; see also </w:t>
      </w:r>
      <w:hyperlink r:id="rId28" w:history="1">
        <w:r w:rsidRPr="004F020A">
          <w:rPr>
            <w:rStyle w:val="Hyperlink"/>
            <w:rFonts w:cstheme="minorHAnsi"/>
            <w:i/>
            <w:iCs/>
            <w:sz w:val="16"/>
            <w:szCs w:val="16"/>
          </w:rPr>
          <w:t>Department of Education and Training v Australian Education Union</w:t>
        </w:r>
        <w:r w:rsidRPr="004F020A">
          <w:rPr>
            <w:rStyle w:val="Hyperlink"/>
            <w:rFonts w:cstheme="minorHAnsi"/>
            <w:sz w:val="16"/>
            <w:szCs w:val="16"/>
          </w:rPr>
          <w:t> [2019] VCAT 1667</w:t>
        </w:r>
      </w:hyperlink>
      <w:r w:rsidRPr="004F020A">
        <w:rPr>
          <w:rFonts w:cstheme="minorHAnsi"/>
          <w:sz w:val="16"/>
          <w:szCs w:val="16"/>
        </w:rPr>
        <w:t>, [68]-[73] and ‘</w:t>
      </w:r>
      <w:hyperlink r:id="rId29" w:history="1">
        <w:r w:rsidRPr="004F020A">
          <w:rPr>
            <w:rStyle w:val="Hyperlink"/>
            <w:rFonts w:cstheme="minorHAnsi"/>
            <w:i/>
            <w:iCs/>
            <w:sz w:val="16"/>
            <w:szCs w:val="16"/>
          </w:rPr>
          <w:t>FD1’ and Department of Health</w:t>
        </w:r>
        <w:r w:rsidRPr="004F020A">
          <w:rPr>
            <w:rStyle w:val="Hyperlink"/>
            <w:rFonts w:cstheme="minorHAnsi"/>
            <w:sz w:val="16"/>
            <w:szCs w:val="16"/>
          </w:rPr>
          <w:t xml:space="preserve"> [2023] </w:t>
        </w:r>
        <w:r w:rsidRPr="004F020A">
          <w:rPr>
            <w:rStyle w:val="Hyperlink"/>
            <w:rFonts w:cstheme="minorHAnsi"/>
            <w:sz w:val="16"/>
            <w:szCs w:val="16"/>
          </w:rPr>
          <w:t>VICmr 36</w:t>
        </w:r>
      </w:hyperlink>
      <w:r w:rsidRPr="004F020A">
        <w:rPr>
          <w:rFonts w:cstheme="minorHAnsi"/>
          <w:sz w:val="16"/>
          <w:szCs w:val="16"/>
        </w:rPr>
        <w:t>, [22]; ‘</w:t>
      </w:r>
      <w:hyperlink r:id="rId30" w:history="1">
        <w:r w:rsidRPr="004F020A">
          <w:rPr>
            <w:rStyle w:val="Hyperlink"/>
            <w:rFonts w:cstheme="minorHAnsi"/>
            <w:i/>
            <w:iCs/>
            <w:sz w:val="16"/>
            <w:szCs w:val="16"/>
          </w:rPr>
          <w:t>FD2’ and Department of Justice and Community Safety</w:t>
        </w:r>
        <w:r w:rsidRPr="004F020A">
          <w:rPr>
            <w:rStyle w:val="Hyperlink"/>
            <w:rFonts w:cstheme="minorHAnsi"/>
            <w:sz w:val="16"/>
            <w:szCs w:val="16"/>
          </w:rPr>
          <w:t xml:space="preserve"> [2023] VICmr 37</w:t>
        </w:r>
      </w:hyperlink>
      <w:r w:rsidRPr="004F020A">
        <w:rPr>
          <w:rFonts w:cstheme="minorHAnsi"/>
          <w:sz w:val="16"/>
          <w:szCs w:val="16"/>
        </w:rPr>
        <w:t>, [69]-[70], where the agencies’ exemption claims failed due to lack of direct evidence from the undertaking</w:t>
      </w:r>
      <w:r w:rsidRPr="004F020A">
        <w:rPr>
          <w:rFonts w:cstheme="minorHAnsi"/>
          <w:sz w:val="16"/>
          <w:szCs w:val="16"/>
          <w:u w:color="430098"/>
        </w:rPr>
        <w:t>.</w:t>
      </w:r>
    </w:p>
  </w:footnote>
  <w:footnote w:id="37">
    <w:p w14:paraId="560A3B4E"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31" w:history="1">
        <w:r w:rsidRPr="004F020A">
          <w:rPr>
            <w:rStyle w:val="Hyperlink"/>
            <w:rFonts w:cstheme="minorHAnsi"/>
            <w:i/>
            <w:iCs/>
            <w:sz w:val="16"/>
            <w:szCs w:val="16"/>
          </w:rPr>
          <w:t>Kotsiras v Department of Premier &amp; Cabinet</w:t>
        </w:r>
        <w:r w:rsidRPr="004F020A">
          <w:rPr>
            <w:rStyle w:val="Hyperlink"/>
            <w:rFonts w:cstheme="minorHAnsi"/>
            <w:sz w:val="16"/>
            <w:szCs w:val="16"/>
          </w:rPr>
          <w:t> [2003] VCAT 472</w:t>
        </w:r>
      </w:hyperlink>
      <w:r w:rsidRPr="004F020A">
        <w:rPr>
          <w:rFonts w:cstheme="minorHAnsi"/>
          <w:sz w:val="16"/>
          <w:szCs w:val="16"/>
          <w:u w:color="430098"/>
        </w:rPr>
        <w:t>, [36].</w:t>
      </w:r>
    </w:p>
  </w:footnote>
  <w:footnote w:id="38">
    <w:p w14:paraId="6191FC2C"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32" w:history="1">
        <w:r w:rsidRPr="004F020A">
          <w:rPr>
            <w:rStyle w:val="Hyperlink"/>
            <w:rFonts w:cstheme="minorHAnsi"/>
            <w:i/>
            <w:iCs/>
            <w:sz w:val="16"/>
            <w:szCs w:val="16"/>
          </w:rPr>
          <w:t>Kotsiras v Department of Premier &amp; Cabinet</w:t>
        </w:r>
        <w:r w:rsidRPr="004F020A">
          <w:rPr>
            <w:rStyle w:val="Hyperlink"/>
            <w:rFonts w:cstheme="minorHAnsi"/>
            <w:sz w:val="16"/>
            <w:szCs w:val="16"/>
          </w:rPr>
          <w:t> [2003] VCAT 472</w:t>
        </w:r>
      </w:hyperlink>
      <w:r w:rsidRPr="004F020A">
        <w:rPr>
          <w:rFonts w:cstheme="minorHAnsi"/>
          <w:sz w:val="16"/>
          <w:szCs w:val="16"/>
          <w:u w:color="430098"/>
        </w:rPr>
        <w:t>, [37].</w:t>
      </w:r>
    </w:p>
  </w:footnote>
  <w:footnote w:id="39">
    <w:p w14:paraId="3883FFD9"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33" w:history="1">
        <w:r w:rsidRPr="004F020A">
          <w:rPr>
            <w:rStyle w:val="Hyperlink"/>
            <w:rFonts w:cstheme="minorHAnsi"/>
            <w:i/>
            <w:iCs/>
            <w:sz w:val="16"/>
            <w:szCs w:val="16"/>
          </w:rPr>
          <w:t>Specialist Diagnostic Services Pty Ltd v Western Health</w:t>
        </w:r>
        <w:r w:rsidRPr="004F020A">
          <w:rPr>
            <w:rStyle w:val="Hyperlink"/>
            <w:rFonts w:cstheme="minorHAnsi"/>
            <w:sz w:val="16"/>
            <w:szCs w:val="16"/>
          </w:rPr>
          <w:t xml:space="preserve"> [2016] VCAT 17</w:t>
        </w:r>
      </w:hyperlink>
      <w:r w:rsidRPr="004F020A">
        <w:rPr>
          <w:rFonts w:cstheme="minorHAnsi"/>
          <w:sz w:val="16"/>
          <w:szCs w:val="16"/>
        </w:rPr>
        <w:t>, [82]-[84].</w:t>
      </w:r>
    </w:p>
  </w:footnote>
  <w:footnote w:id="40">
    <w:p w14:paraId="3AFAF5D5"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34" w:history="1">
        <w:r w:rsidRPr="004F020A">
          <w:rPr>
            <w:rStyle w:val="Hyperlink"/>
            <w:rFonts w:cstheme="minorHAnsi"/>
            <w:i/>
            <w:iCs/>
            <w:sz w:val="16"/>
            <w:szCs w:val="16"/>
          </w:rPr>
          <w:t>Chopra v Department of Education and Training</w:t>
        </w:r>
        <w:r w:rsidRPr="004F020A">
          <w:rPr>
            <w:rStyle w:val="Hyperlink"/>
            <w:rFonts w:cstheme="minorHAnsi"/>
            <w:sz w:val="16"/>
            <w:szCs w:val="16"/>
          </w:rPr>
          <w:t xml:space="preserve"> [2019] VCAT 1860</w:t>
        </w:r>
      </w:hyperlink>
      <w:r w:rsidRPr="004F020A">
        <w:rPr>
          <w:rStyle w:val="Hyperlink"/>
          <w:rFonts w:cstheme="minorHAnsi"/>
          <w:sz w:val="16"/>
          <w:szCs w:val="16"/>
        </w:rPr>
        <w:t>, [59]-[66]</w:t>
      </w:r>
      <w:r w:rsidRPr="004F020A">
        <w:rPr>
          <w:rFonts w:cstheme="minorHAnsi"/>
          <w:sz w:val="16"/>
          <w:szCs w:val="16"/>
        </w:rPr>
        <w:t xml:space="preserve">; </w:t>
      </w:r>
      <w:hyperlink r:id="rId35" w:history="1">
        <w:r w:rsidRPr="004F020A">
          <w:rPr>
            <w:rStyle w:val="Hyperlink"/>
            <w:rFonts w:cstheme="minorHAnsi"/>
            <w:i/>
            <w:iCs/>
            <w:sz w:val="16"/>
            <w:szCs w:val="16"/>
          </w:rPr>
          <w:t>Commissioner of State Revenue v Tucker</w:t>
        </w:r>
        <w:r w:rsidRPr="004F020A">
          <w:rPr>
            <w:rStyle w:val="Hyperlink"/>
            <w:rFonts w:cstheme="minorHAnsi"/>
            <w:sz w:val="16"/>
            <w:szCs w:val="16"/>
          </w:rPr>
          <w:t xml:space="preserve"> [2021] VCAT 238</w:t>
        </w:r>
      </w:hyperlink>
      <w:r w:rsidRPr="004F020A">
        <w:rPr>
          <w:rFonts w:cstheme="minorHAnsi"/>
          <w:sz w:val="16"/>
          <w:szCs w:val="16"/>
        </w:rPr>
        <w:t>, [166]-[167], [170].</w:t>
      </w:r>
    </w:p>
  </w:footnote>
  <w:footnote w:id="41">
    <w:p w14:paraId="48B5C997"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36" w:history="1">
        <w:r w:rsidRPr="004F020A">
          <w:rPr>
            <w:rStyle w:val="Hyperlink"/>
            <w:rFonts w:cstheme="minorHAnsi"/>
            <w:i/>
            <w:iCs/>
            <w:sz w:val="16"/>
            <w:szCs w:val="16"/>
          </w:rPr>
          <w:t xml:space="preserve">CityLink Melbourne Limited v Department of Transport </w:t>
        </w:r>
        <w:r w:rsidRPr="004F020A">
          <w:rPr>
            <w:rStyle w:val="Hyperlink"/>
            <w:rFonts w:cstheme="minorHAnsi"/>
            <w:sz w:val="16"/>
            <w:szCs w:val="16"/>
          </w:rPr>
          <w:t>[2020] VCAT 1078</w:t>
        </w:r>
      </w:hyperlink>
      <w:r w:rsidRPr="004F020A">
        <w:rPr>
          <w:rFonts w:cstheme="minorHAnsi"/>
          <w:sz w:val="16"/>
          <w:szCs w:val="16"/>
        </w:rPr>
        <w:t>.</w:t>
      </w:r>
    </w:p>
  </w:footnote>
  <w:footnote w:id="42">
    <w:p w14:paraId="01037E33"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37" w:history="1">
        <w:r w:rsidRPr="004F020A">
          <w:rPr>
            <w:rStyle w:val="Hyperlink"/>
            <w:rFonts w:cstheme="minorHAnsi"/>
            <w:i/>
            <w:iCs/>
            <w:sz w:val="16"/>
            <w:szCs w:val="16"/>
          </w:rPr>
          <w:t xml:space="preserve">Tucker v Commissioner of State Revenue </w:t>
        </w:r>
        <w:r w:rsidRPr="004F020A">
          <w:rPr>
            <w:rStyle w:val="Hyperlink"/>
            <w:rFonts w:cstheme="minorHAnsi"/>
            <w:sz w:val="16"/>
            <w:szCs w:val="16"/>
          </w:rPr>
          <w:t>[2019] VCAT 2018</w:t>
        </w:r>
      </w:hyperlink>
      <w:r w:rsidRPr="004F020A">
        <w:rPr>
          <w:rFonts w:cstheme="minorHAnsi"/>
          <w:sz w:val="16"/>
          <w:szCs w:val="16"/>
        </w:rPr>
        <w:t>.</w:t>
      </w:r>
    </w:p>
  </w:footnote>
  <w:footnote w:id="43">
    <w:p w14:paraId="7E0D23EB"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38" w:history="1">
        <w:r w:rsidRPr="004F020A">
          <w:rPr>
            <w:rStyle w:val="Hyperlink"/>
            <w:rFonts w:cstheme="minorHAnsi"/>
            <w:i/>
            <w:iCs/>
            <w:sz w:val="16"/>
            <w:szCs w:val="16"/>
          </w:rPr>
          <w:t>Green v Department of Human Services</w:t>
        </w:r>
        <w:r w:rsidRPr="004F020A">
          <w:rPr>
            <w:rStyle w:val="Hyperlink"/>
            <w:rFonts w:cstheme="minorHAnsi"/>
            <w:sz w:val="16"/>
            <w:szCs w:val="16"/>
          </w:rPr>
          <w:t xml:space="preserve"> [2014] VCAT 1233</w:t>
        </w:r>
      </w:hyperlink>
      <w:r w:rsidRPr="004F020A">
        <w:rPr>
          <w:rFonts w:cstheme="minorHAnsi"/>
          <w:sz w:val="16"/>
          <w:szCs w:val="16"/>
        </w:rPr>
        <w:t>.</w:t>
      </w:r>
    </w:p>
  </w:footnote>
  <w:footnote w:id="44">
    <w:p w14:paraId="5927F3D1"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Hulls v Victorian Casino &amp; Gaming Authority</w:t>
      </w:r>
      <w:r w:rsidRPr="004F020A">
        <w:rPr>
          <w:rFonts w:cstheme="minorHAnsi"/>
          <w:sz w:val="16"/>
          <w:szCs w:val="16"/>
        </w:rPr>
        <w:t xml:space="preserve"> (1998) 12 VAR 483, 495.</w:t>
      </w:r>
    </w:p>
  </w:footnote>
  <w:footnote w:id="45">
    <w:p w14:paraId="6CC1917C" w14:textId="77777777" w:rsidR="00C150E9" w:rsidRPr="004F020A" w:rsidRDefault="00C150E9" w:rsidP="00C150E9">
      <w:pPr>
        <w:pStyle w:val="FootnoteText"/>
        <w:spacing w:after="60"/>
        <w:ind w:left="142" w:hanging="142"/>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sz w:val="16"/>
          <w:szCs w:val="16"/>
        </w:rPr>
        <w:t>Re Bankers Trust Australia Ltd v Ministry of Transport</w:t>
      </w:r>
      <w:r w:rsidRPr="004F020A">
        <w:rPr>
          <w:rFonts w:cstheme="minorHAnsi"/>
          <w:sz w:val="16"/>
          <w:szCs w:val="16"/>
        </w:rPr>
        <w:t xml:space="preserve"> (1989) 2 VAR 33, 38-9</w:t>
      </w:r>
      <w:r w:rsidRPr="004F020A">
        <w:rPr>
          <w:rFonts w:cstheme="minorHAnsi"/>
          <w:i/>
          <w:sz w:val="16"/>
          <w:szCs w:val="16"/>
        </w:rPr>
        <w:t>; Re Organon (Aust) Pty Ltd v Department of Community Services and Health</w:t>
      </w:r>
      <w:r w:rsidRPr="004F020A">
        <w:rPr>
          <w:rFonts w:cstheme="minorHAnsi"/>
          <w:sz w:val="16"/>
          <w:szCs w:val="16"/>
        </w:rPr>
        <w:t xml:space="preserve"> (1987) 13 ALD 588, [24]. </w:t>
      </w:r>
    </w:p>
  </w:footnote>
  <w:footnote w:id="46">
    <w:p w14:paraId="58F725DA"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39" w:history="1">
        <w:r w:rsidRPr="004F020A">
          <w:rPr>
            <w:rStyle w:val="Hyperlink"/>
            <w:rFonts w:cstheme="minorHAnsi"/>
            <w:i/>
            <w:iCs/>
            <w:sz w:val="16"/>
            <w:szCs w:val="16"/>
            <w:shd w:val="clear" w:color="auto" w:fill="FFFFFF"/>
          </w:rPr>
          <w:t>Re Ku-Ring-Gai Co-operative Building Society (No 12) Ltd </w:t>
        </w:r>
        <w:r w:rsidRPr="004F020A">
          <w:rPr>
            <w:rStyle w:val="Hyperlink"/>
            <w:rFonts w:cstheme="minorHAnsi"/>
            <w:sz w:val="16"/>
            <w:szCs w:val="16"/>
            <w:shd w:val="clear" w:color="auto" w:fill="FFFFFF"/>
          </w:rPr>
          <w:t>[1978] FCA 50</w:t>
        </w:r>
      </w:hyperlink>
      <w:r w:rsidRPr="004F020A">
        <w:rPr>
          <w:rFonts w:cstheme="minorHAnsi"/>
          <w:sz w:val="16"/>
          <w:szCs w:val="16"/>
          <w:u w:color="430098"/>
          <w:shd w:val="clear" w:color="auto" w:fill="FFFFFF"/>
        </w:rPr>
        <w:t>,</w:t>
      </w:r>
      <w:r w:rsidRPr="004F020A">
        <w:rPr>
          <w:rFonts w:cstheme="minorHAnsi"/>
          <w:color w:val="333333"/>
          <w:sz w:val="16"/>
          <w:szCs w:val="16"/>
          <w:shd w:val="clear" w:color="auto" w:fill="FFFFFF"/>
        </w:rPr>
        <w:t xml:space="preserve"> per Deane J, Brennan J agreeing, [44].</w:t>
      </w:r>
    </w:p>
  </w:footnote>
  <w:footnote w:id="47">
    <w:p w14:paraId="1C73F3F0" w14:textId="77777777" w:rsidR="00C150E9" w:rsidRPr="004F020A" w:rsidRDefault="00C150E9" w:rsidP="00C150E9">
      <w:pPr>
        <w:pStyle w:val="FootnoteText"/>
        <w:spacing w:after="60"/>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40" w:history="1">
        <w:r w:rsidRPr="004F020A">
          <w:rPr>
            <w:rStyle w:val="Hyperlink"/>
            <w:rFonts w:cstheme="minorHAnsi"/>
            <w:i/>
            <w:iCs/>
            <w:sz w:val="16"/>
            <w:szCs w:val="16"/>
          </w:rPr>
          <w:t>Gibson v Latrobe City Council</w:t>
        </w:r>
        <w:r w:rsidRPr="004F020A">
          <w:rPr>
            <w:rStyle w:val="Hyperlink"/>
            <w:rFonts w:cstheme="minorHAnsi"/>
            <w:sz w:val="16"/>
            <w:szCs w:val="16"/>
          </w:rPr>
          <w:t xml:space="preserve"> [2008] VCAT 1340</w:t>
        </w:r>
      </w:hyperlink>
      <w:r w:rsidRPr="004F020A">
        <w:rPr>
          <w:rFonts w:cstheme="minorHAnsi"/>
          <w:sz w:val="16"/>
          <w:szCs w:val="16"/>
        </w:rPr>
        <w:t xml:space="preserve">; </w:t>
      </w:r>
      <w:hyperlink r:id="rId41" w:history="1">
        <w:r w:rsidRPr="004F020A">
          <w:rPr>
            <w:rStyle w:val="Hyperlink"/>
            <w:rFonts w:cstheme="minorHAnsi"/>
            <w:i/>
            <w:iCs/>
            <w:sz w:val="16"/>
            <w:szCs w:val="16"/>
          </w:rPr>
          <w:t>Concrete Constructions (NSW) Pty Ltd v Nelson</w:t>
        </w:r>
        <w:r w:rsidRPr="004F020A">
          <w:rPr>
            <w:rStyle w:val="Hyperlink"/>
            <w:rFonts w:cstheme="minorHAnsi"/>
            <w:sz w:val="16"/>
            <w:szCs w:val="16"/>
          </w:rPr>
          <w:t xml:space="preserve"> [1990] HCA 17</w:t>
        </w:r>
      </w:hyperlink>
      <w:r w:rsidRPr="004F020A">
        <w:rPr>
          <w:rFonts w:cstheme="minorHAnsi"/>
          <w:sz w:val="16"/>
          <w:szCs w:val="16"/>
        </w:rPr>
        <w:t>; (1990) 169 CLR 594, 604.</w:t>
      </w:r>
    </w:p>
  </w:footnote>
  <w:footnote w:id="48">
    <w:p w14:paraId="27620C90"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Marple v Department of Agriculture</w:t>
      </w:r>
      <w:r w:rsidRPr="004F020A">
        <w:rPr>
          <w:rFonts w:cstheme="minorHAnsi"/>
          <w:sz w:val="16"/>
          <w:szCs w:val="16"/>
        </w:rPr>
        <w:t xml:space="preserve"> (1995) 9 VAR 29, 47.</w:t>
      </w:r>
    </w:p>
  </w:footnote>
  <w:footnote w:id="49">
    <w:p w14:paraId="7788CA00"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42" w:history="1">
        <w:r w:rsidRPr="004F020A">
          <w:rPr>
            <w:rStyle w:val="Hyperlink"/>
            <w:rFonts w:cstheme="minorHAnsi"/>
            <w:i/>
            <w:iCs/>
            <w:sz w:val="16"/>
            <w:szCs w:val="16"/>
          </w:rPr>
          <w:t>Commissioner of State Revenue v Tucker</w:t>
        </w:r>
        <w:r w:rsidRPr="004F020A">
          <w:rPr>
            <w:rStyle w:val="Hyperlink"/>
            <w:rFonts w:cstheme="minorHAnsi"/>
            <w:sz w:val="16"/>
            <w:szCs w:val="16"/>
          </w:rPr>
          <w:t xml:space="preserve"> [2021] VCAT 238</w:t>
        </w:r>
      </w:hyperlink>
      <w:r w:rsidRPr="004F020A">
        <w:rPr>
          <w:rFonts w:cstheme="minorHAnsi"/>
          <w:i/>
          <w:iCs/>
          <w:sz w:val="16"/>
          <w:szCs w:val="16"/>
        </w:rPr>
        <w:t>,</w:t>
      </w:r>
      <w:r w:rsidRPr="004F020A">
        <w:rPr>
          <w:rFonts w:cstheme="minorHAnsi"/>
          <w:sz w:val="16"/>
          <w:szCs w:val="16"/>
        </w:rPr>
        <w:t xml:space="preserve"> [175] citing </w:t>
      </w:r>
      <w:hyperlink r:id="rId43" w:history="1">
        <w:r w:rsidRPr="004F020A">
          <w:rPr>
            <w:rStyle w:val="Hyperlink"/>
            <w:rFonts w:cstheme="minorHAnsi"/>
            <w:i/>
            <w:iCs/>
            <w:sz w:val="16"/>
            <w:szCs w:val="16"/>
          </w:rPr>
          <w:t>Gibson v Latrobe City Council</w:t>
        </w:r>
        <w:r w:rsidRPr="004F020A">
          <w:rPr>
            <w:rStyle w:val="Hyperlink"/>
            <w:rFonts w:cstheme="minorHAnsi"/>
            <w:sz w:val="16"/>
            <w:szCs w:val="16"/>
          </w:rPr>
          <w:t xml:space="preserve"> [2008] VCAT 1340</w:t>
        </w:r>
      </w:hyperlink>
      <w:r w:rsidRPr="004F020A">
        <w:rPr>
          <w:rStyle w:val="Hyperlink"/>
          <w:rFonts w:cstheme="minorHAnsi"/>
          <w:sz w:val="16"/>
          <w:szCs w:val="16"/>
        </w:rPr>
        <w:t xml:space="preserve">; </w:t>
      </w:r>
      <w:r w:rsidRPr="004F020A">
        <w:rPr>
          <w:rFonts w:cstheme="minorHAnsi"/>
          <w:i/>
          <w:iCs/>
          <w:sz w:val="16"/>
          <w:szCs w:val="16"/>
        </w:rPr>
        <w:t>Marple v Department of Agriculture</w:t>
      </w:r>
      <w:r w:rsidRPr="004F020A">
        <w:rPr>
          <w:rFonts w:cstheme="minorHAnsi"/>
          <w:sz w:val="16"/>
          <w:szCs w:val="16"/>
        </w:rPr>
        <w:t xml:space="preserve"> (1995) 9 VAR 29; </w:t>
      </w:r>
      <w:hyperlink r:id="rId44" w:history="1">
        <w:r w:rsidRPr="004F020A">
          <w:rPr>
            <w:rStyle w:val="Hyperlink"/>
            <w:rFonts w:cstheme="minorHAnsi"/>
            <w:i/>
            <w:iCs/>
            <w:sz w:val="16"/>
            <w:szCs w:val="16"/>
          </w:rPr>
          <w:t>Stewart v Department of Tourism, Sport and the Commonwealth Games</w:t>
        </w:r>
        <w:r w:rsidRPr="004F020A">
          <w:rPr>
            <w:rStyle w:val="Hyperlink"/>
            <w:rFonts w:cstheme="minorHAnsi"/>
            <w:sz w:val="16"/>
            <w:szCs w:val="16"/>
          </w:rPr>
          <w:t xml:space="preserve"> [2003] VCAT 45</w:t>
        </w:r>
      </w:hyperlink>
      <w:r w:rsidRPr="004F020A">
        <w:rPr>
          <w:rStyle w:val="Hyperlink"/>
          <w:rFonts w:cstheme="minorHAnsi"/>
          <w:sz w:val="16"/>
          <w:szCs w:val="16"/>
        </w:rPr>
        <w:t xml:space="preserve"> and </w:t>
      </w:r>
      <w:r w:rsidRPr="004F020A">
        <w:rPr>
          <w:rFonts w:cstheme="minorHAnsi"/>
          <w:i/>
          <w:sz w:val="16"/>
          <w:szCs w:val="16"/>
        </w:rPr>
        <w:t>Re Thwaites and Metropolitan Ambulance Service</w:t>
      </w:r>
      <w:r w:rsidRPr="004F020A">
        <w:rPr>
          <w:rFonts w:cstheme="minorHAnsi"/>
          <w:sz w:val="16"/>
          <w:szCs w:val="16"/>
        </w:rPr>
        <w:t xml:space="preserve"> (1996) 9 VAR 427.</w:t>
      </w:r>
    </w:p>
  </w:footnote>
  <w:footnote w:id="50">
    <w:p w14:paraId="55BA4C19"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45" w:history="1">
        <w:r w:rsidRPr="004F020A">
          <w:rPr>
            <w:rStyle w:val="Hyperlink"/>
            <w:rFonts w:cstheme="minorHAnsi"/>
            <w:i/>
            <w:iCs/>
            <w:sz w:val="16"/>
            <w:szCs w:val="16"/>
            <w:shd w:val="clear" w:color="auto" w:fill="FFFFFF"/>
          </w:rPr>
          <w:t>Pallas v Road Corporation</w:t>
        </w:r>
        <w:r w:rsidRPr="004F020A">
          <w:rPr>
            <w:rStyle w:val="Hyperlink"/>
            <w:rFonts w:cstheme="minorHAnsi"/>
            <w:sz w:val="16"/>
            <w:szCs w:val="16"/>
            <w:shd w:val="clear" w:color="auto" w:fill="FFFFFF"/>
          </w:rPr>
          <w:t xml:space="preserve"> [2013] VCAT 1967</w:t>
        </w:r>
      </w:hyperlink>
      <w:r w:rsidRPr="004F020A">
        <w:rPr>
          <w:rFonts w:cstheme="minorHAnsi"/>
          <w:sz w:val="16"/>
          <w:szCs w:val="16"/>
          <w:shd w:val="clear" w:color="auto" w:fill="FFFFFF"/>
        </w:rPr>
        <w:t>.</w:t>
      </w:r>
    </w:p>
  </w:footnote>
  <w:footnote w:id="51">
    <w:p w14:paraId="67063CB6"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See examples where the agency was found not be engaged in ‘trade or commerce’: </w:t>
      </w:r>
      <w:hyperlink r:id="rId46" w:history="1">
        <w:r w:rsidRPr="004F020A">
          <w:rPr>
            <w:rStyle w:val="Hyperlink"/>
            <w:rFonts w:cstheme="minorHAnsi"/>
            <w:sz w:val="16"/>
            <w:szCs w:val="16"/>
          </w:rPr>
          <w:t>‘</w:t>
        </w:r>
        <w:r w:rsidRPr="004F020A">
          <w:rPr>
            <w:rStyle w:val="Hyperlink"/>
            <w:rFonts w:cstheme="minorHAnsi"/>
            <w:i/>
            <w:iCs/>
            <w:sz w:val="16"/>
            <w:szCs w:val="16"/>
          </w:rPr>
          <w:t>CT9’ and Department of Environment, Land, Water and Planning</w:t>
        </w:r>
        <w:r w:rsidRPr="004F020A">
          <w:rPr>
            <w:rStyle w:val="Hyperlink"/>
            <w:rFonts w:cstheme="minorHAnsi"/>
            <w:sz w:val="16"/>
            <w:szCs w:val="16"/>
          </w:rPr>
          <w:t xml:space="preserve"> [2021] </w:t>
        </w:r>
        <w:r w:rsidRPr="004F020A">
          <w:rPr>
            <w:rStyle w:val="Hyperlink"/>
            <w:rFonts w:cstheme="minorHAnsi"/>
            <w:sz w:val="16"/>
            <w:szCs w:val="16"/>
          </w:rPr>
          <w:t>VICmr 73</w:t>
        </w:r>
      </w:hyperlink>
      <w:r w:rsidRPr="004F020A">
        <w:rPr>
          <w:rFonts w:cstheme="minorHAnsi"/>
          <w:sz w:val="16"/>
          <w:szCs w:val="16"/>
        </w:rPr>
        <w:t>, [38]-[39]; ‘</w:t>
      </w:r>
      <w:hyperlink r:id="rId47" w:history="1">
        <w:r w:rsidRPr="004F020A">
          <w:rPr>
            <w:rStyle w:val="Hyperlink"/>
            <w:rFonts w:cstheme="minorHAnsi"/>
            <w:i/>
            <w:iCs/>
            <w:sz w:val="16"/>
            <w:szCs w:val="16"/>
          </w:rPr>
          <w:t>EZ4’ and Department of Treasury and Finance</w:t>
        </w:r>
        <w:r w:rsidRPr="004F020A">
          <w:rPr>
            <w:rStyle w:val="Hyperlink"/>
            <w:rFonts w:cstheme="minorHAnsi"/>
            <w:sz w:val="16"/>
            <w:szCs w:val="16"/>
          </w:rPr>
          <w:t xml:space="preserve"> [2023] VICmr 4</w:t>
        </w:r>
      </w:hyperlink>
      <w:r w:rsidRPr="004F020A">
        <w:rPr>
          <w:rFonts w:cstheme="minorHAnsi"/>
          <w:sz w:val="16"/>
          <w:szCs w:val="16"/>
        </w:rPr>
        <w:t>, [61]-[63].</w:t>
      </w:r>
    </w:p>
  </w:footnote>
  <w:footnote w:id="52">
    <w:p w14:paraId="755405F4"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48" w:history="1">
        <w:r w:rsidRPr="004F020A">
          <w:rPr>
            <w:rStyle w:val="Hyperlink"/>
            <w:rFonts w:cstheme="minorHAnsi"/>
            <w:i/>
            <w:iCs/>
            <w:sz w:val="16"/>
            <w:szCs w:val="16"/>
          </w:rPr>
          <w:t xml:space="preserve">Chopra v Department of Education and Training </w:t>
        </w:r>
        <w:r w:rsidRPr="004F020A">
          <w:rPr>
            <w:rStyle w:val="Hyperlink"/>
            <w:rFonts w:cstheme="minorHAnsi"/>
            <w:sz w:val="16"/>
            <w:szCs w:val="16"/>
          </w:rPr>
          <w:t>[2019] VCAT 1860</w:t>
        </w:r>
      </w:hyperlink>
      <w:r w:rsidRPr="004F020A">
        <w:rPr>
          <w:rFonts w:cstheme="minorHAnsi"/>
          <w:sz w:val="16"/>
          <w:szCs w:val="16"/>
        </w:rPr>
        <w:t xml:space="preserve">; </w:t>
      </w:r>
      <w:hyperlink r:id="rId49" w:history="1">
        <w:r w:rsidRPr="004F020A">
          <w:rPr>
            <w:rStyle w:val="Hyperlink"/>
            <w:rFonts w:cstheme="minorHAnsi"/>
            <w:i/>
            <w:iCs/>
            <w:sz w:val="16"/>
            <w:szCs w:val="16"/>
          </w:rPr>
          <w:t>Commissioner of State Revenue v Tucker</w:t>
        </w:r>
        <w:r w:rsidRPr="004F020A">
          <w:rPr>
            <w:rStyle w:val="Hyperlink"/>
            <w:rFonts w:cstheme="minorHAnsi"/>
            <w:sz w:val="16"/>
            <w:szCs w:val="16"/>
          </w:rPr>
          <w:t xml:space="preserve"> [2021] VCAT 238</w:t>
        </w:r>
      </w:hyperlink>
      <w:r w:rsidRPr="004F020A">
        <w:rPr>
          <w:rFonts w:cstheme="minorHAnsi"/>
          <w:sz w:val="16"/>
          <w:szCs w:val="16"/>
        </w:rPr>
        <w:t>, [174].</w:t>
      </w:r>
    </w:p>
  </w:footnote>
  <w:footnote w:id="53">
    <w:p w14:paraId="1693809E" w14:textId="77777777" w:rsidR="00413C1D" w:rsidRPr="004F020A" w:rsidRDefault="00413C1D" w:rsidP="00413C1D">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50" w:history="1">
        <w:r w:rsidRPr="004F020A">
          <w:rPr>
            <w:rStyle w:val="Hyperlink"/>
            <w:rFonts w:cstheme="minorHAnsi"/>
            <w:i/>
            <w:iCs/>
            <w:sz w:val="16"/>
            <w:szCs w:val="16"/>
          </w:rPr>
          <w:t>Davis v Department of Transport</w:t>
        </w:r>
        <w:r w:rsidRPr="004F020A">
          <w:rPr>
            <w:rStyle w:val="Hyperlink"/>
            <w:rFonts w:cstheme="minorHAnsi"/>
            <w:sz w:val="16"/>
            <w:szCs w:val="16"/>
          </w:rPr>
          <w:t xml:space="preserve"> [2022] VCAT 721</w:t>
        </w:r>
      </w:hyperlink>
      <w:r w:rsidRPr="004F020A">
        <w:rPr>
          <w:rFonts w:cstheme="minorHAnsi"/>
          <w:sz w:val="16"/>
          <w:szCs w:val="16"/>
        </w:rPr>
        <w:t xml:space="preserve">, [58], following </w:t>
      </w:r>
      <w:r w:rsidRPr="004F020A">
        <w:rPr>
          <w:rFonts w:cstheme="minorHAnsi"/>
          <w:i/>
          <w:iCs/>
          <w:sz w:val="16"/>
          <w:szCs w:val="16"/>
        </w:rPr>
        <w:t>City Parking Pty Ltd v City of Melbourne</w:t>
      </w:r>
      <w:r w:rsidRPr="004F020A">
        <w:rPr>
          <w:rFonts w:cstheme="minorHAnsi"/>
          <w:sz w:val="16"/>
          <w:szCs w:val="16"/>
        </w:rPr>
        <w:t> </w:t>
      </w:r>
      <w:r w:rsidRPr="004F020A">
        <w:rPr>
          <w:rFonts w:cstheme="minorHAnsi"/>
          <w:sz w:val="16"/>
          <w:szCs w:val="16"/>
          <w:u w:color="430098"/>
        </w:rPr>
        <w:t>(1996) 10 VAR 170, 185.</w:t>
      </w:r>
      <w:r w:rsidRPr="004F020A">
        <w:rPr>
          <w:rFonts w:cstheme="minorHAnsi"/>
          <w:sz w:val="16"/>
          <w:szCs w:val="16"/>
        </w:rPr>
        <w:t xml:space="preserve"> In </w:t>
      </w:r>
      <w:r w:rsidRPr="004F020A">
        <w:rPr>
          <w:rFonts w:cstheme="minorHAnsi"/>
          <w:i/>
          <w:iCs/>
          <w:sz w:val="16"/>
          <w:szCs w:val="16"/>
        </w:rPr>
        <w:t>City Parking</w:t>
      </w:r>
      <w:r w:rsidRPr="004F020A">
        <w:rPr>
          <w:rFonts w:cstheme="minorHAnsi"/>
          <w:sz w:val="16"/>
          <w:szCs w:val="16"/>
        </w:rPr>
        <w:t>, the respondent was held to be an agency engaged in trade or commerce as landlord, tenant or potential vendor of real estate.</w:t>
      </w:r>
    </w:p>
  </w:footnote>
  <w:footnote w:id="54">
    <w:p w14:paraId="33B9E020" w14:textId="77777777" w:rsidR="00413C1D" w:rsidRPr="004F020A" w:rsidRDefault="00413C1D" w:rsidP="00413C1D">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City Parking Pty Ltd v City of Melbourne</w:t>
      </w:r>
      <w:r w:rsidRPr="004F020A">
        <w:rPr>
          <w:rFonts w:cstheme="minorHAnsi"/>
          <w:sz w:val="16"/>
          <w:szCs w:val="16"/>
        </w:rPr>
        <w:t> </w:t>
      </w:r>
      <w:r w:rsidRPr="004F020A">
        <w:rPr>
          <w:rFonts w:cstheme="minorHAnsi"/>
          <w:sz w:val="16"/>
          <w:szCs w:val="16"/>
          <w:u w:color="430098"/>
        </w:rPr>
        <w:t>(1996) 10 VAR 170, 185.</w:t>
      </w:r>
    </w:p>
  </w:footnote>
  <w:footnote w:id="55">
    <w:p w14:paraId="394CCA5C" w14:textId="77777777" w:rsidR="00BD0F1B" w:rsidRPr="004F020A" w:rsidRDefault="00BD0F1B" w:rsidP="00BD0F1B">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See also </w:t>
      </w:r>
      <w:hyperlink r:id="rId51" w:history="1">
        <w:r w:rsidRPr="004F020A">
          <w:rPr>
            <w:rStyle w:val="Hyperlink"/>
            <w:rFonts w:cstheme="minorHAnsi"/>
            <w:i/>
            <w:iCs/>
            <w:sz w:val="16"/>
            <w:szCs w:val="16"/>
          </w:rPr>
          <w:t>Stewart v Department of Tourism, Sport and the Commonwealth Games</w:t>
        </w:r>
        <w:r w:rsidRPr="004F020A">
          <w:rPr>
            <w:rStyle w:val="Hyperlink"/>
            <w:rFonts w:cstheme="minorHAnsi"/>
            <w:sz w:val="16"/>
            <w:szCs w:val="16"/>
          </w:rPr>
          <w:t xml:space="preserve"> [2003] VCAT 45</w:t>
        </w:r>
      </w:hyperlink>
      <w:r w:rsidRPr="004F020A">
        <w:rPr>
          <w:rFonts w:cstheme="minorHAnsi"/>
          <w:sz w:val="16"/>
          <w:szCs w:val="16"/>
        </w:rPr>
        <w:t>, [41].</w:t>
      </w:r>
    </w:p>
  </w:footnote>
  <w:footnote w:id="56">
    <w:p w14:paraId="0931DBA7" w14:textId="77777777" w:rsidR="00C150E9" w:rsidRPr="004F020A" w:rsidRDefault="00C150E9" w:rsidP="00C150E9">
      <w:pPr>
        <w:pStyle w:val="FootnoteText"/>
        <w:spacing w:after="60"/>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52" w:history="1">
        <w:r w:rsidRPr="004F020A">
          <w:rPr>
            <w:rStyle w:val="Hyperlink"/>
            <w:rFonts w:cstheme="minorHAnsi"/>
            <w:i/>
            <w:iCs/>
            <w:sz w:val="16"/>
            <w:szCs w:val="16"/>
          </w:rPr>
          <w:t>Gibson v Latrobe CC</w:t>
        </w:r>
        <w:r w:rsidRPr="004F020A">
          <w:rPr>
            <w:rStyle w:val="Hyperlink"/>
            <w:rFonts w:cstheme="minorHAnsi"/>
            <w:sz w:val="16"/>
            <w:szCs w:val="16"/>
          </w:rPr>
          <w:t xml:space="preserve"> [2008] VCAT 1340</w:t>
        </w:r>
      </w:hyperlink>
      <w:r w:rsidRPr="004F020A">
        <w:rPr>
          <w:rFonts w:cstheme="minorHAnsi"/>
          <w:sz w:val="16"/>
          <w:szCs w:val="16"/>
        </w:rPr>
        <w:t>, [25].</w:t>
      </w:r>
    </w:p>
  </w:footnote>
  <w:footnote w:id="57">
    <w:p w14:paraId="58C4538F"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53" w:history="1">
        <w:r w:rsidRPr="004F020A">
          <w:rPr>
            <w:rStyle w:val="Hyperlink"/>
            <w:rFonts w:cstheme="minorHAnsi"/>
            <w:i/>
            <w:iCs/>
            <w:sz w:val="16"/>
            <w:szCs w:val="16"/>
          </w:rPr>
          <w:t xml:space="preserve">Davis v Department of Transport </w:t>
        </w:r>
        <w:r w:rsidRPr="004F020A">
          <w:rPr>
            <w:rStyle w:val="Hyperlink"/>
            <w:rFonts w:cstheme="minorHAnsi"/>
            <w:sz w:val="16"/>
            <w:szCs w:val="16"/>
          </w:rPr>
          <w:t>[2022] VCAT 721</w:t>
        </w:r>
      </w:hyperlink>
      <w:r w:rsidRPr="004F020A">
        <w:rPr>
          <w:rFonts w:cstheme="minorHAnsi"/>
          <w:sz w:val="16"/>
          <w:szCs w:val="16"/>
        </w:rPr>
        <w:t>, [58].</w:t>
      </w:r>
    </w:p>
  </w:footnote>
  <w:footnote w:id="58">
    <w:p w14:paraId="7EC67022"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54" w:history="1">
        <w:r w:rsidRPr="004F020A">
          <w:rPr>
            <w:rStyle w:val="Hyperlink"/>
            <w:rFonts w:cstheme="minorHAnsi"/>
            <w:i/>
            <w:iCs/>
            <w:sz w:val="16"/>
            <w:szCs w:val="16"/>
          </w:rPr>
          <w:t>Stewart v Department of Tourism, Sport and the Commonwealth Games</w:t>
        </w:r>
        <w:r w:rsidRPr="004F020A">
          <w:rPr>
            <w:rStyle w:val="Hyperlink"/>
            <w:rFonts w:cstheme="minorHAnsi"/>
            <w:sz w:val="16"/>
            <w:szCs w:val="16"/>
          </w:rPr>
          <w:t xml:space="preserve"> [2003] VCAT 45</w:t>
        </w:r>
      </w:hyperlink>
      <w:r w:rsidRPr="004F020A">
        <w:rPr>
          <w:rFonts w:cstheme="minorHAnsi"/>
          <w:sz w:val="16"/>
          <w:szCs w:val="16"/>
        </w:rPr>
        <w:t>, [42].</w:t>
      </w:r>
    </w:p>
  </w:footnote>
  <w:footnote w:id="59">
    <w:p w14:paraId="1DC8CABB"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Binnie v Department of Industry, Technology &amp; Resources </w:t>
      </w:r>
      <w:r w:rsidRPr="004F020A">
        <w:rPr>
          <w:rFonts w:cstheme="minorHAnsi"/>
          <w:sz w:val="16"/>
          <w:szCs w:val="16"/>
        </w:rPr>
        <w:t>(1986) 1 VAR 345, 348.</w:t>
      </w:r>
    </w:p>
  </w:footnote>
  <w:footnote w:id="60">
    <w:p w14:paraId="3B161D82"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Binnie v Department of Industry, Technology &amp; Resources </w:t>
      </w:r>
      <w:r w:rsidRPr="004F020A">
        <w:rPr>
          <w:rFonts w:cstheme="minorHAnsi"/>
          <w:sz w:val="16"/>
          <w:szCs w:val="16"/>
        </w:rPr>
        <w:t xml:space="preserve">(1986) 1 VAR 345, 348; </w:t>
      </w:r>
      <w:hyperlink r:id="rId55" w:history="1">
        <w:r w:rsidRPr="004F020A">
          <w:rPr>
            <w:rStyle w:val="Hyperlink"/>
            <w:rFonts w:cstheme="minorHAnsi"/>
            <w:i/>
            <w:iCs/>
            <w:sz w:val="16"/>
            <w:szCs w:val="16"/>
          </w:rPr>
          <w:t xml:space="preserve">Davis v Department of Transport </w:t>
        </w:r>
        <w:r w:rsidRPr="004F020A">
          <w:rPr>
            <w:rStyle w:val="Hyperlink"/>
            <w:rFonts w:cstheme="minorHAnsi"/>
            <w:sz w:val="16"/>
            <w:szCs w:val="16"/>
          </w:rPr>
          <w:t>[2022] VCAT 721</w:t>
        </w:r>
      </w:hyperlink>
      <w:r w:rsidRPr="004F020A">
        <w:rPr>
          <w:rFonts w:cstheme="minorHAnsi"/>
          <w:sz w:val="16"/>
          <w:szCs w:val="16"/>
        </w:rPr>
        <w:t>, [58].</w:t>
      </w:r>
    </w:p>
  </w:footnote>
  <w:footnote w:id="61">
    <w:p w14:paraId="5A76D932"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56" w:history="1">
        <w:r w:rsidRPr="004F020A">
          <w:rPr>
            <w:rStyle w:val="Hyperlink"/>
            <w:rFonts w:cstheme="minorHAnsi"/>
            <w:i/>
            <w:iCs/>
            <w:sz w:val="16"/>
            <w:szCs w:val="16"/>
          </w:rPr>
          <w:t>Save Albert Park Inc v Australian Grand Prix Corporation</w:t>
        </w:r>
        <w:r w:rsidRPr="004F020A">
          <w:rPr>
            <w:rStyle w:val="Hyperlink"/>
            <w:rFonts w:cstheme="minorHAnsi"/>
            <w:sz w:val="16"/>
            <w:szCs w:val="16"/>
          </w:rPr>
          <w:t> [2008] VCAT 168</w:t>
        </w:r>
      </w:hyperlink>
      <w:r w:rsidRPr="004F020A">
        <w:rPr>
          <w:rFonts w:cstheme="minorHAnsi"/>
          <w:sz w:val="16"/>
          <w:szCs w:val="16"/>
        </w:rPr>
        <w:t>, [77].</w:t>
      </w:r>
    </w:p>
  </w:footnote>
  <w:footnote w:id="62">
    <w:p w14:paraId="1C772C42" w14:textId="77777777" w:rsidR="00C150E9" w:rsidRPr="004F020A" w:rsidRDefault="00C150E9" w:rsidP="00C150E9">
      <w:pPr>
        <w:pStyle w:val="FootnoteText"/>
        <w:spacing w:after="60"/>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57" w:history="1">
        <w:r w:rsidRPr="004F020A">
          <w:rPr>
            <w:rStyle w:val="Hyperlink"/>
            <w:rFonts w:cstheme="minorHAnsi"/>
            <w:i/>
            <w:iCs/>
            <w:sz w:val="16"/>
            <w:szCs w:val="16"/>
          </w:rPr>
          <w:t xml:space="preserve">Asher v Department of innovation, Industry and Regional Development </w:t>
        </w:r>
        <w:r w:rsidRPr="004F020A">
          <w:rPr>
            <w:rStyle w:val="Hyperlink"/>
            <w:rFonts w:cstheme="minorHAnsi"/>
            <w:sz w:val="16"/>
            <w:szCs w:val="16"/>
          </w:rPr>
          <w:t>[2005] VCAT 2702</w:t>
        </w:r>
      </w:hyperlink>
      <w:r w:rsidRPr="004F020A">
        <w:rPr>
          <w:rFonts w:cstheme="minorHAnsi"/>
          <w:sz w:val="16"/>
          <w:szCs w:val="16"/>
        </w:rPr>
        <w:t xml:space="preserve">, [38]. </w:t>
      </w:r>
    </w:p>
  </w:footnote>
  <w:footnote w:id="63">
    <w:p w14:paraId="22E99255"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58" w:history="1">
        <w:r w:rsidRPr="004F020A">
          <w:rPr>
            <w:rStyle w:val="Hyperlink"/>
            <w:rFonts w:cstheme="minorHAnsi"/>
            <w:i/>
            <w:iCs/>
            <w:sz w:val="16"/>
            <w:szCs w:val="16"/>
          </w:rPr>
          <w:t>Asher v Department of Innovation, Industry &amp; Regional Development</w:t>
        </w:r>
        <w:r w:rsidRPr="004F020A">
          <w:rPr>
            <w:rStyle w:val="Hyperlink"/>
            <w:rFonts w:cstheme="minorHAnsi"/>
            <w:sz w:val="16"/>
            <w:szCs w:val="16"/>
          </w:rPr>
          <w:t> [2005] VCAT 2702</w:t>
        </w:r>
      </w:hyperlink>
      <w:r w:rsidRPr="004F020A">
        <w:rPr>
          <w:rFonts w:cstheme="minorHAnsi"/>
          <w:sz w:val="16"/>
          <w:szCs w:val="16"/>
        </w:rPr>
        <w:t xml:space="preserve">, [42]-[43]; </w:t>
      </w:r>
      <w:hyperlink r:id="rId59" w:history="1">
        <w:r w:rsidRPr="004F020A">
          <w:rPr>
            <w:rStyle w:val="Hyperlink"/>
            <w:rFonts w:cstheme="minorHAnsi"/>
            <w:i/>
            <w:iCs/>
            <w:sz w:val="16"/>
            <w:szCs w:val="16"/>
          </w:rPr>
          <w:t>Fitzherbert v Department of Health and Human Services</w:t>
        </w:r>
        <w:r w:rsidRPr="004F020A">
          <w:rPr>
            <w:rStyle w:val="Hyperlink"/>
            <w:rFonts w:cstheme="minorHAnsi"/>
            <w:sz w:val="16"/>
            <w:szCs w:val="16"/>
          </w:rPr>
          <w:t xml:space="preserve"> [2019] VCAT 201</w:t>
        </w:r>
      </w:hyperlink>
      <w:r w:rsidRPr="004F020A">
        <w:rPr>
          <w:rFonts w:cstheme="minorHAnsi"/>
          <w:sz w:val="16"/>
          <w:szCs w:val="16"/>
        </w:rPr>
        <w:t>, [61].</w:t>
      </w:r>
    </w:p>
  </w:footnote>
  <w:footnote w:id="64">
    <w:p w14:paraId="759F7CC0"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60" w:history="1">
        <w:r w:rsidRPr="004F020A">
          <w:rPr>
            <w:rStyle w:val="Hyperlink"/>
            <w:rFonts w:cstheme="minorHAnsi"/>
            <w:i/>
            <w:iCs/>
            <w:sz w:val="16"/>
            <w:szCs w:val="16"/>
          </w:rPr>
          <w:t xml:space="preserve">Asher v Department of innovation, Industry and Regional Development </w:t>
        </w:r>
        <w:r w:rsidRPr="004F020A">
          <w:rPr>
            <w:rStyle w:val="Hyperlink"/>
            <w:rFonts w:cstheme="minorHAnsi"/>
            <w:sz w:val="16"/>
            <w:szCs w:val="16"/>
          </w:rPr>
          <w:t>[2005] VCAT 2702</w:t>
        </w:r>
      </w:hyperlink>
      <w:r w:rsidRPr="004F020A">
        <w:rPr>
          <w:rFonts w:cstheme="minorHAnsi"/>
          <w:sz w:val="16"/>
          <w:szCs w:val="16"/>
        </w:rPr>
        <w:t>, [38].</w:t>
      </w:r>
    </w:p>
  </w:footnote>
  <w:footnote w:id="65">
    <w:p w14:paraId="0281C299"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 xml:space="preserve">Byrne </w:t>
      </w:r>
      <w:bookmarkStart w:id="24" w:name="_Hlk144978166"/>
      <w:r w:rsidRPr="004F020A">
        <w:rPr>
          <w:rFonts w:cstheme="minorHAnsi"/>
          <w:i/>
          <w:iCs/>
          <w:sz w:val="16"/>
          <w:szCs w:val="16"/>
        </w:rPr>
        <w:t>v Swan Hill Rural City Council</w:t>
      </w:r>
      <w:r w:rsidRPr="004F020A">
        <w:rPr>
          <w:rFonts w:cstheme="minorHAnsi"/>
          <w:sz w:val="16"/>
          <w:szCs w:val="16"/>
        </w:rPr>
        <w:t xml:space="preserve"> </w:t>
      </w:r>
      <w:bookmarkEnd w:id="24"/>
      <w:r w:rsidRPr="004F020A">
        <w:rPr>
          <w:rFonts w:cstheme="minorHAnsi"/>
          <w:sz w:val="16"/>
          <w:szCs w:val="16"/>
        </w:rPr>
        <w:t>(2000) 16 VAR 366, [43].</w:t>
      </w:r>
    </w:p>
  </w:footnote>
  <w:footnote w:id="66">
    <w:p w14:paraId="471309D3"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61" w:history="1">
        <w:r w:rsidRPr="004F020A">
          <w:rPr>
            <w:rStyle w:val="Hyperlink"/>
            <w:rFonts w:cstheme="minorHAnsi"/>
            <w:i/>
            <w:iCs/>
            <w:sz w:val="16"/>
            <w:szCs w:val="16"/>
          </w:rPr>
          <w:t>Dalla-Riva v Department of Treasury &amp; Finance</w:t>
        </w:r>
        <w:r w:rsidRPr="004F020A">
          <w:rPr>
            <w:rStyle w:val="Hyperlink"/>
            <w:rFonts w:cstheme="minorHAnsi"/>
            <w:sz w:val="16"/>
            <w:szCs w:val="16"/>
          </w:rPr>
          <w:t xml:space="preserve"> [2005] VCAT 2083</w:t>
        </w:r>
      </w:hyperlink>
      <w:r w:rsidRPr="004F020A">
        <w:rPr>
          <w:rFonts w:cstheme="minorHAnsi"/>
          <w:sz w:val="16"/>
          <w:szCs w:val="16"/>
        </w:rPr>
        <w:t>, [90]-[97], [100]-[103].</w:t>
      </w:r>
    </w:p>
  </w:footnote>
  <w:footnote w:id="67">
    <w:p w14:paraId="406CBDDE"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62" w:history="1">
        <w:r w:rsidRPr="004F020A">
          <w:rPr>
            <w:rStyle w:val="Hyperlink"/>
            <w:rFonts w:cstheme="minorHAnsi"/>
            <w:i/>
            <w:iCs/>
            <w:sz w:val="16"/>
            <w:szCs w:val="16"/>
          </w:rPr>
          <w:t>Honeywood v Department of Innovation, Industry and Regional Development</w:t>
        </w:r>
        <w:r w:rsidRPr="004F020A">
          <w:rPr>
            <w:rStyle w:val="Hyperlink"/>
            <w:rFonts w:cstheme="minorHAnsi"/>
            <w:sz w:val="16"/>
            <w:szCs w:val="16"/>
          </w:rPr>
          <w:t xml:space="preserve"> [2004] VCAT 1657</w:t>
        </w:r>
      </w:hyperlink>
      <w:r w:rsidRPr="004F020A">
        <w:rPr>
          <w:rFonts w:cstheme="minorHAnsi"/>
          <w:sz w:val="16"/>
          <w:szCs w:val="16"/>
        </w:rPr>
        <w:t>, [29].</w:t>
      </w:r>
    </w:p>
  </w:footnote>
  <w:footnote w:id="68">
    <w:p w14:paraId="26BCD2CE"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63" w:history="1">
        <w:bookmarkStart w:id="25" w:name="_Hlk144978187"/>
        <w:r w:rsidRPr="004F020A">
          <w:rPr>
            <w:rStyle w:val="Hyperlink"/>
            <w:rFonts w:cstheme="minorHAnsi"/>
            <w:i/>
            <w:iCs/>
            <w:sz w:val="16"/>
            <w:szCs w:val="16"/>
          </w:rPr>
          <w:t>Stewart v Department of Tourism, Sport and the Commonwealth Games</w:t>
        </w:r>
        <w:bookmarkEnd w:id="25"/>
        <w:r w:rsidRPr="004F020A">
          <w:rPr>
            <w:rStyle w:val="Hyperlink"/>
            <w:rFonts w:cstheme="minorHAnsi"/>
            <w:sz w:val="16"/>
            <w:szCs w:val="16"/>
          </w:rPr>
          <w:t xml:space="preserve"> [2003] VCAT 45</w:t>
        </w:r>
      </w:hyperlink>
      <w:r w:rsidRPr="004F020A">
        <w:rPr>
          <w:rFonts w:cstheme="minorHAnsi"/>
          <w:sz w:val="16"/>
          <w:szCs w:val="16"/>
        </w:rPr>
        <w:t>, [43].</w:t>
      </w:r>
    </w:p>
  </w:footnote>
  <w:footnote w:id="69">
    <w:p w14:paraId="34EFE48E"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64" w:history="1">
        <w:r w:rsidRPr="004F020A">
          <w:rPr>
            <w:rStyle w:val="Hyperlink"/>
            <w:rFonts w:cstheme="minorHAnsi"/>
            <w:i/>
            <w:iCs/>
            <w:sz w:val="16"/>
            <w:szCs w:val="16"/>
          </w:rPr>
          <w:t>CityLink Melbourne Limited v Department of Transport</w:t>
        </w:r>
        <w:r w:rsidRPr="004F020A">
          <w:rPr>
            <w:rStyle w:val="Hyperlink"/>
            <w:rFonts w:cstheme="minorHAnsi"/>
            <w:sz w:val="16"/>
            <w:szCs w:val="16"/>
          </w:rPr>
          <w:t> [2020] VCAT 1078</w:t>
        </w:r>
      </w:hyperlink>
      <w:r w:rsidRPr="004F020A">
        <w:rPr>
          <w:rFonts w:cstheme="minorHAnsi"/>
          <w:sz w:val="16"/>
          <w:szCs w:val="16"/>
          <w:u w:color="430098"/>
        </w:rPr>
        <w:t>, [147], [150]-[155].</w:t>
      </w:r>
    </w:p>
  </w:footnote>
  <w:footnote w:id="70">
    <w:p w14:paraId="721FEC81"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65" w:history="1">
        <w:r w:rsidRPr="004F020A">
          <w:rPr>
            <w:rStyle w:val="Hyperlink"/>
            <w:rFonts w:cstheme="minorHAnsi"/>
            <w:i/>
            <w:iCs/>
            <w:sz w:val="16"/>
            <w:szCs w:val="16"/>
          </w:rPr>
          <w:t>Fitzherbert v Department of Health and Human Services</w:t>
        </w:r>
        <w:r w:rsidRPr="004F020A">
          <w:rPr>
            <w:rStyle w:val="Hyperlink"/>
            <w:rFonts w:cstheme="minorHAnsi"/>
            <w:sz w:val="16"/>
            <w:szCs w:val="16"/>
          </w:rPr>
          <w:t xml:space="preserve"> [2019] VCAT 201</w:t>
        </w:r>
      </w:hyperlink>
      <w:r w:rsidRPr="004F020A">
        <w:rPr>
          <w:rFonts w:cstheme="minorHAnsi"/>
          <w:sz w:val="16"/>
          <w:szCs w:val="16"/>
        </w:rPr>
        <w:t>, [62]-[72].</w:t>
      </w:r>
    </w:p>
  </w:footnote>
  <w:footnote w:id="71">
    <w:p w14:paraId="4DC117A9"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66" w:history="1">
        <w:r w:rsidRPr="004F020A">
          <w:rPr>
            <w:rStyle w:val="Hyperlink"/>
            <w:rFonts w:cstheme="minorHAnsi"/>
            <w:i/>
            <w:iCs/>
            <w:sz w:val="16"/>
            <w:szCs w:val="16"/>
          </w:rPr>
          <w:t>Commissioner of State Revenue v Tucker</w:t>
        </w:r>
        <w:r w:rsidRPr="004F020A">
          <w:rPr>
            <w:rStyle w:val="Hyperlink"/>
            <w:rFonts w:cstheme="minorHAnsi"/>
            <w:sz w:val="16"/>
            <w:szCs w:val="16"/>
          </w:rPr>
          <w:t xml:space="preserve"> [2021] VCAT 238</w:t>
        </w:r>
      </w:hyperlink>
      <w:r w:rsidRPr="004F020A">
        <w:rPr>
          <w:rFonts w:cstheme="minorHAnsi"/>
          <w:sz w:val="16"/>
          <w:szCs w:val="16"/>
        </w:rPr>
        <w:t xml:space="preserve">, [88]-[90]; and </w:t>
      </w:r>
      <w:hyperlink r:id="rId67" w:history="1">
        <w:r w:rsidRPr="004F020A">
          <w:rPr>
            <w:rStyle w:val="Hyperlink"/>
            <w:rFonts w:cstheme="minorHAnsi"/>
            <w:i/>
            <w:iCs/>
            <w:sz w:val="16"/>
            <w:szCs w:val="16"/>
          </w:rPr>
          <w:t>Chopra v Department of Education and Training</w:t>
        </w:r>
        <w:r w:rsidRPr="004F020A">
          <w:rPr>
            <w:rStyle w:val="Hyperlink"/>
            <w:rFonts w:cstheme="minorHAnsi"/>
            <w:sz w:val="16"/>
            <w:szCs w:val="16"/>
          </w:rPr>
          <w:t xml:space="preserve"> [2019] VCAT 1860</w:t>
        </w:r>
      </w:hyperlink>
      <w:r w:rsidRPr="004F020A">
        <w:rPr>
          <w:rFonts w:cstheme="minorHAnsi"/>
          <w:sz w:val="16"/>
          <w:szCs w:val="16"/>
        </w:rPr>
        <w:t xml:space="preserve"> [49], [51].</w:t>
      </w:r>
    </w:p>
  </w:footnote>
  <w:footnote w:id="72">
    <w:p w14:paraId="03B57F8C"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See also </w:t>
      </w:r>
      <w:hyperlink r:id="rId68" w:history="1">
        <w:r w:rsidRPr="004F020A">
          <w:rPr>
            <w:rStyle w:val="Hyperlink"/>
            <w:rFonts w:cstheme="minorHAnsi"/>
            <w:i/>
            <w:iCs/>
            <w:sz w:val="16"/>
            <w:szCs w:val="16"/>
          </w:rPr>
          <w:t>Gibson v Latrobe City Council</w:t>
        </w:r>
        <w:r w:rsidRPr="004F020A">
          <w:rPr>
            <w:rStyle w:val="Hyperlink"/>
            <w:rFonts w:cstheme="minorHAnsi"/>
            <w:sz w:val="16"/>
            <w:szCs w:val="16"/>
          </w:rPr>
          <w:t xml:space="preserve"> [2008] VCAT 1340</w:t>
        </w:r>
      </w:hyperlink>
      <w:r w:rsidRPr="004F020A">
        <w:rPr>
          <w:rFonts w:cstheme="minorHAnsi"/>
          <w:sz w:val="16"/>
          <w:szCs w:val="16"/>
        </w:rPr>
        <w:t>, [64]-[65].</w:t>
      </w:r>
    </w:p>
  </w:footnote>
  <w:footnote w:id="73">
    <w:p w14:paraId="64EAC678"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69" w:history="1">
        <w:r w:rsidRPr="004F020A">
          <w:rPr>
            <w:rStyle w:val="Hyperlink"/>
            <w:rFonts w:cstheme="minorHAnsi"/>
            <w:i/>
            <w:iCs/>
            <w:sz w:val="16"/>
            <w:szCs w:val="16"/>
          </w:rPr>
          <w:t>Davis v Department of Transport</w:t>
        </w:r>
        <w:r w:rsidRPr="004F020A">
          <w:rPr>
            <w:rStyle w:val="Hyperlink"/>
            <w:rFonts w:cstheme="minorHAnsi"/>
            <w:sz w:val="16"/>
            <w:szCs w:val="16"/>
          </w:rPr>
          <w:t xml:space="preserve"> [2022] VCAT 721</w:t>
        </w:r>
      </w:hyperlink>
      <w:r w:rsidRPr="004F020A">
        <w:rPr>
          <w:rFonts w:cstheme="minorHAnsi"/>
          <w:sz w:val="16"/>
          <w:szCs w:val="16"/>
        </w:rPr>
        <w:t xml:space="preserve">, [58]. VCAT relied on </w:t>
      </w:r>
      <w:r w:rsidRPr="004F020A">
        <w:rPr>
          <w:rFonts w:cstheme="minorHAnsi"/>
          <w:i/>
          <w:iCs/>
          <w:sz w:val="16"/>
          <w:szCs w:val="16"/>
        </w:rPr>
        <w:t>City Parking Pty Ltd v City of Melbourne</w:t>
      </w:r>
      <w:r w:rsidRPr="004F020A">
        <w:rPr>
          <w:rFonts w:cstheme="minorHAnsi"/>
          <w:sz w:val="16"/>
          <w:szCs w:val="16"/>
        </w:rPr>
        <w:t> </w:t>
      </w:r>
      <w:r w:rsidRPr="004F020A">
        <w:rPr>
          <w:rFonts w:cstheme="minorHAnsi"/>
          <w:sz w:val="16"/>
          <w:szCs w:val="16"/>
          <w:u w:color="430098"/>
        </w:rPr>
        <w:t>(1996) 10 VAR 170, 185.</w:t>
      </w:r>
      <w:r w:rsidRPr="004F020A">
        <w:rPr>
          <w:rFonts w:cstheme="minorHAnsi"/>
          <w:sz w:val="16"/>
          <w:szCs w:val="16"/>
        </w:rPr>
        <w:t> In that case the respondent was held to be an agency engaged in trade or commerce as landlord, tenant or potential vendor of real estate.</w:t>
      </w:r>
    </w:p>
  </w:footnote>
  <w:footnote w:id="74">
    <w:p w14:paraId="1DCCD4AB"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See </w:t>
      </w:r>
      <w:r w:rsidRPr="004F020A">
        <w:rPr>
          <w:rFonts w:cstheme="minorHAnsi"/>
          <w:i/>
          <w:iCs/>
          <w:sz w:val="16"/>
          <w:szCs w:val="16"/>
        </w:rPr>
        <w:t xml:space="preserve">Mildenhall </w:t>
      </w:r>
      <w:bookmarkStart w:id="30" w:name="_Hlk136504468"/>
      <w:r w:rsidRPr="004F020A">
        <w:rPr>
          <w:rFonts w:cstheme="minorHAnsi"/>
          <w:i/>
          <w:iCs/>
          <w:sz w:val="16"/>
          <w:szCs w:val="16"/>
        </w:rPr>
        <w:t>v Department of Premier and Cabinet (No 1)</w:t>
      </w:r>
      <w:r w:rsidRPr="004F020A">
        <w:rPr>
          <w:rFonts w:cstheme="minorHAnsi"/>
          <w:sz w:val="16"/>
          <w:szCs w:val="16"/>
        </w:rPr>
        <w:t xml:space="preserve"> </w:t>
      </w:r>
      <w:bookmarkStart w:id="31" w:name="_Hlk136504880"/>
      <w:bookmarkEnd w:id="30"/>
      <w:r w:rsidRPr="004F020A">
        <w:rPr>
          <w:rFonts w:cstheme="minorHAnsi"/>
          <w:sz w:val="16"/>
          <w:szCs w:val="16"/>
        </w:rPr>
        <w:t>(1995) 8 VAR 284</w:t>
      </w:r>
      <w:bookmarkEnd w:id="31"/>
      <w:r w:rsidRPr="004F020A">
        <w:rPr>
          <w:rFonts w:cstheme="minorHAnsi"/>
          <w:sz w:val="16"/>
          <w:szCs w:val="16"/>
        </w:rPr>
        <w:t>, in the context of the words ‘scientific’ and ‘technical’ in the section 28(3) exemption.</w:t>
      </w:r>
    </w:p>
  </w:footnote>
  <w:footnote w:id="75">
    <w:p w14:paraId="56076D40"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Mildenhall v Department of Premier and Cabinet (No 1)</w:t>
      </w:r>
      <w:r w:rsidRPr="004F020A">
        <w:rPr>
          <w:rFonts w:cstheme="minorHAnsi"/>
          <w:sz w:val="16"/>
          <w:szCs w:val="16"/>
        </w:rPr>
        <w:t xml:space="preserve"> (1995) 8 VAR 284, 294 in relation to section 28(3), approved in </w:t>
      </w:r>
      <w:hyperlink r:id="rId70" w:history="1">
        <w:r w:rsidRPr="004F020A">
          <w:rPr>
            <w:rStyle w:val="Hyperlink"/>
            <w:rFonts w:cstheme="minorHAnsi"/>
            <w:i/>
            <w:iCs/>
            <w:sz w:val="16"/>
            <w:szCs w:val="16"/>
          </w:rPr>
          <w:t>Johnson v Cancer Council of Victoria</w:t>
        </w:r>
        <w:r w:rsidRPr="004F020A">
          <w:rPr>
            <w:rStyle w:val="Hyperlink"/>
            <w:rFonts w:cstheme="minorHAnsi"/>
            <w:sz w:val="16"/>
            <w:szCs w:val="16"/>
          </w:rPr>
          <w:t> [2016] VCAT 1596</w:t>
        </w:r>
      </w:hyperlink>
      <w:r w:rsidRPr="004F020A">
        <w:rPr>
          <w:rFonts w:cstheme="minorHAnsi"/>
          <w:sz w:val="16"/>
          <w:szCs w:val="16"/>
        </w:rPr>
        <w:t>, [254] in relation to 34(4)(b)(iii).</w:t>
      </w:r>
    </w:p>
  </w:footnote>
  <w:footnote w:id="76">
    <w:p w14:paraId="75F714E0"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Mildenhall v Department of Premier and Cabinet (No 1)</w:t>
      </w:r>
      <w:r w:rsidRPr="004F020A">
        <w:rPr>
          <w:rFonts w:cstheme="minorHAnsi"/>
          <w:sz w:val="16"/>
          <w:szCs w:val="16"/>
        </w:rPr>
        <w:t xml:space="preserve"> (1995) 8 VAR 284, 294-5 in relation to section 38(3), approved in </w:t>
      </w:r>
      <w:hyperlink r:id="rId71" w:history="1">
        <w:r w:rsidRPr="004F020A">
          <w:rPr>
            <w:rStyle w:val="Hyperlink"/>
            <w:rFonts w:cstheme="minorHAnsi"/>
            <w:i/>
            <w:iCs/>
            <w:sz w:val="16"/>
            <w:szCs w:val="16"/>
          </w:rPr>
          <w:t>Johnson v Cancer Council of Victoria</w:t>
        </w:r>
        <w:r w:rsidRPr="004F020A">
          <w:rPr>
            <w:rStyle w:val="Hyperlink"/>
            <w:rFonts w:cstheme="minorHAnsi"/>
            <w:sz w:val="16"/>
            <w:szCs w:val="16"/>
          </w:rPr>
          <w:t> [2016] VCAT 1596</w:t>
        </w:r>
      </w:hyperlink>
      <w:r w:rsidRPr="004F020A">
        <w:rPr>
          <w:rFonts w:cstheme="minorHAnsi"/>
          <w:sz w:val="16"/>
          <w:szCs w:val="16"/>
        </w:rPr>
        <w:t>, [254] in relation to 34(4)(b)(iii).</w:t>
      </w:r>
    </w:p>
  </w:footnote>
  <w:footnote w:id="77">
    <w:p w14:paraId="22E8D368"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See example, </w:t>
      </w:r>
      <w:hyperlink r:id="rId72" w:history="1">
        <w:r w:rsidRPr="004F020A">
          <w:rPr>
            <w:rStyle w:val="Hyperlink"/>
            <w:rFonts w:cstheme="minorHAnsi"/>
            <w:i/>
            <w:iCs/>
            <w:sz w:val="16"/>
            <w:szCs w:val="16"/>
          </w:rPr>
          <w:t xml:space="preserve">Mees v University of Melbourne (General) </w:t>
        </w:r>
        <w:r w:rsidRPr="004F020A">
          <w:rPr>
            <w:rStyle w:val="Hyperlink"/>
            <w:rFonts w:cstheme="minorHAnsi"/>
            <w:sz w:val="16"/>
            <w:szCs w:val="16"/>
          </w:rPr>
          <w:t>[2009] VCAT 782</w:t>
        </w:r>
      </w:hyperlink>
      <w:r w:rsidRPr="004F020A">
        <w:rPr>
          <w:rStyle w:val="Hyperlink"/>
          <w:rFonts w:cstheme="minorHAnsi"/>
          <w:sz w:val="16"/>
          <w:szCs w:val="16"/>
        </w:rPr>
        <w:t>,</w:t>
      </w:r>
      <w:r w:rsidRPr="004F020A">
        <w:rPr>
          <w:rFonts w:cstheme="minorHAnsi"/>
          <w:sz w:val="16"/>
          <w:szCs w:val="16"/>
        </w:rPr>
        <w:t xml:space="preserve"> [31].</w:t>
      </w:r>
    </w:p>
  </w:footnote>
  <w:footnote w:id="78">
    <w:p w14:paraId="59030430"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 xml:space="preserve">Re </w:t>
      </w:r>
      <w:r w:rsidRPr="004F020A">
        <w:rPr>
          <w:rFonts w:cstheme="minorHAnsi"/>
          <w:i/>
          <w:iCs/>
          <w:sz w:val="16"/>
          <w:szCs w:val="16"/>
        </w:rPr>
        <w:t>Coultbart and Princess Alexandra Hospital and District Health Service</w:t>
      </w:r>
      <w:r w:rsidRPr="004F020A">
        <w:rPr>
          <w:rFonts w:cstheme="minorHAnsi"/>
          <w:sz w:val="16"/>
          <w:szCs w:val="16"/>
        </w:rPr>
        <w:t xml:space="preserve"> (2001) 6 QAR 94, referred to with apparent approval in </w:t>
      </w:r>
      <w:hyperlink r:id="rId73" w:history="1">
        <w:r w:rsidRPr="004F020A">
          <w:rPr>
            <w:rStyle w:val="Hyperlink"/>
            <w:rFonts w:cstheme="minorHAnsi"/>
            <w:i/>
            <w:iCs/>
            <w:sz w:val="16"/>
            <w:szCs w:val="16"/>
          </w:rPr>
          <w:t>Johnson v Cancer Council of Victoria</w:t>
        </w:r>
        <w:r w:rsidRPr="004F020A">
          <w:rPr>
            <w:rStyle w:val="Hyperlink"/>
            <w:rFonts w:cstheme="minorHAnsi"/>
            <w:sz w:val="16"/>
            <w:szCs w:val="16"/>
          </w:rPr>
          <w:t> [2016] VCAT 1596</w:t>
        </w:r>
      </w:hyperlink>
      <w:r w:rsidRPr="004F020A">
        <w:rPr>
          <w:rFonts w:cstheme="minorHAnsi"/>
          <w:sz w:val="16"/>
          <w:szCs w:val="16"/>
        </w:rPr>
        <w:t>, [255].</w:t>
      </w:r>
    </w:p>
  </w:footnote>
  <w:footnote w:id="79">
    <w:p w14:paraId="63C4833F"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 xml:space="preserve">Re </w:t>
      </w:r>
      <w:r w:rsidRPr="004F020A">
        <w:rPr>
          <w:rFonts w:cstheme="minorHAnsi"/>
          <w:i/>
          <w:iCs/>
          <w:sz w:val="16"/>
          <w:szCs w:val="16"/>
        </w:rPr>
        <w:t>Coultbart and Princess Alexandra Hospital and District Health Service</w:t>
      </w:r>
      <w:r w:rsidRPr="004F020A">
        <w:rPr>
          <w:rFonts w:cstheme="minorHAnsi"/>
          <w:sz w:val="16"/>
          <w:szCs w:val="16"/>
        </w:rPr>
        <w:t xml:space="preserve"> (2001) 6 QAR 94, referred to with apparent approval in </w:t>
      </w:r>
      <w:hyperlink r:id="rId74" w:history="1">
        <w:r w:rsidRPr="004F020A">
          <w:rPr>
            <w:rStyle w:val="Hyperlink"/>
            <w:rFonts w:cstheme="minorHAnsi"/>
            <w:i/>
            <w:iCs/>
            <w:sz w:val="16"/>
            <w:szCs w:val="16"/>
          </w:rPr>
          <w:t>Johnson v Cancer Council of Victoria</w:t>
        </w:r>
        <w:r w:rsidRPr="004F020A">
          <w:rPr>
            <w:rStyle w:val="Hyperlink"/>
            <w:rFonts w:cstheme="minorHAnsi"/>
            <w:sz w:val="16"/>
            <w:szCs w:val="16"/>
          </w:rPr>
          <w:t> [2016] VCAT 1596</w:t>
        </w:r>
      </w:hyperlink>
      <w:r w:rsidRPr="004F020A">
        <w:rPr>
          <w:rFonts w:cstheme="minorHAnsi"/>
          <w:sz w:val="16"/>
          <w:szCs w:val="16"/>
        </w:rPr>
        <w:t>, [255].</w:t>
      </w:r>
    </w:p>
  </w:footnote>
  <w:footnote w:id="80">
    <w:p w14:paraId="04EBF19D"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r w:rsidRPr="004F020A">
        <w:rPr>
          <w:rFonts w:cstheme="minorHAnsi"/>
          <w:i/>
          <w:iCs/>
          <w:sz w:val="16"/>
          <w:szCs w:val="16"/>
        </w:rPr>
        <w:t>Hopper v Department of Agriculture and Rural Affairs</w:t>
      </w:r>
      <w:r w:rsidRPr="004F020A">
        <w:rPr>
          <w:rFonts w:cstheme="minorHAnsi"/>
          <w:sz w:val="16"/>
          <w:szCs w:val="16"/>
        </w:rPr>
        <w:t xml:space="preserve"> (unreported, AAT of Vic, Harding PM, 20 December 1990).</w:t>
      </w:r>
    </w:p>
  </w:footnote>
  <w:footnote w:id="81">
    <w:p w14:paraId="6AA0D2D3"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75" w:history="1">
        <w:r w:rsidRPr="004F020A">
          <w:rPr>
            <w:rStyle w:val="Hyperlink"/>
            <w:rFonts w:cstheme="minorHAnsi"/>
            <w:i/>
            <w:iCs/>
            <w:sz w:val="16"/>
            <w:szCs w:val="16"/>
          </w:rPr>
          <w:t>AP8’ and Victorian Curriculum Assessment Authority</w:t>
        </w:r>
        <w:r w:rsidRPr="004F020A">
          <w:rPr>
            <w:rStyle w:val="Hyperlink"/>
            <w:rFonts w:cstheme="minorHAnsi"/>
            <w:sz w:val="16"/>
            <w:szCs w:val="16"/>
          </w:rPr>
          <w:t xml:space="preserve"> [2019] </w:t>
        </w:r>
        <w:r w:rsidRPr="004F020A">
          <w:rPr>
            <w:rStyle w:val="Hyperlink"/>
            <w:rFonts w:cstheme="minorHAnsi"/>
            <w:sz w:val="16"/>
            <w:szCs w:val="16"/>
          </w:rPr>
          <w:t>VICmr 143</w:t>
        </w:r>
      </w:hyperlink>
      <w:r w:rsidRPr="004F020A">
        <w:rPr>
          <w:rFonts w:cstheme="minorHAnsi"/>
          <w:sz w:val="16"/>
          <w:szCs w:val="16"/>
        </w:rPr>
        <w:t>, [18].</w:t>
      </w:r>
    </w:p>
  </w:footnote>
  <w:footnote w:id="82">
    <w:p w14:paraId="36C4CABC"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76" w:history="1">
        <w:r w:rsidRPr="004F020A">
          <w:rPr>
            <w:rStyle w:val="Hyperlink"/>
            <w:rFonts w:cstheme="minorHAnsi"/>
            <w:i/>
            <w:iCs/>
            <w:sz w:val="16"/>
            <w:szCs w:val="16"/>
          </w:rPr>
          <w:t>AU3’ and Victoria Police</w:t>
        </w:r>
        <w:r w:rsidRPr="004F020A">
          <w:rPr>
            <w:rStyle w:val="Hyperlink"/>
            <w:rFonts w:cstheme="minorHAnsi"/>
            <w:sz w:val="16"/>
            <w:szCs w:val="16"/>
          </w:rPr>
          <w:t xml:space="preserve"> [2019] </w:t>
        </w:r>
        <w:r w:rsidRPr="004F020A">
          <w:rPr>
            <w:rStyle w:val="Hyperlink"/>
            <w:rFonts w:cstheme="minorHAnsi"/>
            <w:sz w:val="16"/>
            <w:szCs w:val="16"/>
          </w:rPr>
          <w:t>VICmr 184</w:t>
        </w:r>
      </w:hyperlink>
      <w:r w:rsidRPr="004F020A">
        <w:rPr>
          <w:rFonts w:cstheme="minorHAnsi"/>
          <w:sz w:val="16"/>
          <w:szCs w:val="16"/>
        </w:rPr>
        <w:t>, [49].</w:t>
      </w:r>
    </w:p>
  </w:footnote>
  <w:footnote w:id="83">
    <w:p w14:paraId="36A25F38"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77" w:history="1">
        <w:r w:rsidRPr="004F020A">
          <w:rPr>
            <w:rStyle w:val="Hyperlink"/>
            <w:rFonts w:cstheme="minorHAnsi"/>
            <w:i/>
            <w:iCs/>
            <w:sz w:val="16"/>
            <w:szCs w:val="16"/>
          </w:rPr>
          <w:t>McKean v University of Melbourne</w:t>
        </w:r>
        <w:r w:rsidRPr="004F020A">
          <w:rPr>
            <w:rStyle w:val="Hyperlink"/>
            <w:rFonts w:cstheme="minorHAnsi"/>
            <w:sz w:val="16"/>
            <w:szCs w:val="16"/>
          </w:rPr>
          <w:t xml:space="preserve"> [2007] VCAT 1310</w:t>
        </w:r>
      </w:hyperlink>
      <w:r w:rsidRPr="004F020A">
        <w:rPr>
          <w:rFonts w:cstheme="minorHAnsi"/>
          <w:sz w:val="16"/>
          <w:szCs w:val="16"/>
        </w:rPr>
        <w:t>, [22]; ‘</w:t>
      </w:r>
      <w:hyperlink r:id="rId78" w:history="1">
        <w:r w:rsidRPr="004F020A">
          <w:rPr>
            <w:rStyle w:val="Hyperlink"/>
            <w:rFonts w:cstheme="minorHAnsi"/>
            <w:i/>
            <w:iCs/>
            <w:sz w:val="16"/>
            <w:szCs w:val="16"/>
          </w:rPr>
          <w:t>AP8’ and Victorian Curriculum Assessment Authority</w:t>
        </w:r>
        <w:r w:rsidRPr="004F020A">
          <w:rPr>
            <w:rStyle w:val="Hyperlink"/>
            <w:rFonts w:cstheme="minorHAnsi"/>
            <w:sz w:val="16"/>
            <w:szCs w:val="16"/>
          </w:rPr>
          <w:t xml:space="preserve"> [2019] </w:t>
        </w:r>
        <w:r w:rsidRPr="004F020A">
          <w:rPr>
            <w:rStyle w:val="Hyperlink"/>
            <w:rFonts w:cstheme="minorHAnsi"/>
            <w:sz w:val="16"/>
            <w:szCs w:val="16"/>
          </w:rPr>
          <w:t>VICmr 143</w:t>
        </w:r>
      </w:hyperlink>
      <w:r w:rsidRPr="004F020A">
        <w:rPr>
          <w:rFonts w:cstheme="minorHAnsi"/>
          <w:sz w:val="16"/>
          <w:szCs w:val="16"/>
        </w:rPr>
        <w:t>, [18].</w:t>
      </w:r>
    </w:p>
  </w:footnote>
  <w:footnote w:id="84">
    <w:p w14:paraId="0E2BC7C8"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79" w:history="1">
        <w:r w:rsidRPr="004F020A">
          <w:rPr>
            <w:rStyle w:val="Hyperlink"/>
            <w:rFonts w:cstheme="minorHAnsi"/>
            <w:i/>
            <w:iCs/>
            <w:sz w:val="16"/>
            <w:szCs w:val="16"/>
          </w:rPr>
          <w:t>McKean v University of Melbourne</w:t>
        </w:r>
        <w:r w:rsidRPr="004F020A">
          <w:rPr>
            <w:rStyle w:val="Hyperlink"/>
            <w:rFonts w:cstheme="minorHAnsi"/>
            <w:sz w:val="16"/>
            <w:szCs w:val="16"/>
          </w:rPr>
          <w:t xml:space="preserve"> [2007] VCAT 1310</w:t>
        </w:r>
      </w:hyperlink>
      <w:r w:rsidRPr="004F020A">
        <w:rPr>
          <w:rFonts w:cstheme="minorHAnsi"/>
          <w:sz w:val="16"/>
          <w:szCs w:val="16"/>
        </w:rPr>
        <w:t>, [25].</w:t>
      </w:r>
    </w:p>
  </w:footnote>
  <w:footnote w:id="85">
    <w:p w14:paraId="409BEE5E"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80" w:history="1">
        <w:r w:rsidRPr="004F020A">
          <w:rPr>
            <w:rStyle w:val="Hyperlink"/>
            <w:rFonts w:cstheme="minorHAnsi"/>
            <w:i/>
            <w:iCs/>
            <w:sz w:val="16"/>
            <w:szCs w:val="16"/>
          </w:rPr>
          <w:t xml:space="preserve">McKean v University of Melbourne </w:t>
        </w:r>
        <w:r w:rsidRPr="004F020A">
          <w:rPr>
            <w:rStyle w:val="Hyperlink"/>
            <w:rFonts w:cstheme="minorHAnsi"/>
            <w:sz w:val="16"/>
            <w:szCs w:val="16"/>
          </w:rPr>
          <w:t>[2007] VCAT 1310</w:t>
        </w:r>
      </w:hyperlink>
      <w:r w:rsidRPr="004F020A">
        <w:rPr>
          <w:rFonts w:cstheme="minorHAnsi"/>
          <w:sz w:val="16"/>
          <w:szCs w:val="16"/>
        </w:rPr>
        <w:t>, [25]-[26];</w:t>
      </w:r>
      <w:r w:rsidRPr="004F020A">
        <w:rPr>
          <w:rFonts w:cstheme="minorHAnsi"/>
          <w:i/>
          <w:iCs/>
          <w:sz w:val="16"/>
          <w:szCs w:val="16"/>
        </w:rPr>
        <w:t xml:space="preserve"> </w:t>
      </w:r>
      <w:hyperlink r:id="rId81" w:history="1">
        <w:r w:rsidRPr="004F020A">
          <w:rPr>
            <w:rStyle w:val="Hyperlink"/>
            <w:rFonts w:cstheme="minorHAnsi"/>
            <w:i/>
            <w:iCs/>
            <w:sz w:val="16"/>
            <w:szCs w:val="16"/>
          </w:rPr>
          <w:t>Melbourne University v McKean</w:t>
        </w:r>
        <w:r w:rsidRPr="004F020A">
          <w:rPr>
            <w:rStyle w:val="Hyperlink"/>
            <w:rFonts w:cstheme="minorHAnsi"/>
            <w:sz w:val="16"/>
            <w:szCs w:val="16"/>
          </w:rPr>
          <w:t xml:space="preserve"> [2008] VSC 325</w:t>
        </w:r>
      </w:hyperlink>
      <w:r w:rsidRPr="004F020A">
        <w:rPr>
          <w:rFonts w:cstheme="minorHAnsi"/>
          <w:sz w:val="16"/>
          <w:szCs w:val="16"/>
        </w:rPr>
        <w:t>, [30].</w:t>
      </w:r>
    </w:p>
  </w:footnote>
  <w:footnote w:id="86">
    <w:p w14:paraId="39145428"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82" w:history="1">
        <w:r w:rsidRPr="004F020A">
          <w:rPr>
            <w:rStyle w:val="Hyperlink"/>
            <w:rFonts w:cstheme="minorHAnsi"/>
            <w:i/>
            <w:iCs/>
            <w:sz w:val="16"/>
            <w:szCs w:val="16"/>
          </w:rPr>
          <w:t xml:space="preserve">McKean v University of Melbourne </w:t>
        </w:r>
        <w:r w:rsidRPr="004F020A">
          <w:rPr>
            <w:rStyle w:val="Hyperlink"/>
            <w:rFonts w:cstheme="minorHAnsi"/>
            <w:sz w:val="16"/>
            <w:szCs w:val="16"/>
          </w:rPr>
          <w:t>[2007] VCAT 1310</w:t>
        </w:r>
      </w:hyperlink>
      <w:r w:rsidRPr="004F020A">
        <w:rPr>
          <w:rFonts w:cstheme="minorHAnsi"/>
          <w:sz w:val="16"/>
          <w:szCs w:val="16"/>
        </w:rPr>
        <w:t>, [29].</w:t>
      </w:r>
    </w:p>
  </w:footnote>
  <w:footnote w:id="87">
    <w:p w14:paraId="5BED4B5C"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83" w:history="1">
        <w:r w:rsidRPr="004F020A">
          <w:rPr>
            <w:rStyle w:val="Hyperlink"/>
            <w:rFonts w:cstheme="minorHAnsi"/>
            <w:i/>
            <w:iCs/>
            <w:sz w:val="16"/>
            <w:szCs w:val="16"/>
          </w:rPr>
          <w:t xml:space="preserve">McKean v University of Melbourne </w:t>
        </w:r>
        <w:r w:rsidRPr="004F020A">
          <w:rPr>
            <w:rStyle w:val="Hyperlink"/>
            <w:rFonts w:cstheme="minorHAnsi"/>
            <w:sz w:val="16"/>
            <w:szCs w:val="16"/>
          </w:rPr>
          <w:t>[2007] VCAT 1310</w:t>
        </w:r>
      </w:hyperlink>
      <w:r w:rsidRPr="004F020A">
        <w:rPr>
          <w:rFonts w:cstheme="minorHAnsi"/>
          <w:i/>
          <w:iCs/>
          <w:sz w:val="16"/>
          <w:szCs w:val="16"/>
        </w:rPr>
        <w:t>,</w:t>
      </w:r>
      <w:r w:rsidRPr="004F020A">
        <w:rPr>
          <w:rFonts w:cstheme="minorHAnsi"/>
          <w:sz w:val="16"/>
          <w:szCs w:val="16"/>
        </w:rPr>
        <w:t xml:space="preserve"> [28].</w:t>
      </w:r>
    </w:p>
  </w:footnote>
  <w:footnote w:id="88">
    <w:p w14:paraId="3970F78B"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See example, ‘</w:t>
      </w:r>
      <w:hyperlink r:id="rId84" w:history="1">
        <w:r w:rsidRPr="004F020A">
          <w:rPr>
            <w:rStyle w:val="Hyperlink"/>
            <w:rFonts w:cstheme="minorHAnsi"/>
            <w:i/>
            <w:iCs/>
            <w:sz w:val="16"/>
            <w:szCs w:val="16"/>
          </w:rPr>
          <w:t>AP8’ and Victorian Curriculum Assessment Authority</w:t>
        </w:r>
        <w:r w:rsidRPr="004F020A">
          <w:rPr>
            <w:rStyle w:val="Hyperlink"/>
            <w:rFonts w:cstheme="minorHAnsi"/>
            <w:sz w:val="16"/>
            <w:szCs w:val="16"/>
          </w:rPr>
          <w:t xml:space="preserve"> [2019] </w:t>
        </w:r>
        <w:r w:rsidRPr="004F020A">
          <w:rPr>
            <w:rStyle w:val="Hyperlink"/>
            <w:rFonts w:cstheme="minorHAnsi"/>
            <w:sz w:val="16"/>
            <w:szCs w:val="16"/>
          </w:rPr>
          <w:t>VICmr 143</w:t>
        </w:r>
      </w:hyperlink>
      <w:r w:rsidRPr="004F020A">
        <w:rPr>
          <w:rFonts w:cstheme="minorHAnsi"/>
          <w:sz w:val="16"/>
          <w:szCs w:val="16"/>
        </w:rPr>
        <w:t>, [20]-[22].</w:t>
      </w:r>
    </w:p>
  </w:footnote>
  <w:footnote w:id="89">
    <w:p w14:paraId="3DD55149"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85" w:history="1">
        <w:r w:rsidRPr="004F020A">
          <w:rPr>
            <w:rStyle w:val="Hyperlink"/>
            <w:rFonts w:cstheme="minorHAnsi"/>
            <w:i/>
            <w:iCs/>
            <w:sz w:val="16"/>
            <w:szCs w:val="16"/>
          </w:rPr>
          <w:t xml:space="preserve">Melbourne University v McKean </w:t>
        </w:r>
        <w:r w:rsidRPr="004F020A">
          <w:rPr>
            <w:rStyle w:val="Hyperlink"/>
            <w:rFonts w:cstheme="minorHAnsi"/>
            <w:sz w:val="16"/>
            <w:szCs w:val="16"/>
          </w:rPr>
          <w:t>[2008] VSC 325</w:t>
        </w:r>
      </w:hyperlink>
      <w:r w:rsidRPr="004F020A">
        <w:rPr>
          <w:rFonts w:cstheme="minorHAnsi"/>
          <w:sz w:val="16"/>
          <w:szCs w:val="16"/>
        </w:rPr>
        <w:t>, [27]; followed in ‘</w:t>
      </w:r>
      <w:hyperlink r:id="rId86" w:history="1">
        <w:r w:rsidRPr="004F020A">
          <w:rPr>
            <w:rStyle w:val="Hyperlink"/>
            <w:rFonts w:cstheme="minorHAnsi"/>
            <w:i/>
            <w:iCs/>
            <w:sz w:val="16"/>
            <w:szCs w:val="16"/>
          </w:rPr>
          <w:t>AU3’ and Victoria Police</w:t>
        </w:r>
        <w:r w:rsidRPr="004F020A">
          <w:rPr>
            <w:rStyle w:val="Hyperlink"/>
            <w:rFonts w:cstheme="minorHAnsi"/>
            <w:sz w:val="16"/>
            <w:szCs w:val="16"/>
          </w:rPr>
          <w:t xml:space="preserve"> [2019] </w:t>
        </w:r>
        <w:r w:rsidRPr="004F020A">
          <w:rPr>
            <w:rStyle w:val="Hyperlink"/>
            <w:rFonts w:cstheme="minorHAnsi"/>
            <w:sz w:val="16"/>
            <w:szCs w:val="16"/>
          </w:rPr>
          <w:t>VICmr 184</w:t>
        </w:r>
      </w:hyperlink>
      <w:r w:rsidRPr="004F020A">
        <w:rPr>
          <w:rFonts w:cstheme="minorHAnsi"/>
          <w:sz w:val="16"/>
          <w:szCs w:val="16"/>
        </w:rPr>
        <w:t>, [51].</w:t>
      </w:r>
    </w:p>
  </w:footnote>
  <w:footnote w:id="90">
    <w:p w14:paraId="3B9C236E" w14:textId="77777777" w:rsidR="00C150E9" w:rsidRPr="004F020A" w:rsidRDefault="00C150E9" w:rsidP="00C150E9">
      <w:pPr>
        <w:pStyle w:val="FootnoteText"/>
        <w:rPr>
          <w:rFonts w:cstheme="minorHAnsi"/>
          <w:sz w:val="16"/>
          <w:szCs w:val="16"/>
        </w:rPr>
      </w:pPr>
      <w:r w:rsidRPr="004F020A">
        <w:rPr>
          <w:rStyle w:val="FootnoteReference"/>
          <w:rFonts w:cstheme="minorHAnsi"/>
          <w:sz w:val="16"/>
          <w:szCs w:val="16"/>
        </w:rPr>
        <w:footnoteRef/>
      </w:r>
      <w:r w:rsidRPr="004F020A">
        <w:rPr>
          <w:rFonts w:cstheme="minorHAnsi"/>
          <w:sz w:val="16"/>
          <w:szCs w:val="16"/>
        </w:rPr>
        <w:t xml:space="preserve"> </w:t>
      </w:r>
      <w:hyperlink r:id="rId87" w:history="1">
        <w:r w:rsidRPr="004F020A">
          <w:rPr>
            <w:rStyle w:val="Hyperlink"/>
            <w:rFonts w:cstheme="minorHAnsi"/>
            <w:i/>
            <w:iCs/>
            <w:sz w:val="16"/>
            <w:szCs w:val="16"/>
          </w:rPr>
          <w:t>McKean v University of Melbourne [2007] VCAT 1310</w:t>
        </w:r>
      </w:hyperlink>
      <w:r w:rsidRPr="004F020A">
        <w:rPr>
          <w:rFonts w:cstheme="minorHAnsi"/>
          <w:sz w:val="16"/>
          <w:szCs w:val="16"/>
        </w:rPr>
        <w:t>, [29]; see also ‘</w:t>
      </w:r>
      <w:hyperlink r:id="rId88" w:history="1">
        <w:r w:rsidRPr="004F020A">
          <w:rPr>
            <w:rStyle w:val="Hyperlink"/>
            <w:rFonts w:cstheme="minorHAnsi"/>
            <w:i/>
            <w:iCs/>
            <w:sz w:val="16"/>
            <w:szCs w:val="16"/>
          </w:rPr>
          <w:t>AU3’ and Victoria Police</w:t>
        </w:r>
        <w:r w:rsidRPr="004F020A">
          <w:rPr>
            <w:rStyle w:val="Hyperlink"/>
            <w:rFonts w:cstheme="minorHAnsi"/>
            <w:sz w:val="16"/>
            <w:szCs w:val="16"/>
          </w:rPr>
          <w:t xml:space="preserve"> [2019] </w:t>
        </w:r>
        <w:r w:rsidRPr="004F020A">
          <w:rPr>
            <w:rStyle w:val="Hyperlink"/>
            <w:rFonts w:cstheme="minorHAnsi"/>
            <w:sz w:val="16"/>
            <w:szCs w:val="16"/>
          </w:rPr>
          <w:t>VICmr 184</w:t>
        </w:r>
      </w:hyperlink>
      <w:r w:rsidRPr="004F020A">
        <w:rPr>
          <w:rFonts w:cstheme="minorHAnsi"/>
          <w:sz w:val="16"/>
          <w:szCs w:val="16"/>
        </w:rPr>
        <w:t>,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70E1" w14:textId="6C3AC87F" w:rsidR="00856A11" w:rsidRDefault="00A02504">
    <w:pPr>
      <w:pStyle w:val="Header"/>
    </w:pPr>
    <w:r>
      <w:rPr>
        <w:noProof/>
      </w:rPr>
      <w:pict w14:anchorId="262A8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851259" o:spid="_x0000_s1027" type="#_x0000_t136" alt="" style="position:absolute;margin-left:0;margin-top:0;width:627.95pt;height:50.8pt;rotation:315;z-index:-2516423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B34F" w14:textId="4947C688" w:rsidR="00856A11" w:rsidRDefault="00A02504">
    <w:pPr>
      <w:pStyle w:val="Header"/>
    </w:pPr>
    <w:r>
      <w:rPr>
        <w:noProof/>
      </w:rPr>
      <w:pict w14:anchorId="61982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851260" o:spid="_x0000_s1026" type="#_x0000_t136" alt="" style="position:absolute;margin-left:0;margin-top:0;width:627.95pt;height:50.8pt;rotation:315;z-index:-2516403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8C30" w14:textId="437259A4" w:rsidR="002B622D" w:rsidRDefault="00A02504" w:rsidP="00FD41F4">
    <w:pPr>
      <w:pStyle w:val="Header"/>
      <w:tabs>
        <w:tab w:val="clear" w:pos="4513"/>
        <w:tab w:val="clear" w:pos="9026"/>
        <w:tab w:val="left" w:pos="6946"/>
      </w:tabs>
      <w:spacing w:after="180"/>
      <w:rPr>
        <w:color w:val="7F7F7F"/>
        <w:sz w:val="26"/>
        <w:szCs w:val="26"/>
      </w:rPr>
    </w:pPr>
    <w:r>
      <w:rPr>
        <w:noProof/>
      </w:rPr>
      <w:pict w14:anchorId="14E5C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851258" o:spid="_x0000_s1025" type="#_x0000_t136" alt="" style="position:absolute;margin-left:0;margin-top:0;width:627.95pt;height:50.8pt;rotation:315;z-index:-2516444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FOR PUBLIC CONSULTATION"/>
          <w10:wrap anchorx="margin" anchory="margin"/>
        </v:shape>
      </w:pict>
    </w:r>
    <w:r w:rsidR="002B622D">
      <w:rPr>
        <w:noProof/>
      </w:rPr>
      <w:drawing>
        <wp:anchor distT="0" distB="0" distL="114300" distR="114300" simplePos="0" relativeHeight="251656704" behindDoc="0" locked="0" layoutInCell="1" allowOverlap="1" wp14:anchorId="5678AC6E" wp14:editId="6E7BCAC1">
          <wp:simplePos x="0" y="0"/>
          <wp:positionH relativeFrom="column">
            <wp:posOffset>5234305</wp:posOffset>
          </wp:positionH>
          <wp:positionV relativeFrom="paragraph">
            <wp:posOffset>-454660</wp:posOffset>
          </wp:positionV>
          <wp:extent cx="1600200" cy="1067181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67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B622D">
      <w:rPr>
        <w:noProof/>
      </w:rPr>
      <w:drawing>
        <wp:anchor distT="0" distB="0" distL="114300" distR="114300" simplePos="0" relativeHeight="251657728" behindDoc="1" locked="0" layoutInCell="1" allowOverlap="1" wp14:anchorId="1E1E434E" wp14:editId="0A08BE1D">
          <wp:simplePos x="0" y="0"/>
          <wp:positionH relativeFrom="column">
            <wp:posOffset>19050</wp:posOffset>
          </wp:positionH>
          <wp:positionV relativeFrom="paragraph">
            <wp:posOffset>233680</wp:posOffset>
          </wp:positionV>
          <wp:extent cx="1944000" cy="897777"/>
          <wp:effectExtent l="0" t="0" r="0" b="0"/>
          <wp:wrapThrough wrapText="bothSides">
            <wp:wrapPolygon edited="0">
              <wp:start x="1694" y="0"/>
              <wp:lineTo x="0" y="1834"/>
              <wp:lineTo x="0" y="21096"/>
              <wp:lineTo x="21311" y="21096"/>
              <wp:lineTo x="21452" y="19261"/>
              <wp:lineTo x="21452" y="14981"/>
              <wp:lineTo x="16230" y="14675"/>
              <wp:lineTo x="17782" y="10089"/>
              <wp:lineTo x="17782" y="9783"/>
              <wp:lineTo x="15524" y="5503"/>
              <wp:lineTo x="17359" y="4280"/>
              <wp:lineTo x="17782" y="1223"/>
              <wp:lineTo x="16653" y="0"/>
              <wp:lineTo x="1694"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000" cy="897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2E5C6" w14:textId="77777777" w:rsidR="002B622D" w:rsidRDefault="002B622D" w:rsidP="000F0B1D">
    <w:pPr>
      <w:pStyle w:val="Header"/>
      <w:tabs>
        <w:tab w:val="clear" w:pos="4513"/>
        <w:tab w:val="clear" w:pos="9026"/>
        <w:tab w:val="left" w:pos="6946"/>
      </w:tabs>
      <w:spacing w:after="180"/>
      <w:rPr>
        <w:color w:val="7F7F7F"/>
        <w:sz w:val="26"/>
        <w:szCs w:val="26"/>
      </w:rPr>
    </w:pPr>
  </w:p>
  <w:p w14:paraId="5695E30D" w14:textId="77777777" w:rsidR="002B622D" w:rsidRDefault="002B622D" w:rsidP="000F0B1D">
    <w:pPr>
      <w:pStyle w:val="Header"/>
      <w:tabs>
        <w:tab w:val="clear" w:pos="4513"/>
        <w:tab w:val="clear" w:pos="9026"/>
        <w:tab w:val="left" w:pos="6946"/>
      </w:tabs>
      <w:spacing w:after="180"/>
      <w:rPr>
        <w:color w:val="7F7F7F"/>
        <w:sz w:val="26"/>
        <w:szCs w:val="26"/>
      </w:rPr>
    </w:pPr>
  </w:p>
  <w:p w14:paraId="4F3448F5" w14:textId="77777777" w:rsidR="002B622D" w:rsidRPr="00EF06C1" w:rsidRDefault="002B622D" w:rsidP="000F0B1D">
    <w:pPr>
      <w:pStyle w:val="Header"/>
      <w:tabs>
        <w:tab w:val="clear" w:pos="4513"/>
        <w:tab w:val="clear" w:pos="9026"/>
        <w:tab w:val="left" w:pos="6946"/>
      </w:tabs>
      <w:spacing w:after="180"/>
      <w:rPr>
        <w:color w:val="7F7F7F"/>
        <w:sz w:val="26"/>
        <w:szCs w:val="26"/>
      </w:rPr>
    </w:pPr>
  </w:p>
  <w:p w14:paraId="23DFB3AD" w14:textId="77777777" w:rsidR="002B622D" w:rsidRDefault="002B6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94C"/>
    <w:multiLevelType w:val="hybridMultilevel"/>
    <w:tmpl w:val="1F30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76594"/>
    <w:multiLevelType w:val="hybridMultilevel"/>
    <w:tmpl w:val="40D0B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F5333"/>
    <w:multiLevelType w:val="hybridMultilevel"/>
    <w:tmpl w:val="02CEE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029B3"/>
    <w:multiLevelType w:val="hybridMultilevel"/>
    <w:tmpl w:val="FDF6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96070"/>
    <w:multiLevelType w:val="hybridMultilevel"/>
    <w:tmpl w:val="E2487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5403DD"/>
    <w:multiLevelType w:val="hybridMultilevel"/>
    <w:tmpl w:val="B642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6C22DD"/>
    <w:multiLevelType w:val="hybridMultilevel"/>
    <w:tmpl w:val="B19C3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2F76165"/>
    <w:multiLevelType w:val="hybridMultilevel"/>
    <w:tmpl w:val="46988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9508A5"/>
    <w:multiLevelType w:val="hybridMultilevel"/>
    <w:tmpl w:val="F8A685B6"/>
    <w:lvl w:ilvl="0" w:tplc="908A7E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C101DC"/>
    <w:multiLevelType w:val="hybridMultilevel"/>
    <w:tmpl w:val="F0EE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4FD10A9"/>
    <w:multiLevelType w:val="hybridMultilevel"/>
    <w:tmpl w:val="CDDE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874491"/>
    <w:multiLevelType w:val="hybridMultilevel"/>
    <w:tmpl w:val="EA3CA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DD1E8D"/>
    <w:multiLevelType w:val="hybridMultilevel"/>
    <w:tmpl w:val="8BA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1B58C2"/>
    <w:multiLevelType w:val="hybridMultilevel"/>
    <w:tmpl w:val="AF54B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296B9C"/>
    <w:multiLevelType w:val="hybridMultilevel"/>
    <w:tmpl w:val="05000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335876"/>
    <w:multiLevelType w:val="hybridMultilevel"/>
    <w:tmpl w:val="C0702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B25C8F"/>
    <w:multiLevelType w:val="hybridMultilevel"/>
    <w:tmpl w:val="54E8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88D33E3"/>
    <w:multiLevelType w:val="hybridMultilevel"/>
    <w:tmpl w:val="B512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1A689F"/>
    <w:multiLevelType w:val="hybridMultilevel"/>
    <w:tmpl w:val="E8EEB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9750806"/>
    <w:multiLevelType w:val="hybridMultilevel"/>
    <w:tmpl w:val="31E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AE6641"/>
    <w:multiLevelType w:val="hybridMultilevel"/>
    <w:tmpl w:val="1950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B9F0E24"/>
    <w:multiLevelType w:val="hybridMultilevel"/>
    <w:tmpl w:val="5EF0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B9710B"/>
    <w:multiLevelType w:val="hybridMultilevel"/>
    <w:tmpl w:val="DE0298A2"/>
    <w:lvl w:ilvl="0" w:tplc="748A43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C3A41A8"/>
    <w:multiLevelType w:val="hybridMultilevel"/>
    <w:tmpl w:val="2642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C6A7827"/>
    <w:multiLevelType w:val="hybridMultilevel"/>
    <w:tmpl w:val="9E44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DE42184"/>
    <w:multiLevelType w:val="hybridMultilevel"/>
    <w:tmpl w:val="E720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9058C4"/>
    <w:multiLevelType w:val="hybridMultilevel"/>
    <w:tmpl w:val="4BA4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01C3A64"/>
    <w:multiLevelType w:val="hybridMultilevel"/>
    <w:tmpl w:val="AE0EE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1010EFB"/>
    <w:multiLevelType w:val="hybridMultilevel"/>
    <w:tmpl w:val="BB4A9112"/>
    <w:lvl w:ilvl="0" w:tplc="0748BE2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1122672E"/>
    <w:multiLevelType w:val="hybridMultilevel"/>
    <w:tmpl w:val="BE66F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1801E92"/>
    <w:multiLevelType w:val="hybridMultilevel"/>
    <w:tmpl w:val="E292A98E"/>
    <w:lvl w:ilvl="0" w:tplc="8D7666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120A4DA3"/>
    <w:multiLevelType w:val="hybridMultilevel"/>
    <w:tmpl w:val="1C4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3891367"/>
    <w:multiLevelType w:val="hybridMultilevel"/>
    <w:tmpl w:val="19482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3CC3915"/>
    <w:multiLevelType w:val="hybridMultilevel"/>
    <w:tmpl w:val="5E263628"/>
    <w:lvl w:ilvl="0" w:tplc="CA78F062">
      <w:start w:val="1"/>
      <w:numFmt w:val="lowerLetter"/>
      <w:lvlText w:val="(%1)"/>
      <w:lvlJc w:val="left"/>
      <w:pPr>
        <w:ind w:left="792" w:hanging="360"/>
      </w:pPr>
      <w:rPr>
        <w:rFonts w:hint="default"/>
      </w:rPr>
    </w:lvl>
    <w:lvl w:ilvl="1" w:tplc="0C090019" w:tentative="1">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34" w15:restartNumberingAfterBreak="0">
    <w:nsid w:val="14775248"/>
    <w:multiLevelType w:val="hybridMultilevel"/>
    <w:tmpl w:val="C918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D82BBC"/>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073B85"/>
    <w:multiLevelType w:val="hybridMultilevel"/>
    <w:tmpl w:val="8FBE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615533F"/>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72F12E4"/>
    <w:multiLevelType w:val="hybridMultilevel"/>
    <w:tmpl w:val="F738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7C4017D"/>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40" w15:restartNumberingAfterBreak="0">
    <w:nsid w:val="1A7D653D"/>
    <w:multiLevelType w:val="hybridMultilevel"/>
    <w:tmpl w:val="304C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AE27622"/>
    <w:multiLevelType w:val="hybridMultilevel"/>
    <w:tmpl w:val="971A5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B123DEB"/>
    <w:multiLevelType w:val="hybridMultilevel"/>
    <w:tmpl w:val="3E72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B5D06A1"/>
    <w:multiLevelType w:val="hybridMultilevel"/>
    <w:tmpl w:val="0072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D573F2"/>
    <w:multiLevelType w:val="hybridMultilevel"/>
    <w:tmpl w:val="32E83EEE"/>
    <w:lvl w:ilvl="0" w:tplc="EE8CF6E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D2719D7"/>
    <w:multiLevelType w:val="hybridMultilevel"/>
    <w:tmpl w:val="018A6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E10035E"/>
    <w:multiLevelType w:val="hybridMultilevel"/>
    <w:tmpl w:val="9D42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E5013FB"/>
    <w:multiLevelType w:val="hybridMultilevel"/>
    <w:tmpl w:val="9062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F5A6B4A"/>
    <w:multiLevelType w:val="hybridMultilevel"/>
    <w:tmpl w:val="89DC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0631AD9"/>
    <w:multiLevelType w:val="hybridMultilevel"/>
    <w:tmpl w:val="6DDC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1C66D7C"/>
    <w:multiLevelType w:val="hybridMultilevel"/>
    <w:tmpl w:val="169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1D64A13"/>
    <w:multiLevelType w:val="hybridMultilevel"/>
    <w:tmpl w:val="FCEECF82"/>
    <w:lvl w:ilvl="0" w:tplc="0C09000F">
      <w:start w:val="1"/>
      <w:numFmt w:val="decimal"/>
      <w:lvlText w:val="%1."/>
      <w:lvlJc w:val="left"/>
      <w:pPr>
        <w:tabs>
          <w:tab w:val="num" w:pos="360"/>
        </w:tabs>
        <w:ind w:left="36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11380CEE">
      <w:start w:val="1"/>
      <w:numFmt w:val="lowerLetter"/>
      <w:lvlText w:val="(%3)"/>
      <w:lvlJc w:val="left"/>
      <w:pPr>
        <w:tabs>
          <w:tab w:val="num" w:pos="1800"/>
        </w:tabs>
        <w:ind w:left="1800" w:hanging="360"/>
      </w:pPr>
      <w:rPr>
        <w:rFont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229F58C6"/>
    <w:multiLevelType w:val="hybridMultilevel"/>
    <w:tmpl w:val="EC74B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30B0925"/>
    <w:multiLevelType w:val="hybridMultilevel"/>
    <w:tmpl w:val="DD0A4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233A2669"/>
    <w:multiLevelType w:val="hybridMultilevel"/>
    <w:tmpl w:val="6F0E0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3440F4B"/>
    <w:multiLevelType w:val="hybridMultilevel"/>
    <w:tmpl w:val="E6803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38264E9"/>
    <w:multiLevelType w:val="hybridMultilevel"/>
    <w:tmpl w:val="03702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3BF0701"/>
    <w:multiLevelType w:val="hybridMultilevel"/>
    <w:tmpl w:val="C97C3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3E54A66"/>
    <w:multiLevelType w:val="hybridMultilevel"/>
    <w:tmpl w:val="E80C9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4A92E93"/>
    <w:multiLevelType w:val="hybridMultilevel"/>
    <w:tmpl w:val="FABA3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4EA640C"/>
    <w:multiLevelType w:val="hybridMultilevel"/>
    <w:tmpl w:val="C9F09D8C"/>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1" w15:restartNumberingAfterBreak="0">
    <w:nsid w:val="25684C30"/>
    <w:multiLevelType w:val="hybridMultilevel"/>
    <w:tmpl w:val="2684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5C817FB"/>
    <w:multiLevelType w:val="hybridMultilevel"/>
    <w:tmpl w:val="49DE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66E777D"/>
    <w:multiLevelType w:val="hybridMultilevel"/>
    <w:tmpl w:val="825C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74F4446"/>
    <w:multiLevelType w:val="hybridMultilevel"/>
    <w:tmpl w:val="9710E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A0B1BF1"/>
    <w:multiLevelType w:val="hybridMultilevel"/>
    <w:tmpl w:val="225C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A7224CB"/>
    <w:multiLevelType w:val="hybridMultilevel"/>
    <w:tmpl w:val="57DAB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B1B533B"/>
    <w:multiLevelType w:val="hybridMultilevel"/>
    <w:tmpl w:val="7A244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2BB454C6"/>
    <w:multiLevelType w:val="hybridMultilevel"/>
    <w:tmpl w:val="C9B0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BC566C6"/>
    <w:multiLevelType w:val="hybridMultilevel"/>
    <w:tmpl w:val="6CB287F0"/>
    <w:lvl w:ilvl="0" w:tplc="06683D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2E330E93"/>
    <w:multiLevelType w:val="hybridMultilevel"/>
    <w:tmpl w:val="2FD8C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E59587B"/>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2EC16079"/>
    <w:multiLevelType w:val="hybridMultilevel"/>
    <w:tmpl w:val="B4EA1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EDD13F7"/>
    <w:multiLevelType w:val="hybridMultilevel"/>
    <w:tmpl w:val="8756838A"/>
    <w:lvl w:ilvl="0" w:tplc="4CF016F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2F5E5DB4"/>
    <w:multiLevelType w:val="hybridMultilevel"/>
    <w:tmpl w:val="391EB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03051C7"/>
    <w:multiLevelType w:val="hybridMultilevel"/>
    <w:tmpl w:val="2EEA0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305868D1"/>
    <w:multiLevelType w:val="hybridMultilevel"/>
    <w:tmpl w:val="CFE625EA"/>
    <w:lvl w:ilvl="0" w:tplc="DF3C93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31C348CA"/>
    <w:multiLevelType w:val="hybridMultilevel"/>
    <w:tmpl w:val="876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22854AA"/>
    <w:multiLevelType w:val="hybridMultilevel"/>
    <w:tmpl w:val="798C7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2B75C24"/>
    <w:multiLevelType w:val="hybridMultilevel"/>
    <w:tmpl w:val="4484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34E7F58"/>
    <w:multiLevelType w:val="hybridMultilevel"/>
    <w:tmpl w:val="3B9E8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37C69F3"/>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3CB2B0C"/>
    <w:multiLevelType w:val="hybridMultilevel"/>
    <w:tmpl w:val="2ED2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454457D"/>
    <w:multiLevelType w:val="hybridMultilevel"/>
    <w:tmpl w:val="1144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4AA1FF3"/>
    <w:multiLevelType w:val="hybridMultilevel"/>
    <w:tmpl w:val="C8920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35053EB2"/>
    <w:multiLevelType w:val="multilevel"/>
    <w:tmpl w:val="3BA699FA"/>
    <w:styleLink w:val="1ai"/>
    <w:lvl w:ilvl="0">
      <w:start w:val="1"/>
      <w:numFmt w:val="decimal"/>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6924482"/>
    <w:multiLevelType w:val="hybridMultilevel"/>
    <w:tmpl w:val="FEB0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8554FCD"/>
    <w:multiLevelType w:val="hybridMultilevel"/>
    <w:tmpl w:val="4CDAAF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394E2341"/>
    <w:multiLevelType w:val="hybridMultilevel"/>
    <w:tmpl w:val="2FBA66D6"/>
    <w:lvl w:ilvl="0" w:tplc="237C8D3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1" w15:restartNumberingAfterBreak="0">
    <w:nsid w:val="39522E27"/>
    <w:multiLevelType w:val="hybridMultilevel"/>
    <w:tmpl w:val="289C2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3C3C1351"/>
    <w:multiLevelType w:val="hybridMultilevel"/>
    <w:tmpl w:val="7826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D036A0E"/>
    <w:multiLevelType w:val="hybridMultilevel"/>
    <w:tmpl w:val="C4D48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D342EC1"/>
    <w:multiLevelType w:val="hybridMultilevel"/>
    <w:tmpl w:val="DE8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E853FD1"/>
    <w:multiLevelType w:val="multilevel"/>
    <w:tmpl w:val="EB92C4DE"/>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3EEE033F"/>
    <w:multiLevelType w:val="hybridMultilevel"/>
    <w:tmpl w:val="6F6A95F8"/>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98" w15:restartNumberingAfterBreak="0">
    <w:nsid w:val="3F5305CB"/>
    <w:multiLevelType w:val="hybridMultilevel"/>
    <w:tmpl w:val="EB74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1094867"/>
    <w:multiLevelType w:val="hybridMultilevel"/>
    <w:tmpl w:val="A022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1187BB8"/>
    <w:multiLevelType w:val="hybridMultilevel"/>
    <w:tmpl w:val="383C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2B43143"/>
    <w:multiLevelType w:val="hybridMultilevel"/>
    <w:tmpl w:val="18F8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3031883"/>
    <w:multiLevelType w:val="hybridMultilevel"/>
    <w:tmpl w:val="0158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3BD6174"/>
    <w:multiLevelType w:val="hybridMultilevel"/>
    <w:tmpl w:val="CCEE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3C1162B"/>
    <w:multiLevelType w:val="hybridMultilevel"/>
    <w:tmpl w:val="5532C1E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4535410"/>
    <w:multiLevelType w:val="hybridMultilevel"/>
    <w:tmpl w:val="C1F8C850"/>
    <w:lvl w:ilvl="0" w:tplc="04090019">
      <w:start w:val="1"/>
      <w:numFmt w:val="lowerLetter"/>
      <w:lvlText w:val="%1."/>
      <w:lvlJc w:val="left"/>
      <w:pPr>
        <w:ind w:left="720" w:hanging="360"/>
      </w:pPr>
      <w:rPr>
        <w:rFonts w:hint="default"/>
        <w:b w:val="0"/>
        <w:sz w:val="22"/>
        <w:szCs w:val="24"/>
      </w:rPr>
    </w:lvl>
    <w:lvl w:ilvl="1" w:tplc="5F108292">
      <w:start w:val="1"/>
      <w:numFmt w:val="lowerRoman"/>
      <w:lvlText w:val="(%2)"/>
      <w:lvlJc w:val="left"/>
      <w:pPr>
        <w:tabs>
          <w:tab w:val="num" w:pos="1440"/>
        </w:tabs>
        <w:ind w:left="1440" w:hanging="360"/>
      </w:pPr>
      <w:rPr>
        <w:rFonts w:hint="default"/>
      </w:rPr>
    </w:lvl>
    <w:lvl w:ilvl="2" w:tplc="508200E2">
      <w:start w:val="1"/>
      <w:numFmt w:val="lowerLetter"/>
      <w:lvlText w:val="(%3)"/>
      <w:lvlJc w:val="left"/>
      <w:pPr>
        <w:ind w:left="2340" w:hanging="360"/>
      </w:pPr>
      <w:rPr>
        <w:rFonts w:hint="default"/>
      </w:rPr>
    </w:lvl>
    <w:lvl w:ilvl="3" w:tplc="5F108292">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6" w15:restartNumberingAfterBreak="0">
    <w:nsid w:val="4556397D"/>
    <w:multiLevelType w:val="hybridMultilevel"/>
    <w:tmpl w:val="167274A8"/>
    <w:lvl w:ilvl="0" w:tplc="D73224DA">
      <w:start w:val="1"/>
      <w:numFmt w:val="decimal"/>
      <w:lvlText w:val="%1."/>
      <w:lvlJc w:val="left"/>
      <w:pPr>
        <w:tabs>
          <w:tab w:val="num" w:pos="360"/>
        </w:tabs>
        <w:ind w:left="360" w:hanging="360"/>
      </w:pPr>
      <w:rPr>
        <w:rFonts w:asciiTheme="minorHAnsi" w:hAnsiTheme="minorHAnsi" w:cs="Arial" w:hint="default"/>
        <w:b w:val="0"/>
        <w:sz w:val="22"/>
        <w:szCs w:val="24"/>
      </w:rPr>
    </w:lvl>
    <w:lvl w:ilvl="1" w:tplc="5F108292">
      <w:start w:val="1"/>
      <w:numFmt w:val="lowerRoman"/>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7" w15:restartNumberingAfterBreak="0">
    <w:nsid w:val="45BA24A8"/>
    <w:multiLevelType w:val="hybridMultilevel"/>
    <w:tmpl w:val="691A86F2"/>
    <w:lvl w:ilvl="0" w:tplc="0C090003">
      <w:start w:val="1"/>
      <w:numFmt w:val="bullet"/>
      <w:lvlText w:val="o"/>
      <w:lvlJc w:val="left"/>
      <w:pPr>
        <w:ind w:left="807" w:hanging="360"/>
      </w:pPr>
      <w:rPr>
        <w:rFonts w:ascii="Courier New" w:hAnsi="Courier New" w:cs="Courier New" w:hint="default"/>
      </w:rPr>
    </w:lvl>
    <w:lvl w:ilvl="1" w:tplc="FFFFFFFF" w:tentative="1">
      <w:start w:val="1"/>
      <w:numFmt w:val="bullet"/>
      <w:lvlText w:val="o"/>
      <w:lvlJc w:val="left"/>
      <w:pPr>
        <w:ind w:left="1527" w:hanging="360"/>
      </w:pPr>
      <w:rPr>
        <w:rFonts w:ascii="Courier New" w:hAnsi="Courier New" w:cs="Courier New" w:hint="default"/>
      </w:rPr>
    </w:lvl>
    <w:lvl w:ilvl="2" w:tplc="FFFFFFFF" w:tentative="1">
      <w:start w:val="1"/>
      <w:numFmt w:val="bullet"/>
      <w:lvlText w:val=""/>
      <w:lvlJc w:val="left"/>
      <w:pPr>
        <w:ind w:left="2247" w:hanging="360"/>
      </w:pPr>
      <w:rPr>
        <w:rFonts w:ascii="Wingdings" w:hAnsi="Wingdings" w:hint="default"/>
      </w:rPr>
    </w:lvl>
    <w:lvl w:ilvl="3" w:tplc="FFFFFFFF" w:tentative="1">
      <w:start w:val="1"/>
      <w:numFmt w:val="bullet"/>
      <w:lvlText w:val=""/>
      <w:lvlJc w:val="left"/>
      <w:pPr>
        <w:ind w:left="2967" w:hanging="360"/>
      </w:pPr>
      <w:rPr>
        <w:rFonts w:ascii="Symbol" w:hAnsi="Symbol" w:hint="default"/>
      </w:rPr>
    </w:lvl>
    <w:lvl w:ilvl="4" w:tplc="FFFFFFFF" w:tentative="1">
      <w:start w:val="1"/>
      <w:numFmt w:val="bullet"/>
      <w:lvlText w:val="o"/>
      <w:lvlJc w:val="left"/>
      <w:pPr>
        <w:ind w:left="3687" w:hanging="360"/>
      </w:pPr>
      <w:rPr>
        <w:rFonts w:ascii="Courier New" w:hAnsi="Courier New" w:cs="Courier New" w:hint="default"/>
      </w:rPr>
    </w:lvl>
    <w:lvl w:ilvl="5" w:tplc="FFFFFFFF" w:tentative="1">
      <w:start w:val="1"/>
      <w:numFmt w:val="bullet"/>
      <w:lvlText w:val=""/>
      <w:lvlJc w:val="left"/>
      <w:pPr>
        <w:ind w:left="4407" w:hanging="360"/>
      </w:pPr>
      <w:rPr>
        <w:rFonts w:ascii="Wingdings" w:hAnsi="Wingdings" w:hint="default"/>
      </w:rPr>
    </w:lvl>
    <w:lvl w:ilvl="6" w:tplc="FFFFFFFF" w:tentative="1">
      <w:start w:val="1"/>
      <w:numFmt w:val="bullet"/>
      <w:lvlText w:val=""/>
      <w:lvlJc w:val="left"/>
      <w:pPr>
        <w:ind w:left="5127" w:hanging="360"/>
      </w:pPr>
      <w:rPr>
        <w:rFonts w:ascii="Symbol" w:hAnsi="Symbol" w:hint="default"/>
      </w:rPr>
    </w:lvl>
    <w:lvl w:ilvl="7" w:tplc="FFFFFFFF" w:tentative="1">
      <w:start w:val="1"/>
      <w:numFmt w:val="bullet"/>
      <w:lvlText w:val="o"/>
      <w:lvlJc w:val="left"/>
      <w:pPr>
        <w:ind w:left="5847" w:hanging="360"/>
      </w:pPr>
      <w:rPr>
        <w:rFonts w:ascii="Courier New" w:hAnsi="Courier New" w:cs="Courier New" w:hint="default"/>
      </w:rPr>
    </w:lvl>
    <w:lvl w:ilvl="8" w:tplc="FFFFFFFF" w:tentative="1">
      <w:start w:val="1"/>
      <w:numFmt w:val="bullet"/>
      <w:lvlText w:val=""/>
      <w:lvlJc w:val="left"/>
      <w:pPr>
        <w:ind w:left="6567" w:hanging="360"/>
      </w:pPr>
      <w:rPr>
        <w:rFonts w:ascii="Wingdings" w:hAnsi="Wingdings" w:hint="default"/>
      </w:rPr>
    </w:lvl>
  </w:abstractNum>
  <w:abstractNum w:abstractNumId="108" w15:restartNumberingAfterBreak="0">
    <w:nsid w:val="45D77E73"/>
    <w:multiLevelType w:val="multilevel"/>
    <w:tmpl w:val="C8D2BA74"/>
    <w:lvl w:ilvl="0">
      <w:start w:val="1"/>
      <w:numFmt w:val="bullet"/>
      <w:lvlText w:val=""/>
      <w:lvlJc w:val="left"/>
      <w:pPr>
        <w:ind w:left="720" w:hanging="360"/>
      </w:pPr>
      <w:rPr>
        <w:rFonts w:ascii="Symbol" w:hAnsi="Symbol" w:hint="default"/>
      </w:rPr>
    </w:lvl>
    <w:lvl w:ilvl="1">
      <w:start w:val="1"/>
      <w:numFmt w:val="bullet"/>
      <w:lvlText w:val="o"/>
      <w:lvlJc w:val="left"/>
      <w:pPr>
        <w:ind w:left="1212"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6027637"/>
    <w:multiLevelType w:val="hybridMultilevel"/>
    <w:tmpl w:val="F3F82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464765A9"/>
    <w:multiLevelType w:val="hybridMultilevel"/>
    <w:tmpl w:val="8ABCCB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6AC6613"/>
    <w:multiLevelType w:val="hybridMultilevel"/>
    <w:tmpl w:val="3186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73E4CBB"/>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47DD346E"/>
    <w:multiLevelType w:val="hybridMultilevel"/>
    <w:tmpl w:val="26C2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480072DD"/>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481177A2"/>
    <w:multiLevelType w:val="hybridMultilevel"/>
    <w:tmpl w:val="C1F8C850"/>
    <w:lvl w:ilvl="0" w:tplc="04090019">
      <w:start w:val="1"/>
      <w:numFmt w:val="lowerLetter"/>
      <w:lvlText w:val="%1."/>
      <w:lvlJc w:val="left"/>
      <w:pPr>
        <w:ind w:left="720" w:hanging="360"/>
      </w:pPr>
      <w:rPr>
        <w:rFonts w:hint="default"/>
        <w:b w:val="0"/>
        <w:sz w:val="22"/>
        <w:szCs w:val="24"/>
      </w:rPr>
    </w:lvl>
    <w:lvl w:ilvl="1" w:tplc="5F108292">
      <w:start w:val="1"/>
      <w:numFmt w:val="lowerRoman"/>
      <w:lvlText w:val="(%2)"/>
      <w:lvlJc w:val="left"/>
      <w:pPr>
        <w:tabs>
          <w:tab w:val="num" w:pos="1440"/>
        </w:tabs>
        <w:ind w:left="1440" w:hanging="360"/>
      </w:pPr>
      <w:rPr>
        <w:rFonts w:hint="default"/>
      </w:rPr>
    </w:lvl>
    <w:lvl w:ilvl="2" w:tplc="508200E2">
      <w:start w:val="1"/>
      <w:numFmt w:val="lowerLetter"/>
      <w:lvlText w:val="(%3)"/>
      <w:lvlJc w:val="left"/>
      <w:pPr>
        <w:ind w:left="2340" w:hanging="360"/>
      </w:pPr>
      <w:rPr>
        <w:rFonts w:hint="default"/>
      </w:rPr>
    </w:lvl>
    <w:lvl w:ilvl="3" w:tplc="5F108292">
      <w:start w:val="1"/>
      <w:numFmt w:val="lowerRoman"/>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6" w15:restartNumberingAfterBreak="0">
    <w:nsid w:val="48B63FDC"/>
    <w:multiLevelType w:val="hybridMultilevel"/>
    <w:tmpl w:val="2ABCD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97F4BB7"/>
    <w:multiLevelType w:val="hybridMultilevel"/>
    <w:tmpl w:val="B5ECA5B4"/>
    <w:lvl w:ilvl="0" w:tplc="DDE4186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A6F383D"/>
    <w:multiLevelType w:val="hybridMultilevel"/>
    <w:tmpl w:val="88A2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AC40EDD"/>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20" w15:restartNumberingAfterBreak="0">
    <w:nsid w:val="4D057522"/>
    <w:multiLevelType w:val="hybridMultilevel"/>
    <w:tmpl w:val="D550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E8D3324"/>
    <w:multiLevelType w:val="hybridMultilevel"/>
    <w:tmpl w:val="61D2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501B7173"/>
    <w:multiLevelType w:val="hybridMultilevel"/>
    <w:tmpl w:val="518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502E34D1"/>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5183506C"/>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523742D2"/>
    <w:multiLevelType w:val="hybridMultilevel"/>
    <w:tmpl w:val="8A48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433602E"/>
    <w:multiLevelType w:val="hybridMultilevel"/>
    <w:tmpl w:val="08A89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4C834CD"/>
    <w:multiLevelType w:val="hybridMultilevel"/>
    <w:tmpl w:val="BEA69088"/>
    <w:lvl w:ilvl="0" w:tplc="124C384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8" w15:restartNumberingAfterBreak="0">
    <w:nsid w:val="550B55F9"/>
    <w:multiLevelType w:val="hybridMultilevel"/>
    <w:tmpl w:val="D4E84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56FE1E72"/>
    <w:multiLevelType w:val="hybridMultilevel"/>
    <w:tmpl w:val="46E06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58062367"/>
    <w:multiLevelType w:val="hybridMultilevel"/>
    <w:tmpl w:val="CE58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9171FE9"/>
    <w:multiLevelType w:val="hybridMultilevel"/>
    <w:tmpl w:val="B8260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5B2C73B1"/>
    <w:multiLevelType w:val="hybridMultilevel"/>
    <w:tmpl w:val="3ECE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5B6D2ED2"/>
    <w:multiLevelType w:val="hybridMultilevel"/>
    <w:tmpl w:val="E2FEE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4" w15:restartNumberingAfterBreak="0">
    <w:nsid w:val="5C33660C"/>
    <w:multiLevelType w:val="multilevel"/>
    <w:tmpl w:val="06F66BEA"/>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C6D7E9B"/>
    <w:multiLevelType w:val="hybridMultilevel"/>
    <w:tmpl w:val="B3E2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CA9152B"/>
    <w:multiLevelType w:val="hybridMultilevel"/>
    <w:tmpl w:val="A0EC0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5CF267F0"/>
    <w:multiLevelType w:val="hybridMultilevel"/>
    <w:tmpl w:val="71DA1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8" w15:restartNumberingAfterBreak="0">
    <w:nsid w:val="5DC05BA1"/>
    <w:multiLevelType w:val="hybridMultilevel"/>
    <w:tmpl w:val="DDB0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5E006A4C"/>
    <w:multiLevelType w:val="hybridMultilevel"/>
    <w:tmpl w:val="81C2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E58242F"/>
    <w:multiLevelType w:val="hybridMultilevel"/>
    <w:tmpl w:val="BC1C1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E62274D"/>
    <w:multiLevelType w:val="hybridMultilevel"/>
    <w:tmpl w:val="E802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F3708E3"/>
    <w:multiLevelType w:val="hybridMultilevel"/>
    <w:tmpl w:val="35383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F4B04C0"/>
    <w:multiLevelType w:val="hybridMultilevel"/>
    <w:tmpl w:val="ADA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FD4137D"/>
    <w:multiLevelType w:val="hybridMultilevel"/>
    <w:tmpl w:val="A7D0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5FE77A07"/>
    <w:multiLevelType w:val="hybridMultilevel"/>
    <w:tmpl w:val="46B88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09153CF"/>
    <w:multiLevelType w:val="hybridMultilevel"/>
    <w:tmpl w:val="E1BA1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612F0C0B"/>
    <w:multiLevelType w:val="hybridMultilevel"/>
    <w:tmpl w:val="55F40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61374654"/>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49" w15:restartNumberingAfterBreak="0">
    <w:nsid w:val="622750AE"/>
    <w:multiLevelType w:val="hybridMultilevel"/>
    <w:tmpl w:val="ECE2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6374288A"/>
    <w:multiLevelType w:val="hybridMultilevel"/>
    <w:tmpl w:val="EB6A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64CC426B"/>
    <w:multiLevelType w:val="hybridMultilevel"/>
    <w:tmpl w:val="9D88D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2" w15:restartNumberingAfterBreak="0">
    <w:nsid w:val="665A476C"/>
    <w:multiLevelType w:val="hybridMultilevel"/>
    <w:tmpl w:val="5BA2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66918AB"/>
    <w:multiLevelType w:val="hybridMultilevel"/>
    <w:tmpl w:val="3898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4" w15:restartNumberingAfterBreak="0">
    <w:nsid w:val="66EA7231"/>
    <w:multiLevelType w:val="hybridMultilevel"/>
    <w:tmpl w:val="3CA88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70B63B1"/>
    <w:multiLevelType w:val="hybridMultilevel"/>
    <w:tmpl w:val="7784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73F2BB5"/>
    <w:multiLevelType w:val="hybridMultilevel"/>
    <w:tmpl w:val="08C02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68C87D2E"/>
    <w:multiLevelType w:val="hybridMultilevel"/>
    <w:tmpl w:val="34E0D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691773FB"/>
    <w:multiLevelType w:val="hybridMultilevel"/>
    <w:tmpl w:val="77B4C5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6A7C74D4"/>
    <w:multiLevelType w:val="hybridMultilevel"/>
    <w:tmpl w:val="167274A8"/>
    <w:lvl w:ilvl="0" w:tplc="D73224DA">
      <w:start w:val="1"/>
      <w:numFmt w:val="decimal"/>
      <w:lvlText w:val="%1."/>
      <w:lvlJc w:val="left"/>
      <w:pPr>
        <w:tabs>
          <w:tab w:val="num" w:pos="360"/>
        </w:tabs>
        <w:ind w:left="360" w:hanging="360"/>
      </w:pPr>
      <w:rPr>
        <w:rFonts w:asciiTheme="minorHAnsi" w:hAnsiTheme="minorHAnsi" w:cs="Arial" w:hint="default"/>
        <w:b w:val="0"/>
        <w:sz w:val="22"/>
        <w:szCs w:val="24"/>
      </w:rPr>
    </w:lvl>
    <w:lvl w:ilvl="1" w:tplc="5F108292">
      <w:start w:val="1"/>
      <w:numFmt w:val="lowerRoman"/>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0" w15:restartNumberingAfterBreak="0">
    <w:nsid w:val="6B3E6BDE"/>
    <w:multiLevelType w:val="hybridMultilevel"/>
    <w:tmpl w:val="C1D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B626B2F"/>
    <w:multiLevelType w:val="multilevel"/>
    <w:tmpl w:val="6838A4E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6D8E1E9E"/>
    <w:multiLevelType w:val="hybridMultilevel"/>
    <w:tmpl w:val="854E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DE6544C"/>
    <w:multiLevelType w:val="multilevel"/>
    <w:tmpl w:val="1F383004"/>
    <w:lvl w:ilvl="0">
      <w:start w:val="1"/>
      <w:numFmt w:val="decimal"/>
      <w:lvlText w:val="1.%1."/>
      <w:lvlJc w:val="left"/>
      <w:pPr>
        <w:ind w:left="218" w:hanging="360"/>
      </w:pPr>
      <w:rPr>
        <w:rFonts w:hint="default"/>
      </w:rPr>
    </w:lvl>
    <w:lvl w:ilvl="1">
      <w:start w:val="1"/>
      <w:numFmt w:val="decimal"/>
      <w:lvlText w:val="%1.%2."/>
      <w:lvlJc w:val="left"/>
      <w:pPr>
        <w:ind w:left="432" w:hanging="432"/>
      </w:pPr>
      <w:rPr>
        <w:rFonts w:asciiTheme="minorHAnsi" w:hAnsiTheme="minorHAnsi" w:cstheme="minorHAnsi" w:hint="default"/>
        <w:b w:val="0"/>
        <w:bCs/>
        <w:color w:val="auto"/>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64" w15:restartNumberingAfterBreak="0">
    <w:nsid w:val="6FE86831"/>
    <w:multiLevelType w:val="multilevel"/>
    <w:tmpl w:val="12ACD5E8"/>
    <w:lvl w:ilvl="0">
      <w:start w:val="1"/>
      <w:numFmt w:val="decimal"/>
      <w:lvlText w:val="1.%1."/>
      <w:lvlJc w:val="left"/>
      <w:pPr>
        <w:ind w:left="218" w:hanging="360"/>
      </w:pPr>
      <w:rPr>
        <w:rFonts w:hint="default"/>
      </w:rPr>
    </w:lvl>
    <w:lvl w:ilvl="1">
      <w:start w:val="1"/>
      <w:numFmt w:val="decimal"/>
      <w:pStyle w:val="3BodyInteger"/>
      <w:lvlText w:val="%1.%2."/>
      <w:lvlJc w:val="left"/>
      <w:pPr>
        <w:ind w:left="432" w:hanging="432"/>
      </w:pPr>
      <w:rPr>
        <w:rFonts w:asciiTheme="minorHAnsi" w:hAnsiTheme="minorHAnsi" w:cstheme="minorHAnsi" w:hint="default"/>
        <w:b w:val="0"/>
        <w:bCs/>
        <w:color w:val="auto"/>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65" w15:restartNumberingAfterBreak="0">
    <w:nsid w:val="721725A0"/>
    <w:multiLevelType w:val="hybridMultilevel"/>
    <w:tmpl w:val="4ABE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2683D60"/>
    <w:multiLevelType w:val="hybridMultilevel"/>
    <w:tmpl w:val="74FC4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733871C7"/>
    <w:multiLevelType w:val="hybridMultilevel"/>
    <w:tmpl w:val="4AA62C26"/>
    <w:lvl w:ilvl="0" w:tplc="3832385A">
      <w:start w:val="1"/>
      <w:numFmt w:val="decimal"/>
      <w:lvlText w:val="%1."/>
      <w:lvlJc w:val="left"/>
      <w:pPr>
        <w:ind w:left="360" w:hanging="360"/>
      </w:pPr>
      <w:rPr>
        <w:rFonts w:asciiTheme="minorHAnsi" w:hAnsiTheme="minorHAnsi"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73903B4D"/>
    <w:multiLevelType w:val="hybridMultilevel"/>
    <w:tmpl w:val="80C0A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D6325D"/>
    <w:multiLevelType w:val="hybridMultilevel"/>
    <w:tmpl w:val="ABC2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414043F"/>
    <w:multiLevelType w:val="hybridMultilevel"/>
    <w:tmpl w:val="0BD8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5272A9E"/>
    <w:multiLevelType w:val="hybridMultilevel"/>
    <w:tmpl w:val="6EBA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76DA5AE6"/>
    <w:multiLevelType w:val="multilevel"/>
    <w:tmpl w:val="0809001D"/>
    <w:styleLink w:val="OVICbullet"/>
    <w:lvl w:ilvl="0">
      <w:numFmt w:val="bullet"/>
      <w:lvlText w:val=""/>
      <w:lvlJc w:val="left"/>
      <w:pPr>
        <w:ind w:left="360" w:hanging="360"/>
      </w:pPr>
      <w:rPr>
        <w:rFonts w:ascii="Symbol" w:hAnsi="Symbol" w:hint="default"/>
        <w:sz w:val="15"/>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77624B73"/>
    <w:multiLevelType w:val="hybridMultilevel"/>
    <w:tmpl w:val="5CA48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776A6067"/>
    <w:multiLevelType w:val="hybridMultilevel"/>
    <w:tmpl w:val="2A24E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779230C"/>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76" w15:restartNumberingAfterBreak="0">
    <w:nsid w:val="78C2046A"/>
    <w:multiLevelType w:val="hybridMultilevel"/>
    <w:tmpl w:val="1974C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78E06A84"/>
    <w:multiLevelType w:val="hybridMultilevel"/>
    <w:tmpl w:val="4C0A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79021514"/>
    <w:multiLevelType w:val="hybridMultilevel"/>
    <w:tmpl w:val="BC1AC9B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79" w15:restartNumberingAfterBreak="0">
    <w:nsid w:val="79365F28"/>
    <w:multiLevelType w:val="hybridMultilevel"/>
    <w:tmpl w:val="AD1C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7A4030F9"/>
    <w:multiLevelType w:val="hybridMultilevel"/>
    <w:tmpl w:val="02A8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7AD80946"/>
    <w:multiLevelType w:val="hybridMultilevel"/>
    <w:tmpl w:val="FE5CBF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2" w15:restartNumberingAfterBreak="0">
    <w:nsid w:val="7AE7304F"/>
    <w:multiLevelType w:val="hybridMultilevel"/>
    <w:tmpl w:val="E948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B140657"/>
    <w:multiLevelType w:val="multilevel"/>
    <w:tmpl w:val="1FDCB2CC"/>
    <w:lvl w:ilvl="0">
      <w:start w:val="1"/>
      <w:numFmt w:val="decimal"/>
      <w:lvlText w:val="1.%1."/>
      <w:lvlJc w:val="left"/>
      <w:pPr>
        <w:ind w:left="218"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938" w:hanging="360"/>
      </w:pPr>
      <w:rPr>
        <w:rFonts w:ascii="Symbol" w:hAnsi="Symbol" w:hint="default"/>
      </w:rPr>
    </w:lvl>
    <w:lvl w:ilvl="3">
      <w:start w:val="1"/>
      <w:numFmt w:val="bullet"/>
      <w:lvlText w:val="o"/>
      <w:lvlJc w:val="left"/>
      <w:pPr>
        <w:ind w:left="1298" w:hanging="360"/>
      </w:pPr>
      <w:rPr>
        <w:rFonts w:ascii="Courier New" w:hAnsi="Courier New" w:cs="Courier New" w:hint="default"/>
      </w:rPr>
    </w:lvl>
    <w:lvl w:ilvl="4">
      <w:start w:val="1"/>
      <w:numFmt w:val="bullet"/>
      <w:lvlText w:val=""/>
      <w:lvlJc w:val="left"/>
      <w:pPr>
        <w:ind w:left="1658" w:hanging="360"/>
      </w:pPr>
      <w:rPr>
        <w:rFonts w:ascii="Wingdings" w:hAnsi="Wingding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84" w15:restartNumberingAfterBreak="0">
    <w:nsid w:val="7CB87EDE"/>
    <w:multiLevelType w:val="hybridMultilevel"/>
    <w:tmpl w:val="D81C5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7DB271FA"/>
    <w:multiLevelType w:val="hybridMultilevel"/>
    <w:tmpl w:val="C92E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E294244"/>
    <w:multiLevelType w:val="hybridMultilevel"/>
    <w:tmpl w:val="B778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F07018A"/>
    <w:multiLevelType w:val="hybridMultilevel"/>
    <w:tmpl w:val="47F2635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8" w15:restartNumberingAfterBreak="0">
    <w:nsid w:val="7F4F5740"/>
    <w:multiLevelType w:val="hybridMultilevel"/>
    <w:tmpl w:val="1740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330856">
    <w:abstractNumId w:val="172"/>
  </w:num>
  <w:num w:numId="2" w16cid:durableId="1601796941">
    <w:abstractNumId w:val="65"/>
  </w:num>
  <w:num w:numId="3" w16cid:durableId="1802964975">
    <w:abstractNumId w:val="92"/>
  </w:num>
  <w:num w:numId="4" w16cid:durableId="1195271683">
    <w:abstractNumId w:val="87"/>
  </w:num>
  <w:num w:numId="5" w16cid:durableId="1090658531">
    <w:abstractNumId w:val="86"/>
  </w:num>
  <w:num w:numId="6" w16cid:durableId="548032282">
    <w:abstractNumId w:val="181"/>
  </w:num>
  <w:num w:numId="7" w16cid:durableId="1300724970">
    <w:abstractNumId w:val="51"/>
  </w:num>
  <w:num w:numId="8" w16cid:durableId="1938323607">
    <w:abstractNumId w:val="167"/>
  </w:num>
  <w:num w:numId="9" w16cid:durableId="943538127">
    <w:abstractNumId w:val="104"/>
  </w:num>
  <w:num w:numId="10" w16cid:durableId="1650671219">
    <w:abstractNumId w:val="106"/>
  </w:num>
  <w:num w:numId="11" w16cid:durableId="1911386594">
    <w:abstractNumId w:val="115"/>
  </w:num>
  <w:num w:numId="12" w16cid:durableId="794639353">
    <w:abstractNumId w:val="159"/>
  </w:num>
  <w:num w:numId="13" w16cid:durableId="1575354389">
    <w:abstractNumId w:val="105"/>
  </w:num>
  <w:num w:numId="14" w16cid:durableId="1475488749">
    <w:abstractNumId w:val="89"/>
  </w:num>
  <w:num w:numId="15" w16cid:durableId="1502694566">
    <w:abstractNumId w:val="163"/>
  </w:num>
  <w:num w:numId="16" w16cid:durableId="1910312320">
    <w:abstractNumId w:val="57"/>
  </w:num>
  <w:num w:numId="17" w16cid:durableId="1708947142">
    <w:abstractNumId w:val="120"/>
  </w:num>
  <w:num w:numId="18" w16cid:durableId="937179558">
    <w:abstractNumId w:val="130"/>
  </w:num>
  <w:num w:numId="19" w16cid:durableId="1665667487">
    <w:abstractNumId w:val="102"/>
  </w:num>
  <w:num w:numId="20" w16cid:durableId="1213033552">
    <w:abstractNumId w:val="12"/>
  </w:num>
  <w:num w:numId="21" w16cid:durableId="1509952227">
    <w:abstractNumId w:val="139"/>
  </w:num>
  <w:num w:numId="22" w16cid:durableId="682588737">
    <w:abstractNumId w:val="152"/>
  </w:num>
  <w:num w:numId="23" w16cid:durableId="551042301">
    <w:abstractNumId w:val="169"/>
  </w:num>
  <w:num w:numId="24" w16cid:durableId="2066759279">
    <w:abstractNumId w:val="174"/>
  </w:num>
  <w:num w:numId="25" w16cid:durableId="72049085">
    <w:abstractNumId w:val="141"/>
  </w:num>
  <w:num w:numId="26" w16cid:durableId="22681341">
    <w:abstractNumId w:val="75"/>
  </w:num>
  <w:num w:numId="27" w16cid:durableId="407652734">
    <w:abstractNumId w:val="93"/>
  </w:num>
  <w:num w:numId="28" w16cid:durableId="1842576178">
    <w:abstractNumId w:val="15"/>
  </w:num>
  <w:num w:numId="29" w16cid:durableId="1875188167">
    <w:abstractNumId w:val="46"/>
  </w:num>
  <w:num w:numId="30" w16cid:durableId="522669080">
    <w:abstractNumId w:val="182"/>
  </w:num>
  <w:num w:numId="31" w16cid:durableId="1330526901">
    <w:abstractNumId w:val="186"/>
  </w:num>
  <w:num w:numId="32" w16cid:durableId="1671446406">
    <w:abstractNumId w:val="118"/>
  </w:num>
  <w:num w:numId="33" w16cid:durableId="1021974896">
    <w:abstractNumId w:val="6"/>
  </w:num>
  <w:num w:numId="34" w16cid:durableId="1076629521">
    <w:abstractNumId w:val="19"/>
  </w:num>
  <w:num w:numId="35" w16cid:durableId="146286655">
    <w:abstractNumId w:val="101"/>
  </w:num>
  <w:num w:numId="36" w16cid:durableId="2007634511">
    <w:abstractNumId w:val="34"/>
  </w:num>
  <w:num w:numId="37" w16cid:durableId="390157999">
    <w:abstractNumId w:val="125"/>
  </w:num>
  <w:num w:numId="38" w16cid:durableId="1329943792">
    <w:abstractNumId w:val="84"/>
  </w:num>
  <w:num w:numId="39" w16cid:durableId="1789660267">
    <w:abstractNumId w:val="10"/>
  </w:num>
  <w:num w:numId="40" w16cid:durableId="1422022110">
    <w:abstractNumId w:val="150"/>
  </w:num>
  <w:num w:numId="41" w16cid:durableId="259027627">
    <w:abstractNumId w:val="135"/>
  </w:num>
  <w:num w:numId="42" w16cid:durableId="1532958959">
    <w:abstractNumId w:val="111"/>
  </w:num>
  <w:num w:numId="43" w16cid:durableId="1944453759">
    <w:abstractNumId w:val="155"/>
  </w:num>
  <w:num w:numId="44" w16cid:durableId="2135294351">
    <w:abstractNumId w:val="4"/>
  </w:num>
  <w:num w:numId="45" w16cid:durableId="1374499122">
    <w:abstractNumId w:val="5"/>
  </w:num>
  <w:num w:numId="46" w16cid:durableId="188029729">
    <w:abstractNumId w:val="188"/>
  </w:num>
  <w:num w:numId="47" w16cid:durableId="1116947703">
    <w:abstractNumId w:val="180"/>
  </w:num>
  <w:num w:numId="48" w16cid:durableId="293219002">
    <w:abstractNumId w:val="149"/>
  </w:num>
  <w:num w:numId="49" w16cid:durableId="1901863862">
    <w:abstractNumId w:val="99"/>
  </w:num>
  <w:num w:numId="50" w16cid:durableId="1198547066">
    <w:abstractNumId w:val="170"/>
  </w:num>
  <w:num w:numId="51" w16cid:durableId="1987204467">
    <w:abstractNumId w:val="165"/>
  </w:num>
  <w:num w:numId="52" w16cid:durableId="1803768768">
    <w:abstractNumId w:val="80"/>
  </w:num>
  <w:num w:numId="53" w16cid:durableId="239368911">
    <w:abstractNumId w:val="69"/>
  </w:num>
  <w:num w:numId="54" w16cid:durableId="2092964020">
    <w:abstractNumId w:val="162"/>
  </w:num>
  <w:num w:numId="55" w16cid:durableId="1418596722">
    <w:abstractNumId w:val="13"/>
  </w:num>
  <w:num w:numId="56" w16cid:durableId="529417568">
    <w:abstractNumId w:val="94"/>
  </w:num>
  <w:num w:numId="57" w16cid:durableId="92895887">
    <w:abstractNumId w:val="24"/>
  </w:num>
  <w:num w:numId="58" w16cid:durableId="871460368">
    <w:abstractNumId w:val="49"/>
  </w:num>
  <w:num w:numId="59" w16cid:durableId="1531526190">
    <w:abstractNumId w:val="145"/>
  </w:num>
  <w:num w:numId="60" w16cid:durableId="422070801">
    <w:abstractNumId w:val="59"/>
  </w:num>
  <w:num w:numId="61" w16cid:durableId="299499610">
    <w:abstractNumId w:val="48"/>
  </w:num>
  <w:num w:numId="62" w16cid:durableId="835923290">
    <w:abstractNumId w:val="20"/>
  </w:num>
  <w:num w:numId="63" w16cid:durableId="746266614">
    <w:abstractNumId w:val="140"/>
  </w:num>
  <w:num w:numId="64" w16cid:durableId="1584873294">
    <w:abstractNumId w:val="103"/>
  </w:num>
  <w:num w:numId="65" w16cid:durableId="743918275">
    <w:abstractNumId w:val="126"/>
  </w:num>
  <w:num w:numId="66" w16cid:durableId="936401865">
    <w:abstractNumId w:val="185"/>
  </w:num>
  <w:num w:numId="67" w16cid:durableId="1713185227">
    <w:abstractNumId w:val="62"/>
  </w:num>
  <w:num w:numId="68" w16cid:durableId="2110662850">
    <w:abstractNumId w:val="110"/>
  </w:num>
  <w:num w:numId="69" w16cid:durableId="1260410252">
    <w:abstractNumId w:val="38"/>
  </w:num>
  <w:num w:numId="70" w16cid:durableId="1275213654">
    <w:abstractNumId w:val="43"/>
  </w:num>
  <w:num w:numId="71" w16cid:durableId="839195790">
    <w:abstractNumId w:val="63"/>
  </w:num>
  <w:num w:numId="72" w16cid:durableId="2110001476">
    <w:abstractNumId w:val="55"/>
  </w:num>
  <w:num w:numId="73" w16cid:durableId="141507608">
    <w:abstractNumId w:val="56"/>
  </w:num>
  <w:num w:numId="74" w16cid:durableId="2112121586">
    <w:abstractNumId w:val="42"/>
  </w:num>
  <w:num w:numId="75" w16cid:durableId="1876119274">
    <w:abstractNumId w:val="112"/>
  </w:num>
  <w:num w:numId="76" w16cid:durableId="1172455017">
    <w:abstractNumId w:val="35"/>
  </w:num>
  <w:num w:numId="77" w16cid:durableId="1051153304">
    <w:abstractNumId w:val="72"/>
  </w:num>
  <w:num w:numId="78" w16cid:durableId="143202594">
    <w:abstractNumId w:val="123"/>
  </w:num>
  <w:num w:numId="79" w16cid:durableId="1129471129">
    <w:abstractNumId w:val="37"/>
  </w:num>
  <w:num w:numId="80" w16cid:durableId="17587572">
    <w:abstractNumId w:val="161"/>
  </w:num>
  <w:num w:numId="81" w16cid:durableId="1072890860">
    <w:abstractNumId w:val="82"/>
  </w:num>
  <w:num w:numId="82" w16cid:durableId="457454490">
    <w:abstractNumId w:val="114"/>
  </w:num>
  <w:num w:numId="83" w16cid:durableId="1557735631">
    <w:abstractNumId w:val="124"/>
  </w:num>
  <w:num w:numId="84" w16cid:durableId="715129632">
    <w:abstractNumId w:val="134"/>
  </w:num>
  <w:num w:numId="85" w16cid:durableId="1757171345">
    <w:abstractNumId w:val="108"/>
  </w:num>
  <w:num w:numId="86" w16cid:durableId="1683243050">
    <w:abstractNumId w:val="143"/>
  </w:num>
  <w:num w:numId="87" w16cid:durableId="1784228179">
    <w:abstractNumId w:val="0"/>
  </w:num>
  <w:num w:numId="88" w16cid:durableId="1898079249">
    <w:abstractNumId w:val="88"/>
  </w:num>
  <w:num w:numId="89" w16cid:durableId="782458625">
    <w:abstractNumId w:val="3"/>
  </w:num>
  <w:num w:numId="90" w16cid:durableId="1925065858">
    <w:abstractNumId w:val="78"/>
  </w:num>
  <w:num w:numId="91" w16cid:durableId="304745369">
    <w:abstractNumId w:val="25"/>
  </w:num>
  <w:num w:numId="92" w16cid:durableId="154732593">
    <w:abstractNumId w:val="96"/>
  </w:num>
  <w:num w:numId="93" w16cid:durableId="2136755798">
    <w:abstractNumId w:val="21"/>
  </w:num>
  <w:num w:numId="94" w16cid:durableId="1606883799">
    <w:abstractNumId w:val="17"/>
  </w:num>
  <w:num w:numId="95" w16cid:durableId="112403585">
    <w:abstractNumId w:val="40"/>
  </w:num>
  <w:num w:numId="96" w16cid:durableId="1305744556">
    <w:abstractNumId w:val="98"/>
  </w:num>
  <w:num w:numId="97" w16cid:durableId="2042896163">
    <w:abstractNumId w:val="107"/>
  </w:num>
  <w:num w:numId="98" w16cid:durableId="799760978">
    <w:abstractNumId w:val="158"/>
  </w:num>
  <w:num w:numId="99" w16cid:durableId="2110008592">
    <w:abstractNumId w:val="160"/>
  </w:num>
  <w:num w:numId="100" w16cid:durableId="1752851857">
    <w:abstractNumId w:val="61"/>
  </w:num>
  <w:num w:numId="101" w16cid:durableId="464083538">
    <w:abstractNumId w:val="95"/>
  </w:num>
  <w:num w:numId="102" w16cid:durableId="1122110427">
    <w:abstractNumId w:val="176"/>
  </w:num>
  <w:num w:numId="103" w16cid:durableId="2126578783">
    <w:abstractNumId w:val="156"/>
  </w:num>
  <w:num w:numId="104" w16cid:durableId="1008673932">
    <w:abstractNumId w:val="100"/>
  </w:num>
  <w:num w:numId="105" w16cid:durableId="1625962149">
    <w:abstractNumId w:val="50"/>
  </w:num>
  <w:num w:numId="106" w16cid:durableId="1525434106">
    <w:abstractNumId w:val="52"/>
  </w:num>
  <w:num w:numId="107" w16cid:durableId="1079406695">
    <w:abstractNumId w:val="137"/>
  </w:num>
  <w:num w:numId="108" w16cid:durableId="1645116449">
    <w:abstractNumId w:val="109"/>
  </w:num>
  <w:num w:numId="109" w16cid:durableId="534008223">
    <w:abstractNumId w:val="29"/>
  </w:num>
  <w:num w:numId="110" w16cid:durableId="1359038536">
    <w:abstractNumId w:val="179"/>
  </w:num>
  <w:num w:numId="111" w16cid:durableId="637564354">
    <w:abstractNumId w:val="168"/>
  </w:num>
  <w:num w:numId="112" w16cid:durableId="1841653961">
    <w:abstractNumId w:val="53"/>
  </w:num>
  <w:num w:numId="113" w16cid:durableId="1701121530">
    <w:abstractNumId w:val="166"/>
  </w:num>
  <w:num w:numId="114" w16cid:durableId="1467311952">
    <w:abstractNumId w:val="83"/>
  </w:num>
  <w:num w:numId="115" w16cid:durableId="2114085068">
    <w:abstractNumId w:val="81"/>
  </w:num>
  <w:num w:numId="116" w16cid:durableId="189800061">
    <w:abstractNumId w:val="144"/>
  </w:num>
  <w:num w:numId="117" w16cid:durableId="1409109526">
    <w:abstractNumId w:val="147"/>
  </w:num>
  <w:num w:numId="118" w16cid:durableId="1666394667">
    <w:abstractNumId w:val="2"/>
  </w:num>
  <w:num w:numId="119" w16cid:durableId="464978857">
    <w:abstractNumId w:val="47"/>
  </w:num>
  <w:num w:numId="120" w16cid:durableId="1729838005">
    <w:abstractNumId w:val="133"/>
  </w:num>
  <w:num w:numId="121" w16cid:durableId="1635713930">
    <w:abstractNumId w:val="14"/>
  </w:num>
  <w:num w:numId="122" w16cid:durableId="360130768">
    <w:abstractNumId w:val="146"/>
  </w:num>
  <w:num w:numId="123" w16cid:durableId="1213924171">
    <w:abstractNumId w:val="18"/>
  </w:num>
  <w:num w:numId="124" w16cid:durableId="675885338">
    <w:abstractNumId w:val="136"/>
  </w:num>
  <w:num w:numId="125" w16cid:durableId="2037926694">
    <w:abstractNumId w:val="71"/>
  </w:num>
  <w:num w:numId="126" w16cid:durableId="1459300360">
    <w:abstractNumId w:val="7"/>
  </w:num>
  <w:num w:numId="127" w16cid:durableId="2081050216">
    <w:abstractNumId w:val="73"/>
  </w:num>
  <w:num w:numId="128" w16cid:durableId="1674335647">
    <w:abstractNumId w:val="11"/>
  </w:num>
  <w:num w:numId="129" w16cid:durableId="1549759231">
    <w:abstractNumId w:val="178"/>
  </w:num>
  <w:num w:numId="130" w16cid:durableId="1977181285">
    <w:abstractNumId w:val="97"/>
  </w:num>
  <w:num w:numId="131" w16cid:durableId="1618675703">
    <w:abstractNumId w:val="85"/>
  </w:num>
  <w:num w:numId="132" w16cid:durableId="1254699935">
    <w:abstractNumId w:val="32"/>
  </w:num>
  <w:num w:numId="133" w16cid:durableId="846167519">
    <w:abstractNumId w:val="187"/>
  </w:num>
  <w:num w:numId="134" w16cid:durableId="638271441">
    <w:abstractNumId w:val="184"/>
  </w:num>
  <w:num w:numId="135" w16cid:durableId="1433477422">
    <w:abstractNumId w:val="68"/>
  </w:num>
  <w:num w:numId="136" w16cid:durableId="1030257488">
    <w:abstractNumId w:val="177"/>
  </w:num>
  <w:num w:numId="137" w16cid:durableId="1742753422">
    <w:abstractNumId w:val="171"/>
  </w:num>
  <w:num w:numId="138" w16cid:durableId="1743406678">
    <w:abstractNumId w:val="54"/>
  </w:num>
  <w:num w:numId="139" w16cid:durableId="1579056140">
    <w:abstractNumId w:val="91"/>
  </w:num>
  <w:num w:numId="140" w16cid:durableId="1995180445">
    <w:abstractNumId w:val="23"/>
  </w:num>
  <w:num w:numId="141" w16cid:durableId="1212153930">
    <w:abstractNumId w:val="128"/>
  </w:num>
  <w:num w:numId="142" w16cid:durableId="840195011">
    <w:abstractNumId w:val="31"/>
  </w:num>
  <w:num w:numId="143" w16cid:durableId="1431004547">
    <w:abstractNumId w:val="41"/>
  </w:num>
  <w:num w:numId="144" w16cid:durableId="111362846">
    <w:abstractNumId w:val="26"/>
  </w:num>
  <w:num w:numId="145" w16cid:durableId="927882565">
    <w:abstractNumId w:val="138"/>
  </w:num>
  <w:num w:numId="146" w16cid:durableId="1913732751">
    <w:abstractNumId w:val="113"/>
  </w:num>
  <w:num w:numId="147" w16cid:durableId="2027905443">
    <w:abstractNumId w:val="16"/>
  </w:num>
  <w:num w:numId="148" w16cid:durableId="1148665628">
    <w:abstractNumId w:val="132"/>
  </w:num>
  <w:num w:numId="149" w16cid:durableId="1867331827">
    <w:abstractNumId w:val="8"/>
  </w:num>
  <w:num w:numId="150" w16cid:durableId="6643706">
    <w:abstractNumId w:val="77"/>
  </w:num>
  <w:num w:numId="151" w16cid:durableId="1194879740">
    <w:abstractNumId w:val="44"/>
  </w:num>
  <w:num w:numId="152" w16cid:durableId="180512513">
    <w:abstractNumId w:val="30"/>
  </w:num>
  <w:num w:numId="153" w16cid:durableId="1317494714">
    <w:abstractNumId w:val="127"/>
  </w:num>
  <w:num w:numId="154" w16cid:durableId="795215644">
    <w:abstractNumId w:val="79"/>
  </w:num>
  <w:num w:numId="155" w16cid:durableId="1743602641">
    <w:abstractNumId w:val="22"/>
  </w:num>
  <w:num w:numId="156" w16cid:durableId="1875386657">
    <w:abstractNumId w:val="70"/>
  </w:num>
  <w:num w:numId="157" w16cid:durableId="842747666">
    <w:abstractNumId w:val="90"/>
  </w:num>
  <w:num w:numId="158" w16cid:durableId="1020933191">
    <w:abstractNumId w:val="74"/>
  </w:num>
  <w:num w:numId="159" w16cid:durableId="1165045909">
    <w:abstractNumId w:val="28"/>
  </w:num>
  <w:num w:numId="160" w16cid:durableId="96682445">
    <w:abstractNumId w:val="33"/>
  </w:num>
  <w:num w:numId="161" w16cid:durableId="1211920530">
    <w:abstractNumId w:val="131"/>
  </w:num>
  <w:num w:numId="162" w16cid:durableId="809059516">
    <w:abstractNumId w:val="45"/>
  </w:num>
  <w:num w:numId="163" w16cid:durableId="1522737668">
    <w:abstractNumId w:val="60"/>
  </w:num>
  <w:num w:numId="164" w16cid:durableId="1859272526">
    <w:abstractNumId w:val="153"/>
  </w:num>
  <w:num w:numId="165" w16cid:durableId="645550223">
    <w:abstractNumId w:val="121"/>
  </w:num>
  <w:num w:numId="166" w16cid:durableId="237178769">
    <w:abstractNumId w:val="117"/>
  </w:num>
  <w:num w:numId="167" w16cid:durableId="939021695">
    <w:abstractNumId w:val="58"/>
  </w:num>
  <w:num w:numId="168" w16cid:durableId="290139369">
    <w:abstractNumId w:val="66"/>
  </w:num>
  <w:num w:numId="169" w16cid:durableId="1042175089">
    <w:abstractNumId w:val="116"/>
  </w:num>
  <w:num w:numId="170" w16cid:durableId="1408843421">
    <w:abstractNumId w:val="142"/>
  </w:num>
  <w:num w:numId="171" w16cid:durableId="1379891074">
    <w:abstractNumId w:val="173"/>
  </w:num>
  <w:num w:numId="172" w16cid:durableId="437987331">
    <w:abstractNumId w:val="76"/>
  </w:num>
  <w:num w:numId="173" w16cid:durableId="433063374">
    <w:abstractNumId w:val="122"/>
  </w:num>
  <w:num w:numId="174" w16cid:durableId="1818378456">
    <w:abstractNumId w:val="129"/>
  </w:num>
  <w:num w:numId="175" w16cid:durableId="917834331">
    <w:abstractNumId w:val="1"/>
  </w:num>
  <w:num w:numId="176" w16cid:durableId="1112092218">
    <w:abstractNumId w:val="64"/>
  </w:num>
  <w:num w:numId="177" w16cid:durableId="1627273443">
    <w:abstractNumId w:val="67"/>
  </w:num>
  <w:num w:numId="178" w16cid:durableId="1151678583">
    <w:abstractNumId w:val="154"/>
  </w:num>
  <w:num w:numId="179" w16cid:durableId="2013410419">
    <w:abstractNumId w:val="164"/>
  </w:num>
  <w:num w:numId="180" w16cid:durableId="976254306">
    <w:abstractNumId w:val="175"/>
  </w:num>
  <w:num w:numId="181" w16cid:durableId="150677908">
    <w:abstractNumId w:val="119"/>
  </w:num>
  <w:num w:numId="182" w16cid:durableId="1274824552">
    <w:abstractNumId w:val="39"/>
  </w:num>
  <w:num w:numId="183" w16cid:durableId="932667221">
    <w:abstractNumId w:val="183"/>
  </w:num>
  <w:num w:numId="184" w16cid:durableId="875392433">
    <w:abstractNumId w:val="148"/>
  </w:num>
  <w:num w:numId="185" w16cid:durableId="1420255878">
    <w:abstractNumId w:val="157"/>
  </w:num>
  <w:num w:numId="186" w16cid:durableId="1352293916">
    <w:abstractNumId w:val="27"/>
  </w:num>
  <w:num w:numId="187" w16cid:durableId="471287114">
    <w:abstractNumId w:val="151"/>
  </w:num>
  <w:num w:numId="188" w16cid:durableId="40331961">
    <w:abstractNumId w:val="36"/>
  </w:num>
  <w:num w:numId="189" w16cid:durableId="1902597392">
    <w:abstractNumId w:val="9"/>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9D"/>
    <w:rsid w:val="00000A0D"/>
    <w:rsid w:val="00000C21"/>
    <w:rsid w:val="0000181B"/>
    <w:rsid w:val="00002DE3"/>
    <w:rsid w:val="000039BD"/>
    <w:rsid w:val="00006BC0"/>
    <w:rsid w:val="000073CA"/>
    <w:rsid w:val="00007A2A"/>
    <w:rsid w:val="0001133A"/>
    <w:rsid w:val="000139A2"/>
    <w:rsid w:val="0001460A"/>
    <w:rsid w:val="00015521"/>
    <w:rsid w:val="000163CA"/>
    <w:rsid w:val="00022C69"/>
    <w:rsid w:val="000236AD"/>
    <w:rsid w:val="00025BD6"/>
    <w:rsid w:val="00027780"/>
    <w:rsid w:val="0003063C"/>
    <w:rsid w:val="0003385B"/>
    <w:rsid w:val="000340AC"/>
    <w:rsid w:val="00034E9B"/>
    <w:rsid w:val="00035487"/>
    <w:rsid w:val="00035AD5"/>
    <w:rsid w:val="00035C6C"/>
    <w:rsid w:val="00036D2B"/>
    <w:rsid w:val="000371E7"/>
    <w:rsid w:val="000379D1"/>
    <w:rsid w:val="000404C5"/>
    <w:rsid w:val="000406EF"/>
    <w:rsid w:val="0004143D"/>
    <w:rsid w:val="00041665"/>
    <w:rsid w:val="000418C3"/>
    <w:rsid w:val="00042358"/>
    <w:rsid w:val="00043EE8"/>
    <w:rsid w:val="00044DB7"/>
    <w:rsid w:val="000474C9"/>
    <w:rsid w:val="00051457"/>
    <w:rsid w:val="0005255D"/>
    <w:rsid w:val="00052C1F"/>
    <w:rsid w:val="00055EC0"/>
    <w:rsid w:val="00057459"/>
    <w:rsid w:val="00060F16"/>
    <w:rsid w:val="000610A7"/>
    <w:rsid w:val="00061254"/>
    <w:rsid w:val="000628CD"/>
    <w:rsid w:val="00062AE8"/>
    <w:rsid w:val="0006357D"/>
    <w:rsid w:val="00064DD4"/>
    <w:rsid w:val="00064FC4"/>
    <w:rsid w:val="0006548F"/>
    <w:rsid w:val="0006774D"/>
    <w:rsid w:val="0007005C"/>
    <w:rsid w:val="00070249"/>
    <w:rsid w:val="00070FE7"/>
    <w:rsid w:val="00072041"/>
    <w:rsid w:val="00073544"/>
    <w:rsid w:val="0007485C"/>
    <w:rsid w:val="00074A73"/>
    <w:rsid w:val="00074B6A"/>
    <w:rsid w:val="00075D13"/>
    <w:rsid w:val="00075DA7"/>
    <w:rsid w:val="00076B11"/>
    <w:rsid w:val="00077C61"/>
    <w:rsid w:val="0008025A"/>
    <w:rsid w:val="000837D5"/>
    <w:rsid w:val="00083C08"/>
    <w:rsid w:val="000841F4"/>
    <w:rsid w:val="00087529"/>
    <w:rsid w:val="00091EAA"/>
    <w:rsid w:val="00094227"/>
    <w:rsid w:val="00095533"/>
    <w:rsid w:val="000955B0"/>
    <w:rsid w:val="00096BA4"/>
    <w:rsid w:val="00097344"/>
    <w:rsid w:val="000974D5"/>
    <w:rsid w:val="00097986"/>
    <w:rsid w:val="000A00A7"/>
    <w:rsid w:val="000A0539"/>
    <w:rsid w:val="000A13BC"/>
    <w:rsid w:val="000A3305"/>
    <w:rsid w:val="000A3F67"/>
    <w:rsid w:val="000A69AE"/>
    <w:rsid w:val="000A7A3B"/>
    <w:rsid w:val="000B0BF6"/>
    <w:rsid w:val="000B0EB3"/>
    <w:rsid w:val="000B115E"/>
    <w:rsid w:val="000B2A68"/>
    <w:rsid w:val="000B2CA5"/>
    <w:rsid w:val="000B36D5"/>
    <w:rsid w:val="000B45CB"/>
    <w:rsid w:val="000B5B7B"/>
    <w:rsid w:val="000C0860"/>
    <w:rsid w:val="000C117B"/>
    <w:rsid w:val="000C2C94"/>
    <w:rsid w:val="000C2D2B"/>
    <w:rsid w:val="000C371A"/>
    <w:rsid w:val="000C49AF"/>
    <w:rsid w:val="000C6337"/>
    <w:rsid w:val="000C7679"/>
    <w:rsid w:val="000C7EF3"/>
    <w:rsid w:val="000D0810"/>
    <w:rsid w:val="000D19EC"/>
    <w:rsid w:val="000D47BB"/>
    <w:rsid w:val="000D4B34"/>
    <w:rsid w:val="000D5B50"/>
    <w:rsid w:val="000D7EAB"/>
    <w:rsid w:val="000E11AB"/>
    <w:rsid w:val="000E35E6"/>
    <w:rsid w:val="000E413E"/>
    <w:rsid w:val="000E606F"/>
    <w:rsid w:val="000E6C2A"/>
    <w:rsid w:val="000E78AE"/>
    <w:rsid w:val="000F0B1D"/>
    <w:rsid w:val="000F1420"/>
    <w:rsid w:val="000F1443"/>
    <w:rsid w:val="000F1E49"/>
    <w:rsid w:val="000F22FE"/>
    <w:rsid w:val="000F27FA"/>
    <w:rsid w:val="000F4C1F"/>
    <w:rsid w:val="000F5942"/>
    <w:rsid w:val="000F5F48"/>
    <w:rsid w:val="000F7B7A"/>
    <w:rsid w:val="001014DB"/>
    <w:rsid w:val="001034C5"/>
    <w:rsid w:val="00103F9D"/>
    <w:rsid w:val="001041D7"/>
    <w:rsid w:val="001044AE"/>
    <w:rsid w:val="00104C7B"/>
    <w:rsid w:val="00105479"/>
    <w:rsid w:val="001059D3"/>
    <w:rsid w:val="00106904"/>
    <w:rsid w:val="00106AC5"/>
    <w:rsid w:val="00106CC4"/>
    <w:rsid w:val="001071DE"/>
    <w:rsid w:val="001075D7"/>
    <w:rsid w:val="00107BDA"/>
    <w:rsid w:val="00107E2C"/>
    <w:rsid w:val="001123E1"/>
    <w:rsid w:val="001135EC"/>
    <w:rsid w:val="0011375D"/>
    <w:rsid w:val="0011772F"/>
    <w:rsid w:val="0012015E"/>
    <w:rsid w:val="001205F4"/>
    <w:rsid w:val="00122BDE"/>
    <w:rsid w:val="001233C7"/>
    <w:rsid w:val="0012455B"/>
    <w:rsid w:val="00124BCC"/>
    <w:rsid w:val="0012536F"/>
    <w:rsid w:val="00125AB3"/>
    <w:rsid w:val="00126718"/>
    <w:rsid w:val="00126BA9"/>
    <w:rsid w:val="001304CB"/>
    <w:rsid w:val="00130C64"/>
    <w:rsid w:val="001317C0"/>
    <w:rsid w:val="00133F3C"/>
    <w:rsid w:val="00134B41"/>
    <w:rsid w:val="001409AB"/>
    <w:rsid w:val="001419EB"/>
    <w:rsid w:val="0014441F"/>
    <w:rsid w:val="001452A2"/>
    <w:rsid w:val="00145B68"/>
    <w:rsid w:val="00145EB4"/>
    <w:rsid w:val="00146821"/>
    <w:rsid w:val="001471B0"/>
    <w:rsid w:val="00151568"/>
    <w:rsid w:val="00152E53"/>
    <w:rsid w:val="00154005"/>
    <w:rsid w:val="00154CA2"/>
    <w:rsid w:val="00155605"/>
    <w:rsid w:val="00155FFE"/>
    <w:rsid w:val="00156359"/>
    <w:rsid w:val="00156B59"/>
    <w:rsid w:val="0016013F"/>
    <w:rsid w:val="00160179"/>
    <w:rsid w:val="00161DED"/>
    <w:rsid w:val="00162462"/>
    <w:rsid w:val="00162EFB"/>
    <w:rsid w:val="0016389E"/>
    <w:rsid w:val="00163E4E"/>
    <w:rsid w:val="00164038"/>
    <w:rsid w:val="00164458"/>
    <w:rsid w:val="00165A30"/>
    <w:rsid w:val="001706FE"/>
    <w:rsid w:val="0017191B"/>
    <w:rsid w:val="00171C93"/>
    <w:rsid w:val="00172E8E"/>
    <w:rsid w:val="00174030"/>
    <w:rsid w:val="00174F5F"/>
    <w:rsid w:val="00175615"/>
    <w:rsid w:val="001767BE"/>
    <w:rsid w:val="00176CD5"/>
    <w:rsid w:val="00177B20"/>
    <w:rsid w:val="001809A6"/>
    <w:rsid w:val="00180A36"/>
    <w:rsid w:val="00180CC6"/>
    <w:rsid w:val="0018191A"/>
    <w:rsid w:val="00182629"/>
    <w:rsid w:val="00183070"/>
    <w:rsid w:val="001843E8"/>
    <w:rsid w:val="00185398"/>
    <w:rsid w:val="00186BBC"/>
    <w:rsid w:val="0018798C"/>
    <w:rsid w:val="001908FB"/>
    <w:rsid w:val="001910EF"/>
    <w:rsid w:val="001918C4"/>
    <w:rsid w:val="00191DF2"/>
    <w:rsid w:val="00194D24"/>
    <w:rsid w:val="001951D9"/>
    <w:rsid w:val="00195983"/>
    <w:rsid w:val="00196E8B"/>
    <w:rsid w:val="00196FDA"/>
    <w:rsid w:val="001A04BE"/>
    <w:rsid w:val="001A1093"/>
    <w:rsid w:val="001A1105"/>
    <w:rsid w:val="001A3F8D"/>
    <w:rsid w:val="001A43FC"/>
    <w:rsid w:val="001A4B84"/>
    <w:rsid w:val="001A4C9F"/>
    <w:rsid w:val="001A55D3"/>
    <w:rsid w:val="001A7386"/>
    <w:rsid w:val="001B03B2"/>
    <w:rsid w:val="001B0C24"/>
    <w:rsid w:val="001B2A8A"/>
    <w:rsid w:val="001B457B"/>
    <w:rsid w:val="001B4855"/>
    <w:rsid w:val="001B55EB"/>
    <w:rsid w:val="001B66F3"/>
    <w:rsid w:val="001B75F0"/>
    <w:rsid w:val="001C0095"/>
    <w:rsid w:val="001C0ABD"/>
    <w:rsid w:val="001C0ECF"/>
    <w:rsid w:val="001C12A7"/>
    <w:rsid w:val="001C1FA0"/>
    <w:rsid w:val="001C21ED"/>
    <w:rsid w:val="001C2611"/>
    <w:rsid w:val="001C3F5B"/>
    <w:rsid w:val="001C4204"/>
    <w:rsid w:val="001C6D24"/>
    <w:rsid w:val="001C7439"/>
    <w:rsid w:val="001D0539"/>
    <w:rsid w:val="001D1E53"/>
    <w:rsid w:val="001D2554"/>
    <w:rsid w:val="001D2E87"/>
    <w:rsid w:val="001D30B0"/>
    <w:rsid w:val="001D3F3F"/>
    <w:rsid w:val="001D7BD8"/>
    <w:rsid w:val="001E100D"/>
    <w:rsid w:val="001E16EE"/>
    <w:rsid w:val="001E18F7"/>
    <w:rsid w:val="001E24A1"/>
    <w:rsid w:val="001E2C3B"/>
    <w:rsid w:val="001E32B1"/>
    <w:rsid w:val="001E3897"/>
    <w:rsid w:val="001E4443"/>
    <w:rsid w:val="001E583A"/>
    <w:rsid w:val="001E5AB6"/>
    <w:rsid w:val="001E5BE7"/>
    <w:rsid w:val="001F18E3"/>
    <w:rsid w:val="001F1954"/>
    <w:rsid w:val="001F1B0D"/>
    <w:rsid w:val="001F266B"/>
    <w:rsid w:val="001F2E12"/>
    <w:rsid w:val="001F6DF1"/>
    <w:rsid w:val="001F7CD2"/>
    <w:rsid w:val="0020117E"/>
    <w:rsid w:val="00201AC5"/>
    <w:rsid w:val="00202747"/>
    <w:rsid w:val="00202F3C"/>
    <w:rsid w:val="00204A26"/>
    <w:rsid w:val="00205EB3"/>
    <w:rsid w:val="0020695C"/>
    <w:rsid w:val="00206F49"/>
    <w:rsid w:val="002073AB"/>
    <w:rsid w:val="00210180"/>
    <w:rsid w:val="00212532"/>
    <w:rsid w:val="0021261C"/>
    <w:rsid w:val="00215986"/>
    <w:rsid w:val="002169B3"/>
    <w:rsid w:val="00222AB6"/>
    <w:rsid w:val="00222ABA"/>
    <w:rsid w:val="002255B3"/>
    <w:rsid w:val="00225F66"/>
    <w:rsid w:val="002278C4"/>
    <w:rsid w:val="00227A16"/>
    <w:rsid w:val="002356FB"/>
    <w:rsid w:val="002366A3"/>
    <w:rsid w:val="002368C4"/>
    <w:rsid w:val="00240E33"/>
    <w:rsid w:val="00241183"/>
    <w:rsid w:val="00242171"/>
    <w:rsid w:val="0024280E"/>
    <w:rsid w:val="00242883"/>
    <w:rsid w:val="00243E69"/>
    <w:rsid w:val="002445E6"/>
    <w:rsid w:val="0024585E"/>
    <w:rsid w:val="002470C1"/>
    <w:rsid w:val="002473B3"/>
    <w:rsid w:val="002473EA"/>
    <w:rsid w:val="00247996"/>
    <w:rsid w:val="002501DA"/>
    <w:rsid w:val="0025048F"/>
    <w:rsid w:val="00250A35"/>
    <w:rsid w:val="00251BD2"/>
    <w:rsid w:val="00252216"/>
    <w:rsid w:val="00252A67"/>
    <w:rsid w:val="00253618"/>
    <w:rsid w:val="00253E48"/>
    <w:rsid w:val="00254346"/>
    <w:rsid w:val="002559E8"/>
    <w:rsid w:val="00255FFA"/>
    <w:rsid w:val="00257121"/>
    <w:rsid w:val="00262569"/>
    <w:rsid w:val="0027110E"/>
    <w:rsid w:val="002731D9"/>
    <w:rsid w:val="00273DDC"/>
    <w:rsid w:val="00273FCF"/>
    <w:rsid w:val="002756FA"/>
    <w:rsid w:val="00275D11"/>
    <w:rsid w:val="0027679B"/>
    <w:rsid w:val="002802A5"/>
    <w:rsid w:val="00281454"/>
    <w:rsid w:val="002829E3"/>
    <w:rsid w:val="00282E38"/>
    <w:rsid w:val="002830FB"/>
    <w:rsid w:val="002844ED"/>
    <w:rsid w:val="0028485D"/>
    <w:rsid w:val="00284B0A"/>
    <w:rsid w:val="0028590E"/>
    <w:rsid w:val="0028614A"/>
    <w:rsid w:val="00286A20"/>
    <w:rsid w:val="002902A8"/>
    <w:rsid w:val="00290C03"/>
    <w:rsid w:val="00290F1B"/>
    <w:rsid w:val="0029136B"/>
    <w:rsid w:val="00292E74"/>
    <w:rsid w:val="002A09BB"/>
    <w:rsid w:val="002A12B3"/>
    <w:rsid w:val="002A36C4"/>
    <w:rsid w:val="002A3DC8"/>
    <w:rsid w:val="002A6597"/>
    <w:rsid w:val="002B396F"/>
    <w:rsid w:val="002B3E88"/>
    <w:rsid w:val="002B4D5C"/>
    <w:rsid w:val="002B5A84"/>
    <w:rsid w:val="002B622D"/>
    <w:rsid w:val="002B65BB"/>
    <w:rsid w:val="002B73CF"/>
    <w:rsid w:val="002B7516"/>
    <w:rsid w:val="002B79C5"/>
    <w:rsid w:val="002C0111"/>
    <w:rsid w:val="002C1CC6"/>
    <w:rsid w:val="002C2813"/>
    <w:rsid w:val="002C46F4"/>
    <w:rsid w:val="002C4FF7"/>
    <w:rsid w:val="002C6443"/>
    <w:rsid w:val="002C6865"/>
    <w:rsid w:val="002C73C7"/>
    <w:rsid w:val="002D239C"/>
    <w:rsid w:val="002D2B62"/>
    <w:rsid w:val="002D2F0D"/>
    <w:rsid w:val="002D4F89"/>
    <w:rsid w:val="002E0A2E"/>
    <w:rsid w:val="002E1583"/>
    <w:rsid w:val="002E2E6C"/>
    <w:rsid w:val="002E328D"/>
    <w:rsid w:val="002E4BAB"/>
    <w:rsid w:val="002E6251"/>
    <w:rsid w:val="002F06D2"/>
    <w:rsid w:val="002F4FC3"/>
    <w:rsid w:val="002F5537"/>
    <w:rsid w:val="002F7568"/>
    <w:rsid w:val="002F7F47"/>
    <w:rsid w:val="0030181B"/>
    <w:rsid w:val="003021D2"/>
    <w:rsid w:val="003021F9"/>
    <w:rsid w:val="00302345"/>
    <w:rsid w:val="00303993"/>
    <w:rsid w:val="003044BC"/>
    <w:rsid w:val="00304865"/>
    <w:rsid w:val="00306713"/>
    <w:rsid w:val="0031047D"/>
    <w:rsid w:val="00311379"/>
    <w:rsid w:val="0031450C"/>
    <w:rsid w:val="00315DD5"/>
    <w:rsid w:val="00316917"/>
    <w:rsid w:val="00317321"/>
    <w:rsid w:val="00317643"/>
    <w:rsid w:val="00320A03"/>
    <w:rsid w:val="003229F4"/>
    <w:rsid w:val="0032363A"/>
    <w:rsid w:val="00324761"/>
    <w:rsid w:val="0032528C"/>
    <w:rsid w:val="00326ADB"/>
    <w:rsid w:val="00326FBC"/>
    <w:rsid w:val="00327FA1"/>
    <w:rsid w:val="00331E3C"/>
    <w:rsid w:val="00332257"/>
    <w:rsid w:val="00332564"/>
    <w:rsid w:val="003328F5"/>
    <w:rsid w:val="00332DC6"/>
    <w:rsid w:val="003330E4"/>
    <w:rsid w:val="003350DC"/>
    <w:rsid w:val="00335CC3"/>
    <w:rsid w:val="00335D6C"/>
    <w:rsid w:val="00336C9F"/>
    <w:rsid w:val="00336FEB"/>
    <w:rsid w:val="00337B0B"/>
    <w:rsid w:val="003412D1"/>
    <w:rsid w:val="0034245E"/>
    <w:rsid w:val="0034276A"/>
    <w:rsid w:val="0034354A"/>
    <w:rsid w:val="00344361"/>
    <w:rsid w:val="003447CE"/>
    <w:rsid w:val="00345749"/>
    <w:rsid w:val="00345E8D"/>
    <w:rsid w:val="003477C9"/>
    <w:rsid w:val="00347CBF"/>
    <w:rsid w:val="00354754"/>
    <w:rsid w:val="00356EDE"/>
    <w:rsid w:val="0035734B"/>
    <w:rsid w:val="00357F22"/>
    <w:rsid w:val="00360880"/>
    <w:rsid w:val="00361050"/>
    <w:rsid w:val="003611F4"/>
    <w:rsid w:val="0036250B"/>
    <w:rsid w:val="00366B29"/>
    <w:rsid w:val="00366FFF"/>
    <w:rsid w:val="0037062E"/>
    <w:rsid w:val="00370907"/>
    <w:rsid w:val="00370C1A"/>
    <w:rsid w:val="00373234"/>
    <w:rsid w:val="0037358D"/>
    <w:rsid w:val="00374FB7"/>
    <w:rsid w:val="00376766"/>
    <w:rsid w:val="00376FEF"/>
    <w:rsid w:val="00377348"/>
    <w:rsid w:val="003773EB"/>
    <w:rsid w:val="00382F2E"/>
    <w:rsid w:val="00383D2C"/>
    <w:rsid w:val="00383DCF"/>
    <w:rsid w:val="00386912"/>
    <w:rsid w:val="00386B4E"/>
    <w:rsid w:val="003903BF"/>
    <w:rsid w:val="00390F0E"/>
    <w:rsid w:val="00392453"/>
    <w:rsid w:val="003934E3"/>
    <w:rsid w:val="003941B7"/>
    <w:rsid w:val="00394DE9"/>
    <w:rsid w:val="00394EFA"/>
    <w:rsid w:val="00395C31"/>
    <w:rsid w:val="00395C4B"/>
    <w:rsid w:val="00397205"/>
    <w:rsid w:val="0039786E"/>
    <w:rsid w:val="003A0519"/>
    <w:rsid w:val="003A19C7"/>
    <w:rsid w:val="003A44AF"/>
    <w:rsid w:val="003A4AC0"/>
    <w:rsid w:val="003A58CC"/>
    <w:rsid w:val="003A5FE7"/>
    <w:rsid w:val="003A603C"/>
    <w:rsid w:val="003A6976"/>
    <w:rsid w:val="003A74C6"/>
    <w:rsid w:val="003A75B7"/>
    <w:rsid w:val="003B14FC"/>
    <w:rsid w:val="003B2442"/>
    <w:rsid w:val="003B335D"/>
    <w:rsid w:val="003B5088"/>
    <w:rsid w:val="003B5D7D"/>
    <w:rsid w:val="003B622F"/>
    <w:rsid w:val="003B6B94"/>
    <w:rsid w:val="003B7742"/>
    <w:rsid w:val="003C0569"/>
    <w:rsid w:val="003C071A"/>
    <w:rsid w:val="003C08A8"/>
    <w:rsid w:val="003C297D"/>
    <w:rsid w:val="003C2B92"/>
    <w:rsid w:val="003C34B8"/>
    <w:rsid w:val="003C3569"/>
    <w:rsid w:val="003C5F50"/>
    <w:rsid w:val="003C647C"/>
    <w:rsid w:val="003C78D0"/>
    <w:rsid w:val="003D1196"/>
    <w:rsid w:val="003D1420"/>
    <w:rsid w:val="003D1CAF"/>
    <w:rsid w:val="003D4653"/>
    <w:rsid w:val="003D4734"/>
    <w:rsid w:val="003D482E"/>
    <w:rsid w:val="003D4E78"/>
    <w:rsid w:val="003D54BF"/>
    <w:rsid w:val="003E01A2"/>
    <w:rsid w:val="003E048D"/>
    <w:rsid w:val="003E485E"/>
    <w:rsid w:val="003E4938"/>
    <w:rsid w:val="003E6449"/>
    <w:rsid w:val="003E6579"/>
    <w:rsid w:val="003E6951"/>
    <w:rsid w:val="003E744F"/>
    <w:rsid w:val="003E7552"/>
    <w:rsid w:val="003F0921"/>
    <w:rsid w:val="003F1C62"/>
    <w:rsid w:val="003F5B5E"/>
    <w:rsid w:val="004002FD"/>
    <w:rsid w:val="00403767"/>
    <w:rsid w:val="00403CE0"/>
    <w:rsid w:val="00404C44"/>
    <w:rsid w:val="00404F6A"/>
    <w:rsid w:val="004052FB"/>
    <w:rsid w:val="00405336"/>
    <w:rsid w:val="00405463"/>
    <w:rsid w:val="0040576A"/>
    <w:rsid w:val="004059B8"/>
    <w:rsid w:val="00406252"/>
    <w:rsid w:val="004062DA"/>
    <w:rsid w:val="00407396"/>
    <w:rsid w:val="004117FD"/>
    <w:rsid w:val="0041302F"/>
    <w:rsid w:val="00413129"/>
    <w:rsid w:val="00413C1D"/>
    <w:rsid w:val="004145E6"/>
    <w:rsid w:val="004151EB"/>
    <w:rsid w:val="00415D7C"/>
    <w:rsid w:val="00415F03"/>
    <w:rsid w:val="004177BB"/>
    <w:rsid w:val="004201B2"/>
    <w:rsid w:val="004204D8"/>
    <w:rsid w:val="00421AF4"/>
    <w:rsid w:val="00421F94"/>
    <w:rsid w:val="0042576A"/>
    <w:rsid w:val="00426548"/>
    <w:rsid w:val="00426BB2"/>
    <w:rsid w:val="00426F6E"/>
    <w:rsid w:val="00427389"/>
    <w:rsid w:val="00430274"/>
    <w:rsid w:val="0043110E"/>
    <w:rsid w:val="00432ACB"/>
    <w:rsid w:val="00432EE3"/>
    <w:rsid w:val="00432F3E"/>
    <w:rsid w:val="004354A7"/>
    <w:rsid w:val="00435BF5"/>
    <w:rsid w:val="004363F0"/>
    <w:rsid w:val="00436C43"/>
    <w:rsid w:val="00437380"/>
    <w:rsid w:val="00437755"/>
    <w:rsid w:val="004400FA"/>
    <w:rsid w:val="00441B52"/>
    <w:rsid w:val="00442AAC"/>
    <w:rsid w:val="00442B09"/>
    <w:rsid w:val="00442DF2"/>
    <w:rsid w:val="0044434F"/>
    <w:rsid w:val="0044474A"/>
    <w:rsid w:val="00445320"/>
    <w:rsid w:val="00445A00"/>
    <w:rsid w:val="00447408"/>
    <w:rsid w:val="00447CB7"/>
    <w:rsid w:val="004515D6"/>
    <w:rsid w:val="00452739"/>
    <w:rsid w:val="00452C36"/>
    <w:rsid w:val="004536E2"/>
    <w:rsid w:val="004537E8"/>
    <w:rsid w:val="00454B59"/>
    <w:rsid w:val="00454CFE"/>
    <w:rsid w:val="00455458"/>
    <w:rsid w:val="004557B2"/>
    <w:rsid w:val="004562B0"/>
    <w:rsid w:val="00456366"/>
    <w:rsid w:val="00456CEE"/>
    <w:rsid w:val="004574EA"/>
    <w:rsid w:val="00457AF8"/>
    <w:rsid w:val="00457EDD"/>
    <w:rsid w:val="004616E2"/>
    <w:rsid w:val="00462DD3"/>
    <w:rsid w:val="0046394B"/>
    <w:rsid w:val="004649C5"/>
    <w:rsid w:val="0046595D"/>
    <w:rsid w:val="00465E8F"/>
    <w:rsid w:val="00465F4D"/>
    <w:rsid w:val="00466E6E"/>
    <w:rsid w:val="00466F91"/>
    <w:rsid w:val="0047093A"/>
    <w:rsid w:val="00473AE7"/>
    <w:rsid w:val="00473C5F"/>
    <w:rsid w:val="00473FCF"/>
    <w:rsid w:val="00477D2E"/>
    <w:rsid w:val="00477F70"/>
    <w:rsid w:val="0048048D"/>
    <w:rsid w:val="00480CE7"/>
    <w:rsid w:val="00481203"/>
    <w:rsid w:val="00481AA3"/>
    <w:rsid w:val="004820B2"/>
    <w:rsid w:val="00483F18"/>
    <w:rsid w:val="00484FAD"/>
    <w:rsid w:val="00485C71"/>
    <w:rsid w:val="004868A2"/>
    <w:rsid w:val="004906EA"/>
    <w:rsid w:val="004929F6"/>
    <w:rsid w:val="00493D28"/>
    <w:rsid w:val="00493D52"/>
    <w:rsid w:val="004968C6"/>
    <w:rsid w:val="004973FC"/>
    <w:rsid w:val="004A0C4B"/>
    <w:rsid w:val="004A2266"/>
    <w:rsid w:val="004A4620"/>
    <w:rsid w:val="004A47A2"/>
    <w:rsid w:val="004A48E9"/>
    <w:rsid w:val="004A5E68"/>
    <w:rsid w:val="004B10A5"/>
    <w:rsid w:val="004B122B"/>
    <w:rsid w:val="004B22B3"/>
    <w:rsid w:val="004B3301"/>
    <w:rsid w:val="004B34B8"/>
    <w:rsid w:val="004B6C7F"/>
    <w:rsid w:val="004B6CAD"/>
    <w:rsid w:val="004B6F36"/>
    <w:rsid w:val="004B78E4"/>
    <w:rsid w:val="004B7FF8"/>
    <w:rsid w:val="004C04B2"/>
    <w:rsid w:val="004C137F"/>
    <w:rsid w:val="004C1845"/>
    <w:rsid w:val="004C222C"/>
    <w:rsid w:val="004C3323"/>
    <w:rsid w:val="004C52FC"/>
    <w:rsid w:val="004C56FF"/>
    <w:rsid w:val="004C6498"/>
    <w:rsid w:val="004C7C5F"/>
    <w:rsid w:val="004C7EB3"/>
    <w:rsid w:val="004C7F2E"/>
    <w:rsid w:val="004D02DA"/>
    <w:rsid w:val="004D0F23"/>
    <w:rsid w:val="004D2605"/>
    <w:rsid w:val="004D4B0F"/>
    <w:rsid w:val="004D5CB0"/>
    <w:rsid w:val="004D681A"/>
    <w:rsid w:val="004D771E"/>
    <w:rsid w:val="004E03D0"/>
    <w:rsid w:val="004E14C5"/>
    <w:rsid w:val="004E1EFC"/>
    <w:rsid w:val="004E4301"/>
    <w:rsid w:val="004E4546"/>
    <w:rsid w:val="004E79C4"/>
    <w:rsid w:val="004F020A"/>
    <w:rsid w:val="004F0878"/>
    <w:rsid w:val="004F3E73"/>
    <w:rsid w:val="004F4ED5"/>
    <w:rsid w:val="004F5DB1"/>
    <w:rsid w:val="004F6C34"/>
    <w:rsid w:val="005009E4"/>
    <w:rsid w:val="00500D67"/>
    <w:rsid w:val="00500D7E"/>
    <w:rsid w:val="00500FD5"/>
    <w:rsid w:val="00501378"/>
    <w:rsid w:val="0050148E"/>
    <w:rsid w:val="00501954"/>
    <w:rsid w:val="00504E1E"/>
    <w:rsid w:val="005055B2"/>
    <w:rsid w:val="00505897"/>
    <w:rsid w:val="00506009"/>
    <w:rsid w:val="00506EE1"/>
    <w:rsid w:val="005076A3"/>
    <w:rsid w:val="00507CD9"/>
    <w:rsid w:val="00507F26"/>
    <w:rsid w:val="00511A6C"/>
    <w:rsid w:val="00512E64"/>
    <w:rsid w:val="00513939"/>
    <w:rsid w:val="00516C57"/>
    <w:rsid w:val="00517473"/>
    <w:rsid w:val="0051770B"/>
    <w:rsid w:val="00517CB3"/>
    <w:rsid w:val="0052135B"/>
    <w:rsid w:val="005226D3"/>
    <w:rsid w:val="00524811"/>
    <w:rsid w:val="005253FB"/>
    <w:rsid w:val="00525AD1"/>
    <w:rsid w:val="005265F0"/>
    <w:rsid w:val="00527397"/>
    <w:rsid w:val="00530412"/>
    <w:rsid w:val="00532A64"/>
    <w:rsid w:val="00533DB9"/>
    <w:rsid w:val="00534C68"/>
    <w:rsid w:val="00534E26"/>
    <w:rsid w:val="00535A43"/>
    <w:rsid w:val="00536837"/>
    <w:rsid w:val="00536B9C"/>
    <w:rsid w:val="005375C1"/>
    <w:rsid w:val="00537E5A"/>
    <w:rsid w:val="00540264"/>
    <w:rsid w:val="00540838"/>
    <w:rsid w:val="00541F43"/>
    <w:rsid w:val="005435D9"/>
    <w:rsid w:val="0054384F"/>
    <w:rsid w:val="00543CEA"/>
    <w:rsid w:val="00543DD8"/>
    <w:rsid w:val="0054411F"/>
    <w:rsid w:val="00544E24"/>
    <w:rsid w:val="00546863"/>
    <w:rsid w:val="005477F6"/>
    <w:rsid w:val="00547CCD"/>
    <w:rsid w:val="00550433"/>
    <w:rsid w:val="0055044A"/>
    <w:rsid w:val="00550751"/>
    <w:rsid w:val="00550AD5"/>
    <w:rsid w:val="00551CCA"/>
    <w:rsid w:val="00552B71"/>
    <w:rsid w:val="0055381F"/>
    <w:rsid w:val="00553A54"/>
    <w:rsid w:val="00553F58"/>
    <w:rsid w:val="00555E57"/>
    <w:rsid w:val="005570BB"/>
    <w:rsid w:val="00557484"/>
    <w:rsid w:val="005615F3"/>
    <w:rsid w:val="00561607"/>
    <w:rsid w:val="005629EA"/>
    <w:rsid w:val="0056356E"/>
    <w:rsid w:val="00564885"/>
    <w:rsid w:val="005659E6"/>
    <w:rsid w:val="0057110B"/>
    <w:rsid w:val="00571B6A"/>
    <w:rsid w:val="0057240F"/>
    <w:rsid w:val="00574648"/>
    <w:rsid w:val="005756B8"/>
    <w:rsid w:val="0057619C"/>
    <w:rsid w:val="00580CD4"/>
    <w:rsid w:val="00581B12"/>
    <w:rsid w:val="00581F5B"/>
    <w:rsid w:val="005824C1"/>
    <w:rsid w:val="0058504C"/>
    <w:rsid w:val="00585267"/>
    <w:rsid w:val="005855E9"/>
    <w:rsid w:val="0058681A"/>
    <w:rsid w:val="0058752D"/>
    <w:rsid w:val="00587A74"/>
    <w:rsid w:val="00590E66"/>
    <w:rsid w:val="0059127B"/>
    <w:rsid w:val="0059145B"/>
    <w:rsid w:val="00591C24"/>
    <w:rsid w:val="00592AD0"/>
    <w:rsid w:val="005936F8"/>
    <w:rsid w:val="00593C40"/>
    <w:rsid w:val="0059462D"/>
    <w:rsid w:val="005A0279"/>
    <w:rsid w:val="005A1562"/>
    <w:rsid w:val="005A29AB"/>
    <w:rsid w:val="005A29B7"/>
    <w:rsid w:val="005A2CC0"/>
    <w:rsid w:val="005A583A"/>
    <w:rsid w:val="005A69FE"/>
    <w:rsid w:val="005A7A68"/>
    <w:rsid w:val="005A7FEE"/>
    <w:rsid w:val="005B0FB1"/>
    <w:rsid w:val="005B207A"/>
    <w:rsid w:val="005B2158"/>
    <w:rsid w:val="005B2A20"/>
    <w:rsid w:val="005B34DD"/>
    <w:rsid w:val="005B62FD"/>
    <w:rsid w:val="005C2602"/>
    <w:rsid w:val="005C37CD"/>
    <w:rsid w:val="005C453C"/>
    <w:rsid w:val="005C47CB"/>
    <w:rsid w:val="005C4D17"/>
    <w:rsid w:val="005C6624"/>
    <w:rsid w:val="005C69B3"/>
    <w:rsid w:val="005C6FD1"/>
    <w:rsid w:val="005D0E95"/>
    <w:rsid w:val="005D1DD9"/>
    <w:rsid w:val="005D29D7"/>
    <w:rsid w:val="005D2B37"/>
    <w:rsid w:val="005D3D0D"/>
    <w:rsid w:val="005D4C16"/>
    <w:rsid w:val="005D5991"/>
    <w:rsid w:val="005D5FC5"/>
    <w:rsid w:val="005D63BD"/>
    <w:rsid w:val="005D7047"/>
    <w:rsid w:val="005E0C1A"/>
    <w:rsid w:val="005E105E"/>
    <w:rsid w:val="005E18F5"/>
    <w:rsid w:val="005E1C6D"/>
    <w:rsid w:val="005E3A54"/>
    <w:rsid w:val="005E3B50"/>
    <w:rsid w:val="005E438A"/>
    <w:rsid w:val="005E5509"/>
    <w:rsid w:val="005E6AF3"/>
    <w:rsid w:val="005E787A"/>
    <w:rsid w:val="005F1858"/>
    <w:rsid w:val="005F4CF2"/>
    <w:rsid w:val="005F618D"/>
    <w:rsid w:val="005F6871"/>
    <w:rsid w:val="00600BA7"/>
    <w:rsid w:val="00601C3B"/>
    <w:rsid w:val="00601D7D"/>
    <w:rsid w:val="0060200C"/>
    <w:rsid w:val="00602A92"/>
    <w:rsid w:val="00602B07"/>
    <w:rsid w:val="00603C9F"/>
    <w:rsid w:val="0060489C"/>
    <w:rsid w:val="00604F03"/>
    <w:rsid w:val="0060695B"/>
    <w:rsid w:val="00607BC6"/>
    <w:rsid w:val="00614032"/>
    <w:rsid w:val="00614800"/>
    <w:rsid w:val="00617A00"/>
    <w:rsid w:val="00617B23"/>
    <w:rsid w:val="006208F6"/>
    <w:rsid w:val="00620B1E"/>
    <w:rsid w:val="00622433"/>
    <w:rsid w:val="00623CC5"/>
    <w:rsid w:val="00624CB9"/>
    <w:rsid w:val="00625F77"/>
    <w:rsid w:val="006265F0"/>
    <w:rsid w:val="00626923"/>
    <w:rsid w:val="00633727"/>
    <w:rsid w:val="00633A6C"/>
    <w:rsid w:val="00633ACF"/>
    <w:rsid w:val="00633BE5"/>
    <w:rsid w:val="00634F7F"/>
    <w:rsid w:val="00635E7B"/>
    <w:rsid w:val="0063674E"/>
    <w:rsid w:val="00636962"/>
    <w:rsid w:val="006369F4"/>
    <w:rsid w:val="0063753E"/>
    <w:rsid w:val="00640010"/>
    <w:rsid w:val="0064061A"/>
    <w:rsid w:val="006406CD"/>
    <w:rsid w:val="00640AA1"/>
    <w:rsid w:val="00641983"/>
    <w:rsid w:val="00642E68"/>
    <w:rsid w:val="00643549"/>
    <w:rsid w:val="00644043"/>
    <w:rsid w:val="00650830"/>
    <w:rsid w:val="00650EE2"/>
    <w:rsid w:val="006518EE"/>
    <w:rsid w:val="006535AC"/>
    <w:rsid w:val="00655C87"/>
    <w:rsid w:val="00656314"/>
    <w:rsid w:val="00657AB8"/>
    <w:rsid w:val="00657BA4"/>
    <w:rsid w:val="00660987"/>
    <w:rsid w:val="00660D04"/>
    <w:rsid w:val="00661243"/>
    <w:rsid w:val="006614CF"/>
    <w:rsid w:val="00663DFD"/>
    <w:rsid w:val="00664B34"/>
    <w:rsid w:val="00666475"/>
    <w:rsid w:val="006714C5"/>
    <w:rsid w:val="006720A6"/>
    <w:rsid w:val="00674310"/>
    <w:rsid w:val="006745B7"/>
    <w:rsid w:val="00675467"/>
    <w:rsid w:val="00677FE4"/>
    <w:rsid w:val="00680A19"/>
    <w:rsid w:val="00680FD4"/>
    <w:rsid w:val="006810C9"/>
    <w:rsid w:val="006820A1"/>
    <w:rsid w:val="0068440A"/>
    <w:rsid w:val="00684EA7"/>
    <w:rsid w:val="00687181"/>
    <w:rsid w:val="00687400"/>
    <w:rsid w:val="006912EE"/>
    <w:rsid w:val="00691B5E"/>
    <w:rsid w:val="006928C5"/>
    <w:rsid w:val="00693B3F"/>
    <w:rsid w:val="00693E97"/>
    <w:rsid w:val="00693EFC"/>
    <w:rsid w:val="006948C7"/>
    <w:rsid w:val="006953AF"/>
    <w:rsid w:val="006958E0"/>
    <w:rsid w:val="006A0113"/>
    <w:rsid w:val="006A0E42"/>
    <w:rsid w:val="006A310E"/>
    <w:rsid w:val="006A4363"/>
    <w:rsid w:val="006A4611"/>
    <w:rsid w:val="006A6150"/>
    <w:rsid w:val="006A66DC"/>
    <w:rsid w:val="006A6DEB"/>
    <w:rsid w:val="006A7F8E"/>
    <w:rsid w:val="006B0569"/>
    <w:rsid w:val="006B1259"/>
    <w:rsid w:val="006B371A"/>
    <w:rsid w:val="006B4441"/>
    <w:rsid w:val="006B7850"/>
    <w:rsid w:val="006C13C4"/>
    <w:rsid w:val="006C16B1"/>
    <w:rsid w:val="006C2483"/>
    <w:rsid w:val="006C2D26"/>
    <w:rsid w:val="006C48C0"/>
    <w:rsid w:val="006C596D"/>
    <w:rsid w:val="006C5FE6"/>
    <w:rsid w:val="006C7442"/>
    <w:rsid w:val="006C78F6"/>
    <w:rsid w:val="006D0EF2"/>
    <w:rsid w:val="006D1204"/>
    <w:rsid w:val="006D1ED5"/>
    <w:rsid w:val="006D1FF3"/>
    <w:rsid w:val="006D258F"/>
    <w:rsid w:val="006D3B2C"/>
    <w:rsid w:val="006D3F31"/>
    <w:rsid w:val="006D4161"/>
    <w:rsid w:val="006D4F2A"/>
    <w:rsid w:val="006D6023"/>
    <w:rsid w:val="006D788F"/>
    <w:rsid w:val="006E0DCB"/>
    <w:rsid w:val="006E2CF6"/>
    <w:rsid w:val="006E320F"/>
    <w:rsid w:val="006E35C1"/>
    <w:rsid w:val="006E47E2"/>
    <w:rsid w:val="006E5100"/>
    <w:rsid w:val="006E6559"/>
    <w:rsid w:val="006E7CC8"/>
    <w:rsid w:val="006F0E4F"/>
    <w:rsid w:val="006F0F30"/>
    <w:rsid w:val="006F260C"/>
    <w:rsid w:val="006F3045"/>
    <w:rsid w:val="006F4464"/>
    <w:rsid w:val="006F48EA"/>
    <w:rsid w:val="006F4DF3"/>
    <w:rsid w:val="006F4FE8"/>
    <w:rsid w:val="006F5701"/>
    <w:rsid w:val="006F69A9"/>
    <w:rsid w:val="006F7337"/>
    <w:rsid w:val="006F77D7"/>
    <w:rsid w:val="007022F6"/>
    <w:rsid w:val="00702B71"/>
    <w:rsid w:val="007039F4"/>
    <w:rsid w:val="00703DE4"/>
    <w:rsid w:val="00706F8E"/>
    <w:rsid w:val="007073B3"/>
    <w:rsid w:val="0070749D"/>
    <w:rsid w:val="007078B5"/>
    <w:rsid w:val="00710381"/>
    <w:rsid w:val="00710B4B"/>
    <w:rsid w:val="007128DC"/>
    <w:rsid w:val="0071354D"/>
    <w:rsid w:val="00714336"/>
    <w:rsid w:val="007158E5"/>
    <w:rsid w:val="00717159"/>
    <w:rsid w:val="00717379"/>
    <w:rsid w:val="00720596"/>
    <w:rsid w:val="0072089A"/>
    <w:rsid w:val="00720C3F"/>
    <w:rsid w:val="00721ADF"/>
    <w:rsid w:val="007240CD"/>
    <w:rsid w:val="00724286"/>
    <w:rsid w:val="00724548"/>
    <w:rsid w:val="007255F1"/>
    <w:rsid w:val="0072625D"/>
    <w:rsid w:val="00726551"/>
    <w:rsid w:val="00730553"/>
    <w:rsid w:val="00731724"/>
    <w:rsid w:val="00731BB2"/>
    <w:rsid w:val="00732947"/>
    <w:rsid w:val="00732968"/>
    <w:rsid w:val="007337E9"/>
    <w:rsid w:val="0073433C"/>
    <w:rsid w:val="00734EA8"/>
    <w:rsid w:val="00735E08"/>
    <w:rsid w:val="00737B82"/>
    <w:rsid w:val="00741607"/>
    <w:rsid w:val="00744DBD"/>
    <w:rsid w:val="00745D36"/>
    <w:rsid w:val="00746654"/>
    <w:rsid w:val="00746DFF"/>
    <w:rsid w:val="007474B2"/>
    <w:rsid w:val="0075095D"/>
    <w:rsid w:val="007510D2"/>
    <w:rsid w:val="00751FE8"/>
    <w:rsid w:val="00752924"/>
    <w:rsid w:val="00752AB5"/>
    <w:rsid w:val="00752C93"/>
    <w:rsid w:val="00753FD7"/>
    <w:rsid w:val="00754E1F"/>
    <w:rsid w:val="007564D2"/>
    <w:rsid w:val="00756AB6"/>
    <w:rsid w:val="007602C7"/>
    <w:rsid w:val="00760389"/>
    <w:rsid w:val="00760DDC"/>
    <w:rsid w:val="00762573"/>
    <w:rsid w:val="007628E8"/>
    <w:rsid w:val="00763557"/>
    <w:rsid w:val="00763866"/>
    <w:rsid w:val="00764C95"/>
    <w:rsid w:val="007651BE"/>
    <w:rsid w:val="00765242"/>
    <w:rsid w:val="00765A73"/>
    <w:rsid w:val="007667BB"/>
    <w:rsid w:val="00766848"/>
    <w:rsid w:val="00767250"/>
    <w:rsid w:val="007705C2"/>
    <w:rsid w:val="00770F11"/>
    <w:rsid w:val="007713E8"/>
    <w:rsid w:val="00771854"/>
    <w:rsid w:val="00774531"/>
    <w:rsid w:val="00774819"/>
    <w:rsid w:val="00774DC0"/>
    <w:rsid w:val="007750BC"/>
    <w:rsid w:val="00775189"/>
    <w:rsid w:val="00775B0E"/>
    <w:rsid w:val="00776283"/>
    <w:rsid w:val="00776BC5"/>
    <w:rsid w:val="00777979"/>
    <w:rsid w:val="00777ECC"/>
    <w:rsid w:val="00781172"/>
    <w:rsid w:val="00782264"/>
    <w:rsid w:val="00782AAB"/>
    <w:rsid w:val="00782EEE"/>
    <w:rsid w:val="0078401F"/>
    <w:rsid w:val="0078477F"/>
    <w:rsid w:val="00786F08"/>
    <w:rsid w:val="00787D7B"/>
    <w:rsid w:val="00790A4D"/>
    <w:rsid w:val="00791AA3"/>
    <w:rsid w:val="00791BF2"/>
    <w:rsid w:val="007935FB"/>
    <w:rsid w:val="0079491C"/>
    <w:rsid w:val="00794C69"/>
    <w:rsid w:val="0079679E"/>
    <w:rsid w:val="0079771C"/>
    <w:rsid w:val="00797838"/>
    <w:rsid w:val="007A02F7"/>
    <w:rsid w:val="007A3411"/>
    <w:rsid w:val="007A4396"/>
    <w:rsid w:val="007A4631"/>
    <w:rsid w:val="007A4B69"/>
    <w:rsid w:val="007A4E5F"/>
    <w:rsid w:val="007A5297"/>
    <w:rsid w:val="007A575F"/>
    <w:rsid w:val="007B24D4"/>
    <w:rsid w:val="007B35B0"/>
    <w:rsid w:val="007B398A"/>
    <w:rsid w:val="007B491B"/>
    <w:rsid w:val="007B4E82"/>
    <w:rsid w:val="007B4EC9"/>
    <w:rsid w:val="007B6C84"/>
    <w:rsid w:val="007C0234"/>
    <w:rsid w:val="007C08BB"/>
    <w:rsid w:val="007C0A52"/>
    <w:rsid w:val="007C2841"/>
    <w:rsid w:val="007C2E17"/>
    <w:rsid w:val="007C3576"/>
    <w:rsid w:val="007C4BEC"/>
    <w:rsid w:val="007C61BB"/>
    <w:rsid w:val="007D076D"/>
    <w:rsid w:val="007D0DE3"/>
    <w:rsid w:val="007D399D"/>
    <w:rsid w:val="007D57CD"/>
    <w:rsid w:val="007D5C75"/>
    <w:rsid w:val="007D5F30"/>
    <w:rsid w:val="007E12E4"/>
    <w:rsid w:val="007E2BB8"/>
    <w:rsid w:val="007E3316"/>
    <w:rsid w:val="007E4730"/>
    <w:rsid w:val="007E5760"/>
    <w:rsid w:val="007E67C3"/>
    <w:rsid w:val="007E7DE3"/>
    <w:rsid w:val="007F07FA"/>
    <w:rsid w:val="007F08BB"/>
    <w:rsid w:val="007F0D1F"/>
    <w:rsid w:val="007F1564"/>
    <w:rsid w:val="007F1890"/>
    <w:rsid w:val="007F2D9D"/>
    <w:rsid w:val="007F2EBA"/>
    <w:rsid w:val="007F46AE"/>
    <w:rsid w:val="007F4A45"/>
    <w:rsid w:val="007F5846"/>
    <w:rsid w:val="007F59F7"/>
    <w:rsid w:val="007F5F75"/>
    <w:rsid w:val="007F6CBC"/>
    <w:rsid w:val="007F765A"/>
    <w:rsid w:val="0080147E"/>
    <w:rsid w:val="0080219A"/>
    <w:rsid w:val="008022A5"/>
    <w:rsid w:val="00803ACE"/>
    <w:rsid w:val="00805C87"/>
    <w:rsid w:val="0080731A"/>
    <w:rsid w:val="008073FB"/>
    <w:rsid w:val="00807D91"/>
    <w:rsid w:val="00810272"/>
    <w:rsid w:val="00812837"/>
    <w:rsid w:val="00814849"/>
    <w:rsid w:val="00815D94"/>
    <w:rsid w:val="008177F8"/>
    <w:rsid w:val="00817B09"/>
    <w:rsid w:val="00820A46"/>
    <w:rsid w:val="00821088"/>
    <w:rsid w:val="00822D50"/>
    <w:rsid w:val="00823907"/>
    <w:rsid w:val="00826BB2"/>
    <w:rsid w:val="0083010F"/>
    <w:rsid w:val="0083100A"/>
    <w:rsid w:val="00831346"/>
    <w:rsid w:val="00831B05"/>
    <w:rsid w:val="008327E0"/>
    <w:rsid w:val="00832A09"/>
    <w:rsid w:val="0083383A"/>
    <w:rsid w:val="00833E89"/>
    <w:rsid w:val="00833FB7"/>
    <w:rsid w:val="008341E8"/>
    <w:rsid w:val="00835C5F"/>
    <w:rsid w:val="00837196"/>
    <w:rsid w:val="00837561"/>
    <w:rsid w:val="00840C21"/>
    <w:rsid w:val="00841205"/>
    <w:rsid w:val="00843385"/>
    <w:rsid w:val="00844113"/>
    <w:rsid w:val="00846FF9"/>
    <w:rsid w:val="00850352"/>
    <w:rsid w:val="00850707"/>
    <w:rsid w:val="00852379"/>
    <w:rsid w:val="0085430E"/>
    <w:rsid w:val="0085436E"/>
    <w:rsid w:val="00854BF2"/>
    <w:rsid w:val="0085611D"/>
    <w:rsid w:val="00856A11"/>
    <w:rsid w:val="00857B8D"/>
    <w:rsid w:val="008606FA"/>
    <w:rsid w:val="0086135C"/>
    <w:rsid w:val="00861789"/>
    <w:rsid w:val="00861909"/>
    <w:rsid w:val="008636B8"/>
    <w:rsid w:val="00863E22"/>
    <w:rsid w:val="008645FA"/>
    <w:rsid w:val="008649B0"/>
    <w:rsid w:val="00865254"/>
    <w:rsid w:val="00865F14"/>
    <w:rsid w:val="00867248"/>
    <w:rsid w:val="00870E31"/>
    <w:rsid w:val="00871911"/>
    <w:rsid w:val="00871AB7"/>
    <w:rsid w:val="00871AE2"/>
    <w:rsid w:val="00871C25"/>
    <w:rsid w:val="008734E4"/>
    <w:rsid w:val="00875333"/>
    <w:rsid w:val="008753FB"/>
    <w:rsid w:val="0087655A"/>
    <w:rsid w:val="00876E55"/>
    <w:rsid w:val="00876F2E"/>
    <w:rsid w:val="00877319"/>
    <w:rsid w:val="0088062D"/>
    <w:rsid w:val="008829B5"/>
    <w:rsid w:val="00882D5B"/>
    <w:rsid w:val="00883D15"/>
    <w:rsid w:val="0088481A"/>
    <w:rsid w:val="008857EC"/>
    <w:rsid w:val="00885C91"/>
    <w:rsid w:val="00890520"/>
    <w:rsid w:val="008906B2"/>
    <w:rsid w:val="00890F5B"/>
    <w:rsid w:val="00891DFB"/>
    <w:rsid w:val="00894A8E"/>
    <w:rsid w:val="0089553B"/>
    <w:rsid w:val="00896A12"/>
    <w:rsid w:val="00896F64"/>
    <w:rsid w:val="008979DC"/>
    <w:rsid w:val="008A0817"/>
    <w:rsid w:val="008A0DA3"/>
    <w:rsid w:val="008A1A4B"/>
    <w:rsid w:val="008A2F71"/>
    <w:rsid w:val="008A3559"/>
    <w:rsid w:val="008A489B"/>
    <w:rsid w:val="008A5117"/>
    <w:rsid w:val="008A5E81"/>
    <w:rsid w:val="008A7277"/>
    <w:rsid w:val="008B0ABF"/>
    <w:rsid w:val="008B0B93"/>
    <w:rsid w:val="008B1504"/>
    <w:rsid w:val="008B2027"/>
    <w:rsid w:val="008B55B7"/>
    <w:rsid w:val="008B66F6"/>
    <w:rsid w:val="008C1029"/>
    <w:rsid w:val="008C2168"/>
    <w:rsid w:val="008C223D"/>
    <w:rsid w:val="008C23AE"/>
    <w:rsid w:val="008C7082"/>
    <w:rsid w:val="008D116D"/>
    <w:rsid w:val="008D1802"/>
    <w:rsid w:val="008D1EB5"/>
    <w:rsid w:val="008D2D6D"/>
    <w:rsid w:val="008D3B47"/>
    <w:rsid w:val="008D3E6C"/>
    <w:rsid w:val="008D4125"/>
    <w:rsid w:val="008D4866"/>
    <w:rsid w:val="008D4D83"/>
    <w:rsid w:val="008D74BE"/>
    <w:rsid w:val="008D760D"/>
    <w:rsid w:val="008E27F8"/>
    <w:rsid w:val="008E2D9D"/>
    <w:rsid w:val="008E30FE"/>
    <w:rsid w:val="008E3B74"/>
    <w:rsid w:val="008E41C2"/>
    <w:rsid w:val="008E5B72"/>
    <w:rsid w:val="008E5CA1"/>
    <w:rsid w:val="008E5EEE"/>
    <w:rsid w:val="008E6E6A"/>
    <w:rsid w:val="008E6F54"/>
    <w:rsid w:val="008E70DC"/>
    <w:rsid w:val="008F1600"/>
    <w:rsid w:val="008F2D84"/>
    <w:rsid w:val="008F5F07"/>
    <w:rsid w:val="008F64EC"/>
    <w:rsid w:val="008F6CCE"/>
    <w:rsid w:val="0090156E"/>
    <w:rsid w:val="009019A2"/>
    <w:rsid w:val="009034F6"/>
    <w:rsid w:val="009038C8"/>
    <w:rsid w:val="0090390B"/>
    <w:rsid w:val="009053DB"/>
    <w:rsid w:val="009058D5"/>
    <w:rsid w:val="00906BC0"/>
    <w:rsid w:val="009108A2"/>
    <w:rsid w:val="00910C49"/>
    <w:rsid w:val="00911163"/>
    <w:rsid w:val="0091231B"/>
    <w:rsid w:val="00912A28"/>
    <w:rsid w:val="00913365"/>
    <w:rsid w:val="00914815"/>
    <w:rsid w:val="00914D5D"/>
    <w:rsid w:val="00914E2F"/>
    <w:rsid w:val="00915DE8"/>
    <w:rsid w:val="00917845"/>
    <w:rsid w:val="009205D8"/>
    <w:rsid w:val="0092116C"/>
    <w:rsid w:val="00921284"/>
    <w:rsid w:val="00923948"/>
    <w:rsid w:val="009245A4"/>
    <w:rsid w:val="00924DFD"/>
    <w:rsid w:val="00925EBF"/>
    <w:rsid w:val="009273DD"/>
    <w:rsid w:val="00927658"/>
    <w:rsid w:val="0092786D"/>
    <w:rsid w:val="00927C24"/>
    <w:rsid w:val="00927D27"/>
    <w:rsid w:val="009303EC"/>
    <w:rsid w:val="00930C20"/>
    <w:rsid w:val="00930CC0"/>
    <w:rsid w:val="00931A55"/>
    <w:rsid w:val="009325B4"/>
    <w:rsid w:val="00932A91"/>
    <w:rsid w:val="009331F9"/>
    <w:rsid w:val="0093372C"/>
    <w:rsid w:val="009342C4"/>
    <w:rsid w:val="00934DB7"/>
    <w:rsid w:val="00935215"/>
    <w:rsid w:val="00936795"/>
    <w:rsid w:val="00936B57"/>
    <w:rsid w:val="00936C15"/>
    <w:rsid w:val="0094215A"/>
    <w:rsid w:val="0094216D"/>
    <w:rsid w:val="0094292E"/>
    <w:rsid w:val="0094311D"/>
    <w:rsid w:val="009437AC"/>
    <w:rsid w:val="009470CD"/>
    <w:rsid w:val="0095006E"/>
    <w:rsid w:val="009525D7"/>
    <w:rsid w:val="00956734"/>
    <w:rsid w:val="00956AF0"/>
    <w:rsid w:val="00956EBE"/>
    <w:rsid w:val="009614BD"/>
    <w:rsid w:val="00962642"/>
    <w:rsid w:val="00963AA1"/>
    <w:rsid w:val="00963AC4"/>
    <w:rsid w:val="009662B9"/>
    <w:rsid w:val="00967855"/>
    <w:rsid w:val="00967962"/>
    <w:rsid w:val="00970D07"/>
    <w:rsid w:val="0097104B"/>
    <w:rsid w:val="00971E1B"/>
    <w:rsid w:val="00973502"/>
    <w:rsid w:val="0097354A"/>
    <w:rsid w:val="00973711"/>
    <w:rsid w:val="00973AC8"/>
    <w:rsid w:val="00974533"/>
    <w:rsid w:val="00974CF2"/>
    <w:rsid w:val="009816CC"/>
    <w:rsid w:val="009818D7"/>
    <w:rsid w:val="00982012"/>
    <w:rsid w:val="009836E5"/>
    <w:rsid w:val="00983FF6"/>
    <w:rsid w:val="00984ED6"/>
    <w:rsid w:val="009869B9"/>
    <w:rsid w:val="00986DF4"/>
    <w:rsid w:val="0099165B"/>
    <w:rsid w:val="0099185D"/>
    <w:rsid w:val="00991F01"/>
    <w:rsid w:val="009920C9"/>
    <w:rsid w:val="009932DC"/>
    <w:rsid w:val="009942DB"/>
    <w:rsid w:val="00995393"/>
    <w:rsid w:val="00995B5F"/>
    <w:rsid w:val="009A03AD"/>
    <w:rsid w:val="009A09EB"/>
    <w:rsid w:val="009A2B35"/>
    <w:rsid w:val="009A2C26"/>
    <w:rsid w:val="009A51B6"/>
    <w:rsid w:val="009A52F7"/>
    <w:rsid w:val="009A5CB9"/>
    <w:rsid w:val="009A61ED"/>
    <w:rsid w:val="009B0EB8"/>
    <w:rsid w:val="009B1935"/>
    <w:rsid w:val="009B4615"/>
    <w:rsid w:val="009B4748"/>
    <w:rsid w:val="009B4F12"/>
    <w:rsid w:val="009B589E"/>
    <w:rsid w:val="009B6A07"/>
    <w:rsid w:val="009B711F"/>
    <w:rsid w:val="009B736D"/>
    <w:rsid w:val="009C0AE9"/>
    <w:rsid w:val="009C0D81"/>
    <w:rsid w:val="009C1E0D"/>
    <w:rsid w:val="009C3B05"/>
    <w:rsid w:val="009C4DDB"/>
    <w:rsid w:val="009C5357"/>
    <w:rsid w:val="009C5E65"/>
    <w:rsid w:val="009C615E"/>
    <w:rsid w:val="009C6941"/>
    <w:rsid w:val="009C69E3"/>
    <w:rsid w:val="009D07A0"/>
    <w:rsid w:val="009D0FD0"/>
    <w:rsid w:val="009D23B0"/>
    <w:rsid w:val="009D29D6"/>
    <w:rsid w:val="009D3230"/>
    <w:rsid w:val="009D34CD"/>
    <w:rsid w:val="009D3F39"/>
    <w:rsid w:val="009D5339"/>
    <w:rsid w:val="009D5546"/>
    <w:rsid w:val="009D5B6C"/>
    <w:rsid w:val="009D5F8C"/>
    <w:rsid w:val="009D79C6"/>
    <w:rsid w:val="009E0F9E"/>
    <w:rsid w:val="009E1238"/>
    <w:rsid w:val="009E2E54"/>
    <w:rsid w:val="009E311A"/>
    <w:rsid w:val="009E48FA"/>
    <w:rsid w:val="009E77F3"/>
    <w:rsid w:val="009F01CC"/>
    <w:rsid w:val="009F114F"/>
    <w:rsid w:val="009F1F4D"/>
    <w:rsid w:val="009F2472"/>
    <w:rsid w:val="009F3F0C"/>
    <w:rsid w:val="009F4A92"/>
    <w:rsid w:val="009F4D09"/>
    <w:rsid w:val="009F4E6A"/>
    <w:rsid w:val="009F565A"/>
    <w:rsid w:val="00A0105C"/>
    <w:rsid w:val="00A01242"/>
    <w:rsid w:val="00A0137E"/>
    <w:rsid w:val="00A01534"/>
    <w:rsid w:val="00A01D5A"/>
    <w:rsid w:val="00A02504"/>
    <w:rsid w:val="00A0288F"/>
    <w:rsid w:val="00A02939"/>
    <w:rsid w:val="00A0382B"/>
    <w:rsid w:val="00A03B80"/>
    <w:rsid w:val="00A05123"/>
    <w:rsid w:val="00A062FA"/>
    <w:rsid w:val="00A0654F"/>
    <w:rsid w:val="00A10908"/>
    <w:rsid w:val="00A10A31"/>
    <w:rsid w:val="00A11821"/>
    <w:rsid w:val="00A11D3E"/>
    <w:rsid w:val="00A12E95"/>
    <w:rsid w:val="00A15BB1"/>
    <w:rsid w:val="00A16143"/>
    <w:rsid w:val="00A16876"/>
    <w:rsid w:val="00A212F0"/>
    <w:rsid w:val="00A21BA7"/>
    <w:rsid w:val="00A21BCD"/>
    <w:rsid w:val="00A21F8B"/>
    <w:rsid w:val="00A22F59"/>
    <w:rsid w:val="00A242C5"/>
    <w:rsid w:val="00A244B3"/>
    <w:rsid w:val="00A24A1B"/>
    <w:rsid w:val="00A25A13"/>
    <w:rsid w:val="00A30893"/>
    <w:rsid w:val="00A328CB"/>
    <w:rsid w:val="00A32C9D"/>
    <w:rsid w:val="00A348BC"/>
    <w:rsid w:val="00A366A3"/>
    <w:rsid w:val="00A366D3"/>
    <w:rsid w:val="00A405EF"/>
    <w:rsid w:val="00A40D6B"/>
    <w:rsid w:val="00A40ECB"/>
    <w:rsid w:val="00A41B75"/>
    <w:rsid w:val="00A45937"/>
    <w:rsid w:val="00A477CE"/>
    <w:rsid w:val="00A50603"/>
    <w:rsid w:val="00A52521"/>
    <w:rsid w:val="00A52AF7"/>
    <w:rsid w:val="00A532BF"/>
    <w:rsid w:val="00A55686"/>
    <w:rsid w:val="00A5656A"/>
    <w:rsid w:val="00A56575"/>
    <w:rsid w:val="00A57941"/>
    <w:rsid w:val="00A6048F"/>
    <w:rsid w:val="00A60DED"/>
    <w:rsid w:val="00A610A9"/>
    <w:rsid w:val="00A62736"/>
    <w:rsid w:val="00A64477"/>
    <w:rsid w:val="00A64F0F"/>
    <w:rsid w:val="00A6680A"/>
    <w:rsid w:val="00A66ACC"/>
    <w:rsid w:val="00A66D02"/>
    <w:rsid w:val="00A67708"/>
    <w:rsid w:val="00A70355"/>
    <w:rsid w:val="00A70520"/>
    <w:rsid w:val="00A70BE5"/>
    <w:rsid w:val="00A722F8"/>
    <w:rsid w:val="00A73292"/>
    <w:rsid w:val="00A741A2"/>
    <w:rsid w:val="00A80B59"/>
    <w:rsid w:val="00A80BAE"/>
    <w:rsid w:val="00A810E2"/>
    <w:rsid w:val="00A8236D"/>
    <w:rsid w:val="00A84E1F"/>
    <w:rsid w:val="00A84EFD"/>
    <w:rsid w:val="00A85424"/>
    <w:rsid w:val="00A8568B"/>
    <w:rsid w:val="00A86ADC"/>
    <w:rsid w:val="00A87289"/>
    <w:rsid w:val="00A87F0E"/>
    <w:rsid w:val="00A926FF"/>
    <w:rsid w:val="00A939C5"/>
    <w:rsid w:val="00A93FD2"/>
    <w:rsid w:val="00A94DB8"/>
    <w:rsid w:val="00A97379"/>
    <w:rsid w:val="00AA02C3"/>
    <w:rsid w:val="00AA0428"/>
    <w:rsid w:val="00AA0486"/>
    <w:rsid w:val="00AA1CE8"/>
    <w:rsid w:val="00AA3F36"/>
    <w:rsid w:val="00AA3F5B"/>
    <w:rsid w:val="00AA64A1"/>
    <w:rsid w:val="00AA64BA"/>
    <w:rsid w:val="00AA69E7"/>
    <w:rsid w:val="00AA6D25"/>
    <w:rsid w:val="00AA7314"/>
    <w:rsid w:val="00AA746E"/>
    <w:rsid w:val="00AA79E2"/>
    <w:rsid w:val="00AA7E98"/>
    <w:rsid w:val="00AB017C"/>
    <w:rsid w:val="00AB0248"/>
    <w:rsid w:val="00AB0A9C"/>
    <w:rsid w:val="00AB0B86"/>
    <w:rsid w:val="00AB1E88"/>
    <w:rsid w:val="00AB4542"/>
    <w:rsid w:val="00AC108B"/>
    <w:rsid w:val="00AC27AE"/>
    <w:rsid w:val="00AC3FAA"/>
    <w:rsid w:val="00AC4E11"/>
    <w:rsid w:val="00AC6175"/>
    <w:rsid w:val="00AC7252"/>
    <w:rsid w:val="00AC78B0"/>
    <w:rsid w:val="00AD0F36"/>
    <w:rsid w:val="00AD2BA6"/>
    <w:rsid w:val="00AD42B7"/>
    <w:rsid w:val="00AD4AA3"/>
    <w:rsid w:val="00AD5B96"/>
    <w:rsid w:val="00AD6254"/>
    <w:rsid w:val="00AD7444"/>
    <w:rsid w:val="00AD75DF"/>
    <w:rsid w:val="00AE144F"/>
    <w:rsid w:val="00AE1CC6"/>
    <w:rsid w:val="00AE2B19"/>
    <w:rsid w:val="00AE46AC"/>
    <w:rsid w:val="00AE4F3E"/>
    <w:rsid w:val="00AE6BF0"/>
    <w:rsid w:val="00AE6D9D"/>
    <w:rsid w:val="00AE79D0"/>
    <w:rsid w:val="00AF0FAB"/>
    <w:rsid w:val="00AF2291"/>
    <w:rsid w:val="00AF2E6C"/>
    <w:rsid w:val="00AF2E8F"/>
    <w:rsid w:val="00AF2F94"/>
    <w:rsid w:val="00AF3940"/>
    <w:rsid w:val="00AF4348"/>
    <w:rsid w:val="00AF5A37"/>
    <w:rsid w:val="00AF6982"/>
    <w:rsid w:val="00B00A3B"/>
    <w:rsid w:val="00B00B45"/>
    <w:rsid w:val="00B01BCD"/>
    <w:rsid w:val="00B02904"/>
    <w:rsid w:val="00B0398B"/>
    <w:rsid w:val="00B039FC"/>
    <w:rsid w:val="00B04FF4"/>
    <w:rsid w:val="00B0575D"/>
    <w:rsid w:val="00B06383"/>
    <w:rsid w:val="00B068A3"/>
    <w:rsid w:val="00B07DD6"/>
    <w:rsid w:val="00B1165A"/>
    <w:rsid w:val="00B12798"/>
    <w:rsid w:val="00B12AA1"/>
    <w:rsid w:val="00B13ED5"/>
    <w:rsid w:val="00B14268"/>
    <w:rsid w:val="00B14E3F"/>
    <w:rsid w:val="00B14F72"/>
    <w:rsid w:val="00B15518"/>
    <w:rsid w:val="00B1774C"/>
    <w:rsid w:val="00B1799B"/>
    <w:rsid w:val="00B2040D"/>
    <w:rsid w:val="00B217D5"/>
    <w:rsid w:val="00B21827"/>
    <w:rsid w:val="00B219DF"/>
    <w:rsid w:val="00B21C68"/>
    <w:rsid w:val="00B23D0D"/>
    <w:rsid w:val="00B23DB3"/>
    <w:rsid w:val="00B2554B"/>
    <w:rsid w:val="00B262FF"/>
    <w:rsid w:val="00B2702E"/>
    <w:rsid w:val="00B27BC1"/>
    <w:rsid w:val="00B30B6C"/>
    <w:rsid w:val="00B30DAC"/>
    <w:rsid w:val="00B3120F"/>
    <w:rsid w:val="00B31837"/>
    <w:rsid w:val="00B31DBC"/>
    <w:rsid w:val="00B323A5"/>
    <w:rsid w:val="00B32BE7"/>
    <w:rsid w:val="00B33A16"/>
    <w:rsid w:val="00B34EF5"/>
    <w:rsid w:val="00B34F79"/>
    <w:rsid w:val="00B407A4"/>
    <w:rsid w:val="00B42C2C"/>
    <w:rsid w:val="00B43703"/>
    <w:rsid w:val="00B4419D"/>
    <w:rsid w:val="00B46364"/>
    <w:rsid w:val="00B4731E"/>
    <w:rsid w:val="00B474B2"/>
    <w:rsid w:val="00B47A08"/>
    <w:rsid w:val="00B51179"/>
    <w:rsid w:val="00B5287D"/>
    <w:rsid w:val="00B52D57"/>
    <w:rsid w:val="00B52E64"/>
    <w:rsid w:val="00B54780"/>
    <w:rsid w:val="00B55689"/>
    <w:rsid w:val="00B556F2"/>
    <w:rsid w:val="00B5612C"/>
    <w:rsid w:val="00B57363"/>
    <w:rsid w:val="00B603CE"/>
    <w:rsid w:val="00B61825"/>
    <w:rsid w:val="00B61FB9"/>
    <w:rsid w:val="00B649F2"/>
    <w:rsid w:val="00B678E3"/>
    <w:rsid w:val="00B70DA2"/>
    <w:rsid w:val="00B7226E"/>
    <w:rsid w:val="00B73967"/>
    <w:rsid w:val="00B73DBE"/>
    <w:rsid w:val="00B744D0"/>
    <w:rsid w:val="00B74711"/>
    <w:rsid w:val="00B7491E"/>
    <w:rsid w:val="00B7550C"/>
    <w:rsid w:val="00B7581C"/>
    <w:rsid w:val="00B75BAF"/>
    <w:rsid w:val="00B75DC1"/>
    <w:rsid w:val="00B7671A"/>
    <w:rsid w:val="00B777C7"/>
    <w:rsid w:val="00B81E0C"/>
    <w:rsid w:val="00B8266E"/>
    <w:rsid w:val="00B826A6"/>
    <w:rsid w:val="00B82882"/>
    <w:rsid w:val="00B839FD"/>
    <w:rsid w:val="00B84066"/>
    <w:rsid w:val="00B85144"/>
    <w:rsid w:val="00B85A45"/>
    <w:rsid w:val="00B85A98"/>
    <w:rsid w:val="00B85FA2"/>
    <w:rsid w:val="00B86B4B"/>
    <w:rsid w:val="00B928C1"/>
    <w:rsid w:val="00B92A00"/>
    <w:rsid w:val="00B92A36"/>
    <w:rsid w:val="00B94C34"/>
    <w:rsid w:val="00B9638D"/>
    <w:rsid w:val="00BA13DF"/>
    <w:rsid w:val="00BA1796"/>
    <w:rsid w:val="00BA2BBE"/>
    <w:rsid w:val="00BA2FE0"/>
    <w:rsid w:val="00BA4A21"/>
    <w:rsid w:val="00BA4C6A"/>
    <w:rsid w:val="00BA6EAE"/>
    <w:rsid w:val="00BA7CBC"/>
    <w:rsid w:val="00BB2D62"/>
    <w:rsid w:val="00BB3AA7"/>
    <w:rsid w:val="00BB4BD2"/>
    <w:rsid w:val="00BB77FA"/>
    <w:rsid w:val="00BC0154"/>
    <w:rsid w:val="00BC0A12"/>
    <w:rsid w:val="00BC1D77"/>
    <w:rsid w:val="00BC3EAB"/>
    <w:rsid w:val="00BC4140"/>
    <w:rsid w:val="00BC62AA"/>
    <w:rsid w:val="00BC7ED8"/>
    <w:rsid w:val="00BD0D84"/>
    <w:rsid w:val="00BD0F1B"/>
    <w:rsid w:val="00BD3AA5"/>
    <w:rsid w:val="00BD46C0"/>
    <w:rsid w:val="00BD70B1"/>
    <w:rsid w:val="00BD71B3"/>
    <w:rsid w:val="00BE11B1"/>
    <w:rsid w:val="00BE2720"/>
    <w:rsid w:val="00BE4C37"/>
    <w:rsid w:val="00BE6370"/>
    <w:rsid w:val="00BE6F70"/>
    <w:rsid w:val="00BE75EC"/>
    <w:rsid w:val="00BE7839"/>
    <w:rsid w:val="00BF0D9E"/>
    <w:rsid w:val="00BF1E40"/>
    <w:rsid w:val="00BF41BE"/>
    <w:rsid w:val="00BF70C1"/>
    <w:rsid w:val="00C010B8"/>
    <w:rsid w:val="00C0155F"/>
    <w:rsid w:val="00C0278A"/>
    <w:rsid w:val="00C032E7"/>
    <w:rsid w:val="00C0554A"/>
    <w:rsid w:val="00C05C78"/>
    <w:rsid w:val="00C067A9"/>
    <w:rsid w:val="00C071C0"/>
    <w:rsid w:val="00C07A45"/>
    <w:rsid w:val="00C1245B"/>
    <w:rsid w:val="00C12D25"/>
    <w:rsid w:val="00C12D51"/>
    <w:rsid w:val="00C1344B"/>
    <w:rsid w:val="00C13767"/>
    <w:rsid w:val="00C14BD5"/>
    <w:rsid w:val="00C150E9"/>
    <w:rsid w:val="00C16D44"/>
    <w:rsid w:val="00C21837"/>
    <w:rsid w:val="00C21E12"/>
    <w:rsid w:val="00C21F86"/>
    <w:rsid w:val="00C24579"/>
    <w:rsid w:val="00C24836"/>
    <w:rsid w:val="00C258D6"/>
    <w:rsid w:val="00C3284B"/>
    <w:rsid w:val="00C33ED5"/>
    <w:rsid w:val="00C342F5"/>
    <w:rsid w:val="00C34F59"/>
    <w:rsid w:val="00C37F47"/>
    <w:rsid w:val="00C4002C"/>
    <w:rsid w:val="00C4121F"/>
    <w:rsid w:val="00C43819"/>
    <w:rsid w:val="00C43F68"/>
    <w:rsid w:val="00C45796"/>
    <w:rsid w:val="00C4682D"/>
    <w:rsid w:val="00C503B1"/>
    <w:rsid w:val="00C52CA2"/>
    <w:rsid w:val="00C53471"/>
    <w:rsid w:val="00C53746"/>
    <w:rsid w:val="00C54BF0"/>
    <w:rsid w:val="00C550FE"/>
    <w:rsid w:val="00C55BAB"/>
    <w:rsid w:val="00C55F3E"/>
    <w:rsid w:val="00C56B4E"/>
    <w:rsid w:val="00C603E1"/>
    <w:rsid w:val="00C60686"/>
    <w:rsid w:val="00C609AA"/>
    <w:rsid w:val="00C61B53"/>
    <w:rsid w:val="00C646B1"/>
    <w:rsid w:val="00C6619D"/>
    <w:rsid w:val="00C661F7"/>
    <w:rsid w:val="00C700BE"/>
    <w:rsid w:val="00C71738"/>
    <w:rsid w:val="00C75CDF"/>
    <w:rsid w:val="00C75F35"/>
    <w:rsid w:val="00C75F9B"/>
    <w:rsid w:val="00C761C3"/>
    <w:rsid w:val="00C7756A"/>
    <w:rsid w:val="00C77DF8"/>
    <w:rsid w:val="00C805FD"/>
    <w:rsid w:val="00C812EF"/>
    <w:rsid w:val="00C821E4"/>
    <w:rsid w:val="00C8238C"/>
    <w:rsid w:val="00C83567"/>
    <w:rsid w:val="00C83C55"/>
    <w:rsid w:val="00C83DEE"/>
    <w:rsid w:val="00C84464"/>
    <w:rsid w:val="00C863A2"/>
    <w:rsid w:val="00C9422F"/>
    <w:rsid w:val="00C943AD"/>
    <w:rsid w:val="00C943C0"/>
    <w:rsid w:val="00C975A8"/>
    <w:rsid w:val="00CA014D"/>
    <w:rsid w:val="00CA2CFE"/>
    <w:rsid w:val="00CA3753"/>
    <w:rsid w:val="00CA39C6"/>
    <w:rsid w:val="00CA4A04"/>
    <w:rsid w:val="00CA5059"/>
    <w:rsid w:val="00CA7239"/>
    <w:rsid w:val="00CB02C2"/>
    <w:rsid w:val="00CB0404"/>
    <w:rsid w:val="00CB04BB"/>
    <w:rsid w:val="00CB0A50"/>
    <w:rsid w:val="00CB2186"/>
    <w:rsid w:val="00CB2820"/>
    <w:rsid w:val="00CB715A"/>
    <w:rsid w:val="00CB7759"/>
    <w:rsid w:val="00CC2432"/>
    <w:rsid w:val="00CC2C32"/>
    <w:rsid w:val="00CC3099"/>
    <w:rsid w:val="00CC35DA"/>
    <w:rsid w:val="00CC5534"/>
    <w:rsid w:val="00CC6711"/>
    <w:rsid w:val="00CC6B3D"/>
    <w:rsid w:val="00CD0230"/>
    <w:rsid w:val="00CD099D"/>
    <w:rsid w:val="00CD221D"/>
    <w:rsid w:val="00CD30EE"/>
    <w:rsid w:val="00CD3334"/>
    <w:rsid w:val="00CD3E8A"/>
    <w:rsid w:val="00CD5AE7"/>
    <w:rsid w:val="00CD604D"/>
    <w:rsid w:val="00CD6395"/>
    <w:rsid w:val="00CD73E2"/>
    <w:rsid w:val="00CD7825"/>
    <w:rsid w:val="00CE0BA3"/>
    <w:rsid w:val="00CE2827"/>
    <w:rsid w:val="00CE3082"/>
    <w:rsid w:val="00CE3D25"/>
    <w:rsid w:val="00CE44E8"/>
    <w:rsid w:val="00CE5019"/>
    <w:rsid w:val="00CE701E"/>
    <w:rsid w:val="00CF0E42"/>
    <w:rsid w:val="00CF2CE4"/>
    <w:rsid w:val="00CF307C"/>
    <w:rsid w:val="00CF3256"/>
    <w:rsid w:val="00CF3EEF"/>
    <w:rsid w:val="00CF546B"/>
    <w:rsid w:val="00CF6302"/>
    <w:rsid w:val="00D02921"/>
    <w:rsid w:val="00D03186"/>
    <w:rsid w:val="00D03B5D"/>
    <w:rsid w:val="00D0407E"/>
    <w:rsid w:val="00D058BB"/>
    <w:rsid w:val="00D05E9A"/>
    <w:rsid w:val="00D075F8"/>
    <w:rsid w:val="00D07DBC"/>
    <w:rsid w:val="00D11413"/>
    <w:rsid w:val="00D12784"/>
    <w:rsid w:val="00D13439"/>
    <w:rsid w:val="00D1494E"/>
    <w:rsid w:val="00D1571D"/>
    <w:rsid w:val="00D164C0"/>
    <w:rsid w:val="00D177F5"/>
    <w:rsid w:val="00D207C6"/>
    <w:rsid w:val="00D20F58"/>
    <w:rsid w:val="00D213F7"/>
    <w:rsid w:val="00D22C0B"/>
    <w:rsid w:val="00D2394E"/>
    <w:rsid w:val="00D245C0"/>
    <w:rsid w:val="00D26E67"/>
    <w:rsid w:val="00D26E76"/>
    <w:rsid w:val="00D27099"/>
    <w:rsid w:val="00D27C5E"/>
    <w:rsid w:val="00D300E2"/>
    <w:rsid w:val="00D3315B"/>
    <w:rsid w:val="00D34034"/>
    <w:rsid w:val="00D37742"/>
    <w:rsid w:val="00D37F16"/>
    <w:rsid w:val="00D402DA"/>
    <w:rsid w:val="00D40984"/>
    <w:rsid w:val="00D416BB"/>
    <w:rsid w:val="00D41E84"/>
    <w:rsid w:val="00D420E8"/>
    <w:rsid w:val="00D43145"/>
    <w:rsid w:val="00D43744"/>
    <w:rsid w:val="00D441C7"/>
    <w:rsid w:val="00D44B6E"/>
    <w:rsid w:val="00D44D4C"/>
    <w:rsid w:val="00D45C14"/>
    <w:rsid w:val="00D46F1F"/>
    <w:rsid w:val="00D47152"/>
    <w:rsid w:val="00D51C9F"/>
    <w:rsid w:val="00D521FA"/>
    <w:rsid w:val="00D5311D"/>
    <w:rsid w:val="00D53566"/>
    <w:rsid w:val="00D53E97"/>
    <w:rsid w:val="00D54535"/>
    <w:rsid w:val="00D571DD"/>
    <w:rsid w:val="00D60011"/>
    <w:rsid w:val="00D604B1"/>
    <w:rsid w:val="00D6092D"/>
    <w:rsid w:val="00D61752"/>
    <w:rsid w:val="00D63C20"/>
    <w:rsid w:val="00D641A2"/>
    <w:rsid w:val="00D64BCA"/>
    <w:rsid w:val="00D66CED"/>
    <w:rsid w:val="00D670C3"/>
    <w:rsid w:val="00D7078D"/>
    <w:rsid w:val="00D70E24"/>
    <w:rsid w:val="00D717AC"/>
    <w:rsid w:val="00D723D7"/>
    <w:rsid w:val="00D74E74"/>
    <w:rsid w:val="00D809FC"/>
    <w:rsid w:val="00D81928"/>
    <w:rsid w:val="00D82D13"/>
    <w:rsid w:val="00D84E87"/>
    <w:rsid w:val="00D84FA5"/>
    <w:rsid w:val="00D8501F"/>
    <w:rsid w:val="00D8699E"/>
    <w:rsid w:val="00D86A6C"/>
    <w:rsid w:val="00D87055"/>
    <w:rsid w:val="00D90704"/>
    <w:rsid w:val="00D9132F"/>
    <w:rsid w:val="00D9188E"/>
    <w:rsid w:val="00D925F6"/>
    <w:rsid w:val="00D926D0"/>
    <w:rsid w:val="00D93E42"/>
    <w:rsid w:val="00D94A23"/>
    <w:rsid w:val="00D94B4C"/>
    <w:rsid w:val="00D953E6"/>
    <w:rsid w:val="00D964F5"/>
    <w:rsid w:val="00DA189E"/>
    <w:rsid w:val="00DA234D"/>
    <w:rsid w:val="00DA2F5A"/>
    <w:rsid w:val="00DA34DF"/>
    <w:rsid w:val="00DA3734"/>
    <w:rsid w:val="00DA3916"/>
    <w:rsid w:val="00DA3E19"/>
    <w:rsid w:val="00DA59B1"/>
    <w:rsid w:val="00DA6D4A"/>
    <w:rsid w:val="00DB03F7"/>
    <w:rsid w:val="00DB11FA"/>
    <w:rsid w:val="00DB366C"/>
    <w:rsid w:val="00DB381C"/>
    <w:rsid w:val="00DB39A6"/>
    <w:rsid w:val="00DB4CEE"/>
    <w:rsid w:val="00DB512C"/>
    <w:rsid w:val="00DB7037"/>
    <w:rsid w:val="00DC0F3A"/>
    <w:rsid w:val="00DC18BD"/>
    <w:rsid w:val="00DC2320"/>
    <w:rsid w:val="00DC3115"/>
    <w:rsid w:val="00DC3970"/>
    <w:rsid w:val="00DC3B69"/>
    <w:rsid w:val="00DC51A9"/>
    <w:rsid w:val="00DC5DC1"/>
    <w:rsid w:val="00DC63BE"/>
    <w:rsid w:val="00DC6527"/>
    <w:rsid w:val="00DC7175"/>
    <w:rsid w:val="00DC7659"/>
    <w:rsid w:val="00DC77A0"/>
    <w:rsid w:val="00DD0BEB"/>
    <w:rsid w:val="00DD1B0C"/>
    <w:rsid w:val="00DD3E1C"/>
    <w:rsid w:val="00DD6799"/>
    <w:rsid w:val="00DD6864"/>
    <w:rsid w:val="00DE1069"/>
    <w:rsid w:val="00DE19B2"/>
    <w:rsid w:val="00DE1D2B"/>
    <w:rsid w:val="00DE1DF9"/>
    <w:rsid w:val="00DE57F8"/>
    <w:rsid w:val="00DE6B3D"/>
    <w:rsid w:val="00DE74AE"/>
    <w:rsid w:val="00DE7A57"/>
    <w:rsid w:val="00DE7B9A"/>
    <w:rsid w:val="00DF024D"/>
    <w:rsid w:val="00DF1481"/>
    <w:rsid w:val="00DF17DC"/>
    <w:rsid w:val="00DF1B44"/>
    <w:rsid w:val="00DF2856"/>
    <w:rsid w:val="00DF29FD"/>
    <w:rsid w:val="00DF4737"/>
    <w:rsid w:val="00DF4943"/>
    <w:rsid w:val="00DF4F4D"/>
    <w:rsid w:val="00DF5013"/>
    <w:rsid w:val="00DF5198"/>
    <w:rsid w:val="00DF556E"/>
    <w:rsid w:val="00DF6801"/>
    <w:rsid w:val="00DF7184"/>
    <w:rsid w:val="00E004D5"/>
    <w:rsid w:val="00E0332E"/>
    <w:rsid w:val="00E034E9"/>
    <w:rsid w:val="00E035A0"/>
    <w:rsid w:val="00E04BF6"/>
    <w:rsid w:val="00E04CCB"/>
    <w:rsid w:val="00E05715"/>
    <w:rsid w:val="00E06FBA"/>
    <w:rsid w:val="00E07E03"/>
    <w:rsid w:val="00E104A7"/>
    <w:rsid w:val="00E114DB"/>
    <w:rsid w:val="00E11588"/>
    <w:rsid w:val="00E1366C"/>
    <w:rsid w:val="00E139B9"/>
    <w:rsid w:val="00E15CBB"/>
    <w:rsid w:val="00E16A2D"/>
    <w:rsid w:val="00E17669"/>
    <w:rsid w:val="00E17766"/>
    <w:rsid w:val="00E226A4"/>
    <w:rsid w:val="00E2386D"/>
    <w:rsid w:val="00E24927"/>
    <w:rsid w:val="00E256DA"/>
    <w:rsid w:val="00E25F1C"/>
    <w:rsid w:val="00E30014"/>
    <w:rsid w:val="00E30D04"/>
    <w:rsid w:val="00E31C91"/>
    <w:rsid w:val="00E32361"/>
    <w:rsid w:val="00E32F4F"/>
    <w:rsid w:val="00E339EA"/>
    <w:rsid w:val="00E33FFA"/>
    <w:rsid w:val="00E3422A"/>
    <w:rsid w:val="00E34BA7"/>
    <w:rsid w:val="00E3555D"/>
    <w:rsid w:val="00E40956"/>
    <w:rsid w:val="00E40FAE"/>
    <w:rsid w:val="00E415C4"/>
    <w:rsid w:val="00E41648"/>
    <w:rsid w:val="00E41752"/>
    <w:rsid w:val="00E42744"/>
    <w:rsid w:val="00E42808"/>
    <w:rsid w:val="00E439D6"/>
    <w:rsid w:val="00E43A4D"/>
    <w:rsid w:val="00E45F64"/>
    <w:rsid w:val="00E46163"/>
    <w:rsid w:val="00E473CF"/>
    <w:rsid w:val="00E47404"/>
    <w:rsid w:val="00E50356"/>
    <w:rsid w:val="00E53BA0"/>
    <w:rsid w:val="00E53F66"/>
    <w:rsid w:val="00E54D48"/>
    <w:rsid w:val="00E575A9"/>
    <w:rsid w:val="00E60E5B"/>
    <w:rsid w:val="00E632EA"/>
    <w:rsid w:val="00E64736"/>
    <w:rsid w:val="00E649C0"/>
    <w:rsid w:val="00E64CBE"/>
    <w:rsid w:val="00E64DFB"/>
    <w:rsid w:val="00E7062B"/>
    <w:rsid w:val="00E70903"/>
    <w:rsid w:val="00E73D84"/>
    <w:rsid w:val="00E740CC"/>
    <w:rsid w:val="00E74283"/>
    <w:rsid w:val="00E75C9D"/>
    <w:rsid w:val="00E7679A"/>
    <w:rsid w:val="00E81E00"/>
    <w:rsid w:val="00E82C4B"/>
    <w:rsid w:val="00E831D1"/>
    <w:rsid w:val="00E8323C"/>
    <w:rsid w:val="00E83290"/>
    <w:rsid w:val="00E84371"/>
    <w:rsid w:val="00E8513D"/>
    <w:rsid w:val="00E8522F"/>
    <w:rsid w:val="00E85256"/>
    <w:rsid w:val="00E9023B"/>
    <w:rsid w:val="00E918A4"/>
    <w:rsid w:val="00E91B2B"/>
    <w:rsid w:val="00E927EE"/>
    <w:rsid w:val="00E976F7"/>
    <w:rsid w:val="00EA170A"/>
    <w:rsid w:val="00EA2DD3"/>
    <w:rsid w:val="00EA35C2"/>
    <w:rsid w:val="00EA3769"/>
    <w:rsid w:val="00EA3F6D"/>
    <w:rsid w:val="00EA4011"/>
    <w:rsid w:val="00EA4307"/>
    <w:rsid w:val="00EA4AAA"/>
    <w:rsid w:val="00EA7F5D"/>
    <w:rsid w:val="00EB2538"/>
    <w:rsid w:val="00EB3300"/>
    <w:rsid w:val="00EB34E5"/>
    <w:rsid w:val="00EB399C"/>
    <w:rsid w:val="00EB416E"/>
    <w:rsid w:val="00EB48F4"/>
    <w:rsid w:val="00EB4944"/>
    <w:rsid w:val="00EB618C"/>
    <w:rsid w:val="00EB6F45"/>
    <w:rsid w:val="00EC4EEA"/>
    <w:rsid w:val="00EC525F"/>
    <w:rsid w:val="00EC5B52"/>
    <w:rsid w:val="00EC5C71"/>
    <w:rsid w:val="00EC7F47"/>
    <w:rsid w:val="00ED25BB"/>
    <w:rsid w:val="00ED58FF"/>
    <w:rsid w:val="00ED5F60"/>
    <w:rsid w:val="00ED6224"/>
    <w:rsid w:val="00ED6B54"/>
    <w:rsid w:val="00ED7310"/>
    <w:rsid w:val="00EE0319"/>
    <w:rsid w:val="00EE0A31"/>
    <w:rsid w:val="00EE2A1D"/>
    <w:rsid w:val="00EE3944"/>
    <w:rsid w:val="00EE41DA"/>
    <w:rsid w:val="00EE4C1D"/>
    <w:rsid w:val="00EE5A60"/>
    <w:rsid w:val="00EE5D4F"/>
    <w:rsid w:val="00EF219B"/>
    <w:rsid w:val="00EF265A"/>
    <w:rsid w:val="00EF7702"/>
    <w:rsid w:val="00F00BDB"/>
    <w:rsid w:val="00F01D6E"/>
    <w:rsid w:val="00F022B5"/>
    <w:rsid w:val="00F033FE"/>
    <w:rsid w:val="00F03491"/>
    <w:rsid w:val="00F039EE"/>
    <w:rsid w:val="00F040B0"/>
    <w:rsid w:val="00F04633"/>
    <w:rsid w:val="00F065E2"/>
    <w:rsid w:val="00F07EAE"/>
    <w:rsid w:val="00F10A3F"/>
    <w:rsid w:val="00F10F0E"/>
    <w:rsid w:val="00F11810"/>
    <w:rsid w:val="00F1218E"/>
    <w:rsid w:val="00F129FC"/>
    <w:rsid w:val="00F1728F"/>
    <w:rsid w:val="00F20F18"/>
    <w:rsid w:val="00F2421B"/>
    <w:rsid w:val="00F2627C"/>
    <w:rsid w:val="00F26332"/>
    <w:rsid w:val="00F263F2"/>
    <w:rsid w:val="00F265B5"/>
    <w:rsid w:val="00F26882"/>
    <w:rsid w:val="00F279D6"/>
    <w:rsid w:val="00F27A6C"/>
    <w:rsid w:val="00F27E4F"/>
    <w:rsid w:val="00F31899"/>
    <w:rsid w:val="00F32DA5"/>
    <w:rsid w:val="00F339F2"/>
    <w:rsid w:val="00F33D61"/>
    <w:rsid w:val="00F34068"/>
    <w:rsid w:val="00F34160"/>
    <w:rsid w:val="00F359A7"/>
    <w:rsid w:val="00F35AFD"/>
    <w:rsid w:val="00F35DAD"/>
    <w:rsid w:val="00F36219"/>
    <w:rsid w:val="00F3645F"/>
    <w:rsid w:val="00F36BF4"/>
    <w:rsid w:val="00F379A8"/>
    <w:rsid w:val="00F4019D"/>
    <w:rsid w:val="00F4039B"/>
    <w:rsid w:val="00F40EED"/>
    <w:rsid w:val="00F425F1"/>
    <w:rsid w:val="00F430C3"/>
    <w:rsid w:val="00F44F26"/>
    <w:rsid w:val="00F45945"/>
    <w:rsid w:val="00F45B19"/>
    <w:rsid w:val="00F46075"/>
    <w:rsid w:val="00F463C1"/>
    <w:rsid w:val="00F47714"/>
    <w:rsid w:val="00F47951"/>
    <w:rsid w:val="00F47F72"/>
    <w:rsid w:val="00F5188E"/>
    <w:rsid w:val="00F5682E"/>
    <w:rsid w:val="00F57B8B"/>
    <w:rsid w:val="00F60B85"/>
    <w:rsid w:val="00F60BB8"/>
    <w:rsid w:val="00F60DF5"/>
    <w:rsid w:val="00F61647"/>
    <w:rsid w:val="00F6241D"/>
    <w:rsid w:val="00F63AC5"/>
    <w:rsid w:val="00F656F7"/>
    <w:rsid w:val="00F6591B"/>
    <w:rsid w:val="00F6628D"/>
    <w:rsid w:val="00F66D42"/>
    <w:rsid w:val="00F67FA7"/>
    <w:rsid w:val="00F71061"/>
    <w:rsid w:val="00F71A35"/>
    <w:rsid w:val="00F73F89"/>
    <w:rsid w:val="00F73F95"/>
    <w:rsid w:val="00F74863"/>
    <w:rsid w:val="00F7535E"/>
    <w:rsid w:val="00F75C17"/>
    <w:rsid w:val="00F75F73"/>
    <w:rsid w:val="00F76656"/>
    <w:rsid w:val="00F77C5F"/>
    <w:rsid w:val="00F80E53"/>
    <w:rsid w:val="00F82303"/>
    <w:rsid w:val="00F83222"/>
    <w:rsid w:val="00F8390B"/>
    <w:rsid w:val="00F8628E"/>
    <w:rsid w:val="00F875B1"/>
    <w:rsid w:val="00F87861"/>
    <w:rsid w:val="00F90170"/>
    <w:rsid w:val="00F922EA"/>
    <w:rsid w:val="00F92A37"/>
    <w:rsid w:val="00F937E5"/>
    <w:rsid w:val="00F94B3A"/>
    <w:rsid w:val="00F9515D"/>
    <w:rsid w:val="00F95171"/>
    <w:rsid w:val="00F954BD"/>
    <w:rsid w:val="00F96FAA"/>
    <w:rsid w:val="00FA1AEB"/>
    <w:rsid w:val="00FA229A"/>
    <w:rsid w:val="00FA28A2"/>
    <w:rsid w:val="00FA2FB8"/>
    <w:rsid w:val="00FA3204"/>
    <w:rsid w:val="00FA3F31"/>
    <w:rsid w:val="00FA51E5"/>
    <w:rsid w:val="00FA536F"/>
    <w:rsid w:val="00FA5A66"/>
    <w:rsid w:val="00FA785B"/>
    <w:rsid w:val="00FB11A2"/>
    <w:rsid w:val="00FB4943"/>
    <w:rsid w:val="00FB4C9D"/>
    <w:rsid w:val="00FB4D66"/>
    <w:rsid w:val="00FB64BF"/>
    <w:rsid w:val="00FB7772"/>
    <w:rsid w:val="00FB7F68"/>
    <w:rsid w:val="00FC0213"/>
    <w:rsid w:val="00FC1501"/>
    <w:rsid w:val="00FC2811"/>
    <w:rsid w:val="00FC4C24"/>
    <w:rsid w:val="00FC55DA"/>
    <w:rsid w:val="00FC7FF3"/>
    <w:rsid w:val="00FD3E3C"/>
    <w:rsid w:val="00FD41F4"/>
    <w:rsid w:val="00FD50F7"/>
    <w:rsid w:val="00FD573A"/>
    <w:rsid w:val="00FD60E8"/>
    <w:rsid w:val="00FD7411"/>
    <w:rsid w:val="00FE0903"/>
    <w:rsid w:val="00FE116F"/>
    <w:rsid w:val="00FE11CA"/>
    <w:rsid w:val="00FE1696"/>
    <w:rsid w:val="00FE2EE0"/>
    <w:rsid w:val="00FE33F8"/>
    <w:rsid w:val="00FE3AF5"/>
    <w:rsid w:val="00FE589B"/>
    <w:rsid w:val="00FE7544"/>
    <w:rsid w:val="00FE79F8"/>
    <w:rsid w:val="00FF0E3D"/>
    <w:rsid w:val="00FF1B78"/>
    <w:rsid w:val="00FF47FD"/>
    <w:rsid w:val="00FF6125"/>
    <w:rsid w:val="00FF6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2773"/>
  <w15:chartTrackingRefBased/>
  <w15:docId w15:val="{3437512E-392B-F04F-936F-88099493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1B"/>
    <w:rPr>
      <w:rFonts w:asciiTheme="minorHAnsi" w:eastAsia="Times New Roman" w:hAnsiTheme="minorHAnsi"/>
      <w:sz w:val="24"/>
      <w:szCs w:val="24"/>
    </w:rPr>
  </w:style>
  <w:style w:type="paragraph" w:styleId="Heading1">
    <w:name w:val="heading 1"/>
    <w:basedOn w:val="Normal"/>
    <w:next w:val="Normal"/>
    <w:link w:val="Heading1Char"/>
    <w:uiPriority w:val="9"/>
    <w:rsid w:val="00856A11"/>
    <w:pPr>
      <w:keepNext/>
      <w:keepLines/>
      <w:spacing w:before="240"/>
      <w:outlineLvl w:val="0"/>
    </w:pPr>
    <w:rPr>
      <w:rFonts w:ascii="Calibri Light" w:hAnsi="Calibri Light"/>
      <w:color w:val="3F3F42"/>
      <w:sz w:val="32"/>
      <w:szCs w:val="32"/>
    </w:rPr>
  </w:style>
  <w:style w:type="paragraph" w:styleId="Heading2">
    <w:name w:val="heading 2"/>
    <w:basedOn w:val="Normal"/>
    <w:next w:val="Normal"/>
    <w:link w:val="Heading2Char"/>
    <w:uiPriority w:val="9"/>
    <w:unhideWhenUsed/>
    <w:rsid w:val="00856A11"/>
    <w:pPr>
      <w:keepNext/>
      <w:keepLines/>
      <w:spacing w:before="40"/>
      <w:outlineLvl w:val="1"/>
    </w:pPr>
    <w:rPr>
      <w:rFonts w:ascii="Calibri Light" w:hAnsi="Calibri Light"/>
      <w:color w:val="3F3F42"/>
      <w:sz w:val="26"/>
      <w:szCs w:val="26"/>
    </w:rPr>
  </w:style>
  <w:style w:type="paragraph" w:styleId="Heading3">
    <w:name w:val="heading 3"/>
    <w:aliases w:val="Subhead2"/>
    <w:next w:val="Normal"/>
    <w:link w:val="Heading3Char"/>
    <w:uiPriority w:val="9"/>
    <w:unhideWhenUsed/>
    <w:rsid w:val="00856A11"/>
    <w:pPr>
      <w:numPr>
        <w:ilvl w:val="2"/>
        <w:numId w:val="4"/>
      </w:numPr>
      <w:spacing w:before="240" w:after="120"/>
      <w:outlineLvl w:val="2"/>
    </w:pPr>
    <w:rPr>
      <w:rFonts w:eastAsia="Times New Roman" w:cs="Calibri"/>
      <w:color w:val="BFBFBF"/>
      <w:sz w:val="28"/>
      <w:szCs w:val="28"/>
      <w:lang w:val="en-GB" w:eastAsia="en-US"/>
    </w:rPr>
  </w:style>
  <w:style w:type="paragraph" w:styleId="Heading4">
    <w:name w:val="heading 4"/>
    <w:basedOn w:val="Normal"/>
    <w:next w:val="Normal"/>
    <w:link w:val="Heading4Char"/>
    <w:uiPriority w:val="9"/>
    <w:unhideWhenUsed/>
    <w:rsid w:val="00856A11"/>
    <w:pPr>
      <w:keepNext/>
      <w:keepLines/>
      <w:spacing w:before="40"/>
      <w:outlineLvl w:val="3"/>
    </w:pPr>
    <w:rPr>
      <w:rFonts w:ascii="Calibri Light" w:hAnsi="Calibri Light"/>
      <w:i/>
      <w:iCs/>
      <w:color w:val="3F3F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Integer">
    <w:name w:val="3. Body (Integer)"/>
    <w:basedOn w:val="Normal"/>
    <w:uiPriority w:val="99"/>
    <w:qFormat/>
    <w:rsid w:val="00E32F4F"/>
    <w:pPr>
      <w:keepLines/>
      <w:widowControl w:val="0"/>
      <w:numPr>
        <w:ilvl w:val="1"/>
        <w:numId w:val="179"/>
      </w:numPr>
      <w:suppressAutoHyphens/>
      <w:autoSpaceDE w:val="0"/>
      <w:autoSpaceDN w:val="0"/>
      <w:adjustRightInd w:val="0"/>
      <w:spacing w:before="120" w:after="240" w:line="264" w:lineRule="auto"/>
      <w:ind w:left="567" w:hanging="567"/>
      <w:textAlignment w:val="center"/>
    </w:pPr>
    <w:rPr>
      <w:rFonts w:cs="National-Book"/>
      <w:color w:val="000000"/>
      <w:sz w:val="22"/>
      <w:szCs w:val="22"/>
    </w:rPr>
  </w:style>
  <w:style w:type="character" w:customStyle="1" w:styleId="italic">
    <w:name w:val="italic"/>
    <w:uiPriority w:val="99"/>
    <w:rsid w:val="00856A11"/>
    <w:rPr>
      <w:i/>
      <w:iCs/>
    </w:rPr>
  </w:style>
  <w:style w:type="character" w:styleId="CommentReference">
    <w:name w:val="annotation reference"/>
    <w:uiPriority w:val="99"/>
    <w:rsid w:val="00856A11"/>
    <w:rPr>
      <w:w w:val="100"/>
      <w:sz w:val="16"/>
      <w:szCs w:val="16"/>
    </w:rPr>
  </w:style>
  <w:style w:type="character" w:styleId="Hyperlink">
    <w:name w:val="Hyperlink"/>
    <w:uiPriority w:val="99"/>
    <w:rsid w:val="00856A11"/>
    <w:rPr>
      <w:color w:val="430098"/>
      <w:w w:val="100"/>
      <w:u w:val="single" w:color="430098"/>
    </w:rPr>
  </w:style>
  <w:style w:type="paragraph" w:customStyle="1" w:styleId="Introduction">
    <w:name w:val="Introduction"/>
    <w:basedOn w:val="3BodyInteger"/>
    <w:uiPriority w:val="99"/>
    <w:rsid w:val="00856A11"/>
    <w:pPr>
      <w:numPr>
        <w:ilvl w:val="0"/>
        <w:numId w:val="0"/>
      </w:numPr>
      <w:pBdr>
        <w:top w:val="single" w:sz="4" w:space="1" w:color="auto"/>
        <w:left w:val="single" w:sz="4" w:space="4" w:color="auto"/>
        <w:bottom w:val="single" w:sz="4" w:space="1" w:color="auto"/>
        <w:right w:val="single" w:sz="4" w:space="4" w:color="auto"/>
      </w:pBdr>
    </w:pPr>
  </w:style>
  <w:style w:type="paragraph" w:styleId="Header">
    <w:name w:val="header"/>
    <w:basedOn w:val="Normal"/>
    <w:link w:val="HeaderChar"/>
    <w:uiPriority w:val="99"/>
    <w:unhideWhenUsed/>
    <w:rsid w:val="00856A11"/>
    <w:pPr>
      <w:tabs>
        <w:tab w:val="center" w:pos="4513"/>
        <w:tab w:val="right" w:pos="9026"/>
      </w:tabs>
    </w:pPr>
  </w:style>
  <w:style w:type="character" w:customStyle="1" w:styleId="HeaderChar">
    <w:name w:val="Header Char"/>
    <w:basedOn w:val="DefaultParagraphFont"/>
    <w:link w:val="Header"/>
    <w:uiPriority w:val="99"/>
    <w:rsid w:val="00856A11"/>
    <w:rPr>
      <w:sz w:val="24"/>
      <w:szCs w:val="24"/>
      <w:lang w:eastAsia="en-US"/>
    </w:rPr>
  </w:style>
  <w:style w:type="paragraph" w:styleId="Footer">
    <w:name w:val="footer"/>
    <w:basedOn w:val="Normal"/>
    <w:link w:val="FooterChar"/>
    <w:uiPriority w:val="99"/>
    <w:unhideWhenUsed/>
    <w:rsid w:val="00856A11"/>
    <w:pPr>
      <w:tabs>
        <w:tab w:val="center" w:pos="4513"/>
        <w:tab w:val="right" w:pos="9026"/>
      </w:tabs>
    </w:pPr>
    <w:rPr>
      <w:color w:val="430098"/>
    </w:rPr>
  </w:style>
  <w:style w:type="character" w:customStyle="1" w:styleId="FooterChar">
    <w:name w:val="Footer Char"/>
    <w:link w:val="Footer"/>
    <w:uiPriority w:val="99"/>
    <w:rsid w:val="00856A11"/>
    <w:rPr>
      <w:color w:val="430098"/>
      <w:sz w:val="24"/>
      <w:szCs w:val="24"/>
      <w:lang w:eastAsia="en-US"/>
    </w:rPr>
  </w:style>
  <w:style w:type="character" w:styleId="PageNumber">
    <w:name w:val="page number"/>
    <w:basedOn w:val="DefaultParagraphFont"/>
    <w:uiPriority w:val="99"/>
    <w:semiHidden/>
    <w:unhideWhenUsed/>
    <w:rsid w:val="00856A11"/>
  </w:style>
  <w:style w:type="numbering" w:customStyle="1" w:styleId="OVICbullet">
    <w:name w:val="OVIC bullet"/>
    <w:uiPriority w:val="99"/>
    <w:rsid w:val="00856A11"/>
    <w:pPr>
      <w:numPr>
        <w:numId w:val="1"/>
      </w:numPr>
    </w:pPr>
  </w:style>
  <w:style w:type="paragraph" w:customStyle="1" w:styleId="1TitleLevel1">
    <w:name w:val="1. Title (Level 1)"/>
    <w:basedOn w:val="Header"/>
    <w:qFormat/>
    <w:rsid w:val="00856A11"/>
    <w:pPr>
      <w:keepNext/>
      <w:tabs>
        <w:tab w:val="clear" w:pos="9026"/>
        <w:tab w:val="left" w:pos="6946"/>
      </w:tabs>
      <w:spacing w:before="240" w:after="120"/>
      <w:outlineLvl w:val="0"/>
    </w:pPr>
    <w:rPr>
      <w:rFonts w:cs="Arial"/>
      <w:b/>
      <w:color w:val="430098"/>
      <w:sz w:val="36"/>
      <w:szCs w:val="40"/>
    </w:rPr>
  </w:style>
  <w:style w:type="paragraph" w:customStyle="1" w:styleId="Category">
    <w:name w:val="Category"/>
    <w:basedOn w:val="Header"/>
    <w:rsid w:val="00856A11"/>
  </w:style>
  <w:style w:type="paragraph" w:customStyle="1" w:styleId="ContentsSection1">
    <w:name w:val="Contents Section 1"/>
    <w:basedOn w:val="Normal"/>
    <w:uiPriority w:val="99"/>
    <w:rsid w:val="00856A11"/>
    <w:pPr>
      <w:widowControl w:val="0"/>
      <w:tabs>
        <w:tab w:val="left" w:pos="360"/>
        <w:tab w:val="right" w:pos="6340"/>
      </w:tabs>
      <w:autoSpaceDE w:val="0"/>
      <w:autoSpaceDN w:val="0"/>
      <w:adjustRightInd w:val="0"/>
      <w:spacing w:line="288" w:lineRule="auto"/>
      <w:ind w:left="360" w:hanging="360"/>
      <w:textAlignment w:val="center"/>
    </w:pPr>
    <w:rPr>
      <w:rFonts w:ascii="Calibri-Bold" w:hAnsi="Calibri-Bold" w:cs="Calibri-Bold"/>
      <w:b/>
      <w:bCs/>
      <w:color w:val="555559"/>
      <w:sz w:val="28"/>
      <w:szCs w:val="28"/>
    </w:rPr>
  </w:style>
  <w:style w:type="paragraph" w:customStyle="1" w:styleId="ContentsSubsection1">
    <w:name w:val="Contents Subsection 1"/>
    <w:basedOn w:val="Normal"/>
    <w:uiPriority w:val="99"/>
    <w:rsid w:val="00856A11"/>
    <w:pPr>
      <w:widowControl w:val="0"/>
      <w:tabs>
        <w:tab w:val="left" w:pos="360"/>
        <w:tab w:val="right" w:pos="6340"/>
      </w:tabs>
      <w:autoSpaceDE w:val="0"/>
      <w:autoSpaceDN w:val="0"/>
      <w:adjustRightInd w:val="0"/>
      <w:spacing w:line="288" w:lineRule="auto"/>
      <w:textAlignment w:val="center"/>
    </w:pPr>
    <w:rPr>
      <w:rFonts w:cs="Calibri"/>
      <w:color w:val="555559"/>
      <w:sz w:val="28"/>
      <w:szCs w:val="28"/>
    </w:rPr>
  </w:style>
  <w:style w:type="paragraph" w:styleId="TOC1">
    <w:name w:val="toc 1"/>
    <w:basedOn w:val="ContentsSection1"/>
    <w:next w:val="Normal"/>
    <w:autoRedefine/>
    <w:uiPriority w:val="39"/>
    <w:unhideWhenUsed/>
    <w:rsid w:val="00856A11"/>
    <w:pPr>
      <w:widowControl/>
      <w:tabs>
        <w:tab w:val="clear" w:pos="360"/>
        <w:tab w:val="clear" w:pos="6340"/>
      </w:tabs>
      <w:autoSpaceDE/>
      <w:autoSpaceDN/>
      <w:adjustRightInd/>
      <w:spacing w:before="240" w:after="120" w:line="240" w:lineRule="auto"/>
      <w:ind w:left="0" w:firstLine="0"/>
      <w:textAlignment w:val="auto"/>
    </w:pPr>
    <w:rPr>
      <w:rFonts w:asciiTheme="minorHAnsi" w:hAnsiTheme="minorHAnsi" w:cstheme="minorHAnsi"/>
      <w:color w:val="auto"/>
      <w:sz w:val="20"/>
      <w:szCs w:val="20"/>
    </w:rPr>
  </w:style>
  <w:style w:type="paragraph" w:styleId="TOC2">
    <w:name w:val="toc 2"/>
    <w:basedOn w:val="ContentsSubsection1"/>
    <w:next w:val="Normal"/>
    <w:autoRedefine/>
    <w:uiPriority w:val="39"/>
    <w:unhideWhenUsed/>
    <w:rsid w:val="00856A11"/>
    <w:pPr>
      <w:widowControl/>
      <w:tabs>
        <w:tab w:val="clear" w:pos="360"/>
        <w:tab w:val="clear" w:pos="6340"/>
      </w:tabs>
      <w:autoSpaceDE/>
      <w:autoSpaceDN/>
      <w:adjustRightInd/>
      <w:spacing w:before="120" w:line="240" w:lineRule="auto"/>
      <w:ind w:left="240"/>
      <w:textAlignment w:val="auto"/>
    </w:pPr>
    <w:rPr>
      <w:rFonts w:cstheme="minorHAnsi"/>
      <w:i/>
      <w:iCs/>
      <w:color w:val="auto"/>
      <w:sz w:val="20"/>
      <w:szCs w:val="20"/>
    </w:rPr>
  </w:style>
  <w:style w:type="paragraph" w:styleId="TOC3">
    <w:name w:val="toc 3"/>
    <w:basedOn w:val="Normal"/>
    <w:next w:val="Normal"/>
    <w:autoRedefine/>
    <w:uiPriority w:val="39"/>
    <w:unhideWhenUsed/>
    <w:rsid w:val="00856A11"/>
    <w:pPr>
      <w:ind w:left="480"/>
    </w:pPr>
    <w:rPr>
      <w:rFonts w:cstheme="minorHAnsi"/>
      <w:sz w:val="20"/>
      <w:szCs w:val="20"/>
    </w:rPr>
  </w:style>
  <w:style w:type="paragraph" w:styleId="TOC4">
    <w:name w:val="toc 4"/>
    <w:basedOn w:val="Normal"/>
    <w:next w:val="Normal"/>
    <w:autoRedefine/>
    <w:uiPriority w:val="39"/>
    <w:unhideWhenUsed/>
    <w:rsid w:val="00856A11"/>
    <w:pPr>
      <w:ind w:left="720"/>
    </w:pPr>
    <w:rPr>
      <w:rFonts w:cstheme="minorHAnsi"/>
      <w:sz w:val="20"/>
      <w:szCs w:val="20"/>
    </w:rPr>
  </w:style>
  <w:style w:type="paragraph" w:styleId="TOC5">
    <w:name w:val="toc 5"/>
    <w:basedOn w:val="Normal"/>
    <w:next w:val="Normal"/>
    <w:autoRedefine/>
    <w:uiPriority w:val="39"/>
    <w:unhideWhenUsed/>
    <w:rsid w:val="00856A11"/>
    <w:pPr>
      <w:ind w:left="960"/>
    </w:pPr>
    <w:rPr>
      <w:rFonts w:cstheme="minorHAnsi"/>
      <w:sz w:val="20"/>
      <w:szCs w:val="20"/>
    </w:rPr>
  </w:style>
  <w:style w:type="paragraph" w:styleId="TOC6">
    <w:name w:val="toc 6"/>
    <w:basedOn w:val="Normal"/>
    <w:next w:val="Normal"/>
    <w:autoRedefine/>
    <w:uiPriority w:val="39"/>
    <w:unhideWhenUsed/>
    <w:rsid w:val="00856A11"/>
    <w:pPr>
      <w:ind w:left="1200"/>
    </w:pPr>
    <w:rPr>
      <w:rFonts w:cstheme="minorHAnsi"/>
      <w:sz w:val="20"/>
      <w:szCs w:val="20"/>
    </w:rPr>
  </w:style>
  <w:style w:type="paragraph" w:styleId="TOC7">
    <w:name w:val="toc 7"/>
    <w:basedOn w:val="Normal"/>
    <w:next w:val="Normal"/>
    <w:autoRedefine/>
    <w:uiPriority w:val="39"/>
    <w:unhideWhenUsed/>
    <w:rsid w:val="00856A11"/>
    <w:pPr>
      <w:ind w:left="1440"/>
    </w:pPr>
    <w:rPr>
      <w:rFonts w:cstheme="minorHAnsi"/>
      <w:sz w:val="20"/>
      <w:szCs w:val="20"/>
    </w:rPr>
  </w:style>
  <w:style w:type="paragraph" w:styleId="TOC8">
    <w:name w:val="toc 8"/>
    <w:basedOn w:val="Normal"/>
    <w:next w:val="Normal"/>
    <w:autoRedefine/>
    <w:uiPriority w:val="39"/>
    <w:unhideWhenUsed/>
    <w:rsid w:val="00856A11"/>
    <w:pPr>
      <w:ind w:left="1680"/>
    </w:pPr>
    <w:rPr>
      <w:rFonts w:cstheme="minorHAnsi"/>
      <w:sz w:val="20"/>
      <w:szCs w:val="20"/>
    </w:rPr>
  </w:style>
  <w:style w:type="paragraph" w:styleId="TOC9">
    <w:name w:val="toc 9"/>
    <w:basedOn w:val="Normal"/>
    <w:next w:val="Normal"/>
    <w:autoRedefine/>
    <w:uiPriority w:val="39"/>
    <w:unhideWhenUsed/>
    <w:rsid w:val="00856A11"/>
    <w:pPr>
      <w:ind w:left="1920"/>
    </w:pPr>
    <w:rPr>
      <w:rFonts w:cstheme="minorHAnsi"/>
      <w:sz w:val="20"/>
      <w:szCs w:val="20"/>
    </w:rPr>
  </w:style>
  <w:style w:type="numbering" w:styleId="111111">
    <w:name w:val="Outline List 2"/>
    <w:basedOn w:val="NoList"/>
    <w:uiPriority w:val="99"/>
    <w:semiHidden/>
    <w:unhideWhenUsed/>
    <w:rsid w:val="00856A11"/>
    <w:pPr>
      <w:numPr>
        <w:numId w:val="2"/>
      </w:numPr>
    </w:pPr>
  </w:style>
  <w:style w:type="numbering" w:customStyle="1" w:styleId="OVICHeadings">
    <w:name w:val="OVIC Headings"/>
    <w:uiPriority w:val="99"/>
    <w:rsid w:val="00856A11"/>
    <w:pPr>
      <w:numPr>
        <w:numId w:val="3"/>
      </w:numPr>
    </w:pPr>
  </w:style>
  <w:style w:type="paragraph" w:styleId="NormalWeb">
    <w:name w:val="Normal (Web)"/>
    <w:basedOn w:val="Normal"/>
    <w:uiPriority w:val="99"/>
    <w:semiHidden/>
    <w:unhideWhenUsed/>
    <w:rsid w:val="00856A11"/>
    <w:pPr>
      <w:spacing w:before="100" w:beforeAutospacing="1" w:after="100" w:afterAutospacing="1"/>
    </w:pPr>
  </w:style>
  <w:style w:type="character" w:customStyle="1" w:styleId="Heading1Char">
    <w:name w:val="Heading 1 Char"/>
    <w:link w:val="Heading1"/>
    <w:uiPriority w:val="9"/>
    <w:rsid w:val="00856A11"/>
    <w:rPr>
      <w:rFonts w:ascii="Calibri Light" w:eastAsia="Times New Roman" w:hAnsi="Calibri Light"/>
      <w:color w:val="3F3F42"/>
      <w:sz w:val="32"/>
      <w:szCs w:val="32"/>
      <w:lang w:eastAsia="en-US"/>
    </w:rPr>
  </w:style>
  <w:style w:type="character" w:customStyle="1" w:styleId="Heading2Char">
    <w:name w:val="Heading 2 Char"/>
    <w:link w:val="Heading2"/>
    <w:uiPriority w:val="9"/>
    <w:rsid w:val="00856A11"/>
    <w:rPr>
      <w:rFonts w:ascii="Calibri Light" w:eastAsia="Times New Roman" w:hAnsi="Calibri Light"/>
      <w:color w:val="3F3F42"/>
      <w:sz w:val="26"/>
      <w:szCs w:val="26"/>
      <w:lang w:eastAsia="en-US"/>
    </w:rPr>
  </w:style>
  <w:style w:type="paragraph" w:customStyle="1" w:styleId="Body">
    <w:name w:val="Body"/>
    <w:basedOn w:val="Normal"/>
    <w:qFormat/>
    <w:rsid w:val="00744DBD"/>
    <w:pPr>
      <w:spacing w:before="120" w:after="240" w:line="264" w:lineRule="auto"/>
    </w:pPr>
    <w:rPr>
      <w:color w:val="000000"/>
      <w:sz w:val="22"/>
    </w:rPr>
  </w:style>
  <w:style w:type="character" w:customStyle="1" w:styleId="Heading3Char">
    <w:name w:val="Heading 3 Char"/>
    <w:aliases w:val="Subhead2 Char"/>
    <w:link w:val="Heading3"/>
    <w:uiPriority w:val="9"/>
    <w:rsid w:val="00856A11"/>
    <w:rPr>
      <w:rFonts w:eastAsia="Times New Roman" w:cs="Calibri"/>
      <w:color w:val="BFBFBF"/>
      <w:sz w:val="28"/>
      <w:szCs w:val="28"/>
      <w:lang w:val="en-GB" w:eastAsia="en-US"/>
    </w:rPr>
  </w:style>
  <w:style w:type="character" w:customStyle="1" w:styleId="Heading4Char">
    <w:name w:val="Heading 4 Char"/>
    <w:link w:val="Heading4"/>
    <w:uiPriority w:val="9"/>
    <w:rsid w:val="00856A11"/>
    <w:rPr>
      <w:rFonts w:ascii="Calibri Light" w:eastAsia="Times New Roman" w:hAnsi="Calibri Light"/>
      <w:i/>
      <w:iCs/>
      <w:color w:val="3F3F42"/>
      <w:sz w:val="24"/>
      <w:szCs w:val="24"/>
      <w:lang w:eastAsia="en-US"/>
    </w:rPr>
  </w:style>
  <w:style w:type="table" w:styleId="TableGrid">
    <w:name w:val="Table Grid"/>
    <w:basedOn w:val="TableNormal"/>
    <w:uiPriority w:val="39"/>
    <w:rsid w:val="0085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56A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urfulAccent31">
    <w:name w:val="Grid Table 6 Colourful – Accent 31"/>
    <w:basedOn w:val="TableNormal"/>
    <w:uiPriority w:val="51"/>
    <w:rsid w:val="00856A11"/>
    <w:rPr>
      <w:color w:val="C93910"/>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856A11"/>
    <w:rPr>
      <w:color w:val="98877A"/>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numbering" w:styleId="1ai">
    <w:name w:val="Outline List 1"/>
    <w:basedOn w:val="NoList"/>
    <w:uiPriority w:val="99"/>
    <w:semiHidden/>
    <w:unhideWhenUsed/>
    <w:rsid w:val="00856A11"/>
    <w:pPr>
      <w:numPr>
        <w:numId w:val="5"/>
      </w:numPr>
    </w:pPr>
  </w:style>
  <w:style w:type="paragraph" w:styleId="BalloonText">
    <w:name w:val="Balloon Text"/>
    <w:basedOn w:val="Normal"/>
    <w:link w:val="BalloonTextChar"/>
    <w:uiPriority w:val="99"/>
    <w:semiHidden/>
    <w:unhideWhenUsed/>
    <w:rsid w:val="00856A11"/>
    <w:rPr>
      <w:sz w:val="18"/>
      <w:szCs w:val="18"/>
    </w:rPr>
  </w:style>
  <w:style w:type="character" w:customStyle="1" w:styleId="BalloonTextChar">
    <w:name w:val="Balloon Text Char"/>
    <w:link w:val="BalloonText"/>
    <w:uiPriority w:val="99"/>
    <w:semiHidden/>
    <w:rsid w:val="00856A11"/>
    <w:rPr>
      <w:rFonts w:ascii="Times New Roman" w:hAnsi="Times New Roman"/>
      <w:sz w:val="18"/>
      <w:szCs w:val="18"/>
      <w:lang w:eastAsia="en-US"/>
    </w:rPr>
  </w:style>
  <w:style w:type="paragraph" w:customStyle="1" w:styleId="2HeadingLevel2">
    <w:name w:val="2. Heading (Level 2)"/>
    <w:basedOn w:val="Heading1"/>
    <w:qFormat/>
    <w:rsid w:val="00856A11"/>
    <w:pPr>
      <w:keepLines w:val="0"/>
      <w:spacing w:after="120" w:line="264" w:lineRule="auto"/>
      <w:outlineLvl w:val="1"/>
    </w:pPr>
    <w:rPr>
      <w:rFonts w:ascii="Calibri" w:hAnsi="Calibri"/>
      <w:b/>
      <w:color w:val="5620A9"/>
      <w:sz w:val="28"/>
    </w:rPr>
  </w:style>
  <w:style w:type="paragraph" w:customStyle="1" w:styleId="3SubheadingLevel3">
    <w:name w:val="3. Subheading (Level 3)"/>
    <w:basedOn w:val="Heading2"/>
    <w:qFormat/>
    <w:rsid w:val="0006774D"/>
    <w:pPr>
      <w:keepLines w:val="0"/>
      <w:spacing w:before="120" w:after="240" w:line="264" w:lineRule="auto"/>
      <w:outlineLvl w:val="2"/>
    </w:pPr>
    <w:rPr>
      <w:rFonts w:ascii="Calibri" w:hAnsi="Calibri"/>
      <w:b/>
      <w:i/>
      <w:color w:val="430098"/>
      <w:sz w:val="24"/>
    </w:rPr>
  </w:style>
  <w:style w:type="paragraph" w:styleId="TOCHeading">
    <w:name w:val="TOC Heading"/>
    <w:basedOn w:val="Heading1"/>
    <w:next w:val="Normal"/>
    <w:uiPriority w:val="39"/>
    <w:unhideWhenUsed/>
    <w:qFormat/>
    <w:rsid w:val="00856A11"/>
    <w:pPr>
      <w:spacing w:before="480" w:line="276" w:lineRule="auto"/>
      <w:outlineLvl w:val="9"/>
    </w:pPr>
    <w:rPr>
      <w:rFonts w:asciiTheme="minorHAnsi" w:hAnsiTheme="minorHAnsi"/>
      <w:b/>
      <w:bCs/>
      <w:color w:val="430098"/>
      <w:sz w:val="28"/>
      <w:szCs w:val="28"/>
      <w:lang w:val="en-US"/>
    </w:rPr>
  </w:style>
  <w:style w:type="paragraph" w:styleId="EndnoteText">
    <w:name w:val="endnote text"/>
    <w:basedOn w:val="Normal"/>
    <w:link w:val="EndnoteTextChar"/>
    <w:uiPriority w:val="99"/>
    <w:unhideWhenUsed/>
    <w:rsid w:val="00856A11"/>
    <w:rPr>
      <w:sz w:val="20"/>
      <w:szCs w:val="20"/>
    </w:rPr>
  </w:style>
  <w:style w:type="character" w:customStyle="1" w:styleId="EndnoteTextChar">
    <w:name w:val="Endnote Text Char"/>
    <w:basedOn w:val="DefaultParagraphFont"/>
    <w:link w:val="EndnoteText"/>
    <w:uiPriority w:val="99"/>
    <w:rsid w:val="00856A11"/>
    <w:rPr>
      <w:lang w:eastAsia="en-US"/>
    </w:rPr>
  </w:style>
  <w:style w:type="character" w:styleId="EndnoteReference">
    <w:name w:val="endnote reference"/>
    <w:basedOn w:val="DefaultParagraphFont"/>
    <w:uiPriority w:val="99"/>
    <w:semiHidden/>
    <w:unhideWhenUsed/>
    <w:rsid w:val="00856A11"/>
    <w:rPr>
      <w:vertAlign w:val="superscript"/>
    </w:rPr>
  </w:style>
  <w:style w:type="paragraph" w:styleId="FootnoteText">
    <w:name w:val="footnote text"/>
    <w:basedOn w:val="Normal"/>
    <w:link w:val="FootnoteTextChar"/>
    <w:uiPriority w:val="99"/>
    <w:unhideWhenUsed/>
    <w:qFormat/>
    <w:rsid w:val="00E64DFB"/>
    <w:rPr>
      <w:sz w:val="20"/>
      <w:szCs w:val="20"/>
    </w:rPr>
  </w:style>
  <w:style w:type="character" w:customStyle="1" w:styleId="FootnoteTextChar">
    <w:name w:val="Footnote Text Char"/>
    <w:basedOn w:val="DefaultParagraphFont"/>
    <w:link w:val="FootnoteText"/>
    <w:uiPriority w:val="99"/>
    <w:rsid w:val="00E64DFB"/>
    <w:rPr>
      <w:lang w:eastAsia="en-US"/>
    </w:rPr>
  </w:style>
  <w:style w:type="character" w:styleId="FootnoteReference">
    <w:name w:val="footnote reference"/>
    <w:basedOn w:val="DefaultParagraphFont"/>
    <w:uiPriority w:val="99"/>
    <w:semiHidden/>
    <w:unhideWhenUsed/>
    <w:rsid w:val="00E64DFB"/>
    <w:rPr>
      <w:vertAlign w:val="superscript"/>
    </w:rPr>
  </w:style>
  <w:style w:type="paragraph" w:styleId="ListParagraph">
    <w:name w:val="List Paragraph"/>
    <w:basedOn w:val="Normal"/>
    <w:uiPriority w:val="34"/>
    <w:qFormat/>
    <w:rsid w:val="002E328D"/>
    <w:pPr>
      <w:ind w:left="720"/>
      <w:contextualSpacing/>
    </w:pPr>
  </w:style>
  <w:style w:type="character" w:styleId="FollowedHyperlink">
    <w:name w:val="FollowedHyperlink"/>
    <w:basedOn w:val="DefaultParagraphFont"/>
    <w:uiPriority w:val="99"/>
    <w:semiHidden/>
    <w:unhideWhenUsed/>
    <w:rsid w:val="00F66D42"/>
    <w:rPr>
      <w:color w:val="954F72" w:themeColor="followedHyperlink"/>
      <w:u w:val="single"/>
    </w:rPr>
  </w:style>
  <w:style w:type="character" w:styleId="UnresolvedMention">
    <w:name w:val="Unresolved Mention"/>
    <w:basedOn w:val="DefaultParagraphFont"/>
    <w:uiPriority w:val="99"/>
    <w:semiHidden/>
    <w:unhideWhenUsed/>
    <w:rsid w:val="00914815"/>
    <w:rPr>
      <w:color w:val="605E5C"/>
      <w:shd w:val="clear" w:color="auto" w:fill="E1DFDD"/>
    </w:rPr>
  </w:style>
  <w:style w:type="paragraph" w:styleId="CommentText">
    <w:name w:val="annotation text"/>
    <w:basedOn w:val="Normal"/>
    <w:link w:val="CommentTextChar"/>
    <w:uiPriority w:val="99"/>
    <w:unhideWhenUsed/>
    <w:rsid w:val="00856A11"/>
    <w:rPr>
      <w:sz w:val="20"/>
      <w:szCs w:val="20"/>
    </w:rPr>
  </w:style>
  <w:style w:type="character" w:customStyle="1" w:styleId="CommentTextChar">
    <w:name w:val="Comment Text Char"/>
    <w:basedOn w:val="DefaultParagraphFont"/>
    <w:link w:val="CommentText"/>
    <w:uiPriority w:val="99"/>
    <w:rsid w:val="00856A11"/>
    <w:rPr>
      <w:lang w:eastAsia="en-US"/>
    </w:rPr>
  </w:style>
  <w:style w:type="paragraph" w:styleId="CommentSubject">
    <w:name w:val="annotation subject"/>
    <w:basedOn w:val="CommentText"/>
    <w:next w:val="CommentText"/>
    <w:link w:val="CommentSubjectChar"/>
    <w:uiPriority w:val="99"/>
    <w:semiHidden/>
    <w:unhideWhenUsed/>
    <w:rsid w:val="00856A11"/>
    <w:rPr>
      <w:b/>
      <w:bCs/>
    </w:rPr>
  </w:style>
  <w:style w:type="character" w:customStyle="1" w:styleId="CommentSubjectChar">
    <w:name w:val="Comment Subject Char"/>
    <w:basedOn w:val="CommentTextChar"/>
    <w:link w:val="CommentSubject"/>
    <w:uiPriority w:val="99"/>
    <w:semiHidden/>
    <w:rsid w:val="00856A11"/>
    <w:rPr>
      <w:b/>
      <w:bCs/>
      <w:lang w:eastAsia="en-US"/>
    </w:rPr>
  </w:style>
  <w:style w:type="paragraph" w:styleId="Revision">
    <w:name w:val="Revision"/>
    <w:hidden/>
    <w:uiPriority w:val="99"/>
    <w:semiHidden/>
    <w:rsid w:val="00856A11"/>
    <w:rPr>
      <w:sz w:val="24"/>
      <w:szCs w:val="24"/>
      <w:lang w:eastAsia="en-US"/>
    </w:rPr>
  </w:style>
  <w:style w:type="paragraph" w:customStyle="1" w:styleId="4Sub-subheadingLevel4">
    <w:name w:val="4. Sub-subheading (Level 4)"/>
    <w:basedOn w:val="Normal"/>
    <w:next w:val="Body"/>
    <w:qFormat/>
    <w:rsid w:val="004B78E4"/>
    <w:pPr>
      <w:keepNext/>
      <w:spacing w:before="120" w:after="240"/>
      <w:outlineLvl w:val="3"/>
    </w:pPr>
    <w:rPr>
      <w:rFonts w:ascii="Calibri" w:hAnsi="Calibri" w:cs="Calibri"/>
      <w:b/>
      <w:bCs/>
      <w:iCs/>
      <w:color w:val="000000" w:themeColor="text1"/>
      <w:sz w:val="22"/>
      <w:szCs w:val="44"/>
      <w:lang w:val="en-GB" w:eastAsia="en-US"/>
    </w:rPr>
  </w:style>
  <w:style w:type="paragraph" w:customStyle="1" w:styleId="NumberedBody">
    <w:name w:val="Numbered Body"/>
    <w:basedOn w:val="Normal"/>
    <w:uiPriority w:val="99"/>
    <w:qFormat/>
    <w:rsid w:val="00E64736"/>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paragraph" w:customStyle="1" w:styleId="3Body">
    <w:name w:val="3. Body"/>
    <w:basedOn w:val="Normal"/>
    <w:uiPriority w:val="99"/>
    <w:qFormat/>
    <w:rsid w:val="00BC7ED8"/>
    <w:pPr>
      <w:keepLines/>
      <w:widowControl w:val="0"/>
      <w:suppressAutoHyphens/>
      <w:autoSpaceDE w:val="0"/>
      <w:autoSpaceDN w:val="0"/>
      <w:adjustRightInd w:val="0"/>
      <w:spacing w:before="120" w:after="240" w:line="264" w:lineRule="auto"/>
      <w:ind w:left="567" w:hanging="567"/>
      <w:textAlignment w:val="center"/>
    </w:pPr>
    <w:rPr>
      <w:rFonts w:cs="National-Book"/>
      <w:color w:val="000000"/>
      <w:sz w:val="22"/>
    </w:rPr>
  </w:style>
  <w:style w:type="character" w:customStyle="1" w:styleId="cf01">
    <w:name w:val="cf01"/>
    <w:basedOn w:val="DefaultParagraphFont"/>
    <w:rsid w:val="0055044A"/>
    <w:rPr>
      <w:rFonts w:ascii="Segoe UI" w:hAnsi="Segoe UI" w:cs="Segoe UI" w:hint="default"/>
      <w:sz w:val="18"/>
      <w:szCs w:val="18"/>
    </w:rPr>
  </w:style>
  <w:style w:type="character" w:styleId="Emphasis">
    <w:name w:val="Emphasis"/>
    <w:basedOn w:val="DefaultParagraphFont"/>
    <w:uiPriority w:val="20"/>
    <w:qFormat/>
    <w:rsid w:val="008A7277"/>
    <w:rPr>
      <w:i/>
      <w:iCs/>
    </w:rPr>
  </w:style>
  <w:style w:type="character" w:customStyle="1" w:styleId="coparagraphtext">
    <w:name w:val="co_paragraphtext"/>
    <w:basedOn w:val="DefaultParagraphFont"/>
    <w:rsid w:val="002D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457">
      <w:bodyDiv w:val="1"/>
      <w:marLeft w:val="0"/>
      <w:marRight w:val="0"/>
      <w:marTop w:val="0"/>
      <w:marBottom w:val="0"/>
      <w:divBdr>
        <w:top w:val="none" w:sz="0" w:space="0" w:color="auto"/>
        <w:left w:val="none" w:sz="0" w:space="0" w:color="auto"/>
        <w:bottom w:val="none" w:sz="0" w:space="0" w:color="auto"/>
        <w:right w:val="none" w:sz="0" w:space="0" w:color="auto"/>
      </w:divBdr>
    </w:div>
    <w:div w:id="13582498">
      <w:bodyDiv w:val="1"/>
      <w:marLeft w:val="0"/>
      <w:marRight w:val="0"/>
      <w:marTop w:val="0"/>
      <w:marBottom w:val="0"/>
      <w:divBdr>
        <w:top w:val="none" w:sz="0" w:space="0" w:color="auto"/>
        <w:left w:val="none" w:sz="0" w:space="0" w:color="auto"/>
        <w:bottom w:val="none" w:sz="0" w:space="0" w:color="auto"/>
        <w:right w:val="none" w:sz="0" w:space="0" w:color="auto"/>
      </w:divBdr>
    </w:div>
    <w:div w:id="17971059">
      <w:bodyDiv w:val="1"/>
      <w:marLeft w:val="0"/>
      <w:marRight w:val="0"/>
      <w:marTop w:val="0"/>
      <w:marBottom w:val="0"/>
      <w:divBdr>
        <w:top w:val="none" w:sz="0" w:space="0" w:color="auto"/>
        <w:left w:val="none" w:sz="0" w:space="0" w:color="auto"/>
        <w:bottom w:val="none" w:sz="0" w:space="0" w:color="auto"/>
        <w:right w:val="none" w:sz="0" w:space="0" w:color="auto"/>
      </w:divBdr>
    </w:div>
    <w:div w:id="23094732">
      <w:bodyDiv w:val="1"/>
      <w:marLeft w:val="0"/>
      <w:marRight w:val="0"/>
      <w:marTop w:val="0"/>
      <w:marBottom w:val="0"/>
      <w:divBdr>
        <w:top w:val="none" w:sz="0" w:space="0" w:color="auto"/>
        <w:left w:val="none" w:sz="0" w:space="0" w:color="auto"/>
        <w:bottom w:val="none" w:sz="0" w:space="0" w:color="auto"/>
        <w:right w:val="none" w:sz="0" w:space="0" w:color="auto"/>
      </w:divBdr>
    </w:div>
    <w:div w:id="25109842">
      <w:bodyDiv w:val="1"/>
      <w:marLeft w:val="0"/>
      <w:marRight w:val="0"/>
      <w:marTop w:val="0"/>
      <w:marBottom w:val="0"/>
      <w:divBdr>
        <w:top w:val="none" w:sz="0" w:space="0" w:color="auto"/>
        <w:left w:val="none" w:sz="0" w:space="0" w:color="auto"/>
        <w:bottom w:val="none" w:sz="0" w:space="0" w:color="auto"/>
        <w:right w:val="none" w:sz="0" w:space="0" w:color="auto"/>
      </w:divBdr>
    </w:div>
    <w:div w:id="26564095">
      <w:bodyDiv w:val="1"/>
      <w:marLeft w:val="0"/>
      <w:marRight w:val="0"/>
      <w:marTop w:val="0"/>
      <w:marBottom w:val="0"/>
      <w:divBdr>
        <w:top w:val="none" w:sz="0" w:space="0" w:color="auto"/>
        <w:left w:val="none" w:sz="0" w:space="0" w:color="auto"/>
        <w:bottom w:val="none" w:sz="0" w:space="0" w:color="auto"/>
        <w:right w:val="none" w:sz="0" w:space="0" w:color="auto"/>
      </w:divBdr>
    </w:div>
    <w:div w:id="29034930">
      <w:bodyDiv w:val="1"/>
      <w:marLeft w:val="0"/>
      <w:marRight w:val="0"/>
      <w:marTop w:val="0"/>
      <w:marBottom w:val="0"/>
      <w:divBdr>
        <w:top w:val="none" w:sz="0" w:space="0" w:color="auto"/>
        <w:left w:val="none" w:sz="0" w:space="0" w:color="auto"/>
        <w:bottom w:val="none" w:sz="0" w:space="0" w:color="auto"/>
        <w:right w:val="none" w:sz="0" w:space="0" w:color="auto"/>
      </w:divBdr>
    </w:div>
    <w:div w:id="31999499">
      <w:bodyDiv w:val="1"/>
      <w:marLeft w:val="0"/>
      <w:marRight w:val="0"/>
      <w:marTop w:val="0"/>
      <w:marBottom w:val="0"/>
      <w:divBdr>
        <w:top w:val="none" w:sz="0" w:space="0" w:color="auto"/>
        <w:left w:val="none" w:sz="0" w:space="0" w:color="auto"/>
        <w:bottom w:val="none" w:sz="0" w:space="0" w:color="auto"/>
        <w:right w:val="none" w:sz="0" w:space="0" w:color="auto"/>
      </w:divBdr>
    </w:div>
    <w:div w:id="34740698">
      <w:bodyDiv w:val="1"/>
      <w:marLeft w:val="0"/>
      <w:marRight w:val="0"/>
      <w:marTop w:val="0"/>
      <w:marBottom w:val="0"/>
      <w:divBdr>
        <w:top w:val="none" w:sz="0" w:space="0" w:color="auto"/>
        <w:left w:val="none" w:sz="0" w:space="0" w:color="auto"/>
        <w:bottom w:val="none" w:sz="0" w:space="0" w:color="auto"/>
        <w:right w:val="none" w:sz="0" w:space="0" w:color="auto"/>
      </w:divBdr>
    </w:div>
    <w:div w:id="37434827">
      <w:bodyDiv w:val="1"/>
      <w:marLeft w:val="0"/>
      <w:marRight w:val="0"/>
      <w:marTop w:val="0"/>
      <w:marBottom w:val="0"/>
      <w:divBdr>
        <w:top w:val="none" w:sz="0" w:space="0" w:color="auto"/>
        <w:left w:val="none" w:sz="0" w:space="0" w:color="auto"/>
        <w:bottom w:val="none" w:sz="0" w:space="0" w:color="auto"/>
        <w:right w:val="none" w:sz="0" w:space="0" w:color="auto"/>
      </w:divBdr>
    </w:div>
    <w:div w:id="38826034">
      <w:bodyDiv w:val="1"/>
      <w:marLeft w:val="0"/>
      <w:marRight w:val="0"/>
      <w:marTop w:val="0"/>
      <w:marBottom w:val="0"/>
      <w:divBdr>
        <w:top w:val="none" w:sz="0" w:space="0" w:color="auto"/>
        <w:left w:val="none" w:sz="0" w:space="0" w:color="auto"/>
        <w:bottom w:val="none" w:sz="0" w:space="0" w:color="auto"/>
        <w:right w:val="none" w:sz="0" w:space="0" w:color="auto"/>
      </w:divBdr>
    </w:div>
    <w:div w:id="40905956">
      <w:bodyDiv w:val="1"/>
      <w:marLeft w:val="0"/>
      <w:marRight w:val="0"/>
      <w:marTop w:val="0"/>
      <w:marBottom w:val="0"/>
      <w:divBdr>
        <w:top w:val="none" w:sz="0" w:space="0" w:color="auto"/>
        <w:left w:val="none" w:sz="0" w:space="0" w:color="auto"/>
        <w:bottom w:val="none" w:sz="0" w:space="0" w:color="auto"/>
        <w:right w:val="none" w:sz="0" w:space="0" w:color="auto"/>
      </w:divBdr>
    </w:div>
    <w:div w:id="45837524">
      <w:bodyDiv w:val="1"/>
      <w:marLeft w:val="0"/>
      <w:marRight w:val="0"/>
      <w:marTop w:val="0"/>
      <w:marBottom w:val="0"/>
      <w:divBdr>
        <w:top w:val="none" w:sz="0" w:space="0" w:color="auto"/>
        <w:left w:val="none" w:sz="0" w:space="0" w:color="auto"/>
        <w:bottom w:val="none" w:sz="0" w:space="0" w:color="auto"/>
        <w:right w:val="none" w:sz="0" w:space="0" w:color="auto"/>
      </w:divBdr>
    </w:div>
    <w:div w:id="63645730">
      <w:bodyDiv w:val="1"/>
      <w:marLeft w:val="0"/>
      <w:marRight w:val="0"/>
      <w:marTop w:val="0"/>
      <w:marBottom w:val="0"/>
      <w:divBdr>
        <w:top w:val="none" w:sz="0" w:space="0" w:color="auto"/>
        <w:left w:val="none" w:sz="0" w:space="0" w:color="auto"/>
        <w:bottom w:val="none" w:sz="0" w:space="0" w:color="auto"/>
        <w:right w:val="none" w:sz="0" w:space="0" w:color="auto"/>
      </w:divBdr>
    </w:div>
    <w:div w:id="67920784">
      <w:bodyDiv w:val="1"/>
      <w:marLeft w:val="0"/>
      <w:marRight w:val="0"/>
      <w:marTop w:val="0"/>
      <w:marBottom w:val="0"/>
      <w:divBdr>
        <w:top w:val="none" w:sz="0" w:space="0" w:color="auto"/>
        <w:left w:val="none" w:sz="0" w:space="0" w:color="auto"/>
        <w:bottom w:val="none" w:sz="0" w:space="0" w:color="auto"/>
        <w:right w:val="none" w:sz="0" w:space="0" w:color="auto"/>
      </w:divBdr>
    </w:div>
    <w:div w:id="70003287">
      <w:bodyDiv w:val="1"/>
      <w:marLeft w:val="0"/>
      <w:marRight w:val="0"/>
      <w:marTop w:val="0"/>
      <w:marBottom w:val="0"/>
      <w:divBdr>
        <w:top w:val="none" w:sz="0" w:space="0" w:color="auto"/>
        <w:left w:val="none" w:sz="0" w:space="0" w:color="auto"/>
        <w:bottom w:val="none" w:sz="0" w:space="0" w:color="auto"/>
        <w:right w:val="none" w:sz="0" w:space="0" w:color="auto"/>
      </w:divBdr>
    </w:div>
    <w:div w:id="79642216">
      <w:bodyDiv w:val="1"/>
      <w:marLeft w:val="0"/>
      <w:marRight w:val="0"/>
      <w:marTop w:val="0"/>
      <w:marBottom w:val="0"/>
      <w:divBdr>
        <w:top w:val="none" w:sz="0" w:space="0" w:color="auto"/>
        <w:left w:val="none" w:sz="0" w:space="0" w:color="auto"/>
        <w:bottom w:val="none" w:sz="0" w:space="0" w:color="auto"/>
        <w:right w:val="none" w:sz="0" w:space="0" w:color="auto"/>
      </w:divBdr>
    </w:div>
    <w:div w:id="82999979">
      <w:bodyDiv w:val="1"/>
      <w:marLeft w:val="0"/>
      <w:marRight w:val="0"/>
      <w:marTop w:val="0"/>
      <w:marBottom w:val="0"/>
      <w:divBdr>
        <w:top w:val="none" w:sz="0" w:space="0" w:color="auto"/>
        <w:left w:val="none" w:sz="0" w:space="0" w:color="auto"/>
        <w:bottom w:val="none" w:sz="0" w:space="0" w:color="auto"/>
        <w:right w:val="none" w:sz="0" w:space="0" w:color="auto"/>
      </w:divBdr>
    </w:div>
    <w:div w:id="86538188">
      <w:bodyDiv w:val="1"/>
      <w:marLeft w:val="0"/>
      <w:marRight w:val="0"/>
      <w:marTop w:val="0"/>
      <w:marBottom w:val="0"/>
      <w:divBdr>
        <w:top w:val="none" w:sz="0" w:space="0" w:color="auto"/>
        <w:left w:val="none" w:sz="0" w:space="0" w:color="auto"/>
        <w:bottom w:val="none" w:sz="0" w:space="0" w:color="auto"/>
        <w:right w:val="none" w:sz="0" w:space="0" w:color="auto"/>
      </w:divBdr>
    </w:div>
    <w:div w:id="93402655">
      <w:bodyDiv w:val="1"/>
      <w:marLeft w:val="0"/>
      <w:marRight w:val="0"/>
      <w:marTop w:val="0"/>
      <w:marBottom w:val="0"/>
      <w:divBdr>
        <w:top w:val="none" w:sz="0" w:space="0" w:color="auto"/>
        <w:left w:val="none" w:sz="0" w:space="0" w:color="auto"/>
        <w:bottom w:val="none" w:sz="0" w:space="0" w:color="auto"/>
        <w:right w:val="none" w:sz="0" w:space="0" w:color="auto"/>
      </w:divBdr>
    </w:div>
    <w:div w:id="94640566">
      <w:bodyDiv w:val="1"/>
      <w:marLeft w:val="0"/>
      <w:marRight w:val="0"/>
      <w:marTop w:val="0"/>
      <w:marBottom w:val="0"/>
      <w:divBdr>
        <w:top w:val="none" w:sz="0" w:space="0" w:color="auto"/>
        <w:left w:val="none" w:sz="0" w:space="0" w:color="auto"/>
        <w:bottom w:val="none" w:sz="0" w:space="0" w:color="auto"/>
        <w:right w:val="none" w:sz="0" w:space="0" w:color="auto"/>
      </w:divBdr>
    </w:div>
    <w:div w:id="96868864">
      <w:bodyDiv w:val="1"/>
      <w:marLeft w:val="0"/>
      <w:marRight w:val="0"/>
      <w:marTop w:val="0"/>
      <w:marBottom w:val="0"/>
      <w:divBdr>
        <w:top w:val="none" w:sz="0" w:space="0" w:color="auto"/>
        <w:left w:val="none" w:sz="0" w:space="0" w:color="auto"/>
        <w:bottom w:val="none" w:sz="0" w:space="0" w:color="auto"/>
        <w:right w:val="none" w:sz="0" w:space="0" w:color="auto"/>
      </w:divBdr>
    </w:div>
    <w:div w:id="100075630">
      <w:bodyDiv w:val="1"/>
      <w:marLeft w:val="0"/>
      <w:marRight w:val="0"/>
      <w:marTop w:val="0"/>
      <w:marBottom w:val="0"/>
      <w:divBdr>
        <w:top w:val="none" w:sz="0" w:space="0" w:color="auto"/>
        <w:left w:val="none" w:sz="0" w:space="0" w:color="auto"/>
        <w:bottom w:val="none" w:sz="0" w:space="0" w:color="auto"/>
        <w:right w:val="none" w:sz="0" w:space="0" w:color="auto"/>
      </w:divBdr>
    </w:div>
    <w:div w:id="101847002">
      <w:bodyDiv w:val="1"/>
      <w:marLeft w:val="0"/>
      <w:marRight w:val="0"/>
      <w:marTop w:val="0"/>
      <w:marBottom w:val="0"/>
      <w:divBdr>
        <w:top w:val="none" w:sz="0" w:space="0" w:color="auto"/>
        <w:left w:val="none" w:sz="0" w:space="0" w:color="auto"/>
        <w:bottom w:val="none" w:sz="0" w:space="0" w:color="auto"/>
        <w:right w:val="none" w:sz="0" w:space="0" w:color="auto"/>
      </w:divBdr>
    </w:div>
    <w:div w:id="104272809">
      <w:bodyDiv w:val="1"/>
      <w:marLeft w:val="0"/>
      <w:marRight w:val="0"/>
      <w:marTop w:val="0"/>
      <w:marBottom w:val="0"/>
      <w:divBdr>
        <w:top w:val="none" w:sz="0" w:space="0" w:color="auto"/>
        <w:left w:val="none" w:sz="0" w:space="0" w:color="auto"/>
        <w:bottom w:val="none" w:sz="0" w:space="0" w:color="auto"/>
        <w:right w:val="none" w:sz="0" w:space="0" w:color="auto"/>
      </w:divBdr>
    </w:div>
    <w:div w:id="106239402">
      <w:bodyDiv w:val="1"/>
      <w:marLeft w:val="0"/>
      <w:marRight w:val="0"/>
      <w:marTop w:val="0"/>
      <w:marBottom w:val="0"/>
      <w:divBdr>
        <w:top w:val="none" w:sz="0" w:space="0" w:color="auto"/>
        <w:left w:val="none" w:sz="0" w:space="0" w:color="auto"/>
        <w:bottom w:val="none" w:sz="0" w:space="0" w:color="auto"/>
        <w:right w:val="none" w:sz="0" w:space="0" w:color="auto"/>
      </w:divBdr>
    </w:div>
    <w:div w:id="106241741">
      <w:bodyDiv w:val="1"/>
      <w:marLeft w:val="0"/>
      <w:marRight w:val="0"/>
      <w:marTop w:val="0"/>
      <w:marBottom w:val="0"/>
      <w:divBdr>
        <w:top w:val="none" w:sz="0" w:space="0" w:color="auto"/>
        <w:left w:val="none" w:sz="0" w:space="0" w:color="auto"/>
        <w:bottom w:val="none" w:sz="0" w:space="0" w:color="auto"/>
        <w:right w:val="none" w:sz="0" w:space="0" w:color="auto"/>
      </w:divBdr>
    </w:div>
    <w:div w:id="106581984">
      <w:bodyDiv w:val="1"/>
      <w:marLeft w:val="0"/>
      <w:marRight w:val="0"/>
      <w:marTop w:val="0"/>
      <w:marBottom w:val="0"/>
      <w:divBdr>
        <w:top w:val="none" w:sz="0" w:space="0" w:color="auto"/>
        <w:left w:val="none" w:sz="0" w:space="0" w:color="auto"/>
        <w:bottom w:val="none" w:sz="0" w:space="0" w:color="auto"/>
        <w:right w:val="none" w:sz="0" w:space="0" w:color="auto"/>
      </w:divBdr>
    </w:div>
    <w:div w:id="110705591">
      <w:bodyDiv w:val="1"/>
      <w:marLeft w:val="0"/>
      <w:marRight w:val="0"/>
      <w:marTop w:val="0"/>
      <w:marBottom w:val="0"/>
      <w:divBdr>
        <w:top w:val="none" w:sz="0" w:space="0" w:color="auto"/>
        <w:left w:val="none" w:sz="0" w:space="0" w:color="auto"/>
        <w:bottom w:val="none" w:sz="0" w:space="0" w:color="auto"/>
        <w:right w:val="none" w:sz="0" w:space="0" w:color="auto"/>
      </w:divBdr>
    </w:div>
    <w:div w:id="115489915">
      <w:bodyDiv w:val="1"/>
      <w:marLeft w:val="0"/>
      <w:marRight w:val="0"/>
      <w:marTop w:val="0"/>
      <w:marBottom w:val="0"/>
      <w:divBdr>
        <w:top w:val="none" w:sz="0" w:space="0" w:color="auto"/>
        <w:left w:val="none" w:sz="0" w:space="0" w:color="auto"/>
        <w:bottom w:val="none" w:sz="0" w:space="0" w:color="auto"/>
        <w:right w:val="none" w:sz="0" w:space="0" w:color="auto"/>
      </w:divBdr>
    </w:div>
    <w:div w:id="120266090">
      <w:bodyDiv w:val="1"/>
      <w:marLeft w:val="0"/>
      <w:marRight w:val="0"/>
      <w:marTop w:val="0"/>
      <w:marBottom w:val="0"/>
      <w:divBdr>
        <w:top w:val="none" w:sz="0" w:space="0" w:color="auto"/>
        <w:left w:val="none" w:sz="0" w:space="0" w:color="auto"/>
        <w:bottom w:val="none" w:sz="0" w:space="0" w:color="auto"/>
        <w:right w:val="none" w:sz="0" w:space="0" w:color="auto"/>
      </w:divBdr>
    </w:div>
    <w:div w:id="126238589">
      <w:bodyDiv w:val="1"/>
      <w:marLeft w:val="0"/>
      <w:marRight w:val="0"/>
      <w:marTop w:val="0"/>
      <w:marBottom w:val="0"/>
      <w:divBdr>
        <w:top w:val="none" w:sz="0" w:space="0" w:color="auto"/>
        <w:left w:val="none" w:sz="0" w:space="0" w:color="auto"/>
        <w:bottom w:val="none" w:sz="0" w:space="0" w:color="auto"/>
        <w:right w:val="none" w:sz="0" w:space="0" w:color="auto"/>
      </w:divBdr>
    </w:div>
    <w:div w:id="128015293">
      <w:bodyDiv w:val="1"/>
      <w:marLeft w:val="0"/>
      <w:marRight w:val="0"/>
      <w:marTop w:val="0"/>
      <w:marBottom w:val="0"/>
      <w:divBdr>
        <w:top w:val="none" w:sz="0" w:space="0" w:color="auto"/>
        <w:left w:val="none" w:sz="0" w:space="0" w:color="auto"/>
        <w:bottom w:val="none" w:sz="0" w:space="0" w:color="auto"/>
        <w:right w:val="none" w:sz="0" w:space="0" w:color="auto"/>
      </w:divBdr>
    </w:div>
    <w:div w:id="130951328">
      <w:bodyDiv w:val="1"/>
      <w:marLeft w:val="0"/>
      <w:marRight w:val="0"/>
      <w:marTop w:val="0"/>
      <w:marBottom w:val="0"/>
      <w:divBdr>
        <w:top w:val="none" w:sz="0" w:space="0" w:color="auto"/>
        <w:left w:val="none" w:sz="0" w:space="0" w:color="auto"/>
        <w:bottom w:val="none" w:sz="0" w:space="0" w:color="auto"/>
        <w:right w:val="none" w:sz="0" w:space="0" w:color="auto"/>
      </w:divBdr>
    </w:div>
    <w:div w:id="140081528">
      <w:bodyDiv w:val="1"/>
      <w:marLeft w:val="0"/>
      <w:marRight w:val="0"/>
      <w:marTop w:val="0"/>
      <w:marBottom w:val="0"/>
      <w:divBdr>
        <w:top w:val="none" w:sz="0" w:space="0" w:color="auto"/>
        <w:left w:val="none" w:sz="0" w:space="0" w:color="auto"/>
        <w:bottom w:val="none" w:sz="0" w:space="0" w:color="auto"/>
        <w:right w:val="none" w:sz="0" w:space="0" w:color="auto"/>
      </w:divBdr>
    </w:div>
    <w:div w:id="143594605">
      <w:bodyDiv w:val="1"/>
      <w:marLeft w:val="0"/>
      <w:marRight w:val="0"/>
      <w:marTop w:val="0"/>
      <w:marBottom w:val="0"/>
      <w:divBdr>
        <w:top w:val="none" w:sz="0" w:space="0" w:color="auto"/>
        <w:left w:val="none" w:sz="0" w:space="0" w:color="auto"/>
        <w:bottom w:val="none" w:sz="0" w:space="0" w:color="auto"/>
        <w:right w:val="none" w:sz="0" w:space="0" w:color="auto"/>
      </w:divBdr>
    </w:div>
    <w:div w:id="146166723">
      <w:bodyDiv w:val="1"/>
      <w:marLeft w:val="0"/>
      <w:marRight w:val="0"/>
      <w:marTop w:val="0"/>
      <w:marBottom w:val="0"/>
      <w:divBdr>
        <w:top w:val="none" w:sz="0" w:space="0" w:color="auto"/>
        <w:left w:val="none" w:sz="0" w:space="0" w:color="auto"/>
        <w:bottom w:val="none" w:sz="0" w:space="0" w:color="auto"/>
        <w:right w:val="none" w:sz="0" w:space="0" w:color="auto"/>
      </w:divBdr>
    </w:div>
    <w:div w:id="160893683">
      <w:bodyDiv w:val="1"/>
      <w:marLeft w:val="0"/>
      <w:marRight w:val="0"/>
      <w:marTop w:val="0"/>
      <w:marBottom w:val="0"/>
      <w:divBdr>
        <w:top w:val="none" w:sz="0" w:space="0" w:color="auto"/>
        <w:left w:val="none" w:sz="0" w:space="0" w:color="auto"/>
        <w:bottom w:val="none" w:sz="0" w:space="0" w:color="auto"/>
        <w:right w:val="none" w:sz="0" w:space="0" w:color="auto"/>
      </w:divBdr>
    </w:div>
    <w:div w:id="167184885">
      <w:bodyDiv w:val="1"/>
      <w:marLeft w:val="0"/>
      <w:marRight w:val="0"/>
      <w:marTop w:val="0"/>
      <w:marBottom w:val="0"/>
      <w:divBdr>
        <w:top w:val="none" w:sz="0" w:space="0" w:color="auto"/>
        <w:left w:val="none" w:sz="0" w:space="0" w:color="auto"/>
        <w:bottom w:val="none" w:sz="0" w:space="0" w:color="auto"/>
        <w:right w:val="none" w:sz="0" w:space="0" w:color="auto"/>
      </w:divBdr>
    </w:div>
    <w:div w:id="168954599">
      <w:bodyDiv w:val="1"/>
      <w:marLeft w:val="0"/>
      <w:marRight w:val="0"/>
      <w:marTop w:val="0"/>
      <w:marBottom w:val="0"/>
      <w:divBdr>
        <w:top w:val="none" w:sz="0" w:space="0" w:color="auto"/>
        <w:left w:val="none" w:sz="0" w:space="0" w:color="auto"/>
        <w:bottom w:val="none" w:sz="0" w:space="0" w:color="auto"/>
        <w:right w:val="none" w:sz="0" w:space="0" w:color="auto"/>
      </w:divBdr>
    </w:div>
    <w:div w:id="169412502">
      <w:bodyDiv w:val="1"/>
      <w:marLeft w:val="0"/>
      <w:marRight w:val="0"/>
      <w:marTop w:val="0"/>
      <w:marBottom w:val="0"/>
      <w:divBdr>
        <w:top w:val="none" w:sz="0" w:space="0" w:color="auto"/>
        <w:left w:val="none" w:sz="0" w:space="0" w:color="auto"/>
        <w:bottom w:val="none" w:sz="0" w:space="0" w:color="auto"/>
        <w:right w:val="none" w:sz="0" w:space="0" w:color="auto"/>
      </w:divBdr>
    </w:div>
    <w:div w:id="172033277">
      <w:bodyDiv w:val="1"/>
      <w:marLeft w:val="0"/>
      <w:marRight w:val="0"/>
      <w:marTop w:val="0"/>
      <w:marBottom w:val="0"/>
      <w:divBdr>
        <w:top w:val="none" w:sz="0" w:space="0" w:color="auto"/>
        <w:left w:val="none" w:sz="0" w:space="0" w:color="auto"/>
        <w:bottom w:val="none" w:sz="0" w:space="0" w:color="auto"/>
        <w:right w:val="none" w:sz="0" w:space="0" w:color="auto"/>
      </w:divBdr>
    </w:div>
    <w:div w:id="175733100">
      <w:bodyDiv w:val="1"/>
      <w:marLeft w:val="0"/>
      <w:marRight w:val="0"/>
      <w:marTop w:val="0"/>
      <w:marBottom w:val="0"/>
      <w:divBdr>
        <w:top w:val="none" w:sz="0" w:space="0" w:color="auto"/>
        <w:left w:val="none" w:sz="0" w:space="0" w:color="auto"/>
        <w:bottom w:val="none" w:sz="0" w:space="0" w:color="auto"/>
        <w:right w:val="none" w:sz="0" w:space="0" w:color="auto"/>
      </w:divBdr>
    </w:div>
    <w:div w:id="178127681">
      <w:bodyDiv w:val="1"/>
      <w:marLeft w:val="0"/>
      <w:marRight w:val="0"/>
      <w:marTop w:val="0"/>
      <w:marBottom w:val="0"/>
      <w:divBdr>
        <w:top w:val="none" w:sz="0" w:space="0" w:color="auto"/>
        <w:left w:val="none" w:sz="0" w:space="0" w:color="auto"/>
        <w:bottom w:val="none" w:sz="0" w:space="0" w:color="auto"/>
        <w:right w:val="none" w:sz="0" w:space="0" w:color="auto"/>
      </w:divBdr>
    </w:div>
    <w:div w:id="187649154">
      <w:bodyDiv w:val="1"/>
      <w:marLeft w:val="0"/>
      <w:marRight w:val="0"/>
      <w:marTop w:val="0"/>
      <w:marBottom w:val="0"/>
      <w:divBdr>
        <w:top w:val="none" w:sz="0" w:space="0" w:color="auto"/>
        <w:left w:val="none" w:sz="0" w:space="0" w:color="auto"/>
        <w:bottom w:val="none" w:sz="0" w:space="0" w:color="auto"/>
        <w:right w:val="none" w:sz="0" w:space="0" w:color="auto"/>
      </w:divBdr>
    </w:div>
    <w:div w:id="187838691">
      <w:bodyDiv w:val="1"/>
      <w:marLeft w:val="0"/>
      <w:marRight w:val="0"/>
      <w:marTop w:val="0"/>
      <w:marBottom w:val="0"/>
      <w:divBdr>
        <w:top w:val="none" w:sz="0" w:space="0" w:color="auto"/>
        <w:left w:val="none" w:sz="0" w:space="0" w:color="auto"/>
        <w:bottom w:val="none" w:sz="0" w:space="0" w:color="auto"/>
        <w:right w:val="none" w:sz="0" w:space="0" w:color="auto"/>
      </w:divBdr>
    </w:div>
    <w:div w:id="210268574">
      <w:bodyDiv w:val="1"/>
      <w:marLeft w:val="0"/>
      <w:marRight w:val="0"/>
      <w:marTop w:val="0"/>
      <w:marBottom w:val="0"/>
      <w:divBdr>
        <w:top w:val="none" w:sz="0" w:space="0" w:color="auto"/>
        <w:left w:val="none" w:sz="0" w:space="0" w:color="auto"/>
        <w:bottom w:val="none" w:sz="0" w:space="0" w:color="auto"/>
        <w:right w:val="none" w:sz="0" w:space="0" w:color="auto"/>
      </w:divBdr>
    </w:div>
    <w:div w:id="216665941">
      <w:bodyDiv w:val="1"/>
      <w:marLeft w:val="0"/>
      <w:marRight w:val="0"/>
      <w:marTop w:val="0"/>
      <w:marBottom w:val="0"/>
      <w:divBdr>
        <w:top w:val="none" w:sz="0" w:space="0" w:color="auto"/>
        <w:left w:val="none" w:sz="0" w:space="0" w:color="auto"/>
        <w:bottom w:val="none" w:sz="0" w:space="0" w:color="auto"/>
        <w:right w:val="none" w:sz="0" w:space="0" w:color="auto"/>
      </w:divBdr>
    </w:div>
    <w:div w:id="218444689">
      <w:bodyDiv w:val="1"/>
      <w:marLeft w:val="0"/>
      <w:marRight w:val="0"/>
      <w:marTop w:val="0"/>
      <w:marBottom w:val="0"/>
      <w:divBdr>
        <w:top w:val="none" w:sz="0" w:space="0" w:color="auto"/>
        <w:left w:val="none" w:sz="0" w:space="0" w:color="auto"/>
        <w:bottom w:val="none" w:sz="0" w:space="0" w:color="auto"/>
        <w:right w:val="none" w:sz="0" w:space="0" w:color="auto"/>
      </w:divBdr>
    </w:div>
    <w:div w:id="230312174">
      <w:bodyDiv w:val="1"/>
      <w:marLeft w:val="0"/>
      <w:marRight w:val="0"/>
      <w:marTop w:val="0"/>
      <w:marBottom w:val="0"/>
      <w:divBdr>
        <w:top w:val="none" w:sz="0" w:space="0" w:color="auto"/>
        <w:left w:val="none" w:sz="0" w:space="0" w:color="auto"/>
        <w:bottom w:val="none" w:sz="0" w:space="0" w:color="auto"/>
        <w:right w:val="none" w:sz="0" w:space="0" w:color="auto"/>
      </w:divBdr>
    </w:div>
    <w:div w:id="230313478">
      <w:bodyDiv w:val="1"/>
      <w:marLeft w:val="0"/>
      <w:marRight w:val="0"/>
      <w:marTop w:val="0"/>
      <w:marBottom w:val="0"/>
      <w:divBdr>
        <w:top w:val="none" w:sz="0" w:space="0" w:color="auto"/>
        <w:left w:val="none" w:sz="0" w:space="0" w:color="auto"/>
        <w:bottom w:val="none" w:sz="0" w:space="0" w:color="auto"/>
        <w:right w:val="none" w:sz="0" w:space="0" w:color="auto"/>
      </w:divBdr>
    </w:div>
    <w:div w:id="231817511">
      <w:bodyDiv w:val="1"/>
      <w:marLeft w:val="0"/>
      <w:marRight w:val="0"/>
      <w:marTop w:val="0"/>
      <w:marBottom w:val="0"/>
      <w:divBdr>
        <w:top w:val="none" w:sz="0" w:space="0" w:color="auto"/>
        <w:left w:val="none" w:sz="0" w:space="0" w:color="auto"/>
        <w:bottom w:val="none" w:sz="0" w:space="0" w:color="auto"/>
        <w:right w:val="none" w:sz="0" w:space="0" w:color="auto"/>
      </w:divBdr>
    </w:div>
    <w:div w:id="237247338">
      <w:bodyDiv w:val="1"/>
      <w:marLeft w:val="0"/>
      <w:marRight w:val="0"/>
      <w:marTop w:val="0"/>
      <w:marBottom w:val="0"/>
      <w:divBdr>
        <w:top w:val="none" w:sz="0" w:space="0" w:color="auto"/>
        <w:left w:val="none" w:sz="0" w:space="0" w:color="auto"/>
        <w:bottom w:val="none" w:sz="0" w:space="0" w:color="auto"/>
        <w:right w:val="none" w:sz="0" w:space="0" w:color="auto"/>
      </w:divBdr>
    </w:div>
    <w:div w:id="243761041">
      <w:bodyDiv w:val="1"/>
      <w:marLeft w:val="0"/>
      <w:marRight w:val="0"/>
      <w:marTop w:val="0"/>
      <w:marBottom w:val="0"/>
      <w:divBdr>
        <w:top w:val="none" w:sz="0" w:space="0" w:color="auto"/>
        <w:left w:val="none" w:sz="0" w:space="0" w:color="auto"/>
        <w:bottom w:val="none" w:sz="0" w:space="0" w:color="auto"/>
        <w:right w:val="none" w:sz="0" w:space="0" w:color="auto"/>
      </w:divBdr>
    </w:div>
    <w:div w:id="252780513">
      <w:bodyDiv w:val="1"/>
      <w:marLeft w:val="0"/>
      <w:marRight w:val="0"/>
      <w:marTop w:val="0"/>
      <w:marBottom w:val="0"/>
      <w:divBdr>
        <w:top w:val="none" w:sz="0" w:space="0" w:color="auto"/>
        <w:left w:val="none" w:sz="0" w:space="0" w:color="auto"/>
        <w:bottom w:val="none" w:sz="0" w:space="0" w:color="auto"/>
        <w:right w:val="none" w:sz="0" w:space="0" w:color="auto"/>
      </w:divBdr>
    </w:div>
    <w:div w:id="254678355">
      <w:bodyDiv w:val="1"/>
      <w:marLeft w:val="0"/>
      <w:marRight w:val="0"/>
      <w:marTop w:val="0"/>
      <w:marBottom w:val="0"/>
      <w:divBdr>
        <w:top w:val="none" w:sz="0" w:space="0" w:color="auto"/>
        <w:left w:val="none" w:sz="0" w:space="0" w:color="auto"/>
        <w:bottom w:val="none" w:sz="0" w:space="0" w:color="auto"/>
        <w:right w:val="none" w:sz="0" w:space="0" w:color="auto"/>
      </w:divBdr>
    </w:div>
    <w:div w:id="256793352">
      <w:bodyDiv w:val="1"/>
      <w:marLeft w:val="0"/>
      <w:marRight w:val="0"/>
      <w:marTop w:val="0"/>
      <w:marBottom w:val="0"/>
      <w:divBdr>
        <w:top w:val="none" w:sz="0" w:space="0" w:color="auto"/>
        <w:left w:val="none" w:sz="0" w:space="0" w:color="auto"/>
        <w:bottom w:val="none" w:sz="0" w:space="0" w:color="auto"/>
        <w:right w:val="none" w:sz="0" w:space="0" w:color="auto"/>
      </w:divBdr>
    </w:div>
    <w:div w:id="256906944">
      <w:bodyDiv w:val="1"/>
      <w:marLeft w:val="0"/>
      <w:marRight w:val="0"/>
      <w:marTop w:val="0"/>
      <w:marBottom w:val="0"/>
      <w:divBdr>
        <w:top w:val="none" w:sz="0" w:space="0" w:color="auto"/>
        <w:left w:val="none" w:sz="0" w:space="0" w:color="auto"/>
        <w:bottom w:val="none" w:sz="0" w:space="0" w:color="auto"/>
        <w:right w:val="none" w:sz="0" w:space="0" w:color="auto"/>
      </w:divBdr>
    </w:div>
    <w:div w:id="261573666">
      <w:bodyDiv w:val="1"/>
      <w:marLeft w:val="0"/>
      <w:marRight w:val="0"/>
      <w:marTop w:val="0"/>
      <w:marBottom w:val="0"/>
      <w:divBdr>
        <w:top w:val="none" w:sz="0" w:space="0" w:color="auto"/>
        <w:left w:val="none" w:sz="0" w:space="0" w:color="auto"/>
        <w:bottom w:val="none" w:sz="0" w:space="0" w:color="auto"/>
        <w:right w:val="none" w:sz="0" w:space="0" w:color="auto"/>
      </w:divBdr>
    </w:div>
    <w:div w:id="267007750">
      <w:bodyDiv w:val="1"/>
      <w:marLeft w:val="0"/>
      <w:marRight w:val="0"/>
      <w:marTop w:val="0"/>
      <w:marBottom w:val="0"/>
      <w:divBdr>
        <w:top w:val="none" w:sz="0" w:space="0" w:color="auto"/>
        <w:left w:val="none" w:sz="0" w:space="0" w:color="auto"/>
        <w:bottom w:val="none" w:sz="0" w:space="0" w:color="auto"/>
        <w:right w:val="none" w:sz="0" w:space="0" w:color="auto"/>
      </w:divBdr>
    </w:div>
    <w:div w:id="267198824">
      <w:bodyDiv w:val="1"/>
      <w:marLeft w:val="0"/>
      <w:marRight w:val="0"/>
      <w:marTop w:val="0"/>
      <w:marBottom w:val="0"/>
      <w:divBdr>
        <w:top w:val="none" w:sz="0" w:space="0" w:color="auto"/>
        <w:left w:val="none" w:sz="0" w:space="0" w:color="auto"/>
        <w:bottom w:val="none" w:sz="0" w:space="0" w:color="auto"/>
        <w:right w:val="none" w:sz="0" w:space="0" w:color="auto"/>
      </w:divBdr>
    </w:div>
    <w:div w:id="267348385">
      <w:bodyDiv w:val="1"/>
      <w:marLeft w:val="0"/>
      <w:marRight w:val="0"/>
      <w:marTop w:val="0"/>
      <w:marBottom w:val="0"/>
      <w:divBdr>
        <w:top w:val="none" w:sz="0" w:space="0" w:color="auto"/>
        <w:left w:val="none" w:sz="0" w:space="0" w:color="auto"/>
        <w:bottom w:val="none" w:sz="0" w:space="0" w:color="auto"/>
        <w:right w:val="none" w:sz="0" w:space="0" w:color="auto"/>
      </w:divBdr>
    </w:div>
    <w:div w:id="273557483">
      <w:bodyDiv w:val="1"/>
      <w:marLeft w:val="0"/>
      <w:marRight w:val="0"/>
      <w:marTop w:val="0"/>
      <w:marBottom w:val="0"/>
      <w:divBdr>
        <w:top w:val="none" w:sz="0" w:space="0" w:color="auto"/>
        <w:left w:val="none" w:sz="0" w:space="0" w:color="auto"/>
        <w:bottom w:val="none" w:sz="0" w:space="0" w:color="auto"/>
        <w:right w:val="none" w:sz="0" w:space="0" w:color="auto"/>
      </w:divBdr>
    </w:div>
    <w:div w:id="279918126">
      <w:bodyDiv w:val="1"/>
      <w:marLeft w:val="0"/>
      <w:marRight w:val="0"/>
      <w:marTop w:val="0"/>
      <w:marBottom w:val="0"/>
      <w:divBdr>
        <w:top w:val="none" w:sz="0" w:space="0" w:color="auto"/>
        <w:left w:val="none" w:sz="0" w:space="0" w:color="auto"/>
        <w:bottom w:val="none" w:sz="0" w:space="0" w:color="auto"/>
        <w:right w:val="none" w:sz="0" w:space="0" w:color="auto"/>
      </w:divBdr>
    </w:div>
    <w:div w:id="279990323">
      <w:bodyDiv w:val="1"/>
      <w:marLeft w:val="0"/>
      <w:marRight w:val="0"/>
      <w:marTop w:val="0"/>
      <w:marBottom w:val="0"/>
      <w:divBdr>
        <w:top w:val="none" w:sz="0" w:space="0" w:color="auto"/>
        <w:left w:val="none" w:sz="0" w:space="0" w:color="auto"/>
        <w:bottom w:val="none" w:sz="0" w:space="0" w:color="auto"/>
        <w:right w:val="none" w:sz="0" w:space="0" w:color="auto"/>
      </w:divBdr>
    </w:div>
    <w:div w:id="283001165">
      <w:bodyDiv w:val="1"/>
      <w:marLeft w:val="0"/>
      <w:marRight w:val="0"/>
      <w:marTop w:val="0"/>
      <w:marBottom w:val="0"/>
      <w:divBdr>
        <w:top w:val="none" w:sz="0" w:space="0" w:color="auto"/>
        <w:left w:val="none" w:sz="0" w:space="0" w:color="auto"/>
        <w:bottom w:val="none" w:sz="0" w:space="0" w:color="auto"/>
        <w:right w:val="none" w:sz="0" w:space="0" w:color="auto"/>
      </w:divBdr>
    </w:div>
    <w:div w:id="292373505">
      <w:bodyDiv w:val="1"/>
      <w:marLeft w:val="0"/>
      <w:marRight w:val="0"/>
      <w:marTop w:val="0"/>
      <w:marBottom w:val="0"/>
      <w:divBdr>
        <w:top w:val="none" w:sz="0" w:space="0" w:color="auto"/>
        <w:left w:val="none" w:sz="0" w:space="0" w:color="auto"/>
        <w:bottom w:val="none" w:sz="0" w:space="0" w:color="auto"/>
        <w:right w:val="none" w:sz="0" w:space="0" w:color="auto"/>
      </w:divBdr>
    </w:div>
    <w:div w:id="301161448">
      <w:bodyDiv w:val="1"/>
      <w:marLeft w:val="0"/>
      <w:marRight w:val="0"/>
      <w:marTop w:val="0"/>
      <w:marBottom w:val="0"/>
      <w:divBdr>
        <w:top w:val="none" w:sz="0" w:space="0" w:color="auto"/>
        <w:left w:val="none" w:sz="0" w:space="0" w:color="auto"/>
        <w:bottom w:val="none" w:sz="0" w:space="0" w:color="auto"/>
        <w:right w:val="none" w:sz="0" w:space="0" w:color="auto"/>
      </w:divBdr>
    </w:div>
    <w:div w:id="303849440">
      <w:bodyDiv w:val="1"/>
      <w:marLeft w:val="0"/>
      <w:marRight w:val="0"/>
      <w:marTop w:val="0"/>
      <w:marBottom w:val="0"/>
      <w:divBdr>
        <w:top w:val="none" w:sz="0" w:space="0" w:color="auto"/>
        <w:left w:val="none" w:sz="0" w:space="0" w:color="auto"/>
        <w:bottom w:val="none" w:sz="0" w:space="0" w:color="auto"/>
        <w:right w:val="none" w:sz="0" w:space="0" w:color="auto"/>
      </w:divBdr>
    </w:div>
    <w:div w:id="313728203">
      <w:bodyDiv w:val="1"/>
      <w:marLeft w:val="0"/>
      <w:marRight w:val="0"/>
      <w:marTop w:val="0"/>
      <w:marBottom w:val="0"/>
      <w:divBdr>
        <w:top w:val="none" w:sz="0" w:space="0" w:color="auto"/>
        <w:left w:val="none" w:sz="0" w:space="0" w:color="auto"/>
        <w:bottom w:val="none" w:sz="0" w:space="0" w:color="auto"/>
        <w:right w:val="none" w:sz="0" w:space="0" w:color="auto"/>
      </w:divBdr>
    </w:div>
    <w:div w:id="314259478">
      <w:bodyDiv w:val="1"/>
      <w:marLeft w:val="0"/>
      <w:marRight w:val="0"/>
      <w:marTop w:val="0"/>
      <w:marBottom w:val="0"/>
      <w:divBdr>
        <w:top w:val="none" w:sz="0" w:space="0" w:color="auto"/>
        <w:left w:val="none" w:sz="0" w:space="0" w:color="auto"/>
        <w:bottom w:val="none" w:sz="0" w:space="0" w:color="auto"/>
        <w:right w:val="none" w:sz="0" w:space="0" w:color="auto"/>
      </w:divBdr>
    </w:div>
    <w:div w:id="317853709">
      <w:bodyDiv w:val="1"/>
      <w:marLeft w:val="0"/>
      <w:marRight w:val="0"/>
      <w:marTop w:val="0"/>
      <w:marBottom w:val="0"/>
      <w:divBdr>
        <w:top w:val="none" w:sz="0" w:space="0" w:color="auto"/>
        <w:left w:val="none" w:sz="0" w:space="0" w:color="auto"/>
        <w:bottom w:val="none" w:sz="0" w:space="0" w:color="auto"/>
        <w:right w:val="none" w:sz="0" w:space="0" w:color="auto"/>
      </w:divBdr>
    </w:div>
    <w:div w:id="319231243">
      <w:bodyDiv w:val="1"/>
      <w:marLeft w:val="0"/>
      <w:marRight w:val="0"/>
      <w:marTop w:val="0"/>
      <w:marBottom w:val="0"/>
      <w:divBdr>
        <w:top w:val="none" w:sz="0" w:space="0" w:color="auto"/>
        <w:left w:val="none" w:sz="0" w:space="0" w:color="auto"/>
        <w:bottom w:val="none" w:sz="0" w:space="0" w:color="auto"/>
        <w:right w:val="none" w:sz="0" w:space="0" w:color="auto"/>
      </w:divBdr>
    </w:div>
    <w:div w:id="324170548">
      <w:bodyDiv w:val="1"/>
      <w:marLeft w:val="0"/>
      <w:marRight w:val="0"/>
      <w:marTop w:val="0"/>
      <w:marBottom w:val="0"/>
      <w:divBdr>
        <w:top w:val="none" w:sz="0" w:space="0" w:color="auto"/>
        <w:left w:val="none" w:sz="0" w:space="0" w:color="auto"/>
        <w:bottom w:val="none" w:sz="0" w:space="0" w:color="auto"/>
        <w:right w:val="none" w:sz="0" w:space="0" w:color="auto"/>
      </w:divBdr>
    </w:div>
    <w:div w:id="324627855">
      <w:bodyDiv w:val="1"/>
      <w:marLeft w:val="0"/>
      <w:marRight w:val="0"/>
      <w:marTop w:val="0"/>
      <w:marBottom w:val="0"/>
      <w:divBdr>
        <w:top w:val="none" w:sz="0" w:space="0" w:color="auto"/>
        <w:left w:val="none" w:sz="0" w:space="0" w:color="auto"/>
        <w:bottom w:val="none" w:sz="0" w:space="0" w:color="auto"/>
        <w:right w:val="none" w:sz="0" w:space="0" w:color="auto"/>
      </w:divBdr>
    </w:div>
    <w:div w:id="326128023">
      <w:bodyDiv w:val="1"/>
      <w:marLeft w:val="0"/>
      <w:marRight w:val="0"/>
      <w:marTop w:val="0"/>
      <w:marBottom w:val="0"/>
      <w:divBdr>
        <w:top w:val="none" w:sz="0" w:space="0" w:color="auto"/>
        <w:left w:val="none" w:sz="0" w:space="0" w:color="auto"/>
        <w:bottom w:val="none" w:sz="0" w:space="0" w:color="auto"/>
        <w:right w:val="none" w:sz="0" w:space="0" w:color="auto"/>
      </w:divBdr>
    </w:div>
    <w:div w:id="334383224">
      <w:bodyDiv w:val="1"/>
      <w:marLeft w:val="0"/>
      <w:marRight w:val="0"/>
      <w:marTop w:val="0"/>
      <w:marBottom w:val="0"/>
      <w:divBdr>
        <w:top w:val="none" w:sz="0" w:space="0" w:color="auto"/>
        <w:left w:val="none" w:sz="0" w:space="0" w:color="auto"/>
        <w:bottom w:val="none" w:sz="0" w:space="0" w:color="auto"/>
        <w:right w:val="none" w:sz="0" w:space="0" w:color="auto"/>
      </w:divBdr>
    </w:div>
    <w:div w:id="337538665">
      <w:bodyDiv w:val="1"/>
      <w:marLeft w:val="0"/>
      <w:marRight w:val="0"/>
      <w:marTop w:val="0"/>
      <w:marBottom w:val="0"/>
      <w:divBdr>
        <w:top w:val="none" w:sz="0" w:space="0" w:color="auto"/>
        <w:left w:val="none" w:sz="0" w:space="0" w:color="auto"/>
        <w:bottom w:val="none" w:sz="0" w:space="0" w:color="auto"/>
        <w:right w:val="none" w:sz="0" w:space="0" w:color="auto"/>
      </w:divBdr>
    </w:div>
    <w:div w:id="342249224">
      <w:bodyDiv w:val="1"/>
      <w:marLeft w:val="0"/>
      <w:marRight w:val="0"/>
      <w:marTop w:val="0"/>
      <w:marBottom w:val="0"/>
      <w:divBdr>
        <w:top w:val="none" w:sz="0" w:space="0" w:color="auto"/>
        <w:left w:val="none" w:sz="0" w:space="0" w:color="auto"/>
        <w:bottom w:val="none" w:sz="0" w:space="0" w:color="auto"/>
        <w:right w:val="none" w:sz="0" w:space="0" w:color="auto"/>
      </w:divBdr>
    </w:div>
    <w:div w:id="342629373">
      <w:bodyDiv w:val="1"/>
      <w:marLeft w:val="0"/>
      <w:marRight w:val="0"/>
      <w:marTop w:val="0"/>
      <w:marBottom w:val="0"/>
      <w:divBdr>
        <w:top w:val="none" w:sz="0" w:space="0" w:color="auto"/>
        <w:left w:val="none" w:sz="0" w:space="0" w:color="auto"/>
        <w:bottom w:val="none" w:sz="0" w:space="0" w:color="auto"/>
        <w:right w:val="none" w:sz="0" w:space="0" w:color="auto"/>
      </w:divBdr>
    </w:div>
    <w:div w:id="344090942">
      <w:bodyDiv w:val="1"/>
      <w:marLeft w:val="0"/>
      <w:marRight w:val="0"/>
      <w:marTop w:val="0"/>
      <w:marBottom w:val="0"/>
      <w:divBdr>
        <w:top w:val="none" w:sz="0" w:space="0" w:color="auto"/>
        <w:left w:val="none" w:sz="0" w:space="0" w:color="auto"/>
        <w:bottom w:val="none" w:sz="0" w:space="0" w:color="auto"/>
        <w:right w:val="none" w:sz="0" w:space="0" w:color="auto"/>
      </w:divBdr>
    </w:div>
    <w:div w:id="347871049">
      <w:bodyDiv w:val="1"/>
      <w:marLeft w:val="0"/>
      <w:marRight w:val="0"/>
      <w:marTop w:val="0"/>
      <w:marBottom w:val="0"/>
      <w:divBdr>
        <w:top w:val="none" w:sz="0" w:space="0" w:color="auto"/>
        <w:left w:val="none" w:sz="0" w:space="0" w:color="auto"/>
        <w:bottom w:val="none" w:sz="0" w:space="0" w:color="auto"/>
        <w:right w:val="none" w:sz="0" w:space="0" w:color="auto"/>
      </w:divBdr>
    </w:div>
    <w:div w:id="354232085">
      <w:bodyDiv w:val="1"/>
      <w:marLeft w:val="0"/>
      <w:marRight w:val="0"/>
      <w:marTop w:val="0"/>
      <w:marBottom w:val="0"/>
      <w:divBdr>
        <w:top w:val="none" w:sz="0" w:space="0" w:color="auto"/>
        <w:left w:val="none" w:sz="0" w:space="0" w:color="auto"/>
        <w:bottom w:val="none" w:sz="0" w:space="0" w:color="auto"/>
        <w:right w:val="none" w:sz="0" w:space="0" w:color="auto"/>
      </w:divBdr>
    </w:div>
    <w:div w:id="356663001">
      <w:bodyDiv w:val="1"/>
      <w:marLeft w:val="0"/>
      <w:marRight w:val="0"/>
      <w:marTop w:val="0"/>
      <w:marBottom w:val="0"/>
      <w:divBdr>
        <w:top w:val="none" w:sz="0" w:space="0" w:color="auto"/>
        <w:left w:val="none" w:sz="0" w:space="0" w:color="auto"/>
        <w:bottom w:val="none" w:sz="0" w:space="0" w:color="auto"/>
        <w:right w:val="none" w:sz="0" w:space="0" w:color="auto"/>
      </w:divBdr>
    </w:div>
    <w:div w:id="359088410">
      <w:bodyDiv w:val="1"/>
      <w:marLeft w:val="0"/>
      <w:marRight w:val="0"/>
      <w:marTop w:val="0"/>
      <w:marBottom w:val="0"/>
      <w:divBdr>
        <w:top w:val="none" w:sz="0" w:space="0" w:color="auto"/>
        <w:left w:val="none" w:sz="0" w:space="0" w:color="auto"/>
        <w:bottom w:val="none" w:sz="0" w:space="0" w:color="auto"/>
        <w:right w:val="none" w:sz="0" w:space="0" w:color="auto"/>
      </w:divBdr>
    </w:div>
    <w:div w:id="361709050">
      <w:bodyDiv w:val="1"/>
      <w:marLeft w:val="0"/>
      <w:marRight w:val="0"/>
      <w:marTop w:val="0"/>
      <w:marBottom w:val="0"/>
      <w:divBdr>
        <w:top w:val="none" w:sz="0" w:space="0" w:color="auto"/>
        <w:left w:val="none" w:sz="0" w:space="0" w:color="auto"/>
        <w:bottom w:val="none" w:sz="0" w:space="0" w:color="auto"/>
        <w:right w:val="none" w:sz="0" w:space="0" w:color="auto"/>
      </w:divBdr>
    </w:div>
    <w:div w:id="367680195">
      <w:bodyDiv w:val="1"/>
      <w:marLeft w:val="0"/>
      <w:marRight w:val="0"/>
      <w:marTop w:val="0"/>
      <w:marBottom w:val="0"/>
      <w:divBdr>
        <w:top w:val="none" w:sz="0" w:space="0" w:color="auto"/>
        <w:left w:val="none" w:sz="0" w:space="0" w:color="auto"/>
        <w:bottom w:val="none" w:sz="0" w:space="0" w:color="auto"/>
        <w:right w:val="none" w:sz="0" w:space="0" w:color="auto"/>
      </w:divBdr>
    </w:div>
    <w:div w:id="380834614">
      <w:bodyDiv w:val="1"/>
      <w:marLeft w:val="0"/>
      <w:marRight w:val="0"/>
      <w:marTop w:val="0"/>
      <w:marBottom w:val="0"/>
      <w:divBdr>
        <w:top w:val="none" w:sz="0" w:space="0" w:color="auto"/>
        <w:left w:val="none" w:sz="0" w:space="0" w:color="auto"/>
        <w:bottom w:val="none" w:sz="0" w:space="0" w:color="auto"/>
        <w:right w:val="none" w:sz="0" w:space="0" w:color="auto"/>
      </w:divBdr>
    </w:div>
    <w:div w:id="390733855">
      <w:bodyDiv w:val="1"/>
      <w:marLeft w:val="0"/>
      <w:marRight w:val="0"/>
      <w:marTop w:val="0"/>
      <w:marBottom w:val="0"/>
      <w:divBdr>
        <w:top w:val="none" w:sz="0" w:space="0" w:color="auto"/>
        <w:left w:val="none" w:sz="0" w:space="0" w:color="auto"/>
        <w:bottom w:val="none" w:sz="0" w:space="0" w:color="auto"/>
        <w:right w:val="none" w:sz="0" w:space="0" w:color="auto"/>
      </w:divBdr>
    </w:div>
    <w:div w:id="392657377">
      <w:bodyDiv w:val="1"/>
      <w:marLeft w:val="0"/>
      <w:marRight w:val="0"/>
      <w:marTop w:val="0"/>
      <w:marBottom w:val="0"/>
      <w:divBdr>
        <w:top w:val="none" w:sz="0" w:space="0" w:color="auto"/>
        <w:left w:val="none" w:sz="0" w:space="0" w:color="auto"/>
        <w:bottom w:val="none" w:sz="0" w:space="0" w:color="auto"/>
        <w:right w:val="none" w:sz="0" w:space="0" w:color="auto"/>
      </w:divBdr>
    </w:div>
    <w:div w:id="398136943">
      <w:bodyDiv w:val="1"/>
      <w:marLeft w:val="0"/>
      <w:marRight w:val="0"/>
      <w:marTop w:val="0"/>
      <w:marBottom w:val="0"/>
      <w:divBdr>
        <w:top w:val="none" w:sz="0" w:space="0" w:color="auto"/>
        <w:left w:val="none" w:sz="0" w:space="0" w:color="auto"/>
        <w:bottom w:val="none" w:sz="0" w:space="0" w:color="auto"/>
        <w:right w:val="none" w:sz="0" w:space="0" w:color="auto"/>
      </w:divBdr>
    </w:div>
    <w:div w:id="398753252">
      <w:bodyDiv w:val="1"/>
      <w:marLeft w:val="0"/>
      <w:marRight w:val="0"/>
      <w:marTop w:val="0"/>
      <w:marBottom w:val="0"/>
      <w:divBdr>
        <w:top w:val="none" w:sz="0" w:space="0" w:color="auto"/>
        <w:left w:val="none" w:sz="0" w:space="0" w:color="auto"/>
        <w:bottom w:val="none" w:sz="0" w:space="0" w:color="auto"/>
        <w:right w:val="none" w:sz="0" w:space="0" w:color="auto"/>
      </w:divBdr>
    </w:div>
    <w:div w:id="403454151">
      <w:bodyDiv w:val="1"/>
      <w:marLeft w:val="0"/>
      <w:marRight w:val="0"/>
      <w:marTop w:val="0"/>
      <w:marBottom w:val="0"/>
      <w:divBdr>
        <w:top w:val="none" w:sz="0" w:space="0" w:color="auto"/>
        <w:left w:val="none" w:sz="0" w:space="0" w:color="auto"/>
        <w:bottom w:val="none" w:sz="0" w:space="0" w:color="auto"/>
        <w:right w:val="none" w:sz="0" w:space="0" w:color="auto"/>
      </w:divBdr>
    </w:div>
    <w:div w:id="412700960">
      <w:bodyDiv w:val="1"/>
      <w:marLeft w:val="0"/>
      <w:marRight w:val="0"/>
      <w:marTop w:val="0"/>
      <w:marBottom w:val="0"/>
      <w:divBdr>
        <w:top w:val="none" w:sz="0" w:space="0" w:color="auto"/>
        <w:left w:val="none" w:sz="0" w:space="0" w:color="auto"/>
        <w:bottom w:val="none" w:sz="0" w:space="0" w:color="auto"/>
        <w:right w:val="none" w:sz="0" w:space="0" w:color="auto"/>
      </w:divBdr>
    </w:div>
    <w:div w:id="422921816">
      <w:bodyDiv w:val="1"/>
      <w:marLeft w:val="0"/>
      <w:marRight w:val="0"/>
      <w:marTop w:val="0"/>
      <w:marBottom w:val="0"/>
      <w:divBdr>
        <w:top w:val="none" w:sz="0" w:space="0" w:color="auto"/>
        <w:left w:val="none" w:sz="0" w:space="0" w:color="auto"/>
        <w:bottom w:val="none" w:sz="0" w:space="0" w:color="auto"/>
        <w:right w:val="none" w:sz="0" w:space="0" w:color="auto"/>
      </w:divBdr>
    </w:div>
    <w:div w:id="432097650">
      <w:bodyDiv w:val="1"/>
      <w:marLeft w:val="0"/>
      <w:marRight w:val="0"/>
      <w:marTop w:val="0"/>
      <w:marBottom w:val="0"/>
      <w:divBdr>
        <w:top w:val="none" w:sz="0" w:space="0" w:color="auto"/>
        <w:left w:val="none" w:sz="0" w:space="0" w:color="auto"/>
        <w:bottom w:val="none" w:sz="0" w:space="0" w:color="auto"/>
        <w:right w:val="none" w:sz="0" w:space="0" w:color="auto"/>
      </w:divBdr>
    </w:div>
    <w:div w:id="438992235">
      <w:bodyDiv w:val="1"/>
      <w:marLeft w:val="0"/>
      <w:marRight w:val="0"/>
      <w:marTop w:val="0"/>
      <w:marBottom w:val="0"/>
      <w:divBdr>
        <w:top w:val="none" w:sz="0" w:space="0" w:color="auto"/>
        <w:left w:val="none" w:sz="0" w:space="0" w:color="auto"/>
        <w:bottom w:val="none" w:sz="0" w:space="0" w:color="auto"/>
        <w:right w:val="none" w:sz="0" w:space="0" w:color="auto"/>
      </w:divBdr>
    </w:div>
    <w:div w:id="460808998">
      <w:bodyDiv w:val="1"/>
      <w:marLeft w:val="0"/>
      <w:marRight w:val="0"/>
      <w:marTop w:val="0"/>
      <w:marBottom w:val="0"/>
      <w:divBdr>
        <w:top w:val="none" w:sz="0" w:space="0" w:color="auto"/>
        <w:left w:val="none" w:sz="0" w:space="0" w:color="auto"/>
        <w:bottom w:val="none" w:sz="0" w:space="0" w:color="auto"/>
        <w:right w:val="none" w:sz="0" w:space="0" w:color="auto"/>
      </w:divBdr>
    </w:div>
    <w:div w:id="465661156">
      <w:bodyDiv w:val="1"/>
      <w:marLeft w:val="0"/>
      <w:marRight w:val="0"/>
      <w:marTop w:val="0"/>
      <w:marBottom w:val="0"/>
      <w:divBdr>
        <w:top w:val="none" w:sz="0" w:space="0" w:color="auto"/>
        <w:left w:val="none" w:sz="0" w:space="0" w:color="auto"/>
        <w:bottom w:val="none" w:sz="0" w:space="0" w:color="auto"/>
        <w:right w:val="none" w:sz="0" w:space="0" w:color="auto"/>
      </w:divBdr>
    </w:div>
    <w:div w:id="467164905">
      <w:bodyDiv w:val="1"/>
      <w:marLeft w:val="0"/>
      <w:marRight w:val="0"/>
      <w:marTop w:val="0"/>
      <w:marBottom w:val="0"/>
      <w:divBdr>
        <w:top w:val="none" w:sz="0" w:space="0" w:color="auto"/>
        <w:left w:val="none" w:sz="0" w:space="0" w:color="auto"/>
        <w:bottom w:val="none" w:sz="0" w:space="0" w:color="auto"/>
        <w:right w:val="none" w:sz="0" w:space="0" w:color="auto"/>
      </w:divBdr>
    </w:div>
    <w:div w:id="475536882">
      <w:bodyDiv w:val="1"/>
      <w:marLeft w:val="0"/>
      <w:marRight w:val="0"/>
      <w:marTop w:val="0"/>
      <w:marBottom w:val="0"/>
      <w:divBdr>
        <w:top w:val="none" w:sz="0" w:space="0" w:color="auto"/>
        <w:left w:val="none" w:sz="0" w:space="0" w:color="auto"/>
        <w:bottom w:val="none" w:sz="0" w:space="0" w:color="auto"/>
        <w:right w:val="none" w:sz="0" w:space="0" w:color="auto"/>
      </w:divBdr>
      <w:divsChild>
        <w:div w:id="1888833487">
          <w:marLeft w:val="0"/>
          <w:marRight w:val="0"/>
          <w:marTop w:val="0"/>
          <w:marBottom w:val="0"/>
          <w:divBdr>
            <w:top w:val="none" w:sz="0" w:space="0" w:color="auto"/>
            <w:left w:val="none" w:sz="0" w:space="0" w:color="auto"/>
            <w:bottom w:val="none" w:sz="0" w:space="0" w:color="auto"/>
            <w:right w:val="none" w:sz="0" w:space="0" w:color="auto"/>
          </w:divBdr>
        </w:div>
        <w:div w:id="1756627487">
          <w:marLeft w:val="0"/>
          <w:marRight w:val="0"/>
          <w:marTop w:val="0"/>
          <w:marBottom w:val="0"/>
          <w:divBdr>
            <w:top w:val="none" w:sz="0" w:space="0" w:color="auto"/>
            <w:left w:val="none" w:sz="0" w:space="0" w:color="auto"/>
            <w:bottom w:val="none" w:sz="0" w:space="0" w:color="auto"/>
            <w:right w:val="none" w:sz="0" w:space="0" w:color="auto"/>
          </w:divBdr>
        </w:div>
        <w:div w:id="1731146639">
          <w:marLeft w:val="0"/>
          <w:marRight w:val="0"/>
          <w:marTop w:val="0"/>
          <w:marBottom w:val="0"/>
          <w:divBdr>
            <w:top w:val="none" w:sz="0" w:space="0" w:color="auto"/>
            <w:left w:val="none" w:sz="0" w:space="0" w:color="auto"/>
            <w:bottom w:val="none" w:sz="0" w:space="0" w:color="auto"/>
            <w:right w:val="none" w:sz="0" w:space="0" w:color="auto"/>
          </w:divBdr>
        </w:div>
        <w:div w:id="115758894">
          <w:marLeft w:val="0"/>
          <w:marRight w:val="0"/>
          <w:marTop w:val="0"/>
          <w:marBottom w:val="0"/>
          <w:divBdr>
            <w:top w:val="none" w:sz="0" w:space="0" w:color="auto"/>
            <w:left w:val="none" w:sz="0" w:space="0" w:color="auto"/>
            <w:bottom w:val="none" w:sz="0" w:space="0" w:color="auto"/>
            <w:right w:val="none" w:sz="0" w:space="0" w:color="auto"/>
          </w:divBdr>
        </w:div>
      </w:divsChild>
    </w:div>
    <w:div w:id="479270209">
      <w:bodyDiv w:val="1"/>
      <w:marLeft w:val="0"/>
      <w:marRight w:val="0"/>
      <w:marTop w:val="0"/>
      <w:marBottom w:val="0"/>
      <w:divBdr>
        <w:top w:val="none" w:sz="0" w:space="0" w:color="auto"/>
        <w:left w:val="none" w:sz="0" w:space="0" w:color="auto"/>
        <w:bottom w:val="none" w:sz="0" w:space="0" w:color="auto"/>
        <w:right w:val="none" w:sz="0" w:space="0" w:color="auto"/>
      </w:divBdr>
    </w:div>
    <w:div w:id="481896211">
      <w:bodyDiv w:val="1"/>
      <w:marLeft w:val="0"/>
      <w:marRight w:val="0"/>
      <w:marTop w:val="0"/>
      <w:marBottom w:val="0"/>
      <w:divBdr>
        <w:top w:val="none" w:sz="0" w:space="0" w:color="auto"/>
        <w:left w:val="none" w:sz="0" w:space="0" w:color="auto"/>
        <w:bottom w:val="none" w:sz="0" w:space="0" w:color="auto"/>
        <w:right w:val="none" w:sz="0" w:space="0" w:color="auto"/>
      </w:divBdr>
    </w:div>
    <w:div w:id="483666026">
      <w:bodyDiv w:val="1"/>
      <w:marLeft w:val="0"/>
      <w:marRight w:val="0"/>
      <w:marTop w:val="0"/>
      <w:marBottom w:val="0"/>
      <w:divBdr>
        <w:top w:val="none" w:sz="0" w:space="0" w:color="auto"/>
        <w:left w:val="none" w:sz="0" w:space="0" w:color="auto"/>
        <w:bottom w:val="none" w:sz="0" w:space="0" w:color="auto"/>
        <w:right w:val="none" w:sz="0" w:space="0" w:color="auto"/>
      </w:divBdr>
    </w:div>
    <w:div w:id="488250711">
      <w:bodyDiv w:val="1"/>
      <w:marLeft w:val="0"/>
      <w:marRight w:val="0"/>
      <w:marTop w:val="0"/>
      <w:marBottom w:val="0"/>
      <w:divBdr>
        <w:top w:val="none" w:sz="0" w:space="0" w:color="auto"/>
        <w:left w:val="none" w:sz="0" w:space="0" w:color="auto"/>
        <w:bottom w:val="none" w:sz="0" w:space="0" w:color="auto"/>
        <w:right w:val="none" w:sz="0" w:space="0" w:color="auto"/>
      </w:divBdr>
    </w:div>
    <w:div w:id="500197905">
      <w:bodyDiv w:val="1"/>
      <w:marLeft w:val="0"/>
      <w:marRight w:val="0"/>
      <w:marTop w:val="0"/>
      <w:marBottom w:val="0"/>
      <w:divBdr>
        <w:top w:val="none" w:sz="0" w:space="0" w:color="auto"/>
        <w:left w:val="none" w:sz="0" w:space="0" w:color="auto"/>
        <w:bottom w:val="none" w:sz="0" w:space="0" w:color="auto"/>
        <w:right w:val="none" w:sz="0" w:space="0" w:color="auto"/>
      </w:divBdr>
    </w:div>
    <w:div w:id="500630507">
      <w:bodyDiv w:val="1"/>
      <w:marLeft w:val="0"/>
      <w:marRight w:val="0"/>
      <w:marTop w:val="0"/>
      <w:marBottom w:val="0"/>
      <w:divBdr>
        <w:top w:val="none" w:sz="0" w:space="0" w:color="auto"/>
        <w:left w:val="none" w:sz="0" w:space="0" w:color="auto"/>
        <w:bottom w:val="none" w:sz="0" w:space="0" w:color="auto"/>
        <w:right w:val="none" w:sz="0" w:space="0" w:color="auto"/>
      </w:divBdr>
    </w:div>
    <w:div w:id="502361193">
      <w:bodyDiv w:val="1"/>
      <w:marLeft w:val="0"/>
      <w:marRight w:val="0"/>
      <w:marTop w:val="0"/>
      <w:marBottom w:val="0"/>
      <w:divBdr>
        <w:top w:val="none" w:sz="0" w:space="0" w:color="auto"/>
        <w:left w:val="none" w:sz="0" w:space="0" w:color="auto"/>
        <w:bottom w:val="none" w:sz="0" w:space="0" w:color="auto"/>
        <w:right w:val="none" w:sz="0" w:space="0" w:color="auto"/>
      </w:divBdr>
    </w:div>
    <w:div w:id="504785988">
      <w:bodyDiv w:val="1"/>
      <w:marLeft w:val="0"/>
      <w:marRight w:val="0"/>
      <w:marTop w:val="0"/>
      <w:marBottom w:val="0"/>
      <w:divBdr>
        <w:top w:val="none" w:sz="0" w:space="0" w:color="auto"/>
        <w:left w:val="none" w:sz="0" w:space="0" w:color="auto"/>
        <w:bottom w:val="none" w:sz="0" w:space="0" w:color="auto"/>
        <w:right w:val="none" w:sz="0" w:space="0" w:color="auto"/>
      </w:divBdr>
    </w:div>
    <w:div w:id="506944857">
      <w:bodyDiv w:val="1"/>
      <w:marLeft w:val="0"/>
      <w:marRight w:val="0"/>
      <w:marTop w:val="0"/>
      <w:marBottom w:val="0"/>
      <w:divBdr>
        <w:top w:val="none" w:sz="0" w:space="0" w:color="auto"/>
        <w:left w:val="none" w:sz="0" w:space="0" w:color="auto"/>
        <w:bottom w:val="none" w:sz="0" w:space="0" w:color="auto"/>
        <w:right w:val="none" w:sz="0" w:space="0" w:color="auto"/>
      </w:divBdr>
    </w:div>
    <w:div w:id="507789253">
      <w:bodyDiv w:val="1"/>
      <w:marLeft w:val="0"/>
      <w:marRight w:val="0"/>
      <w:marTop w:val="0"/>
      <w:marBottom w:val="0"/>
      <w:divBdr>
        <w:top w:val="none" w:sz="0" w:space="0" w:color="auto"/>
        <w:left w:val="none" w:sz="0" w:space="0" w:color="auto"/>
        <w:bottom w:val="none" w:sz="0" w:space="0" w:color="auto"/>
        <w:right w:val="none" w:sz="0" w:space="0" w:color="auto"/>
      </w:divBdr>
    </w:div>
    <w:div w:id="508376762">
      <w:bodyDiv w:val="1"/>
      <w:marLeft w:val="0"/>
      <w:marRight w:val="0"/>
      <w:marTop w:val="0"/>
      <w:marBottom w:val="0"/>
      <w:divBdr>
        <w:top w:val="none" w:sz="0" w:space="0" w:color="auto"/>
        <w:left w:val="none" w:sz="0" w:space="0" w:color="auto"/>
        <w:bottom w:val="none" w:sz="0" w:space="0" w:color="auto"/>
        <w:right w:val="none" w:sz="0" w:space="0" w:color="auto"/>
      </w:divBdr>
    </w:div>
    <w:div w:id="524560638">
      <w:bodyDiv w:val="1"/>
      <w:marLeft w:val="0"/>
      <w:marRight w:val="0"/>
      <w:marTop w:val="0"/>
      <w:marBottom w:val="0"/>
      <w:divBdr>
        <w:top w:val="none" w:sz="0" w:space="0" w:color="auto"/>
        <w:left w:val="none" w:sz="0" w:space="0" w:color="auto"/>
        <w:bottom w:val="none" w:sz="0" w:space="0" w:color="auto"/>
        <w:right w:val="none" w:sz="0" w:space="0" w:color="auto"/>
      </w:divBdr>
    </w:div>
    <w:div w:id="529298888">
      <w:bodyDiv w:val="1"/>
      <w:marLeft w:val="0"/>
      <w:marRight w:val="0"/>
      <w:marTop w:val="0"/>
      <w:marBottom w:val="0"/>
      <w:divBdr>
        <w:top w:val="none" w:sz="0" w:space="0" w:color="auto"/>
        <w:left w:val="none" w:sz="0" w:space="0" w:color="auto"/>
        <w:bottom w:val="none" w:sz="0" w:space="0" w:color="auto"/>
        <w:right w:val="none" w:sz="0" w:space="0" w:color="auto"/>
      </w:divBdr>
    </w:div>
    <w:div w:id="548078189">
      <w:bodyDiv w:val="1"/>
      <w:marLeft w:val="0"/>
      <w:marRight w:val="0"/>
      <w:marTop w:val="0"/>
      <w:marBottom w:val="0"/>
      <w:divBdr>
        <w:top w:val="none" w:sz="0" w:space="0" w:color="auto"/>
        <w:left w:val="none" w:sz="0" w:space="0" w:color="auto"/>
        <w:bottom w:val="none" w:sz="0" w:space="0" w:color="auto"/>
        <w:right w:val="none" w:sz="0" w:space="0" w:color="auto"/>
      </w:divBdr>
    </w:div>
    <w:div w:id="548304112">
      <w:bodyDiv w:val="1"/>
      <w:marLeft w:val="0"/>
      <w:marRight w:val="0"/>
      <w:marTop w:val="0"/>
      <w:marBottom w:val="0"/>
      <w:divBdr>
        <w:top w:val="none" w:sz="0" w:space="0" w:color="auto"/>
        <w:left w:val="none" w:sz="0" w:space="0" w:color="auto"/>
        <w:bottom w:val="none" w:sz="0" w:space="0" w:color="auto"/>
        <w:right w:val="none" w:sz="0" w:space="0" w:color="auto"/>
      </w:divBdr>
    </w:div>
    <w:div w:id="550115517">
      <w:bodyDiv w:val="1"/>
      <w:marLeft w:val="0"/>
      <w:marRight w:val="0"/>
      <w:marTop w:val="0"/>
      <w:marBottom w:val="0"/>
      <w:divBdr>
        <w:top w:val="none" w:sz="0" w:space="0" w:color="auto"/>
        <w:left w:val="none" w:sz="0" w:space="0" w:color="auto"/>
        <w:bottom w:val="none" w:sz="0" w:space="0" w:color="auto"/>
        <w:right w:val="none" w:sz="0" w:space="0" w:color="auto"/>
      </w:divBdr>
    </w:div>
    <w:div w:id="551120409">
      <w:bodyDiv w:val="1"/>
      <w:marLeft w:val="0"/>
      <w:marRight w:val="0"/>
      <w:marTop w:val="0"/>
      <w:marBottom w:val="0"/>
      <w:divBdr>
        <w:top w:val="none" w:sz="0" w:space="0" w:color="auto"/>
        <w:left w:val="none" w:sz="0" w:space="0" w:color="auto"/>
        <w:bottom w:val="none" w:sz="0" w:space="0" w:color="auto"/>
        <w:right w:val="none" w:sz="0" w:space="0" w:color="auto"/>
      </w:divBdr>
    </w:div>
    <w:div w:id="556549436">
      <w:bodyDiv w:val="1"/>
      <w:marLeft w:val="0"/>
      <w:marRight w:val="0"/>
      <w:marTop w:val="0"/>
      <w:marBottom w:val="0"/>
      <w:divBdr>
        <w:top w:val="none" w:sz="0" w:space="0" w:color="auto"/>
        <w:left w:val="none" w:sz="0" w:space="0" w:color="auto"/>
        <w:bottom w:val="none" w:sz="0" w:space="0" w:color="auto"/>
        <w:right w:val="none" w:sz="0" w:space="0" w:color="auto"/>
      </w:divBdr>
    </w:div>
    <w:div w:id="560675358">
      <w:bodyDiv w:val="1"/>
      <w:marLeft w:val="0"/>
      <w:marRight w:val="0"/>
      <w:marTop w:val="0"/>
      <w:marBottom w:val="0"/>
      <w:divBdr>
        <w:top w:val="none" w:sz="0" w:space="0" w:color="auto"/>
        <w:left w:val="none" w:sz="0" w:space="0" w:color="auto"/>
        <w:bottom w:val="none" w:sz="0" w:space="0" w:color="auto"/>
        <w:right w:val="none" w:sz="0" w:space="0" w:color="auto"/>
      </w:divBdr>
    </w:div>
    <w:div w:id="561719853">
      <w:bodyDiv w:val="1"/>
      <w:marLeft w:val="0"/>
      <w:marRight w:val="0"/>
      <w:marTop w:val="0"/>
      <w:marBottom w:val="0"/>
      <w:divBdr>
        <w:top w:val="none" w:sz="0" w:space="0" w:color="auto"/>
        <w:left w:val="none" w:sz="0" w:space="0" w:color="auto"/>
        <w:bottom w:val="none" w:sz="0" w:space="0" w:color="auto"/>
        <w:right w:val="none" w:sz="0" w:space="0" w:color="auto"/>
      </w:divBdr>
    </w:div>
    <w:div w:id="563027309">
      <w:bodyDiv w:val="1"/>
      <w:marLeft w:val="0"/>
      <w:marRight w:val="0"/>
      <w:marTop w:val="0"/>
      <w:marBottom w:val="0"/>
      <w:divBdr>
        <w:top w:val="none" w:sz="0" w:space="0" w:color="auto"/>
        <w:left w:val="none" w:sz="0" w:space="0" w:color="auto"/>
        <w:bottom w:val="none" w:sz="0" w:space="0" w:color="auto"/>
        <w:right w:val="none" w:sz="0" w:space="0" w:color="auto"/>
      </w:divBdr>
    </w:div>
    <w:div w:id="573246510">
      <w:bodyDiv w:val="1"/>
      <w:marLeft w:val="0"/>
      <w:marRight w:val="0"/>
      <w:marTop w:val="0"/>
      <w:marBottom w:val="0"/>
      <w:divBdr>
        <w:top w:val="none" w:sz="0" w:space="0" w:color="auto"/>
        <w:left w:val="none" w:sz="0" w:space="0" w:color="auto"/>
        <w:bottom w:val="none" w:sz="0" w:space="0" w:color="auto"/>
        <w:right w:val="none" w:sz="0" w:space="0" w:color="auto"/>
      </w:divBdr>
      <w:divsChild>
        <w:div w:id="30688602">
          <w:marLeft w:val="0"/>
          <w:marRight w:val="0"/>
          <w:marTop w:val="0"/>
          <w:marBottom w:val="0"/>
          <w:divBdr>
            <w:top w:val="none" w:sz="0" w:space="0" w:color="auto"/>
            <w:left w:val="none" w:sz="0" w:space="0" w:color="auto"/>
            <w:bottom w:val="none" w:sz="0" w:space="0" w:color="auto"/>
            <w:right w:val="none" w:sz="0" w:space="0" w:color="auto"/>
          </w:divBdr>
        </w:div>
        <w:div w:id="1024786727">
          <w:marLeft w:val="0"/>
          <w:marRight w:val="0"/>
          <w:marTop w:val="0"/>
          <w:marBottom w:val="0"/>
          <w:divBdr>
            <w:top w:val="none" w:sz="0" w:space="0" w:color="auto"/>
            <w:left w:val="none" w:sz="0" w:space="0" w:color="auto"/>
            <w:bottom w:val="none" w:sz="0" w:space="0" w:color="auto"/>
            <w:right w:val="none" w:sz="0" w:space="0" w:color="auto"/>
          </w:divBdr>
        </w:div>
        <w:div w:id="1017659070">
          <w:marLeft w:val="0"/>
          <w:marRight w:val="0"/>
          <w:marTop w:val="0"/>
          <w:marBottom w:val="0"/>
          <w:divBdr>
            <w:top w:val="none" w:sz="0" w:space="0" w:color="auto"/>
            <w:left w:val="none" w:sz="0" w:space="0" w:color="auto"/>
            <w:bottom w:val="none" w:sz="0" w:space="0" w:color="auto"/>
            <w:right w:val="none" w:sz="0" w:space="0" w:color="auto"/>
          </w:divBdr>
        </w:div>
        <w:div w:id="262494107">
          <w:marLeft w:val="0"/>
          <w:marRight w:val="0"/>
          <w:marTop w:val="0"/>
          <w:marBottom w:val="0"/>
          <w:divBdr>
            <w:top w:val="none" w:sz="0" w:space="0" w:color="auto"/>
            <w:left w:val="none" w:sz="0" w:space="0" w:color="auto"/>
            <w:bottom w:val="none" w:sz="0" w:space="0" w:color="auto"/>
            <w:right w:val="none" w:sz="0" w:space="0" w:color="auto"/>
          </w:divBdr>
        </w:div>
        <w:div w:id="2009168592">
          <w:marLeft w:val="0"/>
          <w:marRight w:val="0"/>
          <w:marTop w:val="0"/>
          <w:marBottom w:val="0"/>
          <w:divBdr>
            <w:top w:val="none" w:sz="0" w:space="0" w:color="auto"/>
            <w:left w:val="none" w:sz="0" w:space="0" w:color="auto"/>
            <w:bottom w:val="none" w:sz="0" w:space="0" w:color="auto"/>
            <w:right w:val="none" w:sz="0" w:space="0" w:color="auto"/>
          </w:divBdr>
        </w:div>
        <w:div w:id="657533504">
          <w:marLeft w:val="0"/>
          <w:marRight w:val="0"/>
          <w:marTop w:val="0"/>
          <w:marBottom w:val="0"/>
          <w:divBdr>
            <w:top w:val="none" w:sz="0" w:space="0" w:color="auto"/>
            <w:left w:val="none" w:sz="0" w:space="0" w:color="auto"/>
            <w:bottom w:val="none" w:sz="0" w:space="0" w:color="auto"/>
            <w:right w:val="none" w:sz="0" w:space="0" w:color="auto"/>
          </w:divBdr>
        </w:div>
        <w:div w:id="1880894688">
          <w:marLeft w:val="0"/>
          <w:marRight w:val="0"/>
          <w:marTop w:val="0"/>
          <w:marBottom w:val="0"/>
          <w:divBdr>
            <w:top w:val="none" w:sz="0" w:space="0" w:color="auto"/>
            <w:left w:val="none" w:sz="0" w:space="0" w:color="auto"/>
            <w:bottom w:val="none" w:sz="0" w:space="0" w:color="auto"/>
            <w:right w:val="none" w:sz="0" w:space="0" w:color="auto"/>
          </w:divBdr>
        </w:div>
      </w:divsChild>
    </w:div>
    <w:div w:id="575554595">
      <w:bodyDiv w:val="1"/>
      <w:marLeft w:val="0"/>
      <w:marRight w:val="0"/>
      <w:marTop w:val="0"/>
      <w:marBottom w:val="0"/>
      <w:divBdr>
        <w:top w:val="none" w:sz="0" w:space="0" w:color="auto"/>
        <w:left w:val="none" w:sz="0" w:space="0" w:color="auto"/>
        <w:bottom w:val="none" w:sz="0" w:space="0" w:color="auto"/>
        <w:right w:val="none" w:sz="0" w:space="0" w:color="auto"/>
      </w:divBdr>
    </w:div>
    <w:div w:id="576599158">
      <w:bodyDiv w:val="1"/>
      <w:marLeft w:val="0"/>
      <w:marRight w:val="0"/>
      <w:marTop w:val="0"/>
      <w:marBottom w:val="0"/>
      <w:divBdr>
        <w:top w:val="none" w:sz="0" w:space="0" w:color="auto"/>
        <w:left w:val="none" w:sz="0" w:space="0" w:color="auto"/>
        <w:bottom w:val="none" w:sz="0" w:space="0" w:color="auto"/>
        <w:right w:val="none" w:sz="0" w:space="0" w:color="auto"/>
      </w:divBdr>
    </w:div>
    <w:div w:id="580919011">
      <w:bodyDiv w:val="1"/>
      <w:marLeft w:val="0"/>
      <w:marRight w:val="0"/>
      <w:marTop w:val="0"/>
      <w:marBottom w:val="0"/>
      <w:divBdr>
        <w:top w:val="none" w:sz="0" w:space="0" w:color="auto"/>
        <w:left w:val="none" w:sz="0" w:space="0" w:color="auto"/>
        <w:bottom w:val="none" w:sz="0" w:space="0" w:color="auto"/>
        <w:right w:val="none" w:sz="0" w:space="0" w:color="auto"/>
      </w:divBdr>
    </w:div>
    <w:div w:id="581597568">
      <w:bodyDiv w:val="1"/>
      <w:marLeft w:val="0"/>
      <w:marRight w:val="0"/>
      <w:marTop w:val="0"/>
      <w:marBottom w:val="0"/>
      <w:divBdr>
        <w:top w:val="none" w:sz="0" w:space="0" w:color="auto"/>
        <w:left w:val="none" w:sz="0" w:space="0" w:color="auto"/>
        <w:bottom w:val="none" w:sz="0" w:space="0" w:color="auto"/>
        <w:right w:val="none" w:sz="0" w:space="0" w:color="auto"/>
      </w:divBdr>
    </w:div>
    <w:div w:id="589702341">
      <w:bodyDiv w:val="1"/>
      <w:marLeft w:val="0"/>
      <w:marRight w:val="0"/>
      <w:marTop w:val="0"/>
      <w:marBottom w:val="0"/>
      <w:divBdr>
        <w:top w:val="none" w:sz="0" w:space="0" w:color="auto"/>
        <w:left w:val="none" w:sz="0" w:space="0" w:color="auto"/>
        <w:bottom w:val="none" w:sz="0" w:space="0" w:color="auto"/>
        <w:right w:val="none" w:sz="0" w:space="0" w:color="auto"/>
      </w:divBdr>
    </w:div>
    <w:div w:id="595598097">
      <w:bodyDiv w:val="1"/>
      <w:marLeft w:val="0"/>
      <w:marRight w:val="0"/>
      <w:marTop w:val="0"/>
      <w:marBottom w:val="0"/>
      <w:divBdr>
        <w:top w:val="none" w:sz="0" w:space="0" w:color="auto"/>
        <w:left w:val="none" w:sz="0" w:space="0" w:color="auto"/>
        <w:bottom w:val="none" w:sz="0" w:space="0" w:color="auto"/>
        <w:right w:val="none" w:sz="0" w:space="0" w:color="auto"/>
      </w:divBdr>
    </w:div>
    <w:div w:id="599872579">
      <w:bodyDiv w:val="1"/>
      <w:marLeft w:val="0"/>
      <w:marRight w:val="0"/>
      <w:marTop w:val="0"/>
      <w:marBottom w:val="0"/>
      <w:divBdr>
        <w:top w:val="none" w:sz="0" w:space="0" w:color="auto"/>
        <w:left w:val="none" w:sz="0" w:space="0" w:color="auto"/>
        <w:bottom w:val="none" w:sz="0" w:space="0" w:color="auto"/>
        <w:right w:val="none" w:sz="0" w:space="0" w:color="auto"/>
      </w:divBdr>
    </w:div>
    <w:div w:id="604925705">
      <w:bodyDiv w:val="1"/>
      <w:marLeft w:val="0"/>
      <w:marRight w:val="0"/>
      <w:marTop w:val="0"/>
      <w:marBottom w:val="0"/>
      <w:divBdr>
        <w:top w:val="none" w:sz="0" w:space="0" w:color="auto"/>
        <w:left w:val="none" w:sz="0" w:space="0" w:color="auto"/>
        <w:bottom w:val="none" w:sz="0" w:space="0" w:color="auto"/>
        <w:right w:val="none" w:sz="0" w:space="0" w:color="auto"/>
      </w:divBdr>
    </w:div>
    <w:div w:id="608468019">
      <w:bodyDiv w:val="1"/>
      <w:marLeft w:val="0"/>
      <w:marRight w:val="0"/>
      <w:marTop w:val="0"/>
      <w:marBottom w:val="0"/>
      <w:divBdr>
        <w:top w:val="none" w:sz="0" w:space="0" w:color="auto"/>
        <w:left w:val="none" w:sz="0" w:space="0" w:color="auto"/>
        <w:bottom w:val="none" w:sz="0" w:space="0" w:color="auto"/>
        <w:right w:val="none" w:sz="0" w:space="0" w:color="auto"/>
      </w:divBdr>
    </w:div>
    <w:div w:id="609505674">
      <w:bodyDiv w:val="1"/>
      <w:marLeft w:val="0"/>
      <w:marRight w:val="0"/>
      <w:marTop w:val="0"/>
      <w:marBottom w:val="0"/>
      <w:divBdr>
        <w:top w:val="none" w:sz="0" w:space="0" w:color="auto"/>
        <w:left w:val="none" w:sz="0" w:space="0" w:color="auto"/>
        <w:bottom w:val="none" w:sz="0" w:space="0" w:color="auto"/>
        <w:right w:val="none" w:sz="0" w:space="0" w:color="auto"/>
      </w:divBdr>
    </w:div>
    <w:div w:id="611327887">
      <w:bodyDiv w:val="1"/>
      <w:marLeft w:val="0"/>
      <w:marRight w:val="0"/>
      <w:marTop w:val="0"/>
      <w:marBottom w:val="0"/>
      <w:divBdr>
        <w:top w:val="none" w:sz="0" w:space="0" w:color="auto"/>
        <w:left w:val="none" w:sz="0" w:space="0" w:color="auto"/>
        <w:bottom w:val="none" w:sz="0" w:space="0" w:color="auto"/>
        <w:right w:val="none" w:sz="0" w:space="0" w:color="auto"/>
      </w:divBdr>
    </w:div>
    <w:div w:id="612976946">
      <w:bodyDiv w:val="1"/>
      <w:marLeft w:val="0"/>
      <w:marRight w:val="0"/>
      <w:marTop w:val="0"/>
      <w:marBottom w:val="0"/>
      <w:divBdr>
        <w:top w:val="none" w:sz="0" w:space="0" w:color="auto"/>
        <w:left w:val="none" w:sz="0" w:space="0" w:color="auto"/>
        <w:bottom w:val="none" w:sz="0" w:space="0" w:color="auto"/>
        <w:right w:val="none" w:sz="0" w:space="0" w:color="auto"/>
      </w:divBdr>
    </w:div>
    <w:div w:id="622807398">
      <w:bodyDiv w:val="1"/>
      <w:marLeft w:val="0"/>
      <w:marRight w:val="0"/>
      <w:marTop w:val="0"/>
      <w:marBottom w:val="0"/>
      <w:divBdr>
        <w:top w:val="none" w:sz="0" w:space="0" w:color="auto"/>
        <w:left w:val="none" w:sz="0" w:space="0" w:color="auto"/>
        <w:bottom w:val="none" w:sz="0" w:space="0" w:color="auto"/>
        <w:right w:val="none" w:sz="0" w:space="0" w:color="auto"/>
      </w:divBdr>
    </w:div>
    <w:div w:id="623313388">
      <w:bodyDiv w:val="1"/>
      <w:marLeft w:val="0"/>
      <w:marRight w:val="0"/>
      <w:marTop w:val="0"/>
      <w:marBottom w:val="0"/>
      <w:divBdr>
        <w:top w:val="none" w:sz="0" w:space="0" w:color="auto"/>
        <w:left w:val="none" w:sz="0" w:space="0" w:color="auto"/>
        <w:bottom w:val="none" w:sz="0" w:space="0" w:color="auto"/>
        <w:right w:val="none" w:sz="0" w:space="0" w:color="auto"/>
      </w:divBdr>
    </w:div>
    <w:div w:id="628125229">
      <w:bodyDiv w:val="1"/>
      <w:marLeft w:val="0"/>
      <w:marRight w:val="0"/>
      <w:marTop w:val="0"/>
      <w:marBottom w:val="0"/>
      <w:divBdr>
        <w:top w:val="none" w:sz="0" w:space="0" w:color="auto"/>
        <w:left w:val="none" w:sz="0" w:space="0" w:color="auto"/>
        <w:bottom w:val="none" w:sz="0" w:space="0" w:color="auto"/>
        <w:right w:val="none" w:sz="0" w:space="0" w:color="auto"/>
      </w:divBdr>
    </w:div>
    <w:div w:id="632755652">
      <w:bodyDiv w:val="1"/>
      <w:marLeft w:val="0"/>
      <w:marRight w:val="0"/>
      <w:marTop w:val="0"/>
      <w:marBottom w:val="0"/>
      <w:divBdr>
        <w:top w:val="none" w:sz="0" w:space="0" w:color="auto"/>
        <w:left w:val="none" w:sz="0" w:space="0" w:color="auto"/>
        <w:bottom w:val="none" w:sz="0" w:space="0" w:color="auto"/>
        <w:right w:val="none" w:sz="0" w:space="0" w:color="auto"/>
      </w:divBdr>
    </w:div>
    <w:div w:id="632949770">
      <w:bodyDiv w:val="1"/>
      <w:marLeft w:val="0"/>
      <w:marRight w:val="0"/>
      <w:marTop w:val="0"/>
      <w:marBottom w:val="0"/>
      <w:divBdr>
        <w:top w:val="none" w:sz="0" w:space="0" w:color="auto"/>
        <w:left w:val="none" w:sz="0" w:space="0" w:color="auto"/>
        <w:bottom w:val="none" w:sz="0" w:space="0" w:color="auto"/>
        <w:right w:val="none" w:sz="0" w:space="0" w:color="auto"/>
      </w:divBdr>
    </w:div>
    <w:div w:id="633752547">
      <w:bodyDiv w:val="1"/>
      <w:marLeft w:val="0"/>
      <w:marRight w:val="0"/>
      <w:marTop w:val="0"/>
      <w:marBottom w:val="0"/>
      <w:divBdr>
        <w:top w:val="none" w:sz="0" w:space="0" w:color="auto"/>
        <w:left w:val="none" w:sz="0" w:space="0" w:color="auto"/>
        <w:bottom w:val="none" w:sz="0" w:space="0" w:color="auto"/>
        <w:right w:val="none" w:sz="0" w:space="0" w:color="auto"/>
      </w:divBdr>
    </w:div>
    <w:div w:id="634867684">
      <w:bodyDiv w:val="1"/>
      <w:marLeft w:val="0"/>
      <w:marRight w:val="0"/>
      <w:marTop w:val="0"/>
      <w:marBottom w:val="0"/>
      <w:divBdr>
        <w:top w:val="none" w:sz="0" w:space="0" w:color="auto"/>
        <w:left w:val="none" w:sz="0" w:space="0" w:color="auto"/>
        <w:bottom w:val="none" w:sz="0" w:space="0" w:color="auto"/>
        <w:right w:val="none" w:sz="0" w:space="0" w:color="auto"/>
      </w:divBdr>
    </w:div>
    <w:div w:id="637683397">
      <w:bodyDiv w:val="1"/>
      <w:marLeft w:val="0"/>
      <w:marRight w:val="0"/>
      <w:marTop w:val="0"/>
      <w:marBottom w:val="0"/>
      <w:divBdr>
        <w:top w:val="none" w:sz="0" w:space="0" w:color="auto"/>
        <w:left w:val="none" w:sz="0" w:space="0" w:color="auto"/>
        <w:bottom w:val="none" w:sz="0" w:space="0" w:color="auto"/>
        <w:right w:val="none" w:sz="0" w:space="0" w:color="auto"/>
      </w:divBdr>
    </w:div>
    <w:div w:id="656155941">
      <w:bodyDiv w:val="1"/>
      <w:marLeft w:val="0"/>
      <w:marRight w:val="0"/>
      <w:marTop w:val="0"/>
      <w:marBottom w:val="0"/>
      <w:divBdr>
        <w:top w:val="none" w:sz="0" w:space="0" w:color="auto"/>
        <w:left w:val="none" w:sz="0" w:space="0" w:color="auto"/>
        <w:bottom w:val="none" w:sz="0" w:space="0" w:color="auto"/>
        <w:right w:val="none" w:sz="0" w:space="0" w:color="auto"/>
      </w:divBdr>
    </w:div>
    <w:div w:id="658725985">
      <w:bodyDiv w:val="1"/>
      <w:marLeft w:val="0"/>
      <w:marRight w:val="0"/>
      <w:marTop w:val="0"/>
      <w:marBottom w:val="0"/>
      <w:divBdr>
        <w:top w:val="none" w:sz="0" w:space="0" w:color="auto"/>
        <w:left w:val="none" w:sz="0" w:space="0" w:color="auto"/>
        <w:bottom w:val="none" w:sz="0" w:space="0" w:color="auto"/>
        <w:right w:val="none" w:sz="0" w:space="0" w:color="auto"/>
      </w:divBdr>
    </w:div>
    <w:div w:id="666447961">
      <w:bodyDiv w:val="1"/>
      <w:marLeft w:val="0"/>
      <w:marRight w:val="0"/>
      <w:marTop w:val="0"/>
      <w:marBottom w:val="0"/>
      <w:divBdr>
        <w:top w:val="none" w:sz="0" w:space="0" w:color="auto"/>
        <w:left w:val="none" w:sz="0" w:space="0" w:color="auto"/>
        <w:bottom w:val="none" w:sz="0" w:space="0" w:color="auto"/>
        <w:right w:val="none" w:sz="0" w:space="0" w:color="auto"/>
      </w:divBdr>
    </w:div>
    <w:div w:id="682438773">
      <w:bodyDiv w:val="1"/>
      <w:marLeft w:val="0"/>
      <w:marRight w:val="0"/>
      <w:marTop w:val="0"/>
      <w:marBottom w:val="0"/>
      <w:divBdr>
        <w:top w:val="none" w:sz="0" w:space="0" w:color="auto"/>
        <w:left w:val="none" w:sz="0" w:space="0" w:color="auto"/>
        <w:bottom w:val="none" w:sz="0" w:space="0" w:color="auto"/>
        <w:right w:val="none" w:sz="0" w:space="0" w:color="auto"/>
      </w:divBdr>
    </w:div>
    <w:div w:id="686715235">
      <w:bodyDiv w:val="1"/>
      <w:marLeft w:val="0"/>
      <w:marRight w:val="0"/>
      <w:marTop w:val="0"/>
      <w:marBottom w:val="0"/>
      <w:divBdr>
        <w:top w:val="none" w:sz="0" w:space="0" w:color="auto"/>
        <w:left w:val="none" w:sz="0" w:space="0" w:color="auto"/>
        <w:bottom w:val="none" w:sz="0" w:space="0" w:color="auto"/>
        <w:right w:val="none" w:sz="0" w:space="0" w:color="auto"/>
      </w:divBdr>
    </w:div>
    <w:div w:id="691762322">
      <w:bodyDiv w:val="1"/>
      <w:marLeft w:val="0"/>
      <w:marRight w:val="0"/>
      <w:marTop w:val="0"/>
      <w:marBottom w:val="0"/>
      <w:divBdr>
        <w:top w:val="none" w:sz="0" w:space="0" w:color="auto"/>
        <w:left w:val="none" w:sz="0" w:space="0" w:color="auto"/>
        <w:bottom w:val="none" w:sz="0" w:space="0" w:color="auto"/>
        <w:right w:val="none" w:sz="0" w:space="0" w:color="auto"/>
      </w:divBdr>
    </w:div>
    <w:div w:id="695230760">
      <w:bodyDiv w:val="1"/>
      <w:marLeft w:val="0"/>
      <w:marRight w:val="0"/>
      <w:marTop w:val="0"/>
      <w:marBottom w:val="0"/>
      <w:divBdr>
        <w:top w:val="none" w:sz="0" w:space="0" w:color="auto"/>
        <w:left w:val="none" w:sz="0" w:space="0" w:color="auto"/>
        <w:bottom w:val="none" w:sz="0" w:space="0" w:color="auto"/>
        <w:right w:val="none" w:sz="0" w:space="0" w:color="auto"/>
      </w:divBdr>
    </w:div>
    <w:div w:id="700979973">
      <w:bodyDiv w:val="1"/>
      <w:marLeft w:val="0"/>
      <w:marRight w:val="0"/>
      <w:marTop w:val="0"/>
      <w:marBottom w:val="0"/>
      <w:divBdr>
        <w:top w:val="none" w:sz="0" w:space="0" w:color="auto"/>
        <w:left w:val="none" w:sz="0" w:space="0" w:color="auto"/>
        <w:bottom w:val="none" w:sz="0" w:space="0" w:color="auto"/>
        <w:right w:val="none" w:sz="0" w:space="0" w:color="auto"/>
      </w:divBdr>
    </w:div>
    <w:div w:id="704719277">
      <w:bodyDiv w:val="1"/>
      <w:marLeft w:val="0"/>
      <w:marRight w:val="0"/>
      <w:marTop w:val="0"/>
      <w:marBottom w:val="0"/>
      <w:divBdr>
        <w:top w:val="none" w:sz="0" w:space="0" w:color="auto"/>
        <w:left w:val="none" w:sz="0" w:space="0" w:color="auto"/>
        <w:bottom w:val="none" w:sz="0" w:space="0" w:color="auto"/>
        <w:right w:val="none" w:sz="0" w:space="0" w:color="auto"/>
      </w:divBdr>
    </w:div>
    <w:div w:id="705106729">
      <w:bodyDiv w:val="1"/>
      <w:marLeft w:val="0"/>
      <w:marRight w:val="0"/>
      <w:marTop w:val="0"/>
      <w:marBottom w:val="0"/>
      <w:divBdr>
        <w:top w:val="none" w:sz="0" w:space="0" w:color="auto"/>
        <w:left w:val="none" w:sz="0" w:space="0" w:color="auto"/>
        <w:bottom w:val="none" w:sz="0" w:space="0" w:color="auto"/>
        <w:right w:val="none" w:sz="0" w:space="0" w:color="auto"/>
      </w:divBdr>
    </w:div>
    <w:div w:id="705372945">
      <w:bodyDiv w:val="1"/>
      <w:marLeft w:val="0"/>
      <w:marRight w:val="0"/>
      <w:marTop w:val="0"/>
      <w:marBottom w:val="0"/>
      <w:divBdr>
        <w:top w:val="none" w:sz="0" w:space="0" w:color="auto"/>
        <w:left w:val="none" w:sz="0" w:space="0" w:color="auto"/>
        <w:bottom w:val="none" w:sz="0" w:space="0" w:color="auto"/>
        <w:right w:val="none" w:sz="0" w:space="0" w:color="auto"/>
      </w:divBdr>
    </w:div>
    <w:div w:id="718550949">
      <w:bodyDiv w:val="1"/>
      <w:marLeft w:val="0"/>
      <w:marRight w:val="0"/>
      <w:marTop w:val="0"/>
      <w:marBottom w:val="0"/>
      <w:divBdr>
        <w:top w:val="none" w:sz="0" w:space="0" w:color="auto"/>
        <w:left w:val="none" w:sz="0" w:space="0" w:color="auto"/>
        <w:bottom w:val="none" w:sz="0" w:space="0" w:color="auto"/>
        <w:right w:val="none" w:sz="0" w:space="0" w:color="auto"/>
      </w:divBdr>
    </w:div>
    <w:div w:id="718552010">
      <w:bodyDiv w:val="1"/>
      <w:marLeft w:val="0"/>
      <w:marRight w:val="0"/>
      <w:marTop w:val="0"/>
      <w:marBottom w:val="0"/>
      <w:divBdr>
        <w:top w:val="none" w:sz="0" w:space="0" w:color="auto"/>
        <w:left w:val="none" w:sz="0" w:space="0" w:color="auto"/>
        <w:bottom w:val="none" w:sz="0" w:space="0" w:color="auto"/>
        <w:right w:val="none" w:sz="0" w:space="0" w:color="auto"/>
      </w:divBdr>
    </w:div>
    <w:div w:id="720830689">
      <w:bodyDiv w:val="1"/>
      <w:marLeft w:val="0"/>
      <w:marRight w:val="0"/>
      <w:marTop w:val="0"/>
      <w:marBottom w:val="0"/>
      <w:divBdr>
        <w:top w:val="none" w:sz="0" w:space="0" w:color="auto"/>
        <w:left w:val="none" w:sz="0" w:space="0" w:color="auto"/>
        <w:bottom w:val="none" w:sz="0" w:space="0" w:color="auto"/>
        <w:right w:val="none" w:sz="0" w:space="0" w:color="auto"/>
      </w:divBdr>
    </w:div>
    <w:div w:id="725223159">
      <w:bodyDiv w:val="1"/>
      <w:marLeft w:val="0"/>
      <w:marRight w:val="0"/>
      <w:marTop w:val="0"/>
      <w:marBottom w:val="0"/>
      <w:divBdr>
        <w:top w:val="none" w:sz="0" w:space="0" w:color="auto"/>
        <w:left w:val="none" w:sz="0" w:space="0" w:color="auto"/>
        <w:bottom w:val="none" w:sz="0" w:space="0" w:color="auto"/>
        <w:right w:val="none" w:sz="0" w:space="0" w:color="auto"/>
      </w:divBdr>
    </w:div>
    <w:div w:id="726995076">
      <w:bodyDiv w:val="1"/>
      <w:marLeft w:val="0"/>
      <w:marRight w:val="0"/>
      <w:marTop w:val="0"/>
      <w:marBottom w:val="0"/>
      <w:divBdr>
        <w:top w:val="none" w:sz="0" w:space="0" w:color="auto"/>
        <w:left w:val="none" w:sz="0" w:space="0" w:color="auto"/>
        <w:bottom w:val="none" w:sz="0" w:space="0" w:color="auto"/>
        <w:right w:val="none" w:sz="0" w:space="0" w:color="auto"/>
      </w:divBdr>
    </w:div>
    <w:div w:id="730542994">
      <w:bodyDiv w:val="1"/>
      <w:marLeft w:val="0"/>
      <w:marRight w:val="0"/>
      <w:marTop w:val="0"/>
      <w:marBottom w:val="0"/>
      <w:divBdr>
        <w:top w:val="none" w:sz="0" w:space="0" w:color="auto"/>
        <w:left w:val="none" w:sz="0" w:space="0" w:color="auto"/>
        <w:bottom w:val="none" w:sz="0" w:space="0" w:color="auto"/>
        <w:right w:val="none" w:sz="0" w:space="0" w:color="auto"/>
      </w:divBdr>
    </w:div>
    <w:div w:id="735977849">
      <w:bodyDiv w:val="1"/>
      <w:marLeft w:val="0"/>
      <w:marRight w:val="0"/>
      <w:marTop w:val="0"/>
      <w:marBottom w:val="0"/>
      <w:divBdr>
        <w:top w:val="none" w:sz="0" w:space="0" w:color="auto"/>
        <w:left w:val="none" w:sz="0" w:space="0" w:color="auto"/>
        <w:bottom w:val="none" w:sz="0" w:space="0" w:color="auto"/>
        <w:right w:val="none" w:sz="0" w:space="0" w:color="auto"/>
      </w:divBdr>
    </w:div>
    <w:div w:id="737826364">
      <w:bodyDiv w:val="1"/>
      <w:marLeft w:val="0"/>
      <w:marRight w:val="0"/>
      <w:marTop w:val="0"/>
      <w:marBottom w:val="0"/>
      <w:divBdr>
        <w:top w:val="none" w:sz="0" w:space="0" w:color="auto"/>
        <w:left w:val="none" w:sz="0" w:space="0" w:color="auto"/>
        <w:bottom w:val="none" w:sz="0" w:space="0" w:color="auto"/>
        <w:right w:val="none" w:sz="0" w:space="0" w:color="auto"/>
      </w:divBdr>
    </w:div>
    <w:div w:id="743143930">
      <w:bodyDiv w:val="1"/>
      <w:marLeft w:val="0"/>
      <w:marRight w:val="0"/>
      <w:marTop w:val="0"/>
      <w:marBottom w:val="0"/>
      <w:divBdr>
        <w:top w:val="none" w:sz="0" w:space="0" w:color="auto"/>
        <w:left w:val="none" w:sz="0" w:space="0" w:color="auto"/>
        <w:bottom w:val="none" w:sz="0" w:space="0" w:color="auto"/>
        <w:right w:val="none" w:sz="0" w:space="0" w:color="auto"/>
      </w:divBdr>
    </w:div>
    <w:div w:id="743450764">
      <w:bodyDiv w:val="1"/>
      <w:marLeft w:val="0"/>
      <w:marRight w:val="0"/>
      <w:marTop w:val="0"/>
      <w:marBottom w:val="0"/>
      <w:divBdr>
        <w:top w:val="none" w:sz="0" w:space="0" w:color="auto"/>
        <w:left w:val="none" w:sz="0" w:space="0" w:color="auto"/>
        <w:bottom w:val="none" w:sz="0" w:space="0" w:color="auto"/>
        <w:right w:val="none" w:sz="0" w:space="0" w:color="auto"/>
      </w:divBdr>
    </w:div>
    <w:div w:id="744448883">
      <w:bodyDiv w:val="1"/>
      <w:marLeft w:val="0"/>
      <w:marRight w:val="0"/>
      <w:marTop w:val="0"/>
      <w:marBottom w:val="0"/>
      <w:divBdr>
        <w:top w:val="none" w:sz="0" w:space="0" w:color="auto"/>
        <w:left w:val="none" w:sz="0" w:space="0" w:color="auto"/>
        <w:bottom w:val="none" w:sz="0" w:space="0" w:color="auto"/>
        <w:right w:val="none" w:sz="0" w:space="0" w:color="auto"/>
      </w:divBdr>
    </w:div>
    <w:div w:id="746806585">
      <w:bodyDiv w:val="1"/>
      <w:marLeft w:val="0"/>
      <w:marRight w:val="0"/>
      <w:marTop w:val="0"/>
      <w:marBottom w:val="0"/>
      <w:divBdr>
        <w:top w:val="none" w:sz="0" w:space="0" w:color="auto"/>
        <w:left w:val="none" w:sz="0" w:space="0" w:color="auto"/>
        <w:bottom w:val="none" w:sz="0" w:space="0" w:color="auto"/>
        <w:right w:val="none" w:sz="0" w:space="0" w:color="auto"/>
      </w:divBdr>
    </w:div>
    <w:div w:id="750353910">
      <w:bodyDiv w:val="1"/>
      <w:marLeft w:val="0"/>
      <w:marRight w:val="0"/>
      <w:marTop w:val="0"/>
      <w:marBottom w:val="0"/>
      <w:divBdr>
        <w:top w:val="none" w:sz="0" w:space="0" w:color="auto"/>
        <w:left w:val="none" w:sz="0" w:space="0" w:color="auto"/>
        <w:bottom w:val="none" w:sz="0" w:space="0" w:color="auto"/>
        <w:right w:val="none" w:sz="0" w:space="0" w:color="auto"/>
      </w:divBdr>
    </w:div>
    <w:div w:id="751004247">
      <w:bodyDiv w:val="1"/>
      <w:marLeft w:val="0"/>
      <w:marRight w:val="0"/>
      <w:marTop w:val="0"/>
      <w:marBottom w:val="0"/>
      <w:divBdr>
        <w:top w:val="none" w:sz="0" w:space="0" w:color="auto"/>
        <w:left w:val="none" w:sz="0" w:space="0" w:color="auto"/>
        <w:bottom w:val="none" w:sz="0" w:space="0" w:color="auto"/>
        <w:right w:val="none" w:sz="0" w:space="0" w:color="auto"/>
      </w:divBdr>
    </w:div>
    <w:div w:id="754741888">
      <w:bodyDiv w:val="1"/>
      <w:marLeft w:val="0"/>
      <w:marRight w:val="0"/>
      <w:marTop w:val="0"/>
      <w:marBottom w:val="0"/>
      <w:divBdr>
        <w:top w:val="none" w:sz="0" w:space="0" w:color="auto"/>
        <w:left w:val="none" w:sz="0" w:space="0" w:color="auto"/>
        <w:bottom w:val="none" w:sz="0" w:space="0" w:color="auto"/>
        <w:right w:val="none" w:sz="0" w:space="0" w:color="auto"/>
      </w:divBdr>
    </w:div>
    <w:div w:id="757093054">
      <w:bodyDiv w:val="1"/>
      <w:marLeft w:val="0"/>
      <w:marRight w:val="0"/>
      <w:marTop w:val="0"/>
      <w:marBottom w:val="0"/>
      <w:divBdr>
        <w:top w:val="none" w:sz="0" w:space="0" w:color="auto"/>
        <w:left w:val="none" w:sz="0" w:space="0" w:color="auto"/>
        <w:bottom w:val="none" w:sz="0" w:space="0" w:color="auto"/>
        <w:right w:val="none" w:sz="0" w:space="0" w:color="auto"/>
      </w:divBdr>
    </w:div>
    <w:div w:id="759135325">
      <w:bodyDiv w:val="1"/>
      <w:marLeft w:val="0"/>
      <w:marRight w:val="0"/>
      <w:marTop w:val="0"/>
      <w:marBottom w:val="0"/>
      <w:divBdr>
        <w:top w:val="none" w:sz="0" w:space="0" w:color="auto"/>
        <w:left w:val="none" w:sz="0" w:space="0" w:color="auto"/>
        <w:bottom w:val="none" w:sz="0" w:space="0" w:color="auto"/>
        <w:right w:val="none" w:sz="0" w:space="0" w:color="auto"/>
      </w:divBdr>
    </w:div>
    <w:div w:id="759833086">
      <w:bodyDiv w:val="1"/>
      <w:marLeft w:val="0"/>
      <w:marRight w:val="0"/>
      <w:marTop w:val="0"/>
      <w:marBottom w:val="0"/>
      <w:divBdr>
        <w:top w:val="none" w:sz="0" w:space="0" w:color="auto"/>
        <w:left w:val="none" w:sz="0" w:space="0" w:color="auto"/>
        <w:bottom w:val="none" w:sz="0" w:space="0" w:color="auto"/>
        <w:right w:val="none" w:sz="0" w:space="0" w:color="auto"/>
      </w:divBdr>
    </w:div>
    <w:div w:id="765686676">
      <w:bodyDiv w:val="1"/>
      <w:marLeft w:val="0"/>
      <w:marRight w:val="0"/>
      <w:marTop w:val="0"/>
      <w:marBottom w:val="0"/>
      <w:divBdr>
        <w:top w:val="none" w:sz="0" w:space="0" w:color="auto"/>
        <w:left w:val="none" w:sz="0" w:space="0" w:color="auto"/>
        <w:bottom w:val="none" w:sz="0" w:space="0" w:color="auto"/>
        <w:right w:val="none" w:sz="0" w:space="0" w:color="auto"/>
      </w:divBdr>
    </w:div>
    <w:div w:id="769394925">
      <w:bodyDiv w:val="1"/>
      <w:marLeft w:val="0"/>
      <w:marRight w:val="0"/>
      <w:marTop w:val="0"/>
      <w:marBottom w:val="0"/>
      <w:divBdr>
        <w:top w:val="none" w:sz="0" w:space="0" w:color="auto"/>
        <w:left w:val="none" w:sz="0" w:space="0" w:color="auto"/>
        <w:bottom w:val="none" w:sz="0" w:space="0" w:color="auto"/>
        <w:right w:val="none" w:sz="0" w:space="0" w:color="auto"/>
      </w:divBdr>
    </w:div>
    <w:div w:id="772285942">
      <w:bodyDiv w:val="1"/>
      <w:marLeft w:val="0"/>
      <w:marRight w:val="0"/>
      <w:marTop w:val="0"/>
      <w:marBottom w:val="0"/>
      <w:divBdr>
        <w:top w:val="none" w:sz="0" w:space="0" w:color="auto"/>
        <w:left w:val="none" w:sz="0" w:space="0" w:color="auto"/>
        <w:bottom w:val="none" w:sz="0" w:space="0" w:color="auto"/>
        <w:right w:val="none" w:sz="0" w:space="0" w:color="auto"/>
      </w:divBdr>
    </w:div>
    <w:div w:id="773939892">
      <w:bodyDiv w:val="1"/>
      <w:marLeft w:val="0"/>
      <w:marRight w:val="0"/>
      <w:marTop w:val="0"/>
      <w:marBottom w:val="0"/>
      <w:divBdr>
        <w:top w:val="none" w:sz="0" w:space="0" w:color="auto"/>
        <w:left w:val="none" w:sz="0" w:space="0" w:color="auto"/>
        <w:bottom w:val="none" w:sz="0" w:space="0" w:color="auto"/>
        <w:right w:val="none" w:sz="0" w:space="0" w:color="auto"/>
      </w:divBdr>
    </w:div>
    <w:div w:id="774590761">
      <w:bodyDiv w:val="1"/>
      <w:marLeft w:val="0"/>
      <w:marRight w:val="0"/>
      <w:marTop w:val="0"/>
      <w:marBottom w:val="0"/>
      <w:divBdr>
        <w:top w:val="none" w:sz="0" w:space="0" w:color="auto"/>
        <w:left w:val="none" w:sz="0" w:space="0" w:color="auto"/>
        <w:bottom w:val="none" w:sz="0" w:space="0" w:color="auto"/>
        <w:right w:val="none" w:sz="0" w:space="0" w:color="auto"/>
      </w:divBdr>
    </w:div>
    <w:div w:id="780153279">
      <w:bodyDiv w:val="1"/>
      <w:marLeft w:val="0"/>
      <w:marRight w:val="0"/>
      <w:marTop w:val="0"/>
      <w:marBottom w:val="0"/>
      <w:divBdr>
        <w:top w:val="none" w:sz="0" w:space="0" w:color="auto"/>
        <w:left w:val="none" w:sz="0" w:space="0" w:color="auto"/>
        <w:bottom w:val="none" w:sz="0" w:space="0" w:color="auto"/>
        <w:right w:val="none" w:sz="0" w:space="0" w:color="auto"/>
      </w:divBdr>
    </w:div>
    <w:div w:id="785732701">
      <w:bodyDiv w:val="1"/>
      <w:marLeft w:val="0"/>
      <w:marRight w:val="0"/>
      <w:marTop w:val="0"/>
      <w:marBottom w:val="0"/>
      <w:divBdr>
        <w:top w:val="none" w:sz="0" w:space="0" w:color="auto"/>
        <w:left w:val="none" w:sz="0" w:space="0" w:color="auto"/>
        <w:bottom w:val="none" w:sz="0" w:space="0" w:color="auto"/>
        <w:right w:val="none" w:sz="0" w:space="0" w:color="auto"/>
      </w:divBdr>
    </w:div>
    <w:div w:id="787816243">
      <w:bodyDiv w:val="1"/>
      <w:marLeft w:val="0"/>
      <w:marRight w:val="0"/>
      <w:marTop w:val="0"/>
      <w:marBottom w:val="0"/>
      <w:divBdr>
        <w:top w:val="none" w:sz="0" w:space="0" w:color="auto"/>
        <w:left w:val="none" w:sz="0" w:space="0" w:color="auto"/>
        <w:bottom w:val="none" w:sz="0" w:space="0" w:color="auto"/>
        <w:right w:val="none" w:sz="0" w:space="0" w:color="auto"/>
      </w:divBdr>
    </w:div>
    <w:div w:id="790392506">
      <w:bodyDiv w:val="1"/>
      <w:marLeft w:val="0"/>
      <w:marRight w:val="0"/>
      <w:marTop w:val="0"/>
      <w:marBottom w:val="0"/>
      <w:divBdr>
        <w:top w:val="none" w:sz="0" w:space="0" w:color="auto"/>
        <w:left w:val="none" w:sz="0" w:space="0" w:color="auto"/>
        <w:bottom w:val="none" w:sz="0" w:space="0" w:color="auto"/>
        <w:right w:val="none" w:sz="0" w:space="0" w:color="auto"/>
      </w:divBdr>
    </w:div>
    <w:div w:id="791170782">
      <w:bodyDiv w:val="1"/>
      <w:marLeft w:val="0"/>
      <w:marRight w:val="0"/>
      <w:marTop w:val="0"/>
      <w:marBottom w:val="0"/>
      <w:divBdr>
        <w:top w:val="none" w:sz="0" w:space="0" w:color="auto"/>
        <w:left w:val="none" w:sz="0" w:space="0" w:color="auto"/>
        <w:bottom w:val="none" w:sz="0" w:space="0" w:color="auto"/>
        <w:right w:val="none" w:sz="0" w:space="0" w:color="auto"/>
      </w:divBdr>
    </w:div>
    <w:div w:id="795489651">
      <w:bodyDiv w:val="1"/>
      <w:marLeft w:val="0"/>
      <w:marRight w:val="0"/>
      <w:marTop w:val="0"/>
      <w:marBottom w:val="0"/>
      <w:divBdr>
        <w:top w:val="none" w:sz="0" w:space="0" w:color="auto"/>
        <w:left w:val="none" w:sz="0" w:space="0" w:color="auto"/>
        <w:bottom w:val="none" w:sz="0" w:space="0" w:color="auto"/>
        <w:right w:val="none" w:sz="0" w:space="0" w:color="auto"/>
      </w:divBdr>
    </w:div>
    <w:div w:id="797066112">
      <w:bodyDiv w:val="1"/>
      <w:marLeft w:val="0"/>
      <w:marRight w:val="0"/>
      <w:marTop w:val="0"/>
      <w:marBottom w:val="0"/>
      <w:divBdr>
        <w:top w:val="none" w:sz="0" w:space="0" w:color="auto"/>
        <w:left w:val="none" w:sz="0" w:space="0" w:color="auto"/>
        <w:bottom w:val="none" w:sz="0" w:space="0" w:color="auto"/>
        <w:right w:val="none" w:sz="0" w:space="0" w:color="auto"/>
      </w:divBdr>
    </w:div>
    <w:div w:id="805590654">
      <w:bodyDiv w:val="1"/>
      <w:marLeft w:val="0"/>
      <w:marRight w:val="0"/>
      <w:marTop w:val="0"/>
      <w:marBottom w:val="0"/>
      <w:divBdr>
        <w:top w:val="none" w:sz="0" w:space="0" w:color="auto"/>
        <w:left w:val="none" w:sz="0" w:space="0" w:color="auto"/>
        <w:bottom w:val="none" w:sz="0" w:space="0" w:color="auto"/>
        <w:right w:val="none" w:sz="0" w:space="0" w:color="auto"/>
      </w:divBdr>
    </w:div>
    <w:div w:id="805902558">
      <w:bodyDiv w:val="1"/>
      <w:marLeft w:val="0"/>
      <w:marRight w:val="0"/>
      <w:marTop w:val="0"/>
      <w:marBottom w:val="0"/>
      <w:divBdr>
        <w:top w:val="none" w:sz="0" w:space="0" w:color="auto"/>
        <w:left w:val="none" w:sz="0" w:space="0" w:color="auto"/>
        <w:bottom w:val="none" w:sz="0" w:space="0" w:color="auto"/>
        <w:right w:val="none" w:sz="0" w:space="0" w:color="auto"/>
      </w:divBdr>
    </w:div>
    <w:div w:id="809522563">
      <w:bodyDiv w:val="1"/>
      <w:marLeft w:val="0"/>
      <w:marRight w:val="0"/>
      <w:marTop w:val="0"/>
      <w:marBottom w:val="0"/>
      <w:divBdr>
        <w:top w:val="none" w:sz="0" w:space="0" w:color="auto"/>
        <w:left w:val="none" w:sz="0" w:space="0" w:color="auto"/>
        <w:bottom w:val="none" w:sz="0" w:space="0" w:color="auto"/>
        <w:right w:val="none" w:sz="0" w:space="0" w:color="auto"/>
      </w:divBdr>
    </w:div>
    <w:div w:id="813134447">
      <w:bodyDiv w:val="1"/>
      <w:marLeft w:val="0"/>
      <w:marRight w:val="0"/>
      <w:marTop w:val="0"/>
      <w:marBottom w:val="0"/>
      <w:divBdr>
        <w:top w:val="none" w:sz="0" w:space="0" w:color="auto"/>
        <w:left w:val="none" w:sz="0" w:space="0" w:color="auto"/>
        <w:bottom w:val="none" w:sz="0" w:space="0" w:color="auto"/>
        <w:right w:val="none" w:sz="0" w:space="0" w:color="auto"/>
      </w:divBdr>
    </w:div>
    <w:div w:id="824081118">
      <w:bodyDiv w:val="1"/>
      <w:marLeft w:val="0"/>
      <w:marRight w:val="0"/>
      <w:marTop w:val="0"/>
      <w:marBottom w:val="0"/>
      <w:divBdr>
        <w:top w:val="none" w:sz="0" w:space="0" w:color="auto"/>
        <w:left w:val="none" w:sz="0" w:space="0" w:color="auto"/>
        <w:bottom w:val="none" w:sz="0" w:space="0" w:color="auto"/>
        <w:right w:val="none" w:sz="0" w:space="0" w:color="auto"/>
      </w:divBdr>
    </w:div>
    <w:div w:id="831870338">
      <w:bodyDiv w:val="1"/>
      <w:marLeft w:val="0"/>
      <w:marRight w:val="0"/>
      <w:marTop w:val="0"/>
      <w:marBottom w:val="0"/>
      <w:divBdr>
        <w:top w:val="none" w:sz="0" w:space="0" w:color="auto"/>
        <w:left w:val="none" w:sz="0" w:space="0" w:color="auto"/>
        <w:bottom w:val="none" w:sz="0" w:space="0" w:color="auto"/>
        <w:right w:val="none" w:sz="0" w:space="0" w:color="auto"/>
      </w:divBdr>
    </w:div>
    <w:div w:id="835343595">
      <w:bodyDiv w:val="1"/>
      <w:marLeft w:val="0"/>
      <w:marRight w:val="0"/>
      <w:marTop w:val="0"/>
      <w:marBottom w:val="0"/>
      <w:divBdr>
        <w:top w:val="none" w:sz="0" w:space="0" w:color="auto"/>
        <w:left w:val="none" w:sz="0" w:space="0" w:color="auto"/>
        <w:bottom w:val="none" w:sz="0" w:space="0" w:color="auto"/>
        <w:right w:val="none" w:sz="0" w:space="0" w:color="auto"/>
      </w:divBdr>
    </w:div>
    <w:div w:id="842547536">
      <w:bodyDiv w:val="1"/>
      <w:marLeft w:val="0"/>
      <w:marRight w:val="0"/>
      <w:marTop w:val="0"/>
      <w:marBottom w:val="0"/>
      <w:divBdr>
        <w:top w:val="none" w:sz="0" w:space="0" w:color="auto"/>
        <w:left w:val="none" w:sz="0" w:space="0" w:color="auto"/>
        <w:bottom w:val="none" w:sz="0" w:space="0" w:color="auto"/>
        <w:right w:val="none" w:sz="0" w:space="0" w:color="auto"/>
      </w:divBdr>
    </w:div>
    <w:div w:id="844200530">
      <w:bodyDiv w:val="1"/>
      <w:marLeft w:val="0"/>
      <w:marRight w:val="0"/>
      <w:marTop w:val="0"/>
      <w:marBottom w:val="0"/>
      <w:divBdr>
        <w:top w:val="none" w:sz="0" w:space="0" w:color="auto"/>
        <w:left w:val="none" w:sz="0" w:space="0" w:color="auto"/>
        <w:bottom w:val="none" w:sz="0" w:space="0" w:color="auto"/>
        <w:right w:val="none" w:sz="0" w:space="0" w:color="auto"/>
      </w:divBdr>
    </w:div>
    <w:div w:id="850726187">
      <w:bodyDiv w:val="1"/>
      <w:marLeft w:val="0"/>
      <w:marRight w:val="0"/>
      <w:marTop w:val="0"/>
      <w:marBottom w:val="0"/>
      <w:divBdr>
        <w:top w:val="none" w:sz="0" w:space="0" w:color="auto"/>
        <w:left w:val="none" w:sz="0" w:space="0" w:color="auto"/>
        <w:bottom w:val="none" w:sz="0" w:space="0" w:color="auto"/>
        <w:right w:val="none" w:sz="0" w:space="0" w:color="auto"/>
      </w:divBdr>
    </w:div>
    <w:div w:id="853568293">
      <w:bodyDiv w:val="1"/>
      <w:marLeft w:val="0"/>
      <w:marRight w:val="0"/>
      <w:marTop w:val="0"/>
      <w:marBottom w:val="0"/>
      <w:divBdr>
        <w:top w:val="none" w:sz="0" w:space="0" w:color="auto"/>
        <w:left w:val="none" w:sz="0" w:space="0" w:color="auto"/>
        <w:bottom w:val="none" w:sz="0" w:space="0" w:color="auto"/>
        <w:right w:val="none" w:sz="0" w:space="0" w:color="auto"/>
      </w:divBdr>
    </w:div>
    <w:div w:id="857504540">
      <w:bodyDiv w:val="1"/>
      <w:marLeft w:val="0"/>
      <w:marRight w:val="0"/>
      <w:marTop w:val="0"/>
      <w:marBottom w:val="0"/>
      <w:divBdr>
        <w:top w:val="none" w:sz="0" w:space="0" w:color="auto"/>
        <w:left w:val="none" w:sz="0" w:space="0" w:color="auto"/>
        <w:bottom w:val="none" w:sz="0" w:space="0" w:color="auto"/>
        <w:right w:val="none" w:sz="0" w:space="0" w:color="auto"/>
      </w:divBdr>
    </w:div>
    <w:div w:id="864683176">
      <w:bodyDiv w:val="1"/>
      <w:marLeft w:val="0"/>
      <w:marRight w:val="0"/>
      <w:marTop w:val="0"/>
      <w:marBottom w:val="0"/>
      <w:divBdr>
        <w:top w:val="none" w:sz="0" w:space="0" w:color="auto"/>
        <w:left w:val="none" w:sz="0" w:space="0" w:color="auto"/>
        <w:bottom w:val="none" w:sz="0" w:space="0" w:color="auto"/>
        <w:right w:val="none" w:sz="0" w:space="0" w:color="auto"/>
      </w:divBdr>
    </w:div>
    <w:div w:id="868564977">
      <w:bodyDiv w:val="1"/>
      <w:marLeft w:val="0"/>
      <w:marRight w:val="0"/>
      <w:marTop w:val="0"/>
      <w:marBottom w:val="0"/>
      <w:divBdr>
        <w:top w:val="none" w:sz="0" w:space="0" w:color="auto"/>
        <w:left w:val="none" w:sz="0" w:space="0" w:color="auto"/>
        <w:bottom w:val="none" w:sz="0" w:space="0" w:color="auto"/>
        <w:right w:val="none" w:sz="0" w:space="0" w:color="auto"/>
      </w:divBdr>
    </w:div>
    <w:div w:id="874804255">
      <w:bodyDiv w:val="1"/>
      <w:marLeft w:val="0"/>
      <w:marRight w:val="0"/>
      <w:marTop w:val="0"/>
      <w:marBottom w:val="0"/>
      <w:divBdr>
        <w:top w:val="none" w:sz="0" w:space="0" w:color="auto"/>
        <w:left w:val="none" w:sz="0" w:space="0" w:color="auto"/>
        <w:bottom w:val="none" w:sz="0" w:space="0" w:color="auto"/>
        <w:right w:val="none" w:sz="0" w:space="0" w:color="auto"/>
      </w:divBdr>
    </w:div>
    <w:div w:id="878130014">
      <w:bodyDiv w:val="1"/>
      <w:marLeft w:val="0"/>
      <w:marRight w:val="0"/>
      <w:marTop w:val="0"/>
      <w:marBottom w:val="0"/>
      <w:divBdr>
        <w:top w:val="none" w:sz="0" w:space="0" w:color="auto"/>
        <w:left w:val="none" w:sz="0" w:space="0" w:color="auto"/>
        <w:bottom w:val="none" w:sz="0" w:space="0" w:color="auto"/>
        <w:right w:val="none" w:sz="0" w:space="0" w:color="auto"/>
      </w:divBdr>
    </w:div>
    <w:div w:id="885213637">
      <w:bodyDiv w:val="1"/>
      <w:marLeft w:val="0"/>
      <w:marRight w:val="0"/>
      <w:marTop w:val="0"/>
      <w:marBottom w:val="0"/>
      <w:divBdr>
        <w:top w:val="none" w:sz="0" w:space="0" w:color="auto"/>
        <w:left w:val="none" w:sz="0" w:space="0" w:color="auto"/>
        <w:bottom w:val="none" w:sz="0" w:space="0" w:color="auto"/>
        <w:right w:val="none" w:sz="0" w:space="0" w:color="auto"/>
      </w:divBdr>
      <w:divsChild>
        <w:div w:id="1738821279">
          <w:marLeft w:val="0"/>
          <w:marRight w:val="0"/>
          <w:marTop w:val="0"/>
          <w:marBottom w:val="0"/>
          <w:divBdr>
            <w:top w:val="none" w:sz="0" w:space="0" w:color="auto"/>
            <w:left w:val="none" w:sz="0" w:space="0" w:color="auto"/>
            <w:bottom w:val="none" w:sz="0" w:space="0" w:color="auto"/>
            <w:right w:val="none" w:sz="0" w:space="0" w:color="auto"/>
          </w:divBdr>
        </w:div>
        <w:div w:id="1092704039">
          <w:marLeft w:val="0"/>
          <w:marRight w:val="0"/>
          <w:marTop w:val="0"/>
          <w:marBottom w:val="0"/>
          <w:divBdr>
            <w:top w:val="none" w:sz="0" w:space="0" w:color="auto"/>
            <w:left w:val="none" w:sz="0" w:space="0" w:color="auto"/>
            <w:bottom w:val="none" w:sz="0" w:space="0" w:color="auto"/>
            <w:right w:val="none" w:sz="0" w:space="0" w:color="auto"/>
          </w:divBdr>
        </w:div>
        <w:div w:id="284703315">
          <w:marLeft w:val="0"/>
          <w:marRight w:val="0"/>
          <w:marTop w:val="0"/>
          <w:marBottom w:val="0"/>
          <w:divBdr>
            <w:top w:val="none" w:sz="0" w:space="0" w:color="auto"/>
            <w:left w:val="none" w:sz="0" w:space="0" w:color="auto"/>
            <w:bottom w:val="none" w:sz="0" w:space="0" w:color="auto"/>
            <w:right w:val="none" w:sz="0" w:space="0" w:color="auto"/>
          </w:divBdr>
        </w:div>
        <w:div w:id="145318031">
          <w:marLeft w:val="0"/>
          <w:marRight w:val="0"/>
          <w:marTop w:val="0"/>
          <w:marBottom w:val="0"/>
          <w:divBdr>
            <w:top w:val="none" w:sz="0" w:space="0" w:color="auto"/>
            <w:left w:val="none" w:sz="0" w:space="0" w:color="auto"/>
            <w:bottom w:val="none" w:sz="0" w:space="0" w:color="auto"/>
            <w:right w:val="none" w:sz="0" w:space="0" w:color="auto"/>
          </w:divBdr>
        </w:div>
        <w:div w:id="2110467131">
          <w:marLeft w:val="0"/>
          <w:marRight w:val="0"/>
          <w:marTop w:val="0"/>
          <w:marBottom w:val="0"/>
          <w:divBdr>
            <w:top w:val="none" w:sz="0" w:space="0" w:color="auto"/>
            <w:left w:val="none" w:sz="0" w:space="0" w:color="auto"/>
            <w:bottom w:val="none" w:sz="0" w:space="0" w:color="auto"/>
            <w:right w:val="none" w:sz="0" w:space="0" w:color="auto"/>
          </w:divBdr>
        </w:div>
        <w:div w:id="1561356168">
          <w:marLeft w:val="0"/>
          <w:marRight w:val="0"/>
          <w:marTop w:val="0"/>
          <w:marBottom w:val="0"/>
          <w:divBdr>
            <w:top w:val="none" w:sz="0" w:space="0" w:color="auto"/>
            <w:left w:val="none" w:sz="0" w:space="0" w:color="auto"/>
            <w:bottom w:val="none" w:sz="0" w:space="0" w:color="auto"/>
            <w:right w:val="none" w:sz="0" w:space="0" w:color="auto"/>
          </w:divBdr>
        </w:div>
        <w:div w:id="1714573773">
          <w:marLeft w:val="0"/>
          <w:marRight w:val="0"/>
          <w:marTop w:val="0"/>
          <w:marBottom w:val="0"/>
          <w:divBdr>
            <w:top w:val="none" w:sz="0" w:space="0" w:color="auto"/>
            <w:left w:val="none" w:sz="0" w:space="0" w:color="auto"/>
            <w:bottom w:val="none" w:sz="0" w:space="0" w:color="auto"/>
            <w:right w:val="none" w:sz="0" w:space="0" w:color="auto"/>
          </w:divBdr>
        </w:div>
      </w:divsChild>
    </w:div>
    <w:div w:id="885524692">
      <w:bodyDiv w:val="1"/>
      <w:marLeft w:val="0"/>
      <w:marRight w:val="0"/>
      <w:marTop w:val="0"/>
      <w:marBottom w:val="0"/>
      <w:divBdr>
        <w:top w:val="none" w:sz="0" w:space="0" w:color="auto"/>
        <w:left w:val="none" w:sz="0" w:space="0" w:color="auto"/>
        <w:bottom w:val="none" w:sz="0" w:space="0" w:color="auto"/>
        <w:right w:val="none" w:sz="0" w:space="0" w:color="auto"/>
      </w:divBdr>
    </w:div>
    <w:div w:id="885533213">
      <w:bodyDiv w:val="1"/>
      <w:marLeft w:val="0"/>
      <w:marRight w:val="0"/>
      <w:marTop w:val="0"/>
      <w:marBottom w:val="0"/>
      <w:divBdr>
        <w:top w:val="none" w:sz="0" w:space="0" w:color="auto"/>
        <w:left w:val="none" w:sz="0" w:space="0" w:color="auto"/>
        <w:bottom w:val="none" w:sz="0" w:space="0" w:color="auto"/>
        <w:right w:val="none" w:sz="0" w:space="0" w:color="auto"/>
      </w:divBdr>
    </w:div>
    <w:div w:id="898125904">
      <w:bodyDiv w:val="1"/>
      <w:marLeft w:val="0"/>
      <w:marRight w:val="0"/>
      <w:marTop w:val="0"/>
      <w:marBottom w:val="0"/>
      <w:divBdr>
        <w:top w:val="none" w:sz="0" w:space="0" w:color="auto"/>
        <w:left w:val="none" w:sz="0" w:space="0" w:color="auto"/>
        <w:bottom w:val="none" w:sz="0" w:space="0" w:color="auto"/>
        <w:right w:val="none" w:sz="0" w:space="0" w:color="auto"/>
      </w:divBdr>
    </w:div>
    <w:div w:id="898243879">
      <w:bodyDiv w:val="1"/>
      <w:marLeft w:val="0"/>
      <w:marRight w:val="0"/>
      <w:marTop w:val="0"/>
      <w:marBottom w:val="0"/>
      <w:divBdr>
        <w:top w:val="none" w:sz="0" w:space="0" w:color="auto"/>
        <w:left w:val="none" w:sz="0" w:space="0" w:color="auto"/>
        <w:bottom w:val="none" w:sz="0" w:space="0" w:color="auto"/>
        <w:right w:val="none" w:sz="0" w:space="0" w:color="auto"/>
      </w:divBdr>
    </w:div>
    <w:div w:id="906307728">
      <w:bodyDiv w:val="1"/>
      <w:marLeft w:val="0"/>
      <w:marRight w:val="0"/>
      <w:marTop w:val="0"/>
      <w:marBottom w:val="0"/>
      <w:divBdr>
        <w:top w:val="none" w:sz="0" w:space="0" w:color="auto"/>
        <w:left w:val="none" w:sz="0" w:space="0" w:color="auto"/>
        <w:bottom w:val="none" w:sz="0" w:space="0" w:color="auto"/>
        <w:right w:val="none" w:sz="0" w:space="0" w:color="auto"/>
      </w:divBdr>
      <w:divsChild>
        <w:div w:id="1883904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3722">
      <w:bodyDiv w:val="1"/>
      <w:marLeft w:val="0"/>
      <w:marRight w:val="0"/>
      <w:marTop w:val="0"/>
      <w:marBottom w:val="0"/>
      <w:divBdr>
        <w:top w:val="none" w:sz="0" w:space="0" w:color="auto"/>
        <w:left w:val="none" w:sz="0" w:space="0" w:color="auto"/>
        <w:bottom w:val="none" w:sz="0" w:space="0" w:color="auto"/>
        <w:right w:val="none" w:sz="0" w:space="0" w:color="auto"/>
      </w:divBdr>
    </w:div>
    <w:div w:id="909003246">
      <w:bodyDiv w:val="1"/>
      <w:marLeft w:val="0"/>
      <w:marRight w:val="0"/>
      <w:marTop w:val="0"/>
      <w:marBottom w:val="0"/>
      <w:divBdr>
        <w:top w:val="none" w:sz="0" w:space="0" w:color="auto"/>
        <w:left w:val="none" w:sz="0" w:space="0" w:color="auto"/>
        <w:bottom w:val="none" w:sz="0" w:space="0" w:color="auto"/>
        <w:right w:val="none" w:sz="0" w:space="0" w:color="auto"/>
      </w:divBdr>
    </w:div>
    <w:div w:id="910389574">
      <w:bodyDiv w:val="1"/>
      <w:marLeft w:val="0"/>
      <w:marRight w:val="0"/>
      <w:marTop w:val="0"/>
      <w:marBottom w:val="0"/>
      <w:divBdr>
        <w:top w:val="none" w:sz="0" w:space="0" w:color="auto"/>
        <w:left w:val="none" w:sz="0" w:space="0" w:color="auto"/>
        <w:bottom w:val="none" w:sz="0" w:space="0" w:color="auto"/>
        <w:right w:val="none" w:sz="0" w:space="0" w:color="auto"/>
      </w:divBdr>
    </w:div>
    <w:div w:id="910771937">
      <w:bodyDiv w:val="1"/>
      <w:marLeft w:val="0"/>
      <w:marRight w:val="0"/>
      <w:marTop w:val="0"/>
      <w:marBottom w:val="0"/>
      <w:divBdr>
        <w:top w:val="none" w:sz="0" w:space="0" w:color="auto"/>
        <w:left w:val="none" w:sz="0" w:space="0" w:color="auto"/>
        <w:bottom w:val="none" w:sz="0" w:space="0" w:color="auto"/>
        <w:right w:val="none" w:sz="0" w:space="0" w:color="auto"/>
      </w:divBdr>
    </w:div>
    <w:div w:id="911504495">
      <w:bodyDiv w:val="1"/>
      <w:marLeft w:val="0"/>
      <w:marRight w:val="0"/>
      <w:marTop w:val="0"/>
      <w:marBottom w:val="0"/>
      <w:divBdr>
        <w:top w:val="none" w:sz="0" w:space="0" w:color="auto"/>
        <w:left w:val="none" w:sz="0" w:space="0" w:color="auto"/>
        <w:bottom w:val="none" w:sz="0" w:space="0" w:color="auto"/>
        <w:right w:val="none" w:sz="0" w:space="0" w:color="auto"/>
      </w:divBdr>
    </w:div>
    <w:div w:id="913079684">
      <w:bodyDiv w:val="1"/>
      <w:marLeft w:val="0"/>
      <w:marRight w:val="0"/>
      <w:marTop w:val="0"/>
      <w:marBottom w:val="0"/>
      <w:divBdr>
        <w:top w:val="none" w:sz="0" w:space="0" w:color="auto"/>
        <w:left w:val="none" w:sz="0" w:space="0" w:color="auto"/>
        <w:bottom w:val="none" w:sz="0" w:space="0" w:color="auto"/>
        <w:right w:val="none" w:sz="0" w:space="0" w:color="auto"/>
      </w:divBdr>
    </w:div>
    <w:div w:id="917714558">
      <w:bodyDiv w:val="1"/>
      <w:marLeft w:val="0"/>
      <w:marRight w:val="0"/>
      <w:marTop w:val="0"/>
      <w:marBottom w:val="0"/>
      <w:divBdr>
        <w:top w:val="none" w:sz="0" w:space="0" w:color="auto"/>
        <w:left w:val="none" w:sz="0" w:space="0" w:color="auto"/>
        <w:bottom w:val="none" w:sz="0" w:space="0" w:color="auto"/>
        <w:right w:val="none" w:sz="0" w:space="0" w:color="auto"/>
      </w:divBdr>
    </w:div>
    <w:div w:id="917862032">
      <w:bodyDiv w:val="1"/>
      <w:marLeft w:val="0"/>
      <w:marRight w:val="0"/>
      <w:marTop w:val="0"/>
      <w:marBottom w:val="0"/>
      <w:divBdr>
        <w:top w:val="none" w:sz="0" w:space="0" w:color="auto"/>
        <w:left w:val="none" w:sz="0" w:space="0" w:color="auto"/>
        <w:bottom w:val="none" w:sz="0" w:space="0" w:color="auto"/>
        <w:right w:val="none" w:sz="0" w:space="0" w:color="auto"/>
      </w:divBdr>
    </w:div>
    <w:div w:id="922301100">
      <w:bodyDiv w:val="1"/>
      <w:marLeft w:val="0"/>
      <w:marRight w:val="0"/>
      <w:marTop w:val="0"/>
      <w:marBottom w:val="0"/>
      <w:divBdr>
        <w:top w:val="none" w:sz="0" w:space="0" w:color="auto"/>
        <w:left w:val="none" w:sz="0" w:space="0" w:color="auto"/>
        <w:bottom w:val="none" w:sz="0" w:space="0" w:color="auto"/>
        <w:right w:val="none" w:sz="0" w:space="0" w:color="auto"/>
      </w:divBdr>
    </w:div>
    <w:div w:id="922491572">
      <w:bodyDiv w:val="1"/>
      <w:marLeft w:val="0"/>
      <w:marRight w:val="0"/>
      <w:marTop w:val="0"/>
      <w:marBottom w:val="0"/>
      <w:divBdr>
        <w:top w:val="none" w:sz="0" w:space="0" w:color="auto"/>
        <w:left w:val="none" w:sz="0" w:space="0" w:color="auto"/>
        <w:bottom w:val="none" w:sz="0" w:space="0" w:color="auto"/>
        <w:right w:val="none" w:sz="0" w:space="0" w:color="auto"/>
      </w:divBdr>
    </w:div>
    <w:div w:id="926226974">
      <w:bodyDiv w:val="1"/>
      <w:marLeft w:val="0"/>
      <w:marRight w:val="0"/>
      <w:marTop w:val="0"/>
      <w:marBottom w:val="0"/>
      <w:divBdr>
        <w:top w:val="none" w:sz="0" w:space="0" w:color="auto"/>
        <w:left w:val="none" w:sz="0" w:space="0" w:color="auto"/>
        <w:bottom w:val="none" w:sz="0" w:space="0" w:color="auto"/>
        <w:right w:val="none" w:sz="0" w:space="0" w:color="auto"/>
      </w:divBdr>
    </w:div>
    <w:div w:id="926378278">
      <w:bodyDiv w:val="1"/>
      <w:marLeft w:val="0"/>
      <w:marRight w:val="0"/>
      <w:marTop w:val="0"/>
      <w:marBottom w:val="0"/>
      <w:divBdr>
        <w:top w:val="none" w:sz="0" w:space="0" w:color="auto"/>
        <w:left w:val="none" w:sz="0" w:space="0" w:color="auto"/>
        <w:bottom w:val="none" w:sz="0" w:space="0" w:color="auto"/>
        <w:right w:val="none" w:sz="0" w:space="0" w:color="auto"/>
      </w:divBdr>
    </w:div>
    <w:div w:id="928470645">
      <w:bodyDiv w:val="1"/>
      <w:marLeft w:val="0"/>
      <w:marRight w:val="0"/>
      <w:marTop w:val="0"/>
      <w:marBottom w:val="0"/>
      <w:divBdr>
        <w:top w:val="none" w:sz="0" w:space="0" w:color="auto"/>
        <w:left w:val="none" w:sz="0" w:space="0" w:color="auto"/>
        <w:bottom w:val="none" w:sz="0" w:space="0" w:color="auto"/>
        <w:right w:val="none" w:sz="0" w:space="0" w:color="auto"/>
      </w:divBdr>
    </w:div>
    <w:div w:id="938216623">
      <w:bodyDiv w:val="1"/>
      <w:marLeft w:val="0"/>
      <w:marRight w:val="0"/>
      <w:marTop w:val="0"/>
      <w:marBottom w:val="0"/>
      <w:divBdr>
        <w:top w:val="none" w:sz="0" w:space="0" w:color="auto"/>
        <w:left w:val="none" w:sz="0" w:space="0" w:color="auto"/>
        <w:bottom w:val="none" w:sz="0" w:space="0" w:color="auto"/>
        <w:right w:val="none" w:sz="0" w:space="0" w:color="auto"/>
      </w:divBdr>
    </w:div>
    <w:div w:id="942883002">
      <w:bodyDiv w:val="1"/>
      <w:marLeft w:val="0"/>
      <w:marRight w:val="0"/>
      <w:marTop w:val="0"/>
      <w:marBottom w:val="0"/>
      <w:divBdr>
        <w:top w:val="none" w:sz="0" w:space="0" w:color="auto"/>
        <w:left w:val="none" w:sz="0" w:space="0" w:color="auto"/>
        <w:bottom w:val="none" w:sz="0" w:space="0" w:color="auto"/>
        <w:right w:val="none" w:sz="0" w:space="0" w:color="auto"/>
      </w:divBdr>
    </w:div>
    <w:div w:id="949775938">
      <w:bodyDiv w:val="1"/>
      <w:marLeft w:val="0"/>
      <w:marRight w:val="0"/>
      <w:marTop w:val="0"/>
      <w:marBottom w:val="0"/>
      <w:divBdr>
        <w:top w:val="none" w:sz="0" w:space="0" w:color="auto"/>
        <w:left w:val="none" w:sz="0" w:space="0" w:color="auto"/>
        <w:bottom w:val="none" w:sz="0" w:space="0" w:color="auto"/>
        <w:right w:val="none" w:sz="0" w:space="0" w:color="auto"/>
      </w:divBdr>
    </w:div>
    <w:div w:id="959067877">
      <w:bodyDiv w:val="1"/>
      <w:marLeft w:val="0"/>
      <w:marRight w:val="0"/>
      <w:marTop w:val="0"/>
      <w:marBottom w:val="0"/>
      <w:divBdr>
        <w:top w:val="none" w:sz="0" w:space="0" w:color="auto"/>
        <w:left w:val="none" w:sz="0" w:space="0" w:color="auto"/>
        <w:bottom w:val="none" w:sz="0" w:space="0" w:color="auto"/>
        <w:right w:val="none" w:sz="0" w:space="0" w:color="auto"/>
      </w:divBdr>
    </w:div>
    <w:div w:id="960066260">
      <w:bodyDiv w:val="1"/>
      <w:marLeft w:val="0"/>
      <w:marRight w:val="0"/>
      <w:marTop w:val="0"/>
      <w:marBottom w:val="0"/>
      <w:divBdr>
        <w:top w:val="none" w:sz="0" w:space="0" w:color="auto"/>
        <w:left w:val="none" w:sz="0" w:space="0" w:color="auto"/>
        <w:bottom w:val="none" w:sz="0" w:space="0" w:color="auto"/>
        <w:right w:val="none" w:sz="0" w:space="0" w:color="auto"/>
      </w:divBdr>
    </w:div>
    <w:div w:id="970862790">
      <w:bodyDiv w:val="1"/>
      <w:marLeft w:val="0"/>
      <w:marRight w:val="0"/>
      <w:marTop w:val="0"/>
      <w:marBottom w:val="0"/>
      <w:divBdr>
        <w:top w:val="none" w:sz="0" w:space="0" w:color="auto"/>
        <w:left w:val="none" w:sz="0" w:space="0" w:color="auto"/>
        <w:bottom w:val="none" w:sz="0" w:space="0" w:color="auto"/>
        <w:right w:val="none" w:sz="0" w:space="0" w:color="auto"/>
      </w:divBdr>
    </w:div>
    <w:div w:id="976882480">
      <w:bodyDiv w:val="1"/>
      <w:marLeft w:val="0"/>
      <w:marRight w:val="0"/>
      <w:marTop w:val="0"/>
      <w:marBottom w:val="0"/>
      <w:divBdr>
        <w:top w:val="none" w:sz="0" w:space="0" w:color="auto"/>
        <w:left w:val="none" w:sz="0" w:space="0" w:color="auto"/>
        <w:bottom w:val="none" w:sz="0" w:space="0" w:color="auto"/>
        <w:right w:val="none" w:sz="0" w:space="0" w:color="auto"/>
      </w:divBdr>
    </w:div>
    <w:div w:id="988903341">
      <w:bodyDiv w:val="1"/>
      <w:marLeft w:val="0"/>
      <w:marRight w:val="0"/>
      <w:marTop w:val="0"/>
      <w:marBottom w:val="0"/>
      <w:divBdr>
        <w:top w:val="none" w:sz="0" w:space="0" w:color="auto"/>
        <w:left w:val="none" w:sz="0" w:space="0" w:color="auto"/>
        <w:bottom w:val="none" w:sz="0" w:space="0" w:color="auto"/>
        <w:right w:val="none" w:sz="0" w:space="0" w:color="auto"/>
      </w:divBdr>
      <w:divsChild>
        <w:div w:id="1222013793">
          <w:marLeft w:val="0"/>
          <w:marRight w:val="0"/>
          <w:marTop w:val="0"/>
          <w:marBottom w:val="0"/>
          <w:divBdr>
            <w:top w:val="none" w:sz="0" w:space="0" w:color="auto"/>
            <w:left w:val="none" w:sz="0" w:space="0" w:color="auto"/>
            <w:bottom w:val="none" w:sz="0" w:space="0" w:color="auto"/>
            <w:right w:val="none" w:sz="0" w:space="0" w:color="auto"/>
          </w:divBdr>
        </w:div>
        <w:div w:id="1946111860">
          <w:marLeft w:val="0"/>
          <w:marRight w:val="0"/>
          <w:marTop w:val="0"/>
          <w:marBottom w:val="0"/>
          <w:divBdr>
            <w:top w:val="none" w:sz="0" w:space="0" w:color="auto"/>
            <w:left w:val="none" w:sz="0" w:space="0" w:color="auto"/>
            <w:bottom w:val="none" w:sz="0" w:space="0" w:color="auto"/>
            <w:right w:val="none" w:sz="0" w:space="0" w:color="auto"/>
          </w:divBdr>
        </w:div>
      </w:divsChild>
    </w:div>
    <w:div w:id="998119136">
      <w:bodyDiv w:val="1"/>
      <w:marLeft w:val="0"/>
      <w:marRight w:val="0"/>
      <w:marTop w:val="0"/>
      <w:marBottom w:val="0"/>
      <w:divBdr>
        <w:top w:val="none" w:sz="0" w:space="0" w:color="auto"/>
        <w:left w:val="none" w:sz="0" w:space="0" w:color="auto"/>
        <w:bottom w:val="none" w:sz="0" w:space="0" w:color="auto"/>
        <w:right w:val="none" w:sz="0" w:space="0" w:color="auto"/>
      </w:divBdr>
    </w:div>
    <w:div w:id="999118914">
      <w:bodyDiv w:val="1"/>
      <w:marLeft w:val="0"/>
      <w:marRight w:val="0"/>
      <w:marTop w:val="0"/>
      <w:marBottom w:val="0"/>
      <w:divBdr>
        <w:top w:val="none" w:sz="0" w:space="0" w:color="auto"/>
        <w:left w:val="none" w:sz="0" w:space="0" w:color="auto"/>
        <w:bottom w:val="none" w:sz="0" w:space="0" w:color="auto"/>
        <w:right w:val="none" w:sz="0" w:space="0" w:color="auto"/>
      </w:divBdr>
    </w:div>
    <w:div w:id="1000238052">
      <w:bodyDiv w:val="1"/>
      <w:marLeft w:val="0"/>
      <w:marRight w:val="0"/>
      <w:marTop w:val="0"/>
      <w:marBottom w:val="0"/>
      <w:divBdr>
        <w:top w:val="none" w:sz="0" w:space="0" w:color="auto"/>
        <w:left w:val="none" w:sz="0" w:space="0" w:color="auto"/>
        <w:bottom w:val="none" w:sz="0" w:space="0" w:color="auto"/>
        <w:right w:val="none" w:sz="0" w:space="0" w:color="auto"/>
      </w:divBdr>
    </w:div>
    <w:div w:id="1019501447">
      <w:bodyDiv w:val="1"/>
      <w:marLeft w:val="0"/>
      <w:marRight w:val="0"/>
      <w:marTop w:val="0"/>
      <w:marBottom w:val="0"/>
      <w:divBdr>
        <w:top w:val="none" w:sz="0" w:space="0" w:color="auto"/>
        <w:left w:val="none" w:sz="0" w:space="0" w:color="auto"/>
        <w:bottom w:val="none" w:sz="0" w:space="0" w:color="auto"/>
        <w:right w:val="none" w:sz="0" w:space="0" w:color="auto"/>
      </w:divBdr>
    </w:div>
    <w:div w:id="1028988273">
      <w:bodyDiv w:val="1"/>
      <w:marLeft w:val="0"/>
      <w:marRight w:val="0"/>
      <w:marTop w:val="0"/>
      <w:marBottom w:val="0"/>
      <w:divBdr>
        <w:top w:val="none" w:sz="0" w:space="0" w:color="auto"/>
        <w:left w:val="none" w:sz="0" w:space="0" w:color="auto"/>
        <w:bottom w:val="none" w:sz="0" w:space="0" w:color="auto"/>
        <w:right w:val="none" w:sz="0" w:space="0" w:color="auto"/>
      </w:divBdr>
    </w:div>
    <w:div w:id="1029143018">
      <w:bodyDiv w:val="1"/>
      <w:marLeft w:val="0"/>
      <w:marRight w:val="0"/>
      <w:marTop w:val="0"/>
      <w:marBottom w:val="0"/>
      <w:divBdr>
        <w:top w:val="none" w:sz="0" w:space="0" w:color="auto"/>
        <w:left w:val="none" w:sz="0" w:space="0" w:color="auto"/>
        <w:bottom w:val="none" w:sz="0" w:space="0" w:color="auto"/>
        <w:right w:val="none" w:sz="0" w:space="0" w:color="auto"/>
      </w:divBdr>
    </w:div>
    <w:div w:id="1032993926">
      <w:bodyDiv w:val="1"/>
      <w:marLeft w:val="0"/>
      <w:marRight w:val="0"/>
      <w:marTop w:val="0"/>
      <w:marBottom w:val="0"/>
      <w:divBdr>
        <w:top w:val="none" w:sz="0" w:space="0" w:color="auto"/>
        <w:left w:val="none" w:sz="0" w:space="0" w:color="auto"/>
        <w:bottom w:val="none" w:sz="0" w:space="0" w:color="auto"/>
        <w:right w:val="none" w:sz="0" w:space="0" w:color="auto"/>
      </w:divBdr>
    </w:div>
    <w:div w:id="1033072850">
      <w:bodyDiv w:val="1"/>
      <w:marLeft w:val="0"/>
      <w:marRight w:val="0"/>
      <w:marTop w:val="0"/>
      <w:marBottom w:val="0"/>
      <w:divBdr>
        <w:top w:val="none" w:sz="0" w:space="0" w:color="auto"/>
        <w:left w:val="none" w:sz="0" w:space="0" w:color="auto"/>
        <w:bottom w:val="none" w:sz="0" w:space="0" w:color="auto"/>
        <w:right w:val="none" w:sz="0" w:space="0" w:color="auto"/>
      </w:divBdr>
    </w:div>
    <w:div w:id="1040789199">
      <w:bodyDiv w:val="1"/>
      <w:marLeft w:val="0"/>
      <w:marRight w:val="0"/>
      <w:marTop w:val="0"/>
      <w:marBottom w:val="0"/>
      <w:divBdr>
        <w:top w:val="none" w:sz="0" w:space="0" w:color="auto"/>
        <w:left w:val="none" w:sz="0" w:space="0" w:color="auto"/>
        <w:bottom w:val="none" w:sz="0" w:space="0" w:color="auto"/>
        <w:right w:val="none" w:sz="0" w:space="0" w:color="auto"/>
      </w:divBdr>
    </w:div>
    <w:div w:id="1062290685">
      <w:bodyDiv w:val="1"/>
      <w:marLeft w:val="0"/>
      <w:marRight w:val="0"/>
      <w:marTop w:val="0"/>
      <w:marBottom w:val="0"/>
      <w:divBdr>
        <w:top w:val="none" w:sz="0" w:space="0" w:color="auto"/>
        <w:left w:val="none" w:sz="0" w:space="0" w:color="auto"/>
        <w:bottom w:val="none" w:sz="0" w:space="0" w:color="auto"/>
        <w:right w:val="none" w:sz="0" w:space="0" w:color="auto"/>
      </w:divBdr>
    </w:div>
    <w:div w:id="1062479966">
      <w:bodyDiv w:val="1"/>
      <w:marLeft w:val="0"/>
      <w:marRight w:val="0"/>
      <w:marTop w:val="0"/>
      <w:marBottom w:val="0"/>
      <w:divBdr>
        <w:top w:val="none" w:sz="0" w:space="0" w:color="auto"/>
        <w:left w:val="none" w:sz="0" w:space="0" w:color="auto"/>
        <w:bottom w:val="none" w:sz="0" w:space="0" w:color="auto"/>
        <w:right w:val="none" w:sz="0" w:space="0" w:color="auto"/>
      </w:divBdr>
    </w:div>
    <w:div w:id="1062681686">
      <w:bodyDiv w:val="1"/>
      <w:marLeft w:val="0"/>
      <w:marRight w:val="0"/>
      <w:marTop w:val="0"/>
      <w:marBottom w:val="0"/>
      <w:divBdr>
        <w:top w:val="none" w:sz="0" w:space="0" w:color="auto"/>
        <w:left w:val="none" w:sz="0" w:space="0" w:color="auto"/>
        <w:bottom w:val="none" w:sz="0" w:space="0" w:color="auto"/>
        <w:right w:val="none" w:sz="0" w:space="0" w:color="auto"/>
      </w:divBdr>
    </w:div>
    <w:div w:id="1071267428">
      <w:bodyDiv w:val="1"/>
      <w:marLeft w:val="0"/>
      <w:marRight w:val="0"/>
      <w:marTop w:val="0"/>
      <w:marBottom w:val="0"/>
      <w:divBdr>
        <w:top w:val="none" w:sz="0" w:space="0" w:color="auto"/>
        <w:left w:val="none" w:sz="0" w:space="0" w:color="auto"/>
        <w:bottom w:val="none" w:sz="0" w:space="0" w:color="auto"/>
        <w:right w:val="none" w:sz="0" w:space="0" w:color="auto"/>
      </w:divBdr>
    </w:div>
    <w:div w:id="1075783492">
      <w:bodyDiv w:val="1"/>
      <w:marLeft w:val="0"/>
      <w:marRight w:val="0"/>
      <w:marTop w:val="0"/>
      <w:marBottom w:val="0"/>
      <w:divBdr>
        <w:top w:val="none" w:sz="0" w:space="0" w:color="auto"/>
        <w:left w:val="none" w:sz="0" w:space="0" w:color="auto"/>
        <w:bottom w:val="none" w:sz="0" w:space="0" w:color="auto"/>
        <w:right w:val="none" w:sz="0" w:space="0" w:color="auto"/>
      </w:divBdr>
    </w:div>
    <w:div w:id="1077242399">
      <w:bodyDiv w:val="1"/>
      <w:marLeft w:val="0"/>
      <w:marRight w:val="0"/>
      <w:marTop w:val="0"/>
      <w:marBottom w:val="0"/>
      <w:divBdr>
        <w:top w:val="none" w:sz="0" w:space="0" w:color="auto"/>
        <w:left w:val="none" w:sz="0" w:space="0" w:color="auto"/>
        <w:bottom w:val="none" w:sz="0" w:space="0" w:color="auto"/>
        <w:right w:val="none" w:sz="0" w:space="0" w:color="auto"/>
      </w:divBdr>
    </w:div>
    <w:div w:id="1077825984">
      <w:bodyDiv w:val="1"/>
      <w:marLeft w:val="0"/>
      <w:marRight w:val="0"/>
      <w:marTop w:val="0"/>
      <w:marBottom w:val="0"/>
      <w:divBdr>
        <w:top w:val="none" w:sz="0" w:space="0" w:color="auto"/>
        <w:left w:val="none" w:sz="0" w:space="0" w:color="auto"/>
        <w:bottom w:val="none" w:sz="0" w:space="0" w:color="auto"/>
        <w:right w:val="none" w:sz="0" w:space="0" w:color="auto"/>
      </w:divBdr>
    </w:div>
    <w:div w:id="1081292763">
      <w:bodyDiv w:val="1"/>
      <w:marLeft w:val="0"/>
      <w:marRight w:val="0"/>
      <w:marTop w:val="0"/>
      <w:marBottom w:val="0"/>
      <w:divBdr>
        <w:top w:val="none" w:sz="0" w:space="0" w:color="auto"/>
        <w:left w:val="none" w:sz="0" w:space="0" w:color="auto"/>
        <w:bottom w:val="none" w:sz="0" w:space="0" w:color="auto"/>
        <w:right w:val="none" w:sz="0" w:space="0" w:color="auto"/>
      </w:divBdr>
    </w:div>
    <w:div w:id="1081835203">
      <w:bodyDiv w:val="1"/>
      <w:marLeft w:val="0"/>
      <w:marRight w:val="0"/>
      <w:marTop w:val="0"/>
      <w:marBottom w:val="0"/>
      <w:divBdr>
        <w:top w:val="none" w:sz="0" w:space="0" w:color="auto"/>
        <w:left w:val="none" w:sz="0" w:space="0" w:color="auto"/>
        <w:bottom w:val="none" w:sz="0" w:space="0" w:color="auto"/>
        <w:right w:val="none" w:sz="0" w:space="0" w:color="auto"/>
      </w:divBdr>
    </w:div>
    <w:div w:id="1082532655">
      <w:bodyDiv w:val="1"/>
      <w:marLeft w:val="0"/>
      <w:marRight w:val="0"/>
      <w:marTop w:val="0"/>
      <w:marBottom w:val="0"/>
      <w:divBdr>
        <w:top w:val="none" w:sz="0" w:space="0" w:color="auto"/>
        <w:left w:val="none" w:sz="0" w:space="0" w:color="auto"/>
        <w:bottom w:val="none" w:sz="0" w:space="0" w:color="auto"/>
        <w:right w:val="none" w:sz="0" w:space="0" w:color="auto"/>
      </w:divBdr>
    </w:div>
    <w:div w:id="1088232941">
      <w:bodyDiv w:val="1"/>
      <w:marLeft w:val="0"/>
      <w:marRight w:val="0"/>
      <w:marTop w:val="0"/>
      <w:marBottom w:val="0"/>
      <w:divBdr>
        <w:top w:val="none" w:sz="0" w:space="0" w:color="auto"/>
        <w:left w:val="none" w:sz="0" w:space="0" w:color="auto"/>
        <w:bottom w:val="none" w:sz="0" w:space="0" w:color="auto"/>
        <w:right w:val="none" w:sz="0" w:space="0" w:color="auto"/>
      </w:divBdr>
    </w:div>
    <w:div w:id="1100490776">
      <w:bodyDiv w:val="1"/>
      <w:marLeft w:val="0"/>
      <w:marRight w:val="0"/>
      <w:marTop w:val="0"/>
      <w:marBottom w:val="0"/>
      <w:divBdr>
        <w:top w:val="none" w:sz="0" w:space="0" w:color="auto"/>
        <w:left w:val="none" w:sz="0" w:space="0" w:color="auto"/>
        <w:bottom w:val="none" w:sz="0" w:space="0" w:color="auto"/>
        <w:right w:val="none" w:sz="0" w:space="0" w:color="auto"/>
      </w:divBdr>
    </w:div>
    <w:div w:id="1101144093">
      <w:bodyDiv w:val="1"/>
      <w:marLeft w:val="0"/>
      <w:marRight w:val="0"/>
      <w:marTop w:val="0"/>
      <w:marBottom w:val="0"/>
      <w:divBdr>
        <w:top w:val="none" w:sz="0" w:space="0" w:color="auto"/>
        <w:left w:val="none" w:sz="0" w:space="0" w:color="auto"/>
        <w:bottom w:val="none" w:sz="0" w:space="0" w:color="auto"/>
        <w:right w:val="none" w:sz="0" w:space="0" w:color="auto"/>
      </w:divBdr>
    </w:div>
    <w:div w:id="1103066577">
      <w:bodyDiv w:val="1"/>
      <w:marLeft w:val="0"/>
      <w:marRight w:val="0"/>
      <w:marTop w:val="0"/>
      <w:marBottom w:val="0"/>
      <w:divBdr>
        <w:top w:val="none" w:sz="0" w:space="0" w:color="auto"/>
        <w:left w:val="none" w:sz="0" w:space="0" w:color="auto"/>
        <w:bottom w:val="none" w:sz="0" w:space="0" w:color="auto"/>
        <w:right w:val="none" w:sz="0" w:space="0" w:color="auto"/>
      </w:divBdr>
    </w:div>
    <w:div w:id="1103845131">
      <w:bodyDiv w:val="1"/>
      <w:marLeft w:val="0"/>
      <w:marRight w:val="0"/>
      <w:marTop w:val="0"/>
      <w:marBottom w:val="0"/>
      <w:divBdr>
        <w:top w:val="none" w:sz="0" w:space="0" w:color="auto"/>
        <w:left w:val="none" w:sz="0" w:space="0" w:color="auto"/>
        <w:bottom w:val="none" w:sz="0" w:space="0" w:color="auto"/>
        <w:right w:val="none" w:sz="0" w:space="0" w:color="auto"/>
      </w:divBdr>
    </w:div>
    <w:div w:id="1107891204">
      <w:bodyDiv w:val="1"/>
      <w:marLeft w:val="0"/>
      <w:marRight w:val="0"/>
      <w:marTop w:val="0"/>
      <w:marBottom w:val="0"/>
      <w:divBdr>
        <w:top w:val="none" w:sz="0" w:space="0" w:color="auto"/>
        <w:left w:val="none" w:sz="0" w:space="0" w:color="auto"/>
        <w:bottom w:val="none" w:sz="0" w:space="0" w:color="auto"/>
        <w:right w:val="none" w:sz="0" w:space="0" w:color="auto"/>
      </w:divBdr>
    </w:div>
    <w:div w:id="1108309753">
      <w:bodyDiv w:val="1"/>
      <w:marLeft w:val="0"/>
      <w:marRight w:val="0"/>
      <w:marTop w:val="0"/>
      <w:marBottom w:val="0"/>
      <w:divBdr>
        <w:top w:val="none" w:sz="0" w:space="0" w:color="auto"/>
        <w:left w:val="none" w:sz="0" w:space="0" w:color="auto"/>
        <w:bottom w:val="none" w:sz="0" w:space="0" w:color="auto"/>
        <w:right w:val="none" w:sz="0" w:space="0" w:color="auto"/>
      </w:divBdr>
    </w:div>
    <w:div w:id="1135608709">
      <w:bodyDiv w:val="1"/>
      <w:marLeft w:val="0"/>
      <w:marRight w:val="0"/>
      <w:marTop w:val="0"/>
      <w:marBottom w:val="0"/>
      <w:divBdr>
        <w:top w:val="none" w:sz="0" w:space="0" w:color="auto"/>
        <w:left w:val="none" w:sz="0" w:space="0" w:color="auto"/>
        <w:bottom w:val="none" w:sz="0" w:space="0" w:color="auto"/>
        <w:right w:val="none" w:sz="0" w:space="0" w:color="auto"/>
      </w:divBdr>
      <w:divsChild>
        <w:div w:id="62161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3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9867">
      <w:bodyDiv w:val="1"/>
      <w:marLeft w:val="0"/>
      <w:marRight w:val="0"/>
      <w:marTop w:val="0"/>
      <w:marBottom w:val="0"/>
      <w:divBdr>
        <w:top w:val="none" w:sz="0" w:space="0" w:color="auto"/>
        <w:left w:val="none" w:sz="0" w:space="0" w:color="auto"/>
        <w:bottom w:val="none" w:sz="0" w:space="0" w:color="auto"/>
        <w:right w:val="none" w:sz="0" w:space="0" w:color="auto"/>
      </w:divBdr>
    </w:div>
    <w:div w:id="1142161754">
      <w:bodyDiv w:val="1"/>
      <w:marLeft w:val="0"/>
      <w:marRight w:val="0"/>
      <w:marTop w:val="0"/>
      <w:marBottom w:val="0"/>
      <w:divBdr>
        <w:top w:val="none" w:sz="0" w:space="0" w:color="auto"/>
        <w:left w:val="none" w:sz="0" w:space="0" w:color="auto"/>
        <w:bottom w:val="none" w:sz="0" w:space="0" w:color="auto"/>
        <w:right w:val="none" w:sz="0" w:space="0" w:color="auto"/>
      </w:divBdr>
    </w:div>
    <w:div w:id="1149173943">
      <w:bodyDiv w:val="1"/>
      <w:marLeft w:val="0"/>
      <w:marRight w:val="0"/>
      <w:marTop w:val="0"/>
      <w:marBottom w:val="0"/>
      <w:divBdr>
        <w:top w:val="none" w:sz="0" w:space="0" w:color="auto"/>
        <w:left w:val="none" w:sz="0" w:space="0" w:color="auto"/>
        <w:bottom w:val="none" w:sz="0" w:space="0" w:color="auto"/>
        <w:right w:val="none" w:sz="0" w:space="0" w:color="auto"/>
      </w:divBdr>
    </w:div>
    <w:div w:id="1153987114">
      <w:bodyDiv w:val="1"/>
      <w:marLeft w:val="0"/>
      <w:marRight w:val="0"/>
      <w:marTop w:val="0"/>
      <w:marBottom w:val="0"/>
      <w:divBdr>
        <w:top w:val="none" w:sz="0" w:space="0" w:color="auto"/>
        <w:left w:val="none" w:sz="0" w:space="0" w:color="auto"/>
        <w:bottom w:val="none" w:sz="0" w:space="0" w:color="auto"/>
        <w:right w:val="none" w:sz="0" w:space="0" w:color="auto"/>
      </w:divBdr>
    </w:div>
    <w:div w:id="1154175136">
      <w:bodyDiv w:val="1"/>
      <w:marLeft w:val="0"/>
      <w:marRight w:val="0"/>
      <w:marTop w:val="0"/>
      <w:marBottom w:val="0"/>
      <w:divBdr>
        <w:top w:val="none" w:sz="0" w:space="0" w:color="auto"/>
        <w:left w:val="none" w:sz="0" w:space="0" w:color="auto"/>
        <w:bottom w:val="none" w:sz="0" w:space="0" w:color="auto"/>
        <w:right w:val="none" w:sz="0" w:space="0" w:color="auto"/>
      </w:divBdr>
    </w:div>
    <w:div w:id="1172144116">
      <w:bodyDiv w:val="1"/>
      <w:marLeft w:val="0"/>
      <w:marRight w:val="0"/>
      <w:marTop w:val="0"/>
      <w:marBottom w:val="0"/>
      <w:divBdr>
        <w:top w:val="none" w:sz="0" w:space="0" w:color="auto"/>
        <w:left w:val="none" w:sz="0" w:space="0" w:color="auto"/>
        <w:bottom w:val="none" w:sz="0" w:space="0" w:color="auto"/>
        <w:right w:val="none" w:sz="0" w:space="0" w:color="auto"/>
      </w:divBdr>
    </w:div>
    <w:div w:id="1175462068">
      <w:bodyDiv w:val="1"/>
      <w:marLeft w:val="0"/>
      <w:marRight w:val="0"/>
      <w:marTop w:val="0"/>
      <w:marBottom w:val="0"/>
      <w:divBdr>
        <w:top w:val="none" w:sz="0" w:space="0" w:color="auto"/>
        <w:left w:val="none" w:sz="0" w:space="0" w:color="auto"/>
        <w:bottom w:val="none" w:sz="0" w:space="0" w:color="auto"/>
        <w:right w:val="none" w:sz="0" w:space="0" w:color="auto"/>
      </w:divBdr>
    </w:div>
    <w:div w:id="1178038280">
      <w:bodyDiv w:val="1"/>
      <w:marLeft w:val="0"/>
      <w:marRight w:val="0"/>
      <w:marTop w:val="0"/>
      <w:marBottom w:val="0"/>
      <w:divBdr>
        <w:top w:val="none" w:sz="0" w:space="0" w:color="auto"/>
        <w:left w:val="none" w:sz="0" w:space="0" w:color="auto"/>
        <w:bottom w:val="none" w:sz="0" w:space="0" w:color="auto"/>
        <w:right w:val="none" w:sz="0" w:space="0" w:color="auto"/>
      </w:divBdr>
    </w:div>
    <w:div w:id="1180314998">
      <w:bodyDiv w:val="1"/>
      <w:marLeft w:val="0"/>
      <w:marRight w:val="0"/>
      <w:marTop w:val="0"/>
      <w:marBottom w:val="0"/>
      <w:divBdr>
        <w:top w:val="none" w:sz="0" w:space="0" w:color="auto"/>
        <w:left w:val="none" w:sz="0" w:space="0" w:color="auto"/>
        <w:bottom w:val="none" w:sz="0" w:space="0" w:color="auto"/>
        <w:right w:val="none" w:sz="0" w:space="0" w:color="auto"/>
      </w:divBdr>
    </w:div>
    <w:div w:id="1189177774">
      <w:bodyDiv w:val="1"/>
      <w:marLeft w:val="0"/>
      <w:marRight w:val="0"/>
      <w:marTop w:val="0"/>
      <w:marBottom w:val="0"/>
      <w:divBdr>
        <w:top w:val="none" w:sz="0" w:space="0" w:color="auto"/>
        <w:left w:val="none" w:sz="0" w:space="0" w:color="auto"/>
        <w:bottom w:val="none" w:sz="0" w:space="0" w:color="auto"/>
        <w:right w:val="none" w:sz="0" w:space="0" w:color="auto"/>
      </w:divBdr>
    </w:div>
    <w:div w:id="1190147089">
      <w:bodyDiv w:val="1"/>
      <w:marLeft w:val="0"/>
      <w:marRight w:val="0"/>
      <w:marTop w:val="0"/>
      <w:marBottom w:val="0"/>
      <w:divBdr>
        <w:top w:val="none" w:sz="0" w:space="0" w:color="auto"/>
        <w:left w:val="none" w:sz="0" w:space="0" w:color="auto"/>
        <w:bottom w:val="none" w:sz="0" w:space="0" w:color="auto"/>
        <w:right w:val="none" w:sz="0" w:space="0" w:color="auto"/>
      </w:divBdr>
    </w:div>
    <w:div w:id="1191795970">
      <w:bodyDiv w:val="1"/>
      <w:marLeft w:val="0"/>
      <w:marRight w:val="0"/>
      <w:marTop w:val="0"/>
      <w:marBottom w:val="0"/>
      <w:divBdr>
        <w:top w:val="none" w:sz="0" w:space="0" w:color="auto"/>
        <w:left w:val="none" w:sz="0" w:space="0" w:color="auto"/>
        <w:bottom w:val="none" w:sz="0" w:space="0" w:color="auto"/>
        <w:right w:val="none" w:sz="0" w:space="0" w:color="auto"/>
      </w:divBdr>
    </w:div>
    <w:div w:id="1196622906">
      <w:bodyDiv w:val="1"/>
      <w:marLeft w:val="0"/>
      <w:marRight w:val="0"/>
      <w:marTop w:val="0"/>
      <w:marBottom w:val="0"/>
      <w:divBdr>
        <w:top w:val="none" w:sz="0" w:space="0" w:color="auto"/>
        <w:left w:val="none" w:sz="0" w:space="0" w:color="auto"/>
        <w:bottom w:val="none" w:sz="0" w:space="0" w:color="auto"/>
        <w:right w:val="none" w:sz="0" w:space="0" w:color="auto"/>
      </w:divBdr>
    </w:div>
    <w:div w:id="1197890303">
      <w:bodyDiv w:val="1"/>
      <w:marLeft w:val="0"/>
      <w:marRight w:val="0"/>
      <w:marTop w:val="0"/>
      <w:marBottom w:val="0"/>
      <w:divBdr>
        <w:top w:val="none" w:sz="0" w:space="0" w:color="auto"/>
        <w:left w:val="none" w:sz="0" w:space="0" w:color="auto"/>
        <w:bottom w:val="none" w:sz="0" w:space="0" w:color="auto"/>
        <w:right w:val="none" w:sz="0" w:space="0" w:color="auto"/>
      </w:divBdr>
    </w:div>
    <w:div w:id="1199974973">
      <w:bodyDiv w:val="1"/>
      <w:marLeft w:val="0"/>
      <w:marRight w:val="0"/>
      <w:marTop w:val="0"/>
      <w:marBottom w:val="0"/>
      <w:divBdr>
        <w:top w:val="none" w:sz="0" w:space="0" w:color="auto"/>
        <w:left w:val="none" w:sz="0" w:space="0" w:color="auto"/>
        <w:bottom w:val="none" w:sz="0" w:space="0" w:color="auto"/>
        <w:right w:val="none" w:sz="0" w:space="0" w:color="auto"/>
      </w:divBdr>
    </w:div>
    <w:div w:id="1202787570">
      <w:bodyDiv w:val="1"/>
      <w:marLeft w:val="0"/>
      <w:marRight w:val="0"/>
      <w:marTop w:val="0"/>
      <w:marBottom w:val="0"/>
      <w:divBdr>
        <w:top w:val="none" w:sz="0" w:space="0" w:color="auto"/>
        <w:left w:val="none" w:sz="0" w:space="0" w:color="auto"/>
        <w:bottom w:val="none" w:sz="0" w:space="0" w:color="auto"/>
        <w:right w:val="none" w:sz="0" w:space="0" w:color="auto"/>
      </w:divBdr>
    </w:div>
    <w:div w:id="1203522224">
      <w:bodyDiv w:val="1"/>
      <w:marLeft w:val="0"/>
      <w:marRight w:val="0"/>
      <w:marTop w:val="0"/>
      <w:marBottom w:val="0"/>
      <w:divBdr>
        <w:top w:val="none" w:sz="0" w:space="0" w:color="auto"/>
        <w:left w:val="none" w:sz="0" w:space="0" w:color="auto"/>
        <w:bottom w:val="none" w:sz="0" w:space="0" w:color="auto"/>
        <w:right w:val="none" w:sz="0" w:space="0" w:color="auto"/>
      </w:divBdr>
    </w:div>
    <w:div w:id="1204366886">
      <w:bodyDiv w:val="1"/>
      <w:marLeft w:val="0"/>
      <w:marRight w:val="0"/>
      <w:marTop w:val="0"/>
      <w:marBottom w:val="0"/>
      <w:divBdr>
        <w:top w:val="none" w:sz="0" w:space="0" w:color="auto"/>
        <w:left w:val="none" w:sz="0" w:space="0" w:color="auto"/>
        <w:bottom w:val="none" w:sz="0" w:space="0" w:color="auto"/>
        <w:right w:val="none" w:sz="0" w:space="0" w:color="auto"/>
      </w:divBdr>
    </w:div>
    <w:div w:id="1207252579">
      <w:bodyDiv w:val="1"/>
      <w:marLeft w:val="0"/>
      <w:marRight w:val="0"/>
      <w:marTop w:val="0"/>
      <w:marBottom w:val="0"/>
      <w:divBdr>
        <w:top w:val="none" w:sz="0" w:space="0" w:color="auto"/>
        <w:left w:val="none" w:sz="0" w:space="0" w:color="auto"/>
        <w:bottom w:val="none" w:sz="0" w:space="0" w:color="auto"/>
        <w:right w:val="none" w:sz="0" w:space="0" w:color="auto"/>
      </w:divBdr>
    </w:div>
    <w:div w:id="1215658420">
      <w:bodyDiv w:val="1"/>
      <w:marLeft w:val="0"/>
      <w:marRight w:val="0"/>
      <w:marTop w:val="0"/>
      <w:marBottom w:val="0"/>
      <w:divBdr>
        <w:top w:val="none" w:sz="0" w:space="0" w:color="auto"/>
        <w:left w:val="none" w:sz="0" w:space="0" w:color="auto"/>
        <w:bottom w:val="none" w:sz="0" w:space="0" w:color="auto"/>
        <w:right w:val="none" w:sz="0" w:space="0" w:color="auto"/>
      </w:divBdr>
    </w:div>
    <w:div w:id="1224607678">
      <w:bodyDiv w:val="1"/>
      <w:marLeft w:val="0"/>
      <w:marRight w:val="0"/>
      <w:marTop w:val="0"/>
      <w:marBottom w:val="0"/>
      <w:divBdr>
        <w:top w:val="none" w:sz="0" w:space="0" w:color="auto"/>
        <w:left w:val="none" w:sz="0" w:space="0" w:color="auto"/>
        <w:bottom w:val="none" w:sz="0" w:space="0" w:color="auto"/>
        <w:right w:val="none" w:sz="0" w:space="0" w:color="auto"/>
      </w:divBdr>
    </w:div>
    <w:div w:id="1225871820">
      <w:bodyDiv w:val="1"/>
      <w:marLeft w:val="0"/>
      <w:marRight w:val="0"/>
      <w:marTop w:val="0"/>
      <w:marBottom w:val="0"/>
      <w:divBdr>
        <w:top w:val="none" w:sz="0" w:space="0" w:color="auto"/>
        <w:left w:val="none" w:sz="0" w:space="0" w:color="auto"/>
        <w:bottom w:val="none" w:sz="0" w:space="0" w:color="auto"/>
        <w:right w:val="none" w:sz="0" w:space="0" w:color="auto"/>
      </w:divBdr>
    </w:div>
    <w:div w:id="1228415846">
      <w:bodyDiv w:val="1"/>
      <w:marLeft w:val="0"/>
      <w:marRight w:val="0"/>
      <w:marTop w:val="0"/>
      <w:marBottom w:val="0"/>
      <w:divBdr>
        <w:top w:val="none" w:sz="0" w:space="0" w:color="auto"/>
        <w:left w:val="none" w:sz="0" w:space="0" w:color="auto"/>
        <w:bottom w:val="none" w:sz="0" w:space="0" w:color="auto"/>
        <w:right w:val="none" w:sz="0" w:space="0" w:color="auto"/>
      </w:divBdr>
    </w:div>
    <w:div w:id="1231422112">
      <w:bodyDiv w:val="1"/>
      <w:marLeft w:val="0"/>
      <w:marRight w:val="0"/>
      <w:marTop w:val="0"/>
      <w:marBottom w:val="0"/>
      <w:divBdr>
        <w:top w:val="none" w:sz="0" w:space="0" w:color="auto"/>
        <w:left w:val="none" w:sz="0" w:space="0" w:color="auto"/>
        <w:bottom w:val="none" w:sz="0" w:space="0" w:color="auto"/>
        <w:right w:val="none" w:sz="0" w:space="0" w:color="auto"/>
      </w:divBdr>
    </w:div>
    <w:div w:id="1236741883">
      <w:bodyDiv w:val="1"/>
      <w:marLeft w:val="0"/>
      <w:marRight w:val="0"/>
      <w:marTop w:val="0"/>
      <w:marBottom w:val="0"/>
      <w:divBdr>
        <w:top w:val="none" w:sz="0" w:space="0" w:color="auto"/>
        <w:left w:val="none" w:sz="0" w:space="0" w:color="auto"/>
        <w:bottom w:val="none" w:sz="0" w:space="0" w:color="auto"/>
        <w:right w:val="none" w:sz="0" w:space="0" w:color="auto"/>
      </w:divBdr>
    </w:div>
    <w:div w:id="1240138313">
      <w:bodyDiv w:val="1"/>
      <w:marLeft w:val="0"/>
      <w:marRight w:val="0"/>
      <w:marTop w:val="0"/>
      <w:marBottom w:val="0"/>
      <w:divBdr>
        <w:top w:val="none" w:sz="0" w:space="0" w:color="auto"/>
        <w:left w:val="none" w:sz="0" w:space="0" w:color="auto"/>
        <w:bottom w:val="none" w:sz="0" w:space="0" w:color="auto"/>
        <w:right w:val="none" w:sz="0" w:space="0" w:color="auto"/>
      </w:divBdr>
    </w:div>
    <w:div w:id="1242987541">
      <w:bodyDiv w:val="1"/>
      <w:marLeft w:val="0"/>
      <w:marRight w:val="0"/>
      <w:marTop w:val="0"/>
      <w:marBottom w:val="0"/>
      <w:divBdr>
        <w:top w:val="none" w:sz="0" w:space="0" w:color="auto"/>
        <w:left w:val="none" w:sz="0" w:space="0" w:color="auto"/>
        <w:bottom w:val="none" w:sz="0" w:space="0" w:color="auto"/>
        <w:right w:val="none" w:sz="0" w:space="0" w:color="auto"/>
      </w:divBdr>
    </w:div>
    <w:div w:id="1247423042">
      <w:bodyDiv w:val="1"/>
      <w:marLeft w:val="0"/>
      <w:marRight w:val="0"/>
      <w:marTop w:val="0"/>
      <w:marBottom w:val="0"/>
      <w:divBdr>
        <w:top w:val="none" w:sz="0" w:space="0" w:color="auto"/>
        <w:left w:val="none" w:sz="0" w:space="0" w:color="auto"/>
        <w:bottom w:val="none" w:sz="0" w:space="0" w:color="auto"/>
        <w:right w:val="none" w:sz="0" w:space="0" w:color="auto"/>
      </w:divBdr>
    </w:div>
    <w:div w:id="1253860283">
      <w:bodyDiv w:val="1"/>
      <w:marLeft w:val="0"/>
      <w:marRight w:val="0"/>
      <w:marTop w:val="0"/>
      <w:marBottom w:val="0"/>
      <w:divBdr>
        <w:top w:val="none" w:sz="0" w:space="0" w:color="auto"/>
        <w:left w:val="none" w:sz="0" w:space="0" w:color="auto"/>
        <w:bottom w:val="none" w:sz="0" w:space="0" w:color="auto"/>
        <w:right w:val="none" w:sz="0" w:space="0" w:color="auto"/>
      </w:divBdr>
    </w:div>
    <w:div w:id="1259947470">
      <w:bodyDiv w:val="1"/>
      <w:marLeft w:val="0"/>
      <w:marRight w:val="0"/>
      <w:marTop w:val="0"/>
      <w:marBottom w:val="0"/>
      <w:divBdr>
        <w:top w:val="none" w:sz="0" w:space="0" w:color="auto"/>
        <w:left w:val="none" w:sz="0" w:space="0" w:color="auto"/>
        <w:bottom w:val="none" w:sz="0" w:space="0" w:color="auto"/>
        <w:right w:val="none" w:sz="0" w:space="0" w:color="auto"/>
      </w:divBdr>
    </w:div>
    <w:div w:id="1261989517">
      <w:bodyDiv w:val="1"/>
      <w:marLeft w:val="0"/>
      <w:marRight w:val="0"/>
      <w:marTop w:val="0"/>
      <w:marBottom w:val="0"/>
      <w:divBdr>
        <w:top w:val="none" w:sz="0" w:space="0" w:color="auto"/>
        <w:left w:val="none" w:sz="0" w:space="0" w:color="auto"/>
        <w:bottom w:val="none" w:sz="0" w:space="0" w:color="auto"/>
        <w:right w:val="none" w:sz="0" w:space="0" w:color="auto"/>
      </w:divBdr>
    </w:div>
    <w:div w:id="1270888804">
      <w:bodyDiv w:val="1"/>
      <w:marLeft w:val="0"/>
      <w:marRight w:val="0"/>
      <w:marTop w:val="0"/>
      <w:marBottom w:val="0"/>
      <w:divBdr>
        <w:top w:val="none" w:sz="0" w:space="0" w:color="auto"/>
        <w:left w:val="none" w:sz="0" w:space="0" w:color="auto"/>
        <w:bottom w:val="none" w:sz="0" w:space="0" w:color="auto"/>
        <w:right w:val="none" w:sz="0" w:space="0" w:color="auto"/>
      </w:divBdr>
    </w:div>
    <w:div w:id="1279605072">
      <w:bodyDiv w:val="1"/>
      <w:marLeft w:val="0"/>
      <w:marRight w:val="0"/>
      <w:marTop w:val="0"/>
      <w:marBottom w:val="0"/>
      <w:divBdr>
        <w:top w:val="none" w:sz="0" w:space="0" w:color="auto"/>
        <w:left w:val="none" w:sz="0" w:space="0" w:color="auto"/>
        <w:bottom w:val="none" w:sz="0" w:space="0" w:color="auto"/>
        <w:right w:val="none" w:sz="0" w:space="0" w:color="auto"/>
      </w:divBdr>
    </w:div>
    <w:div w:id="1280650487">
      <w:bodyDiv w:val="1"/>
      <w:marLeft w:val="0"/>
      <w:marRight w:val="0"/>
      <w:marTop w:val="0"/>
      <w:marBottom w:val="0"/>
      <w:divBdr>
        <w:top w:val="none" w:sz="0" w:space="0" w:color="auto"/>
        <w:left w:val="none" w:sz="0" w:space="0" w:color="auto"/>
        <w:bottom w:val="none" w:sz="0" w:space="0" w:color="auto"/>
        <w:right w:val="none" w:sz="0" w:space="0" w:color="auto"/>
      </w:divBdr>
    </w:div>
    <w:div w:id="1287542319">
      <w:bodyDiv w:val="1"/>
      <w:marLeft w:val="0"/>
      <w:marRight w:val="0"/>
      <w:marTop w:val="0"/>
      <w:marBottom w:val="0"/>
      <w:divBdr>
        <w:top w:val="none" w:sz="0" w:space="0" w:color="auto"/>
        <w:left w:val="none" w:sz="0" w:space="0" w:color="auto"/>
        <w:bottom w:val="none" w:sz="0" w:space="0" w:color="auto"/>
        <w:right w:val="none" w:sz="0" w:space="0" w:color="auto"/>
      </w:divBdr>
    </w:div>
    <w:div w:id="1294408898">
      <w:bodyDiv w:val="1"/>
      <w:marLeft w:val="0"/>
      <w:marRight w:val="0"/>
      <w:marTop w:val="0"/>
      <w:marBottom w:val="0"/>
      <w:divBdr>
        <w:top w:val="none" w:sz="0" w:space="0" w:color="auto"/>
        <w:left w:val="none" w:sz="0" w:space="0" w:color="auto"/>
        <w:bottom w:val="none" w:sz="0" w:space="0" w:color="auto"/>
        <w:right w:val="none" w:sz="0" w:space="0" w:color="auto"/>
      </w:divBdr>
    </w:div>
    <w:div w:id="1301572920">
      <w:bodyDiv w:val="1"/>
      <w:marLeft w:val="0"/>
      <w:marRight w:val="0"/>
      <w:marTop w:val="0"/>
      <w:marBottom w:val="0"/>
      <w:divBdr>
        <w:top w:val="none" w:sz="0" w:space="0" w:color="auto"/>
        <w:left w:val="none" w:sz="0" w:space="0" w:color="auto"/>
        <w:bottom w:val="none" w:sz="0" w:space="0" w:color="auto"/>
        <w:right w:val="none" w:sz="0" w:space="0" w:color="auto"/>
      </w:divBdr>
    </w:div>
    <w:div w:id="1304001100">
      <w:bodyDiv w:val="1"/>
      <w:marLeft w:val="0"/>
      <w:marRight w:val="0"/>
      <w:marTop w:val="0"/>
      <w:marBottom w:val="0"/>
      <w:divBdr>
        <w:top w:val="none" w:sz="0" w:space="0" w:color="auto"/>
        <w:left w:val="none" w:sz="0" w:space="0" w:color="auto"/>
        <w:bottom w:val="none" w:sz="0" w:space="0" w:color="auto"/>
        <w:right w:val="none" w:sz="0" w:space="0" w:color="auto"/>
      </w:divBdr>
    </w:div>
    <w:div w:id="1306816642">
      <w:bodyDiv w:val="1"/>
      <w:marLeft w:val="0"/>
      <w:marRight w:val="0"/>
      <w:marTop w:val="0"/>
      <w:marBottom w:val="0"/>
      <w:divBdr>
        <w:top w:val="none" w:sz="0" w:space="0" w:color="auto"/>
        <w:left w:val="none" w:sz="0" w:space="0" w:color="auto"/>
        <w:bottom w:val="none" w:sz="0" w:space="0" w:color="auto"/>
        <w:right w:val="none" w:sz="0" w:space="0" w:color="auto"/>
      </w:divBdr>
    </w:div>
    <w:div w:id="1307129188">
      <w:bodyDiv w:val="1"/>
      <w:marLeft w:val="0"/>
      <w:marRight w:val="0"/>
      <w:marTop w:val="0"/>
      <w:marBottom w:val="0"/>
      <w:divBdr>
        <w:top w:val="none" w:sz="0" w:space="0" w:color="auto"/>
        <w:left w:val="none" w:sz="0" w:space="0" w:color="auto"/>
        <w:bottom w:val="none" w:sz="0" w:space="0" w:color="auto"/>
        <w:right w:val="none" w:sz="0" w:space="0" w:color="auto"/>
      </w:divBdr>
    </w:div>
    <w:div w:id="1318222337">
      <w:bodyDiv w:val="1"/>
      <w:marLeft w:val="0"/>
      <w:marRight w:val="0"/>
      <w:marTop w:val="0"/>
      <w:marBottom w:val="0"/>
      <w:divBdr>
        <w:top w:val="none" w:sz="0" w:space="0" w:color="auto"/>
        <w:left w:val="none" w:sz="0" w:space="0" w:color="auto"/>
        <w:bottom w:val="none" w:sz="0" w:space="0" w:color="auto"/>
        <w:right w:val="none" w:sz="0" w:space="0" w:color="auto"/>
      </w:divBdr>
    </w:div>
    <w:div w:id="1319653888">
      <w:bodyDiv w:val="1"/>
      <w:marLeft w:val="0"/>
      <w:marRight w:val="0"/>
      <w:marTop w:val="0"/>
      <w:marBottom w:val="0"/>
      <w:divBdr>
        <w:top w:val="none" w:sz="0" w:space="0" w:color="auto"/>
        <w:left w:val="none" w:sz="0" w:space="0" w:color="auto"/>
        <w:bottom w:val="none" w:sz="0" w:space="0" w:color="auto"/>
        <w:right w:val="none" w:sz="0" w:space="0" w:color="auto"/>
      </w:divBdr>
      <w:divsChild>
        <w:div w:id="927735859">
          <w:marLeft w:val="0"/>
          <w:marRight w:val="0"/>
          <w:marTop w:val="0"/>
          <w:marBottom w:val="0"/>
          <w:divBdr>
            <w:top w:val="none" w:sz="0" w:space="0" w:color="auto"/>
            <w:left w:val="none" w:sz="0" w:space="0" w:color="auto"/>
            <w:bottom w:val="none" w:sz="0" w:space="0" w:color="auto"/>
            <w:right w:val="none" w:sz="0" w:space="0" w:color="auto"/>
          </w:divBdr>
        </w:div>
        <w:div w:id="1213813368">
          <w:marLeft w:val="0"/>
          <w:marRight w:val="0"/>
          <w:marTop w:val="0"/>
          <w:marBottom w:val="0"/>
          <w:divBdr>
            <w:top w:val="none" w:sz="0" w:space="0" w:color="auto"/>
            <w:left w:val="none" w:sz="0" w:space="0" w:color="auto"/>
            <w:bottom w:val="none" w:sz="0" w:space="0" w:color="auto"/>
            <w:right w:val="none" w:sz="0" w:space="0" w:color="auto"/>
          </w:divBdr>
        </w:div>
        <w:div w:id="1404983234">
          <w:marLeft w:val="0"/>
          <w:marRight w:val="0"/>
          <w:marTop w:val="0"/>
          <w:marBottom w:val="0"/>
          <w:divBdr>
            <w:top w:val="none" w:sz="0" w:space="0" w:color="auto"/>
            <w:left w:val="none" w:sz="0" w:space="0" w:color="auto"/>
            <w:bottom w:val="none" w:sz="0" w:space="0" w:color="auto"/>
            <w:right w:val="none" w:sz="0" w:space="0" w:color="auto"/>
          </w:divBdr>
        </w:div>
      </w:divsChild>
    </w:div>
    <w:div w:id="1323195117">
      <w:bodyDiv w:val="1"/>
      <w:marLeft w:val="0"/>
      <w:marRight w:val="0"/>
      <w:marTop w:val="0"/>
      <w:marBottom w:val="0"/>
      <w:divBdr>
        <w:top w:val="none" w:sz="0" w:space="0" w:color="auto"/>
        <w:left w:val="none" w:sz="0" w:space="0" w:color="auto"/>
        <w:bottom w:val="none" w:sz="0" w:space="0" w:color="auto"/>
        <w:right w:val="none" w:sz="0" w:space="0" w:color="auto"/>
      </w:divBdr>
    </w:div>
    <w:div w:id="1330675016">
      <w:bodyDiv w:val="1"/>
      <w:marLeft w:val="0"/>
      <w:marRight w:val="0"/>
      <w:marTop w:val="0"/>
      <w:marBottom w:val="0"/>
      <w:divBdr>
        <w:top w:val="none" w:sz="0" w:space="0" w:color="auto"/>
        <w:left w:val="none" w:sz="0" w:space="0" w:color="auto"/>
        <w:bottom w:val="none" w:sz="0" w:space="0" w:color="auto"/>
        <w:right w:val="none" w:sz="0" w:space="0" w:color="auto"/>
      </w:divBdr>
    </w:div>
    <w:div w:id="1336229986">
      <w:bodyDiv w:val="1"/>
      <w:marLeft w:val="0"/>
      <w:marRight w:val="0"/>
      <w:marTop w:val="0"/>
      <w:marBottom w:val="0"/>
      <w:divBdr>
        <w:top w:val="none" w:sz="0" w:space="0" w:color="auto"/>
        <w:left w:val="none" w:sz="0" w:space="0" w:color="auto"/>
        <w:bottom w:val="none" w:sz="0" w:space="0" w:color="auto"/>
        <w:right w:val="none" w:sz="0" w:space="0" w:color="auto"/>
      </w:divBdr>
    </w:div>
    <w:div w:id="1338581324">
      <w:bodyDiv w:val="1"/>
      <w:marLeft w:val="0"/>
      <w:marRight w:val="0"/>
      <w:marTop w:val="0"/>
      <w:marBottom w:val="0"/>
      <w:divBdr>
        <w:top w:val="none" w:sz="0" w:space="0" w:color="auto"/>
        <w:left w:val="none" w:sz="0" w:space="0" w:color="auto"/>
        <w:bottom w:val="none" w:sz="0" w:space="0" w:color="auto"/>
        <w:right w:val="none" w:sz="0" w:space="0" w:color="auto"/>
      </w:divBdr>
    </w:div>
    <w:div w:id="1343970600">
      <w:bodyDiv w:val="1"/>
      <w:marLeft w:val="0"/>
      <w:marRight w:val="0"/>
      <w:marTop w:val="0"/>
      <w:marBottom w:val="0"/>
      <w:divBdr>
        <w:top w:val="none" w:sz="0" w:space="0" w:color="auto"/>
        <w:left w:val="none" w:sz="0" w:space="0" w:color="auto"/>
        <w:bottom w:val="none" w:sz="0" w:space="0" w:color="auto"/>
        <w:right w:val="none" w:sz="0" w:space="0" w:color="auto"/>
      </w:divBdr>
    </w:div>
    <w:div w:id="1357731350">
      <w:bodyDiv w:val="1"/>
      <w:marLeft w:val="0"/>
      <w:marRight w:val="0"/>
      <w:marTop w:val="0"/>
      <w:marBottom w:val="0"/>
      <w:divBdr>
        <w:top w:val="none" w:sz="0" w:space="0" w:color="auto"/>
        <w:left w:val="none" w:sz="0" w:space="0" w:color="auto"/>
        <w:bottom w:val="none" w:sz="0" w:space="0" w:color="auto"/>
        <w:right w:val="none" w:sz="0" w:space="0" w:color="auto"/>
      </w:divBdr>
    </w:div>
    <w:div w:id="1365784353">
      <w:bodyDiv w:val="1"/>
      <w:marLeft w:val="0"/>
      <w:marRight w:val="0"/>
      <w:marTop w:val="0"/>
      <w:marBottom w:val="0"/>
      <w:divBdr>
        <w:top w:val="none" w:sz="0" w:space="0" w:color="auto"/>
        <w:left w:val="none" w:sz="0" w:space="0" w:color="auto"/>
        <w:bottom w:val="none" w:sz="0" w:space="0" w:color="auto"/>
        <w:right w:val="none" w:sz="0" w:space="0" w:color="auto"/>
      </w:divBdr>
    </w:div>
    <w:div w:id="1378044552">
      <w:bodyDiv w:val="1"/>
      <w:marLeft w:val="0"/>
      <w:marRight w:val="0"/>
      <w:marTop w:val="0"/>
      <w:marBottom w:val="0"/>
      <w:divBdr>
        <w:top w:val="none" w:sz="0" w:space="0" w:color="auto"/>
        <w:left w:val="none" w:sz="0" w:space="0" w:color="auto"/>
        <w:bottom w:val="none" w:sz="0" w:space="0" w:color="auto"/>
        <w:right w:val="none" w:sz="0" w:space="0" w:color="auto"/>
      </w:divBdr>
    </w:div>
    <w:div w:id="1390032358">
      <w:bodyDiv w:val="1"/>
      <w:marLeft w:val="0"/>
      <w:marRight w:val="0"/>
      <w:marTop w:val="0"/>
      <w:marBottom w:val="0"/>
      <w:divBdr>
        <w:top w:val="none" w:sz="0" w:space="0" w:color="auto"/>
        <w:left w:val="none" w:sz="0" w:space="0" w:color="auto"/>
        <w:bottom w:val="none" w:sz="0" w:space="0" w:color="auto"/>
        <w:right w:val="none" w:sz="0" w:space="0" w:color="auto"/>
      </w:divBdr>
    </w:div>
    <w:div w:id="1410467660">
      <w:bodyDiv w:val="1"/>
      <w:marLeft w:val="0"/>
      <w:marRight w:val="0"/>
      <w:marTop w:val="0"/>
      <w:marBottom w:val="0"/>
      <w:divBdr>
        <w:top w:val="none" w:sz="0" w:space="0" w:color="auto"/>
        <w:left w:val="none" w:sz="0" w:space="0" w:color="auto"/>
        <w:bottom w:val="none" w:sz="0" w:space="0" w:color="auto"/>
        <w:right w:val="none" w:sz="0" w:space="0" w:color="auto"/>
      </w:divBdr>
    </w:div>
    <w:div w:id="1410927491">
      <w:bodyDiv w:val="1"/>
      <w:marLeft w:val="0"/>
      <w:marRight w:val="0"/>
      <w:marTop w:val="0"/>
      <w:marBottom w:val="0"/>
      <w:divBdr>
        <w:top w:val="none" w:sz="0" w:space="0" w:color="auto"/>
        <w:left w:val="none" w:sz="0" w:space="0" w:color="auto"/>
        <w:bottom w:val="none" w:sz="0" w:space="0" w:color="auto"/>
        <w:right w:val="none" w:sz="0" w:space="0" w:color="auto"/>
      </w:divBdr>
    </w:div>
    <w:div w:id="1414470801">
      <w:bodyDiv w:val="1"/>
      <w:marLeft w:val="0"/>
      <w:marRight w:val="0"/>
      <w:marTop w:val="0"/>
      <w:marBottom w:val="0"/>
      <w:divBdr>
        <w:top w:val="none" w:sz="0" w:space="0" w:color="auto"/>
        <w:left w:val="none" w:sz="0" w:space="0" w:color="auto"/>
        <w:bottom w:val="none" w:sz="0" w:space="0" w:color="auto"/>
        <w:right w:val="none" w:sz="0" w:space="0" w:color="auto"/>
      </w:divBdr>
    </w:div>
    <w:div w:id="1433283075">
      <w:bodyDiv w:val="1"/>
      <w:marLeft w:val="0"/>
      <w:marRight w:val="0"/>
      <w:marTop w:val="0"/>
      <w:marBottom w:val="0"/>
      <w:divBdr>
        <w:top w:val="none" w:sz="0" w:space="0" w:color="auto"/>
        <w:left w:val="none" w:sz="0" w:space="0" w:color="auto"/>
        <w:bottom w:val="none" w:sz="0" w:space="0" w:color="auto"/>
        <w:right w:val="none" w:sz="0" w:space="0" w:color="auto"/>
      </w:divBdr>
    </w:div>
    <w:div w:id="1434208275">
      <w:bodyDiv w:val="1"/>
      <w:marLeft w:val="0"/>
      <w:marRight w:val="0"/>
      <w:marTop w:val="0"/>
      <w:marBottom w:val="0"/>
      <w:divBdr>
        <w:top w:val="none" w:sz="0" w:space="0" w:color="auto"/>
        <w:left w:val="none" w:sz="0" w:space="0" w:color="auto"/>
        <w:bottom w:val="none" w:sz="0" w:space="0" w:color="auto"/>
        <w:right w:val="none" w:sz="0" w:space="0" w:color="auto"/>
      </w:divBdr>
    </w:div>
    <w:div w:id="1435394900">
      <w:bodyDiv w:val="1"/>
      <w:marLeft w:val="0"/>
      <w:marRight w:val="0"/>
      <w:marTop w:val="0"/>
      <w:marBottom w:val="0"/>
      <w:divBdr>
        <w:top w:val="none" w:sz="0" w:space="0" w:color="auto"/>
        <w:left w:val="none" w:sz="0" w:space="0" w:color="auto"/>
        <w:bottom w:val="none" w:sz="0" w:space="0" w:color="auto"/>
        <w:right w:val="none" w:sz="0" w:space="0" w:color="auto"/>
      </w:divBdr>
    </w:div>
    <w:div w:id="1441994409">
      <w:bodyDiv w:val="1"/>
      <w:marLeft w:val="0"/>
      <w:marRight w:val="0"/>
      <w:marTop w:val="0"/>
      <w:marBottom w:val="0"/>
      <w:divBdr>
        <w:top w:val="none" w:sz="0" w:space="0" w:color="auto"/>
        <w:left w:val="none" w:sz="0" w:space="0" w:color="auto"/>
        <w:bottom w:val="none" w:sz="0" w:space="0" w:color="auto"/>
        <w:right w:val="none" w:sz="0" w:space="0" w:color="auto"/>
      </w:divBdr>
    </w:div>
    <w:div w:id="1443497280">
      <w:bodyDiv w:val="1"/>
      <w:marLeft w:val="0"/>
      <w:marRight w:val="0"/>
      <w:marTop w:val="0"/>
      <w:marBottom w:val="0"/>
      <w:divBdr>
        <w:top w:val="none" w:sz="0" w:space="0" w:color="auto"/>
        <w:left w:val="none" w:sz="0" w:space="0" w:color="auto"/>
        <w:bottom w:val="none" w:sz="0" w:space="0" w:color="auto"/>
        <w:right w:val="none" w:sz="0" w:space="0" w:color="auto"/>
      </w:divBdr>
    </w:div>
    <w:div w:id="1443845353">
      <w:bodyDiv w:val="1"/>
      <w:marLeft w:val="0"/>
      <w:marRight w:val="0"/>
      <w:marTop w:val="0"/>
      <w:marBottom w:val="0"/>
      <w:divBdr>
        <w:top w:val="none" w:sz="0" w:space="0" w:color="auto"/>
        <w:left w:val="none" w:sz="0" w:space="0" w:color="auto"/>
        <w:bottom w:val="none" w:sz="0" w:space="0" w:color="auto"/>
        <w:right w:val="none" w:sz="0" w:space="0" w:color="auto"/>
      </w:divBdr>
    </w:div>
    <w:div w:id="1451582656">
      <w:bodyDiv w:val="1"/>
      <w:marLeft w:val="0"/>
      <w:marRight w:val="0"/>
      <w:marTop w:val="0"/>
      <w:marBottom w:val="0"/>
      <w:divBdr>
        <w:top w:val="none" w:sz="0" w:space="0" w:color="auto"/>
        <w:left w:val="none" w:sz="0" w:space="0" w:color="auto"/>
        <w:bottom w:val="none" w:sz="0" w:space="0" w:color="auto"/>
        <w:right w:val="none" w:sz="0" w:space="0" w:color="auto"/>
      </w:divBdr>
    </w:div>
    <w:div w:id="1453599211">
      <w:bodyDiv w:val="1"/>
      <w:marLeft w:val="0"/>
      <w:marRight w:val="0"/>
      <w:marTop w:val="0"/>
      <w:marBottom w:val="0"/>
      <w:divBdr>
        <w:top w:val="none" w:sz="0" w:space="0" w:color="auto"/>
        <w:left w:val="none" w:sz="0" w:space="0" w:color="auto"/>
        <w:bottom w:val="none" w:sz="0" w:space="0" w:color="auto"/>
        <w:right w:val="none" w:sz="0" w:space="0" w:color="auto"/>
      </w:divBdr>
    </w:div>
    <w:div w:id="1457868615">
      <w:bodyDiv w:val="1"/>
      <w:marLeft w:val="0"/>
      <w:marRight w:val="0"/>
      <w:marTop w:val="0"/>
      <w:marBottom w:val="0"/>
      <w:divBdr>
        <w:top w:val="none" w:sz="0" w:space="0" w:color="auto"/>
        <w:left w:val="none" w:sz="0" w:space="0" w:color="auto"/>
        <w:bottom w:val="none" w:sz="0" w:space="0" w:color="auto"/>
        <w:right w:val="none" w:sz="0" w:space="0" w:color="auto"/>
      </w:divBdr>
    </w:div>
    <w:div w:id="1459449449">
      <w:bodyDiv w:val="1"/>
      <w:marLeft w:val="0"/>
      <w:marRight w:val="0"/>
      <w:marTop w:val="0"/>
      <w:marBottom w:val="0"/>
      <w:divBdr>
        <w:top w:val="none" w:sz="0" w:space="0" w:color="auto"/>
        <w:left w:val="none" w:sz="0" w:space="0" w:color="auto"/>
        <w:bottom w:val="none" w:sz="0" w:space="0" w:color="auto"/>
        <w:right w:val="none" w:sz="0" w:space="0" w:color="auto"/>
      </w:divBdr>
    </w:div>
    <w:div w:id="1467972904">
      <w:bodyDiv w:val="1"/>
      <w:marLeft w:val="0"/>
      <w:marRight w:val="0"/>
      <w:marTop w:val="0"/>
      <w:marBottom w:val="0"/>
      <w:divBdr>
        <w:top w:val="none" w:sz="0" w:space="0" w:color="auto"/>
        <w:left w:val="none" w:sz="0" w:space="0" w:color="auto"/>
        <w:bottom w:val="none" w:sz="0" w:space="0" w:color="auto"/>
        <w:right w:val="none" w:sz="0" w:space="0" w:color="auto"/>
      </w:divBdr>
    </w:div>
    <w:div w:id="1473448734">
      <w:bodyDiv w:val="1"/>
      <w:marLeft w:val="0"/>
      <w:marRight w:val="0"/>
      <w:marTop w:val="0"/>
      <w:marBottom w:val="0"/>
      <w:divBdr>
        <w:top w:val="none" w:sz="0" w:space="0" w:color="auto"/>
        <w:left w:val="none" w:sz="0" w:space="0" w:color="auto"/>
        <w:bottom w:val="none" w:sz="0" w:space="0" w:color="auto"/>
        <w:right w:val="none" w:sz="0" w:space="0" w:color="auto"/>
      </w:divBdr>
    </w:div>
    <w:div w:id="1477646607">
      <w:bodyDiv w:val="1"/>
      <w:marLeft w:val="0"/>
      <w:marRight w:val="0"/>
      <w:marTop w:val="0"/>
      <w:marBottom w:val="0"/>
      <w:divBdr>
        <w:top w:val="none" w:sz="0" w:space="0" w:color="auto"/>
        <w:left w:val="none" w:sz="0" w:space="0" w:color="auto"/>
        <w:bottom w:val="none" w:sz="0" w:space="0" w:color="auto"/>
        <w:right w:val="none" w:sz="0" w:space="0" w:color="auto"/>
      </w:divBdr>
    </w:div>
    <w:div w:id="1478720843">
      <w:bodyDiv w:val="1"/>
      <w:marLeft w:val="0"/>
      <w:marRight w:val="0"/>
      <w:marTop w:val="0"/>
      <w:marBottom w:val="0"/>
      <w:divBdr>
        <w:top w:val="none" w:sz="0" w:space="0" w:color="auto"/>
        <w:left w:val="none" w:sz="0" w:space="0" w:color="auto"/>
        <w:bottom w:val="none" w:sz="0" w:space="0" w:color="auto"/>
        <w:right w:val="none" w:sz="0" w:space="0" w:color="auto"/>
      </w:divBdr>
    </w:div>
    <w:div w:id="1479226617">
      <w:bodyDiv w:val="1"/>
      <w:marLeft w:val="0"/>
      <w:marRight w:val="0"/>
      <w:marTop w:val="0"/>
      <w:marBottom w:val="0"/>
      <w:divBdr>
        <w:top w:val="none" w:sz="0" w:space="0" w:color="auto"/>
        <w:left w:val="none" w:sz="0" w:space="0" w:color="auto"/>
        <w:bottom w:val="none" w:sz="0" w:space="0" w:color="auto"/>
        <w:right w:val="none" w:sz="0" w:space="0" w:color="auto"/>
      </w:divBdr>
    </w:div>
    <w:div w:id="1482111255">
      <w:bodyDiv w:val="1"/>
      <w:marLeft w:val="0"/>
      <w:marRight w:val="0"/>
      <w:marTop w:val="0"/>
      <w:marBottom w:val="0"/>
      <w:divBdr>
        <w:top w:val="none" w:sz="0" w:space="0" w:color="auto"/>
        <w:left w:val="none" w:sz="0" w:space="0" w:color="auto"/>
        <w:bottom w:val="none" w:sz="0" w:space="0" w:color="auto"/>
        <w:right w:val="none" w:sz="0" w:space="0" w:color="auto"/>
      </w:divBdr>
    </w:div>
    <w:div w:id="1488594181">
      <w:bodyDiv w:val="1"/>
      <w:marLeft w:val="0"/>
      <w:marRight w:val="0"/>
      <w:marTop w:val="0"/>
      <w:marBottom w:val="0"/>
      <w:divBdr>
        <w:top w:val="none" w:sz="0" w:space="0" w:color="auto"/>
        <w:left w:val="none" w:sz="0" w:space="0" w:color="auto"/>
        <w:bottom w:val="none" w:sz="0" w:space="0" w:color="auto"/>
        <w:right w:val="none" w:sz="0" w:space="0" w:color="auto"/>
      </w:divBdr>
    </w:div>
    <w:div w:id="1492409551">
      <w:bodyDiv w:val="1"/>
      <w:marLeft w:val="0"/>
      <w:marRight w:val="0"/>
      <w:marTop w:val="0"/>
      <w:marBottom w:val="0"/>
      <w:divBdr>
        <w:top w:val="none" w:sz="0" w:space="0" w:color="auto"/>
        <w:left w:val="none" w:sz="0" w:space="0" w:color="auto"/>
        <w:bottom w:val="none" w:sz="0" w:space="0" w:color="auto"/>
        <w:right w:val="none" w:sz="0" w:space="0" w:color="auto"/>
      </w:divBdr>
    </w:div>
    <w:div w:id="1498225710">
      <w:bodyDiv w:val="1"/>
      <w:marLeft w:val="0"/>
      <w:marRight w:val="0"/>
      <w:marTop w:val="0"/>
      <w:marBottom w:val="0"/>
      <w:divBdr>
        <w:top w:val="none" w:sz="0" w:space="0" w:color="auto"/>
        <w:left w:val="none" w:sz="0" w:space="0" w:color="auto"/>
        <w:bottom w:val="none" w:sz="0" w:space="0" w:color="auto"/>
        <w:right w:val="none" w:sz="0" w:space="0" w:color="auto"/>
      </w:divBdr>
    </w:div>
    <w:div w:id="1499883006">
      <w:bodyDiv w:val="1"/>
      <w:marLeft w:val="0"/>
      <w:marRight w:val="0"/>
      <w:marTop w:val="0"/>
      <w:marBottom w:val="0"/>
      <w:divBdr>
        <w:top w:val="none" w:sz="0" w:space="0" w:color="auto"/>
        <w:left w:val="none" w:sz="0" w:space="0" w:color="auto"/>
        <w:bottom w:val="none" w:sz="0" w:space="0" w:color="auto"/>
        <w:right w:val="none" w:sz="0" w:space="0" w:color="auto"/>
      </w:divBdr>
    </w:div>
    <w:div w:id="1504856160">
      <w:bodyDiv w:val="1"/>
      <w:marLeft w:val="0"/>
      <w:marRight w:val="0"/>
      <w:marTop w:val="0"/>
      <w:marBottom w:val="0"/>
      <w:divBdr>
        <w:top w:val="none" w:sz="0" w:space="0" w:color="auto"/>
        <w:left w:val="none" w:sz="0" w:space="0" w:color="auto"/>
        <w:bottom w:val="none" w:sz="0" w:space="0" w:color="auto"/>
        <w:right w:val="none" w:sz="0" w:space="0" w:color="auto"/>
      </w:divBdr>
    </w:div>
    <w:div w:id="1508398759">
      <w:bodyDiv w:val="1"/>
      <w:marLeft w:val="0"/>
      <w:marRight w:val="0"/>
      <w:marTop w:val="0"/>
      <w:marBottom w:val="0"/>
      <w:divBdr>
        <w:top w:val="none" w:sz="0" w:space="0" w:color="auto"/>
        <w:left w:val="none" w:sz="0" w:space="0" w:color="auto"/>
        <w:bottom w:val="none" w:sz="0" w:space="0" w:color="auto"/>
        <w:right w:val="none" w:sz="0" w:space="0" w:color="auto"/>
      </w:divBdr>
    </w:div>
    <w:div w:id="1517579390">
      <w:bodyDiv w:val="1"/>
      <w:marLeft w:val="0"/>
      <w:marRight w:val="0"/>
      <w:marTop w:val="0"/>
      <w:marBottom w:val="0"/>
      <w:divBdr>
        <w:top w:val="none" w:sz="0" w:space="0" w:color="auto"/>
        <w:left w:val="none" w:sz="0" w:space="0" w:color="auto"/>
        <w:bottom w:val="none" w:sz="0" w:space="0" w:color="auto"/>
        <w:right w:val="none" w:sz="0" w:space="0" w:color="auto"/>
      </w:divBdr>
    </w:div>
    <w:div w:id="1521580855">
      <w:bodyDiv w:val="1"/>
      <w:marLeft w:val="0"/>
      <w:marRight w:val="0"/>
      <w:marTop w:val="0"/>
      <w:marBottom w:val="0"/>
      <w:divBdr>
        <w:top w:val="none" w:sz="0" w:space="0" w:color="auto"/>
        <w:left w:val="none" w:sz="0" w:space="0" w:color="auto"/>
        <w:bottom w:val="none" w:sz="0" w:space="0" w:color="auto"/>
        <w:right w:val="none" w:sz="0" w:space="0" w:color="auto"/>
      </w:divBdr>
    </w:div>
    <w:div w:id="1522208810">
      <w:bodyDiv w:val="1"/>
      <w:marLeft w:val="0"/>
      <w:marRight w:val="0"/>
      <w:marTop w:val="0"/>
      <w:marBottom w:val="0"/>
      <w:divBdr>
        <w:top w:val="none" w:sz="0" w:space="0" w:color="auto"/>
        <w:left w:val="none" w:sz="0" w:space="0" w:color="auto"/>
        <w:bottom w:val="none" w:sz="0" w:space="0" w:color="auto"/>
        <w:right w:val="none" w:sz="0" w:space="0" w:color="auto"/>
      </w:divBdr>
    </w:div>
    <w:div w:id="1526869352">
      <w:bodyDiv w:val="1"/>
      <w:marLeft w:val="0"/>
      <w:marRight w:val="0"/>
      <w:marTop w:val="0"/>
      <w:marBottom w:val="0"/>
      <w:divBdr>
        <w:top w:val="none" w:sz="0" w:space="0" w:color="auto"/>
        <w:left w:val="none" w:sz="0" w:space="0" w:color="auto"/>
        <w:bottom w:val="none" w:sz="0" w:space="0" w:color="auto"/>
        <w:right w:val="none" w:sz="0" w:space="0" w:color="auto"/>
      </w:divBdr>
    </w:div>
    <w:div w:id="1529443563">
      <w:bodyDiv w:val="1"/>
      <w:marLeft w:val="0"/>
      <w:marRight w:val="0"/>
      <w:marTop w:val="0"/>
      <w:marBottom w:val="0"/>
      <w:divBdr>
        <w:top w:val="none" w:sz="0" w:space="0" w:color="auto"/>
        <w:left w:val="none" w:sz="0" w:space="0" w:color="auto"/>
        <w:bottom w:val="none" w:sz="0" w:space="0" w:color="auto"/>
        <w:right w:val="none" w:sz="0" w:space="0" w:color="auto"/>
      </w:divBdr>
    </w:div>
    <w:div w:id="1531336611">
      <w:bodyDiv w:val="1"/>
      <w:marLeft w:val="0"/>
      <w:marRight w:val="0"/>
      <w:marTop w:val="0"/>
      <w:marBottom w:val="0"/>
      <w:divBdr>
        <w:top w:val="none" w:sz="0" w:space="0" w:color="auto"/>
        <w:left w:val="none" w:sz="0" w:space="0" w:color="auto"/>
        <w:bottom w:val="none" w:sz="0" w:space="0" w:color="auto"/>
        <w:right w:val="none" w:sz="0" w:space="0" w:color="auto"/>
      </w:divBdr>
    </w:div>
    <w:div w:id="1533493280">
      <w:bodyDiv w:val="1"/>
      <w:marLeft w:val="0"/>
      <w:marRight w:val="0"/>
      <w:marTop w:val="0"/>
      <w:marBottom w:val="0"/>
      <w:divBdr>
        <w:top w:val="none" w:sz="0" w:space="0" w:color="auto"/>
        <w:left w:val="none" w:sz="0" w:space="0" w:color="auto"/>
        <w:bottom w:val="none" w:sz="0" w:space="0" w:color="auto"/>
        <w:right w:val="none" w:sz="0" w:space="0" w:color="auto"/>
      </w:divBdr>
    </w:div>
    <w:div w:id="1535727151">
      <w:bodyDiv w:val="1"/>
      <w:marLeft w:val="0"/>
      <w:marRight w:val="0"/>
      <w:marTop w:val="0"/>
      <w:marBottom w:val="0"/>
      <w:divBdr>
        <w:top w:val="none" w:sz="0" w:space="0" w:color="auto"/>
        <w:left w:val="none" w:sz="0" w:space="0" w:color="auto"/>
        <w:bottom w:val="none" w:sz="0" w:space="0" w:color="auto"/>
        <w:right w:val="none" w:sz="0" w:space="0" w:color="auto"/>
      </w:divBdr>
    </w:div>
    <w:div w:id="1537236080">
      <w:bodyDiv w:val="1"/>
      <w:marLeft w:val="0"/>
      <w:marRight w:val="0"/>
      <w:marTop w:val="0"/>
      <w:marBottom w:val="0"/>
      <w:divBdr>
        <w:top w:val="none" w:sz="0" w:space="0" w:color="auto"/>
        <w:left w:val="none" w:sz="0" w:space="0" w:color="auto"/>
        <w:bottom w:val="none" w:sz="0" w:space="0" w:color="auto"/>
        <w:right w:val="none" w:sz="0" w:space="0" w:color="auto"/>
      </w:divBdr>
    </w:div>
    <w:div w:id="1537960150">
      <w:bodyDiv w:val="1"/>
      <w:marLeft w:val="0"/>
      <w:marRight w:val="0"/>
      <w:marTop w:val="0"/>
      <w:marBottom w:val="0"/>
      <w:divBdr>
        <w:top w:val="none" w:sz="0" w:space="0" w:color="auto"/>
        <w:left w:val="none" w:sz="0" w:space="0" w:color="auto"/>
        <w:bottom w:val="none" w:sz="0" w:space="0" w:color="auto"/>
        <w:right w:val="none" w:sz="0" w:space="0" w:color="auto"/>
      </w:divBdr>
    </w:div>
    <w:div w:id="1548486934">
      <w:bodyDiv w:val="1"/>
      <w:marLeft w:val="0"/>
      <w:marRight w:val="0"/>
      <w:marTop w:val="0"/>
      <w:marBottom w:val="0"/>
      <w:divBdr>
        <w:top w:val="none" w:sz="0" w:space="0" w:color="auto"/>
        <w:left w:val="none" w:sz="0" w:space="0" w:color="auto"/>
        <w:bottom w:val="none" w:sz="0" w:space="0" w:color="auto"/>
        <w:right w:val="none" w:sz="0" w:space="0" w:color="auto"/>
      </w:divBdr>
    </w:div>
    <w:div w:id="1554193870">
      <w:bodyDiv w:val="1"/>
      <w:marLeft w:val="0"/>
      <w:marRight w:val="0"/>
      <w:marTop w:val="0"/>
      <w:marBottom w:val="0"/>
      <w:divBdr>
        <w:top w:val="none" w:sz="0" w:space="0" w:color="auto"/>
        <w:left w:val="none" w:sz="0" w:space="0" w:color="auto"/>
        <w:bottom w:val="none" w:sz="0" w:space="0" w:color="auto"/>
        <w:right w:val="none" w:sz="0" w:space="0" w:color="auto"/>
      </w:divBdr>
    </w:div>
    <w:div w:id="1554807195">
      <w:bodyDiv w:val="1"/>
      <w:marLeft w:val="0"/>
      <w:marRight w:val="0"/>
      <w:marTop w:val="0"/>
      <w:marBottom w:val="0"/>
      <w:divBdr>
        <w:top w:val="none" w:sz="0" w:space="0" w:color="auto"/>
        <w:left w:val="none" w:sz="0" w:space="0" w:color="auto"/>
        <w:bottom w:val="none" w:sz="0" w:space="0" w:color="auto"/>
        <w:right w:val="none" w:sz="0" w:space="0" w:color="auto"/>
      </w:divBdr>
    </w:div>
    <w:div w:id="1564876630">
      <w:bodyDiv w:val="1"/>
      <w:marLeft w:val="0"/>
      <w:marRight w:val="0"/>
      <w:marTop w:val="0"/>
      <w:marBottom w:val="0"/>
      <w:divBdr>
        <w:top w:val="none" w:sz="0" w:space="0" w:color="auto"/>
        <w:left w:val="none" w:sz="0" w:space="0" w:color="auto"/>
        <w:bottom w:val="none" w:sz="0" w:space="0" w:color="auto"/>
        <w:right w:val="none" w:sz="0" w:space="0" w:color="auto"/>
      </w:divBdr>
    </w:div>
    <w:div w:id="1569463676">
      <w:bodyDiv w:val="1"/>
      <w:marLeft w:val="0"/>
      <w:marRight w:val="0"/>
      <w:marTop w:val="0"/>
      <w:marBottom w:val="0"/>
      <w:divBdr>
        <w:top w:val="none" w:sz="0" w:space="0" w:color="auto"/>
        <w:left w:val="none" w:sz="0" w:space="0" w:color="auto"/>
        <w:bottom w:val="none" w:sz="0" w:space="0" w:color="auto"/>
        <w:right w:val="none" w:sz="0" w:space="0" w:color="auto"/>
      </w:divBdr>
    </w:div>
    <w:div w:id="1571696429">
      <w:bodyDiv w:val="1"/>
      <w:marLeft w:val="0"/>
      <w:marRight w:val="0"/>
      <w:marTop w:val="0"/>
      <w:marBottom w:val="0"/>
      <w:divBdr>
        <w:top w:val="none" w:sz="0" w:space="0" w:color="auto"/>
        <w:left w:val="none" w:sz="0" w:space="0" w:color="auto"/>
        <w:bottom w:val="none" w:sz="0" w:space="0" w:color="auto"/>
        <w:right w:val="none" w:sz="0" w:space="0" w:color="auto"/>
      </w:divBdr>
    </w:div>
    <w:div w:id="1572234285">
      <w:bodyDiv w:val="1"/>
      <w:marLeft w:val="0"/>
      <w:marRight w:val="0"/>
      <w:marTop w:val="0"/>
      <w:marBottom w:val="0"/>
      <w:divBdr>
        <w:top w:val="none" w:sz="0" w:space="0" w:color="auto"/>
        <w:left w:val="none" w:sz="0" w:space="0" w:color="auto"/>
        <w:bottom w:val="none" w:sz="0" w:space="0" w:color="auto"/>
        <w:right w:val="none" w:sz="0" w:space="0" w:color="auto"/>
      </w:divBdr>
    </w:div>
    <w:div w:id="1587760222">
      <w:bodyDiv w:val="1"/>
      <w:marLeft w:val="0"/>
      <w:marRight w:val="0"/>
      <w:marTop w:val="0"/>
      <w:marBottom w:val="0"/>
      <w:divBdr>
        <w:top w:val="none" w:sz="0" w:space="0" w:color="auto"/>
        <w:left w:val="none" w:sz="0" w:space="0" w:color="auto"/>
        <w:bottom w:val="none" w:sz="0" w:space="0" w:color="auto"/>
        <w:right w:val="none" w:sz="0" w:space="0" w:color="auto"/>
      </w:divBdr>
    </w:div>
    <w:div w:id="1591234360">
      <w:bodyDiv w:val="1"/>
      <w:marLeft w:val="0"/>
      <w:marRight w:val="0"/>
      <w:marTop w:val="0"/>
      <w:marBottom w:val="0"/>
      <w:divBdr>
        <w:top w:val="none" w:sz="0" w:space="0" w:color="auto"/>
        <w:left w:val="none" w:sz="0" w:space="0" w:color="auto"/>
        <w:bottom w:val="none" w:sz="0" w:space="0" w:color="auto"/>
        <w:right w:val="none" w:sz="0" w:space="0" w:color="auto"/>
      </w:divBdr>
    </w:div>
    <w:div w:id="1601719056">
      <w:bodyDiv w:val="1"/>
      <w:marLeft w:val="0"/>
      <w:marRight w:val="0"/>
      <w:marTop w:val="0"/>
      <w:marBottom w:val="0"/>
      <w:divBdr>
        <w:top w:val="none" w:sz="0" w:space="0" w:color="auto"/>
        <w:left w:val="none" w:sz="0" w:space="0" w:color="auto"/>
        <w:bottom w:val="none" w:sz="0" w:space="0" w:color="auto"/>
        <w:right w:val="none" w:sz="0" w:space="0" w:color="auto"/>
      </w:divBdr>
    </w:div>
    <w:div w:id="1605380706">
      <w:bodyDiv w:val="1"/>
      <w:marLeft w:val="0"/>
      <w:marRight w:val="0"/>
      <w:marTop w:val="0"/>
      <w:marBottom w:val="0"/>
      <w:divBdr>
        <w:top w:val="none" w:sz="0" w:space="0" w:color="auto"/>
        <w:left w:val="none" w:sz="0" w:space="0" w:color="auto"/>
        <w:bottom w:val="none" w:sz="0" w:space="0" w:color="auto"/>
        <w:right w:val="none" w:sz="0" w:space="0" w:color="auto"/>
      </w:divBdr>
    </w:div>
    <w:div w:id="1607038828">
      <w:bodyDiv w:val="1"/>
      <w:marLeft w:val="0"/>
      <w:marRight w:val="0"/>
      <w:marTop w:val="0"/>
      <w:marBottom w:val="0"/>
      <w:divBdr>
        <w:top w:val="none" w:sz="0" w:space="0" w:color="auto"/>
        <w:left w:val="none" w:sz="0" w:space="0" w:color="auto"/>
        <w:bottom w:val="none" w:sz="0" w:space="0" w:color="auto"/>
        <w:right w:val="none" w:sz="0" w:space="0" w:color="auto"/>
      </w:divBdr>
    </w:div>
    <w:div w:id="1614677082">
      <w:bodyDiv w:val="1"/>
      <w:marLeft w:val="0"/>
      <w:marRight w:val="0"/>
      <w:marTop w:val="0"/>
      <w:marBottom w:val="0"/>
      <w:divBdr>
        <w:top w:val="none" w:sz="0" w:space="0" w:color="auto"/>
        <w:left w:val="none" w:sz="0" w:space="0" w:color="auto"/>
        <w:bottom w:val="none" w:sz="0" w:space="0" w:color="auto"/>
        <w:right w:val="none" w:sz="0" w:space="0" w:color="auto"/>
      </w:divBdr>
    </w:div>
    <w:div w:id="1615019786">
      <w:bodyDiv w:val="1"/>
      <w:marLeft w:val="0"/>
      <w:marRight w:val="0"/>
      <w:marTop w:val="0"/>
      <w:marBottom w:val="0"/>
      <w:divBdr>
        <w:top w:val="none" w:sz="0" w:space="0" w:color="auto"/>
        <w:left w:val="none" w:sz="0" w:space="0" w:color="auto"/>
        <w:bottom w:val="none" w:sz="0" w:space="0" w:color="auto"/>
        <w:right w:val="none" w:sz="0" w:space="0" w:color="auto"/>
      </w:divBdr>
    </w:div>
    <w:div w:id="1616211592">
      <w:bodyDiv w:val="1"/>
      <w:marLeft w:val="0"/>
      <w:marRight w:val="0"/>
      <w:marTop w:val="0"/>
      <w:marBottom w:val="0"/>
      <w:divBdr>
        <w:top w:val="none" w:sz="0" w:space="0" w:color="auto"/>
        <w:left w:val="none" w:sz="0" w:space="0" w:color="auto"/>
        <w:bottom w:val="none" w:sz="0" w:space="0" w:color="auto"/>
        <w:right w:val="none" w:sz="0" w:space="0" w:color="auto"/>
      </w:divBdr>
    </w:div>
    <w:div w:id="1616521961">
      <w:bodyDiv w:val="1"/>
      <w:marLeft w:val="0"/>
      <w:marRight w:val="0"/>
      <w:marTop w:val="0"/>
      <w:marBottom w:val="0"/>
      <w:divBdr>
        <w:top w:val="none" w:sz="0" w:space="0" w:color="auto"/>
        <w:left w:val="none" w:sz="0" w:space="0" w:color="auto"/>
        <w:bottom w:val="none" w:sz="0" w:space="0" w:color="auto"/>
        <w:right w:val="none" w:sz="0" w:space="0" w:color="auto"/>
      </w:divBdr>
    </w:div>
    <w:div w:id="1625889961">
      <w:bodyDiv w:val="1"/>
      <w:marLeft w:val="0"/>
      <w:marRight w:val="0"/>
      <w:marTop w:val="0"/>
      <w:marBottom w:val="0"/>
      <w:divBdr>
        <w:top w:val="none" w:sz="0" w:space="0" w:color="auto"/>
        <w:left w:val="none" w:sz="0" w:space="0" w:color="auto"/>
        <w:bottom w:val="none" w:sz="0" w:space="0" w:color="auto"/>
        <w:right w:val="none" w:sz="0" w:space="0" w:color="auto"/>
      </w:divBdr>
    </w:div>
    <w:div w:id="1627857400">
      <w:bodyDiv w:val="1"/>
      <w:marLeft w:val="0"/>
      <w:marRight w:val="0"/>
      <w:marTop w:val="0"/>
      <w:marBottom w:val="0"/>
      <w:divBdr>
        <w:top w:val="none" w:sz="0" w:space="0" w:color="auto"/>
        <w:left w:val="none" w:sz="0" w:space="0" w:color="auto"/>
        <w:bottom w:val="none" w:sz="0" w:space="0" w:color="auto"/>
        <w:right w:val="none" w:sz="0" w:space="0" w:color="auto"/>
      </w:divBdr>
    </w:div>
    <w:div w:id="1629120020">
      <w:bodyDiv w:val="1"/>
      <w:marLeft w:val="0"/>
      <w:marRight w:val="0"/>
      <w:marTop w:val="0"/>
      <w:marBottom w:val="0"/>
      <w:divBdr>
        <w:top w:val="none" w:sz="0" w:space="0" w:color="auto"/>
        <w:left w:val="none" w:sz="0" w:space="0" w:color="auto"/>
        <w:bottom w:val="none" w:sz="0" w:space="0" w:color="auto"/>
        <w:right w:val="none" w:sz="0" w:space="0" w:color="auto"/>
      </w:divBdr>
    </w:div>
    <w:div w:id="1630017006">
      <w:bodyDiv w:val="1"/>
      <w:marLeft w:val="0"/>
      <w:marRight w:val="0"/>
      <w:marTop w:val="0"/>
      <w:marBottom w:val="0"/>
      <w:divBdr>
        <w:top w:val="none" w:sz="0" w:space="0" w:color="auto"/>
        <w:left w:val="none" w:sz="0" w:space="0" w:color="auto"/>
        <w:bottom w:val="none" w:sz="0" w:space="0" w:color="auto"/>
        <w:right w:val="none" w:sz="0" w:space="0" w:color="auto"/>
      </w:divBdr>
    </w:div>
    <w:div w:id="1636328109">
      <w:bodyDiv w:val="1"/>
      <w:marLeft w:val="0"/>
      <w:marRight w:val="0"/>
      <w:marTop w:val="0"/>
      <w:marBottom w:val="0"/>
      <w:divBdr>
        <w:top w:val="none" w:sz="0" w:space="0" w:color="auto"/>
        <w:left w:val="none" w:sz="0" w:space="0" w:color="auto"/>
        <w:bottom w:val="none" w:sz="0" w:space="0" w:color="auto"/>
        <w:right w:val="none" w:sz="0" w:space="0" w:color="auto"/>
      </w:divBdr>
    </w:div>
    <w:div w:id="1647469898">
      <w:bodyDiv w:val="1"/>
      <w:marLeft w:val="0"/>
      <w:marRight w:val="0"/>
      <w:marTop w:val="0"/>
      <w:marBottom w:val="0"/>
      <w:divBdr>
        <w:top w:val="none" w:sz="0" w:space="0" w:color="auto"/>
        <w:left w:val="none" w:sz="0" w:space="0" w:color="auto"/>
        <w:bottom w:val="none" w:sz="0" w:space="0" w:color="auto"/>
        <w:right w:val="none" w:sz="0" w:space="0" w:color="auto"/>
      </w:divBdr>
    </w:div>
    <w:div w:id="1651403283">
      <w:bodyDiv w:val="1"/>
      <w:marLeft w:val="0"/>
      <w:marRight w:val="0"/>
      <w:marTop w:val="0"/>
      <w:marBottom w:val="0"/>
      <w:divBdr>
        <w:top w:val="none" w:sz="0" w:space="0" w:color="auto"/>
        <w:left w:val="none" w:sz="0" w:space="0" w:color="auto"/>
        <w:bottom w:val="none" w:sz="0" w:space="0" w:color="auto"/>
        <w:right w:val="none" w:sz="0" w:space="0" w:color="auto"/>
      </w:divBdr>
    </w:div>
    <w:div w:id="1660960481">
      <w:bodyDiv w:val="1"/>
      <w:marLeft w:val="0"/>
      <w:marRight w:val="0"/>
      <w:marTop w:val="0"/>
      <w:marBottom w:val="0"/>
      <w:divBdr>
        <w:top w:val="none" w:sz="0" w:space="0" w:color="auto"/>
        <w:left w:val="none" w:sz="0" w:space="0" w:color="auto"/>
        <w:bottom w:val="none" w:sz="0" w:space="0" w:color="auto"/>
        <w:right w:val="none" w:sz="0" w:space="0" w:color="auto"/>
      </w:divBdr>
    </w:div>
    <w:div w:id="1661544133">
      <w:bodyDiv w:val="1"/>
      <w:marLeft w:val="0"/>
      <w:marRight w:val="0"/>
      <w:marTop w:val="0"/>
      <w:marBottom w:val="0"/>
      <w:divBdr>
        <w:top w:val="none" w:sz="0" w:space="0" w:color="auto"/>
        <w:left w:val="none" w:sz="0" w:space="0" w:color="auto"/>
        <w:bottom w:val="none" w:sz="0" w:space="0" w:color="auto"/>
        <w:right w:val="none" w:sz="0" w:space="0" w:color="auto"/>
      </w:divBdr>
    </w:div>
    <w:div w:id="1661930558">
      <w:bodyDiv w:val="1"/>
      <w:marLeft w:val="0"/>
      <w:marRight w:val="0"/>
      <w:marTop w:val="0"/>
      <w:marBottom w:val="0"/>
      <w:divBdr>
        <w:top w:val="none" w:sz="0" w:space="0" w:color="auto"/>
        <w:left w:val="none" w:sz="0" w:space="0" w:color="auto"/>
        <w:bottom w:val="none" w:sz="0" w:space="0" w:color="auto"/>
        <w:right w:val="none" w:sz="0" w:space="0" w:color="auto"/>
      </w:divBdr>
    </w:div>
    <w:div w:id="1662663481">
      <w:bodyDiv w:val="1"/>
      <w:marLeft w:val="0"/>
      <w:marRight w:val="0"/>
      <w:marTop w:val="0"/>
      <w:marBottom w:val="0"/>
      <w:divBdr>
        <w:top w:val="none" w:sz="0" w:space="0" w:color="auto"/>
        <w:left w:val="none" w:sz="0" w:space="0" w:color="auto"/>
        <w:bottom w:val="none" w:sz="0" w:space="0" w:color="auto"/>
        <w:right w:val="none" w:sz="0" w:space="0" w:color="auto"/>
      </w:divBdr>
    </w:div>
    <w:div w:id="1664552259">
      <w:bodyDiv w:val="1"/>
      <w:marLeft w:val="0"/>
      <w:marRight w:val="0"/>
      <w:marTop w:val="0"/>
      <w:marBottom w:val="0"/>
      <w:divBdr>
        <w:top w:val="none" w:sz="0" w:space="0" w:color="auto"/>
        <w:left w:val="none" w:sz="0" w:space="0" w:color="auto"/>
        <w:bottom w:val="none" w:sz="0" w:space="0" w:color="auto"/>
        <w:right w:val="none" w:sz="0" w:space="0" w:color="auto"/>
      </w:divBdr>
    </w:div>
    <w:div w:id="1668554532">
      <w:bodyDiv w:val="1"/>
      <w:marLeft w:val="0"/>
      <w:marRight w:val="0"/>
      <w:marTop w:val="0"/>
      <w:marBottom w:val="0"/>
      <w:divBdr>
        <w:top w:val="none" w:sz="0" w:space="0" w:color="auto"/>
        <w:left w:val="none" w:sz="0" w:space="0" w:color="auto"/>
        <w:bottom w:val="none" w:sz="0" w:space="0" w:color="auto"/>
        <w:right w:val="none" w:sz="0" w:space="0" w:color="auto"/>
      </w:divBdr>
    </w:div>
    <w:div w:id="1671641783">
      <w:bodyDiv w:val="1"/>
      <w:marLeft w:val="0"/>
      <w:marRight w:val="0"/>
      <w:marTop w:val="0"/>
      <w:marBottom w:val="0"/>
      <w:divBdr>
        <w:top w:val="none" w:sz="0" w:space="0" w:color="auto"/>
        <w:left w:val="none" w:sz="0" w:space="0" w:color="auto"/>
        <w:bottom w:val="none" w:sz="0" w:space="0" w:color="auto"/>
        <w:right w:val="none" w:sz="0" w:space="0" w:color="auto"/>
      </w:divBdr>
    </w:div>
    <w:div w:id="1683821560">
      <w:bodyDiv w:val="1"/>
      <w:marLeft w:val="0"/>
      <w:marRight w:val="0"/>
      <w:marTop w:val="0"/>
      <w:marBottom w:val="0"/>
      <w:divBdr>
        <w:top w:val="none" w:sz="0" w:space="0" w:color="auto"/>
        <w:left w:val="none" w:sz="0" w:space="0" w:color="auto"/>
        <w:bottom w:val="none" w:sz="0" w:space="0" w:color="auto"/>
        <w:right w:val="none" w:sz="0" w:space="0" w:color="auto"/>
      </w:divBdr>
    </w:div>
    <w:div w:id="1700083125">
      <w:bodyDiv w:val="1"/>
      <w:marLeft w:val="0"/>
      <w:marRight w:val="0"/>
      <w:marTop w:val="0"/>
      <w:marBottom w:val="0"/>
      <w:divBdr>
        <w:top w:val="none" w:sz="0" w:space="0" w:color="auto"/>
        <w:left w:val="none" w:sz="0" w:space="0" w:color="auto"/>
        <w:bottom w:val="none" w:sz="0" w:space="0" w:color="auto"/>
        <w:right w:val="none" w:sz="0" w:space="0" w:color="auto"/>
      </w:divBdr>
    </w:div>
    <w:div w:id="1702701854">
      <w:bodyDiv w:val="1"/>
      <w:marLeft w:val="0"/>
      <w:marRight w:val="0"/>
      <w:marTop w:val="0"/>
      <w:marBottom w:val="0"/>
      <w:divBdr>
        <w:top w:val="none" w:sz="0" w:space="0" w:color="auto"/>
        <w:left w:val="none" w:sz="0" w:space="0" w:color="auto"/>
        <w:bottom w:val="none" w:sz="0" w:space="0" w:color="auto"/>
        <w:right w:val="none" w:sz="0" w:space="0" w:color="auto"/>
      </w:divBdr>
    </w:div>
    <w:div w:id="1708026954">
      <w:bodyDiv w:val="1"/>
      <w:marLeft w:val="0"/>
      <w:marRight w:val="0"/>
      <w:marTop w:val="0"/>
      <w:marBottom w:val="0"/>
      <w:divBdr>
        <w:top w:val="none" w:sz="0" w:space="0" w:color="auto"/>
        <w:left w:val="none" w:sz="0" w:space="0" w:color="auto"/>
        <w:bottom w:val="none" w:sz="0" w:space="0" w:color="auto"/>
        <w:right w:val="none" w:sz="0" w:space="0" w:color="auto"/>
      </w:divBdr>
    </w:div>
    <w:div w:id="1708866701">
      <w:bodyDiv w:val="1"/>
      <w:marLeft w:val="0"/>
      <w:marRight w:val="0"/>
      <w:marTop w:val="0"/>
      <w:marBottom w:val="0"/>
      <w:divBdr>
        <w:top w:val="none" w:sz="0" w:space="0" w:color="auto"/>
        <w:left w:val="none" w:sz="0" w:space="0" w:color="auto"/>
        <w:bottom w:val="none" w:sz="0" w:space="0" w:color="auto"/>
        <w:right w:val="none" w:sz="0" w:space="0" w:color="auto"/>
      </w:divBdr>
    </w:div>
    <w:div w:id="1709792505">
      <w:bodyDiv w:val="1"/>
      <w:marLeft w:val="0"/>
      <w:marRight w:val="0"/>
      <w:marTop w:val="0"/>
      <w:marBottom w:val="0"/>
      <w:divBdr>
        <w:top w:val="none" w:sz="0" w:space="0" w:color="auto"/>
        <w:left w:val="none" w:sz="0" w:space="0" w:color="auto"/>
        <w:bottom w:val="none" w:sz="0" w:space="0" w:color="auto"/>
        <w:right w:val="none" w:sz="0" w:space="0" w:color="auto"/>
      </w:divBdr>
    </w:div>
    <w:div w:id="1714232651">
      <w:bodyDiv w:val="1"/>
      <w:marLeft w:val="0"/>
      <w:marRight w:val="0"/>
      <w:marTop w:val="0"/>
      <w:marBottom w:val="0"/>
      <w:divBdr>
        <w:top w:val="none" w:sz="0" w:space="0" w:color="auto"/>
        <w:left w:val="none" w:sz="0" w:space="0" w:color="auto"/>
        <w:bottom w:val="none" w:sz="0" w:space="0" w:color="auto"/>
        <w:right w:val="none" w:sz="0" w:space="0" w:color="auto"/>
      </w:divBdr>
    </w:div>
    <w:div w:id="1719085158">
      <w:bodyDiv w:val="1"/>
      <w:marLeft w:val="0"/>
      <w:marRight w:val="0"/>
      <w:marTop w:val="0"/>
      <w:marBottom w:val="0"/>
      <w:divBdr>
        <w:top w:val="none" w:sz="0" w:space="0" w:color="auto"/>
        <w:left w:val="none" w:sz="0" w:space="0" w:color="auto"/>
        <w:bottom w:val="none" w:sz="0" w:space="0" w:color="auto"/>
        <w:right w:val="none" w:sz="0" w:space="0" w:color="auto"/>
      </w:divBdr>
    </w:div>
    <w:div w:id="1719621798">
      <w:bodyDiv w:val="1"/>
      <w:marLeft w:val="0"/>
      <w:marRight w:val="0"/>
      <w:marTop w:val="0"/>
      <w:marBottom w:val="0"/>
      <w:divBdr>
        <w:top w:val="none" w:sz="0" w:space="0" w:color="auto"/>
        <w:left w:val="none" w:sz="0" w:space="0" w:color="auto"/>
        <w:bottom w:val="none" w:sz="0" w:space="0" w:color="auto"/>
        <w:right w:val="none" w:sz="0" w:space="0" w:color="auto"/>
      </w:divBdr>
    </w:div>
    <w:div w:id="1721977448">
      <w:bodyDiv w:val="1"/>
      <w:marLeft w:val="0"/>
      <w:marRight w:val="0"/>
      <w:marTop w:val="0"/>
      <w:marBottom w:val="0"/>
      <w:divBdr>
        <w:top w:val="none" w:sz="0" w:space="0" w:color="auto"/>
        <w:left w:val="none" w:sz="0" w:space="0" w:color="auto"/>
        <w:bottom w:val="none" w:sz="0" w:space="0" w:color="auto"/>
        <w:right w:val="none" w:sz="0" w:space="0" w:color="auto"/>
      </w:divBdr>
    </w:div>
    <w:div w:id="1723476694">
      <w:bodyDiv w:val="1"/>
      <w:marLeft w:val="0"/>
      <w:marRight w:val="0"/>
      <w:marTop w:val="0"/>
      <w:marBottom w:val="0"/>
      <w:divBdr>
        <w:top w:val="none" w:sz="0" w:space="0" w:color="auto"/>
        <w:left w:val="none" w:sz="0" w:space="0" w:color="auto"/>
        <w:bottom w:val="none" w:sz="0" w:space="0" w:color="auto"/>
        <w:right w:val="none" w:sz="0" w:space="0" w:color="auto"/>
      </w:divBdr>
    </w:div>
    <w:div w:id="1723796115">
      <w:bodyDiv w:val="1"/>
      <w:marLeft w:val="0"/>
      <w:marRight w:val="0"/>
      <w:marTop w:val="0"/>
      <w:marBottom w:val="0"/>
      <w:divBdr>
        <w:top w:val="none" w:sz="0" w:space="0" w:color="auto"/>
        <w:left w:val="none" w:sz="0" w:space="0" w:color="auto"/>
        <w:bottom w:val="none" w:sz="0" w:space="0" w:color="auto"/>
        <w:right w:val="none" w:sz="0" w:space="0" w:color="auto"/>
      </w:divBdr>
    </w:div>
    <w:div w:id="1727336246">
      <w:bodyDiv w:val="1"/>
      <w:marLeft w:val="0"/>
      <w:marRight w:val="0"/>
      <w:marTop w:val="0"/>
      <w:marBottom w:val="0"/>
      <w:divBdr>
        <w:top w:val="none" w:sz="0" w:space="0" w:color="auto"/>
        <w:left w:val="none" w:sz="0" w:space="0" w:color="auto"/>
        <w:bottom w:val="none" w:sz="0" w:space="0" w:color="auto"/>
        <w:right w:val="none" w:sz="0" w:space="0" w:color="auto"/>
      </w:divBdr>
    </w:div>
    <w:div w:id="1730611326">
      <w:bodyDiv w:val="1"/>
      <w:marLeft w:val="0"/>
      <w:marRight w:val="0"/>
      <w:marTop w:val="0"/>
      <w:marBottom w:val="0"/>
      <w:divBdr>
        <w:top w:val="none" w:sz="0" w:space="0" w:color="auto"/>
        <w:left w:val="none" w:sz="0" w:space="0" w:color="auto"/>
        <w:bottom w:val="none" w:sz="0" w:space="0" w:color="auto"/>
        <w:right w:val="none" w:sz="0" w:space="0" w:color="auto"/>
      </w:divBdr>
    </w:div>
    <w:div w:id="1742368078">
      <w:bodyDiv w:val="1"/>
      <w:marLeft w:val="0"/>
      <w:marRight w:val="0"/>
      <w:marTop w:val="0"/>
      <w:marBottom w:val="0"/>
      <w:divBdr>
        <w:top w:val="none" w:sz="0" w:space="0" w:color="auto"/>
        <w:left w:val="none" w:sz="0" w:space="0" w:color="auto"/>
        <w:bottom w:val="none" w:sz="0" w:space="0" w:color="auto"/>
        <w:right w:val="none" w:sz="0" w:space="0" w:color="auto"/>
      </w:divBdr>
    </w:div>
    <w:div w:id="1745177664">
      <w:bodyDiv w:val="1"/>
      <w:marLeft w:val="0"/>
      <w:marRight w:val="0"/>
      <w:marTop w:val="0"/>
      <w:marBottom w:val="0"/>
      <w:divBdr>
        <w:top w:val="none" w:sz="0" w:space="0" w:color="auto"/>
        <w:left w:val="none" w:sz="0" w:space="0" w:color="auto"/>
        <w:bottom w:val="none" w:sz="0" w:space="0" w:color="auto"/>
        <w:right w:val="none" w:sz="0" w:space="0" w:color="auto"/>
      </w:divBdr>
    </w:div>
    <w:div w:id="1750694967">
      <w:bodyDiv w:val="1"/>
      <w:marLeft w:val="0"/>
      <w:marRight w:val="0"/>
      <w:marTop w:val="0"/>
      <w:marBottom w:val="0"/>
      <w:divBdr>
        <w:top w:val="none" w:sz="0" w:space="0" w:color="auto"/>
        <w:left w:val="none" w:sz="0" w:space="0" w:color="auto"/>
        <w:bottom w:val="none" w:sz="0" w:space="0" w:color="auto"/>
        <w:right w:val="none" w:sz="0" w:space="0" w:color="auto"/>
      </w:divBdr>
    </w:div>
    <w:div w:id="1752387241">
      <w:bodyDiv w:val="1"/>
      <w:marLeft w:val="0"/>
      <w:marRight w:val="0"/>
      <w:marTop w:val="0"/>
      <w:marBottom w:val="0"/>
      <w:divBdr>
        <w:top w:val="none" w:sz="0" w:space="0" w:color="auto"/>
        <w:left w:val="none" w:sz="0" w:space="0" w:color="auto"/>
        <w:bottom w:val="none" w:sz="0" w:space="0" w:color="auto"/>
        <w:right w:val="none" w:sz="0" w:space="0" w:color="auto"/>
      </w:divBdr>
    </w:div>
    <w:div w:id="1755854408">
      <w:bodyDiv w:val="1"/>
      <w:marLeft w:val="0"/>
      <w:marRight w:val="0"/>
      <w:marTop w:val="0"/>
      <w:marBottom w:val="0"/>
      <w:divBdr>
        <w:top w:val="none" w:sz="0" w:space="0" w:color="auto"/>
        <w:left w:val="none" w:sz="0" w:space="0" w:color="auto"/>
        <w:bottom w:val="none" w:sz="0" w:space="0" w:color="auto"/>
        <w:right w:val="none" w:sz="0" w:space="0" w:color="auto"/>
      </w:divBdr>
    </w:div>
    <w:div w:id="1760100805">
      <w:bodyDiv w:val="1"/>
      <w:marLeft w:val="0"/>
      <w:marRight w:val="0"/>
      <w:marTop w:val="0"/>
      <w:marBottom w:val="0"/>
      <w:divBdr>
        <w:top w:val="none" w:sz="0" w:space="0" w:color="auto"/>
        <w:left w:val="none" w:sz="0" w:space="0" w:color="auto"/>
        <w:bottom w:val="none" w:sz="0" w:space="0" w:color="auto"/>
        <w:right w:val="none" w:sz="0" w:space="0" w:color="auto"/>
      </w:divBdr>
    </w:div>
    <w:div w:id="1760563973">
      <w:bodyDiv w:val="1"/>
      <w:marLeft w:val="0"/>
      <w:marRight w:val="0"/>
      <w:marTop w:val="0"/>
      <w:marBottom w:val="0"/>
      <w:divBdr>
        <w:top w:val="none" w:sz="0" w:space="0" w:color="auto"/>
        <w:left w:val="none" w:sz="0" w:space="0" w:color="auto"/>
        <w:bottom w:val="none" w:sz="0" w:space="0" w:color="auto"/>
        <w:right w:val="none" w:sz="0" w:space="0" w:color="auto"/>
      </w:divBdr>
    </w:div>
    <w:div w:id="1760834948">
      <w:bodyDiv w:val="1"/>
      <w:marLeft w:val="0"/>
      <w:marRight w:val="0"/>
      <w:marTop w:val="0"/>
      <w:marBottom w:val="0"/>
      <w:divBdr>
        <w:top w:val="none" w:sz="0" w:space="0" w:color="auto"/>
        <w:left w:val="none" w:sz="0" w:space="0" w:color="auto"/>
        <w:bottom w:val="none" w:sz="0" w:space="0" w:color="auto"/>
        <w:right w:val="none" w:sz="0" w:space="0" w:color="auto"/>
      </w:divBdr>
    </w:div>
    <w:div w:id="1769539860">
      <w:bodyDiv w:val="1"/>
      <w:marLeft w:val="0"/>
      <w:marRight w:val="0"/>
      <w:marTop w:val="0"/>
      <w:marBottom w:val="0"/>
      <w:divBdr>
        <w:top w:val="none" w:sz="0" w:space="0" w:color="auto"/>
        <w:left w:val="none" w:sz="0" w:space="0" w:color="auto"/>
        <w:bottom w:val="none" w:sz="0" w:space="0" w:color="auto"/>
        <w:right w:val="none" w:sz="0" w:space="0" w:color="auto"/>
      </w:divBdr>
    </w:div>
    <w:div w:id="1774470113">
      <w:bodyDiv w:val="1"/>
      <w:marLeft w:val="0"/>
      <w:marRight w:val="0"/>
      <w:marTop w:val="0"/>
      <w:marBottom w:val="0"/>
      <w:divBdr>
        <w:top w:val="none" w:sz="0" w:space="0" w:color="auto"/>
        <w:left w:val="none" w:sz="0" w:space="0" w:color="auto"/>
        <w:bottom w:val="none" w:sz="0" w:space="0" w:color="auto"/>
        <w:right w:val="none" w:sz="0" w:space="0" w:color="auto"/>
      </w:divBdr>
    </w:div>
    <w:div w:id="1776443499">
      <w:bodyDiv w:val="1"/>
      <w:marLeft w:val="0"/>
      <w:marRight w:val="0"/>
      <w:marTop w:val="0"/>
      <w:marBottom w:val="0"/>
      <w:divBdr>
        <w:top w:val="none" w:sz="0" w:space="0" w:color="auto"/>
        <w:left w:val="none" w:sz="0" w:space="0" w:color="auto"/>
        <w:bottom w:val="none" w:sz="0" w:space="0" w:color="auto"/>
        <w:right w:val="none" w:sz="0" w:space="0" w:color="auto"/>
      </w:divBdr>
    </w:div>
    <w:div w:id="1783107528">
      <w:bodyDiv w:val="1"/>
      <w:marLeft w:val="0"/>
      <w:marRight w:val="0"/>
      <w:marTop w:val="0"/>
      <w:marBottom w:val="0"/>
      <w:divBdr>
        <w:top w:val="none" w:sz="0" w:space="0" w:color="auto"/>
        <w:left w:val="none" w:sz="0" w:space="0" w:color="auto"/>
        <w:bottom w:val="none" w:sz="0" w:space="0" w:color="auto"/>
        <w:right w:val="none" w:sz="0" w:space="0" w:color="auto"/>
      </w:divBdr>
    </w:div>
    <w:div w:id="1783185459">
      <w:bodyDiv w:val="1"/>
      <w:marLeft w:val="0"/>
      <w:marRight w:val="0"/>
      <w:marTop w:val="0"/>
      <w:marBottom w:val="0"/>
      <w:divBdr>
        <w:top w:val="none" w:sz="0" w:space="0" w:color="auto"/>
        <w:left w:val="none" w:sz="0" w:space="0" w:color="auto"/>
        <w:bottom w:val="none" w:sz="0" w:space="0" w:color="auto"/>
        <w:right w:val="none" w:sz="0" w:space="0" w:color="auto"/>
      </w:divBdr>
    </w:div>
    <w:div w:id="1787847210">
      <w:bodyDiv w:val="1"/>
      <w:marLeft w:val="0"/>
      <w:marRight w:val="0"/>
      <w:marTop w:val="0"/>
      <w:marBottom w:val="0"/>
      <w:divBdr>
        <w:top w:val="none" w:sz="0" w:space="0" w:color="auto"/>
        <w:left w:val="none" w:sz="0" w:space="0" w:color="auto"/>
        <w:bottom w:val="none" w:sz="0" w:space="0" w:color="auto"/>
        <w:right w:val="none" w:sz="0" w:space="0" w:color="auto"/>
      </w:divBdr>
    </w:div>
    <w:div w:id="1790203981">
      <w:bodyDiv w:val="1"/>
      <w:marLeft w:val="0"/>
      <w:marRight w:val="0"/>
      <w:marTop w:val="0"/>
      <w:marBottom w:val="0"/>
      <w:divBdr>
        <w:top w:val="none" w:sz="0" w:space="0" w:color="auto"/>
        <w:left w:val="none" w:sz="0" w:space="0" w:color="auto"/>
        <w:bottom w:val="none" w:sz="0" w:space="0" w:color="auto"/>
        <w:right w:val="none" w:sz="0" w:space="0" w:color="auto"/>
      </w:divBdr>
    </w:div>
    <w:div w:id="1795781612">
      <w:bodyDiv w:val="1"/>
      <w:marLeft w:val="0"/>
      <w:marRight w:val="0"/>
      <w:marTop w:val="0"/>
      <w:marBottom w:val="0"/>
      <w:divBdr>
        <w:top w:val="none" w:sz="0" w:space="0" w:color="auto"/>
        <w:left w:val="none" w:sz="0" w:space="0" w:color="auto"/>
        <w:bottom w:val="none" w:sz="0" w:space="0" w:color="auto"/>
        <w:right w:val="none" w:sz="0" w:space="0" w:color="auto"/>
      </w:divBdr>
    </w:div>
    <w:div w:id="1798180817">
      <w:bodyDiv w:val="1"/>
      <w:marLeft w:val="0"/>
      <w:marRight w:val="0"/>
      <w:marTop w:val="0"/>
      <w:marBottom w:val="0"/>
      <w:divBdr>
        <w:top w:val="none" w:sz="0" w:space="0" w:color="auto"/>
        <w:left w:val="none" w:sz="0" w:space="0" w:color="auto"/>
        <w:bottom w:val="none" w:sz="0" w:space="0" w:color="auto"/>
        <w:right w:val="none" w:sz="0" w:space="0" w:color="auto"/>
      </w:divBdr>
    </w:div>
    <w:div w:id="1806777816">
      <w:bodyDiv w:val="1"/>
      <w:marLeft w:val="0"/>
      <w:marRight w:val="0"/>
      <w:marTop w:val="0"/>
      <w:marBottom w:val="0"/>
      <w:divBdr>
        <w:top w:val="none" w:sz="0" w:space="0" w:color="auto"/>
        <w:left w:val="none" w:sz="0" w:space="0" w:color="auto"/>
        <w:bottom w:val="none" w:sz="0" w:space="0" w:color="auto"/>
        <w:right w:val="none" w:sz="0" w:space="0" w:color="auto"/>
      </w:divBdr>
    </w:div>
    <w:div w:id="1816068632">
      <w:bodyDiv w:val="1"/>
      <w:marLeft w:val="0"/>
      <w:marRight w:val="0"/>
      <w:marTop w:val="0"/>
      <w:marBottom w:val="0"/>
      <w:divBdr>
        <w:top w:val="none" w:sz="0" w:space="0" w:color="auto"/>
        <w:left w:val="none" w:sz="0" w:space="0" w:color="auto"/>
        <w:bottom w:val="none" w:sz="0" w:space="0" w:color="auto"/>
        <w:right w:val="none" w:sz="0" w:space="0" w:color="auto"/>
      </w:divBdr>
    </w:div>
    <w:div w:id="1822842622">
      <w:bodyDiv w:val="1"/>
      <w:marLeft w:val="0"/>
      <w:marRight w:val="0"/>
      <w:marTop w:val="0"/>
      <w:marBottom w:val="0"/>
      <w:divBdr>
        <w:top w:val="none" w:sz="0" w:space="0" w:color="auto"/>
        <w:left w:val="none" w:sz="0" w:space="0" w:color="auto"/>
        <w:bottom w:val="none" w:sz="0" w:space="0" w:color="auto"/>
        <w:right w:val="none" w:sz="0" w:space="0" w:color="auto"/>
      </w:divBdr>
    </w:div>
    <w:div w:id="1836339299">
      <w:bodyDiv w:val="1"/>
      <w:marLeft w:val="0"/>
      <w:marRight w:val="0"/>
      <w:marTop w:val="0"/>
      <w:marBottom w:val="0"/>
      <w:divBdr>
        <w:top w:val="none" w:sz="0" w:space="0" w:color="auto"/>
        <w:left w:val="none" w:sz="0" w:space="0" w:color="auto"/>
        <w:bottom w:val="none" w:sz="0" w:space="0" w:color="auto"/>
        <w:right w:val="none" w:sz="0" w:space="0" w:color="auto"/>
      </w:divBdr>
    </w:div>
    <w:div w:id="1838421047">
      <w:bodyDiv w:val="1"/>
      <w:marLeft w:val="0"/>
      <w:marRight w:val="0"/>
      <w:marTop w:val="0"/>
      <w:marBottom w:val="0"/>
      <w:divBdr>
        <w:top w:val="none" w:sz="0" w:space="0" w:color="auto"/>
        <w:left w:val="none" w:sz="0" w:space="0" w:color="auto"/>
        <w:bottom w:val="none" w:sz="0" w:space="0" w:color="auto"/>
        <w:right w:val="none" w:sz="0" w:space="0" w:color="auto"/>
      </w:divBdr>
    </w:div>
    <w:div w:id="1847398075">
      <w:bodyDiv w:val="1"/>
      <w:marLeft w:val="0"/>
      <w:marRight w:val="0"/>
      <w:marTop w:val="0"/>
      <w:marBottom w:val="0"/>
      <w:divBdr>
        <w:top w:val="none" w:sz="0" w:space="0" w:color="auto"/>
        <w:left w:val="none" w:sz="0" w:space="0" w:color="auto"/>
        <w:bottom w:val="none" w:sz="0" w:space="0" w:color="auto"/>
        <w:right w:val="none" w:sz="0" w:space="0" w:color="auto"/>
      </w:divBdr>
    </w:div>
    <w:div w:id="1869954105">
      <w:bodyDiv w:val="1"/>
      <w:marLeft w:val="0"/>
      <w:marRight w:val="0"/>
      <w:marTop w:val="0"/>
      <w:marBottom w:val="0"/>
      <w:divBdr>
        <w:top w:val="none" w:sz="0" w:space="0" w:color="auto"/>
        <w:left w:val="none" w:sz="0" w:space="0" w:color="auto"/>
        <w:bottom w:val="none" w:sz="0" w:space="0" w:color="auto"/>
        <w:right w:val="none" w:sz="0" w:space="0" w:color="auto"/>
      </w:divBdr>
    </w:div>
    <w:div w:id="1870873586">
      <w:bodyDiv w:val="1"/>
      <w:marLeft w:val="0"/>
      <w:marRight w:val="0"/>
      <w:marTop w:val="0"/>
      <w:marBottom w:val="0"/>
      <w:divBdr>
        <w:top w:val="none" w:sz="0" w:space="0" w:color="auto"/>
        <w:left w:val="none" w:sz="0" w:space="0" w:color="auto"/>
        <w:bottom w:val="none" w:sz="0" w:space="0" w:color="auto"/>
        <w:right w:val="none" w:sz="0" w:space="0" w:color="auto"/>
      </w:divBdr>
    </w:div>
    <w:div w:id="1877346180">
      <w:bodyDiv w:val="1"/>
      <w:marLeft w:val="0"/>
      <w:marRight w:val="0"/>
      <w:marTop w:val="0"/>
      <w:marBottom w:val="0"/>
      <w:divBdr>
        <w:top w:val="none" w:sz="0" w:space="0" w:color="auto"/>
        <w:left w:val="none" w:sz="0" w:space="0" w:color="auto"/>
        <w:bottom w:val="none" w:sz="0" w:space="0" w:color="auto"/>
        <w:right w:val="none" w:sz="0" w:space="0" w:color="auto"/>
      </w:divBdr>
    </w:div>
    <w:div w:id="1878929951">
      <w:bodyDiv w:val="1"/>
      <w:marLeft w:val="0"/>
      <w:marRight w:val="0"/>
      <w:marTop w:val="0"/>
      <w:marBottom w:val="0"/>
      <w:divBdr>
        <w:top w:val="none" w:sz="0" w:space="0" w:color="auto"/>
        <w:left w:val="none" w:sz="0" w:space="0" w:color="auto"/>
        <w:bottom w:val="none" w:sz="0" w:space="0" w:color="auto"/>
        <w:right w:val="none" w:sz="0" w:space="0" w:color="auto"/>
      </w:divBdr>
    </w:div>
    <w:div w:id="1882932868">
      <w:bodyDiv w:val="1"/>
      <w:marLeft w:val="0"/>
      <w:marRight w:val="0"/>
      <w:marTop w:val="0"/>
      <w:marBottom w:val="0"/>
      <w:divBdr>
        <w:top w:val="none" w:sz="0" w:space="0" w:color="auto"/>
        <w:left w:val="none" w:sz="0" w:space="0" w:color="auto"/>
        <w:bottom w:val="none" w:sz="0" w:space="0" w:color="auto"/>
        <w:right w:val="none" w:sz="0" w:space="0" w:color="auto"/>
      </w:divBdr>
    </w:div>
    <w:div w:id="1897810175">
      <w:bodyDiv w:val="1"/>
      <w:marLeft w:val="0"/>
      <w:marRight w:val="0"/>
      <w:marTop w:val="0"/>
      <w:marBottom w:val="0"/>
      <w:divBdr>
        <w:top w:val="none" w:sz="0" w:space="0" w:color="auto"/>
        <w:left w:val="none" w:sz="0" w:space="0" w:color="auto"/>
        <w:bottom w:val="none" w:sz="0" w:space="0" w:color="auto"/>
        <w:right w:val="none" w:sz="0" w:space="0" w:color="auto"/>
      </w:divBdr>
    </w:div>
    <w:div w:id="1898275846">
      <w:bodyDiv w:val="1"/>
      <w:marLeft w:val="0"/>
      <w:marRight w:val="0"/>
      <w:marTop w:val="0"/>
      <w:marBottom w:val="0"/>
      <w:divBdr>
        <w:top w:val="none" w:sz="0" w:space="0" w:color="auto"/>
        <w:left w:val="none" w:sz="0" w:space="0" w:color="auto"/>
        <w:bottom w:val="none" w:sz="0" w:space="0" w:color="auto"/>
        <w:right w:val="none" w:sz="0" w:space="0" w:color="auto"/>
      </w:divBdr>
    </w:div>
    <w:div w:id="1909069365">
      <w:bodyDiv w:val="1"/>
      <w:marLeft w:val="0"/>
      <w:marRight w:val="0"/>
      <w:marTop w:val="0"/>
      <w:marBottom w:val="0"/>
      <w:divBdr>
        <w:top w:val="none" w:sz="0" w:space="0" w:color="auto"/>
        <w:left w:val="none" w:sz="0" w:space="0" w:color="auto"/>
        <w:bottom w:val="none" w:sz="0" w:space="0" w:color="auto"/>
        <w:right w:val="none" w:sz="0" w:space="0" w:color="auto"/>
      </w:divBdr>
    </w:div>
    <w:div w:id="1914470017">
      <w:bodyDiv w:val="1"/>
      <w:marLeft w:val="0"/>
      <w:marRight w:val="0"/>
      <w:marTop w:val="0"/>
      <w:marBottom w:val="0"/>
      <w:divBdr>
        <w:top w:val="none" w:sz="0" w:space="0" w:color="auto"/>
        <w:left w:val="none" w:sz="0" w:space="0" w:color="auto"/>
        <w:bottom w:val="none" w:sz="0" w:space="0" w:color="auto"/>
        <w:right w:val="none" w:sz="0" w:space="0" w:color="auto"/>
      </w:divBdr>
    </w:div>
    <w:div w:id="1917278936">
      <w:bodyDiv w:val="1"/>
      <w:marLeft w:val="0"/>
      <w:marRight w:val="0"/>
      <w:marTop w:val="0"/>
      <w:marBottom w:val="0"/>
      <w:divBdr>
        <w:top w:val="none" w:sz="0" w:space="0" w:color="auto"/>
        <w:left w:val="none" w:sz="0" w:space="0" w:color="auto"/>
        <w:bottom w:val="none" w:sz="0" w:space="0" w:color="auto"/>
        <w:right w:val="none" w:sz="0" w:space="0" w:color="auto"/>
      </w:divBdr>
    </w:div>
    <w:div w:id="1917785455">
      <w:bodyDiv w:val="1"/>
      <w:marLeft w:val="0"/>
      <w:marRight w:val="0"/>
      <w:marTop w:val="0"/>
      <w:marBottom w:val="0"/>
      <w:divBdr>
        <w:top w:val="none" w:sz="0" w:space="0" w:color="auto"/>
        <w:left w:val="none" w:sz="0" w:space="0" w:color="auto"/>
        <w:bottom w:val="none" w:sz="0" w:space="0" w:color="auto"/>
        <w:right w:val="none" w:sz="0" w:space="0" w:color="auto"/>
      </w:divBdr>
    </w:div>
    <w:div w:id="1918132201">
      <w:bodyDiv w:val="1"/>
      <w:marLeft w:val="0"/>
      <w:marRight w:val="0"/>
      <w:marTop w:val="0"/>
      <w:marBottom w:val="0"/>
      <w:divBdr>
        <w:top w:val="none" w:sz="0" w:space="0" w:color="auto"/>
        <w:left w:val="none" w:sz="0" w:space="0" w:color="auto"/>
        <w:bottom w:val="none" w:sz="0" w:space="0" w:color="auto"/>
        <w:right w:val="none" w:sz="0" w:space="0" w:color="auto"/>
      </w:divBdr>
    </w:div>
    <w:div w:id="1923636561">
      <w:bodyDiv w:val="1"/>
      <w:marLeft w:val="0"/>
      <w:marRight w:val="0"/>
      <w:marTop w:val="0"/>
      <w:marBottom w:val="0"/>
      <w:divBdr>
        <w:top w:val="none" w:sz="0" w:space="0" w:color="auto"/>
        <w:left w:val="none" w:sz="0" w:space="0" w:color="auto"/>
        <w:bottom w:val="none" w:sz="0" w:space="0" w:color="auto"/>
        <w:right w:val="none" w:sz="0" w:space="0" w:color="auto"/>
      </w:divBdr>
    </w:div>
    <w:div w:id="1924560093">
      <w:bodyDiv w:val="1"/>
      <w:marLeft w:val="0"/>
      <w:marRight w:val="0"/>
      <w:marTop w:val="0"/>
      <w:marBottom w:val="0"/>
      <w:divBdr>
        <w:top w:val="none" w:sz="0" w:space="0" w:color="auto"/>
        <w:left w:val="none" w:sz="0" w:space="0" w:color="auto"/>
        <w:bottom w:val="none" w:sz="0" w:space="0" w:color="auto"/>
        <w:right w:val="none" w:sz="0" w:space="0" w:color="auto"/>
      </w:divBdr>
    </w:div>
    <w:div w:id="1928615929">
      <w:bodyDiv w:val="1"/>
      <w:marLeft w:val="0"/>
      <w:marRight w:val="0"/>
      <w:marTop w:val="0"/>
      <w:marBottom w:val="0"/>
      <w:divBdr>
        <w:top w:val="none" w:sz="0" w:space="0" w:color="auto"/>
        <w:left w:val="none" w:sz="0" w:space="0" w:color="auto"/>
        <w:bottom w:val="none" w:sz="0" w:space="0" w:color="auto"/>
        <w:right w:val="none" w:sz="0" w:space="0" w:color="auto"/>
      </w:divBdr>
    </w:div>
    <w:div w:id="1931310998">
      <w:bodyDiv w:val="1"/>
      <w:marLeft w:val="0"/>
      <w:marRight w:val="0"/>
      <w:marTop w:val="0"/>
      <w:marBottom w:val="0"/>
      <w:divBdr>
        <w:top w:val="none" w:sz="0" w:space="0" w:color="auto"/>
        <w:left w:val="none" w:sz="0" w:space="0" w:color="auto"/>
        <w:bottom w:val="none" w:sz="0" w:space="0" w:color="auto"/>
        <w:right w:val="none" w:sz="0" w:space="0" w:color="auto"/>
      </w:divBdr>
    </w:div>
    <w:div w:id="1932540376">
      <w:bodyDiv w:val="1"/>
      <w:marLeft w:val="0"/>
      <w:marRight w:val="0"/>
      <w:marTop w:val="0"/>
      <w:marBottom w:val="0"/>
      <w:divBdr>
        <w:top w:val="none" w:sz="0" w:space="0" w:color="auto"/>
        <w:left w:val="none" w:sz="0" w:space="0" w:color="auto"/>
        <w:bottom w:val="none" w:sz="0" w:space="0" w:color="auto"/>
        <w:right w:val="none" w:sz="0" w:space="0" w:color="auto"/>
      </w:divBdr>
    </w:div>
    <w:div w:id="1937667735">
      <w:bodyDiv w:val="1"/>
      <w:marLeft w:val="0"/>
      <w:marRight w:val="0"/>
      <w:marTop w:val="0"/>
      <w:marBottom w:val="0"/>
      <w:divBdr>
        <w:top w:val="none" w:sz="0" w:space="0" w:color="auto"/>
        <w:left w:val="none" w:sz="0" w:space="0" w:color="auto"/>
        <w:bottom w:val="none" w:sz="0" w:space="0" w:color="auto"/>
        <w:right w:val="none" w:sz="0" w:space="0" w:color="auto"/>
      </w:divBdr>
      <w:divsChild>
        <w:div w:id="1824154928">
          <w:marLeft w:val="0"/>
          <w:marRight w:val="0"/>
          <w:marTop w:val="0"/>
          <w:marBottom w:val="0"/>
          <w:divBdr>
            <w:top w:val="none" w:sz="0" w:space="0" w:color="auto"/>
            <w:left w:val="none" w:sz="0" w:space="0" w:color="auto"/>
            <w:bottom w:val="none" w:sz="0" w:space="0" w:color="auto"/>
            <w:right w:val="none" w:sz="0" w:space="0" w:color="auto"/>
          </w:divBdr>
        </w:div>
        <w:div w:id="463429887">
          <w:marLeft w:val="0"/>
          <w:marRight w:val="0"/>
          <w:marTop w:val="0"/>
          <w:marBottom w:val="0"/>
          <w:divBdr>
            <w:top w:val="none" w:sz="0" w:space="0" w:color="auto"/>
            <w:left w:val="none" w:sz="0" w:space="0" w:color="auto"/>
            <w:bottom w:val="none" w:sz="0" w:space="0" w:color="auto"/>
            <w:right w:val="none" w:sz="0" w:space="0" w:color="auto"/>
          </w:divBdr>
        </w:div>
        <w:div w:id="1124467978">
          <w:marLeft w:val="0"/>
          <w:marRight w:val="0"/>
          <w:marTop w:val="0"/>
          <w:marBottom w:val="0"/>
          <w:divBdr>
            <w:top w:val="none" w:sz="0" w:space="0" w:color="auto"/>
            <w:left w:val="none" w:sz="0" w:space="0" w:color="auto"/>
            <w:bottom w:val="none" w:sz="0" w:space="0" w:color="auto"/>
            <w:right w:val="none" w:sz="0" w:space="0" w:color="auto"/>
          </w:divBdr>
        </w:div>
        <w:div w:id="1246499931">
          <w:marLeft w:val="0"/>
          <w:marRight w:val="0"/>
          <w:marTop w:val="0"/>
          <w:marBottom w:val="0"/>
          <w:divBdr>
            <w:top w:val="none" w:sz="0" w:space="0" w:color="auto"/>
            <w:left w:val="none" w:sz="0" w:space="0" w:color="auto"/>
            <w:bottom w:val="none" w:sz="0" w:space="0" w:color="auto"/>
            <w:right w:val="none" w:sz="0" w:space="0" w:color="auto"/>
          </w:divBdr>
        </w:div>
      </w:divsChild>
    </w:div>
    <w:div w:id="1938446547">
      <w:bodyDiv w:val="1"/>
      <w:marLeft w:val="0"/>
      <w:marRight w:val="0"/>
      <w:marTop w:val="0"/>
      <w:marBottom w:val="0"/>
      <w:divBdr>
        <w:top w:val="none" w:sz="0" w:space="0" w:color="auto"/>
        <w:left w:val="none" w:sz="0" w:space="0" w:color="auto"/>
        <w:bottom w:val="none" w:sz="0" w:space="0" w:color="auto"/>
        <w:right w:val="none" w:sz="0" w:space="0" w:color="auto"/>
      </w:divBdr>
    </w:div>
    <w:div w:id="1940792704">
      <w:bodyDiv w:val="1"/>
      <w:marLeft w:val="0"/>
      <w:marRight w:val="0"/>
      <w:marTop w:val="0"/>
      <w:marBottom w:val="0"/>
      <w:divBdr>
        <w:top w:val="none" w:sz="0" w:space="0" w:color="auto"/>
        <w:left w:val="none" w:sz="0" w:space="0" w:color="auto"/>
        <w:bottom w:val="none" w:sz="0" w:space="0" w:color="auto"/>
        <w:right w:val="none" w:sz="0" w:space="0" w:color="auto"/>
      </w:divBdr>
    </w:div>
    <w:div w:id="1946838147">
      <w:bodyDiv w:val="1"/>
      <w:marLeft w:val="0"/>
      <w:marRight w:val="0"/>
      <w:marTop w:val="0"/>
      <w:marBottom w:val="0"/>
      <w:divBdr>
        <w:top w:val="none" w:sz="0" w:space="0" w:color="auto"/>
        <w:left w:val="none" w:sz="0" w:space="0" w:color="auto"/>
        <w:bottom w:val="none" w:sz="0" w:space="0" w:color="auto"/>
        <w:right w:val="none" w:sz="0" w:space="0" w:color="auto"/>
      </w:divBdr>
    </w:div>
    <w:div w:id="1953129212">
      <w:bodyDiv w:val="1"/>
      <w:marLeft w:val="0"/>
      <w:marRight w:val="0"/>
      <w:marTop w:val="0"/>
      <w:marBottom w:val="0"/>
      <w:divBdr>
        <w:top w:val="none" w:sz="0" w:space="0" w:color="auto"/>
        <w:left w:val="none" w:sz="0" w:space="0" w:color="auto"/>
        <w:bottom w:val="none" w:sz="0" w:space="0" w:color="auto"/>
        <w:right w:val="none" w:sz="0" w:space="0" w:color="auto"/>
      </w:divBdr>
    </w:div>
    <w:div w:id="1954633277">
      <w:bodyDiv w:val="1"/>
      <w:marLeft w:val="0"/>
      <w:marRight w:val="0"/>
      <w:marTop w:val="0"/>
      <w:marBottom w:val="0"/>
      <w:divBdr>
        <w:top w:val="none" w:sz="0" w:space="0" w:color="auto"/>
        <w:left w:val="none" w:sz="0" w:space="0" w:color="auto"/>
        <w:bottom w:val="none" w:sz="0" w:space="0" w:color="auto"/>
        <w:right w:val="none" w:sz="0" w:space="0" w:color="auto"/>
      </w:divBdr>
    </w:div>
    <w:div w:id="1955092951">
      <w:bodyDiv w:val="1"/>
      <w:marLeft w:val="0"/>
      <w:marRight w:val="0"/>
      <w:marTop w:val="0"/>
      <w:marBottom w:val="0"/>
      <w:divBdr>
        <w:top w:val="none" w:sz="0" w:space="0" w:color="auto"/>
        <w:left w:val="none" w:sz="0" w:space="0" w:color="auto"/>
        <w:bottom w:val="none" w:sz="0" w:space="0" w:color="auto"/>
        <w:right w:val="none" w:sz="0" w:space="0" w:color="auto"/>
      </w:divBdr>
    </w:div>
    <w:div w:id="1967151407">
      <w:bodyDiv w:val="1"/>
      <w:marLeft w:val="0"/>
      <w:marRight w:val="0"/>
      <w:marTop w:val="0"/>
      <w:marBottom w:val="0"/>
      <w:divBdr>
        <w:top w:val="none" w:sz="0" w:space="0" w:color="auto"/>
        <w:left w:val="none" w:sz="0" w:space="0" w:color="auto"/>
        <w:bottom w:val="none" w:sz="0" w:space="0" w:color="auto"/>
        <w:right w:val="none" w:sz="0" w:space="0" w:color="auto"/>
      </w:divBdr>
    </w:div>
    <w:div w:id="1967881513">
      <w:bodyDiv w:val="1"/>
      <w:marLeft w:val="0"/>
      <w:marRight w:val="0"/>
      <w:marTop w:val="0"/>
      <w:marBottom w:val="0"/>
      <w:divBdr>
        <w:top w:val="none" w:sz="0" w:space="0" w:color="auto"/>
        <w:left w:val="none" w:sz="0" w:space="0" w:color="auto"/>
        <w:bottom w:val="none" w:sz="0" w:space="0" w:color="auto"/>
        <w:right w:val="none" w:sz="0" w:space="0" w:color="auto"/>
      </w:divBdr>
    </w:div>
    <w:div w:id="1975023613">
      <w:bodyDiv w:val="1"/>
      <w:marLeft w:val="0"/>
      <w:marRight w:val="0"/>
      <w:marTop w:val="0"/>
      <w:marBottom w:val="0"/>
      <w:divBdr>
        <w:top w:val="none" w:sz="0" w:space="0" w:color="auto"/>
        <w:left w:val="none" w:sz="0" w:space="0" w:color="auto"/>
        <w:bottom w:val="none" w:sz="0" w:space="0" w:color="auto"/>
        <w:right w:val="none" w:sz="0" w:space="0" w:color="auto"/>
      </w:divBdr>
    </w:div>
    <w:div w:id="1975062533">
      <w:bodyDiv w:val="1"/>
      <w:marLeft w:val="0"/>
      <w:marRight w:val="0"/>
      <w:marTop w:val="0"/>
      <w:marBottom w:val="0"/>
      <w:divBdr>
        <w:top w:val="none" w:sz="0" w:space="0" w:color="auto"/>
        <w:left w:val="none" w:sz="0" w:space="0" w:color="auto"/>
        <w:bottom w:val="none" w:sz="0" w:space="0" w:color="auto"/>
        <w:right w:val="none" w:sz="0" w:space="0" w:color="auto"/>
      </w:divBdr>
    </w:div>
    <w:div w:id="1977223380">
      <w:bodyDiv w:val="1"/>
      <w:marLeft w:val="0"/>
      <w:marRight w:val="0"/>
      <w:marTop w:val="0"/>
      <w:marBottom w:val="0"/>
      <w:divBdr>
        <w:top w:val="none" w:sz="0" w:space="0" w:color="auto"/>
        <w:left w:val="none" w:sz="0" w:space="0" w:color="auto"/>
        <w:bottom w:val="none" w:sz="0" w:space="0" w:color="auto"/>
        <w:right w:val="none" w:sz="0" w:space="0" w:color="auto"/>
      </w:divBdr>
    </w:div>
    <w:div w:id="1977372326">
      <w:bodyDiv w:val="1"/>
      <w:marLeft w:val="0"/>
      <w:marRight w:val="0"/>
      <w:marTop w:val="0"/>
      <w:marBottom w:val="0"/>
      <w:divBdr>
        <w:top w:val="none" w:sz="0" w:space="0" w:color="auto"/>
        <w:left w:val="none" w:sz="0" w:space="0" w:color="auto"/>
        <w:bottom w:val="none" w:sz="0" w:space="0" w:color="auto"/>
        <w:right w:val="none" w:sz="0" w:space="0" w:color="auto"/>
      </w:divBdr>
    </w:div>
    <w:div w:id="1980064102">
      <w:bodyDiv w:val="1"/>
      <w:marLeft w:val="0"/>
      <w:marRight w:val="0"/>
      <w:marTop w:val="0"/>
      <w:marBottom w:val="0"/>
      <w:divBdr>
        <w:top w:val="none" w:sz="0" w:space="0" w:color="auto"/>
        <w:left w:val="none" w:sz="0" w:space="0" w:color="auto"/>
        <w:bottom w:val="none" w:sz="0" w:space="0" w:color="auto"/>
        <w:right w:val="none" w:sz="0" w:space="0" w:color="auto"/>
      </w:divBdr>
    </w:div>
    <w:div w:id="1980453437">
      <w:bodyDiv w:val="1"/>
      <w:marLeft w:val="0"/>
      <w:marRight w:val="0"/>
      <w:marTop w:val="0"/>
      <w:marBottom w:val="0"/>
      <w:divBdr>
        <w:top w:val="none" w:sz="0" w:space="0" w:color="auto"/>
        <w:left w:val="none" w:sz="0" w:space="0" w:color="auto"/>
        <w:bottom w:val="none" w:sz="0" w:space="0" w:color="auto"/>
        <w:right w:val="none" w:sz="0" w:space="0" w:color="auto"/>
      </w:divBdr>
    </w:div>
    <w:div w:id="1982808530">
      <w:bodyDiv w:val="1"/>
      <w:marLeft w:val="0"/>
      <w:marRight w:val="0"/>
      <w:marTop w:val="0"/>
      <w:marBottom w:val="0"/>
      <w:divBdr>
        <w:top w:val="none" w:sz="0" w:space="0" w:color="auto"/>
        <w:left w:val="none" w:sz="0" w:space="0" w:color="auto"/>
        <w:bottom w:val="none" w:sz="0" w:space="0" w:color="auto"/>
        <w:right w:val="none" w:sz="0" w:space="0" w:color="auto"/>
      </w:divBdr>
    </w:div>
    <w:div w:id="1984768612">
      <w:bodyDiv w:val="1"/>
      <w:marLeft w:val="0"/>
      <w:marRight w:val="0"/>
      <w:marTop w:val="0"/>
      <w:marBottom w:val="0"/>
      <w:divBdr>
        <w:top w:val="none" w:sz="0" w:space="0" w:color="auto"/>
        <w:left w:val="none" w:sz="0" w:space="0" w:color="auto"/>
        <w:bottom w:val="none" w:sz="0" w:space="0" w:color="auto"/>
        <w:right w:val="none" w:sz="0" w:space="0" w:color="auto"/>
      </w:divBdr>
    </w:div>
    <w:div w:id="1987279935">
      <w:bodyDiv w:val="1"/>
      <w:marLeft w:val="0"/>
      <w:marRight w:val="0"/>
      <w:marTop w:val="0"/>
      <w:marBottom w:val="0"/>
      <w:divBdr>
        <w:top w:val="none" w:sz="0" w:space="0" w:color="auto"/>
        <w:left w:val="none" w:sz="0" w:space="0" w:color="auto"/>
        <w:bottom w:val="none" w:sz="0" w:space="0" w:color="auto"/>
        <w:right w:val="none" w:sz="0" w:space="0" w:color="auto"/>
      </w:divBdr>
    </w:div>
    <w:div w:id="1989630762">
      <w:bodyDiv w:val="1"/>
      <w:marLeft w:val="0"/>
      <w:marRight w:val="0"/>
      <w:marTop w:val="0"/>
      <w:marBottom w:val="0"/>
      <w:divBdr>
        <w:top w:val="none" w:sz="0" w:space="0" w:color="auto"/>
        <w:left w:val="none" w:sz="0" w:space="0" w:color="auto"/>
        <w:bottom w:val="none" w:sz="0" w:space="0" w:color="auto"/>
        <w:right w:val="none" w:sz="0" w:space="0" w:color="auto"/>
      </w:divBdr>
    </w:div>
    <w:div w:id="1993605363">
      <w:bodyDiv w:val="1"/>
      <w:marLeft w:val="0"/>
      <w:marRight w:val="0"/>
      <w:marTop w:val="0"/>
      <w:marBottom w:val="0"/>
      <w:divBdr>
        <w:top w:val="none" w:sz="0" w:space="0" w:color="auto"/>
        <w:left w:val="none" w:sz="0" w:space="0" w:color="auto"/>
        <w:bottom w:val="none" w:sz="0" w:space="0" w:color="auto"/>
        <w:right w:val="none" w:sz="0" w:space="0" w:color="auto"/>
      </w:divBdr>
    </w:div>
    <w:div w:id="2001039970">
      <w:bodyDiv w:val="1"/>
      <w:marLeft w:val="0"/>
      <w:marRight w:val="0"/>
      <w:marTop w:val="0"/>
      <w:marBottom w:val="0"/>
      <w:divBdr>
        <w:top w:val="none" w:sz="0" w:space="0" w:color="auto"/>
        <w:left w:val="none" w:sz="0" w:space="0" w:color="auto"/>
        <w:bottom w:val="none" w:sz="0" w:space="0" w:color="auto"/>
        <w:right w:val="none" w:sz="0" w:space="0" w:color="auto"/>
      </w:divBdr>
    </w:div>
    <w:div w:id="2002387639">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 w:id="2008440578">
      <w:bodyDiv w:val="1"/>
      <w:marLeft w:val="0"/>
      <w:marRight w:val="0"/>
      <w:marTop w:val="0"/>
      <w:marBottom w:val="0"/>
      <w:divBdr>
        <w:top w:val="none" w:sz="0" w:space="0" w:color="auto"/>
        <w:left w:val="none" w:sz="0" w:space="0" w:color="auto"/>
        <w:bottom w:val="none" w:sz="0" w:space="0" w:color="auto"/>
        <w:right w:val="none" w:sz="0" w:space="0" w:color="auto"/>
      </w:divBdr>
    </w:div>
    <w:div w:id="2009944376">
      <w:bodyDiv w:val="1"/>
      <w:marLeft w:val="0"/>
      <w:marRight w:val="0"/>
      <w:marTop w:val="0"/>
      <w:marBottom w:val="0"/>
      <w:divBdr>
        <w:top w:val="none" w:sz="0" w:space="0" w:color="auto"/>
        <w:left w:val="none" w:sz="0" w:space="0" w:color="auto"/>
        <w:bottom w:val="none" w:sz="0" w:space="0" w:color="auto"/>
        <w:right w:val="none" w:sz="0" w:space="0" w:color="auto"/>
      </w:divBdr>
    </w:div>
    <w:div w:id="2020111352">
      <w:bodyDiv w:val="1"/>
      <w:marLeft w:val="0"/>
      <w:marRight w:val="0"/>
      <w:marTop w:val="0"/>
      <w:marBottom w:val="0"/>
      <w:divBdr>
        <w:top w:val="none" w:sz="0" w:space="0" w:color="auto"/>
        <w:left w:val="none" w:sz="0" w:space="0" w:color="auto"/>
        <w:bottom w:val="none" w:sz="0" w:space="0" w:color="auto"/>
        <w:right w:val="none" w:sz="0" w:space="0" w:color="auto"/>
      </w:divBdr>
    </w:div>
    <w:div w:id="2029987711">
      <w:bodyDiv w:val="1"/>
      <w:marLeft w:val="0"/>
      <w:marRight w:val="0"/>
      <w:marTop w:val="0"/>
      <w:marBottom w:val="0"/>
      <w:divBdr>
        <w:top w:val="none" w:sz="0" w:space="0" w:color="auto"/>
        <w:left w:val="none" w:sz="0" w:space="0" w:color="auto"/>
        <w:bottom w:val="none" w:sz="0" w:space="0" w:color="auto"/>
        <w:right w:val="none" w:sz="0" w:space="0" w:color="auto"/>
      </w:divBdr>
    </w:div>
    <w:div w:id="2038191312">
      <w:bodyDiv w:val="1"/>
      <w:marLeft w:val="0"/>
      <w:marRight w:val="0"/>
      <w:marTop w:val="0"/>
      <w:marBottom w:val="0"/>
      <w:divBdr>
        <w:top w:val="none" w:sz="0" w:space="0" w:color="auto"/>
        <w:left w:val="none" w:sz="0" w:space="0" w:color="auto"/>
        <w:bottom w:val="none" w:sz="0" w:space="0" w:color="auto"/>
        <w:right w:val="none" w:sz="0" w:space="0" w:color="auto"/>
      </w:divBdr>
    </w:div>
    <w:div w:id="2043968991">
      <w:bodyDiv w:val="1"/>
      <w:marLeft w:val="0"/>
      <w:marRight w:val="0"/>
      <w:marTop w:val="0"/>
      <w:marBottom w:val="0"/>
      <w:divBdr>
        <w:top w:val="none" w:sz="0" w:space="0" w:color="auto"/>
        <w:left w:val="none" w:sz="0" w:space="0" w:color="auto"/>
        <w:bottom w:val="none" w:sz="0" w:space="0" w:color="auto"/>
        <w:right w:val="none" w:sz="0" w:space="0" w:color="auto"/>
      </w:divBdr>
    </w:div>
    <w:div w:id="2055501116">
      <w:bodyDiv w:val="1"/>
      <w:marLeft w:val="0"/>
      <w:marRight w:val="0"/>
      <w:marTop w:val="0"/>
      <w:marBottom w:val="0"/>
      <w:divBdr>
        <w:top w:val="none" w:sz="0" w:space="0" w:color="auto"/>
        <w:left w:val="none" w:sz="0" w:space="0" w:color="auto"/>
        <w:bottom w:val="none" w:sz="0" w:space="0" w:color="auto"/>
        <w:right w:val="none" w:sz="0" w:space="0" w:color="auto"/>
      </w:divBdr>
    </w:div>
    <w:div w:id="2056464209">
      <w:bodyDiv w:val="1"/>
      <w:marLeft w:val="0"/>
      <w:marRight w:val="0"/>
      <w:marTop w:val="0"/>
      <w:marBottom w:val="0"/>
      <w:divBdr>
        <w:top w:val="none" w:sz="0" w:space="0" w:color="auto"/>
        <w:left w:val="none" w:sz="0" w:space="0" w:color="auto"/>
        <w:bottom w:val="none" w:sz="0" w:space="0" w:color="auto"/>
        <w:right w:val="none" w:sz="0" w:space="0" w:color="auto"/>
      </w:divBdr>
    </w:div>
    <w:div w:id="2057463239">
      <w:bodyDiv w:val="1"/>
      <w:marLeft w:val="0"/>
      <w:marRight w:val="0"/>
      <w:marTop w:val="0"/>
      <w:marBottom w:val="0"/>
      <w:divBdr>
        <w:top w:val="none" w:sz="0" w:space="0" w:color="auto"/>
        <w:left w:val="none" w:sz="0" w:space="0" w:color="auto"/>
        <w:bottom w:val="none" w:sz="0" w:space="0" w:color="auto"/>
        <w:right w:val="none" w:sz="0" w:space="0" w:color="auto"/>
      </w:divBdr>
    </w:div>
    <w:div w:id="2057507037">
      <w:bodyDiv w:val="1"/>
      <w:marLeft w:val="0"/>
      <w:marRight w:val="0"/>
      <w:marTop w:val="0"/>
      <w:marBottom w:val="0"/>
      <w:divBdr>
        <w:top w:val="none" w:sz="0" w:space="0" w:color="auto"/>
        <w:left w:val="none" w:sz="0" w:space="0" w:color="auto"/>
        <w:bottom w:val="none" w:sz="0" w:space="0" w:color="auto"/>
        <w:right w:val="none" w:sz="0" w:space="0" w:color="auto"/>
      </w:divBdr>
    </w:div>
    <w:div w:id="2074696975">
      <w:bodyDiv w:val="1"/>
      <w:marLeft w:val="0"/>
      <w:marRight w:val="0"/>
      <w:marTop w:val="0"/>
      <w:marBottom w:val="0"/>
      <w:divBdr>
        <w:top w:val="none" w:sz="0" w:space="0" w:color="auto"/>
        <w:left w:val="none" w:sz="0" w:space="0" w:color="auto"/>
        <w:bottom w:val="none" w:sz="0" w:space="0" w:color="auto"/>
        <w:right w:val="none" w:sz="0" w:space="0" w:color="auto"/>
      </w:divBdr>
    </w:div>
    <w:div w:id="2077438068">
      <w:bodyDiv w:val="1"/>
      <w:marLeft w:val="0"/>
      <w:marRight w:val="0"/>
      <w:marTop w:val="0"/>
      <w:marBottom w:val="0"/>
      <w:divBdr>
        <w:top w:val="none" w:sz="0" w:space="0" w:color="auto"/>
        <w:left w:val="none" w:sz="0" w:space="0" w:color="auto"/>
        <w:bottom w:val="none" w:sz="0" w:space="0" w:color="auto"/>
        <w:right w:val="none" w:sz="0" w:space="0" w:color="auto"/>
      </w:divBdr>
    </w:div>
    <w:div w:id="2081904530">
      <w:bodyDiv w:val="1"/>
      <w:marLeft w:val="0"/>
      <w:marRight w:val="0"/>
      <w:marTop w:val="0"/>
      <w:marBottom w:val="0"/>
      <w:divBdr>
        <w:top w:val="none" w:sz="0" w:space="0" w:color="auto"/>
        <w:left w:val="none" w:sz="0" w:space="0" w:color="auto"/>
        <w:bottom w:val="none" w:sz="0" w:space="0" w:color="auto"/>
        <w:right w:val="none" w:sz="0" w:space="0" w:color="auto"/>
      </w:divBdr>
    </w:div>
    <w:div w:id="2085182847">
      <w:bodyDiv w:val="1"/>
      <w:marLeft w:val="0"/>
      <w:marRight w:val="0"/>
      <w:marTop w:val="0"/>
      <w:marBottom w:val="0"/>
      <w:divBdr>
        <w:top w:val="none" w:sz="0" w:space="0" w:color="auto"/>
        <w:left w:val="none" w:sz="0" w:space="0" w:color="auto"/>
        <w:bottom w:val="none" w:sz="0" w:space="0" w:color="auto"/>
        <w:right w:val="none" w:sz="0" w:space="0" w:color="auto"/>
      </w:divBdr>
    </w:div>
    <w:div w:id="2091389216">
      <w:bodyDiv w:val="1"/>
      <w:marLeft w:val="0"/>
      <w:marRight w:val="0"/>
      <w:marTop w:val="0"/>
      <w:marBottom w:val="0"/>
      <w:divBdr>
        <w:top w:val="none" w:sz="0" w:space="0" w:color="auto"/>
        <w:left w:val="none" w:sz="0" w:space="0" w:color="auto"/>
        <w:bottom w:val="none" w:sz="0" w:space="0" w:color="auto"/>
        <w:right w:val="none" w:sz="0" w:space="0" w:color="auto"/>
      </w:divBdr>
    </w:div>
    <w:div w:id="2092923231">
      <w:bodyDiv w:val="1"/>
      <w:marLeft w:val="0"/>
      <w:marRight w:val="0"/>
      <w:marTop w:val="0"/>
      <w:marBottom w:val="0"/>
      <w:divBdr>
        <w:top w:val="none" w:sz="0" w:space="0" w:color="auto"/>
        <w:left w:val="none" w:sz="0" w:space="0" w:color="auto"/>
        <w:bottom w:val="none" w:sz="0" w:space="0" w:color="auto"/>
        <w:right w:val="none" w:sz="0" w:space="0" w:color="auto"/>
      </w:divBdr>
    </w:div>
    <w:div w:id="2093619701">
      <w:bodyDiv w:val="1"/>
      <w:marLeft w:val="0"/>
      <w:marRight w:val="0"/>
      <w:marTop w:val="0"/>
      <w:marBottom w:val="0"/>
      <w:divBdr>
        <w:top w:val="none" w:sz="0" w:space="0" w:color="auto"/>
        <w:left w:val="none" w:sz="0" w:space="0" w:color="auto"/>
        <w:bottom w:val="none" w:sz="0" w:space="0" w:color="auto"/>
        <w:right w:val="none" w:sz="0" w:space="0" w:color="auto"/>
      </w:divBdr>
    </w:div>
    <w:div w:id="2097704164">
      <w:bodyDiv w:val="1"/>
      <w:marLeft w:val="0"/>
      <w:marRight w:val="0"/>
      <w:marTop w:val="0"/>
      <w:marBottom w:val="0"/>
      <w:divBdr>
        <w:top w:val="none" w:sz="0" w:space="0" w:color="auto"/>
        <w:left w:val="none" w:sz="0" w:space="0" w:color="auto"/>
        <w:bottom w:val="none" w:sz="0" w:space="0" w:color="auto"/>
        <w:right w:val="none" w:sz="0" w:space="0" w:color="auto"/>
      </w:divBdr>
    </w:div>
    <w:div w:id="2109544937">
      <w:bodyDiv w:val="1"/>
      <w:marLeft w:val="0"/>
      <w:marRight w:val="0"/>
      <w:marTop w:val="0"/>
      <w:marBottom w:val="0"/>
      <w:divBdr>
        <w:top w:val="none" w:sz="0" w:space="0" w:color="auto"/>
        <w:left w:val="none" w:sz="0" w:space="0" w:color="auto"/>
        <w:bottom w:val="none" w:sz="0" w:space="0" w:color="auto"/>
        <w:right w:val="none" w:sz="0" w:space="0" w:color="auto"/>
      </w:divBdr>
    </w:div>
    <w:div w:id="2113091433">
      <w:bodyDiv w:val="1"/>
      <w:marLeft w:val="0"/>
      <w:marRight w:val="0"/>
      <w:marTop w:val="0"/>
      <w:marBottom w:val="0"/>
      <w:divBdr>
        <w:top w:val="none" w:sz="0" w:space="0" w:color="auto"/>
        <w:left w:val="none" w:sz="0" w:space="0" w:color="auto"/>
        <w:bottom w:val="none" w:sz="0" w:space="0" w:color="auto"/>
        <w:right w:val="none" w:sz="0" w:space="0" w:color="auto"/>
      </w:divBdr>
    </w:div>
    <w:div w:id="2115322589">
      <w:bodyDiv w:val="1"/>
      <w:marLeft w:val="0"/>
      <w:marRight w:val="0"/>
      <w:marTop w:val="0"/>
      <w:marBottom w:val="0"/>
      <w:divBdr>
        <w:top w:val="none" w:sz="0" w:space="0" w:color="auto"/>
        <w:left w:val="none" w:sz="0" w:space="0" w:color="auto"/>
        <w:bottom w:val="none" w:sz="0" w:space="0" w:color="auto"/>
        <w:right w:val="none" w:sz="0" w:space="0" w:color="auto"/>
      </w:divBdr>
    </w:div>
    <w:div w:id="2117092658">
      <w:bodyDiv w:val="1"/>
      <w:marLeft w:val="0"/>
      <w:marRight w:val="0"/>
      <w:marTop w:val="0"/>
      <w:marBottom w:val="0"/>
      <w:divBdr>
        <w:top w:val="none" w:sz="0" w:space="0" w:color="auto"/>
        <w:left w:val="none" w:sz="0" w:space="0" w:color="auto"/>
        <w:bottom w:val="none" w:sz="0" w:space="0" w:color="auto"/>
        <w:right w:val="none" w:sz="0" w:space="0" w:color="auto"/>
      </w:divBdr>
    </w:div>
    <w:div w:id="2118942117">
      <w:bodyDiv w:val="1"/>
      <w:marLeft w:val="0"/>
      <w:marRight w:val="0"/>
      <w:marTop w:val="0"/>
      <w:marBottom w:val="0"/>
      <w:divBdr>
        <w:top w:val="none" w:sz="0" w:space="0" w:color="auto"/>
        <w:left w:val="none" w:sz="0" w:space="0" w:color="auto"/>
        <w:bottom w:val="none" w:sz="0" w:space="0" w:color="auto"/>
        <w:right w:val="none" w:sz="0" w:space="0" w:color="auto"/>
      </w:divBdr>
    </w:div>
    <w:div w:id="2121560345">
      <w:bodyDiv w:val="1"/>
      <w:marLeft w:val="0"/>
      <w:marRight w:val="0"/>
      <w:marTop w:val="0"/>
      <w:marBottom w:val="0"/>
      <w:divBdr>
        <w:top w:val="none" w:sz="0" w:space="0" w:color="auto"/>
        <w:left w:val="none" w:sz="0" w:space="0" w:color="auto"/>
        <w:bottom w:val="none" w:sz="0" w:space="0" w:color="auto"/>
        <w:right w:val="none" w:sz="0" w:space="0" w:color="auto"/>
      </w:divBdr>
    </w:div>
    <w:div w:id="2128693479">
      <w:bodyDiv w:val="1"/>
      <w:marLeft w:val="0"/>
      <w:marRight w:val="0"/>
      <w:marTop w:val="0"/>
      <w:marBottom w:val="0"/>
      <w:divBdr>
        <w:top w:val="none" w:sz="0" w:space="0" w:color="auto"/>
        <w:left w:val="none" w:sz="0" w:space="0" w:color="auto"/>
        <w:bottom w:val="none" w:sz="0" w:space="0" w:color="auto"/>
        <w:right w:val="none" w:sz="0" w:space="0" w:color="auto"/>
      </w:divBdr>
    </w:div>
    <w:div w:id="2129003658">
      <w:bodyDiv w:val="1"/>
      <w:marLeft w:val="0"/>
      <w:marRight w:val="0"/>
      <w:marTop w:val="0"/>
      <w:marBottom w:val="0"/>
      <w:divBdr>
        <w:top w:val="none" w:sz="0" w:space="0" w:color="auto"/>
        <w:left w:val="none" w:sz="0" w:space="0" w:color="auto"/>
        <w:bottom w:val="none" w:sz="0" w:space="0" w:color="auto"/>
        <w:right w:val="none" w:sz="0" w:space="0" w:color="auto"/>
      </w:divBdr>
    </w:div>
    <w:div w:id="2130737758">
      <w:bodyDiv w:val="1"/>
      <w:marLeft w:val="0"/>
      <w:marRight w:val="0"/>
      <w:marTop w:val="0"/>
      <w:marBottom w:val="0"/>
      <w:divBdr>
        <w:top w:val="none" w:sz="0" w:space="0" w:color="auto"/>
        <w:left w:val="none" w:sz="0" w:space="0" w:color="auto"/>
        <w:bottom w:val="none" w:sz="0" w:space="0" w:color="auto"/>
        <w:right w:val="none" w:sz="0" w:space="0" w:color="auto"/>
      </w:divBdr>
    </w:div>
    <w:div w:id="2133865660">
      <w:bodyDiv w:val="1"/>
      <w:marLeft w:val="0"/>
      <w:marRight w:val="0"/>
      <w:marTop w:val="0"/>
      <w:marBottom w:val="0"/>
      <w:divBdr>
        <w:top w:val="none" w:sz="0" w:space="0" w:color="auto"/>
        <w:left w:val="none" w:sz="0" w:space="0" w:color="auto"/>
        <w:bottom w:val="none" w:sz="0" w:space="0" w:color="auto"/>
        <w:right w:val="none" w:sz="0" w:space="0" w:color="auto"/>
      </w:divBdr>
    </w:div>
    <w:div w:id="2137676676">
      <w:bodyDiv w:val="1"/>
      <w:marLeft w:val="0"/>
      <w:marRight w:val="0"/>
      <w:marTop w:val="0"/>
      <w:marBottom w:val="0"/>
      <w:divBdr>
        <w:top w:val="none" w:sz="0" w:space="0" w:color="auto"/>
        <w:left w:val="none" w:sz="0" w:space="0" w:color="auto"/>
        <w:bottom w:val="none" w:sz="0" w:space="0" w:color="auto"/>
        <w:right w:val="none" w:sz="0" w:space="0" w:color="auto"/>
      </w:divBdr>
    </w:div>
    <w:div w:id="2141607216">
      <w:bodyDiv w:val="1"/>
      <w:marLeft w:val="0"/>
      <w:marRight w:val="0"/>
      <w:marTop w:val="0"/>
      <w:marBottom w:val="0"/>
      <w:divBdr>
        <w:top w:val="none" w:sz="0" w:space="0" w:color="auto"/>
        <w:left w:val="none" w:sz="0" w:space="0" w:color="auto"/>
        <w:bottom w:val="none" w:sz="0" w:space="0" w:color="auto"/>
        <w:right w:val="none" w:sz="0" w:space="0" w:color="auto"/>
      </w:divBdr>
    </w:div>
    <w:div w:id="2144230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ovic.vic.gov.au/freedom-of-information/foi-guidelines/section-21/" TargetMode="External"/><Relationship Id="rId26" Type="http://schemas.openxmlformats.org/officeDocument/2006/relationships/hyperlink" Target="https://ovic.vic.gov.au/freedom-of-information/foi-guidelines/section-33/" TargetMode="External"/><Relationship Id="rId39" Type="http://schemas.openxmlformats.org/officeDocument/2006/relationships/hyperlink" Target="http://www.austlii.edu.au/cgi-bin/viewdoc/au/cases/vic/VCAT/2019/201.html" TargetMode="External"/><Relationship Id="rId21" Type="http://schemas.openxmlformats.org/officeDocument/2006/relationships/hyperlink" Target="http://www.austlii.edu.au/cgi-bin/viewdoc/au/cases/vic/VCAT/2002/369.html" TargetMode="External"/><Relationship Id="rId34" Type="http://schemas.openxmlformats.org/officeDocument/2006/relationships/hyperlink" Target="http://www.austlii.edu.au/cgi-bin/viewdoc/au/cases/vic/VCAT/2008/168.html" TargetMode="External"/><Relationship Id="rId42" Type="http://schemas.openxmlformats.org/officeDocument/2006/relationships/hyperlink" Target="https://www.legislation.vic.gov.au/in-force/acts/victorian-civil-and-administrative-tribunal-act-1998/135"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vic.vic.gov.au/freedom-of-information/foi-guidelines/section-16/" TargetMode="External"/><Relationship Id="rId29" Type="http://schemas.openxmlformats.org/officeDocument/2006/relationships/hyperlink" Target="https://ovic.vic.gov.au/freedom-of-information/foi-guidelines/section-49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vic.vic.gov.au/freedom-of-information/foi-guidelines/section-33/" TargetMode="External"/><Relationship Id="rId32" Type="http://schemas.openxmlformats.org/officeDocument/2006/relationships/hyperlink" Target="http://www.austlii.edu.au/cgi-bin/viewdoc/au/cases/vic/VCAT/2013/1967.html" TargetMode="External"/><Relationship Id="rId37" Type="http://schemas.openxmlformats.org/officeDocument/2006/relationships/hyperlink" Target="http://www.austlii.edu.au/cgi-bin/viewdoc/au/cases/vic/VCAT/2003/45.html" TargetMode="External"/><Relationship Id="rId40" Type="http://schemas.openxmlformats.org/officeDocument/2006/relationships/hyperlink" Target="http://www.austlii.edu.au/cgi-bin/viewdoc/au/cases/vic/VCAT/2021/238.html" TargetMode="External"/><Relationship Id="rId45" Type="http://schemas.openxmlformats.org/officeDocument/2006/relationships/hyperlink" Target="https://ovic.vic.gov.au/freedom-of-information/foi-guidelines/section-35/" TargetMode="External"/><Relationship Id="rId5" Type="http://schemas.openxmlformats.org/officeDocument/2006/relationships/webSettings" Target="webSettings.xml"/><Relationship Id="rId15" Type="http://schemas.openxmlformats.org/officeDocument/2006/relationships/hyperlink" Target="https://ovic.vic.gov.au/freedom-of-information/foi-guidelines/section-5/" TargetMode="External"/><Relationship Id="rId23" Type="http://schemas.openxmlformats.org/officeDocument/2006/relationships/hyperlink" Target="https://ovic.vic.gov.au/freedom-of-information/foi-guidelines/section-21/" TargetMode="External"/><Relationship Id="rId28" Type="http://schemas.openxmlformats.org/officeDocument/2006/relationships/hyperlink" Target="https://ovic.vic.gov.au/freedom-of-information/foi-guidelines/section-50/" TargetMode="External"/><Relationship Id="rId36" Type="http://schemas.openxmlformats.org/officeDocument/2006/relationships/hyperlink" Target="http://www.austlii.edu.au/cgi-bin/viewdoc/au/cases/vic/VCAT/2004/1657.html" TargetMode="External"/><Relationship Id="rId10" Type="http://schemas.openxmlformats.org/officeDocument/2006/relationships/footer" Target="footer1.xml"/><Relationship Id="rId19" Type="http://schemas.openxmlformats.org/officeDocument/2006/relationships/hyperlink" Target="http://www.austlii.edu.au/cgi-bin/viewdoc/au/cases/vic/VCAT/2010/483.html" TargetMode="External"/><Relationship Id="rId31" Type="http://schemas.openxmlformats.org/officeDocument/2006/relationships/hyperlink" Target="https://ovic.vic.gov.au/freedom-of-information/foi-guidelines/section-16/" TargetMode="External"/><Relationship Id="rId44" Type="http://schemas.openxmlformats.org/officeDocument/2006/relationships/hyperlink" Target="https://www.ipaustralia.gov.au/patents/what-are-paten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vic.vic.gov.au/freedom-of-information/foi-guidelines/section-3/" TargetMode="External"/><Relationship Id="rId22" Type="http://schemas.openxmlformats.org/officeDocument/2006/relationships/hyperlink" Target="http://www.austlii.edu.au/cgi-bin/viewdoc/au/cases/vic/VCAT/2003/45.html" TargetMode="External"/><Relationship Id="rId27" Type="http://schemas.openxmlformats.org/officeDocument/2006/relationships/hyperlink" Target="https://ovic.vic.gov.au/freedom-of-information/foi-guidelines/section-27/" TargetMode="External"/><Relationship Id="rId30" Type="http://schemas.openxmlformats.org/officeDocument/2006/relationships/hyperlink" Target="https://ovic.vic.gov.au/freedom-of-information/foi-guidelines/section-50/" TargetMode="External"/><Relationship Id="rId35" Type="http://schemas.openxmlformats.org/officeDocument/2006/relationships/hyperlink" Target="http://www.austlii.edu.au/cgi-bin/viewdoc/au/cases/vic/VCAT/2005/2083.html" TargetMode="External"/><Relationship Id="rId43" Type="http://schemas.openxmlformats.org/officeDocument/2006/relationships/hyperlink" Target="https://ovic.vic.gov.au/freedom-of-information/foi-guidelines/section-5/"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austlii.edu.au/cgi-bin/viewdoc/au/cases/vic/VCAT/2003/45.html" TargetMode="External"/><Relationship Id="rId25" Type="http://schemas.openxmlformats.org/officeDocument/2006/relationships/hyperlink" Target="https://ovic.vic.gov.au/book/professional-standards/" TargetMode="External"/><Relationship Id="rId33" Type="http://schemas.openxmlformats.org/officeDocument/2006/relationships/hyperlink" Target="http://www.austlii.edu.au/cgi-bin/viewdoc/au/cases/vic/VCAT/2022/721.html" TargetMode="External"/><Relationship Id="rId38" Type="http://schemas.openxmlformats.org/officeDocument/2006/relationships/hyperlink" Target="http://www.austlii.edu.au/cgi-bin/viewdoc/au/cases/vic/VCAT/2020/1078.html" TargetMode="External"/><Relationship Id="rId46" Type="http://schemas.openxmlformats.org/officeDocument/2006/relationships/fontTable" Target="fontTable.xml"/><Relationship Id="rId20" Type="http://schemas.openxmlformats.org/officeDocument/2006/relationships/hyperlink" Target="https://ovic.vic.gov.au/freedom-of-information/foi-guidelines/section-21/" TargetMode="External"/><Relationship Id="rId41" Type="http://schemas.openxmlformats.org/officeDocument/2006/relationships/hyperlink" Target="http://www.austlii.edu.au/cgi-bin/viewdoc/au/cases/vic/VCAT/2019/1860.htm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austlii.edu.au/cgi-bin/viewdoc/au/cases/vic/VCAT/2019/201.html" TargetMode="External"/><Relationship Id="rId21" Type="http://schemas.openxmlformats.org/officeDocument/2006/relationships/hyperlink" Target="http://www.austlii.edu.au/cgi-bin/viewdoc/au/cases/vic/VCAT/2003/45.html" TargetMode="External"/><Relationship Id="rId42" Type="http://schemas.openxmlformats.org/officeDocument/2006/relationships/hyperlink" Target="http://www.austlii.edu.au/cgi-bin/viewdoc/au/cases/vic/VCAT/2021/238.html" TargetMode="External"/><Relationship Id="rId47" Type="http://schemas.openxmlformats.org/officeDocument/2006/relationships/hyperlink" Target="https://ovic.vic.gov.au/decision/ez4-and-department-of-treasury-and-finance-freedom-of-information-2023-vicmr-4-7-february-2023/" TargetMode="External"/><Relationship Id="rId63" Type="http://schemas.openxmlformats.org/officeDocument/2006/relationships/hyperlink" Target="http://www.austlii.edu.au/cgi-bin/viewdoc/au/cases/vic/VCAT/2003/45.html" TargetMode="External"/><Relationship Id="rId68" Type="http://schemas.openxmlformats.org/officeDocument/2006/relationships/hyperlink" Target="http://www.austlii.edu.au/cgi-bin/viewdoc/au/cases/vic/VCAT/2008/1340.html" TargetMode="External"/><Relationship Id="rId84" Type="http://schemas.openxmlformats.org/officeDocument/2006/relationships/hyperlink" Target="https://ovic.vic.gov.au/decision/ap8-and-victorian-curriculum-and-assessment-authority-freedom-of-information-2019-vicmr-143-16-october-2019/" TargetMode="External"/><Relationship Id="rId16" Type="http://schemas.openxmlformats.org/officeDocument/2006/relationships/hyperlink" Target="http://www.austlii.edu.au/cgi-bin/viewdoc/au/cases/vic/VCAT/2008/1340.html" TargetMode="External"/><Relationship Id="rId11" Type="http://schemas.openxmlformats.org/officeDocument/2006/relationships/hyperlink" Target="http://www.austlii.edu.au/cgi-bin/viewdoc/au/cases/vic/VCAT/2003/45.html" TargetMode="External"/><Relationship Id="rId32" Type="http://schemas.openxmlformats.org/officeDocument/2006/relationships/hyperlink" Target="http://www.austlii.edu.au/cgi-bin/viewdoc/au/cases/vic/VCAT/2003/472.html" TargetMode="External"/><Relationship Id="rId37" Type="http://schemas.openxmlformats.org/officeDocument/2006/relationships/hyperlink" Target="http://www.austlii.edu.au/cgi-bin/viewdoc/au/cases/vic/VCAT/2019/2018.html" TargetMode="External"/><Relationship Id="rId53" Type="http://schemas.openxmlformats.org/officeDocument/2006/relationships/hyperlink" Target="http://www.austlii.edu.au/cgi-bin/viewdoc/au/cases/vic/VCAT/2022/721.html" TargetMode="External"/><Relationship Id="rId58" Type="http://schemas.openxmlformats.org/officeDocument/2006/relationships/hyperlink" Target="http://www.austlii.edu.au/cgi-bin/viewdoc/au/cases/vic/VCAT/2005/2702.html" TargetMode="External"/><Relationship Id="rId74" Type="http://schemas.openxmlformats.org/officeDocument/2006/relationships/hyperlink" Target="http://www.austlii.edu.au/cgi-bin/viewdoc/au/cases/vic/VCAT/2016/1596.html" TargetMode="External"/><Relationship Id="rId79" Type="http://schemas.openxmlformats.org/officeDocument/2006/relationships/hyperlink" Target="http://www.austlii.edu.au/cgi-bin/viewdoc/au/cases/vic/VCAT/2007/1310.html" TargetMode="External"/><Relationship Id="rId5" Type="http://schemas.openxmlformats.org/officeDocument/2006/relationships/hyperlink" Target="http://www.austlii.edu.au/cgi-bin/viewdoc/au/cases/vic/VCAT/2021/238.html" TargetMode="External"/><Relationship Id="rId19" Type="http://schemas.openxmlformats.org/officeDocument/2006/relationships/hyperlink" Target="http://www.austlii.edu.au/cgi-bin/viewdoc/au/cases/cth/FCA/2000/196.html" TargetMode="External"/><Relationship Id="rId14" Type="http://schemas.openxmlformats.org/officeDocument/2006/relationships/hyperlink" Target="http://www.austlii.edu.au/cgi-bin/viewdoc/au/cases/cth/FCA/1992/241.html" TargetMode="External"/><Relationship Id="rId22" Type="http://schemas.openxmlformats.org/officeDocument/2006/relationships/hyperlink" Target="http://www.austlii.edu.au/cgi-bin/viewdoc/au/cases/vic/VCAT/2019/31.html" TargetMode="External"/><Relationship Id="rId27" Type="http://schemas.openxmlformats.org/officeDocument/2006/relationships/hyperlink" Target="http://www.austlii.edu.au/cgi-bin/viewdoc/au/cases/vic/VCAT/2019/201.html" TargetMode="External"/><Relationship Id="rId30" Type="http://schemas.openxmlformats.org/officeDocument/2006/relationships/hyperlink" Target="https://ovic.vic.gov.au/decision/fd2-and-department-of-justice-and-community-safety-freedom-of-information-2023-vicmr-37-3-may-2023/" TargetMode="External"/><Relationship Id="rId35" Type="http://schemas.openxmlformats.org/officeDocument/2006/relationships/hyperlink" Target="http://www.austlii.edu.au/cgi-bin/viewdoc/au/cases/vic/VCAT/2021/238.html" TargetMode="External"/><Relationship Id="rId43" Type="http://schemas.openxmlformats.org/officeDocument/2006/relationships/hyperlink" Target="http://www.austlii.edu.au/cgi-bin/viewdoc/au/cases/vic/VCAT/2008/1340.html" TargetMode="External"/><Relationship Id="rId48" Type="http://schemas.openxmlformats.org/officeDocument/2006/relationships/hyperlink" Target="http://www.austlii.edu.au/cgi-bin/viewdoc/au/cases/vic/VCAT/2019/1860.html" TargetMode="External"/><Relationship Id="rId56" Type="http://schemas.openxmlformats.org/officeDocument/2006/relationships/hyperlink" Target="http://www.austlii.edu.au/cgi-bin/viewdoc/au/cases/vic/VCAT/2008/168.html" TargetMode="External"/><Relationship Id="rId64" Type="http://schemas.openxmlformats.org/officeDocument/2006/relationships/hyperlink" Target="http://www.austlii.edu.au/cgi-bin/viewdoc/au/cases/vic/VCAT/2020/1078.html" TargetMode="External"/><Relationship Id="rId69" Type="http://schemas.openxmlformats.org/officeDocument/2006/relationships/hyperlink" Target="http://www.austlii.edu.au/cgi-bin/viewdoc/au/cases/vic/VCAT/2022/721.html" TargetMode="External"/><Relationship Id="rId77" Type="http://schemas.openxmlformats.org/officeDocument/2006/relationships/hyperlink" Target="http://www.austlii.edu.au/cgi-bin/viewdoc/au/cases/vic/VCAT/2007/1310.html" TargetMode="External"/><Relationship Id="rId8" Type="http://schemas.openxmlformats.org/officeDocument/2006/relationships/hyperlink" Target="http://www.austlii.edu.au/cgi-bin/viewdoc/au/cases/vic/VCAT/2021/238.html" TargetMode="External"/><Relationship Id="rId51" Type="http://schemas.openxmlformats.org/officeDocument/2006/relationships/hyperlink" Target="http://www.austlii.edu.au/cgi-bin/viewdoc/au/cases/vic/VCAT/2003/45.html" TargetMode="External"/><Relationship Id="rId72" Type="http://schemas.openxmlformats.org/officeDocument/2006/relationships/hyperlink" Target="http://www.austlii.edu.au/cgi-bin/viewdoc/au/cases/vic/VCAT/2009/782.html" TargetMode="External"/><Relationship Id="rId80" Type="http://schemas.openxmlformats.org/officeDocument/2006/relationships/hyperlink" Target="http://www.austlii.edu.au/cgi-bin/viewdoc/au/cases/vic/VCAT/2007/1310.html" TargetMode="External"/><Relationship Id="rId85" Type="http://schemas.openxmlformats.org/officeDocument/2006/relationships/hyperlink" Target="http://www.austlii.edu.au/cgi-bin/viewdoc/au/cases/vic/VSC/2008/325.html" TargetMode="External"/><Relationship Id="rId3" Type="http://schemas.openxmlformats.org/officeDocument/2006/relationships/hyperlink" Target="http://www.austlii.edu.au/cgi-bin/viewdoc/au/cases/vic/VCAT/2013/39.html" TargetMode="External"/><Relationship Id="rId12" Type="http://schemas.openxmlformats.org/officeDocument/2006/relationships/hyperlink" Target="http://www.austlii.edu.au/cgi-bin/viewdoc/au/cases/vic/VCAT/2003/45.html" TargetMode="External"/><Relationship Id="rId17" Type="http://schemas.openxmlformats.org/officeDocument/2006/relationships/hyperlink" Target="http://www.austlii.edu.au/cgi-bin/viewdoc/au/cases/vic/VCAT/2021/238.html" TargetMode="External"/><Relationship Id="rId25" Type="http://schemas.openxmlformats.org/officeDocument/2006/relationships/hyperlink" Target="http://www.austlii.edu.au/cgi-bin/viewdoc/au/cases/vic/VCAT/2019/111.html" TargetMode="External"/><Relationship Id="rId33" Type="http://schemas.openxmlformats.org/officeDocument/2006/relationships/hyperlink" Target="http://www.austlii.edu.au/cgi-bin/viewdoc/au/cases/vic/VCAT/2016/17.html" TargetMode="External"/><Relationship Id="rId38" Type="http://schemas.openxmlformats.org/officeDocument/2006/relationships/hyperlink" Target="https://www.austlii.edu.au/cgi-bin/viewdoc/au/cases/vic/VCAT/2014/1233.html" TargetMode="External"/><Relationship Id="rId46" Type="http://schemas.openxmlformats.org/officeDocument/2006/relationships/hyperlink" Target="https://ovic.vic.gov.au/decision/ct9-and-department-of-environment-land-water-and-planning-freedom-of-information-2021-vicmr-73-16-march-2021/" TargetMode="External"/><Relationship Id="rId59" Type="http://schemas.openxmlformats.org/officeDocument/2006/relationships/hyperlink" Target="http://www.austlii.edu.au/cgi-bin/viewdoc/au/cases/vic/VCAT/2019/201.html" TargetMode="External"/><Relationship Id="rId67" Type="http://schemas.openxmlformats.org/officeDocument/2006/relationships/hyperlink" Target="http://www.austlii.edu.au/cgi-bin/viewdoc/au/cases/vic/VCAT/2019/1860.html" TargetMode="External"/><Relationship Id="rId20" Type="http://schemas.openxmlformats.org/officeDocument/2006/relationships/hyperlink" Target="http://www.austlii.edu.au/cgi-bin/viewdoc/au/cases/vic/VCAT/2005/2702.html" TargetMode="External"/><Relationship Id="rId41" Type="http://schemas.openxmlformats.org/officeDocument/2006/relationships/hyperlink" Target="http://www.austlii.edu.au/cgi-bin/viewdoc/au/cases/cth/HCA/1990/17.html" TargetMode="External"/><Relationship Id="rId54" Type="http://schemas.openxmlformats.org/officeDocument/2006/relationships/hyperlink" Target="http://www.austlii.edu.au/cgi-bin/viewdoc/au/cases/vic/VCAT/2003/45.html" TargetMode="External"/><Relationship Id="rId62" Type="http://schemas.openxmlformats.org/officeDocument/2006/relationships/hyperlink" Target="http://www.austlii.edu.au/cgi-bin/viewdoc/au/cases/vic/VCAT/2004/1657.html" TargetMode="External"/><Relationship Id="rId70" Type="http://schemas.openxmlformats.org/officeDocument/2006/relationships/hyperlink" Target="http://www.austlii.edu.au/cgi-bin/viewdoc/au/cases/vic/VCAT/2016/1596.html" TargetMode="External"/><Relationship Id="rId75" Type="http://schemas.openxmlformats.org/officeDocument/2006/relationships/hyperlink" Target="https://ovic.vic.gov.au/decision/ap8-and-victorian-curriculum-and-assessment-authority-freedom-of-information-2019-vicmr-143-16-october-2019/" TargetMode="External"/><Relationship Id="rId83" Type="http://schemas.openxmlformats.org/officeDocument/2006/relationships/hyperlink" Target="http://www.austlii.edu.au/cgi-bin/viewdoc/au/cases/vic/VCAT/2007/1310.html" TargetMode="External"/><Relationship Id="rId88" Type="http://schemas.openxmlformats.org/officeDocument/2006/relationships/hyperlink" Target="https://ovic.vic.gov.au/decision/au3-and-victoria-police-freedom-of-information-2019-vicmr-184-3-december-2019/" TargetMode="External"/><Relationship Id="rId1" Type="http://schemas.openxmlformats.org/officeDocument/2006/relationships/hyperlink" Target="http://www.austlii.edu.au/cgi-bin/viewdoc/au/cases/vic/VCAT/2004/2346.html" TargetMode="External"/><Relationship Id="rId6" Type="http://schemas.openxmlformats.org/officeDocument/2006/relationships/hyperlink" Target="http://www.austlii.edu.au/cgi-bin/viewdoc/au/cases/vic/VCAT/2003/45.html" TargetMode="External"/><Relationship Id="rId15" Type="http://schemas.openxmlformats.org/officeDocument/2006/relationships/hyperlink" Target="http://www.austlii.edu.au/cgi-bin/viewdoc/au/cases/vic/VCAT/2003/45.html" TargetMode="External"/><Relationship Id="rId23" Type="http://schemas.openxmlformats.org/officeDocument/2006/relationships/hyperlink" Target="http://www.austlii.edu.au/cgi-bin/viewdoc/au/cases/vic/VCAT/2019/31.html" TargetMode="External"/><Relationship Id="rId28" Type="http://schemas.openxmlformats.org/officeDocument/2006/relationships/hyperlink" Target="http://www.austlii.edu.au/cgi-bin/viewdoc/au/cases/vic/VCAT/2019/1667.html" TargetMode="External"/><Relationship Id="rId36" Type="http://schemas.openxmlformats.org/officeDocument/2006/relationships/hyperlink" Target="http://www.austlii.edu.au/cgi-bin/viewdoc/au/cases/vic/VCAT/2020/1078.html" TargetMode="External"/><Relationship Id="rId49" Type="http://schemas.openxmlformats.org/officeDocument/2006/relationships/hyperlink" Target="http://www.austlii.edu.au/cgi-bin/viewdoc/au/cases/vic/VCAT/2021/238.html" TargetMode="External"/><Relationship Id="rId57" Type="http://schemas.openxmlformats.org/officeDocument/2006/relationships/hyperlink" Target="http://www.austlii.edu.au/cgi-bin/viewdoc/au/cases/vic/VCAT/2005/2702.html" TargetMode="External"/><Relationship Id="rId10" Type="http://schemas.openxmlformats.org/officeDocument/2006/relationships/hyperlink" Target="http://www.austlii.edu.au/cgi-bin/viewdoc/au/cases/cth/FCA/1992/241.html" TargetMode="External"/><Relationship Id="rId31" Type="http://schemas.openxmlformats.org/officeDocument/2006/relationships/hyperlink" Target="http://www.austlii.edu.au/cgi-bin/viewdoc/au/cases/vic/VCAT/2003/472.html" TargetMode="External"/><Relationship Id="rId44" Type="http://schemas.openxmlformats.org/officeDocument/2006/relationships/hyperlink" Target="http://www.austlii.edu.au/cgi-bin/viewdoc/au/cases/vic/VCAT/2003/45.html" TargetMode="External"/><Relationship Id="rId52" Type="http://schemas.openxmlformats.org/officeDocument/2006/relationships/hyperlink" Target="http://www.austlii.edu.au/cgi-bin/viewdoc/au/cases/vic/VCAT/2008/1340.html" TargetMode="External"/><Relationship Id="rId60" Type="http://schemas.openxmlformats.org/officeDocument/2006/relationships/hyperlink" Target="http://www.austlii.edu.au/cgi-bin/viewdoc/au/cases/vic/VCAT/2005/2702.html" TargetMode="External"/><Relationship Id="rId65" Type="http://schemas.openxmlformats.org/officeDocument/2006/relationships/hyperlink" Target="http://www.austlii.edu.au/cgi-bin/viewdoc/au/cases/vic/VCAT/2019/201.html" TargetMode="External"/><Relationship Id="rId73" Type="http://schemas.openxmlformats.org/officeDocument/2006/relationships/hyperlink" Target="http://www.austlii.edu.au/cgi-bin/viewdoc/au/cases/vic/VCAT/2016/1596.html" TargetMode="External"/><Relationship Id="rId78" Type="http://schemas.openxmlformats.org/officeDocument/2006/relationships/hyperlink" Target="https://ovic.vic.gov.au/decision/ap8-and-victorian-curriculum-and-assessment-authority-freedom-of-information-2019-vicmr-143-16-october-2019/" TargetMode="External"/><Relationship Id="rId81" Type="http://schemas.openxmlformats.org/officeDocument/2006/relationships/hyperlink" Target="http://www.austlii.edu.au/cgi-bin/viewdoc/au/cases/vic/VSC/2008/325.html" TargetMode="External"/><Relationship Id="rId86" Type="http://schemas.openxmlformats.org/officeDocument/2006/relationships/hyperlink" Target="https://ovic.vic.gov.au/decision/au3-and-victoria-police-freedom-of-information-2019-vicmr-184-3-december-2019/" TargetMode="External"/><Relationship Id="rId4" Type="http://schemas.openxmlformats.org/officeDocument/2006/relationships/hyperlink" Target="http://www.austlii.edu.au/cgi-bin/viewdoc/au/cases/cth/HCA/1986/16.html" TargetMode="External"/><Relationship Id="rId9" Type="http://schemas.openxmlformats.org/officeDocument/2006/relationships/hyperlink" Target="http://www.austlii.edu.au/cgi-bin/viewdoc/au/cases/vic/VCAT/2003/45.html" TargetMode="External"/><Relationship Id="rId13" Type="http://schemas.openxmlformats.org/officeDocument/2006/relationships/hyperlink" Target="http://www.austlii.edu.au/cgi-bin/viewdoc/au/cases/cth/FCA/1992/241.html" TargetMode="External"/><Relationship Id="rId18" Type="http://schemas.openxmlformats.org/officeDocument/2006/relationships/hyperlink" Target="http://www.austlii.edu.au/cgi-bin/viewdoc/au/cases/vic/VCAT/2021/238.html" TargetMode="External"/><Relationship Id="rId39" Type="http://schemas.openxmlformats.org/officeDocument/2006/relationships/hyperlink" Target="http://www.austlii.edu.au/cgi-bin/viewdoc/au/cases/cth/FCA/1978/50.html" TargetMode="External"/><Relationship Id="rId34" Type="http://schemas.openxmlformats.org/officeDocument/2006/relationships/hyperlink" Target="http://www.austlii.edu.au/cgi-bin/viewdoc/au/cases/vic/VCAT/2019/1860.html" TargetMode="External"/><Relationship Id="rId50" Type="http://schemas.openxmlformats.org/officeDocument/2006/relationships/hyperlink" Target="http://www.austlii.edu.au/cgi-bin/viewdoc/au/cases/vic/VCAT/2022/721.html" TargetMode="External"/><Relationship Id="rId55" Type="http://schemas.openxmlformats.org/officeDocument/2006/relationships/hyperlink" Target="http://www.austlii.edu.au/cgi-bin/viewdoc/au/cases/vic/VCAT/2022/721.html" TargetMode="External"/><Relationship Id="rId76" Type="http://schemas.openxmlformats.org/officeDocument/2006/relationships/hyperlink" Target="https://ovic.vic.gov.au/decision/au3-and-victoria-police-freedom-of-information-2019-vicmr-184-3-december-2019/" TargetMode="External"/><Relationship Id="rId7" Type="http://schemas.openxmlformats.org/officeDocument/2006/relationships/hyperlink" Target="http://www.austlii.edu.au/cgi-bin/viewdoc/au/cases/vic/VCAT/2016/17.html" TargetMode="External"/><Relationship Id="rId71" Type="http://schemas.openxmlformats.org/officeDocument/2006/relationships/hyperlink" Target="http://www.austlii.edu.au/cgi-bin/viewdoc/au/cases/vic/VCAT/2016/1596.html" TargetMode="External"/><Relationship Id="rId2" Type="http://schemas.openxmlformats.org/officeDocument/2006/relationships/hyperlink" Target="http://www.austlii.edu.au/cgi-bin/viewdoc/au/cases/vic/VCAT/2013/822.html" TargetMode="External"/><Relationship Id="rId29" Type="http://schemas.openxmlformats.org/officeDocument/2006/relationships/hyperlink" Target="https://ovic.vic.gov.au/decision/fd1-and-department-of-health-freedom-of-information-2023-vicmr-36-26-april-2023/" TargetMode="External"/><Relationship Id="rId24" Type="http://schemas.openxmlformats.org/officeDocument/2006/relationships/hyperlink" Target="http://www.austlii.edu.au/cgi-bin/viewdoc/au/cases/vic/VCAT/2019/111.html" TargetMode="External"/><Relationship Id="rId40" Type="http://schemas.openxmlformats.org/officeDocument/2006/relationships/hyperlink" Target="http://www.austlii.edu.au/cgi-bin/viewdoc/au/cases/vic/VCAT/2008/1340.html" TargetMode="External"/><Relationship Id="rId45" Type="http://schemas.openxmlformats.org/officeDocument/2006/relationships/hyperlink" Target="http://www.austlii.edu.au/cgi-bin/viewdoc/au/cases/vic/VCAT/2013/1967.html" TargetMode="External"/><Relationship Id="rId66" Type="http://schemas.openxmlformats.org/officeDocument/2006/relationships/hyperlink" Target="http://www.austlii.edu.au/cgi-bin/viewdoc/au/cases/vic/VCAT/2021/238.html" TargetMode="External"/><Relationship Id="rId87" Type="http://schemas.openxmlformats.org/officeDocument/2006/relationships/hyperlink" Target="http://www.austlii.edu.au/cgi-bin/viewdoc/au/cases/vic/VCAT/2007/1310.html" TargetMode="External"/><Relationship Id="rId61" Type="http://schemas.openxmlformats.org/officeDocument/2006/relationships/hyperlink" Target="http://www.austlii.edu.au/cgi-bin/viewdoc/au/cases/vic/VCAT/2005/2083.html" TargetMode="External"/><Relationship Id="rId82" Type="http://schemas.openxmlformats.org/officeDocument/2006/relationships/hyperlink" Target="http://www.austlii.edu.au/cgi-bin/viewdoc/au/cases/vic/VCAT/2007/1310.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B002-3627-AC42-B8D4-63534FEC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5173</TotalTime>
  <Pages>12</Pages>
  <Words>11453</Words>
  <Characters>65286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76586</CharactersWithSpaces>
  <SharedDoc>false</SharedDoc>
  <HLinks>
    <vt:vector size="42" baseType="variant">
      <vt:variant>
        <vt:i4>1966132</vt:i4>
      </vt:variant>
      <vt:variant>
        <vt:i4>38</vt:i4>
      </vt:variant>
      <vt:variant>
        <vt:i4>0</vt:i4>
      </vt:variant>
      <vt:variant>
        <vt:i4>5</vt:i4>
      </vt:variant>
      <vt:variant>
        <vt:lpwstr/>
      </vt:variant>
      <vt:variant>
        <vt:lpwstr>_Toc23257936</vt:lpwstr>
      </vt:variant>
      <vt:variant>
        <vt:i4>1900596</vt:i4>
      </vt:variant>
      <vt:variant>
        <vt:i4>32</vt:i4>
      </vt:variant>
      <vt:variant>
        <vt:i4>0</vt:i4>
      </vt:variant>
      <vt:variant>
        <vt:i4>5</vt:i4>
      </vt:variant>
      <vt:variant>
        <vt:lpwstr/>
      </vt:variant>
      <vt:variant>
        <vt:lpwstr>_Toc23257935</vt:lpwstr>
      </vt:variant>
      <vt:variant>
        <vt:i4>1835060</vt:i4>
      </vt:variant>
      <vt:variant>
        <vt:i4>26</vt:i4>
      </vt:variant>
      <vt:variant>
        <vt:i4>0</vt:i4>
      </vt:variant>
      <vt:variant>
        <vt:i4>5</vt:i4>
      </vt:variant>
      <vt:variant>
        <vt:lpwstr/>
      </vt:variant>
      <vt:variant>
        <vt:lpwstr>_Toc23257934</vt:lpwstr>
      </vt:variant>
      <vt:variant>
        <vt:i4>1769524</vt:i4>
      </vt:variant>
      <vt:variant>
        <vt:i4>20</vt:i4>
      </vt:variant>
      <vt:variant>
        <vt:i4>0</vt:i4>
      </vt:variant>
      <vt:variant>
        <vt:i4>5</vt:i4>
      </vt:variant>
      <vt:variant>
        <vt:lpwstr/>
      </vt:variant>
      <vt:variant>
        <vt:lpwstr>_Toc23257933</vt:lpwstr>
      </vt:variant>
      <vt:variant>
        <vt:i4>1703988</vt:i4>
      </vt:variant>
      <vt:variant>
        <vt:i4>14</vt:i4>
      </vt:variant>
      <vt:variant>
        <vt:i4>0</vt:i4>
      </vt:variant>
      <vt:variant>
        <vt:i4>5</vt:i4>
      </vt:variant>
      <vt:variant>
        <vt:lpwstr/>
      </vt:variant>
      <vt:variant>
        <vt:lpwstr>_Toc23257932</vt:lpwstr>
      </vt:variant>
      <vt:variant>
        <vt:i4>1638452</vt:i4>
      </vt:variant>
      <vt:variant>
        <vt:i4>8</vt:i4>
      </vt:variant>
      <vt:variant>
        <vt:i4>0</vt:i4>
      </vt:variant>
      <vt:variant>
        <vt:i4>5</vt:i4>
      </vt:variant>
      <vt:variant>
        <vt:lpwstr/>
      </vt:variant>
      <vt:variant>
        <vt:lpwstr>_Toc23257931</vt:lpwstr>
      </vt:variant>
      <vt:variant>
        <vt:i4>1572916</vt:i4>
      </vt:variant>
      <vt:variant>
        <vt:i4>2</vt:i4>
      </vt:variant>
      <vt:variant>
        <vt:i4>0</vt:i4>
      </vt:variant>
      <vt:variant>
        <vt:i4>5</vt:i4>
      </vt:variant>
      <vt:variant>
        <vt:lpwstr/>
      </vt:variant>
      <vt:variant>
        <vt:lpwstr>_Toc23257930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Sarah Crossman</cp:lastModifiedBy>
  <cp:revision>554</cp:revision>
  <cp:lastPrinted>2018-02-06T03:03:00Z</cp:lastPrinted>
  <dcterms:created xsi:type="dcterms:W3CDTF">2023-05-01T04:04:00Z</dcterms:created>
  <dcterms:modified xsi:type="dcterms:W3CDTF">2023-11-12T23:52:00Z</dcterms:modified>
</cp:coreProperties>
</file>