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894A" w14:textId="77777777" w:rsidR="00E75FCA" w:rsidRPr="00E75FCA" w:rsidRDefault="00E75FCA" w:rsidP="00E75FCA">
      <w:pPr>
        <w:pStyle w:val="Toggle"/>
        <w:rPr>
          <w:b w:val="0"/>
          <w:bCs/>
        </w:rPr>
      </w:pPr>
    </w:p>
    <w:p w14:paraId="7BF5CB39" w14:textId="3FACDFC7" w:rsidR="00A53F38" w:rsidRDefault="00A53F38" w:rsidP="00A53F38">
      <w:pPr>
        <w:pStyle w:val="Agencyinformation"/>
      </w:pPr>
      <w:r>
        <w:t xml:space="preserve">Information for </w:t>
      </w:r>
      <w:sdt>
        <w:sdtPr>
          <w:id w:val="-1971114257"/>
          <w:placeholder>
            <w:docPart w:val="3F655736DC7A407081DE594DAB9BAB3B"/>
          </w:placeholder>
          <w:comboBox>
            <w:listItem w:displayText="agencies" w:value="agencies"/>
            <w:listItem w:displayText="the public" w:value="the public"/>
          </w:comboBox>
        </w:sdtPr>
        <w:sdtEndPr/>
        <w:sdtContent>
          <w:r w:rsidR="00E803E9">
            <w:t>agencies</w:t>
          </w:r>
        </w:sdtContent>
      </w:sdt>
      <w:r>
        <w:t xml:space="preserve"> </w:t>
      </w:r>
    </w:p>
    <w:p w14:paraId="1F8246C4" w14:textId="04528243" w:rsidR="00EA3594" w:rsidRPr="00281560" w:rsidRDefault="00E803E9" w:rsidP="00EA3594">
      <w:pPr>
        <w:pStyle w:val="Title"/>
      </w:pPr>
      <w:r>
        <w:t>Incident Insights Report</w:t>
      </w:r>
    </w:p>
    <w:p w14:paraId="63E186D2" w14:textId="252E2EEA" w:rsidR="00EA3594" w:rsidRDefault="00E803E9" w:rsidP="009A49D1">
      <w:pPr>
        <w:pStyle w:val="Subtitle"/>
      </w:pPr>
      <w:r>
        <w:t>1 J</w:t>
      </w:r>
      <w:r w:rsidR="00B849A9">
        <w:t>anuary</w:t>
      </w:r>
      <w:r>
        <w:t xml:space="preserve"> 202</w:t>
      </w:r>
      <w:r w:rsidR="00B849A9">
        <w:t>3</w:t>
      </w:r>
      <w:r>
        <w:t xml:space="preserve"> – </w:t>
      </w:r>
      <w:r w:rsidR="00E40B25">
        <w:t xml:space="preserve">30 </w:t>
      </w:r>
      <w:r w:rsidR="00B849A9">
        <w:t>June</w:t>
      </w:r>
      <w:r>
        <w:t xml:space="preserve"> 202</w:t>
      </w:r>
      <w:r w:rsidR="00B849A9">
        <w:t>3</w:t>
      </w:r>
    </w:p>
    <w:p w14:paraId="38B097DC" w14:textId="25C5645F" w:rsidR="00E803E9" w:rsidRDefault="00E803E9" w:rsidP="00A01C6A">
      <w:r>
        <w:t>T</w:t>
      </w:r>
      <w:r w:rsidRPr="001D1FE7">
        <w:t>he</w:t>
      </w:r>
      <w:r>
        <w:t xml:space="preserve"> information security</w:t>
      </w:r>
      <w:r w:rsidRPr="001D1FE7">
        <w:t xml:space="preserve"> incident notification scheme</w:t>
      </w:r>
      <w:r>
        <w:t xml:space="preserve"> (</w:t>
      </w:r>
      <w:r w:rsidRPr="00C86B59">
        <w:rPr>
          <w:b/>
          <w:bCs/>
        </w:rPr>
        <w:t>the scheme</w:t>
      </w:r>
      <w:r>
        <w:t>)</w:t>
      </w:r>
      <w:r w:rsidRPr="001D1FE7">
        <w:t xml:space="preserve"> provide</w:t>
      </w:r>
      <w:r>
        <w:t>s</w:t>
      </w:r>
      <w:r w:rsidRPr="001D1FE7">
        <w:t xml:space="preserve"> resources, trends analysis and risk reporting.</w:t>
      </w:r>
    </w:p>
    <w:p w14:paraId="5DFE1A47" w14:textId="56132CF5" w:rsidR="00BF3799" w:rsidRPr="00FB0D65" w:rsidRDefault="00E803E9" w:rsidP="00BF3799">
      <w:pPr>
        <w:pStyle w:val="Heading2"/>
      </w:pPr>
      <w:r>
        <w:t>Overview of this report</w:t>
      </w:r>
    </w:p>
    <w:p w14:paraId="7F712256" w14:textId="175BE75E" w:rsidR="00E803E9" w:rsidRDefault="00E803E9" w:rsidP="00E803E9">
      <w:r>
        <w:t xml:space="preserve">The Incident Insights Report provides a summary and analysis of the information security incident notifications received by OVIC between </w:t>
      </w:r>
      <w:r w:rsidRPr="00956F61">
        <w:rPr>
          <w:b/>
          <w:bCs/>
        </w:rPr>
        <w:t xml:space="preserve">1 </w:t>
      </w:r>
      <w:r>
        <w:rPr>
          <w:b/>
          <w:bCs/>
        </w:rPr>
        <w:t>J</w:t>
      </w:r>
      <w:r w:rsidR="00B849A9">
        <w:rPr>
          <w:b/>
          <w:bCs/>
        </w:rPr>
        <w:t>anuary</w:t>
      </w:r>
      <w:r w:rsidRPr="00D015C3">
        <w:rPr>
          <w:b/>
          <w:bCs/>
        </w:rPr>
        <w:t xml:space="preserve"> 20</w:t>
      </w:r>
      <w:r>
        <w:rPr>
          <w:b/>
          <w:bCs/>
        </w:rPr>
        <w:t>2</w:t>
      </w:r>
      <w:r w:rsidR="00B849A9">
        <w:rPr>
          <w:b/>
          <w:bCs/>
        </w:rPr>
        <w:t>3</w:t>
      </w:r>
      <w:r w:rsidRPr="00D015C3">
        <w:rPr>
          <w:b/>
          <w:bCs/>
        </w:rPr>
        <w:t xml:space="preserve"> </w:t>
      </w:r>
      <w:r w:rsidRPr="00C86B59">
        <w:t>to</w:t>
      </w:r>
      <w:r w:rsidRPr="00D015C3">
        <w:rPr>
          <w:b/>
          <w:bCs/>
        </w:rPr>
        <w:t xml:space="preserve"> </w:t>
      </w:r>
      <w:r w:rsidR="00E40B25" w:rsidRPr="00D015C3">
        <w:rPr>
          <w:b/>
          <w:bCs/>
        </w:rPr>
        <w:t>3</w:t>
      </w:r>
      <w:r w:rsidR="00E40B25">
        <w:rPr>
          <w:b/>
          <w:bCs/>
        </w:rPr>
        <w:t xml:space="preserve">0 </w:t>
      </w:r>
      <w:r w:rsidR="00B849A9">
        <w:rPr>
          <w:b/>
          <w:bCs/>
        </w:rPr>
        <w:t>June</w:t>
      </w:r>
      <w:r w:rsidRPr="00D015C3">
        <w:rPr>
          <w:b/>
          <w:bCs/>
        </w:rPr>
        <w:t xml:space="preserve"> 202</w:t>
      </w:r>
      <w:r w:rsidR="00B849A9">
        <w:rPr>
          <w:b/>
          <w:bCs/>
        </w:rPr>
        <w:t>3</w:t>
      </w:r>
      <w:r>
        <w:t>.</w:t>
      </w:r>
    </w:p>
    <w:p w14:paraId="323F2C36" w14:textId="77777777" w:rsidR="00E803E9" w:rsidRPr="004650C0" w:rsidRDefault="00E803E9" w:rsidP="00E803E9">
      <w:r w:rsidRPr="004650C0">
        <w:t xml:space="preserve">The analysis in this report is based on comparing the statistics published in previous </w:t>
      </w:r>
      <w:r w:rsidRPr="004650C0">
        <w:rPr>
          <w:u w:color="430098"/>
        </w:rPr>
        <w:t>Incident Insights Reports</w:t>
      </w:r>
      <w:r w:rsidRPr="004650C0">
        <w:t xml:space="preserve"> with the notifications received by our office under the scheme. </w:t>
      </w:r>
    </w:p>
    <w:p w14:paraId="3C8FEDE8" w14:textId="35763580" w:rsidR="00E803E9" w:rsidRDefault="00E803E9" w:rsidP="00E803E9">
      <w:r w:rsidRPr="004650C0">
        <w:t xml:space="preserve">Victoria Police incident statistics are reported on annually, consistent with existing reporting commitments. </w:t>
      </w:r>
      <w:r w:rsidR="00D666D0" w:rsidRPr="004650C0">
        <w:t xml:space="preserve">These have been included towards the end of this report with comparisons made from our </w:t>
      </w:r>
      <w:hyperlink r:id="rId9" w:history="1">
        <w:r w:rsidR="00D666D0" w:rsidRPr="004650C0">
          <w:rPr>
            <w:rStyle w:val="Hyperlink"/>
          </w:rPr>
          <w:t>Incident Insights Report for 1 January – 30 June 2022</w:t>
        </w:r>
      </w:hyperlink>
      <w:r w:rsidRPr="004650C0">
        <w:t>.</w:t>
      </w:r>
      <w:r w:rsidRPr="00AC495A" w:rsidDel="009C1C13">
        <w:t xml:space="preserve"> </w:t>
      </w:r>
    </w:p>
    <w:p w14:paraId="403D018C" w14:textId="30528EF7" w:rsidR="00E803E9" w:rsidRDefault="00E803E9" w:rsidP="00E803E9">
      <w:r>
        <w:t xml:space="preserve">Note: The incident notification form allows for </w:t>
      </w:r>
      <w:r w:rsidRPr="00CD411E">
        <w:rPr>
          <w:b/>
          <w:bCs/>
        </w:rPr>
        <w:t>more than one</w:t>
      </w:r>
      <w:r w:rsidRPr="00C00CF5">
        <w:t xml:space="preserve"> response </w:t>
      </w:r>
      <w:r>
        <w:t>to</w:t>
      </w:r>
      <w:r w:rsidRPr="00C00CF5">
        <w:t xml:space="preserve"> be selected</w:t>
      </w:r>
      <w:r>
        <w:t xml:space="preserve"> for the fields </w:t>
      </w:r>
      <w:r w:rsidRPr="00CD411E">
        <w:rPr>
          <w:b/>
          <w:bCs/>
        </w:rPr>
        <w:t>information format</w:t>
      </w:r>
      <w:r>
        <w:t xml:space="preserve">, </w:t>
      </w:r>
      <w:r w:rsidRPr="00CD411E">
        <w:rPr>
          <w:b/>
          <w:bCs/>
        </w:rPr>
        <w:t>type of information</w:t>
      </w:r>
      <w:r>
        <w:t xml:space="preserve">, </w:t>
      </w:r>
      <w:r w:rsidRPr="00CD411E">
        <w:rPr>
          <w:b/>
          <w:bCs/>
        </w:rPr>
        <w:t>security attributes</w:t>
      </w:r>
      <w:r>
        <w:t xml:space="preserve">, </w:t>
      </w:r>
      <w:r w:rsidRPr="00CD411E">
        <w:rPr>
          <w:b/>
          <w:bCs/>
        </w:rPr>
        <w:t>control area</w:t>
      </w:r>
      <w:r>
        <w:t xml:space="preserve">, </w:t>
      </w:r>
      <w:r w:rsidRPr="00CD411E">
        <w:rPr>
          <w:b/>
          <w:bCs/>
        </w:rPr>
        <w:t>threat actor</w:t>
      </w:r>
      <w:r>
        <w:t xml:space="preserve">, and </w:t>
      </w:r>
      <w:r w:rsidRPr="00CD411E">
        <w:rPr>
          <w:b/>
          <w:bCs/>
        </w:rPr>
        <w:t>threat type</w:t>
      </w:r>
      <w:r w:rsidRPr="00C00CF5">
        <w:t xml:space="preserve">. The sum of percentages </w:t>
      </w:r>
      <w:r>
        <w:t>for these fields</w:t>
      </w:r>
      <w:r w:rsidRPr="00C00CF5">
        <w:t xml:space="preserve"> will exceed 100% (as expected) reflecting the nature of multiple responses for each </w:t>
      </w:r>
      <w:r>
        <w:t>question</w:t>
      </w:r>
      <w:r w:rsidRPr="00C00CF5">
        <w:t xml:space="preserve">. </w:t>
      </w:r>
      <w:bookmarkStart w:id="0" w:name="_Hlk130905743"/>
      <w:r w:rsidRPr="00C00CF5">
        <w:t xml:space="preserve">These </w:t>
      </w:r>
      <w:r>
        <w:t>sections</w:t>
      </w:r>
      <w:r w:rsidRPr="00C00CF5">
        <w:t xml:space="preserve"> are marked </w:t>
      </w:r>
      <w:r w:rsidR="00A60161">
        <w:t>accordingly</w:t>
      </w:r>
      <w:r>
        <w:t xml:space="preserve"> in this report</w:t>
      </w:r>
      <w:r w:rsidRPr="00C00CF5">
        <w:t>.</w:t>
      </w:r>
    </w:p>
    <w:bookmarkEnd w:id="0"/>
    <w:p w14:paraId="69E69ABA" w14:textId="77777777" w:rsidR="00F4430E" w:rsidRDefault="00F4430E" w:rsidP="00E803E9"/>
    <w:p w14:paraId="1D44EBC3" w14:textId="77777777" w:rsidR="000167D5" w:rsidRDefault="000167D5">
      <w:pPr>
        <w:spacing w:before="0" w:after="160" w:line="259" w:lineRule="auto"/>
        <w:rPr>
          <w:rFonts w:eastAsiaTheme="majorEastAsia" w:cstheme="majorBidi"/>
          <w:color w:val="430098" w:themeColor="text2"/>
          <w:sz w:val="30"/>
          <w:szCs w:val="26"/>
        </w:rPr>
      </w:pPr>
      <w:r>
        <w:br w:type="page"/>
      </w:r>
    </w:p>
    <w:p w14:paraId="3BF85FA0" w14:textId="3AEC7B59" w:rsidR="00BF3799" w:rsidRDefault="00E803E9" w:rsidP="00BF3799">
      <w:pPr>
        <w:pStyle w:val="Heading2"/>
      </w:pPr>
      <w:r w:rsidRPr="00E803E9">
        <w:lastRenderedPageBreak/>
        <w:t>Information security incident notification insights from J</w:t>
      </w:r>
      <w:r w:rsidR="00B849A9">
        <w:t>anuary</w:t>
      </w:r>
      <w:r w:rsidRPr="00E803E9">
        <w:t xml:space="preserve"> – </w:t>
      </w:r>
      <w:r w:rsidR="00B849A9">
        <w:t>June</w:t>
      </w:r>
      <w:r w:rsidRPr="00E803E9">
        <w:t xml:space="preserve"> 202</w:t>
      </w:r>
      <w:r w:rsidR="00B849A9">
        <w:t>3</w:t>
      </w:r>
    </w:p>
    <w:p w14:paraId="349BC3C4" w14:textId="64FFC4DC" w:rsidR="00E803E9" w:rsidRPr="00E803E9" w:rsidRDefault="00E803E9" w:rsidP="00E803E9">
      <w:pPr>
        <w:pStyle w:val="Heading3"/>
      </w:pPr>
      <w:r>
        <w:t>Notifications by month</w:t>
      </w:r>
    </w:p>
    <w:p w14:paraId="6CE4DA98" w14:textId="1C92380E" w:rsidR="00A4119B" w:rsidRDefault="00B60F83" w:rsidP="00E803E9">
      <w:r w:rsidRPr="00B60F83">
        <w:rPr>
          <w:noProof/>
        </w:rPr>
        <w:drawing>
          <wp:inline distT="0" distB="0" distL="0" distR="0" wp14:anchorId="307D3C3E" wp14:editId="18BEF0DE">
            <wp:extent cx="5904230" cy="4067810"/>
            <wp:effectExtent l="0" t="0" r="1270" b="8890"/>
            <wp:docPr id="1768749537" name="Picture 1"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749537" name="Picture 1" descr="A graph of a number of people&#10;&#10;Description automatically generated with medium confidence"/>
                    <pic:cNvPicPr/>
                  </pic:nvPicPr>
                  <pic:blipFill>
                    <a:blip r:embed="rId10"/>
                    <a:stretch>
                      <a:fillRect/>
                    </a:stretch>
                  </pic:blipFill>
                  <pic:spPr>
                    <a:xfrm>
                      <a:off x="0" y="0"/>
                      <a:ext cx="5904230" cy="4067810"/>
                    </a:xfrm>
                    <a:prstGeom prst="rect">
                      <a:avLst/>
                    </a:prstGeom>
                  </pic:spPr>
                </pic:pic>
              </a:graphicData>
            </a:graphic>
          </wp:inline>
        </w:drawing>
      </w:r>
    </w:p>
    <w:p w14:paraId="595A901D" w14:textId="79167073" w:rsidR="00A01C6A" w:rsidRDefault="00DE68E7" w:rsidP="00E803E9">
      <w:r w:rsidRPr="00DE68E7">
        <w:t>Insights:</w:t>
      </w:r>
    </w:p>
    <w:p w14:paraId="365D07CE" w14:textId="0A196531" w:rsidR="00E803E9" w:rsidRPr="000167D5" w:rsidRDefault="00E803E9" w:rsidP="00E803E9">
      <w:r w:rsidRPr="000167D5">
        <w:t xml:space="preserve">OVIC received </w:t>
      </w:r>
      <w:r w:rsidR="00D666D0" w:rsidRPr="000167D5">
        <w:rPr>
          <w:b/>
          <w:bCs/>
        </w:rPr>
        <w:t>283</w:t>
      </w:r>
      <w:r w:rsidRPr="000167D5">
        <w:t xml:space="preserve"> notifications between </w:t>
      </w:r>
      <w:r w:rsidRPr="000167D5">
        <w:rPr>
          <w:b/>
          <w:bCs/>
        </w:rPr>
        <w:t xml:space="preserve">1 </w:t>
      </w:r>
      <w:r w:rsidR="00D666D0" w:rsidRPr="000167D5">
        <w:rPr>
          <w:b/>
          <w:bCs/>
        </w:rPr>
        <w:t>January</w:t>
      </w:r>
      <w:r w:rsidRPr="000167D5">
        <w:t xml:space="preserve"> to </w:t>
      </w:r>
      <w:r w:rsidRPr="000167D5">
        <w:rPr>
          <w:b/>
          <w:bCs/>
        </w:rPr>
        <w:t>3</w:t>
      </w:r>
      <w:r w:rsidR="00D666D0" w:rsidRPr="000167D5">
        <w:rPr>
          <w:b/>
          <w:bCs/>
        </w:rPr>
        <w:t>0 June</w:t>
      </w:r>
      <w:r w:rsidRPr="000167D5">
        <w:rPr>
          <w:b/>
          <w:bCs/>
        </w:rPr>
        <w:t xml:space="preserve"> 202</w:t>
      </w:r>
      <w:r w:rsidR="00D666D0" w:rsidRPr="000167D5">
        <w:rPr>
          <w:b/>
          <w:bCs/>
        </w:rPr>
        <w:t>3</w:t>
      </w:r>
      <w:r w:rsidRPr="000167D5">
        <w:t xml:space="preserve"> (inclusive). This </w:t>
      </w:r>
      <w:r w:rsidR="00D666D0" w:rsidRPr="000167D5">
        <w:t xml:space="preserve">period saw a </w:t>
      </w:r>
      <w:r w:rsidR="000167D5" w:rsidRPr="000167D5">
        <w:rPr>
          <w:b/>
          <w:bCs/>
        </w:rPr>
        <w:t>2</w:t>
      </w:r>
      <w:r w:rsidR="00DE0B46">
        <w:rPr>
          <w:b/>
          <w:bCs/>
        </w:rPr>
        <w:t>7%</w:t>
      </w:r>
      <w:r w:rsidR="00D666D0" w:rsidRPr="000167D5">
        <w:t xml:space="preserve"> decrease in notifications </w:t>
      </w:r>
      <w:r w:rsidRPr="000167D5">
        <w:t xml:space="preserve">compared to </w:t>
      </w:r>
      <w:r w:rsidR="00D666D0" w:rsidRPr="000167D5">
        <w:t xml:space="preserve">the previous reporting period </w:t>
      </w:r>
      <w:r w:rsidRPr="000167D5">
        <w:t>July to December 202</w:t>
      </w:r>
      <w:r w:rsidR="00D666D0" w:rsidRPr="000167D5">
        <w:t>2</w:t>
      </w:r>
      <w:r w:rsidRPr="000167D5">
        <w:t xml:space="preserve"> (</w:t>
      </w:r>
      <w:r w:rsidRPr="000167D5">
        <w:rPr>
          <w:b/>
          <w:bCs/>
        </w:rPr>
        <w:t>3</w:t>
      </w:r>
      <w:r w:rsidR="00D666D0" w:rsidRPr="000167D5">
        <w:rPr>
          <w:b/>
          <w:bCs/>
        </w:rPr>
        <w:t>87</w:t>
      </w:r>
      <w:r w:rsidRPr="000167D5">
        <w:rPr>
          <w:b/>
          <w:bCs/>
        </w:rPr>
        <w:t xml:space="preserve"> notifications</w:t>
      </w:r>
      <w:r w:rsidRPr="000167D5">
        <w:t xml:space="preserve">) and </w:t>
      </w:r>
      <w:r w:rsidR="00D666D0" w:rsidRPr="000167D5">
        <w:t>a slight decrease</w:t>
      </w:r>
      <w:r w:rsidRPr="000167D5">
        <w:t xml:space="preserve"> (</w:t>
      </w:r>
      <w:r w:rsidR="000167D5" w:rsidRPr="000167D5">
        <w:rPr>
          <w:b/>
          <w:bCs/>
        </w:rPr>
        <w:t>2</w:t>
      </w:r>
      <w:r w:rsidRPr="000167D5">
        <w:rPr>
          <w:b/>
          <w:bCs/>
        </w:rPr>
        <w:t>%</w:t>
      </w:r>
      <w:r w:rsidRPr="000167D5">
        <w:t>) from the previous reporting period January to June 2022 (</w:t>
      </w:r>
      <w:r w:rsidRPr="000167D5">
        <w:rPr>
          <w:b/>
          <w:bCs/>
        </w:rPr>
        <w:t>290 notifications</w:t>
      </w:r>
      <w:r w:rsidRPr="000167D5">
        <w:t xml:space="preserve">). </w:t>
      </w:r>
    </w:p>
    <w:p w14:paraId="6EC29C20" w14:textId="77777777" w:rsidR="000167D5" w:rsidRDefault="00E803E9" w:rsidP="000167D5">
      <w:r w:rsidRPr="000167D5">
        <w:t>We received the highest number of notifications (</w:t>
      </w:r>
      <w:r w:rsidRPr="000167D5">
        <w:rPr>
          <w:b/>
          <w:bCs/>
        </w:rPr>
        <w:t>9</w:t>
      </w:r>
      <w:r w:rsidR="00046A3E" w:rsidRPr="000167D5">
        <w:rPr>
          <w:b/>
          <w:bCs/>
        </w:rPr>
        <w:t>2</w:t>
      </w:r>
      <w:r w:rsidRPr="000167D5">
        <w:t xml:space="preserve">) in </w:t>
      </w:r>
      <w:r w:rsidR="00046A3E" w:rsidRPr="000167D5">
        <w:t>May</w:t>
      </w:r>
      <w:r w:rsidRPr="000167D5">
        <w:t xml:space="preserve"> which is </w:t>
      </w:r>
      <w:r w:rsidR="00046A3E" w:rsidRPr="000167D5">
        <w:t>a large increase from May 2022 (</w:t>
      </w:r>
      <w:r w:rsidR="00046A3E" w:rsidRPr="000167D5">
        <w:rPr>
          <w:b/>
          <w:bCs/>
        </w:rPr>
        <w:t>27</w:t>
      </w:r>
      <w:r w:rsidR="00046A3E" w:rsidRPr="000167D5">
        <w:t>)</w:t>
      </w:r>
      <w:r w:rsidR="000167D5">
        <w:t xml:space="preserve"> </w:t>
      </w:r>
      <w:r w:rsidR="000167D5" w:rsidRPr="000167D5">
        <w:t>and</w:t>
      </w:r>
      <w:r w:rsidRPr="000167D5">
        <w:t xml:space="preserve"> higher than </w:t>
      </w:r>
      <w:r w:rsidR="000167D5" w:rsidRPr="000167D5">
        <w:t>May</w:t>
      </w:r>
      <w:r w:rsidRPr="000167D5">
        <w:t xml:space="preserve"> in any previous year since the establishment of the information security incident notification scheme.</w:t>
      </w:r>
      <w:r w:rsidR="000167D5">
        <w:t xml:space="preserve"> </w:t>
      </w:r>
    </w:p>
    <w:p w14:paraId="3E81CCCC" w14:textId="70DFA6D8" w:rsidR="00E803E9" w:rsidRPr="00701D90" w:rsidRDefault="00E803E9" w:rsidP="00F4430E">
      <w:r w:rsidRPr="00701D90">
        <w:t xml:space="preserve">The higher numbers in </w:t>
      </w:r>
      <w:r w:rsidR="000167D5" w:rsidRPr="00701D90">
        <w:t>May</w:t>
      </w:r>
      <w:r w:rsidRPr="00701D90">
        <w:t xml:space="preserve"> mostly came from the Department of Justice and Community Safety (</w:t>
      </w:r>
      <w:r w:rsidRPr="00701D90">
        <w:rPr>
          <w:b/>
          <w:bCs/>
        </w:rPr>
        <w:t>DJCS</w:t>
      </w:r>
      <w:r w:rsidRPr="00701D90">
        <w:t xml:space="preserve">). This was due to DJCS sending through </w:t>
      </w:r>
      <w:r w:rsidR="000167D5" w:rsidRPr="00701D90">
        <w:t xml:space="preserve">multiple months’ worth of </w:t>
      </w:r>
      <w:r w:rsidRPr="00701D90">
        <w:t xml:space="preserve">notifications before the end of </w:t>
      </w:r>
      <w:r w:rsidR="000167D5" w:rsidRPr="00701D90">
        <w:t>the reporting period</w:t>
      </w:r>
      <w:r w:rsidRPr="00701D90">
        <w:t>.</w:t>
      </w:r>
      <w:r w:rsidR="000167D5" w:rsidRPr="00701D90">
        <w:t xml:space="preserve"> In addition, the lower notification numbers for this period </w:t>
      </w:r>
      <w:r w:rsidR="00701D90" w:rsidRPr="00701D90">
        <w:t>are</w:t>
      </w:r>
      <w:r w:rsidR="000167D5" w:rsidRPr="00701D90">
        <w:t xml:space="preserve"> attributed to the delay in receiving DJCS </w:t>
      </w:r>
      <w:r w:rsidR="00701D90" w:rsidRPr="00701D90">
        <w:t xml:space="preserve">notifications </w:t>
      </w:r>
      <w:r w:rsidR="001B0C78">
        <w:t>where the department is behind in their reporting to OVIC</w:t>
      </w:r>
      <w:r w:rsidR="00701D90" w:rsidRPr="00701D90">
        <w:t>.</w:t>
      </w:r>
    </w:p>
    <w:p w14:paraId="149A86FA" w14:textId="77777777" w:rsidR="00E803E9" w:rsidRPr="00701D90" w:rsidRDefault="00E803E9" w:rsidP="00E803E9">
      <w:r w:rsidRPr="00701D90">
        <w:t>Note:</w:t>
      </w:r>
    </w:p>
    <w:p w14:paraId="0738E8A2" w14:textId="77777777" w:rsidR="00E803E9" w:rsidRPr="00701D90" w:rsidRDefault="00E803E9" w:rsidP="00E803E9">
      <w:pPr>
        <w:pStyle w:val="ListParagraph"/>
        <w:numPr>
          <w:ilvl w:val="0"/>
          <w:numId w:val="39"/>
        </w:numPr>
      </w:pPr>
      <w:r w:rsidRPr="00701D90">
        <w:lastRenderedPageBreak/>
        <w:t>the date of notification does not necessarily reflect when an incident occurred, but rather reflects when a notification was made to OVIC; and</w:t>
      </w:r>
    </w:p>
    <w:p w14:paraId="2A8F85E1" w14:textId="43956186" w:rsidR="00A01C6A" w:rsidRPr="00701D90" w:rsidRDefault="00E803E9" w:rsidP="00A01C6A">
      <w:pPr>
        <w:pStyle w:val="ListParagraph"/>
        <w:numPr>
          <w:ilvl w:val="0"/>
          <w:numId w:val="39"/>
        </w:numPr>
      </w:pPr>
      <w:r w:rsidRPr="00701D90">
        <w:t>the higher number of notifications from these organisations does not necessarily reflect that they have more incidents but rather that they have established incident management and reporting processes.</w:t>
      </w:r>
    </w:p>
    <w:p w14:paraId="7B92A6C2" w14:textId="7232CD9D" w:rsidR="00E803E9" w:rsidRDefault="00E803E9" w:rsidP="002744D6">
      <w:pPr>
        <w:pStyle w:val="Heading3"/>
        <w:keepLines w:val="0"/>
        <w:pageBreakBefore/>
      </w:pPr>
      <w:bookmarkStart w:id="1" w:name="_Hlk130903686"/>
      <w:r>
        <w:lastRenderedPageBreak/>
        <w:t>Notifications by portfolio</w:t>
      </w:r>
    </w:p>
    <w:bookmarkEnd w:id="1"/>
    <w:p w14:paraId="437AE52B" w14:textId="0019FE07" w:rsidR="00A4119B" w:rsidRDefault="00A636D0" w:rsidP="00E803E9">
      <w:r w:rsidRPr="00A636D0">
        <w:rPr>
          <w:noProof/>
        </w:rPr>
        <w:drawing>
          <wp:inline distT="0" distB="0" distL="0" distR="0" wp14:anchorId="003307AC" wp14:editId="41135940">
            <wp:extent cx="5904230" cy="5618480"/>
            <wp:effectExtent l="0" t="0" r="1270" b="1270"/>
            <wp:docPr id="506851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851897" name=""/>
                    <pic:cNvPicPr/>
                  </pic:nvPicPr>
                  <pic:blipFill>
                    <a:blip r:embed="rId11"/>
                    <a:stretch>
                      <a:fillRect/>
                    </a:stretch>
                  </pic:blipFill>
                  <pic:spPr>
                    <a:xfrm>
                      <a:off x="0" y="0"/>
                      <a:ext cx="5904230" cy="5618480"/>
                    </a:xfrm>
                    <a:prstGeom prst="rect">
                      <a:avLst/>
                    </a:prstGeom>
                  </pic:spPr>
                </pic:pic>
              </a:graphicData>
            </a:graphic>
          </wp:inline>
        </w:drawing>
      </w:r>
    </w:p>
    <w:p w14:paraId="3D31536E" w14:textId="362BA58D" w:rsidR="001B0C78" w:rsidRDefault="00DE68E7" w:rsidP="00E803E9">
      <w:r>
        <w:t>Insights:</w:t>
      </w:r>
    </w:p>
    <w:p w14:paraId="24CB63D1" w14:textId="53214207" w:rsidR="00E803E9" w:rsidRPr="00E803E9" w:rsidRDefault="00E803E9" w:rsidP="00E803E9">
      <w:r w:rsidRPr="00E803E9">
        <w:t xml:space="preserve">Of the </w:t>
      </w:r>
      <w:r w:rsidR="001B0C78">
        <w:rPr>
          <w:b/>
          <w:bCs/>
        </w:rPr>
        <w:t>283</w:t>
      </w:r>
      <w:r w:rsidRPr="00E803E9">
        <w:t xml:space="preserve"> notifications received by OVIC, most came from the justice and transport sectors. These were mostly from DJCS, and </w:t>
      </w:r>
      <w:r w:rsidR="002B544E">
        <w:t>the Transport Accident Commission (</w:t>
      </w:r>
      <w:r w:rsidRPr="002B544E">
        <w:rPr>
          <w:b/>
          <w:bCs/>
        </w:rPr>
        <w:t>TAC</w:t>
      </w:r>
      <w:r w:rsidR="002B544E">
        <w:t>)</w:t>
      </w:r>
      <w:r w:rsidRPr="00E803E9">
        <w:t xml:space="preserve"> due to </w:t>
      </w:r>
      <w:r w:rsidR="002B544E">
        <w:t>their</w:t>
      </w:r>
      <w:r w:rsidRPr="00E803E9">
        <w:t xml:space="preserve"> established incident notification protocols. </w:t>
      </w:r>
    </w:p>
    <w:p w14:paraId="2DEB1382" w14:textId="3C628987" w:rsidR="003E1DC7" w:rsidRDefault="00D452E6" w:rsidP="00E803E9">
      <w:r w:rsidRPr="00E803E9">
        <w:rPr>
          <w:rStyle w:val="Emphasis"/>
          <w:rFonts w:cstheme="minorHAnsi"/>
          <w:i w:val="0"/>
          <w:iCs w:val="0"/>
          <w:shd w:val="clear" w:color="auto" w:fill="FFFFFF"/>
        </w:rPr>
        <w:t xml:space="preserve">This reporting period saw a decrease in the number of notifications </w:t>
      </w:r>
      <w:r w:rsidRPr="00D452E6">
        <w:t>across all</w:t>
      </w:r>
      <w:r>
        <w:t xml:space="preserve"> the portfolios except for local government. </w:t>
      </w:r>
      <w:r w:rsidR="003E1DC7" w:rsidRPr="003E1DC7">
        <w:t>For example, notifications from the justice (</w:t>
      </w:r>
      <w:r w:rsidR="003E1DC7" w:rsidRPr="003E1DC7">
        <w:rPr>
          <w:b/>
          <w:bCs/>
        </w:rPr>
        <w:t>61</w:t>
      </w:r>
      <w:r w:rsidR="003E1DC7" w:rsidRPr="003E1DC7">
        <w:t>) and education (</w:t>
      </w:r>
      <w:r w:rsidR="003E1DC7" w:rsidRPr="003E1DC7">
        <w:rPr>
          <w:b/>
          <w:bCs/>
        </w:rPr>
        <w:t>20</w:t>
      </w:r>
      <w:r w:rsidR="003E1DC7" w:rsidRPr="003E1DC7">
        <w:t>) portfolios almost halved compared to the last reporting period which were 139 and 43 respectively.</w:t>
      </w:r>
      <w:r w:rsidR="003E1DC7">
        <w:t xml:space="preserve"> R</w:t>
      </w:r>
      <w:r w:rsidRPr="00E803E9">
        <w:rPr>
          <w:rStyle w:val="Emphasis"/>
          <w:rFonts w:cstheme="minorHAnsi"/>
          <w:i w:val="0"/>
          <w:iCs w:val="0"/>
          <w:shd w:val="clear" w:color="auto" w:fill="FFFFFF"/>
        </w:rPr>
        <w:t xml:space="preserve">easons </w:t>
      </w:r>
      <w:r w:rsidR="00DE0B46" w:rsidRPr="00DE0B46">
        <w:rPr>
          <w:rStyle w:val="Emphasis"/>
          <w:rFonts w:cstheme="minorHAnsi"/>
          <w:i w:val="0"/>
          <w:iCs w:val="0"/>
          <w:shd w:val="clear" w:color="auto" w:fill="FFFFFF"/>
        </w:rPr>
        <w:t xml:space="preserve">provided by organisations </w:t>
      </w:r>
      <w:r w:rsidRPr="00E803E9">
        <w:rPr>
          <w:rStyle w:val="Emphasis"/>
          <w:rFonts w:cstheme="minorHAnsi"/>
          <w:i w:val="0"/>
          <w:iCs w:val="0"/>
          <w:shd w:val="clear" w:color="auto" w:fill="FFFFFF"/>
        </w:rPr>
        <w:t>for the decrease in notifications</w:t>
      </w:r>
      <w:r w:rsidR="003E1DC7">
        <w:rPr>
          <w:rStyle w:val="Emphasis"/>
          <w:rFonts w:cstheme="minorHAnsi"/>
          <w:i w:val="0"/>
          <w:iCs w:val="0"/>
          <w:shd w:val="clear" w:color="auto" w:fill="FFFFFF"/>
        </w:rPr>
        <w:t xml:space="preserve"> includes </w:t>
      </w:r>
      <w:r w:rsidR="003E1DC7">
        <w:t xml:space="preserve">difficulties in filling vacancies, actioning and </w:t>
      </w:r>
      <w:r w:rsidR="003E1DC7">
        <w:lastRenderedPageBreak/>
        <w:t>recording incidents to the required standard, as well as pressures of incident response for complex incidents which are prioritised and take up considerable time and resources</w:t>
      </w:r>
      <w:r w:rsidRPr="00E803E9">
        <w:rPr>
          <w:rStyle w:val="Emphasis"/>
          <w:rFonts w:cstheme="minorHAnsi"/>
          <w:i w:val="0"/>
          <w:iCs w:val="0"/>
          <w:shd w:val="clear" w:color="auto" w:fill="FFFFFF"/>
        </w:rPr>
        <w:t>.</w:t>
      </w:r>
      <w:r>
        <w:t xml:space="preserve"> </w:t>
      </w:r>
    </w:p>
    <w:p w14:paraId="6FF4162E" w14:textId="77777777" w:rsidR="00DE68E7" w:rsidRDefault="00DE68E7" w:rsidP="00DE68E7">
      <w:r w:rsidRPr="00C930F4">
        <w:t>A table</w:t>
      </w:r>
      <w:r>
        <w:t xml:space="preserve"> of the portfolio notification numbers for this reporting period and last reporting period is provided below for comparison. </w:t>
      </w:r>
    </w:p>
    <w:tbl>
      <w:tblPr>
        <w:tblStyle w:val="OVICDefaulttable"/>
        <w:tblW w:w="5000" w:type="pct"/>
        <w:tblLook w:val="0420" w:firstRow="1" w:lastRow="0" w:firstColumn="0" w:lastColumn="0" w:noHBand="0" w:noVBand="1"/>
      </w:tblPr>
      <w:tblGrid>
        <w:gridCol w:w="2700"/>
        <w:gridCol w:w="3111"/>
        <w:gridCol w:w="3487"/>
      </w:tblGrid>
      <w:tr w:rsidR="00DE68E7" w:rsidRPr="00B60B0A" w14:paraId="5596C3E9" w14:textId="77777777" w:rsidTr="003D3D25">
        <w:trPr>
          <w:cnfStyle w:val="100000000000" w:firstRow="1" w:lastRow="0" w:firstColumn="0" w:lastColumn="0" w:oddVBand="0" w:evenVBand="0" w:oddHBand="0" w:evenHBand="0" w:firstRowFirstColumn="0" w:firstRowLastColumn="0" w:lastRowFirstColumn="0" w:lastRowLastColumn="0"/>
          <w:trHeight w:val="20"/>
        </w:trPr>
        <w:tc>
          <w:tcPr>
            <w:tcW w:w="1452" w:type="pct"/>
          </w:tcPr>
          <w:p w14:paraId="0203CE89" w14:textId="77777777" w:rsidR="00DE68E7" w:rsidRPr="00B60B0A" w:rsidRDefault="00DE68E7" w:rsidP="003D3D25">
            <w:pPr>
              <w:pStyle w:val="TableText0"/>
            </w:pPr>
            <w:r>
              <w:t>Portfolio</w:t>
            </w:r>
          </w:p>
        </w:tc>
        <w:tc>
          <w:tcPr>
            <w:tcW w:w="1673" w:type="pct"/>
          </w:tcPr>
          <w:p w14:paraId="67171FEE" w14:textId="77777777" w:rsidR="00DE68E7" w:rsidRPr="00B60B0A" w:rsidRDefault="00DE68E7" w:rsidP="003D3D25">
            <w:pPr>
              <w:pStyle w:val="TableText0"/>
            </w:pPr>
            <w:r>
              <w:t>This reporting period (Jan-Jun 2023)</w:t>
            </w:r>
          </w:p>
        </w:tc>
        <w:tc>
          <w:tcPr>
            <w:tcW w:w="1875" w:type="pct"/>
          </w:tcPr>
          <w:p w14:paraId="7D30D636" w14:textId="5C77102E" w:rsidR="00DE68E7" w:rsidRPr="00B60B0A" w:rsidRDefault="00DE68E7" w:rsidP="003D3D25">
            <w:pPr>
              <w:pStyle w:val="TableText0"/>
            </w:pPr>
            <w:r>
              <w:t>Previous reporting period (Jun-Dec 202</w:t>
            </w:r>
            <w:r w:rsidR="00AD47C6">
              <w:t>2</w:t>
            </w:r>
            <w:r>
              <w:t>)</w:t>
            </w:r>
          </w:p>
        </w:tc>
      </w:tr>
      <w:tr w:rsidR="00DE68E7" w:rsidRPr="00B60B0A" w14:paraId="53974BF4" w14:textId="77777777" w:rsidTr="003D3D25">
        <w:trPr>
          <w:trHeight w:val="20"/>
        </w:trPr>
        <w:tc>
          <w:tcPr>
            <w:tcW w:w="1452" w:type="pct"/>
            <w:vAlign w:val="bottom"/>
          </w:tcPr>
          <w:p w14:paraId="13E6A9DF" w14:textId="77777777" w:rsidR="00DE68E7" w:rsidRPr="008A4E3A" w:rsidRDefault="00DE68E7" w:rsidP="003D3D25">
            <w:pPr>
              <w:pStyle w:val="TableText0"/>
              <w:rPr>
                <w:rFonts w:cstheme="majorHAnsi"/>
                <w:szCs w:val="18"/>
              </w:rPr>
            </w:pPr>
            <w:r w:rsidRPr="00545855">
              <w:rPr>
                <w:rFonts w:eastAsia="Times New Roman" w:cstheme="majorHAnsi"/>
                <w:color w:val="000000"/>
                <w:szCs w:val="18"/>
                <w:lang w:eastAsia="en-AU"/>
              </w:rPr>
              <w:t>Premier and Cabinet</w:t>
            </w:r>
          </w:p>
        </w:tc>
        <w:tc>
          <w:tcPr>
            <w:tcW w:w="1673" w:type="pct"/>
            <w:vAlign w:val="bottom"/>
          </w:tcPr>
          <w:p w14:paraId="130F9CE4" w14:textId="77777777" w:rsidR="00DE68E7" w:rsidRPr="008A4E3A" w:rsidRDefault="00DE68E7" w:rsidP="003D3D25">
            <w:pPr>
              <w:pStyle w:val="TableText0"/>
              <w:rPr>
                <w:rFonts w:cstheme="majorHAnsi"/>
                <w:szCs w:val="18"/>
              </w:rPr>
            </w:pPr>
            <w:r w:rsidRPr="00545855">
              <w:rPr>
                <w:rFonts w:eastAsia="Times New Roman" w:cstheme="majorHAnsi"/>
                <w:color w:val="000000"/>
                <w:szCs w:val="18"/>
                <w:lang w:eastAsia="en-AU"/>
              </w:rPr>
              <w:t>0</w:t>
            </w:r>
          </w:p>
        </w:tc>
        <w:tc>
          <w:tcPr>
            <w:tcW w:w="1875" w:type="pct"/>
          </w:tcPr>
          <w:p w14:paraId="5902983D" w14:textId="77777777" w:rsidR="00DE68E7" w:rsidRPr="00B60B0A" w:rsidRDefault="00DE68E7" w:rsidP="003D3D25">
            <w:pPr>
              <w:pStyle w:val="TableText0"/>
            </w:pPr>
            <w:r>
              <w:t>7</w:t>
            </w:r>
          </w:p>
        </w:tc>
      </w:tr>
      <w:tr w:rsidR="00DE68E7" w:rsidRPr="00B60B0A" w14:paraId="0B9DA38F" w14:textId="77777777" w:rsidTr="003D3D25">
        <w:trPr>
          <w:trHeight w:val="20"/>
        </w:trPr>
        <w:tc>
          <w:tcPr>
            <w:tcW w:w="1452" w:type="pct"/>
            <w:vAlign w:val="bottom"/>
          </w:tcPr>
          <w:p w14:paraId="6E49A9C7" w14:textId="77777777" w:rsidR="00DE68E7" w:rsidRPr="008A4E3A" w:rsidRDefault="00DE68E7" w:rsidP="003D3D25">
            <w:pPr>
              <w:pStyle w:val="TableText0"/>
              <w:rPr>
                <w:rFonts w:cstheme="majorHAnsi"/>
                <w:szCs w:val="18"/>
              </w:rPr>
            </w:pPr>
            <w:r w:rsidRPr="00545855">
              <w:rPr>
                <w:rFonts w:eastAsia="Times New Roman" w:cstheme="majorHAnsi"/>
                <w:color w:val="000000"/>
                <w:szCs w:val="18"/>
                <w:lang w:eastAsia="en-AU"/>
              </w:rPr>
              <w:t>Justice and Community Safety</w:t>
            </w:r>
          </w:p>
        </w:tc>
        <w:tc>
          <w:tcPr>
            <w:tcW w:w="1673" w:type="pct"/>
            <w:vAlign w:val="bottom"/>
          </w:tcPr>
          <w:p w14:paraId="1B0324D7" w14:textId="77777777" w:rsidR="00DE68E7" w:rsidRPr="008A4E3A" w:rsidRDefault="00DE68E7" w:rsidP="003D3D25">
            <w:pPr>
              <w:pStyle w:val="TableText0"/>
              <w:rPr>
                <w:rFonts w:cstheme="majorHAnsi"/>
                <w:szCs w:val="18"/>
              </w:rPr>
            </w:pPr>
            <w:r w:rsidRPr="00545855">
              <w:rPr>
                <w:rFonts w:eastAsia="Times New Roman" w:cstheme="majorHAnsi"/>
                <w:color w:val="000000"/>
                <w:szCs w:val="18"/>
                <w:lang w:eastAsia="en-AU"/>
              </w:rPr>
              <w:t>61</w:t>
            </w:r>
          </w:p>
        </w:tc>
        <w:tc>
          <w:tcPr>
            <w:tcW w:w="1875" w:type="pct"/>
          </w:tcPr>
          <w:p w14:paraId="62A91529" w14:textId="77777777" w:rsidR="00DE68E7" w:rsidRPr="00B60B0A" w:rsidRDefault="00DE68E7" w:rsidP="003D3D25">
            <w:pPr>
              <w:pStyle w:val="TableText0"/>
            </w:pPr>
            <w:r>
              <w:t>139</w:t>
            </w:r>
          </w:p>
        </w:tc>
      </w:tr>
      <w:tr w:rsidR="00DE68E7" w:rsidRPr="00B60B0A" w14:paraId="4ED34300" w14:textId="77777777" w:rsidTr="003D3D25">
        <w:trPr>
          <w:trHeight w:val="20"/>
        </w:trPr>
        <w:tc>
          <w:tcPr>
            <w:tcW w:w="1452" w:type="pct"/>
            <w:vAlign w:val="bottom"/>
          </w:tcPr>
          <w:p w14:paraId="39985A60" w14:textId="77777777" w:rsidR="00DE68E7" w:rsidRPr="008A4E3A" w:rsidRDefault="00DE68E7" w:rsidP="003D3D25">
            <w:pPr>
              <w:pStyle w:val="TableText0"/>
              <w:rPr>
                <w:rFonts w:eastAsia="Times New Roman" w:cstheme="majorHAnsi"/>
                <w:color w:val="000000"/>
                <w:szCs w:val="18"/>
                <w:lang w:eastAsia="en-AU"/>
              </w:rPr>
            </w:pPr>
            <w:r w:rsidRPr="00545855">
              <w:rPr>
                <w:rFonts w:eastAsia="Times New Roman" w:cstheme="majorHAnsi"/>
                <w:color w:val="000000"/>
                <w:szCs w:val="18"/>
                <w:lang w:eastAsia="en-AU"/>
              </w:rPr>
              <w:t>Families, Fairness and Housing</w:t>
            </w:r>
          </w:p>
        </w:tc>
        <w:tc>
          <w:tcPr>
            <w:tcW w:w="1673" w:type="pct"/>
            <w:vAlign w:val="bottom"/>
          </w:tcPr>
          <w:p w14:paraId="24CFDBE9" w14:textId="77777777" w:rsidR="00DE68E7" w:rsidRPr="008A4E3A" w:rsidRDefault="00DE68E7" w:rsidP="003D3D25">
            <w:pPr>
              <w:pStyle w:val="TableText0"/>
              <w:rPr>
                <w:rFonts w:eastAsia="Times New Roman" w:cstheme="majorHAnsi"/>
                <w:color w:val="000000"/>
                <w:szCs w:val="18"/>
                <w:lang w:eastAsia="en-AU"/>
              </w:rPr>
            </w:pPr>
            <w:r w:rsidRPr="00545855">
              <w:rPr>
                <w:rFonts w:eastAsia="Times New Roman" w:cstheme="majorHAnsi"/>
                <w:color w:val="000000"/>
                <w:szCs w:val="18"/>
                <w:lang w:eastAsia="en-AU"/>
              </w:rPr>
              <w:t>1</w:t>
            </w:r>
          </w:p>
        </w:tc>
        <w:tc>
          <w:tcPr>
            <w:tcW w:w="1875" w:type="pct"/>
          </w:tcPr>
          <w:p w14:paraId="5534349D" w14:textId="77777777" w:rsidR="00DE68E7" w:rsidRPr="00B60B0A" w:rsidRDefault="00DE68E7" w:rsidP="003D3D25">
            <w:pPr>
              <w:pStyle w:val="TableText0"/>
            </w:pPr>
            <w:r>
              <w:t>7</w:t>
            </w:r>
          </w:p>
        </w:tc>
      </w:tr>
      <w:tr w:rsidR="00DE68E7" w:rsidRPr="00B60B0A" w14:paraId="61D0A159" w14:textId="77777777" w:rsidTr="003D3D25">
        <w:trPr>
          <w:trHeight w:val="20"/>
        </w:trPr>
        <w:tc>
          <w:tcPr>
            <w:tcW w:w="1452" w:type="pct"/>
            <w:vAlign w:val="bottom"/>
          </w:tcPr>
          <w:p w14:paraId="19BE3A48" w14:textId="77777777" w:rsidR="00DE68E7" w:rsidRPr="008A4E3A" w:rsidRDefault="00DE68E7" w:rsidP="003D3D25">
            <w:pPr>
              <w:pStyle w:val="TableText0"/>
              <w:rPr>
                <w:rFonts w:eastAsia="Times New Roman" w:cstheme="majorHAnsi"/>
                <w:color w:val="000000"/>
                <w:szCs w:val="18"/>
                <w:lang w:eastAsia="en-AU"/>
              </w:rPr>
            </w:pPr>
            <w:r w:rsidRPr="00545855">
              <w:rPr>
                <w:rFonts w:eastAsia="Times New Roman" w:cstheme="majorHAnsi"/>
                <w:color w:val="000000"/>
                <w:szCs w:val="18"/>
                <w:lang w:eastAsia="en-AU"/>
              </w:rPr>
              <w:t>Education</w:t>
            </w:r>
          </w:p>
        </w:tc>
        <w:tc>
          <w:tcPr>
            <w:tcW w:w="1673" w:type="pct"/>
            <w:vAlign w:val="bottom"/>
          </w:tcPr>
          <w:p w14:paraId="31CEA97C" w14:textId="77777777" w:rsidR="00DE68E7" w:rsidRPr="008A4E3A" w:rsidRDefault="00DE68E7" w:rsidP="003D3D25">
            <w:pPr>
              <w:pStyle w:val="TableText0"/>
              <w:rPr>
                <w:rFonts w:eastAsia="Times New Roman" w:cstheme="majorHAnsi"/>
                <w:color w:val="000000"/>
                <w:szCs w:val="18"/>
                <w:lang w:eastAsia="en-AU"/>
              </w:rPr>
            </w:pPr>
            <w:r w:rsidRPr="00545855">
              <w:rPr>
                <w:rFonts w:eastAsia="Times New Roman" w:cstheme="majorHAnsi"/>
                <w:color w:val="000000"/>
                <w:szCs w:val="18"/>
                <w:lang w:eastAsia="en-AU"/>
              </w:rPr>
              <w:t>20</w:t>
            </w:r>
          </w:p>
        </w:tc>
        <w:tc>
          <w:tcPr>
            <w:tcW w:w="1875" w:type="pct"/>
          </w:tcPr>
          <w:p w14:paraId="6048BEE8" w14:textId="77777777" w:rsidR="00DE68E7" w:rsidRPr="00B60B0A" w:rsidRDefault="00DE68E7" w:rsidP="003D3D25">
            <w:pPr>
              <w:pStyle w:val="TableText0"/>
            </w:pPr>
            <w:r>
              <w:t>43</w:t>
            </w:r>
          </w:p>
        </w:tc>
      </w:tr>
    </w:tbl>
    <w:p w14:paraId="2157541A" w14:textId="423A1502" w:rsidR="00D452E6" w:rsidRPr="00D452E6" w:rsidRDefault="00D452E6" w:rsidP="00E803E9">
      <w:r w:rsidRPr="00D452E6">
        <w:t>Notifications from local government organisations continue to almost double (</w:t>
      </w:r>
      <w:r w:rsidRPr="00D452E6">
        <w:rPr>
          <w:b/>
          <w:bCs/>
        </w:rPr>
        <w:t>26</w:t>
      </w:r>
      <w:r w:rsidRPr="00D452E6">
        <w:t xml:space="preserve">) compared to the previous reporting periods July to December 2022 with </w:t>
      </w:r>
      <w:r w:rsidRPr="002B544E">
        <w:rPr>
          <w:b/>
          <w:bCs/>
        </w:rPr>
        <w:t>15</w:t>
      </w:r>
      <w:r w:rsidRPr="00D452E6">
        <w:t xml:space="preserve"> and January to June 2022 with </w:t>
      </w:r>
      <w:r w:rsidR="009733AC" w:rsidRPr="00B60F83">
        <w:t>eight</w:t>
      </w:r>
      <w:r w:rsidRPr="00D452E6">
        <w:t xml:space="preserve"> </w:t>
      </w:r>
      <w:r w:rsidR="00B60F83">
        <w:t>(</w:t>
      </w:r>
      <w:r w:rsidR="00B60F83" w:rsidRPr="00B60F83">
        <w:rPr>
          <w:b/>
          <w:bCs/>
        </w:rPr>
        <w:t>8</w:t>
      </w:r>
      <w:r w:rsidR="00B60F83">
        <w:t xml:space="preserve">) </w:t>
      </w:r>
      <w:r w:rsidRPr="00D452E6">
        <w:t>notifications.</w:t>
      </w:r>
    </w:p>
    <w:p w14:paraId="428A2096" w14:textId="485084E2" w:rsidR="00E803E9" w:rsidRPr="00E803E9" w:rsidRDefault="00903437" w:rsidP="00E803E9">
      <w:r>
        <w:t>T</w:t>
      </w:r>
      <w:r w:rsidR="00E803E9" w:rsidRPr="00E803E9">
        <w:t xml:space="preserve">he portfolios used for this reporting period to group organisations </w:t>
      </w:r>
      <w:r w:rsidR="002B544E">
        <w:t>include the</w:t>
      </w:r>
      <w:r w:rsidR="00E803E9" w:rsidRPr="00E803E9">
        <w:t xml:space="preserve"> name changes and machinery of government changes</w:t>
      </w:r>
      <w:r w:rsidR="002B544E">
        <w:t xml:space="preserve"> that came into effect 1 January 2023</w:t>
      </w:r>
      <w:r w:rsidR="00E803E9" w:rsidRPr="00E803E9">
        <w:t>.</w:t>
      </w:r>
      <w:r w:rsidR="002B544E">
        <w:t xml:space="preserve"> There were no incidents received from </w:t>
      </w:r>
      <w:r w:rsidR="009733AC">
        <w:t>the premier and cabinet</w:t>
      </w:r>
      <w:r w:rsidR="002B544E">
        <w:t xml:space="preserve"> portfolio.</w:t>
      </w:r>
    </w:p>
    <w:p w14:paraId="4E1B2B4F" w14:textId="4F89E2DC" w:rsidR="00E803E9" w:rsidRPr="00C930F4" w:rsidRDefault="00E803E9" w:rsidP="00E803E9">
      <w:pPr>
        <w:rPr>
          <w:rStyle w:val="Emphasis"/>
          <w:i w:val="0"/>
          <w:iCs w:val="0"/>
        </w:rPr>
      </w:pPr>
      <w:r w:rsidRPr="00C930F4">
        <w:rPr>
          <w:rStyle w:val="Emphasis"/>
          <w:i w:val="0"/>
          <w:iCs w:val="0"/>
        </w:rPr>
        <w:t xml:space="preserve">This reporting period saw </w:t>
      </w:r>
      <w:r w:rsidR="009733AC" w:rsidRPr="00C930F4">
        <w:rPr>
          <w:rStyle w:val="Emphasis"/>
          <w:i w:val="0"/>
          <w:iCs w:val="0"/>
        </w:rPr>
        <w:t>six</w:t>
      </w:r>
      <w:r w:rsidR="00B60F83">
        <w:rPr>
          <w:rStyle w:val="Emphasis"/>
          <w:i w:val="0"/>
          <w:iCs w:val="0"/>
        </w:rPr>
        <w:t xml:space="preserve"> (</w:t>
      </w:r>
      <w:r w:rsidR="00B60F83" w:rsidRPr="00B60F83">
        <w:rPr>
          <w:rStyle w:val="Emphasis"/>
          <w:b/>
          <w:bCs/>
          <w:i w:val="0"/>
          <w:iCs w:val="0"/>
        </w:rPr>
        <w:t>6</w:t>
      </w:r>
      <w:r w:rsidR="00B60F83">
        <w:rPr>
          <w:rStyle w:val="Emphasis"/>
          <w:i w:val="0"/>
          <w:iCs w:val="0"/>
        </w:rPr>
        <w:t>)</w:t>
      </w:r>
      <w:r w:rsidRPr="00C930F4">
        <w:rPr>
          <w:rStyle w:val="Emphasis"/>
          <w:i w:val="0"/>
          <w:iCs w:val="0"/>
        </w:rPr>
        <w:t xml:space="preserve"> </w:t>
      </w:r>
      <w:r w:rsidRPr="00C930F4">
        <w:rPr>
          <w:rStyle w:val="Emphasis"/>
          <w:b/>
          <w:bCs/>
          <w:i w:val="0"/>
          <w:iCs w:val="0"/>
        </w:rPr>
        <w:t>Other</w:t>
      </w:r>
      <w:r w:rsidRPr="00C930F4">
        <w:rPr>
          <w:rStyle w:val="Emphasis"/>
          <w:i w:val="0"/>
          <w:iCs w:val="0"/>
        </w:rPr>
        <w:t xml:space="preserve"> notifications received from:</w:t>
      </w:r>
    </w:p>
    <w:p w14:paraId="4DFCEEF7" w14:textId="7B686300" w:rsidR="009733AC" w:rsidRPr="00C930F4" w:rsidRDefault="009733AC" w:rsidP="00E803E9">
      <w:pPr>
        <w:pStyle w:val="ListParagraph"/>
        <w:numPr>
          <w:ilvl w:val="0"/>
          <w:numId w:val="41"/>
        </w:numPr>
        <w:rPr>
          <w:rStyle w:val="Emphasis"/>
          <w:i w:val="0"/>
          <w:iCs w:val="0"/>
        </w:rPr>
      </w:pPr>
      <w:r w:rsidRPr="00C930F4">
        <w:rPr>
          <w:rStyle w:val="Emphasis"/>
          <w:i w:val="0"/>
          <w:iCs w:val="0"/>
        </w:rPr>
        <w:t>organisations who do not reside under a portfolio e.g., Victorian Ombudsman;</w:t>
      </w:r>
    </w:p>
    <w:p w14:paraId="03594E7E" w14:textId="50B87E85" w:rsidR="00E803E9" w:rsidRPr="00C930F4" w:rsidRDefault="00E803E9" w:rsidP="00E803E9">
      <w:pPr>
        <w:pStyle w:val="ListParagraph"/>
        <w:numPr>
          <w:ilvl w:val="0"/>
          <w:numId w:val="41"/>
        </w:numPr>
        <w:rPr>
          <w:rStyle w:val="Emphasis"/>
          <w:i w:val="0"/>
          <w:iCs w:val="0"/>
        </w:rPr>
      </w:pPr>
      <w:r w:rsidRPr="00C930F4">
        <w:rPr>
          <w:rStyle w:val="Emphasis"/>
          <w:i w:val="0"/>
          <w:iCs w:val="0"/>
        </w:rPr>
        <w:t xml:space="preserve">other jurisdictions; </w:t>
      </w:r>
    </w:p>
    <w:p w14:paraId="1424F49E" w14:textId="72C4F278" w:rsidR="00E803E9" w:rsidRPr="00C930F4" w:rsidRDefault="00E803E9" w:rsidP="00E803E9">
      <w:pPr>
        <w:pStyle w:val="ListParagraph"/>
        <w:numPr>
          <w:ilvl w:val="0"/>
          <w:numId w:val="41"/>
        </w:numPr>
        <w:rPr>
          <w:rStyle w:val="Emphasis"/>
          <w:i w:val="0"/>
          <w:iCs w:val="0"/>
        </w:rPr>
      </w:pPr>
      <w:r w:rsidRPr="00C930F4">
        <w:rPr>
          <w:rStyle w:val="Emphasis"/>
          <w:i w:val="0"/>
          <w:iCs w:val="0"/>
        </w:rPr>
        <w:t xml:space="preserve">third parties who suffered an incident such as the </w:t>
      </w:r>
      <w:hyperlink r:id="rId12" w:history="1">
        <w:r w:rsidR="00015CA0" w:rsidRPr="00C930F4">
          <w:rPr>
            <w:rStyle w:val="Hyperlink"/>
            <w:color w:val="430098" w:themeColor="text2"/>
          </w:rPr>
          <w:t>Latitude</w:t>
        </w:r>
      </w:hyperlink>
      <w:r w:rsidRPr="00C930F4">
        <w:rPr>
          <w:rStyle w:val="Emphasis"/>
          <w:i w:val="0"/>
          <w:iCs w:val="0"/>
          <w:u w:color="430098"/>
        </w:rPr>
        <w:t xml:space="preserve"> </w:t>
      </w:r>
      <w:r w:rsidRPr="00C930F4">
        <w:rPr>
          <w:rStyle w:val="Emphasis"/>
          <w:i w:val="0"/>
          <w:iCs w:val="0"/>
        </w:rPr>
        <w:t xml:space="preserve">and </w:t>
      </w:r>
      <w:hyperlink r:id="rId13" w:history="1">
        <w:r w:rsidR="00015CA0" w:rsidRPr="00C930F4">
          <w:rPr>
            <w:rStyle w:val="Hyperlink"/>
            <w:color w:val="430098" w:themeColor="text2"/>
          </w:rPr>
          <w:t>HWL Ebsworth</w:t>
        </w:r>
      </w:hyperlink>
      <w:r w:rsidRPr="00C930F4">
        <w:rPr>
          <w:rStyle w:val="Emphasis"/>
          <w:i w:val="0"/>
          <w:iCs w:val="0"/>
        </w:rPr>
        <w:t xml:space="preserve"> data breach</w:t>
      </w:r>
      <w:r w:rsidR="003E1DC7">
        <w:rPr>
          <w:rStyle w:val="Emphasis"/>
          <w:i w:val="0"/>
          <w:iCs w:val="0"/>
        </w:rPr>
        <w:t>es</w:t>
      </w:r>
      <w:r w:rsidRPr="00C930F4">
        <w:rPr>
          <w:rStyle w:val="Emphasis"/>
          <w:i w:val="0"/>
          <w:iCs w:val="0"/>
        </w:rPr>
        <w:t xml:space="preserve"> </w:t>
      </w:r>
      <w:hyperlink w:history="1"/>
      <w:r w:rsidRPr="00C930F4">
        <w:rPr>
          <w:rStyle w:val="Emphasis"/>
          <w:i w:val="0"/>
          <w:iCs w:val="0"/>
        </w:rPr>
        <w:t xml:space="preserve">where Victorian public sector information was affected; and </w:t>
      </w:r>
    </w:p>
    <w:p w14:paraId="68C917C1" w14:textId="711900CC" w:rsidR="00E803E9" w:rsidRPr="00C930F4" w:rsidRDefault="009733AC" w:rsidP="00E803E9">
      <w:pPr>
        <w:pStyle w:val="ListParagraph"/>
        <w:numPr>
          <w:ilvl w:val="0"/>
          <w:numId w:val="41"/>
        </w:numPr>
        <w:rPr>
          <w:rStyle w:val="Emphasis"/>
          <w:i w:val="0"/>
          <w:iCs w:val="0"/>
        </w:rPr>
      </w:pPr>
      <w:r w:rsidRPr="00C930F4">
        <w:rPr>
          <w:rStyle w:val="Emphasis"/>
          <w:i w:val="0"/>
          <w:iCs w:val="0"/>
        </w:rPr>
        <w:t>multiple Victorian public sector organisations across multiple portfolios who were affected by the same incident</w:t>
      </w:r>
      <w:r w:rsidR="00E803E9" w:rsidRPr="00DE0B46">
        <w:rPr>
          <w:rStyle w:val="Emphasis"/>
          <w:i w:val="0"/>
          <w:iCs w:val="0"/>
        </w:rPr>
        <w:t>.</w:t>
      </w:r>
      <w:r w:rsidR="00E803E9" w:rsidRPr="00C930F4">
        <w:rPr>
          <w:rStyle w:val="Emphasis"/>
          <w:i w:val="0"/>
          <w:iCs w:val="0"/>
        </w:rPr>
        <w:t xml:space="preserve"> </w:t>
      </w:r>
    </w:p>
    <w:p w14:paraId="34B64D02" w14:textId="77777777" w:rsidR="00F4430E" w:rsidRDefault="00F4430E" w:rsidP="002744D6">
      <w:pPr>
        <w:pStyle w:val="Heading3"/>
        <w:pageBreakBefore/>
      </w:pPr>
      <w:r>
        <w:lastRenderedPageBreak/>
        <w:t xml:space="preserve">Information format </w:t>
      </w:r>
      <w:r w:rsidRPr="002C6E03">
        <w:t>(Multiple options can be selected)</w:t>
      </w:r>
    </w:p>
    <w:p w14:paraId="11CF4758" w14:textId="5D86A1D7" w:rsidR="00A4119B" w:rsidRDefault="00E22C84" w:rsidP="00F4430E">
      <w:r w:rsidRPr="00E22C84">
        <w:rPr>
          <w:noProof/>
        </w:rPr>
        <w:drawing>
          <wp:inline distT="0" distB="0" distL="0" distR="0" wp14:anchorId="10FB96BD" wp14:editId="6CCEDEA4">
            <wp:extent cx="5904230" cy="4178935"/>
            <wp:effectExtent l="0" t="0" r="1270" b="0"/>
            <wp:docPr id="1989853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853262" name=""/>
                    <pic:cNvPicPr/>
                  </pic:nvPicPr>
                  <pic:blipFill>
                    <a:blip r:embed="rId14"/>
                    <a:stretch>
                      <a:fillRect/>
                    </a:stretch>
                  </pic:blipFill>
                  <pic:spPr>
                    <a:xfrm>
                      <a:off x="0" y="0"/>
                      <a:ext cx="5904230" cy="4178935"/>
                    </a:xfrm>
                    <a:prstGeom prst="rect">
                      <a:avLst/>
                    </a:prstGeom>
                  </pic:spPr>
                </pic:pic>
              </a:graphicData>
            </a:graphic>
          </wp:inline>
        </w:drawing>
      </w:r>
    </w:p>
    <w:p w14:paraId="519746F1" w14:textId="5D1BE28E" w:rsidR="003567E4" w:rsidRDefault="00A4119B" w:rsidP="00F4430E">
      <w:r>
        <w:t>Insights:</w:t>
      </w:r>
    </w:p>
    <w:p w14:paraId="06E10D75" w14:textId="6037D06A" w:rsidR="00F4430E" w:rsidRPr="009C752B" w:rsidRDefault="00A4119B" w:rsidP="00F4430E">
      <w:r>
        <w:t>Notifications</w:t>
      </w:r>
      <w:r w:rsidRPr="009C752B">
        <w:t xml:space="preserve"> </w:t>
      </w:r>
      <w:r w:rsidR="00D0731A" w:rsidRPr="009C752B">
        <w:t>affecting electronic information continues to be the most selected information format</w:t>
      </w:r>
      <w:r w:rsidR="00F4430E" w:rsidRPr="009C752B">
        <w:t>. Most notifications (</w:t>
      </w:r>
      <w:r w:rsidR="00935C80" w:rsidRPr="009C752B">
        <w:rPr>
          <w:b/>
          <w:bCs/>
        </w:rPr>
        <w:t>242</w:t>
      </w:r>
      <w:r w:rsidR="00F4430E" w:rsidRPr="009C752B">
        <w:t xml:space="preserve">) indicated compromises of </w:t>
      </w:r>
      <w:r w:rsidR="00F4430E" w:rsidRPr="009C752B">
        <w:rPr>
          <w:b/>
          <w:bCs/>
        </w:rPr>
        <w:t>electronic</w:t>
      </w:r>
      <w:r w:rsidR="00F4430E" w:rsidRPr="009C752B">
        <w:t xml:space="preserve"> information followed by </w:t>
      </w:r>
      <w:r w:rsidR="00F4430E" w:rsidRPr="009C752B">
        <w:rPr>
          <w:b/>
          <w:bCs/>
        </w:rPr>
        <w:t>hard copy</w:t>
      </w:r>
      <w:r w:rsidR="00F4430E" w:rsidRPr="009C752B">
        <w:t xml:space="preserve"> information (</w:t>
      </w:r>
      <w:r w:rsidR="00935C80" w:rsidRPr="009C752B">
        <w:rPr>
          <w:b/>
          <w:bCs/>
        </w:rPr>
        <w:t>41</w:t>
      </w:r>
      <w:r w:rsidR="00F4430E" w:rsidRPr="009C752B">
        <w:t>)</w:t>
      </w:r>
      <w:r w:rsidR="00D0731A" w:rsidRPr="009C752B">
        <w:t xml:space="preserve"> and </w:t>
      </w:r>
      <w:r w:rsidR="00F4430E" w:rsidRPr="009C752B">
        <w:rPr>
          <w:b/>
          <w:bCs/>
        </w:rPr>
        <w:t>verbal</w:t>
      </w:r>
      <w:r w:rsidR="00F4430E" w:rsidRPr="009C752B">
        <w:t xml:space="preserve"> information (</w:t>
      </w:r>
      <w:r w:rsidR="00D0731A" w:rsidRPr="009C752B">
        <w:rPr>
          <w:b/>
          <w:bCs/>
        </w:rPr>
        <w:t>4</w:t>
      </w:r>
      <w:r w:rsidR="00F4430E" w:rsidRPr="009C752B">
        <w:t xml:space="preserve">).   </w:t>
      </w:r>
    </w:p>
    <w:p w14:paraId="02CDEA7E" w14:textId="5408E24D" w:rsidR="00F4430E" w:rsidRPr="009C752B" w:rsidRDefault="00935C80" w:rsidP="00F4430E">
      <w:r w:rsidRPr="009C752B">
        <w:rPr>
          <w:b/>
          <w:bCs/>
        </w:rPr>
        <w:t>60%</w:t>
      </w:r>
      <w:r w:rsidR="00F4430E" w:rsidRPr="009C752B">
        <w:t xml:space="preserve"> of the incidents affecting electronic information related to emails</w:t>
      </w:r>
      <w:r w:rsidRPr="009C752B">
        <w:t xml:space="preserve"> with almost </w:t>
      </w:r>
      <w:r w:rsidR="00F4430E" w:rsidRPr="009C752B">
        <w:rPr>
          <w:b/>
          <w:bCs/>
        </w:rPr>
        <w:t>70%</w:t>
      </w:r>
      <w:r w:rsidR="00F4430E" w:rsidRPr="009C752B">
        <w:t xml:space="preserve"> of these email</w:t>
      </w:r>
      <w:r w:rsidRPr="009C752B">
        <w:t xml:space="preserve"> incident</w:t>
      </w:r>
      <w:r w:rsidR="00F4430E" w:rsidRPr="009C752B">
        <w:t>s involv</w:t>
      </w:r>
      <w:r w:rsidRPr="009C752B">
        <w:t>ing</w:t>
      </w:r>
      <w:r w:rsidR="00F4430E" w:rsidRPr="009C752B">
        <w:t xml:space="preserve"> sending emails to the incorrect recipient. </w:t>
      </w:r>
    </w:p>
    <w:p w14:paraId="30A9A4F6" w14:textId="1BEDAEF9" w:rsidR="00F4430E" w:rsidRPr="00B918AC" w:rsidRDefault="009C752B" w:rsidP="00DF4408">
      <w:r w:rsidRPr="009C752B">
        <w:t>Similarly,</w:t>
      </w:r>
      <w:r w:rsidRPr="009C752B">
        <w:rPr>
          <w:b/>
          <w:bCs/>
        </w:rPr>
        <w:t xml:space="preserve"> 60%</w:t>
      </w:r>
      <w:r w:rsidR="00F4430E" w:rsidRPr="009C752B">
        <w:t xml:space="preserve"> of the incidents involving hard copy information were related to mail. </w:t>
      </w:r>
      <w:r w:rsidR="00DF4408">
        <w:t xml:space="preserve">Misdelivery (sending something to the wrong recipient) also tops the miscellaneous errors in the Verizon </w:t>
      </w:r>
      <w:hyperlink r:id="rId15" w:history="1">
        <w:r w:rsidR="00DF4408" w:rsidRPr="00F6447A">
          <w:rPr>
            <w:rStyle w:val="Hyperlink"/>
          </w:rPr>
          <w:t>2023 Data Br</w:t>
        </w:r>
        <w:r w:rsidR="00DF4408">
          <w:rPr>
            <w:rStyle w:val="Hyperlink"/>
          </w:rPr>
          <w:t>e</w:t>
        </w:r>
        <w:r w:rsidR="00DF4408" w:rsidRPr="00F6447A">
          <w:rPr>
            <w:rStyle w:val="Hyperlink"/>
          </w:rPr>
          <w:t xml:space="preserve">ach Investigations </w:t>
        </w:r>
        <w:r w:rsidR="00DF4408">
          <w:rPr>
            <w:rStyle w:val="Hyperlink"/>
          </w:rPr>
          <w:t>R</w:t>
        </w:r>
        <w:r w:rsidR="00DF4408" w:rsidRPr="00F6447A">
          <w:rPr>
            <w:rStyle w:val="Hyperlink"/>
          </w:rPr>
          <w:t>eport</w:t>
        </w:r>
      </w:hyperlink>
      <w:r w:rsidR="00DF4408">
        <w:t xml:space="preserve"> (</w:t>
      </w:r>
      <w:r w:rsidR="00DF4408" w:rsidRPr="009718B3">
        <w:rPr>
          <w:b/>
          <w:bCs/>
        </w:rPr>
        <w:t>DBIR</w:t>
      </w:r>
      <w:r w:rsidR="00DF4408">
        <w:t>) and accounts for 43% of breach-related errors.</w:t>
      </w:r>
    </w:p>
    <w:p w14:paraId="772A4C41" w14:textId="58247DF2" w:rsidR="00F4430E" w:rsidRDefault="00F4430E" w:rsidP="00F4430E">
      <w:r w:rsidRPr="00F27312">
        <w:t xml:space="preserve">Although </w:t>
      </w:r>
      <w:r>
        <w:t xml:space="preserve">it is </w:t>
      </w:r>
      <w:r w:rsidRPr="00F27312">
        <w:t xml:space="preserve">uncommon for multiple information formats to be affected in the same incident, multiple options can be selected for this field. There were </w:t>
      </w:r>
      <w:r w:rsidR="005A5D7D">
        <w:t>four</w:t>
      </w:r>
      <w:r w:rsidRPr="00F27312">
        <w:t xml:space="preserve"> (</w:t>
      </w:r>
      <w:r w:rsidR="005A5D7D" w:rsidRPr="005A5D7D">
        <w:rPr>
          <w:b/>
          <w:bCs/>
        </w:rPr>
        <w:t>4</w:t>
      </w:r>
      <w:r w:rsidRPr="00F27312">
        <w:t xml:space="preserve">) notifications that selected more than one information format attribute. </w:t>
      </w:r>
    </w:p>
    <w:p w14:paraId="1111C477" w14:textId="23C15CDE" w:rsidR="00F4430E" w:rsidRDefault="00F4430E" w:rsidP="00F4430E">
      <w:pPr>
        <w:rPr>
          <w:i/>
          <w:iCs/>
        </w:rPr>
      </w:pPr>
      <w:r w:rsidRPr="00F27312">
        <w:lastRenderedPageBreak/>
        <w:t xml:space="preserve">For example, </w:t>
      </w:r>
      <w:r w:rsidR="00D55A6D">
        <w:t>two of these incidents related to stolen ICT equipment and hard copy documents</w:t>
      </w:r>
      <w:r w:rsidRPr="00F27312">
        <w:t>. Another incident was related to an employee</w:t>
      </w:r>
      <w:r w:rsidR="00D55A6D">
        <w:t xml:space="preserve"> having incorrect permissions and accessing sensitive information on a system followed by sharing it verbally with others in the team</w:t>
      </w:r>
      <w:r w:rsidRPr="00F27312">
        <w:t xml:space="preserve">. </w:t>
      </w:r>
    </w:p>
    <w:p w14:paraId="1A115AC8" w14:textId="44A5A00E" w:rsidR="00F4430E" w:rsidRPr="00D55A6D" w:rsidRDefault="00F4430E" w:rsidP="00F4430E">
      <w:r>
        <w:t xml:space="preserve">Consistent with previous notification periods, </w:t>
      </w:r>
      <w:r w:rsidR="00B445E3">
        <w:rPr>
          <w:b/>
          <w:bCs/>
        </w:rPr>
        <w:t>63</w:t>
      </w:r>
      <w:r w:rsidRPr="00476107">
        <w:rPr>
          <w:b/>
          <w:bCs/>
        </w:rPr>
        <w:t>%</w:t>
      </w:r>
      <w:r>
        <w:t xml:space="preserve"> of the incident notifications, regardless of information format, involved unauthorised release/disclosure of information including verbal disclosures; sending emails or mail to the incorrect recipient; or attaching the incorrect information. </w:t>
      </w:r>
    </w:p>
    <w:p w14:paraId="176ADDD9" w14:textId="1B1B0B8D" w:rsidR="00A6671C" w:rsidRDefault="00A6671C" w:rsidP="002744D6">
      <w:pPr>
        <w:pStyle w:val="Heading3"/>
        <w:keepLines w:val="0"/>
        <w:pageBreakBefore/>
      </w:pPr>
      <w:r>
        <w:lastRenderedPageBreak/>
        <w:t xml:space="preserve">Type of information impacted </w:t>
      </w:r>
      <w:r w:rsidRPr="002C6E03">
        <w:t>(Multiple options can be selected)</w:t>
      </w:r>
    </w:p>
    <w:p w14:paraId="24F569FF" w14:textId="256D329E" w:rsidR="00B233EA" w:rsidRDefault="00863DE3" w:rsidP="00A6671C">
      <w:r w:rsidRPr="00863DE3">
        <w:rPr>
          <w:noProof/>
        </w:rPr>
        <w:drawing>
          <wp:inline distT="0" distB="0" distL="0" distR="0" wp14:anchorId="693B90B8" wp14:editId="44569C9B">
            <wp:extent cx="5904230" cy="5419725"/>
            <wp:effectExtent l="0" t="0" r="1270" b="9525"/>
            <wp:docPr id="22253743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537434" name="Picture 1" descr="A screenshot of a computer&#10;&#10;Description automatically generated"/>
                    <pic:cNvPicPr/>
                  </pic:nvPicPr>
                  <pic:blipFill>
                    <a:blip r:embed="rId16"/>
                    <a:stretch>
                      <a:fillRect/>
                    </a:stretch>
                  </pic:blipFill>
                  <pic:spPr>
                    <a:xfrm>
                      <a:off x="0" y="0"/>
                      <a:ext cx="5904230" cy="5419725"/>
                    </a:xfrm>
                    <a:prstGeom prst="rect">
                      <a:avLst/>
                    </a:prstGeom>
                  </pic:spPr>
                </pic:pic>
              </a:graphicData>
            </a:graphic>
          </wp:inline>
        </w:drawing>
      </w:r>
    </w:p>
    <w:p w14:paraId="7BF9A6A7" w14:textId="7761FACB" w:rsidR="00A4119B" w:rsidRDefault="00A4119B" w:rsidP="00A6671C">
      <w:r>
        <w:t>Insights:</w:t>
      </w:r>
    </w:p>
    <w:p w14:paraId="4EDF60CE" w14:textId="381C4B84" w:rsidR="00A6671C" w:rsidRDefault="00A6671C" w:rsidP="00A6671C">
      <w:r>
        <w:t>Notifications regarding the type of information involved in incidents were consistent with previous reporting periods. Once again, most (</w:t>
      </w:r>
      <w:r w:rsidRPr="000133E0">
        <w:rPr>
          <w:b/>
          <w:bCs/>
        </w:rPr>
        <w:t>9</w:t>
      </w:r>
      <w:r w:rsidR="00DE1DCC">
        <w:rPr>
          <w:b/>
          <w:bCs/>
        </w:rPr>
        <w:t>5</w:t>
      </w:r>
      <w:r w:rsidRPr="000133E0">
        <w:rPr>
          <w:b/>
          <w:bCs/>
        </w:rPr>
        <w:t>%</w:t>
      </w:r>
      <w:r>
        <w:t xml:space="preserve">) notifications indicated compromises of </w:t>
      </w:r>
      <w:r w:rsidRPr="00863DE3">
        <w:rPr>
          <w:b/>
          <w:bCs/>
        </w:rPr>
        <w:t>personal</w:t>
      </w:r>
      <w:r>
        <w:t xml:space="preserve"> information followed by </w:t>
      </w:r>
      <w:r w:rsidRPr="00863DE3">
        <w:rPr>
          <w:b/>
          <w:bCs/>
        </w:rPr>
        <w:t>health</w:t>
      </w:r>
      <w:r>
        <w:t xml:space="preserve"> information. </w:t>
      </w:r>
    </w:p>
    <w:p w14:paraId="6A91A556" w14:textId="0AC3947B" w:rsidR="00A6671C" w:rsidRDefault="00A6671C" w:rsidP="00A6671C">
      <w:r>
        <w:t>There were</w:t>
      </w:r>
      <w:r w:rsidR="005527B6">
        <w:t xml:space="preserve"> five percent</w:t>
      </w:r>
      <w:r>
        <w:t xml:space="preserve"> </w:t>
      </w:r>
      <w:r w:rsidR="005527B6">
        <w:t>(</w:t>
      </w:r>
      <w:r w:rsidR="005527B6">
        <w:rPr>
          <w:b/>
          <w:bCs/>
        </w:rPr>
        <w:t>5%)</w:t>
      </w:r>
      <w:r>
        <w:t xml:space="preserve"> </w:t>
      </w:r>
      <w:r w:rsidR="005527B6">
        <w:t xml:space="preserve">of </w:t>
      </w:r>
      <w:r>
        <w:t xml:space="preserve">notifications where the </w:t>
      </w:r>
      <w:proofErr w:type="gramStart"/>
      <w:r w:rsidRPr="00C31C02">
        <w:rPr>
          <w:b/>
          <w:bCs/>
        </w:rPr>
        <w:t>Other</w:t>
      </w:r>
      <w:proofErr w:type="gramEnd"/>
      <w:r>
        <w:t xml:space="preserve"> information type was selected. </w:t>
      </w:r>
    </w:p>
    <w:p w14:paraId="7080C0A9" w14:textId="77777777" w:rsidR="00A6671C" w:rsidRDefault="00A6671C" w:rsidP="00A6671C">
      <w:r>
        <w:t xml:space="preserve">Examples of when </w:t>
      </w:r>
      <w:r w:rsidRPr="00863DE3">
        <w:rPr>
          <w:b/>
          <w:bCs/>
        </w:rPr>
        <w:t>Other</w:t>
      </w:r>
      <w:r>
        <w:t xml:space="preserve"> was selected include incidents related to:</w:t>
      </w:r>
    </w:p>
    <w:p w14:paraId="166C0D3B" w14:textId="77777777" w:rsidR="00A6671C" w:rsidRDefault="00A6671C" w:rsidP="00A6671C">
      <w:pPr>
        <w:pStyle w:val="ListParagraph"/>
        <w:numPr>
          <w:ilvl w:val="0"/>
          <w:numId w:val="45"/>
        </w:numPr>
      </w:pPr>
      <w:r>
        <w:t>cabinet information;</w:t>
      </w:r>
    </w:p>
    <w:p w14:paraId="152A19B6" w14:textId="1E2B6397" w:rsidR="006E18C8" w:rsidRDefault="006E18C8" w:rsidP="00A6671C">
      <w:pPr>
        <w:pStyle w:val="ListParagraph"/>
        <w:numPr>
          <w:ilvl w:val="0"/>
          <w:numId w:val="45"/>
        </w:numPr>
      </w:pPr>
      <w:r>
        <w:t>claim numbers;</w:t>
      </w:r>
    </w:p>
    <w:p w14:paraId="4C52193F" w14:textId="7F39E061" w:rsidR="006E18C8" w:rsidRPr="00363921" w:rsidRDefault="006E18C8" w:rsidP="00A6671C">
      <w:pPr>
        <w:pStyle w:val="ListParagraph"/>
        <w:numPr>
          <w:ilvl w:val="0"/>
          <w:numId w:val="45"/>
        </w:numPr>
      </w:pPr>
      <w:r w:rsidRPr="00363921">
        <w:lastRenderedPageBreak/>
        <w:t>credentials (username and password);</w:t>
      </w:r>
    </w:p>
    <w:p w14:paraId="39F37C0A" w14:textId="176213BB" w:rsidR="00A6671C" w:rsidRPr="00363921" w:rsidRDefault="006E18C8" w:rsidP="00363921">
      <w:pPr>
        <w:pStyle w:val="ListParagraph"/>
        <w:numPr>
          <w:ilvl w:val="0"/>
          <w:numId w:val="45"/>
        </w:numPr>
      </w:pPr>
      <w:r w:rsidRPr="00363921">
        <w:t>tax advice</w:t>
      </w:r>
      <w:r w:rsidR="00A6671C" w:rsidRPr="00363921">
        <w:t xml:space="preserve">. </w:t>
      </w:r>
    </w:p>
    <w:p w14:paraId="4CEA5822" w14:textId="49C2AF5D" w:rsidR="00A6671C" w:rsidRPr="00363921" w:rsidRDefault="00A6671C" w:rsidP="00A6671C">
      <w:r w:rsidRPr="00363921">
        <w:t>There w</w:t>
      </w:r>
      <w:r w:rsidR="00363921" w:rsidRPr="00363921">
        <w:t>as one (</w:t>
      </w:r>
      <w:r w:rsidR="00363921" w:rsidRPr="00363921">
        <w:rPr>
          <w:b/>
          <w:bCs/>
        </w:rPr>
        <w:t>1</w:t>
      </w:r>
      <w:r w:rsidR="00363921" w:rsidRPr="00363921">
        <w:t>)</w:t>
      </w:r>
      <w:r w:rsidRPr="00363921">
        <w:t xml:space="preserve"> </w:t>
      </w:r>
      <w:r w:rsidR="00A4119B">
        <w:t>incident</w:t>
      </w:r>
      <w:r w:rsidR="00A4119B" w:rsidRPr="00363921">
        <w:t xml:space="preserve"> </w:t>
      </w:r>
      <w:r w:rsidRPr="00363921">
        <w:t xml:space="preserve">where the type of information involved was </w:t>
      </w:r>
      <w:r w:rsidR="00363921">
        <w:rPr>
          <w:b/>
          <w:bCs/>
        </w:rPr>
        <w:t>u</w:t>
      </w:r>
      <w:r w:rsidRPr="00363921">
        <w:rPr>
          <w:b/>
          <w:bCs/>
        </w:rPr>
        <w:t>nknown</w:t>
      </w:r>
      <w:r w:rsidR="00363921" w:rsidRPr="00363921">
        <w:rPr>
          <w:b/>
          <w:bCs/>
        </w:rPr>
        <w:t xml:space="preserve"> </w:t>
      </w:r>
      <w:r w:rsidR="00363921" w:rsidRPr="00363921">
        <w:t xml:space="preserve">because unauthorised access was detected on </w:t>
      </w:r>
      <w:r w:rsidR="00363921">
        <w:t>an</w:t>
      </w:r>
      <w:r w:rsidR="00363921" w:rsidRPr="00363921">
        <w:t xml:space="preserve"> organisation’s system</w:t>
      </w:r>
      <w:r w:rsidR="00863DE3">
        <w:t>,</w:t>
      </w:r>
      <w:r w:rsidR="00363921" w:rsidRPr="00363921">
        <w:t xml:space="preserve"> but it is unknown what information the malicious actor accessed</w:t>
      </w:r>
      <w:r w:rsidRPr="00363921">
        <w:t xml:space="preserve">. </w:t>
      </w:r>
    </w:p>
    <w:p w14:paraId="595B04E9" w14:textId="30C9CFC9" w:rsidR="00A6671C" w:rsidRPr="00363921" w:rsidRDefault="00363921" w:rsidP="00A6671C">
      <w:r>
        <w:t>Same as the last reporting period, t</w:t>
      </w:r>
      <w:r w:rsidR="00A6671C" w:rsidRPr="00363921">
        <w:t>here were two (</w:t>
      </w:r>
      <w:r w:rsidR="00A6671C" w:rsidRPr="00363921">
        <w:rPr>
          <w:b/>
          <w:bCs/>
        </w:rPr>
        <w:t>2</w:t>
      </w:r>
      <w:r w:rsidR="00A6671C" w:rsidRPr="00363921">
        <w:t xml:space="preserve">) incidents that affected </w:t>
      </w:r>
      <w:r w:rsidR="00A6671C" w:rsidRPr="00363921">
        <w:rPr>
          <w:b/>
          <w:bCs/>
        </w:rPr>
        <w:t>law enforcement data</w:t>
      </w:r>
      <w:r w:rsidR="00A6671C" w:rsidRPr="00363921">
        <w:t xml:space="preserve"> handled by organisations other than Victoria Police (Victoria Police incident</w:t>
      </w:r>
      <w:r w:rsidR="00A4119B">
        <w:t xml:space="preserve"> notification</w:t>
      </w:r>
      <w:r w:rsidR="00A6671C" w:rsidRPr="00363921">
        <w:t>s are captured separately).</w:t>
      </w:r>
      <w:r w:rsidR="00A14B66">
        <w:t xml:space="preserve"> There were two (</w:t>
      </w:r>
      <w:r w:rsidR="00A14B66" w:rsidRPr="00863DE3">
        <w:rPr>
          <w:b/>
          <w:bCs/>
        </w:rPr>
        <w:t>2</w:t>
      </w:r>
      <w:r w:rsidR="00A14B66">
        <w:t xml:space="preserve">) notifications where </w:t>
      </w:r>
      <w:r w:rsidR="00A14B66" w:rsidRPr="00A14B66">
        <w:rPr>
          <w:b/>
          <w:bCs/>
        </w:rPr>
        <w:t>critical infrastructure</w:t>
      </w:r>
      <w:r w:rsidR="00A14B66">
        <w:t xml:space="preserve"> (</w:t>
      </w:r>
      <w:r w:rsidR="00A14B66" w:rsidRPr="00A14B66">
        <w:rPr>
          <w:b/>
          <w:bCs/>
        </w:rPr>
        <w:t>CI</w:t>
      </w:r>
      <w:r w:rsidR="00A14B66">
        <w:t xml:space="preserve">) was selected. Although one of these appears to have selected CI incorrectly, the other </w:t>
      </w:r>
      <w:r w:rsidR="00F82603">
        <w:t>notification is about</w:t>
      </w:r>
      <w:r w:rsidR="00A14B66">
        <w:t xml:space="preserve"> information related to a CI asset.</w:t>
      </w:r>
    </w:p>
    <w:p w14:paraId="13D835B7" w14:textId="640AFA4A" w:rsidR="00A6671C" w:rsidRPr="0003476F" w:rsidRDefault="00A6671C" w:rsidP="00A6671C">
      <w:r w:rsidRPr="0003476F">
        <w:t xml:space="preserve">Of the </w:t>
      </w:r>
      <w:r w:rsidR="0003476F" w:rsidRPr="0003476F">
        <w:rPr>
          <w:b/>
          <w:bCs/>
        </w:rPr>
        <w:t>283</w:t>
      </w:r>
      <w:r w:rsidRPr="0003476F">
        <w:t xml:space="preserve"> incident notifications, there were </w:t>
      </w:r>
      <w:r w:rsidR="0003476F" w:rsidRPr="0003476F">
        <w:rPr>
          <w:b/>
          <w:bCs/>
        </w:rPr>
        <w:t>43</w:t>
      </w:r>
      <w:r w:rsidRPr="0003476F">
        <w:t xml:space="preserve"> notifications where more than one information type option was selected for this field. </w:t>
      </w:r>
    </w:p>
    <w:p w14:paraId="68916380" w14:textId="3289F717" w:rsidR="00A6671C" w:rsidRDefault="00A6671C" w:rsidP="00A6671C">
      <w:r w:rsidRPr="0003476F">
        <w:t>There w</w:t>
      </w:r>
      <w:r w:rsidR="0003476F" w:rsidRPr="0003476F">
        <w:t>ere</w:t>
      </w:r>
      <w:r w:rsidRPr="0003476F">
        <w:t xml:space="preserve"> </w:t>
      </w:r>
      <w:r w:rsidR="0003476F" w:rsidRPr="0003476F">
        <w:t>four</w:t>
      </w:r>
      <w:r w:rsidRPr="0003476F">
        <w:t xml:space="preserve"> (</w:t>
      </w:r>
      <w:r w:rsidR="0003476F" w:rsidRPr="00F92D4F">
        <w:rPr>
          <w:b/>
          <w:bCs/>
        </w:rPr>
        <w:t>4</w:t>
      </w:r>
      <w:r w:rsidRPr="0003476F">
        <w:t>) notification</w:t>
      </w:r>
      <w:r w:rsidR="0003476F" w:rsidRPr="0003476F">
        <w:t>s</w:t>
      </w:r>
      <w:r w:rsidRPr="0003476F">
        <w:t xml:space="preserve"> where four (</w:t>
      </w:r>
      <w:r w:rsidRPr="0003476F">
        <w:rPr>
          <w:b/>
          <w:bCs/>
        </w:rPr>
        <w:t>4</w:t>
      </w:r>
      <w:r w:rsidRPr="0003476F">
        <w:t xml:space="preserve">) or more options were selected, and </w:t>
      </w:r>
      <w:r w:rsidR="0003476F" w:rsidRPr="0003476F">
        <w:t>two</w:t>
      </w:r>
      <w:r w:rsidRPr="0003476F">
        <w:t xml:space="preserve"> </w:t>
      </w:r>
      <w:r w:rsidR="000D580C" w:rsidRPr="0003476F">
        <w:t>(</w:t>
      </w:r>
      <w:r w:rsidR="0003476F" w:rsidRPr="0003476F">
        <w:rPr>
          <w:b/>
          <w:bCs/>
        </w:rPr>
        <w:t>2</w:t>
      </w:r>
      <w:r w:rsidR="000D580C" w:rsidRPr="0003476F">
        <w:t xml:space="preserve">) </w:t>
      </w:r>
      <w:r w:rsidR="0003476F" w:rsidRPr="0003476F">
        <w:t xml:space="preserve">of these had </w:t>
      </w:r>
      <w:r w:rsidRPr="0003476F">
        <w:t>six</w:t>
      </w:r>
      <w:r w:rsidR="000D580C" w:rsidRPr="0003476F">
        <w:t xml:space="preserve"> (</w:t>
      </w:r>
      <w:r w:rsidR="000D580C" w:rsidRPr="0003476F">
        <w:rPr>
          <w:b/>
          <w:bCs/>
        </w:rPr>
        <w:t>6</w:t>
      </w:r>
      <w:r w:rsidR="000D580C" w:rsidRPr="0003476F">
        <w:t>)</w:t>
      </w:r>
      <w:r w:rsidRPr="0003476F">
        <w:t xml:space="preserve"> information types selected. These included an incident where </w:t>
      </w:r>
      <w:r w:rsidR="0003476F" w:rsidRPr="0003476F">
        <w:t>a</w:t>
      </w:r>
      <w:r w:rsidRPr="0003476F">
        <w:t xml:space="preserve"> large amount of a public sector information was copied from an </w:t>
      </w:r>
      <w:r w:rsidR="0003476F" w:rsidRPr="0003476F">
        <w:t xml:space="preserve">organisation’s </w:t>
      </w:r>
      <w:r w:rsidRPr="0003476F">
        <w:t>system to a</w:t>
      </w:r>
      <w:r w:rsidR="0003476F" w:rsidRPr="0003476F">
        <w:t xml:space="preserve">n unprotected and uncontrolled </w:t>
      </w:r>
      <w:r w:rsidRPr="0003476F">
        <w:t xml:space="preserve">secondary storage device and </w:t>
      </w:r>
      <w:r w:rsidR="0003476F" w:rsidRPr="0003476F">
        <w:t>an incident when a user’s mailbox was misconfigured to forward all emails to another person</w:t>
      </w:r>
      <w:r w:rsidRPr="0003476F">
        <w:t>.</w:t>
      </w:r>
    </w:p>
    <w:p w14:paraId="7F0D88FD" w14:textId="4680DD18" w:rsidR="006D3CD4" w:rsidRPr="0003476F" w:rsidRDefault="006D3CD4" w:rsidP="00A6671C">
      <w:r>
        <w:t xml:space="preserve">As expected, for all notifications where </w:t>
      </w:r>
      <w:r w:rsidRPr="006D3CD4">
        <w:rPr>
          <w:b/>
          <w:bCs/>
        </w:rPr>
        <w:t>health</w:t>
      </w:r>
      <w:r>
        <w:t xml:space="preserve"> information was selected, </w:t>
      </w:r>
      <w:r w:rsidRPr="006D3CD4">
        <w:rPr>
          <w:b/>
          <w:bCs/>
        </w:rPr>
        <w:t>personal</w:t>
      </w:r>
      <w:r>
        <w:t xml:space="preserve"> was also selected. Similarly, for notifications where more than one information type was selected, </w:t>
      </w:r>
      <w:r w:rsidRPr="00863DE3">
        <w:rPr>
          <w:b/>
          <w:bCs/>
        </w:rPr>
        <w:t>personal</w:t>
      </w:r>
      <w:r>
        <w:t xml:space="preserve"> information was selected for all but one of these instances.</w:t>
      </w:r>
    </w:p>
    <w:p w14:paraId="4D29D667" w14:textId="77777777" w:rsidR="00C9436C" w:rsidRDefault="00C9436C">
      <w:pPr>
        <w:spacing w:before="0" w:after="160" w:line="259" w:lineRule="auto"/>
        <w:rPr>
          <w:rFonts w:eastAsiaTheme="majorEastAsia" w:cstheme="majorBidi"/>
          <w:sz w:val="26"/>
          <w:szCs w:val="24"/>
        </w:rPr>
      </w:pPr>
      <w:r>
        <w:br w:type="page"/>
      </w:r>
    </w:p>
    <w:p w14:paraId="2E1D9BE6" w14:textId="312E02B0" w:rsidR="00A6671C" w:rsidRDefault="00A6671C" w:rsidP="00A6671C">
      <w:pPr>
        <w:pStyle w:val="Heading3"/>
      </w:pPr>
      <w:r w:rsidRPr="009D2AB2">
        <w:lastRenderedPageBreak/>
        <w:t xml:space="preserve">Information </w:t>
      </w:r>
      <w:r>
        <w:t>Business Impact Level (</w:t>
      </w:r>
      <w:r w:rsidRPr="00B413CC">
        <w:rPr>
          <w:b/>
          <w:bCs/>
        </w:rPr>
        <w:t>BIL</w:t>
      </w:r>
      <w:r>
        <w:t>)</w:t>
      </w:r>
      <w:r>
        <w:rPr>
          <w:rStyle w:val="FootnoteReference"/>
          <w:sz w:val="24"/>
        </w:rPr>
        <w:footnoteReference w:id="1"/>
      </w:r>
      <w:r>
        <w:t xml:space="preserve"> </w:t>
      </w:r>
    </w:p>
    <w:p w14:paraId="18EA75E5" w14:textId="481BCCD0" w:rsidR="00B233EA" w:rsidRDefault="00863DE3" w:rsidP="00A6671C">
      <w:r w:rsidRPr="00863DE3">
        <w:rPr>
          <w:noProof/>
        </w:rPr>
        <w:drawing>
          <wp:inline distT="0" distB="0" distL="0" distR="0" wp14:anchorId="6D8D2AEA" wp14:editId="196E468B">
            <wp:extent cx="5904230" cy="4395470"/>
            <wp:effectExtent l="0" t="0" r="1270" b="5080"/>
            <wp:docPr id="1786583179" name="Picture 1" descr="A purple circle with numbers and percent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583179" name="Picture 1" descr="A purple circle with numbers and percentages&#10;&#10;Description automatically generated"/>
                    <pic:cNvPicPr/>
                  </pic:nvPicPr>
                  <pic:blipFill>
                    <a:blip r:embed="rId17"/>
                    <a:stretch>
                      <a:fillRect/>
                    </a:stretch>
                  </pic:blipFill>
                  <pic:spPr>
                    <a:xfrm>
                      <a:off x="0" y="0"/>
                      <a:ext cx="5904230" cy="4395470"/>
                    </a:xfrm>
                    <a:prstGeom prst="rect">
                      <a:avLst/>
                    </a:prstGeom>
                  </pic:spPr>
                </pic:pic>
              </a:graphicData>
            </a:graphic>
          </wp:inline>
        </w:drawing>
      </w:r>
    </w:p>
    <w:p w14:paraId="5A24A022" w14:textId="6527A4EE" w:rsidR="00A4119B" w:rsidRDefault="00A4119B" w:rsidP="00A6671C">
      <w:r>
        <w:t>Insights:</w:t>
      </w:r>
    </w:p>
    <w:p w14:paraId="4A15338B" w14:textId="75A9C014" w:rsidR="00A6671C" w:rsidRDefault="009E7ED9" w:rsidP="00A6671C">
      <w:r>
        <w:t>The Business Impact Level (</w:t>
      </w:r>
      <w:r w:rsidRPr="00E4653C">
        <w:rPr>
          <w:b/>
          <w:bCs/>
        </w:rPr>
        <w:t>BIL</w:t>
      </w:r>
      <w:r>
        <w:t>)</w:t>
      </w:r>
      <w:r w:rsidRPr="007323B2">
        <w:t xml:space="preserve"> </w:t>
      </w:r>
      <w:r>
        <w:t>statistics for this reporting period are consistent with the previous reporting</w:t>
      </w:r>
      <w:r w:rsidR="00863DE3">
        <w:t xml:space="preserve"> period</w:t>
      </w:r>
      <w:r>
        <w:t xml:space="preserve">. </w:t>
      </w:r>
      <w:r w:rsidR="00A6671C" w:rsidRPr="006D3CD4">
        <w:t>The number of notifications identifying incidents a</w:t>
      </w:r>
      <w:r w:rsidR="00A6671C" w:rsidRPr="007323B2">
        <w:t xml:space="preserve">ffecting information assessed as </w:t>
      </w:r>
      <w:r w:rsidR="00A6671C">
        <w:t xml:space="preserve">having a Limited impact or </w:t>
      </w:r>
      <w:r>
        <w:t xml:space="preserve">BIL </w:t>
      </w:r>
      <w:r w:rsidR="00A6671C" w:rsidRPr="007323B2">
        <w:t>2</w:t>
      </w:r>
      <w:r w:rsidR="00A6671C">
        <w:t xml:space="preserve"> </w:t>
      </w:r>
      <w:r>
        <w:t>is</w:t>
      </w:r>
      <w:r w:rsidR="00A6671C" w:rsidRPr="007323B2">
        <w:t xml:space="preserve"> </w:t>
      </w:r>
      <w:r w:rsidR="00A6671C" w:rsidRPr="007323B2">
        <w:rPr>
          <w:b/>
          <w:bCs/>
        </w:rPr>
        <w:t>9</w:t>
      </w:r>
      <w:r>
        <w:rPr>
          <w:b/>
          <w:bCs/>
        </w:rPr>
        <w:t>3</w:t>
      </w:r>
      <w:r w:rsidR="00A6671C" w:rsidRPr="007323B2">
        <w:rPr>
          <w:b/>
          <w:bCs/>
        </w:rPr>
        <w:t>%</w:t>
      </w:r>
      <w:r>
        <w:rPr>
          <w:b/>
          <w:bCs/>
        </w:rPr>
        <w:t xml:space="preserve"> </w:t>
      </w:r>
      <w:r w:rsidRPr="009E7ED9">
        <w:t xml:space="preserve">and Minor impact or BIL 1 is </w:t>
      </w:r>
      <w:r>
        <w:rPr>
          <w:b/>
          <w:bCs/>
        </w:rPr>
        <w:t>5%</w:t>
      </w:r>
      <w:r w:rsidR="00A6671C" w:rsidRPr="007323B2">
        <w:t>.</w:t>
      </w:r>
    </w:p>
    <w:p w14:paraId="5693CD7F" w14:textId="11D4EC0A" w:rsidR="00A6671C" w:rsidRPr="00DD13B4" w:rsidRDefault="00A6671C" w:rsidP="00A6671C">
      <w:r>
        <w:t xml:space="preserve">Around </w:t>
      </w:r>
      <w:r w:rsidR="00DA046B" w:rsidRPr="00DA046B">
        <w:rPr>
          <w:b/>
          <w:bCs/>
        </w:rPr>
        <w:t>14%</w:t>
      </w:r>
      <w:r w:rsidR="00DA046B">
        <w:t xml:space="preserve"> </w:t>
      </w:r>
      <w:r>
        <w:t xml:space="preserve">of notifications did not identify the BIL of the information affected </w:t>
      </w:r>
      <w:r w:rsidR="00DA046B">
        <w:t xml:space="preserve">in the incident. This is a large decrease from the last reporting period where </w:t>
      </w:r>
      <w:r w:rsidR="00DA046B" w:rsidRPr="00DA046B">
        <w:rPr>
          <w:b/>
          <w:bCs/>
        </w:rPr>
        <w:t>37%</w:t>
      </w:r>
      <w:r w:rsidR="00DA046B">
        <w:t xml:space="preserve"> of notifications didn’t identify a BIL</w:t>
      </w:r>
      <w:r>
        <w:t>. In instances where the BIL is not provided, subjective assessments are made by OVIC practitioners using the information provided in the notifications to nominate a corresponding BIL.</w:t>
      </w:r>
    </w:p>
    <w:p w14:paraId="7A43279E" w14:textId="1A54CBB9" w:rsidR="0046137F" w:rsidRDefault="0046137F" w:rsidP="00A6671C">
      <w:r>
        <w:t>It is encouraging to see an increase in the number of notifications which have the BIL field filled in. This may indicate a greater awareness of assessing the security value of public sector information and an understanding of what this field represents.</w:t>
      </w:r>
    </w:p>
    <w:p w14:paraId="4D65B9FB" w14:textId="5621E044" w:rsidR="00C9436C" w:rsidRPr="00C9436C" w:rsidRDefault="00A6671C" w:rsidP="00C9436C">
      <w:r>
        <w:t xml:space="preserve">There were </w:t>
      </w:r>
      <w:r w:rsidR="00DA046B">
        <w:t xml:space="preserve">half the </w:t>
      </w:r>
      <w:r w:rsidR="00A4119B">
        <w:t xml:space="preserve">number of </w:t>
      </w:r>
      <w:r>
        <w:t xml:space="preserve">notifications </w:t>
      </w:r>
      <w:r w:rsidR="00DA046B">
        <w:t>(</w:t>
      </w:r>
      <w:r w:rsidR="00DA046B" w:rsidRPr="00DA046B">
        <w:rPr>
          <w:b/>
          <w:bCs/>
        </w:rPr>
        <w:t>six</w:t>
      </w:r>
      <w:r w:rsidR="00DA046B">
        <w:t xml:space="preserve">) </w:t>
      </w:r>
      <w:r>
        <w:t xml:space="preserve">nominating </w:t>
      </w:r>
      <w:r w:rsidRPr="00863DE3">
        <w:t xml:space="preserve">BIL 3 </w:t>
      </w:r>
      <w:r w:rsidR="00DA046B">
        <w:t>information was affected compared to</w:t>
      </w:r>
      <w:r>
        <w:t xml:space="preserve"> the last </w:t>
      </w:r>
      <w:r w:rsidR="00DA046B">
        <w:t>reporting period</w:t>
      </w:r>
      <w:r>
        <w:t xml:space="preserve">. Looking at these notifications, it appears BIL 3 was correctly chosen for most of </w:t>
      </w:r>
      <w:r>
        <w:lastRenderedPageBreak/>
        <w:t xml:space="preserve">these e.g., where it affected law enforcement, </w:t>
      </w:r>
      <w:r w:rsidR="0008240F">
        <w:t xml:space="preserve">and </w:t>
      </w:r>
      <w:r>
        <w:t>cabinet information</w:t>
      </w:r>
      <w:r w:rsidR="0008240F">
        <w:t xml:space="preserve"> or legal professional privilege advice on major impact cases</w:t>
      </w:r>
      <w:r>
        <w:t xml:space="preserve">. </w:t>
      </w:r>
      <w:r w:rsidR="00C9436C">
        <w:br w:type="page"/>
      </w:r>
    </w:p>
    <w:p w14:paraId="32866EC7" w14:textId="59131DA9" w:rsidR="00A6671C" w:rsidRDefault="00A6671C" w:rsidP="00A6671C">
      <w:pPr>
        <w:pStyle w:val="Heading3"/>
      </w:pPr>
      <w:r w:rsidRPr="009D2AB2">
        <w:lastRenderedPageBreak/>
        <w:t>Security attributes impacted</w:t>
      </w:r>
      <w:r>
        <w:t xml:space="preserve"> </w:t>
      </w:r>
      <w:r w:rsidRPr="002C6E03">
        <w:t>(Multiple options can be selected)</w:t>
      </w:r>
    </w:p>
    <w:p w14:paraId="4441CB8C" w14:textId="279574C8" w:rsidR="00151C8F" w:rsidRDefault="00863DE3" w:rsidP="00A6671C">
      <w:bookmarkStart w:id="2" w:name="_Hlk57107159"/>
      <w:r w:rsidRPr="00863DE3">
        <w:rPr>
          <w:noProof/>
        </w:rPr>
        <w:drawing>
          <wp:inline distT="0" distB="0" distL="0" distR="0" wp14:anchorId="2BADE676" wp14:editId="34739C6B">
            <wp:extent cx="5904230" cy="4046855"/>
            <wp:effectExtent l="0" t="0" r="1270" b="0"/>
            <wp:docPr id="1404154543"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154543" name="Picture 1" descr="A screenshot of a graph&#10;&#10;Description automatically generated"/>
                    <pic:cNvPicPr/>
                  </pic:nvPicPr>
                  <pic:blipFill>
                    <a:blip r:embed="rId18"/>
                    <a:stretch>
                      <a:fillRect/>
                    </a:stretch>
                  </pic:blipFill>
                  <pic:spPr>
                    <a:xfrm>
                      <a:off x="0" y="0"/>
                      <a:ext cx="5904230" cy="4046855"/>
                    </a:xfrm>
                    <a:prstGeom prst="rect">
                      <a:avLst/>
                    </a:prstGeom>
                  </pic:spPr>
                </pic:pic>
              </a:graphicData>
            </a:graphic>
          </wp:inline>
        </w:drawing>
      </w:r>
    </w:p>
    <w:p w14:paraId="5D87D886" w14:textId="1B4E6FBA" w:rsidR="00A4119B" w:rsidRDefault="00A4119B" w:rsidP="00A6671C">
      <w:r>
        <w:t>Insights:</w:t>
      </w:r>
    </w:p>
    <w:p w14:paraId="17DF8719" w14:textId="30DE5079" w:rsidR="00A6671C" w:rsidRDefault="00A6671C" w:rsidP="00A6671C">
      <w:r w:rsidRPr="001949C1">
        <w:t xml:space="preserve">All except for </w:t>
      </w:r>
      <w:r w:rsidR="00B233EA">
        <w:t>six (</w:t>
      </w:r>
      <w:r w:rsidR="00B233EA" w:rsidRPr="00B233EA">
        <w:rPr>
          <w:b/>
          <w:bCs/>
        </w:rPr>
        <w:t>6</w:t>
      </w:r>
      <w:r w:rsidR="00B233EA" w:rsidRPr="00B233EA">
        <w:t>)</w:t>
      </w:r>
      <w:r w:rsidRPr="001949C1">
        <w:t xml:space="preserve"> incident notifications indicate</w:t>
      </w:r>
      <w:r>
        <w:t>d</w:t>
      </w:r>
      <w:r w:rsidRPr="001949C1">
        <w:t xml:space="preserve"> compromises of the confidentiality of information followed by integrity and availability. </w:t>
      </w:r>
      <w:r w:rsidR="006E76CC">
        <w:t xml:space="preserve">Even though there were 100 notifications less this reporting period, the percentage of respondents that selected </w:t>
      </w:r>
      <w:r w:rsidR="006E76CC" w:rsidRPr="006E76CC">
        <w:rPr>
          <w:b/>
          <w:bCs/>
        </w:rPr>
        <w:t>confidentiality</w:t>
      </w:r>
      <w:r w:rsidR="006E76CC">
        <w:t xml:space="preserve"> were the same as the last reporting period </w:t>
      </w:r>
      <w:r w:rsidR="006E76CC" w:rsidRPr="001949C1">
        <w:t>(</w:t>
      </w:r>
      <w:r w:rsidR="006E76CC" w:rsidRPr="001949C1">
        <w:rPr>
          <w:b/>
          <w:bCs/>
        </w:rPr>
        <w:t>98%</w:t>
      </w:r>
      <w:r w:rsidR="006E76CC" w:rsidRPr="001949C1">
        <w:t>)</w:t>
      </w:r>
      <w:r w:rsidR="006E76CC">
        <w:t>.</w:t>
      </w:r>
      <w:r w:rsidR="006E76CC" w:rsidRPr="001949C1">
        <w:t xml:space="preserve"> </w:t>
      </w:r>
      <w:r w:rsidR="006E76CC">
        <w:t xml:space="preserve">Incidents affecting the </w:t>
      </w:r>
      <w:r w:rsidR="006E76CC" w:rsidRPr="006E76CC">
        <w:rPr>
          <w:b/>
          <w:bCs/>
        </w:rPr>
        <w:t>availability</w:t>
      </w:r>
      <w:r w:rsidR="006E76CC">
        <w:t xml:space="preserve"> of information also remained the same at </w:t>
      </w:r>
      <w:r w:rsidRPr="001949C1">
        <w:rPr>
          <w:b/>
          <w:bCs/>
        </w:rPr>
        <w:t>6%</w:t>
      </w:r>
      <w:r w:rsidRPr="001949C1">
        <w:t>.</w:t>
      </w:r>
      <w:bookmarkEnd w:id="2"/>
    </w:p>
    <w:p w14:paraId="2EB6C6F1" w14:textId="3468899F" w:rsidR="00843734" w:rsidRDefault="00843734" w:rsidP="00A6671C">
      <w:r>
        <w:t>Unauthorised disclosure (</w:t>
      </w:r>
      <w:r w:rsidRPr="00843734">
        <w:rPr>
          <w:b/>
          <w:bCs/>
        </w:rPr>
        <w:t>confidentiality</w:t>
      </w:r>
      <w:r>
        <w:t xml:space="preserve">) of public sector information regardless of information format (hard copy, electronic, verbal) continues to dominate the incidents for this period accounting for </w:t>
      </w:r>
      <w:r w:rsidRPr="0040757A">
        <w:rPr>
          <w:b/>
          <w:bCs/>
        </w:rPr>
        <w:t>63%</w:t>
      </w:r>
      <w:r>
        <w:t xml:space="preserve"> of the notifications received.</w:t>
      </w:r>
    </w:p>
    <w:p w14:paraId="38FB9905" w14:textId="5DD77BD7" w:rsidR="00A6671C" w:rsidRPr="006E1F45" w:rsidRDefault="00A718E3" w:rsidP="00A6671C">
      <w:r w:rsidRPr="006E1F45">
        <w:t>Similar</w:t>
      </w:r>
      <w:r w:rsidR="00A6671C" w:rsidRPr="006E1F45">
        <w:t xml:space="preserve"> to the last reporting period, </w:t>
      </w:r>
      <w:r w:rsidR="00A6671C" w:rsidRPr="006E1F45">
        <w:rPr>
          <w:b/>
          <w:bCs/>
        </w:rPr>
        <w:t>1</w:t>
      </w:r>
      <w:r w:rsidRPr="006E1F45">
        <w:rPr>
          <w:b/>
          <w:bCs/>
        </w:rPr>
        <w:t>6</w:t>
      </w:r>
      <w:r w:rsidR="00A6671C" w:rsidRPr="006E1F45">
        <w:rPr>
          <w:b/>
          <w:bCs/>
        </w:rPr>
        <w:t>%</w:t>
      </w:r>
      <w:r w:rsidR="00A6671C" w:rsidRPr="006E1F45">
        <w:t xml:space="preserve"> of incident notifications </w:t>
      </w:r>
      <w:r w:rsidRPr="006E1F45">
        <w:t>selected</w:t>
      </w:r>
      <w:r w:rsidR="00A6671C" w:rsidRPr="006E1F45">
        <w:t xml:space="preserve"> more than one option for this field. </w:t>
      </w:r>
      <w:r w:rsidRPr="006E1F45">
        <w:t xml:space="preserve">In almost all cases where multiple security attributes were selected, the </w:t>
      </w:r>
      <w:r w:rsidRPr="006E1F45">
        <w:rPr>
          <w:b/>
          <w:bCs/>
        </w:rPr>
        <w:t>confidentiality</w:t>
      </w:r>
      <w:r w:rsidRPr="006E1F45">
        <w:t xml:space="preserve"> was selected. </w:t>
      </w:r>
      <w:r w:rsidR="0034140F">
        <w:t xml:space="preserve">There was only </w:t>
      </w:r>
      <w:r w:rsidR="0034140F" w:rsidRPr="00151C8F">
        <w:rPr>
          <w:b/>
          <w:bCs/>
        </w:rPr>
        <w:t>one</w:t>
      </w:r>
      <w:r w:rsidR="0034140F">
        <w:t xml:space="preserve"> instance where the confidentiality security attribute was not selected where the incident affected multiple attributes. In this notification the incident affected the </w:t>
      </w:r>
      <w:r w:rsidR="0034140F" w:rsidRPr="00863DE3">
        <w:rPr>
          <w:b/>
          <w:bCs/>
        </w:rPr>
        <w:t>integrity</w:t>
      </w:r>
      <w:r w:rsidR="0034140F">
        <w:t xml:space="preserve"> and </w:t>
      </w:r>
      <w:r w:rsidR="0034140F" w:rsidRPr="00863DE3">
        <w:rPr>
          <w:b/>
          <w:bCs/>
        </w:rPr>
        <w:t>availability</w:t>
      </w:r>
      <w:r w:rsidR="0034140F">
        <w:t xml:space="preserve"> of the information </w:t>
      </w:r>
      <w:r w:rsidR="00E10CD8">
        <w:t>due to some legacy email addresses being used to send SPAM emails.</w:t>
      </w:r>
    </w:p>
    <w:p w14:paraId="22657ECF" w14:textId="4C2A54E7" w:rsidR="003F57CF" w:rsidRDefault="003F57CF" w:rsidP="00A6671C">
      <w:r>
        <w:t xml:space="preserve">Most notifications that affected the </w:t>
      </w:r>
      <w:r w:rsidRPr="003F57CF">
        <w:rPr>
          <w:b/>
          <w:bCs/>
        </w:rPr>
        <w:t>availability</w:t>
      </w:r>
      <w:r>
        <w:t xml:space="preserve"> of the information were either loss of information by internal staff or theft of information or systems (laptops, hard drives) caused by </w:t>
      </w:r>
      <w:r w:rsidRPr="003F57CF">
        <w:t>external</w:t>
      </w:r>
      <w:r>
        <w:t xml:space="preserve"> threat actors. </w:t>
      </w:r>
      <w:r w:rsidRPr="006E1F45">
        <w:lastRenderedPageBreak/>
        <w:t xml:space="preserve">There was one notification where the </w:t>
      </w:r>
      <w:r w:rsidRPr="006E1F45">
        <w:rPr>
          <w:b/>
          <w:bCs/>
        </w:rPr>
        <w:t>availability</w:t>
      </w:r>
      <w:r w:rsidRPr="006E1F45">
        <w:t xml:space="preserve"> security attribute was selected on its own related to some files that were temporarily lost</w:t>
      </w:r>
      <w:r>
        <w:t xml:space="preserve"> </w:t>
      </w:r>
      <w:r w:rsidRPr="006E1F45">
        <w:t>within the office and found.</w:t>
      </w:r>
    </w:p>
    <w:p w14:paraId="78EA64E7" w14:textId="57062926" w:rsidR="0034140F" w:rsidRDefault="00A718E3" w:rsidP="00A6671C">
      <w:r w:rsidRPr="006E1F45">
        <w:t>There were four (</w:t>
      </w:r>
      <w:r w:rsidRPr="00151C8F">
        <w:rPr>
          <w:b/>
          <w:bCs/>
        </w:rPr>
        <w:t>4</w:t>
      </w:r>
      <w:r w:rsidRPr="006E1F45">
        <w:t xml:space="preserve">) notifications where the </w:t>
      </w:r>
      <w:r w:rsidRPr="0034140F">
        <w:rPr>
          <w:b/>
          <w:bCs/>
        </w:rPr>
        <w:t>integrity</w:t>
      </w:r>
      <w:r w:rsidRPr="006E1F45">
        <w:t xml:space="preserve"> </w:t>
      </w:r>
      <w:r w:rsidR="006E1F45">
        <w:t xml:space="preserve">of the information was only affected </w:t>
      </w:r>
      <w:r w:rsidRPr="006E1F45">
        <w:t>for example, the wrong claim number being added to a case</w:t>
      </w:r>
      <w:r w:rsidR="0034140F">
        <w:t xml:space="preserve"> file</w:t>
      </w:r>
      <w:r w:rsidRPr="006E1F45">
        <w:t xml:space="preserve">.  </w:t>
      </w:r>
    </w:p>
    <w:p w14:paraId="5CD3971B" w14:textId="15F42009" w:rsidR="0075052C" w:rsidRPr="0040757A" w:rsidRDefault="0034140F" w:rsidP="0040757A">
      <w:r>
        <w:t>There were five (</w:t>
      </w:r>
      <w:r w:rsidRPr="00E10CD8">
        <w:rPr>
          <w:b/>
          <w:bCs/>
        </w:rPr>
        <w:t>5</w:t>
      </w:r>
      <w:r>
        <w:t>) notifications w</w:t>
      </w:r>
      <w:r w:rsidR="00E10CD8">
        <w:t>h</w:t>
      </w:r>
      <w:r>
        <w:t xml:space="preserve">ere all three security attributes were selected. For example, </w:t>
      </w:r>
      <w:r w:rsidR="00E10CD8">
        <w:t>a client’s postal address was registered incorrectly so they never received mail correspondence from the organisation but someone else did</w:t>
      </w:r>
      <w:r w:rsidR="00A6671C">
        <w:t>.</w:t>
      </w:r>
      <w:r w:rsidR="006B5716">
        <w:t xml:space="preserve"> Another example is where multiple reports had been inadvertently saved in the incorrect location so they couldn’t be found and staff without a need-to-know could access these reports.</w:t>
      </w:r>
      <w:r w:rsidR="0075052C">
        <w:br w:type="page"/>
      </w:r>
    </w:p>
    <w:p w14:paraId="61B5078D" w14:textId="26D1E1E3" w:rsidR="00A6671C" w:rsidRDefault="00A6671C" w:rsidP="00A6671C">
      <w:pPr>
        <w:pStyle w:val="Heading3"/>
      </w:pPr>
      <w:r w:rsidRPr="00A6671C">
        <w:lastRenderedPageBreak/>
        <w:t>Control area(s) affected (Multiple options can be selected)</w:t>
      </w:r>
    </w:p>
    <w:p w14:paraId="4CE62DDE" w14:textId="4E641BC2" w:rsidR="00151C8F" w:rsidRDefault="00863DE3" w:rsidP="00A6671C">
      <w:r w:rsidRPr="00863DE3">
        <w:rPr>
          <w:noProof/>
        </w:rPr>
        <w:drawing>
          <wp:inline distT="0" distB="0" distL="0" distR="0" wp14:anchorId="7189D025" wp14:editId="196DB369">
            <wp:extent cx="5904230" cy="4073525"/>
            <wp:effectExtent l="0" t="0" r="1270" b="3175"/>
            <wp:docPr id="587579990"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579990" name="Picture 1" descr="A screenshot of a graph&#10;&#10;Description automatically generated"/>
                    <pic:cNvPicPr/>
                  </pic:nvPicPr>
                  <pic:blipFill>
                    <a:blip r:embed="rId19"/>
                    <a:stretch>
                      <a:fillRect/>
                    </a:stretch>
                  </pic:blipFill>
                  <pic:spPr>
                    <a:xfrm>
                      <a:off x="0" y="0"/>
                      <a:ext cx="5904230" cy="4073525"/>
                    </a:xfrm>
                    <a:prstGeom prst="rect">
                      <a:avLst/>
                    </a:prstGeom>
                  </pic:spPr>
                </pic:pic>
              </a:graphicData>
            </a:graphic>
          </wp:inline>
        </w:drawing>
      </w:r>
    </w:p>
    <w:p w14:paraId="2C97FDDB" w14:textId="24D62E40" w:rsidR="00A4119B" w:rsidRDefault="00A4119B" w:rsidP="00A6671C">
      <w:r>
        <w:t>Insights:</w:t>
      </w:r>
    </w:p>
    <w:p w14:paraId="574A59F3" w14:textId="7CB7C1A1" w:rsidR="0097657C" w:rsidRDefault="00A6671C" w:rsidP="0097657C">
      <w:r w:rsidRPr="00F33262">
        <w:t xml:space="preserve">This reporting period saw </w:t>
      </w:r>
      <w:r w:rsidR="00F33262" w:rsidRPr="00F33262">
        <w:t>the same percentage of</w:t>
      </w:r>
      <w:r w:rsidRPr="00F33262">
        <w:t xml:space="preserve"> incident</w:t>
      </w:r>
      <w:r w:rsidR="00F33262" w:rsidRPr="00F33262">
        <w:t>s</w:t>
      </w:r>
      <w:r w:rsidRPr="00F33262">
        <w:t xml:space="preserve"> </w:t>
      </w:r>
      <w:r w:rsidR="00F33262" w:rsidRPr="00F33262">
        <w:t>caused by</w:t>
      </w:r>
      <w:r w:rsidRPr="00F33262">
        <w:t xml:space="preserve"> </w:t>
      </w:r>
      <w:r w:rsidRPr="00F33262">
        <w:rPr>
          <w:b/>
          <w:bCs/>
        </w:rPr>
        <w:t>people</w:t>
      </w:r>
      <w:r w:rsidRPr="00F33262">
        <w:t xml:space="preserve"> (</w:t>
      </w:r>
      <w:r w:rsidRPr="00F33262">
        <w:rPr>
          <w:b/>
          <w:bCs/>
        </w:rPr>
        <w:t>92%</w:t>
      </w:r>
      <w:r w:rsidRPr="00F33262">
        <w:t xml:space="preserve">) </w:t>
      </w:r>
      <w:r w:rsidR="00F33262" w:rsidRPr="00F33262">
        <w:t xml:space="preserve">as the previous reporting period. </w:t>
      </w:r>
      <w:r w:rsidR="0097657C">
        <w:t xml:space="preserve">The </w:t>
      </w:r>
      <w:r w:rsidR="00DF4408">
        <w:t xml:space="preserve">DBIR </w:t>
      </w:r>
      <w:r w:rsidR="0097657C">
        <w:t xml:space="preserve">also mentions the big </w:t>
      </w:r>
      <w:r w:rsidR="009718B3">
        <w:t>role</w:t>
      </w:r>
      <w:r w:rsidR="0097657C">
        <w:t xml:space="preserve"> people play in incidents with 74% of all breaches including the human element.</w:t>
      </w:r>
    </w:p>
    <w:p w14:paraId="46A76947" w14:textId="1CCA748D" w:rsidR="00A4119B" w:rsidRDefault="00A4119B" w:rsidP="0097657C">
      <w:r w:rsidRPr="00A4119B">
        <w:t>The key causal factors for security incidents remain as people, internal, and accidental (for example, staff sending emails to incorrect recipients or emailing incorrect attachments (47%)).</w:t>
      </w:r>
    </w:p>
    <w:p w14:paraId="4365ABD5" w14:textId="2303791F" w:rsidR="00A6671C" w:rsidRPr="00B625EA" w:rsidRDefault="00F33262" w:rsidP="00A6671C">
      <w:r w:rsidRPr="00F33262">
        <w:t xml:space="preserve">Although there were around 100 notifications less in this reporting period, the numbers for incidents relating to </w:t>
      </w:r>
      <w:r w:rsidR="00A6671C" w:rsidRPr="00F33262">
        <w:rPr>
          <w:b/>
          <w:bCs/>
        </w:rPr>
        <w:t>process</w:t>
      </w:r>
      <w:r w:rsidRPr="00F33262">
        <w:rPr>
          <w:b/>
          <w:bCs/>
        </w:rPr>
        <w:t xml:space="preserve"> </w:t>
      </w:r>
      <w:r w:rsidRPr="00F33262">
        <w:t>(</w:t>
      </w:r>
      <w:r w:rsidRPr="00F33262">
        <w:rPr>
          <w:b/>
          <w:bCs/>
        </w:rPr>
        <w:t>39</w:t>
      </w:r>
      <w:r w:rsidRPr="00F33262">
        <w:t>)</w:t>
      </w:r>
      <w:r w:rsidRPr="00F33262">
        <w:rPr>
          <w:b/>
          <w:bCs/>
        </w:rPr>
        <w:t xml:space="preserve"> </w:t>
      </w:r>
      <w:r w:rsidRPr="00F33262">
        <w:t>or</w:t>
      </w:r>
      <w:r w:rsidRPr="00F33262">
        <w:rPr>
          <w:b/>
          <w:bCs/>
        </w:rPr>
        <w:t xml:space="preserve"> technology</w:t>
      </w:r>
      <w:r w:rsidR="00A6671C" w:rsidRPr="00F33262">
        <w:t xml:space="preserve"> </w:t>
      </w:r>
      <w:r w:rsidRPr="00F33262">
        <w:t>(</w:t>
      </w:r>
      <w:r w:rsidRPr="00F33262">
        <w:rPr>
          <w:b/>
          <w:bCs/>
        </w:rPr>
        <w:t>27</w:t>
      </w:r>
      <w:r w:rsidRPr="00F33262">
        <w:t xml:space="preserve">) </w:t>
      </w:r>
      <w:r w:rsidR="00A6671C" w:rsidRPr="00F33262">
        <w:t>issues</w:t>
      </w:r>
      <w:r w:rsidRPr="00F33262">
        <w:t xml:space="preserve"> were similar to the previous </w:t>
      </w:r>
      <w:r w:rsidRPr="00B625EA">
        <w:t>reporting period which were 37 and 23 respectively</w:t>
      </w:r>
      <w:r w:rsidR="00A6671C" w:rsidRPr="00B625EA">
        <w:t xml:space="preserve">. </w:t>
      </w:r>
    </w:p>
    <w:p w14:paraId="63CFD05C" w14:textId="242FECC0" w:rsidR="00A4119B" w:rsidRPr="00B625EA" w:rsidRDefault="00222577" w:rsidP="00A4119B">
      <w:r>
        <w:t xml:space="preserve">Where multiple control areas are part of the incident, most of the time, the </w:t>
      </w:r>
      <w:r w:rsidRPr="00222577">
        <w:rPr>
          <w:b/>
          <w:bCs/>
        </w:rPr>
        <w:t>people</w:t>
      </w:r>
      <w:r>
        <w:t xml:space="preserve"> field is selected in addition to other causal factors. </w:t>
      </w:r>
      <w:r w:rsidR="00A4119B" w:rsidRPr="00B625EA">
        <w:t>There were only two</w:t>
      </w:r>
      <w:r w:rsidR="00863DE3">
        <w:t xml:space="preserve"> (</w:t>
      </w:r>
      <w:r w:rsidR="00863DE3" w:rsidRPr="00863DE3">
        <w:rPr>
          <w:b/>
          <w:bCs/>
        </w:rPr>
        <w:t>2</w:t>
      </w:r>
      <w:r w:rsidR="00863DE3">
        <w:t>)</w:t>
      </w:r>
      <w:r w:rsidR="00A4119B" w:rsidRPr="00B625EA">
        <w:t xml:space="preserve"> notifications where multiple options were selected and people weren’t one of the causal factors, for example compromised legacy shared mailboxes where multi-factor authentication was not set up.</w:t>
      </w:r>
    </w:p>
    <w:p w14:paraId="1B3A1E0E" w14:textId="77777777" w:rsidR="00A4119B" w:rsidRPr="00B625EA" w:rsidRDefault="00A4119B" w:rsidP="00A4119B">
      <w:r w:rsidRPr="00B625EA">
        <w:t>There were nine (</w:t>
      </w:r>
      <w:r w:rsidRPr="00B625EA">
        <w:rPr>
          <w:b/>
          <w:bCs/>
        </w:rPr>
        <w:t>9</w:t>
      </w:r>
      <w:r w:rsidRPr="00B625EA">
        <w:t xml:space="preserve">) notifications where </w:t>
      </w:r>
      <w:r w:rsidRPr="00B625EA">
        <w:rPr>
          <w:b/>
          <w:bCs/>
        </w:rPr>
        <w:t>process</w:t>
      </w:r>
      <w:r w:rsidRPr="00B625EA">
        <w:t xml:space="preserve"> was selected on its own and eight (</w:t>
      </w:r>
      <w:r w:rsidRPr="00B625EA">
        <w:rPr>
          <w:b/>
          <w:bCs/>
        </w:rPr>
        <w:t>8</w:t>
      </w:r>
      <w:r w:rsidRPr="00B625EA">
        <w:t xml:space="preserve">) notifications where </w:t>
      </w:r>
      <w:r w:rsidRPr="00B625EA">
        <w:rPr>
          <w:b/>
          <w:bCs/>
        </w:rPr>
        <w:t>technology</w:t>
      </w:r>
      <w:r w:rsidRPr="00B625EA">
        <w:t xml:space="preserve"> was selected on its own as </w:t>
      </w:r>
      <w:r>
        <w:t>the</w:t>
      </w:r>
      <w:r w:rsidRPr="00B625EA">
        <w:t xml:space="preserve"> cause of </w:t>
      </w:r>
      <w:r>
        <w:t>the</w:t>
      </w:r>
      <w:r w:rsidRPr="00B625EA">
        <w:t xml:space="preserve"> incident.</w:t>
      </w:r>
    </w:p>
    <w:p w14:paraId="367943D2" w14:textId="77777777" w:rsidR="00A4119B" w:rsidRPr="00553C23" w:rsidRDefault="00A4119B" w:rsidP="00A4119B">
      <w:r w:rsidRPr="00553C23">
        <w:lastRenderedPageBreak/>
        <w:t>There were eight (</w:t>
      </w:r>
      <w:r w:rsidRPr="00553C23">
        <w:rPr>
          <w:b/>
          <w:bCs/>
        </w:rPr>
        <w:t>8</w:t>
      </w:r>
      <w:r w:rsidRPr="00553C23">
        <w:t xml:space="preserve">) notifications that nominated all three control areas: </w:t>
      </w:r>
      <w:r w:rsidRPr="00553C23">
        <w:rPr>
          <w:b/>
          <w:bCs/>
        </w:rPr>
        <w:t>people</w:t>
      </w:r>
      <w:r w:rsidRPr="00553C23">
        <w:t xml:space="preserve">, </w:t>
      </w:r>
      <w:r w:rsidRPr="00553C23">
        <w:rPr>
          <w:b/>
          <w:bCs/>
        </w:rPr>
        <w:t>process</w:t>
      </w:r>
      <w:r w:rsidRPr="00553C23">
        <w:t xml:space="preserve">, and </w:t>
      </w:r>
      <w:r w:rsidRPr="00553C23">
        <w:rPr>
          <w:b/>
          <w:bCs/>
        </w:rPr>
        <w:t>technology</w:t>
      </w:r>
      <w:r w:rsidRPr="00553C23">
        <w:t xml:space="preserve">. </w:t>
      </w:r>
    </w:p>
    <w:p w14:paraId="652BA66E" w14:textId="77777777" w:rsidR="00A4119B" w:rsidRPr="00553C23" w:rsidRDefault="00A4119B" w:rsidP="00A4119B">
      <w:r w:rsidRPr="00553C23">
        <w:t>Some examples of when these three control areas were selected include:</w:t>
      </w:r>
    </w:p>
    <w:p w14:paraId="569CAD51" w14:textId="77777777" w:rsidR="00A4119B" w:rsidRPr="00553C23" w:rsidRDefault="00A4119B" w:rsidP="00A4119B">
      <w:pPr>
        <w:pStyle w:val="ListParagraph"/>
        <w:numPr>
          <w:ilvl w:val="0"/>
          <w:numId w:val="49"/>
        </w:numPr>
      </w:pPr>
      <w:r w:rsidRPr="00553C23">
        <w:t>The use of a mail merge function going wrong and subsequently sending emails to the incorrect recipients</w:t>
      </w:r>
    </w:p>
    <w:p w14:paraId="53B1D0B8" w14:textId="77777777" w:rsidR="00A4119B" w:rsidRPr="00553C23" w:rsidRDefault="00A4119B" w:rsidP="00A4119B">
      <w:pPr>
        <w:pStyle w:val="ListParagraph"/>
        <w:numPr>
          <w:ilvl w:val="0"/>
          <w:numId w:val="49"/>
        </w:numPr>
      </w:pPr>
      <w:r w:rsidRPr="00553C23">
        <w:t>Staff enabling a threat actor masquerading as IT support to take remote control of computer</w:t>
      </w:r>
    </w:p>
    <w:p w14:paraId="0E69CC3B" w14:textId="77777777" w:rsidR="00A4119B" w:rsidRDefault="00A4119B" w:rsidP="00A4119B">
      <w:pPr>
        <w:pStyle w:val="ListParagraph"/>
        <w:numPr>
          <w:ilvl w:val="0"/>
          <w:numId w:val="49"/>
        </w:numPr>
      </w:pPr>
      <w:r w:rsidRPr="00553C23">
        <w:t>Phishing email attack, and</w:t>
      </w:r>
    </w:p>
    <w:p w14:paraId="4560916E" w14:textId="70127044" w:rsidR="00A4119B" w:rsidRDefault="00A4119B" w:rsidP="00AD47C6">
      <w:pPr>
        <w:pStyle w:val="ListParagraph"/>
        <w:numPr>
          <w:ilvl w:val="0"/>
          <w:numId w:val="49"/>
        </w:numPr>
      </w:pPr>
      <w:r w:rsidRPr="00553C23">
        <w:t>Ransomware attack.</w:t>
      </w:r>
    </w:p>
    <w:p w14:paraId="306C55B6" w14:textId="3FA55953" w:rsidR="00A6671C" w:rsidRPr="00B625EA" w:rsidRDefault="00A6671C" w:rsidP="00A6671C">
      <w:r w:rsidRPr="00B625EA">
        <w:t xml:space="preserve">There were </w:t>
      </w:r>
      <w:r w:rsidR="00B625EA" w:rsidRPr="00B625EA">
        <w:t>three</w:t>
      </w:r>
      <w:r w:rsidRPr="00B625EA">
        <w:t xml:space="preserve"> (</w:t>
      </w:r>
      <w:r w:rsidR="00B625EA" w:rsidRPr="00B625EA">
        <w:rPr>
          <w:b/>
          <w:bCs/>
        </w:rPr>
        <w:t>3</w:t>
      </w:r>
      <w:r w:rsidRPr="00B625EA">
        <w:t xml:space="preserve">) notifications where the incident occurred due to a missing control(s) and there were </w:t>
      </w:r>
      <w:r w:rsidR="00B625EA" w:rsidRPr="00B625EA">
        <w:t>three (</w:t>
      </w:r>
      <w:r w:rsidR="00B625EA" w:rsidRPr="00B625EA">
        <w:rPr>
          <w:b/>
          <w:bCs/>
        </w:rPr>
        <w:t>3</w:t>
      </w:r>
      <w:r w:rsidR="00B625EA" w:rsidRPr="00B625EA">
        <w:t xml:space="preserve">) </w:t>
      </w:r>
      <w:r w:rsidRPr="00B625EA">
        <w:t>notifications where the control area affected could not be determined.</w:t>
      </w:r>
    </w:p>
    <w:p w14:paraId="472105AD" w14:textId="5FA2DB58" w:rsidR="00A6671C" w:rsidRPr="00553C23" w:rsidRDefault="00A6671C" w:rsidP="00A6671C">
      <w:r w:rsidRPr="00553C23">
        <w:br/>
      </w:r>
    </w:p>
    <w:p w14:paraId="49E5C52F" w14:textId="0537B53D" w:rsidR="00A6671C" w:rsidRPr="00553C23" w:rsidRDefault="00A6671C" w:rsidP="00AD47C6"/>
    <w:p w14:paraId="5F49CE9E" w14:textId="77777777" w:rsidR="00A6671C" w:rsidRDefault="00A6671C" w:rsidP="002744D6">
      <w:pPr>
        <w:pStyle w:val="Heading3"/>
        <w:pageBreakBefore/>
      </w:pPr>
      <w:bookmarkStart w:id="3" w:name="_Hlk115940024"/>
      <w:r>
        <w:lastRenderedPageBreak/>
        <w:t>Threat actor(s)</w:t>
      </w:r>
      <w:bookmarkEnd w:id="3"/>
      <w:r>
        <w:t xml:space="preserve"> </w:t>
      </w:r>
      <w:r w:rsidRPr="002C6E03">
        <w:t>(Multiple options can be selected)</w:t>
      </w:r>
    </w:p>
    <w:p w14:paraId="7FEFCA86" w14:textId="6ACCAF41" w:rsidR="00320132" w:rsidRDefault="00863DE3" w:rsidP="00A6671C">
      <w:r w:rsidRPr="00863DE3">
        <w:rPr>
          <w:noProof/>
        </w:rPr>
        <w:drawing>
          <wp:inline distT="0" distB="0" distL="0" distR="0" wp14:anchorId="496C4953" wp14:editId="2D5E8FA2">
            <wp:extent cx="5904230" cy="4085590"/>
            <wp:effectExtent l="0" t="0" r="1270" b="0"/>
            <wp:docPr id="1378397732"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397732" name="Picture 1" descr="A screenshot of a graph&#10;&#10;Description automatically generated"/>
                    <pic:cNvPicPr/>
                  </pic:nvPicPr>
                  <pic:blipFill>
                    <a:blip r:embed="rId20"/>
                    <a:stretch>
                      <a:fillRect/>
                    </a:stretch>
                  </pic:blipFill>
                  <pic:spPr>
                    <a:xfrm>
                      <a:off x="0" y="0"/>
                      <a:ext cx="5904230" cy="4085590"/>
                    </a:xfrm>
                    <a:prstGeom prst="rect">
                      <a:avLst/>
                    </a:prstGeom>
                  </pic:spPr>
                </pic:pic>
              </a:graphicData>
            </a:graphic>
          </wp:inline>
        </w:drawing>
      </w:r>
    </w:p>
    <w:p w14:paraId="4C6CAE2D" w14:textId="44ECFF9F" w:rsidR="00A4119B" w:rsidRDefault="00A4119B" w:rsidP="00A6671C">
      <w:r>
        <w:t>Insights:</w:t>
      </w:r>
    </w:p>
    <w:p w14:paraId="37608944" w14:textId="77777777" w:rsidR="00B968B1" w:rsidRDefault="00B968B1" w:rsidP="00A6671C">
      <w:r w:rsidRPr="00B968B1">
        <w:t>The key causal factors of security incidents remain as people, internal, and accidental.</w:t>
      </w:r>
    </w:p>
    <w:p w14:paraId="21A6857D" w14:textId="46DEC3CC" w:rsidR="00A6671C" w:rsidRDefault="008F71C8" w:rsidP="00A6671C">
      <w:r>
        <w:t xml:space="preserve">Even with around 100 </w:t>
      </w:r>
      <w:r w:rsidR="00A84E01">
        <w:t>fewer</w:t>
      </w:r>
      <w:r>
        <w:t xml:space="preserve"> notifications, t</w:t>
      </w:r>
      <w:r w:rsidR="00863F87" w:rsidRPr="00F33262">
        <w:t>his reporting period saw the</w:t>
      </w:r>
      <w:r>
        <w:t xml:space="preserve"> </w:t>
      </w:r>
      <w:r w:rsidR="00863F87" w:rsidRPr="00F33262">
        <w:t>same</w:t>
      </w:r>
      <w:r>
        <w:t xml:space="preserve"> spread of</w:t>
      </w:r>
      <w:r w:rsidR="00863F87" w:rsidRPr="00F33262">
        <w:t xml:space="preserve"> </w:t>
      </w:r>
      <w:r>
        <w:t xml:space="preserve">threat actor </w:t>
      </w:r>
      <w:r w:rsidR="00863F87" w:rsidRPr="00F33262">
        <w:t>percentage</w:t>
      </w:r>
      <w:r>
        <w:t>s</w:t>
      </w:r>
      <w:r w:rsidR="00863F87" w:rsidRPr="00F33262">
        <w:t xml:space="preserve"> </w:t>
      </w:r>
      <w:r>
        <w:t xml:space="preserve">selected in the notifications </w:t>
      </w:r>
      <w:r w:rsidRPr="00F33262">
        <w:t xml:space="preserve">as the previous reporting period </w:t>
      </w:r>
      <w:r>
        <w:t xml:space="preserve">including </w:t>
      </w:r>
      <w:r w:rsidRPr="008F71C8">
        <w:rPr>
          <w:b/>
          <w:bCs/>
        </w:rPr>
        <w:t>82%</w:t>
      </w:r>
      <w:r>
        <w:t xml:space="preserve"> </w:t>
      </w:r>
      <w:r w:rsidR="00863F87" w:rsidRPr="00F33262">
        <w:t xml:space="preserve">caused by </w:t>
      </w:r>
      <w:r w:rsidR="00863F87" w:rsidRPr="00863F87">
        <w:rPr>
          <w:b/>
          <w:bCs/>
        </w:rPr>
        <w:t>internal</w:t>
      </w:r>
      <w:r w:rsidR="00863F87">
        <w:t xml:space="preserve"> staff</w:t>
      </w:r>
      <w:r>
        <w:t xml:space="preserve">, </w:t>
      </w:r>
      <w:r w:rsidRPr="008F71C8">
        <w:rPr>
          <w:b/>
          <w:bCs/>
        </w:rPr>
        <w:t>6</w:t>
      </w:r>
      <w:r w:rsidR="00863F87" w:rsidRPr="00F33262">
        <w:rPr>
          <w:b/>
          <w:bCs/>
        </w:rPr>
        <w:t>%</w:t>
      </w:r>
      <w:r>
        <w:t xml:space="preserve"> caused by </w:t>
      </w:r>
      <w:r w:rsidRPr="008F71C8">
        <w:rPr>
          <w:b/>
          <w:bCs/>
        </w:rPr>
        <w:t>authorised third parties</w:t>
      </w:r>
      <w:r>
        <w:t xml:space="preserve"> and </w:t>
      </w:r>
      <w:r w:rsidRPr="008F71C8">
        <w:rPr>
          <w:b/>
          <w:bCs/>
        </w:rPr>
        <w:t>9%</w:t>
      </w:r>
      <w:r>
        <w:t xml:space="preserve"> caused by </w:t>
      </w:r>
      <w:r w:rsidRPr="008F71C8">
        <w:rPr>
          <w:b/>
          <w:bCs/>
        </w:rPr>
        <w:t>other external</w:t>
      </w:r>
      <w:r>
        <w:t xml:space="preserve"> threat actors</w:t>
      </w:r>
      <w:r w:rsidR="00863F87" w:rsidRPr="00F33262">
        <w:t>.</w:t>
      </w:r>
      <w:r w:rsidR="00F6447A">
        <w:t xml:space="preserve"> </w:t>
      </w:r>
      <w:r w:rsidR="009718B3">
        <w:t>Although t</w:t>
      </w:r>
      <w:r w:rsidR="00F6447A">
        <w:t xml:space="preserve">his varies from the Verizon </w:t>
      </w:r>
      <w:hyperlink r:id="rId21" w:history="1">
        <w:r w:rsidR="009718B3">
          <w:rPr>
            <w:rStyle w:val="Hyperlink"/>
          </w:rPr>
          <w:t>DBIR</w:t>
        </w:r>
      </w:hyperlink>
      <w:r w:rsidR="009718B3">
        <w:t xml:space="preserve"> where external threat actors were responsible for 83% of breaches, the DBIR covers breaches</w:t>
      </w:r>
      <w:r w:rsidR="009718B3">
        <w:rPr>
          <w:rStyle w:val="FootnoteReference"/>
        </w:rPr>
        <w:footnoteReference w:id="2"/>
      </w:r>
      <w:r w:rsidR="009718B3">
        <w:t xml:space="preserve"> as opposed to incidents. </w:t>
      </w:r>
      <w:r w:rsidR="00F6447A">
        <w:t xml:space="preserve"> </w:t>
      </w:r>
    </w:p>
    <w:p w14:paraId="1B552B0E" w14:textId="68B59FFE" w:rsidR="000174F8" w:rsidRPr="000174F8" w:rsidRDefault="000174F8" w:rsidP="000174F8">
      <w:r>
        <w:t>In terms of respondent numbers, t</w:t>
      </w:r>
      <w:r w:rsidRPr="000174F8">
        <w:t xml:space="preserve">here was another decrease in the number of notifications identifying </w:t>
      </w:r>
      <w:r w:rsidRPr="000174F8">
        <w:rPr>
          <w:b/>
          <w:bCs/>
        </w:rPr>
        <w:t>authorised third parties</w:t>
      </w:r>
      <w:r w:rsidRPr="000174F8">
        <w:t xml:space="preserve"> as the cause of the incident (</w:t>
      </w:r>
      <w:r w:rsidRPr="000174F8">
        <w:rPr>
          <w:b/>
          <w:bCs/>
        </w:rPr>
        <w:t>18</w:t>
      </w:r>
      <w:r w:rsidRPr="000174F8">
        <w:t xml:space="preserve">) compared to the last reporting periods </w:t>
      </w:r>
      <w:r w:rsidRPr="000174F8">
        <w:rPr>
          <w:b/>
          <w:bCs/>
        </w:rPr>
        <w:t>24</w:t>
      </w:r>
      <w:r w:rsidRPr="000174F8">
        <w:t xml:space="preserve"> and </w:t>
      </w:r>
      <w:r w:rsidRPr="000174F8">
        <w:rPr>
          <w:b/>
          <w:bCs/>
        </w:rPr>
        <w:t>39</w:t>
      </w:r>
      <w:r w:rsidRPr="000174F8">
        <w:t xml:space="preserve">. </w:t>
      </w:r>
    </w:p>
    <w:p w14:paraId="63947820" w14:textId="775310AD" w:rsidR="00A6671C" w:rsidRPr="008F71C8" w:rsidRDefault="00A6671C" w:rsidP="00A6671C">
      <w:r w:rsidRPr="008F71C8">
        <w:t xml:space="preserve">There were </w:t>
      </w:r>
      <w:r w:rsidRPr="008F71C8">
        <w:rPr>
          <w:b/>
          <w:bCs/>
        </w:rPr>
        <w:t>1</w:t>
      </w:r>
      <w:r w:rsidR="00863F87" w:rsidRPr="008F71C8">
        <w:rPr>
          <w:b/>
          <w:bCs/>
        </w:rPr>
        <w:t>0</w:t>
      </w:r>
      <w:r w:rsidRPr="008F71C8">
        <w:t xml:space="preserve"> notifications where the threat actor could not be ascertained.</w:t>
      </w:r>
    </w:p>
    <w:p w14:paraId="7D3B1C56" w14:textId="0097F6D2" w:rsidR="00A6671C" w:rsidRDefault="00AF36C2" w:rsidP="00A6671C">
      <w:r w:rsidRPr="00AF36C2">
        <w:t xml:space="preserve">Examples of </w:t>
      </w:r>
      <w:r w:rsidRPr="00AF36C2">
        <w:rPr>
          <w:b/>
          <w:bCs/>
        </w:rPr>
        <w:t>external</w:t>
      </w:r>
      <w:r w:rsidRPr="00AF36C2">
        <w:t xml:space="preserve"> threat actor </w:t>
      </w:r>
      <w:r w:rsidR="00A6671C" w:rsidRPr="00AF36C2">
        <w:t xml:space="preserve">incidents affecting approved third parties providing services to Victorian government organisations </w:t>
      </w:r>
      <w:r w:rsidRPr="00AF36C2">
        <w:t xml:space="preserve">include Latitude, </w:t>
      </w:r>
      <w:r w:rsidR="00C9436C">
        <w:t xml:space="preserve">and </w:t>
      </w:r>
      <w:r w:rsidRPr="00AF36C2">
        <w:t>HWL Ebsworth</w:t>
      </w:r>
      <w:r w:rsidR="00C9436C">
        <w:t xml:space="preserve">. The data breach affecting </w:t>
      </w:r>
      <w:hyperlink r:id="rId22" w:history="1">
        <w:r w:rsidRPr="00C9436C">
          <w:rPr>
            <w:rStyle w:val="Hyperlink"/>
          </w:rPr>
          <w:t>MOVEit</w:t>
        </w:r>
      </w:hyperlink>
      <w:r w:rsidR="00C9436C">
        <w:t xml:space="preserve"> which is used by firms such as </w:t>
      </w:r>
      <w:r w:rsidR="00C9436C" w:rsidRPr="00C9436C">
        <w:t>PricewaterhouseCoopers (PwC) and Ernst &amp; Young (EY)</w:t>
      </w:r>
      <w:r w:rsidR="00C9436C">
        <w:t xml:space="preserve"> had a flow on effect for Victorian government organisations who although may not have used MOVEit directly, </w:t>
      </w:r>
      <w:r w:rsidR="003B5584">
        <w:t xml:space="preserve">had </w:t>
      </w:r>
      <w:r w:rsidR="003B5584">
        <w:lastRenderedPageBreak/>
        <w:t>engaged third parties who used the data transfer service during the engagement with the Victorian government organisations</w:t>
      </w:r>
      <w:r w:rsidR="00A6671C" w:rsidRPr="00AF36C2">
        <w:t xml:space="preserve">. This </w:t>
      </w:r>
      <w:r w:rsidR="003B5584">
        <w:t>is a good example of</w:t>
      </w:r>
      <w:r w:rsidR="00A6671C" w:rsidRPr="00AF36C2">
        <w:t xml:space="preserve"> the need for strong supply chain controls</w:t>
      </w:r>
      <w:r w:rsidR="003B5584">
        <w:t xml:space="preserve"> where </w:t>
      </w:r>
      <w:r w:rsidR="00DD711F">
        <w:t>it’s</w:t>
      </w:r>
      <w:r w:rsidR="003B5584">
        <w:t xml:space="preserve"> not enough to secure the initial </w:t>
      </w:r>
      <w:r w:rsidR="00DD711F">
        <w:t>third-party</w:t>
      </w:r>
      <w:r w:rsidR="003B5584">
        <w:t xml:space="preserve"> </w:t>
      </w:r>
      <w:r w:rsidR="00DD711F">
        <w:t>engagement,</w:t>
      </w:r>
      <w:r w:rsidR="003B5584">
        <w:t xml:space="preserve"> but also subsequent parties involved</w:t>
      </w:r>
      <w:r w:rsidR="008801B1">
        <w:t xml:space="preserve"> in the engagement</w:t>
      </w:r>
      <w:r w:rsidR="00A6671C" w:rsidRPr="00AF36C2">
        <w:t xml:space="preserve">. </w:t>
      </w:r>
    </w:p>
    <w:p w14:paraId="145551D3" w14:textId="3A6D3376" w:rsidR="000174F8" w:rsidRPr="00AF36C2" w:rsidRDefault="000174F8" w:rsidP="00A6671C">
      <w:r>
        <w:t>Eight (</w:t>
      </w:r>
      <w:r w:rsidRPr="000174F8">
        <w:rPr>
          <w:b/>
          <w:bCs/>
        </w:rPr>
        <w:t>8</w:t>
      </w:r>
      <w:r>
        <w:t xml:space="preserve">) notifications related to compromised credentials that </w:t>
      </w:r>
      <w:r w:rsidRPr="000174F8">
        <w:rPr>
          <w:b/>
          <w:bCs/>
        </w:rPr>
        <w:t>external</w:t>
      </w:r>
      <w:r>
        <w:t xml:space="preserve"> threat actors either published on the dark web or used to gain access to systems</w:t>
      </w:r>
      <w:r w:rsidR="00136475">
        <w:t xml:space="preserve"> e.g., conduct phishing attacks</w:t>
      </w:r>
      <w:r>
        <w:t>. Most notifications that involved theft</w:t>
      </w:r>
      <w:r w:rsidR="00136475">
        <w:t xml:space="preserve"> </w:t>
      </w:r>
      <w:r>
        <w:t xml:space="preserve">of </w:t>
      </w:r>
      <w:r w:rsidR="00136475">
        <w:t>information</w:t>
      </w:r>
      <w:r>
        <w:t xml:space="preserve"> or systems</w:t>
      </w:r>
      <w:r w:rsidR="00975E2D">
        <w:t>,</w:t>
      </w:r>
      <w:r w:rsidR="00975E2D" w:rsidRPr="00975E2D">
        <w:t xml:space="preserve"> six (</w:t>
      </w:r>
      <w:r w:rsidR="00975E2D" w:rsidRPr="00975E2D">
        <w:rPr>
          <w:b/>
          <w:bCs/>
        </w:rPr>
        <w:t>6</w:t>
      </w:r>
      <w:r w:rsidR="00975E2D" w:rsidRPr="00975E2D">
        <w:t xml:space="preserve">), </w:t>
      </w:r>
      <w:r>
        <w:t xml:space="preserve">were caused by </w:t>
      </w:r>
      <w:r w:rsidRPr="00136475">
        <w:rPr>
          <w:b/>
          <w:bCs/>
        </w:rPr>
        <w:t>external</w:t>
      </w:r>
      <w:r>
        <w:t xml:space="preserve"> threat actors.</w:t>
      </w:r>
    </w:p>
    <w:p w14:paraId="19DB1C55" w14:textId="076C1498" w:rsidR="008F71C8" w:rsidRPr="002B0312" w:rsidRDefault="00AF36C2" w:rsidP="00A6671C">
      <w:pPr>
        <w:rPr>
          <w:highlight w:val="yellow"/>
        </w:rPr>
      </w:pPr>
      <w:r w:rsidRPr="00AF36C2">
        <w:t>A</w:t>
      </w:r>
      <w:r w:rsidR="00A6671C" w:rsidRPr="00AF36C2">
        <w:t xml:space="preserve">lthough it’s not common for more than one threat actor to be involved in an incident, there were </w:t>
      </w:r>
      <w:r w:rsidRPr="00AF36C2">
        <w:t>two</w:t>
      </w:r>
      <w:r w:rsidR="00A6671C" w:rsidRPr="00AF36C2">
        <w:t xml:space="preserve"> (</w:t>
      </w:r>
      <w:r w:rsidRPr="00AF36C2">
        <w:rPr>
          <w:b/>
          <w:bCs/>
        </w:rPr>
        <w:t>2</w:t>
      </w:r>
      <w:r w:rsidR="00A6671C" w:rsidRPr="00AF36C2">
        <w:t xml:space="preserve">) </w:t>
      </w:r>
      <w:r w:rsidR="00D408CC">
        <w:t xml:space="preserve">notifications </w:t>
      </w:r>
      <w:r w:rsidR="00A6671C" w:rsidRPr="00AF36C2">
        <w:t xml:space="preserve">where </w:t>
      </w:r>
      <w:r w:rsidRPr="00AF36C2">
        <w:t xml:space="preserve">multiple threat actors were selected. For example, </w:t>
      </w:r>
      <w:r w:rsidR="00A6671C" w:rsidRPr="00AF36C2">
        <w:t xml:space="preserve">both </w:t>
      </w:r>
      <w:r w:rsidR="00A6671C" w:rsidRPr="00AF36C2">
        <w:rPr>
          <w:b/>
          <w:bCs/>
        </w:rPr>
        <w:t>internal</w:t>
      </w:r>
      <w:r w:rsidR="00A6671C" w:rsidRPr="00AF36C2">
        <w:t xml:space="preserve"> and </w:t>
      </w:r>
      <w:r w:rsidR="00A6671C" w:rsidRPr="00AF36C2">
        <w:rPr>
          <w:b/>
          <w:bCs/>
        </w:rPr>
        <w:t>authorised third</w:t>
      </w:r>
      <w:r w:rsidR="00975E2D">
        <w:rPr>
          <w:b/>
          <w:bCs/>
        </w:rPr>
        <w:t xml:space="preserve"> </w:t>
      </w:r>
      <w:r w:rsidR="00A6671C" w:rsidRPr="00AF36C2">
        <w:rPr>
          <w:b/>
          <w:bCs/>
        </w:rPr>
        <w:t>party</w:t>
      </w:r>
      <w:r w:rsidR="00A6671C" w:rsidRPr="00AF36C2">
        <w:t xml:space="preserve"> were selected</w:t>
      </w:r>
      <w:r w:rsidRPr="00AF36C2">
        <w:t xml:space="preserve"> </w:t>
      </w:r>
      <w:r w:rsidR="000174F8">
        <w:t>where</w:t>
      </w:r>
      <w:r w:rsidRPr="00AF36C2">
        <w:t xml:space="preserve"> two Victorian government organisations attempt</w:t>
      </w:r>
      <w:r w:rsidR="000174F8">
        <w:t>ed</w:t>
      </w:r>
      <w:r w:rsidRPr="00AF36C2">
        <w:t xml:space="preserve"> to do a file transfer involving each of their respective contracted service providers and inadvertently shar</w:t>
      </w:r>
      <w:r w:rsidR="000174F8">
        <w:t>ed</w:t>
      </w:r>
      <w:r w:rsidRPr="00AF36C2">
        <w:t xml:space="preserve"> incorrect information</w:t>
      </w:r>
      <w:r w:rsidR="00A6671C" w:rsidRPr="00AF36C2">
        <w:t xml:space="preserve">. </w:t>
      </w:r>
    </w:p>
    <w:p w14:paraId="3ABDD28F" w14:textId="56764F70" w:rsidR="00A6671C" w:rsidRDefault="0075052C" w:rsidP="002744D6">
      <w:pPr>
        <w:pStyle w:val="Heading3"/>
        <w:pageBreakBefore/>
      </w:pPr>
      <w:r>
        <w:lastRenderedPageBreak/>
        <w:t>T</w:t>
      </w:r>
      <w:r w:rsidR="00A6671C">
        <w:t xml:space="preserve">hreat type(s) </w:t>
      </w:r>
      <w:r w:rsidR="00A6671C" w:rsidRPr="002C6E03">
        <w:t>(Multiple options can be selected)</w:t>
      </w:r>
    </w:p>
    <w:p w14:paraId="7A958627" w14:textId="11B4154F" w:rsidR="00BE571C" w:rsidRDefault="00975E2D" w:rsidP="00A6671C">
      <w:pPr>
        <w:rPr>
          <w:highlight w:val="yellow"/>
        </w:rPr>
      </w:pPr>
      <w:r w:rsidRPr="00975E2D">
        <w:rPr>
          <w:noProof/>
        </w:rPr>
        <w:drawing>
          <wp:inline distT="0" distB="0" distL="0" distR="0" wp14:anchorId="44A242DA" wp14:editId="4AC2820A">
            <wp:extent cx="5904230" cy="4047490"/>
            <wp:effectExtent l="0" t="0" r="1270" b="0"/>
            <wp:docPr id="301520601"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520601" name="Picture 1" descr="A screenshot of a graph&#10;&#10;Description automatically generated"/>
                    <pic:cNvPicPr/>
                  </pic:nvPicPr>
                  <pic:blipFill>
                    <a:blip r:embed="rId23"/>
                    <a:stretch>
                      <a:fillRect/>
                    </a:stretch>
                  </pic:blipFill>
                  <pic:spPr>
                    <a:xfrm>
                      <a:off x="0" y="0"/>
                      <a:ext cx="5904230" cy="4047490"/>
                    </a:xfrm>
                    <a:prstGeom prst="rect">
                      <a:avLst/>
                    </a:prstGeom>
                  </pic:spPr>
                </pic:pic>
              </a:graphicData>
            </a:graphic>
          </wp:inline>
        </w:drawing>
      </w:r>
    </w:p>
    <w:p w14:paraId="52D34D11" w14:textId="206D76EC" w:rsidR="00B968B1" w:rsidRPr="00AD47C6" w:rsidRDefault="00B968B1" w:rsidP="00A6671C">
      <w:r w:rsidRPr="00AD47C6">
        <w:t>Insights:</w:t>
      </w:r>
    </w:p>
    <w:p w14:paraId="26950F78" w14:textId="77777777" w:rsidR="00B968B1" w:rsidRDefault="00B968B1" w:rsidP="00A6671C">
      <w:r w:rsidRPr="00B968B1">
        <w:t>The key causal factors of security incidents remain as people, internal, and accidental.</w:t>
      </w:r>
    </w:p>
    <w:p w14:paraId="1D660A4C" w14:textId="4F771608" w:rsidR="00A6671C" w:rsidRPr="002761DC" w:rsidRDefault="002761DC" w:rsidP="00A6671C">
      <w:r w:rsidRPr="002761DC">
        <w:t>Similar to previous reporting periods, most notifications (</w:t>
      </w:r>
      <w:r w:rsidRPr="002761DC">
        <w:rPr>
          <w:b/>
          <w:bCs/>
        </w:rPr>
        <w:t>82%</w:t>
      </w:r>
      <w:r w:rsidRPr="002761DC">
        <w:t xml:space="preserve">) </w:t>
      </w:r>
      <w:r w:rsidR="00A6671C" w:rsidRPr="002761DC">
        <w:t xml:space="preserve">related to </w:t>
      </w:r>
      <w:r w:rsidR="00A6671C" w:rsidRPr="002761DC">
        <w:rPr>
          <w:b/>
          <w:bCs/>
        </w:rPr>
        <w:t>accidental</w:t>
      </w:r>
      <w:r w:rsidR="00A6671C" w:rsidRPr="002761DC">
        <w:t xml:space="preserve"> actions and </w:t>
      </w:r>
      <w:r w:rsidR="00A6671C" w:rsidRPr="002761DC">
        <w:rPr>
          <w:b/>
          <w:bCs/>
        </w:rPr>
        <w:t>1</w:t>
      </w:r>
      <w:r w:rsidRPr="002761DC">
        <w:rPr>
          <w:b/>
          <w:bCs/>
        </w:rPr>
        <w:t>4</w:t>
      </w:r>
      <w:r w:rsidR="00A6671C" w:rsidRPr="002761DC">
        <w:rPr>
          <w:b/>
          <w:bCs/>
        </w:rPr>
        <w:t>%</w:t>
      </w:r>
      <w:r w:rsidR="00A6671C" w:rsidRPr="002761DC">
        <w:t xml:space="preserve"> </w:t>
      </w:r>
      <w:r w:rsidR="00A6671C" w:rsidRPr="002761DC">
        <w:rPr>
          <w:b/>
          <w:bCs/>
        </w:rPr>
        <w:t>intentional</w:t>
      </w:r>
      <w:r w:rsidR="00A6671C" w:rsidRPr="002761DC">
        <w:t xml:space="preserve"> actions. </w:t>
      </w:r>
    </w:p>
    <w:p w14:paraId="6EA5CBAA" w14:textId="6DA000FC" w:rsidR="002761DC" w:rsidRPr="002761DC" w:rsidRDefault="00A6671C" w:rsidP="002761DC">
      <w:r w:rsidRPr="002761DC">
        <w:t>There w</w:t>
      </w:r>
      <w:r w:rsidR="002761DC" w:rsidRPr="002761DC">
        <w:t>ere</w:t>
      </w:r>
      <w:r w:rsidRPr="002761DC">
        <w:t xml:space="preserve"> </w:t>
      </w:r>
      <w:r w:rsidR="002761DC" w:rsidRPr="002761DC">
        <w:t>no</w:t>
      </w:r>
      <w:r w:rsidRPr="002761DC">
        <w:t xml:space="preserve"> notification</w:t>
      </w:r>
      <w:r w:rsidR="002761DC" w:rsidRPr="002761DC">
        <w:t>s</w:t>
      </w:r>
      <w:r w:rsidRPr="002761DC">
        <w:t xml:space="preserve"> </w:t>
      </w:r>
      <w:r w:rsidR="002761DC" w:rsidRPr="002761DC">
        <w:t xml:space="preserve">in this reporting period that were due to </w:t>
      </w:r>
      <w:r w:rsidRPr="002761DC">
        <w:rPr>
          <w:b/>
          <w:bCs/>
        </w:rPr>
        <w:t>natural</w:t>
      </w:r>
      <w:r w:rsidRPr="002761DC">
        <w:t xml:space="preserve"> </w:t>
      </w:r>
      <w:r w:rsidR="002761DC" w:rsidRPr="002761DC">
        <w:t>causes</w:t>
      </w:r>
      <w:r w:rsidR="00730CC8">
        <w:t xml:space="preserve"> other than those reported separately by Victoria Police as highlighted in the Victoria Police Statistics section of this report</w:t>
      </w:r>
      <w:r w:rsidR="002761DC" w:rsidRPr="002761DC">
        <w:t>.</w:t>
      </w:r>
    </w:p>
    <w:p w14:paraId="3F187B0F" w14:textId="77777777" w:rsidR="00A6671C" w:rsidRPr="002761DC" w:rsidRDefault="00A6671C" w:rsidP="00A6671C">
      <w:r w:rsidRPr="002761DC">
        <w:t xml:space="preserve">Although multiple options can be selected for this field, there is usually one threat type associated with each incident. </w:t>
      </w:r>
    </w:p>
    <w:p w14:paraId="0D51E794" w14:textId="268BACCD" w:rsidR="00A6671C" w:rsidRPr="00C57DCA" w:rsidRDefault="00A6671C" w:rsidP="00A6671C">
      <w:r w:rsidRPr="00A5293B">
        <w:t xml:space="preserve">There were </w:t>
      </w:r>
      <w:r w:rsidR="002761DC" w:rsidRPr="00A5293B">
        <w:t>four (</w:t>
      </w:r>
      <w:r w:rsidR="002761DC" w:rsidRPr="00A5293B">
        <w:rPr>
          <w:b/>
          <w:bCs/>
        </w:rPr>
        <w:t>4</w:t>
      </w:r>
      <w:r w:rsidR="002761DC" w:rsidRPr="00A5293B">
        <w:t>)</w:t>
      </w:r>
      <w:r w:rsidRPr="00A5293B">
        <w:t xml:space="preserve"> occurrences where more than one threat type was selected. For example, </w:t>
      </w:r>
      <w:r w:rsidR="00A5293B" w:rsidRPr="00A5293B">
        <w:t xml:space="preserve">staff had unknowingly navigated to a malicious website and downloaded a remote control application </w:t>
      </w:r>
      <w:r w:rsidRPr="00A5293B">
        <w:t>(</w:t>
      </w:r>
      <w:r w:rsidRPr="00A5293B">
        <w:rPr>
          <w:b/>
          <w:bCs/>
        </w:rPr>
        <w:t>accidental</w:t>
      </w:r>
      <w:r w:rsidRPr="00A5293B">
        <w:t xml:space="preserve">) </w:t>
      </w:r>
      <w:r w:rsidRPr="00C57DCA">
        <w:t xml:space="preserve">that subsequently </w:t>
      </w:r>
      <w:r w:rsidR="00A5293B" w:rsidRPr="00C57DCA">
        <w:t>allowed an external threat actor to gain access to the computer</w:t>
      </w:r>
      <w:r w:rsidRPr="00C57DCA">
        <w:t xml:space="preserve"> (</w:t>
      </w:r>
      <w:r w:rsidR="00A5293B" w:rsidRPr="00C57DCA">
        <w:rPr>
          <w:b/>
          <w:bCs/>
        </w:rPr>
        <w:t>intentional</w:t>
      </w:r>
      <w:r w:rsidRPr="00C57DCA">
        <w:t xml:space="preserve">). </w:t>
      </w:r>
    </w:p>
    <w:p w14:paraId="71AB2CEA" w14:textId="2DBF6516" w:rsidR="0075052C" w:rsidRPr="00976C50" w:rsidRDefault="00656C80" w:rsidP="008B5CC5">
      <w:pPr>
        <w:rPr>
          <w:highlight w:val="yellow"/>
        </w:rPr>
      </w:pPr>
      <w:r w:rsidRPr="00C57DCA">
        <w:rPr>
          <w:b/>
          <w:bCs/>
        </w:rPr>
        <w:t>63%</w:t>
      </w:r>
      <w:r w:rsidRPr="00C57DCA">
        <w:t xml:space="preserve"> of</w:t>
      </w:r>
      <w:r w:rsidR="00A6671C" w:rsidRPr="00C57DCA">
        <w:t xml:space="preserve"> notifications </w:t>
      </w:r>
      <w:r w:rsidRPr="00C57DCA">
        <w:t xml:space="preserve">that relate to </w:t>
      </w:r>
      <w:r w:rsidRPr="00C57DCA">
        <w:rPr>
          <w:b/>
          <w:bCs/>
        </w:rPr>
        <w:t>intentional</w:t>
      </w:r>
      <w:r w:rsidRPr="00C57DCA">
        <w:t xml:space="preserve"> actions </w:t>
      </w:r>
      <w:r w:rsidR="00C57DCA">
        <w:t>were</w:t>
      </w:r>
      <w:r w:rsidRPr="00C57DCA">
        <w:t xml:space="preserve"> conducted by external threat actors</w:t>
      </w:r>
      <w:r w:rsidR="00C57DCA" w:rsidRPr="00C57DCA">
        <w:t xml:space="preserve"> and </w:t>
      </w:r>
      <w:r w:rsidR="00C57DCA" w:rsidRPr="00C57DCA">
        <w:rPr>
          <w:b/>
          <w:bCs/>
        </w:rPr>
        <w:t>30%</w:t>
      </w:r>
      <w:r w:rsidR="00C57DCA" w:rsidRPr="00C57DCA">
        <w:t xml:space="preserve"> were caused by internal staff</w:t>
      </w:r>
      <w:r w:rsidRPr="00C57DCA">
        <w:t xml:space="preserve">. </w:t>
      </w:r>
      <w:bookmarkStart w:id="4" w:name="_Toc30502211"/>
      <w:bookmarkStart w:id="5" w:name="_Toc87857020"/>
      <w:r w:rsidR="00CF52B1">
        <w:t xml:space="preserve">There were a few notifications that related to the </w:t>
      </w:r>
      <w:r w:rsidR="008B5CC5">
        <w:t>intentional</w:t>
      </w:r>
      <w:r w:rsidR="00CF52B1">
        <w:t xml:space="preserve"> actions</w:t>
      </w:r>
      <w:r w:rsidR="008B5CC5">
        <w:t xml:space="preserve"> by external threat actors </w:t>
      </w:r>
      <w:r w:rsidR="00CF52B1">
        <w:t xml:space="preserve">where </w:t>
      </w:r>
      <w:hyperlink r:id="rId24" w:history="1">
        <w:r w:rsidR="008B5CC5" w:rsidRPr="00CF52B1">
          <w:rPr>
            <w:rStyle w:val="Hyperlink"/>
          </w:rPr>
          <w:t xml:space="preserve">usernames and passwords had been collected from people who had used </w:t>
        </w:r>
        <w:r w:rsidR="008B5CC5" w:rsidRPr="00CF52B1">
          <w:rPr>
            <w:rStyle w:val="Hyperlink"/>
          </w:rPr>
          <w:lastRenderedPageBreak/>
          <w:t>government logins to access websites around the internet</w:t>
        </w:r>
      </w:hyperlink>
      <w:r w:rsidR="008B5CC5">
        <w:t>.</w:t>
      </w:r>
      <w:r w:rsidR="00CF52B1">
        <w:t xml:space="preserve"> </w:t>
      </w:r>
      <w:r w:rsidR="008B5CC5">
        <w:t xml:space="preserve">For example, hackers may have stolen the credentials of a government employee who used their </w:t>
      </w:r>
      <w:r w:rsidR="00CF52B1">
        <w:t>work</w:t>
      </w:r>
      <w:r w:rsidR="008B5CC5">
        <w:t xml:space="preserve"> email to log in to another service like Netflix or Twitter.</w:t>
      </w:r>
    </w:p>
    <w:p w14:paraId="7B910525" w14:textId="77777777" w:rsidR="00CF52B1" w:rsidRDefault="00CF52B1">
      <w:pPr>
        <w:spacing w:before="0" w:after="160" w:line="259" w:lineRule="auto"/>
        <w:rPr>
          <w:rFonts w:eastAsiaTheme="majorEastAsia" w:cstheme="majorBidi"/>
          <w:color w:val="430098" w:themeColor="text2"/>
          <w:sz w:val="30"/>
          <w:szCs w:val="26"/>
        </w:rPr>
      </w:pPr>
      <w:r>
        <w:br w:type="page"/>
      </w:r>
    </w:p>
    <w:p w14:paraId="59CA613A" w14:textId="77777777" w:rsidR="00E774E2" w:rsidRDefault="00E774E2" w:rsidP="00AA7661">
      <w:pPr>
        <w:pStyle w:val="Heading3"/>
      </w:pPr>
      <w:r w:rsidRPr="00CD7036">
        <w:lastRenderedPageBreak/>
        <w:t>Victoria Police Statistics</w:t>
      </w:r>
    </w:p>
    <w:p w14:paraId="6F40ED73" w14:textId="77F6BD17" w:rsidR="00E774E2" w:rsidRPr="00CD7036" w:rsidRDefault="00E774E2" w:rsidP="00E774E2">
      <w:pPr>
        <w:rPr>
          <w:rFonts w:cstheme="majorHAnsi"/>
        </w:rPr>
      </w:pPr>
      <w:r w:rsidRPr="00CD7036">
        <w:rPr>
          <w:rFonts w:cstheme="majorHAnsi"/>
        </w:rPr>
        <w:t xml:space="preserve">OVIC receives </w:t>
      </w:r>
      <w:r w:rsidR="00F92D4F">
        <w:rPr>
          <w:rFonts w:cstheme="majorHAnsi"/>
        </w:rPr>
        <w:t xml:space="preserve">security </w:t>
      </w:r>
      <w:r w:rsidRPr="00CD7036">
        <w:rPr>
          <w:rFonts w:cstheme="majorHAnsi"/>
        </w:rPr>
        <w:t>incident notifications from the Victoria Police Security Incident Registry (</w:t>
      </w:r>
      <w:r w:rsidRPr="00F92D4F">
        <w:rPr>
          <w:rFonts w:cstheme="majorHAnsi"/>
          <w:b/>
          <w:bCs/>
        </w:rPr>
        <w:t>SIR</w:t>
      </w:r>
      <w:r w:rsidRPr="00CD7036">
        <w:rPr>
          <w:rFonts w:cstheme="majorHAnsi"/>
        </w:rPr>
        <w:t>) team.</w:t>
      </w:r>
    </w:p>
    <w:p w14:paraId="0B08D3C8" w14:textId="33BB421C" w:rsidR="00E774E2" w:rsidRPr="00CD7036" w:rsidRDefault="00E774E2" w:rsidP="00E774E2">
      <w:pPr>
        <w:rPr>
          <w:rFonts w:cstheme="majorHAnsi"/>
        </w:rPr>
      </w:pPr>
      <w:r w:rsidRPr="00CD7036">
        <w:rPr>
          <w:rFonts w:cstheme="majorHAnsi"/>
        </w:rPr>
        <w:t>Comparison between the last five financial year periods shows four of the top five ‘completed’</w:t>
      </w:r>
      <w:r>
        <w:rPr>
          <w:rStyle w:val="FootnoteReference"/>
          <w:rFonts w:cstheme="majorHAnsi"/>
        </w:rPr>
        <w:footnoteReference w:id="3"/>
      </w:r>
      <w:r>
        <w:rPr>
          <w:rFonts w:cstheme="majorHAnsi"/>
        </w:rPr>
        <w:t xml:space="preserve"> </w:t>
      </w:r>
      <w:r w:rsidRPr="00CD7036">
        <w:rPr>
          <w:rFonts w:cstheme="majorHAnsi"/>
        </w:rPr>
        <w:t xml:space="preserve">incident categories </w:t>
      </w:r>
      <w:r>
        <w:rPr>
          <w:rFonts w:cstheme="majorHAnsi"/>
        </w:rPr>
        <w:t>remain</w:t>
      </w:r>
      <w:r w:rsidRPr="00CD7036">
        <w:rPr>
          <w:rFonts w:cstheme="majorHAnsi"/>
        </w:rPr>
        <w:t xml:space="preserve"> the same.</w:t>
      </w:r>
      <w:r w:rsidRPr="00E820B6">
        <w:t xml:space="preserve"> </w:t>
      </w:r>
      <w:r>
        <w:t xml:space="preserve">The </w:t>
      </w:r>
      <w:r w:rsidRPr="00F92D4F">
        <w:rPr>
          <w:rFonts w:cstheme="majorHAnsi"/>
          <w:b/>
          <w:bCs/>
        </w:rPr>
        <w:t>Communications Fault</w:t>
      </w:r>
      <w:r w:rsidRPr="00CD7036">
        <w:rPr>
          <w:rFonts w:cstheme="majorHAnsi"/>
        </w:rPr>
        <w:t xml:space="preserve"> </w:t>
      </w:r>
      <w:r>
        <w:rPr>
          <w:rFonts w:cstheme="majorHAnsi"/>
        </w:rPr>
        <w:t xml:space="preserve">category </w:t>
      </w:r>
      <w:r w:rsidRPr="00CD7036">
        <w:rPr>
          <w:rFonts w:cstheme="majorHAnsi"/>
        </w:rPr>
        <w:t>is the new entry into the top five, replacing “</w:t>
      </w:r>
      <w:r w:rsidRPr="00F92D4F">
        <w:rPr>
          <w:rFonts w:cstheme="majorHAnsi"/>
          <w:b/>
          <w:bCs/>
        </w:rPr>
        <w:t>Other</w:t>
      </w:r>
      <w:r w:rsidRPr="00CD7036">
        <w:rPr>
          <w:rFonts w:cstheme="majorHAnsi"/>
        </w:rPr>
        <w:t>”</w:t>
      </w:r>
      <w:r>
        <w:rPr>
          <w:rFonts w:cstheme="majorHAnsi"/>
        </w:rPr>
        <w:t xml:space="preserve"> category</w:t>
      </w:r>
      <w:r w:rsidRPr="00CD7036">
        <w:rPr>
          <w:rFonts w:cstheme="majorHAnsi"/>
        </w:rPr>
        <w:t>. Communication</w:t>
      </w:r>
      <w:r w:rsidR="00F92D4F">
        <w:rPr>
          <w:rFonts w:cstheme="majorHAnsi"/>
        </w:rPr>
        <w:t>s</w:t>
      </w:r>
      <w:r w:rsidRPr="00CD7036">
        <w:rPr>
          <w:rFonts w:cstheme="majorHAnsi"/>
        </w:rPr>
        <w:t xml:space="preserve"> Fault is a new category developed in 20</w:t>
      </w:r>
      <w:r>
        <w:rPr>
          <w:rFonts w:cstheme="majorHAnsi"/>
        </w:rPr>
        <w:t>21-22</w:t>
      </w:r>
      <w:r w:rsidRPr="00CD7036">
        <w:rPr>
          <w:rFonts w:cstheme="majorHAnsi"/>
        </w:rPr>
        <w:t xml:space="preserve">. </w:t>
      </w:r>
    </w:p>
    <w:p w14:paraId="25E34D2C" w14:textId="656BD892" w:rsidR="00E774E2" w:rsidRPr="00CD7036" w:rsidRDefault="00E774E2" w:rsidP="00E774E2">
      <w:pPr>
        <w:rPr>
          <w:rFonts w:cstheme="majorHAnsi"/>
        </w:rPr>
      </w:pPr>
      <w:r w:rsidRPr="00CD7036">
        <w:rPr>
          <w:rFonts w:cstheme="majorHAnsi"/>
        </w:rPr>
        <w:t xml:space="preserve">The numbers for 2022-23 are consistent with the last reporting period except for the number of completed </w:t>
      </w:r>
      <w:r w:rsidRPr="00F92D4F">
        <w:rPr>
          <w:rFonts w:cstheme="majorHAnsi"/>
        </w:rPr>
        <w:t>Communication</w:t>
      </w:r>
      <w:r w:rsidR="00F92D4F" w:rsidRPr="00F92D4F">
        <w:rPr>
          <w:rFonts w:cstheme="majorHAnsi"/>
        </w:rPr>
        <w:t>s</w:t>
      </w:r>
      <w:r w:rsidRPr="00F92D4F">
        <w:rPr>
          <w:rFonts w:cstheme="majorHAnsi"/>
        </w:rPr>
        <w:t xml:space="preserve"> Fault</w:t>
      </w:r>
      <w:r w:rsidRPr="00CD7036">
        <w:rPr>
          <w:rFonts w:cstheme="majorHAnsi"/>
        </w:rPr>
        <w:t xml:space="preserve"> incidents which has increased considerably. </w:t>
      </w:r>
      <w:r>
        <w:rPr>
          <w:rFonts w:cstheme="majorHAnsi"/>
        </w:rPr>
        <w:t>Victoria Police have advised t</w:t>
      </w:r>
      <w:r w:rsidRPr="00CD7036">
        <w:rPr>
          <w:rFonts w:cstheme="majorHAnsi"/>
        </w:rPr>
        <w:t>his spike in 2022-23 can be attributed to</w:t>
      </w:r>
      <w:r>
        <w:rPr>
          <w:rFonts w:cstheme="majorHAnsi"/>
        </w:rPr>
        <w:t xml:space="preserve"> an improved, streamline</w:t>
      </w:r>
      <w:r w:rsidR="00A84E01">
        <w:rPr>
          <w:rFonts w:cstheme="majorHAnsi"/>
        </w:rPr>
        <w:t>d</w:t>
      </w:r>
      <w:r>
        <w:rPr>
          <w:rFonts w:cstheme="majorHAnsi"/>
        </w:rPr>
        <w:t xml:space="preserve"> process between the SIR team and the Victoria Police Security Control Room.  The Security Control Room monitor and manage communications faults such as planned/unplanned network, power, or telecommunication outages, and communications equipment faults. Extreme weather events have also impacted on unplanned outages during this reporting period.</w:t>
      </w:r>
    </w:p>
    <w:p w14:paraId="7137A41F" w14:textId="77777777" w:rsidR="00E774E2" w:rsidRDefault="00E774E2" w:rsidP="00E774E2">
      <w:pPr>
        <w:rPr>
          <w:rFonts w:cstheme="majorHAnsi"/>
          <w:b/>
          <w:bCs/>
        </w:rPr>
      </w:pPr>
    </w:p>
    <w:tbl>
      <w:tblPr>
        <w:tblW w:w="9272" w:type="dxa"/>
        <w:tblInd w:w="-5" w:type="dxa"/>
        <w:tblBorders>
          <w:insideH w:val="single" w:sz="4" w:space="0" w:color="auto"/>
        </w:tblBorders>
        <w:tblLook w:val="04A0" w:firstRow="1" w:lastRow="0" w:firstColumn="1" w:lastColumn="0" w:noHBand="0" w:noVBand="1"/>
      </w:tblPr>
      <w:tblGrid>
        <w:gridCol w:w="4941"/>
        <w:gridCol w:w="811"/>
        <w:gridCol w:w="863"/>
        <w:gridCol w:w="932"/>
        <w:gridCol w:w="897"/>
        <w:gridCol w:w="828"/>
      </w:tblGrid>
      <w:tr w:rsidR="00AA7661" w:rsidRPr="00AA7661" w14:paraId="292F2F76" w14:textId="77777777" w:rsidTr="00AA7661">
        <w:trPr>
          <w:trHeight w:val="278"/>
        </w:trPr>
        <w:tc>
          <w:tcPr>
            <w:tcW w:w="4941" w:type="dxa"/>
            <w:tcBorders>
              <w:top w:val="single" w:sz="12" w:space="0" w:color="auto"/>
              <w:bottom w:val="single" w:sz="12" w:space="0" w:color="auto"/>
            </w:tcBorders>
            <w:shd w:val="clear" w:color="auto" w:fill="auto"/>
            <w:noWrap/>
            <w:vAlign w:val="center"/>
            <w:hideMark/>
          </w:tcPr>
          <w:p w14:paraId="7EA03EEE" w14:textId="77777777" w:rsidR="00AA7661" w:rsidRPr="00AA7661" w:rsidRDefault="00AA7661" w:rsidP="00AA7661">
            <w:pPr>
              <w:pStyle w:val="TableText0"/>
              <w:rPr>
                <w:b/>
                <w:sz w:val="18"/>
              </w:rPr>
            </w:pPr>
            <w:r w:rsidRPr="00AA7661">
              <w:rPr>
                <w:b/>
                <w:sz w:val="18"/>
              </w:rPr>
              <w:t>Category</w:t>
            </w:r>
          </w:p>
        </w:tc>
        <w:tc>
          <w:tcPr>
            <w:tcW w:w="811" w:type="dxa"/>
            <w:tcBorders>
              <w:top w:val="single" w:sz="12" w:space="0" w:color="auto"/>
              <w:bottom w:val="single" w:sz="12" w:space="0" w:color="auto"/>
            </w:tcBorders>
            <w:shd w:val="clear" w:color="auto" w:fill="auto"/>
            <w:vAlign w:val="center"/>
            <w:hideMark/>
          </w:tcPr>
          <w:p w14:paraId="30EBB867" w14:textId="77777777" w:rsidR="00AA7661" w:rsidRPr="00AA7661" w:rsidRDefault="00AA7661" w:rsidP="00AA7661">
            <w:pPr>
              <w:pStyle w:val="TableText0"/>
              <w:rPr>
                <w:b/>
                <w:sz w:val="18"/>
              </w:rPr>
            </w:pPr>
            <w:r w:rsidRPr="00AA7661">
              <w:rPr>
                <w:b/>
                <w:sz w:val="18"/>
              </w:rPr>
              <w:t>22/23</w:t>
            </w:r>
          </w:p>
        </w:tc>
        <w:tc>
          <w:tcPr>
            <w:tcW w:w="863" w:type="dxa"/>
            <w:tcBorders>
              <w:top w:val="single" w:sz="12" w:space="0" w:color="auto"/>
              <w:bottom w:val="single" w:sz="12" w:space="0" w:color="auto"/>
            </w:tcBorders>
            <w:shd w:val="clear" w:color="auto" w:fill="auto"/>
            <w:vAlign w:val="center"/>
            <w:hideMark/>
          </w:tcPr>
          <w:p w14:paraId="5E0E1198" w14:textId="77777777" w:rsidR="00AA7661" w:rsidRPr="00AA7661" w:rsidRDefault="00AA7661" w:rsidP="00AA7661">
            <w:pPr>
              <w:pStyle w:val="TableText0"/>
              <w:rPr>
                <w:b/>
                <w:sz w:val="18"/>
              </w:rPr>
            </w:pPr>
            <w:r w:rsidRPr="00AA7661">
              <w:rPr>
                <w:b/>
                <w:sz w:val="18"/>
              </w:rPr>
              <w:t>21/22</w:t>
            </w:r>
          </w:p>
        </w:tc>
        <w:tc>
          <w:tcPr>
            <w:tcW w:w="932" w:type="dxa"/>
            <w:tcBorders>
              <w:top w:val="single" w:sz="12" w:space="0" w:color="auto"/>
              <w:bottom w:val="single" w:sz="12" w:space="0" w:color="auto"/>
            </w:tcBorders>
            <w:shd w:val="clear" w:color="auto" w:fill="auto"/>
            <w:noWrap/>
            <w:vAlign w:val="center"/>
            <w:hideMark/>
          </w:tcPr>
          <w:p w14:paraId="5CC5EDAD" w14:textId="77777777" w:rsidR="00AA7661" w:rsidRPr="00AA7661" w:rsidRDefault="00AA7661" w:rsidP="00AA7661">
            <w:pPr>
              <w:pStyle w:val="TableText0"/>
              <w:rPr>
                <w:b/>
                <w:sz w:val="18"/>
              </w:rPr>
            </w:pPr>
            <w:r w:rsidRPr="00AA7661">
              <w:rPr>
                <w:b/>
                <w:sz w:val="18"/>
              </w:rPr>
              <w:t>20/21</w:t>
            </w:r>
          </w:p>
        </w:tc>
        <w:tc>
          <w:tcPr>
            <w:tcW w:w="897" w:type="dxa"/>
            <w:tcBorders>
              <w:top w:val="single" w:sz="12" w:space="0" w:color="auto"/>
              <w:bottom w:val="single" w:sz="12" w:space="0" w:color="auto"/>
            </w:tcBorders>
            <w:shd w:val="clear" w:color="auto" w:fill="auto"/>
            <w:noWrap/>
            <w:vAlign w:val="center"/>
            <w:hideMark/>
          </w:tcPr>
          <w:p w14:paraId="303BF08C" w14:textId="77777777" w:rsidR="00AA7661" w:rsidRPr="00AA7661" w:rsidRDefault="00AA7661" w:rsidP="00AA7661">
            <w:pPr>
              <w:pStyle w:val="TableText0"/>
              <w:rPr>
                <w:b/>
                <w:sz w:val="18"/>
              </w:rPr>
            </w:pPr>
            <w:r w:rsidRPr="00AA7661">
              <w:rPr>
                <w:b/>
                <w:sz w:val="18"/>
              </w:rPr>
              <w:t>19/20</w:t>
            </w:r>
          </w:p>
        </w:tc>
        <w:tc>
          <w:tcPr>
            <w:tcW w:w="828" w:type="dxa"/>
            <w:tcBorders>
              <w:top w:val="single" w:sz="12" w:space="0" w:color="auto"/>
              <w:bottom w:val="single" w:sz="12" w:space="0" w:color="auto"/>
            </w:tcBorders>
            <w:shd w:val="clear" w:color="auto" w:fill="auto"/>
            <w:noWrap/>
            <w:vAlign w:val="center"/>
            <w:hideMark/>
          </w:tcPr>
          <w:p w14:paraId="0687F784" w14:textId="77777777" w:rsidR="00AA7661" w:rsidRPr="00AA7661" w:rsidRDefault="00AA7661" w:rsidP="00AA7661">
            <w:pPr>
              <w:pStyle w:val="TableText0"/>
              <w:rPr>
                <w:b/>
                <w:sz w:val="18"/>
              </w:rPr>
            </w:pPr>
            <w:r w:rsidRPr="00AA7661">
              <w:rPr>
                <w:b/>
                <w:sz w:val="18"/>
              </w:rPr>
              <w:t>18/19</w:t>
            </w:r>
          </w:p>
        </w:tc>
      </w:tr>
      <w:tr w:rsidR="00AA7661" w:rsidRPr="00AA7661" w14:paraId="0F275469" w14:textId="77777777" w:rsidTr="00AA7661">
        <w:trPr>
          <w:trHeight w:val="278"/>
        </w:trPr>
        <w:tc>
          <w:tcPr>
            <w:tcW w:w="4941" w:type="dxa"/>
            <w:tcBorders>
              <w:top w:val="single" w:sz="12" w:space="0" w:color="auto"/>
            </w:tcBorders>
            <w:shd w:val="clear" w:color="auto" w:fill="auto"/>
            <w:noWrap/>
            <w:vAlign w:val="bottom"/>
            <w:hideMark/>
          </w:tcPr>
          <w:p w14:paraId="123C97AA" w14:textId="77777777" w:rsidR="00AA7661" w:rsidRPr="00AA7661" w:rsidRDefault="00AA7661" w:rsidP="00AA7661">
            <w:pPr>
              <w:pStyle w:val="TableText0"/>
              <w:rPr>
                <w:bCs/>
                <w:sz w:val="18"/>
              </w:rPr>
            </w:pPr>
            <w:r w:rsidRPr="00AA7661">
              <w:rPr>
                <w:bCs/>
                <w:sz w:val="18"/>
              </w:rPr>
              <w:t>Theft or Loss of Asset</w:t>
            </w:r>
          </w:p>
        </w:tc>
        <w:tc>
          <w:tcPr>
            <w:tcW w:w="811" w:type="dxa"/>
            <w:tcBorders>
              <w:top w:val="single" w:sz="12" w:space="0" w:color="auto"/>
            </w:tcBorders>
            <w:shd w:val="clear" w:color="auto" w:fill="auto"/>
            <w:noWrap/>
            <w:vAlign w:val="bottom"/>
            <w:hideMark/>
          </w:tcPr>
          <w:p w14:paraId="589018E4" w14:textId="77777777" w:rsidR="00AA7661" w:rsidRPr="00AA7661" w:rsidRDefault="00AA7661" w:rsidP="00AA7661">
            <w:pPr>
              <w:pStyle w:val="TableText0"/>
              <w:rPr>
                <w:bCs/>
                <w:sz w:val="18"/>
              </w:rPr>
            </w:pPr>
            <w:r w:rsidRPr="00AA7661">
              <w:rPr>
                <w:bCs/>
                <w:sz w:val="18"/>
              </w:rPr>
              <w:t xml:space="preserve">           234 </w:t>
            </w:r>
          </w:p>
        </w:tc>
        <w:tc>
          <w:tcPr>
            <w:tcW w:w="863" w:type="dxa"/>
            <w:tcBorders>
              <w:top w:val="single" w:sz="12" w:space="0" w:color="auto"/>
            </w:tcBorders>
            <w:shd w:val="clear" w:color="auto" w:fill="auto"/>
            <w:noWrap/>
            <w:vAlign w:val="bottom"/>
            <w:hideMark/>
          </w:tcPr>
          <w:p w14:paraId="2B17C330" w14:textId="77777777" w:rsidR="00AA7661" w:rsidRPr="00AA7661" w:rsidRDefault="00AA7661" w:rsidP="00AA7661">
            <w:pPr>
              <w:pStyle w:val="TableText0"/>
              <w:rPr>
                <w:bCs/>
                <w:sz w:val="18"/>
              </w:rPr>
            </w:pPr>
            <w:r w:rsidRPr="00AA7661">
              <w:rPr>
                <w:bCs/>
                <w:sz w:val="18"/>
              </w:rPr>
              <w:t xml:space="preserve">            241 </w:t>
            </w:r>
          </w:p>
        </w:tc>
        <w:tc>
          <w:tcPr>
            <w:tcW w:w="932" w:type="dxa"/>
            <w:tcBorders>
              <w:top w:val="single" w:sz="12" w:space="0" w:color="auto"/>
            </w:tcBorders>
            <w:shd w:val="clear" w:color="auto" w:fill="auto"/>
            <w:noWrap/>
            <w:vAlign w:val="bottom"/>
            <w:hideMark/>
          </w:tcPr>
          <w:p w14:paraId="49A7D28B" w14:textId="77777777" w:rsidR="00AA7661" w:rsidRPr="00AA7661" w:rsidRDefault="00AA7661" w:rsidP="00AA7661">
            <w:pPr>
              <w:pStyle w:val="TableText0"/>
              <w:rPr>
                <w:bCs/>
                <w:sz w:val="18"/>
              </w:rPr>
            </w:pPr>
            <w:r w:rsidRPr="00AA7661">
              <w:rPr>
                <w:bCs/>
                <w:sz w:val="18"/>
              </w:rPr>
              <w:t xml:space="preserve">              279 </w:t>
            </w:r>
          </w:p>
        </w:tc>
        <w:tc>
          <w:tcPr>
            <w:tcW w:w="897" w:type="dxa"/>
            <w:tcBorders>
              <w:top w:val="single" w:sz="12" w:space="0" w:color="auto"/>
            </w:tcBorders>
            <w:shd w:val="clear" w:color="auto" w:fill="auto"/>
            <w:noWrap/>
            <w:vAlign w:val="bottom"/>
            <w:hideMark/>
          </w:tcPr>
          <w:p w14:paraId="4644EAA0" w14:textId="77777777" w:rsidR="00AA7661" w:rsidRPr="00AA7661" w:rsidRDefault="00AA7661" w:rsidP="00AA7661">
            <w:pPr>
              <w:pStyle w:val="TableText0"/>
              <w:rPr>
                <w:bCs/>
                <w:sz w:val="18"/>
              </w:rPr>
            </w:pPr>
            <w:r w:rsidRPr="00AA7661">
              <w:rPr>
                <w:bCs/>
                <w:sz w:val="18"/>
              </w:rPr>
              <w:t xml:space="preserve">             196 </w:t>
            </w:r>
          </w:p>
        </w:tc>
        <w:tc>
          <w:tcPr>
            <w:tcW w:w="828" w:type="dxa"/>
            <w:tcBorders>
              <w:top w:val="single" w:sz="12" w:space="0" w:color="auto"/>
            </w:tcBorders>
            <w:shd w:val="clear" w:color="auto" w:fill="auto"/>
            <w:noWrap/>
            <w:vAlign w:val="bottom"/>
            <w:hideMark/>
          </w:tcPr>
          <w:p w14:paraId="5CE9C494" w14:textId="77777777" w:rsidR="00AA7661" w:rsidRPr="00AA7661" w:rsidRDefault="00AA7661" w:rsidP="00AA7661">
            <w:pPr>
              <w:pStyle w:val="TableText0"/>
              <w:rPr>
                <w:bCs/>
                <w:sz w:val="18"/>
              </w:rPr>
            </w:pPr>
            <w:r w:rsidRPr="00AA7661">
              <w:rPr>
                <w:bCs/>
                <w:sz w:val="18"/>
              </w:rPr>
              <w:t xml:space="preserve">              67 </w:t>
            </w:r>
          </w:p>
        </w:tc>
      </w:tr>
      <w:tr w:rsidR="00AA7661" w:rsidRPr="00AA7661" w14:paraId="149AC865" w14:textId="77777777" w:rsidTr="00AA7661">
        <w:trPr>
          <w:trHeight w:val="278"/>
        </w:trPr>
        <w:tc>
          <w:tcPr>
            <w:tcW w:w="4941" w:type="dxa"/>
            <w:shd w:val="clear" w:color="auto" w:fill="auto"/>
            <w:noWrap/>
            <w:vAlign w:val="bottom"/>
            <w:hideMark/>
          </w:tcPr>
          <w:p w14:paraId="72DDF02C" w14:textId="77777777" w:rsidR="00AA7661" w:rsidRPr="00AA7661" w:rsidRDefault="00AA7661" w:rsidP="00AA7661">
            <w:pPr>
              <w:pStyle w:val="TableText0"/>
              <w:rPr>
                <w:bCs/>
                <w:sz w:val="18"/>
              </w:rPr>
            </w:pPr>
            <w:r w:rsidRPr="00AA7661">
              <w:rPr>
                <w:bCs/>
                <w:sz w:val="18"/>
              </w:rPr>
              <w:t>Lost or Stolen ID</w:t>
            </w:r>
          </w:p>
        </w:tc>
        <w:tc>
          <w:tcPr>
            <w:tcW w:w="811" w:type="dxa"/>
            <w:shd w:val="clear" w:color="auto" w:fill="auto"/>
            <w:noWrap/>
            <w:vAlign w:val="bottom"/>
            <w:hideMark/>
          </w:tcPr>
          <w:p w14:paraId="70EF30BE" w14:textId="77777777" w:rsidR="00AA7661" w:rsidRPr="00AA7661" w:rsidRDefault="00AA7661" w:rsidP="00AA7661">
            <w:pPr>
              <w:pStyle w:val="TableText0"/>
              <w:rPr>
                <w:bCs/>
                <w:sz w:val="18"/>
              </w:rPr>
            </w:pPr>
            <w:r w:rsidRPr="00AA7661">
              <w:rPr>
                <w:bCs/>
                <w:sz w:val="18"/>
              </w:rPr>
              <w:t xml:space="preserve">           214 </w:t>
            </w:r>
          </w:p>
        </w:tc>
        <w:tc>
          <w:tcPr>
            <w:tcW w:w="863" w:type="dxa"/>
            <w:shd w:val="clear" w:color="auto" w:fill="auto"/>
            <w:noWrap/>
            <w:vAlign w:val="bottom"/>
            <w:hideMark/>
          </w:tcPr>
          <w:p w14:paraId="232DCC61" w14:textId="77777777" w:rsidR="00AA7661" w:rsidRPr="00AA7661" w:rsidRDefault="00AA7661" w:rsidP="00AA7661">
            <w:pPr>
              <w:pStyle w:val="TableText0"/>
              <w:rPr>
                <w:bCs/>
                <w:sz w:val="18"/>
              </w:rPr>
            </w:pPr>
            <w:r w:rsidRPr="00AA7661">
              <w:rPr>
                <w:bCs/>
                <w:sz w:val="18"/>
              </w:rPr>
              <w:t xml:space="preserve">            209 </w:t>
            </w:r>
          </w:p>
        </w:tc>
        <w:tc>
          <w:tcPr>
            <w:tcW w:w="932" w:type="dxa"/>
            <w:shd w:val="clear" w:color="auto" w:fill="auto"/>
            <w:noWrap/>
            <w:vAlign w:val="bottom"/>
            <w:hideMark/>
          </w:tcPr>
          <w:p w14:paraId="2F0679AF" w14:textId="77777777" w:rsidR="00AA7661" w:rsidRPr="00AA7661" w:rsidRDefault="00AA7661" w:rsidP="00AA7661">
            <w:pPr>
              <w:pStyle w:val="TableText0"/>
              <w:rPr>
                <w:bCs/>
                <w:sz w:val="18"/>
              </w:rPr>
            </w:pPr>
            <w:r w:rsidRPr="00AA7661">
              <w:rPr>
                <w:bCs/>
                <w:sz w:val="18"/>
              </w:rPr>
              <w:t xml:space="preserve">              179 </w:t>
            </w:r>
          </w:p>
        </w:tc>
        <w:tc>
          <w:tcPr>
            <w:tcW w:w="897" w:type="dxa"/>
            <w:shd w:val="clear" w:color="auto" w:fill="auto"/>
            <w:noWrap/>
            <w:vAlign w:val="bottom"/>
            <w:hideMark/>
          </w:tcPr>
          <w:p w14:paraId="2676FD40" w14:textId="77777777" w:rsidR="00AA7661" w:rsidRPr="00AA7661" w:rsidRDefault="00AA7661" w:rsidP="00AA7661">
            <w:pPr>
              <w:pStyle w:val="TableText0"/>
              <w:rPr>
                <w:bCs/>
                <w:sz w:val="18"/>
              </w:rPr>
            </w:pPr>
            <w:r w:rsidRPr="00AA7661">
              <w:rPr>
                <w:bCs/>
                <w:sz w:val="18"/>
              </w:rPr>
              <w:t xml:space="preserve">             232 </w:t>
            </w:r>
          </w:p>
        </w:tc>
        <w:tc>
          <w:tcPr>
            <w:tcW w:w="828" w:type="dxa"/>
            <w:shd w:val="clear" w:color="auto" w:fill="auto"/>
            <w:noWrap/>
            <w:vAlign w:val="bottom"/>
            <w:hideMark/>
          </w:tcPr>
          <w:p w14:paraId="3DDE4F73" w14:textId="77777777" w:rsidR="00AA7661" w:rsidRPr="00AA7661" w:rsidRDefault="00AA7661" w:rsidP="00AA7661">
            <w:pPr>
              <w:pStyle w:val="TableText0"/>
              <w:rPr>
                <w:bCs/>
                <w:sz w:val="18"/>
              </w:rPr>
            </w:pPr>
            <w:r w:rsidRPr="00AA7661">
              <w:rPr>
                <w:bCs/>
                <w:sz w:val="18"/>
              </w:rPr>
              <w:t xml:space="preserve">           220 </w:t>
            </w:r>
          </w:p>
        </w:tc>
      </w:tr>
      <w:tr w:rsidR="00AA7661" w:rsidRPr="00AA7661" w14:paraId="147F8E67" w14:textId="77777777" w:rsidTr="00AA7661">
        <w:trPr>
          <w:trHeight w:val="278"/>
        </w:trPr>
        <w:tc>
          <w:tcPr>
            <w:tcW w:w="4941" w:type="dxa"/>
            <w:shd w:val="clear" w:color="auto" w:fill="auto"/>
            <w:noWrap/>
            <w:vAlign w:val="bottom"/>
            <w:hideMark/>
          </w:tcPr>
          <w:p w14:paraId="11068776" w14:textId="77777777" w:rsidR="00AA7661" w:rsidRPr="00AA7661" w:rsidRDefault="00AA7661" w:rsidP="00AA7661">
            <w:pPr>
              <w:pStyle w:val="TableText0"/>
              <w:rPr>
                <w:bCs/>
                <w:sz w:val="18"/>
              </w:rPr>
            </w:pPr>
            <w:r w:rsidRPr="00AA7661">
              <w:rPr>
                <w:bCs/>
                <w:sz w:val="18"/>
              </w:rPr>
              <w:t>Information Handling</w:t>
            </w:r>
          </w:p>
        </w:tc>
        <w:tc>
          <w:tcPr>
            <w:tcW w:w="811" w:type="dxa"/>
            <w:shd w:val="clear" w:color="auto" w:fill="auto"/>
            <w:noWrap/>
            <w:vAlign w:val="bottom"/>
            <w:hideMark/>
          </w:tcPr>
          <w:p w14:paraId="6243A613" w14:textId="77777777" w:rsidR="00AA7661" w:rsidRPr="00AA7661" w:rsidRDefault="00AA7661" w:rsidP="00AA7661">
            <w:pPr>
              <w:pStyle w:val="TableText0"/>
              <w:rPr>
                <w:bCs/>
                <w:sz w:val="18"/>
              </w:rPr>
            </w:pPr>
            <w:r w:rsidRPr="00AA7661">
              <w:rPr>
                <w:bCs/>
                <w:sz w:val="18"/>
              </w:rPr>
              <w:t xml:space="preserve">             94 </w:t>
            </w:r>
          </w:p>
        </w:tc>
        <w:tc>
          <w:tcPr>
            <w:tcW w:w="863" w:type="dxa"/>
            <w:shd w:val="clear" w:color="auto" w:fill="auto"/>
            <w:noWrap/>
            <w:vAlign w:val="bottom"/>
            <w:hideMark/>
          </w:tcPr>
          <w:p w14:paraId="58472395" w14:textId="77777777" w:rsidR="00AA7661" w:rsidRPr="00AA7661" w:rsidRDefault="00AA7661" w:rsidP="00AA7661">
            <w:pPr>
              <w:pStyle w:val="TableText0"/>
              <w:rPr>
                <w:bCs/>
                <w:sz w:val="18"/>
              </w:rPr>
            </w:pPr>
            <w:r w:rsidRPr="00AA7661">
              <w:rPr>
                <w:bCs/>
                <w:sz w:val="18"/>
              </w:rPr>
              <w:t xml:space="preserve">               79 </w:t>
            </w:r>
          </w:p>
        </w:tc>
        <w:tc>
          <w:tcPr>
            <w:tcW w:w="932" w:type="dxa"/>
            <w:shd w:val="clear" w:color="auto" w:fill="auto"/>
            <w:noWrap/>
            <w:vAlign w:val="bottom"/>
            <w:hideMark/>
          </w:tcPr>
          <w:p w14:paraId="3C2CEE8F" w14:textId="77777777" w:rsidR="00AA7661" w:rsidRPr="00AA7661" w:rsidRDefault="00AA7661" w:rsidP="00AA7661">
            <w:pPr>
              <w:pStyle w:val="TableText0"/>
              <w:rPr>
                <w:bCs/>
                <w:sz w:val="18"/>
              </w:rPr>
            </w:pPr>
            <w:r w:rsidRPr="00AA7661">
              <w:rPr>
                <w:bCs/>
                <w:sz w:val="18"/>
              </w:rPr>
              <w:t xml:space="preserve">              149 </w:t>
            </w:r>
          </w:p>
        </w:tc>
        <w:tc>
          <w:tcPr>
            <w:tcW w:w="897" w:type="dxa"/>
            <w:shd w:val="clear" w:color="auto" w:fill="auto"/>
            <w:noWrap/>
            <w:vAlign w:val="bottom"/>
            <w:hideMark/>
          </w:tcPr>
          <w:p w14:paraId="22C8BF37" w14:textId="77777777" w:rsidR="00AA7661" w:rsidRPr="00AA7661" w:rsidRDefault="00AA7661" w:rsidP="00AA7661">
            <w:pPr>
              <w:pStyle w:val="TableText0"/>
              <w:rPr>
                <w:bCs/>
                <w:sz w:val="18"/>
              </w:rPr>
            </w:pPr>
            <w:r w:rsidRPr="00AA7661">
              <w:rPr>
                <w:bCs/>
                <w:sz w:val="18"/>
              </w:rPr>
              <w:t xml:space="preserve">               25 </w:t>
            </w:r>
          </w:p>
        </w:tc>
        <w:tc>
          <w:tcPr>
            <w:tcW w:w="828" w:type="dxa"/>
            <w:shd w:val="clear" w:color="auto" w:fill="auto"/>
            <w:noWrap/>
            <w:vAlign w:val="bottom"/>
            <w:hideMark/>
          </w:tcPr>
          <w:p w14:paraId="0A5C5D9A" w14:textId="77777777" w:rsidR="00AA7661" w:rsidRPr="00AA7661" w:rsidRDefault="00AA7661" w:rsidP="00AA7661">
            <w:pPr>
              <w:pStyle w:val="TableText0"/>
              <w:rPr>
                <w:bCs/>
                <w:sz w:val="18"/>
              </w:rPr>
            </w:pPr>
            <w:r w:rsidRPr="00AA7661">
              <w:rPr>
                <w:bCs/>
                <w:sz w:val="18"/>
              </w:rPr>
              <w:t xml:space="preserve">              21 </w:t>
            </w:r>
          </w:p>
        </w:tc>
      </w:tr>
      <w:tr w:rsidR="00AA7661" w:rsidRPr="00AA7661" w14:paraId="3CAC01B1" w14:textId="77777777" w:rsidTr="00AA7661">
        <w:trPr>
          <w:trHeight w:val="278"/>
        </w:trPr>
        <w:tc>
          <w:tcPr>
            <w:tcW w:w="4941" w:type="dxa"/>
            <w:tcBorders>
              <w:bottom w:val="single" w:sz="4" w:space="0" w:color="auto"/>
            </w:tcBorders>
            <w:shd w:val="clear" w:color="auto" w:fill="auto"/>
            <w:noWrap/>
            <w:vAlign w:val="bottom"/>
            <w:hideMark/>
          </w:tcPr>
          <w:p w14:paraId="7C86B465" w14:textId="77777777" w:rsidR="00AA7661" w:rsidRPr="00AA7661" w:rsidRDefault="00AA7661" w:rsidP="00AA7661">
            <w:pPr>
              <w:pStyle w:val="TableText0"/>
              <w:rPr>
                <w:bCs/>
                <w:sz w:val="18"/>
              </w:rPr>
            </w:pPr>
            <w:r w:rsidRPr="00AA7661">
              <w:rPr>
                <w:bCs/>
                <w:sz w:val="18"/>
              </w:rPr>
              <w:t>Communications Fault</w:t>
            </w:r>
          </w:p>
        </w:tc>
        <w:tc>
          <w:tcPr>
            <w:tcW w:w="811" w:type="dxa"/>
            <w:tcBorders>
              <w:bottom w:val="single" w:sz="4" w:space="0" w:color="auto"/>
            </w:tcBorders>
            <w:shd w:val="clear" w:color="auto" w:fill="auto"/>
            <w:noWrap/>
            <w:vAlign w:val="bottom"/>
            <w:hideMark/>
          </w:tcPr>
          <w:p w14:paraId="2576F863" w14:textId="77777777" w:rsidR="00AA7661" w:rsidRPr="00AA7661" w:rsidRDefault="00AA7661" w:rsidP="00AA7661">
            <w:pPr>
              <w:pStyle w:val="TableText0"/>
              <w:rPr>
                <w:bCs/>
                <w:sz w:val="18"/>
              </w:rPr>
            </w:pPr>
            <w:r w:rsidRPr="00AA7661">
              <w:rPr>
                <w:bCs/>
                <w:sz w:val="18"/>
              </w:rPr>
              <w:t xml:space="preserve">             93 </w:t>
            </w:r>
          </w:p>
        </w:tc>
        <w:tc>
          <w:tcPr>
            <w:tcW w:w="863" w:type="dxa"/>
            <w:tcBorders>
              <w:bottom w:val="single" w:sz="4" w:space="0" w:color="auto"/>
            </w:tcBorders>
            <w:shd w:val="clear" w:color="auto" w:fill="auto"/>
            <w:noWrap/>
            <w:vAlign w:val="bottom"/>
            <w:hideMark/>
          </w:tcPr>
          <w:p w14:paraId="6023B3A6" w14:textId="77777777" w:rsidR="00AA7661" w:rsidRPr="00AA7661" w:rsidRDefault="00AA7661" w:rsidP="00AA7661">
            <w:pPr>
              <w:pStyle w:val="TableText0"/>
              <w:rPr>
                <w:bCs/>
                <w:sz w:val="18"/>
              </w:rPr>
            </w:pPr>
            <w:r w:rsidRPr="00AA7661">
              <w:rPr>
                <w:bCs/>
                <w:sz w:val="18"/>
              </w:rPr>
              <w:t xml:space="preserve">               39 </w:t>
            </w:r>
          </w:p>
        </w:tc>
        <w:tc>
          <w:tcPr>
            <w:tcW w:w="932" w:type="dxa"/>
            <w:tcBorders>
              <w:bottom w:val="single" w:sz="4" w:space="0" w:color="auto"/>
            </w:tcBorders>
            <w:shd w:val="clear" w:color="auto" w:fill="auto"/>
            <w:noWrap/>
            <w:vAlign w:val="bottom"/>
            <w:hideMark/>
          </w:tcPr>
          <w:p w14:paraId="54AFBE4C" w14:textId="77777777" w:rsidR="00AA7661" w:rsidRPr="00AA7661" w:rsidRDefault="00AA7661" w:rsidP="00AA7661">
            <w:pPr>
              <w:pStyle w:val="TableText0"/>
              <w:rPr>
                <w:bCs/>
                <w:sz w:val="18"/>
              </w:rPr>
            </w:pPr>
            <w:r w:rsidRPr="00AA7661">
              <w:rPr>
                <w:bCs/>
                <w:sz w:val="18"/>
              </w:rPr>
              <w:t xml:space="preserve">                 -   </w:t>
            </w:r>
          </w:p>
        </w:tc>
        <w:tc>
          <w:tcPr>
            <w:tcW w:w="897" w:type="dxa"/>
            <w:tcBorders>
              <w:bottom w:val="single" w:sz="4" w:space="0" w:color="auto"/>
            </w:tcBorders>
            <w:shd w:val="clear" w:color="auto" w:fill="auto"/>
            <w:noWrap/>
            <w:vAlign w:val="bottom"/>
            <w:hideMark/>
          </w:tcPr>
          <w:p w14:paraId="75243F06" w14:textId="77777777" w:rsidR="00AA7661" w:rsidRPr="00AA7661" w:rsidRDefault="00AA7661" w:rsidP="00AA7661">
            <w:pPr>
              <w:pStyle w:val="TableText0"/>
              <w:rPr>
                <w:bCs/>
                <w:sz w:val="18"/>
              </w:rPr>
            </w:pPr>
            <w:r w:rsidRPr="00AA7661">
              <w:rPr>
                <w:bCs/>
                <w:sz w:val="18"/>
              </w:rPr>
              <w:t xml:space="preserve">                -   </w:t>
            </w:r>
          </w:p>
        </w:tc>
        <w:tc>
          <w:tcPr>
            <w:tcW w:w="828" w:type="dxa"/>
            <w:tcBorders>
              <w:bottom w:val="single" w:sz="4" w:space="0" w:color="auto"/>
            </w:tcBorders>
            <w:shd w:val="clear" w:color="auto" w:fill="auto"/>
            <w:noWrap/>
            <w:vAlign w:val="bottom"/>
            <w:hideMark/>
          </w:tcPr>
          <w:p w14:paraId="0A92CC15" w14:textId="77777777" w:rsidR="00AA7661" w:rsidRPr="00AA7661" w:rsidRDefault="00AA7661" w:rsidP="00AA7661">
            <w:pPr>
              <w:pStyle w:val="TableText0"/>
              <w:rPr>
                <w:bCs/>
                <w:sz w:val="18"/>
              </w:rPr>
            </w:pPr>
            <w:r w:rsidRPr="00AA7661">
              <w:rPr>
                <w:bCs/>
                <w:sz w:val="18"/>
              </w:rPr>
              <w:t xml:space="preserve">               -   </w:t>
            </w:r>
          </w:p>
        </w:tc>
      </w:tr>
      <w:tr w:rsidR="00AA7661" w:rsidRPr="00AA7661" w14:paraId="25588071" w14:textId="77777777" w:rsidTr="00AA7661">
        <w:trPr>
          <w:trHeight w:val="278"/>
        </w:trPr>
        <w:tc>
          <w:tcPr>
            <w:tcW w:w="4941" w:type="dxa"/>
            <w:tcBorders>
              <w:top w:val="single" w:sz="4" w:space="0" w:color="auto"/>
              <w:bottom w:val="single" w:sz="4" w:space="0" w:color="auto"/>
            </w:tcBorders>
            <w:shd w:val="clear" w:color="auto" w:fill="auto"/>
            <w:noWrap/>
            <w:vAlign w:val="bottom"/>
            <w:hideMark/>
          </w:tcPr>
          <w:p w14:paraId="2DC9C8C1" w14:textId="77777777" w:rsidR="00AA7661" w:rsidRPr="00AA7661" w:rsidRDefault="00AA7661" w:rsidP="00AA7661">
            <w:pPr>
              <w:pStyle w:val="TableText0"/>
              <w:rPr>
                <w:bCs/>
                <w:sz w:val="18"/>
              </w:rPr>
            </w:pPr>
            <w:r w:rsidRPr="00AA7661">
              <w:rPr>
                <w:bCs/>
                <w:sz w:val="18"/>
              </w:rPr>
              <w:t>Unauthorised Release or Disclosure of Information</w:t>
            </w:r>
          </w:p>
        </w:tc>
        <w:tc>
          <w:tcPr>
            <w:tcW w:w="811" w:type="dxa"/>
            <w:tcBorders>
              <w:top w:val="single" w:sz="4" w:space="0" w:color="auto"/>
              <w:bottom w:val="single" w:sz="4" w:space="0" w:color="auto"/>
            </w:tcBorders>
            <w:shd w:val="clear" w:color="auto" w:fill="auto"/>
            <w:noWrap/>
            <w:vAlign w:val="bottom"/>
            <w:hideMark/>
          </w:tcPr>
          <w:p w14:paraId="505BBF31" w14:textId="77777777" w:rsidR="00AA7661" w:rsidRPr="00AA7661" w:rsidRDefault="00AA7661" w:rsidP="00AA7661">
            <w:pPr>
              <w:pStyle w:val="TableText0"/>
              <w:rPr>
                <w:bCs/>
                <w:sz w:val="18"/>
              </w:rPr>
            </w:pPr>
            <w:r w:rsidRPr="00AA7661">
              <w:rPr>
                <w:bCs/>
                <w:sz w:val="18"/>
              </w:rPr>
              <w:t xml:space="preserve">             76 </w:t>
            </w:r>
          </w:p>
        </w:tc>
        <w:tc>
          <w:tcPr>
            <w:tcW w:w="863" w:type="dxa"/>
            <w:tcBorders>
              <w:top w:val="single" w:sz="4" w:space="0" w:color="auto"/>
              <w:bottom w:val="single" w:sz="4" w:space="0" w:color="auto"/>
            </w:tcBorders>
            <w:shd w:val="clear" w:color="auto" w:fill="auto"/>
            <w:noWrap/>
            <w:vAlign w:val="bottom"/>
            <w:hideMark/>
          </w:tcPr>
          <w:p w14:paraId="6AC29CBB" w14:textId="77777777" w:rsidR="00AA7661" w:rsidRPr="00AA7661" w:rsidRDefault="00AA7661" w:rsidP="00AA7661">
            <w:pPr>
              <w:pStyle w:val="TableText0"/>
              <w:rPr>
                <w:bCs/>
                <w:sz w:val="18"/>
              </w:rPr>
            </w:pPr>
            <w:r w:rsidRPr="00AA7661">
              <w:rPr>
                <w:bCs/>
                <w:sz w:val="18"/>
              </w:rPr>
              <w:t xml:space="preserve">               85 </w:t>
            </w:r>
          </w:p>
        </w:tc>
        <w:tc>
          <w:tcPr>
            <w:tcW w:w="932" w:type="dxa"/>
            <w:tcBorders>
              <w:top w:val="single" w:sz="4" w:space="0" w:color="auto"/>
              <w:bottom w:val="single" w:sz="4" w:space="0" w:color="auto"/>
            </w:tcBorders>
            <w:shd w:val="clear" w:color="auto" w:fill="auto"/>
            <w:noWrap/>
            <w:vAlign w:val="bottom"/>
            <w:hideMark/>
          </w:tcPr>
          <w:p w14:paraId="47039B48" w14:textId="77777777" w:rsidR="00AA7661" w:rsidRPr="00AA7661" w:rsidRDefault="00AA7661" w:rsidP="00AA7661">
            <w:pPr>
              <w:pStyle w:val="TableText0"/>
              <w:rPr>
                <w:bCs/>
                <w:sz w:val="18"/>
              </w:rPr>
            </w:pPr>
            <w:r w:rsidRPr="00AA7661">
              <w:rPr>
                <w:bCs/>
                <w:sz w:val="18"/>
              </w:rPr>
              <w:t xml:space="preserve">              103 </w:t>
            </w:r>
          </w:p>
        </w:tc>
        <w:tc>
          <w:tcPr>
            <w:tcW w:w="897" w:type="dxa"/>
            <w:tcBorders>
              <w:top w:val="single" w:sz="4" w:space="0" w:color="auto"/>
              <w:bottom w:val="single" w:sz="4" w:space="0" w:color="auto"/>
            </w:tcBorders>
            <w:shd w:val="clear" w:color="auto" w:fill="auto"/>
            <w:noWrap/>
            <w:vAlign w:val="bottom"/>
            <w:hideMark/>
          </w:tcPr>
          <w:p w14:paraId="706901D4" w14:textId="77777777" w:rsidR="00AA7661" w:rsidRPr="00AA7661" w:rsidRDefault="00AA7661" w:rsidP="00AA7661">
            <w:pPr>
              <w:pStyle w:val="TableText0"/>
              <w:rPr>
                <w:bCs/>
                <w:sz w:val="18"/>
              </w:rPr>
            </w:pPr>
            <w:r w:rsidRPr="00AA7661">
              <w:rPr>
                <w:bCs/>
                <w:sz w:val="18"/>
              </w:rPr>
              <w:t xml:space="preserve">             292 </w:t>
            </w:r>
          </w:p>
        </w:tc>
        <w:tc>
          <w:tcPr>
            <w:tcW w:w="828" w:type="dxa"/>
            <w:tcBorders>
              <w:top w:val="single" w:sz="4" w:space="0" w:color="auto"/>
              <w:bottom w:val="single" w:sz="4" w:space="0" w:color="auto"/>
            </w:tcBorders>
            <w:shd w:val="clear" w:color="auto" w:fill="auto"/>
            <w:noWrap/>
            <w:vAlign w:val="bottom"/>
            <w:hideMark/>
          </w:tcPr>
          <w:p w14:paraId="077818B5" w14:textId="77777777" w:rsidR="00AA7661" w:rsidRPr="00AA7661" w:rsidRDefault="00AA7661" w:rsidP="00AA7661">
            <w:pPr>
              <w:pStyle w:val="TableText0"/>
              <w:rPr>
                <w:bCs/>
                <w:sz w:val="18"/>
              </w:rPr>
            </w:pPr>
            <w:r w:rsidRPr="00AA7661">
              <w:rPr>
                <w:bCs/>
                <w:sz w:val="18"/>
              </w:rPr>
              <w:t xml:space="preserve">              74 </w:t>
            </w:r>
          </w:p>
        </w:tc>
      </w:tr>
    </w:tbl>
    <w:p w14:paraId="4F443ABA" w14:textId="77777777" w:rsidR="00E774E2" w:rsidRDefault="00E774E2" w:rsidP="00E774E2">
      <w:pPr>
        <w:rPr>
          <w:rFonts w:cstheme="majorHAnsi"/>
          <w:b/>
          <w:bCs/>
        </w:rPr>
      </w:pPr>
    </w:p>
    <w:p w14:paraId="31E5D934" w14:textId="77777777" w:rsidR="00E774E2" w:rsidRDefault="00E774E2" w:rsidP="00BF3799">
      <w:pPr>
        <w:pStyle w:val="Heading2"/>
      </w:pPr>
    </w:p>
    <w:p w14:paraId="39D29B60" w14:textId="77777777" w:rsidR="00AA7661" w:rsidRDefault="00AA7661">
      <w:pPr>
        <w:spacing w:before="0" w:after="160" w:line="259" w:lineRule="auto"/>
        <w:rPr>
          <w:rFonts w:eastAsiaTheme="majorEastAsia" w:cstheme="majorBidi"/>
          <w:color w:val="430098" w:themeColor="text2"/>
          <w:sz w:val="30"/>
          <w:szCs w:val="26"/>
        </w:rPr>
      </w:pPr>
      <w:r>
        <w:br w:type="page"/>
      </w:r>
    </w:p>
    <w:p w14:paraId="2CF0CC04" w14:textId="28B16DEB" w:rsidR="00BF3799" w:rsidRDefault="00A6671C" w:rsidP="00BF3799">
      <w:pPr>
        <w:pStyle w:val="Heading2"/>
      </w:pPr>
      <w:r>
        <w:lastRenderedPageBreak/>
        <w:t>Risk statements</w:t>
      </w:r>
    </w:p>
    <w:p w14:paraId="16ABF936" w14:textId="77777777" w:rsidR="00A6671C" w:rsidRDefault="00A6671C" w:rsidP="00A6671C">
      <w:r>
        <w:t>Based on the incident notifications received by OVIC, we developed the following risk statements for consideration by VPS organisations when reviewing their information security risks:</w:t>
      </w:r>
    </w:p>
    <w:tbl>
      <w:tblPr>
        <w:tblStyle w:val="OVICDefaulttable"/>
        <w:tblW w:w="0" w:type="auto"/>
        <w:tblLook w:val="04A0" w:firstRow="1" w:lastRow="0" w:firstColumn="1" w:lastColumn="0" w:noHBand="0" w:noVBand="1"/>
      </w:tblPr>
      <w:tblGrid>
        <w:gridCol w:w="2980"/>
        <w:gridCol w:w="2981"/>
        <w:gridCol w:w="2980"/>
      </w:tblGrid>
      <w:tr w:rsidR="0097704C" w14:paraId="256D75D0" w14:textId="77777777" w:rsidTr="0097704C">
        <w:trPr>
          <w:cnfStyle w:val="100000000000" w:firstRow="1" w:lastRow="0" w:firstColumn="0" w:lastColumn="0" w:oddVBand="0" w:evenVBand="0" w:oddHBand="0" w:evenHBand="0" w:firstRowFirstColumn="0" w:firstRowLastColumn="0" w:lastRowFirstColumn="0" w:lastRowLastColumn="0"/>
          <w:trHeight w:val="252"/>
        </w:trPr>
        <w:tc>
          <w:tcPr>
            <w:tcW w:w="2980" w:type="dxa"/>
          </w:tcPr>
          <w:bookmarkEnd w:id="4"/>
          <w:bookmarkEnd w:id="5"/>
          <w:p w14:paraId="21A813B3" w14:textId="184D7D08" w:rsidR="0097704C" w:rsidRDefault="0097704C" w:rsidP="002E4AEB">
            <w:pPr>
              <w:pStyle w:val="TableText0"/>
            </w:pPr>
            <w:r>
              <w:t>The risk of…</w:t>
            </w:r>
          </w:p>
        </w:tc>
        <w:tc>
          <w:tcPr>
            <w:tcW w:w="2981" w:type="dxa"/>
          </w:tcPr>
          <w:p w14:paraId="4808907F" w14:textId="03842E27" w:rsidR="0097704C" w:rsidRDefault="0097704C" w:rsidP="002E4AEB">
            <w:pPr>
              <w:pStyle w:val="TableText0"/>
            </w:pPr>
            <w:r>
              <w:t>Caused by…</w:t>
            </w:r>
          </w:p>
        </w:tc>
        <w:tc>
          <w:tcPr>
            <w:tcW w:w="2980" w:type="dxa"/>
          </w:tcPr>
          <w:p w14:paraId="0B9C2325" w14:textId="0B1A29B8" w:rsidR="0097704C" w:rsidRDefault="0097704C" w:rsidP="002E4AEB">
            <w:pPr>
              <w:pStyle w:val="TableText0"/>
            </w:pPr>
            <w:r w:rsidRPr="00463989">
              <w:t>Resulting in…</w:t>
            </w:r>
            <w:r>
              <w:rPr>
                <w:rStyle w:val="FootnoteReference"/>
              </w:rPr>
              <w:footnoteReference w:id="4"/>
            </w:r>
          </w:p>
        </w:tc>
      </w:tr>
      <w:tr w:rsidR="0097704C" w14:paraId="5D3D3929" w14:textId="77777777" w:rsidTr="0097704C">
        <w:trPr>
          <w:trHeight w:val="505"/>
        </w:trPr>
        <w:tc>
          <w:tcPr>
            <w:tcW w:w="2980" w:type="dxa"/>
          </w:tcPr>
          <w:p w14:paraId="5E09C2CD" w14:textId="409B4B18" w:rsidR="0097704C" w:rsidRDefault="00402EC8" w:rsidP="0097704C">
            <w:pPr>
              <w:pStyle w:val="Tabletext"/>
            </w:pPr>
            <w:r>
              <w:t xml:space="preserve">Poor data quality </w:t>
            </w:r>
          </w:p>
          <w:p w14:paraId="734D7D68" w14:textId="7CB4DC59" w:rsidR="0097704C" w:rsidRPr="0097704C" w:rsidRDefault="0097704C" w:rsidP="0097704C">
            <w:pPr>
              <w:pStyle w:val="Tabletext"/>
              <w:rPr>
                <w:b/>
                <w:bCs/>
              </w:rPr>
            </w:pPr>
            <w:r w:rsidRPr="0097704C">
              <w:rPr>
                <w:b/>
                <w:bCs/>
              </w:rPr>
              <w:t>(Compromise of integrity)</w:t>
            </w:r>
          </w:p>
        </w:tc>
        <w:tc>
          <w:tcPr>
            <w:tcW w:w="2981" w:type="dxa"/>
          </w:tcPr>
          <w:p w14:paraId="7ED0FE9B" w14:textId="368336F7" w:rsidR="0097704C" w:rsidRDefault="0097704C" w:rsidP="0097704C">
            <w:pPr>
              <w:pStyle w:val="Tabletext"/>
            </w:pPr>
            <w:r>
              <w:t xml:space="preserve">Internal staff </w:t>
            </w:r>
            <w:r w:rsidR="00402EC8">
              <w:t xml:space="preserve">manually processing an application and </w:t>
            </w:r>
            <w:r w:rsidR="002C22DD">
              <w:t xml:space="preserve">inadvertently linking </w:t>
            </w:r>
            <w:r w:rsidR="00402EC8">
              <w:t xml:space="preserve">it to the wrong </w:t>
            </w:r>
            <w:r w:rsidR="002C22DD">
              <w:t>case</w:t>
            </w:r>
          </w:p>
        </w:tc>
        <w:tc>
          <w:tcPr>
            <w:tcW w:w="2980" w:type="dxa"/>
          </w:tcPr>
          <w:p w14:paraId="3B3D123B" w14:textId="77777777" w:rsidR="002C22DD" w:rsidRDefault="002C22DD" w:rsidP="002C22DD">
            <w:pPr>
              <w:pStyle w:val="Tabletext"/>
            </w:pPr>
            <w:r>
              <w:t>Impact on public services (reputation of, and confidence in, the organisation)</w:t>
            </w:r>
          </w:p>
          <w:p w14:paraId="32C47C04" w14:textId="3FDC0211" w:rsidR="0097704C" w:rsidRDefault="0097704C" w:rsidP="0097704C">
            <w:pPr>
              <w:pStyle w:val="Tabletext"/>
            </w:pPr>
            <w:r>
              <w:t>I</w:t>
            </w:r>
            <w:r w:rsidRPr="00075292">
              <w:t>mpact to individuals</w:t>
            </w:r>
            <w:r>
              <w:t xml:space="preserve"> </w:t>
            </w:r>
            <w:r w:rsidRPr="00075292">
              <w:t>whose personal information was affected</w:t>
            </w:r>
          </w:p>
        </w:tc>
      </w:tr>
      <w:tr w:rsidR="0097704C" w14:paraId="6D22EDEF" w14:textId="77777777" w:rsidTr="0097704C">
        <w:trPr>
          <w:trHeight w:val="268"/>
        </w:trPr>
        <w:tc>
          <w:tcPr>
            <w:tcW w:w="2980" w:type="dxa"/>
          </w:tcPr>
          <w:p w14:paraId="758EE7C8" w14:textId="77777777" w:rsidR="0097704C" w:rsidRPr="00484C02" w:rsidRDefault="0097704C" w:rsidP="0097704C">
            <w:pPr>
              <w:pStyle w:val="Tabletext"/>
              <w:rPr>
                <w:b/>
                <w:bCs/>
              </w:rPr>
            </w:pPr>
            <w:r w:rsidRPr="00484C02">
              <w:t>Unauthorised access to</w:t>
            </w:r>
            <w:r>
              <w:t xml:space="preserve"> / inability to access</w:t>
            </w:r>
            <w:r w:rsidRPr="00484C02">
              <w:t xml:space="preserve"> </w:t>
            </w:r>
            <w:r>
              <w:t xml:space="preserve">public sector information </w:t>
            </w:r>
          </w:p>
          <w:p w14:paraId="2D61D0EC" w14:textId="065ED840" w:rsidR="0097704C" w:rsidRPr="0097704C" w:rsidRDefault="0097704C" w:rsidP="0097704C">
            <w:pPr>
              <w:pStyle w:val="Tabletext"/>
              <w:rPr>
                <w:b/>
                <w:bCs/>
              </w:rPr>
            </w:pPr>
            <w:bookmarkStart w:id="6" w:name="_Hlk115943604"/>
            <w:r w:rsidRPr="0097704C">
              <w:rPr>
                <w:b/>
                <w:bCs/>
              </w:rPr>
              <w:t>(Compromise of confidentiality and availability)</w:t>
            </w:r>
            <w:bookmarkEnd w:id="6"/>
          </w:p>
        </w:tc>
        <w:tc>
          <w:tcPr>
            <w:tcW w:w="2981" w:type="dxa"/>
          </w:tcPr>
          <w:p w14:paraId="1C98AF26" w14:textId="5791150A" w:rsidR="0097704C" w:rsidRDefault="002C22DD" w:rsidP="0097704C">
            <w:pPr>
              <w:pStyle w:val="Tabletext"/>
            </w:pPr>
            <w:r>
              <w:t xml:space="preserve">Thieves </w:t>
            </w:r>
            <w:r w:rsidR="00CF52B1">
              <w:t xml:space="preserve">breaking into an authorised third-party premises and </w:t>
            </w:r>
            <w:r>
              <w:t xml:space="preserve">stealing a book / hard copy files and hard drive </w:t>
            </w:r>
          </w:p>
        </w:tc>
        <w:tc>
          <w:tcPr>
            <w:tcW w:w="2980" w:type="dxa"/>
          </w:tcPr>
          <w:p w14:paraId="39C96F82" w14:textId="77777777" w:rsidR="0097704C" w:rsidRDefault="0097704C" w:rsidP="0097704C">
            <w:pPr>
              <w:pStyle w:val="Tabletext"/>
            </w:pPr>
            <w:r>
              <w:t>Impact on service delivery</w:t>
            </w:r>
          </w:p>
          <w:p w14:paraId="28840E3C" w14:textId="298765D9" w:rsidR="00EB7E08" w:rsidRDefault="00EB7E08" w:rsidP="0097704C">
            <w:pPr>
              <w:pStyle w:val="Tabletext"/>
            </w:pPr>
            <w:r>
              <w:t>Impact on public services (reputation of, and confidence in, the organisation)</w:t>
            </w:r>
          </w:p>
        </w:tc>
      </w:tr>
      <w:tr w:rsidR="00CA41C7" w14:paraId="3C766770" w14:textId="77777777" w:rsidTr="0097704C">
        <w:trPr>
          <w:trHeight w:val="268"/>
        </w:trPr>
        <w:tc>
          <w:tcPr>
            <w:tcW w:w="2980" w:type="dxa"/>
          </w:tcPr>
          <w:p w14:paraId="095E85C4" w14:textId="32CA99D9" w:rsidR="00CA41C7" w:rsidRPr="00484C02" w:rsidRDefault="00CA41C7" w:rsidP="00CA41C7">
            <w:pPr>
              <w:pStyle w:val="Tabletext"/>
              <w:rPr>
                <w:b/>
                <w:bCs/>
              </w:rPr>
            </w:pPr>
            <w:r w:rsidRPr="00484C02">
              <w:t xml:space="preserve">Unauthorised access </w:t>
            </w:r>
            <w:r w:rsidR="002C22DD">
              <w:t>t</w:t>
            </w:r>
            <w:r>
              <w:t xml:space="preserve">o public sector information </w:t>
            </w:r>
          </w:p>
          <w:p w14:paraId="1F34FA1D" w14:textId="418B5476" w:rsidR="00CA41C7" w:rsidRPr="00484C02" w:rsidRDefault="00CA41C7" w:rsidP="0097704C">
            <w:pPr>
              <w:pStyle w:val="Tabletext"/>
            </w:pPr>
            <w:r w:rsidRPr="0097704C">
              <w:rPr>
                <w:b/>
                <w:bCs/>
              </w:rPr>
              <w:t>(Compromise of confidentiality</w:t>
            </w:r>
            <w:r>
              <w:rPr>
                <w:b/>
                <w:bCs/>
              </w:rPr>
              <w:t>, integrity</w:t>
            </w:r>
            <w:r w:rsidR="002C22DD">
              <w:rPr>
                <w:b/>
                <w:bCs/>
              </w:rPr>
              <w:t>,</w:t>
            </w:r>
            <w:r w:rsidRPr="0097704C">
              <w:rPr>
                <w:b/>
                <w:bCs/>
              </w:rPr>
              <w:t xml:space="preserve"> and availability)</w:t>
            </w:r>
          </w:p>
        </w:tc>
        <w:tc>
          <w:tcPr>
            <w:tcW w:w="2981" w:type="dxa"/>
          </w:tcPr>
          <w:p w14:paraId="4E6BE77D" w14:textId="1412F321" w:rsidR="00CA41C7" w:rsidRDefault="00CA41C7" w:rsidP="0097704C">
            <w:pPr>
              <w:pStyle w:val="Tabletext"/>
            </w:pPr>
            <w:r>
              <w:t xml:space="preserve">Malicious threat actor hacking third party application account credentials that are the same as credentials used on VPS systems to </w:t>
            </w:r>
            <w:r w:rsidR="00CF52B1">
              <w:t xml:space="preserve">either </w:t>
            </w:r>
            <w:r>
              <w:t>access public sector systems or publish on dark web</w:t>
            </w:r>
          </w:p>
        </w:tc>
        <w:tc>
          <w:tcPr>
            <w:tcW w:w="2980" w:type="dxa"/>
          </w:tcPr>
          <w:p w14:paraId="199C9198" w14:textId="77777777" w:rsidR="00CA41C7" w:rsidRDefault="00CA41C7" w:rsidP="00CA41C7">
            <w:pPr>
              <w:pStyle w:val="Tabletext"/>
            </w:pPr>
            <w:r>
              <w:t>Impact on public services (reputation of, and confidence in, the organisation)</w:t>
            </w:r>
          </w:p>
          <w:p w14:paraId="6C07FA3A" w14:textId="77777777" w:rsidR="00CA41C7" w:rsidRDefault="00CA41C7" w:rsidP="0097704C">
            <w:pPr>
              <w:pStyle w:val="Tabletext"/>
            </w:pPr>
            <w:r>
              <w:t>Impact on service delivery</w:t>
            </w:r>
          </w:p>
          <w:p w14:paraId="1C9C8A68" w14:textId="649B570B" w:rsidR="00EB7E08" w:rsidRDefault="00EB7E08" w:rsidP="0097704C">
            <w:pPr>
              <w:pStyle w:val="Tabletext"/>
            </w:pPr>
            <w:r>
              <w:t>I</w:t>
            </w:r>
            <w:r w:rsidRPr="00075292">
              <w:t>mpact to individuals</w:t>
            </w:r>
            <w:r>
              <w:t xml:space="preserve"> </w:t>
            </w:r>
            <w:r w:rsidRPr="00075292">
              <w:t>whose personal information was affected</w:t>
            </w:r>
          </w:p>
        </w:tc>
      </w:tr>
    </w:tbl>
    <w:p w14:paraId="16EC2272" w14:textId="04059D74" w:rsidR="001A791E" w:rsidRPr="001A791E" w:rsidRDefault="00A6671C" w:rsidP="001A791E">
      <w:pPr>
        <w:pStyle w:val="Heading2"/>
      </w:pPr>
      <w:r>
        <w:t xml:space="preserve">More information </w:t>
      </w:r>
    </w:p>
    <w:p w14:paraId="5978F725" w14:textId="78DCEA68" w:rsidR="00A01C6A" w:rsidRDefault="00A6671C" w:rsidP="00A01C6A">
      <w:bookmarkStart w:id="7" w:name="_Toc30502218"/>
      <w:bookmarkStart w:id="8" w:name="_Toc87857027"/>
      <w:bookmarkStart w:id="9" w:name="_Toc116036529"/>
      <w:r>
        <w:t>For further information on the information security incident notification scheme and to download a notification form visit our website:</w:t>
      </w:r>
      <w:r>
        <w:br/>
      </w:r>
      <w:bookmarkStart w:id="10" w:name="_Hlk147149172"/>
      <w:r w:rsidR="00975E2D">
        <w:fldChar w:fldCharType="begin"/>
      </w:r>
      <w:r w:rsidR="00975E2D">
        <w:instrText>HYPERLINK "</w:instrText>
      </w:r>
      <w:r w:rsidR="00975E2D" w:rsidRPr="00975E2D">
        <w:instrText>https://ovic.vic.gov.au/information-security/incident-notification/</w:instrText>
      </w:r>
      <w:r w:rsidR="00975E2D">
        <w:instrText>"</w:instrText>
      </w:r>
      <w:r w:rsidR="00975E2D">
        <w:fldChar w:fldCharType="separate"/>
      </w:r>
      <w:r w:rsidR="00975E2D" w:rsidRPr="002672B7">
        <w:rPr>
          <w:rStyle w:val="Hyperlink"/>
        </w:rPr>
        <w:t>https://ovic.vic.gov.au/information-security/incident-notification/</w:t>
      </w:r>
      <w:r w:rsidR="00975E2D">
        <w:fldChar w:fldCharType="end"/>
      </w:r>
      <w:bookmarkEnd w:id="10"/>
      <w:r>
        <w:t xml:space="preserve"> </w:t>
      </w:r>
    </w:p>
    <w:p w14:paraId="5180C86B" w14:textId="6A40F80D" w:rsidR="001A791E" w:rsidRPr="00167077" w:rsidRDefault="00A6671C" w:rsidP="00A01C6A">
      <w:r>
        <w:t xml:space="preserve">We welcome your feedback on this report. </w:t>
      </w:r>
      <w:r w:rsidRPr="001F3DC9">
        <w:t xml:space="preserve">Contact OVIC at </w:t>
      </w:r>
      <w:hyperlink r:id="rId25" w:history="1">
        <w:r w:rsidRPr="00A6671C">
          <w:rPr>
            <w:rStyle w:val="Hyperlink"/>
            <w:color w:val="430098" w:themeColor="text2"/>
          </w:rPr>
          <w:t>security@ovic.vic.gov.au</w:t>
        </w:r>
      </w:hyperlink>
      <w:r>
        <w:t xml:space="preserve"> to discuss this report further.</w:t>
      </w:r>
      <w:bookmarkEnd w:id="7"/>
      <w:bookmarkEnd w:id="8"/>
      <w:bookmarkEnd w:id="9"/>
    </w:p>
    <w:sectPr w:rsidR="001A791E" w:rsidRPr="00167077" w:rsidSect="004C5DAA">
      <w:headerReference w:type="default" r:id="rId26"/>
      <w:footerReference w:type="default" r:id="rId27"/>
      <w:headerReference w:type="first" r:id="rId28"/>
      <w:footerReference w:type="first" r:id="rId29"/>
      <w:pgSz w:w="11906" w:h="16838"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093D" w14:textId="77777777" w:rsidR="00E803E9" w:rsidRDefault="00E803E9" w:rsidP="00C37A29">
      <w:pPr>
        <w:spacing w:after="0"/>
      </w:pPr>
      <w:r>
        <w:separator/>
      </w:r>
    </w:p>
    <w:p w14:paraId="6DA54CF6" w14:textId="77777777" w:rsidR="00E803E9" w:rsidRDefault="00E803E9"/>
  </w:endnote>
  <w:endnote w:type="continuationSeparator" w:id="0">
    <w:p w14:paraId="36A22B68" w14:textId="77777777" w:rsidR="00E803E9" w:rsidRDefault="00E803E9" w:rsidP="00C37A29">
      <w:pPr>
        <w:spacing w:after="0"/>
      </w:pPr>
      <w:r>
        <w:continuationSeparator/>
      </w:r>
    </w:p>
    <w:p w14:paraId="06681584" w14:textId="77777777" w:rsidR="00E803E9" w:rsidRDefault="00E80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National-Book">
    <w:altName w:val="Times New Roman"/>
    <w:charset w:val="00"/>
    <w:family w:val="auto"/>
    <w:pitch w:val="variable"/>
    <w:sig w:usb0="00000001"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1" w:type="dxa"/>
      <w:tblBorders>
        <w:top w:val="single" w:sz="4" w:space="0" w:color="430098" w:themeColor="text2"/>
        <w:left w:val="none" w:sz="0" w:space="0" w:color="auto"/>
        <w:bottom w:val="none" w:sz="0" w:space="0" w:color="auto"/>
        <w:right w:val="none" w:sz="0" w:space="0" w:color="auto"/>
        <w:insideH w:val="single" w:sz="4" w:space="0" w:color="430098" w:themeColor="text2"/>
        <w:insideV w:val="none" w:sz="0" w:space="0" w:color="auto"/>
      </w:tblBorders>
      <w:tblLook w:val="04A0" w:firstRow="1" w:lastRow="0" w:firstColumn="1" w:lastColumn="0" w:noHBand="0" w:noVBand="1"/>
    </w:tblPr>
    <w:tblGrid>
      <w:gridCol w:w="3261"/>
      <w:gridCol w:w="2831"/>
      <w:gridCol w:w="3269"/>
    </w:tblGrid>
    <w:tr w:rsidR="002744D6" w14:paraId="3E73E739" w14:textId="77777777" w:rsidTr="00031095">
      <w:tc>
        <w:tcPr>
          <w:tcW w:w="3261" w:type="dxa"/>
          <w:vAlign w:val="center"/>
        </w:tcPr>
        <w:p w14:paraId="66ADDC6F" w14:textId="329457CB" w:rsidR="002744D6" w:rsidRPr="002744D6" w:rsidRDefault="002744D6" w:rsidP="002744D6">
          <w:pPr>
            <w:spacing w:before="0" w:after="0"/>
            <w:rPr>
              <w:color w:val="430098" w:themeColor="text2"/>
              <w:sz w:val="16"/>
              <w:szCs w:val="16"/>
            </w:rPr>
          </w:pPr>
          <w:r w:rsidRPr="00E55CAE">
            <w:rPr>
              <w:color w:val="430098" w:themeColor="text2"/>
              <w:sz w:val="16"/>
              <w:szCs w:val="16"/>
            </w:rPr>
            <w:t>www.ovic.vic.gov.au</w:t>
          </w:r>
          <w:r w:rsidRPr="00ED59AB">
            <w:rPr>
              <w:bCs/>
            </w:rPr>
            <w:t xml:space="preserve"> </w:t>
          </w:r>
          <w:r w:rsidRPr="00ED59AB">
            <w:rPr>
              <w:b/>
              <w:bCs/>
            </w:rPr>
            <w:fldChar w:fldCharType="begin"/>
          </w:r>
          <w:r w:rsidRPr="00ED59AB">
            <w:rPr>
              <w:bCs/>
            </w:rPr>
            <w:instrText xml:space="preserve"> TITLE   \* MERGEFORMAT </w:instrText>
          </w:r>
          <w:r w:rsidRPr="00ED59AB">
            <w:rPr>
              <w:b/>
              <w:bCs/>
            </w:rPr>
            <w:fldChar w:fldCharType="end"/>
          </w:r>
        </w:p>
      </w:tc>
      <w:tc>
        <w:tcPr>
          <w:tcW w:w="2831" w:type="dxa"/>
          <w:vAlign w:val="center"/>
        </w:tcPr>
        <w:p w14:paraId="36EE86BC" w14:textId="77777777" w:rsidR="002744D6" w:rsidRPr="00E55CAE" w:rsidRDefault="002744D6" w:rsidP="002744D6">
          <w:pPr>
            <w:pStyle w:val="FooterToggle"/>
            <w:spacing w:line="259" w:lineRule="auto"/>
            <w:rPr>
              <w:b w:val="0"/>
              <w:bCs/>
            </w:rPr>
          </w:pPr>
          <w:r w:rsidRPr="00E55CAE">
            <w:rPr>
              <w:b w:val="0"/>
              <w:bCs/>
            </w:rPr>
            <w:t>Disclaimer</w:t>
          </w:r>
        </w:p>
        <w:p w14:paraId="77B3B029" w14:textId="77777777" w:rsidR="002744D6" w:rsidRPr="00A3584F" w:rsidRDefault="002744D6" w:rsidP="002744D6">
          <w:pPr>
            <w:spacing w:before="0" w:after="0" w:line="259" w:lineRule="auto"/>
            <w:rPr>
              <w:sz w:val="14"/>
              <w:szCs w:val="14"/>
            </w:rPr>
          </w:pPr>
          <w:r w:rsidRPr="00A3584F">
            <w:rPr>
              <w:sz w:val="14"/>
              <w:szCs w:val="14"/>
            </w:rPr>
            <w:t>The information in this document is general in nature and does not constitute legal advice.</w:t>
          </w:r>
        </w:p>
      </w:tc>
      <w:tc>
        <w:tcPr>
          <w:tcW w:w="3269" w:type="dxa"/>
          <w:vAlign w:val="center"/>
        </w:tcPr>
        <w:p w14:paraId="437A1B3E" w14:textId="77777777" w:rsidR="002744D6" w:rsidRDefault="002744D6" w:rsidP="002744D6">
          <w:pPr>
            <w:pStyle w:val="PageNumber-right"/>
            <w:framePr w:hSpace="0" w:wrap="auto" w:vAnchor="margin" w:hAnchor="text" w:yAlign="inline"/>
            <w:suppressOverlap w:val="0"/>
          </w:pPr>
          <w:r w:rsidRPr="00A3584F">
            <w:rPr>
              <w:lang w:val="en-GB"/>
            </w:rPr>
            <w:fldChar w:fldCharType="begin"/>
          </w:r>
          <w:r w:rsidRPr="00A3584F">
            <w:rPr>
              <w:lang w:val="en-GB"/>
            </w:rPr>
            <w:instrText>PAGE  \* Arabic  \* MERGEFORMAT</w:instrText>
          </w:r>
          <w:r w:rsidRPr="00A3584F">
            <w:rPr>
              <w:lang w:val="en-GB"/>
            </w:rPr>
            <w:fldChar w:fldCharType="separate"/>
          </w:r>
          <w:r>
            <w:rPr>
              <w:lang w:val="en-GB"/>
            </w:rPr>
            <w:t>2</w:t>
          </w:r>
          <w:r w:rsidRPr="00A3584F">
            <w:rPr>
              <w:lang w:val="en-GB"/>
            </w:rPr>
            <w:fldChar w:fldCharType="end"/>
          </w:r>
          <w:r w:rsidRPr="00A3584F">
            <w:rPr>
              <w:lang w:val="en-GB"/>
            </w:rPr>
            <w:t xml:space="preserve"> /</w:t>
          </w:r>
          <w:r>
            <w:rPr>
              <w:lang w:val="en-GB"/>
            </w:rPr>
            <w:t xml:space="preserve"> </w:t>
          </w:r>
          <w:r>
            <w:rPr>
              <w:lang w:val="en-GB"/>
            </w:rPr>
            <w:fldChar w:fldCharType="begin"/>
          </w:r>
          <w:r w:rsidRPr="00A3584F">
            <w:rPr>
              <w:lang w:val="en-GB"/>
            </w:rPr>
            <w:instrText>NUMPAGES  \* Arabic  \* MERGEFORMAT</w:instrText>
          </w:r>
          <w:r>
            <w:rPr>
              <w:lang w:val="en-GB"/>
            </w:rPr>
            <w:fldChar w:fldCharType="separate"/>
          </w:r>
          <w:r>
            <w:rPr>
              <w:lang w:val="en-GB"/>
            </w:rPr>
            <w:t>2</w:t>
          </w:r>
          <w:r>
            <w:rPr>
              <w:lang w:val="en-GB"/>
            </w:rPr>
            <w:fldChar w:fldCharType="end"/>
          </w:r>
        </w:p>
      </w:tc>
    </w:tr>
  </w:tbl>
  <w:sdt>
    <w:sdtPr>
      <w:rPr>
        <w:caps w:val="0"/>
        <w:sz w:val="44"/>
        <w:szCs w:val="44"/>
      </w:rPr>
      <w:id w:val="-487555969"/>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7F7A5D67" w14:textId="15367219" w:rsidR="002744D6" w:rsidRPr="003B4D30" w:rsidRDefault="002744D6" w:rsidP="002744D6">
        <w:pPr>
          <w:pStyle w:val="ProtectiveMarking"/>
          <w:framePr w:wrap="around" w:y="16036"/>
          <w:spacing w:before="0" w:after="0"/>
          <w:rPr>
            <w:caps w:val="0"/>
            <w:sz w:val="44"/>
            <w:szCs w:val="44"/>
          </w:rPr>
        </w:pPr>
        <w:r>
          <w:rPr>
            <w:caps w:val="0"/>
            <w:sz w:val="44"/>
            <w:szCs w:val="44"/>
          </w:rPr>
          <w:t>OFFICIAL</w:t>
        </w:r>
      </w:p>
    </w:sdtContent>
  </w:sdt>
  <w:p w14:paraId="3A19B48A" w14:textId="77777777" w:rsidR="00CB1E32" w:rsidRPr="00A81CCD" w:rsidRDefault="00CB1E32" w:rsidP="002744D6">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9" w:type="dxa"/>
      <w:tblBorders>
        <w:top w:val="single" w:sz="4" w:space="0" w:color="430098" w:themeColor="text2"/>
        <w:left w:val="none" w:sz="0" w:space="0" w:color="auto"/>
        <w:bottom w:val="none" w:sz="0" w:space="0" w:color="auto"/>
        <w:right w:val="none" w:sz="0" w:space="0" w:color="auto"/>
        <w:insideH w:val="single" w:sz="4" w:space="0" w:color="430098" w:themeColor="text2"/>
        <w:insideV w:val="none" w:sz="0" w:space="0" w:color="auto"/>
      </w:tblBorders>
      <w:tblLook w:val="04A0" w:firstRow="1" w:lastRow="0" w:firstColumn="1" w:lastColumn="0" w:noHBand="0" w:noVBand="1"/>
    </w:tblPr>
    <w:tblGrid>
      <w:gridCol w:w="3261"/>
      <w:gridCol w:w="2831"/>
      <w:gridCol w:w="3127"/>
    </w:tblGrid>
    <w:tr w:rsidR="002744D6" w14:paraId="78E5F078" w14:textId="77777777" w:rsidTr="00031095">
      <w:tc>
        <w:tcPr>
          <w:tcW w:w="3261" w:type="dxa"/>
          <w:vAlign w:val="center"/>
        </w:tcPr>
        <w:p w14:paraId="073D9D8D" w14:textId="62FAC702" w:rsidR="002744D6" w:rsidRDefault="002744D6" w:rsidP="002744D6">
          <w:pPr>
            <w:pStyle w:val="FooterToggle"/>
            <w:rPr>
              <w:b w:val="0"/>
              <w:bCs/>
            </w:rPr>
          </w:pPr>
          <w:r w:rsidRPr="00E55CAE">
            <w:rPr>
              <w:b w:val="0"/>
              <w:bCs/>
            </w:rPr>
            <w:t xml:space="preserve">CM: </w:t>
          </w:r>
          <w:r>
            <w:rPr>
              <w:b w:val="0"/>
              <w:bCs/>
            </w:rPr>
            <w:t>D23/</w:t>
          </w:r>
          <w:r w:rsidR="00D666D0">
            <w:rPr>
              <w:b w:val="0"/>
              <w:bCs/>
            </w:rPr>
            <w:t>6893</w:t>
          </w:r>
        </w:p>
        <w:p w14:paraId="4FAC2C83" w14:textId="30214D1D" w:rsidR="002744D6" w:rsidRDefault="00D666D0" w:rsidP="002744D6">
          <w:pPr>
            <w:spacing w:before="0" w:after="0"/>
            <w:rPr>
              <w:bCs/>
              <w:color w:val="430098" w:themeColor="text2"/>
              <w:sz w:val="16"/>
              <w:szCs w:val="16"/>
            </w:rPr>
          </w:pPr>
          <w:r>
            <w:rPr>
              <w:bCs/>
              <w:color w:val="430098" w:themeColor="text2"/>
              <w:sz w:val="16"/>
              <w:szCs w:val="16"/>
            </w:rPr>
            <w:t>July</w:t>
          </w:r>
          <w:r w:rsidR="002744D6">
            <w:rPr>
              <w:bCs/>
              <w:color w:val="430098" w:themeColor="text2"/>
              <w:sz w:val="16"/>
              <w:szCs w:val="16"/>
            </w:rPr>
            <w:t xml:space="preserve"> 2023</w:t>
          </w:r>
        </w:p>
        <w:p w14:paraId="4BBA079F" w14:textId="1E236A27" w:rsidR="002744D6" w:rsidRDefault="002744D6" w:rsidP="002744D6">
          <w:pPr>
            <w:spacing w:before="0" w:after="0"/>
          </w:pPr>
          <w:r w:rsidRPr="00E55CAE">
            <w:rPr>
              <w:bCs/>
              <w:color w:val="430098" w:themeColor="text2"/>
              <w:sz w:val="16"/>
              <w:szCs w:val="16"/>
            </w:rPr>
            <w:t>www.ovic.vic.gov.au</w:t>
          </w:r>
        </w:p>
      </w:tc>
      <w:tc>
        <w:tcPr>
          <w:tcW w:w="2831" w:type="dxa"/>
          <w:vAlign w:val="center"/>
        </w:tcPr>
        <w:p w14:paraId="3AC33647" w14:textId="77777777" w:rsidR="002744D6" w:rsidRPr="00E55CAE" w:rsidRDefault="002744D6" w:rsidP="002744D6">
          <w:pPr>
            <w:pStyle w:val="FooterToggle"/>
            <w:spacing w:line="259" w:lineRule="auto"/>
            <w:rPr>
              <w:b w:val="0"/>
              <w:bCs/>
            </w:rPr>
          </w:pPr>
          <w:r w:rsidRPr="00E55CAE">
            <w:rPr>
              <w:b w:val="0"/>
              <w:bCs/>
            </w:rPr>
            <w:t>Disclaimer</w:t>
          </w:r>
        </w:p>
        <w:p w14:paraId="6E0621A0" w14:textId="77777777" w:rsidR="002744D6" w:rsidRPr="00A3584F" w:rsidRDefault="002744D6" w:rsidP="002744D6">
          <w:pPr>
            <w:spacing w:before="0" w:after="0" w:line="259" w:lineRule="auto"/>
            <w:rPr>
              <w:sz w:val="14"/>
              <w:szCs w:val="14"/>
            </w:rPr>
          </w:pPr>
          <w:r w:rsidRPr="00A3584F">
            <w:rPr>
              <w:sz w:val="14"/>
              <w:szCs w:val="14"/>
            </w:rPr>
            <w:t>The information in this document is general in nature and does not constitute legal advice.</w:t>
          </w:r>
        </w:p>
      </w:tc>
      <w:tc>
        <w:tcPr>
          <w:tcW w:w="3127" w:type="dxa"/>
          <w:vAlign w:val="center"/>
        </w:tcPr>
        <w:p w14:paraId="7C44DD2D" w14:textId="77777777" w:rsidR="002744D6" w:rsidRDefault="002744D6" w:rsidP="002744D6">
          <w:pPr>
            <w:pStyle w:val="PageNumber-right"/>
            <w:framePr w:hSpace="0" w:wrap="auto" w:vAnchor="margin" w:hAnchor="text" w:yAlign="inline"/>
            <w:suppressOverlap w:val="0"/>
          </w:pPr>
          <w:r w:rsidRPr="00A3584F">
            <w:rPr>
              <w:lang w:val="en-GB"/>
            </w:rPr>
            <w:fldChar w:fldCharType="begin"/>
          </w:r>
          <w:r w:rsidRPr="00A3584F">
            <w:rPr>
              <w:lang w:val="en-GB"/>
            </w:rPr>
            <w:instrText>PAGE  \* Arabic  \* MERGEFORMAT</w:instrText>
          </w:r>
          <w:r w:rsidRPr="00A3584F">
            <w:rPr>
              <w:lang w:val="en-GB"/>
            </w:rPr>
            <w:fldChar w:fldCharType="separate"/>
          </w:r>
          <w:r>
            <w:rPr>
              <w:lang w:val="en-GB"/>
            </w:rPr>
            <w:t>1</w:t>
          </w:r>
          <w:r w:rsidRPr="00A3584F">
            <w:rPr>
              <w:lang w:val="en-GB"/>
            </w:rPr>
            <w:fldChar w:fldCharType="end"/>
          </w:r>
          <w:r w:rsidRPr="00A3584F">
            <w:rPr>
              <w:lang w:val="en-GB"/>
            </w:rPr>
            <w:t xml:space="preserve"> /</w:t>
          </w:r>
          <w:r>
            <w:rPr>
              <w:lang w:val="en-GB"/>
            </w:rPr>
            <w:t xml:space="preserve"> </w:t>
          </w:r>
          <w:r>
            <w:rPr>
              <w:lang w:val="en-GB"/>
            </w:rPr>
            <w:fldChar w:fldCharType="begin"/>
          </w:r>
          <w:r w:rsidRPr="00A3584F">
            <w:rPr>
              <w:lang w:val="en-GB"/>
            </w:rPr>
            <w:instrText>NUMPAGES  \* Arabic  \* MERGEFORMAT</w:instrText>
          </w:r>
          <w:r>
            <w:rPr>
              <w:lang w:val="en-GB"/>
            </w:rPr>
            <w:fldChar w:fldCharType="separate"/>
          </w:r>
          <w:r>
            <w:rPr>
              <w:lang w:val="en-GB"/>
            </w:rPr>
            <w:t>2</w:t>
          </w:r>
          <w:r>
            <w:rPr>
              <w:lang w:val="en-GB"/>
            </w:rPr>
            <w:fldChar w:fldCharType="end"/>
          </w:r>
        </w:p>
      </w:tc>
    </w:tr>
  </w:tbl>
  <w:sdt>
    <w:sdtPr>
      <w:rPr>
        <w:caps w:val="0"/>
        <w:sz w:val="44"/>
        <w:szCs w:val="44"/>
      </w:rPr>
      <w:id w:val="908579802"/>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284725CE" w14:textId="34CE3D3E" w:rsidR="002744D6" w:rsidRPr="003B4D30" w:rsidRDefault="002744D6" w:rsidP="002744D6">
        <w:pPr>
          <w:pStyle w:val="ProtectiveMarking"/>
          <w:framePr w:wrap="around" w:y="16036"/>
          <w:spacing w:before="0" w:after="0"/>
          <w:rPr>
            <w:caps w:val="0"/>
            <w:sz w:val="44"/>
            <w:szCs w:val="44"/>
          </w:rPr>
        </w:pPr>
        <w:r>
          <w:rPr>
            <w:caps w:val="0"/>
            <w:sz w:val="44"/>
            <w:szCs w:val="44"/>
          </w:rPr>
          <w:t>OFFICIAL</w:t>
        </w:r>
      </w:p>
    </w:sdtContent>
  </w:sdt>
  <w:p w14:paraId="2E0007CD" w14:textId="77777777" w:rsidR="003B0240" w:rsidRDefault="003B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933E" w14:textId="77777777" w:rsidR="00E803E9" w:rsidRDefault="00E803E9" w:rsidP="004C5DAA">
      <w:pPr>
        <w:spacing w:after="120"/>
      </w:pPr>
      <w:r>
        <w:separator/>
      </w:r>
    </w:p>
  </w:footnote>
  <w:footnote w:type="continuationSeparator" w:id="0">
    <w:p w14:paraId="368FB36A" w14:textId="77777777" w:rsidR="00E803E9" w:rsidRDefault="00E803E9" w:rsidP="00C37A29">
      <w:pPr>
        <w:spacing w:after="0"/>
      </w:pPr>
      <w:r>
        <w:continuationSeparator/>
      </w:r>
    </w:p>
    <w:p w14:paraId="41E2A8F9" w14:textId="77777777" w:rsidR="00E803E9" w:rsidRDefault="00E803E9"/>
  </w:footnote>
  <w:footnote w:id="1">
    <w:p w14:paraId="40F296BA" w14:textId="77777777" w:rsidR="00A6671C" w:rsidRDefault="00A6671C" w:rsidP="00A6671C">
      <w:pPr>
        <w:pStyle w:val="FootnoteText"/>
      </w:pPr>
      <w:r>
        <w:rPr>
          <w:rStyle w:val="FootnoteReference"/>
        </w:rPr>
        <w:footnoteRef/>
      </w:r>
      <w:r>
        <w:t xml:space="preserve"> </w:t>
      </w:r>
      <w:r w:rsidRPr="009F2C07">
        <w:rPr>
          <w:sz w:val="18"/>
          <w:szCs w:val="18"/>
        </w:rPr>
        <w:t xml:space="preserve">Refer to </w:t>
      </w:r>
      <w:hyperlink r:id="rId1" w:history="1">
        <w:r w:rsidRPr="00A6671C">
          <w:rPr>
            <w:rStyle w:val="Hyperlink"/>
            <w:color w:val="430098" w:themeColor="text2"/>
            <w:sz w:val="18"/>
            <w:szCs w:val="18"/>
          </w:rPr>
          <w:t>https://ovic.vic.gov.au/data-protection/victorian-protective-data-security-framework-business-impact-level-table-v2-1/</w:t>
        </w:r>
      </w:hyperlink>
    </w:p>
  </w:footnote>
  <w:footnote w:id="2">
    <w:p w14:paraId="5B32087D" w14:textId="04D489B0" w:rsidR="009718B3" w:rsidRDefault="009718B3" w:rsidP="009718B3">
      <w:pPr>
        <w:pStyle w:val="FootnoteText"/>
      </w:pPr>
      <w:r>
        <w:rPr>
          <w:rStyle w:val="FootnoteReference"/>
        </w:rPr>
        <w:footnoteRef/>
      </w:r>
      <w:r>
        <w:t xml:space="preserve"> Verizon definition of Breach: “An incident that results in the confirmed disclosure—not just potential exposure—of data to an unauthorized party.”</w:t>
      </w:r>
    </w:p>
  </w:footnote>
  <w:footnote w:id="3">
    <w:p w14:paraId="03356A5C" w14:textId="4A1F64C5" w:rsidR="00E774E2" w:rsidRDefault="00E774E2">
      <w:pPr>
        <w:pStyle w:val="FootnoteText"/>
      </w:pPr>
      <w:r>
        <w:rPr>
          <w:rStyle w:val="FootnoteReference"/>
        </w:rPr>
        <w:footnoteRef/>
      </w:r>
      <w:r>
        <w:t xml:space="preserve"> </w:t>
      </w:r>
      <w:r w:rsidRPr="00E774E2">
        <w:t>Note. OVIC reports on ‘completed’ Victoria Police incidents. The statistics are based on the number of ‘completed’ incidents meaning they were investigated by Victoria Police and confirmed incidents where any follow up actions have been completed. OVIC does not report on both ‘open’ and ‘completed’ incidents because there is a percentage that are categorised as ‘no incidents’ once they have been investigated and found not to be an incident.</w:t>
      </w:r>
    </w:p>
  </w:footnote>
  <w:footnote w:id="4">
    <w:p w14:paraId="05BF24BB" w14:textId="77777777" w:rsidR="0097704C" w:rsidRPr="00637791" w:rsidRDefault="0097704C" w:rsidP="0097704C">
      <w:pPr>
        <w:pStyle w:val="Body"/>
        <w:rPr>
          <w:rFonts w:asciiTheme="majorHAnsi" w:hAnsiTheme="majorHAnsi" w:cstheme="majorHAnsi"/>
          <w:sz w:val="18"/>
          <w:szCs w:val="18"/>
        </w:rPr>
      </w:pPr>
      <w:r w:rsidRPr="00637791">
        <w:rPr>
          <w:rStyle w:val="FootnoteReference"/>
          <w:rFonts w:asciiTheme="majorHAnsi" w:hAnsiTheme="majorHAnsi" w:cstheme="majorHAnsi"/>
          <w:color w:val="auto"/>
          <w:sz w:val="18"/>
          <w:szCs w:val="18"/>
        </w:rPr>
        <w:footnoteRef/>
      </w:r>
      <w:r w:rsidRPr="00637791">
        <w:rPr>
          <w:rFonts w:asciiTheme="majorHAnsi" w:hAnsiTheme="majorHAnsi" w:cstheme="majorHAnsi"/>
          <w:color w:val="auto"/>
          <w:sz w:val="18"/>
          <w:szCs w:val="18"/>
        </w:rPr>
        <w:t xml:space="preserve"> The extent of the impact could be “limited” or higher depending on the context and nature of the incident and is left for an organisation to determine.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391735166"/>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0BE23A93" w14:textId="07C13E6F" w:rsidR="002744D6" w:rsidRPr="003B4D30" w:rsidRDefault="002744D6" w:rsidP="002744D6">
        <w:pPr>
          <w:pStyle w:val="ProtectiveMarking"/>
          <w:framePr w:wrap="around"/>
          <w:spacing w:before="0" w:after="0"/>
          <w:rPr>
            <w:caps w:val="0"/>
            <w:sz w:val="44"/>
            <w:szCs w:val="44"/>
          </w:rPr>
        </w:pPr>
        <w:r>
          <w:rPr>
            <w:caps w:val="0"/>
            <w:sz w:val="44"/>
            <w:szCs w:val="44"/>
          </w:rPr>
          <w:t>OFFICIAL</w:t>
        </w:r>
      </w:p>
    </w:sdtContent>
  </w:sdt>
  <w:p w14:paraId="554278A7" w14:textId="72BD6264" w:rsidR="00CB1E32" w:rsidRPr="002744D6" w:rsidRDefault="00CB1E32" w:rsidP="00274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872343476"/>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35FED51D" w14:textId="10C9D574" w:rsidR="002744D6" w:rsidRPr="003B4D30" w:rsidRDefault="002744D6" w:rsidP="002744D6">
        <w:pPr>
          <w:pStyle w:val="ProtectiveMarking"/>
          <w:framePr w:wrap="around"/>
          <w:spacing w:before="0" w:after="0"/>
          <w:rPr>
            <w:caps w:val="0"/>
            <w:sz w:val="44"/>
            <w:szCs w:val="44"/>
          </w:rPr>
        </w:pPr>
        <w:r>
          <w:rPr>
            <w:caps w:val="0"/>
            <w:sz w:val="44"/>
            <w:szCs w:val="44"/>
          </w:rPr>
          <w:t>OFFICIAL</w:t>
        </w:r>
      </w:p>
    </w:sdtContent>
  </w:sdt>
  <w:p w14:paraId="512C8747" w14:textId="77777777" w:rsidR="009A1E02" w:rsidRDefault="001C0D28">
    <w:pPr>
      <w:pStyle w:val="Header"/>
    </w:pPr>
    <w:r>
      <w:rPr>
        <w:noProof/>
      </w:rPr>
      <w:drawing>
        <wp:anchor distT="4320540" distB="107950" distL="114300" distR="114300" simplePos="0" relativeHeight="251674624" behindDoc="0" locked="1" layoutInCell="1" allowOverlap="1" wp14:anchorId="1608FA04" wp14:editId="716C1E8D">
          <wp:simplePos x="0" y="0"/>
          <wp:positionH relativeFrom="margin">
            <wp:align>left</wp:align>
          </wp:positionH>
          <wp:positionV relativeFrom="page">
            <wp:posOffset>756285</wp:posOffset>
          </wp:positionV>
          <wp:extent cx="1472400" cy="6480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24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2A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252CBE4"/>
    <w:numStyleLink w:val="Numbering"/>
  </w:abstractNum>
  <w:abstractNum w:abstractNumId="11" w15:restartNumberingAfterBreak="0">
    <w:nsid w:val="05431BD9"/>
    <w:multiLevelType w:val="multilevel"/>
    <w:tmpl w:val="3252CBE4"/>
    <w:numStyleLink w:val="Numbering"/>
  </w:abstractNum>
  <w:abstractNum w:abstractNumId="1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A738B5"/>
    <w:multiLevelType w:val="hybridMultilevel"/>
    <w:tmpl w:val="4510D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2D48CE"/>
    <w:multiLevelType w:val="multilevel"/>
    <w:tmpl w:val="3252CBE4"/>
    <w:numStyleLink w:val="Numbering"/>
  </w:abstractNum>
  <w:abstractNum w:abstractNumId="15" w15:restartNumberingAfterBreak="0">
    <w:nsid w:val="0D5A5E93"/>
    <w:multiLevelType w:val="multilevel"/>
    <w:tmpl w:val="7B2236E6"/>
    <w:numStyleLink w:val="Bullets"/>
  </w:abstractNum>
  <w:abstractNum w:abstractNumId="16"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1DE1E3F"/>
    <w:multiLevelType w:val="hybridMultilevel"/>
    <w:tmpl w:val="F836B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2D53ED"/>
    <w:multiLevelType w:val="multilevel"/>
    <w:tmpl w:val="3252CBE4"/>
    <w:numStyleLink w:val="Numbering"/>
  </w:abstractNum>
  <w:abstractNum w:abstractNumId="19" w15:restartNumberingAfterBreak="0">
    <w:nsid w:val="15AC0B28"/>
    <w:multiLevelType w:val="multilevel"/>
    <w:tmpl w:val="B6542242"/>
    <w:numStyleLink w:val="LetteredList"/>
  </w:abstractNum>
  <w:abstractNum w:abstractNumId="20"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BA956D9"/>
    <w:multiLevelType w:val="hybridMultilevel"/>
    <w:tmpl w:val="F73C5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322B09"/>
    <w:multiLevelType w:val="multilevel"/>
    <w:tmpl w:val="3252CBE4"/>
    <w:numStyleLink w:val="Numbering"/>
  </w:abstractNum>
  <w:abstractNum w:abstractNumId="23" w15:restartNumberingAfterBreak="0">
    <w:nsid w:val="20215C86"/>
    <w:multiLevelType w:val="multilevel"/>
    <w:tmpl w:val="7B2236E6"/>
    <w:numStyleLink w:val="Bullets"/>
  </w:abstractNum>
  <w:abstractNum w:abstractNumId="24" w15:restartNumberingAfterBreak="0">
    <w:nsid w:val="321F1D0F"/>
    <w:multiLevelType w:val="multilevel"/>
    <w:tmpl w:val="7B2236E6"/>
    <w:numStyleLink w:val="Bullets"/>
  </w:abstractNum>
  <w:abstractNum w:abstractNumId="25" w15:restartNumberingAfterBreak="0">
    <w:nsid w:val="3EAB73FA"/>
    <w:multiLevelType w:val="hybridMultilevel"/>
    <w:tmpl w:val="2E9C8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397427"/>
    <w:multiLevelType w:val="multilevel"/>
    <w:tmpl w:val="3252CBE4"/>
    <w:numStyleLink w:val="Numbering"/>
  </w:abstractNum>
  <w:abstractNum w:abstractNumId="27" w15:restartNumberingAfterBreak="0">
    <w:nsid w:val="46C23802"/>
    <w:multiLevelType w:val="hybridMultilevel"/>
    <w:tmpl w:val="B016D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040D82"/>
    <w:multiLevelType w:val="hybridMultilevel"/>
    <w:tmpl w:val="CF2C5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A52890"/>
    <w:multiLevelType w:val="hybridMultilevel"/>
    <w:tmpl w:val="D37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9067FA"/>
    <w:multiLevelType w:val="hybridMultilevel"/>
    <w:tmpl w:val="576EA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2" w15:restartNumberingAfterBreak="0">
    <w:nsid w:val="4CFB0214"/>
    <w:multiLevelType w:val="hybridMultilevel"/>
    <w:tmpl w:val="CCFA50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E7F1CD0"/>
    <w:multiLevelType w:val="multilevel"/>
    <w:tmpl w:val="3252CBE4"/>
    <w:numStyleLink w:val="Numbering"/>
  </w:abstractNum>
  <w:abstractNum w:abstractNumId="34" w15:restartNumberingAfterBreak="0">
    <w:nsid w:val="52FA1525"/>
    <w:multiLevelType w:val="hybridMultilevel"/>
    <w:tmpl w:val="AC3E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4672D5"/>
    <w:multiLevelType w:val="multilevel"/>
    <w:tmpl w:val="7B2236E6"/>
    <w:numStyleLink w:val="Bullets"/>
  </w:abstractNum>
  <w:abstractNum w:abstractNumId="36" w15:restartNumberingAfterBreak="0">
    <w:nsid w:val="58B73D84"/>
    <w:multiLevelType w:val="multilevel"/>
    <w:tmpl w:val="50041352"/>
    <w:numStyleLink w:val="ListHeadings"/>
  </w:abstractNum>
  <w:abstractNum w:abstractNumId="37" w15:restartNumberingAfterBreak="0">
    <w:nsid w:val="596A0C8C"/>
    <w:multiLevelType w:val="multilevel"/>
    <w:tmpl w:val="3252CBE4"/>
    <w:numStyleLink w:val="Numbering"/>
  </w:abstractNum>
  <w:abstractNum w:abstractNumId="38"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9" w15:restartNumberingAfterBreak="0">
    <w:nsid w:val="62DE355B"/>
    <w:multiLevelType w:val="hybridMultilevel"/>
    <w:tmpl w:val="5748D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3520E2"/>
    <w:multiLevelType w:val="multilevel"/>
    <w:tmpl w:val="7B2236E6"/>
    <w:numStyleLink w:val="Bullets"/>
  </w:abstractNum>
  <w:abstractNum w:abstractNumId="41" w15:restartNumberingAfterBreak="0">
    <w:nsid w:val="660D51AD"/>
    <w:multiLevelType w:val="multilevel"/>
    <w:tmpl w:val="3252CBE4"/>
    <w:numStyleLink w:val="Numbering"/>
  </w:abstractNum>
  <w:abstractNum w:abstractNumId="42" w15:restartNumberingAfterBreak="0">
    <w:nsid w:val="6A6F01A3"/>
    <w:multiLevelType w:val="hybridMultilevel"/>
    <w:tmpl w:val="D8F6E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0D40EA"/>
    <w:multiLevelType w:val="multilevel"/>
    <w:tmpl w:val="B6542242"/>
    <w:numStyleLink w:val="LetteredList"/>
  </w:abstractNum>
  <w:abstractNum w:abstractNumId="44" w15:restartNumberingAfterBreak="0">
    <w:nsid w:val="70900FB4"/>
    <w:multiLevelType w:val="hybridMultilevel"/>
    <w:tmpl w:val="58CAC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5B29E1"/>
    <w:multiLevelType w:val="hybridMultilevel"/>
    <w:tmpl w:val="C37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4D0736"/>
    <w:multiLevelType w:val="multilevel"/>
    <w:tmpl w:val="3252CBE4"/>
    <w:numStyleLink w:val="Numbering"/>
  </w:abstractNum>
  <w:abstractNum w:abstractNumId="47" w15:restartNumberingAfterBreak="0">
    <w:nsid w:val="7B3B4FE4"/>
    <w:multiLevelType w:val="hybridMultilevel"/>
    <w:tmpl w:val="6450E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8"/>
  </w:num>
  <w:num w:numId="12" w16cid:durableId="1261796759">
    <w:abstractNumId w:val="40"/>
  </w:num>
  <w:num w:numId="13" w16cid:durableId="1043405154">
    <w:abstractNumId w:val="24"/>
  </w:num>
  <w:num w:numId="14" w16cid:durableId="846598071">
    <w:abstractNumId w:val="16"/>
  </w:num>
  <w:num w:numId="15" w16cid:durableId="1311640227">
    <w:abstractNumId w:val="46"/>
  </w:num>
  <w:num w:numId="16" w16cid:durableId="881941196">
    <w:abstractNumId w:val="33"/>
  </w:num>
  <w:num w:numId="17" w16cid:durableId="533617442">
    <w:abstractNumId w:val="41"/>
  </w:num>
  <w:num w:numId="18" w16cid:durableId="250312982">
    <w:abstractNumId w:val="10"/>
  </w:num>
  <w:num w:numId="19" w16cid:durableId="385955825">
    <w:abstractNumId w:val="14"/>
  </w:num>
  <w:num w:numId="20" w16cid:durableId="1408189744">
    <w:abstractNumId w:val="26"/>
  </w:num>
  <w:num w:numId="21" w16cid:durableId="1370494809">
    <w:abstractNumId w:val="18"/>
  </w:num>
  <w:num w:numId="22" w16cid:durableId="659580476">
    <w:abstractNumId w:val="12"/>
  </w:num>
  <w:num w:numId="23" w16cid:durableId="2036539326">
    <w:abstractNumId w:val="15"/>
  </w:num>
  <w:num w:numId="24" w16cid:durableId="1303265532">
    <w:abstractNumId w:val="22"/>
  </w:num>
  <w:num w:numId="25" w16cid:durableId="1737582058">
    <w:abstractNumId w:val="37"/>
  </w:num>
  <w:num w:numId="26" w16cid:durableId="974717717">
    <w:abstractNumId w:val="36"/>
  </w:num>
  <w:num w:numId="27" w16cid:durableId="444039133">
    <w:abstractNumId w:val="20"/>
  </w:num>
  <w:num w:numId="28" w16cid:durableId="1536448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31"/>
  </w:num>
  <w:num w:numId="30" w16cid:durableId="1078097849">
    <w:abstractNumId w:val="35"/>
  </w:num>
  <w:num w:numId="31" w16cid:durableId="725029349">
    <w:abstractNumId w:val="23"/>
  </w:num>
  <w:num w:numId="32" w16cid:durableId="1773672465">
    <w:abstractNumId w:val="11"/>
  </w:num>
  <w:num w:numId="33" w16cid:durableId="1905679259">
    <w:abstractNumId w:val="19"/>
  </w:num>
  <w:num w:numId="34" w16cid:durableId="1487628207">
    <w:abstractNumId w:val="43"/>
  </w:num>
  <w:num w:numId="35" w16cid:durableId="735318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89843">
    <w:abstractNumId w:val="29"/>
  </w:num>
  <w:num w:numId="37" w16cid:durableId="1544903763">
    <w:abstractNumId w:val="32"/>
  </w:num>
  <w:num w:numId="38" w16cid:durableId="2103259262">
    <w:abstractNumId w:val="45"/>
  </w:num>
  <w:num w:numId="39" w16cid:durableId="93940029">
    <w:abstractNumId w:val="17"/>
  </w:num>
  <w:num w:numId="40" w16cid:durableId="876548347">
    <w:abstractNumId w:val="42"/>
  </w:num>
  <w:num w:numId="41" w16cid:durableId="74936319">
    <w:abstractNumId w:val="39"/>
  </w:num>
  <w:num w:numId="42" w16cid:durableId="1715344624">
    <w:abstractNumId w:val="27"/>
  </w:num>
  <w:num w:numId="43" w16cid:durableId="1734237948">
    <w:abstractNumId w:val="25"/>
  </w:num>
  <w:num w:numId="44" w16cid:durableId="636111117">
    <w:abstractNumId w:val="28"/>
  </w:num>
  <w:num w:numId="45" w16cid:durableId="430047757">
    <w:abstractNumId w:val="34"/>
  </w:num>
  <w:num w:numId="46" w16cid:durableId="780106412">
    <w:abstractNumId w:val="44"/>
  </w:num>
  <w:num w:numId="47" w16cid:durableId="1406101848">
    <w:abstractNumId w:val="21"/>
  </w:num>
  <w:num w:numId="48" w16cid:durableId="1935938072">
    <w:abstractNumId w:val="13"/>
  </w:num>
  <w:num w:numId="49" w16cid:durableId="217018096">
    <w:abstractNumId w:val="30"/>
  </w:num>
  <w:num w:numId="50" w16cid:durableId="110226061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E9"/>
    <w:rsid w:val="000016E9"/>
    <w:rsid w:val="00015CA0"/>
    <w:rsid w:val="000167D5"/>
    <w:rsid w:val="000174F8"/>
    <w:rsid w:val="000300AF"/>
    <w:rsid w:val="0003148A"/>
    <w:rsid w:val="0003476F"/>
    <w:rsid w:val="00046A3E"/>
    <w:rsid w:val="00062784"/>
    <w:rsid w:val="000724AE"/>
    <w:rsid w:val="0007747C"/>
    <w:rsid w:val="0008037D"/>
    <w:rsid w:val="0008240F"/>
    <w:rsid w:val="00086F51"/>
    <w:rsid w:val="000910E4"/>
    <w:rsid w:val="00092650"/>
    <w:rsid w:val="000B497F"/>
    <w:rsid w:val="000C1AA9"/>
    <w:rsid w:val="000D3DF9"/>
    <w:rsid w:val="000D580C"/>
    <w:rsid w:val="000F2D16"/>
    <w:rsid w:val="0010129F"/>
    <w:rsid w:val="00110345"/>
    <w:rsid w:val="00110AC2"/>
    <w:rsid w:val="00112E8F"/>
    <w:rsid w:val="001268BC"/>
    <w:rsid w:val="00126CA0"/>
    <w:rsid w:val="00136475"/>
    <w:rsid w:val="00151C8F"/>
    <w:rsid w:val="001570B0"/>
    <w:rsid w:val="00166F43"/>
    <w:rsid w:val="00167A03"/>
    <w:rsid w:val="001A067F"/>
    <w:rsid w:val="001A0D77"/>
    <w:rsid w:val="001A791E"/>
    <w:rsid w:val="001B0C78"/>
    <w:rsid w:val="001C0D28"/>
    <w:rsid w:val="001C19AB"/>
    <w:rsid w:val="001C7835"/>
    <w:rsid w:val="001E4FAF"/>
    <w:rsid w:val="001F13C1"/>
    <w:rsid w:val="001F2054"/>
    <w:rsid w:val="001F446D"/>
    <w:rsid w:val="00221AB7"/>
    <w:rsid w:val="00222577"/>
    <w:rsid w:val="00236215"/>
    <w:rsid w:val="0023670F"/>
    <w:rsid w:val="00246435"/>
    <w:rsid w:val="00246BCF"/>
    <w:rsid w:val="0025786F"/>
    <w:rsid w:val="00265D26"/>
    <w:rsid w:val="00270834"/>
    <w:rsid w:val="0027131C"/>
    <w:rsid w:val="002744D6"/>
    <w:rsid w:val="002761DC"/>
    <w:rsid w:val="002814E6"/>
    <w:rsid w:val="00281560"/>
    <w:rsid w:val="00295C59"/>
    <w:rsid w:val="00296F32"/>
    <w:rsid w:val="002B0312"/>
    <w:rsid w:val="002B544E"/>
    <w:rsid w:val="002B770A"/>
    <w:rsid w:val="002C22DD"/>
    <w:rsid w:val="002E0EDA"/>
    <w:rsid w:val="002E394D"/>
    <w:rsid w:val="002F07B4"/>
    <w:rsid w:val="002F3CBC"/>
    <w:rsid w:val="00303246"/>
    <w:rsid w:val="00305171"/>
    <w:rsid w:val="003126A4"/>
    <w:rsid w:val="00320132"/>
    <w:rsid w:val="0034139E"/>
    <w:rsid w:val="0034140F"/>
    <w:rsid w:val="0034680A"/>
    <w:rsid w:val="003567E4"/>
    <w:rsid w:val="00363921"/>
    <w:rsid w:val="00363FF8"/>
    <w:rsid w:val="003676E4"/>
    <w:rsid w:val="0037721D"/>
    <w:rsid w:val="0038102A"/>
    <w:rsid w:val="003A265C"/>
    <w:rsid w:val="003B0240"/>
    <w:rsid w:val="003B4A8D"/>
    <w:rsid w:val="003B5584"/>
    <w:rsid w:val="003D0865"/>
    <w:rsid w:val="003D23A3"/>
    <w:rsid w:val="003D3729"/>
    <w:rsid w:val="003D5856"/>
    <w:rsid w:val="003E1DC7"/>
    <w:rsid w:val="003F57CF"/>
    <w:rsid w:val="0040275D"/>
    <w:rsid w:val="00402EC8"/>
    <w:rsid w:val="00404E4F"/>
    <w:rsid w:val="0040757A"/>
    <w:rsid w:val="0042339A"/>
    <w:rsid w:val="00424C4D"/>
    <w:rsid w:val="0042508F"/>
    <w:rsid w:val="00455000"/>
    <w:rsid w:val="0046137F"/>
    <w:rsid w:val="004635FD"/>
    <w:rsid w:val="004650C0"/>
    <w:rsid w:val="00467EA8"/>
    <w:rsid w:val="00474FEE"/>
    <w:rsid w:val="004843D5"/>
    <w:rsid w:val="004A65E6"/>
    <w:rsid w:val="004B4AE7"/>
    <w:rsid w:val="004B609E"/>
    <w:rsid w:val="004C5DAA"/>
    <w:rsid w:val="004D1958"/>
    <w:rsid w:val="004D2A3F"/>
    <w:rsid w:val="004E0833"/>
    <w:rsid w:val="004E28C6"/>
    <w:rsid w:val="004E2D44"/>
    <w:rsid w:val="004F138F"/>
    <w:rsid w:val="004F5D6B"/>
    <w:rsid w:val="00500FBF"/>
    <w:rsid w:val="0050670B"/>
    <w:rsid w:val="005141E8"/>
    <w:rsid w:val="00533496"/>
    <w:rsid w:val="00545855"/>
    <w:rsid w:val="0054698D"/>
    <w:rsid w:val="00550C99"/>
    <w:rsid w:val="005527B6"/>
    <w:rsid w:val="00553413"/>
    <w:rsid w:val="00553C23"/>
    <w:rsid w:val="005616A9"/>
    <w:rsid w:val="0056214A"/>
    <w:rsid w:val="005632FA"/>
    <w:rsid w:val="0058369E"/>
    <w:rsid w:val="00586DD1"/>
    <w:rsid w:val="00593314"/>
    <w:rsid w:val="00594496"/>
    <w:rsid w:val="005A51A0"/>
    <w:rsid w:val="005A5D7D"/>
    <w:rsid w:val="005C6618"/>
    <w:rsid w:val="005F48E2"/>
    <w:rsid w:val="00603FD5"/>
    <w:rsid w:val="00616DC8"/>
    <w:rsid w:val="00623F27"/>
    <w:rsid w:val="00637791"/>
    <w:rsid w:val="00646F3B"/>
    <w:rsid w:val="00656C80"/>
    <w:rsid w:val="0068724F"/>
    <w:rsid w:val="006A02D9"/>
    <w:rsid w:val="006A1DEF"/>
    <w:rsid w:val="006A3CC0"/>
    <w:rsid w:val="006A5094"/>
    <w:rsid w:val="006A657D"/>
    <w:rsid w:val="006B258F"/>
    <w:rsid w:val="006B5716"/>
    <w:rsid w:val="006B6F9A"/>
    <w:rsid w:val="006C461E"/>
    <w:rsid w:val="006C4AF4"/>
    <w:rsid w:val="006D3CD4"/>
    <w:rsid w:val="006D3F2F"/>
    <w:rsid w:val="006E18C8"/>
    <w:rsid w:val="006E1F45"/>
    <w:rsid w:val="006E2FF4"/>
    <w:rsid w:val="006E3080"/>
    <w:rsid w:val="006E3536"/>
    <w:rsid w:val="006E76CC"/>
    <w:rsid w:val="00700AF5"/>
    <w:rsid w:val="00701D90"/>
    <w:rsid w:val="00714488"/>
    <w:rsid w:val="00716FA5"/>
    <w:rsid w:val="00717F79"/>
    <w:rsid w:val="007254A7"/>
    <w:rsid w:val="00730CC8"/>
    <w:rsid w:val="0073421C"/>
    <w:rsid w:val="00735843"/>
    <w:rsid w:val="0075052C"/>
    <w:rsid w:val="00780D70"/>
    <w:rsid w:val="00786318"/>
    <w:rsid w:val="00792868"/>
    <w:rsid w:val="0079751C"/>
    <w:rsid w:val="007A0363"/>
    <w:rsid w:val="007C2EB8"/>
    <w:rsid w:val="007C3FC5"/>
    <w:rsid w:val="007C61C7"/>
    <w:rsid w:val="007D5981"/>
    <w:rsid w:val="007E677E"/>
    <w:rsid w:val="007E7FE4"/>
    <w:rsid w:val="00806F01"/>
    <w:rsid w:val="0081533C"/>
    <w:rsid w:val="0081591F"/>
    <w:rsid w:val="0081611A"/>
    <w:rsid w:val="00842101"/>
    <w:rsid w:val="00843734"/>
    <w:rsid w:val="00845A6C"/>
    <w:rsid w:val="00845C1F"/>
    <w:rsid w:val="0085372C"/>
    <w:rsid w:val="0085439B"/>
    <w:rsid w:val="00854E64"/>
    <w:rsid w:val="00862C66"/>
    <w:rsid w:val="00863DE3"/>
    <w:rsid w:val="00863F87"/>
    <w:rsid w:val="008801B1"/>
    <w:rsid w:val="008844A1"/>
    <w:rsid w:val="00897F77"/>
    <w:rsid w:val="008A2BB2"/>
    <w:rsid w:val="008A4E3A"/>
    <w:rsid w:val="008B05C3"/>
    <w:rsid w:val="008B1C63"/>
    <w:rsid w:val="008B4965"/>
    <w:rsid w:val="008B5CC5"/>
    <w:rsid w:val="008B637D"/>
    <w:rsid w:val="008D1ABD"/>
    <w:rsid w:val="008D760A"/>
    <w:rsid w:val="008F70D1"/>
    <w:rsid w:val="008F71C8"/>
    <w:rsid w:val="0090137A"/>
    <w:rsid w:val="00903437"/>
    <w:rsid w:val="009254B8"/>
    <w:rsid w:val="00926DEE"/>
    <w:rsid w:val="00926DF7"/>
    <w:rsid w:val="00927FDE"/>
    <w:rsid w:val="00935C80"/>
    <w:rsid w:val="00936068"/>
    <w:rsid w:val="00941BB2"/>
    <w:rsid w:val="009517CC"/>
    <w:rsid w:val="009615D4"/>
    <w:rsid w:val="00964D2F"/>
    <w:rsid w:val="009718B3"/>
    <w:rsid w:val="009733AC"/>
    <w:rsid w:val="00974677"/>
    <w:rsid w:val="00975E2D"/>
    <w:rsid w:val="0097657C"/>
    <w:rsid w:val="00976C50"/>
    <w:rsid w:val="0097704C"/>
    <w:rsid w:val="00983D00"/>
    <w:rsid w:val="00990D47"/>
    <w:rsid w:val="009A1E02"/>
    <w:rsid w:val="009A2F17"/>
    <w:rsid w:val="009A49D1"/>
    <w:rsid w:val="009B2231"/>
    <w:rsid w:val="009B7F5D"/>
    <w:rsid w:val="009C0347"/>
    <w:rsid w:val="009C752B"/>
    <w:rsid w:val="009D24F5"/>
    <w:rsid w:val="009D439E"/>
    <w:rsid w:val="009E684B"/>
    <w:rsid w:val="009E7ED9"/>
    <w:rsid w:val="009F0FDD"/>
    <w:rsid w:val="009F1AF2"/>
    <w:rsid w:val="009F3A68"/>
    <w:rsid w:val="009F5B49"/>
    <w:rsid w:val="00A01C6A"/>
    <w:rsid w:val="00A068D6"/>
    <w:rsid w:val="00A12635"/>
    <w:rsid w:val="00A13664"/>
    <w:rsid w:val="00A14B66"/>
    <w:rsid w:val="00A20BA0"/>
    <w:rsid w:val="00A24EF4"/>
    <w:rsid w:val="00A4119B"/>
    <w:rsid w:val="00A5293B"/>
    <w:rsid w:val="00A53F38"/>
    <w:rsid w:val="00A60161"/>
    <w:rsid w:val="00A60DA0"/>
    <w:rsid w:val="00A636D0"/>
    <w:rsid w:val="00A6671C"/>
    <w:rsid w:val="00A718E3"/>
    <w:rsid w:val="00A81CCD"/>
    <w:rsid w:val="00A84E01"/>
    <w:rsid w:val="00A86FA0"/>
    <w:rsid w:val="00A90151"/>
    <w:rsid w:val="00A90B18"/>
    <w:rsid w:val="00A9359B"/>
    <w:rsid w:val="00AA163B"/>
    <w:rsid w:val="00AA7661"/>
    <w:rsid w:val="00AB5F12"/>
    <w:rsid w:val="00AC0558"/>
    <w:rsid w:val="00AC2373"/>
    <w:rsid w:val="00AC24BE"/>
    <w:rsid w:val="00AD47C6"/>
    <w:rsid w:val="00AE7C4C"/>
    <w:rsid w:val="00AF36C2"/>
    <w:rsid w:val="00AF7956"/>
    <w:rsid w:val="00B22D9D"/>
    <w:rsid w:val="00B233EA"/>
    <w:rsid w:val="00B23603"/>
    <w:rsid w:val="00B25616"/>
    <w:rsid w:val="00B32D6C"/>
    <w:rsid w:val="00B3365C"/>
    <w:rsid w:val="00B3749D"/>
    <w:rsid w:val="00B44103"/>
    <w:rsid w:val="00B445E3"/>
    <w:rsid w:val="00B56365"/>
    <w:rsid w:val="00B57C8C"/>
    <w:rsid w:val="00B60F83"/>
    <w:rsid w:val="00B6239A"/>
    <w:rsid w:val="00B625EA"/>
    <w:rsid w:val="00B65DAA"/>
    <w:rsid w:val="00B66B2F"/>
    <w:rsid w:val="00B74F7F"/>
    <w:rsid w:val="00B75B08"/>
    <w:rsid w:val="00B76126"/>
    <w:rsid w:val="00B849A9"/>
    <w:rsid w:val="00B87859"/>
    <w:rsid w:val="00B91D47"/>
    <w:rsid w:val="00B968B1"/>
    <w:rsid w:val="00BA3CB8"/>
    <w:rsid w:val="00BA7623"/>
    <w:rsid w:val="00BA771A"/>
    <w:rsid w:val="00BE571C"/>
    <w:rsid w:val="00BF3799"/>
    <w:rsid w:val="00BF68C8"/>
    <w:rsid w:val="00C01E68"/>
    <w:rsid w:val="00C110A4"/>
    <w:rsid w:val="00C11924"/>
    <w:rsid w:val="00C12CF1"/>
    <w:rsid w:val="00C177DC"/>
    <w:rsid w:val="00C2094D"/>
    <w:rsid w:val="00C326F9"/>
    <w:rsid w:val="00C34C8E"/>
    <w:rsid w:val="00C37A29"/>
    <w:rsid w:val="00C41DED"/>
    <w:rsid w:val="00C57DCA"/>
    <w:rsid w:val="00C70EFC"/>
    <w:rsid w:val="00C8367B"/>
    <w:rsid w:val="00C930F4"/>
    <w:rsid w:val="00C932F3"/>
    <w:rsid w:val="00C9436C"/>
    <w:rsid w:val="00CA1FCA"/>
    <w:rsid w:val="00CA215A"/>
    <w:rsid w:val="00CA3C79"/>
    <w:rsid w:val="00CA41C7"/>
    <w:rsid w:val="00CB1E32"/>
    <w:rsid w:val="00CD61EB"/>
    <w:rsid w:val="00CF02F0"/>
    <w:rsid w:val="00CF52B1"/>
    <w:rsid w:val="00CF551D"/>
    <w:rsid w:val="00D0731A"/>
    <w:rsid w:val="00D103E7"/>
    <w:rsid w:val="00D16F74"/>
    <w:rsid w:val="00D215C3"/>
    <w:rsid w:val="00D34FB0"/>
    <w:rsid w:val="00D408CC"/>
    <w:rsid w:val="00D452E6"/>
    <w:rsid w:val="00D55A6D"/>
    <w:rsid w:val="00D60649"/>
    <w:rsid w:val="00D61E88"/>
    <w:rsid w:val="00D666D0"/>
    <w:rsid w:val="00D73854"/>
    <w:rsid w:val="00D77A36"/>
    <w:rsid w:val="00D80CBE"/>
    <w:rsid w:val="00D83923"/>
    <w:rsid w:val="00D9419D"/>
    <w:rsid w:val="00D94CDF"/>
    <w:rsid w:val="00DA046B"/>
    <w:rsid w:val="00DB7434"/>
    <w:rsid w:val="00DD3C7C"/>
    <w:rsid w:val="00DD711F"/>
    <w:rsid w:val="00DE0B46"/>
    <w:rsid w:val="00DE1DCC"/>
    <w:rsid w:val="00DE59FB"/>
    <w:rsid w:val="00DE602B"/>
    <w:rsid w:val="00DE68E7"/>
    <w:rsid w:val="00DF4408"/>
    <w:rsid w:val="00DF4E3E"/>
    <w:rsid w:val="00E0453D"/>
    <w:rsid w:val="00E05FA6"/>
    <w:rsid w:val="00E10CD8"/>
    <w:rsid w:val="00E20FB9"/>
    <w:rsid w:val="00E22C84"/>
    <w:rsid w:val="00E25474"/>
    <w:rsid w:val="00E32F93"/>
    <w:rsid w:val="00E40B25"/>
    <w:rsid w:val="00E42A61"/>
    <w:rsid w:val="00E47F28"/>
    <w:rsid w:val="00E51BD9"/>
    <w:rsid w:val="00E54B2B"/>
    <w:rsid w:val="00E56A45"/>
    <w:rsid w:val="00E57CEC"/>
    <w:rsid w:val="00E634F4"/>
    <w:rsid w:val="00E637A7"/>
    <w:rsid w:val="00E663F1"/>
    <w:rsid w:val="00E7522A"/>
    <w:rsid w:val="00E75FCA"/>
    <w:rsid w:val="00E774E2"/>
    <w:rsid w:val="00E803E9"/>
    <w:rsid w:val="00E90E1C"/>
    <w:rsid w:val="00EA1943"/>
    <w:rsid w:val="00EA3594"/>
    <w:rsid w:val="00EB4BAD"/>
    <w:rsid w:val="00EB7E08"/>
    <w:rsid w:val="00EE4DFE"/>
    <w:rsid w:val="00EE6F14"/>
    <w:rsid w:val="00EF0EDF"/>
    <w:rsid w:val="00EF2DD4"/>
    <w:rsid w:val="00EF3F23"/>
    <w:rsid w:val="00F05A49"/>
    <w:rsid w:val="00F162D4"/>
    <w:rsid w:val="00F33262"/>
    <w:rsid w:val="00F4010B"/>
    <w:rsid w:val="00F4430E"/>
    <w:rsid w:val="00F4702C"/>
    <w:rsid w:val="00F47F1C"/>
    <w:rsid w:val="00F505B8"/>
    <w:rsid w:val="00F53397"/>
    <w:rsid w:val="00F625FE"/>
    <w:rsid w:val="00F634F6"/>
    <w:rsid w:val="00F6447A"/>
    <w:rsid w:val="00F649E5"/>
    <w:rsid w:val="00F82603"/>
    <w:rsid w:val="00F87B07"/>
    <w:rsid w:val="00F92D4F"/>
    <w:rsid w:val="00F934BC"/>
    <w:rsid w:val="00F94880"/>
    <w:rsid w:val="00FB0D65"/>
    <w:rsid w:val="00FB1EA0"/>
    <w:rsid w:val="00FC1603"/>
    <w:rsid w:val="00FC2D8B"/>
    <w:rsid w:val="00FD2FF6"/>
    <w:rsid w:val="00FD3306"/>
    <w:rsid w:val="00FE22BA"/>
    <w:rsid w:val="00FE35D0"/>
    <w:rsid w:val="00FE57D8"/>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C6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1E"/>
    <w:pPr>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keepLines/>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0D3DF9"/>
    <w:pPr>
      <w:numPr>
        <w:numId w:val="31"/>
      </w:numPr>
      <w:contextualSpacing/>
    </w:pPr>
  </w:style>
  <w:style w:type="paragraph" w:styleId="ListBullet2">
    <w:name w:val="List Bullet 2"/>
    <w:basedOn w:val="Normal"/>
    <w:uiPriority w:val="99"/>
    <w:unhideWhenUsed/>
    <w:qFormat/>
    <w:rsid w:val="000D3DF9"/>
    <w:pPr>
      <w:numPr>
        <w:ilvl w:val="1"/>
        <w:numId w:val="31"/>
      </w:numPr>
      <w:contextualSpacing/>
    </w:pPr>
  </w:style>
  <w:style w:type="paragraph" w:styleId="ListNumber">
    <w:name w:val="List Number"/>
    <w:basedOn w:val="Normal"/>
    <w:uiPriority w:val="99"/>
    <w:unhideWhenUsed/>
    <w:qFormat/>
    <w:rsid w:val="005A51A0"/>
    <w:pPr>
      <w:numPr>
        <w:numId w:val="32"/>
      </w:numPr>
      <w:contextualSpacing/>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32"/>
      </w:numPr>
      <w:contextualSpacing/>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0D3DF9"/>
    <w:pPr>
      <w:numPr>
        <w:ilvl w:val="2"/>
        <w:numId w:val="3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32"/>
      </w:numPr>
      <w:contextualSpacing/>
    </w:pPr>
  </w:style>
  <w:style w:type="paragraph" w:styleId="ListNumber4">
    <w:name w:val="List Number 4"/>
    <w:basedOn w:val="Normal"/>
    <w:uiPriority w:val="99"/>
    <w:unhideWhenUsed/>
    <w:qFormat/>
    <w:rsid w:val="005A51A0"/>
    <w:pPr>
      <w:numPr>
        <w:ilvl w:val="3"/>
        <w:numId w:val="32"/>
      </w:numPr>
      <w:contextualSpacing/>
    </w:pPr>
  </w:style>
  <w:style w:type="paragraph" w:styleId="ListNumber5">
    <w:name w:val="List Number 5"/>
    <w:basedOn w:val="Normal"/>
    <w:uiPriority w:val="99"/>
    <w:unhideWhenUsed/>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2F07B4"/>
    <w:rPr>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A20BA0"/>
    <w:pPr>
      <w:numPr>
        <w:numId w:val="34"/>
      </w:numPr>
      <w:contextualSpacing/>
    </w:pPr>
  </w:style>
  <w:style w:type="paragraph" w:styleId="List2">
    <w:name w:val="List 2"/>
    <w:basedOn w:val="Normal"/>
    <w:uiPriority w:val="99"/>
    <w:unhideWhenUsed/>
    <w:qFormat/>
    <w:rsid w:val="00A20BA0"/>
    <w:pPr>
      <w:numPr>
        <w:ilvl w:val="1"/>
        <w:numId w:val="34"/>
      </w:numPr>
      <w:contextualSpacing/>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2F07B4"/>
    <w:pPr>
      <w:spacing w:after="120"/>
    </w:pPr>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56214A"/>
    <w:pPr>
      <w:spacing w:after="16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unhideWhenUsed/>
    <w:rsid w:val="00BF3799"/>
    <w:rPr>
      <w:sz w:val="16"/>
      <w:szCs w:val="16"/>
    </w:rPr>
  </w:style>
  <w:style w:type="paragraph" w:styleId="FootnoteText">
    <w:name w:val="footnote text"/>
    <w:basedOn w:val="Normal"/>
    <w:link w:val="FootnoteTextChar"/>
    <w:uiPriority w:val="99"/>
    <w:unhideWhenUsed/>
    <w:rsid w:val="004C5DAA"/>
    <w:pPr>
      <w:spacing w:before="0" w:after="120" w:line="240" w:lineRule="auto"/>
      <w:ind w:left="85" w:hanging="85"/>
    </w:pPr>
    <w:rPr>
      <w:sz w:val="16"/>
      <w:szCs w:val="20"/>
    </w:rPr>
  </w:style>
  <w:style w:type="character" w:customStyle="1" w:styleId="FootnoteTextChar">
    <w:name w:val="Footnote Text Char"/>
    <w:basedOn w:val="DefaultParagraphFont"/>
    <w:link w:val="FootnoteText"/>
    <w:uiPriority w:val="99"/>
    <w:rsid w:val="004C5DAA"/>
    <w:rPr>
      <w:rFonts w:asciiTheme="majorHAnsi" w:hAnsiTheme="majorHAnsi"/>
      <w:sz w:val="16"/>
      <w:szCs w:val="20"/>
    </w:rPr>
  </w:style>
  <w:style w:type="character" w:styleId="FootnoteReference">
    <w:name w:val="footnote reference"/>
    <w:basedOn w:val="DefaultParagraphFont"/>
    <w:uiPriority w:val="99"/>
    <w:semiHidden/>
    <w:unhideWhenUsed/>
    <w:rsid w:val="004C5DAA"/>
    <w:rPr>
      <w:vertAlign w:val="superscript"/>
    </w:rPr>
  </w:style>
  <w:style w:type="paragraph" w:customStyle="1" w:styleId="Body">
    <w:name w:val="Body"/>
    <w:basedOn w:val="Normal"/>
    <w:qFormat/>
    <w:rsid w:val="00E803E9"/>
    <w:pPr>
      <w:widowControl w:val="0"/>
      <w:suppressAutoHyphens/>
      <w:autoSpaceDE w:val="0"/>
      <w:autoSpaceDN w:val="0"/>
      <w:adjustRightInd w:val="0"/>
      <w:spacing w:before="0" w:line="240" w:lineRule="auto"/>
      <w:textAlignment w:val="center"/>
    </w:pPr>
    <w:rPr>
      <w:rFonts w:ascii="Calibri" w:eastAsia="Calibri" w:hAnsi="Calibri" w:cs="PostGrotesk-Book"/>
      <w:color w:val="55565A"/>
      <w:lang w:val="en-GB"/>
    </w:rPr>
  </w:style>
  <w:style w:type="character" w:styleId="Emphasis">
    <w:name w:val="Emphasis"/>
    <w:basedOn w:val="DefaultParagraphFont"/>
    <w:uiPriority w:val="20"/>
    <w:qFormat/>
    <w:rsid w:val="00E803E9"/>
    <w:rPr>
      <w:i/>
      <w:iCs/>
    </w:rPr>
  </w:style>
  <w:style w:type="paragraph" w:customStyle="1" w:styleId="SectionHeading1">
    <w:name w:val="Section Heading 1"/>
    <w:basedOn w:val="Normal"/>
    <w:qFormat/>
    <w:rsid w:val="00F4430E"/>
    <w:pPr>
      <w:widowControl w:val="0"/>
      <w:suppressAutoHyphens/>
      <w:autoSpaceDE w:val="0"/>
      <w:autoSpaceDN w:val="0"/>
      <w:adjustRightInd w:val="0"/>
      <w:spacing w:before="0" w:after="120" w:line="288" w:lineRule="auto"/>
      <w:textAlignment w:val="center"/>
    </w:pPr>
    <w:rPr>
      <w:rFonts w:ascii="Calibri" w:eastAsia="Calibri" w:hAnsi="Calibri" w:cs="PostGrotesk-Medium"/>
      <w:color w:val="430098"/>
      <w:sz w:val="28"/>
      <w:szCs w:val="28"/>
      <w:lang w:val="en-GB"/>
    </w:rPr>
  </w:style>
  <w:style w:type="paragraph" w:customStyle="1" w:styleId="BodyCopy">
    <w:name w:val="Body Copy"/>
    <w:basedOn w:val="Normal"/>
    <w:uiPriority w:val="99"/>
    <w:qFormat/>
    <w:rsid w:val="00A6671C"/>
    <w:pPr>
      <w:widowControl w:val="0"/>
      <w:suppressAutoHyphens/>
      <w:autoSpaceDE w:val="0"/>
      <w:autoSpaceDN w:val="0"/>
      <w:adjustRightInd w:val="0"/>
      <w:spacing w:after="200"/>
      <w:textAlignment w:val="center"/>
    </w:pPr>
    <w:rPr>
      <w:rFonts w:asciiTheme="minorHAnsi" w:eastAsia="Times New Roman" w:hAnsiTheme="minorHAnsi" w:cs="National-Book"/>
      <w:color w:val="55565A"/>
      <w:lang w:val="en-US"/>
    </w:rPr>
  </w:style>
  <w:style w:type="paragraph" w:customStyle="1" w:styleId="TableText0">
    <w:name w:val="Table Text"/>
    <w:basedOn w:val="NoSpacing"/>
    <w:qFormat/>
    <w:rsid w:val="0097704C"/>
  </w:style>
  <w:style w:type="paragraph" w:styleId="CommentText">
    <w:name w:val="annotation text"/>
    <w:basedOn w:val="Normal"/>
    <w:link w:val="CommentTextChar"/>
    <w:uiPriority w:val="99"/>
    <w:unhideWhenUsed/>
    <w:rsid w:val="00015CA0"/>
    <w:pPr>
      <w:spacing w:line="240" w:lineRule="auto"/>
    </w:pPr>
    <w:rPr>
      <w:sz w:val="20"/>
      <w:szCs w:val="20"/>
    </w:rPr>
  </w:style>
  <w:style w:type="character" w:customStyle="1" w:styleId="CommentTextChar">
    <w:name w:val="Comment Text Char"/>
    <w:basedOn w:val="DefaultParagraphFont"/>
    <w:link w:val="CommentText"/>
    <w:uiPriority w:val="99"/>
    <w:rsid w:val="00015CA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015CA0"/>
    <w:rPr>
      <w:b/>
      <w:bCs/>
    </w:rPr>
  </w:style>
  <w:style w:type="character" w:customStyle="1" w:styleId="CommentSubjectChar">
    <w:name w:val="Comment Subject Char"/>
    <w:basedOn w:val="CommentTextChar"/>
    <w:link w:val="CommentSubject"/>
    <w:uiPriority w:val="99"/>
    <w:semiHidden/>
    <w:rsid w:val="00015CA0"/>
    <w:rPr>
      <w:rFonts w:asciiTheme="majorHAnsi" w:hAnsiTheme="majorHAnsi"/>
      <w:b/>
      <w:bCs/>
      <w:sz w:val="20"/>
      <w:szCs w:val="20"/>
    </w:rPr>
  </w:style>
  <w:style w:type="character" w:styleId="FollowedHyperlink">
    <w:name w:val="FollowedHyperlink"/>
    <w:basedOn w:val="DefaultParagraphFont"/>
    <w:uiPriority w:val="99"/>
    <w:semiHidden/>
    <w:unhideWhenUsed/>
    <w:rsid w:val="005616A9"/>
    <w:rPr>
      <w:color w:val="000000" w:themeColor="followedHyperlink"/>
      <w:u w:val="single"/>
    </w:rPr>
  </w:style>
  <w:style w:type="paragraph" w:styleId="Revision">
    <w:name w:val="Revision"/>
    <w:hidden/>
    <w:uiPriority w:val="99"/>
    <w:semiHidden/>
    <w:rsid w:val="00E40B25"/>
    <w:pPr>
      <w:spacing w:after="0" w:line="240" w:lineRule="auto"/>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3860">
      <w:bodyDiv w:val="1"/>
      <w:marLeft w:val="0"/>
      <w:marRight w:val="0"/>
      <w:marTop w:val="0"/>
      <w:marBottom w:val="0"/>
      <w:divBdr>
        <w:top w:val="none" w:sz="0" w:space="0" w:color="auto"/>
        <w:left w:val="none" w:sz="0" w:space="0" w:color="auto"/>
        <w:bottom w:val="none" w:sz="0" w:space="0" w:color="auto"/>
        <w:right w:val="none" w:sz="0" w:space="0" w:color="auto"/>
      </w:divBdr>
    </w:div>
    <w:div w:id="387457841">
      <w:bodyDiv w:val="1"/>
      <w:marLeft w:val="0"/>
      <w:marRight w:val="0"/>
      <w:marTop w:val="0"/>
      <w:marBottom w:val="0"/>
      <w:divBdr>
        <w:top w:val="none" w:sz="0" w:space="0" w:color="auto"/>
        <w:left w:val="none" w:sz="0" w:space="0" w:color="auto"/>
        <w:bottom w:val="none" w:sz="0" w:space="0" w:color="auto"/>
        <w:right w:val="none" w:sz="0" w:space="0" w:color="auto"/>
      </w:divBdr>
    </w:div>
    <w:div w:id="445542640">
      <w:bodyDiv w:val="1"/>
      <w:marLeft w:val="0"/>
      <w:marRight w:val="0"/>
      <w:marTop w:val="0"/>
      <w:marBottom w:val="0"/>
      <w:divBdr>
        <w:top w:val="none" w:sz="0" w:space="0" w:color="auto"/>
        <w:left w:val="none" w:sz="0" w:space="0" w:color="auto"/>
        <w:bottom w:val="none" w:sz="0" w:space="0" w:color="auto"/>
        <w:right w:val="none" w:sz="0" w:space="0" w:color="auto"/>
      </w:divBdr>
    </w:div>
    <w:div w:id="507141826">
      <w:bodyDiv w:val="1"/>
      <w:marLeft w:val="0"/>
      <w:marRight w:val="0"/>
      <w:marTop w:val="0"/>
      <w:marBottom w:val="0"/>
      <w:divBdr>
        <w:top w:val="none" w:sz="0" w:space="0" w:color="auto"/>
        <w:left w:val="none" w:sz="0" w:space="0" w:color="auto"/>
        <w:bottom w:val="none" w:sz="0" w:space="0" w:color="auto"/>
        <w:right w:val="none" w:sz="0" w:space="0" w:color="auto"/>
      </w:divBdr>
    </w:div>
    <w:div w:id="646711006">
      <w:bodyDiv w:val="1"/>
      <w:marLeft w:val="0"/>
      <w:marRight w:val="0"/>
      <w:marTop w:val="0"/>
      <w:marBottom w:val="0"/>
      <w:divBdr>
        <w:top w:val="none" w:sz="0" w:space="0" w:color="auto"/>
        <w:left w:val="none" w:sz="0" w:space="0" w:color="auto"/>
        <w:bottom w:val="none" w:sz="0" w:space="0" w:color="auto"/>
        <w:right w:val="none" w:sz="0" w:space="0" w:color="auto"/>
      </w:divBdr>
    </w:div>
    <w:div w:id="695816778">
      <w:bodyDiv w:val="1"/>
      <w:marLeft w:val="0"/>
      <w:marRight w:val="0"/>
      <w:marTop w:val="0"/>
      <w:marBottom w:val="0"/>
      <w:divBdr>
        <w:top w:val="none" w:sz="0" w:space="0" w:color="auto"/>
        <w:left w:val="none" w:sz="0" w:space="0" w:color="auto"/>
        <w:bottom w:val="none" w:sz="0" w:space="0" w:color="auto"/>
        <w:right w:val="none" w:sz="0" w:space="0" w:color="auto"/>
      </w:divBdr>
    </w:div>
    <w:div w:id="699865416">
      <w:bodyDiv w:val="1"/>
      <w:marLeft w:val="0"/>
      <w:marRight w:val="0"/>
      <w:marTop w:val="0"/>
      <w:marBottom w:val="0"/>
      <w:divBdr>
        <w:top w:val="none" w:sz="0" w:space="0" w:color="auto"/>
        <w:left w:val="none" w:sz="0" w:space="0" w:color="auto"/>
        <w:bottom w:val="none" w:sz="0" w:space="0" w:color="auto"/>
        <w:right w:val="none" w:sz="0" w:space="0" w:color="auto"/>
      </w:divBdr>
    </w:div>
    <w:div w:id="724063468">
      <w:bodyDiv w:val="1"/>
      <w:marLeft w:val="0"/>
      <w:marRight w:val="0"/>
      <w:marTop w:val="0"/>
      <w:marBottom w:val="0"/>
      <w:divBdr>
        <w:top w:val="none" w:sz="0" w:space="0" w:color="auto"/>
        <w:left w:val="none" w:sz="0" w:space="0" w:color="auto"/>
        <w:bottom w:val="none" w:sz="0" w:space="0" w:color="auto"/>
        <w:right w:val="none" w:sz="0" w:space="0" w:color="auto"/>
      </w:divBdr>
    </w:div>
    <w:div w:id="1317227315">
      <w:bodyDiv w:val="1"/>
      <w:marLeft w:val="0"/>
      <w:marRight w:val="0"/>
      <w:marTop w:val="0"/>
      <w:marBottom w:val="0"/>
      <w:divBdr>
        <w:top w:val="none" w:sz="0" w:space="0" w:color="auto"/>
        <w:left w:val="none" w:sz="0" w:space="0" w:color="auto"/>
        <w:bottom w:val="none" w:sz="0" w:space="0" w:color="auto"/>
        <w:right w:val="none" w:sz="0" w:space="0" w:color="auto"/>
      </w:divBdr>
    </w:div>
    <w:div w:id="1352759264">
      <w:bodyDiv w:val="1"/>
      <w:marLeft w:val="0"/>
      <w:marRight w:val="0"/>
      <w:marTop w:val="0"/>
      <w:marBottom w:val="0"/>
      <w:divBdr>
        <w:top w:val="none" w:sz="0" w:space="0" w:color="auto"/>
        <w:left w:val="none" w:sz="0" w:space="0" w:color="auto"/>
        <w:bottom w:val="none" w:sz="0" w:space="0" w:color="auto"/>
        <w:right w:val="none" w:sz="0" w:space="0" w:color="auto"/>
      </w:divBdr>
    </w:div>
    <w:div w:id="1466314504">
      <w:bodyDiv w:val="1"/>
      <w:marLeft w:val="0"/>
      <w:marRight w:val="0"/>
      <w:marTop w:val="0"/>
      <w:marBottom w:val="0"/>
      <w:divBdr>
        <w:top w:val="none" w:sz="0" w:space="0" w:color="auto"/>
        <w:left w:val="none" w:sz="0" w:space="0" w:color="auto"/>
        <w:bottom w:val="none" w:sz="0" w:space="0" w:color="auto"/>
        <w:right w:val="none" w:sz="0" w:space="0" w:color="auto"/>
      </w:divBdr>
    </w:div>
    <w:div w:id="1820075688">
      <w:bodyDiv w:val="1"/>
      <w:marLeft w:val="0"/>
      <w:marRight w:val="0"/>
      <w:marTop w:val="0"/>
      <w:marBottom w:val="0"/>
      <w:divBdr>
        <w:top w:val="none" w:sz="0" w:space="0" w:color="auto"/>
        <w:left w:val="none" w:sz="0" w:space="0" w:color="auto"/>
        <w:bottom w:val="none" w:sz="0" w:space="0" w:color="auto"/>
        <w:right w:val="none" w:sz="0" w:space="0" w:color="auto"/>
      </w:divBdr>
    </w:div>
    <w:div w:id="20055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wlebsworth.com.au/cyber-incident/"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verizon.com/business/en-au/resources/reports/dbir/?cmp=paid_search:google:ves_international:gm:awareness&amp;utm_medium=&amp;utm_source=google&amp;utm_campaign=GGL_BND_AU_Branded_Unlimited&amp;utm_content=AU_Security_DBIR&amp;utm_term=verizon%20data%20breach%20report&amp;gclid=Cj0KCQjwrMKmBhCJARIsAHuEAPTZYN2jkzn-TbV8AfMlWjZvtP_6cHoD9T4kVN7Yc0M9OAy401WKzUEaAlJ0EALw_wcB&amp;gclsrc=aw.ds" TargetMode="External"/><Relationship Id="rId7" Type="http://schemas.openxmlformats.org/officeDocument/2006/relationships/footnotes" Target="footnotes.xml"/><Relationship Id="rId12" Type="http://schemas.openxmlformats.org/officeDocument/2006/relationships/hyperlink" Target="https://www.latitudefinancial.com.au/latitude-cyber-incident/" TargetMode="External"/><Relationship Id="rId17" Type="http://schemas.openxmlformats.org/officeDocument/2006/relationships/image" Target="media/image5.png"/><Relationship Id="rId25" Type="http://schemas.openxmlformats.org/officeDocument/2006/relationships/hyperlink" Target="mailto:security@ovic.vic.gov.au"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afr.com/technology/more-than-100-000-suspected-government-logins-found-in-massive-breach-20230106-p5cau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verizon.com/business/en-au/resources/reports/dbir/?cmp=paid_search:google:ves_international:gm:awareness&amp;utm_medium=&amp;utm_source=google&amp;utm_campaign=GGL_BND_AU_Branded_Unlimited&amp;utm_content=AU_Security_DBIR&amp;utm_term=verizon%20data%20breach%20report&amp;gclid=Cj0KCQjwrMKmBhCJARIsAHuEAPTZYN2jkzn-TbV8AfMlWjZvtP_6cHoD9T4kVN7Yc0M9OAy401WKzUEaAlJ0EALw_wcB&amp;gclsrc=aw.ds" TargetMode="External"/><Relationship Id="rId23" Type="http://schemas.openxmlformats.org/officeDocument/2006/relationships/image" Target="media/image9.png"/><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ovic.vic.gov.au/information-security/security-insights/incident-insights-report-from-from-1-january-2022-30-june-2022-2/" TargetMode="External"/><Relationship Id="rId14" Type="http://schemas.openxmlformats.org/officeDocument/2006/relationships/image" Target="media/image3.png"/><Relationship Id="rId22" Type="http://schemas.openxmlformats.org/officeDocument/2006/relationships/hyperlink" Target="https://www.cshub.com/attacks/news/pwc-and-ey-impacted-by-moveit-cyber-attac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vic.vic.gov.au/data-protection/victorian-protective-data-security-framework-business-impact-level-table-v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55736DC7A407081DE594DAB9BAB3B"/>
        <w:category>
          <w:name w:val="General"/>
          <w:gallery w:val="placeholder"/>
        </w:category>
        <w:types>
          <w:type w:val="bbPlcHdr"/>
        </w:types>
        <w:behaviors>
          <w:behavior w:val="content"/>
        </w:behaviors>
        <w:guid w:val="{88F26C70-6643-4D0C-BF69-4F98B1CA3E76}"/>
      </w:docPartPr>
      <w:docPartBody>
        <w:p w:rsidR="00B17D1B" w:rsidRDefault="00B17D1B">
          <w:pPr>
            <w:pStyle w:val="3F655736DC7A407081DE594DAB9BAB3B"/>
          </w:pPr>
          <w:r>
            <w:t>[Select Title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National-Book">
    <w:altName w:val="Times New Roman"/>
    <w:charset w:val="00"/>
    <w:family w:val="auto"/>
    <w:pitch w:val="variable"/>
    <w:sig w:usb0="00000001" w:usb1="5000207B" w:usb2="0000001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1B"/>
    <w:rsid w:val="001E24A1"/>
    <w:rsid w:val="00220D0A"/>
    <w:rsid w:val="002969F1"/>
    <w:rsid w:val="004544CA"/>
    <w:rsid w:val="00494D56"/>
    <w:rsid w:val="005B6058"/>
    <w:rsid w:val="00851239"/>
    <w:rsid w:val="00951622"/>
    <w:rsid w:val="009536EB"/>
    <w:rsid w:val="00963AD8"/>
    <w:rsid w:val="00963B3B"/>
    <w:rsid w:val="00B17D1B"/>
    <w:rsid w:val="00E5258F"/>
    <w:rsid w:val="00F31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655736DC7A407081DE594DAB9BAB3B">
    <w:name w:val="3F655736DC7A407081DE594DAB9BAB3B"/>
  </w:style>
  <w:style w:type="character" w:styleId="PlaceholderText">
    <w:name w:val="Placeholder Text"/>
    <w:basedOn w:val="DefaultParagraphFont"/>
    <w:uiPriority w:val="99"/>
    <w:semiHidden/>
    <w:rsid w:val="002969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3317</Words>
  <Characters>18911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2023-10-12T22:40:00Z</dcterms:created>
  <dcterms:modified xsi:type="dcterms:W3CDTF">2023-10-13T03:29:00Z</dcterms:modified>
</cp:coreProperties>
</file>