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22117" w14:textId="3899CE4A" w:rsidR="00147A58" w:rsidRPr="009F095C" w:rsidRDefault="009126AC" w:rsidP="00147A58">
      <w:pPr>
        <w:pStyle w:val="Heading-1"/>
        <w:spacing w:after="240"/>
      </w:pPr>
      <w:r>
        <w:t>Speaking Notes</w:t>
      </w:r>
    </w:p>
    <w:tbl>
      <w:tblPr>
        <w:tblStyle w:val="TableGrid"/>
        <w:tblW w:w="5000" w:type="pct"/>
        <w:tblLook w:val="04A0" w:firstRow="1" w:lastRow="0" w:firstColumn="1" w:lastColumn="0" w:noHBand="0" w:noVBand="1"/>
      </w:tblPr>
      <w:tblGrid>
        <w:gridCol w:w="1838"/>
        <w:gridCol w:w="7784"/>
      </w:tblGrid>
      <w:tr w:rsidR="00B67B02" w:rsidRPr="00DD3E5C" w14:paraId="61516CDF" w14:textId="77777777" w:rsidTr="00434550">
        <w:tc>
          <w:tcPr>
            <w:tcW w:w="955" w:type="pct"/>
            <w:tcBorders>
              <w:top w:val="single" w:sz="4" w:space="0" w:color="auto"/>
              <w:left w:val="single" w:sz="4" w:space="0" w:color="auto"/>
              <w:bottom w:val="single" w:sz="4" w:space="0" w:color="auto"/>
              <w:right w:val="single" w:sz="4" w:space="0" w:color="auto"/>
            </w:tcBorders>
            <w:vAlign w:val="center"/>
          </w:tcPr>
          <w:p w14:paraId="49DC34D0" w14:textId="77777777" w:rsidR="004304F4" w:rsidRPr="00434550" w:rsidRDefault="004304F4" w:rsidP="00706416">
            <w:pPr>
              <w:pStyle w:val="SectionHeading1"/>
              <w:spacing w:before="120"/>
              <w:rPr>
                <w:rFonts w:asciiTheme="minorHAnsi" w:hAnsiTheme="minorHAnsi" w:cstheme="minorHAnsi"/>
                <w:b/>
                <w:bCs/>
                <w:sz w:val="22"/>
                <w:szCs w:val="22"/>
              </w:rPr>
            </w:pPr>
            <w:r w:rsidRPr="00434550">
              <w:rPr>
                <w:rFonts w:asciiTheme="minorHAnsi" w:hAnsiTheme="minorHAnsi" w:cstheme="minorHAnsi"/>
                <w:b/>
                <w:bCs/>
                <w:sz w:val="22"/>
                <w:szCs w:val="22"/>
              </w:rPr>
              <w:t xml:space="preserve">Event </w:t>
            </w:r>
            <w:r w:rsidR="00B67B02" w:rsidRPr="00434550">
              <w:rPr>
                <w:rFonts w:asciiTheme="minorHAnsi" w:hAnsiTheme="minorHAnsi" w:cstheme="minorHAnsi"/>
                <w:b/>
                <w:bCs/>
                <w:sz w:val="22"/>
                <w:szCs w:val="22"/>
              </w:rPr>
              <w:t>t</w:t>
            </w:r>
            <w:r w:rsidRPr="00434550">
              <w:rPr>
                <w:rFonts w:asciiTheme="minorHAnsi" w:hAnsiTheme="minorHAnsi" w:cstheme="minorHAnsi"/>
                <w:b/>
                <w:bCs/>
                <w:sz w:val="22"/>
                <w:szCs w:val="22"/>
              </w:rPr>
              <w:t>itle:</w:t>
            </w:r>
          </w:p>
        </w:tc>
        <w:tc>
          <w:tcPr>
            <w:tcW w:w="4045" w:type="pct"/>
            <w:tcBorders>
              <w:top w:val="single" w:sz="4" w:space="0" w:color="auto"/>
              <w:left w:val="single" w:sz="4" w:space="0" w:color="auto"/>
              <w:bottom w:val="single" w:sz="4" w:space="0" w:color="auto"/>
              <w:right w:val="single" w:sz="4" w:space="0" w:color="auto"/>
            </w:tcBorders>
            <w:vAlign w:val="center"/>
          </w:tcPr>
          <w:p w14:paraId="1FE2F804" w14:textId="4E7ED7AF" w:rsidR="004304F4" w:rsidRPr="00706416" w:rsidRDefault="00250230" w:rsidP="004A5BEF">
            <w:pPr>
              <w:spacing w:before="120" w:after="120"/>
              <w:rPr>
                <w:sz w:val="22"/>
                <w:szCs w:val="22"/>
              </w:rPr>
            </w:pPr>
            <w:r>
              <w:rPr>
                <w:sz w:val="22"/>
                <w:szCs w:val="22"/>
              </w:rPr>
              <w:t>Public Sector Network - Data Innovation Executive Session</w:t>
            </w:r>
          </w:p>
        </w:tc>
      </w:tr>
      <w:tr w:rsidR="00CC3A9E" w:rsidRPr="00DD3E5C" w14:paraId="096159BF" w14:textId="77777777" w:rsidTr="00434550">
        <w:tc>
          <w:tcPr>
            <w:tcW w:w="955" w:type="pct"/>
            <w:tcBorders>
              <w:top w:val="single" w:sz="4" w:space="0" w:color="auto"/>
              <w:left w:val="single" w:sz="4" w:space="0" w:color="auto"/>
              <w:bottom w:val="single" w:sz="4" w:space="0" w:color="auto"/>
              <w:right w:val="single" w:sz="4" w:space="0" w:color="auto"/>
            </w:tcBorders>
            <w:vAlign w:val="center"/>
          </w:tcPr>
          <w:p w14:paraId="0BCA826E" w14:textId="77777777" w:rsidR="00CC3A9E" w:rsidRPr="00434550" w:rsidRDefault="00CC3A9E" w:rsidP="00706416">
            <w:pPr>
              <w:pStyle w:val="SectionHeading1"/>
              <w:spacing w:before="120"/>
              <w:rPr>
                <w:rFonts w:asciiTheme="minorHAnsi" w:hAnsiTheme="minorHAnsi" w:cstheme="minorHAnsi"/>
                <w:b/>
                <w:bCs/>
                <w:sz w:val="22"/>
                <w:szCs w:val="22"/>
              </w:rPr>
            </w:pPr>
            <w:r w:rsidRPr="00434550">
              <w:rPr>
                <w:rFonts w:asciiTheme="minorHAnsi" w:hAnsiTheme="minorHAnsi" w:cstheme="minorHAnsi"/>
                <w:b/>
                <w:bCs/>
                <w:sz w:val="22"/>
                <w:szCs w:val="22"/>
              </w:rPr>
              <w:t>Speaker:</w:t>
            </w:r>
          </w:p>
        </w:tc>
        <w:tc>
          <w:tcPr>
            <w:tcW w:w="4045" w:type="pct"/>
            <w:tcBorders>
              <w:top w:val="single" w:sz="4" w:space="0" w:color="auto"/>
              <w:left w:val="single" w:sz="4" w:space="0" w:color="auto"/>
              <w:bottom w:val="single" w:sz="4" w:space="0" w:color="auto"/>
              <w:right w:val="single" w:sz="4" w:space="0" w:color="auto"/>
            </w:tcBorders>
            <w:vAlign w:val="center"/>
          </w:tcPr>
          <w:p w14:paraId="72FA5A26" w14:textId="4907596F" w:rsidR="00CC3A9E" w:rsidRPr="00706416" w:rsidRDefault="00250230" w:rsidP="004A5BEF">
            <w:pPr>
              <w:spacing w:before="120" w:after="120"/>
              <w:rPr>
                <w:sz w:val="22"/>
                <w:szCs w:val="22"/>
                <w:highlight w:val="yellow"/>
              </w:rPr>
            </w:pPr>
            <w:r w:rsidRPr="00250230">
              <w:rPr>
                <w:sz w:val="22"/>
                <w:szCs w:val="22"/>
              </w:rPr>
              <w:t>Sven Bluemmel</w:t>
            </w:r>
          </w:p>
        </w:tc>
      </w:tr>
      <w:tr w:rsidR="004D6084" w:rsidRPr="00DD3E5C" w14:paraId="23F856FD" w14:textId="77777777" w:rsidTr="004D6084">
        <w:tc>
          <w:tcPr>
            <w:tcW w:w="955" w:type="pct"/>
            <w:tcBorders>
              <w:top w:val="single" w:sz="4" w:space="0" w:color="auto"/>
              <w:left w:val="single" w:sz="4" w:space="0" w:color="auto"/>
              <w:bottom w:val="single" w:sz="4" w:space="0" w:color="auto"/>
              <w:right w:val="single" w:sz="4" w:space="0" w:color="auto"/>
            </w:tcBorders>
            <w:vAlign w:val="center"/>
          </w:tcPr>
          <w:p w14:paraId="57D1A427" w14:textId="77777777" w:rsidR="004D6084" w:rsidRPr="00434550" w:rsidRDefault="004D6084" w:rsidP="00706416">
            <w:pPr>
              <w:pStyle w:val="SectionHeading1"/>
              <w:spacing w:before="120"/>
              <w:rPr>
                <w:rFonts w:asciiTheme="minorHAnsi" w:hAnsiTheme="minorHAnsi" w:cstheme="minorHAnsi"/>
                <w:b/>
                <w:bCs/>
                <w:sz w:val="22"/>
                <w:szCs w:val="22"/>
              </w:rPr>
            </w:pPr>
            <w:r w:rsidRPr="00434550">
              <w:rPr>
                <w:rFonts w:asciiTheme="minorHAnsi" w:hAnsiTheme="minorHAnsi" w:cstheme="minorHAnsi"/>
                <w:b/>
                <w:bCs/>
                <w:sz w:val="22"/>
                <w:szCs w:val="22"/>
              </w:rPr>
              <w:t>Event date:</w:t>
            </w:r>
          </w:p>
        </w:tc>
        <w:tc>
          <w:tcPr>
            <w:tcW w:w="4045" w:type="pct"/>
            <w:tcBorders>
              <w:top w:val="single" w:sz="4" w:space="0" w:color="auto"/>
              <w:left w:val="single" w:sz="4" w:space="0" w:color="auto"/>
              <w:bottom w:val="single" w:sz="4" w:space="0" w:color="auto"/>
              <w:right w:val="single" w:sz="4" w:space="0" w:color="auto"/>
            </w:tcBorders>
            <w:vAlign w:val="center"/>
          </w:tcPr>
          <w:p w14:paraId="4855F081" w14:textId="7CD92A68" w:rsidR="004D6084" w:rsidRPr="00250230" w:rsidRDefault="004D6084" w:rsidP="004D6084">
            <w:pPr>
              <w:spacing w:before="120" w:after="120"/>
              <w:rPr>
                <w:sz w:val="22"/>
                <w:szCs w:val="22"/>
              </w:rPr>
            </w:pPr>
            <w:r w:rsidRPr="00250230">
              <w:rPr>
                <w:sz w:val="22"/>
                <w:szCs w:val="22"/>
              </w:rPr>
              <w:t xml:space="preserve">23 June 2021 </w:t>
            </w:r>
          </w:p>
        </w:tc>
      </w:tr>
    </w:tbl>
    <w:p w14:paraId="576E142D" w14:textId="47840BA4" w:rsidR="00250230" w:rsidRDefault="003F02CF" w:rsidP="00314655">
      <w:pPr>
        <w:pStyle w:val="Heading-2"/>
      </w:pPr>
      <w:r>
        <w:t>Introduction</w:t>
      </w:r>
    </w:p>
    <w:p w14:paraId="303E8D57" w14:textId="77777777" w:rsidR="00D05E7D" w:rsidRPr="00E81086" w:rsidRDefault="00D05E7D" w:rsidP="00E81086">
      <w:pPr>
        <w:pStyle w:val="Body"/>
        <w:numPr>
          <w:ilvl w:val="0"/>
          <w:numId w:val="27"/>
        </w:numPr>
        <w:rPr>
          <w:lang w:val="en-AU"/>
        </w:rPr>
      </w:pPr>
      <w:r w:rsidRPr="00E81086">
        <w:rPr>
          <w:sz w:val="24"/>
          <w:szCs w:val="24"/>
          <w:lang w:val="en-AU"/>
        </w:rPr>
        <w:t xml:space="preserve">My office – the Office of the Victorian Information Commissioner, or OVIC – is the primary regulator for information privacy, information security and freedom of information in Victoria, administering both the Privacy and Data Protection Act 2014 and the Freedom of Information Act 1982. </w:t>
      </w:r>
    </w:p>
    <w:p w14:paraId="7410A7D0" w14:textId="2EDCD2A8" w:rsidR="00B20C5E" w:rsidRPr="00314655" w:rsidRDefault="00314655" w:rsidP="00A33852">
      <w:pPr>
        <w:pStyle w:val="Body"/>
        <w:numPr>
          <w:ilvl w:val="0"/>
          <w:numId w:val="27"/>
        </w:numPr>
        <w:rPr>
          <w:sz w:val="24"/>
          <w:szCs w:val="24"/>
          <w:lang w:val="en-AU"/>
        </w:rPr>
      </w:pPr>
      <w:r w:rsidRPr="00314655">
        <w:rPr>
          <w:sz w:val="24"/>
          <w:szCs w:val="24"/>
          <w:lang w:val="en-AU"/>
        </w:rPr>
        <w:t>One of OVIC’s key strategic goals is to</w:t>
      </w:r>
      <w:r w:rsidR="00B20C5E" w:rsidRPr="00314655">
        <w:rPr>
          <w:sz w:val="24"/>
          <w:szCs w:val="24"/>
          <w:lang w:val="en-AU"/>
        </w:rPr>
        <w:t xml:space="preserve"> promote fair access to public sector information while ensuring proper use and protection</w:t>
      </w:r>
      <w:r w:rsidRPr="00314655">
        <w:rPr>
          <w:sz w:val="24"/>
          <w:szCs w:val="24"/>
          <w:lang w:val="en-AU"/>
        </w:rPr>
        <w:t xml:space="preserve"> of the</w:t>
      </w:r>
      <w:r w:rsidR="00B20C5E" w:rsidRPr="00314655">
        <w:rPr>
          <w:sz w:val="24"/>
          <w:szCs w:val="24"/>
          <w:lang w:val="en-AU"/>
        </w:rPr>
        <w:t xml:space="preserve"> information rights of Victorian community</w:t>
      </w:r>
      <w:r w:rsidRPr="00314655">
        <w:rPr>
          <w:sz w:val="24"/>
          <w:szCs w:val="24"/>
          <w:lang w:val="en-AU"/>
        </w:rPr>
        <w:t>.</w:t>
      </w:r>
    </w:p>
    <w:p w14:paraId="318724FA" w14:textId="3387188F" w:rsidR="00E91A52" w:rsidRPr="00314655" w:rsidRDefault="00A33852" w:rsidP="00E91A52">
      <w:pPr>
        <w:pStyle w:val="Body"/>
        <w:numPr>
          <w:ilvl w:val="0"/>
          <w:numId w:val="27"/>
        </w:numPr>
        <w:rPr>
          <w:sz w:val="24"/>
          <w:szCs w:val="24"/>
        </w:rPr>
      </w:pPr>
      <w:r>
        <w:rPr>
          <w:sz w:val="24"/>
          <w:szCs w:val="24"/>
        </w:rPr>
        <w:t>I will discuss the benefits of sharing public sector data data</w:t>
      </w:r>
      <w:r w:rsidR="0083207B" w:rsidRPr="00314655">
        <w:rPr>
          <w:sz w:val="24"/>
          <w:szCs w:val="24"/>
        </w:rPr>
        <w:t>, how it can go wrong</w:t>
      </w:r>
      <w:r w:rsidR="00D05E7D">
        <w:rPr>
          <w:sz w:val="24"/>
          <w:szCs w:val="24"/>
        </w:rPr>
        <w:t>,</w:t>
      </w:r>
      <w:r w:rsidR="0083207B" w:rsidRPr="00314655">
        <w:rPr>
          <w:sz w:val="24"/>
          <w:szCs w:val="24"/>
        </w:rPr>
        <w:t xml:space="preserve"> how </w:t>
      </w:r>
      <w:r w:rsidR="00BA365B">
        <w:rPr>
          <w:sz w:val="24"/>
          <w:szCs w:val="24"/>
        </w:rPr>
        <w:t>to do it right and balance government transparency and data sharing with maintaining</w:t>
      </w:r>
      <w:r w:rsidR="0083207B" w:rsidRPr="00314655">
        <w:rPr>
          <w:sz w:val="24"/>
          <w:szCs w:val="24"/>
        </w:rPr>
        <w:t xml:space="preserve"> public trust </w:t>
      </w:r>
      <w:r w:rsidR="00BA365B">
        <w:rPr>
          <w:sz w:val="24"/>
          <w:szCs w:val="24"/>
        </w:rPr>
        <w:t>in government</w:t>
      </w:r>
      <w:r>
        <w:rPr>
          <w:sz w:val="24"/>
          <w:szCs w:val="24"/>
        </w:rPr>
        <w:t>.</w:t>
      </w:r>
    </w:p>
    <w:p w14:paraId="42BDCB73" w14:textId="34A576C4" w:rsidR="000F525B" w:rsidRPr="00314655" w:rsidRDefault="0083207B" w:rsidP="00834C9A">
      <w:pPr>
        <w:pStyle w:val="ListParagraph"/>
        <w:numPr>
          <w:ilvl w:val="0"/>
          <w:numId w:val="27"/>
        </w:numPr>
        <w:autoSpaceDE w:val="0"/>
        <w:autoSpaceDN w:val="0"/>
        <w:adjustRightInd w:val="0"/>
        <w:spacing w:after="240"/>
        <w:rPr>
          <w:rFonts w:cs="Calibri"/>
          <w:lang w:val="en-AU" w:eastAsia="en-AU"/>
        </w:rPr>
      </w:pPr>
      <w:r w:rsidRPr="00314655">
        <w:rPr>
          <w:rFonts w:cs="Calibri"/>
          <w:lang w:val="en-AU" w:eastAsia="en-AU"/>
        </w:rPr>
        <w:t xml:space="preserve">While the sharing of public sector data raises obvious privacy risks, privacy law recognises that there will be instances where the collection and sharing of citizens’ information </w:t>
      </w:r>
      <w:r w:rsidR="00D05E7D">
        <w:rPr>
          <w:rFonts w:cs="Calibri"/>
          <w:lang w:val="en-AU" w:eastAsia="en-AU"/>
        </w:rPr>
        <w:t xml:space="preserve">can </w:t>
      </w:r>
      <w:r w:rsidRPr="00314655">
        <w:rPr>
          <w:rFonts w:cs="Calibri"/>
          <w:lang w:val="en-AU" w:eastAsia="en-AU"/>
        </w:rPr>
        <w:t>benefit of the wider community</w:t>
      </w:r>
      <w:r w:rsidR="00027FC7">
        <w:rPr>
          <w:rFonts w:cs="Calibri"/>
          <w:lang w:val="en-AU" w:eastAsia="en-AU"/>
        </w:rPr>
        <w:t>.</w:t>
      </w:r>
    </w:p>
    <w:p w14:paraId="4EAB3C36" w14:textId="361B16D1" w:rsidR="000F525B" w:rsidRDefault="000F525B" w:rsidP="00314655">
      <w:pPr>
        <w:pStyle w:val="Heading-2"/>
        <w:rPr>
          <w:lang w:eastAsia="en-AU"/>
        </w:rPr>
      </w:pPr>
      <w:r>
        <w:rPr>
          <w:lang w:eastAsia="en-AU"/>
        </w:rPr>
        <w:t>Benefits of sharing public sector data</w:t>
      </w:r>
    </w:p>
    <w:p w14:paraId="5DE2DBFA" w14:textId="07480F25" w:rsidR="00A33852" w:rsidRDefault="008F77CC" w:rsidP="00314655">
      <w:pPr>
        <w:pStyle w:val="ListParagraph"/>
        <w:numPr>
          <w:ilvl w:val="0"/>
          <w:numId w:val="28"/>
        </w:numPr>
        <w:autoSpaceDE w:val="0"/>
        <w:autoSpaceDN w:val="0"/>
        <w:adjustRightInd w:val="0"/>
        <w:spacing w:before="120" w:after="240"/>
        <w:contextualSpacing w:val="0"/>
        <w:rPr>
          <w:rFonts w:cs="Calibri"/>
          <w:lang w:val="en-AU" w:eastAsia="en-AU"/>
        </w:rPr>
      </w:pPr>
      <w:r>
        <w:rPr>
          <w:rFonts w:cs="Calibri"/>
          <w:lang w:val="en-AU" w:eastAsia="en-AU"/>
        </w:rPr>
        <w:t>Whether data is being shared</w:t>
      </w:r>
      <w:r w:rsidR="00C612F2">
        <w:rPr>
          <w:rFonts w:cs="Calibri"/>
          <w:lang w:val="en-AU" w:eastAsia="en-AU"/>
        </w:rPr>
        <w:t xml:space="preserve"> to the public</w:t>
      </w:r>
      <w:r>
        <w:rPr>
          <w:rFonts w:cs="Calibri"/>
          <w:lang w:val="en-AU" w:eastAsia="en-AU"/>
        </w:rPr>
        <w:t xml:space="preserve"> at large</w:t>
      </w:r>
      <w:r w:rsidR="00C612F2">
        <w:rPr>
          <w:rFonts w:cs="Calibri"/>
          <w:lang w:val="en-AU" w:eastAsia="en-AU"/>
        </w:rPr>
        <w:t xml:space="preserve"> or between public sector organisations,</w:t>
      </w:r>
      <w:r>
        <w:rPr>
          <w:rFonts w:cs="Calibri"/>
          <w:lang w:val="en-AU" w:eastAsia="en-AU"/>
        </w:rPr>
        <w:t xml:space="preserve"> it can have direct benefits to the safety, </w:t>
      </w:r>
      <w:proofErr w:type="gramStart"/>
      <w:r>
        <w:rPr>
          <w:rFonts w:cs="Calibri"/>
          <w:lang w:val="en-AU" w:eastAsia="en-AU"/>
        </w:rPr>
        <w:t>health</w:t>
      </w:r>
      <w:proofErr w:type="gramEnd"/>
      <w:r>
        <w:rPr>
          <w:rFonts w:cs="Calibri"/>
          <w:lang w:val="en-AU" w:eastAsia="en-AU"/>
        </w:rPr>
        <w:t xml:space="preserve"> and wellbeing of members of the public when done properly.</w:t>
      </w:r>
      <w:r w:rsidR="00F40520">
        <w:rPr>
          <w:rFonts w:cs="Calibri"/>
          <w:lang w:val="en-AU" w:eastAsia="en-AU"/>
        </w:rPr>
        <w:t xml:space="preserve"> For example:</w:t>
      </w:r>
    </w:p>
    <w:p w14:paraId="7CFDD595" w14:textId="4AC9FED7" w:rsidR="00AC37FA" w:rsidRDefault="00AC37FA" w:rsidP="00AC37FA">
      <w:pPr>
        <w:pStyle w:val="ListParagraph"/>
        <w:numPr>
          <w:ilvl w:val="1"/>
          <w:numId w:val="28"/>
        </w:numPr>
        <w:autoSpaceDE w:val="0"/>
        <w:autoSpaceDN w:val="0"/>
        <w:adjustRightInd w:val="0"/>
        <w:spacing w:before="120" w:after="240"/>
        <w:contextualSpacing w:val="0"/>
        <w:rPr>
          <w:rFonts w:cs="Calibri"/>
          <w:lang w:val="en-AU" w:eastAsia="en-AU"/>
        </w:rPr>
      </w:pPr>
      <w:r>
        <w:rPr>
          <w:rFonts w:cs="Calibri"/>
          <w:lang w:val="en-AU" w:eastAsia="en-AU"/>
        </w:rPr>
        <w:t xml:space="preserve">Collecting and publishing data about the age, gender, </w:t>
      </w:r>
      <w:proofErr w:type="gramStart"/>
      <w:r>
        <w:rPr>
          <w:rFonts w:cs="Calibri"/>
          <w:lang w:val="en-AU" w:eastAsia="en-AU"/>
        </w:rPr>
        <w:t>suburb</w:t>
      </w:r>
      <w:proofErr w:type="gramEnd"/>
      <w:r>
        <w:rPr>
          <w:rFonts w:cs="Calibri"/>
          <w:lang w:val="en-AU" w:eastAsia="en-AU"/>
        </w:rPr>
        <w:t xml:space="preserve"> and recent whereabouts of confirmed COVID-19 cases </w:t>
      </w:r>
      <w:r w:rsidR="00F40520">
        <w:rPr>
          <w:rFonts w:cs="Calibri"/>
          <w:lang w:val="en-AU" w:eastAsia="en-AU"/>
        </w:rPr>
        <w:t xml:space="preserve">has assisted </w:t>
      </w:r>
      <w:r>
        <w:rPr>
          <w:rFonts w:cs="Calibri"/>
          <w:lang w:val="en-AU" w:eastAsia="en-AU"/>
        </w:rPr>
        <w:t>controlling and suppressing the spread of the virus.</w:t>
      </w:r>
    </w:p>
    <w:p w14:paraId="7EE166DE" w14:textId="77777777" w:rsidR="00176C98" w:rsidRPr="00176C98" w:rsidRDefault="00176C98" w:rsidP="00AC37FA">
      <w:pPr>
        <w:pStyle w:val="ListParagraph"/>
        <w:numPr>
          <w:ilvl w:val="1"/>
          <w:numId w:val="28"/>
        </w:numPr>
        <w:autoSpaceDE w:val="0"/>
        <w:autoSpaceDN w:val="0"/>
        <w:adjustRightInd w:val="0"/>
        <w:spacing w:before="120" w:after="240"/>
        <w:contextualSpacing w:val="0"/>
        <w:rPr>
          <w:rFonts w:cs="Calibri"/>
          <w:lang w:val="en-AU" w:eastAsia="en-AU"/>
        </w:rPr>
      </w:pPr>
      <w:r>
        <w:rPr>
          <w:rFonts w:cs="Calibri"/>
          <w:lang w:val="en-AU" w:eastAsia="en-AU"/>
        </w:rPr>
        <w:t xml:space="preserve">The </w:t>
      </w:r>
      <w:r w:rsidRPr="00176C98">
        <w:rPr>
          <w:rFonts w:cs="Calibri"/>
          <w:lang w:eastAsia="en-AU"/>
        </w:rPr>
        <w:t>Child Information Sharing Scheme</w:t>
      </w:r>
      <w:r>
        <w:rPr>
          <w:rFonts w:cs="Calibri"/>
          <w:lang w:eastAsia="en-AU"/>
        </w:rPr>
        <w:t xml:space="preserve"> under the </w:t>
      </w:r>
      <w:r>
        <w:rPr>
          <w:rFonts w:cs="Calibri"/>
          <w:i/>
          <w:iCs/>
          <w:lang w:eastAsia="en-AU"/>
        </w:rPr>
        <w:t>Child Wellbeing and Safety Act</w:t>
      </w:r>
      <w:r>
        <w:rPr>
          <w:rFonts w:cs="Calibri"/>
          <w:lang w:eastAsia="en-AU"/>
        </w:rPr>
        <w:t xml:space="preserve"> </w:t>
      </w:r>
      <w:r w:rsidRPr="00176C98">
        <w:rPr>
          <w:rFonts w:cs="Calibri"/>
          <w:lang w:eastAsia="en-AU"/>
        </w:rPr>
        <w:t>improve</w:t>
      </w:r>
      <w:r>
        <w:rPr>
          <w:rFonts w:cs="Calibri"/>
          <w:lang w:eastAsia="en-AU"/>
        </w:rPr>
        <w:t>s the</w:t>
      </w:r>
      <w:r w:rsidRPr="00176C98">
        <w:rPr>
          <w:rFonts w:cs="Calibri"/>
          <w:lang w:eastAsia="en-AU"/>
        </w:rPr>
        <w:t xml:space="preserve"> early identification of risk to children’s safety and wellbeing</w:t>
      </w:r>
      <w:r>
        <w:rPr>
          <w:rFonts w:cs="Calibri"/>
          <w:lang w:eastAsia="en-AU"/>
        </w:rPr>
        <w:t xml:space="preserve"> thereby directly benefiting children.</w:t>
      </w:r>
    </w:p>
    <w:p w14:paraId="1F8BE983" w14:textId="3633B288" w:rsidR="00AC37FA" w:rsidRPr="00C612F2" w:rsidRDefault="00176C98" w:rsidP="00176C98">
      <w:pPr>
        <w:pStyle w:val="ListParagraph"/>
        <w:numPr>
          <w:ilvl w:val="2"/>
          <w:numId w:val="28"/>
        </w:numPr>
        <w:autoSpaceDE w:val="0"/>
        <w:autoSpaceDN w:val="0"/>
        <w:adjustRightInd w:val="0"/>
        <w:spacing w:before="120" w:after="240"/>
        <w:contextualSpacing w:val="0"/>
        <w:rPr>
          <w:rFonts w:cs="Calibri"/>
          <w:lang w:val="en-AU" w:eastAsia="en-AU"/>
        </w:rPr>
      </w:pPr>
      <w:r>
        <w:rPr>
          <w:rFonts w:cs="Calibri"/>
          <w:lang w:eastAsia="en-AU"/>
        </w:rPr>
        <w:t xml:space="preserve">The scheme allows </w:t>
      </w:r>
      <w:r w:rsidR="008B0519">
        <w:rPr>
          <w:rFonts w:cs="Calibri"/>
          <w:lang w:eastAsia="en-AU"/>
        </w:rPr>
        <w:t xml:space="preserve">public sector </w:t>
      </w:r>
      <w:r w:rsidRPr="00176C98">
        <w:rPr>
          <w:rFonts w:cs="Calibri"/>
          <w:lang w:eastAsia="en-AU"/>
        </w:rPr>
        <w:t xml:space="preserve">organisations and services prescribed by </w:t>
      </w:r>
      <w:r w:rsidR="00C612F2">
        <w:rPr>
          <w:rFonts w:cs="Calibri"/>
          <w:lang w:eastAsia="en-AU"/>
        </w:rPr>
        <w:t>the legislation</w:t>
      </w:r>
      <w:r>
        <w:rPr>
          <w:rFonts w:cs="Calibri"/>
          <w:lang w:eastAsia="en-AU"/>
        </w:rPr>
        <w:t xml:space="preserve"> to share personal</w:t>
      </w:r>
      <w:r w:rsidR="00C612F2">
        <w:rPr>
          <w:rFonts w:cs="Calibri"/>
          <w:lang w:eastAsia="en-AU"/>
        </w:rPr>
        <w:t xml:space="preserve"> and health</w:t>
      </w:r>
      <w:r>
        <w:rPr>
          <w:rFonts w:cs="Calibri"/>
          <w:lang w:eastAsia="en-AU"/>
        </w:rPr>
        <w:t xml:space="preserve"> information about children where</w:t>
      </w:r>
      <w:r w:rsidR="00C612F2">
        <w:rPr>
          <w:rFonts w:cs="Calibri"/>
          <w:lang w:eastAsia="en-AU"/>
        </w:rPr>
        <w:t xml:space="preserve"> such collaboration is</w:t>
      </w:r>
      <w:r>
        <w:rPr>
          <w:rFonts w:cs="Calibri"/>
          <w:lang w:eastAsia="en-AU"/>
        </w:rPr>
        <w:t xml:space="preserve"> necessary </w:t>
      </w:r>
      <w:r w:rsidR="00C612F2">
        <w:rPr>
          <w:rFonts w:cs="Calibri"/>
          <w:lang w:eastAsia="en-AU"/>
        </w:rPr>
        <w:t>to maintain their safety and wellbeing</w:t>
      </w:r>
      <w:r>
        <w:rPr>
          <w:rFonts w:cs="Calibri"/>
          <w:lang w:eastAsia="en-AU"/>
        </w:rPr>
        <w:t>.</w:t>
      </w:r>
    </w:p>
    <w:p w14:paraId="37F90F0F" w14:textId="77777777" w:rsidR="00C612F2" w:rsidRPr="00C612F2" w:rsidRDefault="00C612F2" w:rsidP="00C612F2">
      <w:pPr>
        <w:pStyle w:val="ListParagraph"/>
        <w:numPr>
          <w:ilvl w:val="1"/>
          <w:numId w:val="28"/>
        </w:numPr>
        <w:autoSpaceDE w:val="0"/>
        <w:autoSpaceDN w:val="0"/>
        <w:adjustRightInd w:val="0"/>
        <w:spacing w:before="120" w:after="240"/>
        <w:contextualSpacing w:val="0"/>
        <w:rPr>
          <w:rFonts w:cs="Calibri"/>
          <w:lang w:val="en-AU" w:eastAsia="en-AU"/>
        </w:rPr>
      </w:pPr>
      <w:r>
        <w:rPr>
          <w:rFonts w:cs="Calibri"/>
          <w:lang w:eastAsia="en-AU"/>
        </w:rPr>
        <w:lastRenderedPageBreak/>
        <w:t xml:space="preserve">The </w:t>
      </w:r>
      <w:r w:rsidRPr="00C612F2">
        <w:rPr>
          <w:rFonts w:cs="Calibri"/>
          <w:lang w:eastAsia="en-AU"/>
        </w:rPr>
        <w:t>Family Violence Information Sharing Scheme</w:t>
      </w:r>
      <w:r>
        <w:rPr>
          <w:rFonts w:cs="Calibri"/>
          <w:lang w:eastAsia="en-AU"/>
        </w:rPr>
        <w:t xml:space="preserve"> under the </w:t>
      </w:r>
      <w:r>
        <w:rPr>
          <w:rFonts w:cs="Calibri"/>
          <w:i/>
          <w:iCs/>
          <w:lang w:eastAsia="en-AU"/>
        </w:rPr>
        <w:t>Family Violence Protection Act</w:t>
      </w:r>
      <w:r>
        <w:rPr>
          <w:rFonts w:cs="Calibri"/>
          <w:lang w:eastAsia="en-AU"/>
        </w:rPr>
        <w:t xml:space="preserve"> directly improves the health and safety of adults and children at risk of family violence.</w:t>
      </w:r>
    </w:p>
    <w:p w14:paraId="4831114D" w14:textId="139AB3B6" w:rsidR="00C612F2" w:rsidRDefault="00C612F2" w:rsidP="00C612F2">
      <w:pPr>
        <w:pStyle w:val="ListParagraph"/>
        <w:numPr>
          <w:ilvl w:val="2"/>
          <w:numId w:val="28"/>
        </w:numPr>
        <w:autoSpaceDE w:val="0"/>
        <w:autoSpaceDN w:val="0"/>
        <w:adjustRightInd w:val="0"/>
        <w:spacing w:before="120" w:after="240"/>
        <w:contextualSpacing w:val="0"/>
        <w:rPr>
          <w:rFonts w:cs="Calibri"/>
          <w:lang w:val="en-AU" w:eastAsia="en-AU"/>
        </w:rPr>
      </w:pPr>
      <w:r>
        <w:rPr>
          <w:rFonts w:cs="Calibri"/>
          <w:lang w:eastAsia="en-AU"/>
        </w:rPr>
        <w:t xml:space="preserve">The scheme allows prescribed </w:t>
      </w:r>
      <w:r w:rsidR="008B0519">
        <w:rPr>
          <w:rFonts w:cs="Calibri"/>
          <w:lang w:eastAsia="en-AU"/>
        </w:rPr>
        <w:t xml:space="preserve">public sector </w:t>
      </w:r>
      <w:r>
        <w:rPr>
          <w:rFonts w:cs="Calibri"/>
          <w:lang w:eastAsia="en-AU"/>
        </w:rPr>
        <w:t xml:space="preserve">organisations and services to share information related to assessing or managing a family violence risk </w:t>
      </w:r>
      <w:r w:rsidR="008F77CC">
        <w:rPr>
          <w:rFonts w:cs="Calibri"/>
          <w:lang w:eastAsia="en-AU"/>
        </w:rPr>
        <w:t>to</w:t>
      </w:r>
      <w:r>
        <w:rPr>
          <w:rFonts w:cs="Calibri"/>
          <w:lang w:eastAsia="en-AU"/>
        </w:rPr>
        <w:t xml:space="preserve"> prevent family violence from occurring or protect individuals from being subjected to further family violence.</w:t>
      </w:r>
    </w:p>
    <w:p w14:paraId="1028E9B8" w14:textId="11E37F3A" w:rsidR="004D05C0" w:rsidRDefault="008F77CC" w:rsidP="00314655">
      <w:pPr>
        <w:pStyle w:val="ListParagraph"/>
        <w:numPr>
          <w:ilvl w:val="0"/>
          <w:numId w:val="28"/>
        </w:numPr>
        <w:autoSpaceDE w:val="0"/>
        <w:autoSpaceDN w:val="0"/>
        <w:adjustRightInd w:val="0"/>
        <w:spacing w:before="120" w:after="240"/>
        <w:contextualSpacing w:val="0"/>
        <w:rPr>
          <w:rFonts w:cs="Calibri"/>
          <w:lang w:val="en-AU" w:eastAsia="en-AU"/>
        </w:rPr>
      </w:pPr>
      <w:r>
        <w:rPr>
          <w:rFonts w:cs="Calibri"/>
          <w:lang w:val="en-AU" w:eastAsia="en-AU"/>
        </w:rPr>
        <w:t xml:space="preserve">There are also several ways that sharing public sector datasets can </w:t>
      </w:r>
      <w:r w:rsidR="00A07CE1">
        <w:rPr>
          <w:rFonts w:cs="Calibri"/>
          <w:lang w:val="en-AU" w:eastAsia="en-AU"/>
        </w:rPr>
        <w:t>indirectly benefit the public.</w:t>
      </w:r>
      <w:r w:rsidR="008C679F">
        <w:rPr>
          <w:rFonts w:cs="Calibri"/>
          <w:lang w:val="en-AU" w:eastAsia="en-AU"/>
        </w:rPr>
        <w:t xml:space="preserve"> For example, access to public sector data can:</w:t>
      </w:r>
    </w:p>
    <w:p w14:paraId="3242E21A" w14:textId="5E3BD4B7" w:rsidR="008C679F" w:rsidRDefault="008C679F" w:rsidP="00C612F2">
      <w:pPr>
        <w:pStyle w:val="ListParagraph"/>
        <w:numPr>
          <w:ilvl w:val="1"/>
          <w:numId w:val="28"/>
        </w:numPr>
        <w:autoSpaceDE w:val="0"/>
        <w:autoSpaceDN w:val="0"/>
        <w:adjustRightInd w:val="0"/>
        <w:spacing w:before="120" w:after="240"/>
        <w:contextualSpacing w:val="0"/>
        <w:rPr>
          <w:rFonts w:cs="Calibri"/>
          <w:lang w:val="en-AU" w:eastAsia="en-AU"/>
        </w:rPr>
      </w:pPr>
      <w:r>
        <w:rPr>
          <w:rFonts w:cs="Calibri"/>
          <w:lang w:val="en-AU" w:eastAsia="en-AU"/>
        </w:rPr>
        <w:t>Support</w:t>
      </w:r>
      <w:r w:rsidRPr="00314655">
        <w:rPr>
          <w:rFonts w:cs="Calibri"/>
          <w:lang w:val="en-AU" w:eastAsia="en-AU"/>
        </w:rPr>
        <w:t xml:space="preserve"> more advanced and accurate research, leading to, among other things, more informed public policy development</w:t>
      </w:r>
      <w:r>
        <w:rPr>
          <w:rFonts w:cs="Calibri"/>
          <w:lang w:val="en-AU" w:eastAsia="en-AU"/>
        </w:rPr>
        <w:t>.</w:t>
      </w:r>
    </w:p>
    <w:p w14:paraId="30174463" w14:textId="77777777" w:rsidR="00D81BD6" w:rsidRDefault="008C679F" w:rsidP="00C612F2">
      <w:pPr>
        <w:pStyle w:val="ListParagraph"/>
        <w:numPr>
          <w:ilvl w:val="1"/>
          <w:numId w:val="28"/>
        </w:numPr>
        <w:autoSpaceDE w:val="0"/>
        <w:autoSpaceDN w:val="0"/>
        <w:adjustRightInd w:val="0"/>
        <w:spacing w:before="120" w:after="240"/>
        <w:contextualSpacing w:val="0"/>
        <w:rPr>
          <w:rFonts w:cs="Calibri"/>
          <w:lang w:val="en-AU" w:eastAsia="en-AU"/>
        </w:rPr>
      </w:pPr>
      <w:r>
        <w:rPr>
          <w:rFonts w:cs="Calibri"/>
          <w:lang w:val="en-AU" w:eastAsia="en-AU"/>
        </w:rPr>
        <w:t>Improve public administration by identifying</w:t>
      </w:r>
      <w:r w:rsidRPr="00314655">
        <w:rPr>
          <w:rFonts w:cs="Calibri"/>
          <w:lang w:val="en-AU" w:eastAsia="en-AU"/>
        </w:rPr>
        <w:t xml:space="preserve"> workforce capabilit</w:t>
      </w:r>
      <w:r>
        <w:rPr>
          <w:rFonts w:cs="Calibri"/>
          <w:lang w:val="en-AU" w:eastAsia="en-AU"/>
        </w:rPr>
        <w:t>ies</w:t>
      </w:r>
      <w:r w:rsidRPr="00314655">
        <w:rPr>
          <w:rFonts w:cs="Calibri"/>
          <w:lang w:val="en-AU" w:eastAsia="en-AU"/>
        </w:rPr>
        <w:t xml:space="preserve"> and data governance gaps</w:t>
      </w:r>
      <w:r w:rsidR="00D81BD6">
        <w:rPr>
          <w:rFonts w:cs="Calibri"/>
          <w:lang w:val="en-AU" w:eastAsia="en-AU"/>
        </w:rPr>
        <w:t xml:space="preserve"> that therefore</w:t>
      </w:r>
      <w:r>
        <w:rPr>
          <w:rFonts w:cs="Calibri"/>
          <w:lang w:val="en-AU" w:eastAsia="en-AU"/>
        </w:rPr>
        <w:t xml:space="preserve"> promot</w:t>
      </w:r>
      <w:r w:rsidR="00D81BD6">
        <w:rPr>
          <w:rFonts w:cs="Calibri"/>
          <w:lang w:val="en-AU" w:eastAsia="en-AU"/>
        </w:rPr>
        <w:t>es</w:t>
      </w:r>
      <w:r>
        <w:rPr>
          <w:rFonts w:cs="Calibri"/>
          <w:lang w:val="en-AU" w:eastAsia="en-AU"/>
        </w:rPr>
        <w:t xml:space="preserve"> innovation</w:t>
      </w:r>
      <w:r w:rsidR="00D81BD6">
        <w:rPr>
          <w:rFonts w:cs="Calibri"/>
          <w:lang w:val="en-AU" w:eastAsia="en-AU"/>
        </w:rPr>
        <w:t xml:space="preserve"> to address gaps and ultimately improve productivity and customer service outcomes.</w:t>
      </w:r>
    </w:p>
    <w:p w14:paraId="249B30FF" w14:textId="3A1D1EBA" w:rsidR="008C679F" w:rsidRPr="00D81BD6" w:rsidRDefault="00D81BD6" w:rsidP="00D81BD6">
      <w:pPr>
        <w:pStyle w:val="ListParagraph"/>
        <w:numPr>
          <w:ilvl w:val="1"/>
          <w:numId w:val="28"/>
        </w:numPr>
        <w:autoSpaceDE w:val="0"/>
        <w:autoSpaceDN w:val="0"/>
        <w:adjustRightInd w:val="0"/>
        <w:spacing w:before="120" w:after="240"/>
        <w:contextualSpacing w:val="0"/>
        <w:rPr>
          <w:rFonts w:cs="Calibri"/>
          <w:lang w:val="en-AU" w:eastAsia="en-AU"/>
        </w:rPr>
      </w:pPr>
      <w:r>
        <w:rPr>
          <w:rFonts w:cs="Calibri"/>
          <w:lang w:val="en-AU" w:eastAsia="en-AU"/>
        </w:rPr>
        <w:t xml:space="preserve">Support </w:t>
      </w:r>
      <w:r w:rsidR="008B0519">
        <w:rPr>
          <w:rFonts w:cs="Calibri"/>
          <w:lang w:val="en-AU" w:eastAsia="en-AU"/>
        </w:rPr>
        <w:t xml:space="preserve">public sector </w:t>
      </w:r>
      <w:r>
        <w:rPr>
          <w:rFonts w:cs="Calibri"/>
          <w:lang w:val="en-AU" w:eastAsia="en-AU"/>
        </w:rPr>
        <w:t>organisations to further engage in</w:t>
      </w:r>
      <w:r w:rsidRPr="00314655">
        <w:rPr>
          <w:rFonts w:cs="Calibri"/>
          <w:lang w:val="en-AU" w:eastAsia="en-AU"/>
        </w:rPr>
        <w:t xml:space="preserve"> evidence-based </w:t>
      </w:r>
      <w:proofErr w:type="gramStart"/>
      <w:r w:rsidRPr="00314655">
        <w:rPr>
          <w:rFonts w:cs="Calibri"/>
          <w:lang w:val="en-AU" w:eastAsia="en-AU"/>
        </w:rPr>
        <w:t>decision making</w:t>
      </w:r>
      <w:proofErr w:type="gramEnd"/>
      <w:r>
        <w:rPr>
          <w:rFonts w:cs="Calibri"/>
          <w:lang w:val="en-AU" w:eastAsia="en-AU"/>
        </w:rPr>
        <w:t xml:space="preserve"> practices.</w:t>
      </w:r>
    </w:p>
    <w:p w14:paraId="4A7DD87C" w14:textId="0A309D04" w:rsidR="008C679F" w:rsidRDefault="00D81BD6" w:rsidP="00C612F2">
      <w:pPr>
        <w:pStyle w:val="ListParagraph"/>
        <w:numPr>
          <w:ilvl w:val="1"/>
          <w:numId w:val="28"/>
        </w:numPr>
        <w:autoSpaceDE w:val="0"/>
        <w:autoSpaceDN w:val="0"/>
        <w:adjustRightInd w:val="0"/>
        <w:spacing w:before="120" w:after="240"/>
        <w:contextualSpacing w:val="0"/>
        <w:rPr>
          <w:rFonts w:cs="Calibri"/>
          <w:lang w:val="en-AU" w:eastAsia="en-AU"/>
        </w:rPr>
      </w:pPr>
      <w:r>
        <w:rPr>
          <w:rFonts w:cs="Calibri"/>
          <w:lang w:val="en-AU" w:eastAsia="en-AU"/>
        </w:rPr>
        <w:t xml:space="preserve">Reduce </w:t>
      </w:r>
      <w:r w:rsidR="008B0519">
        <w:rPr>
          <w:rFonts w:cs="Calibri"/>
          <w:lang w:val="en-AU" w:eastAsia="en-AU"/>
        </w:rPr>
        <w:t>the</w:t>
      </w:r>
      <w:r w:rsidR="008C679F" w:rsidRPr="008C679F">
        <w:rPr>
          <w:rFonts w:cs="Calibri"/>
          <w:lang w:val="en-AU" w:eastAsia="en-AU"/>
        </w:rPr>
        <w:t xml:space="preserve"> over-collection </w:t>
      </w:r>
      <w:r>
        <w:rPr>
          <w:rFonts w:cs="Calibri"/>
          <w:lang w:val="en-AU" w:eastAsia="en-AU"/>
        </w:rPr>
        <w:t xml:space="preserve">and </w:t>
      </w:r>
      <w:r w:rsidR="008C679F" w:rsidRPr="008C679F">
        <w:rPr>
          <w:rFonts w:cs="Calibri"/>
          <w:lang w:val="en-AU" w:eastAsia="en-AU"/>
        </w:rPr>
        <w:t>storing</w:t>
      </w:r>
      <w:r>
        <w:rPr>
          <w:rFonts w:cs="Calibri"/>
          <w:lang w:val="en-AU" w:eastAsia="en-AU"/>
        </w:rPr>
        <w:t xml:space="preserve"> of</w:t>
      </w:r>
      <w:r w:rsidR="008C679F" w:rsidRPr="008C679F">
        <w:rPr>
          <w:rFonts w:cs="Calibri"/>
          <w:lang w:val="en-AU" w:eastAsia="en-AU"/>
        </w:rPr>
        <w:t xml:space="preserve"> overlapping datasets</w:t>
      </w:r>
      <w:r w:rsidR="008B0519">
        <w:rPr>
          <w:rFonts w:cs="Calibri"/>
          <w:lang w:val="en-AU" w:eastAsia="en-AU"/>
        </w:rPr>
        <w:t xml:space="preserve"> across public sector organisations</w:t>
      </w:r>
      <w:r w:rsidR="008C679F" w:rsidRPr="008C679F">
        <w:rPr>
          <w:rFonts w:cs="Calibri"/>
          <w:lang w:val="en-AU" w:eastAsia="en-AU"/>
        </w:rPr>
        <w:t>, increase transparency of government operations and minimise the risk of data breaches</w:t>
      </w:r>
      <w:r>
        <w:rPr>
          <w:rFonts w:cs="Calibri"/>
          <w:lang w:val="en-AU" w:eastAsia="en-AU"/>
        </w:rPr>
        <w:t xml:space="preserve"> that may affect the public.</w:t>
      </w:r>
    </w:p>
    <w:p w14:paraId="7A6FE475" w14:textId="06E128D5" w:rsidR="00330633" w:rsidRPr="00945963" w:rsidRDefault="008C679F" w:rsidP="00E81086">
      <w:pPr>
        <w:pStyle w:val="ListParagraph"/>
        <w:numPr>
          <w:ilvl w:val="1"/>
          <w:numId w:val="28"/>
        </w:numPr>
        <w:autoSpaceDE w:val="0"/>
        <w:autoSpaceDN w:val="0"/>
        <w:adjustRightInd w:val="0"/>
        <w:spacing w:before="120" w:after="240"/>
        <w:contextualSpacing w:val="0"/>
        <w:rPr>
          <w:rFonts w:cs="Calibri"/>
          <w:lang w:val="en-AU" w:eastAsia="en-AU"/>
        </w:rPr>
      </w:pPr>
      <w:r>
        <w:rPr>
          <w:rFonts w:cs="Calibri"/>
          <w:lang w:val="en-AU" w:eastAsia="en-AU"/>
        </w:rPr>
        <w:t>S</w:t>
      </w:r>
      <w:r w:rsidR="00C612F2" w:rsidRPr="00314655">
        <w:rPr>
          <w:rFonts w:cs="Calibri"/>
          <w:lang w:val="en-AU" w:eastAsia="en-AU"/>
        </w:rPr>
        <w:t>timulate growth in the Victorian economy</w:t>
      </w:r>
      <w:r>
        <w:rPr>
          <w:rFonts w:cs="Calibri"/>
          <w:lang w:val="en-AU" w:eastAsia="en-AU"/>
        </w:rPr>
        <w:t xml:space="preserve"> by identifying industries that need additional resources to function effectively and thereby create jobs and economic opportunities for individuals.</w:t>
      </w:r>
    </w:p>
    <w:p w14:paraId="05BAB39B" w14:textId="72411275" w:rsidR="00292F82" w:rsidRDefault="00292F82" w:rsidP="00314655">
      <w:pPr>
        <w:pStyle w:val="Heading-2"/>
        <w:rPr>
          <w:lang w:eastAsia="en-AU"/>
        </w:rPr>
      </w:pPr>
      <w:r>
        <w:rPr>
          <w:lang w:eastAsia="en-AU"/>
        </w:rPr>
        <w:t>How it can go wrong</w:t>
      </w:r>
    </w:p>
    <w:p w14:paraId="3AF6BCBE" w14:textId="1716FAEE" w:rsidR="00330633" w:rsidRDefault="00D81BD6" w:rsidP="00314655">
      <w:pPr>
        <w:pStyle w:val="ListParagraph"/>
        <w:numPr>
          <w:ilvl w:val="0"/>
          <w:numId w:val="30"/>
        </w:numPr>
        <w:autoSpaceDE w:val="0"/>
        <w:autoSpaceDN w:val="0"/>
        <w:adjustRightInd w:val="0"/>
        <w:spacing w:before="120" w:after="240"/>
        <w:contextualSpacing w:val="0"/>
        <w:rPr>
          <w:rFonts w:cs="Calibri"/>
          <w:lang w:val="en-AU" w:eastAsia="en-AU"/>
        </w:rPr>
      </w:pPr>
      <w:r>
        <w:rPr>
          <w:rFonts w:cs="Calibri"/>
          <w:lang w:val="en-AU" w:eastAsia="en-AU"/>
        </w:rPr>
        <w:t>While there are many benefits to sharing public sector data, there are also inherent risks</w:t>
      </w:r>
      <w:r w:rsidR="00330633">
        <w:rPr>
          <w:rFonts w:cs="Calibri"/>
          <w:lang w:val="en-AU" w:eastAsia="en-AU"/>
        </w:rPr>
        <w:t xml:space="preserve"> that can have serious consequences.</w:t>
      </w:r>
    </w:p>
    <w:p w14:paraId="3C4FC5C3" w14:textId="77777777" w:rsidR="00330633" w:rsidRDefault="00330633" w:rsidP="00330633">
      <w:pPr>
        <w:pStyle w:val="ListParagraph"/>
        <w:numPr>
          <w:ilvl w:val="0"/>
          <w:numId w:val="30"/>
        </w:numPr>
        <w:autoSpaceDE w:val="0"/>
        <w:autoSpaceDN w:val="0"/>
        <w:adjustRightInd w:val="0"/>
        <w:spacing w:before="120" w:after="240"/>
        <w:contextualSpacing w:val="0"/>
        <w:rPr>
          <w:rFonts w:cs="Calibri"/>
          <w:lang w:val="en-AU" w:eastAsia="en-AU"/>
        </w:rPr>
      </w:pPr>
      <w:r>
        <w:rPr>
          <w:rFonts w:cs="Calibri"/>
          <w:lang w:val="en-AU" w:eastAsia="en-AU"/>
        </w:rPr>
        <w:t>One such risk is that of re-identification of de-identified datasets. Given the need to protect individuals’ personal information, the sharing of public sector datasets generally relies on the proper de-identification of personal information.</w:t>
      </w:r>
    </w:p>
    <w:p w14:paraId="0E49B1A0" w14:textId="11C83A65" w:rsidR="00D349C2" w:rsidRDefault="00330633" w:rsidP="00D349C2">
      <w:pPr>
        <w:pStyle w:val="ListParagraph"/>
        <w:numPr>
          <w:ilvl w:val="0"/>
          <w:numId w:val="30"/>
        </w:numPr>
        <w:autoSpaceDE w:val="0"/>
        <w:autoSpaceDN w:val="0"/>
        <w:adjustRightInd w:val="0"/>
        <w:spacing w:before="120" w:after="240"/>
        <w:contextualSpacing w:val="0"/>
        <w:rPr>
          <w:rFonts w:cs="Calibri"/>
          <w:lang w:val="en-AU" w:eastAsia="en-AU"/>
        </w:rPr>
      </w:pPr>
      <w:r>
        <w:rPr>
          <w:rFonts w:cs="Calibri"/>
          <w:lang w:val="en-AU" w:eastAsia="en-AU"/>
        </w:rPr>
        <w:t xml:space="preserve">However, </w:t>
      </w:r>
      <w:r w:rsidRPr="00314655">
        <w:rPr>
          <w:rFonts w:cs="Calibri"/>
          <w:lang w:val="en-AU" w:eastAsia="en-AU"/>
        </w:rPr>
        <w:t>de-identifying personal information</w:t>
      </w:r>
      <w:r>
        <w:rPr>
          <w:rFonts w:cs="Calibri"/>
          <w:lang w:val="en-AU" w:eastAsia="en-AU"/>
        </w:rPr>
        <w:t xml:space="preserve"> </w:t>
      </w:r>
      <w:r w:rsidRPr="00314655">
        <w:rPr>
          <w:rFonts w:cs="Calibri"/>
          <w:lang w:val="en-AU" w:eastAsia="en-AU"/>
        </w:rPr>
        <w:t>to the point where it is permanent or cannot be re-identified, is especially difficult.</w:t>
      </w:r>
      <w:r w:rsidR="00D349C2">
        <w:rPr>
          <w:rFonts w:cs="Calibri"/>
          <w:lang w:val="en-AU" w:eastAsia="en-AU"/>
        </w:rPr>
        <w:t xml:space="preserve"> </w:t>
      </w:r>
    </w:p>
    <w:p w14:paraId="7531A242" w14:textId="7D787909" w:rsidR="009C2EC1" w:rsidRPr="009C2EC1" w:rsidRDefault="00D349C2" w:rsidP="00330633">
      <w:pPr>
        <w:pStyle w:val="ListParagraph"/>
        <w:numPr>
          <w:ilvl w:val="0"/>
          <w:numId w:val="30"/>
        </w:numPr>
        <w:autoSpaceDE w:val="0"/>
        <w:autoSpaceDN w:val="0"/>
        <w:adjustRightInd w:val="0"/>
        <w:spacing w:before="120" w:after="240"/>
        <w:contextualSpacing w:val="0"/>
        <w:rPr>
          <w:rFonts w:cs="Calibri"/>
          <w:lang w:val="en-AU" w:eastAsia="en-AU"/>
        </w:rPr>
      </w:pPr>
      <w:r w:rsidRPr="00D349C2">
        <w:rPr>
          <w:rFonts w:cs="Calibri"/>
          <w:lang w:eastAsia="en-AU"/>
        </w:rPr>
        <w:t>As improvements in technology increase the type and rate at which data is generated, the possibility of re-identification of publicly released data is greater than ever</w:t>
      </w:r>
      <w:r w:rsidR="009C2EC1">
        <w:rPr>
          <w:rFonts w:cs="Calibri"/>
          <w:lang w:eastAsia="en-AU"/>
        </w:rPr>
        <w:t xml:space="preserve"> and it is also very difficult to determine the likelihood of re-identification for any given dataset.</w:t>
      </w:r>
    </w:p>
    <w:p w14:paraId="152E5EC8" w14:textId="5B23238D" w:rsidR="00D349C2" w:rsidRPr="00D349C2" w:rsidRDefault="009C2EC1" w:rsidP="00330633">
      <w:pPr>
        <w:pStyle w:val="ListParagraph"/>
        <w:numPr>
          <w:ilvl w:val="0"/>
          <w:numId w:val="30"/>
        </w:numPr>
        <w:autoSpaceDE w:val="0"/>
        <w:autoSpaceDN w:val="0"/>
        <w:adjustRightInd w:val="0"/>
        <w:spacing w:before="120" w:after="240"/>
        <w:contextualSpacing w:val="0"/>
        <w:rPr>
          <w:rFonts w:cs="Calibri"/>
          <w:lang w:val="en-AU" w:eastAsia="en-AU"/>
        </w:rPr>
      </w:pPr>
      <w:r>
        <w:rPr>
          <w:rFonts w:cs="Calibri"/>
          <w:lang w:eastAsia="en-AU"/>
        </w:rPr>
        <w:t>For example, a</w:t>
      </w:r>
      <w:r w:rsidR="00D349C2" w:rsidRPr="00D349C2">
        <w:rPr>
          <w:rFonts w:cs="Calibri"/>
          <w:lang w:eastAsia="en-AU"/>
        </w:rPr>
        <w:t>uxiliary information can be used to connect an individual to seemingly de-identified data, enabling an individual’s identity to be ascertained. Auxiliary information can come from anywhere, including other publicly available sources online.</w:t>
      </w:r>
    </w:p>
    <w:p w14:paraId="563E415C" w14:textId="38FDB61C" w:rsidR="00A440A5" w:rsidRPr="0011178E" w:rsidRDefault="00A440A5" w:rsidP="00C5244C">
      <w:pPr>
        <w:pStyle w:val="ListParagraph"/>
        <w:keepNext/>
        <w:autoSpaceDE w:val="0"/>
        <w:autoSpaceDN w:val="0"/>
        <w:adjustRightInd w:val="0"/>
        <w:spacing w:before="120" w:after="240"/>
        <w:contextualSpacing w:val="0"/>
        <w:rPr>
          <w:rFonts w:cs="Calibri"/>
          <w:u w:val="single"/>
          <w:lang w:val="en-AU" w:eastAsia="en-AU"/>
        </w:rPr>
      </w:pPr>
      <w:r w:rsidRPr="0011178E">
        <w:rPr>
          <w:rFonts w:cs="Calibri"/>
          <w:u w:val="single"/>
          <w:lang w:val="en-AU" w:eastAsia="en-AU"/>
        </w:rPr>
        <w:t xml:space="preserve">Kevin Rudd </w:t>
      </w:r>
      <w:r w:rsidR="001A6FD4" w:rsidRPr="0011178E">
        <w:rPr>
          <w:rFonts w:cs="Calibri"/>
          <w:u w:val="single"/>
          <w:lang w:val="en-AU" w:eastAsia="en-AU"/>
        </w:rPr>
        <w:t>– MBS/PBS data example</w:t>
      </w:r>
    </w:p>
    <w:p w14:paraId="5568C51F" w14:textId="46181C31" w:rsidR="00A440A5" w:rsidRDefault="00A440A5" w:rsidP="00A440A5">
      <w:pPr>
        <w:pStyle w:val="ListParagraph"/>
        <w:numPr>
          <w:ilvl w:val="1"/>
          <w:numId w:val="30"/>
        </w:numPr>
        <w:autoSpaceDE w:val="0"/>
        <w:autoSpaceDN w:val="0"/>
        <w:adjustRightInd w:val="0"/>
        <w:spacing w:before="120" w:after="240"/>
        <w:contextualSpacing w:val="0"/>
        <w:rPr>
          <w:rFonts w:cs="Calibri"/>
          <w:lang w:val="en-AU" w:eastAsia="en-AU"/>
        </w:rPr>
      </w:pPr>
      <w:r>
        <w:rPr>
          <w:rFonts w:cs="Calibri"/>
          <w:lang w:val="en-AU" w:eastAsia="en-AU"/>
        </w:rPr>
        <w:t>In 2016, the Commonwealth Department of Health released a de-identified dataset of Medical Billing System and Pharmaceutical Benefits Scheme information.</w:t>
      </w:r>
    </w:p>
    <w:p w14:paraId="25FE6655" w14:textId="443883C8" w:rsidR="00A440A5" w:rsidRDefault="00A440A5" w:rsidP="00A440A5">
      <w:pPr>
        <w:pStyle w:val="ListParagraph"/>
        <w:numPr>
          <w:ilvl w:val="1"/>
          <w:numId w:val="30"/>
        </w:numPr>
        <w:autoSpaceDE w:val="0"/>
        <w:autoSpaceDN w:val="0"/>
        <w:adjustRightInd w:val="0"/>
        <w:spacing w:before="120" w:after="240"/>
        <w:contextualSpacing w:val="0"/>
        <w:rPr>
          <w:rFonts w:cs="Calibri"/>
          <w:lang w:val="en-AU" w:eastAsia="en-AU"/>
        </w:rPr>
      </w:pPr>
      <w:r>
        <w:rPr>
          <w:rFonts w:cs="Calibri"/>
          <w:lang w:val="en-AU" w:eastAsia="en-AU"/>
        </w:rPr>
        <w:t>This included two types of data:</w:t>
      </w:r>
    </w:p>
    <w:p w14:paraId="472463E0" w14:textId="732B4E68" w:rsidR="00A440A5" w:rsidRDefault="00A440A5" w:rsidP="00A440A5">
      <w:pPr>
        <w:pStyle w:val="ListParagraph"/>
        <w:numPr>
          <w:ilvl w:val="2"/>
          <w:numId w:val="30"/>
        </w:numPr>
        <w:autoSpaceDE w:val="0"/>
        <w:autoSpaceDN w:val="0"/>
        <w:adjustRightInd w:val="0"/>
        <w:spacing w:before="120" w:after="240"/>
        <w:contextualSpacing w:val="0"/>
        <w:rPr>
          <w:rFonts w:cs="Calibri"/>
          <w:lang w:val="en-AU" w:eastAsia="en-AU"/>
        </w:rPr>
      </w:pPr>
      <w:r>
        <w:rPr>
          <w:rFonts w:cs="Calibri"/>
          <w:lang w:val="en-AU" w:eastAsia="en-AU"/>
        </w:rPr>
        <w:t xml:space="preserve">Group statistics, including a complete list of the frequencies of each medical test/procedure’s billing code for the whole population, separated by patient age ranges of 10 years, state and month for a </w:t>
      </w:r>
      <w:proofErr w:type="gramStart"/>
      <w:r>
        <w:rPr>
          <w:rFonts w:cs="Calibri"/>
          <w:lang w:val="en-AU" w:eastAsia="en-AU"/>
        </w:rPr>
        <w:t>30 year</w:t>
      </w:r>
      <w:proofErr w:type="gramEnd"/>
      <w:r>
        <w:rPr>
          <w:rFonts w:cs="Calibri"/>
          <w:lang w:val="en-AU" w:eastAsia="en-AU"/>
        </w:rPr>
        <w:t xml:space="preserve"> period.</w:t>
      </w:r>
    </w:p>
    <w:p w14:paraId="5F6BE6BD" w14:textId="22BB00E8" w:rsidR="00A440A5" w:rsidRDefault="00A440A5" w:rsidP="00A440A5">
      <w:pPr>
        <w:pStyle w:val="ListParagraph"/>
        <w:numPr>
          <w:ilvl w:val="2"/>
          <w:numId w:val="30"/>
        </w:numPr>
        <w:autoSpaceDE w:val="0"/>
        <w:autoSpaceDN w:val="0"/>
        <w:adjustRightInd w:val="0"/>
        <w:spacing w:before="120" w:after="240"/>
        <w:contextualSpacing w:val="0"/>
        <w:rPr>
          <w:rFonts w:cs="Calibri"/>
          <w:lang w:val="en-AU" w:eastAsia="en-AU"/>
        </w:rPr>
      </w:pPr>
      <w:r>
        <w:rPr>
          <w:rFonts w:cs="Calibri"/>
          <w:lang w:val="en-AU" w:eastAsia="en-AU"/>
        </w:rPr>
        <w:t xml:space="preserve">Longitudinal records that include </w:t>
      </w:r>
      <w:r>
        <w:rPr>
          <w:rFonts w:cs="Calibri"/>
          <w:lang w:eastAsia="en-AU"/>
        </w:rPr>
        <w:t>patients’ gender, year of birth and item code for a 10% sample of the Australian population.</w:t>
      </w:r>
    </w:p>
    <w:p w14:paraId="33DC217E" w14:textId="6F3BFED0" w:rsidR="00D349C2" w:rsidRPr="002C503C" w:rsidRDefault="00A440A5" w:rsidP="00A440A5">
      <w:pPr>
        <w:pStyle w:val="ListParagraph"/>
        <w:numPr>
          <w:ilvl w:val="1"/>
          <w:numId w:val="30"/>
        </w:numPr>
        <w:autoSpaceDE w:val="0"/>
        <w:autoSpaceDN w:val="0"/>
        <w:adjustRightInd w:val="0"/>
        <w:spacing w:before="120" w:after="240"/>
        <w:contextualSpacing w:val="0"/>
        <w:rPr>
          <w:rFonts w:cs="Calibri"/>
          <w:lang w:val="en-AU" w:eastAsia="en-AU"/>
        </w:rPr>
      </w:pPr>
      <w:r>
        <w:rPr>
          <w:rFonts w:cs="Calibri"/>
          <w:lang w:eastAsia="en-AU"/>
        </w:rPr>
        <w:t>Because longitudinal records</w:t>
      </w:r>
      <w:r w:rsidR="00E81086">
        <w:rPr>
          <w:rFonts w:cs="Calibri"/>
          <w:lang w:eastAsia="en-AU"/>
        </w:rPr>
        <w:t xml:space="preserve"> include more detailed information,</w:t>
      </w:r>
      <w:r w:rsidR="002C503C">
        <w:rPr>
          <w:rFonts w:cs="Calibri"/>
          <w:lang w:eastAsia="en-AU"/>
        </w:rPr>
        <w:t xml:space="preserve"> they</w:t>
      </w:r>
      <w:r w:rsidR="002C503C" w:rsidRPr="002C503C">
        <w:rPr>
          <w:rFonts w:cs="Calibri"/>
          <w:lang w:eastAsia="en-AU"/>
        </w:rPr>
        <w:t xml:space="preserve"> can be easily re-identified </w:t>
      </w:r>
      <w:r w:rsidR="00E81086">
        <w:rPr>
          <w:rFonts w:cs="Calibri"/>
          <w:lang w:eastAsia="en-AU"/>
        </w:rPr>
        <w:t>when paired with</w:t>
      </w:r>
      <w:r w:rsidR="002C503C" w:rsidRPr="002C503C">
        <w:rPr>
          <w:rFonts w:cs="Calibri"/>
          <w:lang w:eastAsia="en-AU"/>
        </w:rPr>
        <w:t xml:space="preserve"> auxiliary information, which </w:t>
      </w:r>
      <w:r w:rsidR="00780089">
        <w:rPr>
          <w:rFonts w:cs="Calibri"/>
          <w:lang w:eastAsia="en-AU"/>
        </w:rPr>
        <w:t>can have</w:t>
      </w:r>
      <w:r w:rsidR="002C503C" w:rsidRPr="002C503C">
        <w:rPr>
          <w:rFonts w:cs="Calibri"/>
          <w:lang w:eastAsia="en-AU"/>
        </w:rPr>
        <w:t xml:space="preserve"> serious consequences for the privacy of the patient</w:t>
      </w:r>
      <w:r w:rsidR="002C503C">
        <w:rPr>
          <w:rFonts w:cs="Calibri"/>
          <w:lang w:eastAsia="en-AU"/>
        </w:rPr>
        <w:t>.</w:t>
      </w:r>
    </w:p>
    <w:p w14:paraId="2E48DC86" w14:textId="77777777" w:rsidR="00780089" w:rsidRPr="00780089" w:rsidRDefault="00A440A5" w:rsidP="00A440A5">
      <w:pPr>
        <w:pStyle w:val="ListParagraph"/>
        <w:numPr>
          <w:ilvl w:val="1"/>
          <w:numId w:val="30"/>
        </w:numPr>
        <w:autoSpaceDE w:val="0"/>
        <w:autoSpaceDN w:val="0"/>
        <w:adjustRightInd w:val="0"/>
        <w:spacing w:before="120" w:after="240"/>
        <w:contextualSpacing w:val="0"/>
        <w:rPr>
          <w:rFonts w:cs="Calibri"/>
          <w:lang w:val="en-AU" w:eastAsia="en-AU"/>
        </w:rPr>
      </w:pPr>
      <w:r>
        <w:rPr>
          <w:rFonts w:cs="Calibri"/>
          <w:lang w:eastAsia="en-AU"/>
        </w:rPr>
        <w:t>Group statistics provide less information, but still prove risky where</w:t>
      </w:r>
      <w:r w:rsidR="00780089">
        <w:rPr>
          <w:rFonts w:cs="Calibri"/>
          <w:lang w:eastAsia="en-AU"/>
        </w:rPr>
        <w:t xml:space="preserve"> there are unique billing codes among the dataset that are paired with auxiliary information.</w:t>
      </w:r>
    </w:p>
    <w:p w14:paraId="019EE9FD" w14:textId="77777777" w:rsidR="00780089" w:rsidRPr="00780089" w:rsidRDefault="00780089" w:rsidP="00A440A5">
      <w:pPr>
        <w:pStyle w:val="ListParagraph"/>
        <w:numPr>
          <w:ilvl w:val="1"/>
          <w:numId w:val="30"/>
        </w:numPr>
        <w:autoSpaceDE w:val="0"/>
        <w:autoSpaceDN w:val="0"/>
        <w:adjustRightInd w:val="0"/>
        <w:spacing w:before="120" w:after="240"/>
        <w:contextualSpacing w:val="0"/>
        <w:rPr>
          <w:rFonts w:cs="Calibri"/>
          <w:lang w:val="en-AU" w:eastAsia="en-AU"/>
        </w:rPr>
      </w:pPr>
      <w:r>
        <w:rPr>
          <w:rFonts w:cs="Calibri"/>
          <w:lang w:eastAsia="en-AU"/>
        </w:rPr>
        <w:t>For example,</w:t>
      </w:r>
      <w:r w:rsidR="002C503C">
        <w:rPr>
          <w:rFonts w:cs="Calibri"/>
          <w:lang w:eastAsia="en-AU"/>
        </w:rPr>
        <w:t xml:space="preserve"> </w:t>
      </w:r>
      <w:r w:rsidR="002C503C" w:rsidRPr="002C503C">
        <w:rPr>
          <w:rFonts w:cs="Calibri"/>
          <w:lang w:eastAsia="en-AU"/>
        </w:rPr>
        <w:t>former Australian Prime Minister Kevin Rudd had an aortic valve replacement in Brisbane in August 2011</w:t>
      </w:r>
      <w:r w:rsidR="002C503C">
        <w:rPr>
          <w:rFonts w:cs="Calibri"/>
          <w:lang w:eastAsia="en-AU"/>
        </w:rPr>
        <w:t>, which was described in an online news article that gave the exact date of his surgery.</w:t>
      </w:r>
    </w:p>
    <w:p w14:paraId="0BAEC757" w14:textId="598D109E" w:rsidR="002C503C" w:rsidRPr="00780089" w:rsidRDefault="00780089" w:rsidP="00A440A5">
      <w:pPr>
        <w:pStyle w:val="ListParagraph"/>
        <w:numPr>
          <w:ilvl w:val="1"/>
          <w:numId w:val="30"/>
        </w:numPr>
        <w:autoSpaceDE w:val="0"/>
        <w:autoSpaceDN w:val="0"/>
        <w:adjustRightInd w:val="0"/>
        <w:spacing w:before="120" w:after="240"/>
        <w:contextualSpacing w:val="0"/>
        <w:rPr>
          <w:rFonts w:cs="Calibri"/>
          <w:lang w:val="en-AU" w:eastAsia="en-AU"/>
        </w:rPr>
      </w:pPr>
      <w:r>
        <w:rPr>
          <w:rFonts w:cs="Calibri"/>
          <w:lang w:eastAsia="en-AU"/>
        </w:rPr>
        <w:t>In the group statistics,</w:t>
      </w:r>
      <w:r w:rsidRPr="00780089">
        <w:rPr>
          <w:rFonts w:cs="Calibri"/>
          <w:lang w:eastAsia="en-AU"/>
        </w:rPr>
        <w:t xml:space="preserve"> this surgery was unique in that month and age range</w:t>
      </w:r>
      <w:r>
        <w:rPr>
          <w:rFonts w:cs="Calibri"/>
          <w:lang w:eastAsia="en-AU"/>
        </w:rPr>
        <w:t xml:space="preserve"> so researchers analysing the data could identify the exact record that corresponded to Mr Rudd’s record. In this case, the record only provided his age, </w:t>
      </w:r>
      <w:proofErr w:type="gramStart"/>
      <w:r>
        <w:rPr>
          <w:rFonts w:cs="Calibri"/>
          <w:lang w:eastAsia="en-AU"/>
        </w:rPr>
        <w:t>gender</w:t>
      </w:r>
      <w:proofErr w:type="gramEnd"/>
      <w:r>
        <w:rPr>
          <w:rFonts w:cs="Calibri"/>
          <w:lang w:eastAsia="en-AU"/>
        </w:rPr>
        <w:t xml:space="preserve"> and state in which the surgery was performed, which had already been reported in the article.</w:t>
      </w:r>
    </w:p>
    <w:p w14:paraId="344A69D5" w14:textId="21AECA6C" w:rsidR="00780089" w:rsidRPr="00780089" w:rsidRDefault="00780089" w:rsidP="00A440A5">
      <w:pPr>
        <w:pStyle w:val="ListParagraph"/>
        <w:numPr>
          <w:ilvl w:val="1"/>
          <w:numId w:val="30"/>
        </w:numPr>
        <w:autoSpaceDE w:val="0"/>
        <w:autoSpaceDN w:val="0"/>
        <w:adjustRightInd w:val="0"/>
        <w:spacing w:before="120" w:after="240"/>
        <w:contextualSpacing w:val="0"/>
        <w:rPr>
          <w:rFonts w:cs="Calibri"/>
          <w:lang w:val="en-AU" w:eastAsia="en-AU"/>
        </w:rPr>
      </w:pPr>
      <w:r w:rsidRPr="00780089">
        <w:rPr>
          <w:rFonts w:cs="Calibri"/>
          <w:lang w:eastAsia="en-AU"/>
        </w:rPr>
        <w:t>However, if Mr Rudd’s record had been chosen</w:t>
      </w:r>
      <w:r>
        <w:rPr>
          <w:rFonts w:cs="Calibri"/>
          <w:lang w:eastAsia="en-AU"/>
        </w:rPr>
        <w:t xml:space="preserve"> for the longitudinal sample</w:t>
      </w:r>
      <w:r w:rsidRPr="00780089">
        <w:rPr>
          <w:rFonts w:cs="Calibri"/>
          <w:lang w:eastAsia="en-AU"/>
        </w:rPr>
        <w:t xml:space="preserve"> (and there was a 10% chance it would have been), the re-identification of that record would have implied the retrieval of the entire 30 years’ worth of his medical billing history – information that </w:t>
      </w:r>
      <w:r>
        <w:rPr>
          <w:rFonts w:cs="Calibri"/>
          <w:lang w:eastAsia="en-AU"/>
        </w:rPr>
        <w:t>was</w:t>
      </w:r>
      <w:r w:rsidRPr="00780089">
        <w:rPr>
          <w:rFonts w:cs="Calibri"/>
          <w:lang w:eastAsia="en-AU"/>
        </w:rPr>
        <w:t xml:space="preserve"> not otherwise available online</w:t>
      </w:r>
      <w:r>
        <w:rPr>
          <w:rFonts w:cs="Calibri"/>
          <w:lang w:eastAsia="en-AU"/>
        </w:rPr>
        <w:t xml:space="preserve"> and would have amounted to a significant breach of his privacy</w:t>
      </w:r>
      <w:r w:rsidRPr="00780089">
        <w:rPr>
          <w:rFonts w:cs="Calibri"/>
          <w:lang w:eastAsia="en-AU"/>
        </w:rPr>
        <w:t>.</w:t>
      </w:r>
    </w:p>
    <w:p w14:paraId="6D6B881A" w14:textId="4624EDB4" w:rsidR="00780089" w:rsidRPr="0011178E" w:rsidRDefault="001A6FD4" w:rsidP="0011178E">
      <w:pPr>
        <w:pStyle w:val="ListParagraph"/>
        <w:autoSpaceDE w:val="0"/>
        <w:autoSpaceDN w:val="0"/>
        <w:adjustRightInd w:val="0"/>
        <w:spacing w:before="120" w:after="240"/>
        <w:contextualSpacing w:val="0"/>
        <w:rPr>
          <w:rFonts w:cs="Calibri"/>
          <w:u w:val="single"/>
          <w:lang w:val="en-AU" w:eastAsia="en-AU"/>
        </w:rPr>
      </w:pPr>
      <w:r w:rsidRPr="0011178E">
        <w:rPr>
          <w:rFonts w:cs="Calibri"/>
          <w:u w:val="single"/>
          <w:lang w:val="en-AU" w:eastAsia="en-AU"/>
        </w:rPr>
        <w:t>Myki dataset example</w:t>
      </w:r>
    </w:p>
    <w:p w14:paraId="2812B2C3" w14:textId="0A5375F8" w:rsidR="001A6FD4" w:rsidRPr="001A6FD4" w:rsidRDefault="001A6FD4" w:rsidP="001A6FD4">
      <w:pPr>
        <w:pStyle w:val="ListParagraph"/>
        <w:numPr>
          <w:ilvl w:val="1"/>
          <w:numId w:val="30"/>
        </w:numPr>
        <w:autoSpaceDE w:val="0"/>
        <w:autoSpaceDN w:val="0"/>
        <w:adjustRightInd w:val="0"/>
        <w:spacing w:before="120" w:after="240"/>
        <w:contextualSpacing w:val="0"/>
        <w:rPr>
          <w:rFonts w:cs="Calibri"/>
          <w:lang w:val="en-AU" w:eastAsia="en-AU"/>
        </w:rPr>
      </w:pPr>
      <w:r>
        <w:rPr>
          <w:rFonts w:cs="Calibri"/>
          <w:lang w:val="en-AU" w:eastAsia="en-AU"/>
        </w:rPr>
        <w:t xml:space="preserve">For the 2018 Melbourne </w:t>
      </w:r>
      <w:proofErr w:type="spellStart"/>
      <w:r>
        <w:rPr>
          <w:rFonts w:cs="Calibri"/>
          <w:lang w:val="en-AU" w:eastAsia="en-AU"/>
        </w:rPr>
        <w:t>Datathon</w:t>
      </w:r>
      <w:proofErr w:type="spellEnd"/>
      <w:r>
        <w:rPr>
          <w:rFonts w:cs="Calibri"/>
          <w:lang w:val="en-AU" w:eastAsia="en-AU"/>
        </w:rPr>
        <w:t xml:space="preserve"> (an annual event where Victorian data scientists compete to find innovative uses for public data) the dataset to be examined was a record of public transport trips recorded on the myki ticketing system over a </w:t>
      </w:r>
      <w:proofErr w:type="gramStart"/>
      <w:r>
        <w:rPr>
          <w:rFonts w:cs="Calibri"/>
          <w:lang w:val="en-AU" w:eastAsia="en-AU"/>
        </w:rPr>
        <w:t>three year</w:t>
      </w:r>
      <w:proofErr w:type="gramEnd"/>
      <w:r>
        <w:rPr>
          <w:rFonts w:cs="Calibri"/>
          <w:lang w:val="en-AU" w:eastAsia="en-AU"/>
        </w:rPr>
        <w:t xml:space="preserve"> period (amounting to travel information of millions of Victorians).</w:t>
      </w:r>
    </w:p>
    <w:p w14:paraId="70609E41" w14:textId="2F9A91D2" w:rsidR="001A6FD4" w:rsidRPr="001A6FD4" w:rsidRDefault="001A6FD4" w:rsidP="001A6FD4">
      <w:pPr>
        <w:pStyle w:val="ListParagraph"/>
        <w:numPr>
          <w:ilvl w:val="1"/>
          <w:numId w:val="30"/>
        </w:numPr>
        <w:autoSpaceDE w:val="0"/>
        <w:autoSpaceDN w:val="0"/>
        <w:adjustRightInd w:val="0"/>
        <w:spacing w:before="120" w:after="240"/>
        <w:contextualSpacing w:val="0"/>
        <w:rPr>
          <w:rFonts w:cs="Calibri"/>
          <w:lang w:val="en-AU" w:eastAsia="en-AU"/>
        </w:rPr>
      </w:pPr>
      <w:r w:rsidRPr="001A6FD4">
        <w:rPr>
          <w:rFonts w:cs="Calibri"/>
          <w:lang w:val="en-AU" w:eastAsia="en-AU"/>
        </w:rPr>
        <w:t xml:space="preserve">The dataset recorded ‘touch on’ and ‘touch off’ events on the myki public transport ticketing system. The data was released as a linked unit level dataset, consisting of records of individual transactions (trips) linked through a numerical identifier assigned to each card. </w:t>
      </w:r>
    </w:p>
    <w:p w14:paraId="78958491" w14:textId="3EE1634A" w:rsidR="001A6FD4" w:rsidRDefault="001A6FD4" w:rsidP="001A6FD4">
      <w:pPr>
        <w:pStyle w:val="ListParagraph"/>
        <w:numPr>
          <w:ilvl w:val="1"/>
          <w:numId w:val="30"/>
        </w:numPr>
        <w:autoSpaceDE w:val="0"/>
        <w:autoSpaceDN w:val="0"/>
        <w:adjustRightInd w:val="0"/>
        <w:spacing w:before="120" w:after="240"/>
        <w:contextualSpacing w:val="0"/>
        <w:rPr>
          <w:rFonts w:cs="Calibri"/>
          <w:lang w:val="en-AU" w:eastAsia="en-AU"/>
        </w:rPr>
      </w:pPr>
      <w:r>
        <w:rPr>
          <w:rFonts w:cs="Calibri"/>
          <w:lang w:val="en-AU" w:eastAsia="en-AU"/>
        </w:rPr>
        <w:t>A</w:t>
      </w:r>
      <w:r w:rsidRPr="001A6FD4">
        <w:rPr>
          <w:rFonts w:cs="Calibri"/>
          <w:lang w:val="en-AU" w:eastAsia="en-AU"/>
        </w:rPr>
        <w:t xml:space="preserve">cademics from the University of Melbourne downloaded the dataset from the </w:t>
      </w:r>
      <w:proofErr w:type="spellStart"/>
      <w:r w:rsidRPr="001A6FD4">
        <w:rPr>
          <w:rFonts w:cs="Calibri"/>
          <w:lang w:val="en-AU" w:eastAsia="en-AU"/>
        </w:rPr>
        <w:t>Datathon’s</w:t>
      </w:r>
      <w:proofErr w:type="spellEnd"/>
      <w:r w:rsidRPr="001A6FD4">
        <w:rPr>
          <w:rFonts w:cs="Calibri"/>
          <w:lang w:val="en-AU" w:eastAsia="en-AU"/>
        </w:rPr>
        <w:t xml:space="preserve"> website (where it was published for </w:t>
      </w:r>
      <w:proofErr w:type="spellStart"/>
      <w:r w:rsidRPr="001A6FD4">
        <w:rPr>
          <w:rFonts w:cs="Calibri"/>
          <w:lang w:val="en-AU" w:eastAsia="en-AU"/>
        </w:rPr>
        <w:t>Datathon</w:t>
      </w:r>
      <w:proofErr w:type="spellEnd"/>
      <w:r w:rsidRPr="001A6FD4">
        <w:rPr>
          <w:rFonts w:cs="Calibri"/>
          <w:lang w:val="en-AU" w:eastAsia="en-AU"/>
        </w:rPr>
        <w:t xml:space="preserve"> participants) and </w:t>
      </w:r>
      <w:r>
        <w:rPr>
          <w:rFonts w:cs="Calibri"/>
          <w:lang w:val="en-AU" w:eastAsia="en-AU"/>
        </w:rPr>
        <w:t>were able to use</w:t>
      </w:r>
      <w:r w:rsidRPr="001A6FD4">
        <w:rPr>
          <w:rFonts w:cs="Calibri"/>
          <w:lang w:val="en-AU" w:eastAsia="en-AU"/>
        </w:rPr>
        <w:t xml:space="preserve"> the data to identify their own travel movements and the travel movements of other people known to them.</w:t>
      </w:r>
    </w:p>
    <w:p w14:paraId="67AAF090" w14:textId="27048980" w:rsidR="001A6FD4" w:rsidRPr="009C2EC1" w:rsidRDefault="001A6FD4" w:rsidP="009C2EC1">
      <w:pPr>
        <w:pStyle w:val="ListParagraph"/>
        <w:numPr>
          <w:ilvl w:val="2"/>
          <w:numId w:val="30"/>
        </w:numPr>
        <w:autoSpaceDE w:val="0"/>
        <w:autoSpaceDN w:val="0"/>
        <w:adjustRightInd w:val="0"/>
        <w:spacing w:before="120" w:after="240"/>
        <w:contextualSpacing w:val="0"/>
        <w:rPr>
          <w:rFonts w:cs="Calibri"/>
          <w:lang w:val="en-AU" w:eastAsia="en-AU"/>
        </w:rPr>
      </w:pPr>
      <w:r w:rsidRPr="001A6FD4">
        <w:rPr>
          <w:rFonts w:cs="Calibri"/>
          <w:lang w:val="en-AU" w:eastAsia="en-AU"/>
        </w:rPr>
        <w:t xml:space="preserve">Two of the academics had registered their myki cards. This meant they were able to access historical, ‘to the second’ trip data for the previous six months through PTV’s website. </w:t>
      </w:r>
      <w:r w:rsidRPr="009C2EC1">
        <w:rPr>
          <w:rFonts w:cs="Calibri"/>
          <w:lang w:val="en-AU" w:eastAsia="en-AU"/>
        </w:rPr>
        <w:t>They matched this with information in the dataset. To confirm they had found their own records, they cross-checked the registration dates of the cards with the first recorded trips.</w:t>
      </w:r>
    </w:p>
    <w:p w14:paraId="6B49E317" w14:textId="5CAD0D45" w:rsidR="009C2EC1" w:rsidRPr="009C2EC1" w:rsidRDefault="001A6FD4" w:rsidP="009C2EC1">
      <w:pPr>
        <w:pStyle w:val="ListParagraph"/>
        <w:numPr>
          <w:ilvl w:val="2"/>
          <w:numId w:val="30"/>
        </w:numPr>
        <w:autoSpaceDE w:val="0"/>
        <w:autoSpaceDN w:val="0"/>
        <w:adjustRightInd w:val="0"/>
        <w:spacing w:before="120" w:after="240"/>
        <w:contextualSpacing w:val="0"/>
        <w:rPr>
          <w:rFonts w:cs="Calibri"/>
          <w:lang w:val="en-AU" w:eastAsia="en-AU"/>
        </w:rPr>
      </w:pPr>
      <w:r>
        <w:rPr>
          <w:rFonts w:cs="Calibri"/>
          <w:lang w:val="en-AU" w:eastAsia="en-AU"/>
        </w:rPr>
        <w:t>One academic</w:t>
      </w:r>
      <w:r w:rsidR="0011178E">
        <w:rPr>
          <w:rFonts w:cs="Calibri"/>
          <w:lang w:val="en-AU" w:eastAsia="en-AU"/>
        </w:rPr>
        <w:t xml:space="preserve"> also</w:t>
      </w:r>
      <w:r>
        <w:rPr>
          <w:rFonts w:cs="Calibri"/>
          <w:lang w:val="en-AU" w:eastAsia="en-AU"/>
        </w:rPr>
        <w:t xml:space="preserve"> s</w:t>
      </w:r>
      <w:r w:rsidRPr="001A6FD4">
        <w:rPr>
          <w:rFonts w:cs="Calibri"/>
          <w:lang w:val="en-AU" w:eastAsia="en-AU"/>
        </w:rPr>
        <w:t>uccessfully re-identified a ‘co-traveller’ who had travelled with one of the academics on a single occasion. They did so by identifying everyone who had touched on or off the relevant tram at about the same time as the academic and narrow</w:t>
      </w:r>
      <w:r w:rsidR="0011178E">
        <w:rPr>
          <w:rFonts w:cs="Calibri"/>
          <w:lang w:val="en-AU" w:eastAsia="en-AU"/>
        </w:rPr>
        <w:t>ed</w:t>
      </w:r>
      <w:r w:rsidRPr="001A6FD4">
        <w:rPr>
          <w:rFonts w:cs="Calibri"/>
          <w:lang w:val="en-AU" w:eastAsia="en-AU"/>
        </w:rPr>
        <w:t xml:space="preserve"> down potential candidates by looking at their travel patterns. To confirm they had re-identified the correct person, they cross-matched the record with some further information obtained from the person (the expiry date of the myki card)</w:t>
      </w:r>
      <w:r w:rsidR="009C2EC1">
        <w:rPr>
          <w:rFonts w:cs="Calibri"/>
          <w:lang w:val="en-AU" w:eastAsia="en-AU"/>
        </w:rPr>
        <w:t>.</w:t>
      </w:r>
      <w:r w:rsidR="009C2EC1" w:rsidRPr="009C2EC1">
        <w:rPr>
          <w:rFonts w:cs="Calibri"/>
          <w:lang w:val="en-AU" w:eastAsia="en-AU"/>
        </w:rPr>
        <w:t xml:space="preserve"> </w:t>
      </w:r>
    </w:p>
    <w:p w14:paraId="6870B219" w14:textId="142381A2" w:rsidR="009C2EC1" w:rsidRPr="00D349C2" w:rsidRDefault="009C2EC1" w:rsidP="009C2EC1">
      <w:pPr>
        <w:pStyle w:val="ListParagraph"/>
        <w:numPr>
          <w:ilvl w:val="0"/>
          <w:numId w:val="30"/>
        </w:numPr>
        <w:autoSpaceDE w:val="0"/>
        <w:autoSpaceDN w:val="0"/>
        <w:adjustRightInd w:val="0"/>
        <w:spacing w:before="120" w:after="240"/>
        <w:contextualSpacing w:val="0"/>
        <w:rPr>
          <w:rFonts w:cs="Calibri"/>
          <w:lang w:val="en-AU" w:eastAsia="en-AU"/>
        </w:rPr>
      </w:pPr>
      <w:r>
        <w:rPr>
          <w:rFonts w:cs="Calibri"/>
          <w:lang w:val="en-AU" w:eastAsia="en-AU"/>
        </w:rPr>
        <w:t>These two examples show how easily seemingly de-identified data can be made re-identifiable and therefore how critical it is to ensure data sharing is done in a safe and secure way. Otherwise, we risk</w:t>
      </w:r>
      <w:r w:rsidR="0011178E">
        <w:rPr>
          <w:rFonts w:cs="Calibri"/>
          <w:lang w:val="en-AU" w:eastAsia="en-AU"/>
        </w:rPr>
        <w:t xml:space="preserve"> a reduction in both protection of privacy and public trust in government.</w:t>
      </w:r>
    </w:p>
    <w:p w14:paraId="046C6C60" w14:textId="7BFC37DB" w:rsidR="000F525B" w:rsidRDefault="008A55F0" w:rsidP="00314655">
      <w:pPr>
        <w:pStyle w:val="Heading-2"/>
        <w:rPr>
          <w:lang w:eastAsia="en-AU"/>
        </w:rPr>
      </w:pPr>
      <w:r>
        <w:rPr>
          <w:lang w:eastAsia="en-AU"/>
        </w:rPr>
        <w:t>Public trust</w:t>
      </w:r>
    </w:p>
    <w:p w14:paraId="69364FF3" w14:textId="09061F79" w:rsidR="00E81086" w:rsidRDefault="008B0519" w:rsidP="00E81086">
      <w:pPr>
        <w:pStyle w:val="ListParagraph"/>
        <w:numPr>
          <w:ilvl w:val="0"/>
          <w:numId w:val="27"/>
        </w:numPr>
        <w:autoSpaceDE w:val="0"/>
        <w:autoSpaceDN w:val="0"/>
        <w:adjustRightInd w:val="0"/>
        <w:spacing w:before="120" w:after="240"/>
        <w:contextualSpacing w:val="0"/>
        <w:rPr>
          <w:rFonts w:cs="Calibri"/>
          <w:lang w:val="en-AU" w:eastAsia="en-AU"/>
        </w:rPr>
      </w:pPr>
      <w:r>
        <w:rPr>
          <w:rFonts w:cs="Calibri"/>
          <w:lang w:val="en-AU" w:eastAsia="en-AU"/>
        </w:rPr>
        <w:t>Public sector o</w:t>
      </w:r>
      <w:r w:rsidR="00E81086" w:rsidRPr="00314655">
        <w:rPr>
          <w:rFonts w:cs="Calibri"/>
          <w:lang w:val="en-AU" w:eastAsia="en-AU"/>
        </w:rPr>
        <w:t>rganisations need to handle personal information in line with their obligations under privacy law, as well as community expectations.</w:t>
      </w:r>
      <w:r w:rsidR="00E81086">
        <w:rPr>
          <w:rFonts w:cs="Calibri"/>
          <w:lang w:val="en-AU" w:eastAsia="en-AU"/>
        </w:rPr>
        <w:t xml:space="preserve"> They also</w:t>
      </w:r>
      <w:r w:rsidR="00E81086" w:rsidRPr="00314655">
        <w:rPr>
          <w:rFonts w:cs="Calibri"/>
          <w:lang w:val="en-AU" w:eastAsia="en-AU"/>
        </w:rPr>
        <w:t xml:space="preserve"> need to show that they respect and understand the value of this information. In doing so, they build trust and the social licence needed to continue to collect and use personal information.</w:t>
      </w:r>
    </w:p>
    <w:p w14:paraId="70CF18F9" w14:textId="27AEC69D" w:rsidR="00BA365B" w:rsidRDefault="00BA365B" w:rsidP="00314655">
      <w:pPr>
        <w:pStyle w:val="ListParagraph"/>
        <w:numPr>
          <w:ilvl w:val="0"/>
          <w:numId w:val="27"/>
        </w:numPr>
        <w:autoSpaceDE w:val="0"/>
        <w:autoSpaceDN w:val="0"/>
        <w:adjustRightInd w:val="0"/>
        <w:spacing w:before="120" w:after="240"/>
        <w:contextualSpacing w:val="0"/>
        <w:rPr>
          <w:rFonts w:cs="Calibri"/>
          <w:lang w:val="en-AU" w:eastAsia="en-AU"/>
        </w:rPr>
      </w:pPr>
      <w:r>
        <w:rPr>
          <w:lang w:val="en-US"/>
        </w:rPr>
        <w:t xml:space="preserve">Trust in government is essential to the success of public policy. It influences </w:t>
      </w:r>
      <w:r w:rsidR="00E81086">
        <w:rPr>
          <w:lang w:val="en-US"/>
        </w:rPr>
        <w:t xml:space="preserve">public </w:t>
      </w:r>
      <w:r>
        <w:rPr>
          <w:lang w:val="en-US"/>
        </w:rPr>
        <w:t xml:space="preserve">attitudes and responses to government actions and impacts government’s ability to govern effectively. </w:t>
      </w:r>
    </w:p>
    <w:p w14:paraId="0D2E2C23" w14:textId="1ED2F369" w:rsidR="006B7901" w:rsidRPr="00314655" w:rsidRDefault="00BA365B" w:rsidP="00314655">
      <w:pPr>
        <w:pStyle w:val="ListParagraph"/>
        <w:numPr>
          <w:ilvl w:val="0"/>
          <w:numId w:val="27"/>
        </w:numPr>
        <w:autoSpaceDE w:val="0"/>
        <w:autoSpaceDN w:val="0"/>
        <w:adjustRightInd w:val="0"/>
        <w:spacing w:before="120" w:after="240"/>
        <w:contextualSpacing w:val="0"/>
        <w:rPr>
          <w:rFonts w:cs="Calibri"/>
          <w:lang w:val="en-AU" w:eastAsia="en-AU"/>
        </w:rPr>
      </w:pPr>
      <w:r>
        <w:rPr>
          <w:rFonts w:cs="Calibri"/>
          <w:lang w:val="en-AU" w:eastAsia="en-AU"/>
        </w:rPr>
        <w:t>It therefore follows that a</w:t>
      </w:r>
      <w:r w:rsidR="006B7901" w:rsidRPr="00314655">
        <w:rPr>
          <w:rFonts w:cs="Calibri"/>
          <w:lang w:val="en-AU" w:eastAsia="en-AU"/>
        </w:rPr>
        <w:t xml:space="preserve"> high level of public trust is a</w:t>
      </w:r>
      <w:r>
        <w:rPr>
          <w:rFonts w:cs="Calibri"/>
          <w:lang w:val="en-AU" w:eastAsia="en-AU"/>
        </w:rPr>
        <w:t>n important</w:t>
      </w:r>
      <w:r w:rsidR="006B7901" w:rsidRPr="00314655">
        <w:rPr>
          <w:rFonts w:cs="Calibri"/>
          <w:lang w:val="en-AU" w:eastAsia="en-AU"/>
        </w:rPr>
        <w:t xml:space="preserve"> </w:t>
      </w:r>
      <w:r w:rsidR="00883657">
        <w:rPr>
          <w:rFonts w:cs="Calibri"/>
          <w:lang w:val="en-AU" w:eastAsia="en-AU"/>
        </w:rPr>
        <w:t>element</w:t>
      </w:r>
      <w:r w:rsidR="00883657" w:rsidRPr="00314655">
        <w:rPr>
          <w:rFonts w:cs="Calibri"/>
          <w:lang w:val="en-AU" w:eastAsia="en-AU"/>
        </w:rPr>
        <w:t xml:space="preserve"> </w:t>
      </w:r>
      <w:r w:rsidR="006B7901" w:rsidRPr="00314655">
        <w:rPr>
          <w:rFonts w:cs="Calibri"/>
          <w:lang w:val="en-AU" w:eastAsia="en-AU"/>
        </w:rPr>
        <w:t>of the public sector’s ability to successfully share data to gain insight</w:t>
      </w:r>
      <w:r w:rsidR="00883657">
        <w:rPr>
          <w:rFonts w:cs="Calibri"/>
          <w:lang w:val="en-AU" w:eastAsia="en-AU"/>
        </w:rPr>
        <w:t>s</w:t>
      </w:r>
      <w:r w:rsidR="006B7901" w:rsidRPr="00314655">
        <w:rPr>
          <w:rFonts w:cs="Calibri"/>
          <w:lang w:val="en-AU" w:eastAsia="en-AU"/>
        </w:rPr>
        <w:t xml:space="preserve"> whilst also</w:t>
      </w:r>
      <w:r>
        <w:rPr>
          <w:rFonts w:cs="Calibri"/>
          <w:lang w:val="en-AU" w:eastAsia="en-AU"/>
        </w:rPr>
        <w:t xml:space="preserve"> the</w:t>
      </w:r>
      <w:r w:rsidR="006B7901" w:rsidRPr="00314655">
        <w:rPr>
          <w:rFonts w:cs="Calibri"/>
          <w:lang w:val="en-AU" w:eastAsia="en-AU"/>
        </w:rPr>
        <w:t xml:space="preserve"> upholding privacy</w:t>
      </w:r>
      <w:r>
        <w:rPr>
          <w:rFonts w:cs="Calibri"/>
          <w:lang w:val="en-AU" w:eastAsia="en-AU"/>
        </w:rPr>
        <w:t xml:space="preserve"> of the public</w:t>
      </w:r>
      <w:r w:rsidR="006B7901" w:rsidRPr="00314655">
        <w:rPr>
          <w:rFonts w:cs="Calibri"/>
          <w:lang w:val="en-AU" w:eastAsia="en-AU"/>
        </w:rPr>
        <w:t>.</w:t>
      </w:r>
    </w:p>
    <w:p w14:paraId="5C0482C7" w14:textId="5A449BA1" w:rsidR="008A55F0" w:rsidRPr="008A55F0" w:rsidRDefault="008A55F0" w:rsidP="008A55F0">
      <w:pPr>
        <w:pStyle w:val="Heading-2"/>
        <w:rPr>
          <w:lang w:eastAsia="en-AU"/>
        </w:rPr>
      </w:pPr>
      <w:r>
        <w:rPr>
          <w:lang w:eastAsia="en-AU"/>
        </w:rPr>
        <w:t>How to get it right: balance data sharing and maintaining public trust</w:t>
      </w:r>
    </w:p>
    <w:p w14:paraId="66C720A6" w14:textId="0E1FA0CD" w:rsidR="00BA365B" w:rsidRPr="00BA365B" w:rsidRDefault="00BA365B" w:rsidP="007B0C45">
      <w:pPr>
        <w:autoSpaceDE w:val="0"/>
        <w:autoSpaceDN w:val="0"/>
        <w:adjustRightInd w:val="0"/>
        <w:spacing w:before="120" w:after="240"/>
        <w:rPr>
          <w:rFonts w:cs="Calibri"/>
          <w:u w:val="single"/>
          <w:lang w:val="en-AU" w:eastAsia="en-AU"/>
        </w:rPr>
      </w:pPr>
      <w:r>
        <w:rPr>
          <w:rFonts w:cs="Calibri"/>
          <w:u w:val="single"/>
          <w:lang w:val="en-AU" w:eastAsia="en-AU"/>
        </w:rPr>
        <w:t>Privacy laws as a mechanism for balance</w:t>
      </w:r>
    </w:p>
    <w:p w14:paraId="1F99A273" w14:textId="57752E55" w:rsidR="006B7901" w:rsidRPr="00314655" w:rsidRDefault="006B7901" w:rsidP="007B0C45">
      <w:pPr>
        <w:pStyle w:val="ListParagraph"/>
        <w:numPr>
          <w:ilvl w:val="0"/>
          <w:numId w:val="27"/>
        </w:numPr>
        <w:autoSpaceDE w:val="0"/>
        <w:autoSpaceDN w:val="0"/>
        <w:adjustRightInd w:val="0"/>
        <w:spacing w:before="120" w:after="240"/>
        <w:contextualSpacing w:val="0"/>
        <w:rPr>
          <w:rFonts w:cs="Calibri"/>
          <w:lang w:val="en-AU" w:eastAsia="en-AU"/>
        </w:rPr>
      </w:pPr>
      <w:r w:rsidRPr="00314655">
        <w:rPr>
          <w:rFonts w:cs="Calibri"/>
          <w:lang w:val="en-AU" w:eastAsia="en-AU"/>
        </w:rPr>
        <w:t xml:space="preserve">There is a misconception that privacy laws are a barrier to the sharing of information, but this is not true. Rather, privacy laws ensure that information is </w:t>
      </w:r>
      <w:r w:rsidR="00BA365B">
        <w:rPr>
          <w:rFonts w:cs="Calibri"/>
          <w:lang w:val="en-AU" w:eastAsia="en-AU"/>
        </w:rPr>
        <w:t>shared</w:t>
      </w:r>
      <w:r w:rsidRPr="00314655">
        <w:rPr>
          <w:rFonts w:cs="Calibri"/>
          <w:lang w:val="en-AU" w:eastAsia="en-AU"/>
        </w:rPr>
        <w:t xml:space="preserve"> in a manner that recognises and protects the privacy rights of individuals. </w:t>
      </w:r>
    </w:p>
    <w:p w14:paraId="026B001D" w14:textId="7755F3DF" w:rsidR="006B7901" w:rsidRPr="00314655" w:rsidRDefault="006B7901" w:rsidP="007B0C45">
      <w:pPr>
        <w:pStyle w:val="ListParagraph"/>
        <w:numPr>
          <w:ilvl w:val="0"/>
          <w:numId w:val="27"/>
        </w:numPr>
        <w:autoSpaceDE w:val="0"/>
        <w:autoSpaceDN w:val="0"/>
        <w:adjustRightInd w:val="0"/>
        <w:spacing w:before="120" w:after="240"/>
        <w:contextualSpacing w:val="0"/>
        <w:rPr>
          <w:rFonts w:cs="Calibri"/>
          <w:lang w:val="en-AU" w:eastAsia="en-AU"/>
        </w:rPr>
      </w:pPr>
      <w:r w:rsidRPr="00314655">
        <w:rPr>
          <w:rFonts w:cs="Calibri"/>
          <w:lang w:val="en-AU" w:eastAsia="en-AU"/>
        </w:rPr>
        <w:t xml:space="preserve">Our privacy laws are robust enough to balance competing objectives, such as protecting individual privacy with facilitating the reasonable and necessary access to, and flow of, information. </w:t>
      </w:r>
    </w:p>
    <w:p w14:paraId="5DF014DA" w14:textId="00D3CE5F" w:rsidR="006B7901" w:rsidRDefault="006B7901" w:rsidP="007B0C45">
      <w:pPr>
        <w:pStyle w:val="ListParagraph"/>
        <w:numPr>
          <w:ilvl w:val="0"/>
          <w:numId w:val="27"/>
        </w:numPr>
        <w:autoSpaceDE w:val="0"/>
        <w:autoSpaceDN w:val="0"/>
        <w:adjustRightInd w:val="0"/>
        <w:spacing w:before="120" w:after="240"/>
        <w:contextualSpacing w:val="0"/>
        <w:rPr>
          <w:rFonts w:cs="Calibri"/>
          <w:lang w:val="en-AU" w:eastAsia="en-AU"/>
        </w:rPr>
      </w:pPr>
      <w:r w:rsidRPr="00314655">
        <w:rPr>
          <w:rFonts w:cs="Calibri"/>
          <w:lang w:val="en-AU" w:eastAsia="en-AU"/>
        </w:rPr>
        <w:t xml:space="preserve">The principle-based approach in our privacy laws is designed to cater to the range of information handling practices that </w:t>
      </w:r>
      <w:r w:rsidR="008B0519">
        <w:rPr>
          <w:rFonts w:cs="Calibri"/>
          <w:lang w:val="en-AU" w:eastAsia="en-AU"/>
        </w:rPr>
        <w:t xml:space="preserve">public sector </w:t>
      </w:r>
      <w:r w:rsidRPr="00314655">
        <w:rPr>
          <w:rFonts w:cs="Calibri"/>
          <w:lang w:val="en-AU" w:eastAsia="en-AU"/>
        </w:rPr>
        <w:t>organisations need to engage in to deliver public services in a privacy enhancing way. The</w:t>
      </w:r>
      <w:r w:rsidR="00E46A3A">
        <w:rPr>
          <w:rFonts w:cs="Calibri"/>
          <w:lang w:val="en-AU" w:eastAsia="en-AU"/>
        </w:rPr>
        <w:t xml:space="preserve">se principles are </w:t>
      </w:r>
      <w:r w:rsidRPr="00314655">
        <w:rPr>
          <w:rFonts w:cs="Calibri"/>
          <w:lang w:val="en-AU" w:eastAsia="en-AU"/>
        </w:rPr>
        <w:t>flexible enough to be adapted and applied over time to new technologies, initiatives, and types of personal information.</w:t>
      </w:r>
    </w:p>
    <w:p w14:paraId="3B01A422" w14:textId="781D86C9" w:rsidR="00BA365B" w:rsidRPr="00176C98" w:rsidRDefault="00176C98" w:rsidP="007B0C45">
      <w:pPr>
        <w:autoSpaceDE w:val="0"/>
        <w:autoSpaceDN w:val="0"/>
        <w:adjustRightInd w:val="0"/>
        <w:spacing w:before="120" w:after="240"/>
        <w:rPr>
          <w:rFonts w:cs="Calibri"/>
          <w:u w:val="single"/>
          <w:lang w:val="en-AU" w:eastAsia="en-AU"/>
        </w:rPr>
      </w:pPr>
      <w:r>
        <w:rPr>
          <w:rFonts w:cs="Calibri"/>
          <w:u w:val="single"/>
          <w:lang w:val="en-AU" w:eastAsia="en-AU"/>
        </w:rPr>
        <w:t>Victorian Centre for Data Insights</w:t>
      </w:r>
    </w:p>
    <w:p w14:paraId="34502951" w14:textId="6D594825" w:rsidR="007B0C45" w:rsidRDefault="007B0C45" w:rsidP="007B0C45">
      <w:pPr>
        <w:pStyle w:val="ListParagraph"/>
        <w:numPr>
          <w:ilvl w:val="0"/>
          <w:numId w:val="27"/>
        </w:numPr>
        <w:autoSpaceDE w:val="0"/>
        <w:autoSpaceDN w:val="0"/>
        <w:adjustRightInd w:val="0"/>
        <w:spacing w:before="120" w:after="240"/>
        <w:contextualSpacing w:val="0"/>
        <w:rPr>
          <w:rFonts w:cs="Calibri"/>
          <w:lang w:val="en-AU" w:eastAsia="en-AU"/>
        </w:rPr>
      </w:pPr>
      <w:r>
        <w:rPr>
          <w:rFonts w:cs="Calibri"/>
          <w:lang w:val="en-AU" w:eastAsia="en-AU"/>
        </w:rPr>
        <w:t>The Victorian Centre for Data Insights (VCDI) is a resource that Victorian public sector organisations can leverage to ensure they are sharing data in a safe and secure manner.</w:t>
      </w:r>
    </w:p>
    <w:p w14:paraId="575BCB4E" w14:textId="2359CA7C" w:rsidR="007B0C45" w:rsidRDefault="002A2B92" w:rsidP="007B0C45">
      <w:pPr>
        <w:pStyle w:val="ListParagraph"/>
        <w:numPr>
          <w:ilvl w:val="0"/>
          <w:numId w:val="27"/>
        </w:numPr>
        <w:autoSpaceDE w:val="0"/>
        <w:autoSpaceDN w:val="0"/>
        <w:adjustRightInd w:val="0"/>
        <w:spacing w:before="120" w:after="240"/>
        <w:contextualSpacing w:val="0"/>
        <w:rPr>
          <w:rFonts w:cs="Calibri"/>
          <w:lang w:val="en-AU" w:eastAsia="en-AU"/>
        </w:rPr>
      </w:pPr>
      <w:r>
        <w:rPr>
          <w:rFonts w:cs="Calibri"/>
          <w:lang w:val="en-AU" w:eastAsia="en-AU"/>
        </w:rPr>
        <w:t>E</w:t>
      </w:r>
      <w:r w:rsidR="007B0C45">
        <w:rPr>
          <w:rFonts w:cs="Calibri"/>
          <w:lang w:val="en-AU" w:eastAsia="en-AU"/>
        </w:rPr>
        <w:t xml:space="preserve">stablished by </w:t>
      </w:r>
      <w:r w:rsidR="00AB1578">
        <w:rPr>
          <w:rFonts w:cs="Calibri"/>
          <w:lang w:val="en-AU" w:eastAsia="en-AU"/>
        </w:rPr>
        <w:t>legislation</w:t>
      </w:r>
      <w:r>
        <w:rPr>
          <w:rFonts w:cs="Calibri"/>
          <w:lang w:val="en-AU" w:eastAsia="en-AU"/>
        </w:rPr>
        <w:t>, the VCDI aims</w:t>
      </w:r>
      <w:r w:rsidR="007B0C45">
        <w:rPr>
          <w:rFonts w:cs="Calibri"/>
          <w:lang w:val="en-AU" w:eastAsia="en-AU"/>
        </w:rPr>
        <w:t xml:space="preserve"> to</w:t>
      </w:r>
      <w:r w:rsidR="00AB1578">
        <w:rPr>
          <w:rFonts w:cs="Calibri"/>
          <w:lang w:val="en-AU" w:eastAsia="en-AU"/>
        </w:rPr>
        <w:t xml:space="preserve"> promote the ethical and safe sharing of public sector data and</w:t>
      </w:r>
      <w:r w:rsidR="007B0C45">
        <w:rPr>
          <w:rFonts w:cs="Calibri"/>
          <w:lang w:val="en-AU" w:eastAsia="en-AU"/>
        </w:rPr>
        <w:t xml:space="preserve"> transform the way government uses data </w:t>
      </w:r>
      <w:r w:rsidR="00AB1578" w:rsidRPr="00AB1578">
        <w:rPr>
          <w:rFonts w:cs="Calibri"/>
          <w:lang w:val="en-AU" w:eastAsia="en-AU"/>
        </w:rPr>
        <w:t>so that better policies and services are delivered for the benefit of all Victorians</w:t>
      </w:r>
      <w:r w:rsidR="008B0519">
        <w:rPr>
          <w:rFonts w:cs="Calibri"/>
          <w:lang w:val="en-AU" w:eastAsia="en-AU"/>
        </w:rPr>
        <w:t>.</w:t>
      </w:r>
    </w:p>
    <w:p w14:paraId="4AB98EE3" w14:textId="1CE5F1B9" w:rsidR="00AB1578" w:rsidRPr="00314655" w:rsidRDefault="00AB1578" w:rsidP="00AB1578">
      <w:pPr>
        <w:pStyle w:val="ListParagraph"/>
        <w:numPr>
          <w:ilvl w:val="0"/>
          <w:numId w:val="27"/>
        </w:numPr>
        <w:spacing w:before="120" w:after="240"/>
        <w:contextualSpacing w:val="0"/>
        <w:rPr>
          <w:rFonts w:cs="Calibri"/>
          <w:lang w:val="en-AU" w:eastAsia="en-AU"/>
        </w:rPr>
      </w:pPr>
      <w:r>
        <w:rPr>
          <w:rFonts w:cs="Calibri"/>
          <w:lang w:val="en-AU" w:eastAsia="en-AU"/>
        </w:rPr>
        <w:t>VCDI</w:t>
      </w:r>
      <w:r w:rsidR="0071727F">
        <w:rPr>
          <w:rFonts w:cs="Calibri"/>
          <w:lang w:val="en-AU" w:eastAsia="en-AU"/>
        </w:rPr>
        <w:t xml:space="preserve"> can assist Victorian public sector organisations </w:t>
      </w:r>
      <w:r w:rsidR="00AC0823">
        <w:rPr>
          <w:rFonts w:cs="Calibri"/>
          <w:lang w:val="en-AU" w:eastAsia="en-AU"/>
        </w:rPr>
        <w:t>to leverage insights from public sector data in several ways:</w:t>
      </w:r>
    </w:p>
    <w:p w14:paraId="3F7190EA" w14:textId="26CD0C33" w:rsidR="00AC0823" w:rsidRDefault="00AC0823" w:rsidP="007B0C45">
      <w:pPr>
        <w:pStyle w:val="ListParagraph"/>
        <w:numPr>
          <w:ilvl w:val="1"/>
          <w:numId w:val="27"/>
        </w:numPr>
        <w:autoSpaceDE w:val="0"/>
        <w:autoSpaceDN w:val="0"/>
        <w:adjustRightInd w:val="0"/>
        <w:spacing w:before="120" w:after="240"/>
        <w:contextualSpacing w:val="0"/>
        <w:rPr>
          <w:rFonts w:cs="Calibri"/>
          <w:lang w:val="en-AU" w:eastAsia="en-AU"/>
        </w:rPr>
      </w:pPr>
      <w:r>
        <w:rPr>
          <w:rFonts w:cs="Calibri"/>
          <w:lang w:val="en-AU" w:eastAsia="en-AU"/>
        </w:rPr>
        <w:t xml:space="preserve">Strategic services, through which it helps </w:t>
      </w:r>
      <w:r w:rsidR="008B0519">
        <w:rPr>
          <w:rFonts w:cs="Calibri"/>
          <w:lang w:val="en-AU" w:eastAsia="en-AU"/>
        </w:rPr>
        <w:t xml:space="preserve">these </w:t>
      </w:r>
      <w:r>
        <w:rPr>
          <w:rFonts w:cs="Calibri"/>
          <w:lang w:val="en-AU" w:eastAsia="en-AU"/>
        </w:rPr>
        <w:t xml:space="preserve">organisations to set out a vision and strategy to become more </w:t>
      </w:r>
      <w:proofErr w:type="gramStart"/>
      <w:r>
        <w:rPr>
          <w:rFonts w:cs="Calibri"/>
          <w:lang w:val="en-AU" w:eastAsia="en-AU"/>
        </w:rPr>
        <w:t>data-driven</w:t>
      </w:r>
      <w:proofErr w:type="gramEnd"/>
      <w:r>
        <w:rPr>
          <w:rFonts w:cs="Calibri"/>
          <w:lang w:val="en-AU" w:eastAsia="en-AU"/>
        </w:rPr>
        <w:t>.</w:t>
      </w:r>
    </w:p>
    <w:p w14:paraId="7C97941E" w14:textId="5CDBCD1F" w:rsidR="006B7901" w:rsidRPr="00314655" w:rsidRDefault="006B7901" w:rsidP="007B0C45">
      <w:pPr>
        <w:pStyle w:val="ListParagraph"/>
        <w:numPr>
          <w:ilvl w:val="1"/>
          <w:numId w:val="27"/>
        </w:numPr>
        <w:autoSpaceDE w:val="0"/>
        <w:autoSpaceDN w:val="0"/>
        <w:adjustRightInd w:val="0"/>
        <w:spacing w:before="120" w:after="240"/>
        <w:contextualSpacing w:val="0"/>
        <w:rPr>
          <w:rFonts w:cs="Calibri"/>
          <w:lang w:val="en-AU" w:eastAsia="en-AU"/>
        </w:rPr>
      </w:pPr>
      <w:r w:rsidRPr="00314655">
        <w:rPr>
          <w:rFonts w:cs="Calibri"/>
          <w:lang w:val="en-AU" w:eastAsia="en-AU"/>
        </w:rPr>
        <w:t xml:space="preserve">Provide training and </w:t>
      </w:r>
      <w:r w:rsidR="00AC0823">
        <w:rPr>
          <w:rFonts w:cs="Calibri"/>
          <w:lang w:val="en-AU" w:eastAsia="en-AU"/>
        </w:rPr>
        <w:t>support</w:t>
      </w:r>
      <w:r w:rsidRPr="00314655">
        <w:rPr>
          <w:rFonts w:cs="Calibri"/>
          <w:lang w:val="en-AU" w:eastAsia="en-AU"/>
        </w:rPr>
        <w:t xml:space="preserve"> </w:t>
      </w:r>
      <w:r w:rsidR="00AC0823">
        <w:rPr>
          <w:rFonts w:cs="Calibri"/>
          <w:lang w:val="en-AU" w:eastAsia="en-AU"/>
        </w:rPr>
        <w:t>around</w:t>
      </w:r>
      <w:r w:rsidRPr="00314655">
        <w:rPr>
          <w:rFonts w:cs="Calibri"/>
          <w:lang w:val="en-AU" w:eastAsia="en-AU"/>
        </w:rPr>
        <w:t xml:space="preserve"> best practice data management, </w:t>
      </w:r>
      <w:proofErr w:type="gramStart"/>
      <w:r w:rsidRPr="00314655">
        <w:rPr>
          <w:rFonts w:cs="Calibri"/>
          <w:lang w:val="en-AU" w:eastAsia="en-AU"/>
        </w:rPr>
        <w:t>governance</w:t>
      </w:r>
      <w:proofErr w:type="gramEnd"/>
      <w:r w:rsidRPr="00314655">
        <w:rPr>
          <w:rFonts w:cs="Calibri"/>
          <w:lang w:val="en-AU" w:eastAsia="en-AU"/>
        </w:rPr>
        <w:t xml:space="preserve"> and ethics</w:t>
      </w:r>
      <w:r w:rsidR="00AC0823">
        <w:rPr>
          <w:rFonts w:cs="Calibri"/>
          <w:lang w:val="en-AU" w:eastAsia="en-AU"/>
        </w:rPr>
        <w:t>.</w:t>
      </w:r>
    </w:p>
    <w:p w14:paraId="5E1A4CFD" w14:textId="40D85577" w:rsidR="006B7901" w:rsidRPr="00314655" w:rsidRDefault="00AC0823" w:rsidP="007B0C45">
      <w:pPr>
        <w:pStyle w:val="ListParagraph"/>
        <w:numPr>
          <w:ilvl w:val="1"/>
          <w:numId w:val="27"/>
        </w:numPr>
        <w:autoSpaceDE w:val="0"/>
        <w:autoSpaceDN w:val="0"/>
        <w:adjustRightInd w:val="0"/>
        <w:spacing w:before="120" w:after="240"/>
        <w:contextualSpacing w:val="0"/>
        <w:rPr>
          <w:rFonts w:cs="Calibri"/>
          <w:lang w:val="en-AU" w:eastAsia="en-AU"/>
        </w:rPr>
      </w:pPr>
      <w:r>
        <w:rPr>
          <w:rFonts w:cs="Calibri"/>
          <w:lang w:val="en-AU" w:eastAsia="en-AU"/>
        </w:rPr>
        <w:t>Analytics services, through which it provides data analysis support on projects that improve lives or use of resources. It is also important to note that VCDI takes steps to ensure data is de-identified properly b</w:t>
      </w:r>
      <w:r w:rsidR="006B7901" w:rsidRPr="00314655">
        <w:rPr>
          <w:rFonts w:cs="Calibri"/>
          <w:lang w:val="en-AU" w:eastAsia="en-AU"/>
        </w:rPr>
        <w:t xml:space="preserve">efore any </w:t>
      </w:r>
      <w:r>
        <w:rPr>
          <w:rFonts w:cs="Calibri"/>
          <w:lang w:val="en-AU" w:eastAsia="en-AU"/>
        </w:rPr>
        <w:t>it</w:t>
      </w:r>
      <w:r w:rsidR="006B7901" w:rsidRPr="00314655">
        <w:rPr>
          <w:rFonts w:cs="Calibri"/>
          <w:lang w:val="en-AU" w:eastAsia="en-AU"/>
        </w:rPr>
        <w:t xml:space="preserve"> is used for analytics</w:t>
      </w:r>
      <w:r>
        <w:rPr>
          <w:rFonts w:cs="Calibri"/>
          <w:lang w:val="en-AU" w:eastAsia="en-AU"/>
        </w:rPr>
        <w:t>.</w:t>
      </w:r>
    </w:p>
    <w:p w14:paraId="1551D93E" w14:textId="58D8A018" w:rsidR="0071727F" w:rsidRDefault="0071727F" w:rsidP="0071727F">
      <w:pPr>
        <w:pStyle w:val="ListParagraph"/>
        <w:numPr>
          <w:ilvl w:val="0"/>
          <w:numId w:val="27"/>
        </w:numPr>
        <w:spacing w:before="120" w:after="240"/>
        <w:contextualSpacing w:val="0"/>
        <w:rPr>
          <w:rFonts w:cs="Calibri"/>
          <w:lang w:val="en-AU" w:eastAsia="en-AU"/>
        </w:rPr>
      </w:pPr>
      <w:r>
        <w:rPr>
          <w:rFonts w:cs="Calibri"/>
          <w:lang w:val="en-AU" w:eastAsia="en-AU"/>
        </w:rPr>
        <w:t xml:space="preserve">VCDI data scientists </w:t>
      </w:r>
      <w:r w:rsidR="002A2B92">
        <w:rPr>
          <w:rFonts w:cs="Calibri"/>
          <w:lang w:val="en-AU" w:eastAsia="en-AU"/>
        </w:rPr>
        <w:t>analyse government data</w:t>
      </w:r>
      <w:r>
        <w:rPr>
          <w:rFonts w:cs="Calibri"/>
          <w:lang w:val="en-AU" w:eastAsia="en-AU"/>
        </w:rPr>
        <w:t xml:space="preserve"> in a </w:t>
      </w:r>
      <w:r w:rsidR="002A2B92">
        <w:rPr>
          <w:rFonts w:cs="Calibri"/>
          <w:lang w:val="en-AU" w:eastAsia="en-AU"/>
        </w:rPr>
        <w:t xml:space="preserve">closed and </w:t>
      </w:r>
      <w:r>
        <w:rPr>
          <w:rFonts w:cs="Calibri"/>
          <w:lang w:val="en-AU" w:eastAsia="en-AU"/>
        </w:rPr>
        <w:t>controlled l</w:t>
      </w:r>
      <w:r w:rsidRPr="00314655">
        <w:rPr>
          <w:rFonts w:cs="Calibri"/>
          <w:lang w:val="en-AU" w:eastAsia="en-AU"/>
        </w:rPr>
        <w:t>ab environmen</w:t>
      </w:r>
      <w:r>
        <w:rPr>
          <w:rFonts w:cs="Calibri"/>
          <w:lang w:val="en-AU" w:eastAsia="en-AU"/>
        </w:rPr>
        <w:t xml:space="preserve">t following strict rules around data sharing, </w:t>
      </w:r>
      <w:proofErr w:type="gramStart"/>
      <w:r>
        <w:rPr>
          <w:rFonts w:cs="Calibri"/>
          <w:lang w:val="en-AU" w:eastAsia="en-AU"/>
        </w:rPr>
        <w:t>security</w:t>
      </w:r>
      <w:proofErr w:type="gramEnd"/>
      <w:r>
        <w:rPr>
          <w:rFonts w:cs="Calibri"/>
          <w:lang w:val="en-AU" w:eastAsia="en-AU"/>
        </w:rPr>
        <w:t xml:space="preserve"> and privacy under the Victorian Data Sharing Act.</w:t>
      </w:r>
      <w:r w:rsidR="002A2B92">
        <w:rPr>
          <w:rFonts w:cs="Calibri"/>
          <w:lang w:val="en-AU" w:eastAsia="en-AU"/>
        </w:rPr>
        <w:t xml:space="preserve"> This then allows the sharing of the results of that analysis to improve and inform service outcomes.</w:t>
      </w:r>
    </w:p>
    <w:p w14:paraId="6F827CFC" w14:textId="37799EE2" w:rsidR="00AC0823" w:rsidRPr="00834C9A" w:rsidRDefault="0071727F" w:rsidP="00834C9A">
      <w:pPr>
        <w:pStyle w:val="ListParagraph"/>
        <w:numPr>
          <w:ilvl w:val="0"/>
          <w:numId w:val="27"/>
        </w:numPr>
        <w:autoSpaceDE w:val="0"/>
        <w:autoSpaceDN w:val="0"/>
        <w:adjustRightInd w:val="0"/>
        <w:spacing w:before="120" w:after="240"/>
        <w:contextualSpacing w:val="0"/>
        <w:rPr>
          <w:rFonts w:cs="Calibri"/>
          <w:lang w:val="en-AU" w:eastAsia="en-AU"/>
        </w:rPr>
      </w:pPr>
      <w:r>
        <w:rPr>
          <w:rFonts w:cs="Calibri"/>
          <w:lang w:val="en-AU" w:eastAsia="en-AU"/>
        </w:rPr>
        <w:t>The VCDI is also accountable for its activities through</w:t>
      </w:r>
      <w:r w:rsidRPr="00314655">
        <w:rPr>
          <w:rFonts w:cs="Calibri"/>
          <w:lang w:val="en-AU" w:eastAsia="en-AU"/>
        </w:rPr>
        <w:t xml:space="preserve"> report</w:t>
      </w:r>
      <w:r>
        <w:rPr>
          <w:rFonts w:cs="Calibri"/>
          <w:lang w:val="en-AU" w:eastAsia="en-AU"/>
        </w:rPr>
        <w:t>ing</w:t>
      </w:r>
      <w:r w:rsidRPr="00314655">
        <w:rPr>
          <w:rFonts w:cs="Calibri"/>
          <w:lang w:val="en-AU" w:eastAsia="en-AU"/>
        </w:rPr>
        <w:t xml:space="preserve"> annually to Victorian privacy regulators on its operations, </w:t>
      </w:r>
      <w:proofErr w:type="gramStart"/>
      <w:r w:rsidRPr="00314655">
        <w:rPr>
          <w:rFonts w:cs="Calibri"/>
          <w:lang w:val="en-AU" w:eastAsia="en-AU"/>
        </w:rPr>
        <w:t>functions</w:t>
      </w:r>
      <w:proofErr w:type="gramEnd"/>
      <w:r w:rsidRPr="00314655">
        <w:rPr>
          <w:rFonts w:cs="Calibri"/>
          <w:lang w:val="en-AU" w:eastAsia="en-AU"/>
        </w:rPr>
        <w:t xml:space="preserve"> and potential privacy law breaches</w:t>
      </w:r>
      <w:r w:rsidR="00AC0823">
        <w:rPr>
          <w:rFonts w:cs="Calibri"/>
          <w:lang w:val="en-AU" w:eastAsia="en-AU"/>
        </w:rPr>
        <w:t>.</w:t>
      </w:r>
    </w:p>
    <w:p w14:paraId="1D7B387D" w14:textId="64BB0715" w:rsidR="0011178E" w:rsidRPr="0011178E" w:rsidRDefault="0011178E" w:rsidP="007B0C45">
      <w:pPr>
        <w:autoSpaceDE w:val="0"/>
        <w:autoSpaceDN w:val="0"/>
        <w:adjustRightInd w:val="0"/>
        <w:spacing w:before="120" w:after="240"/>
        <w:rPr>
          <w:rFonts w:cs="Calibri"/>
          <w:u w:val="single"/>
          <w:lang w:val="en-AU" w:eastAsia="en-AU"/>
        </w:rPr>
      </w:pPr>
      <w:r>
        <w:rPr>
          <w:rFonts w:cs="Calibri"/>
          <w:u w:val="single"/>
          <w:lang w:val="en-AU" w:eastAsia="en-AU"/>
        </w:rPr>
        <w:t>Transparen</w:t>
      </w:r>
      <w:r w:rsidR="007B0C45">
        <w:rPr>
          <w:rFonts w:cs="Calibri"/>
          <w:u w:val="single"/>
          <w:lang w:val="en-AU" w:eastAsia="en-AU"/>
        </w:rPr>
        <w:t>cy</w:t>
      </w:r>
    </w:p>
    <w:p w14:paraId="06F8DF9F" w14:textId="548C1AD9" w:rsidR="0050272E" w:rsidRPr="0050272E" w:rsidRDefault="00AC0823" w:rsidP="0050272E">
      <w:pPr>
        <w:pStyle w:val="ListParagraph"/>
        <w:numPr>
          <w:ilvl w:val="0"/>
          <w:numId w:val="27"/>
        </w:numPr>
        <w:autoSpaceDE w:val="0"/>
        <w:autoSpaceDN w:val="0"/>
        <w:adjustRightInd w:val="0"/>
        <w:spacing w:before="120" w:after="240"/>
        <w:contextualSpacing w:val="0"/>
        <w:rPr>
          <w:rFonts w:cs="Calibri"/>
          <w:lang w:val="en-AU" w:eastAsia="en-AU"/>
        </w:rPr>
      </w:pPr>
      <w:r>
        <w:rPr>
          <w:rFonts w:cs="Calibri"/>
          <w:lang w:val="en-AU" w:eastAsia="en-AU"/>
        </w:rPr>
        <w:t>Communication is key when collecting information from individuals in any instance</w:t>
      </w:r>
      <w:r w:rsidR="0050272E">
        <w:rPr>
          <w:rFonts w:cs="Calibri"/>
          <w:lang w:val="en-AU" w:eastAsia="en-AU"/>
        </w:rPr>
        <w:t xml:space="preserve">. </w:t>
      </w:r>
      <w:r w:rsidRPr="0050272E">
        <w:rPr>
          <w:rFonts w:cs="Calibri"/>
          <w:lang w:val="en-AU" w:eastAsia="en-AU"/>
        </w:rPr>
        <w:t>When public sector organisations are proposing to share public sector data, it is important that they are transparent in their communication</w:t>
      </w:r>
      <w:r w:rsidR="00750170">
        <w:rPr>
          <w:rFonts w:cs="Calibri"/>
          <w:lang w:val="en-AU" w:eastAsia="en-AU"/>
        </w:rPr>
        <w:t xml:space="preserve"> with individuals about whom the data relates</w:t>
      </w:r>
      <w:r w:rsidRPr="0050272E">
        <w:rPr>
          <w:rFonts w:cs="Calibri"/>
          <w:lang w:val="en-AU" w:eastAsia="en-AU"/>
        </w:rPr>
        <w:t>.</w:t>
      </w:r>
    </w:p>
    <w:p w14:paraId="426C3752" w14:textId="68EA7E36" w:rsidR="0011178E" w:rsidRPr="0011178E" w:rsidRDefault="00AC0823" w:rsidP="007B0C45">
      <w:pPr>
        <w:pStyle w:val="ListParagraph"/>
        <w:numPr>
          <w:ilvl w:val="0"/>
          <w:numId w:val="27"/>
        </w:numPr>
        <w:autoSpaceDE w:val="0"/>
        <w:autoSpaceDN w:val="0"/>
        <w:adjustRightInd w:val="0"/>
        <w:spacing w:before="120" w:after="240"/>
        <w:contextualSpacing w:val="0"/>
        <w:rPr>
          <w:rFonts w:cs="Calibri"/>
          <w:lang w:val="en-AU" w:eastAsia="en-AU"/>
        </w:rPr>
      </w:pPr>
      <w:r>
        <w:rPr>
          <w:rFonts w:cs="Calibri"/>
          <w:lang w:val="en-AU" w:eastAsia="en-AU"/>
        </w:rPr>
        <w:t xml:space="preserve">They should advise </w:t>
      </w:r>
      <w:r w:rsidR="0011178E" w:rsidRPr="00314655">
        <w:rPr>
          <w:rFonts w:cs="Calibri"/>
          <w:lang w:val="en-AU" w:eastAsia="en-AU"/>
        </w:rPr>
        <w:t xml:space="preserve">individuals about when their data will be shared, including details </w:t>
      </w:r>
      <w:r>
        <w:rPr>
          <w:rFonts w:cs="Calibri"/>
          <w:lang w:val="en-AU" w:eastAsia="en-AU"/>
        </w:rPr>
        <w:t xml:space="preserve">the </w:t>
      </w:r>
      <w:r w:rsidR="0011178E" w:rsidRPr="00314655">
        <w:rPr>
          <w:rFonts w:cs="Calibri"/>
          <w:lang w:val="en-AU" w:eastAsia="en-AU"/>
        </w:rPr>
        <w:t>purpose of sharing that data, how their personal information will be protected in the process (i.e., what systems/processes have been put in place to protect them).</w:t>
      </w:r>
      <w:r w:rsidR="0011178E" w:rsidRPr="00314655">
        <w:t xml:space="preserve"> </w:t>
      </w:r>
    </w:p>
    <w:p w14:paraId="5280F26F" w14:textId="4DE1BCEB" w:rsidR="0050272E" w:rsidRPr="0050272E" w:rsidRDefault="00AC0823" w:rsidP="0050272E">
      <w:pPr>
        <w:pStyle w:val="ListParagraph"/>
        <w:numPr>
          <w:ilvl w:val="0"/>
          <w:numId w:val="27"/>
        </w:numPr>
        <w:spacing w:before="120" w:after="240"/>
        <w:contextualSpacing w:val="0"/>
        <w:rPr>
          <w:rFonts w:cs="Calibri"/>
          <w:lang w:val="en-AU" w:eastAsia="en-AU"/>
        </w:rPr>
      </w:pPr>
      <w:r>
        <w:rPr>
          <w:rFonts w:cs="Calibri"/>
          <w:lang w:val="en-AU" w:eastAsia="en-AU"/>
        </w:rPr>
        <w:t xml:space="preserve">It Is also just as critical that public sector organisations are </w:t>
      </w:r>
      <w:r w:rsidR="006B7901" w:rsidRPr="00314655">
        <w:rPr>
          <w:rFonts w:cs="Calibri"/>
          <w:lang w:val="en-AU" w:eastAsia="en-AU"/>
        </w:rPr>
        <w:t xml:space="preserve">transparent and honest when something does go wrong. </w:t>
      </w:r>
      <w:r w:rsidR="0050272E">
        <w:rPr>
          <w:rFonts w:cs="Calibri"/>
          <w:lang w:val="en-AU" w:eastAsia="en-AU"/>
        </w:rPr>
        <w:t xml:space="preserve">Where a data breach or risk of re-identification is likely to cause harm to individuals, it is important to communicate this to those individuals and, in some instances, to the </w:t>
      </w:r>
      <w:proofErr w:type="gramStart"/>
      <w:r w:rsidR="0050272E">
        <w:rPr>
          <w:rFonts w:cs="Calibri"/>
          <w:lang w:val="en-AU" w:eastAsia="en-AU"/>
        </w:rPr>
        <w:t>general public</w:t>
      </w:r>
      <w:proofErr w:type="gramEnd"/>
      <w:r w:rsidR="0050272E">
        <w:rPr>
          <w:rFonts w:cs="Calibri"/>
          <w:lang w:val="en-AU" w:eastAsia="en-AU"/>
        </w:rPr>
        <w:t>.</w:t>
      </w:r>
    </w:p>
    <w:p w14:paraId="600D28EA" w14:textId="2327EF96" w:rsidR="0050272E" w:rsidRDefault="006B7901" w:rsidP="007B0C45">
      <w:pPr>
        <w:pStyle w:val="ListParagraph"/>
        <w:numPr>
          <w:ilvl w:val="0"/>
          <w:numId w:val="27"/>
        </w:numPr>
        <w:spacing w:before="120" w:after="240"/>
        <w:contextualSpacing w:val="0"/>
        <w:rPr>
          <w:rFonts w:cs="Calibri"/>
          <w:lang w:val="en-AU" w:eastAsia="en-AU"/>
        </w:rPr>
      </w:pPr>
      <w:r w:rsidRPr="00314655">
        <w:rPr>
          <w:rFonts w:cs="Calibri"/>
          <w:lang w:val="en-AU" w:eastAsia="en-AU"/>
        </w:rPr>
        <w:t xml:space="preserve">It’s </w:t>
      </w:r>
      <w:r w:rsidR="0050272E">
        <w:rPr>
          <w:rFonts w:cs="Calibri"/>
          <w:lang w:val="en-AU" w:eastAsia="en-AU"/>
        </w:rPr>
        <w:t xml:space="preserve">also </w:t>
      </w:r>
      <w:r w:rsidRPr="00314655">
        <w:rPr>
          <w:rFonts w:cs="Calibri"/>
          <w:lang w:val="en-AU" w:eastAsia="en-AU"/>
        </w:rPr>
        <w:t xml:space="preserve">good practice to report data breaches to OVIC and we can provide guidance as required. </w:t>
      </w:r>
      <w:r w:rsidR="003646E2">
        <w:rPr>
          <w:rFonts w:cs="Calibri"/>
          <w:lang w:val="en-AU" w:eastAsia="en-AU"/>
        </w:rPr>
        <w:t>Victorian public sector o</w:t>
      </w:r>
      <w:r w:rsidRPr="00314655">
        <w:rPr>
          <w:rFonts w:cs="Calibri"/>
          <w:lang w:val="en-AU" w:eastAsia="en-AU"/>
        </w:rPr>
        <w:t>rganisations</w:t>
      </w:r>
      <w:r w:rsidR="00AC0823">
        <w:rPr>
          <w:rFonts w:cs="Calibri"/>
          <w:lang w:val="en-AU" w:eastAsia="en-AU"/>
        </w:rPr>
        <w:t xml:space="preserve"> also have</w:t>
      </w:r>
      <w:r w:rsidRPr="00314655">
        <w:rPr>
          <w:rFonts w:cs="Calibri"/>
          <w:lang w:val="en-AU" w:eastAsia="en-AU"/>
        </w:rPr>
        <w:t xml:space="preserve"> obligations under the </w:t>
      </w:r>
      <w:r w:rsidR="003646E2" w:rsidRPr="00834C9A">
        <w:t>Incident Notification Scheme</w:t>
      </w:r>
      <w:r w:rsidR="00834C9A">
        <w:t xml:space="preserve"> - established under the Victorian Protective Data Security Standards -</w:t>
      </w:r>
      <w:r w:rsidR="00834C9A" w:rsidRPr="00314655">
        <w:rPr>
          <w:rFonts w:cs="Calibri"/>
          <w:lang w:val="en-AU" w:eastAsia="en-AU"/>
        </w:rPr>
        <w:t xml:space="preserve"> </w:t>
      </w:r>
      <w:r w:rsidRPr="00314655">
        <w:rPr>
          <w:rFonts w:cs="Calibri"/>
          <w:lang w:val="en-AU" w:eastAsia="en-AU"/>
        </w:rPr>
        <w:t>to report certain information security incidents to OVIC</w:t>
      </w:r>
      <w:r w:rsidR="00AC0823">
        <w:rPr>
          <w:rFonts w:cs="Calibri"/>
          <w:lang w:val="en-AU" w:eastAsia="en-AU"/>
        </w:rPr>
        <w:t xml:space="preserve">. </w:t>
      </w:r>
    </w:p>
    <w:p w14:paraId="2E863EEB" w14:textId="5E7F4068" w:rsidR="0011178E" w:rsidRPr="0011178E" w:rsidRDefault="0011178E" w:rsidP="007B0C45">
      <w:pPr>
        <w:spacing w:before="120" w:after="240"/>
        <w:rPr>
          <w:rFonts w:cs="Calibri"/>
          <w:u w:val="single"/>
          <w:lang w:val="en-AU" w:eastAsia="en-AU"/>
        </w:rPr>
      </w:pPr>
      <w:r>
        <w:rPr>
          <w:rFonts w:cs="Calibri"/>
          <w:u w:val="single"/>
          <w:lang w:val="en-AU" w:eastAsia="en-AU"/>
        </w:rPr>
        <w:t>Strong privacy and security frameworks</w:t>
      </w:r>
    </w:p>
    <w:p w14:paraId="533FE9D5" w14:textId="433BC92D" w:rsidR="006B7901" w:rsidRPr="00314655" w:rsidRDefault="002A2B92" w:rsidP="007B0C45">
      <w:pPr>
        <w:pStyle w:val="ListParagraph"/>
        <w:numPr>
          <w:ilvl w:val="0"/>
          <w:numId w:val="27"/>
        </w:numPr>
        <w:spacing w:before="120" w:after="240"/>
        <w:contextualSpacing w:val="0"/>
        <w:rPr>
          <w:rFonts w:cs="Calibri"/>
          <w:lang w:val="en-AU" w:eastAsia="en-AU"/>
        </w:rPr>
      </w:pPr>
      <w:r>
        <w:rPr>
          <w:rFonts w:cs="Calibri"/>
          <w:lang w:val="en-AU" w:eastAsia="en-AU"/>
        </w:rPr>
        <w:t>Finally, s</w:t>
      </w:r>
      <w:r w:rsidR="006B7901" w:rsidRPr="00314655">
        <w:rPr>
          <w:rFonts w:cs="Calibri"/>
          <w:lang w:val="en-AU" w:eastAsia="en-AU"/>
        </w:rPr>
        <w:t xml:space="preserve">trong privacy and security frameworks </w:t>
      </w:r>
      <w:r w:rsidR="00750170">
        <w:rPr>
          <w:rFonts w:cs="Calibri"/>
          <w:lang w:val="en-AU" w:eastAsia="en-AU"/>
        </w:rPr>
        <w:t xml:space="preserve">are </w:t>
      </w:r>
      <w:r w:rsidR="006B7901" w:rsidRPr="00314655">
        <w:rPr>
          <w:rFonts w:cs="Calibri"/>
          <w:lang w:val="en-AU" w:eastAsia="en-AU"/>
        </w:rPr>
        <w:t xml:space="preserve">essential </w:t>
      </w:r>
      <w:r w:rsidR="008B0519">
        <w:rPr>
          <w:rFonts w:cs="Calibri"/>
          <w:lang w:val="en-AU" w:eastAsia="en-AU"/>
        </w:rPr>
        <w:t>to successfully</w:t>
      </w:r>
      <w:r w:rsidR="006B7901" w:rsidRPr="00314655">
        <w:rPr>
          <w:rFonts w:cs="Calibri"/>
          <w:lang w:val="en-AU" w:eastAsia="en-AU"/>
        </w:rPr>
        <w:t xml:space="preserve"> assuring </w:t>
      </w:r>
      <w:r w:rsidR="00750170">
        <w:rPr>
          <w:rFonts w:cs="Calibri"/>
          <w:lang w:val="en-AU" w:eastAsia="en-AU"/>
        </w:rPr>
        <w:t>the public</w:t>
      </w:r>
      <w:r w:rsidR="006B7901" w:rsidRPr="00314655">
        <w:rPr>
          <w:rFonts w:cs="Calibri"/>
          <w:lang w:val="en-AU" w:eastAsia="en-AU"/>
        </w:rPr>
        <w:t xml:space="preserve"> that their information will be protected</w:t>
      </w:r>
      <w:r w:rsidR="00750170">
        <w:rPr>
          <w:rFonts w:cs="Calibri"/>
          <w:lang w:val="en-AU" w:eastAsia="en-AU"/>
        </w:rPr>
        <w:t>, particularly where it is to be involved in part of a publicly available dataset.</w:t>
      </w:r>
    </w:p>
    <w:p w14:paraId="7D9D24C6" w14:textId="3ACA1E9E" w:rsidR="00750170" w:rsidRDefault="006B7901" w:rsidP="007B0C45">
      <w:pPr>
        <w:pStyle w:val="ListParagraph"/>
        <w:numPr>
          <w:ilvl w:val="0"/>
          <w:numId w:val="27"/>
        </w:numPr>
        <w:spacing w:before="120" w:after="240"/>
        <w:contextualSpacing w:val="0"/>
        <w:rPr>
          <w:rFonts w:cs="Calibri"/>
          <w:lang w:val="en-AU" w:eastAsia="en-AU"/>
        </w:rPr>
      </w:pPr>
      <w:r w:rsidRPr="00314655">
        <w:rPr>
          <w:rFonts w:cs="Calibri"/>
          <w:lang w:val="en-AU" w:eastAsia="en-AU"/>
        </w:rPr>
        <w:t>This means</w:t>
      </w:r>
      <w:r w:rsidR="003646E2">
        <w:rPr>
          <w:rFonts w:cs="Calibri"/>
          <w:lang w:val="en-AU" w:eastAsia="en-AU"/>
        </w:rPr>
        <w:t xml:space="preserve"> public sector organisations should</w:t>
      </w:r>
      <w:r w:rsidR="00750170">
        <w:rPr>
          <w:rFonts w:cs="Calibri"/>
          <w:lang w:val="en-AU" w:eastAsia="en-AU"/>
        </w:rPr>
        <w:t>:</w:t>
      </w:r>
    </w:p>
    <w:p w14:paraId="0F0FCAD8" w14:textId="740651C7" w:rsidR="00750170" w:rsidRDefault="003012DC" w:rsidP="00750170">
      <w:pPr>
        <w:pStyle w:val="ListParagraph"/>
        <w:numPr>
          <w:ilvl w:val="1"/>
          <w:numId w:val="27"/>
        </w:numPr>
        <w:spacing w:before="120" w:after="240"/>
        <w:contextualSpacing w:val="0"/>
        <w:rPr>
          <w:rFonts w:cs="Calibri"/>
          <w:lang w:val="en-AU" w:eastAsia="en-AU"/>
        </w:rPr>
      </w:pPr>
      <w:r>
        <w:rPr>
          <w:rFonts w:cs="Calibri"/>
          <w:lang w:val="en-AU" w:eastAsia="en-AU"/>
        </w:rPr>
        <w:t>H</w:t>
      </w:r>
      <w:r w:rsidR="006B7901" w:rsidRPr="00314655">
        <w:rPr>
          <w:rFonts w:cs="Calibri"/>
          <w:lang w:val="en-AU" w:eastAsia="en-AU"/>
        </w:rPr>
        <w:t>av</w:t>
      </w:r>
      <w:r w:rsidR="003646E2">
        <w:rPr>
          <w:rFonts w:cs="Calibri"/>
          <w:lang w:val="en-AU" w:eastAsia="en-AU"/>
        </w:rPr>
        <w:t>e</w:t>
      </w:r>
      <w:r w:rsidR="006B7901" w:rsidRPr="00314655">
        <w:rPr>
          <w:rFonts w:cs="Calibri"/>
          <w:lang w:val="en-AU" w:eastAsia="en-AU"/>
        </w:rPr>
        <w:t xml:space="preserve"> privacy and security protections entrenched in the design of data sharing systems;</w:t>
      </w:r>
    </w:p>
    <w:p w14:paraId="55BFA84C" w14:textId="317C3B27" w:rsidR="003012DC" w:rsidRDefault="003012DC" w:rsidP="00750170">
      <w:pPr>
        <w:pStyle w:val="ListParagraph"/>
        <w:numPr>
          <w:ilvl w:val="1"/>
          <w:numId w:val="27"/>
        </w:numPr>
        <w:spacing w:before="120" w:after="240"/>
        <w:contextualSpacing w:val="0"/>
        <w:rPr>
          <w:rFonts w:cs="Calibri"/>
          <w:lang w:val="en-AU" w:eastAsia="en-AU"/>
        </w:rPr>
      </w:pPr>
      <w:r>
        <w:rPr>
          <w:rFonts w:cs="Calibri"/>
          <w:lang w:val="en-AU" w:eastAsia="en-AU"/>
        </w:rPr>
        <w:t>C</w:t>
      </w:r>
      <w:r w:rsidR="006B7901" w:rsidRPr="00314655">
        <w:rPr>
          <w:rFonts w:cs="Calibri"/>
          <w:lang w:val="en-AU" w:eastAsia="en-AU"/>
        </w:rPr>
        <w:t>onduct independent privacy and security impact assessments;</w:t>
      </w:r>
    </w:p>
    <w:p w14:paraId="3834EAAA" w14:textId="05F60463" w:rsidR="003012DC" w:rsidRDefault="003012DC" w:rsidP="00750170">
      <w:pPr>
        <w:pStyle w:val="ListParagraph"/>
        <w:numPr>
          <w:ilvl w:val="1"/>
          <w:numId w:val="27"/>
        </w:numPr>
        <w:spacing w:before="120" w:after="240"/>
        <w:contextualSpacing w:val="0"/>
        <w:rPr>
          <w:rFonts w:cs="Calibri"/>
          <w:lang w:val="en-AU" w:eastAsia="en-AU"/>
        </w:rPr>
      </w:pPr>
      <w:r>
        <w:rPr>
          <w:rFonts w:cs="Calibri"/>
          <w:lang w:val="en-AU" w:eastAsia="en-AU"/>
        </w:rPr>
        <w:t>P</w:t>
      </w:r>
      <w:r w:rsidR="006B7901" w:rsidRPr="00314655">
        <w:rPr>
          <w:rFonts w:cs="Calibri"/>
          <w:lang w:val="en-AU" w:eastAsia="en-AU"/>
        </w:rPr>
        <w:t>rovid</w:t>
      </w:r>
      <w:r w:rsidR="003646E2">
        <w:rPr>
          <w:rFonts w:cs="Calibri"/>
          <w:lang w:val="en-AU" w:eastAsia="en-AU"/>
        </w:rPr>
        <w:t>e</w:t>
      </w:r>
      <w:r w:rsidR="006B7901" w:rsidRPr="00314655">
        <w:rPr>
          <w:rFonts w:cs="Calibri"/>
          <w:lang w:val="en-AU" w:eastAsia="en-AU"/>
        </w:rPr>
        <w:t xml:space="preserve"> clear and transparent privacy policies to </w:t>
      </w:r>
      <w:r w:rsidR="00750170">
        <w:rPr>
          <w:rFonts w:cs="Calibri"/>
          <w:lang w:val="en-AU" w:eastAsia="en-AU"/>
        </w:rPr>
        <w:t>the public</w:t>
      </w:r>
      <w:r w:rsidR="006B7901" w:rsidRPr="00314655">
        <w:rPr>
          <w:rFonts w:cs="Calibri"/>
          <w:lang w:val="en-AU" w:eastAsia="en-AU"/>
        </w:rPr>
        <w:t xml:space="preserve">; </w:t>
      </w:r>
      <w:r>
        <w:rPr>
          <w:rFonts w:cs="Calibri"/>
          <w:lang w:val="en-AU" w:eastAsia="en-AU"/>
        </w:rPr>
        <w:t>and</w:t>
      </w:r>
    </w:p>
    <w:p w14:paraId="4E18DCEC" w14:textId="4A130CCD" w:rsidR="006B7901" w:rsidRDefault="003012DC" w:rsidP="00750170">
      <w:pPr>
        <w:pStyle w:val="ListParagraph"/>
        <w:numPr>
          <w:ilvl w:val="1"/>
          <w:numId w:val="27"/>
        </w:numPr>
        <w:spacing w:before="120" w:after="240"/>
        <w:contextualSpacing w:val="0"/>
        <w:rPr>
          <w:rFonts w:cs="Calibri"/>
          <w:lang w:val="en-AU" w:eastAsia="en-AU"/>
        </w:rPr>
      </w:pPr>
      <w:r>
        <w:rPr>
          <w:rFonts w:cs="Calibri"/>
          <w:lang w:val="en-AU" w:eastAsia="en-AU"/>
        </w:rPr>
        <w:t>P</w:t>
      </w:r>
      <w:r w:rsidR="006B7901" w:rsidRPr="00314655">
        <w:rPr>
          <w:rFonts w:cs="Calibri"/>
          <w:lang w:val="en-AU" w:eastAsia="en-AU"/>
        </w:rPr>
        <w:t xml:space="preserve">ut in place strict parameters around the collection, use and sharing of </w:t>
      </w:r>
      <w:r w:rsidR="00750170">
        <w:rPr>
          <w:rFonts w:cs="Calibri"/>
          <w:lang w:val="en-AU" w:eastAsia="en-AU"/>
        </w:rPr>
        <w:t>their</w:t>
      </w:r>
      <w:r w:rsidR="006B7901" w:rsidRPr="00314655">
        <w:rPr>
          <w:rFonts w:cs="Calibri"/>
          <w:lang w:val="en-AU" w:eastAsia="en-AU"/>
        </w:rPr>
        <w:t xml:space="preserve"> information. </w:t>
      </w:r>
    </w:p>
    <w:p w14:paraId="06954D2F" w14:textId="438A3BEE" w:rsidR="0011178E" w:rsidRPr="00314655" w:rsidRDefault="003012DC" w:rsidP="003012DC">
      <w:pPr>
        <w:pStyle w:val="ListParagraph"/>
        <w:numPr>
          <w:ilvl w:val="0"/>
          <w:numId w:val="27"/>
        </w:numPr>
        <w:spacing w:before="120" w:after="240"/>
        <w:contextualSpacing w:val="0"/>
        <w:rPr>
          <w:rFonts w:cs="Calibri"/>
          <w:lang w:val="en-AU" w:eastAsia="en-AU"/>
        </w:rPr>
      </w:pPr>
      <w:r>
        <w:rPr>
          <w:rFonts w:cs="Calibri"/>
          <w:lang w:val="en-AU" w:eastAsia="en-AU"/>
        </w:rPr>
        <w:t xml:space="preserve">An example of an internationally recognised privacy and security framework for managing the risks of data sharing is the Five Safes Framework. It is a multi-dimensional approach to managing disclosure risk that focuses on the concepts of safe people, safe projects, safe settings, safe data and save outputs. </w:t>
      </w:r>
    </w:p>
    <w:p w14:paraId="070B82A4" w14:textId="1BB1C942" w:rsidR="002E48DF" w:rsidRDefault="003012DC" w:rsidP="003012DC">
      <w:pPr>
        <w:pStyle w:val="ListParagraph"/>
        <w:numPr>
          <w:ilvl w:val="0"/>
          <w:numId w:val="27"/>
        </w:numPr>
        <w:spacing w:before="120" w:after="240"/>
        <w:contextualSpacing w:val="0"/>
        <w:rPr>
          <w:rFonts w:cs="Calibri"/>
          <w:lang w:val="en-AU" w:eastAsia="en-AU"/>
        </w:rPr>
      </w:pPr>
      <w:r>
        <w:rPr>
          <w:rFonts w:cs="Calibri"/>
          <w:lang w:val="en-AU" w:eastAsia="en-AU"/>
        </w:rPr>
        <w:t xml:space="preserve">OVIC </w:t>
      </w:r>
      <w:r w:rsidR="00834C9A">
        <w:rPr>
          <w:rFonts w:cs="Calibri"/>
          <w:lang w:val="en-AU" w:eastAsia="en-AU"/>
        </w:rPr>
        <w:t xml:space="preserve">has </w:t>
      </w:r>
      <w:proofErr w:type="gramStart"/>
      <w:r w:rsidR="00834C9A">
        <w:rPr>
          <w:rFonts w:cs="Calibri"/>
          <w:lang w:val="en-AU" w:eastAsia="en-AU"/>
        </w:rPr>
        <w:t>a number of</w:t>
      </w:r>
      <w:proofErr w:type="gramEnd"/>
      <w:r w:rsidR="00834C9A">
        <w:rPr>
          <w:rFonts w:cs="Calibri"/>
          <w:lang w:val="en-AU" w:eastAsia="en-AU"/>
        </w:rPr>
        <w:t xml:space="preserve"> </w:t>
      </w:r>
      <w:r>
        <w:rPr>
          <w:rFonts w:cs="Calibri"/>
          <w:lang w:val="en-AU" w:eastAsia="en-AU"/>
        </w:rPr>
        <w:t>frameworks</w:t>
      </w:r>
      <w:r w:rsidR="008B0519">
        <w:rPr>
          <w:rFonts w:cs="Calibri"/>
          <w:lang w:val="en-AU" w:eastAsia="en-AU"/>
        </w:rPr>
        <w:t xml:space="preserve"> and resources</w:t>
      </w:r>
      <w:r>
        <w:rPr>
          <w:rFonts w:cs="Calibri"/>
          <w:lang w:val="en-AU" w:eastAsia="en-AU"/>
        </w:rPr>
        <w:t xml:space="preserve"> designed to enable</w:t>
      </w:r>
      <w:r w:rsidR="008B0519">
        <w:rPr>
          <w:rFonts w:cs="Calibri"/>
          <w:lang w:val="en-AU" w:eastAsia="en-AU"/>
        </w:rPr>
        <w:t xml:space="preserve"> Victorian</w:t>
      </w:r>
      <w:r>
        <w:rPr>
          <w:rFonts w:cs="Calibri"/>
          <w:lang w:val="en-AU" w:eastAsia="en-AU"/>
        </w:rPr>
        <w:t xml:space="preserve"> public sector organisations to uphold the privacy of individuals</w:t>
      </w:r>
      <w:r w:rsidR="002E48DF">
        <w:rPr>
          <w:rFonts w:cs="Calibri"/>
          <w:lang w:val="en-AU" w:eastAsia="en-AU"/>
        </w:rPr>
        <w:t xml:space="preserve"> and encourage accountability and trust in government</w:t>
      </w:r>
      <w:r>
        <w:rPr>
          <w:rFonts w:cs="Calibri"/>
          <w:lang w:val="en-AU" w:eastAsia="en-AU"/>
        </w:rPr>
        <w:t>.</w:t>
      </w:r>
    </w:p>
    <w:p w14:paraId="71462266" w14:textId="6E32AA2B" w:rsidR="002E48DF" w:rsidRDefault="003012DC" w:rsidP="002E48DF">
      <w:pPr>
        <w:pStyle w:val="ListParagraph"/>
        <w:numPr>
          <w:ilvl w:val="1"/>
          <w:numId w:val="27"/>
        </w:numPr>
        <w:spacing w:before="120" w:after="240"/>
        <w:contextualSpacing w:val="0"/>
        <w:rPr>
          <w:rFonts w:cs="Calibri"/>
          <w:lang w:val="en-AU" w:eastAsia="en-AU"/>
        </w:rPr>
      </w:pPr>
      <w:r>
        <w:rPr>
          <w:rFonts w:cs="Calibri"/>
          <w:lang w:val="en-AU" w:eastAsia="en-AU"/>
        </w:rPr>
        <w:t>F</w:t>
      </w:r>
      <w:r w:rsidR="002E48DF">
        <w:rPr>
          <w:rFonts w:cs="Calibri"/>
          <w:lang w:val="en-AU" w:eastAsia="en-AU"/>
        </w:rPr>
        <w:t>or example, OVIC</w:t>
      </w:r>
      <w:r w:rsidR="002A2B92">
        <w:rPr>
          <w:rFonts w:cs="Calibri"/>
          <w:lang w:val="en-AU" w:eastAsia="en-AU"/>
        </w:rPr>
        <w:t>’s</w:t>
      </w:r>
      <w:r w:rsidR="002E48DF">
        <w:rPr>
          <w:rFonts w:cs="Calibri"/>
          <w:lang w:val="en-AU" w:eastAsia="en-AU"/>
        </w:rPr>
        <w:t xml:space="preserve"> Privacy Management Framework provide</w:t>
      </w:r>
      <w:r w:rsidR="002A2B92">
        <w:rPr>
          <w:rFonts w:cs="Calibri"/>
          <w:lang w:val="en-AU" w:eastAsia="en-AU"/>
        </w:rPr>
        <w:t>s</w:t>
      </w:r>
      <w:r w:rsidR="002E48DF">
        <w:rPr>
          <w:rFonts w:cs="Calibri"/>
          <w:lang w:val="en-AU" w:eastAsia="en-AU"/>
        </w:rPr>
        <w:t xml:space="preserve"> guidance on the policies and procedures that promote good privacy practices within </w:t>
      </w:r>
      <w:r w:rsidR="003646E2">
        <w:rPr>
          <w:rFonts w:cs="Calibri"/>
          <w:lang w:val="en-AU" w:eastAsia="en-AU"/>
        </w:rPr>
        <w:t xml:space="preserve">public sector </w:t>
      </w:r>
      <w:r w:rsidR="002E48DF">
        <w:rPr>
          <w:rFonts w:cs="Calibri"/>
          <w:lang w:val="en-AU" w:eastAsia="en-AU"/>
        </w:rPr>
        <w:t>organisation</w:t>
      </w:r>
      <w:r w:rsidR="003646E2">
        <w:rPr>
          <w:rFonts w:cs="Calibri"/>
          <w:lang w:val="en-AU" w:eastAsia="en-AU"/>
        </w:rPr>
        <w:t>s</w:t>
      </w:r>
      <w:r w:rsidR="002E48DF">
        <w:rPr>
          <w:rFonts w:cs="Calibri"/>
          <w:lang w:val="en-AU" w:eastAsia="en-AU"/>
        </w:rPr>
        <w:t>.</w:t>
      </w:r>
    </w:p>
    <w:p w14:paraId="078B3D60" w14:textId="0E82B6E8" w:rsidR="002A2B92" w:rsidRDefault="003646E2" w:rsidP="002E48DF">
      <w:pPr>
        <w:pStyle w:val="ListParagraph"/>
        <w:numPr>
          <w:ilvl w:val="1"/>
          <w:numId w:val="27"/>
        </w:numPr>
        <w:spacing w:before="120" w:after="240"/>
        <w:contextualSpacing w:val="0"/>
        <w:rPr>
          <w:rFonts w:cs="Calibri"/>
          <w:lang w:val="en-AU" w:eastAsia="en-AU"/>
        </w:rPr>
      </w:pPr>
      <w:r>
        <w:rPr>
          <w:rFonts w:cs="Calibri"/>
          <w:lang w:val="en-AU" w:eastAsia="en-AU"/>
        </w:rPr>
        <w:t>OVIC’s p</w:t>
      </w:r>
      <w:r w:rsidR="002A2B92">
        <w:rPr>
          <w:rFonts w:cs="Calibri"/>
          <w:lang w:val="en-AU" w:eastAsia="en-AU"/>
        </w:rPr>
        <w:t>rivacy impact assessment template and guide</w:t>
      </w:r>
      <w:r>
        <w:rPr>
          <w:rFonts w:cs="Calibri"/>
          <w:lang w:val="en-AU" w:eastAsia="en-AU"/>
        </w:rPr>
        <w:t xml:space="preserve"> support public sector organisations to identify, assess and address any potential privacy impacts of their products and services.</w:t>
      </w:r>
    </w:p>
    <w:p w14:paraId="3B32FA2D" w14:textId="685C1E41" w:rsidR="002E48DF" w:rsidRPr="002E48DF" w:rsidRDefault="002E48DF" w:rsidP="002E48DF">
      <w:pPr>
        <w:pStyle w:val="ListParagraph"/>
        <w:numPr>
          <w:ilvl w:val="1"/>
          <w:numId w:val="27"/>
        </w:numPr>
        <w:spacing w:before="120" w:after="240"/>
        <w:contextualSpacing w:val="0"/>
        <w:rPr>
          <w:rFonts w:cs="Calibri"/>
          <w:lang w:val="en-AU" w:eastAsia="en-AU"/>
        </w:rPr>
      </w:pPr>
      <w:r w:rsidRPr="002E48DF">
        <w:rPr>
          <w:rFonts w:cs="Calibri"/>
          <w:lang w:eastAsia="en-AU"/>
        </w:rPr>
        <w:t>The Victorian Protective Data Security Standards (VPDSS) establish 12 high level mandatory requirements to protect public sector information across all security areas including governance, information, personnel, Information Communications Technology (ICT) and physical security</w:t>
      </w:r>
      <w:r>
        <w:rPr>
          <w:rFonts w:cs="Calibri"/>
          <w:lang w:eastAsia="en-AU"/>
        </w:rPr>
        <w:t>.</w:t>
      </w:r>
    </w:p>
    <w:p w14:paraId="46E5C675" w14:textId="7DC1E2EA" w:rsidR="002E48DF" w:rsidRDefault="002A2B92" w:rsidP="004D6084">
      <w:pPr>
        <w:pStyle w:val="ListParagraph"/>
        <w:numPr>
          <w:ilvl w:val="1"/>
          <w:numId w:val="27"/>
        </w:numPr>
        <w:spacing w:before="120" w:after="240"/>
        <w:contextualSpacing w:val="0"/>
        <w:rPr>
          <w:rFonts w:cs="Calibri"/>
          <w:lang w:val="en-AU" w:eastAsia="en-AU"/>
        </w:rPr>
      </w:pPr>
      <w:r>
        <w:rPr>
          <w:rFonts w:cs="Calibri"/>
          <w:lang w:eastAsia="en-AU"/>
        </w:rPr>
        <w:t xml:space="preserve">And </w:t>
      </w:r>
      <w:r w:rsidR="002E48DF">
        <w:rPr>
          <w:rFonts w:cs="Calibri"/>
          <w:lang w:eastAsia="en-AU"/>
        </w:rPr>
        <w:t xml:space="preserve">the </w:t>
      </w:r>
      <w:r w:rsidR="002E48DF" w:rsidRPr="002E48DF">
        <w:rPr>
          <w:rFonts w:cs="Calibri"/>
          <w:lang w:eastAsia="en-AU"/>
        </w:rPr>
        <w:t>Victorian Protective Data Security Framework (VPDSF)</w:t>
      </w:r>
      <w:r w:rsidR="002E48DF">
        <w:rPr>
          <w:rFonts w:cs="Calibri"/>
          <w:lang w:eastAsia="en-AU"/>
        </w:rPr>
        <w:t xml:space="preserve"> provide</w:t>
      </w:r>
      <w:r w:rsidR="00D76428">
        <w:rPr>
          <w:rFonts w:cs="Calibri"/>
          <w:lang w:eastAsia="en-AU"/>
        </w:rPr>
        <w:t>s</w:t>
      </w:r>
      <w:r w:rsidR="002E48DF" w:rsidRPr="002E48DF">
        <w:rPr>
          <w:rFonts w:cs="Calibri"/>
          <w:lang w:eastAsia="en-AU"/>
        </w:rPr>
        <w:t xml:space="preserve"> direction to Victorian public sector (VPS) agencies or bodies on their data security obligations</w:t>
      </w:r>
      <w:r w:rsidR="002E48DF">
        <w:rPr>
          <w:rFonts w:cs="Calibri"/>
          <w:lang w:eastAsia="en-AU"/>
        </w:rPr>
        <w:t xml:space="preserve"> and </w:t>
      </w:r>
      <w:r w:rsidR="002E48DF" w:rsidRPr="002E48DF">
        <w:rPr>
          <w:rFonts w:cs="Calibri"/>
          <w:lang w:eastAsia="en-AU"/>
        </w:rPr>
        <w:t xml:space="preserve">build security risk management capability and maturity </w:t>
      </w:r>
      <w:proofErr w:type="gramStart"/>
      <w:r w:rsidR="002E48DF" w:rsidRPr="002E48DF">
        <w:rPr>
          <w:rFonts w:cs="Calibri"/>
          <w:lang w:eastAsia="en-AU"/>
        </w:rPr>
        <w:t>through the use of</w:t>
      </w:r>
      <w:proofErr w:type="gramEnd"/>
      <w:r w:rsidR="002E48DF" w:rsidRPr="002E48DF">
        <w:rPr>
          <w:rFonts w:cs="Calibri"/>
          <w:lang w:eastAsia="en-AU"/>
        </w:rPr>
        <w:t xml:space="preserve"> existing risk management principles and guidelines.</w:t>
      </w:r>
    </w:p>
    <w:p w14:paraId="727220C1" w14:textId="01F4E0AC" w:rsidR="008A55F0" w:rsidRDefault="008A55F0" w:rsidP="00C5244C">
      <w:pPr>
        <w:pStyle w:val="ListParagraph"/>
        <w:widowControl w:val="0"/>
        <w:suppressAutoHyphens/>
        <w:autoSpaceDE w:val="0"/>
        <w:autoSpaceDN w:val="0"/>
        <w:adjustRightInd w:val="0"/>
        <w:spacing w:before="120" w:after="240" w:line="276" w:lineRule="auto"/>
        <w:ind w:left="0"/>
        <w:contextualSpacing w:val="0"/>
        <w:textAlignment w:val="center"/>
        <w:rPr>
          <w:rFonts w:cs="Calibri"/>
          <w:lang w:val="en-AU" w:eastAsia="en-AU"/>
        </w:rPr>
      </w:pPr>
      <w:r>
        <w:rPr>
          <w:rFonts w:cs="Calibri"/>
          <w:lang w:val="en-AU" w:eastAsia="en-AU"/>
        </w:rPr>
        <w:t>Thank you.</w:t>
      </w:r>
    </w:p>
    <w:p w14:paraId="1FAC2428" w14:textId="63CDFEAB" w:rsidR="008A55F0" w:rsidRPr="0011178E" w:rsidRDefault="008A55F0" w:rsidP="00C5244C">
      <w:pPr>
        <w:pStyle w:val="ListParagraph"/>
        <w:numPr>
          <w:ilvl w:val="1"/>
          <w:numId w:val="27"/>
        </w:numPr>
        <w:spacing w:before="120" w:after="240"/>
        <w:contextualSpacing w:val="0"/>
        <w:rPr>
          <w:rFonts w:cs="Calibri"/>
          <w:lang w:val="en-AU" w:eastAsia="en-AU"/>
        </w:rPr>
      </w:pPr>
    </w:p>
    <w:sectPr w:rsidR="008A55F0" w:rsidRPr="0011178E" w:rsidSect="005754AC">
      <w:headerReference w:type="default" r:id="rId8"/>
      <w:footerReference w:type="default" r:id="rId9"/>
      <w:headerReference w:type="first" r:id="rId10"/>
      <w:footerReference w:type="first" r:id="rId11"/>
      <w:endnotePr>
        <w:numFmt w:val="decimal"/>
      </w:endnotePr>
      <w:type w:val="continuous"/>
      <w:pgSz w:w="11900" w:h="16840"/>
      <w:pgMar w:top="1134" w:right="1134" w:bottom="1134" w:left="1134" w:header="850" w:footer="51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899F9" w14:textId="77777777" w:rsidR="0027443A" w:rsidRDefault="0027443A" w:rsidP="00B53C78">
      <w:r>
        <w:separator/>
      </w:r>
    </w:p>
  </w:endnote>
  <w:endnote w:type="continuationSeparator" w:id="0">
    <w:p w14:paraId="5C302622" w14:textId="77777777" w:rsidR="0027443A" w:rsidRDefault="0027443A" w:rsidP="00B53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ostGrotesk-Book">
    <w:altName w:val="Times New Roman"/>
    <w:charset w:val="00"/>
    <w:family w:val="auto"/>
    <w:pitch w:val="variable"/>
    <w:sig w:usb0="00000001" w:usb1="500160FB" w:usb2="00000000" w:usb3="00000000" w:csb0="0000009B" w:csb1="00000000"/>
  </w:font>
  <w:font w:name="MinionPro-Regular">
    <w:altName w:val="Times New Roman"/>
    <w:charset w:val="00"/>
    <w:family w:val="auto"/>
    <w:pitch w:val="variable"/>
    <w:sig w:usb0="00000001" w:usb1="00000001" w:usb2="00000000" w:usb3="00000000" w:csb0="0000019F" w:csb1="00000000"/>
  </w:font>
  <w:font w:name="PostGrotesk-Medium">
    <w:altName w:val="Times New Roman"/>
    <w:charset w:val="00"/>
    <w:family w:val="auto"/>
    <w:pitch w:val="variable"/>
    <w:sig w:usb0="00000001" w:usb1="5001607B" w:usb2="00000000" w:usb3="00000000" w:csb0="00000193" w:csb1="00000000"/>
  </w:font>
  <w:font w:name="Arial">
    <w:panose1 w:val="020B0604020202020204"/>
    <w:charset w:val="00"/>
    <w:family w:val="swiss"/>
    <w:pitch w:val="variable"/>
    <w:sig w:usb0="E0002EFF" w:usb1="C000785B" w:usb2="00000009" w:usb3="00000000" w:csb0="000001FF" w:csb1="00000000"/>
  </w:font>
  <w:font w:name="National-Book">
    <w:altName w:val="Times New Roman"/>
    <w:charset w:val="00"/>
    <w:family w:val="auto"/>
    <w:pitch w:val="variable"/>
    <w:sig w:usb0="00000001" w:usb1="5000207B" w:usb2="0000001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56B66" w14:textId="77777777" w:rsidR="00E606BA" w:rsidRPr="008C301D" w:rsidRDefault="00E606BA" w:rsidP="00E606BA">
    <w:pPr>
      <w:pStyle w:val="Footer"/>
      <w:tabs>
        <w:tab w:val="clear" w:pos="4513"/>
        <w:tab w:val="clear" w:pos="9026"/>
        <w:tab w:val="center" w:pos="9632"/>
      </w:tabs>
      <w:spacing w:before="120"/>
      <w:ind w:right="-7"/>
      <w:rPr>
        <w:rFonts w:cs="Arial"/>
        <w:sz w:val="18"/>
        <w:szCs w:val="22"/>
      </w:rPr>
    </w:pPr>
    <w:r w:rsidRPr="008C301D">
      <w:rPr>
        <w:rFonts w:cs="Arial"/>
        <w:sz w:val="18"/>
        <w:szCs w:val="22"/>
      </w:rPr>
      <w:t xml:space="preserve">Freedom of Information </w:t>
    </w:r>
    <w:r w:rsidRPr="008C301D">
      <w:rPr>
        <w:rFonts w:cs="Arial"/>
        <w:color w:val="E5007D"/>
        <w:sz w:val="18"/>
        <w:szCs w:val="22"/>
      </w:rPr>
      <w:t>|</w:t>
    </w:r>
    <w:r w:rsidRPr="008C301D">
      <w:rPr>
        <w:rFonts w:cs="Arial"/>
        <w:sz w:val="18"/>
        <w:szCs w:val="22"/>
      </w:rPr>
      <w:t xml:space="preserve"> Privacy </w:t>
    </w:r>
    <w:r w:rsidRPr="008C301D">
      <w:rPr>
        <w:rFonts w:cs="Arial"/>
        <w:color w:val="E5007D"/>
        <w:sz w:val="18"/>
        <w:szCs w:val="22"/>
      </w:rPr>
      <w:t>|</w:t>
    </w:r>
    <w:r w:rsidRPr="008C301D">
      <w:rPr>
        <w:rFonts w:cs="Arial"/>
        <w:sz w:val="18"/>
        <w:szCs w:val="22"/>
      </w:rPr>
      <w:t xml:space="preserve"> Data Protection</w:t>
    </w:r>
    <w:r w:rsidRPr="008C301D">
      <w:rPr>
        <w:sz w:val="21"/>
        <w:szCs w:val="22"/>
      </w:rPr>
      <w:tab/>
    </w:r>
    <w:r w:rsidRPr="008C301D">
      <w:rPr>
        <w:rFonts w:cs="Arial"/>
        <w:sz w:val="18"/>
        <w:szCs w:val="22"/>
      </w:rPr>
      <w:fldChar w:fldCharType="begin"/>
    </w:r>
    <w:r w:rsidRPr="008C301D">
      <w:rPr>
        <w:rFonts w:cs="Arial"/>
        <w:sz w:val="18"/>
        <w:szCs w:val="22"/>
      </w:rPr>
      <w:instrText xml:space="preserve"> PAGE  \* Arabic  \* MERGEFORMAT </w:instrText>
    </w:r>
    <w:r w:rsidRPr="008C301D">
      <w:rPr>
        <w:rFonts w:cs="Arial"/>
        <w:sz w:val="18"/>
        <w:szCs w:val="22"/>
      </w:rPr>
      <w:fldChar w:fldCharType="separate"/>
    </w:r>
    <w:r>
      <w:rPr>
        <w:rFonts w:cs="Arial"/>
        <w:sz w:val="18"/>
        <w:szCs w:val="22"/>
      </w:rPr>
      <w:t>1</w:t>
    </w:r>
    <w:r w:rsidRPr="008C301D">
      <w:rPr>
        <w:rFonts w:cs="Arial"/>
        <w:sz w:val="18"/>
        <w:szCs w:val="22"/>
      </w:rPr>
      <w:fldChar w:fldCharType="end"/>
    </w:r>
    <w:r w:rsidRPr="008C301D">
      <w:rPr>
        <w:rFonts w:cs="Arial"/>
        <w:sz w:val="18"/>
        <w:szCs w:val="22"/>
      </w:rPr>
      <w:t xml:space="preserve"> of </w:t>
    </w:r>
    <w:r w:rsidRPr="008C301D">
      <w:rPr>
        <w:rFonts w:cs="Arial"/>
        <w:sz w:val="18"/>
        <w:szCs w:val="22"/>
      </w:rPr>
      <w:fldChar w:fldCharType="begin"/>
    </w:r>
    <w:r w:rsidRPr="008C301D">
      <w:rPr>
        <w:rFonts w:cs="Arial"/>
        <w:sz w:val="18"/>
        <w:szCs w:val="22"/>
      </w:rPr>
      <w:instrText xml:space="preserve"> NUMPAGES  \* Arabic  \* MERGEFORMAT </w:instrText>
    </w:r>
    <w:r w:rsidRPr="008C301D">
      <w:rPr>
        <w:rFonts w:cs="Arial"/>
        <w:sz w:val="18"/>
        <w:szCs w:val="22"/>
      </w:rPr>
      <w:fldChar w:fldCharType="separate"/>
    </w:r>
    <w:r>
      <w:rPr>
        <w:rFonts w:cs="Arial"/>
        <w:sz w:val="18"/>
        <w:szCs w:val="22"/>
      </w:rPr>
      <w:t>3</w:t>
    </w:r>
    <w:r w:rsidRPr="008C301D">
      <w:rPr>
        <w:rFonts w:cs="Arial"/>
        <w:sz w:val="18"/>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6514A" w14:textId="77777777" w:rsidR="00BD07DC" w:rsidRPr="008C301D" w:rsidRDefault="008C301D" w:rsidP="008C301D">
    <w:pPr>
      <w:pStyle w:val="Footer"/>
      <w:tabs>
        <w:tab w:val="clear" w:pos="4513"/>
        <w:tab w:val="clear" w:pos="9026"/>
        <w:tab w:val="center" w:pos="9632"/>
      </w:tabs>
      <w:spacing w:before="120"/>
      <w:ind w:right="-7"/>
      <w:rPr>
        <w:rFonts w:cs="Arial"/>
        <w:sz w:val="18"/>
        <w:szCs w:val="22"/>
      </w:rPr>
    </w:pPr>
    <w:r w:rsidRPr="008C301D">
      <w:rPr>
        <w:rFonts w:cs="Arial"/>
        <w:sz w:val="18"/>
        <w:szCs w:val="22"/>
      </w:rPr>
      <w:t xml:space="preserve">Freedom of Information </w:t>
    </w:r>
    <w:r w:rsidRPr="008C301D">
      <w:rPr>
        <w:rFonts w:cs="Arial"/>
        <w:color w:val="E5007D"/>
        <w:sz w:val="18"/>
        <w:szCs w:val="22"/>
      </w:rPr>
      <w:t>|</w:t>
    </w:r>
    <w:r w:rsidRPr="008C301D">
      <w:rPr>
        <w:rFonts w:cs="Arial"/>
        <w:sz w:val="18"/>
        <w:szCs w:val="22"/>
      </w:rPr>
      <w:t xml:space="preserve"> Privacy </w:t>
    </w:r>
    <w:r w:rsidRPr="008C301D">
      <w:rPr>
        <w:rFonts w:cs="Arial"/>
        <w:color w:val="E5007D"/>
        <w:sz w:val="18"/>
        <w:szCs w:val="22"/>
      </w:rPr>
      <w:t>|</w:t>
    </w:r>
    <w:r w:rsidRPr="008C301D">
      <w:rPr>
        <w:rFonts w:cs="Arial"/>
        <w:sz w:val="18"/>
        <w:szCs w:val="22"/>
      </w:rPr>
      <w:t xml:space="preserve"> Data Protection</w:t>
    </w:r>
    <w:r w:rsidRPr="008C301D">
      <w:rPr>
        <w:sz w:val="21"/>
        <w:szCs w:val="22"/>
      </w:rPr>
      <w:tab/>
    </w:r>
    <w:r w:rsidRPr="008C301D">
      <w:rPr>
        <w:rFonts w:cs="Arial"/>
        <w:sz w:val="18"/>
        <w:szCs w:val="22"/>
      </w:rPr>
      <w:fldChar w:fldCharType="begin"/>
    </w:r>
    <w:r w:rsidRPr="008C301D">
      <w:rPr>
        <w:rFonts w:cs="Arial"/>
        <w:sz w:val="18"/>
        <w:szCs w:val="22"/>
      </w:rPr>
      <w:instrText xml:space="preserve"> PAGE  \* Arabic  \* MERGEFORMAT </w:instrText>
    </w:r>
    <w:r w:rsidRPr="008C301D">
      <w:rPr>
        <w:rFonts w:cs="Arial"/>
        <w:sz w:val="18"/>
        <w:szCs w:val="22"/>
      </w:rPr>
      <w:fldChar w:fldCharType="separate"/>
    </w:r>
    <w:r>
      <w:rPr>
        <w:rFonts w:cs="Arial"/>
        <w:sz w:val="18"/>
        <w:szCs w:val="22"/>
      </w:rPr>
      <w:t>1</w:t>
    </w:r>
    <w:r w:rsidRPr="008C301D">
      <w:rPr>
        <w:rFonts w:cs="Arial"/>
        <w:sz w:val="18"/>
        <w:szCs w:val="22"/>
      </w:rPr>
      <w:fldChar w:fldCharType="end"/>
    </w:r>
    <w:r w:rsidRPr="008C301D">
      <w:rPr>
        <w:rFonts w:cs="Arial"/>
        <w:sz w:val="18"/>
        <w:szCs w:val="22"/>
      </w:rPr>
      <w:t xml:space="preserve"> of </w:t>
    </w:r>
    <w:r w:rsidRPr="008C301D">
      <w:rPr>
        <w:rFonts w:cs="Arial"/>
        <w:sz w:val="18"/>
        <w:szCs w:val="22"/>
      </w:rPr>
      <w:fldChar w:fldCharType="begin"/>
    </w:r>
    <w:r w:rsidRPr="008C301D">
      <w:rPr>
        <w:rFonts w:cs="Arial"/>
        <w:sz w:val="18"/>
        <w:szCs w:val="22"/>
      </w:rPr>
      <w:instrText xml:space="preserve"> NUMPAGES  \* Arabic  \* MERGEFORMAT </w:instrText>
    </w:r>
    <w:r w:rsidRPr="008C301D">
      <w:rPr>
        <w:rFonts w:cs="Arial"/>
        <w:sz w:val="18"/>
        <w:szCs w:val="22"/>
      </w:rPr>
      <w:fldChar w:fldCharType="separate"/>
    </w:r>
    <w:r>
      <w:rPr>
        <w:rFonts w:cs="Arial"/>
        <w:sz w:val="18"/>
        <w:szCs w:val="22"/>
      </w:rPr>
      <w:t>2</w:t>
    </w:r>
    <w:r w:rsidRPr="008C301D">
      <w:rPr>
        <w:rFonts w:cs="Arial"/>
        <w:sz w:val="18"/>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24EAB" w14:textId="77777777" w:rsidR="0027443A" w:rsidRPr="002330E8" w:rsidRDefault="0027443A">
      <w:pPr>
        <w:rPr>
          <w:color w:val="55565A"/>
          <w:sz w:val="22"/>
          <w:szCs w:val="22"/>
        </w:rPr>
      </w:pPr>
      <w:r w:rsidRPr="002330E8">
        <w:rPr>
          <w:color w:val="55565A"/>
          <w:sz w:val="22"/>
          <w:szCs w:val="22"/>
        </w:rPr>
        <w:separator/>
      </w:r>
    </w:p>
  </w:footnote>
  <w:footnote w:type="continuationSeparator" w:id="0">
    <w:p w14:paraId="19025AC6" w14:textId="77777777" w:rsidR="0027443A" w:rsidRDefault="0027443A" w:rsidP="00B53C78">
      <w:r>
        <w:continuationSeparator/>
      </w:r>
    </w:p>
  </w:footnote>
  <w:footnote w:type="continuationNotice" w:id="1">
    <w:p w14:paraId="4B133B5D" w14:textId="77777777" w:rsidR="0027443A" w:rsidRDefault="0027443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F448D" w14:textId="07C7ACF7" w:rsidR="007B0C45" w:rsidRDefault="007B0C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EA22D" w14:textId="77777777" w:rsidR="005754AC" w:rsidRPr="00E54A51" w:rsidRDefault="005754AC" w:rsidP="005754AC">
    <w:pPr>
      <w:pStyle w:val="Header"/>
      <w:tabs>
        <w:tab w:val="clear" w:pos="4513"/>
        <w:tab w:val="clear" w:pos="9026"/>
        <w:tab w:val="left" w:pos="6946"/>
      </w:tabs>
      <w:snapToGrid w:val="0"/>
      <w:spacing w:after="120"/>
      <w:ind w:right="-7"/>
      <w:jc w:val="right"/>
      <w:rPr>
        <w:rFonts w:asciiTheme="minorHAnsi" w:hAnsiTheme="minorHAnsi" w:cstheme="minorHAnsi"/>
        <w:color w:val="55565A"/>
        <w:sz w:val="16"/>
        <w:szCs w:val="16"/>
        <w:highlight w:val="yellow"/>
      </w:rPr>
    </w:pPr>
    <w:r>
      <w:rPr>
        <w:noProof/>
        <w:color w:val="7F7F7F"/>
        <w:sz w:val="28"/>
        <w:szCs w:val="28"/>
        <w:lang w:val="en-AU" w:eastAsia="en-AU"/>
      </w:rPr>
      <w:drawing>
        <wp:anchor distT="0" distB="0" distL="114300" distR="114300" simplePos="0" relativeHeight="251656704" behindDoc="1" locked="0" layoutInCell="1" allowOverlap="1" wp14:anchorId="07FD0C0D" wp14:editId="11C4001B">
          <wp:simplePos x="0" y="0"/>
          <wp:positionH relativeFrom="column">
            <wp:posOffset>-1905</wp:posOffset>
          </wp:positionH>
          <wp:positionV relativeFrom="paragraph">
            <wp:posOffset>3175</wp:posOffset>
          </wp:positionV>
          <wp:extent cx="1174284" cy="540000"/>
          <wp:effectExtent l="0" t="0" r="0" b="6350"/>
          <wp:wrapThrough wrapText="bothSides">
            <wp:wrapPolygon edited="0">
              <wp:start x="0" y="0"/>
              <wp:lineTo x="0" y="21346"/>
              <wp:lineTo x="21261" y="21346"/>
              <wp:lineTo x="21261" y="0"/>
              <wp:lineTo x="0" y="0"/>
            </wp:wrapPolygon>
          </wp:wrapThrough>
          <wp:docPr id="3" name="Picture 3" descr="2056_OVIC_Logo_v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056_OVIC_Logo_v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4284" cy="54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A06886" w14:textId="162629E0" w:rsidR="005754AC" w:rsidRPr="00E54A51" w:rsidRDefault="006B7901" w:rsidP="005754AC">
    <w:pPr>
      <w:pStyle w:val="Header"/>
      <w:tabs>
        <w:tab w:val="clear" w:pos="4513"/>
        <w:tab w:val="clear" w:pos="9026"/>
        <w:tab w:val="left" w:pos="9632"/>
      </w:tabs>
      <w:snapToGrid w:val="0"/>
      <w:spacing w:after="120"/>
      <w:ind w:right="-7"/>
      <w:jc w:val="right"/>
      <w:rPr>
        <w:rFonts w:asciiTheme="minorHAnsi" w:hAnsiTheme="minorHAnsi" w:cstheme="minorHAnsi"/>
        <w:color w:val="7F7F7F"/>
        <w:sz w:val="16"/>
        <w:szCs w:val="16"/>
      </w:rPr>
    </w:pPr>
    <w:r>
      <w:rPr>
        <w:rFonts w:asciiTheme="minorHAnsi" w:hAnsiTheme="minorHAnsi" w:cstheme="minorHAnsi"/>
        <w:color w:val="000000" w:themeColor="text1"/>
        <w:sz w:val="16"/>
        <w:szCs w:val="16"/>
        <w:lang w:val="en-AU"/>
      </w:rPr>
      <w:t>D21/</w:t>
    </w:r>
    <w:r w:rsidR="008A4730">
      <w:rPr>
        <w:rFonts w:asciiTheme="minorHAnsi" w:hAnsiTheme="minorHAnsi" w:cstheme="minorHAnsi"/>
        <w:color w:val="000000" w:themeColor="text1"/>
        <w:sz w:val="16"/>
        <w:szCs w:val="16"/>
        <w:lang w:val="en-AU"/>
      </w:rPr>
      <w:t>10582</w:t>
    </w:r>
  </w:p>
  <w:p w14:paraId="50D69DCB" w14:textId="77777777" w:rsidR="005754AC" w:rsidRPr="00E54A51" w:rsidRDefault="005754AC" w:rsidP="005754AC">
    <w:pPr>
      <w:pStyle w:val="Header"/>
      <w:tabs>
        <w:tab w:val="clear" w:pos="4513"/>
        <w:tab w:val="left" w:pos="5245"/>
      </w:tabs>
      <w:spacing w:after="200"/>
      <w:ind w:right="-6"/>
      <w:jc w:val="right"/>
      <w:rPr>
        <w:rFonts w:asciiTheme="minorHAnsi" w:hAnsiTheme="minorHAnsi" w:cstheme="minorHAnsi"/>
        <w:color w:val="555559"/>
        <w:sz w:val="16"/>
        <w:szCs w:val="16"/>
      </w:rPr>
    </w:pPr>
    <w:r w:rsidRPr="00E54A51">
      <w:rPr>
        <w:rFonts w:asciiTheme="minorHAnsi" w:hAnsiTheme="minorHAnsi" w:cstheme="minorHAnsi"/>
        <w:color w:val="7F7F7F"/>
        <w:sz w:val="16"/>
        <w:szCs w:val="16"/>
      </w:rPr>
      <w:tab/>
    </w:r>
    <w:r w:rsidRPr="00E54A51">
      <w:rPr>
        <w:rFonts w:asciiTheme="minorHAnsi" w:hAnsiTheme="minorHAnsi" w:cstheme="minorHAnsi"/>
        <w:color w:val="000000" w:themeColor="text1"/>
        <w:sz w:val="16"/>
        <w:szCs w:val="16"/>
      </w:rPr>
      <w:t xml:space="preserve">ovic.vic.gov.au | </w:t>
    </w:r>
    <w:r w:rsidRPr="00E54A51">
      <w:rPr>
        <w:rFonts w:asciiTheme="minorHAnsi" w:hAnsiTheme="minorHAnsi" w:cstheme="minorHAnsi"/>
        <w:color w:val="000000" w:themeColor="text1"/>
        <w:sz w:val="16"/>
        <w:szCs w:val="16"/>
      </w:rPr>
      <w:tab/>
      <w:t>enquiries@ovic.vic.gov.au | 1300 006 842</w:t>
    </w:r>
  </w:p>
  <w:p w14:paraId="547048AA" w14:textId="77777777" w:rsidR="005754AC" w:rsidRPr="00B04B43" w:rsidRDefault="005754AC" w:rsidP="005754AC">
    <w:pPr>
      <w:pStyle w:val="Header"/>
      <w:tabs>
        <w:tab w:val="clear" w:pos="4513"/>
        <w:tab w:val="left" w:pos="5245"/>
      </w:tabs>
      <w:ind w:right="-6"/>
      <w:jc w:val="right"/>
      <w:rPr>
        <w:rFonts w:asciiTheme="minorHAnsi" w:hAnsiTheme="minorHAnsi" w:cstheme="minorHAnsi"/>
        <w:color w:val="7F7F7F"/>
        <w:sz w:val="18"/>
        <w:szCs w:val="18"/>
      </w:rPr>
    </w:pPr>
    <w:r w:rsidRPr="00856EDC">
      <w:rPr>
        <w:noProof/>
        <w:lang w:val="en-AU" w:eastAsia="en-AU"/>
      </w:rPr>
      <w:drawing>
        <wp:anchor distT="0" distB="0" distL="114300" distR="114300" simplePos="0" relativeHeight="251657728" behindDoc="0" locked="0" layoutInCell="1" allowOverlap="1" wp14:anchorId="2744B3D2" wp14:editId="11B358FB">
          <wp:simplePos x="0" y="0"/>
          <wp:positionH relativeFrom="column">
            <wp:posOffset>3175</wp:posOffset>
          </wp:positionH>
          <wp:positionV relativeFrom="paragraph">
            <wp:posOffset>13970</wp:posOffset>
          </wp:positionV>
          <wp:extent cx="6192000" cy="46150"/>
          <wp:effectExtent l="0" t="0" r="0" b="5080"/>
          <wp:wrapNone/>
          <wp:docPr id="4" name="Picture 4" descr="gradient%20line_th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adient%20line_thi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92000" cy="46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F3AD8"/>
    <w:multiLevelType w:val="hybridMultilevel"/>
    <w:tmpl w:val="42D421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D006F2"/>
    <w:multiLevelType w:val="hybridMultilevel"/>
    <w:tmpl w:val="4F7E1C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E31BF7"/>
    <w:multiLevelType w:val="hybridMultilevel"/>
    <w:tmpl w:val="00A8AC0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E732DD"/>
    <w:multiLevelType w:val="multilevel"/>
    <w:tmpl w:val="9B36D732"/>
    <w:lvl w:ilvl="0">
      <w:start w:val="1"/>
      <w:numFmt w:val="decimal"/>
      <w:lvlText w:val="%1."/>
      <w:lvlJc w:val="left"/>
      <w:pPr>
        <w:ind w:left="360" w:hanging="360"/>
      </w:pPr>
      <w:rPr>
        <w:rFonts w:hint="default"/>
      </w:rPr>
    </w:lvl>
    <w:lvl w:ilvl="1">
      <w:start w:val="1"/>
      <w:numFmt w:val="decimal"/>
      <w:isLgl/>
      <w:lvlText w:val="%1.%2"/>
      <w:lvlJc w:val="left"/>
      <w:pPr>
        <w:ind w:left="397" w:hanging="360"/>
      </w:pPr>
      <w:rPr>
        <w:rFonts w:hint="default"/>
      </w:rPr>
    </w:lvl>
    <w:lvl w:ilvl="2">
      <w:start w:val="1"/>
      <w:numFmt w:val="decimal"/>
      <w:isLgl/>
      <w:lvlText w:val="%1.%2.%3"/>
      <w:lvlJc w:val="left"/>
      <w:pPr>
        <w:ind w:left="794" w:hanging="720"/>
      </w:pPr>
      <w:rPr>
        <w:rFonts w:hint="default"/>
      </w:rPr>
    </w:lvl>
    <w:lvl w:ilvl="3">
      <w:start w:val="1"/>
      <w:numFmt w:val="decimal"/>
      <w:isLgl/>
      <w:lvlText w:val="%1.%2.%3.%4"/>
      <w:lvlJc w:val="left"/>
      <w:pPr>
        <w:ind w:left="831" w:hanging="720"/>
      </w:pPr>
      <w:rPr>
        <w:rFonts w:hint="default"/>
      </w:rPr>
    </w:lvl>
    <w:lvl w:ilvl="4">
      <w:start w:val="1"/>
      <w:numFmt w:val="decimal"/>
      <w:isLgl/>
      <w:lvlText w:val="%1.%2.%3.%4.%5"/>
      <w:lvlJc w:val="left"/>
      <w:pPr>
        <w:ind w:left="1228" w:hanging="1080"/>
      </w:pPr>
      <w:rPr>
        <w:rFonts w:hint="default"/>
      </w:rPr>
    </w:lvl>
    <w:lvl w:ilvl="5">
      <w:start w:val="1"/>
      <w:numFmt w:val="decimal"/>
      <w:isLgl/>
      <w:lvlText w:val="%1.%2.%3.%4.%5.%6"/>
      <w:lvlJc w:val="left"/>
      <w:pPr>
        <w:ind w:left="1265" w:hanging="1080"/>
      </w:pPr>
      <w:rPr>
        <w:rFonts w:hint="default"/>
      </w:rPr>
    </w:lvl>
    <w:lvl w:ilvl="6">
      <w:start w:val="1"/>
      <w:numFmt w:val="decimal"/>
      <w:isLgl/>
      <w:lvlText w:val="%1.%2.%3.%4.%5.%6.%7"/>
      <w:lvlJc w:val="left"/>
      <w:pPr>
        <w:ind w:left="1662" w:hanging="1440"/>
      </w:pPr>
      <w:rPr>
        <w:rFonts w:hint="default"/>
      </w:rPr>
    </w:lvl>
    <w:lvl w:ilvl="7">
      <w:start w:val="1"/>
      <w:numFmt w:val="decimal"/>
      <w:isLgl/>
      <w:lvlText w:val="%1.%2.%3.%4.%5.%6.%7.%8"/>
      <w:lvlJc w:val="left"/>
      <w:pPr>
        <w:ind w:left="1699" w:hanging="1440"/>
      </w:pPr>
      <w:rPr>
        <w:rFonts w:hint="default"/>
      </w:rPr>
    </w:lvl>
    <w:lvl w:ilvl="8">
      <w:start w:val="1"/>
      <w:numFmt w:val="decimal"/>
      <w:isLgl/>
      <w:lvlText w:val="%1.%2.%3.%4.%5.%6.%7.%8.%9"/>
      <w:lvlJc w:val="left"/>
      <w:pPr>
        <w:ind w:left="1736" w:hanging="1440"/>
      </w:pPr>
      <w:rPr>
        <w:rFonts w:hint="default"/>
      </w:rPr>
    </w:lvl>
  </w:abstractNum>
  <w:abstractNum w:abstractNumId="4" w15:restartNumberingAfterBreak="0">
    <w:nsid w:val="1272574A"/>
    <w:multiLevelType w:val="hybridMultilevel"/>
    <w:tmpl w:val="E33865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617175A"/>
    <w:multiLevelType w:val="hybridMultilevel"/>
    <w:tmpl w:val="09986E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715288E"/>
    <w:multiLevelType w:val="hybridMultilevel"/>
    <w:tmpl w:val="345AB1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76F40B0"/>
    <w:multiLevelType w:val="hybridMultilevel"/>
    <w:tmpl w:val="E0862CC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B850323"/>
    <w:multiLevelType w:val="hybridMultilevel"/>
    <w:tmpl w:val="508EE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887C86"/>
    <w:multiLevelType w:val="hybridMultilevel"/>
    <w:tmpl w:val="C958B44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24F635B0"/>
    <w:multiLevelType w:val="hybridMultilevel"/>
    <w:tmpl w:val="38FEC5D0"/>
    <w:lvl w:ilvl="0" w:tplc="5B1CA288">
      <w:start w:val="1"/>
      <w:numFmt w:val="decimal"/>
      <w:lvlText w:val="%1."/>
      <w:lvlJc w:val="left"/>
      <w:pPr>
        <w:ind w:left="360" w:hanging="360"/>
      </w:pPr>
      <w:rPr>
        <w:sz w:val="20"/>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8C1326A"/>
    <w:multiLevelType w:val="hybridMultilevel"/>
    <w:tmpl w:val="84F67278"/>
    <w:lvl w:ilvl="0" w:tplc="0C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656B9A"/>
    <w:multiLevelType w:val="hybridMultilevel"/>
    <w:tmpl w:val="A656A5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0F449DB"/>
    <w:multiLevelType w:val="hybridMultilevel"/>
    <w:tmpl w:val="336C38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29C5A9C"/>
    <w:multiLevelType w:val="hybridMultilevel"/>
    <w:tmpl w:val="5A2A7798"/>
    <w:lvl w:ilvl="0" w:tplc="C9B01F6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0D46CF"/>
    <w:multiLevelType w:val="hybridMultilevel"/>
    <w:tmpl w:val="86EC874A"/>
    <w:lvl w:ilvl="0" w:tplc="818EB6C0">
      <w:numFmt w:val="bullet"/>
      <w:lvlText w:val="-"/>
      <w:lvlJc w:val="left"/>
      <w:pPr>
        <w:ind w:left="720" w:hanging="360"/>
      </w:pPr>
      <w:rPr>
        <w:rFonts w:ascii="Calibri" w:eastAsia="Calibri" w:hAnsi="Calibri" w:cs="PostGrotesk-Book"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801CA3"/>
    <w:multiLevelType w:val="hybridMultilevel"/>
    <w:tmpl w:val="2D8006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E475AD9"/>
    <w:multiLevelType w:val="multilevel"/>
    <w:tmpl w:val="E0F25C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3EC13F81"/>
    <w:multiLevelType w:val="hybridMultilevel"/>
    <w:tmpl w:val="F71CA0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1C60ABB"/>
    <w:multiLevelType w:val="hybridMultilevel"/>
    <w:tmpl w:val="9C109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E7721F"/>
    <w:multiLevelType w:val="hybridMultilevel"/>
    <w:tmpl w:val="B52E45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299252C"/>
    <w:multiLevelType w:val="hybridMultilevel"/>
    <w:tmpl w:val="6F72C12C"/>
    <w:lvl w:ilvl="0" w:tplc="447252F0">
      <w:start w:val="1"/>
      <w:numFmt w:val="bullet"/>
      <w:pStyle w:val="ColorfulList-Accent11"/>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A572ED"/>
    <w:multiLevelType w:val="hybridMultilevel"/>
    <w:tmpl w:val="8F5A0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497320"/>
    <w:multiLevelType w:val="hybridMultilevel"/>
    <w:tmpl w:val="C3FAD63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4ACD6BD7"/>
    <w:multiLevelType w:val="hybridMultilevel"/>
    <w:tmpl w:val="AC20D5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3F11CB6"/>
    <w:multiLevelType w:val="hybridMultilevel"/>
    <w:tmpl w:val="6D3C254A"/>
    <w:lvl w:ilvl="0" w:tplc="818EB6C0">
      <w:numFmt w:val="bullet"/>
      <w:lvlText w:val="-"/>
      <w:lvlJc w:val="left"/>
      <w:pPr>
        <w:ind w:left="720" w:hanging="360"/>
      </w:pPr>
      <w:rPr>
        <w:rFonts w:ascii="Calibri" w:eastAsia="Calibri" w:hAnsi="Calibri" w:cs="PostGrotesk-Book"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FE2A7E"/>
    <w:multiLevelType w:val="hybridMultilevel"/>
    <w:tmpl w:val="42B80C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D5E2D6F"/>
    <w:multiLevelType w:val="hybridMultilevel"/>
    <w:tmpl w:val="4E7C69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F54774E"/>
    <w:multiLevelType w:val="hybridMultilevel"/>
    <w:tmpl w:val="294A548E"/>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15:restartNumberingAfterBreak="0">
    <w:nsid w:val="68EE4CB9"/>
    <w:multiLevelType w:val="hybridMultilevel"/>
    <w:tmpl w:val="5A4A47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96212A9"/>
    <w:multiLevelType w:val="hybridMultilevel"/>
    <w:tmpl w:val="1D5CBDB4"/>
    <w:lvl w:ilvl="0" w:tplc="FE4E7CFA">
      <w:numFmt w:val="bullet"/>
      <w:lvlText w:val="-"/>
      <w:lvlJc w:val="left"/>
      <w:pPr>
        <w:ind w:left="720" w:hanging="360"/>
      </w:pPr>
      <w:rPr>
        <w:rFonts w:ascii="Calibri" w:eastAsia="Calibri" w:hAnsi="Calibri" w:cs="PostGrotesk-Book"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B9744E0"/>
    <w:multiLevelType w:val="multilevel"/>
    <w:tmpl w:val="34B0D3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F0447F0"/>
    <w:multiLevelType w:val="hybridMultilevel"/>
    <w:tmpl w:val="465CA2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6FEE4DF1"/>
    <w:multiLevelType w:val="hybridMultilevel"/>
    <w:tmpl w:val="D0E69C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8DA07F3"/>
    <w:multiLevelType w:val="hybridMultilevel"/>
    <w:tmpl w:val="948A0A0A"/>
    <w:lvl w:ilvl="0" w:tplc="AFD636AA">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E8B7AFD"/>
    <w:multiLevelType w:val="hybridMultilevel"/>
    <w:tmpl w:val="C5D07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17030115">
    <w:abstractNumId w:val="19"/>
  </w:num>
  <w:num w:numId="2" w16cid:durableId="2119374151">
    <w:abstractNumId w:val="21"/>
  </w:num>
  <w:num w:numId="3" w16cid:durableId="2034841794">
    <w:abstractNumId w:val="16"/>
  </w:num>
  <w:num w:numId="4" w16cid:durableId="213154875">
    <w:abstractNumId w:val="35"/>
  </w:num>
  <w:num w:numId="5" w16cid:durableId="611863998">
    <w:abstractNumId w:val="26"/>
  </w:num>
  <w:num w:numId="6" w16cid:durableId="484011031">
    <w:abstractNumId w:val="34"/>
  </w:num>
  <w:num w:numId="7" w16cid:durableId="367530256">
    <w:abstractNumId w:val="13"/>
  </w:num>
  <w:num w:numId="8" w16cid:durableId="28991908">
    <w:abstractNumId w:val="18"/>
  </w:num>
  <w:num w:numId="9" w16cid:durableId="1588073934">
    <w:abstractNumId w:val="0"/>
  </w:num>
  <w:num w:numId="10" w16cid:durableId="1741555163">
    <w:abstractNumId w:val="10"/>
  </w:num>
  <w:num w:numId="11" w16cid:durableId="1124034991">
    <w:abstractNumId w:val="33"/>
  </w:num>
  <w:num w:numId="12" w16cid:durableId="1020274778">
    <w:abstractNumId w:val="4"/>
  </w:num>
  <w:num w:numId="13" w16cid:durableId="43062697">
    <w:abstractNumId w:val="24"/>
  </w:num>
  <w:num w:numId="14" w16cid:durableId="288319850">
    <w:abstractNumId w:val="1"/>
  </w:num>
  <w:num w:numId="15" w16cid:durableId="726149093">
    <w:abstractNumId w:val="27"/>
  </w:num>
  <w:num w:numId="16" w16cid:durableId="1983920548">
    <w:abstractNumId w:val="22"/>
  </w:num>
  <w:num w:numId="17" w16cid:durableId="1645431361">
    <w:abstractNumId w:val="17"/>
  </w:num>
  <w:num w:numId="18" w16cid:durableId="108680686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82728776">
    <w:abstractNumId w:val="2"/>
  </w:num>
  <w:num w:numId="20" w16cid:durableId="1785415519">
    <w:abstractNumId w:val="3"/>
  </w:num>
  <w:num w:numId="21" w16cid:durableId="1399128212">
    <w:abstractNumId w:val="30"/>
  </w:num>
  <w:num w:numId="22" w16cid:durableId="35081567">
    <w:abstractNumId w:val="15"/>
  </w:num>
  <w:num w:numId="23" w16cid:durableId="918750313">
    <w:abstractNumId w:val="25"/>
  </w:num>
  <w:num w:numId="24" w16cid:durableId="428160632">
    <w:abstractNumId w:val="31"/>
  </w:num>
  <w:num w:numId="25" w16cid:durableId="14550270">
    <w:abstractNumId w:val="5"/>
  </w:num>
  <w:num w:numId="26" w16cid:durableId="525094239">
    <w:abstractNumId w:val="7"/>
  </w:num>
  <w:num w:numId="27" w16cid:durableId="1342660243">
    <w:abstractNumId w:val="20"/>
  </w:num>
  <w:num w:numId="28" w16cid:durableId="1178737466">
    <w:abstractNumId w:val="29"/>
  </w:num>
  <w:num w:numId="29" w16cid:durableId="143670158">
    <w:abstractNumId w:val="32"/>
  </w:num>
  <w:num w:numId="30" w16cid:durableId="1507328451">
    <w:abstractNumId w:val="12"/>
  </w:num>
  <w:num w:numId="31" w16cid:durableId="1972242405">
    <w:abstractNumId w:val="11"/>
  </w:num>
  <w:num w:numId="32" w16cid:durableId="2107337965">
    <w:abstractNumId w:val="8"/>
  </w:num>
  <w:num w:numId="33" w16cid:durableId="934749678">
    <w:abstractNumId w:val="9"/>
  </w:num>
  <w:num w:numId="34" w16cid:durableId="566113479">
    <w:abstractNumId w:val="23"/>
  </w:num>
  <w:num w:numId="35" w16cid:durableId="673580521">
    <w:abstractNumId w:val="28"/>
  </w:num>
  <w:num w:numId="36" w16cid:durableId="348140135">
    <w:abstractNumId w:val="6"/>
  </w:num>
  <w:num w:numId="37" w16cid:durableId="47560527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grammar="clean"/>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 w:id="1"/>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CEA"/>
    <w:rsid w:val="00001D44"/>
    <w:rsid w:val="00027FC7"/>
    <w:rsid w:val="00044728"/>
    <w:rsid w:val="00063DA3"/>
    <w:rsid w:val="00064688"/>
    <w:rsid w:val="00065594"/>
    <w:rsid w:val="00067DB0"/>
    <w:rsid w:val="00077961"/>
    <w:rsid w:val="00085AE4"/>
    <w:rsid w:val="00091CB4"/>
    <w:rsid w:val="000C09CC"/>
    <w:rsid w:val="000D13D2"/>
    <w:rsid w:val="000E4EA8"/>
    <w:rsid w:val="000E6D30"/>
    <w:rsid w:val="000E7FAE"/>
    <w:rsid w:val="000F3A12"/>
    <w:rsid w:val="000F525B"/>
    <w:rsid w:val="0011178E"/>
    <w:rsid w:val="00112666"/>
    <w:rsid w:val="001159CB"/>
    <w:rsid w:val="0012374C"/>
    <w:rsid w:val="00145431"/>
    <w:rsid w:val="00146F50"/>
    <w:rsid w:val="00147A58"/>
    <w:rsid w:val="00164A42"/>
    <w:rsid w:val="001716C9"/>
    <w:rsid w:val="00173F40"/>
    <w:rsid w:val="00176C98"/>
    <w:rsid w:val="0017786A"/>
    <w:rsid w:val="0019036B"/>
    <w:rsid w:val="001967FD"/>
    <w:rsid w:val="001A6FD4"/>
    <w:rsid w:val="001C063B"/>
    <w:rsid w:val="001C6E4B"/>
    <w:rsid w:val="00215542"/>
    <w:rsid w:val="002330E8"/>
    <w:rsid w:val="0024071F"/>
    <w:rsid w:val="00250230"/>
    <w:rsid w:val="0025217E"/>
    <w:rsid w:val="00252833"/>
    <w:rsid w:val="00261684"/>
    <w:rsid w:val="0027443A"/>
    <w:rsid w:val="00292F82"/>
    <w:rsid w:val="00293DDA"/>
    <w:rsid w:val="002A2B92"/>
    <w:rsid w:val="002A48A0"/>
    <w:rsid w:val="002B40D5"/>
    <w:rsid w:val="002B614D"/>
    <w:rsid w:val="002C503C"/>
    <w:rsid w:val="002E48DF"/>
    <w:rsid w:val="003012DC"/>
    <w:rsid w:val="003020DA"/>
    <w:rsid w:val="00305D40"/>
    <w:rsid w:val="00314655"/>
    <w:rsid w:val="00320B70"/>
    <w:rsid w:val="00322784"/>
    <w:rsid w:val="00326E58"/>
    <w:rsid w:val="00330030"/>
    <w:rsid w:val="00330633"/>
    <w:rsid w:val="00333345"/>
    <w:rsid w:val="00336498"/>
    <w:rsid w:val="0034513D"/>
    <w:rsid w:val="0034520D"/>
    <w:rsid w:val="00345731"/>
    <w:rsid w:val="0035211D"/>
    <w:rsid w:val="003646E2"/>
    <w:rsid w:val="00370F3D"/>
    <w:rsid w:val="00372C3E"/>
    <w:rsid w:val="00384F15"/>
    <w:rsid w:val="003A0F3A"/>
    <w:rsid w:val="003A543A"/>
    <w:rsid w:val="003A7085"/>
    <w:rsid w:val="003B3116"/>
    <w:rsid w:val="003C6D10"/>
    <w:rsid w:val="003F02CF"/>
    <w:rsid w:val="00400498"/>
    <w:rsid w:val="00406248"/>
    <w:rsid w:val="00424309"/>
    <w:rsid w:val="004304F4"/>
    <w:rsid w:val="0043156F"/>
    <w:rsid w:val="00434550"/>
    <w:rsid w:val="00436C00"/>
    <w:rsid w:val="00446F72"/>
    <w:rsid w:val="00453B44"/>
    <w:rsid w:val="004634A1"/>
    <w:rsid w:val="00465B05"/>
    <w:rsid w:val="00470E39"/>
    <w:rsid w:val="0047248D"/>
    <w:rsid w:val="00476315"/>
    <w:rsid w:val="00494632"/>
    <w:rsid w:val="004A33DA"/>
    <w:rsid w:val="004A5BEF"/>
    <w:rsid w:val="004D05C0"/>
    <w:rsid w:val="004D1C82"/>
    <w:rsid w:val="004D4448"/>
    <w:rsid w:val="004D6084"/>
    <w:rsid w:val="0050272E"/>
    <w:rsid w:val="00502CD1"/>
    <w:rsid w:val="005178FE"/>
    <w:rsid w:val="00532D82"/>
    <w:rsid w:val="00533CAC"/>
    <w:rsid w:val="00542947"/>
    <w:rsid w:val="00555602"/>
    <w:rsid w:val="00562512"/>
    <w:rsid w:val="005754AC"/>
    <w:rsid w:val="005870C5"/>
    <w:rsid w:val="005A0AFB"/>
    <w:rsid w:val="005A1366"/>
    <w:rsid w:val="005A49D0"/>
    <w:rsid w:val="005B1D42"/>
    <w:rsid w:val="005D01F3"/>
    <w:rsid w:val="005D3E8A"/>
    <w:rsid w:val="006120B5"/>
    <w:rsid w:val="00620FD8"/>
    <w:rsid w:val="0062782F"/>
    <w:rsid w:val="00635E9F"/>
    <w:rsid w:val="00652D6F"/>
    <w:rsid w:val="00662FFB"/>
    <w:rsid w:val="006713D1"/>
    <w:rsid w:val="00674485"/>
    <w:rsid w:val="006876B7"/>
    <w:rsid w:val="006A78CC"/>
    <w:rsid w:val="006B1C0F"/>
    <w:rsid w:val="006B7901"/>
    <w:rsid w:val="006E1A87"/>
    <w:rsid w:val="00706416"/>
    <w:rsid w:val="007140E5"/>
    <w:rsid w:val="0071727F"/>
    <w:rsid w:val="00717657"/>
    <w:rsid w:val="00723ACA"/>
    <w:rsid w:val="00726FA9"/>
    <w:rsid w:val="00750170"/>
    <w:rsid w:val="00756BEA"/>
    <w:rsid w:val="00760DDC"/>
    <w:rsid w:val="00765158"/>
    <w:rsid w:val="00776737"/>
    <w:rsid w:val="00780089"/>
    <w:rsid w:val="00780584"/>
    <w:rsid w:val="007862E0"/>
    <w:rsid w:val="00786837"/>
    <w:rsid w:val="007964E0"/>
    <w:rsid w:val="007973AB"/>
    <w:rsid w:val="007A6964"/>
    <w:rsid w:val="007B0C45"/>
    <w:rsid w:val="007C3E32"/>
    <w:rsid w:val="008046F8"/>
    <w:rsid w:val="00806B62"/>
    <w:rsid w:val="0083207B"/>
    <w:rsid w:val="00834C9A"/>
    <w:rsid w:val="0083508E"/>
    <w:rsid w:val="00846C3D"/>
    <w:rsid w:val="00853B6D"/>
    <w:rsid w:val="00853D35"/>
    <w:rsid w:val="00854716"/>
    <w:rsid w:val="00856EDC"/>
    <w:rsid w:val="00863040"/>
    <w:rsid w:val="0086734F"/>
    <w:rsid w:val="00871C16"/>
    <w:rsid w:val="00871FC7"/>
    <w:rsid w:val="008721FC"/>
    <w:rsid w:val="00883657"/>
    <w:rsid w:val="0088604A"/>
    <w:rsid w:val="008A4730"/>
    <w:rsid w:val="008A55F0"/>
    <w:rsid w:val="008B0519"/>
    <w:rsid w:val="008B4992"/>
    <w:rsid w:val="008B7923"/>
    <w:rsid w:val="008C301D"/>
    <w:rsid w:val="008C679F"/>
    <w:rsid w:val="008F101D"/>
    <w:rsid w:val="008F106C"/>
    <w:rsid w:val="008F77CC"/>
    <w:rsid w:val="009126AC"/>
    <w:rsid w:val="0092276F"/>
    <w:rsid w:val="00922C7A"/>
    <w:rsid w:val="00940F43"/>
    <w:rsid w:val="00945963"/>
    <w:rsid w:val="009569FC"/>
    <w:rsid w:val="009A21C5"/>
    <w:rsid w:val="009C2EC1"/>
    <w:rsid w:val="009F3648"/>
    <w:rsid w:val="00A07CE1"/>
    <w:rsid w:val="00A13231"/>
    <w:rsid w:val="00A20D82"/>
    <w:rsid w:val="00A26740"/>
    <w:rsid w:val="00A31747"/>
    <w:rsid w:val="00A33852"/>
    <w:rsid w:val="00A33D6F"/>
    <w:rsid w:val="00A37BE1"/>
    <w:rsid w:val="00A440A5"/>
    <w:rsid w:val="00A92625"/>
    <w:rsid w:val="00AB1578"/>
    <w:rsid w:val="00AC0823"/>
    <w:rsid w:val="00AC35A9"/>
    <w:rsid w:val="00AC37FA"/>
    <w:rsid w:val="00AE13A1"/>
    <w:rsid w:val="00B04B43"/>
    <w:rsid w:val="00B177DA"/>
    <w:rsid w:val="00B20C5E"/>
    <w:rsid w:val="00B2499E"/>
    <w:rsid w:val="00B316BE"/>
    <w:rsid w:val="00B32753"/>
    <w:rsid w:val="00B339BB"/>
    <w:rsid w:val="00B37C5F"/>
    <w:rsid w:val="00B53C78"/>
    <w:rsid w:val="00B61929"/>
    <w:rsid w:val="00B656ED"/>
    <w:rsid w:val="00B67B02"/>
    <w:rsid w:val="00B9736F"/>
    <w:rsid w:val="00BA365B"/>
    <w:rsid w:val="00BA770C"/>
    <w:rsid w:val="00BC1972"/>
    <w:rsid w:val="00BD07DC"/>
    <w:rsid w:val="00BD2C4E"/>
    <w:rsid w:val="00BD4E38"/>
    <w:rsid w:val="00BD5AE9"/>
    <w:rsid w:val="00BE3022"/>
    <w:rsid w:val="00BF3F73"/>
    <w:rsid w:val="00C26E72"/>
    <w:rsid w:val="00C42986"/>
    <w:rsid w:val="00C4676F"/>
    <w:rsid w:val="00C473B0"/>
    <w:rsid w:val="00C5244C"/>
    <w:rsid w:val="00C612F2"/>
    <w:rsid w:val="00C62A45"/>
    <w:rsid w:val="00C9198C"/>
    <w:rsid w:val="00C922DD"/>
    <w:rsid w:val="00CB4387"/>
    <w:rsid w:val="00CC3A9E"/>
    <w:rsid w:val="00CD6BDB"/>
    <w:rsid w:val="00CE7458"/>
    <w:rsid w:val="00CF10B3"/>
    <w:rsid w:val="00CF4062"/>
    <w:rsid w:val="00D02655"/>
    <w:rsid w:val="00D0311E"/>
    <w:rsid w:val="00D05E7D"/>
    <w:rsid w:val="00D068E5"/>
    <w:rsid w:val="00D214C2"/>
    <w:rsid w:val="00D267EC"/>
    <w:rsid w:val="00D3108A"/>
    <w:rsid w:val="00D32D00"/>
    <w:rsid w:val="00D349C2"/>
    <w:rsid w:val="00D723C1"/>
    <w:rsid w:val="00D76428"/>
    <w:rsid w:val="00D77B3C"/>
    <w:rsid w:val="00D81BD6"/>
    <w:rsid w:val="00D94137"/>
    <w:rsid w:val="00DA234D"/>
    <w:rsid w:val="00DB13A1"/>
    <w:rsid w:val="00DB55DB"/>
    <w:rsid w:val="00DD0EA8"/>
    <w:rsid w:val="00DE73F6"/>
    <w:rsid w:val="00E35CEA"/>
    <w:rsid w:val="00E40ACD"/>
    <w:rsid w:val="00E45B00"/>
    <w:rsid w:val="00E46A3A"/>
    <w:rsid w:val="00E54A51"/>
    <w:rsid w:val="00E55C61"/>
    <w:rsid w:val="00E606BA"/>
    <w:rsid w:val="00E66BA5"/>
    <w:rsid w:val="00E80E70"/>
    <w:rsid w:val="00E81086"/>
    <w:rsid w:val="00E86019"/>
    <w:rsid w:val="00E87F33"/>
    <w:rsid w:val="00E91A52"/>
    <w:rsid w:val="00EA1B53"/>
    <w:rsid w:val="00EB03B3"/>
    <w:rsid w:val="00EB7F2D"/>
    <w:rsid w:val="00EC27A3"/>
    <w:rsid w:val="00EE649B"/>
    <w:rsid w:val="00EF06C1"/>
    <w:rsid w:val="00EF553E"/>
    <w:rsid w:val="00EF65B2"/>
    <w:rsid w:val="00EF7213"/>
    <w:rsid w:val="00F12A32"/>
    <w:rsid w:val="00F17578"/>
    <w:rsid w:val="00F3674C"/>
    <w:rsid w:val="00F36C34"/>
    <w:rsid w:val="00F402B9"/>
    <w:rsid w:val="00F40520"/>
    <w:rsid w:val="00F5377F"/>
    <w:rsid w:val="00F83814"/>
    <w:rsid w:val="00F87792"/>
    <w:rsid w:val="00F923FB"/>
    <w:rsid w:val="00FA1F8E"/>
    <w:rsid w:val="00FB03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851100"/>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3C78"/>
    <w:pPr>
      <w:tabs>
        <w:tab w:val="center" w:pos="4513"/>
        <w:tab w:val="right" w:pos="9026"/>
      </w:tabs>
    </w:pPr>
  </w:style>
  <w:style w:type="character" w:customStyle="1" w:styleId="HeaderChar">
    <w:name w:val="Header Char"/>
    <w:basedOn w:val="DefaultParagraphFont"/>
    <w:link w:val="Header"/>
    <w:uiPriority w:val="99"/>
    <w:rsid w:val="00B53C78"/>
  </w:style>
  <w:style w:type="paragraph" w:styleId="Footer">
    <w:name w:val="footer"/>
    <w:basedOn w:val="Normal"/>
    <w:link w:val="FooterChar"/>
    <w:uiPriority w:val="99"/>
    <w:unhideWhenUsed/>
    <w:rsid w:val="00BD07DC"/>
    <w:pPr>
      <w:tabs>
        <w:tab w:val="center" w:pos="4513"/>
        <w:tab w:val="right" w:pos="9026"/>
      </w:tabs>
    </w:pPr>
    <w:rPr>
      <w:color w:val="430098"/>
    </w:rPr>
  </w:style>
  <w:style w:type="character" w:customStyle="1" w:styleId="FooterChar">
    <w:name w:val="Footer Char"/>
    <w:link w:val="Footer"/>
    <w:uiPriority w:val="99"/>
    <w:rsid w:val="00BD07DC"/>
    <w:rPr>
      <w:color w:val="430098"/>
    </w:rPr>
  </w:style>
  <w:style w:type="paragraph" w:customStyle="1" w:styleId="BasicParagraph">
    <w:name w:val="[Basic Paragraph]"/>
    <w:basedOn w:val="Normal"/>
    <w:uiPriority w:val="99"/>
    <w:rsid w:val="00F36C34"/>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Body">
    <w:name w:val="Body"/>
    <w:basedOn w:val="Normal"/>
    <w:qFormat/>
    <w:rsid w:val="004A5BEF"/>
    <w:pPr>
      <w:widowControl w:val="0"/>
      <w:suppressAutoHyphens/>
      <w:autoSpaceDE w:val="0"/>
      <w:autoSpaceDN w:val="0"/>
      <w:adjustRightInd w:val="0"/>
      <w:spacing w:before="120" w:after="240" w:line="276" w:lineRule="auto"/>
      <w:textAlignment w:val="center"/>
    </w:pPr>
    <w:rPr>
      <w:rFonts w:cs="PostGrotesk-Book"/>
      <w:color w:val="000000" w:themeColor="text1"/>
      <w:sz w:val="28"/>
      <w:szCs w:val="26"/>
    </w:rPr>
  </w:style>
  <w:style w:type="paragraph" w:customStyle="1" w:styleId="Heading-1">
    <w:name w:val="Heading-1"/>
    <w:basedOn w:val="BasicParagraph"/>
    <w:autoRedefine/>
    <w:qFormat/>
    <w:rsid w:val="004A5BEF"/>
    <w:pPr>
      <w:suppressAutoHyphens/>
      <w:spacing w:before="120" w:after="200" w:line="264" w:lineRule="auto"/>
    </w:pPr>
    <w:rPr>
      <w:rFonts w:ascii="Calibri" w:hAnsi="Calibri" w:cs="PostGrotesk-Medium"/>
      <w:b/>
      <w:color w:val="430098"/>
      <w:sz w:val="32"/>
      <w:szCs w:val="28"/>
      <w:lang w:val="en-AU"/>
    </w:rPr>
  </w:style>
  <w:style w:type="paragraph" w:customStyle="1" w:styleId="Heading-2">
    <w:name w:val="Heading-2"/>
    <w:basedOn w:val="Heading-3"/>
    <w:qFormat/>
    <w:rsid w:val="004A5BEF"/>
  </w:style>
  <w:style w:type="paragraph" w:customStyle="1" w:styleId="ColorfulList-Accent11">
    <w:name w:val="Colorful List - Accent 11"/>
    <w:basedOn w:val="Body"/>
    <w:uiPriority w:val="34"/>
    <w:rsid w:val="00064688"/>
    <w:pPr>
      <w:numPr>
        <w:numId w:val="2"/>
      </w:numPr>
      <w:spacing w:after="0"/>
      <w:ind w:left="284" w:hanging="284"/>
    </w:pPr>
  </w:style>
  <w:style w:type="paragraph" w:customStyle="1" w:styleId="Introduction">
    <w:name w:val="Introduction"/>
    <w:rsid w:val="00B177DA"/>
    <w:pPr>
      <w:suppressAutoHyphens/>
      <w:spacing w:after="360"/>
      <w:ind w:right="1835"/>
    </w:pPr>
    <w:rPr>
      <w:rFonts w:cs="PostGrotesk-Book"/>
      <w:color w:val="7F7F7F"/>
      <w:sz w:val="28"/>
      <w:szCs w:val="28"/>
      <w:lang w:val="en-GB" w:eastAsia="en-US"/>
    </w:rPr>
  </w:style>
  <w:style w:type="paragraph" w:customStyle="1" w:styleId="Linebreak11pt">
    <w:name w:val="Line break 11pt"/>
    <w:basedOn w:val="BasicParagraph"/>
    <w:rsid w:val="008B7923"/>
    <w:pPr>
      <w:suppressAutoHyphens/>
    </w:pPr>
    <w:rPr>
      <w:rFonts w:ascii="Calibri" w:hAnsi="Calibri" w:cs="PostGrotesk-Medium"/>
      <w:color w:val="55565A"/>
      <w:sz w:val="22"/>
      <w:szCs w:val="22"/>
    </w:rPr>
  </w:style>
  <w:style w:type="paragraph" w:customStyle="1" w:styleId="Disclaimer">
    <w:name w:val="Disclaimer"/>
    <w:basedOn w:val="Normal"/>
    <w:rsid w:val="00064688"/>
    <w:pPr>
      <w:ind w:right="-7"/>
    </w:pPr>
    <w:rPr>
      <w:rFonts w:cs="PostGrotesk-Book"/>
      <w:color w:val="555559"/>
      <w:sz w:val="18"/>
      <w:szCs w:val="18"/>
    </w:rPr>
  </w:style>
  <w:style w:type="paragraph" w:customStyle="1" w:styleId="IntroductoryText">
    <w:name w:val="Introductory Text"/>
    <w:rsid w:val="00863040"/>
    <w:pPr>
      <w:suppressAutoHyphens/>
      <w:spacing w:after="360"/>
      <w:ind w:right="1835"/>
    </w:pPr>
    <w:rPr>
      <w:rFonts w:cs="PostGrotesk-Book"/>
      <w:color w:val="555559"/>
      <w:sz w:val="28"/>
      <w:szCs w:val="28"/>
      <w:lang w:val="en-GB" w:eastAsia="en-US"/>
    </w:rPr>
  </w:style>
  <w:style w:type="paragraph" w:customStyle="1" w:styleId="MainTitle">
    <w:name w:val="Main Title"/>
    <w:basedOn w:val="Header"/>
    <w:autoRedefine/>
    <w:rsid w:val="00756BEA"/>
    <w:pPr>
      <w:tabs>
        <w:tab w:val="clear" w:pos="9026"/>
        <w:tab w:val="left" w:pos="6946"/>
      </w:tabs>
      <w:spacing w:before="240" w:after="360"/>
    </w:pPr>
    <w:rPr>
      <w:rFonts w:asciiTheme="minorHAnsi" w:hAnsiTheme="minorHAnsi" w:cs="Arial"/>
      <w:b/>
      <w:color w:val="430098"/>
      <w:sz w:val="36"/>
      <w:szCs w:val="48"/>
      <w:lang w:val="en-AU"/>
    </w:rPr>
  </w:style>
  <w:style w:type="paragraph" w:customStyle="1" w:styleId="DocSubtitle">
    <w:name w:val="Doc Subtitle"/>
    <w:basedOn w:val="Header"/>
    <w:rsid w:val="00E86019"/>
    <w:pPr>
      <w:tabs>
        <w:tab w:val="left" w:pos="6946"/>
      </w:tabs>
      <w:spacing w:after="240"/>
    </w:pPr>
    <w:rPr>
      <w:rFonts w:asciiTheme="minorHAnsi" w:hAnsiTheme="minorHAnsi" w:cs="Arial"/>
      <w:color w:val="555559"/>
      <w:sz w:val="28"/>
      <w:szCs w:val="32"/>
    </w:rPr>
  </w:style>
  <w:style w:type="table" w:customStyle="1" w:styleId="PlainTable11">
    <w:name w:val="Plain Table 11"/>
    <w:basedOn w:val="TableNormal"/>
    <w:uiPriority w:val="41"/>
    <w:rsid w:val="008B7923"/>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TableHeading">
    <w:name w:val="Table Heading"/>
    <w:rsid w:val="008B7923"/>
    <w:rPr>
      <w:rFonts w:cs="PostGrotesk-Book"/>
      <w:b/>
      <w:bCs/>
      <w:color w:val="55565A"/>
      <w:sz w:val="22"/>
      <w:szCs w:val="22"/>
      <w:lang w:val="en-GB" w:eastAsia="en-US"/>
    </w:rPr>
  </w:style>
  <w:style w:type="paragraph" w:customStyle="1" w:styleId="TableBody">
    <w:name w:val="Table Body"/>
    <w:rsid w:val="008B7923"/>
    <w:rPr>
      <w:bCs/>
      <w:color w:val="55565A"/>
      <w:sz w:val="22"/>
      <w:szCs w:val="22"/>
      <w:lang w:val="en-GB" w:eastAsia="en-US"/>
    </w:rPr>
  </w:style>
  <w:style w:type="paragraph" w:customStyle="1" w:styleId="FurtherInfo">
    <w:name w:val="Further Info"/>
    <w:rsid w:val="00372C3E"/>
    <w:pPr>
      <w:pBdr>
        <w:top w:val="single" w:sz="4" w:space="6" w:color="430098"/>
      </w:pBdr>
      <w:spacing w:before="480" w:after="200"/>
    </w:pPr>
    <w:rPr>
      <w:rFonts w:cs="PostGrotesk-Medium"/>
      <w:color w:val="430098"/>
      <w:sz w:val="28"/>
      <w:szCs w:val="28"/>
      <w:lang w:val="en-GB" w:eastAsia="en-US"/>
    </w:rPr>
  </w:style>
  <w:style w:type="paragraph" w:styleId="NormalWeb">
    <w:name w:val="Normal (Web)"/>
    <w:basedOn w:val="Normal"/>
    <w:uiPriority w:val="99"/>
    <w:unhideWhenUsed/>
    <w:rsid w:val="00856EDC"/>
    <w:pPr>
      <w:spacing w:before="100" w:beforeAutospacing="1" w:after="100" w:afterAutospacing="1"/>
    </w:pPr>
    <w:rPr>
      <w:rFonts w:ascii="Times New Roman" w:eastAsia="Times New Roman" w:hAnsi="Times New Roman"/>
      <w:lang w:val="en-AU"/>
    </w:rPr>
  </w:style>
  <w:style w:type="paragraph" w:styleId="Quote">
    <w:name w:val="Quote"/>
    <w:aliases w:val="Body - Italics"/>
    <w:basedOn w:val="Normal"/>
    <w:next w:val="Normal"/>
    <w:link w:val="QuoteChar"/>
    <w:uiPriority w:val="73"/>
    <w:rsid w:val="00E86019"/>
    <w:pPr>
      <w:spacing w:before="120" w:after="120" w:line="264" w:lineRule="auto"/>
    </w:pPr>
    <w:rPr>
      <w:i/>
      <w:iCs/>
      <w:color w:val="55565A"/>
      <w:sz w:val="22"/>
    </w:rPr>
  </w:style>
  <w:style w:type="character" w:customStyle="1" w:styleId="QuoteChar">
    <w:name w:val="Quote Char"/>
    <w:aliases w:val="Body - Italics Char"/>
    <w:basedOn w:val="DefaultParagraphFont"/>
    <w:link w:val="Quote"/>
    <w:uiPriority w:val="73"/>
    <w:rsid w:val="00E86019"/>
    <w:rPr>
      <w:i/>
      <w:iCs/>
      <w:color w:val="55565A"/>
      <w:sz w:val="22"/>
      <w:szCs w:val="24"/>
      <w:lang w:val="en-GB" w:eastAsia="en-US"/>
    </w:rPr>
  </w:style>
  <w:style w:type="character" w:styleId="PageNumber">
    <w:name w:val="page number"/>
    <w:basedOn w:val="DefaultParagraphFont"/>
    <w:uiPriority w:val="99"/>
    <w:semiHidden/>
    <w:unhideWhenUsed/>
    <w:rsid w:val="00406248"/>
  </w:style>
  <w:style w:type="character" w:styleId="CommentReference">
    <w:name w:val="annotation reference"/>
    <w:basedOn w:val="DefaultParagraphFont"/>
    <w:uiPriority w:val="99"/>
    <w:semiHidden/>
    <w:unhideWhenUsed/>
    <w:rsid w:val="00786837"/>
    <w:rPr>
      <w:sz w:val="16"/>
      <w:szCs w:val="16"/>
    </w:rPr>
  </w:style>
  <w:style w:type="paragraph" w:styleId="CommentText">
    <w:name w:val="annotation text"/>
    <w:basedOn w:val="Normal"/>
    <w:link w:val="CommentTextChar"/>
    <w:uiPriority w:val="99"/>
    <w:unhideWhenUsed/>
    <w:rsid w:val="00786837"/>
    <w:rPr>
      <w:sz w:val="20"/>
      <w:szCs w:val="20"/>
    </w:rPr>
  </w:style>
  <w:style w:type="character" w:customStyle="1" w:styleId="CommentTextChar">
    <w:name w:val="Comment Text Char"/>
    <w:basedOn w:val="DefaultParagraphFont"/>
    <w:link w:val="CommentText"/>
    <w:uiPriority w:val="99"/>
    <w:rsid w:val="00786837"/>
    <w:rPr>
      <w:lang w:val="en-GB" w:eastAsia="en-US"/>
    </w:rPr>
  </w:style>
  <w:style w:type="paragraph" w:styleId="FootnoteText">
    <w:name w:val="footnote text"/>
    <w:basedOn w:val="Normal"/>
    <w:link w:val="FootnoteTextChar"/>
    <w:uiPriority w:val="99"/>
    <w:semiHidden/>
    <w:unhideWhenUsed/>
    <w:rsid w:val="00786837"/>
    <w:rPr>
      <w:sz w:val="20"/>
      <w:szCs w:val="20"/>
    </w:rPr>
  </w:style>
  <w:style w:type="character" w:customStyle="1" w:styleId="FootnoteTextChar">
    <w:name w:val="Footnote Text Char"/>
    <w:basedOn w:val="DefaultParagraphFont"/>
    <w:link w:val="FootnoteText"/>
    <w:uiPriority w:val="99"/>
    <w:semiHidden/>
    <w:rsid w:val="00786837"/>
    <w:rPr>
      <w:lang w:val="en-GB" w:eastAsia="en-US"/>
    </w:rPr>
  </w:style>
  <w:style w:type="character" w:styleId="FootnoteReference">
    <w:name w:val="footnote reference"/>
    <w:basedOn w:val="DefaultParagraphFont"/>
    <w:uiPriority w:val="99"/>
    <w:semiHidden/>
    <w:unhideWhenUsed/>
    <w:rsid w:val="00786837"/>
    <w:rPr>
      <w:vertAlign w:val="superscript"/>
    </w:rPr>
  </w:style>
  <w:style w:type="paragraph" w:styleId="BalloonText">
    <w:name w:val="Balloon Text"/>
    <w:basedOn w:val="Normal"/>
    <w:link w:val="BalloonTextChar"/>
    <w:uiPriority w:val="99"/>
    <w:semiHidden/>
    <w:unhideWhenUsed/>
    <w:rsid w:val="0078683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786837"/>
    <w:rPr>
      <w:rFonts w:ascii="Times New Roman" w:hAnsi="Times New Roman"/>
      <w:sz w:val="18"/>
      <w:szCs w:val="18"/>
      <w:lang w:val="en-GB" w:eastAsia="en-US"/>
    </w:rPr>
  </w:style>
  <w:style w:type="paragraph" w:styleId="CommentSubject">
    <w:name w:val="annotation subject"/>
    <w:basedOn w:val="CommentText"/>
    <w:next w:val="CommentText"/>
    <w:link w:val="CommentSubjectChar"/>
    <w:uiPriority w:val="99"/>
    <w:semiHidden/>
    <w:unhideWhenUsed/>
    <w:rsid w:val="00854716"/>
    <w:rPr>
      <w:b/>
      <w:bCs/>
    </w:rPr>
  </w:style>
  <w:style w:type="character" w:customStyle="1" w:styleId="CommentSubjectChar">
    <w:name w:val="Comment Subject Char"/>
    <w:basedOn w:val="CommentTextChar"/>
    <w:link w:val="CommentSubject"/>
    <w:uiPriority w:val="99"/>
    <w:semiHidden/>
    <w:rsid w:val="00854716"/>
    <w:rPr>
      <w:b/>
      <w:bCs/>
      <w:lang w:val="en-GB" w:eastAsia="en-US"/>
    </w:rPr>
  </w:style>
  <w:style w:type="paragraph" w:styleId="Revision">
    <w:name w:val="Revision"/>
    <w:hidden/>
    <w:uiPriority w:val="71"/>
    <w:semiHidden/>
    <w:rsid w:val="000E4EA8"/>
    <w:rPr>
      <w:sz w:val="24"/>
      <w:szCs w:val="24"/>
      <w:lang w:val="en-GB" w:eastAsia="en-US"/>
    </w:rPr>
  </w:style>
  <w:style w:type="paragraph" w:customStyle="1" w:styleId="Casestudy">
    <w:name w:val="Case study"/>
    <w:basedOn w:val="Introduction"/>
    <w:rsid w:val="005B1D42"/>
    <w:pPr>
      <w:widowControl w:val="0"/>
      <w:pBdr>
        <w:left w:val="single" w:sz="4" w:space="4" w:color="auto"/>
      </w:pBdr>
      <w:shd w:val="clear" w:color="auto" w:fill="F5F5F5"/>
      <w:autoSpaceDE w:val="0"/>
      <w:autoSpaceDN w:val="0"/>
      <w:adjustRightInd w:val="0"/>
      <w:spacing w:before="120" w:after="200" w:line="276" w:lineRule="auto"/>
      <w:ind w:left="714" w:right="714"/>
      <w:textAlignment w:val="center"/>
    </w:pPr>
    <w:rPr>
      <w:rFonts w:cs="National-Book"/>
      <w:color w:val="000000"/>
      <w:sz w:val="22"/>
      <w:szCs w:val="22"/>
      <w:lang w:val="en-AU"/>
    </w:rPr>
  </w:style>
  <w:style w:type="paragraph" w:styleId="EndnoteText">
    <w:name w:val="endnote text"/>
    <w:basedOn w:val="Normal"/>
    <w:link w:val="EndnoteTextChar"/>
    <w:uiPriority w:val="99"/>
    <w:semiHidden/>
    <w:unhideWhenUsed/>
    <w:rsid w:val="00E54A51"/>
    <w:rPr>
      <w:sz w:val="20"/>
      <w:szCs w:val="20"/>
    </w:rPr>
  </w:style>
  <w:style w:type="character" w:customStyle="1" w:styleId="EndnoteTextChar">
    <w:name w:val="Endnote Text Char"/>
    <w:basedOn w:val="DefaultParagraphFont"/>
    <w:link w:val="EndnoteText"/>
    <w:uiPriority w:val="99"/>
    <w:semiHidden/>
    <w:rsid w:val="00E54A51"/>
    <w:rPr>
      <w:lang w:val="en-GB" w:eastAsia="en-US"/>
    </w:rPr>
  </w:style>
  <w:style w:type="character" w:styleId="EndnoteReference">
    <w:name w:val="endnote reference"/>
    <w:basedOn w:val="DefaultParagraphFont"/>
    <w:uiPriority w:val="99"/>
    <w:semiHidden/>
    <w:unhideWhenUsed/>
    <w:rsid w:val="00E54A51"/>
    <w:rPr>
      <w:vertAlign w:val="superscript"/>
    </w:rPr>
  </w:style>
  <w:style w:type="paragraph" w:customStyle="1" w:styleId="Endnote">
    <w:name w:val="Endnote"/>
    <w:basedOn w:val="EndnoteText"/>
    <w:rsid w:val="00DD0EA8"/>
    <w:rPr>
      <w:color w:val="000000" w:themeColor="text1"/>
      <w:sz w:val="16"/>
      <w:szCs w:val="16"/>
      <w:lang w:val="en-AU"/>
    </w:rPr>
  </w:style>
  <w:style w:type="character" w:styleId="Hyperlink">
    <w:name w:val="Hyperlink"/>
    <w:basedOn w:val="DefaultParagraphFont"/>
    <w:uiPriority w:val="99"/>
    <w:unhideWhenUsed/>
    <w:rsid w:val="005B1D42"/>
    <w:rPr>
      <w:color w:val="430098"/>
      <w:u w:val="single"/>
    </w:rPr>
  </w:style>
  <w:style w:type="paragraph" w:styleId="TOC1">
    <w:name w:val="toc 1"/>
    <w:basedOn w:val="Normal"/>
    <w:next w:val="Normal"/>
    <w:autoRedefine/>
    <w:uiPriority w:val="39"/>
    <w:unhideWhenUsed/>
    <w:rsid w:val="00533CAC"/>
    <w:pPr>
      <w:tabs>
        <w:tab w:val="right" w:leader="dot" w:pos="9622"/>
      </w:tabs>
      <w:spacing w:before="120" w:after="200"/>
    </w:pPr>
    <w:rPr>
      <w:b/>
      <w:bCs/>
      <w:noProof/>
    </w:rPr>
  </w:style>
  <w:style w:type="paragraph" w:styleId="TOC2">
    <w:name w:val="toc 2"/>
    <w:basedOn w:val="Normal"/>
    <w:next w:val="Normal"/>
    <w:autoRedefine/>
    <w:uiPriority w:val="39"/>
    <w:unhideWhenUsed/>
    <w:rsid w:val="00533CAC"/>
    <w:pPr>
      <w:tabs>
        <w:tab w:val="right" w:leader="dot" w:pos="9622"/>
      </w:tabs>
      <w:spacing w:after="100"/>
      <w:ind w:left="240"/>
    </w:pPr>
    <w:rPr>
      <w:i/>
      <w:iCs/>
      <w:noProof/>
    </w:rPr>
  </w:style>
  <w:style w:type="paragraph" w:customStyle="1" w:styleId="Heading-3">
    <w:name w:val="Heading-3"/>
    <w:basedOn w:val="Body"/>
    <w:rsid w:val="00533CAC"/>
    <w:rPr>
      <w:b/>
      <w:bCs/>
    </w:rPr>
  </w:style>
  <w:style w:type="paragraph" w:customStyle="1" w:styleId="SectionHeading1">
    <w:name w:val="Section Heading 1"/>
    <w:basedOn w:val="BasicParagraph"/>
    <w:rsid w:val="004304F4"/>
    <w:pPr>
      <w:suppressAutoHyphens/>
      <w:spacing w:after="120"/>
    </w:pPr>
    <w:rPr>
      <w:rFonts w:ascii="Calibri" w:hAnsi="Calibri" w:cs="PostGrotesk-Medium"/>
      <w:color w:val="430098"/>
      <w:sz w:val="28"/>
      <w:szCs w:val="28"/>
    </w:rPr>
  </w:style>
  <w:style w:type="table" w:styleId="TableGrid">
    <w:name w:val="Table Grid"/>
    <w:basedOn w:val="TableNormal"/>
    <w:uiPriority w:val="59"/>
    <w:rsid w:val="004304F4"/>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4304F4"/>
    <w:pPr>
      <w:ind w:left="720"/>
      <w:contextualSpacing/>
    </w:pPr>
  </w:style>
  <w:style w:type="paragraph" w:customStyle="1" w:styleId="xxmsonormal">
    <w:name w:val="x_xmsonormal"/>
    <w:basedOn w:val="Normal"/>
    <w:rsid w:val="00250230"/>
    <w:pPr>
      <w:spacing w:before="100" w:beforeAutospacing="1" w:after="100" w:afterAutospacing="1"/>
    </w:pPr>
    <w:rPr>
      <w:rFonts w:eastAsiaTheme="minorHAnsi" w:cs="Calibri"/>
      <w:sz w:val="22"/>
      <w:szCs w:val="2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782598">
      <w:bodyDiv w:val="1"/>
      <w:marLeft w:val="0"/>
      <w:marRight w:val="0"/>
      <w:marTop w:val="0"/>
      <w:marBottom w:val="0"/>
      <w:divBdr>
        <w:top w:val="none" w:sz="0" w:space="0" w:color="auto"/>
        <w:left w:val="none" w:sz="0" w:space="0" w:color="auto"/>
        <w:bottom w:val="none" w:sz="0" w:space="0" w:color="auto"/>
        <w:right w:val="none" w:sz="0" w:space="0" w:color="auto"/>
      </w:divBdr>
    </w:div>
    <w:div w:id="329332234">
      <w:bodyDiv w:val="1"/>
      <w:marLeft w:val="0"/>
      <w:marRight w:val="0"/>
      <w:marTop w:val="0"/>
      <w:marBottom w:val="0"/>
      <w:divBdr>
        <w:top w:val="none" w:sz="0" w:space="0" w:color="auto"/>
        <w:left w:val="none" w:sz="0" w:space="0" w:color="auto"/>
        <w:bottom w:val="none" w:sz="0" w:space="0" w:color="auto"/>
        <w:right w:val="none" w:sz="0" w:space="0" w:color="auto"/>
      </w:divBdr>
    </w:div>
    <w:div w:id="370765537">
      <w:bodyDiv w:val="1"/>
      <w:marLeft w:val="0"/>
      <w:marRight w:val="0"/>
      <w:marTop w:val="0"/>
      <w:marBottom w:val="0"/>
      <w:divBdr>
        <w:top w:val="none" w:sz="0" w:space="0" w:color="auto"/>
        <w:left w:val="none" w:sz="0" w:space="0" w:color="auto"/>
        <w:bottom w:val="none" w:sz="0" w:space="0" w:color="auto"/>
        <w:right w:val="none" w:sz="0" w:space="0" w:color="auto"/>
      </w:divBdr>
    </w:div>
    <w:div w:id="572662468">
      <w:bodyDiv w:val="1"/>
      <w:marLeft w:val="0"/>
      <w:marRight w:val="0"/>
      <w:marTop w:val="0"/>
      <w:marBottom w:val="0"/>
      <w:divBdr>
        <w:top w:val="none" w:sz="0" w:space="0" w:color="auto"/>
        <w:left w:val="none" w:sz="0" w:space="0" w:color="auto"/>
        <w:bottom w:val="none" w:sz="0" w:space="0" w:color="auto"/>
        <w:right w:val="none" w:sz="0" w:space="0" w:color="auto"/>
      </w:divBdr>
    </w:div>
    <w:div w:id="847015012">
      <w:bodyDiv w:val="1"/>
      <w:marLeft w:val="0"/>
      <w:marRight w:val="0"/>
      <w:marTop w:val="0"/>
      <w:marBottom w:val="0"/>
      <w:divBdr>
        <w:top w:val="none" w:sz="0" w:space="0" w:color="auto"/>
        <w:left w:val="none" w:sz="0" w:space="0" w:color="auto"/>
        <w:bottom w:val="none" w:sz="0" w:space="0" w:color="auto"/>
        <w:right w:val="none" w:sz="0" w:space="0" w:color="auto"/>
      </w:divBdr>
    </w:div>
    <w:div w:id="853226692">
      <w:bodyDiv w:val="1"/>
      <w:marLeft w:val="0"/>
      <w:marRight w:val="0"/>
      <w:marTop w:val="0"/>
      <w:marBottom w:val="0"/>
      <w:divBdr>
        <w:top w:val="none" w:sz="0" w:space="0" w:color="auto"/>
        <w:left w:val="none" w:sz="0" w:space="0" w:color="auto"/>
        <w:bottom w:val="none" w:sz="0" w:space="0" w:color="auto"/>
        <w:right w:val="none" w:sz="0" w:space="0" w:color="auto"/>
      </w:divBdr>
    </w:div>
    <w:div w:id="888495710">
      <w:bodyDiv w:val="1"/>
      <w:marLeft w:val="0"/>
      <w:marRight w:val="0"/>
      <w:marTop w:val="0"/>
      <w:marBottom w:val="0"/>
      <w:divBdr>
        <w:top w:val="none" w:sz="0" w:space="0" w:color="auto"/>
        <w:left w:val="none" w:sz="0" w:space="0" w:color="auto"/>
        <w:bottom w:val="none" w:sz="0" w:space="0" w:color="auto"/>
        <w:right w:val="none" w:sz="0" w:space="0" w:color="auto"/>
      </w:divBdr>
    </w:div>
    <w:div w:id="1001355639">
      <w:bodyDiv w:val="1"/>
      <w:marLeft w:val="0"/>
      <w:marRight w:val="0"/>
      <w:marTop w:val="0"/>
      <w:marBottom w:val="0"/>
      <w:divBdr>
        <w:top w:val="none" w:sz="0" w:space="0" w:color="auto"/>
        <w:left w:val="none" w:sz="0" w:space="0" w:color="auto"/>
        <w:bottom w:val="none" w:sz="0" w:space="0" w:color="auto"/>
        <w:right w:val="none" w:sz="0" w:space="0" w:color="auto"/>
      </w:divBdr>
    </w:div>
    <w:div w:id="1150442893">
      <w:bodyDiv w:val="1"/>
      <w:marLeft w:val="0"/>
      <w:marRight w:val="0"/>
      <w:marTop w:val="0"/>
      <w:marBottom w:val="0"/>
      <w:divBdr>
        <w:top w:val="none" w:sz="0" w:space="0" w:color="auto"/>
        <w:left w:val="none" w:sz="0" w:space="0" w:color="auto"/>
        <w:bottom w:val="none" w:sz="0" w:space="0" w:color="auto"/>
        <w:right w:val="none" w:sz="0" w:space="0" w:color="auto"/>
      </w:divBdr>
    </w:div>
    <w:div w:id="1163005889">
      <w:bodyDiv w:val="1"/>
      <w:marLeft w:val="0"/>
      <w:marRight w:val="0"/>
      <w:marTop w:val="0"/>
      <w:marBottom w:val="0"/>
      <w:divBdr>
        <w:top w:val="none" w:sz="0" w:space="0" w:color="auto"/>
        <w:left w:val="none" w:sz="0" w:space="0" w:color="auto"/>
        <w:bottom w:val="none" w:sz="0" w:space="0" w:color="auto"/>
        <w:right w:val="none" w:sz="0" w:space="0" w:color="auto"/>
      </w:divBdr>
    </w:div>
    <w:div w:id="1578632819">
      <w:bodyDiv w:val="1"/>
      <w:marLeft w:val="0"/>
      <w:marRight w:val="0"/>
      <w:marTop w:val="0"/>
      <w:marBottom w:val="0"/>
      <w:divBdr>
        <w:top w:val="none" w:sz="0" w:space="0" w:color="auto"/>
        <w:left w:val="none" w:sz="0" w:space="0" w:color="auto"/>
        <w:bottom w:val="none" w:sz="0" w:space="0" w:color="auto"/>
        <w:right w:val="none" w:sz="0" w:space="0" w:color="auto"/>
      </w:divBdr>
    </w:div>
    <w:div w:id="1907909477">
      <w:bodyDiv w:val="1"/>
      <w:marLeft w:val="0"/>
      <w:marRight w:val="0"/>
      <w:marTop w:val="0"/>
      <w:marBottom w:val="0"/>
      <w:divBdr>
        <w:top w:val="none" w:sz="0" w:space="0" w:color="auto"/>
        <w:left w:val="none" w:sz="0" w:space="0" w:color="auto"/>
        <w:bottom w:val="none" w:sz="0" w:space="0" w:color="auto"/>
        <w:right w:val="none" w:sz="0" w:space="0" w:color="auto"/>
      </w:divBdr>
    </w:div>
    <w:div w:id="2026132984">
      <w:bodyDiv w:val="1"/>
      <w:marLeft w:val="0"/>
      <w:marRight w:val="0"/>
      <w:marTop w:val="0"/>
      <w:marBottom w:val="0"/>
      <w:divBdr>
        <w:top w:val="none" w:sz="0" w:space="0" w:color="auto"/>
        <w:left w:val="none" w:sz="0" w:space="0" w:color="auto"/>
        <w:bottom w:val="none" w:sz="0" w:space="0" w:color="auto"/>
        <w:right w:val="none" w:sz="0" w:space="0" w:color="auto"/>
      </w:divBdr>
    </w:div>
    <w:div w:id="2088456238">
      <w:bodyDiv w:val="1"/>
      <w:marLeft w:val="0"/>
      <w:marRight w:val="0"/>
      <w:marTop w:val="0"/>
      <w:marBottom w:val="0"/>
      <w:divBdr>
        <w:top w:val="none" w:sz="0" w:space="0" w:color="auto"/>
        <w:left w:val="none" w:sz="0" w:space="0" w:color="auto"/>
        <w:bottom w:val="none" w:sz="0" w:space="0" w:color="auto"/>
        <w:right w:val="none" w:sz="0" w:space="0" w:color="auto"/>
      </w:divBdr>
    </w:div>
    <w:div w:id="2112316380">
      <w:bodyDiv w:val="1"/>
      <w:marLeft w:val="0"/>
      <w:marRight w:val="0"/>
      <w:marTop w:val="0"/>
      <w:marBottom w:val="0"/>
      <w:divBdr>
        <w:top w:val="none" w:sz="0" w:space="0" w:color="auto"/>
        <w:left w:val="none" w:sz="0" w:space="0" w:color="auto"/>
        <w:bottom w:val="none" w:sz="0" w:space="0" w:color="auto"/>
        <w:right w:val="none" w:sz="0" w:space="0" w:color="auto"/>
      </w:divBdr>
    </w:div>
    <w:div w:id="2124497577">
      <w:bodyDiv w:val="1"/>
      <w:marLeft w:val="0"/>
      <w:marRight w:val="0"/>
      <w:marTop w:val="0"/>
      <w:marBottom w:val="0"/>
      <w:divBdr>
        <w:top w:val="none" w:sz="0" w:space="0" w:color="auto"/>
        <w:left w:val="none" w:sz="0" w:space="0" w:color="auto"/>
        <w:bottom w:val="none" w:sz="0" w:space="0" w:color="auto"/>
        <w:right w:val="none" w:sz="0" w:space="0" w:color="auto"/>
      </w:divBdr>
      <w:divsChild>
        <w:div w:id="659889901">
          <w:marLeft w:val="0"/>
          <w:marRight w:val="0"/>
          <w:marTop w:val="0"/>
          <w:marBottom w:val="0"/>
          <w:divBdr>
            <w:top w:val="none" w:sz="0" w:space="0" w:color="auto"/>
            <w:left w:val="none" w:sz="0" w:space="0" w:color="auto"/>
            <w:bottom w:val="none" w:sz="0" w:space="0" w:color="auto"/>
            <w:right w:val="none" w:sz="0" w:space="0" w:color="auto"/>
          </w:divBdr>
          <w:divsChild>
            <w:div w:id="1482698843">
              <w:marLeft w:val="0"/>
              <w:marRight w:val="0"/>
              <w:marTop w:val="0"/>
              <w:marBottom w:val="0"/>
              <w:divBdr>
                <w:top w:val="none" w:sz="0" w:space="0" w:color="auto"/>
                <w:left w:val="none" w:sz="0" w:space="0" w:color="auto"/>
                <w:bottom w:val="none" w:sz="0" w:space="0" w:color="auto"/>
                <w:right w:val="none" w:sz="0" w:space="0" w:color="auto"/>
              </w:divBdr>
              <w:divsChild>
                <w:div w:id="144129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A576B-DC39-0C48-A81E-05035850F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2179</Words>
  <Characters>12425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2019-07-23T01:36:00Z</cp:lastPrinted>
  <dcterms:created xsi:type="dcterms:W3CDTF">2021-06-11T00:03:00Z</dcterms:created>
  <dcterms:modified xsi:type="dcterms:W3CDTF">2023-06-20T01:42:00Z</dcterms:modified>
</cp:coreProperties>
</file>