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263C" w14:textId="5F08B91C" w:rsidR="00147A58" w:rsidRPr="00803661" w:rsidRDefault="00147A58" w:rsidP="00147A58">
      <w:pPr>
        <w:pStyle w:val="Heading-1"/>
        <w:spacing w:after="240"/>
      </w:pPr>
      <w:r w:rsidRPr="00803661">
        <w:t>SPEAKING POINTS</w:t>
      </w:r>
    </w:p>
    <w:tbl>
      <w:tblPr>
        <w:tblStyle w:val="TableGrid"/>
        <w:tblW w:w="5000" w:type="pct"/>
        <w:tblLook w:val="04A0" w:firstRow="1" w:lastRow="0" w:firstColumn="1" w:lastColumn="0" w:noHBand="0" w:noVBand="1"/>
      </w:tblPr>
      <w:tblGrid>
        <w:gridCol w:w="1838"/>
        <w:gridCol w:w="7784"/>
      </w:tblGrid>
      <w:tr w:rsidR="00B67B02" w:rsidRPr="00803661" w14:paraId="250E3462" w14:textId="77777777" w:rsidTr="00434550">
        <w:tc>
          <w:tcPr>
            <w:tcW w:w="955" w:type="pct"/>
            <w:tcBorders>
              <w:top w:val="single" w:sz="4" w:space="0" w:color="auto"/>
              <w:left w:val="single" w:sz="4" w:space="0" w:color="auto"/>
              <w:bottom w:val="single" w:sz="4" w:space="0" w:color="auto"/>
              <w:right w:val="single" w:sz="4" w:space="0" w:color="auto"/>
            </w:tcBorders>
            <w:vAlign w:val="center"/>
          </w:tcPr>
          <w:p w14:paraId="4CE09AFF" w14:textId="77777777" w:rsidR="004304F4" w:rsidRPr="00803661" w:rsidRDefault="004304F4" w:rsidP="00706416">
            <w:pPr>
              <w:pStyle w:val="SectionHeading1"/>
              <w:spacing w:before="120"/>
              <w:rPr>
                <w:rFonts w:asciiTheme="minorHAnsi" w:hAnsiTheme="minorHAnsi" w:cstheme="minorHAnsi"/>
                <w:b/>
                <w:bCs/>
                <w:sz w:val="22"/>
                <w:szCs w:val="22"/>
                <w:lang w:val="en-AU"/>
              </w:rPr>
            </w:pPr>
            <w:r w:rsidRPr="00803661">
              <w:rPr>
                <w:rFonts w:asciiTheme="minorHAnsi" w:hAnsiTheme="minorHAnsi" w:cstheme="minorHAnsi"/>
                <w:b/>
                <w:bCs/>
                <w:sz w:val="22"/>
                <w:szCs w:val="22"/>
                <w:lang w:val="en-AU"/>
              </w:rPr>
              <w:t xml:space="preserve">Event </w:t>
            </w:r>
            <w:r w:rsidR="00B67B02" w:rsidRPr="00803661">
              <w:rPr>
                <w:rFonts w:asciiTheme="minorHAnsi" w:hAnsiTheme="minorHAnsi" w:cstheme="minorHAnsi"/>
                <w:b/>
                <w:bCs/>
                <w:sz w:val="22"/>
                <w:szCs w:val="22"/>
                <w:lang w:val="en-AU"/>
              </w:rPr>
              <w:t>t</w:t>
            </w:r>
            <w:r w:rsidRPr="00803661">
              <w:rPr>
                <w:rFonts w:asciiTheme="minorHAnsi" w:hAnsiTheme="minorHAnsi" w:cstheme="minorHAnsi"/>
                <w:b/>
                <w:bCs/>
                <w:sz w:val="22"/>
                <w:szCs w:val="22"/>
                <w:lang w:val="en-AU"/>
              </w:rPr>
              <w:t>itle:</w:t>
            </w:r>
          </w:p>
        </w:tc>
        <w:tc>
          <w:tcPr>
            <w:tcW w:w="4045" w:type="pct"/>
            <w:tcBorders>
              <w:top w:val="single" w:sz="4" w:space="0" w:color="auto"/>
              <w:left w:val="single" w:sz="4" w:space="0" w:color="auto"/>
              <w:bottom w:val="single" w:sz="4" w:space="0" w:color="auto"/>
              <w:right w:val="single" w:sz="4" w:space="0" w:color="auto"/>
            </w:tcBorders>
            <w:vAlign w:val="center"/>
          </w:tcPr>
          <w:p w14:paraId="5FA70240" w14:textId="5179F30D" w:rsidR="004304F4" w:rsidRPr="00803661" w:rsidRDefault="008D21EB" w:rsidP="004A5BEF">
            <w:pPr>
              <w:spacing w:before="120" w:after="120"/>
              <w:rPr>
                <w:sz w:val="22"/>
                <w:szCs w:val="22"/>
                <w:lang w:val="en-AU"/>
              </w:rPr>
            </w:pPr>
            <w:r w:rsidRPr="00803661">
              <w:rPr>
                <w:sz w:val="22"/>
                <w:szCs w:val="22"/>
                <w:lang w:val="en-AU"/>
              </w:rPr>
              <w:t xml:space="preserve">Council Transparency and Freedom of Information DJPR, Municipal Association of Victorian, and Local Government CEO Forum </w:t>
            </w:r>
          </w:p>
        </w:tc>
      </w:tr>
      <w:tr w:rsidR="00CC3A9E" w:rsidRPr="00803661" w14:paraId="5209E431" w14:textId="77777777" w:rsidTr="00434550">
        <w:tc>
          <w:tcPr>
            <w:tcW w:w="955" w:type="pct"/>
            <w:tcBorders>
              <w:top w:val="single" w:sz="4" w:space="0" w:color="auto"/>
              <w:left w:val="single" w:sz="4" w:space="0" w:color="auto"/>
              <w:bottom w:val="single" w:sz="4" w:space="0" w:color="auto"/>
              <w:right w:val="single" w:sz="4" w:space="0" w:color="auto"/>
            </w:tcBorders>
            <w:vAlign w:val="center"/>
          </w:tcPr>
          <w:p w14:paraId="2CFC52FE" w14:textId="77777777" w:rsidR="00CC3A9E" w:rsidRPr="00803661" w:rsidRDefault="00CC3A9E" w:rsidP="00706416">
            <w:pPr>
              <w:pStyle w:val="SectionHeading1"/>
              <w:spacing w:before="120"/>
              <w:rPr>
                <w:rFonts w:asciiTheme="minorHAnsi" w:hAnsiTheme="minorHAnsi" w:cstheme="minorHAnsi"/>
                <w:b/>
                <w:bCs/>
                <w:sz w:val="22"/>
                <w:szCs w:val="22"/>
                <w:lang w:val="en-AU"/>
              </w:rPr>
            </w:pPr>
            <w:r w:rsidRPr="00803661">
              <w:rPr>
                <w:rFonts w:asciiTheme="minorHAnsi" w:hAnsiTheme="minorHAnsi" w:cstheme="minorHAnsi"/>
                <w:b/>
                <w:bCs/>
                <w:sz w:val="22"/>
                <w:szCs w:val="22"/>
                <w:lang w:val="en-AU"/>
              </w:rPr>
              <w:t>Speaker:</w:t>
            </w:r>
          </w:p>
        </w:tc>
        <w:tc>
          <w:tcPr>
            <w:tcW w:w="4045" w:type="pct"/>
            <w:tcBorders>
              <w:top w:val="single" w:sz="4" w:space="0" w:color="auto"/>
              <w:left w:val="single" w:sz="4" w:space="0" w:color="auto"/>
              <w:bottom w:val="single" w:sz="4" w:space="0" w:color="auto"/>
              <w:right w:val="single" w:sz="4" w:space="0" w:color="auto"/>
            </w:tcBorders>
            <w:vAlign w:val="center"/>
          </w:tcPr>
          <w:p w14:paraId="6708A75F" w14:textId="3DB8F3A4" w:rsidR="00CC3A9E" w:rsidRPr="00803661" w:rsidRDefault="007A3FC5" w:rsidP="004A5BEF">
            <w:pPr>
              <w:spacing w:before="120" w:after="120"/>
              <w:rPr>
                <w:sz w:val="22"/>
                <w:szCs w:val="22"/>
                <w:lang w:val="en-AU"/>
              </w:rPr>
            </w:pPr>
            <w:r w:rsidRPr="00803661">
              <w:rPr>
                <w:sz w:val="22"/>
                <w:szCs w:val="22"/>
                <w:lang w:val="en-AU"/>
              </w:rPr>
              <w:t>Sven Bluemmel</w:t>
            </w:r>
          </w:p>
        </w:tc>
      </w:tr>
      <w:tr w:rsidR="009C2E29" w:rsidRPr="00803661" w14:paraId="7330C7E3" w14:textId="77777777" w:rsidTr="009C2E29">
        <w:tc>
          <w:tcPr>
            <w:tcW w:w="955" w:type="pct"/>
            <w:tcBorders>
              <w:top w:val="single" w:sz="4" w:space="0" w:color="auto"/>
              <w:left w:val="single" w:sz="4" w:space="0" w:color="auto"/>
              <w:bottom w:val="single" w:sz="4" w:space="0" w:color="auto"/>
              <w:right w:val="single" w:sz="4" w:space="0" w:color="auto"/>
            </w:tcBorders>
            <w:vAlign w:val="center"/>
          </w:tcPr>
          <w:p w14:paraId="05E0E909" w14:textId="77777777" w:rsidR="009C2E29" w:rsidRPr="00803661" w:rsidRDefault="009C2E29" w:rsidP="00706416">
            <w:pPr>
              <w:pStyle w:val="SectionHeading1"/>
              <w:spacing w:before="120"/>
              <w:rPr>
                <w:rFonts w:asciiTheme="minorHAnsi" w:hAnsiTheme="minorHAnsi" w:cstheme="minorHAnsi"/>
                <w:b/>
                <w:bCs/>
                <w:sz w:val="22"/>
                <w:szCs w:val="22"/>
                <w:lang w:val="en-AU"/>
              </w:rPr>
            </w:pPr>
            <w:r w:rsidRPr="00803661">
              <w:rPr>
                <w:rFonts w:asciiTheme="minorHAnsi" w:hAnsiTheme="minorHAnsi" w:cstheme="minorHAnsi"/>
                <w:b/>
                <w:bCs/>
                <w:sz w:val="22"/>
                <w:szCs w:val="22"/>
                <w:lang w:val="en-AU"/>
              </w:rPr>
              <w:t>Event date:</w:t>
            </w:r>
          </w:p>
        </w:tc>
        <w:tc>
          <w:tcPr>
            <w:tcW w:w="4045" w:type="pct"/>
            <w:tcBorders>
              <w:top w:val="single" w:sz="4" w:space="0" w:color="auto"/>
              <w:left w:val="single" w:sz="4" w:space="0" w:color="auto"/>
              <w:bottom w:val="single" w:sz="4" w:space="0" w:color="auto"/>
              <w:right w:val="single" w:sz="4" w:space="0" w:color="auto"/>
            </w:tcBorders>
            <w:vAlign w:val="center"/>
          </w:tcPr>
          <w:p w14:paraId="1CE0B29C" w14:textId="7D91C18E" w:rsidR="009C2E29" w:rsidRPr="00803661" w:rsidRDefault="009C2E29" w:rsidP="009C2E29">
            <w:pPr>
              <w:spacing w:before="120" w:after="120"/>
              <w:rPr>
                <w:sz w:val="22"/>
                <w:szCs w:val="22"/>
                <w:lang w:val="en-AU"/>
              </w:rPr>
            </w:pPr>
            <w:r w:rsidRPr="00803661">
              <w:rPr>
                <w:sz w:val="22"/>
                <w:szCs w:val="22"/>
                <w:lang w:val="en-AU"/>
              </w:rPr>
              <w:t xml:space="preserve">5 October 2022 </w:t>
            </w:r>
          </w:p>
        </w:tc>
      </w:tr>
    </w:tbl>
    <w:p w14:paraId="468186E3" w14:textId="2975ECAD" w:rsidR="004304F4" w:rsidRPr="009C2E29" w:rsidRDefault="007131C3" w:rsidP="007131C3">
      <w:pPr>
        <w:pStyle w:val="Heading-2"/>
        <w:rPr>
          <w:sz w:val="22"/>
          <w:szCs w:val="22"/>
          <w:lang w:val="en-AU"/>
        </w:rPr>
      </w:pPr>
      <w:r w:rsidRPr="009C2E29">
        <w:rPr>
          <w:sz w:val="22"/>
          <w:szCs w:val="22"/>
          <w:lang w:val="en-AU"/>
        </w:rPr>
        <w:t>Introduction</w:t>
      </w:r>
    </w:p>
    <w:p w14:paraId="4E7657AA" w14:textId="46AA8719" w:rsidR="006F26FE" w:rsidRPr="009C2E29" w:rsidRDefault="009C2E29" w:rsidP="006F26FE">
      <w:pPr>
        <w:pStyle w:val="Body"/>
        <w:numPr>
          <w:ilvl w:val="0"/>
          <w:numId w:val="24"/>
        </w:numPr>
        <w:rPr>
          <w:sz w:val="22"/>
          <w:szCs w:val="22"/>
          <w:lang w:val="en-AU"/>
        </w:rPr>
      </w:pPr>
      <w:r w:rsidRPr="009C2E29">
        <w:rPr>
          <w:sz w:val="22"/>
          <w:szCs w:val="22"/>
          <w:lang w:val="en-AU"/>
        </w:rPr>
        <w:t>T</w:t>
      </w:r>
      <w:r w:rsidR="005C7F8F" w:rsidRPr="009C2E29">
        <w:rPr>
          <w:sz w:val="22"/>
          <w:szCs w:val="22"/>
          <w:lang w:val="en-AU"/>
        </w:rPr>
        <w:t xml:space="preserve">he Office of the Victorian Information Commissioner, or OVIC – is </w:t>
      </w:r>
      <w:r w:rsidR="00766236" w:rsidRPr="009C2E29">
        <w:rPr>
          <w:sz w:val="22"/>
          <w:szCs w:val="22"/>
          <w:lang w:val="en-AU"/>
        </w:rPr>
        <w:t>the</w:t>
      </w:r>
      <w:r w:rsidR="008D21EB" w:rsidRPr="009C2E29">
        <w:rPr>
          <w:sz w:val="22"/>
          <w:szCs w:val="22"/>
          <w:lang w:val="en-AU"/>
        </w:rPr>
        <w:t xml:space="preserve"> </w:t>
      </w:r>
      <w:r w:rsidR="005C7F8F" w:rsidRPr="009C2E29">
        <w:rPr>
          <w:sz w:val="22"/>
          <w:szCs w:val="22"/>
          <w:lang w:val="en-AU"/>
        </w:rPr>
        <w:t>primary regulator</w:t>
      </w:r>
      <w:r w:rsidR="00766236" w:rsidRPr="009C2E29">
        <w:rPr>
          <w:sz w:val="22"/>
          <w:szCs w:val="22"/>
          <w:lang w:val="en-AU"/>
        </w:rPr>
        <w:t xml:space="preserve"> for</w:t>
      </w:r>
      <w:r w:rsidR="005C7F8F" w:rsidRPr="009C2E29">
        <w:rPr>
          <w:sz w:val="22"/>
          <w:szCs w:val="22"/>
          <w:lang w:val="en-AU"/>
        </w:rPr>
        <w:t xml:space="preserve"> freedom of information</w:t>
      </w:r>
      <w:r w:rsidR="008D21EB" w:rsidRPr="009C2E29">
        <w:rPr>
          <w:sz w:val="22"/>
          <w:szCs w:val="22"/>
          <w:lang w:val="en-AU"/>
        </w:rPr>
        <w:t>, information privacy, and information security</w:t>
      </w:r>
      <w:r w:rsidR="001262E0" w:rsidRPr="009C2E29" w:rsidDel="001262E0">
        <w:rPr>
          <w:sz w:val="22"/>
          <w:szCs w:val="22"/>
          <w:lang w:val="en-AU"/>
        </w:rPr>
        <w:t xml:space="preserve"> </w:t>
      </w:r>
      <w:r w:rsidR="001262E0" w:rsidRPr="009C2E29">
        <w:rPr>
          <w:sz w:val="22"/>
          <w:szCs w:val="22"/>
          <w:lang w:val="en-AU"/>
        </w:rPr>
        <w:t>i</w:t>
      </w:r>
      <w:r w:rsidR="005C7F8F" w:rsidRPr="009C2E29">
        <w:rPr>
          <w:sz w:val="22"/>
          <w:szCs w:val="22"/>
          <w:lang w:val="en-AU"/>
        </w:rPr>
        <w:t xml:space="preserve">n Victoria, administering both the </w:t>
      </w:r>
      <w:r w:rsidR="008D21EB" w:rsidRPr="009C2E29">
        <w:rPr>
          <w:i/>
          <w:iCs/>
          <w:sz w:val="22"/>
          <w:szCs w:val="22"/>
          <w:lang w:val="en-AU"/>
        </w:rPr>
        <w:t xml:space="preserve">Freedom of Information Act 1982 </w:t>
      </w:r>
      <w:r w:rsidR="008D21EB" w:rsidRPr="009C2E29">
        <w:rPr>
          <w:sz w:val="22"/>
          <w:szCs w:val="22"/>
          <w:lang w:val="en-AU"/>
        </w:rPr>
        <w:t>(</w:t>
      </w:r>
      <w:r w:rsidR="008D21EB" w:rsidRPr="009C2E29">
        <w:rPr>
          <w:b/>
          <w:bCs/>
          <w:sz w:val="22"/>
          <w:szCs w:val="22"/>
          <w:lang w:val="en-AU"/>
        </w:rPr>
        <w:t>FOI Act</w:t>
      </w:r>
      <w:r w:rsidR="00897037" w:rsidRPr="009C2E29">
        <w:rPr>
          <w:bCs/>
          <w:sz w:val="22"/>
          <w:szCs w:val="22"/>
          <w:lang w:val="en-AU"/>
        </w:rPr>
        <w:t>)</w:t>
      </w:r>
      <w:r w:rsidR="008D21EB" w:rsidRPr="009C2E29">
        <w:rPr>
          <w:i/>
          <w:iCs/>
          <w:sz w:val="22"/>
          <w:szCs w:val="22"/>
          <w:lang w:val="en-AU"/>
        </w:rPr>
        <w:t xml:space="preserve"> </w:t>
      </w:r>
      <w:r w:rsidR="008D21EB" w:rsidRPr="009C2E29">
        <w:rPr>
          <w:sz w:val="22"/>
          <w:szCs w:val="22"/>
          <w:lang w:val="en-AU"/>
        </w:rPr>
        <w:t xml:space="preserve">and </w:t>
      </w:r>
      <w:r w:rsidR="005C7F8F" w:rsidRPr="009C2E29">
        <w:rPr>
          <w:i/>
          <w:iCs/>
          <w:sz w:val="22"/>
          <w:szCs w:val="22"/>
          <w:lang w:val="en-AU"/>
        </w:rPr>
        <w:t>Privacy and Data Protection Act 2014</w:t>
      </w:r>
      <w:r w:rsidR="005C7F8F" w:rsidRPr="009C2E29">
        <w:rPr>
          <w:sz w:val="22"/>
          <w:szCs w:val="22"/>
          <w:lang w:val="en-AU"/>
        </w:rPr>
        <w:t>.</w:t>
      </w:r>
    </w:p>
    <w:p w14:paraId="08AC6E87" w14:textId="77777777" w:rsidR="008D21EB" w:rsidRPr="009C2E29" w:rsidRDefault="00D33216" w:rsidP="008D21EB">
      <w:pPr>
        <w:pStyle w:val="Body"/>
        <w:numPr>
          <w:ilvl w:val="0"/>
          <w:numId w:val="24"/>
        </w:numPr>
        <w:rPr>
          <w:sz w:val="22"/>
          <w:szCs w:val="22"/>
          <w:lang w:val="en-AU"/>
        </w:rPr>
      </w:pPr>
      <w:r w:rsidRPr="009C2E29">
        <w:rPr>
          <w:sz w:val="22"/>
          <w:szCs w:val="22"/>
          <w:lang w:val="en-AU"/>
        </w:rPr>
        <w:t>T</w:t>
      </w:r>
      <w:r w:rsidR="008D21EB" w:rsidRPr="009C2E29">
        <w:rPr>
          <w:sz w:val="22"/>
          <w:szCs w:val="22"/>
          <w:lang w:val="en-AU"/>
        </w:rPr>
        <w:t>his morning</w:t>
      </w:r>
      <w:r w:rsidRPr="009C2E29">
        <w:rPr>
          <w:sz w:val="22"/>
          <w:szCs w:val="22"/>
          <w:lang w:val="en-AU"/>
        </w:rPr>
        <w:t xml:space="preserve"> I want to</w:t>
      </w:r>
      <w:r w:rsidR="009A470D" w:rsidRPr="009C2E29">
        <w:rPr>
          <w:sz w:val="22"/>
          <w:szCs w:val="22"/>
          <w:lang w:val="en-AU"/>
        </w:rPr>
        <w:t xml:space="preserve"> </w:t>
      </w:r>
      <w:r w:rsidR="002C59C1" w:rsidRPr="009C2E29">
        <w:rPr>
          <w:sz w:val="22"/>
          <w:szCs w:val="22"/>
          <w:lang w:val="en-AU"/>
        </w:rPr>
        <w:t>explore</w:t>
      </w:r>
      <w:r w:rsidR="002448B2" w:rsidRPr="009C2E29">
        <w:rPr>
          <w:sz w:val="22"/>
          <w:szCs w:val="22"/>
          <w:lang w:val="en-AU"/>
        </w:rPr>
        <w:t xml:space="preserve"> </w:t>
      </w:r>
      <w:r w:rsidR="008D21EB" w:rsidRPr="009C2E29">
        <w:rPr>
          <w:sz w:val="22"/>
          <w:szCs w:val="22"/>
          <w:lang w:val="en-AU"/>
        </w:rPr>
        <w:t>transparency and</w:t>
      </w:r>
      <w:r w:rsidR="009A470D" w:rsidRPr="009C2E29">
        <w:rPr>
          <w:sz w:val="22"/>
          <w:szCs w:val="22"/>
          <w:lang w:val="en-AU"/>
        </w:rPr>
        <w:t xml:space="preserve"> </w:t>
      </w:r>
      <w:r w:rsidR="008D21EB" w:rsidRPr="009C2E29">
        <w:rPr>
          <w:sz w:val="22"/>
          <w:szCs w:val="22"/>
          <w:lang w:val="en-AU"/>
        </w:rPr>
        <w:t xml:space="preserve">openness in the local government </w:t>
      </w:r>
      <w:proofErr w:type="gramStart"/>
      <w:r w:rsidR="008D21EB" w:rsidRPr="009C2E29">
        <w:rPr>
          <w:sz w:val="22"/>
          <w:szCs w:val="22"/>
          <w:lang w:val="en-AU"/>
        </w:rPr>
        <w:t>sector, and</w:t>
      </w:r>
      <w:proofErr w:type="gramEnd"/>
      <w:r w:rsidR="008D21EB" w:rsidRPr="009C2E29">
        <w:rPr>
          <w:sz w:val="22"/>
          <w:szCs w:val="22"/>
          <w:lang w:val="en-AU"/>
        </w:rPr>
        <w:t xml:space="preserve"> identify </w:t>
      </w:r>
      <w:r w:rsidR="002448B2" w:rsidRPr="009C2E29">
        <w:rPr>
          <w:sz w:val="22"/>
          <w:szCs w:val="22"/>
          <w:lang w:val="en-AU"/>
        </w:rPr>
        <w:t xml:space="preserve">opportunities </w:t>
      </w:r>
      <w:r w:rsidR="00BD43FF" w:rsidRPr="009C2E29">
        <w:rPr>
          <w:sz w:val="22"/>
          <w:szCs w:val="22"/>
          <w:lang w:val="en-AU"/>
        </w:rPr>
        <w:t xml:space="preserve">for </w:t>
      </w:r>
      <w:r w:rsidR="002C59C1" w:rsidRPr="009C2E29">
        <w:rPr>
          <w:sz w:val="22"/>
          <w:szCs w:val="22"/>
          <w:lang w:val="en-AU"/>
        </w:rPr>
        <w:t>increas</w:t>
      </w:r>
      <w:r w:rsidR="00BD43FF" w:rsidRPr="009C2E29">
        <w:rPr>
          <w:sz w:val="22"/>
          <w:szCs w:val="22"/>
          <w:lang w:val="en-AU"/>
        </w:rPr>
        <w:t>ing</w:t>
      </w:r>
      <w:r w:rsidR="002C59C1" w:rsidRPr="009C2E29">
        <w:rPr>
          <w:sz w:val="22"/>
          <w:szCs w:val="22"/>
          <w:lang w:val="en-AU"/>
        </w:rPr>
        <w:t xml:space="preserve"> transparency</w:t>
      </w:r>
      <w:r w:rsidR="008D21EB" w:rsidRPr="009C2E29">
        <w:rPr>
          <w:sz w:val="22"/>
          <w:szCs w:val="22"/>
          <w:lang w:val="en-AU"/>
        </w:rPr>
        <w:t>.</w:t>
      </w:r>
    </w:p>
    <w:p w14:paraId="24181A6D" w14:textId="34C1B219" w:rsidR="00782413" w:rsidRPr="009C2E29" w:rsidRDefault="008D21EB" w:rsidP="008D21EB">
      <w:pPr>
        <w:pStyle w:val="Body"/>
        <w:numPr>
          <w:ilvl w:val="0"/>
          <w:numId w:val="24"/>
        </w:numPr>
        <w:rPr>
          <w:sz w:val="22"/>
          <w:szCs w:val="22"/>
          <w:lang w:val="en-AU"/>
        </w:rPr>
      </w:pPr>
      <w:r w:rsidRPr="009C2E29">
        <w:rPr>
          <w:sz w:val="22"/>
          <w:szCs w:val="22"/>
          <w:lang w:val="en-AU"/>
        </w:rPr>
        <w:t>I also want this to be an open discussion – to that end I welcome any questions you might have, and I am more than happy for this discussion to be guided by you.</w:t>
      </w:r>
      <w:r w:rsidR="00766236" w:rsidRPr="009C2E29">
        <w:rPr>
          <w:sz w:val="22"/>
          <w:szCs w:val="22"/>
          <w:lang w:val="en-AU"/>
        </w:rPr>
        <w:t xml:space="preserve"> </w:t>
      </w:r>
      <w:proofErr w:type="gramStart"/>
      <w:r w:rsidR="00766236" w:rsidRPr="009C2E29">
        <w:rPr>
          <w:sz w:val="22"/>
          <w:szCs w:val="22"/>
          <w:lang w:val="en-AU"/>
        </w:rPr>
        <w:t>So</w:t>
      </w:r>
      <w:proofErr w:type="gramEnd"/>
      <w:r w:rsidRPr="009C2E29">
        <w:rPr>
          <w:sz w:val="22"/>
          <w:szCs w:val="22"/>
          <w:lang w:val="en-AU"/>
        </w:rPr>
        <w:t xml:space="preserve"> </w:t>
      </w:r>
      <w:r w:rsidR="00766236" w:rsidRPr="009C2E29">
        <w:rPr>
          <w:sz w:val="22"/>
          <w:szCs w:val="22"/>
          <w:lang w:val="en-AU"/>
        </w:rPr>
        <w:t>a</w:t>
      </w:r>
      <w:r w:rsidRPr="009C2E29">
        <w:rPr>
          <w:sz w:val="22"/>
          <w:szCs w:val="22"/>
          <w:lang w:val="en-AU"/>
        </w:rPr>
        <w:t>s I speak, please feel free to interrupt</w:t>
      </w:r>
      <w:r w:rsidR="00766236" w:rsidRPr="009C2E29">
        <w:rPr>
          <w:sz w:val="22"/>
          <w:szCs w:val="22"/>
          <w:lang w:val="en-AU"/>
        </w:rPr>
        <w:t xml:space="preserve"> with questions. </w:t>
      </w:r>
    </w:p>
    <w:p w14:paraId="768333F3" w14:textId="6F6869F5" w:rsidR="008D21EB" w:rsidRPr="009C2E29" w:rsidRDefault="00562D44" w:rsidP="008D21EB">
      <w:pPr>
        <w:pStyle w:val="Heading-2"/>
        <w:rPr>
          <w:sz w:val="22"/>
          <w:szCs w:val="22"/>
          <w:lang w:val="en-AU"/>
        </w:rPr>
      </w:pPr>
      <w:r w:rsidRPr="009C2E29">
        <w:rPr>
          <w:sz w:val="22"/>
          <w:szCs w:val="22"/>
          <w:lang w:val="en-AU"/>
        </w:rPr>
        <w:t>Contextualising transparency</w:t>
      </w:r>
      <w:r w:rsidR="008D21EB" w:rsidRPr="009C2E29">
        <w:rPr>
          <w:sz w:val="22"/>
          <w:szCs w:val="22"/>
          <w:lang w:val="en-AU"/>
        </w:rPr>
        <w:t xml:space="preserve"> and openness</w:t>
      </w:r>
    </w:p>
    <w:p w14:paraId="54736384" w14:textId="4D14991F" w:rsidR="00562D44" w:rsidRPr="009C2E29" w:rsidRDefault="00562D44" w:rsidP="00562D44">
      <w:pPr>
        <w:pStyle w:val="Body"/>
        <w:numPr>
          <w:ilvl w:val="0"/>
          <w:numId w:val="24"/>
        </w:numPr>
        <w:spacing w:before="0" w:line="288" w:lineRule="auto"/>
        <w:textAlignment w:val="auto"/>
        <w:rPr>
          <w:color w:val="auto"/>
          <w:sz w:val="22"/>
          <w:szCs w:val="22"/>
          <w:lang w:val="en-AU"/>
        </w:rPr>
      </w:pPr>
      <w:r w:rsidRPr="009C2E29">
        <w:rPr>
          <w:color w:val="auto"/>
          <w:sz w:val="22"/>
          <w:szCs w:val="22"/>
          <w:lang w:val="en-AU"/>
        </w:rPr>
        <w:t>A key strategic goal of</w:t>
      </w:r>
      <w:r w:rsidR="00766236" w:rsidRPr="009C2E29">
        <w:rPr>
          <w:color w:val="auto"/>
          <w:sz w:val="22"/>
          <w:szCs w:val="22"/>
          <w:lang w:val="en-AU"/>
        </w:rPr>
        <w:t xml:space="preserve"> my office</w:t>
      </w:r>
      <w:r w:rsidRPr="009C2E29">
        <w:rPr>
          <w:color w:val="auto"/>
          <w:sz w:val="22"/>
          <w:szCs w:val="22"/>
          <w:lang w:val="en-AU"/>
        </w:rPr>
        <w:t xml:space="preserve"> is to promote fair access to information, thereby promoting open and transparent government. Since </w:t>
      </w:r>
      <w:r w:rsidR="00766236" w:rsidRPr="009C2E29">
        <w:rPr>
          <w:color w:val="auto"/>
          <w:sz w:val="22"/>
          <w:szCs w:val="22"/>
          <w:lang w:val="en-AU"/>
        </w:rPr>
        <w:t xml:space="preserve">the </w:t>
      </w:r>
      <w:r w:rsidRPr="009C2E29">
        <w:rPr>
          <w:color w:val="auto"/>
          <w:sz w:val="22"/>
          <w:szCs w:val="22"/>
          <w:lang w:val="en-AU"/>
        </w:rPr>
        <w:t>inception</w:t>
      </w:r>
      <w:r w:rsidR="00766236" w:rsidRPr="009C2E29">
        <w:rPr>
          <w:color w:val="auto"/>
          <w:sz w:val="22"/>
          <w:szCs w:val="22"/>
          <w:lang w:val="en-AU"/>
        </w:rPr>
        <w:t xml:space="preserve"> of my office</w:t>
      </w:r>
      <w:r w:rsidRPr="009C2E29">
        <w:rPr>
          <w:color w:val="auto"/>
          <w:sz w:val="22"/>
          <w:szCs w:val="22"/>
          <w:lang w:val="en-AU"/>
        </w:rPr>
        <w:t>, this has been a significant area of focus and continues to be of great importance</w:t>
      </w:r>
      <w:r w:rsidR="00766236" w:rsidRPr="009C2E29">
        <w:rPr>
          <w:color w:val="auto"/>
          <w:sz w:val="22"/>
          <w:szCs w:val="22"/>
          <w:lang w:val="en-AU"/>
        </w:rPr>
        <w:t xml:space="preserve">. </w:t>
      </w:r>
    </w:p>
    <w:p w14:paraId="2B548466" w14:textId="645FD6BD" w:rsidR="00562D44" w:rsidRPr="009C2E29" w:rsidRDefault="00766236" w:rsidP="00562D44">
      <w:pPr>
        <w:pStyle w:val="Body"/>
        <w:numPr>
          <w:ilvl w:val="0"/>
          <w:numId w:val="36"/>
        </w:numPr>
        <w:rPr>
          <w:sz w:val="22"/>
          <w:szCs w:val="22"/>
          <w:lang w:val="en-AU"/>
        </w:rPr>
      </w:pPr>
      <w:r w:rsidRPr="009C2E29">
        <w:rPr>
          <w:sz w:val="22"/>
          <w:szCs w:val="22"/>
          <w:lang w:val="en-AU"/>
        </w:rPr>
        <w:t>Why? Well t</w:t>
      </w:r>
      <w:r w:rsidR="00562D44" w:rsidRPr="009C2E29">
        <w:rPr>
          <w:sz w:val="22"/>
          <w:szCs w:val="22"/>
          <w:lang w:val="en-AU"/>
        </w:rPr>
        <w:t xml:space="preserve">ransparency builds trusts, and trust is essential to the success of public policy, and the delivery of efficient government </w:t>
      </w:r>
      <w:r w:rsidRPr="009C2E29">
        <w:rPr>
          <w:sz w:val="22"/>
          <w:szCs w:val="22"/>
          <w:lang w:val="en-AU"/>
        </w:rPr>
        <w:t xml:space="preserve">services </w:t>
      </w:r>
      <w:r w:rsidR="00562D44" w:rsidRPr="009C2E29">
        <w:rPr>
          <w:sz w:val="22"/>
          <w:szCs w:val="22"/>
          <w:lang w:val="en-AU"/>
        </w:rPr>
        <w:t>across all levels.</w:t>
      </w:r>
    </w:p>
    <w:p w14:paraId="7CF712D4" w14:textId="531CC305" w:rsidR="008D21EB" w:rsidRPr="009C2E29" w:rsidRDefault="00766236" w:rsidP="008D21EB">
      <w:pPr>
        <w:pStyle w:val="Body"/>
        <w:numPr>
          <w:ilvl w:val="0"/>
          <w:numId w:val="24"/>
        </w:numPr>
        <w:rPr>
          <w:sz w:val="22"/>
          <w:szCs w:val="22"/>
          <w:lang w:val="en-AU"/>
        </w:rPr>
      </w:pPr>
      <w:r w:rsidRPr="009C2E29">
        <w:rPr>
          <w:sz w:val="22"/>
          <w:szCs w:val="22"/>
          <w:lang w:val="en-AU"/>
        </w:rPr>
        <w:t xml:space="preserve">And for </w:t>
      </w:r>
      <w:proofErr w:type="gramStart"/>
      <w:r w:rsidRPr="009C2E29">
        <w:rPr>
          <w:sz w:val="22"/>
          <w:szCs w:val="22"/>
          <w:lang w:val="en-AU"/>
        </w:rPr>
        <w:t>you in particular, as</w:t>
      </w:r>
      <w:proofErr w:type="gramEnd"/>
      <w:r w:rsidRPr="009C2E29">
        <w:rPr>
          <w:sz w:val="22"/>
          <w:szCs w:val="22"/>
          <w:lang w:val="en-AU"/>
        </w:rPr>
        <w:t xml:space="preserve"> representatives of local government, will know that p</w:t>
      </w:r>
      <w:r w:rsidR="008D21EB" w:rsidRPr="009C2E29">
        <w:rPr>
          <w:sz w:val="22"/>
          <w:szCs w:val="22"/>
          <w:lang w:val="en-AU"/>
        </w:rPr>
        <w:t xml:space="preserve">ublic transparency is a key </w:t>
      </w:r>
      <w:r w:rsidRPr="009C2E29">
        <w:rPr>
          <w:sz w:val="22"/>
          <w:szCs w:val="22"/>
          <w:lang w:val="en-AU"/>
        </w:rPr>
        <w:t>pillar of</w:t>
      </w:r>
      <w:r w:rsidR="008D21EB" w:rsidRPr="009C2E29">
        <w:rPr>
          <w:sz w:val="22"/>
          <w:szCs w:val="22"/>
          <w:lang w:val="en-AU"/>
        </w:rPr>
        <w:t xml:space="preserve"> the </w:t>
      </w:r>
      <w:r w:rsidR="008D21EB" w:rsidRPr="009C2E29">
        <w:rPr>
          <w:i/>
          <w:iCs/>
          <w:sz w:val="22"/>
          <w:szCs w:val="22"/>
          <w:lang w:val="en-AU"/>
        </w:rPr>
        <w:t>Local Government Act 2020</w:t>
      </w:r>
      <w:r w:rsidRPr="009C2E29">
        <w:rPr>
          <w:i/>
          <w:iCs/>
          <w:sz w:val="22"/>
          <w:szCs w:val="22"/>
          <w:lang w:val="en-AU"/>
        </w:rPr>
        <w:t xml:space="preserve"> </w:t>
      </w:r>
      <w:r w:rsidRPr="009C2E29">
        <w:rPr>
          <w:sz w:val="22"/>
          <w:szCs w:val="22"/>
          <w:lang w:val="en-AU"/>
        </w:rPr>
        <w:t>(</w:t>
      </w:r>
      <w:r w:rsidRPr="009C2E29">
        <w:rPr>
          <w:b/>
          <w:bCs/>
          <w:sz w:val="22"/>
          <w:szCs w:val="22"/>
          <w:lang w:val="en-AU"/>
        </w:rPr>
        <w:t>LG Act</w:t>
      </w:r>
      <w:r w:rsidRPr="009C2E29">
        <w:rPr>
          <w:sz w:val="22"/>
          <w:szCs w:val="22"/>
          <w:lang w:val="en-AU"/>
        </w:rPr>
        <w:t>)</w:t>
      </w:r>
    </w:p>
    <w:p w14:paraId="08649635" w14:textId="11A56480" w:rsidR="00766236" w:rsidRPr="009C2E29" w:rsidRDefault="008D21EB" w:rsidP="00766236">
      <w:pPr>
        <w:pStyle w:val="Body"/>
        <w:numPr>
          <w:ilvl w:val="0"/>
          <w:numId w:val="24"/>
        </w:numPr>
        <w:rPr>
          <w:sz w:val="22"/>
          <w:szCs w:val="22"/>
          <w:lang w:val="en-AU"/>
        </w:rPr>
      </w:pPr>
      <w:r w:rsidRPr="009C2E29">
        <w:rPr>
          <w:sz w:val="22"/>
          <w:szCs w:val="22"/>
          <w:lang w:val="en-AU"/>
        </w:rPr>
        <w:t xml:space="preserve">Broadly </w:t>
      </w:r>
      <w:r w:rsidR="00766236" w:rsidRPr="009C2E29">
        <w:rPr>
          <w:sz w:val="22"/>
          <w:szCs w:val="22"/>
          <w:lang w:val="en-AU"/>
        </w:rPr>
        <w:t>the transparency principles in the LG Act</w:t>
      </w:r>
      <w:r w:rsidRPr="009C2E29">
        <w:rPr>
          <w:sz w:val="22"/>
          <w:szCs w:val="22"/>
          <w:lang w:val="en-AU"/>
        </w:rPr>
        <w:t>,</w:t>
      </w:r>
      <w:r w:rsidR="00766236" w:rsidRPr="009C2E29">
        <w:rPr>
          <w:sz w:val="22"/>
          <w:szCs w:val="22"/>
          <w:lang w:val="en-AU"/>
        </w:rPr>
        <w:t xml:space="preserve"> require Council</w:t>
      </w:r>
      <w:r w:rsidRPr="009C2E29">
        <w:rPr>
          <w:sz w:val="22"/>
          <w:szCs w:val="22"/>
          <w:lang w:val="en-AU"/>
        </w:rPr>
        <w:t xml:space="preserve"> decision making processes </w:t>
      </w:r>
      <w:r w:rsidR="00766236" w:rsidRPr="009C2E29">
        <w:rPr>
          <w:sz w:val="22"/>
          <w:szCs w:val="22"/>
          <w:lang w:val="en-AU"/>
        </w:rPr>
        <w:t>to</w:t>
      </w:r>
      <w:r w:rsidRPr="009C2E29">
        <w:rPr>
          <w:sz w:val="22"/>
          <w:szCs w:val="22"/>
          <w:lang w:val="en-AU"/>
        </w:rPr>
        <w:t xml:space="preserve"> be transparent</w:t>
      </w:r>
      <w:r w:rsidR="00766236" w:rsidRPr="009C2E29">
        <w:rPr>
          <w:sz w:val="22"/>
          <w:szCs w:val="22"/>
          <w:lang w:val="en-AU"/>
        </w:rPr>
        <w:t xml:space="preserve">, </w:t>
      </w:r>
      <w:r w:rsidRPr="009C2E29">
        <w:rPr>
          <w:sz w:val="22"/>
          <w:szCs w:val="22"/>
          <w:lang w:val="en-AU"/>
        </w:rPr>
        <w:t>and Council information</w:t>
      </w:r>
      <w:r w:rsidR="00766236" w:rsidRPr="009C2E29">
        <w:rPr>
          <w:sz w:val="22"/>
          <w:szCs w:val="22"/>
          <w:lang w:val="en-AU"/>
        </w:rPr>
        <w:t xml:space="preserve"> to</w:t>
      </w:r>
      <w:r w:rsidRPr="009C2E29">
        <w:rPr>
          <w:sz w:val="22"/>
          <w:szCs w:val="22"/>
          <w:lang w:val="en-AU"/>
        </w:rPr>
        <w:t xml:space="preserve"> be publicly available unless it is confidential</w:t>
      </w:r>
      <w:r w:rsidR="00766236" w:rsidRPr="009C2E29">
        <w:rPr>
          <w:sz w:val="22"/>
          <w:szCs w:val="22"/>
          <w:lang w:val="en-AU"/>
        </w:rPr>
        <w:t xml:space="preserve"> (by reason of the LG Act, or another Act)</w:t>
      </w:r>
      <w:r w:rsidRPr="009C2E29">
        <w:rPr>
          <w:sz w:val="22"/>
          <w:szCs w:val="22"/>
          <w:lang w:val="en-AU"/>
        </w:rPr>
        <w:t xml:space="preserve"> or contrary to the public interest.</w:t>
      </w:r>
      <w:r w:rsidR="00766236" w:rsidRPr="009C2E29">
        <w:rPr>
          <w:sz w:val="22"/>
          <w:szCs w:val="22"/>
          <w:lang w:val="en-AU"/>
        </w:rPr>
        <w:t xml:space="preserve"> In addition, Councils are required to adopt and maintain a public transparency policy that gives effect to the public transparency principles. </w:t>
      </w:r>
    </w:p>
    <w:p w14:paraId="46B2DC69" w14:textId="098DFA54" w:rsidR="008D21EB" w:rsidRPr="009C2E29" w:rsidRDefault="008D21EB" w:rsidP="008D21EB">
      <w:pPr>
        <w:pStyle w:val="Body"/>
        <w:numPr>
          <w:ilvl w:val="0"/>
          <w:numId w:val="24"/>
        </w:numPr>
        <w:rPr>
          <w:sz w:val="22"/>
          <w:szCs w:val="22"/>
          <w:lang w:val="en-AU"/>
        </w:rPr>
      </w:pPr>
      <w:r w:rsidRPr="009C2E29">
        <w:rPr>
          <w:sz w:val="22"/>
          <w:szCs w:val="22"/>
          <w:lang w:val="en-AU"/>
        </w:rPr>
        <w:t>Th</w:t>
      </w:r>
      <w:r w:rsidR="00766236" w:rsidRPr="009C2E29">
        <w:rPr>
          <w:sz w:val="22"/>
          <w:szCs w:val="22"/>
          <w:lang w:val="en-AU"/>
        </w:rPr>
        <w:t>ese obligations are</w:t>
      </w:r>
      <w:r w:rsidRPr="009C2E29">
        <w:rPr>
          <w:sz w:val="22"/>
          <w:szCs w:val="22"/>
          <w:lang w:val="en-AU"/>
        </w:rPr>
        <w:t xml:space="preserve"> very much complementary </w:t>
      </w:r>
      <w:proofErr w:type="gramStart"/>
      <w:r w:rsidRPr="009C2E29">
        <w:rPr>
          <w:sz w:val="22"/>
          <w:szCs w:val="22"/>
          <w:lang w:val="en-AU"/>
        </w:rPr>
        <w:t>to, and</w:t>
      </w:r>
      <w:proofErr w:type="gramEnd"/>
      <w:r w:rsidRPr="009C2E29">
        <w:rPr>
          <w:sz w:val="22"/>
          <w:szCs w:val="22"/>
          <w:lang w:val="en-AU"/>
        </w:rPr>
        <w:t xml:space="preserve"> supported by the FOI Act.</w:t>
      </w:r>
    </w:p>
    <w:p w14:paraId="3E32FCF9" w14:textId="727CA4FE" w:rsidR="008D21EB" w:rsidRPr="009C2E29" w:rsidRDefault="008D21EB" w:rsidP="008D21EB">
      <w:pPr>
        <w:pStyle w:val="Body"/>
        <w:numPr>
          <w:ilvl w:val="0"/>
          <w:numId w:val="24"/>
        </w:numPr>
        <w:rPr>
          <w:sz w:val="22"/>
          <w:szCs w:val="22"/>
          <w:lang w:val="en-AU"/>
        </w:rPr>
      </w:pPr>
      <w:r w:rsidRPr="009C2E29">
        <w:rPr>
          <w:sz w:val="22"/>
          <w:szCs w:val="22"/>
          <w:lang w:val="en-AU"/>
        </w:rPr>
        <w:t xml:space="preserve">The FOI Act encourages Councils to release information proactively and informally outside of the FOI Act where it is possible and lawful to do so, and to make the maximum amount of information available to the community promptly and inexpensively. </w:t>
      </w:r>
    </w:p>
    <w:p w14:paraId="17550816" w14:textId="77777777" w:rsidR="008D541C" w:rsidRPr="009C2E29" w:rsidRDefault="008D541C" w:rsidP="008D541C">
      <w:pPr>
        <w:pStyle w:val="Body"/>
        <w:ind w:left="360"/>
        <w:rPr>
          <w:b/>
          <w:bCs/>
          <w:sz w:val="22"/>
          <w:szCs w:val="22"/>
          <w:lang w:val="en-AU"/>
        </w:rPr>
      </w:pPr>
      <w:r w:rsidRPr="009C2E29">
        <w:rPr>
          <w:b/>
          <w:bCs/>
          <w:sz w:val="22"/>
          <w:szCs w:val="22"/>
          <w:lang w:val="en-AU"/>
        </w:rPr>
        <w:lastRenderedPageBreak/>
        <w:t xml:space="preserve">Why openness and transparency </w:t>
      </w:r>
      <w:proofErr w:type="gramStart"/>
      <w:r w:rsidRPr="009C2E29">
        <w:rPr>
          <w:b/>
          <w:bCs/>
          <w:sz w:val="22"/>
          <w:szCs w:val="22"/>
          <w:lang w:val="en-AU"/>
        </w:rPr>
        <w:t>is</w:t>
      </w:r>
      <w:proofErr w:type="gramEnd"/>
      <w:r w:rsidRPr="009C2E29">
        <w:rPr>
          <w:b/>
          <w:bCs/>
          <w:sz w:val="22"/>
          <w:szCs w:val="22"/>
          <w:lang w:val="en-AU"/>
        </w:rPr>
        <w:t xml:space="preserve"> important </w:t>
      </w:r>
    </w:p>
    <w:p w14:paraId="0956D342" w14:textId="307BC583" w:rsidR="00562D44" w:rsidRPr="009C2E29" w:rsidRDefault="00562D44" w:rsidP="008D541C">
      <w:pPr>
        <w:pStyle w:val="Body"/>
        <w:numPr>
          <w:ilvl w:val="0"/>
          <w:numId w:val="24"/>
        </w:numPr>
        <w:rPr>
          <w:sz w:val="22"/>
          <w:szCs w:val="22"/>
          <w:lang w:val="en-AU"/>
        </w:rPr>
      </w:pPr>
      <w:r w:rsidRPr="009C2E29">
        <w:rPr>
          <w:sz w:val="22"/>
          <w:szCs w:val="22"/>
          <w:lang w:val="en-AU"/>
        </w:rPr>
        <w:t xml:space="preserve">There is no doubt that local government is a vital tier of government. Being the closest level of government to the community, it relies very much on a social licence to operate, and this comes about in part through transparency and public trust. </w:t>
      </w:r>
    </w:p>
    <w:p w14:paraId="7CBF563C" w14:textId="10C7535E" w:rsidR="00562D44" w:rsidRPr="009C2E29" w:rsidRDefault="00897037" w:rsidP="00562D44">
      <w:pPr>
        <w:pStyle w:val="Body"/>
        <w:numPr>
          <w:ilvl w:val="0"/>
          <w:numId w:val="36"/>
        </w:numPr>
        <w:rPr>
          <w:sz w:val="22"/>
          <w:szCs w:val="22"/>
          <w:lang w:val="en-AU"/>
        </w:rPr>
      </w:pPr>
      <w:proofErr w:type="gramStart"/>
      <w:r w:rsidRPr="009C2E29">
        <w:rPr>
          <w:sz w:val="22"/>
          <w:szCs w:val="22"/>
          <w:lang w:val="en-AU"/>
        </w:rPr>
        <w:t>So</w:t>
      </w:r>
      <w:proofErr w:type="gramEnd"/>
      <w:r w:rsidRPr="009C2E29">
        <w:rPr>
          <w:sz w:val="22"/>
          <w:szCs w:val="22"/>
          <w:lang w:val="en-AU"/>
        </w:rPr>
        <w:t xml:space="preserve"> i</w:t>
      </w:r>
      <w:r w:rsidR="00562D44" w:rsidRPr="009C2E29">
        <w:rPr>
          <w:sz w:val="22"/>
          <w:szCs w:val="22"/>
          <w:lang w:val="en-AU"/>
        </w:rPr>
        <w:t>t goes without saying that public access to information is a key pillar for government transparency. As public bodies</w:t>
      </w:r>
      <w:r w:rsidRPr="009C2E29">
        <w:rPr>
          <w:sz w:val="22"/>
          <w:szCs w:val="22"/>
          <w:lang w:val="en-AU"/>
        </w:rPr>
        <w:t xml:space="preserve"> interacting with the community </w:t>
      </w:r>
      <w:proofErr w:type="gramStart"/>
      <w:r w:rsidRPr="009C2E29">
        <w:rPr>
          <w:sz w:val="22"/>
          <w:szCs w:val="22"/>
          <w:lang w:val="en-AU"/>
        </w:rPr>
        <w:t>on a daily basis</w:t>
      </w:r>
      <w:proofErr w:type="gramEnd"/>
      <w:r w:rsidRPr="009C2E29">
        <w:rPr>
          <w:sz w:val="22"/>
          <w:szCs w:val="22"/>
          <w:lang w:val="en-AU"/>
        </w:rPr>
        <w:t xml:space="preserve">, you </w:t>
      </w:r>
      <w:r w:rsidR="00562D44" w:rsidRPr="009C2E29">
        <w:rPr>
          <w:sz w:val="22"/>
          <w:szCs w:val="22"/>
          <w:lang w:val="en-AU"/>
        </w:rPr>
        <w:t xml:space="preserve">should want to be open and transparent, and provide as much information as </w:t>
      </w:r>
      <w:r w:rsidRPr="009C2E29">
        <w:rPr>
          <w:sz w:val="22"/>
          <w:szCs w:val="22"/>
          <w:lang w:val="en-AU"/>
        </w:rPr>
        <w:t>you</w:t>
      </w:r>
      <w:r w:rsidR="00562D44" w:rsidRPr="009C2E29">
        <w:rPr>
          <w:sz w:val="22"/>
          <w:szCs w:val="22"/>
          <w:lang w:val="en-AU"/>
        </w:rPr>
        <w:t xml:space="preserve"> can to the communities </w:t>
      </w:r>
      <w:r w:rsidRPr="009C2E29">
        <w:rPr>
          <w:sz w:val="22"/>
          <w:szCs w:val="22"/>
          <w:lang w:val="en-AU"/>
        </w:rPr>
        <w:t>you</w:t>
      </w:r>
      <w:r w:rsidR="00562D44" w:rsidRPr="009C2E29">
        <w:rPr>
          <w:sz w:val="22"/>
          <w:szCs w:val="22"/>
          <w:lang w:val="en-AU"/>
        </w:rPr>
        <w:t xml:space="preserve"> are serving. </w:t>
      </w:r>
    </w:p>
    <w:p w14:paraId="535C23DF" w14:textId="09926034" w:rsidR="00562D44" w:rsidRPr="009C2E29" w:rsidRDefault="00562D44" w:rsidP="00562D44">
      <w:pPr>
        <w:pStyle w:val="Body"/>
        <w:numPr>
          <w:ilvl w:val="0"/>
          <w:numId w:val="36"/>
        </w:numPr>
        <w:rPr>
          <w:sz w:val="22"/>
          <w:szCs w:val="22"/>
          <w:lang w:val="en-AU"/>
        </w:rPr>
      </w:pPr>
      <w:r w:rsidRPr="009C2E29">
        <w:rPr>
          <w:sz w:val="22"/>
          <w:szCs w:val="22"/>
          <w:lang w:val="en-AU"/>
        </w:rPr>
        <w:t xml:space="preserve">Providing the </w:t>
      </w:r>
      <w:r w:rsidR="00897037" w:rsidRPr="009C2E29">
        <w:rPr>
          <w:sz w:val="22"/>
          <w:szCs w:val="22"/>
          <w:lang w:val="en-AU"/>
        </w:rPr>
        <w:t xml:space="preserve">community </w:t>
      </w:r>
      <w:r w:rsidRPr="009C2E29">
        <w:rPr>
          <w:sz w:val="22"/>
          <w:szCs w:val="22"/>
          <w:lang w:val="en-AU"/>
        </w:rPr>
        <w:t xml:space="preserve">with access to information levels the playing </w:t>
      </w:r>
      <w:proofErr w:type="gramStart"/>
      <w:r w:rsidRPr="009C2E29">
        <w:rPr>
          <w:sz w:val="22"/>
          <w:szCs w:val="22"/>
          <w:lang w:val="en-AU"/>
        </w:rPr>
        <w:t>field, and</w:t>
      </w:r>
      <w:proofErr w:type="gramEnd"/>
      <w:r w:rsidRPr="009C2E29">
        <w:rPr>
          <w:sz w:val="22"/>
          <w:szCs w:val="22"/>
          <w:lang w:val="en-AU"/>
        </w:rPr>
        <w:t xml:space="preserve"> helps redistribute the balance of power from government to the public. And as custodians of information, we have a responsibility to ensure the public’s right to information is upheld. </w:t>
      </w:r>
    </w:p>
    <w:p w14:paraId="10D90765" w14:textId="27745DDE" w:rsidR="00562D44" w:rsidRPr="009C2E29" w:rsidRDefault="00562D44" w:rsidP="00562D44">
      <w:pPr>
        <w:pStyle w:val="Body"/>
        <w:numPr>
          <w:ilvl w:val="0"/>
          <w:numId w:val="36"/>
        </w:numPr>
        <w:rPr>
          <w:sz w:val="22"/>
          <w:szCs w:val="22"/>
          <w:lang w:val="en-AU"/>
        </w:rPr>
      </w:pPr>
      <w:r w:rsidRPr="009C2E29">
        <w:rPr>
          <w:sz w:val="22"/>
          <w:szCs w:val="22"/>
          <w:lang w:val="en-AU"/>
        </w:rPr>
        <w:t xml:space="preserve">Not only is this important for promoting trust in the community about what we do, but being open and providing access to information is also important at an individual level. It enables citizens to participate meaningfully in a democratic society and scrutinise decisions, while facilitating other human rights such as the right to vote and the right to freedom of expression. </w:t>
      </w:r>
    </w:p>
    <w:p w14:paraId="4223F033" w14:textId="4497AD6E" w:rsidR="00562D44" w:rsidRPr="009C2E29" w:rsidRDefault="008D541C" w:rsidP="00562D44">
      <w:pPr>
        <w:pStyle w:val="Body"/>
        <w:rPr>
          <w:b/>
          <w:bCs/>
          <w:sz w:val="22"/>
          <w:szCs w:val="22"/>
          <w:lang w:val="en-AU"/>
        </w:rPr>
      </w:pPr>
      <w:r w:rsidRPr="009C2E29">
        <w:rPr>
          <w:b/>
          <w:bCs/>
          <w:sz w:val="22"/>
          <w:szCs w:val="22"/>
          <w:lang w:val="en-AU"/>
        </w:rPr>
        <w:t>T</w:t>
      </w:r>
      <w:r w:rsidR="00562D44" w:rsidRPr="009C2E29">
        <w:rPr>
          <w:b/>
          <w:bCs/>
          <w:sz w:val="22"/>
          <w:szCs w:val="22"/>
          <w:lang w:val="en-AU"/>
        </w:rPr>
        <w:t>he absence of transparency</w:t>
      </w:r>
    </w:p>
    <w:p w14:paraId="602EE041" w14:textId="4736BDD0" w:rsidR="00562D44" w:rsidRPr="009C2E29" w:rsidRDefault="00562D44" w:rsidP="00562D44">
      <w:pPr>
        <w:pStyle w:val="Body"/>
        <w:numPr>
          <w:ilvl w:val="0"/>
          <w:numId w:val="24"/>
        </w:numPr>
        <w:rPr>
          <w:b/>
          <w:bCs/>
          <w:sz w:val="22"/>
          <w:szCs w:val="22"/>
          <w:lang w:val="en-AU"/>
        </w:rPr>
      </w:pPr>
      <w:r w:rsidRPr="009C2E29">
        <w:rPr>
          <w:sz w:val="22"/>
          <w:szCs w:val="22"/>
          <w:lang w:val="en-AU"/>
        </w:rPr>
        <w:t xml:space="preserve">A lack of transparency creates a </w:t>
      </w:r>
      <w:r w:rsidRPr="009C2E29">
        <w:rPr>
          <w:i/>
          <w:iCs/>
          <w:sz w:val="22"/>
          <w:szCs w:val="22"/>
          <w:lang w:val="en-AU"/>
        </w:rPr>
        <w:t>perception</w:t>
      </w:r>
      <w:r w:rsidRPr="009C2E29">
        <w:rPr>
          <w:sz w:val="22"/>
          <w:szCs w:val="22"/>
          <w:lang w:val="en-AU"/>
        </w:rPr>
        <w:t xml:space="preserve"> </w:t>
      </w:r>
      <w:r w:rsidR="00897037" w:rsidRPr="009C2E29">
        <w:rPr>
          <w:sz w:val="22"/>
          <w:szCs w:val="22"/>
          <w:lang w:val="en-AU"/>
        </w:rPr>
        <w:t xml:space="preserve">of </w:t>
      </w:r>
      <w:r w:rsidRPr="009C2E29">
        <w:rPr>
          <w:sz w:val="22"/>
          <w:szCs w:val="22"/>
          <w:lang w:val="en-AU"/>
        </w:rPr>
        <w:t>corrupt</w:t>
      </w:r>
      <w:r w:rsidR="00897037" w:rsidRPr="009C2E29">
        <w:rPr>
          <w:sz w:val="22"/>
          <w:szCs w:val="22"/>
          <w:lang w:val="en-AU"/>
        </w:rPr>
        <w:t>ion</w:t>
      </w:r>
      <w:r w:rsidRPr="009C2E29">
        <w:rPr>
          <w:sz w:val="22"/>
          <w:szCs w:val="22"/>
          <w:lang w:val="en-AU"/>
        </w:rPr>
        <w:t xml:space="preserve">, whether actual corruption is occurring or not. And here in Australia, whilst community attitude toward government is relatively positive, we </w:t>
      </w:r>
      <w:r w:rsidR="00897037" w:rsidRPr="009C2E29">
        <w:rPr>
          <w:sz w:val="22"/>
          <w:szCs w:val="22"/>
          <w:lang w:val="en-AU"/>
        </w:rPr>
        <w:t>continue to</w:t>
      </w:r>
      <w:r w:rsidRPr="009C2E29">
        <w:rPr>
          <w:sz w:val="22"/>
          <w:szCs w:val="22"/>
          <w:lang w:val="en-AU"/>
        </w:rPr>
        <w:t xml:space="preserve"> see perceptions of corruption on the rise. </w:t>
      </w:r>
    </w:p>
    <w:p w14:paraId="40D98581" w14:textId="165F4B00" w:rsidR="00562D44" w:rsidRPr="009C2E29" w:rsidRDefault="00562D44" w:rsidP="00562D44">
      <w:pPr>
        <w:pStyle w:val="Body"/>
        <w:numPr>
          <w:ilvl w:val="0"/>
          <w:numId w:val="24"/>
        </w:numPr>
        <w:rPr>
          <w:b/>
          <w:bCs/>
          <w:sz w:val="22"/>
          <w:szCs w:val="22"/>
          <w:lang w:val="en-AU"/>
        </w:rPr>
      </w:pPr>
      <w:r w:rsidRPr="009C2E29">
        <w:rPr>
          <w:sz w:val="22"/>
          <w:szCs w:val="22"/>
          <w:lang w:val="en-AU"/>
        </w:rPr>
        <w:t xml:space="preserve">Over the last three years, Australia has seen one of biggest drop of any OECD country in Transparency International’s Corruption Perception Index score. From a high of 85 out 100 in 2012, to a low of 73 out of 100 </w:t>
      </w:r>
      <w:r w:rsidR="00897037" w:rsidRPr="009C2E29">
        <w:rPr>
          <w:sz w:val="22"/>
          <w:szCs w:val="22"/>
          <w:lang w:val="en-AU"/>
        </w:rPr>
        <w:t>just last year</w:t>
      </w:r>
      <w:r w:rsidRPr="009C2E29">
        <w:rPr>
          <w:sz w:val="22"/>
          <w:szCs w:val="22"/>
          <w:lang w:val="en-AU"/>
        </w:rPr>
        <w:t>, where 100 is very clean and 0 is highly corrupt.</w:t>
      </w:r>
    </w:p>
    <w:p w14:paraId="015E11C2" w14:textId="6EB8915E" w:rsidR="00562D44" w:rsidRPr="009C2E29" w:rsidRDefault="00562D44" w:rsidP="00562D44">
      <w:pPr>
        <w:pStyle w:val="Body"/>
        <w:numPr>
          <w:ilvl w:val="0"/>
          <w:numId w:val="24"/>
        </w:numPr>
        <w:rPr>
          <w:b/>
          <w:bCs/>
          <w:sz w:val="22"/>
          <w:szCs w:val="22"/>
          <w:lang w:val="en-AU"/>
        </w:rPr>
      </w:pPr>
      <w:r w:rsidRPr="009C2E29">
        <w:rPr>
          <w:sz w:val="22"/>
          <w:szCs w:val="22"/>
          <w:lang w:val="en-AU"/>
        </w:rPr>
        <w:t xml:space="preserve"> This means </w:t>
      </w:r>
      <w:r w:rsidR="00897037" w:rsidRPr="009C2E29">
        <w:rPr>
          <w:sz w:val="22"/>
          <w:szCs w:val="22"/>
          <w:lang w:val="en-AU"/>
        </w:rPr>
        <w:t>our</w:t>
      </w:r>
      <w:r w:rsidRPr="009C2E29">
        <w:rPr>
          <w:sz w:val="22"/>
          <w:szCs w:val="22"/>
          <w:lang w:val="en-AU"/>
        </w:rPr>
        <w:t xml:space="preserve"> score has decreased 12 points over the last decade and shows a downward trend of public trust in government institutions.</w:t>
      </w:r>
    </w:p>
    <w:p w14:paraId="10DBE16C" w14:textId="08709D13" w:rsidR="00562D44" w:rsidRPr="009C2E29" w:rsidRDefault="00897037" w:rsidP="00562D44">
      <w:pPr>
        <w:pStyle w:val="Body"/>
        <w:numPr>
          <w:ilvl w:val="0"/>
          <w:numId w:val="24"/>
        </w:numPr>
        <w:rPr>
          <w:b/>
          <w:bCs/>
          <w:sz w:val="22"/>
          <w:szCs w:val="22"/>
          <w:lang w:val="en-AU"/>
        </w:rPr>
      </w:pPr>
      <w:r w:rsidRPr="009C2E29">
        <w:rPr>
          <w:sz w:val="22"/>
          <w:szCs w:val="22"/>
          <w:lang w:val="en-AU"/>
        </w:rPr>
        <w:t xml:space="preserve">So why is this important? </w:t>
      </w:r>
      <w:r w:rsidR="00562D44" w:rsidRPr="009C2E29">
        <w:rPr>
          <w:sz w:val="22"/>
          <w:szCs w:val="22"/>
          <w:lang w:val="en-AU"/>
        </w:rPr>
        <w:t xml:space="preserve">We know that more trusting societies are happier societies. Higher social and institutional trust levels are associated with greater community resilience to natural disasters and higher individual resilience to ill health, </w:t>
      </w:r>
      <w:proofErr w:type="gramStart"/>
      <w:r w:rsidR="00562D44" w:rsidRPr="009C2E29">
        <w:rPr>
          <w:sz w:val="22"/>
          <w:szCs w:val="22"/>
          <w:lang w:val="en-AU"/>
        </w:rPr>
        <w:t>unemployment</w:t>
      </w:r>
      <w:proofErr w:type="gramEnd"/>
      <w:r w:rsidR="00562D44" w:rsidRPr="009C2E29">
        <w:rPr>
          <w:sz w:val="22"/>
          <w:szCs w:val="22"/>
          <w:lang w:val="en-AU"/>
        </w:rPr>
        <w:t xml:space="preserve"> and discrimination. </w:t>
      </w:r>
    </w:p>
    <w:p w14:paraId="4FAE78B9" w14:textId="28B84C2D" w:rsidR="00897037" w:rsidRPr="009C2E29" w:rsidRDefault="00562D44" w:rsidP="002F60EB">
      <w:pPr>
        <w:pStyle w:val="Body"/>
        <w:numPr>
          <w:ilvl w:val="0"/>
          <w:numId w:val="24"/>
        </w:numPr>
        <w:rPr>
          <w:b/>
          <w:bCs/>
          <w:sz w:val="22"/>
          <w:szCs w:val="22"/>
          <w:lang w:val="en-AU"/>
        </w:rPr>
      </w:pPr>
      <w:r w:rsidRPr="009C2E29">
        <w:rPr>
          <w:sz w:val="22"/>
          <w:szCs w:val="22"/>
          <w:lang w:val="en-AU"/>
        </w:rPr>
        <w:t xml:space="preserve">This makes sense. If we perceive the </w:t>
      </w:r>
      <w:r w:rsidR="00897037" w:rsidRPr="009C2E29">
        <w:rPr>
          <w:sz w:val="22"/>
          <w:szCs w:val="22"/>
          <w:lang w:val="en-AU"/>
        </w:rPr>
        <w:t>public bodies</w:t>
      </w:r>
      <w:r w:rsidRPr="009C2E29">
        <w:rPr>
          <w:sz w:val="22"/>
          <w:szCs w:val="22"/>
          <w:lang w:val="en-AU"/>
        </w:rPr>
        <w:t xml:space="preserve"> as corrupt and do not trust th</w:t>
      </w:r>
      <w:r w:rsidR="00897037" w:rsidRPr="009C2E29">
        <w:rPr>
          <w:sz w:val="22"/>
          <w:szCs w:val="22"/>
          <w:lang w:val="en-AU"/>
        </w:rPr>
        <w:t xml:space="preserve">em </w:t>
      </w:r>
      <w:r w:rsidRPr="009C2E29">
        <w:rPr>
          <w:sz w:val="22"/>
          <w:szCs w:val="22"/>
          <w:lang w:val="en-AU"/>
        </w:rPr>
        <w:t xml:space="preserve">to act in our best interests, we might second guess or be less willing to accept the legitimacy of </w:t>
      </w:r>
      <w:r w:rsidR="00897037" w:rsidRPr="009C2E29">
        <w:rPr>
          <w:sz w:val="22"/>
          <w:szCs w:val="22"/>
          <w:lang w:val="en-AU"/>
        </w:rPr>
        <w:t>their</w:t>
      </w:r>
      <w:r w:rsidRPr="009C2E29">
        <w:rPr>
          <w:sz w:val="22"/>
          <w:szCs w:val="22"/>
          <w:lang w:val="en-AU"/>
        </w:rPr>
        <w:t xml:space="preserve"> decisions</w:t>
      </w:r>
      <w:r w:rsidR="00897037" w:rsidRPr="009C2E29">
        <w:rPr>
          <w:sz w:val="22"/>
          <w:szCs w:val="22"/>
          <w:lang w:val="en-AU"/>
        </w:rPr>
        <w:t xml:space="preserve"> and actions. </w:t>
      </w:r>
    </w:p>
    <w:p w14:paraId="0B0F2608" w14:textId="2A0301EB" w:rsidR="00562D44" w:rsidRPr="009C2E29" w:rsidRDefault="008D541C" w:rsidP="00562D44">
      <w:pPr>
        <w:pStyle w:val="Body"/>
        <w:rPr>
          <w:b/>
          <w:bCs/>
          <w:sz w:val="22"/>
          <w:szCs w:val="22"/>
          <w:lang w:val="en-AU"/>
        </w:rPr>
      </w:pPr>
      <w:r w:rsidRPr="009C2E29">
        <w:rPr>
          <w:b/>
          <w:bCs/>
          <w:sz w:val="22"/>
          <w:szCs w:val="22"/>
          <w:lang w:val="en-AU"/>
        </w:rPr>
        <w:t>T</w:t>
      </w:r>
      <w:r w:rsidR="00562D44" w:rsidRPr="009C2E29">
        <w:rPr>
          <w:b/>
          <w:bCs/>
          <w:sz w:val="22"/>
          <w:szCs w:val="22"/>
          <w:lang w:val="en-AU"/>
        </w:rPr>
        <w:t>he FOI Act</w:t>
      </w:r>
      <w:r w:rsidRPr="009C2E29">
        <w:rPr>
          <w:b/>
          <w:bCs/>
          <w:sz w:val="22"/>
          <w:szCs w:val="22"/>
          <w:lang w:val="en-AU"/>
        </w:rPr>
        <w:t xml:space="preserve"> and releasing </w:t>
      </w:r>
      <w:proofErr w:type="gramStart"/>
      <w:r w:rsidRPr="009C2E29">
        <w:rPr>
          <w:b/>
          <w:bCs/>
          <w:sz w:val="22"/>
          <w:szCs w:val="22"/>
          <w:lang w:val="en-AU"/>
        </w:rPr>
        <w:t>information</w:t>
      </w:r>
      <w:proofErr w:type="gramEnd"/>
    </w:p>
    <w:p w14:paraId="23903B5E" w14:textId="5271BD22" w:rsidR="00562D44" w:rsidRPr="009C2E29" w:rsidRDefault="00562D44" w:rsidP="00562D44">
      <w:pPr>
        <w:pStyle w:val="Body"/>
        <w:numPr>
          <w:ilvl w:val="0"/>
          <w:numId w:val="24"/>
        </w:numPr>
        <w:rPr>
          <w:sz w:val="22"/>
          <w:szCs w:val="22"/>
          <w:lang w:val="en-AU"/>
        </w:rPr>
      </w:pPr>
      <w:r w:rsidRPr="009C2E29">
        <w:rPr>
          <w:sz w:val="22"/>
          <w:szCs w:val="22"/>
          <w:lang w:val="en-AU"/>
        </w:rPr>
        <w:t xml:space="preserve">In Victoria, the </w:t>
      </w:r>
      <w:r w:rsidR="00897037" w:rsidRPr="009C2E29">
        <w:rPr>
          <w:sz w:val="22"/>
          <w:szCs w:val="22"/>
          <w:lang w:val="en-AU"/>
        </w:rPr>
        <w:t xml:space="preserve">FOI Act </w:t>
      </w:r>
      <w:r w:rsidRPr="009C2E29">
        <w:rPr>
          <w:sz w:val="22"/>
          <w:szCs w:val="22"/>
          <w:lang w:val="en-AU"/>
        </w:rPr>
        <w:t xml:space="preserve">underpins the right of access to information, and like other variations of FOI legislation in all other Australian jurisdictions, it was created to promote openness, </w:t>
      </w:r>
      <w:proofErr w:type="gramStart"/>
      <w:r w:rsidRPr="009C2E29">
        <w:rPr>
          <w:sz w:val="22"/>
          <w:szCs w:val="22"/>
          <w:lang w:val="en-AU"/>
        </w:rPr>
        <w:t>accountability</w:t>
      </w:r>
      <w:proofErr w:type="gramEnd"/>
      <w:r w:rsidRPr="009C2E29">
        <w:rPr>
          <w:sz w:val="22"/>
          <w:szCs w:val="22"/>
          <w:lang w:val="en-AU"/>
        </w:rPr>
        <w:t xml:space="preserve"> and transparency in the public sector. </w:t>
      </w:r>
    </w:p>
    <w:p w14:paraId="50D17EAE" w14:textId="3ADAE5EA" w:rsidR="00897037" w:rsidRPr="009C2E29" w:rsidRDefault="00562D44" w:rsidP="00897037">
      <w:pPr>
        <w:pStyle w:val="Body"/>
        <w:numPr>
          <w:ilvl w:val="0"/>
          <w:numId w:val="24"/>
        </w:numPr>
        <w:rPr>
          <w:sz w:val="22"/>
          <w:szCs w:val="22"/>
          <w:lang w:val="en-AU"/>
        </w:rPr>
      </w:pPr>
      <w:r w:rsidRPr="009C2E29">
        <w:rPr>
          <w:sz w:val="22"/>
          <w:szCs w:val="22"/>
          <w:lang w:val="en-AU"/>
        </w:rPr>
        <w:t>In Victoria, the object of the FOI Act is to extend as far as possible the right of the community to access public sector information.</w:t>
      </w:r>
      <w:r w:rsidR="00897037" w:rsidRPr="009C2E29">
        <w:rPr>
          <w:sz w:val="22"/>
          <w:szCs w:val="22"/>
          <w:lang w:val="en-AU"/>
        </w:rPr>
        <w:t xml:space="preserve"> </w:t>
      </w:r>
      <w:r w:rsidRPr="009C2E29">
        <w:rPr>
          <w:sz w:val="22"/>
          <w:szCs w:val="22"/>
          <w:lang w:val="en-AU"/>
        </w:rPr>
        <w:t xml:space="preserve">Achieving the purposes for which the FOI Act was created relies heavily on having positive attitudes towards the release of information. </w:t>
      </w:r>
    </w:p>
    <w:p w14:paraId="3589F8EF" w14:textId="55EAFE19" w:rsidR="00562D44" w:rsidRPr="009C2E29" w:rsidRDefault="00897037" w:rsidP="00562D44">
      <w:pPr>
        <w:pStyle w:val="Body"/>
        <w:numPr>
          <w:ilvl w:val="0"/>
          <w:numId w:val="24"/>
        </w:numPr>
        <w:rPr>
          <w:sz w:val="22"/>
          <w:szCs w:val="22"/>
          <w:lang w:val="en-AU"/>
        </w:rPr>
      </w:pPr>
      <w:r w:rsidRPr="009C2E29">
        <w:rPr>
          <w:sz w:val="22"/>
          <w:szCs w:val="22"/>
          <w:lang w:val="en-AU"/>
        </w:rPr>
        <w:t>This means I</w:t>
      </w:r>
      <w:r w:rsidR="00562D44" w:rsidRPr="009C2E29">
        <w:rPr>
          <w:sz w:val="22"/>
          <w:szCs w:val="22"/>
          <w:lang w:val="en-AU"/>
        </w:rPr>
        <w:t xml:space="preserve"> want </w:t>
      </w:r>
      <w:r w:rsidRPr="009C2E29">
        <w:rPr>
          <w:sz w:val="22"/>
          <w:szCs w:val="22"/>
          <w:lang w:val="en-AU"/>
        </w:rPr>
        <w:t>you</w:t>
      </w:r>
      <w:r w:rsidR="00562D44" w:rsidRPr="009C2E29">
        <w:rPr>
          <w:sz w:val="22"/>
          <w:szCs w:val="22"/>
          <w:lang w:val="en-AU"/>
        </w:rPr>
        <w:t xml:space="preserve"> to have a mindset of ‘Why can’t we release this information’, rather than ‘What exemptions should be applied?’. Access to information should be the rule, not the exception.</w:t>
      </w:r>
    </w:p>
    <w:p w14:paraId="091FA871" w14:textId="77777777" w:rsidR="00562D44" w:rsidRPr="009C2E29" w:rsidRDefault="00562D44" w:rsidP="00562D44">
      <w:pPr>
        <w:pStyle w:val="Body"/>
        <w:numPr>
          <w:ilvl w:val="0"/>
          <w:numId w:val="24"/>
        </w:numPr>
        <w:rPr>
          <w:b/>
          <w:bCs/>
          <w:sz w:val="22"/>
          <w:szCs w:val="22"/>
          <w:lang w:val="en-AU"/>
        </w:rPr>
      </w:pPr>
      <w:r w:rsidRPr="009C2E29">
        <w:rPr>
          <w:sz w:val="22"/>
          <w:szCs w:val="22"/>
          <w:lang w:val="en-AU"/>
        </w:rPr>
        <w:t xml:space="preserve">Exemptions should only be applied where essential public interests would be affected if the information were to be released. In practice, this means that exemptions should be applied sparingly. </w:t>
      </w:r>
    </w:p>
    <w:p w14:paraId="1E8DB2B2" w14:textId="25A9B00A" w:rsidR="00562D44" w:rsidRPr="009C2E29" w:rsidRDefault="00562D44" w:rsidP="00562D44">
      <w:pPr>
        <w:pStyle w:val="Body"/>
        <w:numPr>
          <w:ilvl w:val="0"/>
          <w:numId w:val="24"/>
        </w:numPr>
        <w:rPr>
          <w:sz w:val="22"/>
          <w:szCs w:val="22"/>
          <w:lang w:val="en-AU"/>
        </w:rPr>
      </w:pPr>
      <w:r w:rsidRPr="009C2E29">
        <w:rPr>
          <w:sz w:val="22"/>
          <w:szCs w:val="22"/>
          <w:lang w:val="en-AU"/>
        </w:rPr>
        <w:t>Where a document would explain a decision on an important policy issue or decision that impact</w:t>
      </w:r>
      <w:r w:rsidR="00897037" w:rsidRPr="009C2E29">
        <w:rPr>
          <w:sz w:val="22"/>
          <w:szCs w:val="22"/>
          <w:lang w:val="en-AU"/>
        </w:rPr>
        <w:t>s</w:t>
      </w:r>
      <w:r w:rsidRPr="009C2E29">
        <w:rPr>
          <w:sz w:val="22"/>
          <w:szCs w:val="22"/>
          <w:lang w:val="en-AU"/>
        </w:rPr>
        <w:t xml:space="preserve"> the community, being an open and transparent Council would mean not applying an exemption to that document.</w:t>
      </w:r>
    </w:p>
    <w:p w14:paraId="68951289" w14:textId="79D327C1" w:rsidR="00562D44" w:rsidRPr="009C2E29" w:rsidRDefault="00562D44" w:rsidP="00562D44">
      <w:pPr>
        <w:pStyle w:val="Body"/>
        <w:numPr>
          <w:ilvl w:val="0"/>
          <w:numId w:val="24"/>
        </w:numPr>
        <w:rPr>
          <w:b/>
          <w:bCs/>
          <w:sz w:val="22"/>
          <w:szCs w:val="22"/>
          <w:lang w:val="en-AU"/>
        </w:rPr>
      </w:pPr>
      <w:r w:rsidRPr="009C2E29">
        <w:rPr>
          <w:sz w:val="22"/>
          <w:szCs w:val="22"/>
          <w:lang w:val="en-AU"/>
        </w:rPr>
        <w:t>Where a document, in isolation, may create a misleading impression if released, an open and transparent Council would release the document anyway, along with an explanation to the public that would dispel any potential misunderstanding.</w:t>
      </w:r>
    </w:p>
    <w:p w14:paraId="3D0D209E" w14:textId="790C4827" w:rsidR="00562D44" w:rsidRPr="009C2E29" w:rsidRDefault="00562D44" w:rsidP="00562D44">
      <w:pPr>
        <w:pStyle w:val="Body"/>
        <w:numPr>
          <w:ilvl w:val="0"/>
          <w:numId w:val="24"/>
        </w:numPr>
        <w:rPr>
          <w:b/>
          <w:bCs/>
          <w:sz w:val="22"/>
          <w:szCs w:val="22"/>
          <w:lang w:val="en-AU"/>
        </w:rPr>
      </w:pPr>
      <w:r w:rsidRPr="009C2E29">
        <w:rPr>
          <w:sz w:val="22"/>
          <w:szCs w:val="22"/>
          <w:lang w:val="en-AU"/>
        </w:rPr>
        <w:t xml:space="preserve">The willingness of </w:t>
      </w:r>
      <w:r w:rsidR="00897037" w:rsidRPr="009C2E29">
        <w:rPr>
          <w:sz w:val="22"/>
          <w:szCs w:val="22"/>
          <w:lang w:val="en-AU"/>
        </w:rPr>
        <w:t xml:space="preserve">Councils </w:t>
      </w:r>
      <w:r w:rsidRPr="009C2E29">
        <w:rPr>
          <w:sz w:val="22"/>
          <w:szCs w:val="22"/>
          <w:lang w:val="en-AU"/>
        </w:rPr>
        <w:t xml:space="preserve">to be clear and transparent about how decisions are made </w:t>
      </w:r>
      <w:r w:rsidR="00897037" w:rsidRPr="009C2E29">
        <w:rPr>
          <w:sz w:val="22"/>
          <w:szCs w:val="22"/>
          <w:lang w:val="en-AU"/>
        </w:rPr>
        <w:t xml:space="preserve">and why certain actions are taken </w:t>
      </w:r>
      <w:r w:rsidRPr="009C2E29">
        <w:rPr>
          <w:sz w:val="22"/>
          <w:szCs w:val="22"/>
          <w:lang w:val="en-AU"/>
        </w:rPr>
        <w:t xml:space="preserve">will increase public trust, despite </w:t>
      </w:r>
      <w:r w:rsidR="00897037" w:rsidRPr="009C2E29">
        <w:rPr>
          <w:sz w:val="22"/>
          <w:szCs w:val="22"/>
          <w:lang w:val="en-AU"/>
        </w:rPr>
        <w:t xml:space="preserve">any </w:t>
      </w:r>
      <w:r w:rsidRPr="009C2E29">
        <w:rPr>
          <w:sz w:val="22"/>
          <w:szCs w:val="22"/>
          <w:lang w:val="en-AU"/>
        </w:rPr>
        <w:t xml:space="preserve">possible discomfort and embarrassment in the short term. </w:t>
      </w:r>
    </w:p>
    <w:p w14:paraId="71EE3EAD" w14:textId="37FE1AAA" w:rsidR="00562D44" w:rsidRPr="009C2E29" w:rsidRDefault="00897037" w:rsidP="00562D44">
      <w:pPr>
        <w:pStyle w:val="Body"/>
        <w:numPr>
          <w:ilvl w:val="0"/>
          <w:numId w:val="24"/>
        </w:numPr>
        <w:rPr>
          <w:b/>
          <w:bCs/>
          <w:sz w:val="22"/>
          <w:szCs w:val="22"/>
          <w:lang w:val="en-AU"/>
        </w:rPr>
      </w:pPr>
      <w:r w:rsidRPr="009C2E29">
        <w:rPr>
          <w:sz w:val="22"/>
          <w:szCs w:val="22"/>
          <w:lang w:val="en-AU"/>
        </w:rPr>
        <w:t>And if you</w:t>
      </w:r>
      <w:r w:rsidR="00562D44" w:rsidRPr="009C2E29">
        <w:rPr>
          <w:sz w:val="22"/>
          <w:szCs w:val="22"/>
          <w:lang w:val="en-AU"/>
        </w:rPr>
        <w:t xml:space="preserve"> are continually transparent, the public and the media will take notice. This builds respect and earns trust.</w:t>
      </w:r>
    </w:p>
    <w:p w14:paraId="1F300395" w14:textId="77777777" w:rsidR="00897037" w:rsidRPr="009C2E29" w:rsidRDefault="00897037" w:rsidP="00897037">
      <w:pPr>
        <w:pStyle w:val="Body"/>
        <w:spacing w:before="0" w:line="240" w:lineRule="auto"/>
        <w:rPr>
          <w:b/>
          <w:bCs/>
          <w:sz w:val="22"/>
          <w:szCs w:val="22"/>
          <w:lang w:val="en-AU"/>
        </w:rPr>
      </w:pPr>
      <w:r w:rsidRPr="009C2E29">
        <w:rPr>
          <w:b/>
          <w:bCs/>
          <w:sz w:val="22"/>
          <w:szCs w:val="22"/>
          <w:lang w:val="en-AU"/>
        </w:rPr>
        <w:t>The recent VCAT decision</w:t>
      </w:r>
    </w:p>
    <w:p w14:paraId="19F0E6F3" w14:textId="77777777" w:rsidR="00897037" w:rsidRPr="009C2E29" w:rsidRDefault="00897037" w:rsidP="00897037">
      <w:pPr>
        <w:pStyle w:val="Body"/>
        <w:numPr>
          <w:ilvl w:val="0"/>
          <w:numId w:val="24"/>
        </w:numPr>
        <w:rPr>
          <w:b/>
          <w:bCs/>
          <w:sz w:val="22"/>
          <w:szCs w:val="22"/>
          <w:u w:val="single"/>
          <w:lang w:val="en-AU"/>
        </w:rPr>
      </w:pPr>
      <w:r w:rsidRPr="009C2E29">
        <w:rPr>
          <w:sz w:val="22"/>
          <w:szCs w:val="22"/>
          <w:lang w:val="en-AU"/>
        </w:rPr>
        <w:t xml:space="preserve">At this point I think it might be useful to look at a recent VCAT decision in </w:t>
      </w:r>
      <w:r w:rsidRPr="009C2E29">
        <w:rPr>
          <w:i/>
          <w:iCs/>
          <w:sz w:val="22"/>
          <w:szCs w:val="22"/>
          <w:lang w:val="en-AU"/>
        </w:rPr>
        <w:t>Wellington v Surf Coast Shire Council</w:t>
      </w:r>
      <w:r w:rsidRPr="009C2E29">
        <w:rPr>
          <w:sz w:val="22"/>
          <w:szCs w:val="22"/>
          <w:lang w:val="en-AU"/>
        </w:rPr>
        <w:t xml:space="preserve">, which I understand may have been discussed previously. </w:t>
      </w:r>
    </w:p>
    <w:p w14:paraId="1006304A" w14:textId="40C67E87" w:rsidR="00897037" w:rsidRPr="009C2E29" w:rsidRDefault="00897037" w:rsidP="00897037">
      <w:pPr>
        <w:pStyle w:val="Body"/>
        <w:numPr>
          <w:ilvl w:val="0"/>
          <w:numId w:val="24"/>
        </w:numPr>
        <w:rPr>
          <w:b/>
          <w:bCs/>
          <w:sz w:val="22"/>
          <w:szCs w:val="22"/>
          <w:u w:val="single"/>
          <w:lang w:val="en-AU"/>
        </w:rPr>
      </w:pPr>
      <w:r w:rsidRPr="009C2E29">
        <w:rPr>
          <w:sz w:val="22"/>
          <w:szCs w:val="22"/>
          <w:lang w:val="en-AU"/>
        </w:rPr>
        <w:t>In that decision, VCAT order the disclosure of a variety of documents relating to employee satisfaction surveys.</w:t>
      </w:r>
    </w:p>
    <w:p w14:paraId="58775375" w14:textId="77777777" w:rsidR="00897037" w:rsidRPr="009C2E29" w:rsidRDefault="00897037" w:rsidP="00897037">
      <w:pPr>
        <w:pStyle w:val="Body"/>
        <w:numPr>
          <w:ilvl w:val="0"/>
          <w:numId w:val="24"/>
        </w:numPr>
        <w:rPr>
          <w:b/>
          <w:bCs/>
          <w:sz w:val="22"/>
          <w:szCs w:val="22"/>
          <w:u w:val="single"/>
          <w:lang w:val="en-AU"/>
        </w:rPr>
      </w:pPr>
      <w:r w:rsidRPr="009C2E29">
        <w:rPr>
          <w:sz w:val="22"/>
          <w:szCs w:val="22"/>
          <w:lang w:val="en-AU"/>
        </w:rPr>
        <w:t xml:space="preserve">While I won’t speak to the specifics of that matter in any </w:t>
      </w:r>
      <w:proofErr w:type="gramStart"/>
      <w:r w:rsidRPr="009C2E29">
        <w:rPr>
          <w:sz w:val="22"/>
          <w:szCs w:val="22"/>
          <w:lang w:val="en-AU"/>
        </w:rPr>
        <w:t>great detail</w:t>
      </w:r>
      <w:proofErr w:type="gramEnd"/>
      <w:r w:rsidRPr="009C2E29">
        <w:rPr>
          <w:sz w:val="22"/>
          <w:szCs w:val="22"/>
          <w:lang w:val="en-AU"/>
        </w:rPr>
        <w:t xml:space="preserve">, I did want to highlight two points: </w:t>
      </w:r>
    </w:p>
    <w:p w14:paraId="74C9A1C4" w14:textId="77777777" w:rsidR="00897037" w:rsidRPr="009C2E29" w:rsidRDefault="00897037" w:rsidP="00897037">
      <w:pPr>
        <w:pStyle w:val="Body"/>
        <w:numPr>
          <w:ilvl w:val="1"/>
          <w:numId w:val="24"/>
        </w:numPr>
        <w:rPr>
          <w:b/>
          <w:bCs/>
          <w:sz w:val="22"/>
          <w:szCs w:val="22"/>
          <w:u w:val="single"/>
          <w:lang w:val="en-AU"/>
        </w:rPr>
      </w:pPr>
      <w:r w:rsidRPr="009C2E29">
        <w:rPr>
          <w:sz w:val="22"/>
          <w:szCs w:val="22"/>
          <w:lang w:val="en-AU"/>
        </w:rPr>
        <w:t xml:space="preserve">The VCAT decision broadly aligns with previous decisions of my office, concerning survey results. Where personal information is apparent or the results contain identifiable information, that information is generally exempt from disclosure. But where they merely disclose statistical results or the like, they are not. </w:t>
      </w:r>
    </w:p>
    <w:p w14:paraId="764FDC7A" w14:textId="77777777" w:rsidR="00897037" w:rsidRPr="009C2E29" w:rsidRDefault="00C82504" w:rsidP="00897037">
      <w:pPr>
        <w:pStyle w:val="Body"/>
        <w:numPr>
          <w:ilvl w:val="2"/>
          <w:numId w:val="24"/>
        </w:numPr>
        <w:rPr>
          <w:sz w:val="22"/>
          <w:szCs w:val="22"/>
          <w:u w:val="single"/>
          <w:lang w:val="en-AU"/>
        </w:rPr>
      </w:pPr>
      <w:hyperlink r:id="rId8" w:history="1">
        <w:r w:rsidR="00897037" w:rsidRPr="009C2E29">
          <w:rPr>
            <w:rStyle w:val="Hyperlink"/>
            <w:sz w:val="22"/>
            <w:szCs w:val="22"/>
            <w:lang w:val="en-AU"/>
          </w:rPr>
          <w:t>https://ovic.vic.gov.au/decision/bd2-and-bairnsdale-regional-health-service-freedom-of-information-2020-vicmr-35-21-february-2020/</w:t>
        </w:r>
      </w:hyperlink>
    </w:p>
    <w:p w14:paraId="70CA3352" w14:textId="77777777" w:rsidR="00897037" w:rsidRPr="009C2E29" w:rsidRDefault="00C82504" w:rsidP="00897037">
      <w:pPr>
        <w:pStyle w:val="Body"/>
        <w:numPr>
          <w:ilvl w:val="2"/>
          <w:numId w:val="24"/>
        </w:numPr>
        <w:rPr>
          <w:sz w:val="22"/>
          <w:szCs w:val="22"/>
          <w:u w:val="single"/>
          <w:lang w:val="en-AU"/>
        </w:rPr>
      </w:pPr>
      <w:hyperlink r:id="rId9" w:history="1">
        <w:r w:rsidR="00897037" w:rsidRPr="009C2E29">
          <w:rPr>
            <w:rStyle w:val="Hyperlink"/>
            <w:sz w:val="22"/>
            <w:szCs w:val="22"/>
            <w:lang w:val="en-AU"/>
          </w:rPr>
          <w:t>https://ovic.vic.gov.au/decision/es6-and-gordon-institute-of-tafe-freedom-of-information-2022-vicmr-197-12-august-2022/</w:t>
        </w:r>
      </w:hyperlink>
      <w:r w:rsidR="00897037" w:rsidRPr="009C2E29">
        <w:rPr>
          <w:sz w:val="22"/>
          <w:szCs w:val="22"/>
          <w:u w:val="single"/>
          <w:lang w:val="en-AU"/>
        </w:rPr>
        <w:t xml:space="preserve"> </w:t>
      </w:r>
    </w:p>
    <w:p w14:paraId="181FCC80" w14:textId="77777777" w:rsidR="00897037" w:rsidRPr="009C2E29" w:rsidRDefault="00897037" w:rsidP="00897037">
      <w:pPr>
        <w:pStyle w:val="Body"/>
        <w:numPr>
          <w:ilvl w:val="1"/>
          <w:numId w:val="24"/>
        </w:numPr>
        <w:rPr>
          <w:b/>
          <w:bCs/>
          <w:sz w:val="22"/>
          <w:szCs w:val="22"/>
          <w:u w:val="single"/>
          <w:lang w:val="en-AU"/>
        </w:rPr>
      </w:pPr>
      <w:r w:rsidRPr="009C2E29">
        <w:rPr>
          <w:sz w:val="22"/>
          <w:szCs w:val="22"/>
          <w:lang w:val="en-AU"/>
        </w:rPr>
        <w:t xml:space="preserve">Every year the Victorian Public Sector Commission undertakes a ‘people matter’ survey across the Victorian public sector. The ‘de-identified’ results of every organisation are published by the VPSC on their </w:t>
      </w:r>
      <w:hyperlink r:id="rId10" w:history="1">
        <w:r w:rsidRPr="009C2E29">
          <w:rPr>
            <w:rStyle w:val="Hyperlink"/>
            <w:sz w:val="22"/>
            <w:szCs w:val="22"/>
            <w:lang w:val="en-AU"/>
          </w:rPr>
          <w:t>website</w:t>
        </w:r>
      </w:hyperlink>
      <w:r w:rsidRPr="009C2E29">
        <w:rPr>
          <w:sz w:val="22"/>
          <w:szCs w:val="22"/>
          <w:lang w:val="en-AU"/>
        </w:rPr>
        <w:t>. This includes, the results of my office, with a relatively small staff of approximately 50 – 60.</w:t>
      </w:r>
    </w:p>
    <w:p w14:paraId="2A51CCF1" w14:textId="71FB5538" w:rsidR="00897037" w:rsidRPr="009C2E29" w:rsidRDefault="00897037" w:rsidP="00897037">
      <w:pPr>
        <w:pStyle w:val="Body"/>
        <w:numPr>
          <w:ilvl w:val="1"/>
          <w:numId w:val="24"/>
        </w:numPr>
        <w:rPr>
          <w:sz w:val="22"/>
          <w:szCs w:val="22"/>
          <w:lang w:val="en-AU"/>
        </w:rPr>
      </w:pPr>
      <w:r w:rsidRPr="009C2E29">
        <w:rPr>
          <w:sz w:val="22"/>
          <w:szCs w:val="22"/>
          <w:lang w:val="en-AU"/>
        </w:rPr>
        <w:t>Even in small organisations like OVIC, disclosure of the de-identified survey results has not caused response rate to drop, or any other controversy. Indeed, my office takes the opportunity to discuss the results openly amongst staff and work together to implement actions and strategies to address any issues.</w:t>
      </w:r>
    </w:p>
    <w:p w14:paraId="64EE2E56" w14:textId="39E90FE0" w:rsidR="00562D44" w:rsidRPr="009C2E29" w:rsidRDefault="00562D44" w:rsidP="00562D44">
      <w:pPr>
        <w:pStyle w:val="Heading-2"/>
        <w:rPr>
          <w:sz w:val="22"/>
          <w:szCs w:val="22"/>
          <w:lang w:val="en-AU"/>
        </w:rPr>
      </w:pPr>
      <w:r w:rsidRPr="009C2E29">
        <w:rPr>
          <w:sz w:val="22"/>
          <w:szCs w:val="22"/>
          <w:lang w:val="en-AU"/>
        </w:rPr>
        <w:t>Proactive and informal release</w:t>
      </w:r>
      <w:r w:rsidR="008D541C" w:rsidRPr="009C2E29">
        <w:rPr>
          <w:sz w:val="22"/>
          <w:szCs w:val="22"/>
          <w:lang w:val="en-AU"/>
        </w:rPr>
        <w:t xml:space="preserve"> of information</w:t>
      </w:r>
    </w:p>
    <w:p w14:paraId="6483C16A" w14:textId="42C2A87C" w:rsidR="00562D44" w:rsidRPr="009C2E29" w:rsidRDefault="00897037" w:rsidP="00562D44">
      <w:pPr>
        <w:pStyle w:val="Body"/>
        <w:numPr>
          <w:ilvl w:val="0"/>
          <w:numId w:val="24"/>
        </w:numPr>
        <w:rPr>
          <w:sz w:val="22"/>
          <w:szCs w:val="22"/>
          <w:lang w:val="en-AU"/>
        </w:rPr>
      </w:pPr>
      <w:r w:rsidRPr="009C2E29">
        <w:rPr>
          <w:sz w:val="22"/>
          <w:szCs w:val="22"/>
          <w:lang w:val="en-AU"/>
        </w:rPr>
        <w:t>So a</w:t>
      </w:r>
      <w:r w:rsidR="00562D44" w:rsidRPr="009C2E29">
        <w:rPr>
          <w:sz w:val="22"/>
          <w:szCs w:val="22"/>
          <w:lang w:val="en-AU"/>
        </w:rPr>
        <w:t xml:space="preserve">long with the release of documents under the FOI Act, Councils can also contribute to building </w:t>
      </w:r>
      <w:r w:rsidRPr="009C2E29">
        <w:rPr>
          <w:sz w:val="22"/>
          <w:szCs w:val="22"/>
          <w:lang w:val="en-AU"/>
        </w:rPr>
        <w:t>openness</w:t>
      </w:r>
      <w:r w:rsidR="00562D44" w:rsidRPr="009C2E29">
        <w:rPr>
          <w:sz w:val="22"/>
          <w:szCs w:val="22"/>
          <w:lang w:val="en-AU"/>
        </w:rPr>
        <w:t xml:space="preserve"> through proactively </w:t>
      </w:r>
      <w:r w:rsidRPr="009C2E29">
        <w:rPr>
          <w:sz w:val="22"/>
          <w:szCs w:val="22"/>
          <w:lang w:val="en-AU"/>
        </w:rPr>
        <w:t xml:space="preserve">and informally </w:t>
      </w:r>
      <w:r w:rsidR="00562D44" w:rsidRPr="009C2E29">
        <w:rPr>
          <w:sz w:val="22"/>
          <w:szCs w:val="22"/>
          <w:lang w:val="en-AU"/>
        </w:rPr>
        <w:t>releasing information, without the need for an FOI request to be made.</w:t>
      </w:r>
    </w:p>
    <w:p w14:paraId="320A74CA" w14:textId="186FDAB8" w:rsidR="00562D44" w:rsidRPr="009C2E29" w:rsidRDefault="00562D44" w:rsidP="00562D44">
      <w:pPr>
        <w:pStyle w:val="Body"/>
        <w:numPr>
          <w:ilvl w:val="0"/>
          <w:numId w:val="24"/>
        </w:numPr>
        <w:rPr>
          <w:sz w:val="22"/>
          <w:szCs w:val="22"/>
          <w:lang w:val="en-AU"/>
        </w:rPr>
      </w:pPr>
      <w:r w:rsidRPr="009C2E29">
        <w:rPr>
          <w:sz w:val="22"/>
          <w:szCs w:val="22"/>
          <w:lang w:val="en-AU"/>
        </w:rPr>
        <w:t xml:space="preserve">My office strongly encourages </w:t>
      </w:r>
      <w:r w:rsidR="00897037" w:rsidRPr="009C2E29">
        <w:rPr>
          <w:sz w:val="22"/>
          <w:szCs w:val="22"/>
          <w:lang w:val="en-AU"/>
        </w:rPr>
        <w:t>you</w:t>
      </w:r>
      <w:r w:rsidRPr="009C2E29">
        <w:rPr>
          <w:sz w:val="22"/>
          <w:szCs w:val="22"/>
          <w:lang w:val="en-AU"/>
        </w:rPr>
        <w:t xml:space="preserve"> to adopt policies and embrace practices that facilitate the proactive and informal release of information.</w:t>
      </w:r>
    </w:p>
    <w:p w14:paraId="52CD2AB1" w14:textId="06EBD8F4" w:rsidR="00897037" w:rsidRPr="009C2E29" w:rsidRDefault="00897037" w:rsidP="00897037">
      <w:pPr>
        <w:pStyle w:val="Body"/>
        <w:numPr>
          <w:ilvl w:val="0"/>
          <w:numId w:val="36"/>
        </w:numPr>
        <w:spacing w:before="0" w:line="240" w:lineRule="auto"/>
        <w:rPr>
          <w:sz w:val="22"/>
          <w:szCs w:val="22"/>
          <w:lang w:val="en-AU"/>
        </w:rPr>
      </w:pPr>
      <w:r w:rsidRPr="009C2E29">
        <w:rPr>
          <w:sz w:val="22"/>
          <w:szCs w:val="22"/>
          <w:lang w:val="en-AU"/>
        </w:rPr>
        <w:t xml:space="preserve">To help guide you on this, I’d like to highlight some resources that my office is working on or has published. And I understand LGV will be sending around links to these resources later this week. </w:t>
      </w:r>
    </w:p>
    <w:p w14:paraId="595E2E82" w14:textId="5D4C97DC" w:rsidR="00897037" w:rsidRPr="009C2E29" w:rsidRDefault="00C82504" w:rsidP="00897037">
      <w:pPr>
        <w:pStyle w:val="Body"/>
        <w:numPr>
          <w:ilvl w:val="1"/>
          <w:numId w:val="24"/>
        </w:numPr>
        <w:rPr>
          <w:sz w:val="22"/>
          <w:szCs w:val="22"/>
          <w:lang w:val="en-AU"/>
        </w:rPr>
      </w:pPr>
      <w:hyperlink r:id="rId11" w:history="1">
        <w:r w:rsidR="00897037" w:rsidRPr="009C2E29">
          <w:rPr>
            <w:rStyle w:val="Hyperlink"/>
            <w:sz w:val="22"/>
            <w:szCs w:val="22"/>
            <w:lang w:val="en-AU"/>
          </w:rPr>
          <w:t>Framework for releasing Council information proactively and informally under the Local Government Act 2020 (Vic) and the Freedom of Information Act 1982 (Vic)</w:t>
        </w:r>
      </w:hyperlink>
      <w:r w:rsidR="00897037" w:rsidRPr="009C2E29">
        <w:rPr>
          <w:sz w:val="22"/>
          <w:szCs w:val="22"/>
          <w:lang w:val="en-AU"/>
        </w:rPr>
        <w:t xml:space="preserve"> – published this week, this practice note provides a step-by-step framework for Councils to identify, assess, and publicly release Council information under both the LG Act and FOI Act. </w:t>
      </w:r>
    </w:p>
    <w:p w14:paraId="23EBB2DA" w14:textId="257D7780" w:rsidR="00897037" w:rsidRPr="009C2E29" w:rsidRDefault="00897037" w:rsidP="00897037">
      <w:pPr>
        <w:pStyle w:val="Body"/>
        <w:numPr>
          <w:ilvl w:val="1"/>
          <w:numId w:val="24"/>
        </w:numPr>
        <w:spacing w:before="0" w:line="288" w:lineRule="auto"/>
        <w:textAlignment w:val="auto"/>
        <w:rPr>
          <w:color w:val="auto"/>
          <w:sz w:val="22"/>
          <w:szCs w:val="22"/>
          <w:lang w:val="en-AU"/>
        </w:rPr>
      </w:pPr>
      <w:r w:rsidRPr="009C2E29">
        <w:rPr>
          <w:color w:val="auto"/>
          <w:sz w:val="22"/>
          <w:szCs w:val="22"/>
          <w:lang w:val="en-AU"/>
        </w:rPr>
        <w:t xml:space="preserve">We will soon be releasing a template </w:t>
      </w:r>
      <w:r w:rsidRPr="009C2E29">
        <w:rPr>
          <w:i/>
          <w:iCs/>
          <w:color w:val="auto"/>
          <w:sz w:val="22"/>
          <w:szCs w:val="22"/>
          <w:lang w:val="en-AU"/>
        </w:rPr>
        <w:t xml:space="preserve">Proactive and Informal Release Policy </w:t>
      </w:r>
      <w:r w:rsidRPr="009C2E29">
        <w:rPr>
          <w:color w:val="auto"/>
          <w:sz w:val="22"/>
          <w:szCs w:val="22"/>
          <w:lang w:val="en-AU"/>
        </w:rPr>
        <w:t xml:space="preserve">that you can modify and adopt to provide a formal framework for all agency staff to follow when determining if a document can be made public. In the local government context, this template policy might complement and work alongside your Council’s transparency policy. </w:t>
      </w:r>
    </w:p>
    <w:p w14:paraId="243913EA" w14:textId="26F2C190" w:rsidR="00897037" w:rsidRPr="009C2E29" w:rsidRDefault="00897037" w:rsidP="00897037">
      <w:pPr>
        <w:pStyle w:val="Body"/>
        <w:numPr>
          <w:ilvl w:val="1"/>
          <w:numId w:val="24"/>
        </w:numPr>
        <w:spacing w:before="0" w:line="288" w:lineRule="auto"/>
        <w:textAlignment w:val="auto"/>
        <w:rPr>
          <w:color w:val="auto"/>
          <w:sz w:val="22"/>
          <w:szCs w:val="22"/>
          <w:lang w:val="en-AU"/>
        </w:rPr>
      </w:pPr>
      <w:r w:rsidRPr="009C2E29">
        <w:rPr>
          <w:color w:val="auto"/>
          <w:sz w:val="22"/>
          <w:szCs w:val="22"/>
          <w:lang w:val="en-AU"/>
        </w:rPr>
        <w:t xml:space="preserve">Two practice notes on –the </w:t>
      </w:r>
      <w:hyperlink r:id="rId12" w:history="1">
        <w:r w:rsidRPr="009C2E29">
          <w:rPr>
            <w:rStyle w:val="Hyperlink"/>
            <w:sz w:val="22"/>
            <w:szCs w:val="22"/>
            <w:lang w:val="en-AU"/>
          </w:rPr>
          <w:t>Informal release of information</w:t>
        </w:r>
      </w:hyperlink>
      <w:r w:rsidRPr="009C2E29">
        <w:rPr>
          <w:color w:val="auto"/>
          <w:sz w:val="22"/>
          <w:szCs w:val="22"/>
          <w:lang w:val="en-AU"/>
        </w:rPr>
        <w:t xml:space="preserve"> and the </w:t>
      </w:r>
      <w:hyperlink r:id="rId13" w:history="1">
        <w:r w:rsidRPr="009C2E29">
          <w:rPr>
            <w:rStyle w:val="Hyperlink"/>
            <w:sz w:val="22"/>
            <w:szCs w:val="22"/>
            <w:lang w:val="en-AU"/>
          </w:rPr>
          <w:t>Proactive release of information</w:t>
        </w:r>
      </w:hyperlink>
      <w:r w:rsidRPr="009C2E29">
        <w:rPr>
          <w:color w:val="auto"/>
          <w:sz w:val="22"/>
          <w:szCs w:val="22"/>
          <w:lang w:val="en-AU"/>
        </w:rPr>
        <w:t xml:space="preserve">  – These practice notes provide an overview of each process, the benefits, and limitations of proactively or informally releasing information.</w:t>
      </w:r>
    </w:p>
    <w:p w14:paraId="7B5F483E" w14:textId="50429976" w:rsidR="00562D44" w:rsidRPr="009C2E29" w:rsidRDefault="00C82504" w:rsidP="00562D44">
      <w:pPr>
        <w:pStyle w:val="Body"/>
        <w:numPr>
          <w:ilvl w:val="1"/>
          <w:numId w:val="24"/>
        </w:numPr>
        <w:rPr>
          <w:sz w:val="22"/>
          <w:szCs w:val="22"/>
          <w:lang w:val="en-AU"/>
        </w:rPr>
      </w:pPr>
      <w:hyperlink r:id="rId14" w:history="1">
        <w:r w:rsidR="00562D44" w:rsidRPr="009C2E29">
          <w:rPr>
            <w:rStyle w:val="Hyperlink"/>
            <w:sz w:val="22"/>
            <w:szCs w:val="22"/>
            <w:lang w:val="en-AU"/>
          </w:rPr>
          <w:t>FOI And Section 125 of the Local Government Act 2020</w:t>
        </w:r>
      </w:hyperlink>
      <w:r w:rsidR="00562D44" w:rsidRPr="009C2E29">
        <w:rPr>
          <w:sz w:val="22"/>
          <w:szCs w:val="22"/>
          <w:lang w:val="en-AU"/>
        </w:rPr>
        <w:t xml:space="preserve"> – published last month, this practice note explains how section 125 of the Local Government Act, in relation to protecting confidential information, has limited application in the context of disclosing documents and information under the FOI Act.</w:t>
      </w:r>
    </w:p>
    <w:p w14:paraId="47C57ADA" w14:textId="4DA9C436" w:rsidR="00562D44" w:rsidRPr="009C2E29" w:rsidRDefault="00562D44" w:rsidP="00562D44">
      <w:pPr>
        <w:pStyle w:val="Heading-2"/>
        <w:rPr>
          <w:sz w:val="22"/>
          <w:szCs w:val="22"/>
          <w:lang w:val="en-AU"/>
        </w:rPr>
      </w:pPr>
      <w:r w:rsidRPr="009C2E29">
        <w:rPr>
          <w:sz w:val="22"/>
          <w:szCs w:val="22"/>
          <w:lang w:val="en-AU"/>
        </w:rPr>
        <w:t>Senior and executive support</w:t>
      </w:r>
      <w:r w:rsidR="008D541C" w:rsidRPr="009C2E29">
        <w:rPr>
          <w:sz w:val="22"/>
          <w:szCs w:val="22"/>
          <w:lang w:val="en-AU"/>
        </w:rPr>
        <w:t xml:space="preserve"> is </w:t>
      </w:r>
      <w:proofErr w:type="gramStart"/>
      <w:r w:rsidR="008D541C" w:rsidRPr="009C2E29">
        <w:rPr>
          <w:sz w:val="22"/>
          <w:szCs w:val="22"/>
          <w:lang w:val="en-AU"/>
        </w:rPr>
        <w:t>critical</w:t>
      </w:r>
      <w:proofErr w:type="gramEnd"/>
    </w:p>
    <w:p w14:paraId="7E06E08C" w14:textId="2EC9910A" w:rsidR="00562D44" w:rsidRPr="009C2E29" w:rsidRDefault="00562D44" w:rsidP="00562D44">
      <w:pPr>
        <w:pStyle w:val="Body"/>
        <w:numPr>
          <w:ilvl w:val="0"/>
          <w:numId w:val="36"/>
        </w:numPr>
        <w:spacing w:before="0" w:line="240" w:lineRule="auto"/>
        <w:rPr>
          <w:sz w:val="22"/>
          <w:szCs w:val="22"/>
          <w:lang w:val="en-AU"/>
        </w:rPr>
      </w:pPr>
      <w:r w:rsidRPr="009C2E29">
        <w:rPr>
          <w:sz w:val="22"/>
          <w:szCs w:val="22"/>
          <w:lang w:val="en-AU"/>
        </w:rPr>
        <w:t>Through our engagement with the public sector, we’ve seen that there is an appetite for change, to make information access easier for the public, and to improve Victoria’s information access system overall.</w:t>
      </w:r>
    </w:p>
    <w:p w14:paraId="68E15584" w14:textId="69F1EC0A" w:rsidR="00562D44" w:rsidRPr="009C2E29" w:rsidRDefault="00562D44" w:rsidP="00562D44">
      <w:pPr>
        <w:pStyle w:val="Body"/>
        <w:numPr>
          <w:ilvl w:val="0"/>
          <w:numId w:val="36"/>
        </w:numPr>
        <w:spacing w:before="0" w:line="240" w:lineRule="auto"/>
        <w:rPr>
          <w:sz w:val="22"/>
          <w:szCs w:val="22"/>
          <w:lang w:val="en-AU"/>
        </w:rPr>
      </w:pPr>
      <w:r w:rsidRPr="009C2E29">
        <w:rPr>
          <w:sz w:val="22"/>
          <w:szCs w:val="22"/>
          <w:lang w:val="en-AU"/>
        </w:rPr>
        <w:t>But executive and senior management support is crucial. What is needed is leadership within Councils to build and maintain a positive information access culture, prioritise access to information, and where possible, authorise making information available without the need for an FOI request.</w:t>
      </w:r>
    </w:p>
    <w:p w14:paraId="279A9022" w14:textId="50EFE318" w:rsidR="00562D44" w:rsidRPr="009C2E29" w:rsidRDefault="00562D44" w:rsidP="00562D44">
      <w:pPr>
        <w:pStyle w:val="Body"/>
        <w:numPr>
          <w:ilvl w:val="0"/>
          <w:numId w:val="36"/>
        </w:numPr>
        <w:spacing w:before="0" w:line="240" w:lineRule="auto"/>
        <w:rPr>
          <w:sz w:val="22"/>
          <w:szCs w:val="22"/>
          <w:lang w:val="en-AU"/>
        </w:rPr>
      </w:pPr>
      <w:r w:rsidRPr="009C2E29">
        <w:rPr>
          <w:sz w:val="22"/>
          <w:szCs w:val="22"/>
          <w:lang w:val="en-AU"/>
        </w:rPr>
        <w:t>Our proactive and informal release research, as well as research being undertaking by Monash University on the culture of information access, consistently highlights the need for</w:t>
      </w:r>
      <w:r w:rsidR="00897037" w:rsidRPr="009C2E29">
        <w:rPr>
          <w:sz w:val="22"/>
          <w:szCs w:val="22"/>
          <w:lang w:val="en-AU"/>
        </w:rPr>
        <w:t xml:space="preserve"> </w:t>
      </w:r>
      <w:proofErr w:type="spellStart"/>
      <w:r w:rsidR="00897037" w:rsidRPr="009C2E29">
        <w:rPr>
          <w:sz w:val="22"/>
          <w:szCs w:val="22"/>
          <w:lang w:val="en-AU"/>
        </w:rPr>
        <w:t>exeutive</w:t>
      </w:r>
      <w:proofErr w:type="spellEnd"/>
      <w:r w:rsidRPr="009C2E29">
        <w:rPr>
          <w:sz w:val="22"/>
          <w:szCs w:val="22"/>
          <w:lang w:val="en-AU"/>
        </w:rPr>
        <w:t xml:space="preserve"> management support. </w:t>
      </w:r>
    </w:p>
    <w:p w14:paraId="3A1FBDCD" w14:textId="789AE26B" w:rsidR="00562D44" w:rsidRPr="009C2E29" w:rsidRDefault="00562D44" w:rsidP="00562D44">
      <w:pPr>
        <w:pStyle w:val="Body"/>
        <w:numPr>
          <w:ilvl w:val="0"/>
          <w:numId w:val="36"/>
        </w:numPr>
        <w:spacing w:before="0" w:line="240" w:lineRule="auto"/>
        <w:rPr>
          <w:sz w:val="22"/>
          <w:szCs w:val="22"/>
          <w:lang w:val="en-AU"/>
        </w:rPr>
      </w:pPr>
      <w:r w:rsidRPr="009C2E29">
        <w:rPr>
          <w:sz w:val="22"/>
          <w:szCs w:val="22"/>
          <w:lang w:val="en-AU"/>
        </w:rPr>
        <w:t>The importance of executive support is also highlighted in our FOI Professional Standards, with principal officers – that is, Council CEOs, being responsible for ensuring employees concerned with the operation of the FOI Act are compliant with the Standards.</w:t>
      </w:r>
      <w:r w:rsidR="00897037" w:rsidRPr="009C2E29">
        <w:rPr>
          <w:sz w:val="22"/>
          <w:szCs w:val="22"/>
          <w:lang w:val="en-AU"/>
        </w:rPr>
        <w:t xml:space="preserve"> And i</w:t>
      </w:r>
      <w:r w:rsidRPr="009C2E29">
        <w:rPr>
          <w:sz w:val="22"/>
          <w:szCs w:val="22"/>
          <w:lang w:val="en-AU"/>
        </w:rPr>
        <w:t>ndeed, principal officers themselves must also comply with the Standards.</w:t>
      </w:r>
    </w:p>
    <w:p w14:paraId="1867DEAA" w14:textId="5F226257" w:rsidR="00562D44" w:rsidRPr="009C2E29" w:rsidRDefault="00562D44" w:rsidP="00562D44">
      <w:pPr>
        <w:pStyle w:val="Body"/>
        <w:numPr>
          <w:ilvl w:val="0"/>
          <w:numId w:val="36"/>
        </w:numPr>
        <w:spacing w:before="0" w:line="240" w:lineRule="auto"/>
        <w:rPr>
          <w:sz w:val="22"/>
          <w:szCs w:val="22"/>
          <w:lang w:val="en-AU"/>
        </w:rPr>
      </w:pPr>
      <w:r w:rsidRPr="009C2E29">
        <w:rPr>
          <w:sz w:val="22"/>
          <w:szCs w:val="22"/>
          <w:lang w:val="en-AU"/>
        </w:rPr>
        <w:t xml:space="preserve">Shifting Victoria’s information access culture from FOI as the primary mechanism for access, to a last resort, is not </w:t>
      </w:r>
      <w:r w:rsidR="00897037" w:rsidRPr="009C2E29">
        <w:rPr>
          <w:sz w:val="22"/>
          <w:szCs w:val="22"/>
          <w:lang w:val="en-AU"/>
        </w:rPr>
        <w:t>an</w:t>
      </w:r>
      <w:r w:rsidRPr="009C2E29">
        <w:rPr>
          <w:sz w:val="22"/>
          <w:szCs w:val="22"/>
          <w:lang w:val="en-AU"/>
        </w:rPr>
        <w:t xml:space="preserve"> easy</w:t>
      </w:r>
      <w:r w:rsidR="00897037" w:rsidRPr="009C2E29">
        <w:rPr>
          <w:sz w:val="22"/>
          <w:szCs w:val="22"/>
          <w:lang w:val="en-AU"/>
        </w:rPr>
        <w:t xml:space="preserve"> process and will take time</w:t>
      </w:r>
      <w:r w:rsidRPr="009C2E29">
        <w:rPr>
          <w:sz w:val="22"/>
          <w:szCs w:val="22"/>
          <w:lang w:val="en-AU"/>
        </w:rPr>
        <w:t xml:space="preserve">. And while </w:t>
      </w:r>
      <w:r w:rsidR="00897037" w:rsidRPr="009C2E29">
        <w:rPr>
          <w:sz w:val="22"/>
          <w:szCs w:val="22"/>
          <w:lang w:val="en-AU"/>
        </w:rPr>
        <w:t xml:space="preserve">your support </w:t>
      </w:r>
      <w:r w:rsidRPr="009C2E29">
        <w:rPr>
          <w:sz w:val="22"/>
          <w:szCs w:val="22"/>
          <w:lang w:val="en-AU"/>
        </w:rPr>
        <w:t xml:space="preserve">is crucial, my office is also here to </w:t>
      </w:r>
      <w:r w:rsidR="00897037" w:rsidRPr="009C2E29">
        <w:rPr>
          <w:sz w:val="22"/>
          <w:szCs w:val="22"/>
          <w:lang w:val="en-AU"/>
        </w:rPr>
        <w:t xml:space="preserve">help </w:t>
      </w:r>
      <w:r w:rsidRPr="009C2E29">
        <w:rPr>
          <w:sz w:val="22"/>
          <w:szCs w:val="22"/>
          <w:lang w:val="en-AU"/>
        </w:rPr>
        <w:t xml:space="preserve">and </w:t>
      </w:r>
      <w:r w:rsidR="00897037" w:rsidRPr="009C2E29">
        <w:rPr>
          <w:sz w:val="22"/>
          <w:szCs w:val="22"/>
          <w:lang w:val="en-AU"/>
        </w:rPr>
        <w:t xml:space="preserve">provide </w:t>
      </w:r>
      <w:r w:rsidRPr="009C2E29">
        <w:rPr>
          <w:sz w:val="22"/>
          <w:szCs w:val="22"/>
          <w:lang w:val="en-AU"/>
        </w:rPr>
        <w:t>g</w:t>
      </w:r>
      <w:r w:rsidR="00897037" w:rsidRPr="009C2E29">
        <w:rPr>
          <w:sz w:val="22"/>
          <w:szCs w:val="22"/>
          <w:lang w:val="en-AU"/>
        </w:rPr>
        <w:t>uidance</w:t>
      </w:r>
      <w:r w:rsidRPr="009C2E29">
        <w:rPr>
          <w:sz w:val="22"/>
          <w:szCs w:val="22"/>
          <w:lang w:val="en-AU"/>
        </w:rPr>
        <w:t>.</w:t>
      </w:r>
    </w:p>
    <w:p w14:paraId="0E0361D3" w14:textId="38766DD6" w:rsidR="00562D44" w:rsidRPr="009C2E29" w:rsidRDefault="00562D44" w:rsidP="00562D44">
      <w:pPr>
        <w:pStyle w:val="Body"/>
        <w:spacing w:before="0" w:line="240" w:lineRule="auto"/>
        <w:rPr>
          <w:b/>
          <w:bCs/>
          <w:sz w:val="22"/>
          <w:szCs w:val="22"/>
          <w:lang w:val="en-AU"/>
        </w:rPr>
      </w:pPr>
      <w:r w:rsidRPr="009C2E29">
        <w:rPr>
          <w:b/>
          <w:bCs/>
          <w:sz w:val="22"/>
          <w:szCs w:val="22"/>
          <w:lang w:val="en-AU"/>
        </w:rPr>
        <w:t xml:space="preserve">Resources and guidance to </w:t>
      </w:r>
      <w:proofErr w:type="gramStart"/>
      <w:r w:rsidRPr="009C2E29">
        <w:rPr>
          <w:b/>
          <w:bCs/>
          <w:sz w:val="22"/>
          <w:szCs w:val="22"/>
          <w:lang w:val="en-AU"/>
        </w:rPr>
        <w:t>help</w:t>
      </w:r>
      <w:proofErr w:type="gramEnd"/>
    </w:p>
    <w:p w14:paraId="32607E37" w14:textId="4645AFC3" w:rsidR="00562D44" w:rsidRPr="009C2E29" w:rsidRDefault="00562D44" w:rsidP="00562D44">
      <w:pPr>
        <w:pStyle w:val="Body"/>
        <w:numPr>
          <w:ilvl w:val="0"/>
          <w:numId w:val="36"/>
        </w:numPr>
        <w:spacing w:before="0" w:line="240" w:lineRule="auto"/>
        <w:rPr>
          <w:sz w:val="22"/>
          <w:szCs w:val="22"/>
          <w:lang w:val="en-AU"/>
        </w:rPr>
      </w:pPr>
      <w:r w:rsidRPr="009C2E29">
        <w:rPr>
          <w:sz w:val="22"/>
          <w:szCs w:val="22"/>
          <w:lang w:val="en-AU"/>
        </w:rPr>
        <w:t xml:space="preserve">And finally, I will quickly touch on some </w:t>
      </w:r>
      <w:r w:rsidR="00897037" w:rsidRPr="009C2E29">
        <w:rPr>
          <w:sz w:val="22"/>
          <w:szCs w:val="22"/>
          <w:lang w:val="en-AU"/>
        </w:rPr>
        <w:t xml:space="preserve">further </w:t>
      </w:r>
      <w:r w:rsidRPr="009C2E29">
        <w:rPr>
          <w:sz w:val="22"/>
          <w:szCs w:val="22"/>
          <w:lang w:val="en-AU"/>
        </w:rPr>
        <w:t>resources and guidance that may be useful to you and your staff</w:t>
      </w:r>
      <w:r w:rsidR="00897037" w:rsidRPr="009C2E29">
        <w:rPr>
          <w:sz w:val="22"/>
          <w:szCs w:val="22"/>
          <w:lang w:val="en-AU"/>
        </w:rPr>
        <w:t xml:space="preserve"> that I haven’t mentioned yet.</w:t>
      </w:r>
      <w:r w:rsidRPr="009C2E29">
        <w:rPr>
          <w:sz w:val="22"/>
          <w:szCs w:val="22"/>
          <w:lang w:val="en-AU"/>
        </w:rPr>
        <w:t xml:space="preserve"> </w:t>
      </w:r>
    </w:p>
    <w:p w14:paraId="5D4856B4" w14:textId="646C0242" w:rsidR="00897037" w:rsidRPr="009C2E29" w:rsidRDefault="00897037" w:rsidP="00897037">
      <w:pPr>
        <w:pStyle w:val="Body"/>
        <w:numPr>
          <w:ilvl w:val="1"/>
          <w:numId w:val="24"/>
        </w:numPr>
        <w:rPr>
          <w:b/>
          <w:bCs/>
          <w:sz w:val="22"/>
          <w:szCs w:val="22"/>
          <w:lang w:val="en-AU"/>
        </w:rPr>
      </w:pPr>
      <w:r w:rsidRPr="009C2E29">
        <w:rPr>
          <w:sz w:val="22"/>
          <w:szCs w:val="22"/>
          <w:lang w:val="en-AU"/>
        </w:rPr>
        <w:t xml:space="preserve">My office has </w:t>
      </w:r>
      <w:hyperlink r:id="rId15" w:history="1">
        <w:r w:rsidRPr="009C2E29">
          <w:rPr>
            <w:rStyle w:val="Hyperlink"/>
            <w:sz w:val="22"/>
            <w:szCs w:val="22"/>
            <w:lang w:val="en-AU"/>
          </w:rPr>
          <w:t>published a report</w:t>
        </w:r>
      </w:hyperlink>
      <w:r w:rsidRPr="009C2E29">
        <w:rPr>
          <w:sz w:val="22"/>
          <w:szCs w:val="22"/>
          <w:lang w:val="en-AU"/>
        </w:rPr>
        <w:t xml:space="preserve"> on proactive and informal release which was prepared by an external consultant, and looks at behavioural change, to enable more efficient FOI administration through proactive and informal release. We also published a paper summarising key findings from the report and the actions we are undertaking in the immediate and long-term future, to encourage proactive and informal release. </w:t>
      </w:r>
    </w:p>
    <w:p w14:paraId="6EBBB9E1" w14:textId="77777777" w:rsidR="00C82504" w:rsidRPr="00C82504" w:rsidRDefault="00897037" w:rsidP="00C82504">
      <w:pPr>
        <w:pStyle w:val="Body"/>
        <w:numPr>
          <w:ilvl w:val="0"/>
          <w:numId w:val="24"/>
        </w:numPr>
        <w:spacing w:before="0" w:line="240" w:lineRule="auto"/>
        <w:rPr>
          <w:sz w:val="22"/>
          <w:szCs w:val="22"/>
          <w:lang w:val="en-AU"/>
        </w:rPr>
      </w:pPr>
      <w:r w:rsidRPr="009C2E29">
        <w:rPr>
          <w:color w:val="auto"/>
          <w:sz w:val="22"/>
          <w:szCs w:val="22"/>
          <w:lang w:val="en-AU"/>
        </w:rPr>
        <w:t xml:space="preserve">And just last week, as part of International Access to Information Day, OVIC’s Public Access Team presented an overview of our FOI review and complaint functions, informal resolution processes, and the use of preliminary views. </w:t>
      </w:r>
      <w:hyperlink r:id="rId16" w:history="1">
        <w:r w:rsidRPr="009C2E29">
          <w:rPr>
            <w:rStyle w:val="Hyperlink"/>
            <w:sz w:val="22"/>
            <w:szCs w:val="22"/>
            <w:lang w:val="en-AU"/>
          </w:rPr>
          <w:t>A video of that session is available on our website</w:t>
        </w:r>
      </w:hyperlink>
      <w:r w:rsidRPr="009C2E29">
        <w:rPr>
          <w:color w:val="auto"/>
          <w:sz w:val="22"/>
          <w:szCs w:val="22"/>
          <w:lang w:val="en-AU"/>
        </w:rPr>
        <w:t xml:space="preserve">. </w:t>
      </w:r>
    </w:p>
    <w:p w14:paraId="5F4DC5B2" w14:textId="4EF3817F" w:rsidR="00C82504" w:rsidRPr="009C2E29" w:rsidRDefault="00C82504" w:rsidP="00C82504">
      <w:pPr>
        <w:pStyle w:val="Body"/>
        <w:numPr>
          <w:ilvl w:val="0"/>
          <w:numId w:val="24"/>
        </w:numPr>
        <w:spacing w:before="0" w:line="240" w:lineRule="auto"/>
        <w:rPr>
          <w:sz w:val="22"/>
          <w:szCs w:val="22"/>
          <w:lang w:val="en-AU"/>
        </w:rPr>
      </w:pPr>
      <w:r>
        <w:rPr>
          <w:sz w:val="22"/>
          <w:szCs w:val="22"/>
          <w:lang w:val="en-AU"/>
        </w:rPr>
        <w:t>Thank you.</w:t>
      </w:r>
    </w:p>
    <w:sectPr w:rsidR="00C82504" w:rsidRPr="009C2E29" w:rsidSect="005754AC">
      <w:footerReference w:type="default" r:id="rId17"/>
      <w:headerReference w:type="first" r:id="rId18"/>
      <w:footerReference w:type="first" r:id="rId19"/>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E905" w14:textId="77777777" w:rsidR="00956700" w:rsidRDefault="00956700" w:rsidP="00B53C78">
      <w:r>
        <w:separator/>
      </w:r>
    </w:p>
  </w:endnote>
  <w:endnote w:type="continuationSeparator" w:id="0">
    <w:p w14:paraId="6374D46C" w14:textId="77777777" w:rsidR="00956700" w:rsidRDefault="00956700"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MinionPro-Regular">
    <w:altName w:val="Calibri"/>
    <w:charset w:val="00"/>
    <w:family w:val="auto"/>
    <w:pitch w:val="variable"/>
    <w:sig w:usb0="00000001" w:usb1="00000001" w:usb2="00000000" w:usb3="00000000" w:csb0="0000019F"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928"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94A3"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C222" w14:textId="77777777" w:rsidR="00956700" w:rsidRPr="002330E8" w:rsidRDefault="00956700">
      <w:pPr>
        <w:rPr>
          <w:color w:val="55565A"/>
          <w:sz w:val="22"/>
          <w:szCs w:val="22"/>
        </w:rPr>
      </w:pPr>
      <w:r w:rsidRPr="002330E8">
        <w:rPr>
          <w:color w:val="55565A"/>
          <w:sz w:val="22"/>
          <w:szCs w:val="22"/>
        </w:rPr>
        <w:separator/>
      </w:r>
    </w:p>
  </w:footnote>
  <w:footnote w:type="continuationSeparator" w:id="0">
    <w:p w14:paraId="502F4A84" w14:textId="77777777" w:rsidR="00956700" w:rsidRDefault="00956700" w:rsidP="00B53C78">
      <w:r>
        <w:continuationSeparator/>
      </w:r>
    </w:p>
  </w:footnote>
  <w:footnote w:type="continuationNotice" w:id="1">
    <w:p w14:paraId="63B468A6" w14:textId="77777777" w:rsidR="00956700" w:rsidRDefault="00956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0F4" w14:textId="3E88BBA6"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6704" behindDoc="1" locked="0" layoutInCell="1" allowOverlap="1" wp14:anchorId="43C19A49" wp14:editId="7548C74C">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F14C8" w14:textId="7C63B960" w:rsidR="005754AC" w:rsidRPr="00E54A51" w:rsidRDefault="009A470D"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Pr>
        <w:rFonts w:asciiTheme="minorHAnsi" w:hAnsiTheme="minorHAnsi" w:cstheme="minorHAnsi"/>
        <w:color w:val="000000" w:themeColor="text1"/>
        <w:sz w:val="16"/>
        <w:szCs w:val="16"/>
        <w:lang w:val="en-AU"/>
      </w:rPr>
      <w:t>D21/16892</w:t>
    </w:r>
  </w:p>
  <w:p w14:paraId="355D04F7"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4C943612"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57728" behindDoc="0" locked="0" layoutInCell="1" allowOverlap="1" wp14:anchorId="04129437" wp14:editId="57CCC125">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35037"/>
    <w:multiLevelType w:val="hybridMultilevel"/>
    <w:tmpl w:val="254657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7C7B85"/>
    <w:multiLevelType w:val="hybridMultilevel"/>
    <w:tmpl w:val="FD72BCF4"/>
    <w:lvl w:ilvl="0" w:tplc="8244E0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12C0D"/>
    <w:multiLevelType w:val="hybridMultilevel"/>
    <w:tmpl w:val="3DECF3AC"/>
    <w:lvl w:ilvl="0" w:tplc="8244E0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732DD"/>
    <w:multiLevelType w:val="multilevel"/>
    <w:tmpl w:val="9B36D732"/>
    <w:lvl w:ilvl="0">
      <w:start w:val="1"/>
      <w:numFmt w:val="decimal"/>
      <w:lvlText w:val="%1."/>
      <w:lvlJc w:val="left"/>
      <w:pPr>
        <w:ind w:left="360" w:hanging="360"/>
      </w:pPr>
      <w:rPr>
        <w:rFonts w:hint="default"/>
      </w:rPr>
    </w:lvl>
    <w:lvl w:ilvl="1">
      <w:start w:val="1"/>
      <w:numFmt w:val="decimal"/>
      <w:isLgl/>
      <w:lvlText w:val="%1.%2"/>
      <w:lvlJc w:val="left"/>
      <w:pPr>
        <w:ind w:left="397" w:hanging="36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831"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65" w:hanging="108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1699" w:hanging="1440"/>
      </w:pPr>
      <w:rPr>
        <w:rFonts w:hint="default"/>
      </w:rPr>
    </w:lvl>
    <w:lvl w:ilvl="8">
      <w:start w:val="1"/>
      <w:numFmt w:val="decimal"/>
      <w:isLgl/>
      <w:lvlText w:val="%1.%2.%3.%4.%5.%6.%7.%8.%9"/>
      <w:lvlJc w:val="left"/>
      <w:pPr>
        <w:ind w:left="1736" w:hanging="1440"/>
      </w:pPr>
      <w:rPr>
        <w:rFonts w:hint="default"/>
      </w:rPr>
    </w:lvl>
  </w:abstractNum>
  <w:abstractNum w:abstractNumId="7" w15:restartNumberingAfterBreak="0">
    <w:nsid w:val="118A7C10"/>
    <w:multiLevelType w:val="hybridMultilevel"/>
    <w:tmpl w:val="97A8B3A8"/>
    <w:lvl w:ilvl="0" w:tplc="8244E0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D46CF"/>
    <w:multiLevelType w:val="hybridMultilevel"/>
    <w:tmpl w:val="86EC874A"/>
    <w:lvl w:ilvl="0" w:tplc="818EB6C0">
      <w:numFmt w:val="bullet"/>
      <w:lvlText w:val="-"/>
      <w:lvlJc w:val="left"/>
      <w:pPr>
        <w:ind w:left="720" w:hanging="360"/>
      </w:pPr>
      <w:rPr>
        <w:rFonts w:ascii="Calibri" w:eastAsia="Calibri" w:hAnsi="Calibri" w:cs="PostGrotesk-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F70FB"/>
    <w:multiLevelType w:val="hybridMultilevel"/>
    <w:tmpl w:val="913E9386"/>
    <w:lvl w:ilvl="0" w:tplc="2A3EFBD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BC6E37"/>
    <w:multiLevelType w:val="hybridMultilevel"/>
    <w:tmpl w:val="DEBEA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7721F"/>
    <w:multiLevelType w:val="hybridMultilevel"/>
    <w:tmpl w:val="B52E4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691ADA"/>
    <w:multiLevelType w:val="hybridMultilevel"/>
    <w:tmpl w:val="4A701434"/>
    <w:lvl w:ilvl="0" w:tplc="8244E0C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DD1786"/>
    <w:multiLevelType w:val="hybridMultilevel"/>
    <w:tmpl w:val="C90A0EC0"/>
    <w:lvl w:ilvl="0" w:tplc="8244E0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55666"/>
    <w:multiLevelType w:val="hybridMultilevel"/>
    <w:tmpl w:val="A75AB862"/>
    <w:lvl w:ilvl="0" w:tplc="8244E0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11CB6"/>
    <w:multiLevelType w:val="hybridMultilevel"/>
    <w:tmpl w:val="6D3C254A"/>
    <w:lvl w:ilvl="0" w:tplc="818EB6C0">
      <w:numFmt w:val="bullet"/>
      <w:lvlText w:val="-"/>
      <w:lvlJc w:val="left"/>
      <w:pPr>
        <w:ind w:left="720" w:hanging="360"/>
      </w:pPr>
      <w:rPr>
        <w:rFonts w:ascii="Calibri" w:eastAsia="Calibri" w:hAnsi="Calibri" w:cs="PostGrotesk-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70AEC"/>
    <w:multiLevelType w:val="hybridMultilevel"/>
    <w:tmpl w:val="80FE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C300B"/>
    <w:multiLevelType w:val="hybridMultilevel"/>
    <w:tmpl w:val="81E219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6212A9"/>
    <w:multiLevelType w:val="hybridMultilevel"/>
    <w:tmpl w:val="1D5CBDB4"/>
    <w:lvl w:ilvl="0" w:tplc="FE4E7CFA">
      <w:numFmt w:val="bullet"/>
      <w:lvlText w:val="-"/>
      <w:lvlJc w:val="left"/>
      <w:pPr>
        <w:ind w:left="720" w:hanging="360"/>
      </w:pPr>
      <w:rPr>
        <w:rFonts w:ascii="Calibri" w:eastAsia="Calibri" w:hAnsi="Calibri" w:cs="PostGrotesk-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A4D56"/>
    <w:multiLevelType w:val="hybridMultilevel"/>
    <w:tmpl w:val="407C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866537">
    <w:abstractNumId w:val="17"/>
  </w:num>
  <w:num w:numId="2" w16cid:durableId="1124732428">
    <w:abstractNumId w:val="19"/>
  </w:num>
  <w:num w:numId="3" w16cid:durableId="1521045904">
    <w:abstractNumId w:val="12"/>
  </w:num>
  <w:num w:numId="4" w16cid:durableId="66459599">
    <w:abstractNumId w:val="34"/>
  </w:num>
  <w:num w:numId="5" w16cid:durableId="1894385337">
    <w:abstractNumId w:val="26"/>
  </w:num>
  <w:num w:numId="6" w16cid:durableId="1625498049">
    <w:abstractNumId w:val="32"/>
  </w:num>
  <w:num w:numId="7" w16cid:durableId="1805804915">
    <w:abstractNumId w:val="10"/>
  </w:num>
  <w:num w:numId="8" w16cid:durableId="507863936">
    <w:abstractNumId w:val="16"/>
  </w:num>
  <w:num w:numId="9" w16cid:durableId="1342514716">
    <w:abstractNumId w:val="0"/>
  </w:num>
  <w:num w:numId="10" w16cid:durableId="980497963">
    <w:abstractNumId w:val="9"/>
  </w:num>
  <w:num w:numId="11" w16cid:durableId="74521195">
    <w:abstractNumId w:val="31"/>
  </w:num>
  <w:num w:numId="12" w16cid:durableId="785930683">
    <w:abstractNumId w:val="8"/>
  </w:num>
  <w:num w:numId="13" w16cid:durableId="121509154">
    <w:abstractNumId w:val="21"/>
  </w:num>
  <w:num w:numId="14" w16cid:durableId="995189513">
    <w:abstractNumId w:val="1"/>
  </w:num>
  <w:num w:numId="15" w16cid:durableId="865363596">
    <w:abstractNumId w:val="29"/>
  </w:num>
  <w:num w:numId="16" w16cid:durableId="1685552801">
    <w:abstractNumId w:val="20"/>
  </w:num>
  <w:num w:numId="17" w16cid:durableId="2123452343">
    <w:abstractNumId w:val="15"/>
  </w:num>
  <w:num w:numId="18" w16cid:durableId="55785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5889520">
    <w:abstractNumId w:val="2"/>
  </w:num>
  <w:num w:numId="20" w16cid:durableId="1774546354">
    <w:abstractNumId w:val="6"/>
  </w:num>
  <w:num w:numId="21" w16cid:durableId="1889874260">
    <w:abstractNumId w:val="30"/>
  </w:num>
  <w:num w:numId="22" w16cid:durableId="1109544991">
    <w:abstractNumId w:val="11"/>
  </w:num>
  <w:num w:numId="23" w16cid:durableId="1587768682">
    <w:abstractNumId w:val="25"/>
  </w:num>
  <w:num w:numId="24" w16cid:durableId="787505462">
    <w:abstractNumId w:val="22"/>
  </w:num>
  <w:num w:numId="25" w16cid:durableId="499195738">
    <w:abstractNumId w:val="18"/>
  </w:num>
  <w:num w:numId="26" w16cid:durableId="1686901932">
    <w:abstractNumId w:val="13"/>
  </w:num>
  <w:num w:numId="27" w16cid:durableId="473062712">
    <w:abstractNumId w:val="18"/>
  </w:num>
  <w:num w:numId="28" w16cid:durableId="1512376705">
    <w:abstractNumId w:val="5"/>
  </w:num>
  <w:num w:numId="29" w16cid:durableId="1579247403">
    <w:abstractNumId w:val="4"/>
  </w:num>
  <w:num w:numId="30" w16cid:durableId="1892880284">
    <w:abstractNumId w:val="33"/>
  </w:num>
  <w:num w:numId="31" w16cid:durableId="518661728">
    <w:abstractNumId w:val="23"/>
  </w:num>
  <w:num w:numId="32" w16cid:durableId="1498224308">
    <w:abstractNumId w:val="24"/>
  </w:num>
  <w:num w:numId="33" w16cid:durableId="81225177">
    <w:abstractNumId w:val="7"/>
  </w:num>
  <w:num w:numId="34" w16cid:durableId="258607406">
    <w:abstractNumId w:val="14"/>
  </w:num>
  <w:num w:numId="35" w16cid:durableId="642738892">
    <w:abstractNumId w:val="27"/>
  </w:num>
  <w:num w:numId="36" w16cid:durableId="471412348">
    <w:abstractNumId w:val="28"/>
  </w:num>
  <w:num w:numId="37" w16cid:durableId="1147208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54"/>
    <w:rsid w:val="00001D44"/>
    <w:rsid w:val="00044728"/>
    <w:rsid w:val="00064688"/>
    <w:rsid w:val="00065594"/>
    <w:rsid w:val="00077961"/>
    <w:rsid w:val="00091CB4"/>
    <w:rsid w:val="000B7A54"/>
    <w:rsid w:val="000C09CC"/>
    <w:rsid w:val="000D13D2"/>
    <w:rsid w:val="000D2547"/>
    <w:rsid w:val="000E4EA8"/>
    <w:rsid w:val="000E6D30"/>
    <w:rsid w:val="000E7FAE"/>
    <w:rsid w:val="000F3A12"/>
    <w:rsid w:val="000F6ECC"/>
    <w:rsid w:val="00112666"/>
    <w:rsid w:val="001159CB"/>
    <w:rsid w:val="0012374C"/>
    <w:rsid w:val="001262E0"/>
    <w:rsid w:val="00145431"/>
    <w:rsid w:val="00146F50"/>
    <w:rsid w:val="00147A58"/>
    <w:rsid w:val="0016307D"/>
    <w:rsid w:val="00164A42"/>
    <w:rsid w:val="00171691"/>
    <w:rsid w:val="001716C9"/>
    <w:rsid w:val="00173F40"/>
    <w:rsid w:val="0017786A"/>
    <w:rsid w:val="0019036B"/>
    <w:rsid w:val="001967FD"/>
    <w:rsid w:val="001C063B"/>
    <w:rsid w:val="001C6E4B"/>
    <w:rsid w:val="00215542"/>
    <w:rsid w:val="002330E8"/>
    <w:rsid w:val="0024071F"/>
    <w:rsid w:val="002448B2"/>
    <w:rsid w:val="0025217E"/>
    <w:rsid w:val="00252833"/>
    <w:rsid w:val="00261684"/>
    <w:rsid w:val="00276E58"/>
    <w:rsid w:val="0028473A"/>
    <w:rsid w:val="00293DDA"/>
    <w:rsid w:val="00297DAA"/>
    <w:rsid w:val="002A48A0"/>
    <w:rsid w:val="002A59BF"/>
    <w:rsid w:val="002B40D5"/>
    <w:rsid w:val="002B614D"/>
    <w:rsid w:val="002C59C1"/>
    <w:rsid w:val="002E2D3E"/>
    <w:rsid w:val="003020DA"/>
    <w:rsid w:val="00305D40"/>
    <w:rsid w:val="00320B70"/>
    <w:rsid w:val="00322784"/>
    <w:rsid w:val="00326E58"/>
    <w:rsid w:val="00330030"/>
    <w:rsid w:val="00336498"/>
    <w:rsid w:val="0034513D"/>
    <w:rsid w:val="0034520D"/>
    <w:rsid w:val="00345731"/>
    <w:rsid w:val="0035211D"/>
    <w:rsid w:val="00370F3D"/>
    <w:rsid w:val="00372C3E"/>
    <w:rsid w:val="00384F15"/>
    <w:rsid w:val="00393A11"/>
    <w:rsid w:val="00395EE0"/>
    <w:rsid w:val="003A0F3A"/>
    <w:rsid w:val="003A543A"/>
    <w:rsid w:val="003A7085"/>
    <w:rsid w:val="003A7B51"/>
    <w:rsid w:val="003B4225"/>
    <w:rsid w:val="003C23F6"/>
    <w:rsid w:val="003C3D50"/>
    <w:rsid w:val="003C6D10"/>
    <w:rsid w:val="003F1F06"/>
    <w:rsid w:val="00400498"/>
    <w:rsid w:val="00406248"/>
    <w:rsid w:val="00407C3F"/>
    <w:rsid w:val="00423B9D"/>
    <w:rsid w:val="00424309"/>
    <w:rsid w:val="004304F4"/>
    <w:rsid w:val="0043156F"/>
    <w:rsid w:val="00434550"/>
    <w:rsid w:val="00436C00"/>
    <w:rsid w:val="004434E1"/>
    <w:rsid w:val="004437D5"/>
    <w:rsid w:val="00453B44"/>
    <w:rsid w:val="004634A1"/>
    <w:rsid w:val="00465B05"/>
    <w:rsid w:val="00470E39"/>
    <w:rsid w:val="0047248D"/>
    <w:rsid w:val="00476315"/>
    <w:rsid w:val="00490A3A"/>
    <w:rsid w:val="004A33DA"/>
    <w:rsid w:val="004A5BEF"/>
    <w:rsid w:val="004D1C82"/>
    <w:rsid w:val="004D4448"/>
    <w:rsid w:val="00502CD1"/>
    <w:rsid w:val="005178FE"/>
    <w:rsid w:val="00532D82"/>
    <w:rsid w:val="00533CAC"/>
    <w:rsid w:val="00542947"/>
    <w:rsid w:val="00546725"/>
    <w:rsid w:val="00555602"/>
    <w:rsid w:val="00560359"/>
    <w:rsid w:val="00562D44"/>
    <w:rsid w:val="005754AC"/>
    <w:rsid w:val="005870C5"/>
    <w:rsid w:val="005A0AFB"/>
    <w:rsid w:val="005A1366"/>
    <w:rsid w:val="005A49D0"/>
    <w:rsid w:val="005B1D42"/>
    <w:rsid w:val="005C7F8F"/>
    <w:rsid w:val="005D01F3"/>
    <w:rsid w:val="005D1E97"/>
    <w:rsid w:val="005D3E8A"/>
    <w:rsid w:val="006120B5"/>
    <w:rsid w:val="006156B5"/>
    <w:rsid w:val="00620FD8"/>
    <w:rsid w:val="00635E9F"/>
    <w:rsid w:val="00651F4A"/>
    <w:rsid w:val="00652D6F"/>
    <w:rsid w:val="00662FFB"/>
    <w:rsid w:val="006661A2"/>
    <w:rsid w:val="006713D1"/>
    <w:rsid w:val="00674485"/>
    <w:rsid w:val="006864C8"/>
    <w:rsid w:val="006876B7"/>
    <w:rsid w:val="00691C01"/>
    <w:rsid w:val="00696EF0"/>
    <w:rsid w:val="006B1C0F"/>
    <w:rsid w:val="006D52F9"/>
    <w:rsid w:val="006F26FE"/>
    <w:rsid w:val="006F384D"/>
    <w:rsid w:val="00706416"/>
    <w:rsid w:val="007131C3"/>
    <w:rsid w:val="007140E5"/>
    <w:rsid w:val="00717657"/>
    <w:rsid w:val="00723ACA"/>
    <w:rsid w:val="00726FA9"/>
    <w:rsid w:val="007411A5"/>
    <w:rsid w:val="00754C78"/>
    <w:rsid w:val="00756BEA"/>
    <w:rsid w:val="00760DDC"/>
    <w:rsid w:val="00765158"/>
    <w:rsid w:val="00766236"/>
    <w:rsid w:val="00776737"/>
    <w:rsid w:val="00780584"/>
    <w:rsid w:val="00782413"/>
    <w:rsid w:val="007862E0"/>
    <w:rsid w:val="00786837"/>
    <w:rsid w:val="007872BF"/>
    <w:rsid w:val="007964E0"/>
    <w:rsid w:val="007973AB"/>
    <w:rsid w:val="007A3FC5"/>
    <w:rsid w:val="007A6964"/>
    <w:rsid w:val="007C3E32"/>
    <w:rsid w:val="00803661"/>
    <w:rsid w:val="008046F8"/>
    <w:rsid w:val="00806B62"/>
    <w:rsid w:val="0081495F"/>
    <w:rsid w:val="00831A54"/>
    <w:rsid w:val="008453C1"/>
    <w:rsid w:val="008525F5"/>
    <w:rsid w:val="00854716"/>
    <w:rsid w:val="00856EDC"/>
    <w:rsid w:val="00863040"/>
    <w:rsid w:val="0086734F"/>
    <w:rsid w:val="00871FC7"/>
    <w:rsid w:val="008721FC"/>
    <w:rsid w:val="00875486"/>
    <w:rsid w:val="0088604A"/>
    <w:rsid w:val="00897037"/>
    <w:rsid w:val="008B4992"/>
    <w:rsid w:val="008B7923"/>
    <w:rsid w:val="008C301D"/>
    <w:rsid w:val="008D21EB"/>
    <w:rsid w:val="008D541C"/>
    <w:rsid w:val="008F0890"/>
    <w:rsid w:val="008F0E54"/>
    <w:rsid w:val="008F101D"/>
    <w:rsid w:val="008F106C"/>
    <w:rsid w:val="0092276F"/>
    <w:rsid w:val="00922C7A"/>
    <w:rsid w:val="00940F43"/>
    <w:rsid w:val="00955CEA"/>
    <w:rsid w:val="00956700"/>
    <w:rsid w:val="00957EB7"/>
    <w:rsid w:val="009772C3"/>
    <w:rsid w:val="00991050"/>
    <w:rsid w:val="009A470D"/>
    <w:rsid w:val="009A7EF3"/>
    <w:rsid w:val="009C2E29"/>
    <w:rsid w:val="00A1175F"/>
    <w:rsid w:val="00A13231"/>
    <w:rsid w:val="00A20D82"/>
    <w:rsid w:val="00A26740"/>
    <w:rsid w:val="00A31747"/>
    <w:rsid w:val="00A33D6F"/>
    <w:rsid w:val="00A37BE1"/>
    <w:rsid w:val="00A92625"/>
    <w:rsid w:val="00AC35A9"/>
    <w:rsid w:val="00AE13A1"/>
    <w:rsid w:val="00AE6646"/>
    <w:rsid w:val="00AF4C31"/>
    <w:rsid w:val="00B04B43"/>
    <w:rsid w:val="00B177DA"/>
    <w:rsid w:val="00B2499E"/>
    <w:rsid w:val="00B304A0"/>
    <w:rsid w:val="00B316BE"/>
    <w:rsid w:val="00B32753"/>
    <w:rsid w:val="00B339BB"/>
    <w:rsid w:val="00B37C5F"/>
    <w:rsid w:val="00B43AB9"/>
    <w:rsid w:val="00B53C78"/>
    <w:rsid w:val="00B61929"/>
    <w:rsid w:val="00B67B02"/>
    <w:rsid w:val="00B96B9C"/>
    <w:rsid w:val="00B9736F"/>
    <w:rsid w:val="00BA770C"/>
    <w:rsid w:val="00BC1972"/>
    <w:rsid w:val="00BD07DC"/>
    <w:rsid w:val="00BD2C4E"/>
    <w:rsid w:val="00BD43FF"/>
    <w:rsid w:val="00BD4E38"/>
    <w:rsid w:val="00BD5AE9"/>
    <w:rsid w:val="00BE3022"/>
    <w:rsid w:val="00C42986"/>
    <w:rsid w:val="00C473B0"/>
    <w:rsid w:val="00C62A45"/>
    <w:rsid w:val="00C63E1C"/>
    <w:rsid w:val="00C82504"/>
    <w:rsid w:val="00C9198C"/>
    <w:rsid w:val="00C922DD"/>
    <w:rsid w:val="00CA0CB2"/>
    <w:rsid w:val="00CB4387"/>
    <w:rsid w:val="00CC3A9E"/>
    <w:rsid w:val="00CD5736"/>
    <w:rsid w:val="00CD6BDB"/>
    <w:rsid w:val="00CE7458"/>
    <w:rsid w:val="00CF4062"/>
    <w:rsid w:val="00D00317"/>
    <w:rsid w:val="00D02655"/>
    <w:rsid w:val="00D0311E"/>
    <w:rsid w:val="00D214C2"/>
    <w:rsid w:val="00D267EC"/>
    <w:rsid w:val="00D3108A"/>
    <w:rsid w:val="00D32D00"/>
    <w:rsid w:val="00D33216"/>
    <w:rsid w:val="00D36212"/>
    <w:rsid w:val="00D723C1"/>
    <w:rsid w:val="00D77B3C"/>
    <w:rsid w:val="00DA234D"/>
    <w:rsid w:val="00DB13A1"/>
    <w:rsid w:val="00DB55DB"/>
    <w:rsid w:val="00DD0EA8"/>
    <w:rsid w:val="00DE73F6"/>
    <w:rsid w:val="00E14667"/>
    <w:rsid w:val="00E221CB"/>
    <w:rsid w:val="00E322E6"/>
    <w:rsid w:val="00E40ACD"/>
    <w:rsid w:val="00E45611"/>
    <w:rsid w:val="00E45B00"/>
    <w:rsid w:val="00E54A51"/>
    <w:rsid w:val="00E55691"/>
    <w:rsid w:val="00E55C61"/>
    <w:rsid w:val="00E606BA"/>
    <w:rsid w:val="00E61811"/>
    <w:rsid w:val="00E66BA5"/>
    <w:rsid w:val="00E709A8"/>
    <w:rsid w:val="00E731D0"/>
    <w:rsid w:val="00E80E70"/>
    <w:rsid w:val="00E86019"/>
    <w:rsid w:val="00E87F33"/>
    <w:rsid w:val="00EA1B53"/>
    <w:rsid w:val="00EB03B3"/>
    <w:rsid w:val="00EB2B9B"/>
    <w:rsid w:val="00EB7F2D"/>
    <w:rsid w:val="00EC27A3"/>
    <w:rsid w:val="00EF06C1"/>
    <w:rsid w:val="00EF553E"/>
    <w:rsid w:val="00EF5986"/>
    <w:rsid w:val="00EF65B2"/>
    <w:rsid w:val="00EF7213"/>
    <w:rsid w:val="00F12A32"/>
    <w:rsid w:val="00F17578"/>
    <w:rsid w:val="00F3674C"/>
    <w:rsid w:val="00F36C34"/>
    <w:rsid w:val="00F4013D"/>
    <w:rsid w:val="00F402B9"/>
    <w:rsid w:val="00F5377F"/>
    <w:rsid w:val="00F6626A"/>
    <w:rsid w:val="00F66C60"/>
    <w:rsid w:val="00F83814"/>
    <w:rsid w:val="00F87792"/>
    <w:rsid w:val="00F923FB"/>
    <w:rsid w:val="00FA1F8E"/>
    <w:rsid w:val="00FB0370"/>
    <w:rsid w:val="00FC101E"/>
    <w:rsid w:val="00FE5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ED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4A5BEF"/>
    <w:pPr>
      <w:widowControl w:val="0"/>
      <w:suppressAutoHyphens/>
      <w:autoSpaceDE w:val="0"/>
      <w:autoSpaceDN w:val="0"/>
      <w:adjustRightInd w:val="0"/>
      <w:spacing w:before="120" w:after="240" w:line="276" w:lineRule="auto"/>
      <w:textAlignment w:val="center"/>
    </w:pPr>
    <w:rPr>
      <w:rFonts w:cs="PostGrotesk-Book"/>
      <w:color w:val="000000" w:themeColor="text1"/>
      <w:sz w:val="28"/>
      <w:szCs w:val="26"/>
    </w:rPr>
  </w:style>
  <w:style w:type="paragraph" w:customStyle="1" w:styleId="Heading-1">
    <w:name w:val="Heading-1"/>
    <w:basedOn w:val="BasicParagraph"/>
    <w:autoRedefine/>
    <w:qFormat/>
    <w:rsid w:val="004A5BEF"/>
    <w:pPr>
      <w:suppressAutoHyphens/>
      <w:spacing w:before="120" w:after="200" w:line="264" w:lineRule="auto"/>
    </w:pPr>
    <w:rPr>
      <w:rFonts w:ascii="Calibri" w:hAnsi="Calibri" w:cs="PostGrotesk-Medium"/>
      <w:b/>
      <w:color w:val="430098"/>
      <w:sz w:val="32"/>
      <w:szCs w:val="28"/>
      <w:lang w:val="en-AU"/>
    </w:rPr>
  </w:style>
  <w:style w:type="paragraph" w:customStyle="1" w:styleId="Heading-2">
    <w:name w:val="Heading-2"/>
    <w:basedOn w:val="Heading-3"/>
    <w:qFormat/>
    <w:rsid w:val="004A5BEF"/>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rsid w:val="00533CAC"/>
    <w:rPr>
      <w:b/>
      <w:bCs/>
    </w:rPr>
  </w:style>
  <w:style w:type="paragraph" w:customStyle="1" w:styleId="SectionHeading1">
    <w:name w:val="Section Heading 1"/>
    <w:basedOn w:val="BasicParagraph"/>
    <w:qFormat/>
    <w:rsid w:val="004304F4"/>
    <w:pPr>
      <w:suppressAutoHyphens/>
      <w:spacing w:after="120"/>
    </w:pPr>
    <w:rPr>
      <w:rFonts w:ascii="Calibri" w:hAnsi="Calibri" w:cs="PostGrotesk-Medium"/>
      <w:color w:val="430098"/>
      <w:sz w:val="28"/>
      <w:szCs w:val="28"/>
    </w:rPr>
  </w:style>
  <w:style w:type="table" w:styleId="TableGrid">
    <w:name w:val="Table Grid"/>
    <w:basedOn w:val="TableNormal"/>
    <w:uiPriority w:val="59"/>
    <w:rsid w:val="004304F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304F4"/>
    <w:pPr>
      <w:ind w:left="720"/>
      <w:contextualSpacing/>
    </w:pPr>
  </w:style>
  <w:style w:type="character" w:styleId="UnresolvedMention">
    <w:name w:val="Unresolved Mention"/>
    <w:basedOn w:val="DefaultParagraphFont"/>
    <w:uiPriority w:val="99"/>
    <w:semiHidden/>
    <w:unhideWhenUsed/>
    <w:rsid w:val="008D21EB"/>
    <w:rPr>
      <w:color w:val="605E5C"/>
      <w:shd w:val="clear" w:color="auto" w:fill="E1DFDD"/>
    </w:rPr>
  </w:style>
  <w:style w:type="character" w:styleId="FollowedHyperlink">
    <w:name w:val="FollowedHyperlink"/>
    <w:basedOn w:val="DefaultParagraphFont"/>
    <w:uiPriority w:val="99"/>
    <w:semiHidden/>
    <w:unhideWhenUsed/>
    <w:rsid w:val="008D2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87">
      <w:bodyDiv w:val="1"/>
      <w:marLeft w:val="0"/>
      <w:marRight w:val="0"/>
      <w:marTop w:val="0"/>
      <w:marBottom w:val="0"/>
      <w:divBdr>
        <w:top w:val="none" w:sz="0" w:space="0" w:color="auto"/>
        <w:left w:val="none" w:sz="0" w:space="0" w:color="auto"/>
        <w:bottom w:val="none" w:sz="0" w:space="0" w:color="auto"/>
        <w:right w:val="none" w:sz="0" w:space="0" w:color="auto"/>
      </w:divBdr>
    </w:div>
    <w:div w:id="814496194">
      <w:bodyDiv w:val="1"/>
      <w:marLeft w:val="0"/>
      <w:marRight w:val="0"/>
      <w:marTop w:val="0"/>
      <w:marBottom w:val="0"/>
      <w:divBdr>
        <w:top w:val="none" w:sz="0" w:space="0" w:color="auto"/>
        <w:left w:val="none" w:sz="0" w:space="0" w:color="auto"/>
        <w:bottom w:val="none" w:sz="0" w:space="0" w:color="auto"/>
        <w:right w:val="none" w:sz="0" w:space="0" w:color="auto"/>
      </w:divBdr>
    </w:div>
    <w:div w:id="1295908937">
      <w:bodyDiv w:val="1"/>
      <w:marLeft w:val="0"/>
      <w:marRight w:val="0"/>
      <w:marTop w:val="0"/>
      <w:marBottom w:val="0"/>
      <w:divBdr>
        <w:top w:val="none" w:sz="0" w:space="0" w:color="auto"/>
        <w:left w:val="none" w:sz="0" w:space="0" w:color="auto"/>
        <w:bottom w:val="none" w:sz="0" w:space="0" w:color="auto"/>
        <w:right w:val="none" w:sz="0" w:space="0" w:color="auto"/>
      </w:divBdr>
    </w:div>
    <w:div w:id="2088306829">
      <w:bodyDiv w:val="1"/>
      <w:marLeft w:val="0"/>
      <w:marRight w:val="0"/>
      <w:marTop w:val="0"/>
      <w:marBottom w:val="0"/>
      <w:divBdr>
        <w:top w:val="none" w:sz="0" w:space="0" w:color="auto"/>
        <w:left w:val="none" w:sz="0" w:space="0" w:color="auto"/>
        <w:bottom w:val="none" w:sz="0" w:space="0" w:color="auto"/>
        <w:right w:val="none" w:sz="0" w:space="0" w:color="auto"/>
      </w:divBdr>
    </w:div>
    <w:div w:id="2123838885">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decision/bd2-and-bairnsdale-regional-health-service-freedom-of-information-2020-vicmr-35-21-february-2020/" TargetMode="External"/><Relationship Id="rId13" Type="http://schemas.openxmlformats.org/officeDocument/2006/relationships/hyperlink" Target="https://ovic.vic.gov.au/freedom-of-information/practice-notes/proactive-release-of-inform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vic.vic.gov.au/freedom-of-information/practice-notes/informal-release-of-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meo.com/7541725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freedom-of-information/resources-for-agencies/practice-notes/framework-for-releasing-council-information-proactively-and-informally-under-the-local-government-act-2020-vic-and-the-freedom-of-information-act-1982-vic/" TargetMode="External"/><Relationship Id="rId5" Type="http://schemas.openxmlformats.org/officeDocument/2006/relationships/webSettings" Target="webSettings.xml"/><Relationship Id="rId15" Type="http://schemas.openxmlformats.org/officeDocument/2006/relationships/hyperlink" Target="https://ovic.vic.gov.au/about-us/documents-and-publications-we-produce/research-and-reports/" TargetMode="External"/><Relationship Id="rId10" Type="http://schemas.openxmlformats.org/officeDocument/2006/relationships/hyperlink" Target="https://vpsc.vic.gov.au/data-and-research/people-matter-survey-data-2021/results-by-public-sector-organis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vic.vic.gov.au/decision/es6-and-gordon-institute-of-tafe-freedom-of-information-2022-vicmr-197-12-august-2022/" TargetMode="External"/><Relationship Id="rId14" Type="http://schemas.openxmlformats.org/officeDocument/2006/relationships/hyperlink" Target="https://ovic.vic.gov.au/freedom-of-information/resources-for-agencies/practice-notes/foi-and-section-125-of-the-local-government-act-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2022-10-03T05:34:00Z</dcterms:created>
  <dcterms:modified xsi:type="dcterms:W3CDTF">2023-06-20T01:47:00Z</dcterms:modified>
</cp:coreProperties>
</file>