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72343476"/>
        <w:lock w:val="sdtLocked"/>
        <w:placeholder>
          <w:docPart w:val="99B88828EC3C4FDC90344C808FA3F4CC"/>
        </w:placeholder>
        <w:showingPlcHdr/>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EndPr/>
      <w:sdtContent>
        <w:p w14:paraId="75D6534F" w14:textId="77777777" w:rsidR="003D0865" w:rsidRDefault="00792868" w:rsidP="007C2EB8">
          <w:pPr>
            <w:pStyle w:val="ProtectiveMarking"/>
            <w:framePr w:wrap="around"/>
          </w:pPr>
          <w:r>
            <w:t xml:space="preserve">      </w:t>
          </w:r>
        </w:p>
      </w:sdtContent>
    </w:sdt>
    <w:p w14:paraId="4C4E894A" w14:textId="77777777" w:rsidR="00E75FCA" w:rsidRPr="00E75FCA" w:rsidRDefault="00E75FCA" w:rsidP="00E75FCA">
      <w:pPr>
        <w:pStyle w:val="Toggle"/>
        <w:rPr>
          <w:b w:val="0"/>
          <w:bCs/>
        </w:rPr>
      </w:pPr>
    </w:p>
    <w:p w14:paraId="7BF5CB39" w14:textId="3FACDFC7" w:rsidR="00A53F38" w:rsidRDefault="00A53F38" w:rsidP="00A53F38">
      <w:pPr>
        <w:pStyle w:val="Agencyinformation"/>
      </w:pPr>
      <w:r>
        <w:t xml:space="preserve">Information for </w:t>
      </w:r>
      <w:sdt>
        <w:sdtPr>
          <w:id w:val="-1971114257"/>
          <w:placeholder>
            <w:docPart w:val="3F655736DC7A407081DE594DAB9BAB3B"/>
          </w:placeholder>
          <w:comboBox>
            <w:listItem w:displayText="agencies" w:value="agencies"/>
            <w:listItem w:displayText="the public" w:value="the public"/>
          </w:comboBox>
        </w:sdtPr>
        <w:sdtEndPr/>
        <w:sdtContent>
          <w:r w:rsidR="00E803E9">
            <w:t>agencies</w:t>
          </w:r>
        </w:sdtContent>
      </w:sdt>
      <w:r>
        <w:t xml:space="preserve"> </w:t>
      </w:r>
    </w:p>
    <w:p w14:paraId="1F8246C4" w14:textId="04528243" w:rsidR="00EA3594" w:rsidRPr="00281560" w:rsidRDefault="00E803E9" w:rsidP="00EA3594">
      <w:pPr>
        <w:pStyle w:val="Title"/>
      </w:pPr>
      <w:r>
        <w:t>Incident Insights Report</w:t>
      </w:r>
    </w:p>
    <w:p w14:paraId="63E186D2" w14:textId="2D4F219F" w:rsidR="00EA3594" w:rsidRDefault="00E803E9" w:rsidP="009A49D1">
      <w:pPr>
        <w:pStyle w:val="Subtitle"/>
      </w:pPr>
      <w:r>
        <w:t>1 July 2022 – 31 December 2022</w:t>
      </w:r>
    </w:p>
    <w:p w14:paraId="38B097DC" w14:textId="25C5645F" w:rsidR="00E803E9" w:rsidRDefault="00E803E9" w:rsidP="00A01C6A">
      <w:r>
        <w:t>T</w:t>
      </w:r>
      <w:r w:rsidRPr="001D1FE7">
        <w:t>he</w:t>
      </w:r>
      <w:r>
        <w:t xml:space="preserve"> information security</w:t>
      </w:r>
      <w:r w:rsidRPr="001D1FE7">
        <w:t xml:space="preserve"> incident notification scheme</w:t>
      </w:r>
      <w:r>
        <w:t xml:space="preserve"> (</w:t>
      </w:r>
      <w:r w:rsidRPr="00C86B59">
        <w:rPr>
          <w:b/>
          <w:bCs/>
        </w:rPr>
        <w:t>the scheme</w:t>
      </w:r>
      <w:r>
        <w:t>)</w:t>
      </w:r>
      <w:r w:rsidRPr="001D1FE7">
        <w:t xml:space="preserve"> provide</w:t>
      </w:r>
      <w:r>
        <w:t>s</w:t>
      </w:r>
      <w:r w:rsidRPr="001D1FE7">
        <w:t xml:space="preserve"> resources, trends analysis and risk reporting.</w:t>
      </w:r>
    </w:p>
    <w:p w14:paraId="5DFE1A47" w14:textId="56132CF5" w:rsidR="00BF3799" w:rsidRPr="00FB0D65" w:rsidRDefault="00E803E9" w:rsidP="00BF3799">
      <w:pPr>
        <w:pStyle w:val="Heading2"/>
      </w:pPr>
      <w:r>
        <w:t>Overview of this report</w:t>
      </w:r>
    </w:p>
    <w:p w14:paraId="7F712256" w14:textId="77777777" w:rsidR="00E803E9" w:rsidRDefault="00E803E9" w:rsidP="00E803E9">
      <w:r>
        <w:t xml:space="preserve">The Incident Insights Report provides a summary and analysis of the information security incident notifications received by OVIC between </w:t>
      </w:r>
      <w:r w:rsidRPr="00956F61">
        <w:rPr>
          <w:b/>
          <w:bCs/>
        </w:rPr>
        <w:t xml:space="preserve">1 </w:t>
      </w:r>
      <w:r>
        <w:rPr>
          <w:b/>
          <w:bCs/>
        </w:rPr>
        <w:t>July</w:t>
      </w:r>
      <w:r w:rsidRPr="00D015C3">
        <w:rPr>
          <w:b/>
          <w:bCs/>
        </w:rPr>
        <w:t xml:space="preserve"> 20</w:t>
      </w:r>
      <w:r>
        <w:rPr>
          <w:b/>
          <w:bCs/>
        </w:rPr>
        <w:t>22</w:t>
      </w:r>
      <w:r w:rsidRPr="00D015C3">
        <w:rPr>
          <w:b/>
          <w:bCs/>
        </w:rPr>
        <w:t xml:space="preserve"> </w:t>
      </w:r>
      <w:r w:rsidRPr="00C86B59">
        <w:t>to</w:t>
      </w:r>
      <w:r w:rsidRPr="00D015C3">
        <w:rPr>
          <w:b/>
          <w:bCs/>
        </w:rPr>
        <w:t xml:space="preserve"> 3</w:t>
      </w:r>
      <w:r>
        <w:rPr>
          <w:b/>
          <w:bCs/>
        </w:rPr>
        <w:t>1 December</w:t>
      </w:r>
      <w:r w:rsidRPr="00D015C3">
        <w:rPr>
          <w:b/>
          <w:bCs/>
        </w:rPr>
        <w:t xml:space="preserve"> 202</w:t>
      </w:r>
      <w:r>
        <w:rPr>
          <w:b/>
          <w:bCs/>
        </w:rPr>
        <w:t>2</w:t>
      </w:r>
      <w:r>
        <w:t>.</w:t>
      </w:r>
    </w:p>
    <w:p w14:paraId="323F2C36" w14:textId="77777777" w:rsidR="00E803E9" w:rsidRDefault="00E803E9" w:rsidP="00E803E9">
      <w:r>
        <w:t xml:space="preserve">The analysis in this report is based on </w:t>
      </w:r>
      <w:r w:rsidRPr="00020250">
        <w:t>compar</w:t>
      </w:r>
      <w:r>
        <w:t>ing the statistics published in previous</w:t>
      </w:r>
      <w:r w:rsidRPr="00020250">
        <w:t xml:space="preserve"> </w:t>
      </w:r>
      <w:r w:rsidRPr="0014168B">
        <w:rPr>
          <w:u w:color="430098"/>
        </w:rPr>
        <w:t>Incident Insights Report</w:t>
      </w:r>
      <w:r>
        <w:rPr>
          <w:u w:color="430098"/>
        </w:rPr>
        <w:t>s</w:t>
      </w:r>
      <w:r w:rsidRPr="00020250">
        <w:t xml:space="preserve"> with </w:t>
      </w:r>
      <w:r>
        <w:t>the notifications received by our office under the scheme.</w:t>
      </w:r>
      <w:r w:rsidRPr="00020250">
        <w:t xml:space="preserve"> </w:t>
      </w:r>
    </w:p>
    <w:p w14:paraId="3C8FEDE8" w14:textId="00DFD549" w:rsidR="00E803E9" w:rsidRDefault="00E803E9" w:rsidP="00E803E9">
      <w:r>
        <w:t xml:space="preserve">Victoria Police incident statistics are reported on annually, consistent with existing reporting commitments. </w:t>
      </w:r>
      <w:r w:rsidRPr="00DE0C58">
        <w:t xml:space="preserve">For </w:t>
      </w:r>
      <w:r>
        <w:t>its</w:t>
      </w:r>
      <w:r w:rsidRPr="00DE0C58">
        <w:t xml:space="preserve"> latest incident statistics refer to OVIC’s </w:t>
      </w:r>
      <w:hyperlink r:id="rId9" w:history="1">
        <w:r w:rsidRPr="00E803E9">
          <w:rPr>
            <w:rStyle w:val="Hyperlink"/>
            <w:color w:val="430098" w:themeColor="text2"/>
          </w:rPr>
          <w:t>Incident Insights Report for 1 January – 30 June 2022</w:t>
        </w:r>
      </w:hyperlink>
      <w:r>
        <w:t>.</w:t>
      </w:r>
      <w:r w:rsidRPr="00AC495A" w:rsidDel="009C1C13">
        <w:t xml:space="preserve"> </w:t>
      </w:r>
    </w:p>
    <w:p w14:paraId="403D018C" w14:textId="30528EF7" w:rsidR="00E803E9" w:rsidRDefault="00E803E9" w:rsidP="00E803E9">
      <w:r>
        <w:t xml:space="preserve">Note: The incident notification form allows for </w:t>
      </w:r>
      <w:r w:rsidRPr="00CD411E">
        <w:rPr>
          <w:b/>
          <w:bCs/>
        </w:rPr>
        <w:t>more than one</w:t>
      </w:r>
      <w:r w:rsidRPr="00C00CF5">
        <w:t xml:space="preserve"> response </w:t>
      </w:r>
      <w:r>
        <w:t>to</w:t>
      </w:r>
      <w:r w:rsidRPr="00C00CF5">
        <w:t xml:space="preserve"> be selected</w:t>
      </w:r>
      <w:r>
        <w:t xml:space="preserve"> for the fields </w:t>
      </w:r>
      <w:r w:rsidRPr="00CD411E">
        <w:rPr>
          <w:b/>
          <w:bCs/>
        </w:rPr>
        <w:t>information format</w:t>
      </w:r>
      <w:r>
        <w:t xml:space="preserve">, </w:t>
      </w:r>
      <w:r w:rsidRPr="00CD411E">
        <w:rPr>
          <w:b/>
          <w:bCs/>
        </w:rPr>
        <w:t>type of information</w:t>
      </w:r>
      <w:r>
        <w:t xml:space="preserve">, </w:t>
      </w:r>
      <w:r w:rsidRPr="00CD411E">
        <w:rPr>
          <w:b/>
          <w:bCs/>
        </w:rPr>
        <w:t>security attributes</w:t>
      </w:r>
      <w:r>
        <w:t xml:space="preserve">, </w:t>
      </w:r>
      <w:r w:rsidRPr="00CD411E">
        <w:rPr>
          <w:b/>
          <w:bCs/>
        </w:rPr>
        <w:t>control area</w:t>
      </w:r>
      <w:r>
        <w:t xml:space="preserve">, </w:t>
      </w:r>
      <w:r w:rsidRPr="00CD411E">
        <w:rPr>
          <w:b/>
          <w:bCs/>
        </w:rPr>
        <w:t>threat actor</w:t>
      </w:r>
      <w:r>
        <w:t xml:space="preserve">, and </w:t>
      </w:r>
      <w:r w:rsidRPr="00CD411E">
        <w:rPr>
          <w:b/>
          <w:bCs/>
        </w:rPr>
        <w:t>threat type</w:t>
      </w:r>
      <w:r w:rsidRPr="00C00CF5">
        <w:t xml:space="preserve">. The sum of percentages </w:t>
      </w:r>
      <w:r>
        <w:t>for these fields</w:t>
      </w:r>
      <w:r w:rsidRPr="00C00CF5">
        <w:t xml:space="preserve"> will exceed 100% (as expected) reflecting the nature of multiple responses for each </w:t>
      </w:r>
      <w:r>
        <w:t>question</w:t>
      </w:r>
      <w:r w:rsidRPr="00C00CF5">
        <w:t xml:space="preserve">. </w:t>
      </w:r>
      <w:bookmarkStart w:id="0" w:name="_Hlk130905743"/>
      <w:r w:rsidRPr="00C00CF5">
        <w:t xml:space="preserve">These </w:t>
      </w:r>
      <w:r>
        <w:t>sections</w:t>
      </w:r>
      <w:r w:rsidRPr="00C00CF5">
        <w:t xml:space="preserve"> are marked </w:t>
      </w:r>
      <w:r w:rsidR="00A60161">
        <w:t>accordingly</w:t>
      </w:r>
      <w:r>
        <w:t xml:space="preserve"> in this report</w:t>
      </w:r>
      <w:r w:rsidRPr="00C00CF5">
        <w:t>.</w:t>
      </w:r>
    </w:p>
    <w:bookmarkEnd w:id="0"/>
    <w:p w14:paraId="69E69ABA" w14:textId="77777777" w:rsidR="00F4430E" w:rsidRDefault="00F4430E" w:rsidP="00E803E9"/>
    <w:p w14:paraId="3BF85FA0" w14:textId="1A5B1E07" w:rsidR="00BF3799" w:rsidRDefault="00E803E9" w:rsidP="00BF3799">
      <w:pPr>
        <w:pStyle w:val="Heading2"/>
      </w:pPr>
      <w:r w:rsidRPr="00E803E9">
        <w:lastRenderedPageBreak/>
        <w:t>Information security incident notification insights from July – December 2022</w:t>
      </w:r>
    </w:p>
    <w:p w14:paraId="349BC3C4" w14:textId="64FFC4DC" w:rsidR="00E803E9" w:rsidRPr="00E803E9" w:rsidRDefault="00E803E9" w:rsidP="00E803E9">
      <w:pPr>
        <w:pStyle w:val="Heading3"/>
      </w:pPr>
      <w:r>
        <w:t>Notifications by month</w:t>
      </w:r>
    </w:p>
    <w:p w14:paraId="595A901D" w14:textId="5A1D7AF0" w:rsidR="00A01C6A" w:rsidRDefault="007D5981" w:rsidP="00E803E9">
      <w:r w:rsidRPr="007D5981">
        <w:rPr>
          <w:noProof/>
        </w:rPr>
        <w:drawing>
          <wp:inline distT="0" distB="0" distL="0" distR="0" wp14:anchorId="3802341C" wp14:editId="29CA888C">
            <wp:extent cx="5904230" cy="4067810"/>
            <wp:effectExtent l="0" t="0" r="1270" b="889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10"/>
                    <a:stretch>
                      <a:fillRect/>
                    </a:stretch>
                  </pic:blipFill>
                  <pic:spPr>
                    <a:xfrm>
                      <a:off x="0" y="0"/>
                      <a:ext cx="5904230" cy="4067810"/>
                    </a:xfrm>
                    <a:prstGeom prst="rect">
                      <a:avLst/>
                    </a:prstGeom>
                  </pic:spPr>
                </pic:pic>
              </a:graphicData>
            </a:graphic>
          </wp:inline>
        </w:drawing>
      </w:r>
    </w:p>
    <w:p w14:paraId="365D07CE" w14:textId="6D8318C8" w:rsidR="00E803E9" w:rsidRDefault="00E803E9" w:rsidP="00E803E9">
      <w:r>
        <w:t xml:space="preserve">OVIC received </w:t>
      </w:r>
      <w:r w:rsidRPr="002165F6">
        <w:rPr>
          <w:b/>
          <w:bCs/>
        </w:rPr>
        <w:t>38</w:t>
      </w:r>
      <w:r>
        <w:rPr>
          <w:b/>
          <w:bCs/>
        </w:rPr>
        <w:t>7</w:t>
      </w:r>
      <w:r w:rsidRPr="00DE48BB">
        <w:t xml:space="preserve"> notifications </w:t>
      </w:r>
      <w:r>
        <w:t xml:space="preserve">between </w:t>
      </w:r>
      <w:r w:rsidRPr="00345E85">
        <w:rPr>
          <w:b/>
          <w:bCs/>
        </w:rPr>
        <w:t>1 J</w:t>
      </w:r>
      <w:r>
        <w:rPr>
          <w:b/>
          <w:bCs/>
        </w:rPr>
        <w:t>uly</w:t>
      </w:r>
      <w:r>
        <w:t xml:space="preserve"> to </w:t>
      </w:r>
      <w:r w:rsidRPr="00345E85">
        <w:rPr>
          <w:b/>
          <w:bCs/>
        </w:rPr>
        <w:t>3</w:t>
      </w:r>
      <w:r>
        <w:rPr>
          <w:b/>
          <w:bCs/>
        </w:rPr>
        <w:t>1</w:t>
      </w:r>
      <w:r w:rsidRPr="00345E85">
        <w:rPr>
          <w:b/>
          <w:bCs/>
        </w:rPr>
        <w:t xml:space="preserve"> </w:t>
      </w:r>
      <w:r>
        <w:rPr>
          <w:b/>
          <w:bCs/>
        </w:rPr>
        <w:t>December</w:t>
      </w:r>
      <w:r w:rsidRPr="00345E85">
        <w:rPr>
          <w:b/>
          <w:bCs/>
        </w:rPr>
        <w:t xml:space="preserve"> 202</w:t>
      </w:r>
      <w:r>
        <w:rPr>
          <w:b/>
          <w:bCs/>
        </w:rPr>
        <w:t>2</w:t>
      </w:r>
      <w:r>
        <w:t xml:space="preserve"> (inclusive). This is a 12% increase compared to July to December 2021 (</w:t>
      </w:r>
      <w:r w:rsidRPr="002165F6">
        <w:rPr>
          <w:b/>
          <w:bCs/>
        </w:rPr>
        <w:t>343</w:t>
      </w:r>
      <w:r w:rsidRPr="009A1253">
        <w:rPr>
          <w:b/>
          <w:bCs/>
        </w:rPr>
        <w:t xml:space="preserve"> notifications</w:t>
      </w:r>
      <w:r>
        <w:t>) and an even larger increase (33%) from the previous reporting period January to June 2022 (</w:t>
      </w:r>
      <w:r w:rsidRPr="00204634">
        <w:rPr>
          <w:b/>
          <w:bCs/>
        </w:rPr>
        <w:t>290 notifications</w:t>
      </w:r>
      <w:r>
        <w:t xml:space="preserve">). </w:t>
      </w:r>
    </w:p>
    <w:p w14:paraId="2A013E22" w14:textId="77777777" w:rsidR="00E803E9" w:rsidRDefault="00E803E9" w:rsidP="00E803E9">
      <w:r>
        <w:t>We received the highest number of notifications (</w:t>
      </w:r>
      <w:r w:rsidRPr="002165F6">
        <w:rPr>
          <w:b/>
          <w:bCs/>
        </w:rPr>
        <w:t>91</w:t>
      </w:r>
      <w:r>
        <w:t>) in November which is consistent with 2021.</w:t>
      </w:r>
    </w:p>
    <w:p w14:paraId="0CB95F18" w14:textId="77777777" w:rsidR="00E803E9" w:rsidRDefault="00E803E9" w:rsidP="00E803E9">
      <w:r>
        <w:t>Notifications received in December 2022 (</w:t>
      </w:r>
      <w:r w:rsidRPr="00B6516B">
        <w:rPr>
          <w:b/>
          <w:bCs/>
        </w:rPr>
        <w:t>86</w:t>
      </w:r>
      <w:r>
        <w:t>) were higher than December in any previous year since the establishment of the information security incident notification scheme</w:t>
      </w:r>
      <w:r w:rsidRPr="005137FA">
        <w:t>.</w:t>
      </w:r>
    </w:p>
    <w:p w14:paraId="21455113" w14:textId="77777777" w:rsidR="005632FA" w:rsidRDefault="005632FA">
      <w:pPr>
        <w:spacing w:before="0" w:after="160" w:line="259" w:lineRule="auto"/>
        <w:rPr>
          <w:b/>
          <w:bCs/>
        </w:rPr>
      </w:pPr>
      <w:r>
        <w:rPr>
          <w:b/>
          <w:bCs/>
        </w:rPr>
        <w:br w:type="page"/>
      </w:r>
    </w:p>
    <w:p w14:paraId="65426C27" w14:textId="3D31242B" w:rsidR="00F4430E" w:rsidRDefault="00E803E9" w:rsidP="00F4430E">
      <w:r w:rsidRPr="00D455FD">
        <w:rPr>
          <w:b/>
          <w:bCs/>
        </w:rPr>
        <w:lastRenderedPageBreak/>
        <w:t>Take</w:t>
      </w:r>
      <w:r>
        <w:rPr>
          <w:b/>
          <w:bCs/>
        </w:rPr>
        <w:t>-</w:t>
      </w:r>
      <w:r w:rsidRPr="00D455FD">
        <w:rPr>
          <w:b/>
          <w:bCs/>
        </w:rPr>
        <w:t>out:</w:t>
      </w:r>
      <w:r>
        <w:t xml:space="preserve"> </w:t>
      </w:r>
    </w:p>
    <w:p w14:paraId="3E81CCCC" w14:textId="31AD6D2F" w:rsidR="00E803E9" w:rsidRDefault="00E803E9" w:rsidP="00F4430E">
      <w:r>
        <w:t>The higher numbers in November and December mostly came from the Department of Justice and Community Safety (</w:t>
      </w:r>
      <w:r w:rsidRPr="00F27BD3">
        <w:rPr>
          <w:b/>
          <w:bCs/>
        </w:rPr>
        <w:t>DJCS</w:t>
      </w:r>
      <w:r>
        <w:t>) and Transport Accident Commission (</w:t>
      </w:r>
      <w:r w:rsidRPr="00F27BD3">
        <w:rPr>
          <w:b/>
          <w:bCs/>
        </w:rPr>
        <w:t>TAC</w:t>
      </w:r>
      <w:r>
        <w:t>). This was due to DJCS and TAC finalising and sending through their notifications before the end of 2022.</w:t>
      </w:r>
    </w:p>
    <w:p w14:paraId="149A86FA" w14:textId="77777777" w:rsidR="00E803E9" w:rsidRDefault="00E803E9" w:rsidP="00E803E9">
      <w:r>
        <w:t>Note:</w:t>
      </w:r>
    </w:p>
    <w:p w14:paraId="0738E8A2" w14:textId="77777777" w:rsidR="00E803E9" w:rsidRDefault="00E803E9" w:rsidP="00E803E9">
      <w:pPr>
        <w:pStyle w:val="ListParagraph"/>
        <w:numPr>
          <w:ilvl w:val="0"/>
          <w:numId w:val="39"/>
        </w:numPr>
      </w:pPr>
      <w:r>
        <w:t>the date of notification does not necessarily reflect when an incident occurred, but rather reflects when a notification was made to OVIC; and</w:t>
      </w:r>
    </w:p>
    <w:p w14:paraId="14E65354" w14:textId="20C99D47" w:rsidR="00A6671C" w:rsidRDefault="00E803E9" w:rsidP="00BF3799">
      <w:pPr>
        <w:pStyle w:val="ListParagraph"/>
        <w:numPr>
          <w:ilvl w:val="0"/>
          <w:numId w:val="39"/>
        </w:numPr>
      </w:pPr>
      <w:r>
        <w:t>the higher number of notifications from these organisations does not necessarily reflect that they have more incidents but rather that they have established incident management and reporting processes.</w:t>
      </w:r>
    </w:p>
    <w:p w14:paraId="71A3770B" w14:textId="6C36CF7B" w:rsidR="00A01C6A" w:rsidRDefault="00A01C6A" w:rsidP="00A01C6A"/>
    <w:p w14:paraId="0DC29A52" w14:textId="347BDEB5" w:rsidR="00A01C6A" w:rsidRDefault="00A01C6A" w:rsidP="00A01C6A"/>
    <w:p w14:paraId="0F1B9328" w14:textId="40808591" w:rsidR="00A01C6A" w:rsidRDefault="00A01C6A" w:rsidP="00A01C6A"/>
    <w:p w14:paraId="1D90E8BD" w14:textId="4E270923" w:rsidR="00A01C6A" w:rsidRDefault="00A01C6A" w:rsidP="00A01C6A"/>
    <w:p w14:paraId="4A9655FC" w14:textId="68CD3069" w:rsidR="00A01C6A" w:rsidRDefault="00A01C6A" w:rsidP="00A01C6A"/>
    <w:p w14:paraId="22C720BC" w14:textId="54D6D789" w:rsidR="00A01C6A" w:rsidRDefault="00A01C6A" w:rsidP="00A01C6A"/>
    <w:p w14:paraId="5117866C" w14:textId="6B7DFCFA" w:rsidR="00A01C6A" w:rsidRDefault="00A01C6A" w:rsidP="00A01C6A"/>
    <w:p w14:paraId="5B5EFCA8" w14:textId="1833C734" w:rsidR="00A01C6A" w:rsidRDefault="00A01C6A" w:rsidP="00A01C6A"/>
    <w:p w14:paraId="156DCB3E" w14:textId="09D64333" w:rsidR="00A01C6A" w:rsidRDefault="00A01C6A" w:rsidP="00A01C6A"/>
    <w:p w14:paraId="7BDCA855" w14:textId="00AE773C" w:rsidR="00A01C6A" w:rsidRDefault="00A01C6A" w:rsidP="00A01C6A"/>
    <w:p w14:paraId="4020DA5D" w14:textId="14059B51" w:rsidR="00A01C6A" w:rsidRDefault="00A01C6A" w:rsidP="00A01C6A"/>
    <w:p w14:paraId="36243E7B" w14:textId="2F0792D0" w:rsidR="00A01C6A" w:rsidRDefault="00A01C6A" w:rsidP="00A01C6A"/>
    <w:p w14:paraId="5097FF84" w14:textId="7C1010C6" w:rsidR="00A01C6A" w:rsidRDefault="00A01C6A" w:rsidP="00A01C6A"/>
    <w:p w14:paraId="0F607CE2" w14:textId="7B9AB86C" w:rsidR="00A01C6A" w:rsidRDefault="00A01C6A" w:rsidP="00A01C6A"/>
    <w:p w14:paraId="79A1F5AD" w14:textId="1CDD5680" w:rsidR="00A01C6A" w:rsidRDefault="00A01C6A" w:rsidP="00A01C6A"/>
    <w:p w14:paraId="724C36E7" w14:textId="071ACF4E" w:rsidR="00A01C6A" w:rsidRDefault="00A01C6A" w:rsidP="00A01C6A"/>
    <w:p w14:paraId="2A8F85E1" w14:textId="380ACF96" w:rsidR="00A01C6A" w:rsidRDefault="00A01C6A" w:rsidP="00A01C6A"/>
    <w:p w14:paraId="7B92A6C2" w14:textId="7232CD9D" w:rsidR="00E803E9" w:rsidRDefault="00E803E9" w:rsidP="00E803E9">
      <w:pPr>
        <w:pStyle w:val="Heading3"/>
      </w:pPr>
      <w:bookmarkStart w:id="1" w:name="_Hlk130903686"/>
      <w:r>
        <w:lastRenderedPageBreak/>
        <w:t>Notifications by portfolio</w:t>
      </w:r>
    </w:p>
    <w:bookmarkEnd w:id="1"/>
    <w:p w14:paraId="41406DAD" w14:textId="6CBA32C9" w:rsidR="00A01C6A" w:rsidRDefault="005632FA" w:rsidP="00E803E9">
      <w:r w:rsidRPr="005632FA">
        <w:rPr>
          <w:noProof/>
        </w:rPr>
        <w:drawing>
          <wp:inline distT="0" distB="0" distL="0" distR="0" wp14:anchorId="3E3B3E95" wp14:editId="3AE5F608">
            <wp:extent cx="5904230" cy="5795010"/>
            <wp:effectExtent l="0" t="0" r="1270" b="0"/>
            <wp:docPr id="2" name="Picture 2"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Teams&#10;&#10;Description automatically generated"/>
                    <pic:cNvPicPr/>
                  </pic:nvPicPr>
                  <pic:blipFill>
                    <a:blip r:embed="rId11"/>
                    <a:stretch>
                      <a:fillRect/>
                    </a:stretch>
                  </pic:blipFill>
                  <pic:spPr>
                    <a:xfrm>
                      <a:off x="0" y="0"/>
                      <a:ext cx="5904230" cy="5795010"/>
                    </a:xfrm>
                    <a:prstGeom prst="rect">
                      <a:avLst/>
                    </a:prstGeom>
                  </pic:spPr>
                </pic:pic>
              </a:graphicData>
            </a:graphic>
          </wp:inline>
        </w:drawing>
      </w:r>
    </w:p>
    <w:p w14:paraId="24CB63D1" w14:textId="5659773E" w:rsidR="00E803E9" w:rsidRPr="00E803E9" w:rsidRDefault="00E803E9" w:rsidP="00E803E9">
      <w:r w:rsidRPr="00E803E9">
        <w:t xml:space="preserve">Of the </w:t>
      </w:r>
      <w:r w:rsidRPr="00E803E9">
        <w:rPr>
          <w:b/>
          <w:bCs/>
        </w:rPr>
        <w:t>387</w:t>
      </w:r>
      <w:r w:rsidRPr="00E803E9">
        <w:t xml:space="preserve"> notifications received by OVIC, most came from the justice and transport sectors. These were mostly from DJCS, and </w:t>
      </w:r>
      <w:r w:rsidRPr="005632FA">
        <w:t>TAC</w:t>
      </w:r>
      <w:r w:rsidRPr="00E803E9">
        <w:t xml:space="preserve"> due to its established incident notification protocols. </w:t>
      </w:r>
    </w:p>
    <w:p w14:paraId="29C1168E" w14:textId="77777777" w:rsidR="00E803E9" w:rsidRPr="00E803E9" w:rsidRDefault="00E803E9" w:rsidP="00E803E9">
      <w:r w:rsidRPr="00E803E9">
        <w:t>There was a large increase in the number of notifications received from the Department of Education and Training during this period (</w:t>
      </w:r>
      <w:r w:rsidRPr="00E803E9">
        <w:rPr>
          <w:b/>
          <w:bCs/>
        </w:rPr>
        <w:t>43</w:t>
      </w:r>
      <w:r w:rsidRPr="00E803E9">
        <w:t>) compared to the previous reporting period (</w:t>
      </w:r>
      <w:r w:rsidRPr="00E803E9">
        <w:rPr>
          <w:b/>
          <w:bCs/>
        </w:rPr>
        <w:t>16</w:t>
      </w:r>
      <w:r w:rsidRPr="00E803E9">
        <w:t>) January - June 2022. In addition, notifications from local government organisations almost doubled in this period (</w:t>
      </w:r>
      <w:r w:rsidRPr="00E803E9">
        <w:rPr>
          <w:b/>
          <w:bCs/>
        </w:rPr>
        <w:t>15</w:t>
      </w:r>
      <w:r w:rsidRPr="00E803E9">
        <w:t>) compared to the previous reporting period (</w:t>
      </w:r>
      <w:r w:rsidRPr="00E803E9">
        <w:rPr>
          <w:b/>
          <w:bCs/>
        </w:rPr>
        <w:t>8</w:t>
      </w:r>
      <w:r w:rsidRPr="00E803E9">
        <w:t xml:space="preserve">). </w:t>
      </w:r>
    </w:p>
    <w:p w14:paraId="6F8AFFF4" w14:textId="77777777" w:rsidR="00E803E9" w:rsidRPr="00E803E9" w:rsidRDefault="00E803E9" w:rsidP="00E803E9">
      <w:r w:rsidRPr="00E803E9">
        <w:rPr>
          <w:rStyle w:val="Emphasis"/>
          <w:rFonts w:cstheme="minorHAnsi"/>
          <w:i w:val="0"/>
          <w:iCs w:val="0"/>
          <w:shd w:val="clear" w:color="auto" w:fill="FFFFFF"/>
        </w:rPr>
        <w:lastRenderedPageBreak/>
        <w:t>This reporting period saw a decrease in the number of notifications from the premier and cabinet (</w:t>
      </w:r>
      <w:r w:rsidRPr="00E803E9">
        <w:rPr>
          <w:rStyle w:val="Emphasis"/>
          <w:rFonts w:cstheme="minorHAnsi"/>
          <w:b/>
          <w:bCs/>
          <w:i w:val="0"/>
          <w:iCs w:val="0"/>
          <w:shd w:val="clear" w:color="auto" w:fill="FFFFFF"/>
        </w:rPr>
        <w:t>22%</w:t>
      </w:r>
      <w:r w:rsidRPr="00E803E9">
        <w:rPr>
          <w:rStyle w:val="Emphasis"/>
          <w:rFonts w:cstheme="minorHAnsi"/>
          <w:i w:val="0"/>
          <w:iCs w:val="0"/>
          <w:shd w:val="clear" w:color="auto" w:fill="FFFFFF"/>
        </w:rPr>
        <w:t>); health (</w:t>
      </w:r>
      <w:r w:rsidRPr="00E803E9">
        <w:rPr>
          <w:rStyle w:val="Emphasis"/>
          <w:rFonts w:cstheme="minorHAnsi"/>
          <w:b/>
          <w:bCs/>
          <w:i w:val="0"/>
          <w:iCs w:val="0"/>
          <w:shd w:val="clear" w:color="auto" w:fill="FFFFFF"/>
        </w:rPr>
        <w:t>31%</w:t>
      </w:r>
      <w:r w:rsidRPr="00E803E9">
        <w:rPr>
          <w:rStyle w:val="Emphasis"/>
          <w:rFonts w:cstheme="minorHAnsi"/>
          <w:i w:val="0"/>
          <w:iCs w:val="0"/>
          <w:shd w:val="clear" w:color="auto" w:fill="FFFFFF"/>
        </w:rPr>
        <w:t>); and families, fairness, and housing (</w:t>
      </w:r>
      <w:r w:rsidRPr="00E803E9">
        <w:rPr>
          <w:rStyle w:val="Emphasis"/>
          <w:rFonts w:cstheme="minorHAnsi"/>
          <w:b/>
          <w:bCs/>
          <w:i w:val="0"/>
          <w:iCs w:val="0"/>
          <w:shd w:val="clear" w:color="auto" w:fill="FFFFFF"/>
        </w:rPr>
        <w:t>58%</w:t>
      </w:r>
      <w:r w:rsidRPr="00E803E9">
        <w:rPr>
          <w:rStyle w:val="Emphasis"/>
          <w:rFonts w:cstheme="minorHAnsi"/>
          <w:i w:val="0"/>
          <w:iCs w:val="0"/>
          <w:shd w:val="clear" w:color="auto" w:fill="FFFFFF"/>
        </w:rPr>
        <w:t>) sectors. The reasons for the decrease in notifications for these portfolios has not been identified.</w:t>
      </w:r>
    </w:p>
    <w:p w14:paraId="428A2096" w14:textId="77777777" w:rsidR="00E803E9" w:rsidRPr="00E803E9" w:rsidRDefault="00E803E9" w:rsidP="00E803E9">
      <w:r w:rsidRPr="00E803E9">
        <w:t>Note: the portfolios used for this reporting period to group organisations were current up to 31 December 2022 prior to name changes and machinery of government changes.</w:t>
      </w:r>
    </w:p>
    <w:p w14:paraId="4810F887" w14:textId="77777777" w:rsidR="00E803E9" w:rsidRPr="00E803E9" w:rsidRDefault="00E803E9" w:rsidP="00E803E9">
      <w:pPr>
        <w:rPr>
          <w:rStyle w:val="Emphasis"/>
          <w:rFonts w:cstheme="minorHAnsi"/>
          <w:i w:val="0"/>
          <w:iCs w:val="0"/>
          <w:shd w:val="clear" w:color="auto" w:fill="FFFFFF"/>
        </w:rPr>
      </w:pPr>
      <w:r w:rsidRPr="00E803E9">
        <w:rPr>
          <w:b/>
          <w:bCs/>
        </w:rPr>
        <w:t>Take-out:</w:t>
      </w:r>
      <w:r w:rsidRPr="00E803E9">
        <w:t xml:space="preserve"> </w:t>
      </w:r>
    </w:p>
    <w:p w14:paraId="4E1B2B4F" w14:textId="77777777" w:rsidR="00E803E9" w:rsidRPr="00E803E9" w:rsidRDefault="00E803E9" w:rsidP="00E803E9">
      <w:pPr>
        <w:rPr>
          <w:rStyle w:val="Emphasis"/>
          <w:i w:val="0"/>
          <w:iCs w:val="0"/>
        </w:rPr>
      </w:pPr>
      <w:r w:rsidRPr="00E803E9">
        <w:rPr>
          <w:rStyle w:val="Emphasis"/>
          <w:i w:val="0"/>
          <w:iCs w:val="0"/>
        </w:rPr>
        <w:t xml:space="preserve">This reporting period saw five </w:t>
      </w:r>
      <w:r w:rsidRPr="00E803E9">
        <w:rPr>
          <w:rStyle w:val="Emphasis"/>
          <w:b/>
          <w:bCs/>
          <w:i w:val="0"/>
          <w:iCs w:val="0"/>
        </w:rPr>
        <w:t>Other</w:t>
      </w:r>
      <w:r w:rsidRPr="00E803E9">
        <w:rPr>
          <w:rStyle w:val="Emphasis"/>
          <w:i w:val="0"/>
          <w:iCs w:val="0"/>
        </w:rPr>
        <w:t xml:space="preserve"> notifications received from:</w:t>
      </w:r>
    </w:p>
    <w:p w14:paraId="03594E7E" w14:textId="77777777" w:rsidR="00E803E9" w:rsidRPr="00E803E9" w:rsidRDefault="00E803E9" w:rsidP="00E803E9">
      <w:pPr>
        <w:pStyle w:val="ListParagraph"/>
        <w:numPr>
          <w:ilvl w:val="0"/>
          <w:numId w:val="41"/>
        </w:numPr>
        <w:rPr>
          <w:rStyle w:val="Emphasis"/>
          <w:i w:val="0"/>
          <w:iCs w:val="0"/>
        </w:rPr>
      </w:pPr>
      <w:r w:rsidRPr="00E803E9">
        <w:rPr>
          <w:rStyle w:val="Emphasis"/>
          <w:i w:val="0"/>
          <w:iCs w:val="0"/>
        </w:rPr>
        <w:t xml:space="preserve">other jurisdictions; </w:t>
      </w:r>
    </w:p>
    <w:p w14:paraId="1424F49E" w14:textId="0F15DB09" w:rsidR="00E803E9" w:rsidRPr="00E803E9" w:rsidRDefault="00E803E9" w:rsidP="00E803E9">
      <w:pPr>
        <w:pStyle w:val="ListParagraph"/>
        <w:numPr>
          <w:ilvl w:val="0"/>
          <w:numId w:val="41"/>
        </w:numPr>
        <w:rPr>
          <w:rStyle w:val="Emphasis"/>
          <w:i w:val="0"/>
          <w:iCs w:val="0"/>
        </w:rPr>
      </w:pPr>
      <w:r w:rsidRPr="00E803E9">
        <w:rPr>
          <w:rStyle w:val="Emphasis"/>
          <w:i w:val="0"/>
          <w:iCs w:val="0"/>
        </w:rPr>
        <w:t xml:space="preserve">third parties who suffered an incident such as the </w:t>
      </w:r>
      <w:hyperlink r:id="rId12" w:history="1">
        <w:r w:rsidRPr="00F4430E">
          <w:rPr>
            <w:rStyle w:val="Hyperlink"/>
            <w:color w:val="430098" w:themeColor="text2"/>
          </w:rPr>
          <w:t>Optus</w:t>
        </w:r>
      </w:hyperlink>
      <w:r w:rsidRPr="00E803E9">
        <w:rPr>
          <w:rStyle w:val="Emphasis"/>
          <w:i w:val="0"/>
          <w:iCs w:val="0"/>
          <w:u w:color="430098"/>
        </w:rPr>
        <w:t xml:space="preserve"> data breach</w:t>
      </w:r>
      <w:r w:rsidRPr="00E803E9">
        <w:rPr>
          <w:rStyle w:val="Emphasis"/>
          <w:i w:val="0"/>
          <w:iCs w:val="0"/>
        </w:rPr>
        <w:t xml:space="preserve"> and the </w:t>
      </w:r>
      <w:hyperlink r:id="rId13" w:history="1">
        <w:r w:rsidRPr="00F4430E">
          <w:rPr>
            <w:rStyle w:val="Hyperlink"/>
            <w:color w:val="430098" w:themeColor="text2"/>
          </w:rPr>
          <w:t>Medibank Private</w:t>
        </w:r>
      </w:hyperlink>
      <w:r w:rsidRPr="00E803E9">
        <w:rPr>
          <w:rStyle w:val="Emphasis"/>
          <w:i w:val="0"/>
          <w:iCs w:val="0"/>
        </w:rPr>
        <w:t xml:space="preserve"> data breach </w:t>
      </w:r>
      <w:hyperlink w:history="1"/>
      <w:r w:rsidRPr="00E803E9">
        <w:rPr>
          <w:rStyle w:val="Emphasis"/>
          <w:i w:val="0"/>
          <w:iCs w:val="0"/>
        </w:rPr>
        <w:t xml:space="preserve">where Victorian public sector information was affected; and </w:t>
      </w:r>
    </w:p>
    <w:p w14:paraId="68C917C1" w14:textId="77777777" w:rsidR="00E803E9" w:rsidRPr="00E803E9" w:rsidRDefault="00E803E9" w:rsidP="00E803E9">
      <w:pPr>
        <w:pStyle w:val="ListParagraph"/>
        <w:numPr>
          <w:ilvl w:val="0"/>
          <w:numId w:val="41"/>
        </w:numPr>
        <w:rPr>
          <w:rStyle w:val="Emphasis"/>
          <w:i w:val="0"/>
          <w:iCs w:val="0"/>
        </w:rPr>
      </w:pPr>
      <w:r w:rsidRPr="00E803E9">
        <w:rPr>
          <w:rStyle w:val="Emphasis"/>
          <w:i w:val="0"/>
          <w:iCs w:val="0"/>
        </w:rPr>
        <w:t xml:space="preserve">multiple Victorian public sector organisations across multiple portfolios who were affected by the same incident for example the </w:t>
      </w:r>
      <w:hyperlink r:id="rId14" w:history="1">
        <w:r w:rsidRPr="00F4430E">
          <w:rPr>
            <w:rStyle w:val="Hyperlink"/>
            <w:color w:val="430098" w:themeColor="text2"/>
          </w:rPr>
          <w:t>PNORS Technology group incident</w:t>
        </w:r>
      </w:hyperlink>
      <w:r w:rsidRPr="00E803E9">
        <w:rPr>
          <w:rStyle w:val="Emphasis"/>
          <w:i w:val="0"/>
          <w:iCs w:val="0"/>
        </w:rPr>
        <w:t xml:space="preserve">. </w:t>
      </w:r>
    </w:p>
    <w:p w14:paraId="05A13676" w14:textId="77777777" w:rsidR="00E803E9" w:rsidRPr="00E803E9" w:rsidRDefault="00E803E9" w:rsidP="00E803E9">
      <w:pPr>
        <w:rPr>
          <w:rStyle w:val="Emphasis"/>
          <w:i w:val="0"/>
          <w:iCs w:val="0"/>
        </w:rPr>
      </w:pPr>
      <w:r w:rsidRPr="00E803E9">
        <w:rPr>
          <w:rStyle w:val="Emphasis"/>
          <w:i w:val="0"/>
          <w:iCs w:val="0"/>
        </w:rPr>
        <w:t>There will be a shift in portfolio numbers in the next reporting period as a result of machinery of government changes effective 1 January 2023.</w:t>
      </w:r>
    </w:p>
    <w:p w14:paraId="24A9E14C" w14:textId="36405090" w:rsidR="00F4430E" w:rsidRDefault="00E803E9" w:rsidP="00E803E9">
      <w:r w:rsidRPr="00E803E9">
        <w:t>Under the information security incident notification scheme, OVIC has established a memorandum of understanding (</w:t>
      </w:r>
      <w:r w:rsidRPr="00E803E9">
        <w:rPr>
          <w:b/>
          <w:bCs/>
        </w:rPr>
        <w:t>MOU</w:t>
      </w:r>
      <w:r w:rsidRPr="00E803E9">
        <w:t>) with the Cyber Intelligence and Response Service (</w:t>
      </w:r>
      <w:r w:rsidRPr="00E803E9">
        <w:rPr>
          <w:b/>
          <w:bCs/>
        </w:rPr>
        <w:t>CIRS</w:t>
      </w:r>
      <w:r w:rsidRPr="00E803E9">
        <w:t>) which enables the sharing of incident information to minimise the reporting burden on organisations. As such, CIRS continued to keep OVIC up to date with relevant situational reports (</w:t>
      </w:r>
      <w:r w:rsidRPr="00E803E9">
        <w:rPr>
          <w:b/>
          <w:bCs/>
        </w:rPr>
        <w:t>SITREP</w:t>
      </w:r>
      <w:r w:rsidRPr="00E803E9">
        <w:t>s) for incidents, without each affected Victorian government organisation needing to notify OVIC separately.</w:t>
      </w:r>
    </w:p>
    <w:p w14:paraId="5C5F839F" w14:textId="11352ECF" w:rsidR="00A01C6A" w:rsidRDefault="00A01C6A" w:rsidP="00E803E9"/>
    <w:p w14:paraId="4051866D" w14:textId="455B02D8" w:rsidR="00A01C6A" w:rsidRDefault="00A01C6A" w:rsidP="00E803E9"/>
    <w:p w14:paraId="4F88E7AB" w14:textId="252E3A23" w:rsidR="00A01C6A" w:rsidRDefault="00A01C6A" w:rsidP="00E803E9"/>
    <w:p w14:paraId="7979180B" w14:textId="4E89C16F" w:rsidR="00A01C6A" w:rsidRDefault="00A01C6A" w:rsidP="00E803E9"/>
    <w:p w14:paraId="15CE9768" w14:textId="55DC57C3" w:rsidR="00A01C6A" w:rsidRDefault="00A01C6A" w:rsidP="00E803E9"/>
    <w:p w14:paraId="011FBB9F" w14:textId="4C132617" w:rsidR="00A01C6A" w:rsidRDefault="00A01C6A" w:rsidP="00E803E9"/>
    <w:p w14:paraId="15A91CAC" w14:textId="350E14B9" w:rsidR="00A01C6A" w:rsidRDefault="00A01C6A" w:rsidP="00E803E9"/>
    <w:p w14:paraId="783DDCD0" w14:textId="29E41C4D" w:rsidR="00A01C6A" w:rsidRDefault="00A01C6A" w:rsidP="00E803E9"/>
    <w:p w14:paraId="2F1E7A89" w14:textId="6E1FD6A0" w:rsidR="00A01C6A" w:rsidRDefault="00A01C6A" w:rsidP="00E803E9"/>
    <w:p w14:paraId="5679A824" w14:textId="51FD4F72" w:rsidR="00A01C6A" w:rsidRDefault="00A01C6A" w:rsidP="00E803E9"/>
    <w:p w14:paraId="34B64D02" w14:textId="77777777" w:rsidR="00F4430E" w:rsidRDefault="00F4430E" w:rsidP="00F4430E">
      <w:pPr>
        <w:pStyle w:val="Heading3"/>
      </w:pPr>
      <w:r>
        <w:lastRenderedPageBreak/>
        <w:t xml:space="preserve">Information format </w:t>
      </w:r>
      <w:r w:rsidRPr="002C6E03">
        <w:t>(Multiple options can be selected)</w:t>
      </w:r>
    </w:p>
    <w:p w14:paraId="3A33B9A6" w14:textId="016D2624" w:rsidR="00A01C6A" w:rsidRDefault="006E2FF4" w:rsidP="00F4430E">
      <w:r w:rsidRPr="006E2FF4">
        <w:rPr>
          <w:noProof/>
        </w:rPr>
        <w:drawing>
          <wp:inline distT="0" distB="0" distL="0" distR="0" wp14:anchorId="535CE701" wp14:editId="088A001E">
            <wp:extent cx="5904230" cy="4458970"/>
            <wp:effectExtent l="0" t="0" r="1270" b="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15"/>
                    <a:stretch>
                      <a:fillRect/>
                    </a:stretch>
                  </pic:blipFill>
                  <pic:spPr>
                    <a:xfrm>
                      <a:off x="0" y="0"/>
                      <a:ext cx="5904230" cy="4458970"/>
                    </a:xfrm>
                    <a:prstGeom prst="rect">
                      <a:avLst/>
                    </a:prstGeom>
                  </pic:spPr>
                </pic:pic>
              </a:graphicData>
            </a:graphic>
          </wp:inline>
        </w:drawing>
      </w:r>
    </w:p>
    <w:p w14:paraId="06E10D75" w14:textId="28F0D54D" w:rsidR="00F4430E" w:rsidRPr="002331AE" w:rsidRDefault="00F4430E" w:rsidP="00F4430E">
      <w:pPr>
        <w:rPr>
          <w:highlight w:val="yellow"/>
        </w:rPr>
      </w:pPr>
      <w:r w:rsidRPr="00C31C21">
        <w:t xml:space="preserve">Notifications regarding information format </w:t>
      </w:r>
      <w:r>
        <w:t>were</w:t>
      </w:r>
      <w:r w:rsidRPr="00C31C21">
        <w:t xml:space="preserve"> </w:t>
      </w:r>
      <w:r>
        <w:t>consistent with</w:t>
      </w:r>
      <w:r w:rsidRPr="00C31C21">
        <w:t xml:space="preserve"> previous reporting periods. Most incident notifications (</w:t>
      </w:r>
      <w:r w:rsidRPr="00C31C21">
        <w:rPr>
          <w:b/>
          <w:bCs/>
        </w:rPr>
        <w:t>309</w:t>
      </w:r>
      <w:r w:rsidRPr="00C31C21">
        <w:t>) indicate</w:t>
      </w:r>
      <w:r>
        <w:t>d</w:t>
      </w:r>
      <w:r w:rsidRPr="00C31C21">
        <w:t xml:space="preserve"> compromises of </w:t>
      </w:r>
      <w:r w:rsidRPr="00C31C21">
        <w:rPr>
          <w:b/>
          <w:bCs/>
        </w:rPr>
        <w:t>electronic</w:t>
      </w:r>
      <w:r w:rsidRPr="00C31C21">
        <w:t xml:space="preserve"> information followed by </w:t>
      </w:r>
      <w:r w:rsidRPr="00C31C21">
        <w:rPr>
          <w:b/>
          <w:bCs/>
        </w:rPr>
        <w:t>hard copy</w:t>
      </w:r>
      <w:r w:rsidRPr="00C31C21">
        <w:t xml:space="preserve"> information (</w:t>
      </w:r>
      <w:r w:rsidRPr="00C31C21">
        <w:rPr>
          <w:b/>
          <w:bCs/>
        </w:rPr>
        <w:t>71</w:t>
      </w:r>
      <w:r w:rsidRPr="00C31C21">
        <w:t xml:space="preserve">). Incidents involving </w:t>
      </w:r>
      <w:r w:rsidRPr="00EC7135">
        <w:rPr>
          <w:b/>
          <w:bCs/>
        </w:rPr>
        <w:t>verbal</w:t>
      </w:r>
      <w:r w:rsidRPr="00C31C21">
        <w:t xml:space="preserve"> information remain</w:t>
      </w:r>
      <w:r>
        <w:t>ed</w:t>
      </w:r>
      <w:r w:rsidRPr="00C31C21">
        <w:t xml:space="preserve"> the same</w:t>
      </w:r>
      <w:r>
        <w:t xml:space="preserve"> (</w:t>
      </w:r>
      <w:r w:rsidRPr="00223F1F">
        <w:rPr>
          <w:b/>
          <w:bCs/>
        </w:rPr>
        <w:t>10</w:t>
      </w:r>
      <w:r>
        <w:t>)</w:t>
      </w:r>
      <w:r w:rsidRPr="00C31C21">
        <w:t>.</w:t>
      </w:r>
      <w:r>
        <w:rPr>
          <w:highlight w:val="yellow"/>
        </w:rPr>
        <w:t xml:space="preserve">  </w:t>
      </w:r>
      <w:r w:rsidRPr="002331AE">
        <w:rPr>
          <w:highlight w:val="yellow"/>
        </w:rPr>
        <w:t xml:space="preserve"> </w:t>
      </w:r>
    </w:p>
    <w:p w14:paraId="02CDEA7E" w14:textId="77777777" w:rsidR="00F4430E" w:rsidRPr="00B918AC" w:rsidRDefault="00F4430E" w:rsidP="00F4430E">
      <w:r w:rsidRPr="00B918AC">
        <w:t xml:space="preserve">Once again, </w:t>
      </w:r>
      <w:r w:rsidRPr="00010169">
        <w:rPr>
          <w:b/>
          <w:bCs/>
        </w:rPr>
        <w:t>half</w:t>
      </w:r>
      <w:r w:rsidRPr="00B918AC">
        <w:t xml:space="preserve"> of the incidents affecting electronic information related to emails. </w:t>
      </w:r>
      <w:r>
        <w:t>Most (</w:t>
      </w:r>
      <w:r w:rsidRPr="00B918AC">
        <w:rPr>
          <w:b/>
          <w:bCs/>
        </w:rPr>
        <w:t>70%</w:t>
      </w:r>
      <w:r w:rsidRPr="009C1026">
        <w:t>)</w:t>
      </w:r>
      <w:r w:rsidRPr="00B918AC">
        <w:t xml:space="preserve"> of these email</w:t>
      </w:r>
      <w:r>
        <w:t>s</w:t>
      </w:r>
      <w:r w:rsidRPr="00B918AC">
        <w:t xml:space="preserve"> related </w:t>
      </w:r>
      <w:r>
        <w:t xml:space="preserve">to </w:t>
      </w:r>
      <w:r w:rsidRPr="00B918AC">
        <w:t xml:space="preserve">incidents involved sending emails to the incorrect recipient. </w:t>
      </w:r>
    </w:p>
    <w:p w14:paraId="30A9A4F6" w14:textId="77777777" w:rsidR="00F4430E" w:rsidRPr="00B918AC" w:rsidRDefault="00F4430E" w:rsidP="00F4430E">
      <w:r w:rsidRPr="00010169">
        <w:rPr>
          <w:b/>
          <w:bCs/>
        </w:rPr>
        <w:t>Half</w:t>
      </w:r>
      <w:r w:rsidRPr="00B918AC">
        <w:t xml:space="preserve"> of the incidents involving hard copy information were related to mail</w:t>
      </w:r>
      <w:r>
        <w:t>.</w:t>
      </w:r>
      <w:r w:rsidRPr="00B918AC">
        <w:t xml:space="preserve"> </w:t>
      </w:r>
      <w:r>
        <w:t>This</w:t>
      </w:r>
      <w:r w:rsidRPr="00B918AC">
        <w:t xml:space="preserve"> is a decrease from the previous reporting period where most incidents involving hard copy information were related to mail (</w:t>
      </w:r>
      <w:r w:rsidRPr="00B918AC">
        <w:rPr>
          <w:b/>
          <w:bCs/>
        </w:rPr>
        <w:t>74%</w:t>
      </w:r>
      <w:r w:rsidRPr="00B918AC">
        <w:t>).</w:t>
      </w:r>
    </w:p>
    <w:p w14:paraId="772A4C41" w14:textId="77777777" w:rsidR="00F4430E" w:rsidRDefault="00F4430E" w:rsidP="00F4430E">
      <w:r w:rsidRPr="00F27312">
        <w:t xml:space="preserve">Although </w:t>
      </w:r>
      <w:r>
        <w:t xml:space="preserve">it is </w:t>
      </w:r>
      <w:r w:rsidRPr="00F27312">
        <w:t>uncommon for multiple information formats to be affected in the same incident, multiple options can be selected for this field. There were three (</w:t>
      </w:r>
      <w:r w:rsidRPr="00F27312">
        <w:rPr>
          <w:b/>
          <w:bCs/>
        </w:rPr>
        <w:t>3</w:t>
      </w:r>
      <w:r w:rsidRPr="00F27312">
        <w:t xml:space="preserve">) notifications that selected more than one information format attribute. </w:t>
      </w:r>
    </w:p>
    <w:p w14:paraId="2CBC571F" w14:textId="77777777" w:rsidR="00F4430E" w:rsidRPr="00F27312" w:rsidRDefault="00F4430E" w:rsidP="00F4430E">
      <w:r w:rsidRPr="00F27312">
        <w:t xml:space="preserve">For example, one of these incidents related to a victim providing verbal information on a phone call to a threat actor masquerading as NBN support while the threat actor had remote access to their laptop to </w:t>
      </w:r>
      <w:r w:rsidRPr="00F27312">
        <w:lastRenderedPageBreak/>
        <w:t xml:space="preserve">assist them. Another incident was related to stolen documents and a laptop which had been left in an employee’s car overnight. </w:t>
      </w:r>
    </w:p>
    <w:p w14:paraId="1111C477" w14:textId="77777777" w:rsidR="00F4430E" w:rsidRDefault="00F4430E" w:rsidP="00F4430E">
      <w:pPr>
        <w:rPr>
          <w:i/>
          <w:iCs/>
        </w:rPr>
      </w:pPr>
      <w:r w:rsidRPr="00A50870">
        <w:rPr>
          <w:b/>
          <w:bCs/>
        </w:rPr>
        <w:t>Take</w:t>
      </w:r>
      <w:r>
        <w:rPr>
          <w:b/>
          <w:bCs/>
        </w:rPr>
        <w:t>-</w:t>
      </w:r>
      <w:r w:rsidRPr="00A50870">
        <w:rPr>
          <w:b/>
          <w:bCs/>
        </w:rPr>
        <w:t>out:</w:t>
      </w:r>
      <w:r w:rsidRPr="00D86981">
        <w:rPr>
          <w:i/>
          <w:iCs/>
        </w:rPr>
        <w:t xml:space="preserve"> </w:t>
      </w:r>
    </w:p>
    <w:p w14:paraId="5066FD54" w14:textId="0488D9A2" w:rsidR="00F4430E" w:rsidRDefault="00F4430E" w:rsidP="00F4430E">
      <w:r>
        <w:t xml:space="preserve">Consistent with previous notification periods, </w:t>
      </w:r>
      <w:r w:rsidRPr="00476107">
        <w:rPr>
          <w:b/>
          <w:bCs/>
        </w:rPr>
        <w:t>64%</w:t>
      </w:r>
      <w:r>
        <w:t xml:space="preserve"> of the incident notifications, regardless of information format, involved unauthorised release/disclosure of information including verbal disclosures; sending emails or mail to the incorrect recipient; or attaching the incorrect information. </w:t>
      </w:r>
    </w:p>
    <w:p w14:paraId="1A115AC8" w14:textId="77777777" w:rsidR="00F4430E" w:rsidRPr="001473F2" w:rsidRDefault="00F4430E" w:rsidP="00F4430E">
      <w:pPr>
        <w:rPr>
          <w:i/>
          <w:iCs/>
        </w:rPr>
      </w:pPr>
      <w:r>
        <w:t>With the increase in digitisation of information, compromise of electronic information format continues to account for the most incidents. However, organisations should be mindful that other information types (hard copy and verbal) are still at risk of compromise and should be equally considered in any risk assessments.</w:t>
      </w:r>
    </w:p>
    <w:p w14:paraId="7796DEC9" w14:textId="77777777" w:rsidR="000D580C" w:rsidRDefault="000D580C">
      <w:pPr>
        <w:spacing w:before="0" w:after="160" w:line="259" w:lineRule="auto"/>
        <w:rPr>
          <w:rFonts w:eastAsiaTheme="majorEastAsia" w:cstheme="majorBidi"/>
          <w:sz w:val="26"/>
          <w:szCs w:val="24"/>
        </w:rPr>
      </w:pPr>
      <w:r>
        <w:br w:type="page"/>
      </w:r>
    </w:p>
    <w:p w14:paraId="176ADDD9" w14:textId="1B1B0B8D" w:rsidR="00A6671C" w:rsidRDefault="00A6671C" w:rsidP="00A6671C">
      <w:pPr>
        <w:pStyle w:val="Heading3"/>
      </w:pPr>
      <w:r>
        <w:lastRenderedPageBreak/>
        <w:t xml:space="preserve">Type of information impacted </w:t>
      </w:r>
      <w:r w:rsidRPr="002C6E03">
        <w:t>(Multiple options can be selected)</w:t>
      </w:r>
    </w:p>
    <w:p w14:paraId="2BF31FBD" w14:textId="781FCAA0" w:rsidR="00A01C6A" w:rsidRDefault="000D580C" w:rsidP="00A6671C">
      <w:r w:rsidRPr="000D580C">
        <w:rPr>
          <w:noProof/>
        </w:rPr>
        <w:drawing>
          <wp:inline distT="0" distB="0" distL="0" distR="0" wp14:anchorId="76AD4EB0" wp14:editId="13BEF816">
            <wp:extent cx="5904230" cy="5424805"/>
            <wp:effectExtent l="0" t="0" r="1270" b="4445"/>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6"/>
                    <a:stretch>
                      <a:fillRect/>
                    </a:stretch>
                  </pic:blipFill>
                  <pic:spPr>
                    <a:xfrm>
                      <a:off x="0" y="0"/>
                      <a:ext cx="5904230" cy="5424805"/>
                    </a:xfrm>
                    <a:prstGeom prst="rect">
                      <a:avLst/>
                    </a:prstGeom>
                  </pic:spPr>
                </pic:pic>
              </a:graphicData>
            </a:graphic>
          </wp:inline>
        </w:drawing>
      </w:r>
    </w:p>
    <w:p w14:paraId="4EDF60CE" w14:textId="112DFA97" w:rsidR="00A6671C" w:rsidRDefault="00A6671C" w:rsidP="00A6671C">
      <w:r>
        <w:t>Notifications regarding the type of information involved in incidents were consistent with previous reporting periods. Once again, most (</w:t>
      </w:r>
      <w:r w:rsidRPr="000133E0">
        <w:rPr>
          <w:b/>
          <w:bCs/>
        </w:rPr>
        <w:t>9</w:t>
      </w:r>
      <w:r>
        <w:rPr>
          <w:b/>
          <w:bCs/>
        </w:rPr>
        <w:t>2</w:t>
      </w:r>
      <w:r w:rsidRPr="000133E0">
        <w:rPr>
          <w:b/>
          <w:bCs/>
        </w:rPr>
        <w:t>%</w:t>
      </w:r>
      <w:r>
        <w:t xml:space="preserve">) incident notifications indicated compromises of personal information followed by health information. </w:t>
      </w:r>
    </w:p>
    <w:p w14:paraId="6A91A556" w14:textId="77777777" w:rsidR="00A6671C" w:rsidRDefault="00A6671C" w:rsidP="00A6671C">
      <w:r>
        <w:t>There were nine (</w:t>
      </w:r>
      <w:r>
        <w:rPr>
          <w:b/>
          <w:bCs/>
        </w:rPr>
        <w:t>9</w:t>
      </w:r>
      <w:r w:rsidRPr="00B9544D">
        <w:t>)</w:t>
      </w:r>
      <w:r>
        <w:t xml:space="preserve"> incident notifications where the </w:t>
      </w:r>
      <w:r w:rsidRPr="00C31C02">
        <w:rPr>
          <w:b/>
          <w:bCs/>
        </w:rPr>
        <w:t>Other</w:t>
      </w:r>
      <w:r>
        <w:t xml:space="preserve"> information type was selected. </w:t>
      </w:r>
    </w:p>
    <w:p w14:paraId="7080C0A9" w14:textId="77777777" w:rsidR="00A6671C" w:rsidRDefault="00A6671C" w:rsidP="00A6671C">
      <w:r>
        <w:t>Examples of when Other was selected include incidents related to:</w:t>
      </w:r>
    </w:p>
    <w:p w14:paraId="166C0D3B" w14:textId="77777777" w:rsidR="00A6671C" w:rsidRDefault="00A6671C" w:rsidP="00A6671C">
      <w:pPr>
        <w:pStyle w:val="ListParagraph"/>
        <w:numPr>
          <w:ilvl w:val="0"/>
          <w:numId w:val="45"/>
        </w:numPr>
      </w:pPr>
      <w:r>
        <w:t>cabinet information;</w:t>
      </w:r>
    </w:p>
    <w:p w14:paraId="4A445165" w14:textId="77777777" w:rsidR="00A6671C" w:rsidRDefault="00A6671C" w:rsidP="00A6671C">
      <w:pPr>
        <w:pStyle w:val="ListParagraph"/>
        <w:numPr>
          <w:ilvl w:val="0"/>
          <w:numId w:val="45"/>
        </w:numPr>
      </w:pPr>
      <w:r>
        <w:t>access to a wide range of public sector information which continued after personnel left the organisation due to poor offboarding practices; and</w:t>
      </w:r>
    </w:p>
    <w:p w14:paraId="39F37C0A" w14:textId="77777777" w:rsidR="00A6671C" w:rsidRDefault="00A6671C" w:rsidP="00A6671C">
      <w:pPr>
        <w:pStyle w:val="ListParagraph"/>
        <w:numPr>
          <w:ilvl w:val="0"/>
          <w:numId w:val="45"/>
        </w:numPr>
      </w:pPr>
      <w:r>
        <w:t xml:space="preserve">verbal threats to staff. </w:t>
      </w:r>
    </w:p>
    <w:p w14:paraId="4CEA5822" w14:textId="299CA1A9" w:rsidR="00A6671C" w:rsidRDefault="00A6671C" w:rsidP="00A6671C">
      <w:r>
        <w:lastRenderedPageBreak/>
        <w:t xml:space="preserve">There were </w:t>
      </w:r>
      <w:r w:rsidRPr="00804A10">
        <w:rPr>
          <w:b/>
          <w:bCs/>
        </w:rPr>
        <w:t>1</w:t>
      </w:r>
      <w:r w:rsidR="00BA771A">
        <w:rPr>
          <w:b/>
          <w:bCs/>
        </w:rPr>
        <w:t>5</w:t>
      </w:r>
      <w:r>
        <w:t xml:space="preserve"> incident notifications where the type of information involved was </w:t>
      </w:r>
      <w:r>
        <w:rPr>
          <w:b/>
          <w:bCs/>
        </w:rPr>
        <w:t>U</w:t>
      </w:r>
      <w:r w:rsidRPr="00E62230">
        <w:rPr>
          <w:b/>
          <w:bCs/>
        </w:rPr>
        <w:t>nknown</w:t>
      </w:r>
      <w:r>
        <w:t xml:space="preserve">. </w:t>
      </w:r>
    </w:p>
    <w:p w14:paraId="5543FBA6" w14:textId="77777777" w:rsidR="00A6671C" w:rsidRDefault="00A6671C" w:rsidP="00A6671C">
      <w:r>
        <w:t>Some examples of incidents where the information type affected could not be ascertained include:</w:t>
      </w:r>
    </w:p>
    <w:p w14:paraId="2C19ED57" w14:textId="77777777" w:rsidR="00A6671C" w:rsidRDefault="00A6671C" w:rsidP="00A6671C">
      <w:pPr>
        <w:pStyle w:val="ListParagraph"/>
        <w:numPr>
          <w:ilvl w:val="0"/>
          <w:numId w:val="46"/>
        </w:numPr>
      </w:pPr>
      <w:r>
        <w:t>ransomware;</w:t>
      </w:r>
    </w:p>
    <w:p w14:paraId="79B2FADE" w14:textId="77777777" w:rsidR="00A6671C" w:rsidRDefault="00A6671C" w:rsidP="00A6671C">
      <w:pPr>
        <w:pStyle w:val="ListParagraph"/>
        <w:numPr>
          <w:ilvl w:val="0"/>
          <w:numId w:val="46"/>
        </w:numPr>
      </w:pPr>
      <w:r>
        <w:t>stolen/lost phone;</w:t>
      </w:r>
    </w:p>
    <w:p w14:paraId="624F15CD" w14:textId="77777777" w:rsidR="00A6671C" w:rsidRDefault="00A6671C" w:rsidP="00A6671C">
      <w:pPr>
        <w:pStyle w:val="ListParagraph"/>
        <w:numPr>
          <w:ilvl w:val="0"/>
          <w:numId w:val="46"/>
        </w:numPr>
      </w:pPr>
      <w:r>
        <w:t>lost backup tape(s);</w:t>
      </w:r>
    </w:p>
    <w:p w14:paraId="0F043CC2" w14:textId="77777777" w:rsidR="00A6671C" w:rsidRDefault="00A6671C" w:rsidP="00A6671C">
      <w:pPr>
        <w:pStyle w:val="ListParagraph"/>
        <w:numPr>
          <w:ilvl w:val="0"/>
          <w:numId w:val="46"/>
        </w:numPr>
      </w:pPr>
      <w:r>
        <w:t>stolen credentials; and</w:t>
      </w:r>
    </w:p>
    <w:p w14:paraId="309B8571" w14:textId="77777777" w:rsidR="00A6671C" w:rsidRPr="00D25A20" w:rsidRDefault="00A6671C" w:rsidP="00A6671C">
      <w:pPr>
        <w:pStyle w:val="ListParagraph"/>
        <w:numPr>
          <w:ilvl w:val="0"/>
          <w:numId w:val="46"/>
        </w:numPr>
      </w:pPr>
      <w:r>
        <w:t>use of an unapproved cloud application.</w:t>
      </w:r>
    </w:p>
    <w:p w14:paraId="595B04E9" w14:textId="77777777" w:rsidR="00A6671C" w:rsidRDefault="00A6671C" w:rsidP="00A6671C">
      <w:r>
        <w:t xml:space="preserve">A recent update to the notification form added two new information types to the current list, </w:t>
      </w:r>
      <w:r w:rsidRPr="000D580C">
        <w:t>including</w:t>
      </w:r>
      <w:r w:rsidRPr="00D25A20">
        <w:rPr>
          <w:b/>
          <w:bCs/>
        </w:rPr>
        <w:t xml:space="preserve"> law enforcement </w:t>
      </w:r>
      <w:r w:rsidRPr="00D25A20">
        <w:t>and</w:t>
      </w:r>
      <w:r w:rsidRPr="00D25A20">
        <w:rPr>
          <w:b/>
          <w:bCs/>
        </w:rPr>
        <w:t xml:space="preserve"> crime statistics</w:t>
      </w:r>
      <w:r>
        <w:t xml:space="preserve"> information. These were added because OVIC has specific oversight of these two information types under Part 5 of the </w:t>
      </w:r>
      <w:r w:rsidRPr="009C173D">
        <w:rPr>
          <w:i/>
          <w:iCs/>
        </w:rPr>
        <w:t>Privacy and Data Protection Act</w:t>
      </w:r>
      <w:r>
        <w:t xml:space="preserve"> (</w:t>
      </w:r>
      <w:r w:rsidRPr="00B94FA9">
        <w:rPr>
          <w:b/>
          <w:bCs/>
        </w:rPr>
        <w:t>PDP Act</w:t>
      </w:r>
      <w:r>
        <w:t>). In this reporting period there were two (</w:t>
      </w:r>
      <w:r w:rsidRPr="00D25A20">
        <w:rPr>
          <w:b/>
          <w:bCs/>
        </w:rPr>
        <w:t>2</w:t>
      </w:r>
      <w:r>
        <w:t>) incidents that affected law enforcement data handled by organisations other than Victoria Police (Victoria Police incidents are captured separately).</w:t>
      </w:r>
    </w:p>
    <w:p w14:paraId="050BCE77" w14:textId="77777777" w:rsidR="00A6671C" w:rsidRDefault="00A6671C" w:rsidP="00A6671C">
      <w:r w:rsidRPr="00A50870">
        <w:rPr>
          <w:b/>
          <w:bCs/>
        </w:rPr>
        <w:t>Take</w:t>
      </w:r>
      <w:r>
        <w:rPr>
          <w:b/>
          <w:bCs/>
        </w:rPr>
        <w:t>-</w:t>
      </w:r>
      <w:r w:rsidRPr="00A50870">
        <w:rPr>
          <w:b/>
          <w:bCs/>
        </w:rPr>
        <w:t>out:</w:t>
      </w:r>
      <w:r>
        <w:t xml:space="preserve"> </w:t>
      </w:r>
    </w:p>
    <w:p w14:paraId="13D835B7" w14:textId="01F3E7AF" w:rsidR="00A6671C" w:rsidRDefault="00A6671C" w:rsidP="00A6671C">
      <w:r w:rsidRPr="004A7FC0">
        <w:t xml:space="preserve">Of the </w:t>
      </w:r>
      <w:r w:rsidRPr="002C6E03">
        <w:rPr>
          <w:b/>
          <w:bCs/>
        </w:rPr>
        <w:t>387</w:t>
      </w:r>
      <w:r w:rsidRPr="004A7FC0">
        <w:t xml:space="preserve"> incident notifications, there were </w:t>
      </w:r>
      <w:r w:rsidRPr="004A7FC0">
        <w:rPr>
          <w:b/>
          <w:bCs/>
        </w:rPr>
        <w:t>64</w:t>
      </w:r>
      <w:r w:rsidRPr="004A7FC0">
        <w:t xml:space="preserve"> notifications where</w:t>
      </w:r>
      <w:r>
        <w:t xml:space="preserve"> more than one information type option was selected for this field. </w:t>
      </w:r>
    </w:p>
    <w:p w14:paraId="68916380" w14:textId="661A55B3" w:rsidR="00A6671C" w:rsidRDefault="00A6671C" w:rsidP="00A6671C">
      <w:r w:rsidRPr="00514C5E">
        <w:t>There was one (</w:t>
      </w:r>
      <w:r w:rsidRPr="00514C5E">
        <w:rPr>
          <w:b/>
          <w:bCs/>
        </w:rPr>
        <w:t>1</w:t>
      </w:r>
      <w:r w:rsidRPr="00514C5E">
        <w:t>) notification where four (</w:t>
      </w:r>
      <w:r w:rsidRPr="00B9544D">
        <w:rPr>
          <w:b/>
          <w:bCs/>
        </w:rPr>
        <w:t>4</w:t>
      </w:r>
      <w:r w:rsidRPr="00514C5E">
        <w:t xml:space="preserve">) or more options were selected, and one </w:t>
      </w:r>
      <w:r w:rsidR="000D580C">
        <w:t>(</w:t>
      </w:r>
      <w:r w:rsidR="000D580C" w:rsidRPr="000D580C">
        <w:rPr>
          <w:b/>
          <w:bCs/>
        </w:rPr>
        <w:t>1</w:t>
      </w:r>
      <w:r w:rsidR="000D580C">
        <w:t xml:space="preserve">) </w:t>
      </w:r>
      <w:r w:rsidRPr="00514C5E">
        <w:t>where six</w:t>
      </w:r>
      <w:r w:rsidR="000D580C">
        <w:t xml:space="preserve"> (</w:t>
      </w:r>
      <w:r w:rsidR="000D580C" w:rsidRPr="000D580C">
        <w:rPr>
          <w:b/>
          <w:bCs/>
        </w:rPr>
        <w:t>6</w:t>
      </w:r>
      <w:r w:rsidR="000D580C">
        <w:t>)</w:t>
      </w:r>
      <w:r w:rsidRPr="00514C5E">
        <w:t xml:space="preserve"> or seven </w:t>
      </w:r>
      <w:r w:rsidR="000D580C">
        <w:t>(</w:t>
      </w:r>
      <w:r w:rsidR="000D580C" w:rsidRPr="000D580C">
        <w:rPr>
          <w:b/>
          <w:bCs/>
        </w:rPr>
        <w:t>7</w:t>
      </w:r>
      <w:r w:rsidR="000D580C">
        <w:t xml:space="preserve">) </w:t>
      </w:r>
      <w:r w:rsidRPr="00514C5E">
        <w:t xml:space="preserve">information types were selected. These included an incident where a large amount of a public sector information was copied from an internal system to a secondary storage device and an employee continuing to access internal systems </w:t>
      </w:r>
      <w:r>
        <w:t>while being on</w:t>
      </w:r>
      <w:r w:rsidRPr="00514C5E">
        <w:t xml:space="preserve"> a long period of leave.</w:t>
      </w:r>
    </w:p>
    <w:p w14:paraId="2CA32448" w14:textId="77777777" w:rsidR="00A6671C" w:rsidRDefault="00A6671C" w:rsidP="00A6671C">
      <w:r>
        <w:t>There were nine (</w:t>
      </w:r>
      <w:r w:rsidRPr="00C06711">
        <w:rPr>
          <w:b/>
          <w:bCs/>
        </w:rPr>
        <w:t>9</w:t>
      </w:r>
      <w:r>
        <w:t xml:space="preserve">) notifications related to ransomware incidents, which is almost double compared to the last reporting period. Some of these ransomware incidents affected third parties with access to Victorian public sector information. </w:t>
      </w:r>
    </w:p>
    <w:p w14:paraId="09B39E86" w14:textId="77777777" w:rsidR="00A6671C" w:rsidRDefault="00A6671C" w:rsidP="00A6671C">
      <w:r>
        <w:t xml:space="preserve">Examples of some publicised ransomware incidents affecting Victorian government during the July to December period include: </w:t>
      </w:r>
    </w:p>
    <w:p w14:paraId="4AD52F47" w14:textId="77777777" w:rsidR="00A6671C" w:rsidRPr="00A6671C" w:rsidRDefault="00167A03" w:rsidP="00A6671C">
      <w:pPr>
        <w:pStyle w:val="ListParagraph"/>
        <w:numPr>
          <w:ilvl w:val="0"/>
          <w:numId w:val="47"/>
        </w:numPr>
        <w:rPr>
          <w:rStyle w:val="Hyperlink"/>
          <w:color w:val="430098" w:themeColor="text2"/>
        </w:rPr>
      </w:pPr>
      <w:hyperlink r:id="rId17" w:history="1">
        <w:r w:rsidR="00A6671C" w:rsidRPr="00A6671C">
          <w:rPr>
            <w:rStyle w:val="Hyperlink"/>
            <w:color w:val="430098" w:themeColor="text2"/>
          </w:rPr>
          <w:t>PNORS Technology group</w:t>
        </w:r>
      </w:hyperlink>
      <w:r w:rsidR="00A6671C" w:rsidRPr="00A6671C">
        <w:rPr>
          <w:rStyle w:val="Hyperlink"/>
          <w:color w:val="430098" w:themeColor="text2"/>
        </w:rPr>
        <w:t xml:space="preserve"> </w:t>
      </w:r>
    </w:p>
    <w:p w14:paraId="6F83A443" w14:textId="77777777" w:rsidR="00A6671C" w:rsidRPr="00A6671C" w:rsidRDefault="00167A03" w:rsidP="00A6671C">
      <w:pPr>
        <w:pStyle w:val="ListParagraph"/>
        <w:numPr>
          <w:ilvl w:val="0"/>
          <w:numId w:val="47"/>
        </w:numPr>
        <w:rPr>
          <w:rStyle w:val="Hyperlink"/>
          <w:color w:val="430098" w:themeColor="text2"/>
        </w:rPr>
      </w:pPr>
      <w:hyperlink r:id="rId18" w:history="1">
        <w:r w:rsidR="00A6671C" w:rsidRPr="00A6671C">
          <w:rPr>
            <w:rStyle w:val="Hyperlink"/>
            <w:color w:val="430098" w:themeColor="text2"/>
          </w:rPr>
          <w:t>G4S</w:t>
        </w:r>
      </w:hyperlink>
      <w:r w:rsidR="00A6671C" w:rsidRPr="00A6671C">
        <w:rPr>
          <w:rStyle w:val="Hyperlink"/>
          <w:color w:val="430098" w:themeColor="text2"/>
        </w:rPr>
        <w:t xml:space="preserve"> </w:t>
      </w:r>
    </w:p>
    <w:p w14:paraId="284186A4" w14:textId="77777777" w:rsidR="00A6671C" w:rsidRDefault="00167A03" w:rsidP="00A6671C">
      <w:pPr>
        <w:pStyle w:val="ListParagraph"/>
        <w:numPr>
          <w:ilvl w:val="0"/>
          <w:numId w:val="47"/>
        </w:numPr>
      </w:pPr>
      <w:hyperlink r:id="rId19" w:history="1">
        <w:r w:rsidR="00A6671C" w:rsidRPr="00A6671C">
          <w:rPr>
            <w:rStyle w:val="Hyperlink"/>
            <w:color w:val="430098" w:themeColor="text2"/>
          </w:rPr>
          <w:t>Fire Rescue Victoria</w:t>
        </w:r>
      </w:hyperlink>
      <w:r w:rsidR="00A6671C">
        <w:t xml:space="preserve"> (</w:t>
      </w:r>
      <w:r w:rsidR="00A6671C" w:rsidRPr="00A6671C">
        <w:rPr>
          <w:b/>
          <w:bCs/>
        </w:rPr>
        <w:t>FRV</w:t>
      </w:r>
      <w:r w:rsidR="00A6671C">
        <w:t xml:space="preserve">) </w:t>
      </w:r>
    </w:p>
    <w:p w14:paraId="74D7156C" w14:textId="77777777" w:rsidR="00A6671C" w:rsidRPr="00F660D8" w:rsidRDefault="00167A03" w:rsidP="00A6671C">
      <w:pPr>
        <w:pStyle w:val="ListParagraph"/>
        <w:numPr>
          <w:ilvl w:val="0"/>
          <w:numId w:val="47"/>
        </w:numPr>
      </w:pPr>
      <w:hyperlink r:id="rId20" w:history="1">
        <w:r w:rsidR="00A6671C" w:rsidRPr="00A6671C">
          <w:rPr>
            <w:rStyle w:val="Hyperlink"/>
            <w:color w:val="430098" w:themeColor="text2"/>
          </w:rPr>
          <w:t>Dialog</w:t>
        </w:r>
      </w:hyperlink>
      <w:r w:rsidR="00A6671C" w:rsidRPr="007B2C8B">
        <w:t xml:space="preserve"> </w:t>
      </w:r>
    </w:p>
    <w:p w14:paraId="7A5DB3E3" w14:textId="77777777" w:rsidR="00A6671C" w:rsidRPr="007B2C8B" w:rsidRDefault="00167A03" w:rsidP="00A6671C">
      <w:pPr>
        <w:pStyle w:val="ListParagraph"/>
        <w:numPr>
          <w:ilvl w:val="0"/>
          <w:numId w:val="47"/>
        </w:numPr>
      </w:pPr>
      <w:hyperlink r:id="rId21" w:history="1">
        <w:r w:rsidR="00A6671C" w:rsidRPr="00A6671C">
          <w:rPr>
            <w:rStyle w:val="Hyperlink"/>
            <w:color w:val="430098" w:themeColor="text2"/>
          </w:rPr>
          <w:t>Wordfly</w:t>
        </w:r>
      </w:hyperlink>
      <w:r w:rsidR="00A6671C" w:rsidRPr="007B2C8B">
        <w:t xml:space="preserve"> </w:t>
      </w:r>
    </w:p>
    <w:p w14:paraId="15E7FA84" w14:textId="7E840EFF" w:rsidR="00A6671C" w:rsidRDefault="00A6671C" w:rsidP="00A6671C">
      <w:r>
        <w:t xml:space="preserve">In these notifications, sometimes </w:t>
      </w:r>
      <w:r w:rsidRPr="00D25A20">
        <w:rPr>
          <w:b/>
          <w:bCs/>
        </w:rPr>
        <w:t>Other</w:t>
      </w:r>
      <w:r>
        <w:t xml:space="preserve"> was selected, sometimes </w:t>
      </w:r>
      <w:r w:rsidRPr="00D25A20">
        <w:rPr>
          <w:b/>
          <w:bCs/>
        </w:rPr>
        <w:t>Unknown</w:t>
      </w:r>
      <w:r>
        <w:t xml:space="preserve"> was selected and sometimes organisations knew what information was affected so they selected specific information types like </w:t>
      </w:r>
      <w:r w:rsidRPr="00D25A20">
        <w:rPr>
          <w:b/>
          <w:bCs/>
        </w:rPr>
        <w:t>personal</w:t>
      </w:r>
      <w:r>
        <w:t xml:space="preserve"> information.  </w:t>
      </w:r>
    </w:p>
    <w:p w14:paraId="2B4052AF" w14:textId="250420FA" w:rsidR="00A6671C" w:rsidRDefault="00A6671C" w:rsidP="00A6671C"/>
    <w:p w14:paraId="2E1D9BE6" w14:textId="77777777" w:rsidR="00A6671C" w:rsidRDefault="00A6671C" w:rsidP="00A6671C">
      <w:pPr>
        <w:pStyle w:val="Heading3"/>
      </w:pPr>
      <w:r w:rsidRPr="009D2AB2">
        <w:lastRenderedPageBreak/>
        <w:t xml:space="preserve">Information </w:t>
      </w:r>
      <w:r>
        <w:t>Business Impact Level (</w:t>
      </w:r>
      <w:r w:rsidRPr="00B413CC">
        <w:rPr>
          <w:b/>
          <w:bCs/>
        </w:rPr>
        <w:t>BIL</w:t>
      </w:r>
      <w:r>
        <w:t>)</w:t>
      </w:r>
      <w:r>
        <w:rPr>
          <w:rStyle w:val="FootnoteReference"/>
          <w:sz w:val="24"/>
        </w:rPr>
        <w:footnoteReference w:id="1"/>
      </w:r>
      <w:r>
        <w:t xml:space="preserve"> </w:t>
      </w:r>
    </w:p>
    <w:p w14:paraId="18B1D2C9" w14:textId="2A77DEE9" w:rsidR="00A01C6A" w:rsidRDefault="000D580C" w:rsidP="00A6671C">
      <w:r w:rsidRPr="000D580C">
        <w:rPr>
          <w:noProof/>
        </w:rPr>
        <w:drawing>
          <wp:inline distT="0" distB="0" distL="0" distR="0" wp14:anchorId="53AF5042" wp14:editId="23FBAEC9">
            <wp:extent cx="5904230" cy="4048760"/>
            <wp:effectExtent l="0" t="0" r="1270" b="8890"/>
            <wp:docPr id="5" name="Picture 5"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Teams&#10;&#10;Description automatically generated"/>
                    <pic:cNvPicPr/>
                  </pic:nvPicPr>
                  <pic:blipFill>
                    <a:blip r:embed="rId22"/>
                    <a:stretch>
                      <a:fillRect/>
                    </a:stretch>
                  </pic:blipFill>
                  <pic:spPr>
                    <a:xfrm>
                      <a:off x="0" y="0"/>
                      <a:ext cx="5904230" cy="4048760"/>
                    </a:xfrm>
                    <a:prstGeom prst="rect">
                      <a:avLst/>
                    </a:prstGeom>
                  </pic:spPr>
                </pic:pic>
              </a:graphicData>
            </a:graphic>
          </wp:inline>
        </w:drawing>
      </w:r>
    </w:p>
    <w:p w14:paraId="4A15338B" w14:textId="23734885" w:rsidR="00A6671C" w:rsidRDefault="00A6671C" w:rsidP="00A6671C">
      <w:r w:rsidRPr="007323B2">
        <w:t xml:space="preserve">The number of notifications </w:t>
      </w:r>
      <w:r>
        <w:t xml:space="preserve">identifying incidents </w:t>
      </w:r>
      <w:r w:rsidRPr="007323B2">
        <w:t xml:space="preserve">affecting information assessed as </w:t>
      </w:r>
      <w:r>
        <w:t>having a Limited impact or Business Impact Level (</w:t>
      </w:r>
      <w:r w:rsidRPr="00E4653C">
        <w:rPr>
          <w:b/>
          <w:bCs/>
        </w:rPr>
        <w:t>BIL</w:t>
      </w:r>
      <w:r>
        <w:t>)</w:t>
      </w:r>
      <w:r w:rsidRPr="007323B2">
        <w:t xml:space="preserve"> 2</w:t>
      </w:r>
      <w:r>
        <w:t xml:space="preserve"> is consistent with the previous </w:t>
      </w:r>
      <w:r w:rsidRPr="007323B2">
        <w:t xml:space="preserve">reporting period </w:t>
      </w:r>
      <w:r>
        <w:t>at</w:t>
      </w:r>
      <w:r w:rsidRPr="007323B2">
        <w:t xml:space="preserve"> </w:t>
      </w:r>
      <w:r w:rsidRPr="007323B2">
        <w:rPr>
          <w:b/>
          <w:bCs/>
        </w:rPr>
        <w:t>92%</w:t>
      </w:r>
      <w:r w:rsidRPr="007323B2">
        <w:t>.</w:t>
      </w:r>
    </w:p>
    <w:p w14:paraId="2A674376" w14:textId="77777777" w:rsidR="00A6671C" w:rsidRDefault="00A6671C" w:rsidP="00A6671C">
      <w:r>
        <w:t xml:space="preserve">Around </w:t>
      </w:r>
      <w:r w:rsidRPr="002C00FD">
        <w:rPr>
          <w:b/>
          <w:bCs/>
        </w:rPr>
        <w:t>3</w:t>
      </w:r>
      <w:r>
        <w:rPr>
          <w:b/>
          <w:bCs/>
        </w:rPr>
        <w:t>7</w:t>
      </w:r>
      <w:r w:rsidRPr="002C00FD">
        <w:rPr>
          <w:b/>
          <w:bCs/>
        </w:rPr>
        <w:t>%</w:t>
      </w:r>
      <w:r>
        <w:t xml:space="preserve"> of notifications did not identify the BIL of the information affected at the time of notification, either because the field was left blank, or a different form was used (e.g., an organisation-specific privacy form). In instances where the BIL is not provided, subjective assessments are made by OVIC practitioners using the information provided in the notifications to nominate a corresponding BIL.</w:t>
      </w:r>
    </w:p>
    <w:p w14:paraId="5693CD7F" w14:textId="77777777" w:rsidR="00A6671C" w:rsidRPr="00DD13B4" w:rsidRDefault="00A6671C" w:rsidP="00A6671C">
      <w:r w:rsidRPr="00A50870">
        <w:rPr>
          <w:b/>
          <w:bCs/>
        </w:rPr>
        <w:t>Take</w:t>
      </w:r>
      <w:r>
        <w:rPr>
          <w:b/>
          <w:bCs/>
        </w:rPr>
        <w:t>-</w:t>
      </w:r>
      <w:r w:rsidRPr="00A50870">
        <w:rPr>
          <w:b/>
          <w:bCs/>
        </w:rPr>
        <w:t>out:</w:t>
      </w:r>
      <w:r>
        <w:t xml:space="preserve"> </w:t>
      </w:r>
    </w:p>
    <w:p w14:paraId="7F3F73D9" w14:textId="77777777" w:rsidR="00A6671C" w:rsidRDefault="00A6671C" w:rsidP="00A6671C">
      <w:r>
        <w:t xml:space="preserve">There were </w:t>
      </w:r>
      <w:r w:rsidRPr="00EC09FD">
        <w:rPr>
          <w:b/>
          <w:bCs/>
        </w:rPr>
        <w:t>11</w:t>
      </w:r>
      <w:r>
        <w:t xml:space="preserve"> notifications nominating </w:t>
      </w:r>
      <w:r w:rsidRPr="00E62230">
        <w:rPr>
          <w:b/>
          <w:bCs/>
        </w:rPr>
        <w:t>BIL 3</w:t>
      </w:r>
      <w:r>
        <w:t xml:space="preserve"> which is consistent with the same time last year. Looking at these notifications, it appears BIL 3 was correctly chosen for most of these e.g., where it affected law enforcement, critical infrastructure, cabinet or security classified information. </w:t>
      </w:r>
    </w:p>
    <w:p w14:paraId="404C4F8E" w14:textId="77777777" w:rsidR="00A6671C" w:rsidRDefault="00A6671C" w:rsidP="00A6671C">
      <w:r>
        <w:t xml:space="preserve">It is encouraging to continue seeing organisations notify OVIC of incidents regardless of threshold, for example notifying of incidents affecting </w:t>
      </w:r>
      <w:r w:rsidRPr="00277FB9">
        <w:rPr>
          <w:b/>
          <w:bCs/>
        </w:rPr>
        <w:t>BIL 1</w:t>
      </w:r>
      <w:r>
        <w:t xml:space="preserve"> information, to enable us to not only look at trends and themes but also provide privacy assistance where required for incidents affecting personal information.</w:t>
      </w:r>
    </w:p>
    <w:p w14:paraId="2A71CC65" w14:textId="24C3523A" w:rsidR="00A6671C" w:rsidRDefault="00A6671C" w:rsidP="00A6671C"/>
    <w:p w14:paraId="74365355" w14:textId="77777777" w:rsidR="00A01C6A" w:rsidRDefault="00A01C6A" w:rsidP="00A6671C"/>
    <w:p w14:paraId="32866EC7" w14:textId="77777777" w:rsidR="00A6671C" w:rsidRDefault="00A6671C" w:rsidP="00A6671C">
      <w:pPr>
        <w:pStyle w:val="Heading3"/>
      </w:pPr>
      <w:r w:rsidRPr="009D2AB2">
        <w:t>Security attributes impacted</w:t>
      </w:r>
      <w:r>
        <w:t xml:space="preserve"> </w:t>
      </w:r>
      <w:r w:rsidRPr="002C6E03">
        <w:t>(Multiple options can be selected)</w:t>
      </w:r>
    </w:p>
    <w:p w14:paraId="4D3A7966" w14:textId="596F2A09" w:rsidR="00A01C6A" w:rsidRDefault="000D580C" w:rsidP="00A6671C">
      <w:bookmarkStart w:id="2" w:name="_Hlk57107159"/>
      <w:r w:rsidRPr="000D580C">
        <w:rPr>
          <w:noProof/>
        </w:rPr>
        <w:drawing>
          <wp:inline distT="0" distB="0" distL="0" distR="0" wp14:anchorId="18AC7CD4" wp14:editId="2474D591">
            <wp:extent cx="5904230" cy="4020820"/>
            <wp:effectExtent l="0" t="0" r="1270" b="0"/>
            <wp:docPr id="6" name="Picture 6"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Teams&#10;&#10;Description automatically generated"/>
                    <pic:cNvPicPr/>
                  </pic:nvPicPr>
                  <pic:blipFill>
                    <a:blip r:embed="rId23"/>
                    <a:stretch>
                      <a:fillRect/>
                    </a:stretch>
                  </pic:blipFill>
                  <pic:spPr>
                    <a:xfrm>
                      <a:off x="0" y="0"/>
                      <a:ext cx="5904230" cy="4020820"/>
                    </a:xfrm>
                    <a:prstGeom prst="rect">
                      <a:avLst/>
                    </a:prstGeom>
                  </pic:spPr>
                </pic:pic>
              </a:graphicData>
            </a:graphic>
          </wp:inline>
        </w:drawing>
      </w:r>
    </w:p>
    <w:p w14:paraId="76EE8F47" w14:textId="73B6F74F" w:rsidR="00A6671C" w:rsidRPr="001949C1" w:rsidRDefault="00A6671C" w:rsidP="00A6671C">
      <w:r w:rsidRPr="001949C1">
        <w:t xml:space="preserve">All except for </w:t>
      </w:r>
      <w:r w:rsidRPr="00241D01">
        <w:rPr>
          <w:b/>
          <w:bCs/>
        </w:rPr>
        <w:t>10</w:t>
      </w:r>
      <w:r w:rsidRPr="001949C1">
        <w:t xml:space="preserve"> incident notifications (</w:t>
      </w:r>
      <w:r w:rsidRPr="001949C1">
        <w:rPr>
          <w:b/>
          <w:bCs/>
        </w:rPr>
        <w:t>98%</w:t>
      </w:r>
      <w:r w:rsidRPr="001949C1">
        <w:t>) indicate</w:t>
      </w:r>
      <w:r>
        <w:t>d</w:t>
      </w:r>
      <w:r w:rsidRPr="001949C1">
        <w:t xml:space="preserve"> compromises of the confidentiality of information followed by integrity and availability. Even with the </w:t>
      </w:r>
      <w:r w:rsidRPr="00241D01">
        <w:rPr>
          <w:b/>
          <w:bCs/>
        </w:rPr>
        <w:t>33%</w:t>
      </w:r>
      <w:r w:rsidRPr="001949C1">
        <w:t xml:space="preserve"> increase in notifications this reporting period compared to the previous reporting period, the percentage of incidents affecting the integrity or availability of information did not increase and was either the same (</w:t>
      </w:r>
      <w:r w:rsidRPr="001949C1">
        <w:rPr>
          <w:b/>
          <w:bCs/>
        </w:rPr>
        <w:t>10% integrity</w:t>
      </w:r>
      <w:r w:rsidRPr="001949C1">
        <w:t>) or less (</w:t>
      </w:r>
      <w:r w:rsidRPr="001949C1">
        <w:rPr>
          <w:b/>
          <w:bCs/>
        </w:rPr>
        <w:t>6% availability</w:t>
      </w:r>
      <w:r w:rsidRPr="001949C1">
        <w:t>).</w:t>
      </w:r>
    </w:p>
    <w:bookmarkEnd w:id="2"/>
    <w:p w14:paraId="17DF8719" w14:textId="77777777" w:rsidR="00A6671C" w:rsidRDefault="00A6671C" w:rsidP="00A6671C">
      <w:r w:rsidRPr="00F9240C">
        <w:rPr>
          <w:b/>
          <w:bCs/>
        </w:rPr>
        <w:t>Take-out:</w:t>
      </w:r>
      <w:r w:rsidRPr="00F9240C">
        <w:t xml:space="preserve"> </w:t>
      </w:r>
    </w:p>
    <w:p w14:paraId="38FB9905" w14:textId="3A84E8B0" w:rsidR="00A6671C" w:rsidRDefault="00A6671C" w:rsidP="00A6671C">
      <w:r>
        <w:t>Identical to the last reporting period</w:t>
      </w:r>
      <w:r w:rsidRPr="00824F8D">
        <w:t xml:space="preserve">, </w:t>
      </w:r>
      <w:r w:rsidRPr="00824F8D">
        <w:rPr>
          <w:b/>
          <w:bCs/>
        </w:rPr>
        <w:t>12%</w:t>
      </w:r>
      <w:r w:rsidRPr="00824F8D">
        <w:t xml:space="preserve"> </w:t>
      </w:r>
      <w:r>
        <w:t xml:space="preserve">of incident notifications related to </w:t>
      </w:r>
      <w:r w:rsidRPr="00824F8D">
        <w:t xml:space="preserve">more than one option for this field. </w:t>
      </w:r>
      <w:r>
        <w:t>Where more than one option was selected, t</w:t>
      </w:r>
      <w:r w:rsidRPr="00824F8D">
        <w:t xml:space="preserve">he majority of these </w:t>
      </w:r>
      <w:r>
        <w:t>selected</w:t>
      </w:r>
      <w:r w:rsidRPr="00824F8D">
        <w:t xml:space="preserve"> both </w:t>
      </w:r>
      <w:r w:rsidRPr="00824F8D">
        <w:rPr>
          <w:b/>
          <w:bCs/>
        </w:rPr>
        <w:t>confidentiality</w:t>
      </w:r>
      <w:r w:rsidRPr="00824F8D">
        <w:t xml:space="preserve"> and </w:t>
      </w:r>
      <w:r w:rsidRPr="00824F8D">
        <w:rPr>
          <w:b/>
          <w:bCs/>
        </w:rPr>
        <w:t>integrity</w:t>
      </w:r>
      <w:r w:rsidRPr="00824F8D">
        <w:t xml:space="preserve">. </w:t>
      </w:r>
    </w:p>
    <w:p w14:paraId="272A22F8" w14:textId="77777777" w:rsidR="00A6671C" w:rsidRDefault="00A6671C" w:rsidP="00A6671C">
      <w:r w:rsidRPr="00824F8D">
        <w:t xml:space="preserve">For example, an internal fraud incident can not only affect the </w:t>
      </w:r>
      <w:r w:rsidRPr="00824F8D">
        <w:rPr>
          <w:b/>
          <w:bCs/>
        </w:rPr>
        <w:t xml:space="preserve">confidentiality </w:t>
      </w:r>
      <w:r w:rsidRPr="00824F8D">
        <w:t>of customer</w:t>
      </w:r>
      <w:r>
        <w:t>’</w:t>
      </w:r>
      <w:r w:rsidRPr="00824F8D">
        <w:t>s bank accounts</w:t>
      </w:r>
      <w:r>
        <w:t>,</w:t>
      </w:r>
      <w:r w:rsidRPr="00824F8D">
        <w:t xml:space="preserve"> but also the</w:t>
      </w:r>
      <w:r w:rsidRPr="00824F8D">
        <w:rPr>
          <w:b/>
          <w:bCs/>
        </w:rPr>
        <w:t xml:space="preserve"> integrity </w:t>
      </w:r>
      <w:r w:rsidRPr="00824F8D">
        <w:t>of the system with incorrect data.</w:t>
      </w:r>
      <w:r>
        <w:t xml:space="preserve"> An example of where </w:t>
      </w:r>
      <w:r w:rsidRPr="0068284B">
        <w:rPr>
          <w:b/>
          <w:bCs/>
        </w:rPr>
        <w:t>confidentiality</w:t>
      </w:r>
      <w:r>
        <w:t xml:space="preserve"> and </w:t>
      </w:r>
      <w:r w:rsidRPr="0068284B">
        <w:rPr>
          <w:b/>
          <w:bCs/>
        </w:rPr>
        <w:t>availability</w:t>
      </w:r>
      <w:r>
        <w:t xml:space="preserve"> were both selected included a lost device such as a phone or backup tape. </w:t>
      </w:r>
    </w:p>
    <w:p w14:paraId="168C48E1" w14:textId="77777777" w:rsidR="00A6671C" w:rsidRDefault="00A6671C" w:rsidP="00A6671C">
      <w:r>
        <w:lastRenderedPageBreak/>
        <w:t xml:space="preserve">There were only a couple occurrences where </w:t>
      </w:r>
      <w:r w:rsidRPr="0068284B">
        <w:rPr>
          <w:b/>
          <w:bCs/>
        </w:rPr>
        <w:t>availability</w:t>
      </w:r>
      <w:r>
        <w:t xml:space="preserve"> was selected on its own. An example of this included a configuration change to block a legitimate email address without consulting the business.</w:t>
      </w:r>
    </w:p>
    <w:p w14:paraId="1ED4AFD7" w14:textId="77777777" w:rsidR="00A6671C" w:rsidRPr="00241D01" w:rsidRDefault="00A6671C" w:rsidP="00A6671C">
      <w:pPr>
        <w:rPr>
          <w:i/>
          <w:iCs/>
        </w:rPr>
      </w:pPr>
      <w:r>
        <w:t>Even though most incidents affect the confidentiality of information, organisations should be mindful that other security attributes (integrity and availability) are still at risk of compromise and should be equally considered in any risk assessments.</w:t>
      </w:r>
    </w:p>
    <w:p w14:paraId="358E0246" w14:textId="5711F896" w:rsidR="00A6671C" w:rsidRDefault="00A6671C" w:rsidP="00A6671C"/>
    <w:p w14:paraId="677A89C7" w14:textId="77777777" w:rsidR="00A01C6A" w:rsidRDefault="00A01C6A" w:rsidP="00A6671C"/>
    <w:p w14:paraId="5CD3971B" w14:textId="77777777" w:rsidR="0075052C" w:rsidRDefault="0075052C">
      <w:pPr>
        <w:spacing w:before="0" w:after="160" w:line="259" w:lineRule="auto"/>
        <w:rPr>
          <w:rFonts w:eastAsiaTheme="majorEastAsia" w:cstheme="majorBidi"/>
          <w:sz w:val="26"/>
          <w:szCs w:val="24"/>
        </w:rPr>
      </w:pPr>
      <w:r>
        <w:br w:type="page"/>
      </w:r>
    </w:p>
    <w:p w14:paraId="61B5078D" w14:textId="26D1E1E3" w:rsidR="00A6671C" w:rsidRDefault="00A6671C" w:rsidP="00A6671C">
      <w:pPr>
        <w:pStyle w:val="Heading3"/>
      </w:pPr>
      <w:r w:rsidRPr="00A6671C">
        <w:lastRenderedPageBreak/>
        <w:t>Control area(s) affected (Multiple options can be selected)</w:t>
      </w:r>
    </w:p>
    <w:p w14:paraId="07A9DCBF" w14:textId="29AADC9C" w:rsidR="00A01C6A" w:rsidRDefault="00167A03" w:rsidP="001F2054">
      <w:pPr>
        <w:jc w:val="center"/>
      </w:pPr>
      <w:r w:rsidRPr="00167A03">
        <w:drawing>
          <wp:inline distT="0" distB="0" distL="0" distR="0" wp14:anchorId="1ADE1F78" wp14:editId="5C015FF6">
            <wp:extent cx="5904230" cy="4069715"/>
            <wp:effectExtent l="0" t="0" r="1270" b="6985"/>
            <wp:docPr id="965425366"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425366" name="Picture 1" descr="Graphical user interface, application, Teams&#10;&#10;Description automatically generated"/>
                    <pic:cNvPicPr/>
                  </pic:nvPicPr>
                  <pic:blipFill>
                    <a:blip r:embed="rId24"/>
                    <a:stretch>
                      <a:fillRect/>
                    </a:stretch>
                  </pic:blipFill>
                  <pic:spPr>
                    <a:xfrm>
                      <a:off x="0" y="0"/>
                      <a:ext cx="5904230" cy="4069715"/>
                    </a:xfrm>
                    <a:prstGeom prst="rect">
                      <a:avLst/>
                    </a:prstGeom>
                  </pic:spPr>
                </pic:pic>
              </a:graphicData>
            </a:graphic>
          </wp:inline>
        </w:drawing>
      </w:r>
    </w:p>
    <w:p w14:paraId="4365ABD5" w14:textId="0D155D52" w:rsidR="00A6671C" w:rsidRDefault="00A6671C" w:rsidP="00A6671C">
      <w:r>
        <w:t xml:space="preserve">This reporting period saw a slight increase in the incident notifications related to </w:t>
      </w:r>
      <w:r w:rsidRPr="00DD13B4">
        <w:rPr>
          <w:b/>
          <w:bCs/>
        </w:rPr>
        <w:t>people</w:t>
      </w:r>
      <w:r>
        <w:t xml:space="preserve"> (</w:t>
      </w:r>
      <w:r w:rsidRPr="006D1455">
        <w:rPr>
          <w:b/>
          <w:bCs/>
        </w:rPr>
        <w:t>92%</w:t>
      </w:r>
      <w:r>
        <w:t xml:space="preserve">) followed by </w:t>
      </w:r>
      <w:r w:rsidRPr="00B0081A">
        <w:rPr>
          <w:b/>
          <w:bCs/>
        </w:rPr>
        <w:t>process</w:t>
      </w:r>
      <w:r>
        <w:t xml:space="preserve"> issues.</w:t>
      </w:r>
      <w:r w:rsidRPr="006C2E5D">
        <w:t xml:space="preserve"> </w:t>
      </w:r>
      <w:r>
        <w:t xml:space="preserve">Although there was an increase in the total number of incident notifications for this reporting period, the number of incidents caused by deficiencies in </w:t>
      </w:r>
      <w:r w:rsidRPr="006D1455">
        <w:rPr>
          <w:b/>
          <w:bCs/>
        </w:rPr>
        <w:t>process</w:t>
      </w:r>
      <w:r>
        <w:t xml:space="preserve"> decreased from </w:t>
      </w:r>
      <w:r w:rsidRPr="006D1455">
        <w:rPr>
          <w:b/>
          <w:bCs/>
        </w:rPr>
        <w:t>19%</w:t>
      </w:r>
      <w:r>
        <w:rPr>
          <w:b/>
          <w:bCs/>
        </w:rPr>
        <w:t xml:space="preserve"> </w:t>
      </w:r>
      <w:r w:rsidRPr="006D1455">
        <w:t>in the previous reporting period</w:t>
      </w:r>
      <w:r>
        <w:t xml:space="preserve"> to </w:t>
      </w:r>
      <w:r w:rsidRPr="006D1455">
        <w:rPr>
          <w:b/>
          <w:bCs/>
        </w:rPr>
        <w:t>10%</w:t>
      </w:r>
      <w:r>
        <w:t xml:space="preserve"> of the total notifications received in this reporting period.</w:t>
      </w:r>
    </w:p>
    <w:p w14:paraId="2E7DEFFC" w14:textId="77777777" w:rsidR="00A6671C" w:rsidRDefault="00A6671C" w:rsidP="00A6671C">
      <w:r>
        <w:t xml:space="preserve">Multiple options can be selected for this field. Like the last reporting period, </w:t>
      </w:r>
      <w:r w:rsidRPr="00995488">
        <w:t>in most (</w:t>
      </w:r>
      <w:r w:rsidRPr="00995488">
        <w:rPr>
          <w:b/>
          <w:bCs/>
        </w:rPr>
        <w:t>83%</w:t>
      </w:r>
      <w:r w:rsidRPr="00995488">
        <w:t xml:space="preserve">) occurrences where </w:t>
      </w:r>
      <w:r w:rsidRPr="00995488">
        <w:rPr>
          <w:b/>
          <w:bCs/>
        </w:rPr>
        <w:t>process</w:t>
      </w:r>
      <w:r w:rsidRPr="00995488">
        <w:t xml:space="preserve"> was selected, </w:t>
      </w:r>
      <w:r w:rsidRPr="00995488">
        <w:rPr>
          <w:b/>
          <w:bCs/>
        </w:rPr>
        <w:t>people</w:t>
      </w:r>
      <w:r w:rsidRPr="00995488">
        <w:t xml:space="preserve"> was also selected.</w:t>
      </w:r>
      <w:r>
        <w:t xml:space="preserve"> There were only six (</w:t>
      </w:r>
      <w:r w:rsidRPr="00995488">
        <w:rPr>
          <w:b/>
          <w:bCs/>
        </w:rPr>
        <w:t>6</w:t>
      </w:r>
      <w:r>
        <w:t xml:space="preserve">) notifications where </w:t>
      </w:r>
      <w:r w:rsidRPr="00995488">
        <w:rPr>
          <w:b/>
          <w:bCs/>
        </w:rPr>
        <w:t>process</w:t>
      </w:r>
      <w:r>
        <w:t xml:space="preserve"> was selected on its own and </w:t>
      </w:r>
      <w:r w:rsidRPr="00372375">
        <w:rPr>
          <w:b/>
          <w:bCs/>
        </w:rPr>
        <w:t>14</w:t>
      </w:r>
      <w:r>
        <w:t xml:space="preserve"> notifications where </w:t>
      </w:r>
      <w:r w:rsidRPr="00E62230">
        <w:rPr>
          <w:b/>
          <w:bCs/>
        </w:rPr>
        <w:t>technology</w:t>
      </w:r>
      <w:r>
        <w:t xml:space="preserve"> was selected on its own as a cause of an incident.</w:t>
      </w:r>
    </w:p>
    <w:p w14:paraId="306C55B6" w14:textId="77777777" w:rsidR="00A6671C" w:rsidRDefault="00A6671C" w:rsidP="00A6671C">
      <w:r>
        <w:t>There were four (</w:t>
      </w:r>
      <w:r w:rsidRPr="00C03069">
        <w:rPr>
          <w:b/>
          <w:bCs/>
        </w:rPr>
        <w:t>4</w:t>
      </w:r>
      <w:r>
        <w:t>) notifications (</w:t>
      </w:r>
      <w:r>
        <w:rPr>
          <w:b/>
          <w:bCs/>
        </w:rPr>
        <w:t>1</w:t>
      </w:r>
      <w:r w:rsidRPr="00A245EF">
        <w:rPr>
          <w:b/>
          <w:bCs/>
        </w:rPr>
        <w:t>%</w:t>
      </w:r>
      <w:r>
        <w:t xml:space="preserve">) where the incident occurred due to a missing control(s) and there were </w:t>
      </w:r>
      <w:r w:rsidRPr="00C03069">
        <w:rPr>
          <w:b/>
          <w:bCs/>
        </w:rPr>
        <w:t>ten</w:t>
      </w:r>
      <w:r>
        <w:t xml:space="preserve"> notifications where the control area affected could not be determined.</w:t>
      </w:r>
    </w:p>
    <w:p w14:paraId="472105AD" w14:textId="77777777" w:rsidR="00A6671C" w:rsidRDefault="00A6671C" w:rsidP="00A6671C">
      <w:r w:rsidRPr="0019098D">
        <w:rPr>
          <w:b/>
          <w:bCs/>
        </w:rPr>
        <w:t>Take</w:t>
      </w:r>
      <w:r>
        <w:rPr>
          <w:b/>
          <w:bCs/>
        </w:rPr>
        <w:t>-</w:t>
      </w:r>
      <w:r w:rsidRPr="0019098D">
        <w:rPr>
          <w:b/>
          <w:bCs/>
        </w:rPr>
        <w:t>out:</w:t>
      </w:r>
      <w:r>
        <w:t xml:space="preserve"> </w:t>
      </w:r>
      <w:r>
        <w:br/>
      </w:r>
      <w:r w:rsidRPr="00DD13B4">
        <w:t xml:space="preserve">The key causal factors </w:t>
      </w:r>
      <w:r>
        <w:t>for</w:t>
      </w:r>
      <w:r w:rsidRPr="00DD13B4">
        <w:t xml:space="preserve"> security incidents </w:t>
      </w:r>
      <w:r>
        <w:t>remain as</w:t>
      </w:r>
      <w:r w:rsidRPr="00DD13B4">
        <w:t xml:space="preserve"> </w:t>
      </w:r>
      <w:r w:rsidRPr="00372375">
        <w:rPr>
          <w:b/>
          <w:bCs/>
        </w:rPr>
        <w:t>people</w:t>
      </w:r>
      <w:r>
        <w:t>,</w:t>
      </w:r>
      <w:r w:rsidRPr="00DD13B4">
        <w:t xml:space="preserve"> </w:t>
      </w:r>
      <w:r w:rsidRPr="00372375">
        <w:rPr>
          <w:b/>
          <w:bCs/>
        </w:rPr>
        <w:t>internal</w:t>
      </w:r>
      <w:r>
        <w:t>, and</w:t>
      </w:r>
      <w:r w:rsidRPr="00167781">
        <w:t xml:space="preserve"> </w:t>
      </w:r>
      <w:r w:rsidRPr="00372375">
        <w:rPr>
          <w:b/>
          <w:bCs/>
        </w:rPr>
        <w:t>accidental</w:t>
      </w:r>
      <w:r>
        <w:t xml:space="preserve"> (f</w:t>
      </w:r>
      <w:r w:rsidRPr="00167781">
        <w:t>or example, staff accidentally sending emails to incorrect recipients</w:t>
      </w:r>
      <w:r>
        <w:t>)</w:t>
      </w:r>
      <w:r w:rsidRPr="00167781">
        <w:t>.</w:t>
      </w:r>
      <w:r>
        <w:t xml:space="preserve"> </w:t>
      </w:r>
    </w:p>
    <w:p w14:paraId="58E3A087" w14:textId="77777777" w:rsidR="00A6671C" w:rsidRPr="00167781" w:rsidRDefault="00A6671C" w:rsidP="00A6671C">
      <w:r w:rsidRPr="00241D01">
        <w:t xml:space="preserve">It comes as no surprise that </w:t>
      </w:r>
      <w:r w:rsidRPr="00241D01">
        <w:rPr>
          <w:b/>
          <w:bCs/>
        </w:rPr>
        <w:t>people</w:t>
      </w:r>
      <w:r w:rsidRPr="00241D01">
        <w:t xml:space="preserve"> are constantly reported as the number one cause of information security incidents</w:t>
      </w:r>
      <w:r>
        <w:t xml:space="preserve"> under the scheme</w:t>
      </w:r>
      <w:r w:rsidRPr="00241D01">
        <w:t xml:space="preserve">. Whilst this might seem alarming, the positive news is that with </w:t>
      </w:r>
      <w:r w:rsidRPr="00241D01">
        <w:lastRenderedPageBreak/>
        <w:t>increased training and awareness, organisations can address more foundational issues and hopefully see a decrease in incidents cause by people</w:t>
      </w:r>
      <w:r>
        <w:t>.</w:t>
      </w:r>
    </w:p>
    <w:p w14:paraId="2F923D5A" w14:textId="77777777" w:rsidR="00A6671C" w:rsidRDefault="00A6671C" w:rsidP="00A6671C">
      <w:r>
        <w:t>There were five (</w:t>
      </w:r>
      <w:r w:rsidRPr="00372375">
        <w:rPr>
          <w:b/>
          <w:bCs/>
        </w:rPr>
        <w:t>5</w:t>
      </w:r>
      <w:r>
        <w:t xml:space="preserve">) notifications that nominated all three control areas: </w:t>
      </w:r>
      <w:r w:rsidRPr="002C6E03">
        <w:rPr>
          <w:b/>
          <w:bCs/>
        </w:rPr>
        <w:t>people</w:t>
      </w:r>
      <w:r>
        <w:t xml:space="preserve">, </w:t>
      </w:r>
      <w:r w:rsidRPr="002C6E03">
        <w:rPr>
          <w:b/>
          <w:bCs/>
        </w:rPr>
        <w:t>process</w:t>
      </w:r>
      <w:r>
        <w:t xml:space="preserve">, and </w:t>
      </w:r>
      <w:r w:rsidRPr="002C6E03">
        <w:rPr>
          <w:b/>
          <w:bCs/>
        </w:rPr>
        <w:t>technology</w:t>
      </w:r>
      <w:r>
        <w:t xml:space="preserve">. </w:t>
      </w:r>
    </w:p>
    <w:p w14:paraId="1848652A" w14:textId="77777777" w:rsidR="00A6671C" w:rsidRDefault="00A6671C" w:rsidP="00A6671C">
      <w:r>
        <w:t>Some examples of when these three control areas were selected include:</w:t>
      </w:r>
    </w:p>
    <w:p w14:paraId="2C5DA9F7" w14:textId="77777777" w:rsidR="00A6671C" w:rsidRDefault="00A6671C" w:rsidP="00A6671C">
      <w:pPr>
        <w:pStyle w:val="ListParagraph"/>
        <w:numPr>
          <w:ilvl w:val="0"/>
          <w:numId w:val="49"/>
        </w:numPr>
      </w:pPr>
      <w:r>
        <w:t>Superannuation accounts being inadvertently created for employees by a payroll system;</w:t>
      </w:r>
    </w:p>
    <w:p w14:paraId="204E3AEE" w14:textId="77777777" w:rsidR="00A6671C" w:rsidRDefault="00A6671C" w:rsidP="00A6671C">
      <w:pPr>
        <w:pStyle w:val="ListParagraph"/>
        <w:numPr>
          <w:ilvl w:val="0"/>
          <w:numId w:val="49"/>
        </w:numPr>
      </w:pPr>
      <w:r>
        <w:t>Employees continuing to have active credentials and access to an organisation’s systems after leaving the organisation; and</w:t>
      </w:r>
    </w:p>
    <w:p w14:paraId="49E5C52F" w14:textId="12C2B67D" w:rsidR="00A6671C" w:rsidRDefault="00A6671C" w:rsidP="00A6671C">
      <w:pPr>
        <w:pStyle w:val="ListParagraph"/>
        <w:numPr>
          <w:ilvl w:val="0"/>
          <w:numId w:val="49"/>
        </w:numPr>
      </w:pPr>
      <w:r>
        <w:t>Incorrect access permissions to files in SharePoint.</w:t>
      </w:r>
    </w:p>
    <w:p w14:paraId="52DF86D1" w14:textId="0261B3C5" w:rsidR="00A6671C" w:rsidRDefault="00A6671C" w:rsidP="00A6671C"/>
    <w:p w14:paraId="793A49A1" w14:textId="39352DAD" w:rsidR="00A01C6A" w:rsidRDefault="00A01C6A" w:rsidP="00A6671C"/>
    <w:p w14:paraId="482627A1" w14:textId="5F453EA1" w:rsidR="00A01C6A" w:rsidRDefault="00A01C6A" w:rsidP="00A6671C"/>
    <w:p w14:paraId="7E809634" w14:textId="53DDD2A0" w:rsidR="00A01C6A" w:rsidRDefault="00A01C6A" w:rsidP="00A6671C"/>
    <w:p w14:paraId="7FE63723" w14:textId="5A355F3D" w:rsidR="00A01C6A" w:rsidRDefault="00A01C6A" w:rsidP="00A6671C"/>
    <w:p w14:paraId="4C9380A0" w14:textId="784073A8" w:rsidR="00A01C6A" w:rsidRDefault="00A01C6A" w:rsidP="00A6671C"/>
    <w:p w14:paraId="5BA1E09A" w14:textId="3208DA67" w:rsidR="00A01C6A" w:rsidRDefault="00A01C6A" w:rsidP="00A6671C"/>
    <w:p w14:paraId="18AF7FD5" w14:textId="5D2CDF1E" w:rsidR="00A01C6A" w:rsidRDefault="00A01C6A" w:rsidP="00A6671C"/>
    <w:p w14:paraId="1D787AD6" w14:textId="0723C94A" w:rsidR="00A01C6A" w:rsidRDefault="00A01C6A" w:rsidP="00A6671C"/>
    <w:p w14:paraId="02EDBE47" w14:textId="6A7D3837" w:rsidR="00A01C6A" w:rsidRDefault="00A01C6A" w:rsidP="00A6671C"/>
    <w:p w14:paraId="60E285EC" w14:textId="54F996BE" w:rsidR="00A01C6A" w:rsidRDefault="00A01C6A" w:rsidP="00A6671C"/>
    <w:p w14:paraId="0618EC11" w14:textId="5B207606" w:rsidR="00A01C6A" w:rsidRDefault="00A01C6A" w:rsidP="00A6671C"/>
    <w:p w14:paraId="075CA451" w14:textId="1704555C" w:rsidR="00A01C6A" w:rsidRDefault="00A01C6A" w:rsidP="00A6671C"/>
    <w:p w14:paraId="1C4B6CF6" w14:textId="2639EED0" w:rsidR="00A01C6A" w:rsidRDefault="00A01C6A" w:rsidP="00A6671C"/>
    <w:p w14:paraId="178B6706" w14:textId="01833679" w:rsidR="00A01C6A" w:rsidRDefault="00A01C6A" w:rsidP="00A6671C"/>
    <w:p w14:paraId="21CD63DA" w14:textId="039DD8D2" w:rsidR="00A01C6A" w:rsidRDefault="00A01C6A" w:rsidP="00A6671C"/>
    <w:p w14:paraId="5993AE67" w14:textId="2B747AB9" w:rsidR="00A01C6A" w:rsidRDefault="00A01C6A" w:rsidP="00A6671C"/>
    <w:p w14:paraId="2E94D9E2" w14:textId="0023A614" w:rsidR="00A01C6A" w:rsidRDefault="00A01C6A" w:rsidP="00A6671C"/>
    <w:p w14:paraId="72A70935" w14:textId="7337D67D" w:rsidR="00A01C6A" w:rsidRDefault="00A01C6A" w:rsidP="00A6671C"/>
    <w:p w14:paraId="402C6023" w14:textId="77777777" w:rsidR="00A01C6A" w:rsidRDefault="00A01C6A" w:rsidP="00A6671C"/>
    <w:p w14:paraId="5F49CE9E" w14:textId="77777777" w:rsidR="00A6671C" w:rsidRDefault="00A6671C" w:rsidP="00A6671C">
      <w:pPr>
        <w:pStyle w:val="Heading3"/>
      </w:pPr>
      <w:bookmarkStart w:id="3" w:name="_Hlk115940024"/>
      <w:r>
        <w:t>Threat actor(s)</w:t>
      </w:r>
      <w:bookmarkEnd w:id="3"/>
      <w:r>
        <w:t xml:space="preserve"> </w:t>
      </w:r>
      <w:r w:rsidRPr="002C6E03">
        <w:t>(Multiple options can be selected)</w:t>
      </w:r>
    </w:p>
    <w:p w14:paraId="7818C683" w14:textId="5DE6572E" w:rsidR="00A01C6A" w:rsidRDefault="0075052C" w:rsidP="00A6671C">
      <w:r w:rsidRPr="0075052C">
        <w:rPr>
          <w:noProof/>
        </w:rPr>
        <w:drawing>
          <wp:inline distT="0" distB="0" distL="0" distR="0" wp14:anchorId="68AB79C4" wp14:editId="5789E67A">
            <wp:extent cx="5904230" cy="4062730"/>
            <wp:effectExtent l="0" t="0" r="1270" b="0"/>
            <wp:docPr id="7" name="Picture 7"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Teams&#10;&#10;Description automatically generated"/>
                    <pic:cNvPicPr/>
                  </pic:nvPicPr>
                  <pic:blipFill>
                    <a:blip r:embed="rId25"/>
                    <a:stretch>
                      <a:fillRect/>
                    </a:stretch>
                  </pic:blipFill>
                  <pic:spPr>
                    <a:xfrm>
                      <a:off x="0" y="0"/>
                      <a:ext cx="5904230" cy="4062730"/>
                    </a:xfrm>
                    <a:prstGeom prst="rect">
                      <a:avLst/>
                    </a:prstGeom>
                  </pic:spPr>
                </pic:pic>
              </a:graphicData>
            </a:graphic>
          </wp:inline>
        </w:drawing>
      </w:r>
    </w:p>
    <w:p w14:paraId="21A6857D" w14:textId="064DF766" w:rsidR="00A6671C" w:rsidRDefault="00A6671C" w:rsidP="00A6671C">
      <w:r>
        <w:t>This reporting period saw an increase in the number of incidents relating to internal staff. Th</w:t>
      </w:r>
      <w:r w:rsidRPr="00167781">
        <w:t>e majority</w:t>
      </w:r>
      <w:r>
        <w:rPr>
          <w:b/>
          <w:bCs/>
        </w:rPr>
        <w:t xml:space="preserve"> </w:t>
      </w:r>
      <w:r w:rsidRPr="00167781">
        <w:t>(</w:t>
      </w:r>
      <w:r>
        <w:rPr>
          <w:b/>
          <w:bCs/>
        </w:rPr>
        <w:t>82</w:t>
      </w:r>
      <w:r w:rsidRPr="00167781">
        <w:rPr>
          <w:b/>
          <w:bCs/>
        </w:rPr>
        <w:t>%</w:t>
      </w:r>
      <w:r w:rsidRPr="00167781">
        <w:t>)</w:t>
      </w:r>
      <w:r>
        <w:t xml:space="preserve"> of incident notifications selected </w:t>
      </w:r>
      <w:r w:rsidRPr="001E3D52">
        <w:rPr>
          <w:b/>
          <w:bCs/>
        </w:rPr>
        <w:t>internal</w:t>
      </w:r>
      <w:r>
        <w:t xml:space="preserve"> as the cause of the incident. </w:t>
      </w:r>
    </w:p>
    <w:p w14:paraId="0C5BCA28" w14:textId="77777777" w:rsidR="00A6671C" w:rsidRDefault="00A6671C" w:rsidP="00A6671C">
      <w:r>
        <w:t>There was a slight decrease in the number of notifications identifying authorised third parties as the cause of the incident (</w:t>
      </w:r>
      <w:r w:rsidRPr="00C01BCE">
        <w:rPr>
          <w:b/>
          <w:bCs/>
        </w:rPr>
        <w:t>24</w:t>
      </w:r>
      <w:r>
        <w:t>) compared to the last reporting period (</w:t>
      </w:r>
      <w:r w:rsidRPr="00C01BCE">
        <w:rPr>
          <w:b/>
          <w:bCs/>
        </w:rPr>
        <w:t>39</w:t>
      </w:r>
      <w:r>
        <w:t xml:space="preserve">). </w:t>
      </w:r>
    </w:p>
    <w:p w14:paraId="3867076B" w14:textId="77777777" w:rsidR="00A6671C" w:rsidRDefault="00A6671C" w:rsidP="00A6671C">
      <w:r>
        <w:t>Although not common, multiple options can be selected for this field.</w:t>
      </w:r>
    </w:p>
    <w:p w14:paraId="63947820" w14:textId="77777777" w:rsidR="00A6671C" w:rsidRDefault="00A6671C" w:rsidP="00A6671C">
      <w:r>
        <w:t xml:space="preserve">There were </w:t>
      </w:r>
      <w:r>
        <w:rPr>
          <w:b/>
          <w:bCs/>
        </w:rPr>
        <w:t>17</w:t>
      </w:r>
      <w:r>
        <w:t xml:space="preserve"> notifications where the threat actor could not be ascertained.</w:t>
      </w:r>
    </w:p>
    <w:p w14:paraId="10AA8524" w14:textId="77777777" w:rsidR="00A6671C" w:rsidRDefault="00A6671C" w:rsidP="00A6671C">
      <w:r w:rsidRPr="00A50870">
        <w:rPr>
          <w:b/>
          <w:bCs/>
        </w:rPr>
        <w:t>Take</w:t>
      </w:r>
      <w:r>
        <w:rPr>
          <w:b/>
          <w:bCs/>
        </w:rPr>
        <w:t>-</w:t>
      </w:r>
      <w:r w:rsidRPr="00A50870">
        <w:rPr>
          <w:b/>
          <w:bCs/>
        </w:rPr>
        <w:t>out:</w:t>
      </w:r>
      <w:r>
        <w:t xml:space="preserve"> </w:t>
      </w:r>
    </w:p>
    <w:p w14:paraId="51D13ED0" w14:textId="12458921" w:rsidR="00A6671C" w:rsidRPr="00167781" w:rsidRDefault="00A6671C" w:rsidP="00A6671C">
      <w:r w:rsidRPr="00167781">
        <w:t xml:space="preserve">The key causal factors of security incidents </w:t>
      </w:r>
      <w:r>
        <w:t>remain as</w:t>
      </w:r>
      <w:r w:rsidRPr="00167781">
        <w:t xml:space="preserve"> </w:t>
      </w:r>
      <w:r w:rsidRPr="00C01BCE">
        <w:rPr>
          <w:b/>
          <w:bCs/>
        </w:rPr>
        <w:t>people</w:t>
      </w:r>
      <w:r>
        <w:t>,</w:t>
      </w:r>
      <w:r w:rsidRPr="00167781">
        <w:t xml:space="preserve"> </w:t>
      </w:r>
      <w:r w:rsidRPr="00C01BCE">
        <w:rPr>
          <w:b/>
          <w:bCs/>
        </w:rPr>
        <w:t>internal</w:t>
      </w:r>
      <w:r>
        <w:t>,</w:t>
      </w:r>
      <w:r w:rsidRPr="00167781">
        <w:t xml:space="preserve"> </w:t>
      </w:r>
      <w:r>
        <w:t xml:space="preserve">and </w:t>
      </w:r>
      <w:r w:rsidRPr="00C01BCE">
        <w:rPr>
          <w:b/>
          <w:bCs/>
        </w:rPr>
        <w:t>accidental</w:t>
      </w:r>
      <w:r w:rsidRPr="00167781">
        <w:t>.</w:t>
      </w:r>
    </w:p>
    <w:p w14:paraId="63638D93" w14:textId="77777777" w:rsidR="00A6671C" w:rsidRDefault="00A6671C" w:rsidP="00A6671C">
      <w:r>
        <w:lastRenderedPageBreak/>
        <w:t xml:space="preserve">Even though there were some incidents affecting approved third parties providing services to Victorian government organisations in this reporting period, such as PNORS, G4S, Dialog, and Wordfly, these incidents were not caused by the third party itself. </w:t>
      </w:r>
    </w:p>
    <w:p w14:paraId="7D3B1C56" w14:textId="77777777" w:rsidR="00A6671C" w:rsidRDefault="00A6671C" w:rsidP="00A6671C">
      <w:r>
        <w:t xml:space="preserve">Rather, these incidents were caused by </w:t>
      </w:r>
      <w:r w:rsidRPr="0099702D">
        <w:rPr>
          <w:b/>
          <w:bCs/>
        </w:rPr>
        <w:t xml:space="preserve">other </w:t>
      </w:r>
      <w:r w:rsidRPr="00C01BCE">
        <w:rPr>
          <w:b/>
          <w:bCs/>
        </w:rPr>
        <w:t>external</w:t>
      </w:r>
      <w:r>
        <w:t xml:space="preserve"> threat actors exploiting vulnerable systems, persons or processes of these third parties and in turn affecting public sector information. This highlights the need for strong supply chain controls. </w:t>
      </w:r>
    </w:p>
    <w:p w14:paraId="5FBB0A93" w14:textId="77777777" w:rsidR="00A6671C" w:rsidRDefault="00A6671C" w:rsidP="00A6671C">
      <w:r>
        <w:t>Although it’s not common for more than one threat actor to be involved in an incident, there were four (</w:t>
      </w:r>
      <w:r w:rsidRPr="00A9507F">
        <w:rPr>
          <w:b/>
          <w:bCs/>
        </w:rPr>
        <w:t>4</w:t>
      </w:r>
      <w:r>
        <w:t xml:space="preserve">) occasions where both </w:t>
      </w:r>
      <w:r w:rsidRPr="002F78F6">
        <w:rPr>
          <w:b/>
          <w:bCs/>
        </w:rPr>
        <w:t>internal</w:t>
      </w:r>
      <w:r>
        <w:t xml:space="preserve"> and </w:t>
      </w:r>
      <w:r>
        <w:rPr>
          <w:b/>
          <w:bCs/>
        </w:rPr>
        <w:t>authorised third-party</w:t>
      </w:r>
      <w:r w:rsidRPr="00DA0143">
        <w:t xml:space="preserve"> were selected.</w:t>
      </w:r>
      <w:r w:rsidRPr="006774A2">
        <w:t xml:space="preserve"> </w:t>
      </w:r>
    </w:p>
    <w:p w14:paraId="259182A5" w14:textId="77777777" w:rsidR="00A6671C" w:rsidRDefault="00A6671C" w:rsidP="00A6671C">
      <w:r>
        <w:t xml:space="preserve">For example, one incident identified two errors that had occurred on a single account whereby an authorised third party provided an incorrect property address and in addition an internal employee added an incorrect email address to the account. </w:t>
      </w:r>
    </w:p>
    <w:p w14:paraId="5A4DB43B" w14:textId="50AEC756" w:rsidR="00A6671C" w:rsidRDefault="00A6671C" w:rsidP="00A6671C">
      <w:r>
        <w:t>In another example, an employee had provided a list containing contact details to an authorised third party which it shouldn’t have, and the third party then used this to contact individuals on the list that it shouldn’t have.</w:t>
      </w:r>
    </w:p>
    <w:p w14:paraId="5C2200D0" w14:textId="54209D82" w:rsidR="00A01C6A" w:rsidRDefault="00A01C6A" w:rsidP="00A6671C"/>
    <w:p w14:paraId="02476005" w14:textId="327B2B28" w:rsidR="00A01C6A" w:rsidRDefault="00A01C6A" w:rsidP="00A6671C"/>
    <w:p w14:paraId="3A335E45" w14:textId="0FD039CA" w:rsidR="00A01C6A" w:rsidRDefault="00A01C6A" w:rsidP="00A6671C"/>
    <w:p w14:paraId="4245C6A9" w14:textId="1FC7BA3A" w:rsidR="00A01C6A" w:rsidRDefault="00A01C6A" w:rsidP="00A6671C"/>
    <w:p w14:paraId="4C401484" w14:textId="38220E30" w:rsidR="00A01C6A" w:rsidRDefault="00A01C6A" w:rsidP="00A6671C"/>
    <w:p w14:paraId="0D871332" w14:textId="4768191C" w:rsidR="00A01C6A" w:rsidRDefault="00A01C6A" w:rsidP="00A6671C"/>
    <w:p w14:paraId="7F980F19" w14:textId="6A4565AE" w:rsidR="00A01C6A" w:rsidRDefault="00A01C6A" w:rsidP="00A6671C"/>
    <w:p w14:paraId="035AA0FA" w14:textId="0DEDCF1C" w:rsidR="00A01C6A" w:rsidRDefault="00A01C6A" w:rsidP="00A6671C"/>
    <w:p w14:paraId="772F26A8" w14:textId="64B6784B" w:rsidR="00A01C6A" w:rsidRDefault="00A01C6A" w:rsidP="00A6671C"/>
    <w:p w14:paraId="4731CFAE" w14:textId="453867C6" w:rsidR="00A01C6A" w:rsidRDefault="00A01C6A" w:rsidP="00A6671C"/>
    <w:p w14:paraId="1FF1ED06" w14:textId="474B72FC" w:rsidR="00A01C6A" w:rsidRDefault="00A01C6A" w:rsidP="00A6671C"/>
    <w:p w14:paraId="34870883" w14:textId="38AAB577" w:rsidR="00A01C6A" w:rsidRDefault="00A01C6A" w:rsidP="00A6671C"/>
    <w:p w14:paraId="080065C5" w14:textId="169D276B" w:rsidR="00A01C6A" w:rsidRDefault="00A01C6A" w:rsidP="00A6671C"/>
    <w:p w14:paraId="25FDE7E0" w14:textId="7ECC4873" w:rsidR="00A01C6A" w:rsidRDefault="00A01C6A" w:rsidP="00A6671C"/>
    <w:p w14:paraId="7E046553" w14:textId="73739A49" w:rsidR="00A01C6A" w:rsidRDefault="00A01C6A" w:rsidP="00A6671C"/>
    <w:p w14:paraId="34F2C6ED" w14:textId="12701D84" w:rsidR="00A01C6A" w:rsidRDefault="00A01C6A" w:rsidP="00A6671C"/>
    <w:p w14:paraId="3ABDD28F" w14:textId="56764F70" w:rsidR="00A6671C" w:rsidRDefault="0075052C" w:rsidP="00A6671C">
      <w:pPr>
        <w:pStyle w:val="Heading3"/>
      </w:pPr>
      <w:r>
        <w:t>T</w:t>
      </w:r>
      <w:r w:rsidR="00A6671C">
        <w:t xml:space="preserve">hreat type(s) </w:t>
      </w:r>
      <w:r w:rsidR="00A6671C" w:rsidRPr="002C6E03">
        <w:t>(Multiple options can be selected)</w:t>
      </w:r>
    </w:p>
    <w:p w14:paraId="53A5CE63" w14:textId="713E329A" w:rsidR="00A01C6A" w:rsidRDefault="00C177DC" w:rsidP="00A6671C">
      <w:r w:rsidRPr="00C177DC">
        <w:rPr>
          <w:noProof/>
        </w:rPr>
        <w:drawing>
          <wp:inline distT="0" distB="0" distL="0" distR="0" wp14:anchorId="7A282CD6" wp14:editId="6717493E">
            <wp:extent cx="5904230" cy="4031615"/>
            <wp:effectExtent l="0" t="0" r="1270" b="6985"/>
            <wp:docPr id="8" name="Picture 8"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Teams&#10;&#10;Description automatically generated"/>
                    <pic:cNvPicPr/>
                  </pic:nvPicPr>
                  <pic:blipFill>
                    <a:blip r:embed="rId26"/>
                    <a:stretch>
                      <a:fillRect/>
                    </a:stretch>
                  </pic:blipFill>
                  <pic:spPr>
                    <a:xfrm>
                      <a:off x="0" y="0"/>
                      <a:ext cx="5904230" cy="4031615"/>
                    </a:xfrm>
                    <a:prstGeom prst="rect">
                      <a:avLst/>
                    </a:prstGeom>
                  </pic:spPr>
                </pic:pic>
              </a:graphicData>
            </a:graphic>
          </wp:inline>
        </w:drawing>
      </w:r>
    </w:p>
    <w:p w14:paraId="1D660A4C" w14:textId="30DAC434" w:rsidR="00A6671C" w:rsidRDefault="00A6671C" w:rsidP="00A6671C">
      <w:r>
        <w:t>In this reporting period,</w:t>
      </w:r>
      <w:r>
        <w:rPr>
          <w:b/>
          <w:bCs/>
        </w:rPr>
        <w:t xml:space="preserve"> </w:t>
      </w:r>
      <w:r w:rsidRPr="0073535D">
        <w:rPr>
          <w:b/>
          <w:bCs/>
        </w:rPr>
        <w:t>7</w:t>
      </w:r>
      <w:r>
        <w:rPr>
          <w:b/>
          <w:bCs/>
        </w:rPr>
        <w:t>9</w:t>
      </w:r>
      <w:r w:rsidRPr="00167781">
        <w:rPr>
          <w:b/>
          <w:bCs/>
        </w:rPr>
        <w:t>%</w:t>
      </w:r>
      <w:r>
        <w:rPr>
          <w:b/>
          <w:bCs/>
        </w:rPr>
        <w:t xml:space="preserve"> </w:t>
      </w:r>
      <w:r w:rsidRPr="00636697">
        <w:t>of</w:t>
      </w:r>
      <w:r>
        <w:t xml:space="preserve"> incident notifications related to accidental actions and </w:t>
      </w:r>
      <w:r w:rsidRPr="00636697">
        <w:rPr>
          <w:b/>
          <w:bCs/>
        </w:rPr>
        <w:t>16%</w:t>
      </w:r>
      <w:r>
        <w:t xml:space="preserve"> intentional actions. </w:t>
      </w:r>
    </w:p>
    <w:p w14:paraId="6EA5CBAA" w14:textId="77777777" w:rsidR="00A6671C" w:rsidRDefault="00A6671C" w:rsidP="00A6671C">
      <w:r>
        <w:t>There was one (</w:t>
      </w:r>
      <w:r w:rsidRPr="00636697">
        <w:rPr>
          <w:b/>
          <w:bCs/>
        </w:rPr>
        <w:t>1</w:t>
      </w:r>
      <w:r>
        <w:t xml:space="preserve">) notification where </w:t>
      </w:r>
      <w:r w:rsidRPr="00F43CB7">
        <w:rPr>
          <w:b/>
          <w:bCs/>
        </w:rPr>
        <w:t>natural</w:t>
      </w:r>
      <w:r>
        <w:t xml:space="preserve"> was selected, however this appears to have been selected incorrectly. </w:t>
      </w:r>
    </w:p>
    <w:p w14:paraId="69833297" w14:textId="77777777" w:rsidR="00A6671C" w:rsidRDefault="00A6671C" w:rsidP="00A6671C">
      <w:r>
        <w:t xml:space="preserve">The threat type of </w:t>
      </w:r>
      <w:r w:rsidRPr="00636697">
        <w:rPr>
          <w:b/>
          <w:bCs/>
        </w:rPr>
        <w:t>10</w:t>
      </w:r>
      <w:r>
        <w:t xml:space="preserve"> notifications could not be ascertained. </w:t>
      </w:r>
    </w:p>
    <w:p w14:paraId="46354FEA" w14:textId="77777777" w:rsidR="00A6671C" w:rsidRDefault="00A6671C" w:rsidP="00A6671C">
      <w:r w:rsidRPr="00FC7AC3">
        <w:rPr>
          <w:b/>
          <w:bCs/>
        </w:rPr>
        <w:t>Take-out:</w:t>
      </w:r>
      <w:r>
        <w:t xml:space="preserve"> </w:t>
      </w:r>
    </w:p>
    <w:p w14:paraId="6938B22E" w14:textId="088DE275" w:rsidR="00A6671C" w:rsidRPr="00167781" w:rsidRDefault="00A6671C" w:rsidP="00A6671C">
      <w:r w:rsidRPr="00167781">
        <w:t xml:space="preserve">The key causal factors of security incidents </w:t>
      </w:r>
      <w:r>
        <w:t>remain as</w:t>
      </w:r>
      <w:r w:rsidRPr="00167781">
        <w:t xml:space="preserve"> </w:t>
      </w:r>
      <w:r w:rsidRPr="00636697">
        <w:rPr>
          <w:b/>
          <w:bCs/>
        </w:rPr>
        <w:t>people</w:t>
      </w:r>
      <w:r>
        <w:t xml:space="preserve">, </w:t>
      </w:r>
      <w:r w:rsidRPr="00636697">
        <w:rPr>
          <w:b/>
          <w:bCs/>
        </w:rPr>
        <w:t>internal</w:t>
      </w:r>
      <w:r>
        <w:t xml:space="preserve">, and </w:t>
      </w:r>
      <w:r w:rsidRPr="00636697">
        <w:rPr>
          <w:b/>
          <w:bCs/>
        </w:rPr>
        <w:t>accidental</w:t>
      </w:r>
      <w:r>
        <w:t>.</w:t>
      </w:r>
    </w:p>
    <w:p w14:paraId="3F187B0F" w14:textId="77777777" w:rsidR="00A6671C" w:rsidRDefault="00A6671C" w:rsidP="00A6671C">
      <w:r>
        <w:t xml:space="preserve">Although multiple options can be selected for this field, there is usually one threat type associated with each incident. </w:t>
      </w:r>
    </w:p>
    <w:p w14:paraId="2935BAF4" w14:textId="77777777" w:rsidR="00A6671C" w:rsidRDefault="00A6671C" w:rsidP="00A6671C">
      <w:r>
        <w:t xml:space="preserve">There were less than a handful of occurrences where more than one threat type was selected. </w:t>
      </w:r>
    </w:p>
    <w:p w14:paraId="0D51E794" w14:textId="515E7AE4" w:rsidR="00A6671C" w:rsidRDefault="00A6671C" w:rsidP="00A6671C">
      <w:r>
        <w:lastRenderedPageBreak/>
        <w:t>For example, the incorrect disposal of hard copy documents (</w:t>
      </w:r>
      <w:r w:rsidRPr="00016917">
        <w:rPr>
          <w:b/>
          <w:bCs/>
        </w:rPr>
        <w:t>accidental</w:t>
      </w:r>
      <w:r>
        <w:t>) that subsequently identified a wider systemic problem with the secure disposal o</w:t>
      </w:r>
      <w:r w:rsidR="004B4AE7">
        <w:t>f</w:t>
      </w:r>
      <w:r>
        <w:t xml:space="preserve"> hard copy information (</w:t>
      </w:r>
      <w:r w:rsidRPr="00016917">
        <w:rPr>
          <w:b/>
          <w:bCs/>
        </w:rPr>
        <w:t>failure</w:t>
      </w:r>
      <w:r>
        <w:t xml:space="preserve">). </w:t>
      </w:r>
    </w:p>
    <w:p w14:paraId="1A2DD071" w14:textId="77777777" w:rsidR="00A6671C" w:rsidRDefault="00A6671C" w:rsidP="00A6671C">
      <w:r>
        <w:t>Another example is the allocation of incorrect permissions in SharePoint (</w:t>
      </w:r>
      <w:r w:rsidRPr="00016917">
        <w:rPr>
          <w:b/>
          <w:bCs/>
        </w:rPr>
        <w:t>accidental</w:t>
      </w:r>
      <w:r>
        <w:t>) that subsequently identified other incorrectly assigned permissions (</w:t>
      </w:r>
      <w:r w:rsidRPr="00016917">
        <w:rPr>
          <w:b/>
          <w:bCs/>
        </w:rPr>
        <w:t>failure</w:t>
      </w:r>
      <w:r>
        <w:t xml:space="preserve">). </w:t>
      </w:r>
    </w:p>
    <w:p w14:paraId="6AA230F3" w14:textId="77777777" w:rsidR="00A6671C" w:rsidRDefault="00A6671C" w:rsidP="00A6671C">
      <w:r>
        <w:t xml:space="preserve">Although the threat type </w:t>
      </w:r>
      <w:r w:rsidRPr="00016917">
        <w:rPr>
          <w:b/>
          <w:bCs/>
        </w:rPr>
        <w:t>failure</w:t>
      </w:r>
      <w:r>
        <w:t xml:space="preserve"> is generally associated with a technology e.g., hard drive or power supply failure, these incidents demonstrate failures of process.</w:t>
      </w:r>
    </w:p>
    <w:p w14:paraId="6B3CD96E" w14:textId="77777777" w:rsidR="00A6671C" w:rsidRDefault="00A6671C" w:rsidP="00A6671C">
      <w:r>
        <w:t xml:space="preserve">There were </w:t>
      </w:r>
      <w:r w:rsidRPr="00A9507F">
        <w:rPr>
          <w:b/>
          <w:bCs/>
        </w:rPr>
        <w:t>14</w:t>
      </w:r>
      <w:r>
        <w:t xml:space="preserve"> notifications related to unauthorised / inappropriate access. </w:t>
      </w:r>
    </w:p>
    <w:p w14:paraId="186E342B" w14:textId="77777777" w:rsidR="00A6671C" w:rsidRDefault="00A6671C" w:rsidP="00A6671C">
      <w:r>
        <w:t xml:space="preserve">Of these </w:t>
      </w:r>
      <w:r w:rsidRPr="00A9507F">
        <w:t>14</w:t>
      </w:r>
      <w:r>
        <w:t xml:space="preserve"> notifications, most (</w:t>
      </w:r>
      <w:r w:rsidRPr="002605A8">
        <w:rPr>
          <w:b/>
          <w:bCs/>
        </w:rPr>
        <w:t>11</w:t>
      </w:r>
      <w:r>
        <w:t xml:space="preserve">) were </w:t>
      </w:r>
      <w:r w:rsidRPr="002605A8">
        <w:rPr>
          <w:b/>
          <w:bCs/>
        </w:rPr>
        <w:t>intentional</w:t>
      </w:r>
      <w:r>
        <w:t xml:space="preserve"> unauthorised access to public sector information and seven (</w:t>
      </w:r>
      <w:r w:rsidRPr="002605A8">
        <w:rPr>
          <w:b/>
          <w:bCs/>
        </w:rPr>
        <w:t>7</w:t>
      </w:r>
      <w:r>
        <w:t xml:space="preserve">) were caused by internal staff. </w:t>
      </w:r>
    </w:p>
    <w:p w14:paraId="56D41BFA" w14:textId="77777777" w:rsidR="00A6671C" w:rsidRPr="00F43CB7" w:rsidRDefault="00A6671C" w:rsidP="00A6671C">
      <w:r>
        <w:t>For example, copying information to secondary storage or changing bank details for personal gain or searching the system with no legitimate business need.</w:t>
      </w:r>
    </w:p>
    <w:p w14:paraId="19BDA770" w14:textId="77777777" w:rsidR="00A6671C" w:rsidRDefault="00A6671C" w:rsidP="00A6671C"/>
    <w:p w14:paraId="57048375" w14:textId="3F3DC7D9" w:rsidR="00A6671C" w:rsidRDefault="00A6671C" w:rsidP="00A6671C"/>
    <w:p w14:paraId="4028A939" w14:textId="4747FC6E" w:rsidR="00A01C6A" w:rsidRDefault="00A01C6A" w:rsidP="00A6671C"/>
    <w:p w14:paraId="2FABD01E" w14:textId="17FA4CD3" w:rsidR="00A01C6A" w:rsidRDefault="00A01C6A" w:rsidP="00A6671C"/>
    <w:p w14:paraId="7862056D" w14:textId="7D1B55D2" w:rsidR="00A01C6A" w:rsidRDefault="00A01C6A" w:rsidP="00A6671C"/>
    <w:p w14:paraId="1CB86183" w14:textId="708D9141" w:rsidR="00A01C6A" w:rsidRDefault="00A01C6A" w:rsidP="00A6671C"/>
    <w:p w14:paraId="020A6580" w14:textId="4DB0A41D" w:rsidR="00A01C6A" w:rsidRDefault="00A01C6A" w:rsidP="00A6671C"/>
    <w:p w14:paraId="0C94CFE5" w14:textId="327894A6" w:rsidR="00A01C6A" w:rsidRDefault="00A01C6A" w:rsidP="00A6671C"/>
    <w:p w14:paraId="56EB61E5" w14:textId="66953080" w:rsidR="00A01C6A" w:rsidRDefault="00A01C6A" w:rsidP="00A6671C"/>
    <w:p w14:paraId="0472878E" w14:textId="2B0CDA90" w:rsidR="00A01C6A" w:rsidRDefault="00A01C6A" w:rsidP="00A6671C"/>
    <w:p w14:paraId="272989AD" w14:textId="5686B749" w:rsidR="00A01C6A" w:rsidRDefault="00A01C6A" w:rsidP="00A6671C"/>
    <w:p w14:paraId="09324A15" w14:textId="520840B5" w:rsidR="00A01C6A" w:rsidRDefault="00A01C6A" w:rsidP="00A6671C"/>
    <w:p w14:paraId="21A737B9" w14:textId="6EF49CB6" w:rsidR="00A01C6A" w:rsidRDefault="00A01C6A" w:rsidP="00A6671C"/>
    <w:p w14:paraId="392CE31C" w14:textId="51CD5B0C" w:rsidR="00A01C6A" w:rsidRDefault="00A01C6A" w:rsidP="00A6671C"/>
    <w:p w14:paraId="4E2AB905" w14:textId="32AF03C0" w:rsidR="00A01C6A" w:rsidRDefault="00A01C6A" w:rsidP="00A6671C"/>
    <w:p w14:paraId="7F2FA726" w14:textId="77777777" w:rsidR="00A01C6A" w:rsidRPr="00A6671C" w:rsidRDefault="00A01C6A" w:rsidP="00A6671C"/>
    <w:p w14:paraId="71AB2CEA" w14:textId="77777777" w:rsidR="0075052C" w:rsidRDefault="0075052C">
      <w:pPr>
        <w:spacing w:before="0" w:after="160" w:line="259" w:lineRule="auto"/>
        <w:rPr>
          <w:rFonts w:eastAsiaTheme="majorEastAsia" w:cstheme="majorBidi"/>
          <w:color w:val="430098" w:themeColor="text2"/>
          <w:sz w:val="30"/>
          <w:szCs w:val="26"/>
        </w:rPr>
      </w:pPr>
      <w:bookmarkStart w:id="4" w:name="_Toc30502211"/>
      <w:bookmarkStart w:id="5" w:name="_Toc87857020"/>
      <w:r>
        <w:br w:type="page"/>
      </w:r>
    </w:p>
    <w:p w14:paraId="2CF0CC04" w14:textId="5203AA5A" w:rsidR="00BF3799" w:rsidRDefault="00A6671C" w:rsidP="00BF3799">
      <w:pPr>
        <w:pStyle w:val="Heading2"/>
      </w:pPr>
      <w:r>
        <w:lastRenderedPageBreak/>
        <w:t>Risk statements</w:t>
      </w:r>
    </w:p>
    <w:p w14:paraId="16ABF936" w14:textId="77777777" w:rsidR="00A6671C" w:rsidRDefault="00A6671C" w:rsidP="00A6671C">
      <w:r>
        <w:t>Based on the incident notifications received by OVIC, we developed the following risk statements for consideration by VPS organisations when reviewing their information security risks:</w:t>
      </w:r>
    </w:p>
    <w:tbl>
      <w:tblPr>
        <w:tblStyle w:val="OVICDefaulttable"/>
        <w:tblW w:w="0" w:type="auto"/>
        <w:tblLook w:val="04A0" w:firstRow="1" w:lastRow="0" w:firstColumn="1" w:lastColumn="0" w:noHBand="0" w:noVBand="1"/>
      </w:tblPr>
      <w:tblGrid>
        <w:gridCol w:w="2980"/>
        <w:gridCol w:w="2981"/>
        <w:gridCol w:w="2980"/>
      </w:tblGrid>
      <w:tr w:rsidR="0097704C" w14:paraId="256D75D0" w14:textId="77777777" w:rsidTr="0097704C">
        <w:trPr>
          <w:cnfStyle w:val="100000000000" w:firstRow="1" w:lastRow="0" w:firstColumn="0" w:lastColumn="0" w:oddVBand="0" w:evenVBand="0" w:oddHBand="0" w:evenHBand="0" w:firstRowFirstColumn="0" w:firstRowLastColumn="0" w:lastRowFirstColumn="0" w:lastRowLastColumn="0"/>
          <w:trHeight w:val="252"/>
        </w:trPr>
        <w:tc>
          <w:tcPr>
            <w:tcW w:w="2980" w:type="dxa"/>
          </w:tcPr>
          <w:bookmarkEnd w:id="4"/>
          <w:bookmarkEnd w:id="5"/>
          <w:p w14:paraId="21A813B3" w14:textId="184D7D08" w:rsidR="0097704C" w:rsidRDefault="0097704C" w:rsidP="002E4AEB">
            <w:pPr>
              <w:pStyle w:val="TableText0"/>
            </w:pPr>
            <w:r>
              <w:t>The risk of…</w:t>
            </w:r>
          </w:p>
        </w:tc>
        <w:tc>
          <w:tcPr>
            <w:tcW w:w="2981" w:type="dxa"/>
          </w:tcPr>
          <w:p w14:paraId="4808907F" w14:textId="03842E27" w:rsidR="0097704C" w:rsidRDefault="0097704C" w:rsidP="002E4AEB">
            <w:pPr>
              <w:pStyle w:val="TableText0"/>
            </w:pPr>
            <w:r>
              <w:t>Caused by…</w:t>
            </w:r>
          </w:p>
        </w:tc>
        <w:tc>
          <w:tcPr>
            <w:tcW w:w="2980" w:type="dxa"/>
          </w:tcPr>
          <w:p w14:paraId="0B9C2325" w14:textId="0B1A29B8" w:rsidR="0097704C" w:rsidRDefault="0097704C" w:rsidP="002E4AEB">
            <w:pPr>
              <w:pStyle w:val="TableText0"/>
            </w:pPr>
            <w:r w:rsidRPr="00463989">
              <w:t>Resulting in…</w:t>
            </w:r>
            <w:r>
              <w:rPr>
                <w:rStyle w:val="FootnoteReference"/>
              </w:rPr>
              <w:footnoteReference w:id="2"/>
            </w:r>
          </w:p>
        </w:tc>
      </w:tr>
      <w:tr w:rsidR="0097704C" w14:paraId="5D3D3929" w14:textId="77777777" w:rsidTr="0097704C">
        <w:trPr>
          <w:trHeight w:val="505"/>
        </w:trPr>
        <w:tc>
          <w:tcPr>
            <w:tcW w:w="2980" w:type="dxa"/>
          </w:tcPr>
          <w:p w14:paraId="5E09C2CD" w14:textId="77777777" w:rsidR="0097704C" w:rsidRDefault="0097704C" w:rsidP="0097704C">
            <w:pPr>
              <w:pStyle w:val="Tabletext"/>
            </w:pPr>
            <w:r>
              <w:t xml:space="preserve">Financial fraud </w:t>
            </w:r>
          </w:p>
          <w:p w14:paraId="734D7D68" w14:textId="378309B1" w:rsidR="0097704C" w:rsidRPr="0097704C" w:rsidRDefault="0097704C" w:rsidP="0097704C">
            <w:pPr>
              <w:pStyle w:val="Tabletext"/>
              <w:rPr>
                <w:b/>
                <w:bCs/>
              </w:rPr>
            </w:pPr>
            <w:r w:rsidRPr="0097704C">
              <w:rPr>
                <w:b/>
                <w:bCs/>
              </w:rPr>
              <w:t>(Compromise of confidentiality and integrity)</w:t>
            </w:r>
          </w:p>
        </w:tc>
        <w:tc>
          <w:tcPr>
            <w:tcW w:w="2981" w:type="dxa"/>
          </w:tcPr>
          <w:p w14:paraId="7ED0FE9B" w14:textId="39178F43" w:rsidR="0097704C" w:rsidRDefault="0097704C" w:rsidP="0097704C">
            <w:pPr>
              <w:pStyle w:val="Tabletext"/>
            </w:pPr>
            <w:r>
              <w:t>Internal staff intentionally accessing customer accounts and changing bank details</w:t>
            </w:r>
          </w:p>
        </w:tc>
        <w:tc>
          <w:tcPr>
            <w:tcW w:w="2980" w:type="dxa"/>
          </w:tcPr>
          <w:p w14:paraId="57DFCD83" w14:textId="77777777" w:rsidR="0097704C" w:rsidRDefault="0097704C" w:rsidP="0097704C">
            <w:pPr>
              <w:pStyle w:val="Tabletext"/>
            </w:pPr>
            <w:r>
              <w:t>I</w:t>
            </w:r>
            <w:r w:rsidRPr="00075292">
              <w:t xml:space="preserve">mpact </w:t>
            </w:r>
            <w:r>
              <w:t>on organisation’s</w:t>
            </w:r>
            <w:r w:rsidRPr="00075292">
              <w:t xml:space="preserve"> </w:t>
            </w:r>
            <w:r>
              <w:t>finances</w:t>
            </w:r>
            <w:r w:rsidRPr="00075292">
              <w:t xml:space="preserve"> </w:t>
            </w:r>
          </w:p>
          <w:p w14:paraId="32C47C04" w14:textId="3FDC0211" w:rsidR="0097704C" w:rsidRDefault="0097704C" w:rsidP="0097704C">
            <w:pPr>
              <w:pStyle w:val="Tabletext"/>
            </w:pPr>
            <w:r>
              <w:t>I</w:t>
            </w:r>
            <w:r w:rsidRPr="00075292">
              <w:t>mpact to individuals</w:t>
            </w:r>
            <w:r>
              <w:t xml:space="preserve"> </w:t>
            </w:r>
            <w:r w:rsidRPr="00075292">
              <w:t>whose personal information was affected</w:t>
            </w:r>
          </w:p>
        </w:tc>
      </w:tr>
      <w:tr w:rsidR="0097704C" w14:paraId="479F5DEC" w14:textId="77777777" w:rsidTr="0097704C">
        <w:trPr>
          <w:trHeight w:val="268"/>
        </w:trPr>
        <w:tc>
          <w:tcPr>
            <w:tcW w:w="2980" w:type="dxa"/>
          </w:tcPr>
          <w:p w14:paraId="1E475F55" w14:textId="77777777" w:rsidR="0097704C" w:rsidRDefault="0097704C" w:rsidP="0097704C">
            <w:pPr>
              <w:pStyle w:val="Tabletext"/>
            </w:pPr>
            <w:r>
              <w:t>Unauthorised access to sensitive information</w:t>
            </w:r>
          </w:p>
          <w:p w14:paraId="10C6B3E3" w14:textId="3320F707" w:rsidR="0097704C" w:rsidRPr="0097704C" w:rsidRDefault="0097704C" w:rsidP="0097704C">
            <w:pPr>
              <w:pStyle w:val="Tabletext"/>
              <w:rPr>
                <w:b/>
                <w:bCs/>
              </w:rPr>
            </w:pPr>
            <w:r w:rsidRPr="0097704C">
              <w:rPr>
                <w:b/>
                <w:bCs/>
              </w:rPr>
              <w:t>(Compromise of confidentiality)</w:t>
            </w:r>
          </w:p>
        </w:tc>
        <w:tc>
          <w:tcPr>
            <w:tcW w:w="2981" w:type="dxa"/>
          </w:tcPr>
          <w:p w14:paraId="31EFC4B6" w14:textId="12B19566" w:rsidR="0097704C" w:rsidRDefault="0097704C" w:rsidP="0097704C">
            <w:pPr>
              <w:pStyle w:val="Tabletext"/>
            </w:pPr>
            <w:r>
              <w:t>Malicious threat actor launching a cyber-attack on an authorised third-party who retained public sector information longer than the required timeframe</w:t>
            </w:r>
          </w:p>
        </w:tc>
        <w:tc>
          <w:tcPr>
            <w:tcW w:w="2980" w:type="dxa"/>
          </w:tcPr>
          <w:p w14:paraId="41BD12F7" w14:textId="77777777" w:rsidR="0097704C" w:rsidRDefault="0097704C" w:rsidP="0097704C">
            <w:pPr>
              <w:pStyle w:val="Tabletext"/>
            </w:pPr>
            <w:r>
              <w:t>Impact on public services (reputation of, and confidence in, the organisation)</w:t>
            </w:r>
          </w:p>
          <w:p w14:paraId="565A4B43" w14:textId="0D8D6E51" w:rsidR="0097704C" w:rsidRDefault="0097704C" w:rsidP="0097704C">
            <w:pPr>
              <w:pStyle w:val="Tabletext"/>
            </w:pPr>
            <w:r>
              <w:t>I</w:t>
            </w:r>
            <w:r w:rsidRPr="00075292">
              <w:t>mpact to individuals</w:t>
            </w:r>
            <w:r>
              <w:t xml:space="preserve"> </w:t>
            </w:r>
            <w:r w:rsidRPr="00075292">
              <w:t>whose personal information was affected</w:t>
            </w:r>
          </w:p>
        </w:tc>
      </w:tr>
      <w:tr w:rsidR="0097704C" w14:paraId="6D22EDEF" w14:textId="77777777" w:rsidTr="0097704C">
        <w:trPr>
          <w:trHeight w:val="268"/>
        </w:trPr>
        <w:tc>
          <w:tcPr>
            <w:tcW w:w="2980" w:type="dxa"/>
          </w:tcPr>
          <w:p w14:paraId="758EE7C8" w14:textId="77777777" w:rsidR="0097704C" w:rsidRPr="00484C02" w:rsidRDefault="0097704C" w:rsidP="0097704C">
            <w:pPr>
              <w:pStyle w:val="Tabletext"/>
              <w:rPr>
                <w:b/>
                <w:bCs/>
              </w:rPr>
            </w:pPr>
            <w:r w:rsidRPr="00484C02">
              <w:t>Unauthorised access to</w:t>
            </w:r>
            <w:r>
              <w:t xml:space="preserve"> / inability to access</w:t>
            </w:r>
            <w:r w:rsidRPr="00484C02">
              <w:t xml:space="preserve"> </w:t>
            </w:r>
            <w:r>
              <w:t xml:space="preserve">public sector information </w:t>
            </w:r>
          </w:p>
          <w:p w14:paraId="2D61D0EC" w14:textId="065ED840" w:rsidR="0097704C" w:rsidRPr="0097704C" w:rsidRDefault="0097704C" w:rsidP="0097704C">
            <w:pPr>
              <w:pStyle w:val="Tabletext"/>
              <w:rPr>
                <w:b/>
                <w:bCs/>
              </w:rPr>
            </w:pPr>
            <w:bookmarkStart w:id="6" w:name="_Hlk115943604"/>
            <w:r w:rsidRPr="0097704C">
              <w:rPr>
                <w:b/>
                <w:bCs/>
              </w:rPr>
              <w:t>(Compromise of confidentiality and availability)</w:t>
            </w:r>
            <w:bookmarkEnd w:id="6"/>
          </w:p>
        </w:tc>
        <w:tc>
          <w:tcPr>
            <w:tcW w:w="2981" w:type="dxa"/>
          </w:tcPr>
          <w:p w14:paraId="1C98AF26" w14:textId="7F9AB4A3" w:rsidR="0097704C" w:rsidRDefault="0097704C" w:rsidP="0097704C">
            <w:pPr>
              <w:pStyle w:val="Tabletext"/>
            </w:pPr>
            <w:r>
              <w:t xml:space="preserve">Lost back up tapes during transit from authorised third party to public sector organisation </w:t>
            </w:r>
          </w:p>
        </w:tc>
        <w:tc>
          <w:tcPr>
            <w:tcW w:w="2980" w:type="dxa"/>
          </w:tcPr>
          <w:p w14:paraId="6D10C38E" w14:textId="77777777" w:rsidR="0097704C" w:rsidRDefault="0097704C" w:rsidP="0097704C">
            <w:pPr>
              <w:pStyle w:val="Tabletext"/>
            </w:pPr>
            <w:r>
              <w:t>I</w:t>
            </w:r>
            <w:r w:rsidRPr="00075292">
              <w:t>mpact to individuals</w:t>
            </w:r>
            <w:r>
              <w:t xml:space="preserve"> </w:t>
            </w:r>
            <w:r w:rsidRPr="00075292">
              <w:t>whose personal information was affected</w:t>
            </w:r>
          </w:p>
          <w:p w14:paraId="28840E3C" w14:textId="372AFF9E" w:rsidR="0097704C" w:rsidRDefault="0097704C" w:rsidP="0097704C">
            <w:pPr>
              <w:pStyle w:val="Tabletext"/>
            </w:pPr>
            <w:r>
              <w:t>Impact on service delivery</w:t>
            </w:r>
          </w:p>
        </w:tc>
      </w:tr>
    </w:tbl>
    <w:p w14:paraId="16EC2272" w14:textId="04059D74" w:rsidR="001A791E" w:rsidRPr="001A791E" w:rsidRDefault="00A6671C" w:rsidP="001A791E">
      <w:pPr>
        <w:pStyle w:val="Heading2"/>
      </w:pPr>
      <w:r>
        <w:t xml:space="preserve">More information </w:t>
      </w:r>
    </w:p>
    <w:p w14:paraId="5978F725" w14:textId="77777777" w:rsidR="00A01C6A" w:rsidRDefault="00A6671C" w:rsidP="00A01C6A">
      <w:bookmarkStart w:id="7" w:name="_Toc30502218"/>
      <w:bookmarkStart w:id="8" w:name="_Toc87857027"/>
      <w:bookmarkStart w:id="9" w:name="_Toc116036529"/>
      <w:r>
        <w:t>For further information on the information security incident notification scheme and to download a notification form visit our website:</w:t>
      </w:r>
      <w:r>
        <w:br/>
      </w:r>
      <w:hyperlink r:id="rId27" w:history="1">
        <w:r w:rsidRPr="00A6671C">
          <w:rPr>
            <w:rStyle w:val="Hyperlink"/>
            <w:color w:val="430098" w:themeColor="text2"/>
          </w:rPr>
          <w:t>https://ovic.vic.gov.au/data-protection/agency-reporting-obligations/incident-notification/</w:t>
        </w:r>
      </w:hyperlink>
      <w:r>
        <w:t xml:space="preserve"> </w:t>
      </w:r>
    </w:p>
    <w:p w14:paraId="5180C86B" w14:textId="6A40F80D" w:rsidR="001A791E" w:rsidRPr="00167077" w:rsidRDefault="00A6671C" w:rsidP="00A01C6A">
      <w:r>
        <w:t xml:space="preserve">We welcome your feedback on this report. </w:t>
      </w:r>
      <w:r w:rsidRPr="001F3DC9">
        <w:t xml:space="preserve">Contact OVIC at </w:t>
      </w:r>
      <w:hyperlink r:id="rId28" w:history="1">
        <w:r w:rsidRPr="00A6671C">
          <w:rPr>
            <w:rStyle w:val="Hyperlink"/>
            <w:color w:val="430098" w:themeColor="text2"/>
          </w:rPr>
          <w:t>security@ovic.vic.gov.au</w:t>
        </w:r>
      </w:hyperlink>
      <w:r>
        <w:t xml:space="preserve"> to discuss this report further.</w:t>
      </w:r>
      <w:bookmarkEnd w:id="7"/>
      <w:bookmarkEnd w:id="8"/>
      <w:bookmarkEnd w:id="9"/>
    </w:p>
    <w:sectPr w:rsidR="001A791E" w:rsidRPr="00167077" w:rsidSect="004C5DAA">
      <w:headerReference w:type="default" r:id="rId29"/>
      <w:footerReference w:type="default" r:id="rId30"/>
      <w:headerReference w:type="first" r:id="rId31"/>
      <w:footerReference w:type="first" r:id="rId32"/>
      <w:pgSz w:w="11906" w:h="16838" w:code="9"/>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093D" w14:textId="77777777" w:rsidR="00E803E9" w:rsidRDefault="00E803E9" w:rsidP="00C37A29">
      <w:pPr>
        <w:spacing w:after="0"/>
      </w:pPr>
      <w:r>
        <w:separator/>
      </w:r>
    </w:p>
    <w:p w14:paraId="6DA54CF6" w14:textId="77777777" w:rsidR="00E803E9" w:rsidRDefault="00E803E9"/>
  </w:endnote>
  <w:endnote w:type="continuationSeparator" w:id="0">
    <w:p w14:paraId="36A22B68" w14:textId="77777777" w:rsidR="00E803E9" w:rsidRDefault="00E803E9" w:rsidP="00C37A29">
      <w:pPr>
        <w:spacing w:after="0"/>
      </w:pPr>
      <w:r>
        <w:continuationSeparator/>
      </w:r>
    </w:p>
    <w:p w14:paraId="06681584" w14:textId="77777777" w:rsidR="00E803E9" w:rsidRDefault="00E80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National-Book">
    <w:altName w:val="Times New Roman"/>
    <w:charset w:val="00"/>
    <w:family w:val="auto"/>
    <w:pitch w:val="variable"/>
    <w:sig w:usb0="00000001" w:usb1="5000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VICFooter"/>
      <w:tblpPr w:leftFromText="181" w:rightFromText="181" w:vertAnchor="page" w:horzAnchor="margin" w:tblpYSpec="bottom"/>
      <w:tblOverlap w:val="never"/>
      <w:tblW w:w="5000" w:type="pct"/>
      <w:tblLayout w:type="fixed"/>
      <w:tblLook w:val="04A0" w:firstRow="1" w:lastRow="0" w:firstColumn="1" w:lastColumn="0" w:noHBand="0" w:noVBand="1"/>
    </w:tblPr>
    <w:tblGrid>
      <w:gridCol w:w="2608"/>
      <w:gridCol w:w="5556"/>
      <w:gridCol w:w="1134"/>
    </w:tblGrid>
    <w:tr w:rsidR="00A81CCD" w14:paraId="03F3C6AE" w14:textId="77777777" w:rsidTr="00A81CCD">
      <w:tc>
        <w:tcPr>
          <w:tcW w:w="2608" w:type="dxa"/>
        </w:tcPr>
        <w:p w14:paraId="0A404DAD" w14:textId="2B07E185" w:rsidR="00A81CCD" w:rsidRDefault="00A81CCD" w:rsidP="00A81CCD">
          <w:pPr>
            <w:pStyle w:val="FooterToggle"/>
          </w:pPr>
          <w:r>
            <w:t xml:space="preserve">CM: </w:t>
          </w:r>
          <w:r w:rsidR="005632FA">
            <w:t>D23/2506</w:t>
          </w:r>
        </w:p>
        <w:p w14:paraId="5FF093DA" w14:textId="1FEB56D7" w:rsidR="00A81CCD" w:rsidRDefault="00E663F1" w:rsidP="00A81CCD">
          <w:pPr>
            <w:pStyle w:val="FooterToggle"/>
          </w:pPr>
          <w:r>
            <w:t>March 2023</w:t>
          </w:r>
        </w:p>
        <w:p w14:paraId="2B650044" w14:textId="77777777" w:rsidR="00A81CCD" w:rsidRDefault="00A81CCD" w:rsidP="00A81CCD">
          <w:pPr>
            <w:pStyle w:val="FooterToggle"/>
          </w:pPr>
          <w:r>
            <w:t>www.ovic.vic.g</w:t>
          </w:r>
          <w:r w:rsidR="00E90E1C">
            <w:t>o</w:t>
          </w:r>
          <w:r>
            <w:t>v.au</w:t>
          </w:r>
        </w:p>
      </w:tc>
      <w:tc>
        <w:tcPr>
          <w:tcW w:w="5556" w:type="dxa"/>
        </w:tcPr>
        <w:p w14:paraId="5CC80406" w14:textId="77777777" w:rsidR="00A81CCD" w:rsidRDefault="00A81CCD" w:rsidP="00A81CCD">
          <w:pPr>
            <w:pStyle w:val="FooterToggle"/>
          </w:pPr>
          <w:r>
            <w:t>Disclaimer</w:t>
          </w:r>
        </w:p>
        <w:p w14:paraId="004F336C" w14:textId="77777777" w:rsidR="00A81CCD" w:rsidRDefault="00E90E1C" w:rsidP="00A81CCD">
          <w:pPr>
            <w:pStyle w:val="FooterToggle-Disclaimer"/>
          </w:pPr>
          <w:r w:rsidRPr="00E90E1C">
            <w:t xml:space="preserve">The information in this document is general in nature </w:t>
          </w:r>
          <w:r>
            <w:br/>
          </w:r>
          <w:r w:rsidRPr="00E90E1C">
            <w:t>and</w:t>
          </w:r>
          <w:r>
            <w:t xml:space="preserve"> </w:t>
          </w:r>
          <w:r w:rsidRPr="00E90E1C">
            <w:t>does not constitute legal advice.</w:t>
          </w:r>
        </w:p>
      </w:tc>
      <w:tc>
        <w:tcPr>
          <w:tcW w:w="1134" w:type="dxa"/>
        </w:tcPr>
        <w:p w14:paraId="79747685" w14:textId="77777777" w:rsidR="00A81CCD" w:rsidRDefault="00A81CCD" w:rsidP="00A81CCD">
          <w:pPr>
            <w:pStyle w:val="PageNumber-right"/>
            <w:framePr w:hSpace="0" w:wrap="auto" w:vAnchor="margin" w:hAnchor="text" w:yAlign="inline"/>
            <w:suppressOverlap w:val="0"/>
          </w:pPr>
          <w:r>
            <w:fldChar w:fldCharType="begin"/>
          </w:r>
          <w:r>
            <w:instrText>PAGE  \* Arabic  \* MERGEFORMAT</w:instrText>
          </w:r>
          <w:r>
            <w:fldChar w:fldCharType="separate"/>
          </w:r>
          <w:r>
            <w:rPr>
              <w:lang w:val="en-GB"/>
            </w:rPr>
            <w:t>1</w:t>
          </w:r>
          <w:r>
            <w:fldChar w:fldCharType="end"/>
          </w:r>
          <w:r>
            <w:t xml:space="preserve"> /</w:t>
          </w:r>
          <w:r>
            <w:rPr>
              <w:lang w:val="en-GB"/>
            </w:rPr>
            <w:t xml:space="preserve"> </w:t>
          </w:r>
          <w:r w:rsidR="00167A03">
            <w:fldChar w:fldCharType="begin"/>
          </w:r>
          <w:r w:rsidR="00167A03">
            <w:instrText>NUMPAGES  \* Arabic  \* MERGEFORMAT</w:instrText>
          </w:r>
          <w:r w:rsidR="00167A03">
            <w:fldChar w:fldCharType="separate"/>
          </w:r>
          <w:r>
            <w:rPr>
              <w:lang w:val="en-GB"/>
            </w:rPr>
            <w:t>2</w:t>
          </w:r>
          <w:r w:rsidR="00167A03">
            <w:rPr>
              <w:lang w:val="en-GB"/>
            </w:rPr>
            <w:fldChar w:fldCharType="end"/>
          </w:r>
        </w:p>
      </w:tc>
    </w:tr>
  </w:tbl>
  <w:p w14:paraId="3A19B48A" w14:textId="77777777" w:rsidR="00CB1E32" w:rsidRPr="00A81CCD" w:rsidRDefault="00CB1E32" w:rsidP="004C5DAA">
    <w:pPr>
      <w:pStyle w:val="Footer"/>
      <w:spacing w:before="4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VICFooter"/>
      <w:tblpPr w:leftFromText="181" w:rightFromText="181" w:vertAnchor="page" w:horzAnchor="margin" w:tblpYSpec="bottom"/>
      <w:tblOverlap w:val="never"/>
      <w:tblW w:w="5000" w:type="pct"/>
      <w:tblLayout w:type="fixed"/>
      <w:tblLook w:val="04A0" w:firstRow="1" w:lastRow="0" w:firstColumn="1" w:lastColumn="0" w:noHBand="0" w:noVBand="1"/>
    </w:tblPr>
    <w:tblGrid>
      <w:gridCol w:w="2608"/>
      <w:gridCol w:w="5556"/>
      <w:gridCol w:w="1134"/>
    </w:tblGrid>
    <w:tr w:rsidR="003B0240" w14:paraId="1E228975" w14:textId="77777777" w:rsidTr="00E90E1C">
      <w:tc>
        <w:tcPr>
          <w:tcW w:w="2608" w:type="dxa"/>
        </w:tcPr>
        <w:p w14:paraId="47C1F3A6" w14:textId="7B1FD12E" w:rsidR="003B0240" w:rsidRDefault="003B0240" w:rsidP="003B0240">
          <w:pPr>
            <w:pStyle w:val="FooterToggle"/>
          </w:pPr>
          <w:r>
            <w:t xml:space="preserve">CM: </w:t>
          </w:r>
          <w:r w:rsidR="00E663F1">
            <w:t>D23/2506</w:t>
          </w:r>
        </w:p>
        <w:p w14:paraId="646B2D1F" w14:textId="20BFE697" w:rsidR="003B0240" w:rsidRDefault="00E663F1" w:rsidP="003B0240">
          <w:pPr>
            <w:pStyle w:val="FooterToggle"/>
          </w:pPr>
          <w:r>
            <w:t>March 2023</w:t>
          </w:r>
        </w:p>
        <w:p w14:paraId="7EAEF612" w14:textId="77777777" w:rsidR="003B0240" w:rsidRDefault="003B0240" w:rsidP="003B0240">
          <w:pPr>
            <w:pStyle w:val="FooterToggle"/>
          </w:pPr>
          <w:r>
            <w:t>www.ovic.vic.g</w:t>
          </w:r>
          <w:r w:rsidR="00E90E1C">
            <w:t>o</w:t>
          </w:r>
          <w:r>
            <w:t>v.au</w:t>
          </w:r>
        </w:p>
      </w:tc>
      <w:tc>
        <w:tcPr>
          <w:tcW w:w="5556" w:type="dxa"/>
        </w:tcPr>
        <w:p w14:paraId="1922FB64" w14:textId="77777777" w:rsidR="003B0240" w:rsidRDefault="003B0240" w:rsidP="00E90E1C">
          <w:pPr>
            <w:pStyle w:val="FooterToggle"/>
          </w:pPr>
          <w:r>
            <w:t>Disclaimer</w:t>
          </w:r>
        </w:p>
        <w:p w14:paraId="6E12DFB3" w14:textId="77777777" w:rsidR="003B0240" w:rsidRPr="00E90E1C" w:rsidRDefault="00E90E1C" w:rsidP="00E90E1C">
          <w:pPr>
            <w:pStyle w:val="FooterToggle-Disclaimer"/>
          </w:pPr>
          <w:r w:rsidRPr="00E90E1C">
            <w:t xml:space="preserve">The information in this document is general in nature </w:t>
          </w:r>
          <w:r>
            <w:br/>
          </w:r>
          <w:r w:rsidRPr="00E90E1C">
            <w:t>and</w:t>
          </w:r>
          <w:r>
            <w:t xml:space="preserve"> </w:t>
          </w:r>
          <w:r w:rsidRPr="00E90E1C">
            <w:t>does not constitute legal advice.</w:t>
          </w:r>
        </w:p>
      </w:tc>
      <w:tc>
        <w:tcPr>
          <w:tcW w:w="1134" w:type="dxa"/>
        </w:tcPr>
        <w:p w14:paraId="651CD4F4" w14:textId="77777777" w:rsidR="003B0240" w:rsidRDefault="003B0240" w:rsidP="003B0240">
          <w:pPr>
            <w:pStyle w:val="PageNumber-right"/>
            <w:framePr w:hSpace="0" w:wrap="auto" w:vAnchor="margin" w:hAnchor="text" w:yAlign="inline"/>
            <w:suppressOverlap w:val="0"/>
          </w:pPr>
          <w:r>
            <w:fldChar w:fldCharType="begin"/>
          </w:r>
          <w:r>
            <w:instrText>PAGE  \* Arabic  \* MERGEFORMAT</w:instrText>
          </w:r>
          <w:r>
            <w:fldChar w:fldCharType="separate"/>
          </w:r>
          <w:r>
            <w:rPr>
              <w:lang w:val="en-GB"/>
            </w:rPr>
            <w:t>1</w:t>
          </w:r>
          <w:r>
            <w:fldChar w:fldCharType="end"/>
          </w:r>
          <w:r>
            <w:t xml:space="preserve"> /</w:t>
          </w:r>
          <w:r>
            <w:rPr>
              <w:lang w:val="en-GB"/>
            </w:rPr>
            <w:t xml:space="preserve"> </w:t>
          </w:r>
          <w:r w:rsidR="00167A03">
            <w:fldChar w:fldCharType="begin"/>
          </w:r>
          <w:r w:rsidR="00167A03">
            <w:instrText>NUMPAGES  \* Arabic  \* MERGEFORMAT</w:instrText>
          </w:r>
          <w:r w:rsidR="00167A03">
            <w:fldChar w:fldCharType="separate"/>
          </w:r>
          <w:r>
            <w:rPr>
              <w:lang w:val="en-GB"/>
            </w:rPr>
            <w:t>2</w:t>
          </w:r>
          <w:r w:rsidR="00167A03">
            <w:rPr>
              <w:lang w:val="en-GB"/>
            </w:rPr>
            <w:fldChar w:fldCharType="end"/>
          </w:r>
        </w:p>
      </w:tc>
    </w:tr>
  </w:tbl>
  <w:p w14:paraId="2E0007CD" w14:textId="77777777" w:rsidR="003B0240" w:rsidRDefault="003B0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4933E" w14:textId="77777777" w:rsidR="00E803E9" w:rsidRDefault="00E803E9" w:rsidP="004C5DAA">
      <w:pPr>
        <w:spacing w:after="120"/>
      </w:pPr>
      <w:r>
        <w:separator/>
      </w:r>
    </w:p>
  </w:footnote>
  <w:footnote w:type="continuationSeparator" w:id="0">
    <w:p w14:paraId="368FB36A" w14:textId="77777777" w:rsidR="00E803E9" w:rsidRDefault="00E803E9" w:rsidP="00C37A29">
      <w:pPr>
        <w:spacing w:after="0"/>
      </w:pPr>
      <w:r>
        <w:continuationSeparator/>
      </w:r>
    </w:p>
    <w:p w14:paraId="41E2A8F9" w14:textId="77777777" w:rsidR="00E803E9" w:rsidRDefault="00E803E9"/>
  </w:footnote>
  <w:footnote w:id="1">
    <w:p w14:paraId="40F296BA" w14:textId="77777777" w:rsidR="00A6671C" w:rsidRDefault="00A6671C" w:rsidP="00A6671C">
      <w:pPr>
        <w:pStyle w:val="FootnoteText"/>
      </w:pPr>
      <w:r>
        <w:rPr>
          <w:rStyle w:val="FootnoteReference"/>
        </w:rPr>
        <w:footnoteRef/>
      </w:r>
      <w:r>
        <w:t xml:space="preserve"> </w:t>
      </w:r>
      <w:r w:rsidRPr="009F2C07">
        <w:rPr>
          <w:sz w:val="18"/>
          <w:szCs w:val="18"/>
        </w:rPr>
        <w:t xml:space="preserve">Refer to </w:t>
      </w:r>
      <w:hyperlink r:id="rId1" w:history="1">
        <w:r w:rsidRPr="00A6671C">
          <w:rPr>
            <w:rStyle w:val="Hyperlink"/>
            <w:color w:val="430098" w:themeColor="text2"/>
            <w:sz w:val="18"/>
            <w:szCs w:val="18"/>
          </w:rPr>
          <w:t>https://ovic.vic.gov.au/data-protection/victorian-protective-data-security-framework-business-impact-level-table-v2-1/</w:t>
        </w:r>
      </w:hyperlink>
    </w:p>
  </w:footnote>
  <w:footnote w:id="2">
    <w:p w14:paraId="05BF24BB" w14:textId="77777777" w:rsidR="0097704C" w:rsidRPr="00637791" w:rsidRDefault="0097704C" w:rsidP="0097704C">
      <w:pPr>
        <w:pStyle w:val="Body"/>
        <w:rPr>
          <w:rFonts w:asciiTheme="majorHAnsi" w:hAnsiTheme="majorHAnsi" w:cstheme="majorHAnsi"/>
          <w:sz w:val="18"/>
          <w:szCs w:val="18"/>
        </w:rPr>
      </w:pPr>
      <w:r w:rsidRPr="00637791">
        <w:rPr>
          <w:rStyle w:val="FootnoteReference"/>
          <w:rFonts w:asciiTheme="majorHAnsi" w:hAnsiTheme="majorHAnsi" w:cstheme="majorHAnsi"/>
          <w:color w:val="auto"/>
          <w:sz w:val="18"/>
          <w:szCs w:val="18"/>
        </w:rPr>
        <w:footnoteRef/>
      </w:r>
      <w:r w:rsidRPr="00637791">
        <w:rPr>
          <w:rFonts w:asciiTheme="majorHAnsi" w:hAnsiTheme="majorHAnsi" w:cstheme="majorHAnsi"/>
          <w:color w:val="auto"/>
          <w:sz w:val="18"/>
          <w:szCs w:val="18"/>
        </w:rPr>
        <w:t xml:space="preserve"> The extent of the impact could be “limited” or higher depending on the context and nature of the incident and is left for an organisation to determine.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78A7" w14:textId="691AAB5C" w:rsidR="00CB1E32" w:rsidRDefault="00792868" w:rsidP="00792868">
    <w:pPr>
      <w:pStyle w:val="ProtectiveMarking"/>
      <w:framePr w:wrap="around"/>
    </w:pPr>
    <w:r>
      <w:fldChar w:fldCharType="begin"/>
    </w:r>
    <w:r>
      <w:instrText xml:space="preserve"> STYLEREF  "Protective Marking"  \* MERGEFORMAT </w:instrText>
    </w:r>
    <w:r>
      <w:fldChar w:fldCharType="end"/>
    </w:r>
    <w:r w:rsidR="002E394D">
      <w:rPr>
        <w:noProof/>
      </w:rPr>
      <mc:AlternateContent>
        <mc:Choice Requires="wps">
          <w:drawing>
            <wp:anchor distT="0" distB="0" distL="114300" distR="114300" simplePos="0" relativeHeight="251668480" behindDoc="0" locked="1" layoutInCell="1" allowOverlap="1" wp14:anchorId="7BF2DAF3" wp14:editId="2EC6A732">
              <wp:simplePos x="0" y="0"/>
              <wp:positionH relativeFrom="page">
                <wp:align>right</wp:align>
              </wp:positionH>
              <wp:positionV relativeFrom="page">
                <wp:align>bottom</wp:align>
              </wp:positionV>
              <wp:extent cx="828000" cy="1512000"/>
              <wp:effectExtent l="0" t="0" r="0" b="0"/>
              <wp:wrapNone/>
              <wp:docPr id="10" name="Mask"/>
              <wp:cNvGraphicFramePr/>
              <a:graphic xmlns:a="http://schemas.openxmlformats.org/drawingml/2006/main">
                <a:graphicData uri="http://schemas.microsoft.com/office/word/2010/wordprocessingShape">
                  <wps:wsp>
                    <wps:cNvSpPr/>
                    <wps:spPr>
                      <a:xfrm>
                        <a:off x="0" y="0"/>
                        <a:ext cx="828000" cy="151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56A93" id="Mask" o:spid="_x0000_s1026" style="position:absolute;margin-left:14pt;margin-top:0;width:65.2pt;height:119.05pt;z-index:25166848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7jIegIAAF4FAAAOAAAAZHJzL2Uyb0RvYy54bWysVE1v2zAMvQ/YfxB0X20H7dYFdYqgRYcB&#10;RVs0HXpWZCk2IIsapcTJfv0o+SNtV+ww7GJTIvlIPpK6uNy3hu0U+gZsyYuTnDNlJVSN3ZT8x9PN&#10;p3POfBC2EgasKvlBeX65+PjhonNzNYMaTKWQEYj1886VvA7BzbPMy1q1wp+AU5aUGrAVgY64ySoU&#10;HaG3Jpvl+eesA6wcglTe0+11r+SLhK+1kuFea68CMyWn3EL6Yvqu4zdbXIj5BoWrGzmkIf4hi1Y0&#10;loJOUNciCLbF5g+otpEIHnQ4kdBmoHUjVaqBqinyN9WsauFUqoXI8W6iyf8/WHm3W7kHJBo65+ee&#10;xFjFXmMb/5Qf2yeyDhNZah+YpMvz2XmeE6WSVMVZQc1IbGZHb4c+fFPQsiiUHKkZiSOxu/WBIpLp&#10;aBKDeTBNddMYkw5xANSVQbYT1Lr1poitIo9XVsZGWwvRq1fHm+xYSpLCwahoZ+yj0qypKPlZSiRN&#10;2TGIkFLZUPSqWlSqj31GlY2lTR4plwQYkTXFn7AHgNcFjNh9loN9dFVpSCfn/G+J9c6TR4oMNkzO&#10;bWMB3wMwVNUQubcfSeqpiSytoTo8IEPoV8Q7edNQ226FDw8CaSeo1bTn4Z4+2kBXchgkzmrAX+/d&#10;R3saVdJy1tGOldz/3ApUnJnvlob4a3F6GpcyHU7PvszogC8165cau22vgGahoBfFySRG+2BGUSO0&#10;z/QcLGNUUgkrKXbJZcDxcBX63acHRarlMpnRIjoRbu3KyQgeWY1j+bR/FuiG2Q009Xcw7qOYvxnh&#10;3jZ6WlhuA+gmzfeR14FvWuI0OMODE1+Jl+dkdXwWF78BAAD//wMAUEsDBBQABgAIAAAAIQDrFjw8&#10;3QAAAAUBAAAPAAAAZHJzL2Rvd25yZXYueG1sTI/BasMwEETvhf6D2EIupZETlRAcy6EtFHLpoUkI&#10;PSrWxhKxVsZSbKdfX6WX9rIwzDDztliPrmE9dsF6kjCbZsCQKq8t1RL2u/enJbAQFWnVeEIJVwyw&#10;Lu/vCpVrP9An9ttYs1RCIVcSTIxtznmoDDoVpr5FSt7Jd07FJLua604Nqdw1fJ5lC+6UpbRgVItv&#10;Bqvz9uIkfFyF2PSP4jzsrajtN/96PRgv5eRhfFkBizjGvzDc8BM6lInp6C+kA2skpEfi7715InsG&#10;dpQwF8sZ8LLg/+nLHwAAAP//AwBQSwECLQAUAAYACAAAACEAtoM4kv4AAADhAQAAEwAAAAAAAAAA&#10;AAAAAAAAAAAAW0NvbnRlbnRfVHlwZXNdLnhtbFBLAQItABQABgAIAAAAIQA4/SH/1gAAAJQBAAAL&#10;AAAAAAAAAAAAAAAAAC8BAABfcmVscy8ucmVsc1BLAQItABQABgAIAAAAIQDHw7jIegIAAF4FAAAO&#10;AAAAAAAAAAAAAAAAAC4CAABkcnMvZTJvRG9jLnhtbFBLAQItABQABgAIAAAAIQDrFjw83QAAAAUB&#10;AAAPAAAAAAAAAAAAAAAAANQEAABkcnMvZG93bnJldi54bWxQSwUGAAAAAAQABADzAAAA3gUAAAAA&#10;" fillcolor="white [3212]"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8747" w14:textId="77777777" w:rsidR="009A1E02" w:rsidRDefault="001C0D28">
    <w:pPr>
      <w:pStyle w:val="Header"/>
    </w:pPr>
    <w:r>
      <w:rPr>
        <w:noProof/>
      </w:rPr>
      <w:drawing>
        <wp:anchor distT="4320540" distB="107950" distL="114300" distR="114300" simplePos="0" relativeHeight="251674624" behindDoc="0" locked="1" layoutInCell="1" allowOverlap="1" wp14:anchorId="1608FA04" wp14:editId="716C1E8D">
          <wp:simplePos x="0" y="0"/>
          <wp:positionH relativeFrom="margin">
            <wp:align>left</wp:align>
          </wp:positionH>
          <wp:positionV relativeFrom="page">
            <wp:posOffset>756285</wp:posOffset>
          </wp:positionV>
          <wp:extent cx="1472400" cy="648000"/>
          <wp:effectExtent l="0" t="0" r="0" b="0"/>
          <wp:wrapTopAndBottom/>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724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52A7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388E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3252CBE4"/>
    <w:numStyleLink w:val="Numbering"/>
  </w:abstractNum>
  <w:abstractNum w:abstractNumId="11" w15:restartNumberingAfterBreak="0">
    <w:nsid w:val="05431BD9"/>
    <w:multiLevelType w:val="multilevel"/>
    <w:tmpl w:val="3252CBE4"/>
    <w:numStyleLink w:val="Numbering"/>
  </w:abstractNum>
  <w:abstractNum w:abstractNumId="12"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BA738B5"/>
    <w:multiLevelType w:val="hybridMultilevel"/>
    <w:tmpl w:val="4510D9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C2D48CE"/>
    <w:multiLevelType w:val="multilevel"/>
    <w:tmpl w:val="3252CBE4"/>
    <w:numStyleLink w:val="Numbering"/>
  </w:abstractNum>
  <w:abstractNum w:abstractNumId="15" w15:restartNumberingAfterBreak="0">
    <w:nsid w:val="0D5A5E93"/>
    <w:multiLevelType w:val="multilevel"/>
    <w:tmpl w:val="7B2236E6"/>
    <w:numStyleLink w:val="Bullets"/>
  </w:abstractNum>
  <w:abstractNum w:abstractNumId="16" w15:restartNumberingAfterBreak="0">
    <w:nsid w:val="0F6F37EA"/>
    <w:multiLevelType w:val="multilevel"/>
    <w:tmpl w:val="3252CBE4"/>
    <w:styleLink w:val="Numbering"/>
    <w:lvl w:ilvl="0">
      <w:start w:val="1"/>
      <w:numFmt w:val="decimal"/>
      <w:pStyle w:val="ListNumber"/>
      <w:lvlText w:val="%1."/>
      <w:lvlJc w:val="left"/>
      <w:pPr>
        <w:tabs>
          <w:tab w:val="num" w:pos="284"/>
        </w:tabs>
        <w:ind w:left="567" w:hanging="283"/>
      </w:pPr>
      <w:rPr>
        <w:rFonts w:hint="default"/>
      </w:rPr>
    </w:lvl>
    <w:lvl w:ilvl="1">
      <w:start w:val="1"/>
      <w:numFmt w:val="decimal"/>
      <w:pStyle w:val="ListNumber2"/>
      <w:lvlText w:val="%1.%2."/>
      <w:lvlJc w:val="left"/>
      <w:pPr>
        <w:ind w:left="1134" w:hanging="567"/>
      </w:pPr>
      <w:rPr>
        <w:rFonts w:hint="default"/>
      </w:rPr>
    </w:lvl>
    <w:lvl w:ilvl="2">
      <w:start w:val="1"/>
      <w:numFmt w:val="decimal"/>
      <w:pStyle w:val="ListNumber3"/>
      <w:lvlText w:val="%1.%2.%3."/>
      <w:lvlJc w:val="left"/>
      <w:pPr>
        <w:tabs>
          <w:tab w:val="num" w:pos="1134"/>
        </w:tabs>
        <w:ind w:left="1701" w:hanging="56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7" w15:restartNumberingAfterBreak="0">
    <w:nsid w:val="11DE1E3F"/>
    <w:multiLevelType w:val="hybridMultilevel"/>
    <w:tmpl w:val="F836B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32D53ED"/>
    <w:multiLevelType w:val="multilevel"/>
    <w:tmpl w:val="3252CBE4"/>
    <w:numStyleLink w:val="Numbering"/>
  </w:abstractNum>
  <w:abstractNum w:abstractNumId="19" w15:restartNumberingAfterBreak="0">
    <w:nsid w:val="15AC0B28"/>
    <w:multiLevelType w:val="multilevel"/>
    <w:tmpl w:val="B6542242"/>
    <w:numStyleLink w:val="LetteredList"/>
  </w:abstractNum>
  <w:abstractNum w:abstractNumId="20" w15:restartNumberingAfterBreak="0">
    <w:nsid w:val="16155739"/>
    <w:multiLevelType w:val="multilevel"/>
    <w:tmpl w:val="B6542242"/>
    <w:styleLink w:val="LetteredList"/>
    <w:lvl w:ilvl="0">
      <w:start w:val="1"/>
      <w:numFmt w:val="lowerLetter"/>
      <w:pStyle w:val="List"/>
      <w:lvlText w:val="(%1)."/>
      <w:lvlJc w:val="left"/>
      <w:pPr>
        <w:ind w:left="1701" w:hanging="567"/>
      </w:pPr>
      <w:rPr>
        <w:rFonts w:hint="default"/>
      </w:rPr>
    </w:lvl>
    <w:lvl w:ilvl="1">
      <w:start w:val="1"/>
      <w:numFmt w:val="lowerRoman"/>
      <w:pStyle w:val="List2"/>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BA956D9"/>
    <w:multiLevelType w:val="hybridMultilevel"/>
    <w:tmpl w:val="F73C5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D322B09"/>
    <w:multiLevelType w:val="multilevel"/>
    <w:tmpl w:val="3252CBE4"/>
    <w:numStyleLink w:val="Numbering"/>
  </w:abstractNum>
  <w:abstractNum w:abstractNumId="23" w15:restartNumberingAfterBreak="0">
    <w:nsid w:val="20215C86"/>
    <w:multiLevelType w:val="multilevel"/>
    <w:tmpl w:val="7B2236E6"/>
    <w:numStyleLink w:val="Bullets"/>
  </w:abstractNum>
  <w:abstractNum w:abstractNumId="24" w15:restartNumberingAfterBreak="0">
    <w:nsid w:val="321F1D0F"/>
    <w:multiLevelType w:val="multilevel"/>
    <w:tmpl w:val="7B2236E6"/>
    <w:numStyleLink w:val="Bullets"/>
  </w:abstractNum>
  <w:abstractNum w:abstractNumId="25" w15:restartNumberingAfterBreak="0">
    <w:nsid w:val="3EAB73FA"/>
    <w:multiLevelType w:val="hybridMultilevel"/>
    <w:tmpl w:val="2E9C8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397427"/>
    <w:multiLevelType w:val="multilevel"/>
    <w:tmpl w:val="3252CBE4"/>
    <w:numStyleLink w:val="Numbering"/>
  </w:abstractNum>
  <w:abstractNum w:abstractNumId="27" w15:restartNumberingAfterBreak="0">
    <w:nsid w:val="46C23802"/>
    <w:multiLevelType w:val="hybridMultilevel"/>
    <w:tmpl w:val="B016D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040D82"/>
    <w:multiLevelType w:val="hybridMultilevel"/>
    <w:tmpl w:val="CF2C5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A52890"/>
    <w:multiLevelType w:val="hybridMultilevel"/>
    <w:tmpl w:val="D378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9067FA"/>
    <w:multiLevelType w:val="hybridMultilevel"/>
    <w:tmpl w:val="576EA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2" w15:restartNumberingAfterBreak="0">
    <w:nsid w:val="4CFB0214"/>
    <w:multiLevelType w:val="hybridMultilevel"/>
    <w:tmpl w:val="CCFA50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E7F1CD0"/>
    <w:multiLevelType w:val="multilevel"/>
    <w:tmpl w:val="3252CBE4"/>
    <w:numStyleLink w:val="Numbering"/>
  </w:abstractNum>
  <w:abstractNum w:abstractNumId="34" w15:restartNumberingAfterBreak="0">
    <w:nsid w:val="52FA1525"/>
    <w:multiLevelType w:val="hybridMultilevel"/>
    <w:tmpl w:val="AC3E7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4672D5"/>
    <w:multiLevelType w:val="multilevel"/>
    <w:tmpl w:val="7B2236E6"/>
    <w:numStyleLink w:val="Bullets"/>
  </w:abstractNum>
  <w:abstractNum w:abstractNumId="36" w15:restartNumberingAfterBreak="0">
    <w:nsid w:val="58B73D84"/>
    <w:multiLevelType w:val="multilevel"/>
    <w:tmpl w:val="50041352"/>
    <w:numStyleLink w:val="ListHeadings"/>
  </w:abstractNum>
  <w:abstractNum w:abstractNumId="37" w15:restartNumberingAfterBreak="0">
    <w:nsid w:val="596A0C8C"/>
    <w:multiLevelType w:val="multilevel"/>
    <w:tmpl w:val="3252CBE4"/>
    <w:numStyleLink w:val="Numbering"/>
  </w:abstractNum>
  <w:abstractNum w:abstractNumId="38" w15:restartNumberingAfterBreak="0">
    <w:nsid w:val="60E1502C"/>
    <w:multiLevelType w:val="multilevel"/>
    <w:tmpl w:val="7B2236E6"/>
    <w:styleLink w:val="Bullets"/>
    <w:lvl w:ilvl="0">
      <w:start w:val="1"/>
      <w:numFmt w:val="bullet"/>
      <w:pStyle w:val="ListBullet"/>
      <w:lvlText w:val=""/>
      <w:lvlJc w:val="left"/>
      <w:pPr>
        <w:tabs>
          <w:tab w:val="num" w:pos="340"/>
        </w:tabs>
        <w:ind w:left="567" w:hanging="283"/>
      </w:pPr>
      <w:rPr>
        <w:rFonts w:ascii="Symbol" w:hAnsi="Symbol" w:hint="default"/>
        <w:color w:val="auto"/>
      </w:rPr>
    </w:lvl>
    <w:lvl w:ilvl="1">
      <w:start w:val="1"/>
      <w:numFmt w:val="bullet"/>
      <w:pStyle w:val="ListBullet2"/>
      <w:lvlText w:val="–"/>
      <w:lvlJc w:val="left"/>
      <w:pPr>
        <w:tabs>
          <w:tab w:val="num" w:pos="680"/>
        </w:tabs>
        <w:ind w:left="851" w:hanging="284"/>
      </w:pPr>
      <w:rPr>
        <w:rFonts w:ascii="Calibri" w:hAnsi="Calibri" w:hint="default"/>
        <w:color w:val="auto"/>
      </w:rPr>
    </w:lvl>
    <w:lvl w:ilvl="2">
      <w:start w:val="1"/>
      <w:numFmt w:val="bullet"/>
      <w:pStyle w:val="ListBullet3"/>
      <w:lvlText w:val="–"/>
      <w:lvlJc w:val="left"/>
      <w:pPr>
        <w:ind w:left="1134" w:hanging="283"/>
      </w:pPr>
      <w:rPr>
        <w:rFonts w:ascii="Calibri" w:hAnsi="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9" w15:restartNumberingAfterBreak="0">
    <w:nsid w:val="62DE355B"/>
    <w:multiLevelType w:val="hybridMultilevel"/>
    <w:tmpl w:val="5748D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3520E2"/>
    <w:multiLevelType w:val="multilevel"/>
    <w:tmpl w:val="7B2236E6"/>
    <w:numStyleLink w:val="Bullets"/>
  </w:abstractNum>
  <w:abstractNum w:abstractNumId="41" w15:restartNumberingAfterBreak="0">
    <w:nsid w:val="660D51AD"/>
    <w:multiLevelType w:val="multilevel"/>
    <w:tmpl w:val="3252CBE4"/>
    <w:numStyleLink w:val="Numbering"/>
  </w:abstractNum>
  <w:abstractNum w:abstractNumId="42" w15:restartNumberingAfterBreak="0">
    <w:nsid w:val="6A6F01A3"/>
    <w:multiLevelType w:val="hybridMultilevel"/>
    <w:tmpl w:val="D8F6E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0D40EA"/>
    <w:multiLevelType w:val="multilevel"/>
    <w:tmpl w:val="B6542242"/>
    <w:numStyleLink w:val="LetteredList"/>
  </w:abstractNum>
  <w:abstractNum w:abstractNumId="44" w15:restartNumberingAfterBreak="0">
    <w:nsid w:val="70900FB4"/>
    <w:multiLevelType w:val="hybridMultilevel"/>
    <w:tmpl w:val="58CAC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35B29E1"/>
    <w:multiLevelType w:val="hybridMultilevel"/>
    <w:tmpl w:val="C37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4D0736"/>
    <w:multiLevelType w:val="multilevel"/>
    <w:tmpl w:val="3252CBE4"/>
    <w:numStyleLink w:val="Numbering"/>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38"/>
  </w:num>
  <w:num w:numId="12" w16cid:durableId="1261796759">
    <w:abstractNumId w:val="40"/>
  </w:num>
  <w:num w:numId="13" w16cid:durableId="1043405154">
    <w:abstractNumId w:val="24"/>
  </w:num>
  <w:num w:numId="14" w16cid:durableId="846598071">
    <w:abstractNumId w:val="16"/>
  </w:num>
  <w:num w:numId="15" w16cid:durableId="1311640227">
    <w:abstractNumId w:val="46"/>
  </w:num>
  <w:num w:numId="16" w16cid:durableId="881941196">
    <w:abstractNumId w:val="33"/>
  </w:num>
  <w:num w:numId="17" w16cid:durableId="533617442">
    <w:abstractNumId w:val="41"/>
  </w:num>
  <w:num w:numId="18" w16cid:durableId="250312982">
    <w:abstractNumId w:val="10"/>
  </w:num>
  <w:num w:numId="19" w16cid:durableId="385955825">
    <w:abstractNumId w:val="14"/>
  </w:num>
  <w:num w:numId="20" w16cid:durableId="1408189744">
    <w:abstractNumId w:val="26"/>
  </w:num>
  <w:num w:numId="21" w16cid:durableId="1370494809">
    <w:abstractNumId w:val="18"/>
  </w:num>
  <w:num w:numId="22" w16cid:durableId="659580476">
    <w:abstractNumId w:val="12"/>
  </w:num>
  <w:num w:numId="23" w16cid:durableId="2036539326">
    <w:abstractNumId w:val="15"/>
  </w:num>
  <w:num w:numId="24" w16cid:durableId="1303265532">
    <w:abstractNumId w:val="22"/>
  </w:num>
  <w:num w:numId="25" w16cid:durableId="1737582058">
    <w:abstractNumId w:val="37"/>
  </w:num>
  <w:num w:numId="26" w16cid:durableId="974717717">
    <w:abstractNumId w:val="36"/>
  </w:num>
  <w:num w:numId="27" w16cid:durableId="444039133">
    <w:abstractNumId w:val="20"/>
  </w:num>
  <w:num w:numId="28" w16cid:durableId="1536448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31"/>
  </w:num>
  <w:num w:numId="30" w16cid:durableId="1078097849">
    <w:abstractNumId w:val="35"/>
  </w:num>
  <w:num w:numId="31" w16cid:durableId="725029349">
    <w:abstractNumId w:val="23"/>
  </w:num>
  <w:num w:numId="32" w16cid:durableId="1773672465">
    <w:abstractNumId w:val="11"/>
  </w:num>
  <w:num w:numId="33" w16cid:durableId="1905679259">
    <w:abstractNumId w:val="19"/>
  </w:num>
  <w:num w:numId="34" w16cid:durableId="1487628207">
    <w:abstractNumId w:val="43"/>
  </w:num>
  <w:num w:numId="35" w16cid:durableId="735318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989843">
    <w:abstractNumId w:val="29"/>
  </w:num>
  <w:num w:numId="37" w16cid:durableId="1544903763">
    <w:abstractNumId w:val="32"/>
  </w:num>
  <w:num w:numId="38" w16cid:durableId="2103259262">
    <w:abstractNumId w:val="45"/>
  </w:num>
  <w:num w:numId="39" w16cid:durableId="93940029">
    <w:abstractNumId w:val="17"/>
  </w:num>
  <w:num w:numId="40" w16cid:durableId="876548347">
    <w:abstractNumId w:val="42"/>
  </w:num>
  <w:num w:numId="41" w16cid:durableId="74936319">
    <w:abstractNumId w:val="39"/>
  </w:num>
  <w:num w:numId="42" w16cid:durableId="1715344624">
    <w:abstractNumId w:val="27"/>
  </w:num>
  <w:num w:numId="43" w16cid:durableId="1734237948">
    <w:abstractNumId w:val="25"/>
  </w:num>
  <w:num w:numId="44" w16cid:durableId="636111117">
    <w:abstractNumId w:val="28"/>
  </w:num>
  <w:num w:numId="45" w16cid:durableId="430047757">
    <w:abstractNumId w:val="34"/>
  </w:num>
  <w:num w:numId="46" w16cid:durableId="780106412">
    <w:abstractNumId w:val="44"/>
  </w:num>
  <w:num w:numId="47" w16cid:durableId="1406101848">
    <w:abstractNumId w:val="21"/>
  </w:num>
  <w:num w:numId="48" w16cid:durableId="1935938072">
    <w:abstractNumId w:val="13"/>
  </w:num>
  <w:num w:numId="49" w16cid:durableId="21701809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E9"/>
    <w:rsid w:val="000016E9"/>
    <w:rsid w:val="000300AF"/>
    <w:rsid w:val="0003148A"/>
    <w:rsid w:val="00062784"/>
    <w:rsid w:val="000724AE"/>
    <w:rsid w:val="0007747C"/>
    <w:rsid w:val="0008037D"/>
    <w:rsid w:val="00086F51"/>
    <w:rsid w:val="000910E4"/>
    <w:rsid w:val="00092650"/>
    <w:rsid w:val="000B497F"/>
    <w:rsid w:val="000C1AA9"/>
    <w:rsid w:val="000D3DF9"/>
    <w:rsid w:val="000D580C"/>
    <w:rsid w:val="000F2D16"/>
    <w:rsid w:val="0010129F"/>
    <w:rsid w:val="00110345"/>
    <w:rsid w:val="00110AC2"/>
    <w:rsid w:val="00112E8F"/>
    <w:rsid w:val="001268BC"/>
    <w:rsid w:val="001570B0"/>
    <w:rsid w:val="00166F43"/>
    <w:rsid w:val="00167A03"/>
    <w:rsid w:val="001A067F"/>
    <w:rsid w:val="001A0D77"/>
    <w:rsid w:val="001A791E"/>
    <w:rsid w:val="001C0D28"/>
    <w:rsid w:val="001C19AB"/>
    <w:rsid w:val="001C7835"/>
    <w:rsid w:val="001F13C1"/>
    <w:rsid w:val="001F2054"/>
    <w:rsid w:val="001F446D"/>
    <w:rsid w:val="00221AB7"/>
    <w:rsid w:val="00236215"/>
    <w:rsid w:val="00246435"/>
    <w:rsid w:val="00246BCF"/>
    <w:rsid w:val="0025786F"/>
    <w:rsid w:val="00265D26"/>
    <w:rsid w:val="00270834"/>
    <w:rsid w:val="0027131C"/>
    <w:rsid w:val="002814E6"/>
    <w:rsid w:val="00281560"/>
    <w:rsid w:val="00295C59"/>
    <w:rsid w:val="00296F32"/>
    <w:rsid w:val="002E0EDA"/>
    <w:rsid w:val="002E394D"/>
    <w:rsid w:val="002F07B4"/>
    <w:rsid w:val="00303246"/>
    <w:rsid w:val="00305171"/>
    <w:rsid w:val="003126A4"/>
    <w:rsid w:val="0034139E"/>
    <w:rsid w:val="0034680A"/>
    <w:rsid w:val="00363FF8"/>
    <w:rsid w:val="003676E4"/>
    <w:rsid w:val="0037721D"/>
    <w:rsid w:val="0038102A"/>
    <w:rsid w:val="003A265C"/>
    <w:rsid w:val="003B0240"/>
    <w:rsid w:val="003D0865"/>
    <w:rsid w:val="003D23A3"/>
    <w:rsid w:val="003D3729"/>
    <w:rsid w:val="003D5856"/>
    <w:rsid w:val="00404E4F"/>
    <w:rsid w:val="0042339A"/>
    <w:rsid w:val="00424C4D"/>
    <w:rsid w:val="0042508F"/>
    <w:rsid w:val="00455000"/>
    <w:rsid w:val="004635FD"/>
    <w:rsid w:val="00467EA8"/>
    <w:rsid w:val="00474FEE"/>
    <w:rsid w:val="004843D5"/>
    <w:rsid w:val="004A65E6"/>
    <w:rsid w:val="004B4AE7"/>
    <w:rsid w:val="004B609E"/>
    <w:rsid w:val="004C5DAA"/>
    <w:rsid w:val="004D1958"/>
    <w:rsid w:val="004E0833"/>
    <w:rsid w:val="004E28C6"/>
    <w:rsid w:val="004F138F"/>
    <w:rsid w:val="004F5D6B"/>
    <w:rsid w:val="00500FBF"/>
    <w:rsid w:val="0050670B"/>
    <w:rsid w:val="005141E8"/>
    <w:rsid w:val="00533496"/>
    <w:rsid w:val="0054698D"/>
    <w:rsid w:val="00550C99"/>
    <w:rsid w:val="00553413"/>
    <w:rsid w:val="0056214A"/>
    <w:rsid w:val="005632FA"/>
    <w:rsid w:val="0058369E"/>
    <w:rsid w:val="00586DD1"/>
    <w:rsid w:val="00593314"/>
    <w:rsid w:val="00594496"/>
    <w:rsid w:val="005A51A0"/>
    <w:rsid w:val="005C6618"/>
    <w:rsid w:val="00603FD5"/>
    <w:rsid w:val="00616DC8"/>
    <w:rsid w:val="00637791"/>
    <w:rsid w:val="00646F3B"/>
    <w:rsid w:val="0068724F"/>
    <w:rsid w:val="006A1DEF"/>
    <w:rsid w:val="006A3CC0"/>
    <w:rsid w:val="006A5094"/>
    <w:rsid w:val="006B258F"/>
    <w:rsid w:val="006B6F9A"/>
    <w:rsid w:val="006C461E"/>
    <w:rsid w:val="006C4AF4"/>
    <w:rsid w:val="006D3F2F"/>
    <w:rsid w:val="006E2FF4"/>
    <w:rsid w:val="006E3536"/>
    <w:rsid w:val="00700AF5"/>
    <w:rsid w:val="00714488"/>
    <w:rsid w:val="00716FA5"/>
    <w:rsid w:val="00717F79"/>
    <w:rsid w:val="007254A7"/>
    <w:rsid w:val="0073421C"/>
    <w:rsid w:val="00735843"/>
    <w:rsid w:val="0075052C"/>
    <w:rsid w:val="00780D70"/>
    <w:rsid w:val="00792868"/>
    <w:rsid w:val="0079751C"/>
    <w:rsid w:val="007A0363"/>
    <w:rsid w:val="007C2EB8"/>
    <w:rsid w:val="007C3FC5"/>
    <w:rsid w:val="007C61C7"/>
    <w:rsid w:val="007D5981"/>
    <w:rsid w:val="007E677E"/>
    <w:rsid w:val="007E7FE4"/>
    <w:rsid w:val="00806F01"/>
    <w:rsid w:val="0081533C"/>
    <w:rsid w:val="0081591F"/>
    <w:rsid w:val="00845A6C"/>
    <w:rsid w:val="00845C1F"/>
    <w:rsid w:val="0085372C"/>
    <w:rsid w:val="0085439B"/>
    <w:rsid w:val="00897F77"/>
    <w:rsid w:val="008A2BB2"/>
    <w:rsid w:val="008B05C3"/>
    <w:rsid w:val="008B4965"/>
    <w:rsid w:val="008B637D"/>
    <w:rsid w:val="008D1ABD"/>
    <w:rsid w:val="008D760A"/>
    <w:rsid w:val="008F70D1"/>
    <w:rsid w:val="0090137A"/>
    <w:rsid w:val="009254B8"/>
    <w:rsid w:val="00926DEE"/>
    <w:rsid w:val="00926DF7"/>
    <w:rsid w:val="00927FDE"/>
    <w:rsid w:val="00936068"/>
    <w:rsid w:val="009517CC"/>
    <w:rsid w:val="009615D4"/>
    <w:rsid w:val="00964D2F"/>
    <w:rsid w:val="00974677"/>
    <w:rsid w:val="0097704C"/>
    <w:rsid w:val="00983D00"/>
    <w:rsid w:val="00990D47"/>
    <w:rsid w:val="009A1E02"/>
    <w:rsid w:val="009A2F17"/>
    <w:rsid w:val="009A49D1"/>
    <w:rsid w:val="009B2231"/>
    <w:rsid w:val="009B7F5D"/>
    <w:rsid w:val="009C0347"/>
    <w:rsid w:val="009D24F5"/>
    <w:rsid w:val="009D439E"/>
    <w:rsid w:val="009E684B"/>
    <w:rsid w:val="009F3A68"/>
    <w:rsid w:val="009F5B49"/>
    <w:rsid w:val="00A01C6A"/>
    <w:rsid w:val="00A12635"/>
    <w:rsid w:val="00A13664"/>
    <w:rsid w:val="00A20BA0"/>
    <w:rsid w:val="00A24EF4"/>
    <w:rsid w:val="00A53F38"/>
    <w:rsid w:val="00A60161"/>
    <w:rsid w:val="00A60DA0"/>
    <w:rsid w:val="00A6671C"/>
    <w:rsid w:val="00A81CCD"/>
    <w:rsid w:val="00A86FA0"/>
    <w:rsid w:val="00A90151"/>
    <w:rsid w:val="00A9359B"/>
    <w:rsid w:val="00AA163B"/>
    <w:rsid w:val="00AB5F12"/>
    <w:rsid w:val="00AC0558"/>
    <w:rsid w:val="00AC2373"/>
    <w:rsid w:val="00AC24BE"/>
    <w:rsid w:val="00AF7956"/>
    <w:rsid w:val="00B22D9D"/>
    <w:rsid w:val="00B23603"/>
    <w:rsid w:val="00B25616"/>
    <w:rsid w:val="00B32D6C"/>
    <w:rsid w:val="00B3365C"/>
    <w:rsid w:val="00B3749D"/>
    <w:rsid w:val="00B44103"/>
    <w:rsid w:val="00B56365"/>
    <w:rsid w:val="00B57C8C"/>
    <w:rsid w:val="00B65DAA"/>
    <w:rsid w:val="00B66B2F"/>
    <w:rsid w:val="00B74F7F"/>
    <w:rsid w:val="00B75B08"/>
    <w:rsid w:val="00B87859"/>
    <w:rsid w:val="00B91D47"/>
    <w:rsid w:val="00BA3CB8"/>
    <w:rsid w:val="00BA7623"/>
    <w:rsid w:val="00BA771A"/>
    <w:rsid w:val="00BF3799"/>
    <w:rsid w:val="00BF68C8"/>
    <w:rsid w:val="00C01E68"/>
    <w:rsid w:val="00C11924"/>
    <w:rsid w:val="00C12CF1"/>
    <w:rsid w:val="00C177DC"/>
    <w:rsid w:val="00C2094D"/>
    <w:rsid w:val="00C326F9"/>
    <w:rsid w:val="00C34C8E"/>
    <w:rsid w:val="00C37A29"/>
    <w:rsid w:val="00C41DED"/>
    <w:rsid w:val="00C70EFC"/>
    <w:rsid w:val="00C8367B"/>
    <w:rsid w:val="00C932F3"/>
    <w:rsid w:val="00CA1FCA"/>
    <w:rsid w:val="00CB1E32"/>
    <w:rsid w:val="00CD61EB"/>
    <w:rsid w:val="00CF02F0"/>
    <w:rsid w:val="00CF551D"/>
    <w:rsid w:val="00D103E7"/>
    <w:rsid w:val="00D16F74"/>
    <w:rsid w:val="00D215C3"/>
    <w:rsid w:val="00D34FB0"/>
    <w:rsid w:val="00D60649"/>
    <w:rsid w:val="00D61E88"/>
    <w:rsid w:val="00D73854"/>
    <w:rsid w:val="00D83923"/>
    <w:rsid w:val="00D9419D"/>
    <w:rsid w:val="00DB7434"/>
    <w:rsid w:val="00DD3C7C"/>
    <w:rsid w:val="00DE59FB"/>
    <w:rsid w:val="00DE602B"/>
    <w:rsid w:val="00DF4E3E"/>
    <w:rsid w:val="00E0453D"/>
    <w:rsid w:val="00E05FA6"/>
    <w:rsid w:val="00E25474"/>
    <w:rsid w:val="00E32F93"/>
    <w:rsid w:val="00E42A61"/>
    <w:rsid w:val="00E51BD9"/>
    <w:rsid w:val="00E54B2B"/>
    <w:rsid w:val="00E56A45"/>
    <w:rsid w:val="00E57CEC"/>
    <w:rsid w:val="00E634F4"/>
    <w:rsid w:val="00E637A7"/>
    <w:rsid w:val="00E663F1"/>
    <w:rsid w:val="00E7522A"/>
    <w:rsid w:val="00E75FCA"/>
    <w:rsid w:val="00E803E9"/>
    <w:rsid w:val="00E90E1C"/>
    <w:rsid w:val="00EA1943"/>
    <w:rsid w:val="00EA3594"/>
    <w:rsid w:val="00EB4BAD"/>
    <w:rsid w:val="00EE4DFE"/>
    <w:rsid w:val="00EE6F14"/>
    <w:rsid w:val="00EF0EDF"/>
    <w:rsid w:val="00EF3F23"/>
    <w:rsid w:val="00F05A49"/>
    <w:rsid w:val="00F162D4"/>
    <w:rsid w:val="00F4010B"/>
    <w:rsid w:val="00F4430E"/>
    <w:rsid w:val="00F4702C"/>
    <w:rsid w:val="00F47F1C"/>
    <w:rsid w:val="00F505B8"/>
    <w:rsid w:val="00F53397"/>
    <w:rsid w:val="00F625FE"/>
    <w:rsid w:val="00F634F6"/>
    <w:rsid w:val="00F649E5"/>
    <w:rsid w:val="00F87B07"/>
    <w:rsid w:val="00F934BC"/>
    <w:rsid w:val="00F94880"/>
    <w:rsid w:val="00FB0D65"/>
    <w:rsid w:val="00FB1EA0"/>
    <w:rsid w:val="00FC1603"/>
    <w:rsid w:val="00FC2D8B"/>
    <w:rsid w:val="00FD2FF6"/>
    <w:rsid w:val="00FD3306"/>
    <w:rsid w:val="00FE22BA"/>
    <w:rsid w:val="00FE35D0"/>
    <w:rsid w:val="00FE57D8"/>
    <w:rsid w:val="00FF3D7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C61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91E"/>
    <w:pPr>
      <w:spacing w:before="120" w:after="240" w:line="264" w:lineRule="auto"/>
    </w:pPr>
    <w:rPr>
      <w:rFonts w:asciiTheme="majorHAnsi" w:hAnsiTheme="majorHAnsi"/>
    </w:rPr>
  </w:style>
  <w:style w:type="paragraph" w:styleId="Heading1">
    <w:name w:val="heading 1"/>
    <w:basedOn w:val="Normal"/>
    <w:next w:val="Normal"/>
    <w:link w:val="Heading1Char"/>
    <w:uiPriority w:val="9"/>
    <w:qFormat/>
    <w:rsid w:val="002F07B4"/>
    <w:pPr>
      <w:keepNext/>
      <w:keepLines/>
      <w:spacing w:before="600" w:after="440"/>
      <w:outlineLvl w:val="0"/>
    </w:pPr>
    <w:rPr>
      <w:rFonts w:eastAsiaTheme="majorEastAsia" w:cstheme="majorBidi"/>
      <w:color w:val="430098" w:themeColor="text2"/>
      <w:sz w:val="40"/>
      <w:szCs w:val="32"/>
    </w:rPr>
  </w:style>
  <w:style w:type="paragraph" w:styleId="Heading2">
    <w:name w:val="heading 2"/>
    <w:basedOn w:val="Normal"/>
    <w:next w:val="Normal"/>
    <w:link w:val="Heading2Char"/>
    <w:uiPriority w:val="9"/>
    <w:qFormat/>
    <w:rsid w:val="002F07B4"/>
    <w:pPr>
      <w:keepNext/>
      <w:keepLines/>
      <w:spacing w:before="480" w:after="360"/>
      <w:outlineLvl w:val="1"/>
    </w:pPr>
    <w:rPr>
      <w:rFonts w:eastAsiaTheme="majorEastAsia" w:cstheme="majorBidi"/>
      <w:color w:val="430098" w:themeColor="text2"/>
      <w:sz w:val="30"/>
      <w:szCs w:val="26"/>
    </w:rPr>
  </w:style>
  <w:style w:type="paragraph" w:styleId="Heading3">
    <w:name w:val="heading 3"/>
    <w:basedOn w:val="Normal"/>
    <w:next w:val="Normal"/>
    <w:link w:val="Heading3Char"/>
    <w:uiPriority w:val="9"/>
    <w:qFormat/>
    <w:rsid w:val="002F07B4"/>
    <w:pPr>
      <w:keepNext/>
      <w:keepLines/>
      <w:spacing w:before="360"/>
      <w:outlineLvl w:val="2"/>
    </w:pPr>
    <w:rPr>
      <w:rFonts w:eastAsiaTheme="majorEastAsia" w:cstheme="majorBidi"/>
      <w:sz w:val="26"/>
      <w:szCs w:val="24"/>
    </w:rPr>
  </w:style>
  <w:style w:type="paragraph" w:styleId="Heading4">
    <w:name w:val="heading 4"/>
    <w:basedOn w:val="Normal"/>
    <w:next w:val="Normal"/>
    <w:link w:val="Heading4Char"/>
    <w:uiPriority w:val="9"/>
    <w:rsid w:val="000D3DF9"/>
    <w:pPr>
      <w:keepNext/>
      <w:keepLines/>
      <w:spacing w:after="120"/>
      <w:outlineLvl w:val="3"/>
    </w:pPr>
    <w:rPr>
      <w:rFonts w:eastAsiaTheme="majorEastAsia" w:cstheme="majorBidi"/>
      <w:i/>
      <w:iCs/>
      <w:sz w:val="24"/>
    </w:rPr>
  </w:style>
  <w:style w:type="paragraph" w:styleId="Heading5">
    <w:name w:val="heading 5"/>
    <w:basedOn w:val="Normal"/>
    <w:next w:val="Normal"/>
    <w:link w:val="Heading5Char"/>
    <w:uiPriority w:val="9"/>
    <w:semiHidden/>
    <w:qFormat/>
    <w:rsid w:val="009D24F5"/>
    <w:pPr>
      <w:keepNext/>
      <w:keepLines/>
      <w:spacing w:after="60"/>
      <w:outlineLvl w:val="4"/>
    </w:pPr>
    <w:rPr>
      <w:rFonts w:eastAsiaTheme="majorEastAsia"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C12CF1"/>
    <w:pPr>
      <w:spacing w:after="0" w:line="264" w:lineRule="auto"/>
    </w:pPr>
  </w:style>
  <w:style w:type="paragraph" w:styleId="ListBullet">
    <w:name w:val="List Bullet"/>
    <w:basedOn w:val="Normal"/>
    <w:uiPriority w:val="99"/>
    <w:unhideWhenUsed/>
    <w:qFormat/>
    <w:rsid w:val="000D3DF9"/>
    <w:pPr>
      <w:numPr>
        <w:numId w:val="31"/>
      </w:numPr>
      <w:contextualSpacing/>
    </w:pPr>
  </w:style>
  <w:style w:type="paragraph" w:styleId="ListBullet2">
    <w:name w:val="List Bullet 2"/>
    <w:basedOn w:val="Normal"/>
    <w:uiPriority w:val="99"/>
    <w:unhideWhenUsed/>
    <w:qFormat/>
    <w:rsid w:val="000D3DF9"/>
    <w:pPr>
      <w:numPr>
        <w:ilvl w:val="1"/>
        <w:numId w:val="31"/>
      </w:numPr>
      <w:contextualSpacing/>
    </w:pPr>
  </w:style>
  <w:style w:type="paragraph" w:styleId="ListNumber">
    <w:name w:val="List Number"/>
    <w:basedOn w:val="Normal"/>
    <w:uiPriority w:val="99"/>
    <w:unhideWhenUsed/>
    <w:qFormat/>
    <w:rsid w:val="005A51A0"/>
    <w:pPr>
      <w:numPr>
        <w:numId w:val="32"/>
      </w:numPr>
      <w:contextualSpacing/>
    </w:pPr>
  </w:style>
  <w:style w:type="numbering" w:customStyle="1" w:styleId="Bullets">
    <w:name w:val="Bullets"/>
    <w:uiPriority w:val="99"/>
    <w:rsid w:val="000D3DF9"/>
    <w:pPr>
      <w:numPr>
        <w:numId w:val="11"/>
      </w:numPr>
    </w:pPr>
  </w:style>
  <w:style w:type="character" w:customStyle="1" w:styleId="Heading1Char">
    <w:name w:val="Heading 1 Char"/>
    <w:basedOn w:val="DefaultParagraphFont"/>
    <w:link w:val="Heading1"/>
    <w:uiPriority w:val="9"/>
    <w:rsid w:val="002F07B4"/>
    <w:rPr>
      <w:rFonts w:asciiTheme="majorHAnsi" w:eastAsiaTheme="majorEastAsia" w:hAnsiTheme="majorHAnsi" w:cstheme="majorBidi"/>
      <w:color w:val="430098" w:themeColor="text2"/>
      <w:sz w:val="40"/>
      <w:szCs w:val="32"/>
    </w:rPr>
  </w:style>
  <w:style w:type="paragraph" w:styleId="ListNumber2">
    <w:name w:val="List Number 2"/>
    <w:basedOn w:val="Normal"/>
    <w:uiPriority w:val="99"/>
    <w:unhideWhenUsed/>
    <w:qFormat/>
    <w:rsid w:val="005A51A0"/>
    <w:pPr>
      <w:numPr>
        <w:ilvl w:val="1"/>
        <w:numId w:val="32"/>
      </w:numPr>
      <w:contextualSpacing/>
    </w:pPr>
  </w:style>
  <w:style w:type="character" w:customStyle="1" w:styleId="Heading2Char">
    <w:name w:val="Heading 2 Char"/>
    <w:basedOn w:val="DefaultParagraphFont"/>
    <w:link w:val="Heading2"/>
    <w:uiPriority w:val="9"/>
    <w:rsid w:val="000D3DF9"/>
    <w:rPr>
      <w:rFonts w:asciiTheme="majorHAnsi" w:eastAsiaTheme="majorEastAsia" w:hAnsiTheme="majorHAnsi" w:cstheme="majorBidi"/>
      <w:color w:val="430098" w:themeColor="text2"/>
      <w:sz w:val="30"/>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983D00"/>
    <w:pPr>
      <w:tabs>
        <w:tab w:val="center" w:pos="4513"/>
        <w:tab w:val="right" w:pos="9026"/>
      </w:tabs>
      <w:spacing w:before="0" w:after="0" w:line="240" w:lineRule="auto"/>
    </w:pPr>
    <w:rPr>
      <w:sz w:val="14"/>
    </w:rPr>
  </w:style>
  <w:style w:type="character" w:customStyle="1" w:styleId="HeaderChar">
    <w:name w:val="Header Char"/>
    <w:basedOn w:val="DefaultParagraphFont"/>
    <w:link w:val="Header"/>
    <w:uiPriority w:val="99"/>
    <w:rsid w:val="00983D00"/>
    <w:rPr>
      <w:sz w:val="14"/>
    </w:rPr>
  </w:style>
  <w:style w:type="paragraph" w:styleId="Footer">
    <w:name w:val="footer"/>
    <w:basedOn w:val="Normal"/>
    <w:link w:val="FooterChar"/>
    <w:uiPriority w:val="99"/>
    <w:unhideWhenUsed/>
    <w:rsid w:val="005141E8"/>
    <w:pPr>
      <w:tabs>
        <w:tab w:val="center" w:pos="4513"/>
        <w:tab w:val="right" w:pos="9026"/>
      </w:tabs>
      <w:spacing w:after="0"/>
    </w:pPr>
    <w:rPr>
      <w:sz w:val="18"/>
    </w:rPr>
  </w:style>
  <w:style w:type="character" w:customStyle="1" w:styleId="FooterChar">
    <w:name w:val="Footer Char"/>
    <w:basedOn w:val="DefaultParagraphFont"/>
    <w:link w:val="Footer"/>
    <w:uiPriority w:val="99"/>
    <w:rsid w:val="005141E8"/>
    <w:rPr>
      <w:sz w:val="18"/>
    </w:rPr>
  </w:style>
  <w:style w:type="numbering" w:customStyle="1" w:styleId="Numbering">
    <w:name w:val="Numbering"/>
    <w:uiPriority w:val="99"/>
    <w:rsid w:val="005A51A0"/>
    <w:pPr>
      <w:numPr>
        <w:numId w:val="14"/>
      </w:numPr>
    </w:pPr>
  </w:style>
  <w:style w:type="paragraph" w:styleId="ListBullet3">
    <w:name w:val="List Bullet 3"/>
    <w:basedOn w:val="Normal"/>
    <w:uiPriority w:val="99"/>
    <w:unhideWhenUsed/>
    <w:rsid w:val="000D3DF9"/>
    <w:pPr>
      <w:numPr>
        <w:ilvl w:val="2"/>
        <w:numId w:val="31"/>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5A51A0"/>
    <w:pPr>
      <w:numPr>
        <w:ilvl w:val="2"/>
        <w:numId w:val="32"/>
      </w:numPr>
      <w:contextualSpacing/>
    </w:pPr>
  </w:style>
  <w:style w:type="paragraph" w:styleId="ListNumber4">
    <w:name w:val="List Number 4"/>
    <w:basedOn w:val="Normal"/>
    <w:uiPriority w:val="99"/>
    <w:unhideWhenUsed/>
    <w:qFormat/>
    <w:rsid w:val="005A51A0"/>
    <w:pPr>
      <w:numPr>
        <w:ilvl w:val="3"/>
        <w:numId w:val="32"/>
      </w:numPr>
      <w:contextualSpacing/>
    </w:pPr>
  </w:style>
  <w:style w:type="paragraph" w:styleId="ListNumber5">
    <w:name w:val="List Number 5"/>
    <w:basedOn w:val="Normal"/>
    <w:uiPriority w:val="99"/>
    <w:unhideWhenUsed/>
    <w:rsid w:val="005A51A0"/>
    <w:pPr>
      <w:numPr>
        <w:ilvl w:val="4"/>
        <w:numId w:val="32"/>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0D3DF9"/>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rsid w:val="000D3DF9"/>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semiHidden/>
    <w:rsid w:val="002F07B4"/>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281560"/>
    <w:pPr>
      <w:spacing w:after="360" w:line="228" w:lineRule="auto"/>
      <w:ind w:right="1701"/>
      <w:contextualSpacing/>
      <w:outlineLvl w:val="0"/>
    </w:pPr>
    <w:rPr>
      <w:rFonts w:eastAsiaTheme="majorEastAsia" w:cstheme="majorBidi"/>
      <w:color w:val="430098" w:themeColor="text2"/>
      <w:spacing w:val="-10"/>
      <w:kern w:val="28"/>
      <w:sz w:val="50"/>
      <w:szCs w:val="56"/>
    </w:rPr>
  </w:style>
  <w:style w:type="character" w:customStyle="1" w:styleId="TitleChar">
    <w:name w:val="Title Char"/>
    <w:basedOn w:val="DefaultParagraphFont"/>
    <w:link w:val="Title"/>
    <w:uiPriority w:val="10"/>
    <w:rsid w:val="00281560"/>
    <w:rPr>
      <w:rFonts w:eastAsiaTheme="majorEastAsia" w:cstheme="majorBidi"/>
      <w:color w:val="430098" w:themeColor="text2"/>
      <w:spacing w:val="-10"/>
      <w:kern w:val="28"/>
      <w:sz w:val="50"/>
      <w:szCs w:val="56"/>
    </w:rPr>
  </w:style>
  <w:style w:type="paragraph" w:customStyle="1" w:styleId="Breakoutbox">
    <w:name w:val="Break out box"/>
    <w:basedOn w:val="Normal"/>
    <w:link w:val="BreakoutboxChar"/>
    <w:semiHidden/>
    <w:qFormat/>
    <w:rsid w:val="00166F43"/>
    <w:pPr>
      <w:pBdr>
        <w:top w:val="single" w:sz="4" w:space="20" w:color="F5F5F5"/>
        <w:left w:val="single" w:sz="4" w:space="20" w:color="F5F5F5"/>
        <w:bottom w:val="single" w:sz="4" w:space="20" w:color="F5F5F5"/>
        <w:right w:val="single" w:sz="4" w:space="20" w:color="F5F5F5"/>
      </w:pBdr>
      <w:shd w:val="clear" w:color="auto" w:fill="F5F5F5"/>
      <w:ind w:left="425" w:right="425"/>
    </w:pPr>
  </w:style>
  <w:style w:type="paragraph" w:customStyle="1" w:styleId="BreakoutboxHeading">
    <w:name w:val="Break out box Heading"/>
    <w:basedOn w:val="Breakoutbox"/>
    <w:next w:val="Breakoutbox"/>
    <w:link w:val="BreakoutboxHeadingChar"/>
    <w:semiHidden/>
    <w:qFormat/>
    <w:rsid w:val="004B609E"/>
    <w:rPr>
      <w:b/>
    </w:rPr>
  </w:style>
  <w:style w:type="character" w:customStyle="1" w:styleId="BreakoutboxChar">
    <w:name w:val="Break out box Char"/>
    <w:basedOn w:val="DefaultParagraphFont"/>
    <w:link w:val="Breakoutbox"/>
    <w:semiHidden/>
    <w:rsid w:val="00166F43"/>
    <w:rPr>
      <w:shd w:val="clear" w:color="auto" w:fill="F5F5F5"/>
    </w:rPr>
  </w:style>
  <w:style w:type="character" w:customStyle="1" w:styleId="BreakoutboxHeadingChar">
    <w:name w:val="Break out box Heading Char"/>
    <w:basedOn w:val="BreakoutboxChar"/>
    <w:link w:val="BreakoutboxHeading"/>
    <w:semiHidden/>
    <w:rsid w:val="0050670B"/>
    <w:rPr>
      <w:b/>
      <w:color w:val="FFFFFF" w:themeColor="background1"/>
      <w:sz w:val="20"/>
      <w:shd w:val="clear" w:color="auto" w:fill="430098" w:themeFill="text2"/>
    </w:rPr>
  </w:style>
  <w:style w:type="character" w:customStyle="1" w:styleId="NormalBoldChar">
    <w:name w:val="Normal Bold Char"/>
    <w:basedOn w:val="DefaultParagraphFont"/>
    <w:link w:val="NormalBold"/>
    <w:rsid w:val="002F07B4"/>
    <w:rPr>
      <w:b/>
    </w:rPr>
  </w:style>
  <w:style w:type="character" w:styleId="Strong">
    <w:name w:val="Strong"/>
    <w:basedOn w:val="DefaultParagraphFont"/>
    <w:uiPriority w:val="22"/>
    <w:qFormat/>
    <w:rsid w:val="000016E9"/>
    <w:rPr>
      <w:b/>
      <w:bCs/>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Charttitles"/>
    <w:next w:val="Normal"/>
    <w:uiPriority w:val="35"/>
    <w:unhideWhenUsed/>
    <w:qFormat/>
    <w:rsid w:val="004D1958"/>
  </w:style>
  <w:style w:type="paragraph" w:styleId="List">
    <w:name w:val="List"/>
    <w:basedOn w:val="Normal"/>
    <w:uiPriority w:val="99"/>
    <w:unhideWhenUsed/>
    <w:qFormat/>
    <w:rsid w:val="00A20BA0"/>
    <w:pPr>
      <w:numPr>
        <w:numId w:val="34"/>
      </w:numPr>
      <w:contextualSpacing/>
    </w:pPr>
  </w:style>
  <w:style w:type="paragraph" w:styleId="List2">
    <w:name w:val="List 2"/>
    <w:basedOn w:val="Normal"/>
    <w:uiPriority w:val="99"/>
    <w:unhideWhenUsed/>
    <w:qFormat/>
    <w:rsid w:val="00A20BA0"/>
    <w:pPr>
      <w:numPr>
        <w:ilvl w:val="1"/>
        <w:numId w:val="34"/>
      </w:numPr>
      <w:contextualSpacing/>
    </w:pPr>
  </w:style>
  <w:style w:type="numbering" w:customStyle="1" w:styleId="LetteredList">
    <w:name w:val="Lettered List"/>
    <w:uiPriority w:val="99"/>
    <w:rsid w:val="00A20BA0"/>
    <w:pPr>
      <w:numPr>
        <w:numId w:val="27"/>
      </w:numPr>
    </w:pPr>
  </w:style>
  <w:style w:type="paragraph" w:styleId="Subtitle">
    <w:name w:val="Subtitle"/>
    <w:basedOn w:val="Normal"/>
    <w:next w:val="Normal"/>
    <w:link w:val="SubtitleChar"/>
    <w:uiPriority w:val="11"/>
    <w:rsid w:val="00CF551D"/>
    <w:pPr>
      <w:numPr>
        <w:ilvl w:val="1"/>
      </w:numPr>
      <w:spacing w:after="0" w:line="228" w:lineRule="auto"/>
      <w:ind w:right="1701"/>
    </w:pPr>
    <w:rPr>
      <w:rFonts w:eastAsiaTheme="minorEastAsia"/>
      <w:color w:val="430098" w:themeColor="text2"/>
      <w:spacing w:val="-4"/>
      <w:sz w:val="30"/>
    </w:rPr>
  </w:style>
  <w:style w:type="character" w:customStyle="1" w:styleId="SubtitleChar">
    <w:name w:val="Subtitle Char"/>
    <w:basedOn w:val="DefaultParagraphFont"/>
    <w:link w:val="Subtitle"/>
    <w:uiPriority w:val="11"/>
    <w:rsid w:val="00CF551D"/>
    <w:rPr>
      <w:rFonts w:eastAsiaTheme="minorEastAsia"/>
      <w:color w:val="430098" w:themeColor="text2"/>
      <w:spacing w:val="-4"/>
      <w:sz w:val="30"/>
    </w:rPr>
  </w:style>
  <w:style w:type="paragraph" w:styleId="TOCHeading">
    <w:name w:val="TOC Heading"/>
    <w:basedOn w:val="Heading1"/>
    <w:next w:val="Normal"/>
    <w:uiPriority w:val="39"/>
    <w:qFormat/>
    <w:rsid w:val="006A3CC0"/>
    <w:pPr>
      <w:spacing w:line="259" w:lineRule="auto"/>
    </w:pPr>
    <w:rPr>
      <w:lang w:val="en-US"/>
    </w:rPr>
  </w:style>
  <w:style w:type="paragraph" w:styleId="TOC1">
    <w:name w:val="toc 1"/>
    <w:basedOn w:val="Normal"/>
    <w:next w:val="Normal"/>
    <w:autoRedefine/>
    <w:uiPriority w:val="39"/>
    <w:rsid w:val="00700AF5"/>
    <w:pPr>
      <w:spacing w:before="160" w:after="100"/>
    </w:pPr>
    <w:rPr>
      <w:color w:val="430098" w:themeColor="text2"/>
      <w:sz w:val="24"/>
    </w:rPr>
  </w:style>
  <w:style w:type="paragraph" w:styleId="TOC2">
    <w:name w:val="toc 2"/>
    <w:basedOn w:val="Normal"/>
    <w:next w:val="Normal"/>
    <w:autoRedefine/>
    <w:uiPriority w:val="39"/>
    <w:rsid w:val="006A3CC0"/>
    <w:pPr>
      <w:tabs>
        <w:tab w:val="right" w:leader="dot" w:pos="9288"/>
      </w:tabs>
      <w:spacing w:before="160" w:after="100"/>
    </w:pPr>
    <w:rPr>
      <w:color w:val="430098" w:themeColor="text2"/>
    </w:rPr>
  </w:style>
  <w:style w:type="paragraph" w:styleId="TOC3">
    <w:name w:val="toc 3"/>
    <w:basedOn w:val="Normal"/>
    <w:next w:val="Normal"/>
    <w:autoRedefine/>
    <w:uiPriority w:val="39"/>
    <w:rsid w:val="00700AF5"/>
    <w:pPr>
      <w:tabs>
        <w:tab w:val="right" w:leader="dot" w:pos="9628"/>
      </w:tabs>
      <w:spacing w:after="100"/>
      <w:ind w:left="284"/>
    </w:pPr>
    <w:rPr>
      <w:sz w:val="20"/>
    </w:r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link w:val="NormalBoldChar"/>
    <w:qFormat/>
    <w:rsid w:val="002F07B4"/>
    <w:pPr>
      <w:spacing w:after="120"/>
    </w:pPr>
    <w:rPr>
      <w:b/>
    </w:rPr>
  </w:style>
  <w:style w:type="paragraph" w:customStyle="1" w:styleId="Footer-logolockup">
    <w:name w:val="Footer-logo lockup"/>
    <w:basedOn w:val="Footer"/>
    <w:rsid w:val="00FB1EA0"/>
    <w:pPr>
      <w:framePr w:w="2268" w:h="1588" w:hRule="exact" w:wrap="around" w:vAnchor="page" w:hAnchor="margin" w:x="1815" w:yAlign="bottom" w:anchorLock="1"/>
      <w:spacing w:before="0"/>
    </w:pPr>
    <w:rPr>
      <w:color w:val="430098" w:themeColor="text2"/>
      <w:spacing w:val="-4"/>
      <w:sz w:val="13"/>
    </w:rPr>
  </w:style>
  <w:style w:type="paragraph" w:customStyle="1" w:styleId="Footer-Right">
    <w:name w:val="Footer-Right"/>
    <w:basedOn w:val="Footer"/>
    <w:rsid w:val="00E56A45"/>
    <w:pPr>
      <w:jc w:val="right"/>
    </w:pPr>
  </w:style>
  <w:style w:type="paragraph" w:customStyle="1" w:styleId="Footer-Rightframe">
    <w:name w:val="Footer-Right frame"/>
    <w:basedOn w:val="Footer-Right"/>
    <w:rsid w:val="003A265C"/>
    <w:pPr>
      <w:framePr w:wrap="around" w:vAnchor="page" w:hAnchor="margin" w:xAlign="right" w:yAlign="bottom" w:anchorLock="1"/>
      <w:spacing w:after="1080"/>
      <w:ind w:right="28"/>
    </w:pPr>
    <w:rPr>
      <w:color w:val="430098" w:themeColor="text2"/>
      <w:sz w:val="20"/>
    </w:rPr>
  </w:style>
  <w:style w:type="character" w:styleId="UnresolvedMention">
    <w:name w:val="Unresolved Mention"/>
    <w:basedOn w:val="DefaultParagraphFont"/>
    <w:uiPriority w:val="99"/>
    <w:semiHidden/>
    <w:unhideWhenUsed/>
    <w:rsid w:val="0007747C"/>
    <w:rPr>
      <w:color w:val="605E5C"/>
      <w:shd w:val="clear" w:color="auto" w:fill="E1DFDD"/>
    </w:rPr>
  </w:style>
  <w:style w:type="paragraph" w:customStyle="1" w:styleId="Streamselection">
    <w:name w:val="Stream selection"/>
    <w:basedOn w:val="Normal"/>
    <w:link w:val="StreamselectionChar"/>
    <w:rsid w:val="004843D5"/>
    <w:pPr>
      <w:spacing w:before="0" w:after="0" w:line="240" w:lineRule="auto"/>
      <w:jc w:val="center"/>
    </w:pPr>
    <w:rPr>
      <w:b/>
      <w:caps/>
      <w:color w:val="430098" w:themeColor="text2"/>
      <w:spacing w:val="-4"/>
      <w:sz w:val="18"/>
    </w:rPr>
  </w:style>
  <w:style w:type="paragraph" w:customStyle="1" w:styleId="BackcoverURL">
    <w:name w:val="Back cover URL"/>
    <w:basedOn w:val="Normal"/>
    <w:rsid w:val="00990D47"/>
    <w:pPr>
      <w:spacing w:before="0"/>
      <w:jc w:val="center"/>
    </w:pPr>
    <w:rPr>
      <w:noProof/>
      <w:color w:val="430098" w:themeColor="text2"/>
      <w:sz w:val="18"/>
    </w:rPr>
  </w:style>
  <w:style w:type="character" w:customStyle="1" w:styleId="StreamselectionChar">
    <w:name w:val="Stream selection Char"/>
    <w:basedOn w:val="DefaultParagraphFont"/>
    <w:link w:val="Streamselection"/>
    <w:rsid w:val="004843D5"/>
    <w:rPr>
      <w:b/>
      <w:caps/>
      <w:color w:val="430098" w:themeColor="text2"/>
      <w:spacing w:val="-4"/>
      <w:sz w:val="18"/>
    </w:rPr>
  </w:style>
  <w:style w:type="paragraph" w:customStyle="1" w:styleId="Tabletext">
    <w:name w:val="Table text"/>
    <w:basedOn w:val="Normal"/>
    <w:qFormat/>
    <w:rsid w:val="0056214A"/>
    <w:pPr>
      <w:spacing w:after="160"/>
    </w:pPr>
    <w:rPr>
      <w:sz w:val="18"/>
    </w:rPr>
  </w:style>
  <w:style w:type="paragraph" w:styleId="Quote">
    <w:name w:val="Quote"/>
    <w:basedOn w:val="Normal"/>
    <w:next w:val="Normal"/>
    <w:link w:val="QuoteChar"/>
    <w:uiPriority w:val="29"/>
    <w:rsid w:val="00FF3D72"/>
    <w:pPr>
      <w:pBdr>
        <w:left w:val="single" w:sz="36" w:space="14" w:color="A489C7"/>
      </w:pBdr>
      <w:spacing w:before="200" w:after="0"/>
      <w:ind w:left="397" w:right="1134"/>
    </w:pPr>
    <w:rPr>
      <w:i/>
      <w:iCs/>
      <w:color w:val="430098" w:themeColor="text2"/>
    </w:rPr>
  </w:style>
  <w:style w:type="table" w:customStyle="1" w:styleId="OVICDefaulttable">
    <w:name w:val="OVIC Default table"/>
    <w:basedOn w:val="TableNormal"/>
    <w:uiPriority w:val="99"/>
    <w:rsid w:val="00467EA8"/>
    <w:pPr>
      <w:spacing w:after="0" w:line="240" w:lineRule="auto"/>
    </w:pPr>
    <w:rPr>
      <w:rFonts w:asciiTheme="majorHAnsi" w:hAnsiTheme="majorHAnsi"/>
      <w:sz w:val="18"/>
    </w:rPr>
    <w:tblPr>
      <w:tblStyleColBandSize w:val="1"/>
      <w:tblBorders>
        <w:top w:val="single" w:sz="4" w:space="0" w:color="auto"/>
        <w:bottom w:val="single" w:sz="4" w:space="0" w:color="auto"/>
        <w:insideH w:val="single" w:sz="4" w:space="0" w:color="auto"/>
        <w:insideV w:val="single" w:sz="4" w:space="0" w:color="D9D9D9" w:themeColor="background1" w:themeShade="D9"/>
      </w:tblBorders>
      <w:tblCellMar>
        <w:top w:w="170" w:type="dxa"/>
        <w:left w:w="170" w:type="dxa"/>
        <w:bottom w:w="57" w:type="dxa"/>
        <w:right w:w="170" w:type="dxa"/>
      </w:tblCellMar>
    </w:tblPr>
    <w:tblStylePr w:type="firstRow">
      <w:rPr>
        <w:rFonts w:asciiTheme="minorHAnsi" w:hAnsiTheme="minorHAnsi"/>
        <w:b/>
      </w:rPr>
      <w:tblPr/>
      <w:tcPr>
        <w:tcBorders>
          <w:top w:val="single" w:sz="12" w:space="0" w:color="auto"/>
          <w:left w:val="nil"/>
          <w:bottom w:val="single" w:sz="12" w:space="0" w:color="auto"/>
          <w:right w:val="nil"/>
          <w:insideH w:val="nil"/>
          <w:insideV w:val="single" w:sz="4" w:space="0" w:color="D9D9D9" w:themeColor="background1" w:themeShade="D9"/>
          <w:tl2br w:val="nil"/>
          <w:tr2bl w:val="nil"/>
        </w:tcBorders>
      </w:tcPr>
    </w:tblStylePr>
    <w:tblStylePr w:type="band2Vert">
      <w:tblPr/>
      <w:tcPr>
        <w:shd w:val="clear" w:color="auto" w:fill="F5F5F5"/>
      </w:tcPr>
    </w:tblStylePr>
  </w:style>
  <w:style w:type="paragraph" w:customStyle="1" w:styleId="ProtectiveMarking">
    <w:name w:val="Protective Marking"/>
    <w:basedOn w:val="Normal"/>
    <w:rsid w:val="007C2EB8"/>
    <w:pPr>
      <w:framePr w:wrap="around" w:vAnchor="page" w:hAnchor="page" w:xAlign="center" w:y="568" w:anchorLock="1"/>
    </w:pPr>
    <w:rPr>
      <w:b/>
      <w:caps/>
      <w:color w:val="FF0000"/>
      <w:sz w:val="25"/>
    </w:rPr>
  </w:style>
  <w:style w:type="paragraph" w:customStyle="1" w:styleId="Streamselectionholder">
    <w:name w:val="Stream selection holder"/>
    <w:basedOn w:val="Normal"/>
    <w:rsid w:val="004843D5"/>
    <w:pPr>
      <w:spacing w:before="0" w:after="160" w:line="259" w:lineRule="auto"/>
    </w:pPr>
    <w:rPr>
      <w:b/>
      <w:caps/>
      <w:color w:val="430098" w:themeColor="text2"/>
      <w:sz w:val="18"/>
    </w:rPr>
  </w:style>
  <w:style w:type="paragraph" w:customStyle="1" w:styleId="Charttitles">
    <w:name w:val="Chart titles"/>
    <w:basedOn w:val="Normal"/>
    <w:uiPriority w:val="7"/>
    <w:qFormat/>
    <w:rsid w:val="0034139E"/>
    <w:pPr>
      <w:spacing w:before="480" w:after="360" w:line="240" w:lineRule="auto"/>
      <w:ind w:right="941"/>
    </w:pPr>
    <w:rPr>
      <w:rFonts w:eastAsia="Times New Roman" w:cstheme="minorHAnsi"/>
      <w:color w:val="430098"/>
      <w:sz w:val="20"/>
      <w:szCs w:val="20"/>
      <w:lang w:eastAsia="en-GB"/>
    </w:rPr>
  </w:style>
  <w:style w:type="character" w:customStyle="1" w:styleId="QuoteChar">
    <w:name w:val="Quote Char"/>
    <w:basedOn w:val="DefaultParagraphFont"/>
    <w:link w:val="Quote"/>
    <w:uiPriority w:val="29"/>
    <w:rsid w:val="00FF3D72"/>
    <w:rPr>
      <w:i/>
      <w:iCs/>
      <w:color w:val="430098" w:themeColor="text2"/>
    </w:rPr>
  </w:style>
  <w:style w:type="paragraph" w:customStyle="1" w:styleId="TitlepageHeading1">
    <w:name w:val="Title page Heading 1"/>
    <w:basedOn w:val="Heading1"/>
    <w:rsid w:val="00A60DA0"/>
    <w:pPr>
      <w:spacing w:before="0"/>
      <w:outlineLvl w:val="1"/>
    </w:pPr>
  </w:style>
  <w:style w:type="paragraph" w:customStyle="1" w:styleId="ListContinue6">
    <w:name w:val="List Continue 6"/>
    <w:basedOn w:val="ListContinue5"/>
    <w:uiPriority w:val="99"/>
    <w:qFormat/>
    <w:rsid w:val="005A51A0"/>
    <w:pPr>
      <w:ind w:left="1701"/>
    </w:pPr>
  </w:style>
  <w:style w:type="paragraph" w:customStyle="1" w:styleId="Agencyinformation">
    <w:name w:val="Agency information"/>
    <w:rsid w:val="003126A4"/>
    <w:pPr>
      <w:pBdr>
        <w:bottom w:val="single" w:sz="8" w:space="20" w:color="430098" w:themeColor="text2"/>
      </w:pBdr>
      <w:spacing w:before="120" w:line="240" w:lineRule="auto"/>
    </w:pPr>
    <w:rPr>
      <w:b/>
      <w:caps/>
      <w:color w:val="430098" w:themeColor="text2"/>
      <w:sz w:val="28"/>
    </w:rPr>
  </w:style>
  <w:style w:type="paragraph" w:customStyle="1" w:styleId="Toggle">
    <w:name w:val="Toggle"/>
    <w:basedOn w:val="Agencyinformation"/>
    <w:qFormat/>
    <w:rsid w:val="00E75FCA"/>
    <w:pPr>
      <w:pBdr>
        <w:bottom w:val="none" w:sz="0" w:space="0" w:color="auto"/>
      </w:pBdr>
      <w:spacing w:before="0" w:after="0"/>
      <w:outlineLvl w:val="0"/>
    </w:pPr>
    <w:rPr>
      <w:caps w:val="0"/>
      <w:color w:val="FFFFFF" w:themeColor="background1"/>
      <w:sz w:val="16"/>
    </w:rPr>
  </w:style>
  <w:style w:type="paragraph" w:customStyle="1" w:styleId="Togglenote">
    <w:name w:val="Toggle note"/>
    <w:basedOn w:val="Toggle"/>
    <w:rsid w:val="00110345"/>
    <w:pPr>
      <w:framePr w:w="680" w:wrap="around" w:vAnchor="text" w:hAnchor="page" w:x="285" w:y="-1020" w:anchorLock="1"/>
      <w:spacing w:line="228" w:lineRule="auto"/>
      <w:outlineLvl w:val="9"/>
    </w:pPr>
    <w:rPr>
      <w:b w:val="0"/>
      <w:vanish/>
      <w:color w:val="EA3AB0" w:themeColor="accent2"/>
      <w:sz w:val="14"/>
    </w:rPr>
  </w:style>
  <w:style w:type="table" w:customStyle="1" w:styleId="OVICFooter">
    <w:name w:val="OVIC Footer"/>
    <w:basedOn w:val="TableNormal"/>
    <w:uiPriority w:val="99"/>
    <w:rsid w:val="009B2231"/>
    <w:pPr>
      <w:spacing w:after="0" w:line="240" w:lineRule="auto"/>
    </w:pPr>
    <w:tblPr>
      <w:tblBorders>
        <w:top w:val="single" w:sz="8" w:space="0" w:color="430098" w:themeColor="text2"/>
      </w:tblBorders>
      <w:tblCellMar>
        <w:top w:w="340" w:type="dxa"/>
        <w:left w:w="0" w:type="dxa"/>
        <w:bottom w:w="680" w:type="dxa"/>
      </w:tblCellMar>
    </w:tblPr>
    <w:tcPr>
      <w:vAlign w:val="bottom"/>
    </w:tcPr>
  </w:style>
  <w:style w:type="paragraph" w:customStyle="1" w:styleId="FooterToggle">
    <w:name w:val="Footer Toggle"/>
    <w:basedOn w:val="Normal"/>
    <w:link w:val="FooterToggleChar"/>
    <w:rsid w:val="00CA1FCA"/>
    <w:pPr>
      <w:spacing w:before="0" w:after="0" w:line="240" w:lineRule="auto"/>
    </w:pPr>
    <w:rPr>
      <w:b/>
      <w:color w:val="430098" w:themeColor="text2"/>
      <w:sz w:val="16"/>
    </w:rPr>
  </w:style>
  <w:style w:type="paragraph" w:customStyle="1" w:styleId="Footercovertoggleholder">
    <w:name w:val="Footer cover toggle holder"/>
    <w:basedOn w:val="Normal"/>
    <w:rsid w:val="00B3365C"/>
    <w:pPr>
      <w:framePr w:w="9299" w:wrap="around" w:vAnchor="page" w:hAnchor="margin" w:yAlign="bottom" w:anchorLock="1"/>
      <w:spacing w:before="0" w:after="160" w:line="259" w:lineRule="auto"/>
    </w:pPr>
  </w:style>
  <w:style w:type="paragraph" w:customStyle="1" w:styleId="FooterToggle-Disclaimer">
    <w:name w:val="Footer Toggle-Disclaimer"/>
    <w:basedOn w:val="FooterToggle"/>
    <w:rsid w:val="00D34FB0"/>
    <w:pPr>
      <w:spacing w:line="228" w:lineRule="auto"/>
      <w:ind w:right="1134"/>
    </w:pPr>
    <w:rPr>
      <w:b w:val="0"/>
      <w:color w:val="auto"/>
      <w:sz w:val="14"/>
    </w:rPr>
  </w:style>
  <w:style w:type="paragraph" w:customStyle="1" w:styleId="PageNumber-right">
    <w:name w:val="Page Number-right"/>
    <w:basedOn w:val="FooterToggle"/>
    <w:link w:val="PageNumber-rightChar"/>
    <w:rsid w:val="00A81CCD"/>
    <w:pPr>
      <w:framePr w:hSpace="181" w:wrap="around" w:vAnchor="page" w:hAnchor="margin" w:yAlign="bottom"/>
      <w:suppressOverlap/>
      <w:jc w:val="right"/>
    </w:pPr>
    <w:rPr>
      <w:b w:val="0"/>
      <w:bCs/>
    </w:rPr>
  </w:style>
  <w:style w:type="character" w:customStyle="1" w:styleId="FooterToggleChar">
    <w:name w:val="Footer Toggle Char"/>
    <w:basedOn w:val="DefaultParagraphFont"/>
    <w:link w:val="FooterToggle"/>
    <w:rsid w:val="00A81CCD"/>
    <w:rPr>
      <w:b/>
      <w:color w:val="430098" w:themeColor="text2"/>
      <w:sz w:val="16"/>
    </w:rPr>
  </w:style>
  <w:style w:type="character" w:customStyle="1" w:styleId="PageNumber-rightChar">
    <w:name w:val="Page Number-right Char"/>
    <w:basedOn w:val="FooterToggleChar"/>
    <w:link w:val="PageNumber-right"/>
    <w:rsid w:val="00A81CCD"/>
    <w:rPr>
      <w:b w:val="0"/>
      <w:bCs/>
      <w:color w:val="430098" w:themeColor="text2"/>
      <w:sz w:val="16"/>
    </w:rPr>
  </w:style>
  <w:style w:type="character" w:styleId="CommentReference">
    <w:name w:val="annotation reference"/>
    <w:basedOn w:val="DefaultParagraphFont"/>
    <w:uiPriority w:val="99"/>
    <w:semiHidden/>
    <w:unhideWhenUsed/>
    <w:rsid w:val="00BF3799"/>
    <w:rPr>
      <w:sz w:val="16"/>
      <w:szCs w:val="16"/>
    </w:rPr>
  </w:style>
  <w:style w:type="paragraph" w:styleId="FootnoteText">
    <w:name w:val="footnote text"/>
    <w:basedOn w:val="Normal"/>
    <w:link w:val="FootnoteTextChar"/>
    <w:uiPriority w:val="99"/>
    <w:unhideWhenUsed/>
    <w:rsid w:val="004C5DAA"/>
    <w:pPr>
      <w:spacing w:before="0" w:after="120" w:line="240" w:lineRule="auto"/>
      <w:ind w:left="85" w:hanging="85"/>
    </w:pPr>
    <w:rPr>
      <w:sz w:val="16"/>
      <w:szCs w:val="20"/>
    </w:rPr>
  </w:style>
  <w:style w:type="character" w:customStyle="1" w:styleId="FootnoteTextChar">
    <w:name w:val="Footnote Text Char"/>
    <w:basedOn w:val="DefaultParagraphFont"/>
    <w:link w:val="FootnoteText"/>
    <w:uiPriority w:val="99"/>
    <w:rsid w:val="004C5DAA"/>
    <w:rPr>
      <w:rFonts w:asciiTheme="majorHAnsi" w:hAnsiTheme="majorHAnsi"/>
      <w:sz w:val="16"/>
      <w:szCs w:val="20"/>
    </w:rPr>
  </w:style>
  <w:style w:type="character" w:styleId="FootnoteReference">
    <w:name w:val="footnote reference"/>
    <w:basedOn w:val="DefaultParagraphFont"/>
    <w:uiPriority w:val="99"/>
    <w:semiHidden/>
    <w:unhideWhenUsed/>
    <w:rsid w:val="004C5DAA"/>
    <w:rPr>
      <w:vertAlign w:val="superscript"/>
    </w:rPr>
  </w:style>
  <w:style w:type="paragraph" w:customStyle="1" w:styleId="Body">
    <w:name w:val="Body"/>
    <w:basedOn w:val="Normal"/>
    <w:qFormat/>
    <w:rsid w:val="00E803E9"/>
    <w:pPr>
      <w:widowControl w:val="0"/>
      <w:suppressAutoHyphens/>
      <w:autoSpaceDE w:val="0"/>
      <w:autoSpaceDN w:val="0"/>
      <w:adjustRightInd w:val="0"/>
      <w:spacing w:before="0" w:line="240" w:lineRule="auto"/>
      <w:textAlignment w:val="center"/>
    </w:pPr>
    <w:rPr>
      <w:rFonts w:ascii="Calibri" w:eastAsia="Calibri" w:hAnsi="Calibri" w:cs="PostGrotesk-Book"/>
      <w:color w:val="55565A"/>
      <w:lang w:val="en-GB"/>
    </w:rPr>
  </w:style>
  <w:style w:type="character" w:styleId="Emphasis">
    <w:name w:val="Emphasis"/>
    <w:basedOn w:val="DefaultParagraphFont"/>
    <w:uiPriority w:val="20"/>
    <w:qFormat/>
    <w:rsid w:val="00E803E9"/>
    <w:rPr>
      <w:i/>
      <w:iCs/>
    </w:rPr>
  </w:style>
  <w:style w:type="paragraph" w:customStyle="1" w:styleId="SectionHeading1">
    <w:name w:val="Section Heading 1"/>
    <w:basedOn w:val="Normal"/>
    <w:qFormat/>
    <w:rsid w:val="00F4430E"/>
    <w:pPr>
      <w:widowControl w:val="0"/>
      <w:suppressAutoHyphens/>
      <w:autoSpaceDE w:val="0"/>
      <w:autoSpaceDN w:val="0"/>
      <w:adjustRightInd w:val="0"/>
      <w:spacing w:before="0" w:after="120" w:line="288" w:lineRule="auto"/>
      <w:textAlignment w:val="center"/>
    </w:pPr>
    <w:rPr>
      <w:rFonts w:ascii="Calibri" w:eastAsia="Calibri" w:hAnsi="Calibri" w:cs="PostGrotesk-Medium"/>
      <w:color w:val="430098"/>
      <w:sz w:val="28"/>
      <w:szCs w:val="28"/>
      <w:lang w:val="en-GB"/>
    </w:rPr>
  </w:style>
  <w:style w:type="paragraph" w:customStyle="1" w:styleId="BodyCopy">
    <w:name w:val="Body Copy"/>
    <w:basedOn w:val="Normal"/>
    <w:uiPriority w:val="99"/>
    <w:qFormat/>
    <w:rsid w:val="00A6671C"/>
    <w:pPr>
      <w:widowControl w:val="0"/>
      <w:suppressAutoHyphens/>
      <w:autoSpaceDE w:val="0"/>
      <w:autoSpaceDN w:val="0"/>
      <w:adjustRightInd w:val="0"/>
      <w:spacing w:after="200"/>
      <w:textAlignment w:val="center"/>
    </w:pPr>
    <w:rPr>
      <w:rFonts w:asciiTheme="minorHAnsi" w:eastAsia="Times New Roman" w:hAnsiTheme="minorHAnsi" w:cs="National-Book"/>
      <w:color w:val="55565A"/>
      <w:lang w:val="en-US"/>
    </w:rPr>
  </w:style>
  <w:style w:type="paragraph" w:customStyle="1" w:styleId="TableText0">
    <w:name w:val="Table Text"/>
    <w:basedOn w:val="NoSpacing"/>
    <w:qFormat/>
    <w:rsid w:val="00977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ibank.com.au/livebetter/newsroom/post/medibank-cyber-incident-response" TargetMode="External"/><Relationship Id="rId18" Type="http://schemas.openxmlformats.org/officeDocument/2006/relationships/hyperlink" Target="https://www.itnews.com.au/news/g4s-australia-confirms-staff-data-leaked-following-july-breach-586113" TargetMode="External"/><Relationship Id="rId26"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hyperlink" Target="https://cybernews.com/news/attackers-shut-down-wordfly-siphon-arts-institutions-data/"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file:///C:\Users\aharris\AppData\Local\Microsoft\Windows\INetCache\Content.Outlook\0Z9TRRHN\Optus" TargetMode="External"/><Relationship Id="rId17" Type="http://schemas.openxmlformats.org/officeDocument/2006/relationships/hyperlink" Target="https://thecyberexpress.com/australia-pnors-cyberattack/" TargetMode="Externa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itwire.com/business-it-news/security/singtel-owned-it-services-provider-dialog-hit-by-windows-ransomware.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7.png"/><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yperlink" Target="mailto:security@ovic.vic.gov.au" TargetMode="External"/><Relationship Id="rId10" Type="http://schemas.openxmlformats.org/officeDocument/2006/relationships/image" Target="media/image1.png"/><Relationship Id="rId19" Type="http://schemas.openxmlformats.org/officeDocument/2006/relationships/hyperlink" Target="https://australiancybersecuritymagazine.com.au/data-stolen-in-fire-rescue-victoria-cyber-attack-now-on-dark-web/"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ovic.vic.gov.au/information-security/security-insights/incident-insights-report-from-from-1-january-2022-30-june-2022-2/" TargetMode="External"/><Relationship Id="rId14" Type="http://schemas.openxmlformats.org/officeDocument/2006/relationships/hyperlink" Target="https://www.pnors.com/page/cyber-event-updates" TargetMode="External"/><Relationship Id="rId22" Type="http://schemas.openxmlformats.org/officeDocument/2006/relationships/image" Target="media/image5.png"/><Relationship Id="rId27" Type="http://schemas.openxmlformats.org/officeDocument/2006/relationships/hyperlink" Target="https://ovic.vic.gov.au/data-protection/agency-reporting-obligations/incident-notification/"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ovic.vic.gov.au/data-protection/victorian-protective-data-security-framework-business-impact-level-table-v2-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B88828EC3C4FDC90344C808FA3F4CC"/>
        <w:category>
          <w:name w:val="General"/>
          <w:gallery w:val="placeholder"/>
        </w:category>
        <w:types>
          <w:type w:val="bbPlcHdr"/>
        </w:types>
        <w:behaviors>
          <w:behavior w:val="content"/>
        </w:behaviors>
        <w:guid w:val="{3B1C4D09-3FC5-4E63-B75D-CC1346826542}"/>
      </w:docPartPr>
      <w:docPartBody>
        <w:p w:rsidR="00B17D1B" w:rsidRDefault="00B17D1B">
          <w:pPr>
            <w:pStyle w:val="99B88828EC3C4FDC90344C808FA3F4CC"/>
          </w:pPr>
          <w:r>
            <w:t xml:space="preserve">      </w:t>
          </w:r>
        </w:p>
      </w:docPartBody>
    </w:docPart>
    <w:docPart>
      <w:docPartPr>
        <w:name w:val="3F655736DC7A407081DE594DAB9BAB3B"/>
        <w:category>
          <w:name w:val="General"/>
          <w:gallery w:val="placeholder"/>
        </w:category>
        <w:types>
          <w:type w:val="bbPlcHdr"/>
        </w:types>
        <w:behaviors>
          <w:behavior w:val="content"/>
        </w:behaviors>
        <w:guid w:val="{88F26C70-6643-4D0C-BF69-4F98B1CA3E76}"/>
      </w:docPartPr>
      <w:docPartBody>
        <w:p w:rsidR="00B17D1B" w:rsidRDefault="00B17D1B">
          <w:pPr>
            <w:pStyle w:val="3F655736DC7A407081DE594DAB9BAB3B"/>
          </w:pPr>
          <w:r>
            <w:t>[Select Title options]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National-Book">
    <w:altName w:val="Times New Roman"/>
    <w:charset w:val="00"/>
    <w:family w:val="auto"/>
    <w:pitch w:val="variable"/>
    <w:sig w:usb0="00000001" w:usb1="5000207B" w:usb2="0000001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D1B"/>
    <w:rsid w:val="00B17D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B88828EC3C4FDC90344C808FA3F4CC">
    <w:name w:val="99B88828EC3C4FDC90344C808FA3F4CC"/>
  </w:style>
  <w:style w:type="paragraph" w:customStyle="1" w:styleId="3F655736DC7A407081DE594DAB9BAB3B">
    <w:name w:val="3F655736DC7A407081DE594DAB9BAB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VIC">
      <a:dk1>
        <a:sysClr val="windowText" lastClr="000000"/>
      </a:dk1>
      <a:lt1>
        <a:sysClr val="window" lastClr="FFFFFF"/>
      </a:lt1>
      <a:dk2>
        <a:srgbClr val="430098"/>
      </a:dk2>
      <a:lt2>
        <a:srgbClr val="FFFFFF"/>
      </a:lt2>
      <a:accent1>
        <a:srgbClr val="430098"/>
      </a:accent1>
      <a:accent2>
        <a:srgbClr val="EA3AB0"/>
      </a:accent2>
      <a:accent3>
        <a:srgbClr val="69E8FD"/>
      </a:accent3>
      <a:accent4>
        <a:srgbClr val="44A0F8"/>
      </a:accent4>
      <a:accent5>
        <a:srgbClr val="FAD94A"/>
      </a:accent5>
      <a:accent6>
        <a:srgbClr val="7F7F7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2974</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2023-03-16T00:06:00Z</dcterms:created>
  <dcterms:modified xsi:type="dcterms:W3CDTF">2023-04-11T05:24:00Z</dcterms:modified>
</cp:coreProperties>
</file>