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8665" w14:textId="41674A6B" w:rsidR="001B6186" w:rsidRPr="008A0ECE" w:rsidRDefault="00136271" w:rsidP="00136271">
      <w:pPr>
        <w:pStyle w:val="MainTitle"/>
      </w:pPr>
      <w:bookmarkStart w:id="0" w:name="_Hlk71729680"/>
      <w:r>
        <w:t>Modifying</w:t>
      </w:r>
      <w:r w:rsidR="00907F4B" w:rsidRPr="008A0ECE">
        <w:t xml:space="preserve"> </w:t>
      </w:r>
      <w:r w:rsidR="001B6186" w:rsidRPr="008A0ECE">
        <w:t>the</w:t>
      </w:r>
      <w:r w:rsidR="005B5793" w:rsidRPr="008A0ECE">
        <w:t xml:space="preserve"> application of</w:t>
      </w:r>
      <w:r w:rsidR="001B6186" w:rsidRPr="008A0ECE">
        <w:t xml:space="preserve"> Information Privacy Principles</w:t>
      </w:r>
    </w:p>
    <w:p w14:paraId="0B219A09" w14:textId="77777777" w:rsidR="001908C0" w:rsidRDefault="00A20C9E" w:rsidP="00BF4413">
      <w:pPr>
        <w:pStyle w:val="Body"/>
      </w:pPr>
      <w:r>
        <w:t xml:space="preserve">The </w:t>
      </w:r>
      <w:r>
        <w:rPr>
          <w:i/>
          <w:iCs/>
        </w:rPr>
        <w:t xml:space="preserve">Privacy and Data Protection Act 2014 </w:t>
      </w:r>
      <w:r w:rsidR="001908C0" w:rsidRPr="00136271">
        <w:t>(Vic)</w:t>
      </w:r>
      <w:r w:rsidR="001908C0">
        <w:rPr>
          <w:i/>
          <w:iCs/>
        </w:rPr>
        <w:t xml:space="preserve"> </w:t>
      </w:r>
      <w:r>
        <w:t>(</w:t>
      </w:r>
      <w:r w:rsidRPr="00D858B3">
        <w:rPr>
          <w:b/>
          <w:bCs/>
        </w:rPr>
        <w:t>PDP Act</w:t>
      </w:r>
      <w:r>
        <w:t>)</w:t>
      </w:r>
      <w:r w:rsidR="007701B6">
        <w:t xml:space="preserve"> contains mechanisms </w:t>
      </w:r>
      <w:r w:rsidR="00304277">
        <w:t>allow</w:t>
      </w:r>
      <w:r w:rsidR="007701B6">
        <w:t xml:space="preserve">ing </w:t>
      </w:r>
      <w:r w:rsidR="00304277">
        <w:t>the Information Commissioner (</w:t>
      </w:r>
      <w:r w:rsidR="00304277" w:rsidRPr="00304277">
        <w:rPr>
          <w:b/>
          <w:bCs/>
        </w:rPr>
        <w:t>Commissioner</w:t>
      </w:r>
      <w:r w:rsidR="00304277">
        <w:t xml:space="preserve">) to </w:t>
      </w:r>
      <w:r w:rsidR="00B902CD">
        <w:t>permit</w:t>
      </w:r>
      <w:r w:rsidR="007B1723">
        <w:t xml:space="preserve"> Victorian public sector </w:t>
      </w:r>
      <w:r w:rsidR="00B902CD">
        <w:t xml:space="preserve">organisations to engage in acts or practices that </w:t>
      </w:r>
      <w:r w:rsidR="001C3955">
        <w:t>breach the</w:t>
      </w:r>
      <w:r w:rsidR="00B902CD">
        <w:t xml:space="preserve"> </w:t>
      </w:r>
      <w:r w:rsidR="00006343">
        <w:t>Information Privacy Principles (</w:t>
      </w:r>
      <w:r w:rsidR="00006343" w:rsidRPr="00D858B3">
        <w:rPr>
          <w:b/>
          <w:bCs/>
        </w:rPr>
        <w:t>IPPs</w:t>
      </w:r>
      <w:r w:rsidR="00006343">
        <w:t>)</w:t>
      </w:r>
      <w:r w:rsidR="002178E8">
        <w:t xml:space="preserve"> or an approved code of practice</w:t>
      </w:r>
      <w:r w:rsidR="00085862">
        <w:t>.</w:t>
      </w:r>
      <w:r w:rsidR="00581FB4">
        <w:t xml:space="preserve"> </w:t>
      </w:r>
    </w:p>
    <w:p w14:paraId="5182832A" w14:textId="4C05873A" w:rsidR="009C5DC5" w:rsidRDefault="009C5DC5" w:rsidP="00BF4413">
      <w:pPr>
        <w:pStyle w:val="Body"/>
      </w:pPr>
      <w:r>
        <w:t xml:space="preserve">These mechanisms are public interest determinations, temporary public interest determinations and information usage arrangements. </w:t>
      </w:r>
    </w:p>
    <w:p w14:paraId="7A7D68C9" w14:textId="4538BB5F" w:rsidR="00AC7D91" w:rsidRDefault="007701B6" w:rsidP="00BF4413">
      <w:pPr>
        <w:pStyle w:val="Body"/>
      </w:pPr>
      <w:r>
        <w:t>Broadly, e</w:t>
      </w:r>
      <w:r w:rsidR="00085862" w:rsidRPr="00863D84">
        <w:t>ach</w:t>
      </w:r>
      <w:r w:rsidR="00085862">
        <w:t xml:space="preserve"> mechanism requires</w:t>
      </w:r>
      <w:r w:rsidR="00AC7D91">
        <w:t>:</w:t>
      </w:r>
    </w:p>
    <w:p w14:paraId="4F6DBE5F" w14:textId="5D9C6F6B" w:rsidR="00AC7D91" w:rsidRDefault="004C5A61" w:rsidP="00AC7D91">
      <w:pPr>
        <w:pStyle w:val="Body"/>
        <w:numPr>
          <w:ilvl w:val="0"/>
          <w:numId w:val="23"/>
        </w:numPr>
      </w:pPr>
      <w:r>
        <w:t>a</w:t>
      </w:r>
      <w:r w:rsidR="00AC7D91">
        <w:t xml:space="preserve">n overarching </w:t>
      </w:r>
      <w:r>
        <w:t xml:space="preserve">public interest </w:t>
      </w:r>
      <w:r w:rsidR="009C5DC5">
        <w:t xml:space="preserve">in </w:t>
      </w:r>
      <w:r>
        <w:t xml:space="preserve">the organisation </w:t>
      </w:r>
      <w:r w:rsidR="007701B6">
        <w:t xml:space="preserve">engaging in </w:t>
      </w:r>
      <w:r>
        <w:t>the</w:t>
      </w:r>
      <w:r w:rsidR="00AC7D91">
        <w:t xml:space="preserve"> proposed</w:t>
      </w:r>
      <w:r>
        <w:t xml:space="preserve"> act</w:t>
      </w:r>
      <w:r w:rsidR="007701B6">
        <w:t>s</w:t>
      </w:r>
      <w:r>
        <w:t xml:space="preserve"> or practices</w:t>
      </w:r>
      <w:r w:rsidR="00AC7D91">
        <w:t xml:space="preserve">; </w:t>
      </w:r>
      <w:r w:rsidR="00AC7D91" w:rsidRPr="00136271">
        <w:t xml:space="preserve">and </w:t>
      </w:r>
    </w:p>
    <w:p w14:paraId="32BE5244" w14:textId="23064688" w:rsidR="00085862" w:rsidRDefault="00AC7D91" w:rsidP="00AC7D91">
      <w:pPr>
        <w:pStyle w:val="Body"/>
        <w:numPr>
          <w:ilvl w:val="0"/>
          <w:numId w:val="23"/>
        </w:numPr>
      </w:pPr>
      <w:r>
        <w:t xml:space="preserve">the overarching public interest </w:t>
      </w:r>
      <w:r w:rsidR="004C5A61">
        <w:t>substantially outweighs compliance with the IPPs</w:t>
      </w:r>
      <w:r w:rsidR="002178E8">
        <w:t xml:space="preserve"> or</w:t>
      </w:r>
      <w:r w:rsidR="007B1723">
        <w:t xml:space="preserve"> an</w:t>
      </w:r>
      <w:r w:rsidR="002178E8">
        <w:t xml:space="preserve"> app</w:t>
      </w:r>
      <w:r w:rsidR="00CC0044">
        <w:t>r</w:t>
      </w:r>
      <w:r w:rsidR="002178E8">
        <w:t>oved code of practice</w:t>
      </w:r>
      <w:r w:rsidR="004C5A61">
        <w:t xml:space="preserve">. </w:t>
      </w:r>
    </w:p>
    <w:p w14:paraId="1026D337" w14:textId="38CA5D1A" w:rsidR="00863D84" w:rsidRDefault="00863D84" w:rsidP="00BF4413">
      <w:pPr>
        <w:pStyle w:val="Body"/>
        <w:rPr>
          <w:lang w:val="en-AU"/>
        </w:rPr>
      </w:pPr>
      <w:r w:rsidRPr="00CD4B25">
        <w:rPr>
          <w:lang w:val="en-AU"/>
        </w:rPr>
        <w:t xml:space="preserve">Organisations </w:t>
      </w:r>
      <w:r>
        <w:rPr>
          <w:lang w:val="en-AU"/>
        </w:rPr>
        <w:t>should</w:t>
      </w:r>
      <w:r w:rsidRPr="00CD4B25">
        <w:rPr>
          <w:lang w:val="en-AU"/>
        </w:rPr>
        <w:t xml:space="preserve"> consult with the Office of the Victorian Information Commissioner</w:t>
      </w:r>
      <w:r>
        <w:rPr>
          <w:lang w:val="en-AU"/>
        </w:rPr>
        <w:t xml:space="preserve"> (</w:t>
      </w:r>
      <w:r w:rsidRPr="00863D84">
        <w:rPr>
          <w:b/>
          <w:bCs/>
          <w:lang w:val="en-AU"/>
        </w:rPr>
        <w:t>OVIC</w:t>
      </w:r>
      <w:r>
        <w:rPr>
          <w:lang w:val="en-AU"/>
        </w:rPr>
        <w:t>)</w:t>
      </w:r>
      <w:r w:rsidRPr="00CD4B25">
        <w:rPr>
          <w:lang w:val="en-AU"/>
        </w:rPr>
        <w:t xml:space="preserve"> before applying for a</w:t>
      </w:r>
      <w:r>
        <w:rPr>
          <w:lang w:val="en-AU"/>
        </w:rPr>
        <w:t>ny of the listed mechanisms</w:t>
      </w:r>
      <w:r w:rsidRPr="00CD4B25">
        <w:rPr>
          <w:lang w:val="en-AU"/>
        </w:rPr>
        <w:t xml:space="preserve">. This will enable OVIC to consider whether </w:t>
      </w:r>
      <w:r w:rsidR="009C5DC5">
        <w:rPr>
          <w:lang w:val="en-AU"/>
        </w:rPr>
        <w:t>one of the mechanisms</w:t>
      </w:r>
      <w:r w:rsidRPr="00CD4B25">
        <w:rPr>
          <w:lang w:val="en-AU"/>
        </w:rPr>
        <w:t xml:space="preserve"> is necessary, or whether some alternative act or practice could be pursued to avoid breaching </w:t>
      </w:r>
      <w:r w:rsidR="00266BAA">
        <w:rPr>
          <w:lang w:val="en-AU"/>
        </w:rPr>
        <w:t>the</w:t>
      </w:r>
      <w:r w:rsidRPr="00CD4B25">
        <w:rPr>
          <w:lang w:val="en-AU"/>
        </w:rPr>
        <w:t xml:space="preserve"> IPP</w:t>
      </w:r>
      <w:r w:rsidR="00266BAA">
        <w:rPr>
          <w:lang w:val="en-AU"/>
        </w:rPr>
        <w:t>s</w:t>
      </w:r>
      <w:r w:rsidRPr="00CD4B25">
        <w:rPr>
          <w:lang w:val="en-AU"/>
        </w:rPr>
        <w:t>.</w:t>
      </w:r>
      <w:r>
        <w:rPr>
          <w:lang w:val="en-AU"/>
        </w:rPr>
        <w:t xml:space="preserve"> </w:t>
      </w:r>
      <w:r w:rsidRPr="00CD4B25">
        <w:rPr>
          <w:lang w:val="en-AU"/>
        </w:rPr>
        <w:t xml:space="preserve">Contact </w:t>
      </w:r>
      <w:hyperlink r:id="rId8" w:history="1">
        <w:r w:rsidRPr="00CD4B25">
          <w:rPr>
            <w:rStyle w:val="Hyperlink"/>
            <w:lang w:val="en-AU"/>
          </w:rPr>
          <w:t>policyteam@ovic.vic.gov.au</w:t>
        </w:r>
      </w:hyperlink>
      <w:r w:rsidRPr="00CD4B25">
        <w:rPr>
          <w:lang w:val="en-AU"/>
        </w:rPr>
        <w:t xml:space="preserve"> to arrange a meeting and discuss potential options</w:t>
      </w:r>
      <w:r>
        <w:rPr>
          <w:lang w:val="en-AU"/>
        </w:rPr>
        <w:t xml:space="preserve">. </w:t>
      </w:r>
    </w:p>
    <w:p w14:paraId="16A8A851" w14:textId="77777777" w:rsidR="001E1E6A" w:rsidRDefault="00652DD1" w:rsidP="00BF4413">
      <w:pPr>
        <w:pStyle w:val="Body"/>
      </w:pPr>
      <w:r>
        <w:t>The PDP Act also contains a mechanism for certifying that an act or practice is consistent with an IPP, code of practice</w:t>
      </w:r>
      <w:r w:rsidR="00584CB0">
        <w:t>,</w:t>
      </w:r>
      <w:r>
        <w:t xml:space="preserve"> or information handling provision. </w:t>
      </w:r>
      <w:r w:rsidR="00266BAA">
        <w:t>This mechanism can provide organisations with</w:t>
      </w:r>
      <w:r>
        <w:t xml:space="preserve"> assurance that an act or practice is consistent with their obligations under the PDP Act</w:t>
      </w:r>
      <w:r w:rsidR="00584CB0">
        <w:t>.</w:t>
      </w:r>
      <w:r>
        <w:t xml:space="preserve"> </w:t>
      </w:r>
    </w:p>
    <w:p w14:paraId="732F8A7C" w14:textId="038C1315" w:rsidR="00652DD1" w:rsidRPr="003A1459" w:rsidRDefault="00580202" w:rsidP="00BF4413">
      <w:pPr>
        <w:pStyle w:val="Body"/>
      </w:pPr>
      <w:r w:rsidRPr="001E1E6A">
        <w:t>S</w:t>
      </w:r>
      <w:r w:rsidR="00652DD1" w:rsidRPr="001E1E6A">
        <w:t>ee</w:t>
      </w:r>
      <w:r w:rsidRPr="001E1E6A">
        <w:t xml:space="preserve"> </w:t>
      </w:r>
      <w:hyperlink r:id="rId9" w:history="1">
        <w:r w:rsidRPr="001E1E6A">
          <w:rPr>
            <w:rStyle w:val="Hyperlink"/>
          </w:rPr>
          <w:t>OVIC’s</w:t>
        </w:r>
        <w:r w:rsidR="00652DD1" w:rsidRPr="001E1E6A">
          <w:rPr>
            <w:rStyle w:val="Hyperlink"/>
          </w:rPr>
          <w:t xml:space="preserve"> guidance on certification</w:t>
        </w:r>
        <w:r w:rsidRPr="001E1E6A">
          <w:rPr>
            <w:rStyle w:val="Hyperlink"/>
          </w:rPr>
          <w:t xml:space="preserve"> for more information</w:t>
        </w:r>
      </w:hyperlink>
      <w:r w:rsidRPr="001E1E6A">
        <w:t>.</w:t>
      </w:r>
      <w:r w:rsidR="00652DD1" w:rsidRPr="001E1E6A">
        <w:t xml:space="preserve"> </w:t>
      </w:r>
    </w:p>
    <w:p w14:paraId="27879079" w14:textId="380C2543" w:rsidR="00267E93" w:rsidRDefault="00580202" w:rsidP="002822DE">
      <w:pPr>
        <w:pStyle w:val="Heading-1"/>
      </w:pPr>
      <w:r>
        <w:t>What is a p</w:t>
      </w:r>
      <w:r w:rsidR="00995CE8">
        <w:t xml:space="preserve">ublic </w:t>
      </w:r>
      <w:r w:rsidR="001B01A6">
        <w:t>i</w:t>
      </w:r>
      <w:r w:rsidR="00995CE8">
        <w:t xml:space="preserve">nterest </w:t>
      </w:r>
      <w:r w:rsidR="001B01A6">
        <w:t>d</w:t>
      </w:r>
      <w:r w:rsidR="00995CE8">
        <w:t>etermination</w:t>
      </w:r>
      <w:r>
        <w:t>?</w:t>
      </w:r>
    </w:p>
    <w:p w14:paraId="46866160" w14:textId="49373622" w:rsidR="002D4CD2" w:rsidRDefault="002D4CD2" w:rsidP="002D4CD2">
      <w:pPr>
        <w:pStyle w:val="Body"/>
        <w:rPr>
          <w:lang w:val="en-AU"/>
        </w:rPr>
      </w:pPr>
      <w:r w:rsidRPr="00CD4B25">
        <w:rPr>
          <w:lang w:val="en-AU"/>
        </w:rPr>
        <w:t xml:space="preserve">A </w:t>
      </w:r>
      <w:r w:rsidR="001B01A6">
        <w:rPr>
          <w:lang w:val="en-AU"/>
        </w:rPr>
        <w:t>p</w:t>
      </w:r>
      <w:r>
        <w:rPr>
          <w:lang w:val="en-AU"/>
        </w:rPr>
        <w:t xml:space="preserve">ublic </w:t>
      </w:r>
      <w:r w:rsidR="001B01A6">
        <w:rPr>
          <w:lang w:val="en-AU"/>
        </w:rPr>
        <w:t>i</w:t>
      </w:r>
      <w:r>
        <w:rPr>
          <w:lang w:val="en-AU"/>
        </w:rPr>
        <w:t xml:space="preserve">nterest </w:t>
      </w:r>
      <w:r w:rsidR="001B01A6">
        <w:rPr>
          <w:lang w:val="en-AU"/>
        </w:rPr>
        <w:t>d</w:t>
      </w:r>
      <w:r>
        <w:rPr>
          <w:lang w:val="en-AU"/>
        </w:rPr>
        <w:t>etermination (</w:t>
      </w:r>
      <w:r w:rsidRPr="00D858B3">
        <w:rPr>
          <w:b/>
          <w:bCs/>
          <w:lang w:val="en-AU"/>
        </w:rPr>
        <w:t>PID</w:t>
      </w:r>
      <w:r>
        <w:rPr>
          <w:lang w:val="en-AU"/>
        </w:rPr>
        <w:t>)</w:t>
      </w:r>
      <w:r w:rsidRPr="00CD4B25">
        <w:rPr>
          <w:lang w:val="en-AU"/>
        </w:rPr>
        <w:t xml:space="preserve"> is a written determination made by the Commissioner permitting one or more organisations to engage in acts or practices that breach the </w:t>
      </w:r>
      <w:r>
        <w:rPr>
          <w:lang w:val="en-AU"/>
        </w:rPr>
        <w:t>IPPs</w:t>
      </w:r>
      <w:r w:rsidR="00513B23">
        <w:rPr>
          <w:lang w:val="en-AU"/>
        </w:rPr>
        <w:t xml:space="preserve"> or an approved code of practice</w:t>
      </w:r>
      <w:r>
        <w:rPr>
          <w:lang w:val="en-AU"/>
        </w:rPr>
        <w:t>.</w:t>
      </w:r>
    </w:p>
    <w:p w14:paraId="392C0C21" w14:textId="68D94D81" w:rsidR="002D4CD2" w:rsidRDefault="001908C0" w:rsidP="002D4CD2">
      <w:pPr>
        <w:pStyle w:val="Body"/>
        <w:rPr>
          <w:lang w:val="en-AU"/>
        </w:rPr>
      </w:pPr>
      <w:r>
        <w:rPr>
          <w:lang w:val="en-AU"/>
        </w:rPr>
        <w:t>T</w:t>
      </w:r>
      <w:r w:rsidR="005541F6">
        <w:rPr>
          <w:lang w:val="en-AU"/>
        </w:rPr>
        <w:t xml:space="preserve">here must be a public consultation process </w:t>
      </w:r>
      <w:r w:rsidR="002204F8">
        <w:rPr>
          <w:lang w:val="en-AU"/>
        </w:rPr>
        <w:t xml:space="preserve">allowing submissions to be made by any person </w:t>
      </w:r>
      <w:r w:rsidR="005541F6" w:rsidRPr="00E02FFD">
        <w:t xml:space="preserve">whose interests may be affected </w:t>
      </w:r>
      <w:r w:rsidR="005541F6">
        <w:t>by the PID</w:t>
      </w:r>
      <w:r>
        <w:t>, before a PID can be granted.</w:t>
      </w:r>
    </w:p>
    <w:p w14:paraId="747C1BC6" w14:textId="77777777" w:rsidR="001908C0" w:rsidRDefault="002D4CD2" w:rsidP="002D4CD2">
      <w:pPr>
        <w:pStyle w:val="Body"/>
        <w:rPr>
          <w:lang w:val="en-AU"/>
        </w:rPr>
      </w:pPr>
      <w:r w:rsidRPr="00CD4B25">
        <w:rPr>
          <w:lang w:val="en-AU"/>
        </w:rPr>
        <w:t xml:space="preserve">A PID can be </w:t>
      </w:r>
      <w:r w:rsidR="005541F6">
        <w:rPr>
          <w:lang w:val="en-AU"/>
        </w:rPr>
        <w:t>granted</w:t>
      </w:r>
      <w:r w:rsidRPr="00CD4B25">
        <w:rPr>
          <w:lang w:val="en-AU"/>
        </w:rPr>
        <w:t xml:space="preserve"> where the </w:t>
      </w:r>
      <w:r>
        <w:rPr>
          <w:lang w:val="en-AU"/>
        </w:rPr>
        <w:t xml:space="preserve">Commissioner is satisfied that the </w:t>
      </w:r>
      <w:r w:rsidRPr="00CD4B25">
        <w:rPr>
          <w:lang w:val="en-AU"/>
        </w:rPr>
        <w:t>public interest in an organisation doing an act or engaging in a practice substantially outweighs the public interest in complying with specified IPPs</w:t>
      </w:r>
      <w:r w:rsidR="00513B23">
        <w:rPr>
          <w:lang w:val="en-AU"/>
        </w:rPr>
        <w:t xml:space="preserve"> or a code of practice</w:t>
      </w:r>
      <w:r w:rsidR="00696564">
        <w:rPr>
          <w:lang w:val="en-AU"/>
        </w:rPr>
        <w:t xml:space="preserve">. </w:t>
      </w:r>
    </w:p>
    <w:p w14:paraId="79360EB4" w14:textId="31D2866F" w:rsidR="002D4CD2" w:rsidRDefault="00696564" w:rsidP="002D4CD2">
      <w:pPr>
        <w:pStyle w:val="Body"/>
        <w:rPr>
          <w:lang w:val="en-AU"/>
        </w:rPr>
      </w:pPr>
      <w:r>
        <w:rPr>
          <w:lang w:val="en-AU"/>
        </w:rPr>
        <w:t xml:space="preserve">A PID cannot be granted </w:t>
      </w:r>
      <w:r w:rsidR="002D4CD2" w:rsidRPr="00CD4B25">
        <w:rPr>
          <w:lang w:val="en-AU"/>
        </w:rPr>
        <w:t>in relation to IPP 4 – Data Security or IPP 6 – Access and Correction.</w:t>
      </w:r>
    </w:p>
    <w:p w14:paraId="59DCF55B" w14:textId="51E273AA" w:rsidR="007B26E4" w:rsidRDefault="007B26E4" w:rsidP="002D4CD2">
      <w:pPr>
        <w:pStyle w:val="Body"/>
        <w:rPr>
          <w:b/>
          <w:bCs/>
          <w:lang w:val="en-AU"/>
        </w:rPr>
      </w:pPr>
      <w:r w:rsidRPr="003A1459">
        <w:rPr>
          <w:b/>
          <w:bCs/>
          <w:lang w:val="en-AU"/>
        </w:rPr>
        <w:t xml:space="preserve">When </w:t>
      </w:r>
      <w:r w:rsidR="00580202">
        <w:rPr>
          <w:b/>
          <w:bCs/>
          <w:lang w:val="en-AU"/>
        </w:rPr>
        <w:t>is a</w:t>
      </w:r>
      <w:r w:rsidRPr="003A1459">
        <w:rPr>
          <w:b/>
          <w:bCs/>
          <w:lang w:val="en-AU"/>
        </w:rPr>
        <w:t xml:space="preserve"> PID</w:t>
      </w:r>
      <w:r w:rsidR="00580202">
        <w:rPr>
          <w:b/>
          <w:bCs/>
          <w:lang w:val="en-AU"/>
        </w:rPr>
        <w:t xml:space="preserve"> appropriate?</w:t>
      </w:r>
    </w:p>
    <w:p w14:paraId="17D988E3" w14:textId="737F4525" w:rsidR="00A52A0D" w:rsidRPr="003A1459" w:rsidRDefault="00A52A0D" w:rsidP="003A1459">
      <w:pPr>
        <w:pStyle w:val="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The acts or practices involve a single organisation, or small number of </w:t>
      </w:r>
      <w:proofErr w:type="gramStart"/>
      <w:r>
        <w:rPr>
          <w:lang w:val="en-AU"/>
        </w:rPr>
        <w:t>organisations</w:t>
      </w:r>
      <w:r w:rsidR="001908C0">
        <w:rPr>
          <w:lang w:val="en-AU"/>
        </w:rPr>
        <w:t>;</w:t>
      </w:r>
      <w:proofErr w:type="gramEnd"/>
      <w:r>
        <w:rPr>
          <w:lang w:val="en-AU"/>
        </w:rPr>
        <w:t xml:space="preserve"> </w:t>
      </w:r>
    </w:p>
    <w:p w14:paraId="365BA730" w14:textId="748CA33C" w:rsidR="007B26E4" w:rsidRPr="005B5793" w:rsidRDefault="007B26E4" w:rsidP="003A1459">
      <w:pPr>
        <w:pStyle w:val="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>The acts or practices that would breach an IPP or IPPs are limited in scope and easily defined</w:t>
      </w:r>
      <w:r w:rsidR="001908C0">
        <w:rPr>
          <w:lang w:val="en-AU"/>
        </w:rPr>
        <w:t>; or</w:t>
      </w:r>
    </w:p>
    <w:p w14:paraId="7A54BF90" w14:textId="0DE6DFC6" w:rsidR="007B26E4" w:rsidRPr="003A1459" w:rsidRDefault="007B26E4" w:rsidP="003A1459">
      <w:pPr>
        <w:pStyle w:val="Body"/>
        <w:numPr>
          <w:ilvl w:val="0"/>
          <w:numId w:val="23"/>
        </w:numPr>
        <w:rPr>
          <w:b/>
          <w:bCs/>
          <w:lang w:val="en-AU"/>
        </w:rPr>
      </w:pPr>
      <w:r>
        <w:rPr>
          <w:lang w:val="en-AU"/>
        </w:rPr>
        <w:t>There is a public interest in the acts or practices</w:t>
      </w:r>
      <w:r w:rsidR="00A52A0D">
        <w:rPr>
          <w:lang w:val="en-AU"/>
        </w:rPr>
        <w:t xml:space="preserve"> being undertaken. </w:t>
      </w:r>
    </w:p>
    <w:p w14:paraId="52AD04E5" w14:textId="29C4BE06" w:rsidR="00160A4D" w:rsidRPr="00CD4B25" w:rsidRDefault="00580202" w:rsidP="002D4CD2">
      <w:pPr>
        <w:pStyle w:val="Body"/>
        <w:rPr>
          <w:lang w:val="en-AU"/>
        </w:rPr>
      </w:pPr>
      <w:r w:rsidRPr="001E1E6A">
        <w:rPr>
          <w:lang w:val="en-AU"/>
        </w:rPr>
        <w:lastRenderedPageBreak/>
        <w:t xml:space="preserve">Read </w:t>
      </w:r>
      <w:hyperlink r:id="rId10" w:history="1">
        <w:r w:rsidRPr="001E1E6A">
          <w:rPr>
            <w:rStyle w:val="Hyperlink"/>
            <w:lang w:val="en-AU"/>
          </w:rPr>
          <w:t>OVIC’s</w:t>
        </w:r>
        <w:r w:rsidR="00160A4D" w:rsidRPr="001E1E6A">
          <w:rPr>
            <w:rStyle w:val="Hyperlink"/>
            <w:lang w:val="en-AU"/>
          </w:rPr>
          <w:t xml:space="preserve"> guidance on PIDs and how to apply</w:t>
        </w:r>
        <w:r w:rsidR="00FE363B" w:rsidRPr="001E1E6A">
          <w:rPr>
            <w:rStyle w:val="Hyperlink"/>
            <w:lang w:val="en-AU"/>
          </w:rPr>
          <w:t>.</w:t>
        </w:r>
      </w:hyperlink>
      <w:r w:rsidR="00160A4D" w:rsidRPr="001E1E6A">
        <w:rPr>
          <w:lang w:val="en-AU"/>
        </w:rPr>
        <w:t xml:space="preserve"> </w:t>
      </w:r>
    </w:p>
    <w:p w14:paraId="2E26E493" w14:textId="33E6B18B" w:rsidR="00995CE8" w:rsidRDefault="00580202" w:rsidP="002822DE">
      <w:pPr>
        <w:pStyle w:val="Heading-1"/>
      </w:pPr>
      <w:r>
        <w:t>What is a t</w:t>
      </w:r>
      <w:r w:rsidR="00995CE8">
        <w:t xml:space="preserve">emporary </w:t>
      </w:r>
      <w:r w:rsidR="00FE363B">
        <w:t>p</w:t>
      </w:r>
      <w:r w:rsidR="00995CE8">
        <w:t xml:space="preserve">ublic </w:t>
      </w:r>
      <w:r w:rsidR="00FE363B">
        <w:t>i</w:t>
      </w:r>
      <w:r w:rsidR="00995CE8">
        <w:t xml:space="preserve">nterest </w:t>
      </w:r>
      <w:r w:rsidR="00FE363B">
        <w:t>d</w:t>
      </w:r>
      <w:r w:rsidR="00995CE8">
        <w:t>etermination</w:t>
      </w:r>
      <w:r>
        <w:t>?</w:t>
      </w:r>
    </w:p>
    <w:p w14:paraId="6F40D9A7" w14:textId="713BC52D" w:rsidR="00DA2CDF" w:rsidRDefault="00DA2CDF" w:rsidP="002D4CD2">
      <w:pPr>
        <w:pStyle w:val="Body"/>
        <w:rPr>
          <w:lang w:val="en-AU"/>
        </w:rPr>
      </w:pPr>
      <w:r w:rsidRPr="00CD4B25">
        <w:rPr>
          <w:lang w:val="en-AU"/>
        </w:rPr>
        <w:t xml:space="preserve">A </w:t>
      </w:r>
      <w:r>
        <w:rPr>
          <w:lang w:val="en-AU"/>
        </w:rPr>
        <w:t>temporary public interest determination (</w:t>
      </w:r>
      <w:r w:rsidRPr="00863D84">
        <w:rPr>
          <w:b/>
          <w:bCs/>
          <w:lang w:val="en-AU"/>
        </w:rPr>
        <w:t>T</w:t>
      </w:r>
      <w:r w:rsidRPr="00D858B3">
        <w:rPr>
          <w:b/>
          <w:bCs/>
          <w:lang w:val="en-AU"/>
        </w:rPr>
        <w:t>PID</w:t>
      </w:r>
      <w:r>
        <w:rPr>
          <w:lang w:val="en-AU"/>
        </w:rPr>
        <w:t xml:space="preserve">) </w:t>
      </w:r>
      <w:r w:rsidRPr="00CD4B25">
        <w:rPr>
          <w:lang w:val="en-AU"/>
        </w:rPr>
        <w:t xml:space="preserve">is a written determination made by the Commissioner permitting one or more organisations to engage in acts or practices that breach the </w:t>
      </w:r>
      <w:r>
        <w:rPr>
          <w:lang w:val="en-AU"/>
        </w:rPr>
        <w:t>IPPs or an approved code of practice.</w:t>
      </w:r>
    </w:p>
    <w:p w14:paraId="457B43C0" w14:textId="092FBA69" w:rsidR="00B625CE" w:rsidRDefault="002D4CD2" w:rsidP="002D4CD2">
      <w:pPr>
        <w:pStyle w:val="Body"/>
        <w:rPr>
          <w:lang w:val="en-AU"/>
        </w:rPr>
      </w:pPr>
      <w:r w:rsidRPr="00CD4B25">
        <w:rPr>
          <w:lang w:val="en-AU"/>
        </w:rPr>
        <w:t xml:space="preserve">A </w:t>
      </w:r>
      <w:r w:rsidR="00DA2CDF">
        <w:rPr>
          <w:lang w:val="en-AU"/>
        </w:rPr>
        <w:t xml:space="preserve">TPID </w:t>
      </w:r>
      <w:r w:rsidR="00B625CE">
        <w:rPr>
          <w:lang w:val="en-AU"/>
        </w:rPr>
        <w:t xml:space="preserve">is </w:t>
      </w:r>
      <w:r w:rsidR="004036AE">
        <w:rPr>
          <w:lang w:val="en-AU"/>
        </w:rPr>
        <w:t>a near identical mechanism to a</w:t>
      </w:r>
      <w:r w:rsidR="00B625CE">
        <w:rPr>
          <w:lang w:val="en-AU"/>
        </w:rPr>
        <w:t xml:space="preserve"> PID, but relevant where circumstances exist </w:t>
      </w:r>
      <w:r w:rsidR="00696564">
        <w:rPr>
          <w:lang w:val="en-AU"/>
        </w:rPr>
        <w:t>requiring a</w:t>
      </w:r>
      <w:r w:rsidR="00B625CE">
        <w:rPr>
          <w:lang w:val="en-AU"/>
        </w:rPr>
        <w:t xml:space="preserve"> determination to be made urgently</w:t>
      </w:r>
      <w:r w:rsidR="004036AE">
        <w:rPr>
          <w:lang w:val="en-AU"/>
        </w:rPr>
        <w:t xml:space="preserve">, for example, </w:t>
      </w:r>
      <w:r w:rsidR="001908C0">
        <w:rPr>
          <w:lang w:val="en-AU"/>
        </w:rPr>
        <w:t xml:space="preserve">in </w:t>
      </w:r>
      <w:r w:rsidR="004036AE">
        <w:rPr>
          <w:lang w:val="en-AU"/>
        </w:rPr>
        <w:t>an emergency or natural disaster.</w:t>
      </w:r>
    </w:p>
    <w:p w14:paraId="32DCCA51" w14:textId="088AFE0F" w:rsidR="004036AE" w:rsidRDefault="004036AE" w:rsidP="002D4CD2">
      <w:pPr>
        <w:pStyle w:val="Body"/>
        <w:rPr>
          <w:lang w:val="en-AU"/>
        </w:rPr>
      </w:pPr>
      <w:r>
        <w:rPr>
          <w:lang w:val="en-AU"/>
        </w:rPr>
        <w:t xml:space="preserve">Unlike a PID, no public consultation process is required </w:t>
      </w:r>
      <w:r w:rsidR="00FE363B">
        <w:rPr>
          <w:lang w:val="en-AU"/>
        </w:rPr>
        <w:t xml:space="preserve">before granting a TPID, </w:t>
      </w:r>
      <w:r>
        <w:rPr>
          <w:lang w:val="en-AU"/>
        </w:rPr>
        <w:t xml:space="preserve">due to the urgent circumstances. If granted, a TPID must include an expiry date of no </w:t>
      </w:r>
      <w:r w:rsidR="00696564">
        <w:rPr>
          <w:lang w:val="en-AU"/>
        </w:rPr>
        <w:t xml:space="preserve">later </w:t>
      </w:r>
      <w:r>
        <w:rPr>
          <w:lang w:val="en-AU"/>
        </w:rPr>
        <w:t xml:space="preserve">than 12 months from when it is granted. </w:t>
      </w:r>
    </w:p>
    <w:p w14:paraId="59B66EB3" w14:textId="77777777" w:rsidR="001908C0" w:rsidRDefault="002D4CD2" w:rsidP="002D4CD2">
      <w:pPr>
        <w:pStyle w:val="Body"/>
        <w:rPr>
          <w:lang w:val="en-AU"/>
        </w:rPr>
      </w:pPr>
      <w:r w:rsidRPr="00CD4B25">
        <w:rPr>
          <w:lang w:val="en-AU"/>
        </w:rPr>
        <w:t xml:space="preserve">A </w:t>
      </w:r>
      <w:r w:rsidR="004036AE">
        <w:rPr>
          <w:lang w:val="en-AU"/>
        </w:rPr>
        <w:t>T</w:t>
      </w:r>
      <w:r w:rsidRPr="00CD4B25">
        <w:rPr>
          <w:lang w:val="en-AU"/>
        </w:rPr>
        <w:t xml:space="preserve">PID can be </w:t>
      </w:r>
      <w:r w:rsidR="00696564">
        <w:rPr>
          <w:lang w:val="en-AU"/>
        </w:rPr>
        <w:t>granted</w:t>
      </w:r>
      <w:r w:rsidRPr="00CD4B25">
        <w:rPr>
          <w:lang w:val="en-AU"/>
        </w:rPr>
        <w:t xml:space="preserve"> where the </w:t>
      </w:r>
      <w:r>
        <w:rPr>
          <w:lang w:val="en-AU"/>
        </w:rPr>
        <w:t>Commissioner is satisfied</w:t>
      </w:r>
      <w:r w:rsidR="006A4949">
        <w:rPr>
          <w:lang w:val="en-AU"/>
        </w:rPr>
        <w:t xml:space="preserve"> that urgent circumstances exist and</w:t>
      </w:r>
      <w:r>
        <w:rPr>
          <w:lang w:val="en-AU"/>
        </w:rPr>
        <w:t xml:space="preserve"> that the </w:t>
      </w:r>
      <w:r w:rsidRPr="00CD4B25">
        <w:rPr>
          <w:lang w:val="en-AU"/>
        </w:rPr>
        <w:t>public interest in an organisation doing an act or engaging in a practice substantially outweighs the public interest in complying with specified IPPs</w:t>
      </w:r>
      <w:r w:rsidR="00513B23">
        <w:rPr>
          <w:lang w:val="en-AU"/>
        </w:rPr>
        <w:t xml:space="preserve"> or an approved code of practice</w:t>
      </w:r>
      <w:r w:rsidR="00696564">
        <w:rPr>
          <w:lang w:val="en-AU"/>
        </w:rPr>
        <w:t xml:space="preserve">. </w:t>
      </w:r>
    </w:p>
    <w:p w14:paraId="0AE0BBF8" w14:textId="40A6CA94" w:rsidR="002D4CD2" w:rsidRDefault="00696564" w:rsidP="002D4CD2">
      <w:pPr>
        <w:pStyle w:val="Body"/>
        <w:rPr>
          <w:lang w:val="en-AU"/>
        </w:rPr>
      </w:pPr>
      <w:r>
        <w:rPr>
          <w:lang w:val="en-AU"/>
        </w:rPr>
        <w:t xml:space="preserve">A TPID cannot be granted in </w:t>
      </w:r>
      <w:r w:rsidR="002D4CD2" w:rsidRPr="00CD4B25">
        <w:rPr>
          <w:lang w:val="en-AU"/>
        </w:rPr>
        <w:t>relation to IPP 4 – Data Security or IPP 6 – Access and Correction.</w:t>
      </w:r>
    </w:p>
    <w:p w14:paraId="7671E9B2" w14:textId="435E3D79" w:rsidR="00A52A0D" w:rsidRDefault="00A52A0D" w:rsidP="00A52A0D">
      <w:pPr>
        <w:pStyle w:val="Body"/>
        <w:rPr>
          <w:b/>
          <w:bCs/>
          <w:lang w:val="en-AU"/>
        </w:rPr>
      </w:pPr>
      <w:r w:rsidRPr="00C836C5">
        <w:rPr>
          <w:b/>
          <w:bCs/>
          <w:lang w:val="en-AU"/>
        </w:rPr>
        <w:t xml:space="preserve">When </w:t>
      </w:r>
      <w:r w:rsidR="00580202">
        <w:rPr>
          <w:b/>
          <w:bCs/>
          <w:lang w:val="en-AU"/>
        </w:rPr>
        <w:t xml:space="preserve">is a </w:t>
      </w:r>
      <w:r>
        <w:rPr>
          <w:b/>
          <w:bCs/>
          <w:lang w:val="en-AU"/>
        </w:rPr>
        <w:t>T</w:t>
      </w:r>
      <w:r w:rsidRPr="00C836C5">
        <w:rPr>
          <w:b/>
          <w:bCs/>
          <w:lang w:val="en-AU"/>
        </w:rPr>
        <w:t>PID</w:t>
      </w:r>
      <w:r w:rsidR="00580202">
        <w:rPr>
          <w:b/>
          <w:bCs/>
          <w:lang w:val="en-AU"/>
        </w:rPr>
        <w:t xml:space="preserve"> appropriate?</w:t>
      </w:r>
    </w:p>
    <w:p w14:paraId="5BD39549" w14:textId="525F2C4F" w:rsidR="00A52A0D" w:rsidRPr="003A1459" w:rsidRDefault="00A52A0D" w:rsidP="003A1459">
      <w:pPr>
        <w:pStyle w:val="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The acts or practices involve a single organisation, or small number of </w:t>
      </w:r>
      <w:proofErr w:type="gramStart"/>
      <w:r>
        <w:rPr>
          <w:lang w:val="en-AU"/>
        </w:rPr>
        <w:t>organisations</w:t>
      </w:r>
      <w:r w:rsidR="001908C0">
        <w:rPr>
          <w:lang w:val="en-AU"/>
        </w:rPr>
        <w:t>;</w:t>
      </w:r>
      <w:proofErr w:type="gramEnd"/>
      <w:r>
        <w:rPr>
          <w:lang w:val="en-AU"/>
        </w:rPr>
        <w:t xml:space="preserve"> </w:t>
      </w:r>
    </w:p>
    <w:p w14:paraId="0B1F37DF" w14:textId="2833A1C0" w:rsidR="00A52A0D" w:rsidRPr="003A1459" w:rsidRDefault="00A52A0D" w:rsidP="003A1459">
      <w:pPr>
        <w:pStyle w:val="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The acts or practices that would breach an IPP or IPPs are limited in scope and easily </w:t>
      </w:r>
      <w:proofErr w:type="gramStart"/>
      <w:r>
        <w:rPr>
          <w:lang w:val="en-AU"/>
        </w:rPr>
        <w:t>defined</w:t>
      </w:r>
      <w:r w:rsidR="001908C0">
        <w:rPr>
          <w:lang w:val="en-AU"/>
        </w:rPr>
        <w:t>;</w:t>
      </w:r>
      <w:proofErr w:type="gramEnd"/>
    </w:p>
    <w:p w14:paraId="220D321F" w14:textId="5FD10E6D" w:rsidR="00A52A0D" w:rsidRPr="005B5793" w:rsidRDefault="00A52A0D" w:rsidP="003A1459">
      <w:pPr>
        <w:pStyle w:val="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>There is a public interest in the acts or practices being undertaken</w:t>
      </w:r>
      <w:r w:rsidR="001908C0">
        <w:rPr>
          <w:lang w:val="en-AU"/>
        </w:rPr>
        <w:t>; or</w:t>
      </w:r>
    </w:p>
    <w:p w14:paraId="16E50C10" w14:textId="29BEF3B4" w:rsidR="00A52A0D" w:rsidRPr="003A1459" w:rsidRDefault="00A52A0D" w:rsidP="003A1459">
      <w:pPr>
        <w:pStyle w:val="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Urgent circumstances </w:t>
      </w:r>
      <w:r w:rsidR="005B5793">
        <w:rPr>
          <w:lang w:val="en-AU"/>
        </w:rPr>
        <w:t>exist</w:t>
      </w:r>
      <w:r>
        <w:rPr>
          <w:lang w:val="en-AU"/>
        </w:rPr>
        <w:t xml:space="preserve"> such that the application should be determined immediately</w:t>
      </w:r>
      <w:r w:rsidR="00580202">
        <w:rPr>
          <w:lang w:val="en-AU"/>
        </w:rPr>
        <w:t>.</w:t>
      </w:r>
    </w:p>
    <w:p w14:paraId="5A14652D" w14:textId="5BD4AF92" w:rsidR="00160A4D" w:rsidRPr="00CD4B25" w:rsidRDefault="00580202" w:rsidP="002D4CD2">
      <w:pPr>
        <w:pStyle w:val="Body"/>
        <w:rPr>
          <w:lang w:val="en-AU"/>
        </w:rPr>
      </w:pPr>
      <w:r w:rsidRPr="001E1E6A">
        <w:rPr>
          <w:lang w:val="en-AU"/>
        </w:rPr>
        <w:t xml:space="preserve">Read </w:t>
      </w:r>
      <w:hyperlink r:id="rId11" w:history="1">
        <w:r w:rsidRPr="001E1E6A">
          <w:rPr>
            <w:rStyle w:val="Hyperlink"/>
            <w:lang w:val="en-AU"/>
          </w:rPr>
          <w:t>OVIC’s</w:t>
        </w:r>
        <w:r w:rsidR="00160A4D" w:rsidRPr="001E1E6A">
          <w:rPr>
            <w:rStyle w:val="Hyperlink"/>
            <w:lang w:val="en-AU"/>
          </w:rPr>
          <w:t xml:space="preserve"> guidance on TPIDs and how to apply</w:t>
        </w:r>
        <w:r w:rsidR="00FE363B" w:rsidRPr="001E1E6A">
          <w:rPr>
            <w:rStyle w:val="Hyperlink"/>
            <w:lang w:val="en-AU"/>
          </w:rPr>
          <w:t>.</w:t>
        </w:r>
      </w:hyperlink>
      <w:r w:rsidR="00160A4D" w:rsidRPr="001E1E6A">
        <w:rPr>
          <w:lang w:val="en-AU"/>
        </w:rPr>
        <w:t xml:space="preserve"> </w:t>
      </w:r>
    </w:p>
    <w:p w14:paraId="320508B5" w14:textId="4F9A416A" w:rsidR="00995CE8" w:rsidRDefault="00580202" w:rsidP="002822DE">
      <w:pPr>
        <w:pStyle w:val="Heading-1"/>
      </w:pPr>
      <w:r>
        <w:t>What is an i</w:t>
      </w:r>
      <w:r w:rsidR="00995CE8">
        <w:t xml:space="preserve">nformation </w:t>
      </w:r>
      <w:r w:rsidR="00FE363B">
        <w:t>u</w:t>
      </w:r>
      <w:r w:rsidR="00995CE8">
        <w:t xml:space="preserve">sage </w:t>
      </w:r>
      <w:r w:rsidR="00FE363B">
        <w:t>a</w:t>
      </w:r>
      <w:r w:rsidR="00995CE8">
        <w:t>rrangement</w:t>
      </w:r>
      <w:r>
        <w:t>?</w:t>
      </w:r>
    </w:p>
    <w:p w14:paraId="37B4B87D" w14:textId="26ED601D" w:rsidR="00CB2E3A" w:rsidRPr="000C19E6" w:rsidRDefault="00CB2E3A" w:rsidP="00CB2E3A">
      <w:pPr>
        <w:pStyle w:val="Body"/>
        <w:rPr>
          <w:lang w:val="en-AU"/>
        </w:rPr>
      </w:pPr>
      <w:r w:rsidRPr="000C19E6">
        <w:rPr>
          <w:lang w:val="en-AU"/>
        </w:rPr>
        <w:t>An</w:t>
      </w:r>
      <w:r>
        <w:rPr>
          <w:lang w:val="en-AU"/>
        </w:rPr>
        <w:t xml:space="preserve"> </w:t>
      </w:r>
      <w:r w:rsidR="00FE363B">
        <w:t>i</w:t>
      </w:r>
      <w:r w:rsidRPr="00C40D45">
        <w:t xml:space="preserve">nformation </w:t>
      </w:r>
      <w:r w:rsidR="00FE363B">
        <w:t>u</w:t>
      </w:r>
      <w:r w:rsidRPr="00C40D45">
        <w:t xml:space="preserve">sage </w:t>
      </w:r>
      <w:r w:rsidR="00FE363B">
        <w:t>a</w:t>
      </w:r>
      <w:r w:rsidRPr="00C40D45">
        <w:t>rrangement (</w:t>
      </w:r>
      <w:r w:rsidRPr="00D858B3">
        <w:rPr>
          <w:b/>
          <w:bCs/>
        </w:rPr>
        <w:t>IUA</w:t>
      </w:r>
      <w:r w:rsidRPr="00C40D45">
        <w:t>)</w:t>
      </w:r>
      <w:r w:rsidRPr="000C19E6">
        <w:rPr>
          <w:lang w:val="en-AU"/>
        </w:rPr>
        <w:t xml:space="preserve"> is a written arrangement approved by the Commissioner setting out acts or practices for handling personal information in relation to one or more public purposes.</w:t>
      </w:r>
    </w:p>
    <w:p w14:paraId="5F7D608E" w14:textId="77777777" w:rsidR="005B563F" w:rsidRDefault="00CB2E3A" w:rsidP="00D858B3">
      <w:pPr>
        <w:pStyle w:val="Body"/>
      </w:pPr>
      <w:r>
        <w:t xml:space="preserve">An IUA </w:t>
      </w:r>
      <w:r w:rsidR="00FE363B">
        <w:t>can</w:t>
      </w:r>
      <w:r w:rsidR="005B563F">
        <w:t>:</w:t>
      </w:r>
    </w:p>
    <w:p w14:paraId="0CE5A7D5" w14:textId="2F443775" w:rsidR="005B563F" w:rsidRDefault="008F5A26" w:rsidP="00D87C51">
      <w:pPr>
        <w:pStyle w:val="Body"/>
        <w:numPr>
          <w:ilvl w:val="0"/>
          <w:numId w:val="23"/>
        </w:numPr>
        <w:rPr>
          <w:lang w:val="en-AU"/>
        </w:rPr>
      </w:pPr>
      <w:r w:rsidRPr="00C40D45">
        <w:rPr>
          <w:lang w:val="en-AU"/>
        </w:rPr>
        <w:t>modif</w:t>
      </w:r>
      <w:r w:rsidR="00FE363B">
        <w:rPr>
          <w:lang w:val="en-AU"/>
        </w:rPr>
        <w:t>y</w:t>
      </w:r>
      <w:r w:rsidRPr="00C40D45">
        <w:rPr>
          <w:lang w:val="en-AU"/>
        </w:rPr>
        <w:t xml:space="preserve"> the application of, or remove the need to comply with</w:t>
      </w:r>
      <w:r w:rsidR="00FE363B">
        <w:rPr>
          <w:lang w:val="en-AU"/>
        </w:rPr>
        <w:t>,</w:t>
      </w:r>
      <w:r w:rsidR="00715993">
        <w:rPr>
          <w:lang w:val="en-AU"/>
        </w:rPr>
        <w:t xml:space="preserve"> </w:t>
      </w:r>
      <w:r w:rsidRPr="00C40D45">
        <w:rPr>
          <w:lang w:val="en-AU"/>
        </w:rPr>
        <w:t>specific IPP</w:t>
      </w:r>
      <w:r>
        <w:rPr>
          <w:lang w:val="en-AU"/>
        </w:rPr>
        <w:t>s</w:t>
      </w:r>
      <w:r w:rsidR="006A4949">
        <w:rPr>
          <w:lang w:val="en-AU"/>
        </w:rPr>
        <w:t xml:space="preserve"> (except</w:t>
      </w:r>
      <w:r w:rsidR="006A4949" w:rsidRPr="00CD4B25">
        <w:rPr>
          <w:lang w:val="en-AU"/>
        </w:rPr>
        <w:t xml:space="preserve"> IPP 4 – Data Security or IPP 6 – Access and Correction</w:t>
      </w:r>
      <w:r w:rsidR="006A4949">
        <w:rPr>
          <w:lang w:val="en-AU"/>
        </w:rPr>
        <w:t>)</w:t>
      </w:r>
      <w:r w:rsidR="00243D89">
        <w:rPr>
          <w:lang w:val="en-AU"/>
        </w:rPr>
        <w:t xml:space="preserve"> or an approved code of practice</w:t>
      </w:r>
      <w:r w:rsidR="005B563F">
        <w:rPr>
          <w:lang w:val="en-AU"/>
        </w:rPr>
        <w:t>;</w:t>
      </w:r>
      <w:r w:rsidR="00CB2E3A">
        <w:rPr>
          <w:lang w:val="en-AU"/>
        </w:rPr>
        <w:t xml:space="preserve"> and </w:t>
      </w:r>
    </w:p>
    <w:p w14:paraId="5CC1AD0C" w14:textId="671043DE" w:rsidR="006A4949" w:rsidRDefault="008F5A26" w:rsidP="00D87C51">
      <w:pPr>
        <w:pStyle w:val="Body"/>
        <w:numPr>
          <w:ilvl w:val="0"/>
          <w:numId w:val="23"/>
        </w:numPr>
        <w:rPr>
          <w:lang w:val="en-AU"/>
        </w:rPr>
      </w:pPr>
      <w:r w:rsidRPr="00C40D45">
        <w:rPr>
          <w:lang w:val="en-AU"/>
        </w:rPr>
        <w:t>permit</w:t>
      </w:r>
      <w:r w:rsidR="006A4949">
        <w:rPr>
          <w:lang w:val="en-AU"/>
        </w:rPr>
        <w:t xml:space="preserve"> the </w:t>
      </w:r>
      <w:r w:rsidR="00D87C51">
        <w:rPr>
          <w:lang w:val="en-AU"/>
        </w:rPr>
        <w:t>access, use, and disclosure</w:t>
      </w:r>
      <w:r w:rsidRPr="00C40D45">
        <w:rPr>
          <w:lang w:val="en-AU"/>
        </w:rPr>
        <w:t xml:space="preserve"> </w:t>
      </w:r>
      <w:r w:rsidR="00EC3AC6">
        <w:rPr>
          <w:lang w:val="en-AU"/>
        </w:rPr>
        <w:t xml:space="preserve">of </w:t>
      </w:r>
      <w:r w:rsidRPr="00C40D45">
        <w:rPr>
          <w:lang w:val="en-AU"/>
        </w:rPr>
        <w:t>information for the purposes of an information handling provision</w:t>
      </w:r>
      <w:r w:rsidR="006A4949">
        <w:rPr>
          <w:lang w:val="en-AU"/>
        </w:rPr>
        <w:t xml:space="preserve"> contained in other legislation</w:t>
      </w:r>
      <w:r>
        <w:rPr>
          <w:lang w:val="en-AU"/>
        </w:rPr>
        <w:t xml:space="preserve">. </w:t>
      </w:r>
    </w:p>
    <w:p w14:paraId="20D31AF1" w14:textId="77777777" w:rsidR="00173002" w:rsidRDefault="00CB2E3A" w:rsidP="00CB2E3A">
      <w:pPr>
        <w:pStyle w:val="Body"/>
        <w:rPr>
          <w:lang w:val="en-AU"/>
        </w:rPr>
      </w:pPr>
      <w:r w:rsidRPr="000C19E6">
        <w:rPr>
          <w:lang w:val="en-AU"/>
        </w:rPr>
        <w:t xml:space="preserve">An IUA can be useful where an organisation or organisations want to collect, use, or disclose personal information </w:t>
      </w:r>
      <w:r w:rsidRPr="00CB2E3A">
        <w:rPr>
          <w:lang w:val="en-AU"/>
        </w:rPr>
        <w:t xml:space="preserve">for a </w:t>
      </w:r>
      <w:r w:rsidRPr="00863D84">
        <w:rPr>
          <w:lang w:val="en-AU"/>
        </w:rPr>
        <w:t>purpose</w:t>
      </w:r>
      <w:r w:rsidRPr="000C19E6">
        <w:rPr>
          <w:lang w:val="en-AU"/>
        </w:rPr>
        <w:t xml:space="preserve"> that is </w:t>
      </w:r>
      <w:r w:rsidR="00F9041C">
        <w:rPr>
          <w:lang w:val="en-AU"/>
        </w:rPr>
        <w:t>demonstrably in the public interest</w:t>
      </w:r>
      <w:r w:rsidR="00C53535">
        <w:rPr>
          <w:lang w:val="en-AU"/>
        </w:rPr>
        <w:t>,</w:t>
      </w:r>
      <w:r w:rsidR="00F9041C">
        <w:rPr>
          <w:lang w:val="en-AU"/>
        </w:rPr>
        <w:t xml:space="preserve"> but</w:t>
      </w:r>
      <w:r w:rsidR="002754A6">
        <w:rPr>
          <w:lang w:val="en-AU"/>
        </w:rPr>
        <w:t xml:space="preserve"> may </w:t>
      </w:r>
      <w:r w:rsidRPr="000C19E6">
        <w:rPr>
          <w:lang w:val="en-AU"/>
        </w:rPr>
        <w:t xml:space="preserve">not currently </w:t>
      </w:r>
      <w:r w:rsidR="002754A6">
        <w:rPr>
          <w:lang w:val="en-AU"/>
        </w:rPr>
        <w:t xml:space="preserve">be </w:t>
      </w:r>
      <w:r w:rsidRPr="000C19E6">
        <w:rPr>
          <w:lang w:val="en-AU"/>
        </w:rPr>
        <w:t>permitted by law</w:t>
      </w:r>
      <w:r w:rsidR="002754A6">
        <w:rPr>
          <w:lang w:val="en-AU"/>
        </w:rPr>
        <w:t xml:space="preserve">. </w:t>
      </w:r>
    </w:p>
    <w:p w14:paraId="3DEED3BC" w14:textId="24E14477" w:rsidR="00CB2E3A" w:rsidRDefault="002754A6" w:rsidP="00CB2E3A">
      <w:pPr>
        <w:pStyle w:val="Body"/>
        <w:rPr>
          <w:lang w:val="en-AU"/>
        </w:rPr>
      </w:pPr>
      <w:r>
        <w:rPr>
          <w:lang w:val="en-AU"/>
        </w:rPr>
        <w:t>It may be an appropriate mechanism where th</w:t>
      </w:r>
      <w:r w:rsidR="00173002">
        <w:rPr>
          <w:lang w:val="en-AU"/>
        </w:rPr>
        <w:t xml:space="preserve">e </w:t>
      </w:r>
      <w:r>
        <w:rPr>
          <w:lang w:val="en-AU"/>
        </w:rPr>
        <w:t>collection, use or disclosure</w:t>
      </w:r>
      <w:r w:rsidR="00CB2E3A">
        <w:rPr>
          <w:lang w:val="en-AU"/>
        </w:rPr>
        <w:t xml:space="preserve"> </w:t>
      </w:r>
      <w:r w:rsidR="00173002">
        <w:rPr>
          <w:lang w:val="en-AU"/>
        </w:rPr>
        <w:t xml:space="preserve">of personal information </w:t>
      </w:r>
      <w:r w:rsidR="00CB2E3A">
        <w:rPr>
          <w:lang w:val="en-AU"/>
        </w:rPr>
        <w:t xml:space="preserve">is systemic </w:t>
      </w:r>
      <w:r w:rsidR="00EC3AC6">
        <w:rPr>
          <w:lang w:val="en-AU"/>
        </w:rPr>
        <w:t xml:space="preserve">or ongoing </w:t>
      </w:r>
      <w:r w:rsidR="00CB2E3A">
        <w:rPr>
          <w:lang w:val="en-AU"/>
        </w:rPr>
        <w:t>in nature</w:t>
      </w:r>
      <w:r w:rsidR="00173002">
        <w:rPr>
          <w:lang w:val="en-AU"/>
        </w:rPr>
        <w:t>. F</w:t>
      </w:r>
      <w:r>
        <w:rPr>
          <w:lang w:val="en-AU"/>
        </w:rPr>
        <w:t>or</w:t>
      </w:r>
      <w:r w:rsidR="00CB2E3A">
        <w:rPr>
          <w:lang w:val="en-AU"/>
        </w:rPr>
        <w:t xml:space="preserve"> example,</w:t>
      </w:r>
      <w:r w:rsidR="00173002">
        <w:rPr>
          <w:lang w:val="en-AU"/>
        </w:rPr>
        <w:t xml:space="preserve"> an</w:t>
      </w:r>
      <w:r w:rsidR="00CB2E3A">
        <w:rPr>
          <w:lang w:val="en-AU"/>
        </w:rPr>
        <w:t xml:space="preserve"> information sharing scheme between multiple organisations</w:t>
      </w:r>
      <w:r>
        <w:rPr>
          <w:lang w:val="en-AU"/>
        </w:rPr>
        <w:t xml:space="preserve"> </w:t>
      </w:r>
      <w:r>
        <w:rPr>
          <w:lang w:val="en-AU"/>
        </w:rPr>
        <w:lastRenderedPageBreak/>
        <w:t>that is necessary to achieve a public purpose such as protecting a vulnerable group from harm</w:t>
      </w:r>
      <w:r w:rsidR="00CB2E3A">
        <w:rPr>
          <w:lang w:val="en-AU"/>
        </w:rPr>
        <w:t xml:space="preserve">. </w:t>
      </w:r>
    </w:p>
    <w:p w14:paraId="7D48477A" w14:textId="77ADCD51" w:rsidR="00A52A0D" w:rsidRDefault="00A52A0D" w:rsidP="00A52A0D">
      <w:pPr>
        <w:pStyle w:val="Body"/>
        <w:rPr>
          <w:b/>
          <w:bCs/>
          <w:lang w:val="en-AU"/>
        </w:rPr>
      </w:pPr>
      <w:r w:rsidRPr="00C836C5">
        <w:rPr>
          <w:b/>
          <w:bCs/>
          <w:lang w:val="en-AU"/>
        </w:rPr>
        <w:t xml:space="preserve">When </w:t>
      </w:r>
      <w:r w:rsidR="00580202">
        <w:rPr>
          <w:b/>
          <w:bCs/>
          <w:lang w:val="en-AU"/>
        </w:rPr>
        <w:t>is an IUA appropriate?</w:t>
      </w:r>
    </w:p>
    <w:p w14:paraId="34F54B80" w14:textId="3408D5D3" w:rsidR="007B1723" w:rsidRPr="003A1459" w:rsidRDefault="00A52A0D" w:rsidP="003A1459">
      <w:pPr>
        <w:pStyle w:val="Body"/>
        <w:numPr>
          <w:ilvl w:val="0"/>
          <w:numId w:val="23"/>
        </w:numPr>
        <w:rPr>
          <w:b/>
          <w:bCs/>
          <w:lang w:val="en-AU"/>
        </w:rPr>
      </w:pPr>
      <w:r>
        <w:rPr>
          <w:lang w:val="en-AU"/>
        </w:rPr>
        <w:t>The acts or practices</w:t>
      </w:r>
      <w:r w:rsidR="00B22B85">
        <w:rPr>
          <w:lang w:val="en-AU"/>
        </w:rPr>
        <w:t xml:space="preserve"> </w:t>
      </w:r>
      <w:r>
        <w:rPr>
          <w:lang w:val="en-AU"/>
        </w:rPr>
        <w:t>involve a single organisatio</w:t>
      </w:r>
      <w:r w:rsidR="00B22B85">
        <w:rPr>
          <w:lang w:val="en-AU"/>
        </w:rPr>
        <w:t>n</w:t>
      </w:r>
      <w:r w:rsidR="005B5793">
        <w:rPr>
          <w:lang w:val="en-AU"/>
        </w:rPr>
        <w:t>,</w:t>
      </w:r>
      <w:r w:rsidR="00B22B85">
        <w:rPr>
          <w:lang w:val="en-AU"/>
        </w:rPr>
        <w:t xml:space="preserve"> or an</w:t>
      </w:r>
      <w:r w:rsidR="007B1723">
        <w:rPr>
          <w:lang w:val="en-AU"/>
        </w:rPr>
        <w:t xml:space="preserve"> organisation and any</w:t>
      </w:r>
      <w:r w:rsidR="00B22B85">
        <w:rPr>
          <w:lang w:val="en-AU"/>
        </w:rPr>
        <w:t xml:space="preserve"> number of</w:t>
      </w:r>
      <w:r w:rsidR="007B1723">
        <w:rPr>
          <w:lang w:val="en-AU"/>
        </w:rPr>
        <w:t xml:space="preserve"> the following:</w:t>
      </w:r>
    </w:p>
    <w:p w14:paraId="525AEE85" w14:textId="3ECCB437" w:rsidR="00A52A0D" w:rsidRPr="003A1459" w:rsidRDefault="007B1723" w:rsidP="003A1459">
      <w:pPr>
        <w:pStyle w:val="Body"/>
        <w:numPr>
          <w:ilvl w:val="1"/>
          <w:numId w:val="24"/>
        </w:numPr>
        <w:ind w:left="1134"/>
        <w:rPr>
          <w:b/>
          <w:bCs/>
          <w:lang w:val="en-AU"/>
        </w:rPr>
      </w:pPr>
      <w:r>
        <w:rPr>
          <w:lang w:val="en-AU"/>
        </w:rPr>
        <w:t>another</w:t>
      </w:r>
      <w:r w:rsidR="00B22B85">
        <w:rPr>
          <w:lang w:val="en-AU"/>
        </w:rPr>
        <w:t xml:space="preserve"> </w:t>
      </w:r>
      <w:r w:rsidR="005B5793">
        <w:rPr>
          <w:lang w:val="en-AU"/>
        </w:rPr>
        <w:t>organisation</w:t>
      </w:r>
      <w:r>
        <w:rPr>
          <w:lang w:val="en-AU"/>
        </w:rPr>
        <w:t>;</w:t>
      </w:r>
    </w:p>
    <w:p w14:paraId="46D5CC2E" w14:textId="3A49E8F0" w:rsidR="00B22B85" w:rsidRPr="003A1459" w:rsidRDefault="00B22B85" w:rsidP="003A1459">
      <w:pPr>
        <w:pStyle w:val="Body"/>
        <w:numPr>
          <w:ilvl w:val="1"/>
          <w:numId w:val="24"/>
        </w:numPr>
        <w:ind w:left="1134"/>
        <w:rPr>
          <w:b/>
          <w:bCs/>
          <w:lang w:val="en-AU"/>
        </w:rPr>
      </w:pPr>
      <w:r>
        <w:rPr>
          <w:lang w:val="en-AU"/>
        </w:rPr>
        <w:t>a person or body that is an agency of the Commonwealth, or another State or Territory; or</w:t>
      </w:r>
    </w:p>
    <w:p w14:paraId="1F0EFADB" w14:textId="0D85FB2C" w:rsidR="00B22B85" w:rsidRPr="00C836C5" w:rsidRDefault="00B22B85" w:rsidP="003A1459">
      <w:pPr>
        <w:pStyle w:val="Body"/>
        <w:numPr>
          <w:ilvl w:val="1"/>
          <w:numId w:val="24"/>
        </w:numPr>
        <w:ind w:left="1134"/>
        <w:rPr>
          <w:b/>
          <w:bCs/>
          <w:lang w:val="en-AU"/>
        </w:rPr>
      </w:pPr>
      <w:r>
        <w:rPr>
          <w:lang w:val="en-AU"/>
        </w:rPr>
        <w:t xml:space="preserve">any other person or body, including a private sector body, </w:t>
      </w:r>
      <w:proofErr w:type="gramStart"/>
      <w:r>
        <w:rPr>
          <w:lang w:val="en-AU"/>
        </w:rPr>
        <w:t>whether or not</w:t>
      </w:r>
      <w:proofErr w:type="gramEnd"/>
      <w:r>
        <w:rPr>
          <w:lang w:val="en-AU"/>
        </w:rPr>
        <w:t xml:space="preserve"> located in Victoria. </w:t>
      </w:r>
    </w:p>
    <w:p w14:paraId="58EB1F23" w14:textId="5BD2A3C8" w:rsidR="00A52A0D" w:rsidRDefault="00A52A0D" w:rsidP="008443E6">
      <w:pPr>
        <w:pStyle w:val="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>The acts or practices that would breach an IPP or IPPs</w:t>
      </w:r>
      <w:r w:rsidR="008443E6">
        <w:rPr>
          <w:lang w:val="en-AU"/>
        </w:rPr>
        <w:t xml:space="preserve"> might be:</w:t>
      </w:r>
    </w:p>
    <w:p w14:paraId="01B85BF6" w14:textId="498BF801" w:rsidR="008443E6" w:rsidRDefault="008443E6" w:rsidP="008443E6">
      <w:pPr>
        <w:pStyle w:val="Body"/>
        <w:numPr>
          <w:ilvl w:val="1"/>
          <w:numId w:val="23"/>
        </w:numPr>
        <w:rPr>
          <w:lang w:val="en-AU"/>
        </w:rPr>
      </w:pPr>
      <w:r>
        <w:rPr>
          <w:lang w:val="en-AU"/>
        </w:rPr>
        <w:t>limited in scope and easily defined; or</w:t>
      </w:r>
    </w:p>
    <w:p w14:paraId="2CC3F5C9" w14:textId="1DAD96DB" w:rsidR="008443E6" w:rsidRPr="003A1459" w:rsidRDefault="008443E6" w:rsidP="003A1459">
      <w:pPr>
        <w:pStyle w:val="Body"/>
        <w:numPr>
          <w:ilvl w:val="1"/>
          <w:numId w:val="23"/>
        </w:numPr>
        <w:rPr>
          <w:lang w:val="en-AU"/>
        </w:rPr>
      </w:pPr>
      <w:r>
        <w:rPr>
          <w:lang w:val="en-AU"/>
        </w:rPr>
        <w:t>wide ranging and systemic.</w:t>
      </w:r>
    </w:p>
    <w:p w14:paraId="2AC43AFB" w14:textId="72BF5463" w:rsidR="00A52A0D" w:rsidRPr="008443E6" w:rsidRDefault="008443E6" w:rsidP="003A1459">
      <w:pPr>
        <w:pStyle w:val="Body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There is a </w:t>
      </w:r>
      <w:r w:rsidR="00AD47A3">
        <w:rPr>
          <w:lang w:val="en-AU"/>
        </w:rPr>
        <w:t xml:space="preserve">demonstrable </w:t>
      </w:r>
      <w:r>
        <w:rPr>
          <w:lang w:val="en-AU"/>
        </w:rPr>
        <w:t>public interest in the acts or practices being undertaken.</w:t>
      </w:r>
    </w:p>
    <w:p w14:paraId="54C0FF52" w14:textId="53C66F4D" w:rsidR="002533E2" w:rsidRPr="00DD3F0E" w:rsidRDefault="00A42157" w:rsidP="008443E6">
      <w:pPr>
        <w:pStyle w:val="Body"/>
      </w:pPr>
      <w:r w:rsidRPr="00A42157">
        <w:rPr>
          <w:lang w:val="en-AU"/>
        </w:rPr>
        <w:t xml:space="preserve">Read </w:t>
      </w:r>
      <w:hyperlink r:id="rId12" w:history="1">
        <w:r w:rsidRPr="00A42157">
          <w:rPr>
            <w:rStyle w:val="Hyperlink"/>
            <w:lang w:val="en-AU"/>
          </w:rPr>
          <w:t>OVIC’s guidance on IUAs and how to apply</w:t>
        </w:r>
      </w:hyperlink>
      <w:r w:rsidRPr="00A42157">
        <w:rPr>
          <w:lang w:val="en-AU"/>
        </w:rPr>
        <w:t>.</w:t>
      </w:r>
      <w:r w:rsidR="00160A4D" w:rsidRPr="00A42157">
        <w:rPr>
          <w:lang w:val="en-AU"/>
        </w:rPr>
        <w:t xml:space="preserve"> </w:t>
      </w:r>
      <w:bookmarkEnd w:id="0"/>
    </w:p>
    <w:sectPr w:rsidR="002533E2" w:rsidRPr="00DD3F0E" w:rsidSect="00834813"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0" w:h="16840"/>
      <w:pgMar w:top="1134" w:right="1134" w:bottom="709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4658" w14:textId="77777777" w:rsidR="00C2422E" w:rsidRDefault="00C2422E" w:rsidP="00B53C78">
      <w:r>
        <w:separator/>
      </w:r>
    </w:p>
  </w:endnote>
  <w:endnote w:type="continuationSeparator" w:id="0">
    <w:p w14:paraId="7195D6F8" w14:textId="77777777" w:rsidR="00C2422E" w:rsidRDefault="00C2422E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-Book">
    <w:altName w:val="Times New Roman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1D8" w14:textId="77777777" w:rsidR="00E606BA" w:rsidRPr="008C301D" w:rsidRDefault="00E606BA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6E25" w14:textId="77777777" w:rsidR="00BD07DC" w:rsidRPr="008C301D" w:rsidRDefault="008C301D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9C46" w14:textId="77777777" w:rsidR="00C2422E" w:rsidRPr="002330E8" w:rsidRDefault="00C2422E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04CC42BC" w14:textId="77777777" w:rsidR="00C2422E" w:rsidRDefault="00C2422E" w:rsidP="00B53C78">
      <w:r>
        <w:continuationSeparator/>
      </w:r>
    </w:p>
  </w:footnote>
  <w:footnote w:type="continuationNotice" w:id="1">
    <w:p w14:paraId="571AEAEA" w14:textId="77777777" w:rsidR="00C2422E" w:rsidRDefault="00C24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FDC0" w14:textId="300ED05E" w:rsidR="005754AC" w:rsidRPr="00E54A51" w:rsidRDefault="005754AC" w:rsidP="005754AC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asciiTheme="minorHAnsi" w:hAnsiTheme="minorHAnsi" w:cstheme="minorHAnsi"/>
        <w:color w:val="55565A"/>
        <w:sz w:val="16"/>
        <w:szCs w:val="16"/>
        <w:highlight w:val="yellow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5153B672" wp14:editId="138B1BA4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174284" cy="540000"/>
          <wp:effectExtent l="0" t="0" r="0" b="6350"/>
          <wp:wrapThrough wrapText="bothSides">
            <wp:wrapPolygon edited="0">
              <wp:start x="0" y="0"/>
              <wp:lineTo x="0" y="21346"/>
              <wp:lineTo x="21261" y="21346"/>
              <wp:lineTo x="21261" y="0"/>
              <wp:lineTo x="0" y="0"/>
            </wp:wrapPolygon>
          </wp:wrapThrough>
          <wp:docPr id="15" name="Picture 15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501C752F" w14:textId="2570E6FE" w:rsidR="005754AC" w:rsidRPr="00E54A51" w:rsidRDefault="00191EB3" w:rsidP="005754AC">
    <w:pPr>
      <w:pStyle w:val="Header"/>
      <w:tabs>
        <w:tab w:val="clear" w:pos="4513"/>
        <w:tab w:val="clear" w:pos="9026"/>
        <w:tab w:val="left" w:pos="9632"/>
      </w:tabs>
      <w:snapToGrid w:val="0"/>
      <w:spacing w:after="120"/>
      <w:ind w:right="-7"/>
      <w:jc w:val="right"/>
      <w:rPr>
        <w:rFonts w:asciiTheme="minorHAnsi" w:hAnsiTheme="minorHAnsi" w:cstheme="minorHAnsi"/>
        <w:color w:val="7F7F7F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  <w:lang w:val="en-AU"/>
      </w:rPr>
      <w:t>D21/</w:t>
    </w:r>
    <w:r w:rsidR="005C34BA">
      <w:rPr>
        <w:rFonts w:asciiTheme="minorHAnsi" w:hAnsiTheme="minorHAnsi" w:cstheme="minorHAnsi"/>
        <w:color w:val="000000" w:themeColor="text1"/>
        <w:sz w:val="16"/>
        <w:szCs w:val="16"/>
        <w:lang w:val="en-AU"/>
      </w:rPr>
      <w:t>10103</w:t>
    </w:r>
  </w:p>
  <w:p w14:paraId="6EC85C05" w14:textId="77777777" w:rsidR="005754AC" w:rsidRPr="00E54A51" w:rsidRDefault="005754AC" w:rsidP="005754AC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6"/>
        <w:szCs w:val="16"/>
      </w:rPr>
    </w:pPr>
    <w:r w:rsidRPr="00E54A51">
      <w:rPr>
        <w:rFonts w:asciiTheme="minorHAnsi" w:hAnsiTheme="minorHAnsi" w:cstheme="minorHAnsi"/>
        <w:color w:val="7F7F7F"/>
        <w:sz w:val="16"/>
        <w:szCs w:val="16"/>
      </w:rPr>
      <w:tab/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 xml:space="preserve">ovic.vic.gov.au | </w:t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ab/>
      <w:t>enquiries@ovic.vic.gov.au | 1300 006 842</w:t>
    </w:r>
  </w:p>
  <w:p w14:paraId="177F24C1" w14:textId="77777777" w:rsidR="005754AC" w:rsidRPr="00B04B43" w:rsidRDefault="005754AC" w:rsidP="005754AC">
    <w:pPr>
      <w:pStyle w:val="Header"/>
      <w:tabs>
        <w:tab w:val="clear" w:pos="4513"/>
        <w:tab w:val="left" w:pos="5245"/>
      </w:tabs>
      <w:ind w:right="-6"/>
      <w:jc w:val="right"/>
      <w:rPr>
        <w:rFonts w:asciiTheme="minorHAnsi" w:hAnsiTheme="minorHAnsi" w:cstheme="minorHAnsi"/>
        <w:color w:val="7F7F7F"/>
        <w:sz w:val="18"/>
        <w:szCs w:val="18"/>
      </w:rPr>
    </w:pPr>
    <w:r w:rsidRPr="00856ED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AB02F74" wp14:editId="34195CEB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6192000" cy="46150"/>
          <wp:effectExtent l="0" t="0" r="0" b="5080"/>
          <wp:wrapNone/>
          <wp:docPr id="16" name="Picture 16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6361"/>
    <w:multiLevelType w:val="hybridMultilevel"/>
    <w:tmpl w:val="06183C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964450E"/>
    <w:multiLevelType w:val="hybridMultilevel"/>
    <w:tmpl w:val="EFDE9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2D42"/>
    <w:multiLevelType w:val="hybridMultilevel"/>
    <w:tmpl w:val="2D323130"/>
    <w:lvl w:ilvl="0" w:tplc="84CAA2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1593A"/>
    <w:multiLevelType w:val="hybridMultilevel"/>
    <w:tmpl w:val="BF7C9F6C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0C2"/>
    <w:multiLevelType w:val="hybridMultilevel"/>
    <w:tmpl w:val="160E8DF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D9276F2"/>
    <w:multiLevelType w:val="hybridMultilevel"/>
    <w:tmpl w:val="EE5611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30" w:hanging="450"/>
      </w:pPr>
      <w:rPr>
        <w:rFonts w:ascii="Courier New" w:hAnsi="Courier New" w:cs="Courier New" w:hint="default"/>
      </w:rPr>
    </w:lvl>
    <w:lvl w:ilvl="2" w:tplc="66D44DE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7A45"/>
    <w:multiLevelType w:val="hybridMultilevel"/>
    <w:tmpl w:val="A5B4674A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24FF"/>
    <w:multiLevelType w:val="hybridMultilevel"/>
    <w:tmpl w:val="5A9C6560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30" w:hanging="45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250" w:hanging="45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0CA6"/>
    <w:multiLevelType w:val="hybridMultilevel"/>
    <w:tmpl w:val="62085E20"/>
    <w:lvl w:ilvl="0" w:tplc="2F564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537D"/>
    <w:multiLevelType w:val="hybridMultilevel"/>
    <w:tmpl w:val="51CC69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C2AE6"/>
    <w:multiLevelType w:val="hybridMultilevel"/>
    <w:tmpl w:val="C3309B58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026"/>
    <w:multiLevelType w:val="hybridMultilevel"/>
    <w:tmpl w:val="45C27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D111B"/>
    <w:multiLevelType w:val="hybridMultilevel"/>
    <w:tmpl w:val="2BC22E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1D57"/>
    <w:multiLevelType w:val="hybridMultilevel"/>
    <w:tmpl w:val="9D4A9084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0981"/>
    <w:multiLevelType w:val="hybridMultilevel"/>
    <w:tmpl w:val="7534D242"/>
    <w:lvl w:ilvl="0" w:tplc="B1685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E9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82D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C195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2CCE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6D3E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EF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A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AC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F57DC2"/>
    <w:multiLevelType w:val="hybridMultilevel"/>
    <w:tmpl w:val="C128AB3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C225B79"/>
    <w:multiLevelType w:val="hybridMultilevel"/>
    <w:tmpl w:val="08C254B0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B3181"/>
    <w:multiLevelType w:val="hybridMultilevel"/>
    <w:tmpl w:val="7B225240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96D67"/>
    <w:multiLevelType w:val="hybridMultilevel"/>
    <w:tmpl w:val="BC826A0C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30" w:hanging="45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B2DBC"/>
    <w:multiLevelType w:val="hybridMultilevel"/>
    <w:tmpl w:val="6CDEF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7B9C"/>
    <w:multiLevelType w:val="hybridMultilevel"/>
    <w:tmpl w:val="EBA4AE06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30" w:hanging="45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C0484"/>
    <w:multiLevelType w:val="hybridMultilevel"/>
    <w:tmpl w:val="FD066DA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77A4F"/>
    <w:multiLevelType w:val="hybridMultilevel"/>
    <w:tmpl w:val="4BFC6E36"/>
    <w:lvl w:ilvl="0" w:tplc="78003C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157D0"/>
    <w:multiLevelType w:val="hybridMultilevel"/>
    <w:tmpl w:val="15D043E2"/>
    <w:lvl w:ilvl="0" w:tplc="84CAA2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84CAA23A">
      <w:start w:val="1"/>
      <w:numFmt w:val="lowerLetter"/>
      <w:lvlText w:val="(%2)"/>
      <w:lvlJc w:val="left"/>
      <w:pPr>
        <w:ind w:left="2250" w:hanging="450"/>
      </w:pPr>
      <w:rPr>
        <w:rFonts w:hint="default"/>
      </w:rPr>
    </w:lvl>
    <w:lvl w:ilvl="2" w:tplc="66D44DE0">
      <w:start w:val="1"/>
      <w:numFmt w:val="lowerLetter"/>
      <w:lvlText w:val="(%3)"/>
      <w:lvlJc w:val="left"/>
      <w:pPr>
        <w:ind w:left="306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3B3704"/>
    <w:multiLevelType w:val="hybridMultilevel"/>
    <w:tmpl w:val="0FFA6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F795A"/>
    <w:multiLevelType w:val="hybridMultilevel"/>
    <w:tmpl w:val="D1262B30"/>
    <w:lvl w:ilvl="0" w:tplc="9BF47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20877">
    <w:abstractNumId w:val="12"/>
  </w:num>
  <w:num w:numId="2" w16cid:durableId="1487042366">
    <w:abstractNumId w:val="6"/>
  </w:num>
  <w:num w:numId="3" w16cid:durableId="1403406564">
    <w:abstractNumId w:val="26"/>
  </w:num>
  <w:num w:numId="4" w16cid:durableId="1041395977">
    <w:abstractNumId w:val="13"/>
  </w:num>
  <w:num w:numId="5" w16cid:durableId="2086755398">
    <w:abstractNumId w:val="2"/>
  </w:num>
  <w:num w:numId="6" w16cid:durableId="1624117164">
    <w:abstractNumId w:val="22"/>
  </w:num>
  <w:num w:numId="7" w16cid:durableId="1511873242">
    <w:abstractNumId w:val="19"/>
  </w:num>
  <w:num w:numId="8" w16cid:durableId="31855981">
    <w:abstractNumId w:val="3"/>
  </w:num>
  <w:num w:numId="9" w16cid:durableId="1754661121">
    <w:abstractNumId w:val="21"/>
  </w:num>
  <w:num w:numId="10" w16cid:durableId="1430200671">
    <w:abstractNumId w:val="23"/>
  </w:num>
  <w:num w:numId="11" w16cid:durableId="1867132455">
    <w:abstractNumId w:val="7"/>
  </w:num>
  <w:num w:numId="12" w16cid:durableId="1554579588">
    <w:abstractNumId w:val="9"/>
  </w:num>
  <w:num w:numId="13" w16cid:durableId="381445027">
    <w:abstractNumId w:val="10"/>
  </w:num>
  <w:num w:numId="14" w16cid:durableId="1811095015">
    <w:abstractNumId w:val="5"/>
  </w:num>
  <w:num w:numId="15" w16cid:durableId="190919045">
    <w:abstractNumId w:val="18"/>
  </w:num>
  <w:num w:numId="16" w16cid:durableId="204215875">
    <w:abstractNumId w:val="17"/>
  </w:num>
  <w:num w:numId="17" w16cid:durableId="1141507954">
    <w:abstractNumId w:val="14"/>
  </w:num>
  <w:num w:numId="18" w16cid:durableId="1434741826">
    <w:abstractNumId w:val="24"/>
  </w:num>
  <w:num w:numId="19" w16cid:durableId="1912038920">
    <w:abstractNumId w:val="11"/>
  </w:num>
  <w:num w:numId="20" w16cid:durableId="1306817844">
    <w:abstractNumId w:val="25"/>
  </w:num>
  <w:num w:numId="21" w16cid:durableId="1188907356">
    <w:abstractNumId w:val="20"/>
  </w:num>
  <w:num w:numId="22" w16cid:durableId="1090547629">
    <w:abstractNumId w:val="15"/>
  </w:num>
  <w:num w:numId="23" w16cid:durableId="132254210">
    <w:abstractNumId w:val="1"/>
  </w:num>
  <w:num w:numId="24" w16cid:durableId="76370662">
    <w:abstractNumId w:val="8"/>
  </w:num>
  <w:num w:numId="25" w16cid:durableId="761141870">
    <w:abstractNumId w:val="4"/>
  </w:num>
  <w:num w:numId="26" w16cid:durableId="568003553">
    <w:abstractNumId w:val="16"/>
  </w:num>
  <w:num w:numId="27" w16cid:durableId="126264401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42"/>
    <w:rsid w:val="00001D44"/>
    <w:rsid w:val="000028B9"/>
    <w:rsid w:val="00006343"/>
    <w:rsid w:val="00010804"/>
    <w:rsid w:val="00012467"/>
    <w:rsid w:val="00044728"/>
    <w:rsid w:val="00064688"/>
    <w:rsid w:val="00077961"/>
    <w:rsid w:val="00085862"/>
    <w:rsid w:val="00091CB4"/>
    <w:rsid w:val="000C0729"/>
    <w:rsid w:val="000C09CC"/>
    <w:rsid w:val="000E4EA8"/>
    <w:rsid w:val="000E6D30"/>
    <w:rsid w:val="000E7FAE"/>
    <w:rsid w:val="000F3A12"/>
    <w:rsid w:val="001016E9"/>
    <w:rsid w:val="001102B7"/>
    <w:rsid w:val="001120D9"/>
    <w:rsid w:val="00112666"/>
    <w:rsid w:val="001159CB"/>
    <w:rsid w:val="0012374C"/>
    <w:rsid w:val="00136271"/>
    <w:rsid w:val="00145431"/>
    <w:rsid w:val="00146F50"/>
    <w:rsid w:val="00160A4D"/>
    <w:rsid w:val="00164A42"/>
    <w:rsid w:val="001716C9"/>
    <w:rsid w:val="00173002"/>
    <w:rsid w:val="00173F40"/>
    <w:rsid w:val="00174517"/>
    <w:rsid w:val="0017786A"/>
    <w:rsid w:val="0019036B"/>
    <w:rsid w:val="001908C0"/>
    <w:rsid w:val="00191EB3"/>
    <w:rsid w:val="001967FD"/>
    <w:rsid w:val="001B01A6"/>
    <w:rsid w:val="001B6186"/>
    <w:rsid w:val="001C063B"/>
    <w:rsid w:val="001C3955"/>
    <w:rsid w:val="001C6E4B"/>
    <w:rsid w:val="001E1E6A"/>
    <w:rsid w:val="001E556E"/>
    <w:rsid w:val="001E6584"/>
    <w:rsid w:val="001F7367"/>
    <w:rsid w:val="00211455"/>
    <w:rsid w:val="002178E8"/>
    <w:rsid w:val="002204F8"/>
    <w:rsid w:val="002330E8"/>
    <w:rsid w:val="002357F8"/>
    <w:rsid w:val="0024071F"/>
    <w:rsid w:val="00243D89"/>
    <w:rsid w:val="0025217E"/>
    <w:rsid w:val="00252833"/>
    <w:rsid w:val="002533E2"/>
    <w:rsid w:val="00261684"/>
    <w:rsid w:val="00266BAA"/>
    <w:rsid w:val="00267E93"/>
    <w:rsid w:val="0027191B"/>
    <w:rsid w:val="002754A6"/>
    <w:rsid w:val="002822DE"/>
    <w:rsid w:val="00293DDA"/>
    <w:rsid w:val="002A33DE"/>
    <w:rsid w:val="002A48A0"/>
    <w:rsid w:val="002B56AD"/>
    <w:rsid w:val="002B614D"/>
    <w:rsid w:val="002D4CD2"/>
    <w:rsid w:val="002D66DA"/>
    <w:rsid w:val="002E2299"/>
    <w:rsid w:val="002E6D76"/>
    <w:rsid w:val="003020DA"/>
    <w:rsid w:val="00304277"/>
    <w:rsid w:val="00305D40"/>
    <w:rsid w:val="00314942"/>
    <w:rsid w:val="00320B70"/>
    <w:rsid w:val="00322784"/>
    <w:rsid w:val="00326E58"/>
    <w:rsid w:val="00330030"/>
    <w:rsid w:val="00343348"/>
    <w:rsid w:val="0034513D"/>
    <w:rsid w:val="0034520D"/>
    <w:rsid w:val="00345731"/>
    <w:rsid w:val="003478D2"/>
    <w:rsid w:val="0035211D"/>
    <w:rsid w:val="00370F3D"/>
    <w:rsid w:val="00372C3E"/>
    <w:rsid w:val="00374F52"/>
    <w:rsid w:val="003845EA"/>
    <w:rsid w:val="00384F15"/>
    <w:rsid w:val="003A0F3A"/>
    <w:rsid w:val="003A1459"/>
    <w:rsid w:val="003A6BF6"/>
    <w:rsid w:val="003A7085"/>
    <w:rsid w:val="003C6D10"/>
    <w:rsid w:val="003D14A1"/>
    <w:rsid w:val="00400498"/>
    <w:rsid w:val="004036AE"/>
    <w:rsid w:val="00406248"/>
    <w:rsid w:val="0042088B"/>
    <w:rsid w:val="00421AD9"/>
    <w:rsid w:val="00424309"/>
    <w:rsid w:val="004257D4"/>
    <w:rsid w:val="004262DA"/>
    <w:rsid w:val="0043156F"/>
    <w:rsid w:val="00436C00"/>
    <w:rsid w:val="00453B44"/>
    <w:rsid w:val="00462D96"/>
    <w:rsid w:val="004634A1"/>
    <w:rsid w:val="00465B05"/>
    <w:rsid w:val="00470E39"/>
    <w:rsid w:val="0047248D"/>
    <w:rsid w:val="004762B8"/>
    <w:rsid w:val="00476315"/>
    <w:rsid w:val="00482C50"/>
    <w:rsid w:val="004A33DA"/>
    <w:rsid w:val="004C3F12"/>
    <w:rsid w:val="004C5A61"/>
    <w:rsid w:val="004D1C82"/>
    <w:rsid w:val="004D2715"/>
    <w:rsid w:val="004D4448"/>
    <w:rsid w:val="004D5D85"/>
    <w:rsid w:val="004E1AE4"/>
    <w:rsid w:val="004F33CD"/>
    <w:rsid w:val="00502CD1"/>
    <w:rsid w:val="00513B23"/>
    <w:rsid w:val="005178FE"/>
    <w:rsid w:val="00521A4C"/>
    <w:rsid w:val="005228CF"/>
    <w:rsid w:val="00525ABD"/>
    <w:rsid w:val="005270B6"/>
    <w:rsid w:val="00532D82"/>
    <w:rsid w:val="00533CAC"/>
    <w:rsid w:val="00542947"/>
    <w:rsid w:val="005541F6"/>
    <w:rsid w:val="00555602"/>
    <w:rsid w:val="005754AC"/>
    <w:rsid w:val="00580202"/>
    <w:rsid w:val="00581FB4"/>
    <w:rsid w:val="00584CB0"/>
    <w:rsid w:val="00584DFF"/>
    <w:rsid w:val="005870C5"/>
    <w:rsid w:val="005A0AFB"/>
    <w:rsid w:val="005A49D0"/>
    <w:rsid w:val="005B1D42"/>
    <w:rsid w:val="005B563F"/>
    <w:rsid w:val="005B5793"/>
    <w:rsid w:val="005C297B"/>
    <w:rsid w:val="005C34BA"/>
    <w:rsid w:val="005D01F3"/>
    <w:rsid w:val="005D3E8A"/>
    <w:rsid w:val="005E5145"/>
    <w:rsid w:val="005F2EEC"/>
    <w:rsid w:val="006120B5"/>
    <w:rsid w:val="00620FD8"/>
    <w:rsid w:val="00635E9F"/>
    <w:rsid w:val="00652D6F"/>
    <w:rsid w:val="00652DD1"/>
    <w:rsid w:val="00662FFB"/>
    <w:rsid w:val="006713D1"/>
    <w:rsid w:val="00674485"/>
    <w:rsid w:val="00683C6B"/>
    <w:rsid w:val="006862E2"/>
    <w:rsid w:val="006876B7"/>
    <w:rsid w:val="00696564"/>
    <w:rsid w:val="006A4949"/>
    <w:rsid w:val="006B1C0F"/>
    <w:rsid w:val="006B3715"/>
    <w:rsid w:val="006B4B71"/>
    <w:rsid w:val="006D0D9F"/>
    <w:rsid w:val="007140E5"/>
    <w:rsid w:val="00715993"/>
    <w:rsid w:val="00716E84"/>
    <w:rsid w:val="00717657"/>
    <w:rsid w:val="00723ACA"/>
    <w:rsid w:val="00726FA9"/>
    <w:rsid w:val="00750822"/>
    <w:rsid w:val="00756BEA"/>
    <w:rsid w:val="00760DDC"/>
    <w:rsid w:val="00765158"/>
    <w:rsid w:val="007701B6"/>
    <w:rsid w:val="00776737"/>
    <w:rsid w:val="00780584"/>
    <w:rsid w:val="007862E0"/>
    <w:rsid w:val="00786837"/>
    <w:rsid w:val="007869F6"/>
    <w:rsid w:val="007964E0"/>
    <w:rsid w:val="00796E22"/>
    <w:rsid w:val="007973AB"/>
    <w:rsid w:val="007A6964"/>
    <w:rsid w:val="007B1723"/>
    <w:rsid w:val="007B26E4"/>
    <w:rsid w:val="007C01A0"/>
    <w:rsid w:val="007C3E32"/>
    <w:rsid w:val="007F0C9E"/>
    <w:rsid w:val="007F7E8F"/>
    <w:rsid w:val="008046F8"/>
    <w:rsid w:val="00806B62"/>
    <w:rsid w:val="00834813"/>
    <w:rsid w:val="008443E6"/>
    <w:rsid w:val="00854716"/>
    <w:rsid w:val="00856CF9"/>
    <w:rsid w:val="00856EDC"/>
    <w:rsid w:val="00863040"/>
    <w:rsid w:val="00863D84"/>
    <w:rsid w:val="0086734F"/>
    <w:rsid w:val="00871FC7"/>
    <w:rsid w:val="008721FC"/>
    <w:rsid w:val="00872437"/>
    <w:rsid w:val="0088604A"/>
    <w:rsid w:val="008A0ECE"/>
    <w:rsid w:val="008B4992"/>
    <w:rsid w:val="008B7923"/>
    <w:rsid w:val="008C301D"/>
    <w:rsid w:val="008D6597"/>
    <w:rsid w:val="008F0E5B"/>
    <w:rsid w:val="008F106C"/>
    <w:rsid w:val="008F5A26"/>
    <w:rsid w:val="00907F4B"/>
    <w:rsid w:val="009154A7"/>
    <w:rsid w:val="0092276F"/>
    <w:rsid w:val="00922C7A"/>
    <w:rsid w:val="009325B4"/>
    <w:rsid w:val="00934E19"/>
    <w:rsid w:val="00940F43"/>
    <w:rsid w:val="00995CE8"/>
    <w:rsid w:val="009969D2"/>
    <w:rsid w:val="009B44CB"/>
    <w:rsid w:val="009B66B9"/>
    <w:rsid w:val="009C15B1"/>
    <w:rsid w:val="009C5DC5"/>
    <w:rsid w:val="00A058C9"/>
    <w:rsid w:val="00A12005"/>
    <w:rsid w:val="00A20C9E"/>
    <w:rsid w:val="00A26740"/>
    <w:rsid w:val="00A31747"/>
    <w:rsid w:val="00A33D6F"/>
    <w:rsid w:val="00A37BE1"/>
    <w:rsid w:val="00A42157"/>
    <w:rsid w:val="00A52A0D"/>
    <w:rsid w:val="00A6163E"/>
    <w:rsid w:val="00A70AFA"/>
    <w:rsid w:val="00A730FB"/>
    <w:rsid w:val="00A92625"/>
    <w:rsid w:val="00AC0B24"/>
    <w:rsid w:val="00AC35A9"/>
    <w:rsid w:val="00AC7D91"/>
    <w:rsid w:val="00AD0681"/>
    <w:rsid w:val="00AD12AB"/>
    <w:rsid w:val="00AD47A3"/>
    <w:rsid w:val="00AD7160"/>
    <w:rsid w:val="00AE13A1"/>
    <w:rsid w:val="00AE1B9C"/>
    <w:rsid w:val="00B04B43"/>
    <w:rsid w:val="00B10C83"/>
    <w:rsid w:val="00B177DA"/>
    <w:rsid w:val="00B22B85"/>
    <w:rsid w:val="00B2499E"/>
    <w:rsid w:val="00B316BE"/>
    <w:rsid w:val="00B32753"/>
    <w:rsid w:val="00B339BB"/>
    <w:rsid w:val="00B37C5F"/>
    <w:rsid w:val="00B53C78"/>
    <w:rsid w:val="00B56391"/>
    <w:rsid w:val="00B61929"/>
    <w:rsid w:val="00B625CE"/>
    <w:rsid w:val="00B67992"/>
    <w:rsid w:val="00B902CD"/>
    <w:rsid w:val="00B9736F"/>
    <w:rsid w:val="00BA770C"/>
    <w:rsid w:val="00BC1972"/>
    <w:rsid w:val="00BC6550"/>
    <w:rsid w:val="00BD00CC"/>
    <w:rsid w:val="00BD07DC"/>
    <w:rsid w:val="00BD2C4E"/>
    <w:rsid w:val="00BD2F95"/>
    <w:rsid w:val="00BD4E38"/>
    <w:rsid w:val="00BD5AE9"/>
    <w:rsid w:val="00BE3022"/>
    <w:rsid w:val="00BF4413"/>
    <w:rsid w:val="00C2422E"/>
    <w:rsid w:val="00C40D45"/>
    <w:rsid w:val="00C42986"/>
    <w:rsid w:val="00C473B0"/>
    <w:rsid w:val="00C53535"/>
    <w:rsid w:val="00C60C58"/>
    <w:rsid w:val="00C62A45"/>
    <w:rsid w:val="00C9198C"/>
    <w:rsid w:val="00C922DD"/>
    <w:rsid w:val="00CA0E83"/>
    <w:rsid w:val="00CA462B"/>
    <w:rsid w:val="00CB2E3A"/>
    <w:rsid w:val="00CB4387"/>
    <w:rsid w:val="00CC0044"/>
    <w:rsid w:val="00CD17C9"/>
    <w:rsid w:val="00CD6BDB"/>
    <w:rsid w:val="00CE7458"/>
    <w:rsid w:val="00CF4062"/>
    <w:rsid w:val="00D02655"/>
    <w:rsid w:val="00D0311E"/>
    <w:rsid w:val="00D214C2"/>
    <w:rsid w:val="00D267EC"/>
    <w:rsid w:val="00D26F4C"/>
    <w:rsid w:val="00D3108A"/>
    <w:rsid w:val="00D32D00"/>
    <w:rsid w:val="00D342F0"/>
    <w:rsid w:val="00D723C1"/>
    <w:rsid w:val="00D77B3C"/>
    <w:rsid w:val="00D858B3"/>
    <w:rsid w:val="00D87C51"/>
    <w:rsid w:val="00DA234D"/>
    <w:rsid w:val="00DA2CDF"/>
    <w:rsid w:val="00DB13A1"/>
    <w:rsid w:val="00DB2C78"/>
    <w:rsid w:val="00DB55DB"/>
    <w:rsid w:val="00DD0EA8"/>
    <w:rsid w:val="00DD3F0E"/>
    <w:rsid w:val="00DE73F6"/>
    <w:rsid w:val="00DF0C44"/>
    <w:rsid w:val="00E116FC"/>
    <w:rsid w:val="00E40ACD"/>
    <w:rsid w:val="00E45B00"/>
    <w:rsid w:val="00E45FD3"/>
    <w:rsid w:val="00E54A51"/>
    <w:rsid w:val="00E55C61"/>
    <w:rsid w:val="00E606BA"/>
    <w:rsid w:val="00E66BA5"/>
    <w:rsid w:val="00E6777E"/>
    <w:rsid w:val="00E80E70"/>
    <w:rsid w:val="00E80E9E"/>
    <w:rsid w:val="00E86019"/>
    <w:rsid w:val="00E87F33"/>
    <w:rsid w:val="00EA0EF8"/>
    <w:rsid w:val="00EA1B53"/>
    <w:rsid w:val="00EB03B3"/>
    <w:rsid w:val="00EB4F11"/>
    <w:rsid w:val="00EC3AC6"/>
    <w:rsid w:val="00EF06C1"/>
    <w:rsid w:val="00EF4108"/>
    <w:rsid w:val="00EF553E"/>
    <w:rsid w:val="00EF65B2"/>
    <w:rsid w:val="00EF7213"/>
    <w:rsid w:val="00F0004F"/>
    <w:rsid w:val="00F0440B"/>
    <w:rsid w:val="00F12A32"/>
    <w:rsid w:val="00F17578"/>
    <w:rsid w:val="00F217D4"/>
    <w:rsid w:val="00F2319F"/>
    <w:rsid w:val="00F32A22"/>
    <w:rsid w:val="00F3674C"/>
    <w:rsid w:val="00F36C34"/>
    <w:rsid w:val="00F37BFA"/>
    <w:rsid w:val="00F402B9"/>
    <w:rsid w:val="00F5377F"/>
    <w:rsid w:val="00F83814"/>
    <w:rsid w:val="00F87792"/>
    <w:rsid w:val="00F9041C"/>
    <w:rsid w:val="00F918A9"/>
    <w:rsid w:val="00F923FB"/>
    <w:rsid w:val="00FA1F8E"/>
    <w:rsid w:val="00FA4CEE"/>
    <w:rsid w:val="00FB0370"/>
    <w:rsid w:val="00FB27AC"/>
    <w:rsid w:val="00FB41B9"/>
    <w:rsid w:val="00FC6B54"/>
    <w:rsid w:val="00FC73AB"/>
    <w:rsid w:val="00FE363B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24B7C"/>
  <w14:defaultImageDpi w14:val="32767"/>
  <w15:docId w15:val="{D0737F9A-1F2F-A64B-99D2-062E5A9E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DD0EA8"/>
    <w:pPr>
      <w:suppressAutoHyphens/>
      <w:spacing w:before="120" w:after="240" w:line="276" w:lineRule="auto"/>
    </w:pPr>
    <w:rPr>
      <w:rFonts w:ascii="Calibri" w:hAnsi="Calibri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2822DE"/>
    <w:pPr>
      <w:suppressAutoHyphens/>
      <w:spacing w:before="120" w:after="240" w:line="264" w:lineRule="auto"/>
    </w:pPr>
    <w:rPr>
      <w:rFonts w:ascii="Calibri" w:hAnsi="Calibri" w:cs="PostGrotesk-Medium"/>
      <w:b/>
      <w:color w:val="430098"/>
      <w:sz w:val="28"/>
      <w:szCs w:val="26"/>
      <w:lang w:val="en-AU"/>
    </w:rPr>
  </w:style>
  <w:style w:type="paragraph" w:customStyle="1" w:styleId="Heading-2">
    <w:name w:val="Heading-2"/>
    <w:basedOn w:val="BasicParagraph"/>
    <w:qFormat/>
    <w:rsid w:val="00756BEA"/>
    <w:pPr>
      <w:suppressAutoHyphens/>
      <w:spacing w:after="200" w:line="264" w:lineRule="auto"/>
    </w:pPr>
    <w:rPr>
      <w:rFonts w:ascii="Calibri" w:hAnsi="Calibri" w:cs="PostGrotesk-Medium"/>
      <w:b/>
      <w:i/>
      <w:iCs/>
      <w:color w:val="430098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1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136271"/>
    <w:pPr>
      <w:tabs>
        <w:tab w:val="clear" w:pos="9026"/>
        <w:tab w:val="left" w:pos="6946"/>
      </w:tabs>
      <w:spacing w:before="120" w:after="240"/>
    </w:pPr>
    <w:rPr>
      <w:rFonts w:asciiTheme="minorHAnsi" w:hAnsiTheme="minorHAnsi" w:cs="Arial"/>
      <w:b/>
      <w:color w:val="430098"/>
      <w:sz w:val="32"/>
      <w:szCs w:val="44"/>
      <w:lang w:val="en-AU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customStyle="1" w:styleId="Casestudy">
    <w:name w:val="Case study"/>
    <w:basedOn w:val="Introduction"/>
    <w:qFormat/>
    <w:rsid w:val="005B1D42"/>
    <w:pPr>
      <w:widowControl w:val="0"/>
      <w:pBdr>
        <w:left w:val="single" w:sz="4" w:space="4" w:color="auto"/>
      </w:pBdr>
      <w:shd w:val="clear" w:color="auto" w:fill="F5F5F5"/>
      <w:autoSpaceDE w:val="0"/>
      <w:autoSpaceDN w:val="0"/>
      <w:adjustRightInd w:val="0"/>
      <w:spacing w:before="120" w:after="200" w:line="276" w:lineRule="auto"/>
      <w:ind w:left="714" w:right="714"/>
      <w:textAlignment w:val="center"/>
    </w:pPr>
    <w:rPr>
      <w:rFonts w:cs="National-Book"/>
      <w:color w:val="000000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A51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4A51"/>
    <w:rPr>
      <w:vertAlign w:val="superscript"/>
    </w:rPr>
  </w:style>
  <w:style w:type="paragraph" w:customStyle="1" w:styleId="Endnote">
    <w:name w:val="Endnote"/>
    <w:basedOn w:val="EndnoteText"/>
    <w:qFormat/>
    <w:rsid w:val="00DD0EA8"/>
    <w:rPr>
      <w:color w:val="000000" w:themeColor="text1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5B1D42"/>
    <w:rPr>
      <w:color w:val="43009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before="120" w:after="2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after="100"/>
      <w:ind w:left="240"/>
    </w:pPr>
    <w:rPr>
      <w:i/>
      <w:iCs/>
      <w:noProof/>
    </w:rPr>
  </w:style>
  <w:style w:type="paragraph" w:customStyle="1" w:styleId="Heading-3">
    <w:name w:val="Heading-3"/>
    <w:basedOn w:val="Body"/>
    <w:qFormat/>
    <w:rsid w:val="00533CAC"/>
    <w:rPr>
      <w:b/>
      <w:bCs/>
    </w:rPr>
  </w:style>
  <w:style w:type="table" w:styleId="TableGrid">
    <w:name w:val="Table Grid"/>
    <w:basedOn w:val="TableNormal"/>
    <w:uiPriority w:val="39"/>
    <w:rsid w:val="005C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5C297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ListParagraph">
    <w:name w:val="List Paragraph"/>
    <w:basedOn w:val="Normal"/>
    <w:uiPriority w:val="72"/>
    <w:rsid w:val="00525A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1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3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2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34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74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3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71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58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93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67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team@ovic.vic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vic.vic.gov.au/privacy/modifying-the-application-of-the-information-privacy-principles/information-usage-arrangemen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ic.vic.gov.au/privacy/modifying-the-application-of-the-information-privacy-principles/temporary-public-interest-determin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vic.vic.gov.au/privacy/modifying-the-application-of-the-information-privacy-principles/public-interest-determin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01.cpdp.vic.gov.au\FolderRedirection$\jbrackin\Documents\Offline%20Records%20(OV)\Resource%20-%20Flexibility%20~%20xx%202022(2)\OVIC&#8217;s%20guidance%20on%20certification%20for%20more%20inform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76B-DC39-0C48-A81E-050358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Brackin</dc:creator>
  <cp:lastModifiedBy>Jessica Brackin</cp:lastModifiedBy>
  <cp:revision>3</cp:revision>
  <cp:lastPrinted>2022-10-05T00:25:00Z</cp:lastPrinted>
  <dcterms:created xsi:type="dcterms:W3CDTF">2022-10-05T00:22:00Z</dcterms:created>
  <dcterms:modified xsi:type="dcterms:W3CDTF">2022-10-05T00:25:00Z</dcterms:modified>
</cp:coreProperties>
</file>