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2572" w14:textId="77777777" w:rsidR="0034513D" w:rsidRPr="00E17A95" w:rsidRDefault="007B5426" w:rsidP="00E17A95">
      <w:pPr>
        <w:pStyle w:val="MainTitle"/>
        <w:rPr>
          <w:lang w:val="en-AU"/>
        </w:rPr>
      </w:pPr>
      <w:r w:rsidRPr="00E17A95">
        <w:rPr>
          <w:lang w:val="en-AU"/>
        </w:rPr>
        <w:t>Proactive release of information</w:t>
      </w:r>
    </w:p>
    <w:p w14:paraId="32D487E5" w14:textId="08513D5C" w:rsidR="001A0C3B" w:rsidRPr="00E17A95" w:rsidRDefault="0034513D" w:rsidP="0034513D">
      <w:pPr>
        <w:pStyle w:val="Body"/>
        <w:rPr>
          <w:lang w:val="en-AU"/>
        </w:rPr>
      </w:pPr>
      <w:r w:rsidRPr="00E17A95">
        <w:rPr>
          <w:lang w:val="en-AU"/>
        </w:rPr>
        <w:t xml:space="preserve">This practice note </w:t>
      </w:r>
      <w:r w:rsidR="00BD6595" w:rsidRPr="00E17A95">
        <w:rPr>
          <w:lang w:val="en-AU"/>
        </w:rPr>
        <w:t xml:space="preserve">provides an overview of the </w:t>
      </w:r>
      <w:r w:rsidR="000C3CE2" w:rsidRPr="00E17A95">
        <w:rPr>
          <w:lang w:val="en-AU"/>
        </w:rPr>
        <w:t>proactive release of government informatio</w:t>
      </w:r>
      <w:r w:rsidR="00E9304A" w:rsidRPr="00E17A95">
        <w:rPr>
          <w:lang w:val="en-AU"/>
        </w:rPr>
        <w:t>n</w:t>
      </w:r>
      <w:r w:rsidR="000C3CE2" w:rsidRPr="00E17A95">
        <w:rPr>
          <w:lang w:val="en-AU"/>
        </w:rPr>
        <w:t xml:space="preserve">. </w:t>
      </w:r>
      <w:r w:rsidRPr="00E17A95">
        <w:rPr>
          <w:lang w:val="en-AU"/>
        </w:rPr>
        <w:t xml:space="preserve">All legislative references are to the </w:t>
      </w:r>
      <w:r w:rsidRPr="00E17A95">
        <w:rPr>
          <w:i/>
          <w:iCs/>
          <w:lang w:val="en-AU"/>
        </w:rPr>
        <w:t xml:space="preserve">Freedom of Information Act 1982 </w:t>
      </w:r>
      <w:r w:rsidRPr="00E17A95">
        <w:rPr>
          <w:lang w:val="en-AU"/>
        </w:rPr>
        <w:t>(Vic) (</w:t>
      </w:r>
      <w:r w:rsidRPr="00E17A95">
        <w:rPr>
          <w:b/>
          <w:bCs/>
          <w:lang w:val="en-AU"/>
        </w:rPr>
        <w:t>the Act</w:t>
      </w:r>
      <w:r w:rsidRPr="00E17A95">
        <w:rPr>
          <w:lang w:val="en-AU"/>
        </w:rPr>
        <w:t>) unless otherwise stated.</w:t>
      </w:r>
      <w:r w:rsidR="001A0C3B" w:rsidRPr="00E17A95">
        <w:rPr>
          <w:lang w:val="en-AU"/>
        </w:rPr>
        <w:t xml:space="preserve"> </w:t>
      </w:r>
    </w:p>
    <w:p w14:paraId="4DFE6914" w14:textId="77777777" w:rsidR="0034513D" w:rsidRPr="00C72B7C" w:rsidRDefault="000C3CE2" w:rsidP="006D7D25">
      <w:pPr>
        <w:pStyle w:val="Heading-1"/>
      </w:pPr>
      <w:r w:rsidRPr="00C72B7C">
        <w:t>What is proactive release?</w:t>
      </w:r>
    </w:p>
    <w:p w14:paraId="3D0D413D" w14:textId="00C23DE4" w:rsidR="00A45BA3" w:rsidRPr="00E17A95" w:rsidRDefault="000C3CE2" w:rsidP="00E058B3">
      <w:pPr>
        <w:pStyle w:val="Body"/>
        <w:rPr>
          <w:lang w:val="en-AU"/>
        </w:rPr>
      </w:pPr>
      <w:r w:rsidRPr="00E17A95">
        <w:rPr>
          <w:lang w:val="en-AU"/>
        </w:rPr>
        <w:t xml:space="preserve">Proactive release involves an agency making information </w:t>
      </w:r>
      <w:r w:rsidR="000578D1" w:rsidRPr="00E17A95">
        <w:rPr>
          <w:lang w:val="en-AU"/>
        </w:rPr>
        <w:t xml:space="preserve">or documents </w:t>
      </w:r>
      <w:r w:rsidRPr="00E17A95">
        <w:rPr>
          <w:lang w:val="en-AU"/>
        </w:rPr>
        <w:t>it holds or collects</w:t>
      </w:r>
      <w:r w:rsidR="00122D94" w:rsidRPr="00E17A95">
        <w:rPr>
          <w:lang w:val="en-AU"/>
        </w:rPr>
        <w:t xml:space="preserve"> publicly</w:t>
      </w:r>
      <w:r w:rsidRPr="00E17A95">
        <w:rPr>
          <w:lang w:val="en-AU"/>
        </w:rPr>
        <w:t xml:space="preserve"> available</w:t>
      </w:r>
      <w:r w:rsidR="00A309D1" w:rsidRPr="00E17A95">
        <w:rPr>
          <w:lang w:val="en-AU"/>
        </w:rPr>
        <w:t>, on its own accord</w:t>
      </w:r>
      <w:r w:rsidR="0066547B" w:rsidRPr="00E17A95">
        <w:rPr>
          <w:lang w:val="en-AU"/>
        </w:rPr>
        <w:t xml:space="preserve"> without </w:t>
      </w:r>
      <w:r w:rsidR="0013697F" w:rsidRPr="00E17A95">
        <w:rPr>
          <w:lang w:val="en-AU"/>
        </w:rPr>
        <w:t xml:space="preserve">someone making </w:t>
      </w:r>
      <w:r w:rsidR="0066547B" w:rsidRPr="00E17A95">
        <w:rPr>
          <w:lang w:val="en-AU"/>
        </w:rPr>
        <w:t>a</w:t>
      </w:r>
      <w:r w:rsidR="000578D1" w:rsidRPr="00E17A95">
        <w:rPr>
          <w:lang w:val="en-AU"/>
        </w:rPr>
        <w:t xml:space="preserve">n information access </w:t>
      </w:r>
      <w:r w:rsidR="0066547B" w:rsidRPr="00E17A95">
        <w:rPr>
          <w:lang w:val="en-AU"/>
        </w:rPr>
        <w:t>request</w:t>
      </w:r>
      <w:r w:rsidRPr="00E17A95">
        <w:rPr>
          <w:lang w:val="en-AU"/>
        </w:rPr>
        <w:t xml:space="preserve">. </w:t>
      </w:r>
    </w:p>
    <w:p w14:paraId="74E280A4" w14:textId="1349B665" w:rsidR="00A45BA3" w:rsidRPr="00E17A95" w:rsidRDefault="00A45BA3" w:rsidP="00E058B3">
      <w:pPr>
        <w:pStyle w:val="Body"/>
        <w:rPr>
          <w:lang w:val="en-AU"/>
        </w:rPr>
      </w:pPr>
      <w:r w:rsidRPr="00E17A95">
        <w:rPr>
          <w:lang w:val="en-AU"/>
        </w:rPr>
        <w:t xml:space="preserve">Proactive release complements and is consistent with </w:t>
      </w:r>
      <w:r w:rsidR="00CB532D">
        <w:rPr>
          <w:lang w:val="en-AU"/>
        </w:rPr>
        <w:t xml:space="preserve">an </w:t>
      </w:r>
      <w:r w:rsidRPr="00E17A95">
        <w:rPr>
          <w:lang w:val="en-AU"/>
        </w:rPr>
        <w:t>agenc</w:t>
      </w:r>
      <w:r w:rsidR="00CB532D">
        <w:rPr>
          <w:lang w:val="en-AU"/>
        </w:rPr>
        <w:t>y</w:t>
      </w:r>
      <w:r w:rsidRPr="00E17A95">
        <w:rPr>
          <w:lang w:val="en-AU"/>
        </w:rPr>
        <w:t>’</w:t>
      </w:r>
      <w:r w:rsidR="00CB532D">
        <w:rPr>
          <w:lang w:val="en-AU"/>
        </w:rPr>
        <w:t>s</w:t>
      </w:r>
      <w:r w:rsidRPr="00E17A95">
        <w:rPr>
          <w:lang w:val="en-AU"/>
        </w:rPr>
        <w:t xml:space="preserve"> obligations under the Act to make the maximum amount of government information available to the public promptly and inexpensively.</w:t>
      </w:r>
    </w:p>
    <w:p w14:paraId="3411F7A9" w14:textId="15BCD23C" w:rsidR="00D77B3C" w:rsidRPr="00E17A95" w:rsidRDefault="0068064E" w:rsidP="00E058B3">
      <w:pPr>
        <w:pStyle w:val="Body"/>
        <w:rPr>
          <w:lang w:val="en-AU"/>
        </w:rPr>
      </w:pPr>
      <w:r>
        <w:rPr>
          <w:lang w:val="en-AU"/>
        </w:rPr>
        <w:t>Every agency</w:t>
      </w:r>
      <w:r w:rsidR="00A45BA3" w:rsidRPr="00E17A95">
        <w:rPr>
          <w:lang w:val="en-AU"/>
        </w:rPr>
        <w:t xml:space="preserve"> should aim to provide access to government information outside the Act</w:t>
      </w:r>
      <w:r w:rsidR="00A45BA3" w:rsidRPr="00E17A95" w:rsidDel="00F25CF4">
        <w:rPr>
          <w:lang w:val="en-AU"/>
        </w:rPr>
        <w:t xml:space="preserve"> </w:t>
      </w:r>
      <w:r w:rsidR="00A45BA3" w:rsidRPr="00E17A95">
        <w:rPr>
          <w:lang w:val="en-AU"/>
        </w:rPr>
        <w:t xml:space="preserve">through proactive and informal </w:t>
      </w:r>
      <w:r w:rsidR="00970530" w:rsidRPr="00E17A95">
        <w:rPr>
          <w:lang w:val="en-AU"/>
        </w:rPr>
        <w:t>release</w:t>
      </w:r>
      <w:r w:rsidR="00A45BA3" w:rsidRPr="00E17A95">
        <w:rPr>
          <w:lang w:val="en-AU"/>
        </w:rPr>
        <w:t xml:space="preserve"> wherever possible.</w:t>
      </w:r>
      <w:r w:rsidR="00970530" w:rsidRPr="00E17A95">
        <w:rPr>
          <w:rStyle w:val="FootnoteReference"/>
          <w:lang w:val="en-AU"/>
        </w:rPr>
        <w:footnoteReference w:id="2"/>
      </w:r>
      <w:r w:rsidR="00A45BA3" w:rsidRPr="00E17A95">
        <w:rPr>
          <w:lang w:val="en-AU"/>
        </w:rPr>
        <w:t xml:space="preserve"> </w:t>
      </w:r>
    </w:p>
    <w:p w14:paraId="4CB24F57" w14:textId="7AF08966" w:rsidR="00B33A94" w:rsidRPr="009E0375" w:rsidRDefault="00475AE2" w:rsidP="00A52C5A">
      <w:pPr>
        <w:pStyle w:val="Body"/>
        <w:keepNext/>
        <w:spacing w:after="60"/>
        <w:rPr>
          <w:lang w:val="en-AU"/>
        </w:rPr>
      </w:pPr>
      <w:r w:rsidRPr="00A52C5A">
        <w:rPr>
          <w:b/>
          <w:lang w:val="en-AU"/>
        </w:rPr>
        <w:t>Examples of proactive release</w:t>
      </w:r>
    </w:p>
    <w:p w14:paraId="78D419B8" w14:textId="7D04DF1C" w:rsidR="00373B89" w:rsidRPr="00D86492" w:rsidRDefault="00373B89" w:rsidP="00E17A95">
      <w:pPr>
        <w:pStyle w:val="Heading-2"/>
        <w:rPr>
          <w:b w:val="0"/>
          <w:bCs/>
          <w:lang w:val="en-AU"/>
        </w:rPr>
      </w:pPr>
      <w:r>
        <w:rPr>
          <w:b w:val="0"/>
          <w:bCs/>
          <w:lang w:val="en-AU"/>
        </w:rPr>
        <w:t xml:space="preserve">An agency can choose to proactively release information in </w:t>
      </w:r>
      <w:r w:rsidR="00D06B84">
        <w:rPr>
          <w:b w:val="0"/>
          <w:bCs/>
          <w:lang w:val="en-AU"/>
        </w:rPr>
        <w:t>several</w:t>
      </w:r>
      <w:r>
        <w:rPr>
          <w:b w:val="0"/>
          <w:bCs/>
          <w:lang w:val="en-AU"/>
        </w:rPr>
        <w:t xml:space="preserve"> ways. Some examples include:</w:t>
      </w:r>
    </w:p>
    <w:p w14:paraId="67DA2D6D" w14:textId="60EB5201" w:rsidR="00752325" w:rsidRPr="00E17A95" w:rsidRDefault="00750FF5" w:rsidP="00A52C5A">
      <w:pPr>
        <w:pStyle w:val="Body"/>
        <w:numPr>
          <w:ilvl w:val="0"/>
          <w:numId w:val="24"/>
        </w:numPr>
        <w:spacing w:after="160" w:line="240" w:lineRule="auto"/>
        <w:ind w:left="714" w:hanging="357"/>
        <w:rPr>
          <w:lang w:val="en-AU"/>
        </w:rPr>
      </w:pPr>
      <w:r w:rsidRPr="00E17A95">
        <w:rPr>
          <w:lang w:val="en-AU"/>
        </w:rPr>
        <w:t>i</w:t>
      </w:r>
      <w:r w:rsidR="00752325" w:rsidRPr="00E17A95">
        <w:rPr>
          <w:lang w:val="en-AU"/>
        </w:rPr>
        <w:t>nformation an agency publishes on its websit</w:t>
      </w:r>
      <w:r w:rsidRPr="00E17A95">
        <w:rPr>
          <w:lang w:val="en-AU"/>
        </w:rPr>
        <w:t>e</w:t>
      </w:r>
      <w:r w:rsidR="004319ED">
        <w:rPr>
          <w:lang w:val="en-AU"/>
        </w:rPr>
        <w:t xml:space="preserve"> such as information about what it does, publication of other non-personal information, reports, submissions and documents</w:t>
      </w:r>
      <w:r w:rsidR="00752325" w:rsidRPr="00E17A95">
        <w:rPr>
          <w:lang w:val="en-AU"/>
        </w:rPr>
        <w:t>;</w:t>
      </w:r>
    </w:p>
    <w:p w14:paraId="2AF4B271" w14:textId="749DE153" w:rsidR="00475AE2" w:rsidRPr="00E17A95" w:rsidRDefault="00475AE2" w:rsidP="00A52C5A">
      <w:pPr>
        <w:pStyle w:val="Body"/>
        <w:numPr>
          <w:ilvl w:val="0"/>
          <w:numId w:val="24"/>
        </w:numPr>
        <w:spacing w:after="160" w:line="240" w:lineRule="auto"/>
        <w:ind w:left="714" w:hanging="357"/>
        <w:rPr>
          <w:lang w:val="en-AU"/>
        </w:rPr>
      </w:pPr>
      <w:r w:rsidRPr="00E17A95">
        <w:rPr>
          <w:lang w:val="en-AU"/>
        </w:rPr>
        <w:t xml:space="preserve">data published on </w:t>
      </w:r>
      <w:hyperlink r:id="rId8" w:history="1">
        <w:r w:rsidRPr="00E17A95">
          <w:rPr>
            <w:rStyle w:val="Hyperlink"/>
            <w:lang w:val="en-AU"/>
          </w:rPr>
          <w:t>data.vic.gov.au</w:t>
        </w:r>
      </w:hyperlink>
      <w:r w:rsidR="00516835" w:rsidRPr="00E17A95">
        <w:rPr>
          <w:lang w:val="en-AU"/>
        </w:rPr>
        <w:t>;</w:t>
      </w:r>
    </w:p>
    <w:p w14:paraId="086E699A" w14:textId="2698B45E" w:rsidR="00475AE2" w:rsidRPr="00E17A95" w:rsidRDefault="00475AE2" w:rsidP="00A52C5A">
      <w:pPr>
        <w:pStyle w:val="Body"/>
        <w:numPr>
          <w:ilvl w:val="0"/>
          <w:numId w:val="24"/>
        </w:numPr>
        <w:spacing w:after="160" w:line="240" w:lineRule="auto"/>
        <w:ind w:left="714" w:hanging="357"/>
        <w:rPr>
          <w:lang w:val="en-AU"/>
        </w:rPr>
      </w:pPr>
      <w:r w:rsidRPr="00E17A95">
        <w:rPr>
          <w:lang w:val="en-AU"/>
        </w:rPr>
        <w:t xml:space="preserve">tender, contractual and financial information published on </w:t>
      </w:r>
      <w:hyperlink r:id="rId9" w:history="1">
        <w:r w:rsidRPr="00E17A95">
          <w:rPr>
            <w:rStyle w:val="Hyperlink"/>
            <w:lang w:val="en-AU"/>
          </w:rPr>
          <w:t>Buying for Victoria</w:t>
        </w:r>
      </w:hyperlink>
      <w:r w:rsidR="00516835" w:rsidRPr="00E17A95">
        <w:rPr>
          <w:lang w:val="en-AU"/>
        </w:rPr>
        <w:t>;</w:t>
      </w:r>
    </w:p>
    <w:p w14:paraId="4B4C5410" w14:textId="449F9F44" w:rsidR="00A9210F" w:rsidRPr="00E17A95" w:rsidRDefault="00A9210F" w:rsidP="00A52C5A">
      <w:pPr>
        <w:pStyle w:val="Body"/>
        <w:numPr>
          <w:ilvl w:val="0"/>
          <w:numId w:val="24"/>
        </w:numPr>
        <w:spacing w:after="160" w:line="240" w:lineRule="auto"/>
        <w:ind w:left="714" w:hanging="357"/>
        <w:rPr>
          <w:lang w:val="en-AU"/>
        </w:rPr>
      </w:pPr>
      <w:r w:rsidRPr="00E17A95">
        <w:rPr>
          <w:lang w:val="en-AU"/>
        </w:rPr>
        <w:t xml:space="preserve">information published </w:t>
      </w:r>
      <w:r w:rsidR="007F383E" w:rsidRPr="00E17A95">
        <w:rPr>
          <w:lang w:val="en-AU"/>
        </w:rPr>
        <w:t xml:space="preserve">online </w:t>
      </w:r>
      <w:r w:rsidRPr="00E17A95">
        <w:rPr>
          <w:lang w:val="en-AU"/>
        </w:rPr>
        <w:t>in public registers;</w:t>
      </w:r>
      <w:r w:rsidR="004319ED">
        <w:rPr>
          <w:lang w:val="en-AU"/>
        </w:rPr>
        <w:t xml:space="preserve"> or</w:t>
      </w:r>
    </w:p>
    <w:p w14:paraId="5D190D0E" w14:textId="439EBCBF" w:rsidR="00475AE2" w:rsidRPr="00E17A95" w:rsidRDefault="00475AE2" w:rsidP="00C834C4">
      <w:pPr>
        <w:pStyle w:val="Body"/>
        <w:numPr>
          <w:ilvl w:val="0"/>
          <w:numId w:val="24"/>
        </w:numPr>
        <w:rPr>
          <w:lang w:val="en-AU"/>
        </w:rPr>
      </w:pPr>
      <w:r w:rsidRPr="00E17A95">
        <w:rPr>
          <w:lang w:val="en-AU"/>
        </w:rPr>
        <w:t>information published in accordance with Part II of the Act</w:t>
      </w:r>
      <w:r w:rsidR="00516835" w:rsidRPr="00E17A95">
        <w:rPr>
          <w:lang w:val="en-AU"/>
        </w:rPr>
        <w:t>.</w:t>
      </w:r>
    </w:p>
    <w:p w14:paraId="393ABC77" w14:textId="3BBBC6E0" w:rsidR="00537A12" w:rsidRPr="00A52C5A" w:rsidRDefault="00A45BA3" w:rsidP="00A52C5A">
      <w:pPr>
        <w:pStyle w:val="Body"/>
        <w:keepNext/>
        <w:spacing w:after="60"/>
        <w:rPr>
          <w:b/>
          <w:lang w:val="en-AU"/>
        </w:rPr>
      </w:pPr>
      <w:r w:rsidRPr="00A52C5A">
        <w:rPr>
          <w:b/>
          <w:lang w:val="en-AU"/>
        </w:rPr>
        <w:t>Benefits of proactive release</w:t>
      </w:r>
    </w:p>
    <w:p w14:paraId="1BAC9F31" w14:textId="0E160A51" w:rsidR="00537A12" w:rsidRDefault="00537A12" w:rsidP="009642DE">
      <w:pPr>
        <w:pStyle w:val="Body"/>
        <w:rPr>
          <w:b/>
          <w:lang w:val="en-AU"/>
        </w:rPr>
      </w:pPr>
      <w:r>
        <w:rPr>
          <w:lang w:val="en-AU"/>
        </w:rPr>
        <w:t>There</w:t>
      </w:r>
      <w:r w:rsidR="00FF326A">
        <w:rPr>
          <w:lang w:val="en-AU"/>
        </w:rPr>
        <w:t xml:space="preserve"> are</w:t>
      </w:r>
      <w:r>
        <w:rPr>
          <w:lang w:val="en-AU"/>
        </w:rPr>
        <w:t xml:space="preserve"> </w:t>
      </w:r>
      <w:r w:rsidR="0098413C">
        <w:rPr>
          <w:lang w:val="en-AU"/>
        </w:rPr>
        <w:t>significant</w:t>
      </w:r>
      <w:r>
        <w:rPr>
          <w:lang w:val="en-AU"/>
        </w:rPr>
        <w:t xml:space="preserve"> benefits to both agencies and the public when government held information is released proactively</w:t>
      </w:r>
      <w:r w:rsidR="00F17A90">
        <w:rPr>
          <w:lang w:val="en-AU"/>
        </w:rPr>
        <w:t>. For example, proactive release</w:t>
      </w:r>
      <w:r>
        <w:rPr>
          <w:lang w:val="en-AU"/>
        </w:rPr>
        <w:t>:</w:t>
      </w:r>
    </w:p>
    <w:p w14:paraId="05B49C82" w14:textId="2D9E2EB4" w:rsidR="00584AE6" w:rsidRPr="00CA6271" w:rsidRDefault="002F6F1A" w:rsidP="00A52C5A">
      <w:pPr>
        <w:pStyle w:val="Body"/>
        <w:widowControl/>
        <w:numPr>
          <w:ilvl w:val="0"/>
          <w:numId w:val="24"/>
        </w:numPr>
        <w:spacing w:line="240" w:lineRule="auto"/>
        <w:ind w:left="714" w:hanging="357"/>
        <w:rPr>
          <w:lang w:val="en-AU"/>
        </w:rPr>
      </w:pPr>
      <w:r w:rsidRPr="00E17A95">
        <w:rPr>
          <w:lang w:val="en-AU"/>
        </w:rPr>
        <w:t>builds public trust and confidence in decision-making by government and public institutions and strengthens principles of liberal democracy;</w:t>
      </w:r>
    </w:p>
    <w:p w14:paraId="0B74EB3D" w14:textId="678068B0" w:rsidR="00CB532D" w:rsidRPr="00A52C5A" w:rsidRDefault="00CB532D" w:rsidP="00A52C5A">
      <w:pPr>
        <w:pStyle w:val="Body"/>
        <w:widowControl/>
        <w:numPr>
          <w:ilvl w:val="0"/>
          <w:numId w:val="24"/>
        </w:numPr>
        <w:spacing w:line="240" w:lineRule="auto"/>
        <w:ind w:left="714" w:hanging="357"/>
        <w:rPr>
          <w:lang w:val="en-AU"/>
        </w:rPr>
      </w:pPr>
      <w:r w:rsidRPr="00E17A95">
        <w:rPr>
          <w:lang w:val="en-AU"/>
        </w:rPr>
        <w:t>enhances public sector accountability and integrity</w:t>
      </w:r>
      <w:r>
        <w:rPr>
          <w:lang w:val="en-AU"/>
        </w:rPr>
        <w:t>;</w:t>
      </w:r>
    </w:p>
    <w:p w14:paraId="384A1FED" w14:textId="0672730C" w:rsidR="002F6F1A" w:rsidRPr="00D86492" w:rsidRDefault="002F6F1A" w:rsidP="00A52C5A">
      <w:pPr>
        <w:pStyle w:val="Body"/>
        <w:widowControl/>
        <w:numPr>
          <w:ilvl w:val="0"/>
          <w:numId w:val="24"/>
        </w:numPr>
        <w:spacing w:line="240" w:lineRule="auto"/>
        <w:ind w:left="714" w:hanging="357"/>
        <w:rPr>
          <w:lang w:val="en-AU"/>
        </w:rPr>
      </w:pPr>
      <w:r w:rsidRPr="00D86492">
        <w:rPr>
          <w:lang w:val="en-AU"/>
        </w:rPr>
        <w:t xml:space="preserve">increases public access to government information and allows them to participate in </w:t>
      </w:r>
      <w:r w:rsidR="00CB532D">
        <w:rPr>
          <w:lang w:val="en-AU"/>
        </w:rPr>
        <w:t>policy development</w:t>
      </w:r>
      <w:r w:rsidR="00CB532D" w:rsidRPr="00D86492">
        <w:rPr>
          <w:lang w:val="en-AU"/>
        </w:rPr>
        <w:t xml:space="preserve"> </w:t>
      </w:r>
      <w:r w:rsidR="00CB532D">
        <w:rPr>
          <w:lang w:val="en-AU"/>
        </w:rPr>
        <w:t>and</w:t>
      </w:r>
      <w:r w:rsidR="00CB532D" w:rsidRPr="00D86492">
        <w:rPr>
          <w:lang w:val="en-AU"/>
        </w:rPr>
        <w:t xml:space="preserve"> </w:t>
      </w:r>
      <w:r w:rsidRPr="00D86492">
        <w:rPr>
          <w:lang w:val="en-AU"/>
        </w:rPr>
        <w:t>government decision</w:t>
      </w:r>
      <w:r w:rsidR="00CB532D">
        <w:rPr>
          <w:lang w:val="en-AU"/>
        </w:rPr>
        <w:t xml:space="preserve"> </w:t>
      </w:r>
      <w:r w:rsidRPr="00D86492">
        <w:rPr>
          <w:lang w:val="en-AU"/>
        </w:rPr>
        <w:t xml:space="preserve">making; </w:t>
      </w:r>
    </w:p>
    <w:p w14:paraId="12E60DC7" w14:textId="09B43432" w:rsidR="00CA6271" w:rsidRPr="00D86492" w:rsidRDefault="00CA6271" w:rsidP="00A52C5A">
      <w:pPr>
        <w:pStyle w:val="Body"/>
        <w:keepLines w:val="0"/>
        <w:widowControl/>
        <w:numPr>
          <w:ilvl w:val="0"/>
          <w:numId w:val="24"/>
        </w:numPr>
        <w:spacing w:line="240" w:lineRule="auto"/>
        <w:ind w:left="714" w:hanging="357"/>
        <w:rPr>
          <w:lang w:val="en-AU"/>
        </w:rPr>
      </w:pPr>
      <w:r w:rsidRPr="00D86492">
        <w:rPr>
          <w:lang w:val="en-AU"/>
        </w:rPr>
        <w:t xml:space="preserve">improves </w:t>
      </w:r>
      <w:r>
        <w:rPr>
          <w:lang w:val="en-AU"/>
        </w:rPr>
        <w:t xml:space="preserve">government </w:t>
      </w:r>
      <w:r w:rsidRPr="00D86492">
        <w:rPr>
          <w:lang w:val="en-AU"/>
        </w:rPr>
        <w:t xml:space="preserve">service delivery </w:t>
      </w:r>
      <w:r>
        <w:rPr>
          <w:lang w:val="en-AU"/>
        </w:rPr>
        <w:t xml:space="preserve">to the public </w:t>
      </w:r>
      <w:r w:rsidRPr="00D86492">
        <w:rPr>
          <w:lang w:val="en-AU"/>
        </w:rPr>
        <w:t xml:space="preserve">by providing access to information faster and more easily than </w:t>
      </w:r>
      <w:r>
        <w:rPr>
          <w:lang w:val="en-AU"/>
        </w:rPr>
        <w:t xml:space="preserve">under </w:t>
      </w:r>
      <w:r w:rsidR="00DD7CC2">
        <w:rPr>
          <w:lang w:val="en-AU"/>
        </w:rPr>
        <w:t>freedom of information (</w:t>
      </w:r>
      <w:r w:rsidRPr="00DD7CC2">
        <w:rPr>
          <w:b/>
          <w:bCs/>
          <w:lang w:val="en-AU"/>
        </w:rPr>
        <w:t>FOI</w:t>
      </w:r>
      <w:r w:rsidR="00DD7CC2">
        <w:rPr>
          <w:lang w:val="en-AU"/>
        </w:rPr>
        <w:t>)</w:t>
      </w:r>
      <w:r>
        <w:rPr>
          <w:lang w:val="en-AU"/>
        </w:rPr>
        <w:t>;</w:t>
      </w:r>
    </w:p>
    <w:p w14:paraId="5BF19DBC" w14:textId="1F96E064" w:rsidR="00CA6271" w:rsidRDefault="004611C5" w:rsidP="00A52C5A">
      <w:pPr>
        <w:pStyle w:val="Body"/>
        <w:widowControl/>
        <w:numPr>
          <w:ilvl w:val="0"/>
          <w:numId w:val="24"/>
        </w:numPr>
        <w:spacing w:line="240" w:lineRule="auto"/>
        <w:ind w:left="714" w:hanging="357"/>
        <w:rPr>
          <w:lang w:val="en-AU"/>
        </w:rPr>
      </w:pPr>
      <w:r w:rsidRPr="00D86492">
        <w:rPr>
          <w:lang w:val="en-AU"/>
        </w:rPr>
        <w:t xml:space="preserve">reduces the </w:t>
      </w:r>
      <w:r w:rsidR="00CB532D" w:rsidRPr="00D86492">
        <w:rPr>
          <w:lang w:val="en-AU"/>
        </w:rPr>
        <w:t xml:space="preserve">need for </w:t>
      </w:r>
      <w:r w:rsidR="00CB532D">
        <w:rPr>
          <w:lang w:val="en-AU"/>
        </w:rPr>
        <w:t xml:space="preserve">an </w:t>
      </w:r>
      <w:r w:rsidR="00CB532D" w:rsidRPr="00D86492">
        <w:rPr>
          <w:lang w:val="en-AU"/>
        </w:rPr>
        <w:t xml:space="preserve">individual to make a formal </w:t>
      </w:r>
      <w:r w:rsidR="00CB532D">
        <w:rPr>
          <w:lang w:val="en-AU"/>
        </w:rPr>
        <w:t>FOI</w:t>
      </w:r>
      <w:r w:rsidR="00CB532D" w:rsidRPr="00D86492">
        <w:rPr>
          <w:lang w:val="en-AU"/>
        </w:rPr>
        <w:t xml:space="preserve"> request</w:t>
      </w:r>
      <w:r w:rsidR="00CB532D">
        <w:rPr>
          <w:lang w:val="en-AU"/>
        </w:rPr>
        <w:t xml:space="preserve"> </w:t>
      </w:r>
      <w:r w:rsidR="00A52C5A">
        <w:rPr>
          <w:lang w:val="en-AU"/>
        </w:rPr>
        <w:t>which reduces the</w:t>
      </w:r>
      <w:r w:rsidR="00CA6271">
        <w:rPr>
          <w:lang w:val="en-AU"/>
        </w:rPr>
        <w:t xml:space="preserve"> </w:t>
      </w:r>
      <w:r w:rsidR="00CB532D">
        <w:rPr>
          <w:lang w:val="en-AU"/>
        </w:rPr>
        <w:t xml:space="preserve">resources </w:t>
      </w:r>
      <w:r w:rsidR="00CA6271">
        <w:rPr>
          <w:lang w:val="en-AU"/>
        </w:rPr>
        <w:t>required to administer the</w:t>
      </w:r>
      <w:r w:rsidR="00CA6271" w:rsidRPr="00D86492">
        <w:rPr>
          <w:lang w:val="en-AU"/>
        </w:rPr>
        <w:t xml:space="preserve"> </w:t>
      </w:r>
      <w:r w:rsidR="00CA6271">
        <w:rPr>
          <w:lang w:val="en-AU"/>
        </w:rPr>
        <w:t>Act; and</w:t>
      </w:r>
    </w:p>
    <w:p w14:paraId="193AB247" w14:textId="433C365C" w:rsidR="00584AE6" w:rsidRPr="00D86492" w:rsidRDefault="00CA6271" w:rsidP="00A52C5A">
      <w:pPr>
        <w:pStyle w:val="Body"/>
        <w:widowControl/>
        <w:numPr>
          <w:ilvl w:val="0"/>
          <w:numId w:val="24"/>
        </w:numPr>
        <w:spacing w:line="240" w:lineRule="auto"/>
        <w:ind w:left="714" w:hanging="357"/>
        <w:rPr>
          <w:lang w:val="en-AU"/>
        </w:rPr>
      </w:pPr>
      <w:r w:rsidRPr="00D86492">
        <w:rPr>
          <w:lang w:val="en-AU"/>
        </w:rPr>
        <w:lastRenderedPageBreak/>
        <w:t>provid</w:t>
      </w:r>
      <w:r>
        <w:rPr>
          <w:lang w:val="en-AU"/>
        </w:rPr>
        <w:t>es</w:t>
      </w:r>
      <w:r w:rsidRPr="00D86492">
        <w:rPr>
          <w:lang w:val="en-AU"/>
        </w:rPr>
        <w:t xml:space="preserve"> the opportunity </w:t>
      </w:r>
      <w:r>
        <w:rPr>
          <w:lang w:val="en-AU"/>
        </w:rPr>
        <w:t>for an agency and individual to agree on</w:t>
      </w:r>
      <w:r w:rsidRPr="00D86492">
        <w:rPr>
          <w:lang w:val="en-AU"/>
        </w:rPr>
        <w:t xml:space="preserve"> when and </w:t>
      </w:r>
      <w:r>
        <w:rPr>
          <w:lang w:val="en-AU"/>
        </w:rPr>
        <w:t>in what form</w:t>
      </w:r>
      <w:r w:rsidRPr="00D86492">
        <w:rPr>
          <w:lang w:val="en-AU"/>
        </w:rPr>
        <w:t xml:space="preserve"> information is </w:t>
      </w:r>
      <w:r>
        <w:rPr>
          <w:lang w:val="en-AU"/>
        </w:rPr>
        <w:t>to be released.</w:t>
      </w:r>
      <w:r w:rsidR="004611C5" w:rsidRPr="00D86492">
        <w:rPr>
          <w:lang w:val="en-AU"/>
        </w:rPr>
        <w:t xml:space="preserve"> </w:t>
      </w:r>
    </w:p>
    <w:p w14:paraId="6635D08A" w14:textId="56EF5E9D" w:rsidR="00312F84" w:rsidRPr="00041CF8" w:rsidRDefault="00312F84" w:rsidP="00590588">
      <w:pPr>
        <w:pStyle w:val="Heading-1"/>
      </w:pPr>
      <w:r w:rsidRPr="00C72B7C">
        <w:t xml:space="preserve">When to </w:t>
      </w:r>
      <w:r w:rsidR="0098413C" w:rsidRPr="00C72B7C">
        <w:t xml:space="preserve">proactively </w:t>
      </w:r>
      <w:r w:rsidRPr="00C72B7C">
        <w:t xml:space="preserve">release information or documents </w:t>
      </w:r>
    </w:p>
    <w:p w14:paraId="4AE1CF63" w14:textId="4D5BB063" w:rsidR="008478AF" w:rsidRDefault="008478AF" w:rsidP="008478AF">
      <w:pPr>
        <w:pStyle w:val="Body"/>
        <w:rPr>
          <w:lang w:val="en-AU"/>
        </w:rPr>
      </w:pPr>
      <w:r w:rsidRPr="003D4733">
        <w:rPr>
          <w:lang w:val="en-AU"/>
        </w:rPr>
        <w:t xml:space="preserve">An agency may release information or documents </w:t>
      </w:r>
      <w:r>
        <w:rPr>
          <w:lang w:val="en-AU"/>
        </w:rPr>
        <w:t>proactively</w:t>
      </w:r>
      <w:r w:rsidRPr="003D4733">
        <w:rPr>
          <w:lang w:val="en-AU"/>
        </w:rPr>
        <w:t xml:space="preserve"> at any time, </w:t>
      </w:r>
      <w:r>
        <w:rPr>
          <w:lang w:val="en-AU"/>
        </w:rPr>
        <w:t>provided</w:t>
      </w:r>
      <w:r w:rsidRPr="003D4733">
        <w:rPr>
          <w:lang w:val="en-AU"/>
        </w:rPr>
        <w:t xml:space="preserve"> it is lawful and possible for it to do so. </w:t>
      </w:r>
      <w:r w:rsidR="00F050B8">
        <w:rPr>
          <w:lang w:val="en-AU"/>
        </w:rPr>
        <w:t xml:space="preserve">For example, an agency should regularly identify information that may be suitable for proactive release, decide whether to provide access to it (bearing in mind any prohibitions which may prevent the agency from proactively releasing it), and publish the information accordingly. </w:t>
      </w:r>
    </w:p>
    <w:p w14:paraId="32DC0505" w14:textId="146B97C1" w:rsidR="008478AF" w:rsidRPr="00590588" w:rsidRDefault="00F050B8" w:rsidP="00590588">
      <w:pPr>
        <w:pStyle w:val="Body"/>
        <w:rPr>
          <w:lang w:val="en-AU"/>
        </w:rPr>
      </w:pPr>
      <w:r>
        <w:rPr>
          <w:lang w:val="en-AU"/>
        </w:rPr>
        <w:t xml:space="preserve">While </w:t>
      </w:r>
      <w:r w:rsidR="00F85E88">
        <w:rPr>
          <w:lang w:val="en-AU"/>
        </w:rPr>
        <w:t xml:space="preserve">an agency </w:t>
      </w:r>
      <w:r>
        <w:rPr>
          <w:lang w:val="en-AU"/>
        </w:rPr>
        <w:t xml:space="preserve">may proactively release information at any time, </w:t>
      </w:r>
      <w:r w:rsidR="00F85E88">
        <w:rPr>
          <w:lang w:val="en-AU"/>
        </w:rPr>
        <w:t>it</w:t>
      </w:r>
      <w:r>
        <w:rPr>
          <w:lang w:val="en-AU"/>
        </w:rPr>
        <w:t xml:space="preserve"> </w:t>
      </w:r>
      <w:r w:rsidRPr="00DD7CC2">
        <w:rPr>
          <w:lang w:val="en-AU"/>
        </w:rPr>
        <w:t>must</w:t>
      </w:r>
      <w:r>
        <w:rPr>
          <w:lang w:val="en-AU"/>
        </w:rPr>
        <w:t xml:space="preserve"> publish certain information under Part II of the Act. </w:t>
      </w:r>
    </w:p>
    <w:p w14:paraId="01AA58B2" w14:textId="682FD56E" w:rsidR="00DB68A8" w:rsidRPr="009E0375" w:rsidRDefault="00172A22" w:rsidP="00DD7CC2">
      <w:pPr>
        <w:pStyle w:val="Body"/>
        <w:keepNext/>
        <w:spacing w:after="60"/>
        <w:rPr>
          <w:lang w:val="en-AU"/>
        </w:rPr>
      </w:pPr>
      <w:r w:rsidRPr="00DD7CC2">
        <w:rPr>
          <w:b/>
          <w:lang w:val="en-AU"/>
        </w:rPr>
        <w:t>Part II of the Act</w:t>
      </w:r>
      <w:r w:rsidR="00CA6271">
        <w:rPr>
          <w:b/>
          <w:lang w:val="en-AU"/>
        </w:rPr>
        <w:t xml:space="preserve"> and </w:t>
      </w:r>
      <w:r w:rsidR="006E3C85">
        <w:rPr>
          <w:b/>
          <w:lang w:val="en-AU"/>
        </w:rPr>
        <w:t xml:space="preserve">the </w:t>
      </w:r>
      <w:r w:rsidR="00CA6271">
        <w:rPr>
          <w:b/>
          <w:lang w:val="en-AU"/>
        </w:rPr>
        <w:t>information publication scheme</w:t>
      </w:r>
    </w:p>
    <w:p w14:paraId="215F73EE" w14:textId="7C6F3728" w:rsidR="00F25CF4" w:rsidRPr="00590588" w:rsidRDefault="00C2067A" w:rsidP="00172A22">
      <w:pPr>
        <w:pStyle w:val="Body"/>
        <w:rPr>
          <w:lang w:val="en-AU"/>
        </w:rPr>
      </w:pPr>
      <w:r w:rsidRPr="00590588">
        <w:rPr>
          <w:lang w:val="en-AU"/>
        </w:rPr>
        <w:t xml:space="preserve">Agencies generate and collect large amounts of information </w:t>
      </w:r>
      <w:r w:rsidR="00F25CF4" w:rsidRPr="00590588">
        <w:rPr>
          <w:lang w:val="en-AU"/>
        </w:rPr>
        <w:t xml:space="preserve">and documents </w:t>
      </w:r>
      <w:r w:rsidRPr="00590588">
        <w:rPr>
          <w:lang w:val="en-AU"/>
        </w:rPr>
        <w:t>in carrying out their functions.</w:t>
      </w:r>
      <w:r w:rsidR="00172A22" w:rsidRPr="00590588">
        <w:rPr>
          <w:lang w:val="en-AU"/>
        </w:rPr>
        <w:t xml:space="preserve"> The Act recognises the importance of agencies identifying what information they hold and communicating that to the public. </w:t>
      </w:r>
    </w:p>
    <w:p w14:paraId="4F38D06C" w14:textId="5AC1EEF8" w:rsidR="00BD6595" w:rsidRPr="00590588" w:rsidRDefault="00172A22" w:rsidP="00172A22">
      <w:pPr>
        <w:pStyle w:val="Body"/>
        <w:rPr>
          <w:lang w:val="en-AU"/>
        </w:rPr>
      </w:pPr>
      <w:r w:rsidRPr="00590588">
        <w:rPr>
          <w:lang w:val="en-AU"/>
        </w:rPr>
        <w:t xml:space="preserve">Part II of the Act sets out </w:t>
      </w:r>
      <w:r w:rsidR="00F25CF4" w:rsidRPr="00590588">
        <w:rPr>
          <w:lang w:val="en-AU"/>
        </w:rPr>
        <w:t xml:space="preserve">an information publication scheme </w:t>
      </w:r>
      <w:r w:rsidR="00AE5D3B" w:rsidRPr="00590588">
        <w:rPr>
          <w:lang w:val="en-AU"/>
        </w:rPr>
        <w:t xml:space="preserve">that requires </w:t>
      </w:r>
      <w:r w:rsidRPr="00590588">
        <w:rPr>
          <w:lang w:val="en-AU"/>
        </w:rPr>
        <w:t>a</w:t>
      </w:r>
      <w:r w:rsidR="00E058B3" w:rsidRPr="00590588">
        <w:rPr>
          <w:lang w:val="en-AU"/>
        </w:rPr>
        <w:t>n a</w:t>
      </w:r>
      <w:r w:rsidRPr="00590588">
        <w:rPr>
          <w:lang w:val="en-AU"/>
        </w:rPr>
        <w:t>genc</w:t>
      </w:r>
      <w:r w:rsidR="00E058B3" w:rsidRPr="00590588">
        <w:rPr>
          <w:lang w:val="en-AU"/>
        </w:rPr>
        <w:t>y</w:t>
      </w:r>
      <w:r w:rsidRPr="00590588">
        <w:rPr>
          <w:lang w:val="en-AU"/>
        </w:rPr>
        <w:t xml:space="preserve"> to publish and make available a range of information and documents used </w:t>
      </w:r>
      <w:r w:rsidR="00E058B3" w:rsidRPr="00590588">
        <w:rPr>
          <w:lang w:val="en-AU"/>
        </w:rPr>
        <w:t xml:space="preserve">and created </w:t>
      </w:r>
      <w:r w:rsidRPr="00590588">
        <w:rPr>
          <w:lang w:val="en-AU"/>
        </w:rPr>
        <w:t>by the agenc</w:t>
      </w:r>
      <w:r w:rsidR="00E058B3" w:rsidRPr="00590588">
        <w:rPr>
          <w:lang w:val="en-AU"/>
        </w:rPr>
        <w:t>y</w:t>
      </w:r>
      <w:r w:rsidRPr="00590588">
        <w:rPr>
          <w:lang w:val="en-AU"/>
        </w:rPr>
        <w:t xml:space="preserve"> in carrying out</w:t>
      </w:r>
      <w:r w:rsidR="00E058B3" w:rsidRPr="00590588">
        <w:rPr>
          <w:lang w:val="en-AU"/>
        </w:rPr>
        <w:t xml:space="preserve"> its</w:t>
      </w:r>
      <w:r w:rsidRPr="00590588">
        <w:rPr>
          <w:lang w:val="en-AU"/>
        </w:rPr>
        <w:t xml:space="preserve"> functions. This includes</w:t>
      </w:r>
      <w:r w:rsidR="00BD6595" w:rsidRPr="00590588">
        <w:rPr>
          <w:lang w:val="en-AU"/>
        </w:rPr>
        <w:t xml:space="preserve">: </w:t>
      </w:r>
    </w:p>
    <w:p w14:paraId="51A0AD87" w14:textId="4A5BA72A" w:rsidR="00BD6595" w:rsidRPr="00590588" w:rsidRDefault="00BD6595" w:rsidP="00F46320">
      <w:pPr>
        <w:pStyle w:val="Body"/>
        <w:widowControl/>
        <w:numPr>
          <w:ilvl w:val="0"/>
          <w:numId w:val="24"/>
        </w:numPr>
        <w:spacing w:line="240" w:lineRule="auto"/>
        <w:ind w:left="714" w:hanging="357"/>
      </w:pPr>
      <w:r w:rsidRPr="00590588">
        <w:t xml:space="preserve">a </w:t>
      </w:r>
      <w:r w:rsidRPr="009E0375">
        <w:rPr>
          <w:lang w:val="en-AU"/>
        </w:rPr>
        <w:t>statement</w:t>
      </w:r>
      <w:r w:rsidRPr="00590588">
        <w:t xml:space="preserve"> summarising its organisation and functions, documents and </w:t>
      </w:r>
      <w:r w:rsidR="00DD7CC2">
        <w:t>FOI pro</w:t>
      </w:r>
      <w:r w:rsidRPr="00590588">
        <w:t>cedures (for example, the categories of documents maintained in the agency’s possession) – section 7;</w:t>
      </w:r>
    </w:p>
    <w:p w14:paraId="1C2DFC45" w14:textId="77777777" w:rsidR="00BD6595" w:rsidRPr="00590588" w:rsidRDefault="00BD6595" w:rsidP="00F46320">
      <w:pPr>
        <w:pStyle w:val="Body"/>
        <w:widowControl/>
        <w:numPr>
          <w:ilvl w:val="0"/>
          <w:numId w:val="24"/>
        </w:numPr>
        <w:spacing w:line="240" w:lineRule="auto"/>
        <w:ind w:left="714" w:hanging="357"/>
      </w:pPr>
      <w:r w:rsidRPr="00590588">
        <w:t xml:space="preserve">a statement listing its rules, policies and procedures relevant to the public (for example, manuals, rules of </w:t>
      </w:r>
      <w:r w:rsidRPr="009E0375">
        <w:rPr>
          <w:lang w:val="en-AU"/>
        </w:rPr>
        <w:t>procedure</w:t>
      </w:r>
      <w:r w:rsidRPr="00590588">
        <w:t>, statements of policy) – section 8; and</w:t>
      </w:r>
    </w:p>
    <w:p w14:paraId="2FE57178" w14:textId="14E4158F" w:rsidR="00172A22" w:rsidRPr="00590588" w:rsidRDefault="00F25CF4" w:rsidP="00F46320">
      <w:pPr>
        <w:pStyle w:val="Body"/>
        <w:widowControl/>
        <w:numPr>
          <w:ilvl w:val="0"/>
          <w:numId w:val="24"/>
        </w:numPr>
        <w:spacing w:line="240" w:lineRule="auto"/>
        <w:ind w:left="714" w:hanging="357"/>
        <w:rPr>
          <w:rFonts w:asciiTheme="minorHAnsi" w:hAnsiTheme="minorHAnsi"/>
          <w:lang w:val="en-AU"/>
        </w:rPr>
      </w:pPr>
      <w:r w:rsidRPr="00590588">
        <w:rPr>
          <w:lang w:val="en-AU"/>
        </w:rPr>
        <w:t>a statement of the categories of documents the agency</w:t>
      </w:r>
      <w:r w:rsidRPr="00590588">
        <w:rPr>
          <w:rFonts w:asciiTheme="minorHAnsi" w:hAnsiTheme="minorHAnsi"/>
          <w:lang w:val="en-AU"/>
        </w:rPr>
        <w:t xml:space="preserve"> possesses</w:t>
      </w:r>
      <w:r w:rsidR="00E058B3" w:rsidRPr="00590588">
        <w:rPr>
          <w:rFonts w:asciiTheme="minorHAnsi" w:hAnsiTheme="minorHAnsi"/>
          <w:lang w:val="en-AU"/>
        </w:rPr>
        <w:t xml:space="preserve"> </w:t>
      </w:r>
      <w:r w:rsidR="00590588">
        <w:rPr>
          <w:rFonts w:asciiTheme="minorHAnsi" w:hAnsiTheme="minorHAnsi"/>
          <w:lang w:val="en-AU"/>
        </w:rPr>
        <w:t>which</w:t>
      </w:r>
      <w:r w:rsidRPr="00590588">
        <w:rPr>
          <w:lang w:val="en-AU"/>
        </w:rPr>
        <w:t xml:space="preserve"> </w:t>
      </w:r>
      <w:r w:rsidR="00BD6595" w:rsidRPr="00590588">
        <w:rPr>
          <w:lang w:val="en-AU"/>
        </w:rPr>
        <w:t>detail</w:t>
      </w:r>
      <w:r w:rsidR="00E058B3" w:rsidRPr="00590588">
        <w:rPr>
          <w:lang w:val="en-AU"/>
        </w:rPr>
        <w:t>s</w:t>
      </w:r>
      <w:r w:rsidR="00BD6595" w:rsidRPr="00590588">
        <w:rPr>
          <w:lang w:val="en-AU"/>
        </w:rPr>
        <w:t xml:space="preserve"> certain reports, records of decisions and submissions prepared by or for the agency (for example, a paid consultant</w:t>
      </w:r>
      <w:r w:rsidRPr="00590588">
        <w:rPr>
          <w:lang w:val="en-AU"/>
        </w:rPr>
        <w:t>’s</w:t>
      </w:r>
      <w:r w:rsidR="00BD6595" w:rsidRPr="00590588">
        <w:rPr>
          <w:lang w:val="en-AU"/>
        </w:rPr>
        <w:t xml:space="preserve"> report, a submission prepared for Cabinet, an environmental impact assessment prepared </w:t>
      </w:r>
      <w:r w:rsidRPr="00590588">
        <w:rPr>
          <w:lang w:val="en-AU"/>
        </w:rPr>
        <w:t xml:space="preserve">by the </w:t>
      </w:r>
      <w:r w:rsidR="00BD6595" w:rsidRPr="00590588">
        <w:rPr>
          <w:lang w:val="en-AU"/>
        </w:rPr>
        <w:t>agency) – section 11</w:t>
      </w:r>
      <w:r w:rsidR="00172A22" w:rsidRPr="00590588">
        <w:rPr>
          <w:rFonts w:asciiTheme="minorHAnsi" w:hAnsiTheme="minorHAnsi"/>
          <w:lang w:val="en-AU"/>
        </w:rPr>
        <w:t xml:space="preserve">. </w:t>
      </w:r>
    </w:p>
    <w:p w14:paraId="593FF7BE" w14:textId="0D75864A" w:rsidR="00AE5D3B" w:rsidRPr="00590588" w:rsidRDefault="00AE5D3B" w:rsidP="00313B28">
      <w:pPr>
        <w:pStyle w:val="Body"/>
        <w:spacing w:before="200"/>
        <w:rPr>
          <w:iCs/>
          <w:lang w:val="en-AU"/>
        </w:rPr>
      </w:pPr>
      <w:r w:rsidRPr="00590588">
        <w:rPr>
          <w:iCs/>
          <w:lang w:val="en-AU"/>
        </w:rPr>
        <w:t>The information publication scheme under the Act serves two purposes. The first purpose is to provide for the proactive disclosure of information and documents by the agency. The second purpose is to assist</w:t>
      </w:r>
      <w:r w:rsidR="00E058B3" w:rsidRPr="00590588">
        <w:rPr>
          <w:iCs/>
          <w:lang w:val="en-AU"/>
        </w:rPr>
        <w:t xml:space="preserve"> </w:t>
      </w:r>
      <w:r w:rsidRPr="00590588">
        <w:rPr>
          <w:iCs/>
          <w:lang w:val="en-AU"/>
        </w:rPr>
        <w:t xml:space="preserve">applicants by providing them with a better understanding of the information and documents held by the agency that may be requested </w:t>
      </w:r>
      <w:r w:rsidR="00E058B3" w:rsidRPr="00590588">
        <w:rPr>
          <w:iCs/>
          <w:lang w:val="en-AU"/>
        </w:rPr>
        <w:t xml:space="preserve">under the Act </w:t>
      </w:r>
      <w:r w:rsidRPr="00590588">
        <w:rPr>
          <w:iCs/>
          <w:lang w:val="en-AU"/>
        </w:rPr>
        <w:t>if not published by the agency.</w:t>
      </w:r>
    </w:p>
    <w:p w14:paraId="2548D52D" w14:textId="5ADA8E14" w:rsidR="00F46320" w:rsidRDefault="00EF4464" w:rsidP="00313B28">
      <w:pPr>
        <w:pStyle w:val="Body"/>
        <w:spacing w:before="200"/>
        <w:rPr>
          <w:lang w:val="en-AU"/>
        </w:rPr>
      </w:pPr>
      <w:hyperlink r:id="rId10" w:anchor="1-access-to-government-information" w:history="1">
        <w:r w:rsidR="00172A22" w:rsidRPr="00FA0D2E">
          <w:rPr>
            <w:rStyle w:val="Hyperlink"/>
            <w:i/>
            <w:iCs/>
            <w:lang w:val="en-AU"/>
          </w:rPr>
          <w:t xml:space="preserve">Professional </w:t>
        </w:r>
        <w:r w:rsidR="00BD6595" w:rsidRPr="00FA0D2E">
          <w:rPr>
            <w:rStyle w:val="Hyperlink"/>
            <w:i/>
            <w:iCs/>
            <w:lang w:val="en-AU"/>
          </w:rPr>
          <w:t>S</w:t>
        </w:r>
        <w:r w:rsidR="00172A22" w:rsidRPr="00FA0D2E">
          <w:rPr>
            <w:rStyle w:val="Hyperlink"/>
            <w:i/>
            <w:iCs/>
            <w:lang w:val="en-AU"/>
          </w:rPr>
          <w:t>tandard 1.3</w:t>
        </w:r>
      </w:hyperlink>
      <w:r w:rsidR="00172A22" w:rsidRPr="00590588">
        <w:rPr>
          <w:lang w:val="en-AU"/>
        </w:rPr>
        <w:t xml:space="preserve"> supports this by requiring the principal officer of an agency to ensure information statements published in accordance with Part II of the Act are available on their agency’s website. </w:t>
      </w:r>
      <w:r w:rsidR="00F46320">
        <w:rPr>
          <w:lang w:val="en-AU"/>
        </w:rPr>
        <w:t xml:space="preserve">For an example of how OVIC sets out information required by Part II of the Act, visit our </w:t>
      </w:r>
      <w:hyperlink r:id="rId11" w:history="1">
        <w:r w:rsidR="00F46320" w:rsidRPr="00F46320">
          <w:rPr>
            <w:rStyle w:val="Hyperlink"/>
            <w:lang w:val="en-AU"/>
          </w:rPr>
          <w:t>About Us</w:t>
        </w:r>
      </w:hyperlink>
      <w:r w:rsidR="00F46320">
        <w:rPr>
          <w:lang w:val="en-AU"/>
        </w:rPr>
        <w:t xml:space="preserve"> webpage.</w:t>
      </w:r>
    </w:p>
    <w:p w14:paraId="4651DEE8" w14:textId="4E4F8D9D" w:rsidR="00BD6595" w:rsidRPr="00D07647" w:rsidRDefault="00BD6595" w:rsidP="00D07647">
      <w:pPr>
        <w:pStyle w:val="Body"/>
        <w:keepNext/>
        <w:spacing w:after="60"/>
        <w:rPr>
          <w:b/>
          <w:lang w:val="en-AU"/>
        </w:rPr>
      </w:pPr>
      <w:r w:rsidRPr="00D07647">
        <w:rPr>
          <w:b/>
          <w:lang w:val="en-AU"/>
        </w:rPr>
        <w:t xml:space="preserve">Information </w:t>
      </w:r>
      <w:r w:rsidR="00AE5D3B" w:rsidRPr="00D07647">
        <w:rPr>
          <w:b/>
          <w:lang w:val="en-AU"/>
        </w:rPr>
        <w:t>a</w:t>
      </w:r>
      <w:r w:rsidRPr="00D07647">
        <w:rPr>
          <w:b/>
          <w:lang w:val="en-AU"/>
        </w:rPr>
        <w:t xml:space="preserve">sset </w:t>
      </w:r>
      <w:r w:rsidR="00AE5D3B" w:rsidRPr="00D07647">
        <w:rPr>
          <w:b/>
          <w:lang w:val="en-AU"/>
        </w:rPr>
        <w:t>r</w:t>
      </w:r>
      <w:r w:rsidRPr="00D07647">
        <w:rPr>
          <w:b/>
          <w:lang w:val="en-AU"/>
        </w:rPr>
        <w:t>egisters</w:t>
      </w:r>
    </w:p>
    <w:p w14:paraId="273AB17C" w14:textId="77777777" w:rsidR="004760A5" w:rsidRDefault="00BD6595">
      <w:pPr>
        <w:pStyle w:val="Body"/>
        <w:rPr>
          <w:rFonts w:asciiTheme="minorHAnsi" w:hAnsiTheme="minorHAnsi" w:cstheme="minorHAnsi"/>
          <w:lang w:val="en-AU"/>
        </w:rPr>
      </w:pPr>
      <w:r w:rsidRPr="00590588">
        <w:rPr>
          <w:rFonts w:asciiTheme="minorHAnsi" w:hAnsiTheme="minorHAnsi" w:cstheme="minorHAnsi"/>
          <w:lang w:val="en-AU"/>
        </w:rPr>
        <w:t xml:space="preserve">The </w:t>
      </w:r>
      <w:hyperlink r:id="rId12" w:history="1">
        <w:r w:rsidRPr="0098427D">
          <w:rPr>
            <w:rStyle w:val="Hyperlink"/>
            <w:lang w:val="en-AU"/>
          </w:rPr>
          <w:t>Victorian Protective Data Security Framework</w:t>
        </w:r>
      </w:hyperlink>
      <w:r w:rsidR="00895A25">
        <w:rPr>
          <w:rFonts w:asciiTheme="minorHAnsi" w:hAnsiTheme="minorHAnsi" w:cstheme="minorHAnsi"/>
          <w:lang w:val="en-AU"/>
        </w:rPr>
        <w:t xml:space="preserve"> (</w:t>
      </w:r>
      <w:r w:rsidR="00895A25" w:rsidRPr="0098427D">
        <w:rPr>
          <w:rFonts w:asciiTheme="minorHAnsi" w:hAnsiTheme="minorHAnsi" w:cstheme="minorHAnsi"/>
          <w:b/>
          <w:bCs/>
          <w:lang w:val="en-AU"/>
        </w:rPr>
        <w:t>VPDSF</w:t>
      </w:r>
      <w:r w:rsidR="00895A25">
        <w:rPr>
          <w:rFonts w:asciiTheme="minorHAnsi" w:hAnsiTheme="minorHAnsi" w:cstheme="minorHAnsi"/>
          <w:lang w:val="en-AU"/>
        </w:rPr>
        <w:t>)</w:t>
      </w:r>
      <w:r w:rsidR="004907E0">
        <w:rPr>
          <w:rFonts w:asciiTheme="minorHAnsi" w:hAnsiTheme="minorHAnsi" w:cstheme="minorHAnsi"/>
          <w:lang w:val="en-AU"/>
        </w:rPr>
        <w:t xml:space="preserve"> and Standards (</w:t>
      </w:r>
      <w:r w:rsidR="004907E0" w:rsidRPr="004907E0">
        <w:rPr>
          <w:rFonts w:asciiTheme="minorHAnsi" w:hAnsiTheme="minorHAnsi" w:cstheme="minorHAnsi"/>
          <w:b/>
          <w:bCs/>
          <w:lang w:val="en-AU"/>
        </w:rPr>
        <w:t>VPDSS</w:t>
      </w:r>
      <w:r w:rsidR="004907E0">
        <w:rPr>
          <w:rFonts w:asciiTheme="minorHAnsi" w:hAnsiTheme="minorHAnsi" w:cstheme="minorHAnsi"/>
          <w:lang w:val="en-AU"/>
        </w:rPr>
        <w:t>)</w:t>
      </w:r>
      <w:r w:rsidR="00AE5D3B" w:rsidRPr="0098427D">
        <w:rPr>
          <w:rFonts w:asciiTheme="minorHAnsi" w:hAnsiTheme="minorHAnsi" w:cstheme="minorHAnsi"/>
          <w:lang w:val="en-AU"/>
        </w:rPr>
        <w:t>,</w:t>
      </w:r>
      <w:r w:rsidRPr="0098427D">
        <w:rPr>
          <w:rFonts w:asciiTheme="minorHAnsi" w:hAnsiTheme="minorHAnsi" w:cstheme="minorHAnsi"/>
          <w:lang w:val="en-AU"/>
        </w:rPr>
        <w:t xml:space="preserve"> issued </w:t>
      </w:r>
      <w:r w:rsidR="00AE5D3B" w:rsidRPr="0098427D">
        <w:rPr>
          <w:rFonts w:asciiTheme="minorHAnsi" w:hAnsiTheme="minorHAnsi" w:cstheme="minorHAnsi"/>
          <w:lang w:val="en-AU"/>
        </w:rPr>
        <w:t xml:space="preserve">by the Information Commissioner </w:t>
      </w:r>
      <w:r w:rsidRPr="0098427D">
        <w:rPr>
          <w:rFonts w:asciiTheme="minorHAnsi" w:hAnsiTheme="minorHAnsi" w:cstheme="minorHAnsi"/>
          <w:lang w:val="en-AU"/>
        </w:rPr>
        <w:t xml:space="preserve">under the </w:t>
      </w:r>
      <w:r w:rsidRPr="0098427D">
        <w:rPr>
          <w:rFonts w:asciiTheme="minorHAnsi" w:hAnsiTheme="minorHAnsi" w:cstheme="minorHAnsi"/>
          <w:i/>
          <w:iCs/>
          <w:lang w:val="en-AU"/>
        </w:rPr>
        <w:t>Privacy and Data Protection Act 2014</w:t>
      </w:r>
      <w:r w:rsidRPr="0098427D">
        <w:rPr>
          <w:rFonts w:asciiTheme="minorHAnsi" w:hAnsiTheme="minorHAnsi" w:cstheme="minorHAnsi"/>
          <w:lang w:val="en-AU"/>
        </w:rPr>
        <w:t xml:space="preserve"> (Vic)</w:t>
      </w:r>
      <w:r w:rsidR="00E058B3" w:rsidRPr="0098427D">
        <w:rPr>
          <w:rFonts w:asciiTheme="minorHAnsi" w:hAnsiTheme="minorHAnsi" w:cstheme="minorHAnsi"/>
          <w:lang w:val="en-AU"/>
        </w:rPr>
        <w:t xml:space="preserve"> (</w:t>
      </w:r>
      <w:r w:rsidR="00E058B3" w:rsidRPr="0098427D">
        <w:rPr>
          <w:b/>
          <w:bCs/>
          <w:lang w:val="en-AU"/>
        </w:rPr>
        <w:t>PDP Act</w:t>
      </w:r>
      <w:r w:rsidR="00E058B3" w:rsidRPr="0098427D">
        <w:rPr>
          <w:lang w:val="en-AU"/>
        </w:rPr>
        <w:t>),</w:t>
      </w:r>
      <w:r w:rsidR="00E058B3" w:rsidRPr="0098427D">
        <w:rPr>
          <w:rFonts w:asciiTheme="minorHAnsi" w:hAnsiTheme="minorHAnsi" w:cstheme="minorHAnsi"/>
          <w:lang w:val="en-AU"/>
        </w:rPr>
        <w:t xml:space="preserve"> </w:t>
      </w:r>
      <w:r w:rsidRPr="0098427D">
        <w:rPr>
          <w:rFonts w:asciiTheme="minorHAnsi" w:hAnsiTheme="minorHAnsi" w:cstheme="minorHAnsi"/>
          <w:lang w:val="en-AU"/>
        </w:rPr>
        <w:t xml:space="preserve">provides a framework </w:t>
      </w:r>
      <w:r w:rsidR="004907E0">
        <w:rPr>
          <w:rFonts w:asciiTheme="minorHAnsi" w:hAnsiTheme="minorHAnsi" w:cstheme="minorHAnsi"/>
          <w:lang w:val="en-AU"/>
        </w:rPr>
        <w:t xml:space="preserve">and supporting standards </w:t>
      </w:r>
      <w:r w:rsidRPr="0098427D">
        <w:rPr>
          <w:rFonts w:asciiTheme="minorHAnsi" w:hAnsiTheme="minorHAnsi" w:cstheme="minorHAnsi"/>
          <w:lang w:val="en-AU"/>
        </w:rPr>
        <w:t xml:space="preserve">for the security of all public sector information. </w:t>
      </w:r>
    </w:p>
    <w:p w14:paraId="7CAF16FE" w14:textId="764DF19B" w:rsidR="00AE5D3B" w:rsidRPr="0098427D" w:rsidRDefault="00BD6595">
      <w:pPr>
        <w:pStyle w:val="Body"/>
        <w:rPr>
          <w:rFonts w:asciiTheme="minorHAnsi" w:hAnsiTheme="minorHAnsi" w:cstheme="minorHAnsi"/>
          <w:b/>
          <w:lang w:val="en-AU"/>
        </w:rPr>
      </w:pPr>
      <w:r w:rsidRPr="0098427D">
        <w:rPr>
          <w:rFonts w:asciiTheme="minorHAnsi" w:hAnsiTheme="minorHAnsi" w:cstheme="minorHAnsi"/>
          <w:lang w:val="en-AU"/>
        </w:rPr>
        <w:t xml:space="preserve">Certain </w:t>
      </w:r>
      <w:r w:rsidR="00AE5D3B" w:rsidRPr="0098427D">
        <w:rPr>
          <w:rFonts w:asciiTheme="minorHAnsi" w:hAnsiTheme="minorHAnsi" w:cstheme="minorHAnsi"/>
          <w:lang w:val="en-AU"/>
        </w:rPr>
        <w:t>Victorian public sector organisations, including departments and statutory authorities</w:t>
      </w:r>
      <w:r w:rsidR="00895A25">
        <w:rPr>
          <w:rFonts w:asciiTheme="minorHAnsi" w:hAnsiTheme="minorHAnsi" w:cstheme="minorHAnsi"/>
          <w:lang w:val="en-AU"/>
        </w:rPr>
        <w:t>,</w:t>
      </w:r>
      <w:r w:rsidR="00AE5D3B" w:rsidRPr="0098427D">
        <w:rPr>
          <w:rFonts w:asciiTheme="minorHAnsi" w:hAnsiTheme="minorHAnsi" w:cstheme="minorHAnsi"/>
          <w:lang w:val="en-AU"/>
        </w:rPr>
        <w:t xml:space="preserve"> </w:t>
      </w:r>
      <w:r w:rsidRPr="0098427D">
        <w:rPr>
          <w:rFonts w:asciiTheme="minorHAnsi" w:hAnsiTheme="minorHAnsi" w:cstheme="minorHAnsi"/>
          <w:lang w:val="en-AU"/>
        </w:rPr>
        <w:t xml:space="preserve">are required to comply with the </w:t>
      </w:r>
      <w:r w:rsidR="00895A25">
        <w:rPr>
          <w:lang w:val="en-AU"/>
        </w:rPr>
        <w:t>VPDSF</w:t>
      </w:r>
      <w:r w:rsidR="001F2CAD">
        <w:rPr>
          <w:lang w:val="en-AU"/>
        </w:rPr>
        <w:t xml:space="preserve"> and VPDSS</w:t>
      </w:r>
      <w:r w:rsidR="00AE5D3B" w:rsidRPr="0098427D">
        <w:rPr>
          <w:rFonts w:asciiTheme="minorHAnsi" w:hAnsiTheme="minorHAnsi" w:cstheme="minorHAnsi"/>
          <w:lang w:val="en-AU"/>
        </w:rPr>
        <w:t>.</w:t>
      </w:r>
    </w:p>
    <w:p w14:paraId="37A777EA" w14:textId="2C7FF9E8" w:rsidR="00AE5D3B" w:rsidRPr="0098427D" w:rsidRDefault="00895A25">
      <w:pPr>
        <w:pStyle w:val="Body"/>
        <w:rPr>
          <w:rFonts w:asciiTheme="minorHAnsi" w:hAnsiTheme="minorHAnsi" w:cstheme="minorHAnsi"/>
          <w:lang w:val="en-AU"/>
        </w:rPr>
      </w:pPr>
      <w:r>
        <w:rPr>
          <w:rFonts w:asciiTheme="minorHAnsi" w:hAnsiTheme="minorHAnsi" w:cstheme="minorHAnsi"/>
          <w:lang w:val="en-AU"/>
        </w:rPr>
        <w:lastRenderedPageBreak/>
        <w:t>The VPDS</w:t>
      </w:r>
      <w:r w:rsidR="006349BC">
        <w:rPr>
          <w:rFonts w:asciiTheme="minorHAnsi" w:hAnsiTheme="minorHAnsi" w:cstheme="minorHAnsi"/>
          <w:lang w:val="en-AU"/>
        </w:rPr>
        <w:t>S</w:t>
      </w:r>
      <w:r w:rsidRPr="0098427D">
        <w:rPr>
          <w:rFonts w:asciiTheme="minorHAnsi" w:hAnsiTheme="minorHAnsi" w:cstheme="minorHAnsi"/>
          <w:lang w:val="en-AU"/>
        </w:rPr>
        <w:t xml:space="preserve"> </w:t>
      </w:r>
      <w:r w:rsidR="00BD6595" w:rsidRPr="0098427D">
        <w:rPr>
          <w:rFonts w:asciiTheme="minorHAnsi" w:hAnsiTheme="minorHAnsi" w:cstheme="minorHAnsi"/>
          <w:lang w:val="en-AU"/>
        </w:rPr>
        <w:t xml:space="preserve">requires </w:t>
      </w:r>
      <w:r w:rsidR="00AE5D3B" w:rsidRPr="0098427D">
        <w:rPr>
          <w:rFonts w:asciiTheme="minorHAnsi" w:hAnsiTheme="minorHAnsi" w:cstheme="minorHAnsi"/>
          <w:lang w:val="en-AU"/>
        </w:rPr>
        <w:t xml:space="preserve">relevant public sector organisations </w:t>
      </w:r>
      <w:r w:rsidR="00BD6595" w:rsidRPr="0098427D">
        <w:rPr>
          <w:rFonts w:asciiTheme="minorHAnsi" w:hAnsiTheme="minorHAnsi" w:cstheme="minorHAnsi"/>
          <w:lang w:val="en-AU"/>
        </w:rPr>
        <w:t xml:space="preserve">to </w:t>
      </w:r>
      <w:r w:rsidR="00AE5D3B" w:rsidRPr="0098427D">
        <w:rPr>
          <w:rFonts w:asciiTheme="minorHAnsi" w:hAnsiTheme="minorHAnsi" w:cstheme="minorHAnsi"/>
          <w:lang w:val="en-AU"/>
        </w:rPr>
        <w:t xml:space="preserve">identify and </w:t>
      </w:r>
      <w:r w:rsidR="00BD6595" w:rsidRPr="0098427D">
        <w:rPr>
          <w:rFonts w:asciiTheme="minorHAnsi" w:hAnsiTheme="minorHAnsi" w:cstheme="minorHAnsi"/>
          <w:lang w:val="en-AU"/>
        </w:rPr>
        <w:t xml:space="preserve">understand their information assets and maintain an information asset </w:t>
      </w:r>
      <w:r>
        <w:rPr>
          <w:rFonts w:asciiTheme="minorHAnsi" w:hAnsiTheme="minorHAnsi" w:cstheme="minorHAnsi"/>
          <w:lang w:val="en-AU"/>
        </w:rPr>
        <w:t>register,</w:t>
      </w:r>
      <w:r w:rsidR="00043162">
        <w:rPr>
          <w:rStyle w:val="FootnoteReference"/>
          <w:rFonts w:asciiTheme="minorHAnsi" w:hAnsiTheme="minorHAnsi" w:cstheme="minorHAnsi"/>
          <w:lang w:val="en-AU"/>
        </w:rPr>
        <w:footnoteReference w:id="3"/>
      </w:r>
      <w:r>
        <w:rPr>
          <w:rFonts w:asciiTheme="minorHAnsi" w:hAnsiTheme="minorHAnsi" w:cstheme="minorHAnsi"/>
          <w:lang w:val="en-AU"/>
        </w:rPr>
        <w:t xml:space="preserve"> which</w:t>
      </w:r>
      <w:r w:rsidR="00BD6595" w:rsidRPr="0098427D">
        <w:rPr>
          <w:rFonts w:asciiTheme="minorHAnsi" w:hAnsiTheme="minorHAnsi" w:cstheme="minorHAnsi"/>
          <w:lang w:val="en-AU"/>
        </w:rPr>
        <w:t xml:space="preserve"> </w:t>
      </w:r>
      <w:r w:rsidR="00AE5D3B" w:rsidRPr="0098427D">
        <w:rPr>
          <w:rFonts w:asciiTheme="minorHAnsi" w:hAnsiTheme="minorHAnsi" w:cstheme="minorHAnsi"/>
          <w:lang w:val="en-AU"/>
        </w:rPr>
        <w:t xml:space="preserve">provides a complete record </w:t>
      </w:r>
      <w:r w:rsidR="00BD6595" w:rsidRPr="0098427D">
        <w:rPr>
          <w:rFonts w:asciiTheme="minorHAnsi" w:hAnsiTheme="minorHAnsi" w:cstheme="minorHAnsi"/>
          <w:lang w:val="en-AU"/>
        </w:rPr>
        <w:t xml:space="preserve">of </w:t>
      </w:r>
      <w:r w:rsidR="00AE5D3B" w:rsidRPr="0098427D">
        <w:rPr>
          <w:rFonts w:asciiTheme="minorHAnsi" w:hAnsiTheme="minorHAnsi" w:cstheme="minorHAnsi"/>
          <w:lang w:val="en-AU"/>
        </w:rPr>
        <w:t>an</w:t>
      </w:r>
      <w:r w:rsidR="00BD6595" w:rsidRPr="0098427D">
        <w:rPr>
          <w:rFonts w:asciiTheme="minorHAnsi" w:hAnsiTheme="minorHAnsi" w:cstheme="minorHAnsi"/>
          <w:lang w:val="en-AU"/>
        </w:rPr>
        <w:t xml:space="preserve"> </w:t>
      </w:r>
      <w:r w:rsidR="00AE5D3B" w:rsidRPr="0098427D">
        <w:rPr>
          <w:rFonts w:asciiTheme="minorHAnsi" w:hAnsiTheme="minorHAnsi" w:cstheme="minorHAnsi"/>
          <w:lang w:val="en-AU"/>
        </w:rPr>
        <w:t xml:space="preserve">agency’s entire </w:t>
      </w:r>
      <w:r w:rsidR="00313B28" w:rsidRPr="0098427D">
        <w:rPr>
          <w:rFonts w:asciiTheme="minorHAnsi" w:hAnsiTheme="minorHAnsi" w:cstheme="minorHAnsi"/>
          <w:lang w:val="en-AU"/>
        </w:rPr>
        <w:t>information holdings.</w:t>
      </w:r>
      <w:r w:rsidR="00BD6595" w:rsidRPr="0098427D">
        <w:rPr>
          <w:rFonts w:asciiTheme="minorHAnsi" w:hAnsiTheme="minorHAnsi" w:cstheme="minorHAnsi"/>
          <w:lang w:val="en-AU"/>
        </w:rPr>
        <w:t xml:space="preserve"> </w:t>
      </w:r>
    </w:p>
    <w:p w14:paraId="39E9D6D3" w14:textId="4E0E7D71" w:rsidR="00BD6595" w:rsidRPr="0098427D" w:rsidRDefault="00AE5D3B">
      <w:pPr>
        <w:pStyle w:val="Body"/>
        <w:rPr>
          <w:rFonts w:asciiTheme="minorHAnsi" w:hAnsiTheme="minorHAnsi" w:cstheme="minorHAnsi"/>
          <w:lang w:val="en-AU"/>
        </w:rPr>
      </w:pPr>
      <w:r w:rsidRPr="0098427D">
        <w:rPr>
          <w:rFonts w:asciiTheme="minorHAnsi" w:hAnsiTheme="minorHAnsi" w:cstheme="minorHAnsi"/>
          <w:lang w:val="en-AU"/>
        </w:rPr>
        <w:t xml:space="preserve">Accordingly, the </w:t>
      </w:r>
      <w:r w:rsidR="00765090" w:rsidRPr="0098427D">
        <w:rPr>
          <w:rFonts w:asciiTheme="minorHAnsi" w:hAnsiTheme="minorHAnsi" w:cstheme="minorHAnsi"/>
          <w:lang w:val="en-AU"/>
        </w:rPr>
        <w:t xml:space="preserve">requirements under the </w:t>
      </w:r>
      <w:r w:rsidR="00895A25">
        <w:rPr>
          <w:rFonts w:asciiTheme="minorHAnsi" w:hAnsiTheme="minorHAnsi" w:cstheme="minorHAnsi"/>
          <w:lang w:val="en-AU"/>
        </w:rPr>
        <w:t>VPDS</w:t>
      </w:r>
      <w:r w:rsidR="0079798C">
        <w:rPr>
          <w:rFonts w:asciiTheme="minorHAnsi" w:hAnsiTheme="minorHAnsi" w:cstheme="minorHAnsi"/>
          <w:lang w:val="en-AU"/>
        </w:rPr>
        <w:t>S</w:t>
      </w:r>
      <w:r w:rsidRPr="0098427D">
        <w:rPr>
          <w:rFonts w:asciiTheme="minorHAnsi" w:hAnsiTheme="minorHAnsi" w:cstheme="minorHAnsi"/>
          <w:lang w:val="en-AU"/>
        </w:rPr>
        <w:t xml:space="preserve"> complement</w:t>
      </w:r>
      <w:r w:rsidR="00765090" w:rsidRPr="0098427D">
        <w:rPr>
          <w:rFonts w:asciiTheme="minorHAnsi" w:hAnsiTheme="minorHAnsi" w:cstheme="minorHAnsi"/>
          <w:lang w:val="en-AU"/>
        </w:rPr>
        <w:t xml:space="preserve"> those under</w:t>
      </w:r>
      <w:r w:rsidRPr="0098427D">
        <w:rPr>
          <w:rFonts w:asciiTheme="minorHAnsi" w:hAnsiTheme="minorHAnsi" w:cstheme="minorHAnsi"/>
          <w:lang w:val="en-AU"/>
        </w:rPr>
        <w:t xml:space="preserve"> Part II of the Act, as </w:t>
      </w:r>
      <w:r w:rsidR="00895A25">
        <w:rPr>
          <w:rFonts w:asciiTheme="minorHAnsi" w:hAnsiTheme="minorHAnsi" w:cstheme="minorHAnsi"/>
          <w:lang w:val="en-AU"/>
        </w:rPr>
        <w:t>they</w:t>
      </w:r>
      <w:r w:rsidR="00895A25" w:rsidRPr="0098427D">
        <w:rPr>
          <w:rFonts w:asciiTheme="minorHAnsi" w:hAnsiTheme="minorHAnsi" w:cstheme="minorHAnsi"/>
          <w:lang w:val="en-AU"/>
        </w:rPr>
        <w:t xml:space="preserve"> </w:t>
      </w:r>
      <w:r w:rsidR="00BD6595" w:rsidRPr="0098427D">
        <w:rPr>
          <w:rFonts w:asciiTheme="minorHAnsi" w:hAnsiTheme="minorHAnsi" w:cstheme="minorHAnsi"/>
          <w:lang w:val="en-AU"/>
        </w:rPr>
        <w:t>involve</w:t>
      </w:r>
      <w:r w:rsidRPr="0098427D">
        <w:rPr>
          <w:rFonts w:asciiTheme="minorHAnsi" w:hAnsiTheme="minorHAnsi" w:cstheme="minorHAnsi"/>
          <w:lang w:val="en-AU"/>
        </w:rPr>
        <w:t xml:space="preserve"> an agency</w:t>
      </w:r>
      <w:r w:rsidR="00BD6595" w:rsidRPr="0098427D">
        <w:rPr>
          <w:rFonts w:asciiTheme="minorHAnsi" w:hAnsiTheme="minorHAnsi" w:cstheme="minorHAnsi"/>
          <w:lang w:val="en-AU"/>
        </w:rPr>
        <w:t xml:space="preserve"> identifying information assets that may be appropriate for public release</w:t>
      </w:r>
      <w:r w:rsidRPr="0098427D">
        <w:rPr>
          <w:rFonts w:asciiTheme="minorHAnsi" w:hAnsiTheme="minorHAnsi" w:cstheme="minorHAnsi"/>
          <w:lang w:val="en-AU"/>
        </w:rPr>
        <w:t xml:space="preserve">, which provides assistance to agencies in meeting their obligations under </w:t>
      </w:r>
      <w:r w:rsidR="00BD6595" w:rsidRPr="0098427D">
        <w:rPr>
          <w:rFonts w:asciiTheme="minorHAnsi" w:hAnsiTheme="minorHAnsi" w:cstheme="minorHAnsi"/>
          <w:lang w:val="en-AU"/>
        </w:rPr>
        <w:t>Part II of the Act</w:t>
      </w:r>
      <w:r w:rsidR="00E058B3" w:rsidRPr="0098427D">
        <w:rPr>
          <w:rFonts w:asciiTheme="minorHAnsi" w:hAnsiTheme="minorHAnsi" w:cstheme="minorHAnsi"/>
          <w:lang w:val="en-AU"/>
        </w:rPr>
        <w:t>.</w:t>
      </w:r>
    </w:p>
    <w:p w14:paraId="472E22F0" w14:textId="085722BF" w:rsidR="007B32C9" w:rsidRPr="00041CF8" w:rsidRDefault="007B32C9" w:rsidP="006D7D25">
      <w:pPr>
        <w:pStyle w:val="Heading-1"/>
      </w:pPr>
      <w:r w:rsidRPr="00041CF8">
        <w:t>Considerations for proactive release</w:t>
      </w:r>
    </w:p>
    <w:p w14:paraId="015C36D1" w14:textId="380D993B" w:rsidR="00172A22" w:rsidRPr="00AF4424" w:rsidRDefault="00172A22" w:rsidP="00172A22">
      <w:pPr>
        <w:pStyle w:val="Body"/>
        <w:rPr>
          <w:lang w:val="en-AU"/>
        </w:rPr>
      </w:pPr>
      <w:r w:rsidRPr="00AF4424">
        <w:rPr>
          <w:lang w:val="en-AU"/>
        </w:rPr>
        <w:t xml:space="preserve">When considering whether information or </w:t>
      </w:r>
      <w:r w:rsidR="00313B28" w:rsidRPr="00AF4424">
        <w:rPr>
          <w:lang w:val="en-AU"/>
        </w:rPr>
        <w:t xml:space="preserve">a </w:t>
      </w:r>
      <w:r w:rsidRPr="00AF4424">
        <w:rPr>
          <w:lang w:val="en-AU"/>
        </w:rPr>
        <w:t xml:space="preserve">document </w:t>
      </w:r>
      <w:r w:rsidR="0098413C">
        <w:rPr>
          <w:lang w:val="en-AU"/>
        </w:rPr>
        <w:t>can</w:t>
      </w:r>
      <w:r w:rsidR="0098413C" w:rsidRPr="00AF4424">
        <w:rPr>
          <w:lang w:val="en-AU"/>
        </w:rPr>
        <w:t xml:space="preserve"> </w:t>
      </w:r>
      <w:r w:rsidRPr="00AF4424">
        <w:rPr>
          <w:lang w:val="en-AU"/>
        </w:rPr>
        <w:t xml:space="preserve">be </w:t>
      </w:r>
      <w:r w:rsidR="00AF15B5" w:rsidRPr="00AF4424">
        <w:rPr>
          <w:lang w:val="en-AU"/>
        </w:rPr>
        <w:t xml:space="preserve">proactively </w:t>
      </w:r>
      <w:r w:rsidRPr="00AF4424">
        <w:rPr>
          <w:lang w:val="en-AU"/>
        </w:rPr>
        <w:t xml:space="preserve">released, agencies may have regard to factors, </w:t>
      </w:r>
      <w:r w:rsidR="00AF15B5" w:rsidRPr="00AF4424">
        <w:rPr>
          <w:lang w:val="en-AU"/>
        </w:rPr>
        <w:t>including</w:t>
      </w:r>
      <w:r w:rsidRPr="00AF4424">
        <w:rPr>
          <w:lang w:val="en-AU"/>
        </w:rPr>
        <w:t>:</w:t>
      </w:r>
    </w:p>
    <w:p w14:paraId="38D56E1E" w14:textId="6460F559" w:rsidR="00B6701A" w:rsidRPr="00250108" w:rsidRDefault="00445BAB" w:rsidP="00250108">
      <w:pPr>
        <w:pStyle w:val="Body"/>
        <w:keepNext/>
        <w:spacing w:after="60"/>
        <w:rPr>
          <w:b/>
          <w:lang w:val="en-AU"/>
        </w:rPr>
      </w:pPr>
      <w:r w:rsidRPr="00250108">
        <w:rPr>
          <w:b/>
          <w:lang w:val="en-AU"/>
        </w:rPr>
        <w:t>Common information requests</w:t>
      </w:r>
    </w:p>
    <w:p w14:paraId="1BC6B91C" w14:textId="7380257C" w:rsidR="00445BAB" w:rsidRPr="00AF4424" w:rsidRDefault="00445BAB" w:rsidP="00E058B3">
      <w:pPr>
        <w:pStyle w:val="Body"/>
        <w:rPr>
          <w:bCs/>
          <w:lang w:val="en-AU"/>
        </w:rPr>
      </w:pPr>
      <w:r w:rsidRPr="00AF4424">
        <w:rPr>
          <w:bCs/>
          <w:lang w:val="en-AU"/>
        </w:rPr>
        <w:t>Whether there have been repeated requests for the same type of information or document, indicating that it may be of general interest to the public and should be made publicly available.</w:t>
      </w:r>
    </w:p>
    <w:p w14:paraId="08559BF4" w14:textId="77777777" w:rsidR="00B6701A" w:rsidRPr="00AF4424" w:rsidRDefault="00445BAB" w:rsidP="00250108">
      <w:pPr>
        <w:pStyle w:val="Body"/>
        <w:keepNext/>
        <w:spacing w:after="60"/>
        <w:rPr>
          <w:b/>
          <w:lang w:val="en-AU"/>
        </w:rPr>
      </w:pPr>
      <w:r w:rsidRPr="00AF4424">
        <w:rPr>
          <w:b/>
          <w:lang w:val="en-AU"/>
        </w:rPr>
        <w:t>Privacy</w:t>
      </w:r>
    </w:p>
    <w:p w14:paraId="727D1908" w14:textId="695EA9A2" w:rsidR="00445BAB" w:rsidRPr="00AF4424" w:rsidRDefault="0093355C" w:rsidP="00E058B3">
      <w:pPr>
        <w:pStyle w:val="Body"/>
        <w:rPr>
          <w:lang w:val="en-AU"/>
        </w:rPr>
      </w:pPr>
      <w:r w:rsidRPr="00AF4424">
        <w:rPr>
          <w:lang w:val="en-AU"/>
        </w:rPr>
        <w:t>A</w:t>
      </w:r>
      <w:r w:rsidR="00445BAB" w:rsidRPr="00AF4424">
        <w:rPr>
          <w:lang w:val="en-AU"/>
        </w:rPr>
        <w:t>gencies should consider the Information Privacy Principles under</w:t>
      </w:r>
      <w:r w:rsidR="00E058B3" w:rsidRPr="00AF4424">
        <w:rPr>
          <w:lang w:val="en-AU"/>
        </w:rPr>
        <w:t xml:space="preserve"> the PDP Act</w:t>
      </w:r>
      <w:r w:rsidR="00445BAB" w:rsidRPr="00AF4424">
        <w:rPr>
          <w:lang w:val="en-AU"/>
        </w:rPr>
        <w:t xml:space="preserve">, and ensure they have the authority under the PDP Act or other legislation to </w:t>
      </w:r>
      <w:r w:rsidRPr="00AF4424">
        <w:rPr>
          <w:lang w:val="en-AU"/>
        </w:rPr>
        <w:t xml:space="preserve">proactively </w:t>
      </w:r>
      <w:r w:rsidR="00445BAB" w:rsidRPr="00AF4424">
        <w:rPr>
          <w:lang w:val="en-AU"/>
        </w:rPr>
        <w:t>release or publish any personal information. In most instances</w:t>
      </w:r>
      <w:r w:rsidR="00475AE2" w:rsidRPr="00AF4424">
        <w:rPr>
          <w:lang w:val="en-AU"/>
        </w:rPr>
        <w:t>,</w:t>
      </w:r>
      <w:r w:rsidR="00445BAB" w:rsidRPr="00AF4424">
        <w:rPr>
          <w:lang w:val="en-AU"/>
        </w:rPr>
        <w:t xml:space="preserve"> </w:t>
      </w:r>
      <w:r w:rsidR="00D101F6">
        <w:rPr>
          <w:lang w:val="en-AU"/>
        </w:rPr>
        <w:t xml:space="preserve">personal information in a </w:t>
      </w:r>
      <w:r w:rsidR="00445BAB" w:rsidRPr="00AF4424">
        <w:rPr>
          <w:lang w:val="en-AU"/>
        </w:rPr>
        <w:t>document</w:t>
      </w:r>
      <w:r w:rsidR="00D101F6">
        <w:rPr>
          <w:lang w:val="en-AU"/>
        </w:rPr>
        <w:t xml:space="preserve"> </w:t>
      </w:r>
      <w:r w:rsidR="00445BAB" w:rsidRPr="00AF4424">
        <w:rPr>
          <w:lang w:val="en-AU"/>
        </w:rPr>
        <w:t xml:space="preserve">will not be appropriate for proactive release unless there is a legislative requirement for it to be published. </w:t>
      </w:r>
      <w:r w:rsidR="00D101F6">
        <w:rPr>
          <w:lang w:val="en-AU"/>
        </w:rPr>
        <w:t>Instead, agencies may consider providing access to the document with the personal information removed.</w:t>
      </w:r>
    </w:p>
    <w:p w14:paraId="16D5A7A6" w14:textId="77777777" w:rsidR="00B6701A" w:rsidRPr="00AF4424" w:rsidRDefault="00445BAB" w:rsidP="00250108">
      <w:pPr>
        <w:pStyle w:val="Body"/>
        <w:keepNext/>
        <w:spacing w:after="60"/>
        <w:rPr>
          <w:lang w:val="en-AU"/>
        </w:rPr>
      </w:pPr>
      <w:r w:rsidRPr="00AF4424">
        <w:rPr>
          <w:b/>
          <w:lang w:val="en-AU"/>
        </w:rPr>
        <w:t>Restrictions on release</w:t>
      </w:r>
    </w:p>
    <w:p w14:paraId="1921D999" w14:textId="6CAE32DC" w:rsidR="00445BAB" w:rsidRPr="00AF4424" w:rsidRDefault="00445BAB" w:rsidP="00E058B3">
      <w:pPr>
        <w:pStyle w:val="Body"/>
        <w:rPr>
          <w:lang w:val="en-AU"/>
        </w:rPr>
      </w:pPr>
      <w:r w:rsidRPr="00AF4424">
        <w:rPr>
          <w:lang w:val="en-AU"/>
        </w:rPr>
        <w:t>A</w:t>
      </w:r>
      <w:r w:rsidR="00172A22" w:rsidRPr="00AF4424">
        <w:rPr>
          <w:lang w:val="en-AU"/>
        </w:rPr>
        <w:t xml:space="preserve">ny statutory secrecy provisions </w:t>
      </w:r>
      <w:r w:rsidRPr="00AF4424">
        <w:rPr>
          <w:lang w:val="en-AU"/>
        </w:rPr>
        <w:t>or other restrictions (for example</w:t>
      </w:r>
      <w:r w:rsidR="00C834C4" w:rsidRPr="00AF4424">
        <w:rPr>
          <w:lang w:val="en-AU"/>
        </w:rPr>
        <w:t>,</w:t>
      </w:r>
      <w:r w:rsidRPr="00AF4424">
        <w:rPr>
          <w:lang w:val="en-AU"/>
        </w:rPr>
        <w:t xml:space="preserve"> a court order) </w:t>
      </w:r>
      <w:r w:rsidR="00172A22" w:rsidRPr="00AF4424">
        <w:rPr>
          <w:lang w:val="en-AU"/>
        </w:rPr>
        <w:t>that may prevent the release of the information</w:t>
      </w:r>
      <w:r w:rsidRPr="00AF4424">
        <w:rPr>
          <w:lang w:val="en-AU"/>
        </w:rPr>
        <w:t xml:space="preserve"> or document.</w:t>
      </w:r>
    </w:p>
    <w:p w14:paraId="33BAEBE2" w14:textId="72D128DF" w:rsidR="00B6701A" w:rsidRPr="00AF4424" w:rsidRDefault="00445BAB" w:rsidP="00250108">
      <w:pPr>
        <w:pStyle w:val="Body"/>
        <w:keepNext/>
        <w:spacing w:after="60"/>
        <w:rPr>
          <w:lang w:val="en-AU"/>
        </w:rPr>
      </w:pPr>
      <w:r w:rsidRPr="00250108">
        <w:rPr>
          <w:b/>
          <w:lang w:val="en-AU"/>
        </w:rPr>
        <w:t>Unconditional</w:t>
      </w:r>
      <w:r w:rsidRPr="00AF4424">
        <w:rPr>
          <w:lang w:val="en-AU"/>
        </w:rPr>
        <w:t xml:space="preserve"> </w:t>
      </w:r>
      <w:r w:rsidRPr="00250108">
        <w:rPr>
          <w:b/>
          <w:bCs/>
          <w:lang w:val="en-AU"/>
        </w:rPr>
        <w:t>use</w:t>
      </w:r>
    </w:p>
    <w:p w14:paraId="527062BE" w14:textId="32067376" w:rsidR="00445BAB" w:rsidRPr="00AF4424" w:rsidRDefault="00445BAB" w:rsidP="00E058B3">
      <w:pPr>
        <w:pStyle w:val="Heading-2"/>
        <w:rPr>
          <w:lang w:val="en-AU"/>
        </w:rPr>
      </w:pPr>
      <w:r w:rsidRPr="00AF4424">
        <w:rPr>
          <w:b w:val="0"/>
          <w:lang w:val="en-AU"/>
        </w:rPr>
        <w:t xml:space="preserve">Documents released under the Act are released without any conditions or restrictions on their future use or further dissemination. Similarly, the Act does not impose limits on how documents or information proactively released may be used. Agencies should keep this in mind when considering proactive release.  </w:t>
      </w:r>
    </w:p>
    <w:p w14:paraId="2CCD0A32" w14:textId="77777777" w:rsidR="00B6701A" w:rsidRPr="00AF4424" w:rsidRDefault="00445BAB" w:rsidP="00250108">
      <w:pPr>
        <w:pStyle w:val="Body"/>
        <w:keepNext/>
        <w:spacing w:after="60"/>
        <w:rPr>
          <w:lang w:val="en-AU"/>
        </w:rPr>
      </w:pPr>
      <w:r w:rsidRPr="00AF4424">
        <w:rPr>
          <w:b/>
          <w:lang w:val="en-AU"/>
        </w:rPr>
        <w:t>Protection from liability</w:t>
      </w:r>
    </w:p>
    <w:p w14:paraId="573AEEB5" w14:textId="5647429E" w:rsidR="00445BAB" w:rsidRPr="00AF4424" w:rsidRDefault="00445BAB" w:rsidP="00E058B3">
      <w:pPr>
        <w:pStyle w:val="Body"/>
        <w:rPr>
          <w:lang w:val="en-AU"/>
        </w:rPr>
      </w:pPr>
      <w:bookmarkStart w:id="0" w:name="_Hlk21085071"/>
      <w:r w:rsidRPr="00AF4424">
        <w:rPr>
          <w:lang w:val="en-AU"/>
        </w:rPr>
        <w:t>The protections against defamation or breach of confidence</w:t>
      </w:r>
      <w:r w:rsidR="00B6701A" w:rsidRPr="00AF4424">
        <w:rPr>
          <w:lang w:val="en-AU"/>
        </w:rPr>
        <w:t xml:space="preserve"> </w:t>
      </w:r>
      <w:r w:rsidRPr="00AF4424">
        <w:rPr>
          <w:lang w:val="en-AU"/>
        </w:rPr>
        <w:t xml:space="preserve">under section 62 do not apply </w:t>
      </w:r>
      <w:r w:rsidR="00C92028" w:rsidRPr="00AF4424">
        <w:rPr>
          <w:lang w:val="en-AU"/>
        </w:rPr>
        <w:t>to</w:t>
      </w:r>
      <w:r w:rsidRPr="00AF4424">
        <w:rPr>
          <w:lang w:val="en-AU"/>
        </w:rPr>
        <w:t xml:space="preserve"> proactive release</w:t>
      </w:r>
      <w:r w:rsidR="00C92028" w:rsidRPr="00AF4424">
        <w:rPr>
          <w:lang w:val="en-AU"/>
        </w:rPr>
        <w:t xml:space="preserve"> outside the Act</w:t>
      </w:r>
      <w:r w:rsidRPr="00AF4424">
        <w:rPr>
          <w:lang w:val="en-AU"/>
        </w:rPr>
        <w:t>. However, this should not be seen as a barrier to proactive release as these protections do not have general application and will only apply when relevant.</w:t>
      </w:r>
    </w:p>
    <w:p w14:paraId="085A06B5" w14:textId="7F1FB20C" w:rsidR="00A1764D" w:rsidRPr="00041CF8" w:rsidRDefault="001C6F62" w:rsidP="006D7D25">
      <w:pPr>
        <w:pStyle w:val="Heading-1"/>
      </w:pPr>
      <w:r>
        <w:t>Supporting a culture of proactive release</w:t>
      </w:r>
    </w:p>
    <w:p w14:paraId="09277518" w14:textId="67A0DD63" w:rsidR="00D14A9E" w:rsidRPr="001C6F62" w:rsidRDefault="00D14A9E" w:rsidP="006F6312">
      <w:pPr>
        <w:pStyle w:val="Body"/>
        <w:rPr>
          <w:bCs/>
          <w:lang w:val="en-AU"/>
        </w:rPr>
      </w:pPr>
      <w:r w:rsidRPr="00CA46A7">
        <w:rPr>
          <w:lang w:val="en-AU"/>
        </w:rPr>
        <w:t>There</w:t>
      </w:r>
      <w:r>
        <w:rPr>
          <w:bCs/>
          <w:lang w:val="en-AU"/>
        </w:rPr>
        <w:t xml:space="preserve"> are </w:t>
      </w:r>
      <w:r w:rsidR="00CA46A7">
        <w:rPr>
          <w:bCs/>
          <w:lang w:val="en-AU"/>
        </w:rPr>
        <w:t xml:space="preserve">various </w:t>
      </w:r>
      <w:r>
        <w:rPr>
          <w:bCs/>
          <w:lang w:val="en-AU"/>
        </w:rPr>
        <w:t>steps a</w:t>
      </w:r>
      <w:r w:rsidR="00191412">
        <w:rPr>
          <w:bCs/>
          <w:lang w:val="en-AU"/>
        </w:rPr>
        <w:t xml:space="preserve">n agency </w:t>
      </w:r>
      <w:r>
        <w:rPr>
          <w:bCs/>
          <w:lang w:val="en-AU"/>
        </w:rPr>
        <w:t xml:space="preserve">can take to promote and encourage proactive release of information. </w:t>
      </w:r>
    </w:p>
    <w:p w14:paraId="0D3164BF" w14:textId="5C461F31" w:rsidR="00041CF8" w:rsidRPr="003D4733" w:rsidRDefault="00041CF8" w:rsidP="006F6312">
      <w:pPr>
        <w:pStyle w:val="Body"/>
        <w:keepNext/>
        <w:spacing w:after="60"/>
        <w:rPr>
          <w:lang w:val="en-AU"/>
        </w:rPr>
      </w:pPr>
      <w:r>
        <w:rPr>
          <w:b/>
          <w:lang w:val="en-AU"/>
        </w:rPr>
        <w:t xml:space="preserve">Adopt a </w:t>
      </w:r>
      <w:r w:rsidRPr="00CA46A7">
        <w:rPr>
          <w:b/>
          <w:bCs/>
          <w:lang w:val="en-AU"/>
        </w:rPr>
        <w:t>proactive</w:t>
      </w:r>
      <w:r w:rsidRPr="003D4733">
        <w:rPr>
          <w:b/>
          <w:lang w:val="en-AU"/>
        </w:rPr>
        <w:t xml:space="preserve"> and informal release policy</w:t>
      </w:r>
    </w:p>
    <w:p w14:paraId="2C390C09" w14:textId="238F7A0E" w:rsidR="00B742E3" w:rsidRDefault="00041CF8" w:rsidP="00041CF8">
      <w:pPr>
        <w:pStyle w:val="Body"/>
        <w:rPr>
          <w:lang w:val="en-AU"/>
        </w:rPr>
      </w:pPr>
      <w:r w:rsidRPr="003D4733">
        <w:rPr>
          <w:lang w:val="en-AU"/>
        </w:rPr>
        <w:t xml:space="preserve">Adopting a </w:t>
      </w:r>
      <w:r w:rsidR="00D14A9E">
        <w:rPr>
          <w:lang w:val="en-AU"/>
        </w:rPr>
        <w:t xml:space="preserve">policy to guide the proactive and informal release of information </w:t>
      </w:r>
      <w:r w:rsidRPr="003D4733">
        <w:rPr>
          <w:lang w:val="en-AU"/>
        </w:rPr>
        <w:t xml:space="preserve">can assist agency staff to </w:t>
      </w:r>
      <w:r>
        <w:rPr>
          <w:lang w:val="en-AU"/>
        </w:rPr>
        <w:t xml:space="preserve">confidently provide access to information outside of the Act. </w:t>
      </w:r>
      <w:r w:rsidRPr="003D4733">
        <w:rPr>
          <w:lang w:val="en-AU"/>
        </w:rPr>
        <w:t xml:space="preserve">A </w:t>
      </w:r>
      <w:r w:rsidR="00D14A9E">
        <w:rPr>
          <w:lang w:val="en-AU"/>
        </w:rPr>
        <w:t>p</w:t>
      </w:r>
      <w:r w:rsidRPr="003D4733">
        <w:rPr>
          <w:lang w:val="en-AU"/>
        </w:rPr>
        <w:t xml:space="preserve">olicy </w:t>
      </w:r>
      <w:r w:rsidR="007A3B2A">
        <w:rPr>
          <w:lang w:val="en-AU"/>
        </w:rPr>
        <w:t>should</w:t>
      </w:r>
      <w:r w:rsidR="00D14A9E">
        <w:rPr>
          <w:lang w:val="en-AU"/>
        </w:rPr>
        <w:t xml:space="preserve"> </w:t>
      </w:r>
      <w:r w:rsidRPr="003D4733">
        <w:rPr>
          <w:lang w:val="en-AU"/>
        </w:rPr>
        <w:t>identif</w:t>
      </w:r>
      <w:r w:rsidR="00D14A9E">
        <w:rPr>
          <w:lang w:val="en-AU"/>
        </w:rPr>
        <w:t>y</w:t>
      </w:r>
      <w:r w:rsidRPr="003D4733">
        <w:rPr>
          <w:lang w:val="en-AU"/>
        </w:rPr>
        <w:t xml:space="preserve"> information that can be </w:t>
      </w:r>
      <w:r w:rsidR="00D4435C">
        <w:rPr>
          <w:lang w:val="en-AU"/>
        </w:rPr>
        <w:t xml:space="preserve">proactively or </w:t>
      </w:r>
      <w:r w:rsidRPr="003D4733">
        <w:rPr>
          <w:lang w:val="en-AU"/>
        </w:rPr>
        <w:t xml:space="preserve">informally released </w:t>
      </w:r>
      <w:r w:rsidR="00D4435C">
        <w:rPr>
          <w:lang w:val="en-AU"/>
        </w:rPr>
        <w:t xml:space="preserve">(such as commonly requested information) </w:t>
      </w:r>
      <w:r w:rsidRPr="003D4733">
        <w:rPr>
          <w:lang w:val="en-AU"/>
        </w:rPr>
        <w:t xml:space="preserve">and </w:t>
      </w:r>
      <w:r w:rsidR="00D4435C">
        <w:rPr>
          <w:lang w:val="en-AU"/>
        </w:rPr>
        <w:t>authorise</w:t>
      </w:r>
      <w:r w:rsidRPr="003D4733">
        <w:rPr>
          <w:lang w:val="en-AU"/>
        </w:rPr>
        <w:t xml:space="preserve"> agency staff to </w:t>
      </w:r>
      <w:r w:rsidR="00D4435C">
        <w:rPr>
          <w:lang w:val="en-AU"/>
        </w:rPr>
        <w:t>facilitate</w:t>
      </w:r>
      <w:r w:rsidRPr="003D4733">
        <w:rPr>
          <w:lang w:val="en-AU"/>
        </w:rPr>
        <w:t xml:space="preserve"> access to </w:t>
      </w:r>
      <w:r w:rsidR="00D4435C">
        <w:rPr>
          <w:lang w:val="en-AU"/>
        </w:rPr>
        <w:t>it</w:t>
      </w:r>
      <w:r w:rsidRPr="003D4733">
        <w:rPr>
          <w:lang w:val="en-AU"/>
        </w:rPr>
        <w:t xml:space="preserve">. </w:t>
      </w:r>
    </w:p>
    <w:p w14:paraId="3AF2B1F4" w14:textId="4A65534A" w:rsidR="00041CF8" w:rsidRPr="003D4733" w:rsidRDefault="007A3B2A" w:rsidP="00041CF8">
      <w:pPr>
        <w:pStyle w:val="Body"/>
        <w:rPr>
          <w:lang w:val="en-AU"/>
        </w:rPr>
      </w:pPr>
      <w:r>
        <w:rPr>
          <w:lang w:val="en-AU"/>
        </w:rPr>
        <w:lastRenderedPageBreak/>
        <w:t xml:space="preserve">Agencies may choose to publish their policies so that the public and other stakeholders are aware of the types of information the agency routinely provides access to outside of the Act. </w:t>
      </w:r>
      <w:r w:rsidR="00041CF8" w:rsidRPr="003D4733">
        <w:rPr>
          <w:lang w:val="en-AU"/>
        </w:rPr>
        <w:t xml:space="preserve">For an example of what should be included in </w:t>
      </w:r>
      <w:r>
        <w:rPr>
          <w:lang w:val="en-AU"/>
        </w:rPr>
        <w:t>a proactive and informal release p</w:t>
      </w:r>
      <w:r w:rsidR="00041CF8" w:rsidRPr="003D4733">
        <w:rPr>
          <w:lang w:val="en-AU"/>
        </w:rPr>
        <w:t xml:space="preserve">olicy, refer to OVIC’s </w:t>
      </w:r>
      <w:r>
        <w:rPr>
          <w:lang w:val="en-AU"/>
        </w:rPr>
        <w:t xml:space="preserve">forthcoming </w:t>
      </w:r>
      <w:r w:rsidR="00041CF8" w:rsidRPr="003D4733">
        <w:rPr>
          <w:i/>
          <w:iCs/>
          <w:lang w:val="en-AU"/>
        </w:rPr>
        <w:t>Proactive and Informal Release Policy Template</w:t>
      </w:r>
      <w:r w:rsidR="00041CF8" w:rsidRPr="003D4733">
        <w:rPr>
          <w:lang w:val="en-AU"/>
        </w:rPr>
        <w:t>.</w:t>
      </w:r>
      <w:bookmarkStart w:id="1" w:name="_Hlk20908231"/>
      <w:r w:rsidR="00041CF8" w:rsidRPr="003D4733">
        <w:rPr>
          <w:lang w:val="en-AU"/>
        </w:rPr>
        <w:t xml:space="preserve"> </w:t>
      </w:r>
      <w:bookmarkEnd w:id="1"/>
    </w:p>
    <w:p w14:paraId="0BA1AAD2" w14:textId="0E8D9072" w:rsidR="00041CF8" w:rsidRPr="003D4733" w:rsidRDefault="00041CF8" w:rsidP="006F6312">
      <w:pPr>
        <w:pStyle w:val="Body"/>
        <w:keepNext/>
        <w:spacing w:after="60"/>
        <w:rPr>
          <w:b/>
          <w:bCs/>
          <w:lang w:val="en-AU"/>
        </w:rPr>
      </w:pPr>
      <w:r w:rsidRPr="003D4733">
        <w:rPr>
          <w:b/>
          <w:bCs/>
          <w:lang w:val="en-AU"/>
        </w:rPr>
        <w:t xml:space="preserve">Keep </w:t>
      </w:r>
      <w:r w:rsidRPr="00CA46A7">
        <w:rPr>
          <w:b/>
          <w:lang w:val="en-AU"/>
        </w:rPr>
        <w:t>Part</w:t>
      </w:r>
      <w:r w:rsidRPr="003D4733">
        <w:rPr>
          <w:b/>
          <w:bCs/>
          <w:lang w:val="en-AU"/>
        </w:rPr>
        <w:t xml:space="preserve"> II information </w:t>
      </w:r>
      <w:r w:rsidR="006630DA">
        <w:rPr>
          <w:b/>
          <w:bCs/>
          <w:lang w:val="en-AU"/>
        </w:rPr>
        <w:t xml:space="preserve">statements </w:t>
      </w:r>
      <w:r w:rsidRPr="003D4733">
        <w:rPr>
          <w:b/>
          <w:bCs/>
          <w:lang w:val="en-AU"/>
        </w:rPr>
        <w:t>current</w:t>
      </w:r>
    </w:p>
    <w:p w14:paraId="65780B7B" w14:textId="72446FC2" w:rsidR="00041CF8" w:rsidRDefault="00041CF8" w:rsidP="006F6312">
      <w:pPr>
        <w:pStyle w:val="Body"/>
        <w:keepNext/>
        <w:widowControl/>
        <w:rPr>
          <w:lang w:val="en-AU"/>
        </w:rPr>
      </w:pPr>
      <w:r w:rsidRPr="003D4733">
        <w:rPr>
          <w:lang w:val="en-AU"/>
        </w:rPr>
        <w:t>Maintaining</w:t>
      </w:r>
      <w:r w:rsidR="007A3B2A">
        <w:rPr>
          <w:lang w:val="en-AU"/>
        </w:rPr>
        <w:t xml:space="preserve"> </w:t>
      </w:r>
      <w:r w:rsidRPr="003D4733">
        <w:rPr>
          <w:lang w:val="en-AU"/>
        </w:rPr>
        <w:t xml:space="preserve">Part II information </w:t>
      </w:r>
      <w:r w:rsidR="006630DA">
        <w:rPr>
          <w:lang w:val="en-AU"/>
        </w:rPr>
        <w:t xml:space="preserve">statements </w:t>
      </w:r>
      <w:r w:rsidRPr="003D4733">
        <w:rPr>
          <w:lang w:val="en-AU"/>
        </w:rPr>
        <w:t>helps the public to understand what information an agency holds and in what form.</w:t>
      </w:r>
      <w:r>
        <w:rPr>
          <w:lang w:val="en-AU"/>
        </w:rPr>
        <w:t xml:space="preserve"> </w:t>
      </w:r>
      <w:r w:rsidRPr="009D19C5">
        <w:rPr>
          <w:lang w:val="en-AU"/>
        </w:rPr>
        <w:t xml:space="preserve">Information published under Part II is required to be reviewed at least once every twelve months to </w:t>
      </w:r>
      <w:r>
        <w:rPr>
          <w:lang w:val="en-AU"/>
        </w:rPr>
        <w:t>make sure</w:t>
      </w:r>
      <w:r w:rsidRPr="009D19C5">
        <w:rPr>
          <w:lang w:val="en-AU"/>
        </w:rPr>
        <w:t xml:space="preserve"> it is up to date.</w:t>
      </w:r>
      <w:r w:rsidR="00B564EA">
        <w:rPr>
          <w:rStyle w:val="FootnoteReference"/>
          <w:lang w:val="en-AU"/>
        </w:rPr>
        <w:footnoteReference w:id="4"/>
      </w:r>
      <w:r w:rsidRPr="009D19C5">
        <w:rPr>
          <w:lang w:val="en-AU"/>
        </w:rPr>
        <w:t xml:space="preserve"> Each agency should take the most practical and efficient approach to keeping its Part II information</w:t>
      </w:r>
      <w:r w:rsidR="006630DA">
        <w:rPr>
          <w:lang w:val="en-AU"/>
        </w:rPr>
        <w:t xml:space="preserve"> statements</w:t>
      </w:r>
      <w:r w:rsidRPr="009D19C5">
        <w:rPr>
          <w:lang w:val="en-AU"/>
        </w:rPr>
        <w:t xml:space="preserve"> up to date</w:t>
      </w:r>
      <w:r>
        <w:rPr>
          <w:lang w:val="en-AU"/>
        </w:rPr>
        <w:t xml:space="preserve">. For example, </w:t>
      </w:r>
      <w:r w:rsidR="006630DA">
        <w:rPr>
          <w:lang w:val="en-AU"/>
        </w:rPr>
        <w:t xml:space="preserve">reviewing and </w:t>
      </w:r>
      <w:r w:rsidRPr="009D19C5">
        <w:rPr>
          <w:lang w:val="en-AU"/>
        </w:rPr>
        <w:t>updat</w:t>
      </w:r>
      <w:r w:rsidR="006630DA">
        <w:rPr>
          <w:lang w:val="en-AU"/>
        </w:rPr>
        <w:t>ing</w:t>
      </w:r>
      <w:r w:rsidRPr="009D19C5">
        <w:rPr>
          <w:lang w:val="en-AU"/>
        </w:rPr>
        <w:t xml:space="preserve"> </w:t>
      </w:r>
      <w:r>
        <w:rPr>
          <w:lang w:val="en-AU"/>
        </w:rPr>
        <w:t xml:space="preserve">the information </w:t>
      </w:r>
      <w:r w:rsidRPr="009D19C5">
        <w:rPr>
          <w:lang w:val="en-AU"/>
        </w:rPr>
        <w:t>on a regular basis</w:t>
      </w:r>
      <w:r w:rsidR="006630DA">
        <w:rPr>
          <w:lang w:val="en-AU"/>
        </w:rPr>
        <w:t>,</w:t>
      </w:r>
      <w:r>
        <w:rPr>
          <w:lang w:val="en-AU"/>
        </w:rPr>
        <w:t xml:space="preserve"> and whe</w:t>
      </w:r>
      <w:r w:rsidR="006630DA">
        <w:rPr>
          <w:lang w:val="en-AU"/>
        </w:rPr>
        <w:t>n</w:t>
      </w:r>
      <w:r>
        <w:rPr>
          <w:lang w:val="en-AU"/>
        </w:rPr>
        <w:t xml:space="preserve"> a change has occurred </w:t>
      </w:r>
      <w:r w:rsidR="006630DA">
        <w:rPr>
          <w:lang w:val="en-AU"/>
        </w:rPr>
        <w:t xml:space="preserve">that affects the accuracy of the information, </w:t>
      </w:r>
      <w:r>
        <w:rPr>
          <w:lang w:val="en-AU"/>
        </w:rPr>
        <w:t xml:space="preserve">such as </w:t>
      </w:r>
      <w:r w:rsidRPr="009D19C5">
        <w:rPr>
          <w:lang w:val="en-AU"/>
        </w:rPr>
        <w:t>where the organisational structure changes</w:t>
      </w:r>
      <w:r>
        <w:rPr>
          <w:lang w:val="en-AU"/>
        </w:rPr>
        <w:t xml:space="preserve">. </w:t>
      </w:r>
    </w:p>
    <w:p w14:paraId="7C285F93" w14:textId="2BAC0868" w:rsidR="005266E1" w:rsidRPr="001E38CC" w:rsidRDefault="0010367A" w:rsidP="006F6312">
      <w:pPr>
        <w:pStyle w:val="Body"/>
        <w:keepNext/>
        <w:spacing w:after="60"/>
        <w:rPr>
          <w:b/>
          <w:bCs/>
          <w:lang w:val="en-AU"/>
        </w:rPr>
      </w:pPr>
      <w:r w:rsidRPr="00CA46A7">
        <w:rPr>
          <w:b/>
          <w:lang w:val="en-AU"/>
        </w:rPr>
        <w:t>Provide</w:t>
      </w:r>
      <w:r>
        <w:rPr>
          <w:b/>
          <w:bCs/>
          <w:lang w:val="en-AU"/>
        </w:rPr>
        <w:t xml:space="preserve"> </w:t>
      </w:r>
      <w:r w:rsidR="00CA46A7">
        <w:rPr>
          <w:b/>
          <w:bCs/>
          <w:lang w:val="en-AU"/>
        </w:rPr>
        <w:t xml:space="preserve">different </w:t>
      </w:r>
      <w:r>
        <w:rPr>
          <w:b/>
          <w:bCs/>
          <w:lang w:val="en-AU"/>
        </w:rPr>
        <w:t>options for accessing information</w:t>
      </w:r>
    </w:p>
    <w:p w14:paraId="33E79133" w14:textId="54F101A1" w:rsidR="005266E1" w:rsidRPr="003D4733" w:rsidRDefault="005266E1" w:rsidP="005266E1">
      <w:pPr>
        <w:pStyle w:val="Body"/>
        <w:rPr>
          <w:lang w:val="en-AU"/>
        </w:rPr>
      </w:pPr>
      <w:r w:rsidRPr="003D4733">
        <w:rPr>
          <w:lang w:val="en-AU"/>
        </w:rPr>
        <w:t xml:space="preserve">Agencies should </w:t>
      </w:r>
      <w:r>
        <w:rPr>
          <w:lang w:val="en-AU"/>
        </w:rPr>
        <w:t>p</w:t>
      </w:r>
      <w:r w:rsidRPr="003D4733">
        <w:rPr>
          <w:lang w:val="en-AU"/>
        </w:rPr>
        <w:t>resent all options for accessing information</w:t>
      </w:r>
      <w:r>
        <w:rPr>
          <w:lang w:val="en-AU"/>
        </w:rPr>
        <w:t xml:space="preserve"> </w:t>
      </w:r>
      <w:r w:rsidRPr="003D4733">
        <w:rPr>
          <w:lang w:val="en-AU"/>
        </w:rPr>
        <w:t>on their website</w:t>
      </w:r>
      <w:r>
        <w:rPr>
          <w:lang w:val="en-AU"/>
        </w:rPr>
        <w:t xml:space="preserve"> with sufficient </w:t>
      </w:r>
      <w:r w:rsidR="00F91159">
        <w:rPr>
          <w:lang w:val="en-AU"/>
        </w:rPr>
        <w:t>detail</w:t>
      </w:r>
      <w:r>
        <w:rPr>
          <w:lang w:val="en-AU"/>
        </w:rPr>
        <w:t xml:space="preserve"> for the public to make an informed choice about which option to use</w:t>
      </w:r>
      <w:r w:rsidRPr="003D4733">
        <w:rPr>
          <w:lang w:val="en-AU"/>
        </w:rPr>
        <w:t xml:space="preserve">. For example, an agency </w:t>
      </w:r>
      <w:r>
        <w:rPr>
          <w:lang w:val="en-AU"/>
        </w:rPr>
        <w:t>may</w:t>
      </w:r>
      <w:r w:rsidRPr="003D4733">
        <w:rPr>
          <w:lang w:val="en-AU"/>
        </w:rPr>
        <w:t xml:space="preserve"> </w:t>
      </w:r>
      <w:r>
        <w:rPr>
          <w:lang w:val="en-AU"/>
        </w:rPr>
        <w:t xml:space="preserve">list options for accessing </w:t>
      </w:r>
      <w:r w:rsidRPr="003D4733">
        <w:rPr>
          <w:lang w:val="en-AU"/>
        </w:rPr>
        <w:t>its information</w:t>
      </w:r>
      <w:r w:rsidR="00F91159">
        <w:rPr>
          <w:lang w:val="en-AU"/>
        </w:rPr>
        <w:t>,</w:t>
      </w:r>
      <w:r w:rsidRPr="003D4733">
        <w:rPr>
          <w:lang w:val="en-AU"/>
        </w:rPr>
        <w:t xml:space="preserve"> </w:t>
      </w:r>
      <w:r>
        <w:rPr>
          <w:lang w:val="en-AU"/>
        </w:rPr>
        <w:t xml:space="preserve">such as </w:t>
      </w:r>
      <w:r w:rsidRPr="003D4733">
        <w:rPr>
          <w:lang w:val="en-AU"/>
        </w:rPr>
        <w:t xml:space="preserve">an informal release scheme, </w:t>
      </w:r>
      <w:r w:rsidR="00F91159">
        <w:rPr>
          <w:lang w:val="en-AU"/>
        </w:rPr>
        <w:t>another platform on which the information is available (such as data.vic.gov.au), contacting the agency</w:t>
      </w:r>
      <w:r w:rsidRPr="003D4733">
        <w:rPr>
          <w:lang w:val="en-AU"/>
        </w:rPr>
        <w:t xml:space="preserve">, or making an FOI request. </w:t>
      </w:r>
      <w:r>
        <w:rPr>
          <w:lang w:val="en-AU"/>
        </w:rPr>
        <w:t xml:space="preserve">Briefly explain when a person would use each option and what information they are likely to receive. </w:t>
      </w:r>
      <w:r w:rsidRPr="003D4733">
        <w:rPr>
          <w:lang w:val="en-AU"/>
        </w:rPr>
        <w:t xml:space="preserve">Listing </w:t>
      </w:r>
      <w:r w:rsidR="005F185C">
        <w:rPr>
          <w:lang w:val="en-AU"/>
        </w:rPr>
        <w:t xml:space="preserve">the </w:t>
      </w:r>
      <w:r w:rsidRPr="003D4733">
        <w:rPr>
          <w:lang w:val="en-AU"/>
        </w:rPr>
        <w:t xml:space="preserve">FOI </w:t>
      </w:r>
      <w:r w:rsidR="005F185C">
        <w:rPr>
          <w:lang w:val="en-AU"/>
        </w:rPr>
        <w:t xml:space="preserve">option </w:t>
      </w:r>
      <w:r w:rsidRPr="003D4733">
        <w:rPr>
          <w:lang w:val="en-AU"/>
        </w:rPr>
        <w:t>last will help individuals to understand what other options are available to them, which may be quicker and cheaper for them</w:t>
      </w:r>
      <w:r>
        <w:rPr>
          <w:lang w:val="en-AU"/>
        </w:rPr>
        <w:t xml:space="preserve"> than </w:t>
      </w:r>
      <w:r w:rsidR="00F91159">
        <w:rPr>
          <w:lang w:val="en-AU"/>
        </w:rPr>
        <w:t xml:space="preserve">seeking access to the information through </w:t>
      </w:r>
      <w:r>
        <w:rPr>
          <w:lang w:val="en-AU"/>
        </w:rPr>
        <w:t>FOI</w:t>
      </w:r>
      <w:r w:rsidRPr="003D4733">
        <w:rPr>
          <w:lang w:val="en-AU"/>
        </w:rPr>
        <w:t xml:space="preserve">. </w:t>
      </w:r>
    </w:p>
    <w:p w14:paraId="55BA22AC" w14:textId="77777777" w:rsidR="005266E1" w:rsidRPr="003D4733" w:rsidRDefault="005266E1" w:rsidP="005266E1">
      <w:pPr>
        <w:pStyle w:val="Body"/>
        <w:rPr>
          <w:lang w:val="en-AU"/>
        </w:rPr>
      </w:pPr>
      <w:r w:rsidRPr="003D4733">
        <w:rPr>
          <w:lang w:val="en-AU"/>
        </w:rPr>
        <w:t xml:space="preserve">If an agency uses an FOI application form, consider including information about alternate ways a person may access information to help them make an informed choice about which </w:t>
      </w:r>
      <w:r>
        <w:rPr>
          <w:lang w:val="en-AU"/>
        </w:rPr>
        <w:t>option</w:t>
      </w:r>
      <w:r w:rsidRPr="003D4733">
        <w:rPr>
          <w:lang w:val="en-AU"/>
        </w:rPr>
        <w:t xml:space="preserve"> to use. For an example, see OVIC's </w:t>
      </w:r>
      <w:hyperlink r:id="rId13" w:history="1">
        <w:r w:rsidRPr="003D4733">
          <w:rPr>
            <w:rStyle w:val="Hyperlink"/>
            <w:lang w:val="en-AU"/>
          </w:rPr>
          <w:t>Template FOI form – application for documents – section 17</w:t>
        </w:r>
      </w:hyperlink>
      <w:r w:rsidRPr="003D4733">
        <w:rPr>
          <w:lang w:val="en-AU"/>
        </w:rPr>
        <w:t>.</w:t>
      </w:r>
    </w:p>
    <w:p w14:paraId="6384B003" w14:textId="77777777" w:rsidR="005266E1" w:rsidRPr="00C70498" w:rsidRDefault="005266E1" w:rsidP="006F6312">
      <w:pPr>
        <w:pStyle w:val="Body"/>
        <w:keepNext/>
        <w:spacing w:after="60"/>
        <w:rPr>
          <w:b/>
          <w:bCs/>
          <w:lang w:val="en-AU"/>
        </w:rPr>
      </w:pPr>
      <w:r w:rsidRPr="00CA46A7">
        <w:rPr>
          <w:b/>
          <w:lang w:val="en-AU"/>
        </w:rPr>
        <w:t>Explore</w:t>
      </w:r>
      <w:r w:rsidRPr="00C70498">
        <w:rPr>
          <w:b/>
          <w:bCs/>
          <w:lang w:val="en-AU"/>
        </w:rPr>
        <w:t xml:space="preserve"> technological </w:t>
      </w:r>
      <w:r>
        <w:rPr>
          <w:b/>
          <w:bCs/>
          <w:lang w:val="en-AU"/>
        </w:rPr>
        <w:t>capabilities</w:t>
      </w:r>
      <w:r w:rsidRPr="00C70498">
        <w:rPr>
          <w:b/>
          <w:bCs/>
          <w:lang w:val="en-AU"/>
        </w:rPr>
        <w:t xml:space="preserve"> </w:t>
      </w:r>
    </w:p>
    <w:p w14:paraId="746148FD" w14:textId="05FC5C43" w:rsidR="005266E1" w:rsidRDefault="005266E1" w:rsidP="005266E1">
      <w:pPr>
        <w:pStyle w:val="Body"/>
        <w:rPr>
          <w:lang w:val="en-AU"/>
        </w:rPr>
      </w:pPr>
      <w:r w:rsidRPr="00C70498">
        <w:rPr>
          <w:lang w:val="en-AU"/>
        </w:rPr>
        <w:t>Explore technological capabilities to</w:t>
      </w:r>
      <w:r>
        <w:rPr>
          <w:lang w:val="en-AU"/>
        </w:rPr>
        <w:t xml:space="preserve"> flag </w:t>
      </w:r>
      <w:r w:rsidRPr="00C70498">
        <w:rPr>
          <w:lang w:val="en-AU"/>
        </w:rPr>
        <w:t xml:space="preserve">documents that have been published or </w:t>
      </w:r>
      <w:r>
        <w:rPr>
          <w:lang w:val="en-AU"/>
        </w:rPr>
        <w:t xml:space="preserve">which </w:t>
      </w:r>
      <w:r w:rsidRPr="00C70498">
        <w:rPr>
          <w:lang w:val="en-AU"/>
        </w:rPr>
        <w:t xml:space="preserve">are suitable for </w:t>
      </w:r>
      <w:r w:rsidR="00AD5FB9">
        <w:rPr>
          <w:lang w:val="en-AU"/>
        </w:rPr>
        <w:t xml:space="preserve">proactive or </w:t>
      </w:r>
      <w:r>
        <w:rPr>
          <w:lang w:val="en-AU"/>
        </w:rPr>
        <w:t>informal</w:t>
      </w:r>
      <w:r w:rsidRPr="00C70498">
        <w:rPr>
          <w:lang w:val="en-AU"/>
        </w:rPr>
        <w:t xml:space="preserve"> release</w:t>
      </w:r>
      <w:r>
        <w:rPr>
          <w:lang w:val="en-AU"/>
        </w:rPr>
        <w:t xml:space="preserve"> (for example, use</w:t>
      </w:r>
      <w:r w:rsidRPr="00C70498">
        <w:rPr>
          <w:lang w:val="en-AU"/>
        </w:rPr>
        <w:t xml:space="preserve"> metadata to include a label</w:t>
      </w:r>
      <w:r>
        <w:rPr>
          <w:lang w:val="en-AU"/>
        </w:rPr>
        <w:t xml:space="preserve"> on the document)</w:t>
      </w:r>
      <w:r w:rsidRPr="00C70498">
        <w:rPr>
          <w:lang w:val="en-AU"/>
        </w:rPr>
        <w:t>. Flagging documents</w:t>
      </w:r>
      <w:r>
        <w:rPr>
          <w:lang w:val="en-AU"/>
        </w:rPr>
        <w:t xml:space="preserve"> </w:t>
      </w:r>
      <w:r w:rsidRPr="00C70498">
        <w:rPr>
          <w:lang w:val="en-AU"/>
        </w:rPr>
        <w:t xml:space="preserve">can help to </w:t>
      </w:r>
      <w:r>
        <w:rPr>
          <w:lang w:val="en-AU"/>
        </w:rPr>
        <w:t>reduce</w:t>
      </w:r>
      <w:r w:rsidRPr="00C70498">
        <w:rPr>
          <w:lang w:val="en-AU"/>
        </w:rPr>
        <w:t xml:space="preserve"> the need to </w:t>
      </w:r>
      <w:r>
        <w:rPr>
          <w:lang w:val="en-AU"/>
        </w:rPr>
        <w:t>assess</w:t>
      </w:r>
      <w:r w:rsidRPr="00C70498">
        <w:rPr>
          <w:lang w:val="en-AU"/>
        </w:rPr>
        <w:t xml:space="preserve"> whether to release </w:t>
      </w:r>
      <w:r>
        <w:rPr>
          <w:lang w:val="en-AU"/>
        </w:rPr>
        <w:t xml:space="preserve">the document or </w:t>
      </w:r>
      <w:r w:rsidRPr="00C70498">
        <w:rPr>
          <w:lang w:val="en-AU"/>
        </w:rPr>
        <w:t>information</w:t>
      </w:r>
      <w:r w:rsidR="00F91159">
        <w:rPr>
          <w:lang w:val="en-AU"/>
        </w:rPr>
        <w:t xml:space="preserve"> each time it is requested</w:t>
      </w:r>
      <w:r>
        <w:rPr>
          <w:lang w:val="en-AU"/>
        </w:rPr>
        <w:t xml:space="preserve">, which can reduce the time needed to provide access to it. </w:t>
      </w:r>
    </w:p>
    <w:p w14:paraId="533A134F" w14:textId="77777777" w:rsidR="005266E1" w:rsidRPr="00C70498" w:rsidRDefault="005266E1" w:rsidP="005266E1">
      <w:pPr>
        <w:pStyle w:val="Body"/>
        <w:rPr>
          <w:lang w:val="en-AU"/>
        </w:rPr>
      </w:pPr>
      <w:r>
        <w:rPr>
          <w:lang w:val="en-AU"/>
        </w:rPr>
        <w:t xml:space="preserve">Additionally, flagging documents can indicate </w:t>
      </w:r>
      <w:r w:rsidRPr="00C70498">
        <w:rPr>
          <w:lang w:val="en-AU"/>
        </w:rPr>
        <w:t xml:space="preserve">information that is sensitive and not suitable for release without review. This makes it easier for </w:t>
      </w:r>
      <w:r>
        <w:rPr>
          <w:lang w:val="en-AU"/>
        </w:rPr>
        <w:t>agency officers</w:t>
      </w:r>
      <w:r w:rsidRPr="00C70498">
        <w:rPr>
          <w:lang w:val="en-AU"/>
        </w:rPr>
        <w:t xml:space="preserve"> to navigate records and confidently decide what can be informally released versus what </w:t>
      </w:r>
      <w:r>
        <w:rPr>
          <w:lang w:val="en-AU"/>
        </w:rPr>
        <w:t>may need a more considered assessment</w:t>
      </w:r>
      <w:r w:rsidRPr="00C70498">
        <w:rPr>
          <w:lang w:val="en-AU"/>
        </w:rPr>
        <w:t>.</w:t>
      </w:r>
    </w:p>
    <w:p w14:paraId="2836F8E2" w14:textId="49913504" w:rsidR="00B6556C" w:rsidRPr="00C70498" w:rsidRDefault="00B6556C" w:rsidP="00460C15">
      <w:pPr>
        <w:pStyle w:val="Body"/>
        <w:keepNext/>
        <w:spacing w:after="60"/>
        <w:rPr>
          <w:b/>
          <w:bCs/>
          <w:lang w:val="en-AU"/>
        </w:rPr>
      </w:pPr>
      <w:r>
        <w:rPr>
          <w:b/>
          <w:bCs/>
          <w:lang w:val="en-AU"/>
        </w:rPr>
        <w:t xml:space="preserve">Create documents with </w:t>
      </w:r>
      <w:r w:rsidR="009E0375">
        <w:rPr>
          <w:b/>
          <w:bCs/>
          <w:lang w:val="en-AU"/>
        </w:rPr>
        <w:t xml:space="preserve">public </w:t>
      </w:r>
      <w:r>
        <w:rPr>
          <w:b/>
          <w:bCs/>
          <w:lang w:val="en-AU"/>
        </w:rPr>
        <w:t>access in mind</w:t>
      </w:r>
    </w:p>
    <w:p w14:paraId="5FF6C693" w14:textId="283B9944" w:rsidR="00B6556C" w:rsidRDefault="00B6556C" w:rsidP="00B6556C">
      <w:pPr>
        <w:pStyle w:val="Body"/>
        <w:rPr>
          <w:lang w:val="en-AU"/>
        </w:rPr>
      </w:pPr>
      <w:r>
        <w:rPr>
          <w:lang w:val="en-AU"/>
        </w:rPr>
        <w:t>Create documents for public release where possible. Where a document must include sensitive information that cannot be released, consider siloing the sensitive information, or creat</w:t>
      </w:r>
      <w:r w:rsidR="003046AA">
        <w:rPr>
          <w:lang w:val="en-AU"/>
        </w:rPr>
        <w:t>ing</w:t>
      </w:r>
      <w:r>
        <w:rPr>
          <w:lang w:val="en-AU"/>
        </w:rPr>
        <w:t xml:space="preserve"> a summary of the document, so that as much information as possible can be released. Explain why some information cannot be provided</w:t>
      </w:r>
      <w:r w:rsidR="007D4255">
        <w:rPr>
          <w:lang w:val="en-AU"/>
        </w:rPr>
        <w:t>, where possible</w:t>
      </w:r>
      <w:r>
        <w:rPr>
          <w:lang w:val="en-AU"/>
        </w:rPr>
        <w:t xml:space="preserve">. </w:t>
      </w:r>
    </w:p>
    <w:p w14:paraId="5AE73B6B" w14:textId="4EA315C2" w:rsidR="00041CF8" w:rsidRPr="001D4F22" w:rsidRDefault="00AD5FB9" w:rsidP="00460C15">
      <w:pPr>
        <w:pStyle w:val="Body"/>
        <w:keepNext/>
        <w:spacing w:after="60"/>
        <w:rPr>
          <w:b/>
          <w:bCs/>
          <w:lang w:val="en-AU"/>
        </w:rPr>
      </w:pPr>
      <w:r w:rsidRPr="001D4F22">
        <w:rPr>
          <w:b/>
          <w:bCs/>
          <w:lang w:val="en-AU"/>
        </w:rPr>
        <w:t>Make information easy to find and access</w:t>
      </w:r>
      <w:r w:rsidR="00CA46A7">
        <w:rPr>
          <w:b/>
          <w:bCs/>
          <w:lang w:val="en-AU"/>
        </w:rPr>
        <w:t>ible</w:t>
      </w:r>
    </w:p>
    <w:p w14:paraId="4A2C4FA1" w14:textId="69A143D6" w:rsidR="00AD5FB9" w:rsidRDefault="00AD5FB9" w:rsidP="00E058B3">
      <w:pPr>
        <w:pStyle w:val="Body"/>
        <w:rPr>
          <w:lang w:val="en-AU"/>
        </w:rPr>
      </w:pPr>
      <w:r>
        <w:rPr>
          <w:lang w:val="en-AU"/>
        </w:rPr>
        <w:t>Make sure the information is easy to find and is accessible (for example, making sure the content meets the Web Content Accessibility Guidelines and considers people from culturally and linguistically diverse communities).</w:t>
      </w:r>
      <w:r w:rsidR="00DD682D">
        <w:rPr>
          <w:lang w:val="en-AU"/>
        </w:rPr>
        <w:t xml:space="preserve"> This will help people find the information an agency already publishes, and may reduce the number of enquiries it receives regarding accessing that information. </w:t>
      </w:r>
    </w:p>
    <w:p w14:paraId="26E70868" w14:textId="77777777" w:rsidR="00A75130" w:rsidRPr="00C70498" w:rsidRDefault="00A75130" w:rsidP="00460C15">
      <w:pPr>
        <w:pStyle w:val="Body"/>
        <w:keepNext/>
        <w:spacing w:after="60"/>
        <w:rPr>
          <w:b/>
          <w:bCs/>
          <w:lang w:val="en-AU"/>
        </w:rPr>
      </w:pPr>
      <w:r w:rsidRPr="00C70498">
        <w:rPr>
          <w:b/>
          <w:bCs/>
          <w:lang w:val="en-AU"/>
        </w:rPr>
        <w:lastRenderedPageBreak/>
        <w:t>Education and training</w:t>
      </w:r>
    </w:p>
    <w:p w14:paraId="42189925" w14:textId="286EC4B0" w:rsidR="00A75130" w:rsidRDefault="00A75130" w:rsidP="00E058B3">
      <w:pPr>
        <w:pStyle w:val="Body"/>
        <w:rPr>
          <w:lang w:val="en-AU"/>
        </w:rPr>
      </w:pPr>
      <w:r w:rsidRPr="003D4733">
        <w:rPr>
          <w:lang w:val="en-AU"/>
        </w:rPr>
        <w:t xml:space="preserve">Build </w:t>
      </w:r>
      <w:r>
        <w:rPr>
          <w:lang w:val="en-AU"/>
        </w:rPr>
        <w:t>proactive and informal release</w:t>
      </w:r>
      <w:r w:rsidRPr="003D4733">
        <w:rPr>
          <w:lang w:val="en-AU"/>
        </w:rPr>
        <w:t xml:space="preserve"> and FOI into agency training and education</w:t>
      </w:r>
      <w:r>
        <w:rPr>
          <w:lang w:val="en-AU"/>
        </w:rPr>
        <w:t xml:space="preserve"> (for example, new staff</w:t>
      </w:r>
      <w:r w:rsidRPr="003D4733">
        <w:rPr>
          <w:lang w:val="en-AU"/>
        </w:rPr>
        <w:t xml:space="preserve"> orientation</w:t>
      </w:r>
      <w:r w:rsidR="002F0C6B">
        <w:rPr>
          <w:lang w:val="en-AU"/>
        </w:rPr>
        <w:t xml:space="preserve"> and regular refresher training</w:t>
      </w:r>
      <w:r>
        <w:rPr>
          <w:lang w:val="en-AU"/>
        </w:rPr>
        <w:t>)</w:t>
      </w:r>
      <w:r w:rsidRPr="003D4733">
        <w:rPr>
          <w:lang w:val="en-AU"/>
        </w:rPr>
        <w:t>.</w:t>
      </w:r>
      <w:r>
        <w:rPr>
          <w:lang w:val="en-AU"/>
        </w:rPr>
        <w:t xml:space="preserve"> Explain what information can be released and how to work with transparency in mind</w:t>
      </w:r>
      <w:r w:rsidR="008E361B">
        <w:rPr>
          <w:lang w:val="en-AU"/>
        </w:rPr>
        <w:t xml:space="preserve">, so that all staff across agencies are aware of the role they play in their agency’s information access </w:t>
      </w:r>
      <w:r w:rsidR="003D1CCA">
        <w:rPr>
          <w:lang w:val="en-AU"/>
        </w:rPr>
        <w:t>processes</w:t>
      </w:r>
      <w:r>
        <w:rPr>
          <w:lang w:val="en-AU"/>
        </w:rPr>
        <w:t xml:space="preserve">. </w:t>
      </w:r>
    </w:p>
    <w:bookmarkEnd w:id="0"/>
    <w:p w14:paraId="7F194601" w14:textId="77777777" w:rsidR="005754AC" w:rsidRPr="00041CF8" w:rsidRDefault="005754AC" w:rsidP="00D77B3C">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545459"/>
          <w:sz w:val="18"/>
          <w:szCs w:val="18"/>
          <w:lang w:val="en-AU"/>
        </w:rPr>
      </w:pPr>
      <w:r w:rsidRPr="00041CF8">
        <w:rPr>
          <w:rFonts w:asciiTheme="minorHAnsi" w:hAnsiTheme="minorHAnsi" w:cstheme="minorHAnsi"/>
          <w:b/>
          <w:color w:val="55565A"/>
          <w:sz w:val="18"/>
          <w:szCs w:val="18"/>
          <w:lang w:val="en-AU"/>
        </w:rPr>
        <w:t xml:space="preserve">Disclaimer: </w:t>
      </w:r>
      <w:r w:rsidRPr="00041CF8">
        <w:rPr>
          <w:rFonts w:asciiTheme="minorHAnsi" w:hAnsiTheme="minorHAnsi" w:cstheme="minorHAnsi"/>
          <w:color w:val="545459"/>
          <w:sz w:val="18"/>
          <w:szCs w:val="18"/>
          <w:lang w:val="en-AU"/>
        </w:rPr>
        <w:t>The information in this document is general in nature and does not constitute legal advice.</w:t>
      </w:r>
    </w:p>
    <w:p w14:paraId="079F8E0D" w14:textId="2A5589A6" w:rsidR="005754AC" w:rsidRPr="00041CF8" w:rsidRDefault="005754AC" w:rsidP="005754AC">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041CF8">
        <w:rPr>
          <w:rFonts w:asciiTheme="minorHAnsi" w:hAnsiTheme="minorHAnsi" w:cstheme="minorHAnsi"/>
          <w:b/>
          <w:bCs/>
          <w:color w:val="545459"/>
          <w:sz w:val="18"/>
          <w:szCs w:val="18"/>
          <w:lang w:val="en-AU"/>
        </w:rPr>
        <w:t>Version:</w:t>
      </w:r>
      <w:r w:rsidRPr="00041CF8">
        <w:rPr>
          <w:rFonts w:asciiTheme="minorHAnsi" w:hAnsiTheme="minorHAnsi" w:cstheme="minorHAnsi"/>
          <w:color w:val="545459"/>
          <w:sz w:val="18"/>
          <w:szCs w:val="18"/>
          <w:lang w:val="en-AU"/>
        </w:rPr>
        <w:t xml:space="preserve"> </w:t>
      </w:r>
      <w:r w:rsidR="00CA46A7">
        <w:rPr>
          <w:rFonts w:asciiTheme="minorHAnsi" w:hAnsiTheme="minorHAnsi" w:cstheme="minorHAnsi"/>
          <w:color w:val="545459"/>
          <w:sz w:val="18"/>
          <w:szCs w:val="18"/>
          <w:lang w:val="en-AU"/>
        </w:rPr>
        <w:t>June</w:t>
      </w:r>
      <w:r w:rsidR="00CA46A7" w:rsidRPr="00041CF8">
        <w:rPr>
          <w:rFonts w:asciiTheme="minorHAnsi" w:hAnsiTheme="minorHAnsi" w:cstheme="minorHAnsi"/>
          <w:color w:val="545459"/>
          <w:sz w:val="18"/>
          <w:szCs w:val="18"/>
          <w:lang w:val="en-AU"/>
        </w:rPr>
        <w:t xml:space="preserve"> </w:t>
      </w:r>
      <w:r w:rsidR="00886262" w:rsidRPr="00041CF8">
        <w:rPr>
          <w:rFonts w:asciiTheme="minorHAnsi" w:hAnsiTheme="minorHAnsi" w:cstheme="minorHAnsi"/>
          <w:color w:val="545459"/>
          <w:sz w:val="18"/>
          <w:szCs w:val="18"/>
          <w:lang w:val="en-AU"/>
        </w:rPr>
        <w:t>2022</w:t>
      </w:r>
      <w:r w:rsidR="006F5644" w:rsidRPr="00041CF8">
        <w:rPr>
          <w:rFonts w:asciiTheme="minorHAnsi" w:hAnsiTheme="minorHAnsi" w:cstheme="minorHAnsi"/>
          <w:color w:val="545459"/>
          <w:sz w:val="18"/>
          <w:szCs w:val="18"/>
          <w:lang w:val="en-AU"/>
        </w:rPr>
        <w:t xml:space="preserve"> – D19/8751</w:t>
      </w:r>
    </w:p>
    <w:sectPr w:rsidR="005754AC" w:rsidRPr="00041CF8" w:rsidSect="005754AC">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F29" w14:textId="77777777" w:rsidR="00EF4464" w:rsidRDefault="00EF4464" w:rsidP="00B53C78">
      <w:r>
        <w:separator/>
      </w:r>
    </w:p>
  </w:endnote>
  <w:endnote w:type="continuationSeparator" w:id="0">
    <w:p w14:paraId="55997F79" w14:textId="77777777" w:rsidR="00EF4464" w:rsidRDefault="00EF4464"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E0DF" w14:textId="77777777" w:rsidR="006B76E5" w:rsidRDefault="006B7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0786" w14:textId="466E1553"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sidR="00C54631">
      <w:rPr>
        <w:rFonts w:cs="Arial"/>
        <w:noProof/>
        <w:sz w:val="18"/>
        <w:szCs w:val="22"/>
      </w:rPr>
      <w:t>3</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sidR="00C54631">
      <w:rPr>
        <w:rFonts w:cs="Arial"/>
        <w:noProof/>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D61C" w14:textId="61D5D58C"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sidR="00C92028">
      <w:rPr>
        <w:rFonts w:cs="Arial"/>
        <w:noProof/>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sidR="00C92028">
      <w:rPr>
        <w:rFonts w:cs="Arial"/>
        <w:noProof/>
        <w:sz w:val="18"/>
        <w:szCs w:val="22"/>
      </w:rPr>
      <w:t>3</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A128" w14:textId="77777777" w:rsidR="00EF4464" w:rsidRPr="002330E8" w:rsidRDefault="00EF4464">
      <w:pPr>
        <w:rPr>
          <w:color w:val="55565A"/>
          <w:sz w:val="22"/>
          <w:szCs w:val="22"/>
        </w:rPr>
      </w:pPr>
      <w:r w:rsidRPr="002330E8">
        <w:rPr>
          <w:color w:val="55565A"/>
          <w:sz w:val="22"/>
          <w:szCs w:val="22"/>
        </w:rPr>
        <w:separator/>
      </w:r>
    </w:p>
  </w:footnote>
  <w:footnote w:type="continuationSeparator" w:id="0">
    <w:p w14:paraId="6081BE0A" w14:textId="77777777" w:rsidR="00EF4464" w:rsidRDefault="00EF4464" w:rsidP="00B53C78">
      <w:r>
        <w:continuationSeparator/>
      </w:r>
    </w:p>
  </w:footnote>
  <w:footnote w:type="continuationNotice" w:id="1">
    <w:p w14:paraId="6278AD93" w14:textId="77777777" w:rsidR="00EF4464" w:rsidRDefault="00EF4464"/>
  </w:footnote>
  <w:footnote w:id="2">
    <w:p w14:paraId="554FE4A2" w14:textId="367C1BE8" w:rsidR="00970530" w:rsidRPr="00412941" w:rsidRDefault="00970530">
      <w:pPr>
        <w:pStyle w:val="FootnoteText"/>
        <w:rPr>
          <w:color w:val="55565A"/>
          <w:sz w:val="18"/>
          <w:szCs w:val="18"/>
          <w:lang w:val="en-AU"/>
        </w:rPr>
      </w:pPr>
      <w:r w:rsidRPr="00B564EA">
        <w:rPr>
          <w:rStyle w:val="FootnoteReference"/>
          <w:color w:val="55565A"/>
          <w:sz w:val="18"/>
          <w:szCs w:val="18"/>
        </w:rPr>
        <w:footnoteRef/>
      </w:r>
      <w:r w:rsidRPr="00B564EA">
        <w:rPr>
          <w:color w:val="55565A"/>
          <w:sz w:val="18"/>
          <w:szCs w:val="18"/>
        </w:rPr>
        <w:t xml:space="preserve"> </w:t>
      </w:r>
      <w:r w:rsidRPr="00B564EA">
        <w:rPr>
          <w:color w:val="55565A"/>
          <w:sz w:val="18"/>
          <w:szCs w:val="18"/>
          <w:lang w:val="en-AU"/>
        </w:rPr>
        <w:t xml:space="preserve">Informal release is different to proactive release in that informal release involves an agency receiving an information access request and releasing the requested information or document, either in full or in part, outside the Act. For more information on informal release, read OVIC’s Practice Note. </w:t>
      </w:r>
      <w:r w:rsidR="00412941" w:rsidRPr="00412941">
        <w:rPr>
          <w:color w:val="55565A"/>
          <w:sz w:val="18"/>
          <w:szCs w:val="18"/>
          <w:lang w:val="en-AU"/>
        </w:rPr>
        <w:t xml:space="preserve">For more information on informal release, refer to </w:t>
      </w:r>
      <w:hyperlink r:id="rId1" w:history="1">
        <w:r w:rsidR="00412941" w:rsidRPr="00412941">
          <w:rPr>
            <w:rStyle w:val="Hyperlink"/>
            <w:sz w:val="18"/>
            <w:szCs w:val="18"/>
            <w:lang w:val="en-AU"/>
          </w:rPr>
          <w:t>OVIC’s Informal Release Practice Note</w:t>
        </w:r>
      </w:hyperlink>
      <w:r w:rsidR="00412941" w:rsidRPr="00412941">
        <w:rPr>
          <w:i/>
          <w:iCs/>
          <w:color w:val="55565A"/>
          <w:sz w:val="18"/>
          <w:szCs w:val="18"/>
          <w:lang w:val="en-AU"/>
        </w:rPr>
        <w:t>.</w:t>
      </w:r>
    </w:p>
  </w:footnote>
  <w:footnote w:id="3">
    <w:p w14:paraId="44A3045C" w14:textId="11E71E81" w:rsidR="00043162" w:rsidRPr="009F72DB" w:rsidRDefault="00043162">
      <w:pPr>
        <w:pStyle w:val="FootnoteText"/>
        <w:rPr>
          <w:sz w:val="18"/>
          <w:szCs w:val="18"/>
          <w:lang w:val="en-AU"/>
        </w:rPr>
      </w:pPr>
      <w:r w:rsidRPr="009F72DB">
        <w:rPr>
          <w:rStyle w:val="FootnoteReference"/>
          <w:sz w:val="18"/>
          <w:szCs w:val="18"/>
        </w:rPr>
        <w:footnoteRef/>
      </w:r>
      <w:r w:rsidRPr="009F72DB">
        <w:rPr>
          <w:sz w:val="18"/>
          <w:szCs w:val="18"/>
        </w:rPr>
        <w:t xml:space="preserve"> </w:t>
      </w:r>
      <w:r w:rsidRPr="009F72DB">
        <w:rPr>
          <w:color w:val="55565A"/>
          <w:sz w:val="18"/>
          <w:szCs w:val="18"/>
          <w:lang w:val="en-AU"/>
        </w:rPr>
        <w:t>For a sample information asset register, visit OVIC’s website:</w:t>
      </w:r>
      <w:r w:rsidRPr="009F72DB">
        <w:rPr>
          <w:sz w:val="18"/>
          <w:szCs w:val="18"/>
          <w:lang w:val="en-AU"/>
        </w:rPr>
        <w:t xml:space="preserve"> </w:t>
      </w:r>
      <w:hyperlink r:id="rId2" w:history="1">
        <w:r w:rsidRPr="009F72DB">
          <w:rPr>
            <w:rStyle w:val="Hyperlink"/>
            <w:sz w:val="18"/>
            <w:szCs w:val="18"/>
            <w:lang w:val="en-AU"/>
          </w:rPr>
          <w:t>https://ovic.vic.gov.au/resource/sample-information-asset-register-iar-template/</w:t>
        </w:r>
      </w:hyperlink>
      <w:r w:rsidRPr="009F72DB">
        <w:rPr>
          <w:sz w:val="18"/>
          <w:szCs w:val="18"/>
          <w:lang w:val="en-AU"/>
        </w:rPr>
        <w:t xml:space="preserve">. </w:t>
      </w:r>
    </w:p>
  </w:footnote>
  <w:footnote w:id="4">
    <w:p w14:paraId="58B8AFF4" w14:textId="3A997F90" w:rsidR="00B564EA" w:rsidRPr="00B564EA" w:rsidRDefault="00B564EA">
      <w:pPr>
        <w:pStyle w:val="FootnoteText"/>
        <w:rPr>
          <w:color w:val="55565A"/>
          <w:sz w:val="18"/>
          <w:szCs w:val="18"/>
          <w:lang w:val="en-AU"/>
        </w:rPr>
      </w:pPr>
      <w:r w:rsidRPr="00B564EA">
        <w:rPr>
          <w:rStyle w:val="FootnoteReference"/>
          <w:color w:val="55565A"/>
          <w:sz w:val="18"/>
          <w:szCs w:val="18"/>
        </w:rPr>
        <w:footnoteRef/>
      </w:r>
      <w:r w:rsidRPr="00B564EA">
        <w:rPr>
          <w:color w:val="55565A"/>
          <w:sz w:val="18"/>
          <w:szCs w:val="18"/>
        </w:rPr>
        <w:t xml:space="preserve"> </w:t>
      </w:r>
      <w:r w:rsidRPr="00B564EA">
        <w:rPr>
          <w:color w:val="55565A"/>
          <w:sz w:val="18"/>
          <w:szCs w:val="18"/>
          <w:lang w:val="en-AU"/>
        </w:rPr>
        <w:t>For example, see sections 7(1)(b), 8(2)(b), and 11(2)(b)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B4A4" w14:textId="2125BFEE" w:rsidR="00561877" w:rsidRDefault="00561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7172" w14:textId="4040C13D" w:rsidR="00561877" w:rsidRDefault="00561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FE3" w14:textId="6EFAA8AC" w:rsidR="005754AC" w:rsidRPr="00D0311E"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8"/>
        <w:szCs w:val="18"/>
      </w:rPr>
    </w:pPr>
    <w:r>
      <w:rPr>
        <w:noProof/>
        <w:color w:val="7F7F7F"/>
        <w:sz w:val="28"/>
        <w:szCs w:val="28"/>
        <w:lang w:val="en-AU" w:eastAsia="en-AU"/>
      </w:rPr>
      <w:drawing>
        <wp:anchor distT="0" distB="0" distL="114300" distR="114300" simplePos="0" relativeHeight="251659264" behindDoc="1" locked="0" layoutInCell="1" allowOverlap="1" wp14:anchorId="70977FCE" wp14:editId="7F0EEFFA">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D0311E" w:rsidRPr="000E4EA8">
      <w:rPr>
        <w:rFonts w:asciiTheme="minorHAnsi" w:hAnsiTheme="minorHAnsi" w:cstheme="minorHAnsi"/>
        <w:color w:val="55565A"/>
        <w:sz w:val="18"/>
        <w:szCs w:val="18"/>
      </w:rPr>
      <w:t>Agency Practice Note</w:t>
    </w:r>
    <w:r w:rsidR="001961F8">
      <w:rPr>
        <w:rFonts w:asciiTheme="minorHAnsi" w:hAnsiTheme="minorHAnsi" w:cstheme="minorHAnsi"/>
        <w:color w:val="55565A"/>
        <w:sz w:val="18"/>
        <w:szCs w:val="18"/>
      </w:rPr>
      <w:t xml:space="preserve"> 2</w:t>
    </w:r>
  </w:p>
  <w:p w14:paraId="6DCE1E0A" w14:textId="77777777" w:rsidR="005754AC" w:rsidRPr="008C301D"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r w:rsidRPr="008C301D">
      <w:rPr>
        <w:rFonts w:asciiTheme="minorHAnsi" w:hAnsiTheme="minorHAnsi" w:cstheme="minorHAnsi"/>
        <w:color w:val="430098"/>
        <w:sz w:val="18"/>
        <w:szCs w:val="18"/>
      </w:rPr>
      <w:t>Freedom of Information</w:t>
    </w:r>
  </w:p>
  <w:p w14:paraId="17635906" w14:textId="77777777" w:rsidR="005754AC" w:rsidRDefault="005754AC"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8C301D">
      <w:rPr>
        <w:rFonts w:asciiTheme="minorHAnsi" w:hAnsiTheme="minorHAnsi" w:cstheme="minorHAnsi"/>
        <w:color w:val="555559"/>
        <w:sz w:val="18"/>
        <w:szCs w:val="18"/>
      </w:rPr>
      <w:t>ovic.vic.gov.au |</w:t>
    </w:r>
    <w:r>
      <w:rPr>
        <w:rFonts w:asciiTheme="minorHAnsi" w:hAnsiTheme="minorHAnsi" w:cstheme="minorHAnsi"/>
        <w:color w:val="555559"/>
        <w:sz w:val="18"/>
        <w:szCs w:val="18"/>
      </w:rPr>
      <w:t xml:space="preserve"> </w:t>
    </w:r>
    <w:r w:rsidRPr="008C301D">
      <w:rPr>
        <w:rFonts w:asciiTheme="minorHAnsi" w:hAnsiTheme="minorHAnsi" w:cstheme="minorHAnsi"/>
        <w:color w:val="7F7F7F"/>
        <w:sz w:val="18"/>
        <w:szCs w:val="18"/>
      </w:rPr>
      <w:tab/>
    </w:r>
    <w:r w:rsidRPr="00D0311E">
      <w:rPr>
        <w:rFonts w:asciiTheme="minorHAnsi" w:hAnsiTheme="minorHAnsi" w:cstheme="minorHAnsi"/>
        <w:color w:val="55565A"/>
        <w:sz w:val="18"/>
        <w:szCs w:val="18"/>
      </w:rPr>
      <w:t>enquiries</w:t>
    </w:r>
    <w:r w:rsidRPr="008C301D">
      <w:rPr>
        <w:rFonts w:asciiTheme="minorHAnsi" w:hAnsiTheme="minorHAnsi" w:cstheme="minorHAnsi"/>
        <w:color w:val="55565A"/>
        <w:sz w:val="18"/>
        <w:szCs w:val="18"/>
      </w:rPr>
      <w:t>@ovic.vic.gov.au</w:t>
    </w:r>
    <w:r w:rsidRPr="008C301D">
      <w:rPr>
        <w:rFonts w:asciiTheme="minorHAnsi" w:hAnsiTheme="minorHAnsi" w:cstheme="minorHAnsi"/>
        <w:color w:val="555559"/>
        <w:sz w:val="18"/>
        <w:szCs w:val="18"/>
      </w:rPr>
      <w:t xml:space="preserve"> | 1300 006 842</w:t>
    </w:r>
  </w:p>
  <w:p w14:paraId="595B0A87"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B194A9E" wp14:editId="145098E5">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275FF"/>
    <w:multiLevelType w:val="hybridMultilevel"/>
    <w:tmpl w:val="26F2612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21D6361"/>
    <w:multiLevelType w:val="hybridMultilevel"/>
    <w:tmpl w:val="191A3960"/>
    <w:lvl w:ilvl="0" w:tplc="E36A09F8">
      <w:start w:val="1"/>
      <w:numFmt w:val="bullet"/>
      <w:lvlText w:val=""/>
      <w:lvlJc w:val="left"/>
      <w:pPr>
        <w:ind w:left="720" w:hanging="360"/>
      </w:pPr>
      <w:rPr>
        <w:rFonts w:ascii="Symbol" w:hAnsi="Symbol"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849F7"/>
    <w:multiLevelType w:val="hybridMultilevel"/>
    <w:tmpl w:val="8EA0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91971"/>
    <w:multiLevelType w:val="hybridMultilevel"/>
    <w:tmpl w:val="53CE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9F4117"/>
    <w:multiLevelType w:val="hybridMultilevel"/>
    <w:tmpl w:val="C2F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D803E6"/>
    <w:multiLevelType w:val="hybridMultilevel"/>
    <w:tmpl w:val="F00465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5444"/>
    <w:multiLevelType w:val="hybridMultilevel"/>
    <w:tmpl w:val="33F6F3E0"/>
    <w:lvl w:ilvl="0" w:tplc="E99A69D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9544789">
    <w:abstractNumId w:val="13"/>
  </w:num>
  <w:num w:numId="2" w16cid:durableId="1562249278">
    <w:abstractNumId w:val="14"/>
  </w:num>
  <w:num w:numId="3" w16cid:durableId="578947405">
    <w:abstractNumId w:val="10"/>
  </w:num>
  <w:num w:numId="4" w16cid:durableId="1979066209">
    <w:abstractNumId w:val="23"/>
  </w:num>
  <w:num w:numId="5" w16cid:durableId="550574766">
    <w:abstractNumId w:val="18"/>
  </w:num>
  <w:num w:numId="6" w16cid:durableId="694967958">
    <w:abstractNumId w:val="22"/>
  </w:num>
  <w:num w:numId="7" w16cid:durableId="1801847218">
    <w:abstractNumId w:val="9"/>
  </w:num>
  <w:num w:numId="8" w16cid:durableId="1292516490">
    <w:abstractNumId w:val="12"/>
  </w:num>
  <w:num w:numId="9" w16cid:durableId="1476753268">
    <w:abstractNumId w:val="0"/>
  </w:num>
  <w:num w:numId="10" w16cid:durableId="745152625">
    <w:abstractNumId w:val="7"/>
  </w:num>
  <w:num w:numId="11" w16cid:durableId="799959214">
    <w:abstractNumId w:val="21"/>
  </w:num>
  <w:num w:numId="12" w16cid:durableId="1365251034">
    <w:abstractNumId w:val="3"/>
  </w:num>
  <w:num w:numId="13" w16cid:durableId="2126583253">
    <w:abstractNumId w:val="16"/>
  </w:num>
  <w:num w:numId="14" w16cid:durableId="1744597729">
    <w:abstractNumId w:val="1"/>
  </w:num>
  <w:num w:numId="15" w16cid:durableId="1298536259">
    <w:abstractNumId w:val="19"/>
  </w:num>
  <w:num w:numId="16" w16cid:durableId="278296319">
    <w:abstractNumId w:val="15"/>
  </w:num>
  <w:num w:numId="17" w16cid:durableId="460539573">
    <w:abstractNumId w:val="11"/>
  </w:num>
  <w:num w:numId="18" w16cid:durableId="709575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425907">
    <w:abstractNumId w:val="2"/>
  </w:num>
  <w:num w:numId="20" w16cid:durableId="492985491">
    <w:abstractNumId w:val="20"/>
  </w:num>
  <w:num w:numId="21" w16cid:durableId="1592279048">
    <w:abstractNumId w:val="4"/>
  </w:num>
  <w:num w:numId="22" w16cid:durableId="1829247882">
    <w:abstractNumId w:val="6"/>
  </w:num>
  <w:num w:numId="23" w16cid:durableId="694110746">
    <w:abstractNumId w:val="8"/>
  </w:num>
  <w:num w:numId="24" w16cid:durableId="1076241428">
    <w:abstractNumId w:val="24"/>
  </w:num>
  <w:num w:numId="25" w16cid:durableId="759956994">
    <w:abstractNumId w:val="5"/>
  </w:num>
  <w:num w:numId="26" w16cid:durableId="11788154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91"/>
    <w:rsid w:val="00001D44"/>
    <w:rsid w:val="00015676"/>
    <w:rsid w:val="00022DD3"/>
    <w:rsid w:val="00041CF8"/>
    <w:rsid w:val="00043162"/>
    <w:rsid w:val="00044728"/>
    <w:rsid w:val="00056BCA"/>
    <w:rsid w:val="000578D1"/>
    <w:rsid w:val="00064688"/>
    <w:rsid w:val="00074602"/>
    <w:rsid w:val="00077961"/>
    <w:rsid w:val="00090D1B"/>
    <w:rsid w:val="00091CB4"/>
    <w:rsid w:val="000A43AD"/>
    <w:rsid w:val="000C09CC"/>
    <w:rsid w:val="000C3CE2"/>
    <w:rsid w:val="000E4EA8"/>
    <w:rsid w:val="000E6D30"/>
    <w:rsid w:val="000E7268"/>
    <w:rsid w:val="000E7FAE"/>
    <w:rsid w:val="000F3A12"/>
    <w:rsid w:val="0010367A"/>
    <w:rsid w:val="001159CB"/>
    <w:rsid w:val="00122D94"/>
    <w:rsid w:val="0012374C"/>
    <w:rsid w:val="0012528D"/>
    <w:rsid w:val="0013697F"/>
    <w:rsid w:val="00152D32"/>
    <w:rsid w:val="001648CA"/>
    <w:rsid w:val="00164A42"/>
    <w:rsid w:val="00172A22"/>
    <w:rsid w:val="00173F40"/>
    <w:rsid w:val="0017786A"/>
    <w:rsid w:val="0019036B"/>
    <w:rsid w:val="00191412"/>
    <w:rsid w:val="001961F8"/>
    <w:rsid w:val="001967FD"/>
    <w:rsid w:val="001A0C3B"/>
    <w:rsid w:val="001B0F91"/>
    <w:rsid w:val="001C548B"/>
    <w:rsid w:val="001C6E4B"/>
    <w:rsid w:val="001C6F62"/>
    <w:rsid w:val="001D4F22"/>
    <w:rsid w:val="001F2CAD"/>
    <w:rsid w:val="001F3917"/>
    <w:rsid w:val="00207297"/>
    <w:rsid w:val="002330E8"/>
    <w:rsid w:val="0024071F"/>
    <w:rsid w:val="00246439"/>
    <w:rsid w:val="00250108"/>
    <w:rsid w:val="0025217E"/>
    <w:rsid w:val="00252833"/>
    <w:rsid w:val="00261684"/>
    <w:rsid w:val="00290701"/>
    <w:rsid w:val="00290DC8"/>
    <w:rsid w:val="00293DDA"/>
    <w:rsid w:val="002A0214"/>
    <w:rsid w:val="002A48A0"/>
    <w:rsid w:val="002A68D9"/>
    <w:rsid w:val="002B614D"/>
    <w:rsid w:val="002E68FD"/>
    <w:rsid w:val="002E6FF1"/>
    <w:rsid w:val="002F0C6B"/>
    <w:rsid w:val="002F6F1A"/>
    <w:rsid w:val="003020DA"/>
    <w:rsid w:val="003046AA"/>
    <w:rsid w:val="00305D40"/>
    <w:rsid w:val="0031042D"/>
    <w:rsid w:val="00312F84"/>
    <w:rsid w:val="00313B28"/>
    <w:rsid w:val="003175DB"/>
    <w:rsid w:val="00317E79"/>
    <w:rsid w:val="00320B70"/>
    <w:rsid w:val="00322784"/>
    <w:rsid w:val="00324595"/>
    <w:rsid w:val="00324B1C"/>
    <w:rsid w:val="00326E58"/>
    <w:rsid w:val="00330030"/>
    <w:rsid w:val="0034288F"/>
    <w:rsid w:val="0034513D"/>
    <w:rsid w:val="0034520D"/>
    <w:rsid w:val="00345731"/>
    <w:rsid w:val="0035211D"/>
    <w:rsid w:val="00352152"/>
    <w:rsid w:val="00357041"/>
    <w:rsid w:val="00370F3D"/>
    <w:rsid w:val="00372C3E"/>
    <w:rsid w:val="00373B89"/>
    <w:rsid w:val="00384F15"/>
    <w:rsid w:val="0039378A"/>
    <w:rsid w:val="003A0F3A"/>
    <w:rsid w:val="003A7085"/>
    <w:rsid w:val="003C6D10"/>
    <w:rsid w:val="003D1CCA"/>
    <w:rsid w:val="003D2E38"/>
    <w:rsid w:val="00406248"/>
    <w:rsid w:val="00412941"/>
    <w:rsid w:val="0041450B"/>
    <w:rsid w:val="0042061F"/>
    <w:rsid w:val="00421E04"/>
    <w:rsid w:val="00424309"/>
    <w:rsid w:val="0042641F"/>
    <w:rsid w:val="004272D0"/>
    <w:rsid w:val="0043156F"/>
    <w:rsid w:val="004319ED"/>
    <w:rsid w:val="00436C00"/>
    <w:rsid w:val="00445BAB"/>
    <w:rsid w:val="00450A10"/>
    <w:rsid w:val="00453B44"/>
    <w:rsid w:val="00460C15"/>
    <w:rsid w:val="004611C5"/>
    <w:rsid w:val="004634A1"/>
    <w:rsid w:val="00465B05"/>
    <w:rsid w:val="00466932"/>
    <w:rsid w:val="00467746"/>
    <w:rsid w:val="00470E39"/>
    <w:rsid w:val="00471BED"/>
    <w:rsid w:val="0047248D"/>
    <w:rsid w:val="00475AE2"/>
    <w:rsid w:val="004760A5"/>
    <w:rsid w:val="00476315"/>
    <w:rsid w:val="004907E0"/>
    <w:rsid w:val="00492273"/>
    <w:rsid w:val="004A33DA"/>
    <w:rsid w:val="004A37D7"/>
    <w:rsid w:val="004A6107"/>
    <w:rsid w:val="004D1C82"/>
    <w:rsid w:val="004D4448"/>
    <w:rsid w:val="004F7793"/>
    <w:rsid w:val="00502CD1"/>
    <w:rsid w:val="00512615"/>
    <w:rsid w:val="00516835"/>
    <w:rsid w:val="005178FE"/>
    <w:rsid w:val="005266E1"/>
    <w:rsid w:val="00537A12"/>
    <w:rsid w:val="00542947"/>
    <w:rsid w:val="00555602"/>
    <w:rsid w:val="00561877"/>
    <w:rsid w:val="0056628F"/>
    <w:rsid w:val="005754AC"/>
    <w:rsid w:val="00584AE6"/>
    <w:rsid w:val="005870C5"/>
    <w:rsid w:val="00590588"/>
    <w:rsid w:val="005940D4"/>
    <w:rsid w:val="005A49D0"/>
    <w:rsid w:val="005D01F3"/>
    <w:rsid w:val="005D3E8A"/>
    <w:rsid w:val="005D4022"/>
    <w:rsid w:val="005E5D7A"/>
    <w:rsid w:val="005F185C"/>
    <w:rsid w:val="005F1AFD"/>
    <w:rsid w:val="005F1F9E"/>
    <w:rsid w:val="006120B5"/>
    <w:rsid w:val="00620FD8"/>
    <w:rsid w:val="00630323"/>
    <w:rsid w:val="006325D3"/>
    <w:rsid w:val="006349BC"/>
    <w:rsid w:val="00635E9F"/>
    <w:rsid w:val="006511C1"/>
    <w:rsid w:val="00652D6F"/>
    <w:rsid w:val="00662FFB"/>
    <w:rsid w:val="006630DA"/>
    <w:rsid w:val="0066547B"/>
    <w:rsid w:val="00666CFA"/>
    <w:rsid w:val="006713D1"/>
    <w:rsid w:val="00674485"/>
    <w:rsid w:val="0068064E"/>
    <w:rsid w:val="006876B7"/>
    <w:rsid w:val="006B1C0F"/>
    <w:rsid w:val="006B2DAD"/>
    <w:rsid w:val="006B76E5"/>
    <w:rsid w:val="006D7D25"/>
    <w:rsid w:val="006E3C85"/>
    <w:rsid w:val="006F3ABF"/>
    <w:rsid w:val="006F5644"/>
    <w:rsid w:val="006F6312"/>
    <w:rsid w:val="007140E5"/>
    <w:rsid w:val="00717657"/>
    <w:rsid w:val="00723ACA"/>
    <w:rsid w:val="00730C05"/>
    <w:rsid w:val="007358CF"/>
    <w:rsid w:val="00750FF5"/>
    <w:rsid w:val="00752325"/>
    <w:rsid w:val="00753F94"/>
    <w:rsid w:val="00760DDC"/>
    <w:rsid w:val="00765090"/>
    <w:rsid w:val="00765158"/>
    <w:rsid w:val="00776737"/>
    <w:rsid w:val="007803E4"/>
    <w:rsid w:val="00780584"/>
    <w:rsid w:val="007862E0"/>
    <w:rsid w:val="00786837"/>
    <w:rsid w:val="007964E0"/>
    <w:rsid w:val="007973AB"/>
    <w:rsid w:val="0079798C"/>
    <w:rsid w:val="007A3B2A"/>
    <w:rsid w:val="007A6964"/>
    <w:rsid w:val="007B32C9"/>
    <w:rsid w:val="007B5426"/>
    <w:rsid w:val="007C3E32"/>
    <w:rsid w:val="007D4255"/>
    <w:rsid w:val="007F383E"/>
    <w:rsid w:val="008046F8"/>
    <w:rsid w:val="00806B62"/>
    <w:rsid w:val="008432E1"/>
    <w:rsid w:val="008478AF"/>
    <w:rsid w:val="00854716"/>
    <w:rsid w:val="00856EDC"/>
    <w:rsid w:val="00863040"/>
    <w:rsid w:val="00865BC3"/>
    <w:rsid w:val="0086669C"/>
    <w:rsid w:val="0086734F"/>
    <w:rsid w:val="008721FC"/>
    <w:rsid w:val="00875B23"/>
    <w:rsid w:val="00875FBC"/>
    <w:rsid w:val="0088604A"/>
    <w:rsid w:val="00886262"/>
    <w:rsid w:val="00892C92"/>
    <w:rsid w:val="00895A25"/>
    <w:rsid w:val="008B146A"/>
    <w:rsid w:val="008B4992"/>
    <w:rsid w:val="008B7923"/>
    <w:rsid w:val="008C0234"/>
    <w:rsid w:val="008C1089"/>
    <w:rsid w:val="008C301D"/>
    <w:rsid w:val="008E361B"/>
    <w:rsid w:val="008F106C"/>
    <w:rsid w:val="008F3EC4"/>
    <w:rsid w:val="0092276F"/>
    <w:rsid w:val="00922C7A"/>
    <w:rsid w:val="0093355C"/>
    <w:rsid w:val="00940F43"/>
    <w:rsid w:val="009642DE"/>
    <w:rsid w:val="00970530"/>
    <w:rsid w:val="0098413C"/>
    <w:rsid w:val="0098427D"/>
    <w:rsid w:val="0098538C"/>
    <w:rsid w:val="00993316"/>
    <w:rsid w:val="009B3C38"/>
    <w:rsid w:val="009E0375"/>
    <w:rsid w:val="009F72DB"/>
    <w:rsid w:val="00A1764D"/>
    <w:rsid w:val="00A21025"/>
    <w:rsid w:val="00A26740"/>
    <w:rsid w:val="00A27FB0"/>
    <w:rsid w:val="00A309D1"/>
    <w:rsid w:val="00A31747"/>
    <w:rsid w:val="00A33D6F"/>
    <w:rsid w:val="00A359C1"/>
    <w:rsid w:val="00A37BE1"/>
    <w:rsid w:val="00A44E57"/>
    <w:rsid w:val="00A45BA3"/>
    <w:rsid w:val="00A4725E"/>
    <w:rsid w:val="00A52C5A"/>
    <w:rsid w:val="00A72A38"/>
    <w:rsid w:val="00A75130"/>
    <w:rsid w:val="00A9210F"/>
    <w:rsid w:val="00A92625"/>
    <w:rsid w:val="00AC35A9"/>
    <w:rsid w:val="00AD5472"/>
    <w:rsid w:val="00AD5FB9"/>
    <w:rsid w:val="00AE13A1"/>
    <w:rsid w:val="00AE3FC1"/>
    <w:rsid w:val="00AE5D3B"/>
    <w:rsid w:val="00AF15B5"/>
    <w:rsid w:val="00AF43EB"/>
    <w:rsid w:val="00AF4424"/>
    <w:rsid w:val="00B04B43"/>
    <w:rsid w:val="00B177DA"/>
    <w:rsid w:val="00B2280A"/>
    <w:rsid w:val="00B316BE"/>
    <w:rsid w:val="00B32753"/>
    <w:rsid w:val="00B339BB"/>
    <w:rsid w:val="00B33A94"/>
    <w:rsid w:val="00B37C5F"/>
    <w:rsid w:val="00B53C78"/>
    <w:rsid w:val="00B564EA"/>
    <w:rsid w:val="00B6556C"/>
    <w:rsid w:val="00B6701A"/>
    <w:rsid w:val="00B742E3"/>
    <w:rsid w:val="00B80E19"/>
    <w:rsid w:val="00BA770C"/>
    <w:rsid w:val="00BC1972"/>
    <w:rsid w:val="00BD07DC"/>
    <w:rsid w:val="00BD2C4E"/>
    <w:rsid w:val="00BD4E38"/>
    <w:rsid w:val="00BD5AE9"/>
    <w:rsid w:val="00BD6595"/>
    <w:rsid w:val="00BD7DB2"/>
    <w:rsid w:val="00BE3022"/>
    <w:rsid w:val="00BE3A8C"/>
    <w:rsid w:val="00C035D4"/>
    <w:rsid w:val="00C13A72"/>
    <w:rsid w:val="00C2067A"/>
    <w:rsid w:val="00C25C33"/>
    <w:rsid w:val="00C27967"/>
    <w:rsid w:val="00C42986"/>
    <w:rsid w:val="00C473B0"/>
    <w:rsid w:val="00C54631"/>
    <w:rsid w:val="00C62A45"/>
    <w:rsid w:val="00C72B7C"/>
    <w:rsid w:val="00C834C4"/>
    <w:rsid w:val="00C9198C"/>
    <w:rsid w:val="00C92028"/>
    <w:rsid w:val="00C922DD"/>
    <w:rsid w:val="00CA46A7"/>
    <w:rsid w:val="00CA625C"/>
    <w:rsid w:val="00CA6271"/>
    <w:rsid w:val="00CA7F6E"/>
    <w:rsid w:val="00CB4387"/>
    <w:rsid w:val="00CB532D"/>
    <w:rsid w:val="00CC0DEC"/>
    <w:rsid w:val="00CD6BDB"/>
    <w:rsid w:val="00CE7458"/>
    <w:rsid w:val="00D02655"/>
    <w:rsid w:val="00D0311E"/>
    <w:rsid w:val="00D06AD9"/>
    <w:rsid w:val="00D06B84"/>
    <w:rsid w:val="00D07647"/>
    <w:rsid w:val="00D101F6"/>
    <w:rsid w:val="00D14A9E"/>
    <w:rsid w:val="00D214C2"/>
    <w:rsid w:val="00D267EC"/>
    <w:rsid w:val="00D3108A"/>
    <w:rsid w:val="00D32D00"/>
    <w:rsid w:val="00D4435C"/>
    <w:rsid w:val="00D57BC6"/>
    <w:rsid w:val="00D723C1"/>
    <w:rsid w:val="00D77B3C"/>
    <w:rsid w:val="00D86492"/>
    <w:rsid w:val="00D90718"/>
    <w:rsid w:val="00D93B44"/>
    <w:rsid w:val="00D93EB5"/>
    <w:rsid w:val="00DA234D"/>
    <w:rsid w:val="00DA6F98"/>
    <w:rsid w:val="00DB13A1"/>
    <w:rsid w:val="00DB55DB"/>
    <w:rsid w:val="00DB68A8"/>
    <w:rsid w:val="00DB721E"/>
    <w:rsid w:val="00DD682D"/>
    <w:rsid w:val="00DD7CC2"/>
    <w:rsid w:val="00DE1B96"/>
    <w:rsid w:val="00DE672E"/>
    <w:rsid w:val="00DE73F6"/>
    <w:rsid w:val="00E058B3"/>
    <w:rsid w:val="00E17A95"/>
    <w:rsid w:val="00E22BBA"/>
    <w:rsid w:val="00E3497D"/>
    <w:rsid w:val="00E40ACD"/>
    <w:rsid w:val="00E45B00"/>
    <w:rsid w:val="00E557B2"/>
    <w:rsid w:val="00E55C61"/>
    <w:rsid w:val="00E606BA"/>
    <w:rsid w:val="00E66BA5"/>
    <w:rsid w:val="00E769E3"/>
    <w:rsid w:val="00E80E70"/>
    <w:rsid w:val="00E86019"/>
    <w:rsid w:val="00E9304A"/>
    <w:rsid w:val="00EA1B53"/>
    <w:rsid w:val="00EB03B3"/>
    <w:rsid w:val="00EF06C1"/>
    <w:rsid w:val="00EF1BD4"/>
    <w:rsid w:val="00EF4464"/>
    <w:rsid w:val="00EF553E"/>
    <w:rsid w:val="00EF65B2"/>
    <w:rsid w:val="00EF7213"/>
    <w:rsid w:val="00F02D68"/>
    <w:rsid w:val="00F050B8"/>
    <w:rsid w:val="00F17578"/>
    <w:rsid w:val="00F17A90"/>
    <w:rsid w:val="00F25CF4"/>
    <w:rsid w:val="00F273D9"/>
    <w:rsid w:val="00F3674C"/>
    <w:rsid w:val="00F36C34"/>
    <w:rsid w:val="00F402B9"/>
    <w:rsid w:val="00F46320"/>
    <w:rsid w:val="00F5377F"/>
    <w:rsid w:val="00F61548"/>
    <w:rsid w:val="00F83814"/>
    <w:rsid w:val="00F85E88"/>
    <w:rsid w:val="00F87792"/>
    <w:rsid w:val="00F91159"/>
    <w:rsid w:val="00F923FB"/>
    <w:rsid w:val="00FA0D2E"/>
    <w:rsid w:val="00FA1F8E"/>
    <w:rsid w:val="00FB0370"/>
    <w:rsid w:val="00FB6FAB"/>
    <w:rsid w:val="00FC0277"/>
    <w:rsid w:val="00FE53C7"/>
    <w:rsid w:val="00FF326A"/>
    <w:rsid w:val="00FF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E291A"/>
  <w14:defaultImageDpi w14:val="32767"/>
  <w15:docId w15:val="{E5866EEE-A8F9-EA4A-8E16-A007A38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6669C"/>
    <w:pPr>
      <w:keepLines/>
      <w:suppressAutoHyphens/>
      <w:spacing w:after="200" w:line="264" w:lineRule="auto"/>
    </w:pPr>
    <w:rPr>
      <w:rFonts w:ascii="Calibri" w:hAnsi="Calibri" w:cs="PostGrotesk-Book"/>
      <w:color w:val="55565A"/>
      <w:sz w:val="22"/>
      <w:szCs w:val="22"/>
    </w:rPr>
  </w:style>
  <w:style w:type="paragraph" w:customStyle="1" w:styleId="Heading-1">
    <w:name w:val="Heading-1"/>
    <w:basedOn w:val="BasicParagraph"/>
    <w:qFormat/>
    <w:rsid w:val="00C035D4"/>
    <w:pPr>
      <w:keepNext/>
      <w:suppressAutoHyphens/>
      <w:spacing w:after="100" w:line="264" w:lineRule="auto"/>
    </w:pPr>
    <w:rPr>
      <w:rFonts w:ascii="Calibri" w:hAnsi="Calibri" w:cs="PostGrotesk-Medium"/>
      <w:color w:val="430098"/>
      <w:sz w:val="26"/>
      <w:szCs w:val="28"/>
      <w:lang w:val="en-AU"/>
    </w:rPr>
  </w:style>
  <w:style w:type="paragraph" w:customStyle="1" w:styleId="Heading-2">
    <w:name w:val="Heading-2"/>
    <w:basedOn w:val="BasicParagraph"/>
    <w:qFormat/>
    <w:rsid w:val="000A43AD"/>
    <w:pPr>
      <w:suppressAutoHyphens/>
      <w:spacing w:before="120" w:after="24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qFormat/>
    <w:rsid w:val="00E17A95"/>
    <w:pPr>
      <w:tabs>
        <w:tab w:val="clear" w:pos="9026"/>
        <w:tab w:val="left" w:pos="6946"/>
      </w:tabs>
      <w:spacing w:before="60" w:after="200"/>
    </w:pPr>
    <w:rPr>
      <w:rFonts w:asciiTheme="minorHAnsi" w:hAnsiTheme="minorHAnsi" w:cs="Arial"/>
      <w:b/>
      <w:color w:val="430098"/>
      <w:sz w:val="30"/>
      <w:szCs w:val="40"/>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qFormat/>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styleId="ListParagraph">
    <w:name w:val="List Paragraph"/>
    <w:basedOn w:val="Normal"/>
    <w:uiPriority w:val="34"/>
    <w:qFormat/>
    <w:rsid w:val="00BD6595"/>
    <w:pPr>
      <w:ind w:left="720"/>
      <w:contextualSpacing/>
    </w:pPr>
    <w:rPr>
      <w:rFonts w:ascii="Times New Roman" w:eastAsia="Times New Roman" w:hAnsi="Times New Roman"/>
      <w:lang w:val="en-AU"/>
    </w:rPr>
  </w:style>
  <w:style w:type="character" w:styleId="Hyperlink">
    <w:name w:val="Hyperlink"/>
    <w:basedOn w:val="DefaultParagraphFont"/>
    <w:uiPriority w:val="99"/>
    <w:unhideWhenUsed/>
    <w:rsid w:val="00512615"/>
    <w:rPr>
      <w:color w:val="430098"/>
      <w:u w:val="single"/>
    </w:rPr>
  </w:style>
  <w:style w:type="character" w:styleId="UnresolvedMention">
    <w:name w:val="Unresolved Mention"/>
    <w:basedOn w:val="DefaultParagraphFont"/>
    <w:uiPriority w:val="99"/>
    <w:semiHidden/>
    <w:unhideWhenUsed/>
    <w:rsid w:val="00E058B3"/>
    <w:rPr>
      <w:color w:val="605E5C"/>
      <w:shd w:val="clear" w:color="auto" w:fill="E1DFDD"/>
    </w:rPr>
  </w:style>
  <w:style w:type="character" w:styleId="FollowedHyperlink">
    <w:name w:val="FollowedHyperlink"/>
    <w:basedOn w:val="DefaultParagraphFont"/>
    <w:uiPriority w:val="99"/>
    <w:semiHidden/>
    <w:unhideWhenUsed/>
    <w:rsid w:val="00D8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vic.gov.au/" TargetMode="External"/><Relationship Id="rId13" Type="http://schemas.openxmlformats.org/officeDocument/2006/relationships/hyperlink" Target="https://ovic.vic.gov.au/resource/template-5-freedom-of-information-form-application-for-documents-section-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vic.vic.gov.au/data-protection/what-is-data-protection/framework-vpds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about-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vic.vic.gov.au/freedom-of-information/professional-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enders.vic.gov.a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resource/sample-information-asset-register-iar-template/" TargetMode="External"/><Relationship Id="rId1" Type="http://schemas.openxmlformats.org/officeDocument/2006/relationships/hyperlink" Target="https://ovic.vic.gov.au/freedom-of-information/practice-notes/informal-release-of-informa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D00D-8857-8C4E-810F-5F6F6A68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Kummrow</dc:creator>
  <cp:lastModifiedBy>Sarah Crossman</cp:lastModifiedBy>
  <cp:revision>26</cp:revision>
  <cp:lastPrinted>2019-07-23T01:36:00Z</cp:lastPrinted>
  <dcterms:created xsi:type="dcterms:W3CDTF">2022-06-15T02:43:00Z</dcterms:created>
  <dcterms:modified xsi:type="dcterms:W3CDTF">2022-06-16T02:40:00Z</dcterms:modified>
</cp:coreProperties>
</file>