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83C4" w14:textId="3BFA1C49" w:rsidR="0034513D" w:rsidRPr="00756BEA" w:rsidRDefault="00F577A5" w:rsidP="00756BEA">
      <w:pPr>
        <w:pStyle w:val="MainTitle"/>
        <w:rPr>
          <w:sz w:val="40"/>
          <w:szCs w:val="52"/>
        </w:rPr>
      </w:pPr>
      <w:r>
        <w:t>Proactive and informal release of information</w:t>
      </w:r>
    </w:p>
    <w:p w14:paraId="5DBAAE35" w14:textId="16C30E21" w:rsidR="00622CF3" w:rsidRPr="007407CC" w:rsidRDefault="002D4D97" w:rsidP="00622CF3">
      <w:pPr>
        <w:pStyle w:val="Body"/>
        <w:rPr>
          <w:lang w:val="en-AU"/>
        </w:rPr>
      </w:pPr>
      <w:r w:rsidRPr="00F577A5">
        <w:t xml:space="preserve">In Victoria, you have </w:t>
      </w:r>
      <w:r w:rsidR="00AF698B">
        <w:t xml:space="preserve">the </w:t>
      </w:r>
      <w:r w:rsidR="00F4109B" w:rsidRPr="00F577A5">
        <w:t xml:space="preserve">right to </w:t>
      </w:r>
      <w:r w:rsidR="007407CC">
        <w:t xml:space="preserve">request </w:t>
      </w:r>
      <w:r w:rsidR="00F4109B" w:rsidRPr="00F577A5">
        <w:t xml:space="preserve">access </w:t>
      </w:r>
      <w:r w:rsidR="00121875">
        <w:t xml:space="preserve">to </w:t>
      </w:r>
      <w:r w:rsidR="00F4109B" w:rsidRPr="00F577A5">
        <w:t xml:space="preserve">documents held by Victorian public sector agencies under the </w:t>
      </w:r>
      <w:r w:rsidR="00F4109B" w:rsidRPr="00F577A5">
        <w:rPr>
          <w:i/>
          <w:iCs/>
        </w:rPr>
        <w:t>Freedom of Information Act 1982</w:t>
      </w:r>
      <w:r w:rsidR="00F4109B" w:rsidRPr="00F577A5">
        <w:t xml:space="preserve"> (Vic) (</w:t>
      </w:r>
      <w:r w:rsidR="00326106" w:rsidRPr="00FC5C53">
        <w:rPr>
          <w:b/>
          <w:bCs/>
        </w:rPr>
        <w:t>the</w:t>
      </w:r>
      <w:r w:rsidR="00326106" w:rsidRPr="00F577A5">
        <w:rPr>
          <w:b/>
          <w:bCs/>
        </w:rPr>
        <w:t xml:space="preserve"> </w:t>
      </w:r>
      <w:r w:rsidR="00F4109B" w:rsidRPr="00F577A5">
        <w:rPr>
          <w:b/>
          <w:bCs/>
        </w:rPr>
        <w:t>Act</w:t>
      </w:r>
      <w:r w:rsidR="00F4109B" w:rsidRPr="00F577A5">
        <w:t>).</w:t>
      </w:r>
      <w:r w:rsidR="007407CC">
        <w:t xml:space="preserve"> </w:t>
      </w:r>
      <w:r w:rsidR="005A3AC4">
        <w:rPr>
          <w:lang w:val="en-AU"/>
        </w:rPr>
        <w:t>Your</w:t>
      </w:r>
      <w:r w:rsidR="005A3AC4" w:rsidRPr="007407CC">
        <w:rPr>
          <w:lang w:val="en-AU"/>
        </w:rPr>
        <w:t xml:space="preserve"> </w:t>
      </w:r>
      <w:r w:rsidR="007407CC" w:rsidRPr="007407CC">
        <w:rPr>
          <w:lang w:val="en-AU"/>
        </w:rPr>
        <w:t>right of access is subject to limited exceptions and exemptions.</w:t>
      </w:r>
    </w:p>
    <w:p w14:paraId="0AC31BC2" w14:textId="7F13F570" w:rsidR="00622CF3" w:rsidRPr="00F577A5" w:rsidRDefault="00622CF3" w:rsidP="00622CF3">
      <w:pPr>
        <w:pStyle w:val="Body"/>
      </w:pPr>
      <w:r w:rsidRPr="00F577A5">
        <w:t xml:space="preserve">The purpose of the Act is to extend as far as possible, your right to access information held by Victorian public sector agencies. This promotes government </w:t>
      </w:r>
      <w:r w:rsidRPr="00F577A5">
        <w:rPr>
          <w:rFonts w:cs="National-Book"/>
          <w:lang w:val="en-AU"/>
        </w:rPr>
        <w:t xml:space="preserve">transparency and </w:t>
      </w:r>
      <w:proofErr w:type="gramStart"/>
      <w:r w:rsidRPr="00F577A5">
        <w:rPr>
          <w:rFonts w:cs="National-Book"/>
          <w:lang w:val="en-AU"/>
        </w:rPr>
        <w:t>accountability, and</w:t>
      </w:r>
      <w:proofErr w:type="gramEnd"/>
      <w:r w:rsidRPr="00F577A5">
        <w:rPr>
          <w:rFonts w:cs="National-Book"/>
          <w:lang w:val="en-AU"/>
        </w:rPr>
        <w:t xml:space="preserve"> helps </w:t>
      </w:r>
      <w:r w:rsidR="007407CC">
        <w:rPr>
          <w:rFonts w:cs="National-Book"/>
          <w:lang w:val="en-AU"/>
        </w:rPr>
        <w:t xml:space="preserve">to </w:t>
      </w:r>
      <w:r w:rsidRPr="00F577A5">
        <w:rPr>
          <w:rFonts w:cs="National-Book"/>
          <w:lang w:val="en-AU"/>
        </w:rPr>
        <w:t xml:space="preserve">build </w:t>
      </w:r>
      <w:r w:rsidR="00326106">
        <w:rPr>
          <w:rFonts w:cs="National-Book"/>
          <w:lang w:val="en-AU"/>
        </w:rPr>
        <w:t xml:space="preserve">public </w:t>
      </w:r>
      <w:r w:rsidRPr="00F577A5">
        <w:rPr>
          <w:rFonts w:cs="National-Book"/>
          <w:lang w:val="en-AU"/>
        </w:rPr>
        <w:t>trust in government.</w:t>
      </w:r>
    </w:p>
    <w:p w14:paraId="09192910" w14:textId="30807CAC" w:rsidR="004E4A1F" w:rsidRDefault="0017258B" w:rsidP="00DD0EA8">
      <w:pPr>
        <w:pStyle w:val="Body"/>
      </w:pPr>
      <w:r>
        <w:t xml:space="preserve">In addition to this right to </w:t>
      </w:r>
      <w:r w:rsidR="00326106">
        <w:t xml:space="preserve">make a formal </w:t>
      </w:r>
      <w:r>
        <w:t xml:space="preserve">request </w:t>
      </w:r>
      <w:r w:rsidR="00326106">
        <w:t xml:space="preserve">for </w:t>
      </w:r>
      <w:r>
        <w:t xml:space="preserve">access to government-held documents, </w:t>
      </w:r>
      <w:r w:rsidR="008275D2" w:rsidRPr="00F577A5">
        <w:t xml:space="preserve">the Act also </w:t>
      </w:r>
      <w:r w:rsidR="00326106">
        <w:t>encourages</w:t>
      </w:r>
      <w:r w:rsidR="00326106" w:rsidRPr="00F577A5">
        <w:t xml:space="preserve"> </w:t>
      </w:r>
      <w:r w:rsidR="008275D2" w:rsidRPr="00F577A5">
        <w:t>agencies to release information outside the Act</w:t>
      </w:r>
      <w:r w:rsidR="00121875">
        <w:t>.</w:t>
      </w:r>
      <w:r w:rsidR="008275D2" w:rsidRPr="00F577A5">
        <w:t xml:space="preserve"> </w:t>
      </w:r>
      <w:r w:rsidR="00121875">
        <w:t>This is called</w:t>
      </w:r>
      <w:r w:rsidR="00121875" w:rsidRPr="00F577A5">
        <w:t xml:space="preserve"> </w:t>
      </w:r>
      <w:r w:rsidR="008275D2" w:rsidRPr="00F577A5">
        <w:t xml:space="preserve">proactive and informal release. </w:t>
      </w:r>
    </w:p>
    <w:p w14:paraId="51C9F55C" w14:textId="4BE5EB2C" w:rsidR="003B53C9" w:rsidRDefault="00F577A5" w:rsidP="00F577A5">
      <w:pPr>
        <w:pStyle w:val="Heading-1"/>
      </w:pPr>
      <w:r>
        <w:t>What is proactive release?</w:t>
      </w:r>
    </w:p>
    <w:p w14:paraId="71ACFCC8" w14:textId="567364DB" w:rsidR="00F577A5" w:rsidRDefault="00F577A5" w:rsidP="00DD0EA8">
      <w:pPr>
        <w:pStyle w:val="Body"/>
        <w:rPr>
          <w:lang w:val="en-AU"/>
        </w:rPr>
      </w:pPr>
      <w:r w:rsidRPr="00F577A5">
        <w:rPr>
          <w:lang w:val="en-AU"/>
        </w:rPr>
        <w:t xml:space="preserve">Proactive release involves an agency making information or documents it holds or collects publicly available, on its own accord without </w:t>
      </w:r>
      <w:r>
        <w:rPr>
          <w:lang w:val="en-AU"/>
        </w:rPr>
        <w:t>you</w:t>
      </w:r>
      <w:r w:rsidRPr="00F577A5">
        <w:rPr>
          <w:lang w:val="en-AU"/>
        </w:rPr>
        <w:t xml:space="preserve"> making an information access request.</w:t>
      </w:r>
    </w:p>
    <w:p w14:paraId="7DC32685" w14:textId="77777777" w:rsidR="00087E43" w:rsidRPr="00087E43" w:rsidRDefault="00087E43" w:rsidP="00087E43">
      <w:pPr>
        <w:pStyle w:val="Body"/>
        <w:rPr>
          <w:bCs/>
          <w:lang w:val="en-AU"/>
        </w:rPr>
      </w:pPr>
      <w:r w:rsidRPr="00087E43">
        <w:rPr>
          <w:bCs/>
          <w:lang w:val="en-AU"/>
        </w:rPr>
        <w:t>An agency can choose to proactively release information in several ways. Some examples include:</w:t>
      </w:r>
    </w:p>
    <w:p w14:paraId="42A9B64D" w14:textId="48DDFCF4" w:rsidR="00087E43" w:rsidRPr="00087E43" w:rsidRDefault="00087E43" w:rsidP="00087E43">
      <w:pPr>
        <w:pStyle w:val="Body"/>
        <w:numPr>
          <w:ilvl w:val="0"/>
          <w:numId w:val="20"/>
        </w:numPr>
        <w:rPr>
          <w:lang w:val="en-AU"/>
        </w:rPr>
      </w:pPr>
      <w:r w:rsidRPr="00087E43">
        <w:rPr>
          <w:lang w:val="en-AU"/>
        </w:rPr>
        <w:t>information an agency publishes on its website</w:t>
      </w:r>
      <w:r>
        <w:rPr>
          <w:lang w:val="en-AU"/>
        </w:rPr>
        <w:t xml:space="preserve">, including publication of non-personal information, reports, submissions and </w:t>
      </w:r>
      <w:proofErr w:type="gramStart"/>
      <w:r>
        <w:rPr>
          <w:lang w:val="en-AU"/>
        </w:rPr>
        <w:t>documents</w:t>
      </w:r>
      <w:r w:rsidRPr="00087E43">
        <w:rPr>
          <w:lang w:val="en-AU"/>
        </w:rPr>
        <w:t>;</w:t>
      </w:r>
      <w:proofErr w:type="gramEnd"/>
    </w:p>
    <w:p w14:paraId="03C376BA" w14:textId="77777777" w:rsidR="00087E43" w:rsidRPr="00087E43" w:rsidRDefault="00087E43" w:rsidP="00087E43">
      <w:pPr>
        <w:pStyle w:val="Body"/>
        <w:numPr>
          <w:ilvl w:val="0"/>
          <w:numId w:val="20"/>
        </w:numPr>
        <w:rPr>
          <w:lang w:val="en-AU"/>
        </w:rPr>
      </w:pPr>
      <w:r w:rsidRPr="00087E43">
        <w:rPr>
          <w:lang w:val="en-AU"/>
        </w:rPr>
        <w:t xml:space="preserve">data published on </w:t>
      </w:r>
      <w:hyperlink r:id="rId8" w:history="1">
        <w:r w:rsidRPr="00087E43">
          <w:rPr>
            <w:rStyle w:val="Hyperlink"/>
            <w:lang w:val="en-AU"/>
          </w:rPr>
          <w:t>data.vic.gov.au</w:t>
        </w:r>
      </w:hyperlink>
      <w:r w:rsidRPr="00087E43">
        <w:rPr>
          <w:lang w:val="en-AU"/>
        </w:rPr>
        <w:t>;</w:t>
      </w:r>
    </w:p>
    <w:p w14:paraId="7CAE6D5F" w14:textId="39A47216" w:rsidR="00087E43" w:rsidRPr="00087E43" w:rsidRDefault="00087E43" w:rsidP="00087E43">
      <w:pPr>
        <w:pStyle w:val="Body"/>
        <w:numPr>
          <w:ilvl w:val="0"/>
          <w:numId w:val="20"/>
        </w:numPr>
        <w:rPr>
          <w:lang w:val="en-AU"/>
        </w:rPr>
      </w:pPr>
      <w:r w:rsidRPr="00087E43">
        <w:rPr>
          <w:lang w:val="en-AU"/>
        </w:rPr>
        <w:t xml:space="preserve">tender, </w:t>
      </w:r>
      <w:proofErr w:type="gramStart"/>
      <w:r w:rsidRPr="00087E43">
        <w:rPr>
          <w:lang w:val="en-AU"/>
        </w:rPr>
        <w:t>contractual</w:t>
      </w:r>
      <w:proofErr w:type="gramEnd"/>
      <w:r w:rsidRPr="00087E43">
        <w:rPr>
          <w:lang w:val="en-AU"/>
        </w:rPr>
        <w:t xml:space="preserve"> and financial information published on </w:t>
      </w:r>
      <w:hyperlink r:id="rId9" w:history="1">
        <w:r w:rsidRPr="00087E43">
          <w:rPr>
            <w:rStyle w:val="Hyperlink"/>
            <w:lang w:val="en-AU"/>
          </w:rPr>
          <w:t>Buying for Victoria</w:t>
        </w:r>
      </w:hyperlink>
      <w:r w:rsidRPr="00087E43">
        <w:rPr>
          <w:lang w:val="en-AU"/>
        </w:rPr>
        <w:t>;</w:t>
      </w:r>
      <w:r>
        <w:rPr>
          <w:lang w:val="en-AU"/>
        </w:rPr>
        <w:t xml:space="preserve"> or</w:t>
      </w:r>
    </w:p>
    <w:p w14:paraId="293256C5" w14:textId="532BF29F" w:rsidR="00087E43" w:rsidRDefault="00087E43" w:rsidP="00087E43">
      <w:pPr>
        <w:pStyle w:val="Body"/>
        <w:numPr>
          <w:ilvl w:val="0"/>
          <w:numId w:val="20"/>
        </w:numPr>
        <w:rPr>
          <w:lang w:val="en-AU"/>
        </w:rPr>
      </w:pPr>
      <w:r w:rsidRPr="00087E43">
        <w:rPr>
          <w:lang w:val="en-AU"/>
        </w:rPr>
        <w:t>information published online in public registers</w:t>
      </w:r>
      <w:r>
        <w:rPr>
          <w:lang w:val="en-AU"/>
        </w:rPr>
        <w:t>.</w:t>
      </w:r>
    </w:p>
    <w:p w14:paraId="0D73B431" w14:textId="2BFE572E" w:rsidR="00087E43" w:rsidRDefault="00087E43" w:rsidP="00087E43">
      <w:pPr>
        <w:pStyle w:val="Heading-1"/>
      </w:pPr>
      <w:r>
        <w:t>What is informal release?</w:t>
      </w:r>
    </w:p>
    <w:p w14:paraId="57634D1C" w14:textId="78AF67A6" w:rsidR="00087E43" w:rsidRDefault="00087E43" w:rsidP="00527087">
      <w:pPr>
        <w:pStyle w:val="Body"/>
        <w:rPr>
          <w:lang w:val="en-AU"/>
        </w:rPr>
      </w:pPr>
      <w:r>
        <w:t>Informal release of information</w:t>
      </w:r>
      <w:r w:rsidR="00A63EFD">
        <w:t xml:space="preserve"> occurs when you </w:t>
      </w:r>
      <w:r w:rsidR="00FD0A68">
        <w:t xml:space="preserve">ask an agency for information </w:t>
      </w:r>
      <w:r w:rsidR="00A63EFD">
        <w:t xml:space="preserve">and the agency releases </w:t>
      </w:r>
      <w:r w:rsidR="00D476EA">
        <w:t xml:space="preserve">that information, either in full or in part, </w:t>
      </w:r>
      <w:r w:rsidR="00FD0A68">
        <w:t xml:space="preserve">to you </w:t>
      </w:r>
      <w:r w:rsidR="00D476EA">
        <w:t xml:space="preserve">outside </w:t>
      </w:r>
      <w:r w:rsidR="00FD0A68">
        <w:t xml:space="preserve">of </w:t>
      </w:r>
      <w:r w:rsidR="00D476EA">
        <w:t xml:space="preserve">the Act. This is also known as administrative release. </w:t>
      </w:r>
    </w:p>
    <w:p w14:paraId="0AE632E0" w14:textId="77777777" w:rsidR="009072ED" w:rsidRDefault="009072ED" w:rsidP="009072ED">
      <w:pPr>
        <w:pStyle w:val="Body"/>
        <w:rPr>
          <w:lang w:val="en-AU"/>
        </w:rPr>
      </w:pPr>
      <w:r>
        <w:rPr>
          <w:lang w:val="en-AU"/>
        </w:rPr>
        <w:t>An agency may provide access to information informally by:</w:t>
      </w:r>
    </w:p>
    <w:p w14:paraId="77F7A191" w14:textId="229FB79F" w:rsidR="004C3DC2" w:rsidRDefault="004C3DC2" w:rsidP="004C3DC2">
      <w:pPr>
        <w:pStyle w:val="Body"/>
        <w:numPr>
          <w:ilvl w:val="0"/>
          <w:numId w:val="21"/>
        </w:numPr>
      </w:pPr>
      <w:r>
        <w:t xml:space="preserve">Providing you with information over the </w:t>
      </w:r>
      <w:r w:rsidR="00326106">
        <w:t>tele</w:t>
      </w:r>
      <w:r>
        <w:t xml:space="preserve">phone or via email in response to </w:t>
      </w:r>
      <w:r w:rsidR="00A5745F">
        <w:t xml:space="preserve">a </w:t>
      </w:r>
      <w:r w:rsidR="00326106">
        <w:t xml:space="preserve">formal </w:t>
      </w:r>
      <w:r w:rsidR="00FC5C53">
        <w:t>freedom of information (</w:t>
      </w:r>
      <w:r w:rsidR="00326106" w:rsidRPr="00FC5C53">
        <w:rPr>
          <w:b/>
          <w:bCs/>
        </w:rPr>
        <w:t>FOI</w:t>
      </w:r>
      <w:r w:rsidR="00FC5C53">
        <w:t>)</w:t>
      </w:r>
      <w:r w:rsidR="00326106">
        <w:t xml:space="preserve"> </w:t>
      </w:r>
      <w:r>
        <w:t>request.</w:t>
      </w:r>
    </w:p>
    <w:p w14:paraId="0EC91605" w14:textId="1283B1B0" w:rsidR="009072ED" w:rsidRDefault="004C3DC2" w:rsidP="004C3DC2">
      <w:pPr>
        <w:pStyle w:val="Casestudy"/>
      </w:pPr>
      <w:r>
        <w:t>For example, a member of the public submits an email enquiry to an agency asking for information on when it will close public consultation on a proposed infrastructure project, and what the next steps are, and the agency provides the requested information by return email.</w:t>
      </w:r>
    </w:p>
    <w:p w14:paraId="725ED15A" w14:textId="72CD7371" w:rsidR="004C3DC2" w:rsidRDefault="004C3DC2" w:rsidP="004C3DC2">
      <w:pPr>
        <w:pStyle w:val="Body"/>
        <w:numPr>
          <w:ilvl w:val="0"/>
          <w:numId w:val="21"/>
        </w:numPr>
      </w:pPr>
      <w:r>
        <w:t>Inviting you to inspect information.</w:t>
      </w:r>
    </w:p>
    <w:p w14:paraId="4ED2AAB7" w14:textId="26760E94" w:rsidR="004C3DC2" w:rsidRDefault="00227F5D" w:rsidP="004C3DC2">
      <w:pPr>
        <w:pStyle w:val="Casestudy"/>
      </w:pPr>
      <w:r>
        <w:t xml:space="preserve">For example, a member of the public asks an agency if they can inspect information on a </w:t>
      </w:r>
      <w:r>
        <w:lastRenderedPageBreak/>
        <w:t>register that the agency maintains. The agency provides information about how to inspect information on the register, including whether the person needs to fill out an application form and whether a fee applies. The agency facilitates the inspection.</w:t>
      </w:r>
    </w:p>
    <w:p w14:paraId="53C97655" w14:textId="71EA17F1" w:rsidR="004C3DC2" w:rsidRPr="004B0B43" w:rsidRDefault="00227F5D" w:rsidP="004C3DC2">
      <w:pPr>
        <w:pStyle w:val="Body"/>
        <w:numPr>
          <w:ilvl w:val="0"/>
          <w:numId w:val="21"/>
        </w:numPr>
      </w:pPr>
      <w:r>
        <w:rPr>
          <w:lang w:val="en-AU"/>
        </w:rPr>
        <w:t>Providing access to information under an informal release scheme. Some agencies have developed and administer informal release scheme</w:t>
      </w:r>
      <w:r w:rsidR="00B07082">
        <w:rPr>
          <w:lang w:val="en-AU"/>
        </w:rPr>
        <w:t>s</w:t>
      </w:r>
      <w:r>
        <w:rPr>
          <w:lang w:val="en-AU"/>
        </w:rPr>
        <w:t>, which may be established under legislation or policy. These schemes outline a process for requesting access to information outside of the Act.</w:t>
      </w:r>
      <w:r w:rsidR="00326106">
        <w:rPr>
          <w:lang w:val="en-AU"/>
        </w:rPr>
        <w:t xml:space="preserve"> In some </w:t>
      </w:r>
      <w:proofErr w:type="gramStart"/>
      <w:r w:rsidR="00326106">
        <w:rPr>
          <w:lang w:val="en-AU"/>
        </w:rPr>
        <w:t>cases</w:t>
      </w:r>
      <w:proofErr w:type="gramEnd"/>
      <w:r w:rsidR="00326106">
        <w:rPr>
          <w:lang w:val="en-AU"/>
        </w:rPr>
        <w:t xml:space="preserve"> a charge may apply to access information or a document.</w:t>
      </w:r>
    </w:p>
    <w:p w14:paraId="3C4D17AF" w14:textId="612ACCA3" w:rsidR="00087E43" w:rsidRDefault="004B0B43" w:rsidP="00476399">
      <w:pPr>
        <w:pStyle w:val="Casestudy"/>
      </w:pPr>
      <w:r>
        <w:t>For example, an agency may identify</w:t>
      </w:r>
      <w:r w:rsidR="00476399">
        <w:t xml:space="preserve"> commonly requested information under the Act and establish a process for accessing that information under an informal release scheme. The agency provides information about how to access information under the scheme on its website and facilitates access to information via the scheme.</w:t>
      </w:r>
    </w:p>
    <w:p w14:paraId="62561537" w14:textId="3311D3CA" w:rsidR="00A85BAF" w:rsidRDefault="00A85BAF" w:rsidP="00355B38">
      <w:pPr>
        <w:pStyle w:val="Heading-1"/>
      </w:pPr>
      <w:r>
        <w:t xml:space="preserve">Benefits of proactive and informal release </w:t>
      </w:r>
    </w:p>
    <w:p w14:paraId="3C9AF766" w14:textId="36F78A16" w:rsidR="00F71C48" w:rsidRDefault="00F71C48" w:rsidP="00F71C48">
      <w:pPr>
        <w:pStyle w:val="Body"/>
        <w:rPr>
          <w:b/>
          <w:lang w:val="en-AU"/>
        </w:rPr>
      </w:pPr>
      <w:r>
        <w:rPr>
          <w:lang w:val="en-AU"/>
        </w:rPr>
        <w:t xml:space="preserve">There are </w:t>
      </w:r>
      <w:r w:rsidR="003F0B32">
        <w:rPr>
          <w:lang w:val="en-AU"/>
        </w:rPr>
        <w:t xml:space="preserve">significant </w:t>
      </w:r>
      <w:r>
        <w:rPr>
          <w:lang w:val="en-AU"/>
        </w:rPr>
        <w:t>benefits to both agencies and the public when government</w:t>
      </w:r>
      <w:r w:rsidR="006106F8">
        <w:rPr>
          <w:lang w:val="en-AU"/>
        </w:rPr>
        <w:t>-</w:t>
      </w:r>
      <w:r>
        <w:rPr>
          <w:lang w:val="en-AU"/>
        </w:rPr>
        <w:t>held information is released proactively and informally</w:t>
      </w:r>
      <w:r w:rsidR="000109DF">
        <w:rPr>
          <w:lang w:val="en-AU"/>
        </w:rPr>
        <w:t>. For example, proactive and informal release</w:t>
      </w:r>
      <w:r>
        <w:rPr>
          <w:lang w:val="en-AU"/>
        </w:rPr>
        <w:t>:</w:t>
      </w:r>
    </w:p>
    <w:p w14:paraId="61E3666B" w14:textId="4523586E" w:rsidR="00A43369" w:rsidRPr="00D86492" w:rsidRDefault="00A43369" w:rsidP="00A43369">
      <w:pPr>
        <w:pStyle w:val="Body"/>
        <w:numPr>
          <w:ilvl w:val="0"/>
          <w:numId w:val="22"/>
        </w:numPr>
        <w:spacing w:before="0" w:after="160" w:line="240" w:lineRule="auto"/>
        <w:rPr>
          <w:lang w:val="en-AU"/>
        </w:rPr>
      </w:pPr>
      <w:r w:rsidRPr="00D86492">
        <w:rPr>
          <w:lang w:val="en-AU"/>
        </w:rPr>
        <w:t xml:space="preserve">improves </w:t>
      </w:r>
      <w:r>
        <w:rPr>
          <w:lang w:val="en-AU"/>
        </w:rPr>
        <w:t xml:space="preserve">government </w:t>
      </w:r>
      <w:r w:rsidRPr="00D86492">
        <w:rPr>
          <w:lang w:val="en-AU"/>
        </w:rPr>
        <w:t xml:space="preserve">service delivery </w:t>
      </w:r>
      <w:r>
        <w:rPr>
          <w:lang w:val="en-AU"/>
        </w:rPr>
        <w:t xml:space="preserve">to the public </w:t>
      </w:r>
      <w:r w:rsidRPr="00D86492">
        <w:rPr>
          <w:lang w:val="en-AU"/>
        </w:rPr>
        <w:t xml:space="preserve">by providing access to information faster and more easily than </w:t>
      </w:r>
      <w:proofErr w:type="gramStart"/>
      <w:r>
        <w:rPr>
          <w:lang w:val="en-AU"/>
        </w:rPr>
        <w:t>FOI;</w:t>
      </w:r>
      <w:proofErr w:type="gramEnd"/>
      <w:r>
        <w:rPr>
          <w:lang w:val="en-AU"/>
        </w:rPr>
        <w:t xml:space="preserve"> </w:t>
      </w:r>
    </w:p>
    <w:p w14:paraId="6203619B" w14:textId="36C4751D" w:rsidR="00A43369" w:rsidRPr="00BD68C3" w:rsidRDefault="00A43369" w:rsidP="00A43369">
      <w:pPr>
        <w:pStyle w:val="Body"/>
        <w:numPr>
          <w:ilvl w:val="0"/>
          <w:numId w:val="22"/>
        </w:numPr>
        <w:spacing w:before="0" w:after="200" w:line="264" w:lineRule="auto"/>
        <w:rPr>
          <w:b/>
          <w:lang w:val="en-AU"/>
        </w:rPr>
      </w:pPr>
      <w:r w:rsidRPr="00BD68C3">
        <w:rPr>
          <w:lang w:val="en-AU"/>
        </w:rPr>
        <w:t xml:space="preserve">builds public trust and confidence in decision-making by government and public institutions and strengthens principles of liberal </w:t>
      </w:r>
      <w:proofErr w:type="gramStart"/>
      <w:r w:rsidRPr="00BD68C3">
        <w:rPr>
          <w:lang w:val="en-AU"/>
        </w:rPr>
        <w:t>democracy;</w:t>
      </w:r>
      <w:proofErr w:type="gramEnd"/>
    </w:p>
    <w:p w14:paraId="5C24C724" w14:textId="77777777" w:rsidR="00A43369" w:rsidRPr="00BD68C3" w:rsidRDefault="00471CC0" w:rsidP="00471CC0">
      <w:pPr>
        <w:pStyle w:val="Body"/>
        <w:numPr>
          <w:ilvl w:val="0"/>
          <w:numId w:val="22"/>
        </w:numPr>
        <w:spacing w:before="0" w:after="200" w:line="264" w:lineRule="auto"/>
        <w:rPr>
          <w:b/>
          <w:lang w:val="en-AU"/>
        </w:rPr>
      </w:pPr>
      <w:r w:rsidRPr="00BD68C3">
        <w:rPr>
          <w:lang w:val="en-AU"/>
        </w:rPr>
        <w:t>enhance</w:t>
      </w:r>
      <w:r w:rsidR="006106F8" w:rsidRPr="00BD68C3">
        <w:rPr>
          <w:lang w:val="en-AU"/>
        </w:rPr>
        <w:t>s</w:t>
      </w:r>
      <w:r w:rsidRPr="00BD68C3">
        <w:rPr>
          <w:lang w:val="en-AU"/>
        </w:rPr>
        <w:t xml:space="preserve"> public sector accountability and </w:t>
      </w:r>
      <w:proofErr w:type="gramStart"/>
      <w:r w:rsidRPr="00BD68C3">
        <w:rPr>
          <w:lang w:val="en-AU"/>
        </w:rPr>
        <w:t>integrity</w:t>
      </w:r>
      <w:r w:rsidR="00A43369" w:rsidRPr="00BD68C3">
        <w:rPr>
          <w:lang w:val="en-AU"/>
        </w:rPr>
        <w:t>;</w:t>
      </w:r>
      <w:proofErr w:type="gramEnd"/>
    </w:p>
    <w:p w14:paraId="327BDC07" w14:textId="012C008C" w:rsidR="00471CC0" w:rsidRPr="00BD68C3" w:rsidRDefault="00471CC0" w:rsidP="00471CC0">
      <w:pPr>
        <w:pStyle w:val="Body"/>
        <w:numPr>
          <w:ilvl w:val="0"/>
          <w:numId w:val="22"/>
        </w:numPr>
        <w:spacing w:before="0" w:after="200" w:line="264" w:lineRule="auto"/>
        <w:rPr>
          <w:lang w:val="en-AU"/>
        </w:rPr>
      </w:pPr>
      <w:r w:rsidRPr="00BD68C3">
        <w:rPr>
          <w:lang w:val="en-AU"/>
        </w:rPr>
        <w:t>increase</w:t>
      </w:r>
      <w:r w:rsidR="006106F8" w:rsidRPr="00BD68C3">
        <w:rPr>
          <w:lang w:val="en-AU"/>
        </w:rPr>
        <w:t>s</w:t>
      </w:r>
      <w:r w:rsidRPr="00BD68C3">
        <w:rPr>
          <w:lang w:val="en-AU"/>
        </w:rPr>
        <w:t xml:space="preserve"> public access to government information and </w:t>
      </w:r>
      <w:r w:rsidR="000C2B14" w:rsidRPr="00BD68C3">
        <w:rPr>
          <w:lang w:val="en-AU"/>
        </w:rPr>
        <w:t xml:space="preserve">public participation </w:t>
      </w:r>
      <w:r w:rsidRPr="00BD68C3">
        <w:rPr>
          <w:lang w:val="en-AU"/>
        </w:rPr>
        <w:t xml:space="preserve">in </w:t>
      </w:r>
      <w:r w:rsidR="00A43369" w:rsidRPr="00BD68C3">
        <w:rPr>
          <w:lang w:val="en-AU"/>
        </w:rPr>
        <w:t xml:space="preserve">policy development and </w:t>
      </w:r>
      <w:r w:rsidRPr="00BD68C3">
        <w:rPr>
          <w:lang w:val="en-AU"/>
        </w:rPr>
        <w:t>government decision</w:t>
      </w:r>
      <w:r w:rsidR="00326106" w:rsidRPr="00BD68C3">
        <w:rPr>
          <w:lang w:val="en-AU"/>
        </w:rPr>
        <w:t xml:space="preserve"> </w:t>
      </w:r>
      <w:proofErr w:type="gramStart"/>
      <w:r w:rsidRPr="00BD68C3">
        <w:rPr>
          <w:lang w:val="en-AU"/>
        </w:rPr>
        <w:t>making;</w:t>
      </w:r>
      <w:proofErr w:type="gramEnd"/>
      <w:r w:rsidRPr="00BD68C3">
        <w:rPr>
          <w:lang w:val="en-AU"/>
        </w:rPr>
        <w:t xml:space="preserve"> </w:t>
      </w:r>
    </w:p>
    <w:p w14:paraId="1D799B7D" w14:textId="77777777" w:rsidR="00BD68C3" w:rsidRDefault="00BD68C3" w:rsidP="00BD68C3">
      <w:pPr>
        <w:pStyle w:val="Body"/>
        <w:numPr>
          <w:ilvl w:val="0"/>
          <w:numId w:val="22"/>
        </w:numPr>
        <w:spacing w:before="0" w:after="160" w:line="240" w:lineRule="auto"/>
        <w:rPr>
          <w:lang w:val="en-AU"/>
        </w:rPr>
      </w:pPr>
      <w:r w:rsidRPr="00D86492">
        <w:rPr>
          <w:lang w:val="en-AU"/>
        </w:rPr>
        <w:t xml:space="preserve">reduces the need for </w:t>
      </w:r>
      <w:r>
        <w:rPr>
          <w:lang w:val="en-AU"/>
        </w:rPr>
        <w:t xml:space="preserve">an </w:t>
      </w:r>
      <w:r w:rsidRPr="00D86492">
        <w:rPr>
          <w:lang w:val="en-AU"/>
        </w:rPr>
        <w:t xml:space="preserve">individual to make a formal </w:t>
      </w:r>
      <w:r>
        <w:rPr>
          <w:lang w:val="en-AU"/>
        </w:rPr>
        <w:t>FOI</w:t>
      </w:r>
      <w:r w:rsidRPr="00D86492">
        <w:rPr>
          <w:lang w:val="en-AU"/>
        </w:rPr>
        <w:t xml:space="preserve"> request</w:t>
      </w:r>
      <w:r>
        <w:rPr>
          <w:lang w:val="en-AU"/>
        </w:rPr>
        <w:t xml:space="preserve"> and the staff and financial resources required to administer the</w:t>
      </w:r>
      <w:r w:rsidRPr="00D86492">
        <w:rPr>
          <w:lang w:val="en-AU"/>
        </w:rPr>
        <w:t xml:space="preserve"> </w:t>
      </w:r>
      <w:r>
        <w:rPr>
          <w:lang w:val="en-AU"/>
        </w:rPr>
        <w:t>Act; and</w:t>
      </w:r>
    </w:p>
    <w:p w14:paraId="6DCC9931" w14:textId="77777777" w:rsidR="00BD68C3" w:rsidRPr="00D86492" w:rsidRDefault="00BD68C3" w:rsidP="00BD68C3">
      <w:pPr>
        <w:pStyle w:val="Body"/>
        <w:widowControl/>
        <w:numPr>
          <w:ilvl w:val="0"/>
          <w:numId w:val="22"/>
        </w:numPr>
        <w:spacing w:before="0" w:after="200" w:line="240" w:lineRule="auto"/>
        <w:rPr>
          <w:lang w:val="en-AU"/>
        </w:rPr>
      </w:pPr>
      <w:r w:rsidRPr="00D86492">
        <w:rPr>
          <w:lang w:val="en-AU"/>
        </w:rPr>
        <w:t>provid</w:t>
      </w:r>
      <w:r>
        <w:rPr>
          <w:lang w:val="en-AU"/>
        </w:rPr>
        <w:t>es</w:t>
      </w:r>
      <w:r w:rsidRPr="00D86492">
        <w:rPr>
          <w:lang w:val="en-AU"/>
        </w:rPr>
        <w:t xml:space="preserve"> the opportunity </w:t>
      </w:r>
      <w:r>
        <w:rPr>
          <w:lang w:val="en-AU"/>
        </w:rPr>
        <w:t>for an agency and individual to agree on</w:t>
      </w:r>
      <w:r w:rsidRPr="00D86492">
        <w:rPr>
          <w:lang w:val="en-AU"/>
        </w:rPr>
        <w:t xml:space="preserve"> when and </w:t>
      </w:r>
      <w:r>
        <w:rPr>
          <w:lang w:val="en-AU"/>
        </w:rPr>
        <w:t>in what form</w:t>
      </w:r>
      <w:r w:rsidRPr="00D86492">
        <w:rPr>
          <w:lang w:val="en-AU"/>
        </w:rPr>
        <w:t xml:space="preserve"> information is </w:t>
      </w:r>
      <w:r>
        <w:rPr>
          <w:lang w:val="en-AU"/>
        </w:rPr>
        <w:t>to be released.</w:t>
      </w:r>
      <w:r w:rsidRPr="00D86492">
        <w:rPr>
          <w:lang w:val="en-AU"/>
        </w:rPr>
        <w:t xml:space="preserve"> </w:t>
      </w:r>
    </w:p>
    <w:p w14:paraId="29E85144" w14:textId="4E265F9D" w:rsidR="00521D55" w:rsidRDefault="00521D55" w:rsidP="00E91FED">
      <w:pPr>
        <w:pStyle w:val="Heading-1"/>
      </w:pPr>
      <w:r>
        <w:t>More information</w:t>
      </w:r>
    </w:p>
    <w:p w14:paraId="394EF0D9" w14:textId="56A5177C" w:rsidR="00622693" w:rsidRPr="00D86492" w:rsidRDefault="00611D52" w:rsidP="00E91FED">
      <w:pPr>
        <w:pStyle w:val="Body"/>
        <w:spacing w:before="0" w:after="200" w:line="264" w:lineRule="auto"/>
        <w:rPr>
          <w:lang w:val="en-AU"/>
        </w:rPr>
      </w:pPr>
      <w:r>
        <w:rPr>
          <w:lang w:val="en-AU"/>
        </w:rPr>
        <w:t>If you are unsure how to access</w:t>
      </w:r>
      <w:r w:rsidR="00521D55">
        <w:rPr>
          <w:lang w:val="en-AU"/>
        </w:rPr>
        <w:t xml:space="preserve"> government</w:t>
      </w:r>
      <w:r w:rsidR="00313FD4">
        <w:rPr>
          <w:lang w:val="en-AU"/>
        </w:rPr>
        <w:t>-</w:t>
      </w:r>
      <w:r w:rsidR="00521D55">
        <w:rPr>
          <w:lang w:val="en-AU"/>
        </w:rPr>
        <w:t>held</w:t>
      </w:r>
      <w:r>
        <w:rPr>
          <w:lang w:val="en-AU"/>
        </w:rPr>
        <w:t xml:space="preserve"> information (for example, whether it requires a formal FOI request, can be released via informal release or is publicly available), contact the agency </w:t>
      </w:r>
      <w:r w:rsidR="00326106">
        <w:rPr>
          <w:lang w:val="en-AU"/>
        </w:rPr>
        <w:t xml:space="preserve">that </w:t>
      </w:r>
      <w:r w:rsidR="00313FD4">
        <w:rPr>
          <w:lang w:val="en-AU"/>
        </w:rPr>
        <w:t xml:space="preserve">you believe holds </w:t>
      </w:r>
      <w:r w:rsidR="00326106">
        <w:rPr>
          <w:lang w:val="en-AU"/>
        </w:rPr>
        <w:t xml:space="preserve">the </w:t>
      </w:r>
      <w:r w:rsidR="00313FD4">
        <w:rPr>
          <w:lang w:val="en-AU"/>
        </w:rPr>
        <w:t xml:space="preserve">information </w:t>
      </w:r>
      <w:r>
        <w:rPr>
          <w:lang w:val="en-AU"/>
        </w:rPr>
        <w:t xml:space="preserve">for further </w:t>
      </w:r>
      <w:r w:rsidR="00313FD4">
        <w:rPr>
          <w:lang w:val="en-AU"/>
        </w:rPr>
        <w:t>guidance</w:t>
      </w:r>
      <w:r w:rsidR="00521D55">
        <w:rPr>
          <w:lang w:val="en-AU"/>
        </w:rPr>
        <w:t xml:space="preserve"> about how </w:t>
      </w:r>
      <w:r w:rsidR="00313FD4">
        <w:rPr>
          <w:lang w:val="en-AU"/>
        </w:rPr>
        <w:t xml:space="preserve">you may access </w:t>
      </w:r>
      <w:r w:rsidR="00521D55">
        <w:rPr>
          <w:lang w:val="en-AU"/>
        </w:rPr>
        <w:t>the information</w:t>
      </w:r>
      <w:r>
        <w:rPr>
          <w:lang w:val="en-AU"/>
        </w:rPr>
        <w:t>.</w:t>
      </w:r>
    </w:p>
    <w:p w14:paraId="2F7B950D" w14:textId="77777777" w:rsidR="00A85BAF" w:rsidRDefault="00A85BAF" w:rsidP="00355B38">
      <w:pPr>
        <w:pStyle w:val="Body"/>
      </w:pPr>
    </w:p>
    <w:p w14:paraId="057F4379" w14:textId="0848F36B" w:rsidR="003B53C9" w:rsidRDefault="003B53C9" w:rsidP="00F577A5">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545459"/>
          <w:sz w:val="18"/>
          <w:szCs w:val="18"/>
          <w:lang w:val="en-AU"/>
        </w:rPr>
      </w:pPr>
      <w:r>
        <w:rPr>
          <w:rFonts w:asciiTheme="minorHAnsi" w:hAnsiTheme="minorHAnsi" w:cstheme="minorHAnsi"/>
          <w:b/>
          <w:color w:val="55565A"/>
          <w:sz w:val="18"/>
          <w:szCs w:val="18"/>
          <w:lang w:val="en-AU"/>
        </w:rPr>
        <w:t xml:space="preserve">Disclaimer: </w:t>
      </w:r>
      <w:r>
        <w:rPr>
          <w:rFonts w:asciiTheme="minorHAnsi" w:hAnsiTheme="minorHAnsi" w:cstheme="minorHAnsi"/>
          <w:color w:val="545459"/>
          <w:sz w:val="18"/>
          <w:szCs w:val="18"/>
          <w:lang w:val="en-AU"/>
        </w:rPr>
        <w:t>The information in this document is general in nature and does not constitute legal advice.</w:t>
      </w:r>
    </w:p>
    <w:p w14:paraId="1BF6A642" w14:textId="61058BC6" w:rsidR="00D96515" w:rsidRPr="00F577A5" w:rsidRDefault="00D96515" w:rsidP="00D96515">
      <w:pPr>
        <w:widowControl w:val="0"/>
        <w:tabs>
          <w:tab w:val="left" w:pos="284"/>
          <w:tab w:val="left" w:pos="709"/>
        </w:tabs>
        <w:suppressAutoHyphens/>
        <w:autoSpaceDE w:val="0"/>
        <w:autoSpaceDN w:val="0"/>
        <w:adjustRightInd w:val="0"/>
        <w:spacing w:after="120"/>
        <w:textAlignment w:val="center"/>
        <w:rPr>
          <w:rFonts w:asciiTheme="minorHAnsi" w:hAnsiTheme="minorHAnsi" w:cstheme="minorHAnsi"/>
          <w:color w:val="545459"/>
          <w:sz w:val="18"/>
          <w:szCs w:val="18"/>
          <w:lang w:val="en-AU"/>
        </w:rPr>
      </w:pPr>
      <w:r w:rsidRPr="003D4733">
        <w:rPr>
          <w:rFonts w:asciiTheme="minorHAnsi" w:hAnsiTheme="minorHAnsi" w:cstheme="minorHAnsi"/>
          <w:b/>
          <w:bCs/>
          <w:color w:val="545459"/>
          <w:sz w:val="18"/>
          <w:szCs w:val="18"/>
          <w:lang w:val="en-AU"/>
        </w:rPr>
        <w:t>Version:</w:t>
      </w:r>
      <w:r w:rsidRPr="003D4733">
        <w:rPr>
          <w:rFonts w:asciiTheme="minorHAnsi" w:hAnsiTheme="minorHAnsi" w:cstheme="minorHAnsi"/>
          <w:color w:val="545459"/>
          <w:sz w:val="18"/>
          <w:szCs w:val="18"/>
          <w:lang w:val="en-AU"/>
        </w:rPr>
        <w:t xml:space="preserve"> </w:t>
      </w:r>
      <w:r>
        <w:rPr>
          <w:rFonts w:asciiTheme="minorHAnsi" w:hAnsiTheme="minorHAnsi" w:cstheme="minorHAnsi"/>
          <w:color w:val="545459"/>
          <w:sz w:val="18"/>
          <w:szCs w:val="18"/>
          <w:lang w:val="en-AU"/>
        </w:rPr>
        <w:t>June</w:t>
      </w:r>
      <w:r w:rsidRPr="003D4733">
        <w:rPr>
          <w:rFonts w:asciiTheme="minorHAnsi" w:hAnsiTheme="minorHAnsi" w:cstheme="minorHAnsi"/>
          <w:color w:val="545459"/>
          <w:sz w:val="18"/>
          <w:szCs w:val="18"/>
          <w:lang w:val="en-AU"/>
        </w:rPr>
        <w:t xml:space="preserve"> 2022 – </w:t>
      </w:r>
      <w:r w:rsidR="00206AD3" w:rsidRPr="00206AD3">
        <w:rPr>
          <w:rFonts w:asciiTheme="minorHAnsi" w:hAnsiTheme="minorHAnsi" w:cstheme="minorHAnsi"/>
          <w:color w:val="545459"/>
          <w:sz w:val="18"/>
          <w:szCs w:val="18"/>
          <w:lang w:val="en-AU"/>
        </w:rPr>
        <w:t>D22/7656</w:t>
      </w:r>
    </w:p>
    <w:sectPr w:rsidR="00D96515" w:rsidRPr="00F577A5" w:rsidSect="005754AC">
      <w:footerReference w:type="default" r:id="rId10"/>
      <w:headerReference w:type="first" r:id="rId11"/>
      <w:footerReference w:type="first" r:id="rId12"/>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B709" w14:textId="77777777" w:rsidR="004A1097" w:rsidRDefault="004A1097" w:rsidP="00B53C78">
      <w:r>
        <w:separator/>
      </w:r>
    </w:p>
  </w:endnote>
  <w:endnote w:type="continuationSeparator" w:id="0">
    <w:p w14:paraId="5FEF0E38" w14:textId="77777777" w:rsidR="004A1097" w:rsidRDefault="004A1097"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005030000000200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6A4C"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B481"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BE09" w14:textId="77777777" w:rsidR="004A1097" w:rsidRPr="002330E8" w:rsidRDefault="004A1097">
      <w:pPr>
        <w:rPr>
          <w:color w:val="55565A"/>
          <w:sz w:val="22"/>
          <w:szCs w:val="22"/>
        </w:rPr>
      </w:pPr>
      <w:r w:rsidRPr="002330E8">
        <w:rPr>
          <w:color w:val="55565A"/>
          <w:sz w:val="22"/>
          <w:szCs w:val="22"/>
        </w:rPr>
        <w:separator/>
      </w:r>
    </w:p>
  </w:footnote>
  <w:footnote w:type="continuationSeparator" w:id="0">
    <w:p w14:paraId="7838D0A3" w14:textId="77777777" w:rsidR="004A1097" w:rsidRDefault="004A1097" w:rsidP="00B53C78">
      <w:r>
        <w:continuationSeparator/>
      </w:r>
    </w:p>
  </w:footnote>
  <w:footnote w:type="continuationNotice" w:id="1">
    <w:p w14:paraId="0AA493EB" w14:textId="77777777" w:rsidR="004A1097" w:rsidRDefault="004A1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B508" w14:textId="1FE7BAA4"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6704" behindDoc="1" locked="0" layoutInCell="1" allowOverlap="1" wp14:anchorId="0DCCB899" wp14:editId="01D26C8D">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7" name="Picture 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002264F7">
      <w:rPr>
        <w:rFonts w:asciiTheme="minorHAnsi" w:hAnsiTheme="minorHAnsi" w:cstheme="minorHAnsi"/>
        <w:color w:val="55565A"/>
        <w:sz w:val="18"/>
        <w:szCs w:val="18"/>
      </w:rPr>
      <w:t>Guidance for the public</w:t>
    </w:r>
  </w:p>
  <w:p w14:paraId="438FB782" w14:textId="77777777" w:rsidR="00206AD3" w:rsidRPr="008C301D" w:rsidRDefault="00206AD3" w:rsidP="00206AD3">
    <w:pPr>
      <w:pStyle w:val="Header"/>
      <w:tabs>
        <w:tab w:val="clear" w:pos="4513"/>
        <w:tab w:val="clear" w:pos="9026"/>
        <w:tab w:val="left" w:pos="9632"/>
      </w:tabs>
      <w:snapToGrid w:val="0"/>
      <w:spacing w:after="120"/>
      <w:ind w:right="-7"/>
      <w:jc w:val="right"/>
      <w:rPr>
        <w:rFonts w:asciiTheme="minorHAnsi" w:hAnsiTheme="minorHAnsi" w:cstheme="minorHAnsi"/>
        <w:color w:val="7F7F7F"/>
        <w:sz w:val="18"/>
        <w:szCs w:val="18"/>
      </w:rPr>
    </w:pPr>
    <w:r w:rsidRPr="008C301D">
      <w:rPr>
        <w:rFonts w:asciiTheme="minorHAnsi" w:hAnsiTheme="minorHAnsi" w:cstheme="minorHAnsi"/>
        <w:color w:val="430098"/>
        <w:sz w:val="18"/>
        <w:szCs w:val="18"/>
      </w:rPr>
      <w:t>Freedom of Information</w:t>
    </w:r>
  </w:p>
  <w:p w14:paraId="3C615803" w14:textId="2F4F835E"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7D7A2E86"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57728" behindDoc="0" locked="0" layoutInCell="1" allowOverlap="1" wp14:anchorId="009AFBB9" wp14:editId="54B798E9">
          <wp:simplePos x="0" y="0"/>
          <wp:positionH relativeFrom="column">
            <wp:posOffset>3175</wp:posOffset>
          </wp:positionH>
          <wp:positionV relativeFrom="paragraph">
            <wp:posOffset>13970</wp:posOffset>
          </wp:positionV>
          <wp:extent cx="6192000" cy="46150"/>
          <wp:effectExtent l="0" t="0" r="0" b="5080"/>
          <wp:wrapNone/>
          <wp:docPr id="8" name="Picture 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D6361"/>
    <w:multiLevelType w:val="hybridMultilevel"/>
    <w:tmpl w:val="191A3960"/>
    <w:lvl w:ilvl="0" w:tplc="E36A09F8">
      <w:start w:val="1"/>
      <w:numFmt w:val="bullet"/>
      <w:lvlText w:val=""/>
      <w:lvlJc w:val="left"/>
      <w:pPr>
        <w:ind w:left="720" w:hanging="360"/>
      </w:pPr>
      <w:rPr>
        <w:rFonts w:ascii="Symbol" w:hAnsi="Symbol"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02E3A"/>
    <w:multiLevelType w:val="hybridMultilevel"/>
    <w:tmpl w:val="39F6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2F5495"/>
    <w:multiLevelType w:val="hybridMultilevel"/>
    <w:tmpl w:val="3BE4F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B77CCB"/>
    <w:multiLevelType w:val="hybridMultilevel"/>
    <w:tmpl w:val="76F049A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85444"/>
    <w:multiLevelType w:val="hybridMultilevel"/>
    <w:tmpl w:val="33F6F3E0"/>
    <w:lvl w:ilvl="0" w:tplc="E99A69DA">
      <w:numFmt w:val="bullet"/>
      <w:lvlText w:val="•"/>
      <w:lvlJc w:val="left"/>
      <w:pPr>
        <w:ind w:left="644" w:hanging="360"/>
      </w:pPr>
      <w:rPr>
        <w:rFonts w:ascii="Calibri" w:eastAsia="Calibr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1319726171">
    <w:abstractNumId w:val="10"/>
  </w:num>
  <w:num w:numId="2" w16cid:durableId="467746124">
    <w:abstractNumId w:val="11"/>
  </w:num>
  <w:num w:numId="3" w16cid:durableId="1033506221">
    <w:abstractNumId w:val="7"/>
  </w:num>
  <w:num w:numId="4" w16cid:durableId="821770664">
    <w:abstractNumId w:val="21"/>
  </w:num>
  <w:num w:numId="5" w16cid:durableId="352807593">
    <w:abstractNumId w:val="14"/>
  </w:num>
  <w:num w:numId="6" w16cid:durableId="105929396">
    <w:abstractNumId w:val="20"/>
  </w:num>
  <w:num w:numId="7" w16cid:durableId="1267736101">
    <w:abstractNumId w:val="6"/>
  </w:num>
  <w:num w:numId="8" w16cid:durableId="1618443409">
    <w:abstractNumId w:val="9"/>
  </w:num>
  <w:num w:numId="9" w16cid:durableId="820386277">
    <w:abstractNumId w:val="0"/>
  </w:num>
  <w:num w:numId="10" w16cid:durableId="241566793">
    <w:abstractNumId w:val="5"/>
  </w:num>
  <w:num w:numId="11" w16cid:durableId="1096051033">
    <w:abstractNumId w:val="18"/>
  </w:num>
  <w:num w:numId="12" w16cid:durableId="1294210485">
    <w:abstractNumId w:val="3"/>
  </w:num>
  <w:num w:numId="13" w16cid:durableId="4140682">
    <w:abstractNumId w:val="13"/>
  </w:num>
  <w:num w:numId="14" w16cid:durableId="575365786">
    <w:abstractNumId w:val="1"/>
  </w:num>
  <w:num w:numId="15" w16cid:durableId="1999771409">
    <w:abstractNumId w:val="16"/>
  </w:num>
  <w:num w:numId="16" w16cid:durableId="1971739709">
    <w:abstractNumId w:val="12"/>
  </w:num>
  <w:num w:numId="17" w16cid:durableId="1609465059">
    <w:abstractNumId w:val="8"/>
  </w:num>
  <w:num w:numId="18" w16cid:durableId="1876697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5208095">
    <w:abstractNumId w:val="2"/>
  </w:num>
  <w:num w:numId="20" w16cid:durableId="201526023">
    <w:abstractNumId w:val="22"/>
  </w:num>
  <w:num w:numId="21" w16cid:durableId="813760921">
    <w:abstractNumId w:val="19"/>
  </w:num>
  <w:num w:numId="22" w16cid:durableId="1648701006">
    <w:abstractNumId w:val="15"/>
  </w:num>
  <w:num w:numId="23" w16cid:durableId="1794590187">
    <w:abstractNumId w:val="4"/>
  </w:num>
  <w:num w:numId="24" w16cid:durableId="17306110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25"/>
    <w:rsid w:val="00001D44"/>
    <w:rsid w:val="000109DF"/>
    <w:rsid w:val="00044728"/>
    <w:rsid w:val="00064688"/>
    <w:rsid w:val="00077961"/>
    <w:rsid w:val="00080620"/>
    <w:rsid w:val="00087E43"/>
    <w:rsid w:val="00091CB4"/>
    <w:rsid w:val="00093CAA"/>
    <w:rsid w:val="00097EC6"/>
    <w:rsid w:val="000C09CC"/>
    <w:rsid w:val="000C0D4E"/>
    <w:rsid w:val="000C26BA"/>
    <w:rsid w:val="000C2B14"/>
    <w:rsid w:val="000E4EA8"/>
    <w:rsid w:val="000E6D30"/>
    <w:rsid w:val="000E7FAE"/>
    <w:rsid w:val="000F3A12"/>
    <w:rsid w:val="00112666"/>
    <w:rsid w:val="001159CB"/>
    <w:rsid w:val="00121875"/>
    <w:rsid w:val="0012374C"/>
    <w:rsid w:val="00145431"/>
    <w:rsid w:val="00146F50"/>
    <w:rsid w:val="00164A42"/>
    <w:rsid w:val="001716C9"/>
    <w:rsid w:val="0017258B"/>
    <w:rsid w:val="00173F40"/>
    <w:rsid w:val="0017786A"/>
    <w:rsid w:val="0019036B"/>
    <w:rsid w:val="001967FD"/>
    <w:rsid w:val="001C063B"/>
    <w:rsid w:val="001C6E4B"/>
    <w:rsid w:val="001F60F4"/>
    <w:rsid w:val="00206AD3"/>
    <w:rsid w:val="002264F7"/>
    <w:rsid w:val="00227F5D"/>
    <w:rsid w:val="002330E8"/>
    <w:rsid w:val="0024071F"/>
    <w:rsid w:val="00251525"/>
    <w:rsid w:val="0025217E"/>
    <w:rsid w:val="00252833"/>
    <w:rsid w:val="00261684"/>
    <w:rsid w:val="00293DDA"/>
    <w:rsid w:val="002A48A0"/>
    <w:rsid w:val="002B4A5C"/>
    <w:rsid w:val="002B614D"/>
    <w:rsid w:val="002C46A8"/>
    <w:rsid w:val="002D4A3A"/>
    <w:rsid w:val="002D4D97"/>
    <w:rsid w:val="003020DA"/>
    <w:rsid w:val="00305D40"/>
    <w:rsid w:val="00313FD4"/>
    <w:rsid w:val="00320B70"/>
    <w:rsid w:val="00322784"/>
    <w:rsid w:val="00326106"/>
    <w:rsid w:val="00326E58"/>
    <w:rsid w:val="00330030"/>
    <w:rsid w:val="0034513D"/>
    <w:rsid w:val="0034520D"/>
    <w:rsid w:val="00345731"/>
    <w:rsid w:val="0035211D"/>
    <w:rsid w:val="00355B38"/>
    <w:rsid w:val="00370F3D"/>
    <w:rsid w:val="00372C3E"/>
    <w:rsid w:val="00384F15"/>
    <w:rsid w:val="003A0F3A"/>
    <w:rsid w:val="003A3CBC"/>
    <w:rsid w:val="003A4852"/>
    <w:rsid w:val="003A7085"/>
    <w:rsid w:val="003B2B84"/>
    <w:rsid w:val="003B53C9"/>
    <w:rsid w:val="003C6D10"/>
    <w:rsid w:val="003F0B32"/>
    <w:rsid w:val="00400498"/>
    <w:rsid w:val="00406248"/>
    <w:rsid w:val="00423F2F"/>
    <w:rsid w:val="00424309"/>
    <w:rsid w:val="0043156F"/>
    <w:rsid w:val="00436C00"/>
    <w:rsid w:val="00453B44"/>
    <w:rsid w:val="004634A1"/>
    <w:rsid w:val="00465B05"/>
    <w:rsid w:val="00470E39"/>
    <w:rsid w:val="00471CC0"/>
    <w:rsid w:val="0047248D"/>
    <w:rsid w:val="00476315"/>
    <w:rsid w:val="00476399"/>
    <w:rsid w:val="004850DA"/>
    <w:rsid w:val="00490BE2"/>
    <w:rsid w:val="004A1097"/>
    <w:rsid w:val="004A33DA"/>
    <w:rsid w:val="004B0B43"/>
    <w:rsid w:val="004C3DC2"/>
    <w:rsid w:val="004D1C82"/>
    <w:rsid w:val="004D4448"/>
    <w:rsid w:val="004E4A1F"/>
    <w:rsid w:val="00502CD1"/>
    <w:rsid w:val="005178FE"/>
    <w:rsid w:val="00521D55"/>
    <w:rsid w:val="00527087"/>
    <w:rsid w:val="00532D82"/>
    <w:rsid w:val="00533CAC"/>
    <w:rsid w:val="00542947"/>
    <w:rsid w:val="0054362E"/>
    <w:rsid w:val="00555602"/>
    <w:rsid w:val="005611CC"/>
    <w:rsid w:val="005651F0"/>
    <w:rsid w:val="005754AC"/>
    <w:rsid w:val="005870C5"/>
    <w:rsid w:val="005A0AFB"/>
    <w:rsid w:val="005A3AC4"/>
    <w:rsid w:val="005A49D0"/>
    <w:rsid w:val="005B1D42"/>
    <w:rsid w:val="005D01F3"/>
    <w:rsid w:val="005D0B5F"/>
    <w:rsid w:val="005D3E8A"/>
    <w:rsid w:val="00607786"/>
    <w:rsid w:val="006106F8"/>
    <w:rsid w:val="00611D52"/>
    <w:rsid w:val="006120B5"/>
    <w:rsid w:val="00620FD8"/>
    <w:rsid w:val="00622693"/>
    <w:rsid w:val="00622CF3"/>
    <w:rsid w:val="00635E9F"/>
    <w:rsid w:val="00652D6F"/>
    <w:rsid w:val="00662FFB"/>
    <w:rsid w:val="006713D1"/>
    <w:rsid w:val="00674485"/>
    <w:rsid w:val="00685248"/>
    <w:rsid w:val="006876B7"/>
    <w:rsid w:val="006B1C0F"/>
    <w:rsid w:val="006C14E4"/>
    <w:rsid w:val="00713A33"/>
    <w:rsid w:val="007140E5"/>
    <w:rsid w:val="00717657"/>
    <w:rsid w:val="00723ACA"/>
    <w:rsid w:val="00726FA9"/>
    <w:rsid w:val="007407CC"/>
    <w:rsid w:val="00756BEA"/>
    <w:rsid w:val="00760DDC"/>
    <w:rsid w:val="00765158"/>
    <w:rsid w:val="00776737"/>
    <w:rsid w:val="00780584"/>
    <w:rsid w:val="00784E62"/>
    <w:rsid w:val="007862E0"/>
    <w:rsid w:val="00786837"/>
    <w:rsid w:val="007964E0"/>
    <w:rsid w:val="007973AB"/>
    <w:rsid w:val="007A6964"/>
    <w:rsid w:val="007C3E32"/>
    <w:rsid w:val="008046F8"/>
    <w:rsid w:val="00806B62"/>
    <w:rsid w:val="008275D2"/>
    <w:rsid w:val="00854716"/>
    <w:rsid w:val="00856EDC"/>
    <w:rsid w:val="00863040"/>
    <w:rsid w:val="0086734F"/>
    <w:rsid w:val="00871FC7"/>
    <w:rsid w:val="008721FC"/>
    <w:rsid w:val="0088604A"/>
    <w:rsid w:val="00896699"/>
    <w:rsid w:val="008B4992"/>
    <w:rsid w:val="008B7923"/>
    <w:rsid w:val="008C301D"/>
    <w:rsid w:val="008F106C"/>
    <w:rsid w:val="009072ED"/>
    <w:rsid w:val="0092276F"/>
    <w:rsid w:val="00922C7A"/>
    <w:rsid w:val="00940F43"/>
    <w:rsid w:val="00943A1E"/>
    <w:rsid w:val="0098797D"/>
    <w:rsid w:val="009B6B0A"/>
    <w:rsid w:val="00A26740"/>
    <w:rsid w:val="00A31747"/>
    <w:rsid w:val="00A33D6F"/>
    <w:rsid w:val="00A37BE1"/>
    <w:rsid w:val="00A43369"/>
    <w:rsid w:val="00A5745F"/>
    <w:rsid w:val="00A63EFD"/>
    <w:rsid w:val="00A65C03"/>
    <w:rsid w:val="00A85BAF"/>
    <w:rsid w:val="00A92625"/>
    <w:rsid w:val="00AC35A9"/>
    <w:rsid w:val="00AE13A1"/>
    <w:rsid w:val="00AF698B"/>
    <w:rsid w:val="00B04B43"/>
    <w:rsid w:val="00B05307"/>
    <w:rsid w:val="00B07082"/>
    <w:rsid w:val="00B177DA"/>
    <w:rsid w:val="00B2499E"/>
    <w:rsid w:val="00B316BE"/>
    <w:rsid w:val="00B32753"/>
    <w:rsid w:val="00B339BB"/>
    <w:rsid w:val="00B37C5F"/>
    <w:rsid w:val="00B52858"/>
    <w:rsid w:val="00B53C78"/>
    <w:rsid w:val="00B61929"/>
    <w:rsid w:val="00B80DE3"/>
    <w:rsid w:val="00B94BBD"/>
    <w:rsid w:val="00B9736F"/>
    <w:rsid w:val="00BA770C"/>
    <w:rsid w:val="00BC1972"/>
    <w:rsid w:val="00BD07DC"/>
    <w:rsid w:val="00BD2C4E"/>
    <w:rsid w:val="00BD4E38"/>
    <w:rsid w:val="00BD5AE9"/>
    <w:rsid w:val="00BD68C3"/>
    <w:rsid w:val="00BE3022"/>
    <w:rsid w:val="00C02001"/>
    <w:rsid w:val="00C04500"/>
    <w:rsid w:val="00C42986"/>
    <w:rsid w:val="00C473B0"/>
    <w:rsid w:val="00C62A45"/>
    <w:rsid w:val="00C802E7"/>
    <w:rsid w:val="00C8239C"/>
    <w:rsid w:val="00C823F9"/>
    <w:rsid w:val="00C83C08"/>
    <w:rsid w:val="00C9198C"/>
    <w:rsid w:val="00C922DD"/>
    <w:rsid w:val="00CB4387"/>
    <w:rsid w:val="00CD6BDB"/>
    <w:rsid w:val="00CE7458"/>
    <w:rsid w:val="00CF4062"/>
    <w:rsid w:val="00D02655"/>
    <w:rsid w:val="00D0311E"/>
    <w:rsid w:val="00D214C2"/>
    <w:rsid w:val="00D267EC"/>
    <w:rsid w:val="00D3108A"/>
    <w:rsid w:val="00D32D00"/>
    <w:rsid w:val="00D476EA"/>
    <w:rsid w:val="00D723C1"/>
    <w:rsid w:val="00D7500A"/>
    <w:rsid w:val="00D77B3C"/>
    <w:rsid w:val="00D96515"/>
    <w:rsid w:val="00DA234D"/>
    <w:rsid w:val="00DA5937"/>
    <w:rsid w:val="00DB13A1"/>
    <w:rsid w:val="00DB55DB"/>
    <w:rsid w:val="00DD0EA8"/>
    <w:rsid w:val="00DE73F6"/>
    <w:rsid w:val="00E25048"/>
    <w:rsid w:val="00E40ACD"/>
    <w:rsid w:val="00E45B00"/>
    <w:rsid w:val="00E54A51"/>
    <w:rsid w:val="00E55C61"/>
    <w:rsid w:val="00E606BA"/>
    <w:rsid w:val="00E63484"/>
    <w:rsid w:val="00E66BA5"/>
    <w:rsid w:val="00E80E70"/>
    <w:rsid w:val="00E86019"/>
    <w:rsid w:val="00E87F33"/>
    <w:rsid w:val="00E91FED"/>
    <w:rsid w:val="00EA1B53"/>
    <w:rsid w:val="00EB03B3"/>
    <w:rsid w:val="00EC6341"/>
    <w:rsid w:val="00EF06C1"/>
    <w:rsid w:val="00EF553E"/>
    <w:rsid w:val="00EF65B2"/>
    <w:rsid w:val="00EF7213"/>
    <w:rsid w:val="00F12A32"/>
    <w:rsid w:val="00F12DE7"/>
    <w:rsid w:val="00F17578"/>
    <w:rsid w:val="00F3674C"/>
    <w:rsid w:val="00F36C34"/>
    <w:rsid w:val="00F402B9"/>
    <w:rsid w:val="00F4109B"/>
    <w:rsid w:val="00F5377F"/>
    <w:rsid w:val="00F577A5"/>
    <w:rsid w:val="00F71C48"/>
    <w:rsid w:val="00F83814"/>
    <w:rsid w:val="00F87792"/>
    <w:rsid w:val="00F923FB"/>
    <w:rsid w:val="00FA1F8E"/>
    <w:rsid w:val="00FB0370"/>
    <w:rsid w:val="00FC0880"/>
    <w:rsid w:val="00FC5C53"/>
    <w:rsid w:val="00FD0A68"/>
    <w:rsid w:val="00FD0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79EF5"/>
  <w14:defaultImageDpi w14:val="32767"/>
  <w15:docId w15:val="{C6A882B4-B455-A842-8588-6CA38D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qFormat/>
    <w:rsid w:val="00713A33"/>
    <w:pPr>
      <w:suppressAutoHyphens/>
      <w:spacing w:after="100" w:line="264" w:lineRule="auto"/>
    </w:pPr>
    <w:rPr>
      <w:rFonts w:ascii="Calibri" w:hAnsi="Calibri" w:cs="PostGrotesk-Medium"/>
      <w:color w:val="430098"/>
      <w:sz w:val="26"/>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qFormat/>
    <w:rsid w:val="00713A33"/>
    <w:pPr>
      <w:tabs>
        <w:tab w:val="clear" w:pos="9026"/>
        <w:tab w:val="left" w:pos="6946"/>
      </w:tabs>
      <w:spacing w:before="60" w:after="200"/>
    </w:pPr>
    <w:rPr>
      <w:rFonts w:asciiTheme="minorHAnsi" w:hAnsiTheme="minorHAnsi" w:cs="Arial"/>
      <w:b/>
      <w:color w:val="430098"/>
      <w:sz w:val="30"/>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713A33"/>
    <w:pPr>
      <w:spacing w:before="0" w:after="200"/>
    </w:pPr>
    <w:rPr>
      <w:b/>
      <w:bCs/>
    </w:rPr>
  </w:style>
  <w:style w:type="character" w:styleId="UnresolvedMention">
    <w:name w:val="Unresolved Mention"/>
    <w:basedOn w:val="DefaultParagraphFont"/>
    <w:uiPriority w:val="99"/>
    <w:semiHidden/>
    <w:unhideWhenUsed/>
    <w:rsid w:val="0008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5605">
      <w:bodyDiv w:val="1"/>
      <w:marLeft w:val="0"/>
      <w:marRight w:val="0"/>
      <w:marTop w:val="0"/>
      <w:marBottom w:val="0"/>
      <w:divBdr>
        <w:top w:val="none" w:sz="0" w:space="0" w:color="auto"/>
        <w:left w:val="none" w:sz="0" w:space="0" w:color="auto"/>
        <w:bottom w:val="none" w:sz="0" w:space="0" w:color="auto"/>
        <w:right w:val="none" w:sz="0" w:space="0" w:color="auto"/>
      </w:divBdr>
    </w:div>
    <w:div w:id="267852669">
      <w:bodyDiv w:val="1"/>
      <w:marLeft w:val="0"/>
      <w:marRight w:val="0"/>
      <w:marTop w:val="0"/>
      <w:marBottom w:val="0"/>
      <w:divBdr>
        <w:top w:val="none" w:sz="0" w:space="0" w:color="auto"/>
        <w:left w:val="none" w:sz="0" w:space="0" w:color="auto"/>
        <w:bottom w:val="none" w:sz="0" w:space="0" w:color="auto"/>
        <w:right w:val="none" w:sz="0" w:space="0" w:color="auto"/>
      </w:divBdr>
    </w:div>
    <w:div w:id="648944090">
      <w:bodyDiv w:val="1"/>
      <w:marLeft w:val="0"/>
      <w:marRight w:val="0"/>
      <w:marTop w:val="0"/>
      <w:marBottom w:val="0"/>
      <w:divBdr>
        <w:top w:val="none" w:sz="0" w:space="0" w:color="auto"/>
        <w:left w:val="none" w:sz="0" w:space="0" w:color="auto"/>
        <w:bottom w:val="none" w:sz="0" w:space="0" w:color="auto"/>
        <w:right w:val="none" w:sz="0" w:space="0" w:color="auto"/>
      </w:divBdr>
    </w:div>
    <w:div w:id="877469882">
      <w:bodyDiv w:val="1"/>
      <w:marLeft w:val="0"/>
      <w:marRight w:val="0"/>
      <w:marTop w:val="0"/>
      <w:marBottom w:val="0"/>
      <w:divBdr>
        <w:top w:val="none" w:sz="0" w:space="0" w:color="auto"/>
        <w:left w:val="none" w:sz="0" w:space="0" w:color="auto"/>
        <w:bottom w:val="none" w:sz="0" w:space="0" w:color="auto"/>
        <w:right w:val="none" w:sz="0" w:space="0" w:color="auto"/>
      </w:divBdr>
    </w:div>
    <w:div w:id="1019964312">
      <w:bodyDiv w:val="1"/>
      <w:marLeft w:val="0"/>
      <w:marRight w:val="0"/>
      <w:marTop w:val="0"/>
      <w:marBottom w:val="0"/>
      <w:divBdr>
        <w:top w:val="none" w:sz="0" w:space="0" w:color="auto"/>
        <w:left w:val="none" w:sz="0" w:space="0" w:color="auto"/>
        <w:bottom w:val="none" w:sz="0" w:space="0" w:color="auto"/>
        <w:right w:val="none" w:sz="0" w:space="0" w:color="auto"/>
      </w:divBdr>
    </w:div>
    <w:div w:id="1616517549">
      <w:bodyDiv w:val="1"/>
      <w:marLeft w:val="0"/>
      <w:marRight w:val="0"/>
      <w:marTop w:val="0"/>
      <w:marBottom w:val="0"/>
      <w:divBdr>
        <w:top w:val="none" w:sz="0" w:space="0" w:color="auto"/>
        <w:left w:val="none" w:sz="0" w:space="0" w:color="auto"/>
        <w:bottom w:val="none" w:sz="0" w:space="0" w:color="auto"/>
        <w:right w:val="none" w:sz="0" w:space="0" w:color="auto"/>
      </w:divBdr>
    </w:div>
    <w:div w:id="2071733405">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nders.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Shantelle Ryan</dc:creator>
  <cp:lastModifiedBy>Jessica Brackin</cp:lastModifiedBy>
  <cp:revision>2</cp:revision>
  <cp:lastPrinted>2019-07-23T01:36:00Z</cp:lastPrinted>
  <dcterms:created xsi:type="dcterms:W3CDTF">2022-06-27T01:09:00Z</dcterms:created>
  <dcterms:modified xsi:type="dcterms:W3CDTF">2022-06-27T01:09:00Z</dcterms:modified>
</cp:coreProperties>
</file>