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618" w14:textId="44967C6A" w:rsidR="00771051" w:rsidRPr="001D1FE7" w:rsidRDefault="00771051" w:rsidP="00771051">
      <w:pPr>
        <w:pStyle w:val="SectionHeading1"/>
        <w:rPr>
          <w:sz w:val="24"/>
          <w:szCs w:val="24"/>
        </w:rPr>
      </w:pPr>
      <w:r>
        <w:rPr>
          <w:sz w:val="24"/>
          <w:szCs w:val="24"/>
        </w:rPr>
        <w:t>T</w:t>
      </w:r>
      <w:r w:rsidRPr="001D1FE7">
        <w:rPr>
          <w:sz w:val="24"/>
          <w:szCs w:val="24"/>
        </w:rPr>
        <w:t>he</w:t>
      </w:r>
      <w:r w:rsidR="00300CFA">
        <w:rPr>
          <w:sz w:val="24"/>
          <w:szCs w:val="24"/>
        </w:rPr>
        <w:t xml:space="preserve"> information security</w:t>
      </w:r>
      <w:r w:rsidRPr="001D1FE7">
        <w:rPr>
          <w:sz w:val="24"/>
          <w:szCs w:val="24"/>
        </w:rPr>
        <w:t xml:space="preserve"> incident notification scheme</w:t>
      </w:r>
      <w:r w:rsidR="004B17E4">
        <w:rPr>
          <w:sz w:val="24"/>
          <w:szCs w:val="24"/>
        </w:rPr>
        <w:t xml:space="preserve"> (</w:t>
      </w:r>
      <w:r w:rsidR="004B17E4" w:rsidRPr="00C86B59">
        <w:rPr>
          <w:b/>
          <w:bCs/>
          <w:sz w:val="24"/>
          <w:szCs w:val="24"/>
        </w:rPr>
        <w:t>the scheme</w:t>
      </w:r>
      <w:r w:rsidR="004B17E4">
        <w:rPr>
          <w:sz w:val="24"/>
          <w:szCs w:val="24"/>
        </w:rPr>
        <w:t>)</w:t>
      </w:r>
      <w:r w:rsidRPr="001D1FE7">
        <w:rPr>
          <w:sz w:val="24"/>
          <w:szCs w:val="24"/>
        </w:rPr>
        <w:t xml:space="preserve"> provide</w:t>
      </w:r>
      <w:r w:rsidR="00BC5B11">
        <w:rPr>
          <w:sz w:val="24"/>
          <w:szCs w:val="24"/>
        </w:rPr>
        <w:t>s</w:t>
      </w:r>
      <w:r w:rsidRPr="001D1FE7">
        <w:rPr>
          <w:sz w:val="24"/>
          <w:szCs w:val="24"/>
        </w:rPr>
        <w:t xml:space="preserve"> tangible resources, trends analysis and risk reporting. </w:t>
      </w:r>
    </w:p>
    <w:p w14:paraId="0B6E49CF" w14:textId="77777777" w:rsidR="00C86B59" w:rsidRDefault="00C86B59" w:rsidP="00C86B59">
      <w:pPr>
        <w:pStyle w:val="SectionHeading1"/>
      </w:pPr>
      <w:r>
        <w:t>Overview of this report</w:t>
      </w:r>
    </w:p>
    <w:p w14:paraId="21123D87" w14:textId="7269A10F" w:rsidR="00C86B59" w:rsidRDefault="00C86B59" w:rsidP="00C86B59">
      <w:pPr>
        <w:pStyle w:val="Body"/>
      </w:pPr>
      <w:r>
        <w:t>The Incident Insight</w:t>
      </w:r>
      <w:r w:rsidR="007C3638">
        <w:t>s</w:t>
      </w:r>
      <w:r>
        <w:t xml:space="preserve"> Report provides a summary and analysis of the information security incident notifications received by OVIC between </w:t>
      </w:r>
      <w:r w:rsidR="00956F61" w:rsidRPr="00956F61">
        <w:rPr>
          <w:b/>
          <w:bCs/>
        </w:rPr>
        <w:t>1</w:t>
      </w:r>
      <w:r w:rsidRPr="00956F61">
        <w:rPr>
          <w:b/>
          <w:bCs/>
        </w:rPr>
        <w:t xml:space="preserve"> </w:t>
      </w:r>
      <w:r w:rsidR="00956F61">
        <w:rPr>
          <w:b/>
          <w:bCs/>
        </w:rPr>
        <w:t>J</w:t>
      </w:r>
      <w:r w:rsidR="00BF614A">
        <w:rPr>
          <w:b/>
          <w:bCs/>
        </w:rPr>
        <w:t>uly</w:t>
      </w:r>
      <w:r w:rsidRPr="00D015C3">
        <w:rPr>
          <w:b/>
          <w:bCs/>
        </w:rPr>
        <w:t xml:space="preserve"> 20</w:t>
      </w:r>
      <w:r w:rsidR="00956F61">
        <w:rPr>
          <w:b/>
          <w:bCs/>
        </w:rPr>
        <w:t>2</w:t>
      </w:r>
      <w:r w:rsidR="0014168B">
        <w:rPr>
          <w:b/>
          <w:bCs/>
        </w:rPr>
        <w:t>1</w:t>
      </w:r>
      <w:r w:rsidRPr="00D015C3">
        <w:rPr>
          <w:b/>
          <w:bCs/>
        </w:rPr>
        <w:t xml:space="preserve"> </w:t>
      </w:r>
      <w:r w:rsidRPr="00C86B59">
        <w:t>to</w:t>
      </w:r>
      <w:r w:rsidRPr="00D015C3">
        <w:rPr>
          <w:b/>
          <w:bCs/>
        </w:rPr>
        <w:t xml:space="preserve"> 3</w:t>
      </w:r>
      <w:r w:rsidR="00BF614A">
        <w:rPr>
          <w:b/>
          <w:bCs/>
        </w:rPr>
        <w:t>1</w:t>
      </w:r>
      <w:r w:rsidR="0014168B">
        <w:rPr>
          <w:b/>
          <w:bCs/>
        </w:rPr>
        <w:t xml:space="preserve"> </w:t>
      </w:r>
      <w:r w:rsidR="00BF614A">
        <w:rPr>
          <w:b/>
          <w:bCs/>
        </w:rPr>
        <w:t>December</w:t>
      </w:r>
      <w:r w:rsidRPr="00D015C3">
        <w:rPr>
          <w:b/>
          <w:bCs/>
        </w:rPr>
        <w:t xml:space="preserve"> 202</w:t>
      </w:r>
      <w:r w:rsidR="0014168B">
        <w:rPr>
          <w:b/>
          <w:bCs/>
        </w:rPr>
        <w:t>1</w:t>
      </w:r>
      <w:r>
        <w:t>.</w:t>
      </w:r>
    </w:p>
    <w:p w14:paraId="236497AA" w14:textId="56A06580" w:rsidR="00020250" w:rsidRDefault="00020250" w:rsidP="00C86B59">
      <w:pPr>
        <w:pStyle w:val="Body"/>
      </w:pPr>
      <w:r w:rsidRPr="00020250">
        <w:t xml:space="preserve">Our </w:t>
      </w:r>
      <w:r>
        <w:t>observations and take</w:t>
      </w:r>
      <w:r w:rsidR="00DB7882">
        <w:t>-</w:t>
      </w:r>
      <w:r>
        <w:t xml:space="preserve">outs in this report are based on </w:t>
      </w:r>
      <w:r w:rsidRPr="00020250">
        <w:t>compar</w:t>
      </w:r>
      <w:r>
        <w:t xml:space="preserve">ing the </w:t>
      </w:r>
      <w:r w:rsidR="0094555E">
        <w:t>statistics</w:t>
      </w:r>
      <w:r>
        <w:t xml:space="preserve"> published </w:t>
      </w:r>
      <w:r w:rsidR="0094555E">
        <w:t xml:space="preserve">in </w:t>
      </w:r>
      <w:r w:rsidR="0014168B">
        <w:t>previous</w:t>
      </w:r>
      <w:r w:rsidRPr="00020250">
        <w:t xml:space="preserve"> </w:t>
      </w:r>
      <w:r w:rsidRPr="0014168B">
        <w:rPr>
          <w:u w:color="430098"/>
        </w:rPr>
        <w:t>Incident Insights Report</w:t>
      </w:r>
      <w:r w:rsidR="0014168B">
        <w:rPr>
          <w:u w:color="430098"/>
        </w:rPr>
        <w:t>s</w:t>
      </w:r>
      <w:r w:rsidRPr="00020250">
        <w:t xml:space="preserve"> with </w:t>
      </w:r>
      <w:r>
        <w:t>the notifications received by our office</w:t>
      </w:r>
      <w:r w:rsidR="00C300C4">
        <w:t xml:space="preserve"> under the scheme</w:t>
      </w:r>
      <w:r w:rsidR="0094555E">
        <w:t>.</w:t>
      </w:r>
      <w:r w:rsidRPr="00020250">
        <w:t xml:space="preserve"> </w:t>
      </w:r>
    </w:p>
    <w:p w14:paraId="74297344" w14:textId="3876CC04" w:rsidR="00956F61" w:rsidRDefault="00956F61" w:rsidP="00C86B59">
      <w:pPr>
        <w:pStyle w:val="Body"/>
      </w:pPr>
      <w:r>
        <w:t xml:space="preserve">Victoria Police incident statistics are reported on </w:t>
      </w:r>
      <w:r w:rsidR="009C1C13">
        <w:t>an annual</w:t>
      </w:r>
      <w:r>
        <w:t xml:space="preserve"> basis </w:t>
      </w:r>
      <w:r w:rsidR="009C1C13">
        <w:t xml:space="preserve">consistent with existing reporting commitments. </w:t>
      </w:r>
      <w:r w:rsidR="00844A88">
        <w:t xml:space="preserve">For their latest incident statistics refer to OVIC’s </w:t>
      </w:r>
      <w:hyperlink r:id="rId8" w:anchor="victoria-police-statistics" w:history="1">
        <w:r w:rsidR="00AC495A" w:rsidRPr="00DE48BB">
          <w:rPr>
            <w:rStyle w:val="Hyperlink"/>
          </w:rPr>
          <w:t xml:space="preserve">Incident Insights Report for </w:t>
        </w:r>
        <w:r w:rsidR="007505D9">
          <w:rPr>
            <w:rStyle w:val="Hyperlink"/>
          </w:rPr>
          <w:t xml:space="preserve">1 </w:t>
        </w:r>
        <w:r w:rsidR="00AF2F11">
          <w:rPr>
            <w:rStyle w:val="Hyperlink"/>
          </w:rPr>
          <w:t xml:space="preserve">January </w:t>
        </w:r>
        <w:r w:rsidR="00AC495A" w:rsidRPr="00DE48BB">
          <w:rPr>
            <w:rStyle w:val="Hyperlink"/>
          </w:rPr>
          <w:t xml:space="preserve">– </w:t>
        </w:r>
        <w:r w:rsidR="007505D9">
          <w:rPr>
            <w:rStyle w:val="Hyperlink"/>
          </w:rPr>
          <w:t xml:space="preserve">30 </w:t>
        </w:r>
        <w:r w:rsidR="00AC495A" w:rsidRPr="00DE48BB">
          <w:rPr>
            <w:rStyle w:val="Hyperlink"/>
          </w:rPr>
          <w:t>June 202</w:t>
        </w:r>
        <w:r w:rsidR="00AF2F11">
          <w:rPr>
            <w:rStyle w:val="Hyperlink"/>
          </w:rPr>
          <w:t>1</w:t>
        </w:r>
      </w:hyperlink>
      <w:r w:rsidR="00AC495A">
        <w:t>.</w:t>
      </w:r>
      <w:r w:rsidR="00AC495A" w:rsidRPr="00AC495A" w:rsidDel="009C1C13">
        <w:t xml:space="preserve"> </w:t>
      </w:r>
    </w:p>
    <w:p w14:paraId="376C0B20" w14:textId="77777777" w:rsidR="00020250" w:rsidRDefault="00020250">
      <w:pPr>
        <w:rPr>
          <w:rFonts w:ascii="Calibri" w:eastAsia="Calibri" w:hAnsi="Calibri" w:cs="PostGrotesk-Medium"/>
          <w:color w:val="430098"/>
          <w:sz w:val="28"/>
          <w:szCs w:val="28"/>
          <w:lang w:val="en-GB"/>
        </w:rPr>
      </w:pPr>
      <w:r>
        <w:br w:type="page"/>
      </w:r>
    </w:p>
    <w:p w14:paraId="6202AFEA" w14:textId="345D2FCF" w:rsidR="00BC354F" w:rsidRDefault="003A60FC" w:rsidP="00BC354F">
      <w:pPr>
        <w:pStyle w:val="SectionHeading1"/>
      </w:pPr>
      <w:r>
        <w:lastRenderedPageBreak/>
        <w:t xml:space="preserve">Information security incident notification </w:t>
      </w:r>
      <w:r w:rsidR="00BC354F">
        <w:t>insights</w:t>
      </w:r>
      <w:r w:rsidR="0055769E">
        <w:t xml:space="preserve"> from </w:t>
      </w:r>
      <w:r w:rsidR="00956F61">
        <w:t>J</w:t>
      </w:r>
      <w:r w:rsidR="00AF2F11">
        <w:t>uly</w:t>
      </w:r>
      <w:r w:rsidR="0055769E">
        <w:t xml:space="preserve"> – </w:t>
      </w:r>
      <w:r w:rsidR="00AF2F11">
        <w:t>December</w:t>
      </w:r>
      <w:r w:rsidR="0055769E">
        <w:t xml:space="preserve"> 202</w:t>
      </w:r>
      <w:r w:rsidR="0014168B">
        <w:t>1</w:t>
      </w:r>
    </w:p>
    <w:p w14:paraId="3C323463" w14:textId="048EA192" w:rsidR="00E93FC2" w:rsidRDefault="00E93FC2" w:rsidP="00BC354F">
      <w:pPr>
        <w:pStyle w:val="SectionHeading1"/>
        <w:rPr>
          <w:sz w:val="24"/>
          <w:szCs w:val="24"/>
        </w:rPr>
      </w:pPr>
      <w:r w:rsidRPr="00E93FC2">
        <w:rPr>
          <w:sz w:val="24"/>
          <w:szCs w:val="24"/>
        </w:rPr>
        <w:t>Notifications by month</w:t>
      </w:r>
    </w:p>
    <w:p w14:paraId="76CCFD1D" w14:textId="084D1AD3" w:rsidR="00AF2F11" w:rsidRPr="001E18F1" w:rsidRDefault="00641400" w:rsidP="00141063">
      <w:pPr>
        <w:pStyle w:val="SectionHeading1"/>
        <w:jc w:val="center"/>
        <w:rPr>
          <w:sz w:val="24"/>
          <w:szCs w:val="24"/>
        </w:rPr>
      </w:pPr>
      <w:r w:rsidRPr="00641400">
        <w:rPr>
          <w:noProof/>
          <w:sz w:val="24"/>
          <w:szCs w:val="24"/>
        </w:rPr>
        <w:drawing>
          <wp:inline distT="0" distB="0" distL="0" distR="0" wp14:anchorId="110AC7E1" wp14:editId="3686BA89">
            <wp:extent cx="5467350" cy="3707111"/>
            <wp:effectExtent l="0" t="0" r="0" b="8255"/>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9"/>
                    <a:stretch>
                      <a:fillRect/>
                    </a:stretch>
                  </pic:blipFill>
                  <pic:spPr>
                    <a:xfrm>
                      <a:off x="0" y="0"/>
                      <a:ext cx="5475866" cy="3712885"/>
                    </a:xfrm>
                    <a:prstGeom prst="rect">
                      <a:avLst/>
                    </a:prstGeom>
                  </pic:spPr>
                </pic:pic>
              </a:graphicData>
            </a:graphic>
          </wp:inline>
        </w:drawing>
      </w:r>
    </w:p>
    <w:p w14:paraId="399A776E" w14:textId="589B9830" w:rsidR="00DE48BB" w:rsidRDefault="00F248F0" w:rsidP="00BC5B11">
      <w:pPr>
        <w:pStyle w:val="Body"/>
      </w:pPr>
      <w:bookmarkStart w:id="0" w:name="_Hlk57106984"/>
      <w:r>
        <w:t xml:space="preserve">OVIC received </w:t>
      </w:r>
      <w:r w:rsidR="009E3271" w:rsidRPr="009A1253">
        <w:rPr>
          <w:b/>
          <w:bCs/>
        </w:rPr>
        <w:t>343</w:t>
      </w:r>
      <w:r w:rsidR="00DE48BB" w:rsidRPr="00DE48BB">
        <w:rPr>
          <w:lang w:val="en-AU"/>
        </w:rPr>
        <w:t xml:space="preserve"> notifications </w:t>
      </w:r>
      <w:r w:rsidR="00DE48BB">
        <w:t xml:space="preserve">between </w:t>
      </w:r>
      <w:r w:rsidR="00DE48BB" w:rsidRPr="00345E85">
        <w:rPr>
          <w:b/>
          <w:bCs/>
        </w:rPr>
        <w:t xml:space="preserve">1 </w:t>
      </w:r>
      <w:r w:rsidR="00281BB1" w:rsidRPr="00345E85">
        <w:rPr>
          <w:b/>
          <w:bCs/>
        </w:rPr>
        <w:t>J</w:t>
      </w:r>
      <w:r w:rsidR="009E3271">
        <w:rPr>
          <w:b/>
          <w:bCs/>
        </w:rPr>
        <w:t>uly</w:t>
      </w:r>
      <w:r w:rsidR="00DE48BB">
        <w:t xml:space="preserve"> to </w:t>
      </w:r>
      <w:r w:rsidR="00DE48BB" w:rsidRPr="00345E85">
        <w:rPr>
          <w:b/>
          <w:bCs/>
        </w:rPr>
        <w:t>3</w:t>
      </w:r>
      <w:r w:rsidR="009E3271">
        <w:rPr>
          <w:b/>
          <w:bCs/>
        </w:rPr>
        <w:t>1</w:t>
      </w:r>
      <w:r w:rsidR="00281BB1" w:rsidRPr="00345E85">
        <w:rPr>
          <w:b/>
          <w:bCs/>
        </w:rPr>
        <w:t xml:space="preserve"> </w:t>
      </w:r>
      <w:r w:rsidR="009E3271">
        <w:rPr>
          <w:b/>
          <w:bCs/>
        </w:rPr>
        <w:t>December</w:t>
      </w:r>
      <w:r w:rsidR="00DE48BB" w:rsidRPr="00345E85">
        <w:rPr>
          <w:b/>
          <w:bCs/>
        </w:rPr>
        <w:t xml:space="preserve"> 202</w:t>
      </w:r>
      <w:r w:rsidR="00281BB1" w:rsidRPr="00345E85">
        <w:rPr>
          <w:b/>
          <w:bCs/>
        </w:rPr>
        <w:t>1</w:t>
      </w:r>
      <w:r w:rsidR="00DE48BB">
        <w:t xml:space="preserve"> (inclusive). This </w:t>
      </w:r>
      <w:r w:rsidR="00B5220D">
        <w:t>is</w:t>
      </w:r>
      <w:r w:rsidR="009E3271">
        <w:t xml:space="preserve"> a</w:t>
      </w:r>
      <w:r w:rsidR="00281BB1">
        <w:rPr>
          <w:lang w:val="en-AU"/>
        </w:rPr>
        <w:t xml:space="preserve"> </w:t>
      </w:r>
      <w:r w:rsidR="00B5220D">
        <w:rPr>
          <w:lang w:val="en-AU"/>
        </w:rPr>
        <w:t xml:space="preserve">57% </w:t>
      </w:r>
      <w:r w:rsidR="00524176">
        <w:rPr>
          <w:lang w:val="en-AU"/>
        </w:rPr>
        <w:t xml:space="preserve">increase </w:t>
      </w:r>
      <w:r w:rsidR="00281BB1">
        <w:rPr>
          <w:lang w:val="en-AU"/>
        </w:rPr>
        <w:t>in the</w:t>
      </w:r>
      <w:r w:rsidR="00DE48BB" w:rsidRPr="00DE48BB">
        <w:rPr>
          <w:lang w:val="en-AU"/>
        </w:rPr>
        <w:t xml:space="preserve"> number of notifications </w:t>
      </w:r>
      <w:r w:rsidR="00C621FB">
        <w:t xml:space="preserve">compared to the </w:t>
      </w:r>
      <w:r w:rsidR="00AF5349">
        <w:t>last (January</w:t>
      </w:r>
      <w:r w:rsidR="00B5220D">
        <w:t xml:space="preserve"> </w:t>
      </w:r>
      <w:r w:rsidR="00AF5349">
        <w:t>-</w:t>
      </w:r>
      <w:r w:rsidR="00B5220D">
        <w:t xml:space="preserve"> </w:t>
      </w:r>
      <w:r w:rsidR="00AF5349">
        <w:t>June 2021)</w:t>
      </w:r>
      <w:r w:rsidR="00C621FB">
        <w:t xml:space="preserve"> reporting period</w:t>
      </w:r>
      <w:r w:rsidR="00EF7DE8">
        <w:t xml:space="preserve"> (</w:t>
      </w:r>
      <w:r w:rsidR="009E3271" w:rsidRPr="009A1253">
        <w:rPr>
          <w:b/>
          <w:bCs/>
        </w:rPr>
        <w:t>218</w:t>
      </w:r>
      <w:r w:rsidR="00EF7DE8" w:rsidRPr="009A1253">
        <w:rPr>
          <w:b/>
          <w:bCs/>
        </w:rPr>
        <w:t xml:space="preserve"> notifications</w:t>
      </w:r>
      <w:r w:rsidR="00EF7DE8">
        <w:t>)</w:t>
      </w:r>
      <w:r>
        <w:t xml:space="preserve">. </w:t>
      </w:r>
      <w:bookmarkEnd w:id="0"/>
    </w:p>
    <w:p w14:paraId="255BBCA0" w14:textId="37DC5F39" w:rsidR="00F248F0" w:rsidRDefault="00F248F0" w:rsidP="00BC5B11">
      <w:pPr>
        <w:pStyle w:val="Body"/>
      </w:pPr>
      <w:r>
        <w:t xml:space="preserve">We received the highest number of notifications in </w:t>
      </w:r>
      <w:r w:rsidR="00AF5349">
        <w:t>October</w:t>
      </w:r>
      <w:r w:rsidR="00281BB1">
        <w:t xml:space="preserve"> </w:t>
      </w:r>
      <w:r w:rsidR="001D7701">
        <w:t>(</w:t>
      </w:r>
      <w:r w:rsidR="00AF5349" w:rsidRPr="007C114F">
        <w:rPr>
          <w:b/>
          <w:bCs/>
        </w:rPr>
        <w:t>80</w:t>
      </w:r>
      <w:r w:rsidR="001D7701">
        <w:t xml:space="preserve">) </w:t>
      </w:r>
      <w:r w:rsidR="00281BB1">
        <w:t xml:space="preserve">and </w:t>
      </w:r>
      <w:r w:rsidR="00AF5349">
        <w:t>November</w:t>
      </w:r>
      <w:r w:rsidR="001D7701">
        <w:t xml:space="preserve"> (</w:t>
      </w:r>
      <w:r w:rsidR="00AF5349" w:rsidRPr="007C114F">
        <w:rPr>
          <w:b/>
          <w:bCs/>
        </w:rPr>
        <w:t>101</w:t>
      </w:r>
      <w:r w:rsidR="001D7701">
        <w:t>)</w:t>
      </w:r>
      <w:r w:rsidR="007001D0">
        <w:t>.</w:t>
      </w:r>
      <w:r w:rsidR="00777AD6">
        <w:t xml:space="preserve"> </w:t>
      </w:r>
    </w:p>
    <w:p w14:paraId="21CB4A37" w14:textId="0851CAAD" w:rsidR="00256DA4" w:rsidRPr="005B2CB8" w:rsidRDefault="00C109ED" w:rsidP="00BC5B11">
      <w:pPr>
        <w:pStyle w:val="Body"/>
      </w:pPr>
      <w:r w:rsidRPr="00D455FD">
        <w:rPr>
          <w:b/>
          <w:bCs/>
        </w:rPr>
        <w:t>Take</w:t>
      </w:r>
      <w:r w:rsidR="001D7701">
        <w:rPr>
          <w:b/>
          <w:bCs/>
        </w:rPr>
        <w:t>-</w:t>
      </w:r>
      <w:r w:rsidRPr="00D455FD">
        <w:rPr>
          <w:b/>
          <w:bCs/>
        </w:rPr>
        <w:t>out:</w:t>
      </w:r>
      <w:r>
        <w:t xml:space="preserve"> </w:t>
      </w:r>
      <w:r w:rsidR="007001D0">
        <w:br/>
      </w:r>
      <w:r w:rsidR="00AF5349" w:rsidRPr="007C114F">
        <w:t>N</w:t>
      </w:r>
      <w:r w:rsidR="00256DA4" w:rsidRPr="007C114F">
        <w:t xml:space="preserve">otifications </w:t>
      </w:r>
      <w:r w:rsidR="00AF5349" w:rsidRPr="007C114F">
        <w:t>continue to</w:t>
      </w:r>
      <w:r w:rsidR="00256DA4" w:rsidRPr="007C114F">
        <w:t xml:space="preserve"> steadily increase</w:t>
      </w:r>
      <w:r w:rsidR="00F248F0" w:rsidRPr="007C114F">
        <w:t xml:space="preserve"> </w:t>
      </w:r>
      <w:r w:rsidR="00173280" w:rsidRPr="007C114F">
        <w:t xml:space="preserve">as awareness </w:t>
      </w:r>
      <w:r w:rsidR="007D5DB5" w:rsidRPr="007C114F">
        <w:t xml:space="preserve">of the scheme increases </w:t>
      </w:r>
      <w:r w:rsidR="0055769E" w:rsidRPr="007C114F">
        <w:t>across the V</w:t>
      </w:r>
      <w:r w:rsidR="000C7141" w:rsidRPr="007C114F">
        <w:t>ictorian public sector</w:t>
      </w:r>
      <w:r w:rsidR="00173280" w:rsidRPr="007C114F">
        <w:t>.</w:t>
      </w:r>
      <w:r w:rsidRPr="007C114F">
        <w:t xml:space="preserve"> </w:t>
      </w:r>
      <w:r w:rsidR="000C7141" w:rsidRPr="007C114F">
        <w:t xml:space="preserve">We received </w:t>
      </w:r>
      <w:r w:rsidR="000C7141" w:rsidRPr="007C114F">
        <w:rPr>
          <w:b/>
          <w:bCs/>
        </w:rPr>
        <w:t>78</w:t>
      </w:r>
      <w:r w:rsidR="000C7141" w:rsidRPr="005B2CB8">
        <w:t xml:space="preserve"> notifications in the first reporting period</w:t>
      </w:r>
      <w:r w:rsidR="00AF5349" w:rsidRPr="005B2CB8">
        <w:t xml:space="preserve">, </w:t>
      </w:r>
      <w:r w:rsidR="000C7141" w:rsidRPr="005B2CB8">
        <w:rPr>
          <w:b/>
          <w:bCs/>
        </w:rPr>
        <w:t>155</w:t>
      </w:r>
      <w:r w:rsidR="000C7141" w:rsidRPr="005B2CB8">
        <w:t xml:space="preserve"> in the </w:t>
      </w:r>
      <w:r w:rsidR="00AF5349" w:rsidRPr="005B2CB8">
        <w:t>second</w:t>
      </w:r>
      <w:r w:rsidR="000C7141" w:rsidRPr="005B2CB8">
        <w:t xml:space="preserve"> reporting period, </w:t>
      </w:r>
      <w:r w:rsidR="00AF5349" w:rsidRPr="005B2CB8">
        <w:rPr>
          <w:b/>
          <w:bCs/>
        </w:rPr>
        <w:t>218</w:t>
      </w:r>
      <w:r w:rsidR="00AF5349" w:rsidRPr="005B2CB8">
        <w:t xml:space="preserve"> in the third reporting </w:t>
      </w:r>
      <w:r w:rsidR="003C4199" w:rsidRPr="005B2CB8">
        <w:t xml:space="preserve">period </w:t>
      </w:r>
      <w:r w:rsidR="00B5220D">
        <w:t>and</w:t>
      </w:r>
      <w:r w:rsidR="000C7141" w:rsidRPr="005B2CB8">
        <w:t xml:space="preserve"> </w:t>
      </w:r>
      <w:r w:rsidR="003C4199" w:rsidRPr="005B2CB8">
        <w:rPr>
          <w:b/>
          <w:bCs/>
        </w:rPr>
        <w:t>343</w:t>
      </w:r>
      <w:r w:rsidR="000C7141" w:rsidRPr="005B2CB8">
        <w:t xml:space="preserve"> notifications </w:t>
      </w:r>
      <w:r w:rsidR="00B5220D">
        <w:t xml:space="preserve">in </w:t>
      </w:r>
      <w:r w:rsidR="000C7141" w:rsidRPr="005B2CB8">
        <w:t xml:space="preserve">this reporting period. </w:t>
      </w:r>
    </w:p>
    <w:p w14:paraId="68DF3740" w14:textId="356BB282" w:rsidR="007F0A20" w:rsidRDefault="007F0A20" w:rsidP="00BC5B11">
      <w:pPr>
        <w:pStyle w:val="Body"/>
      </w:pPr>
      <w:r>
        <w:rPr>
          <w:lang w:val="en-AU"/>
        </w:rPr>
        <w:t>B</w:t>
      </w:r>
      <w:r w:rsidRPr="007F0A20">
        <w:rPr>
          <w:lang w:val="en-AU"/>
        </w:rPr>
        <w:t>etween 2020 and 2021 monthly notifications doubled</w:t>
      </w:r>
      <w:r>
        <w:rPr>
          <w:lang w:val="en-AU"/>
        </w:rPr>
        <w:t>, except for September 2021</w:t>
      </w:r>
      <w:r w:rsidRPr="007F0A20">
        <w:rPr>
          <w:lang w:val="en-AU"/>
        </w:rPr>
        <w:t xml:space="preserve"> (see Table 1)</w:t>
      </w:r>
      <w:r>
        <w:rPr>
          <w:lang w:val="en-AU"/>
        </w:rPr>
        <w:t>.</w:t>
      </w:r>
    </w:p>
    <w:p w14:paraId="485809B3" w14:textId="4FC3CBA6" w:rsidR="00197EED" w:rsidRPr="005B2CB8" w:rsidRDefault="00CD3CCE" w:rsidP="00BC5B11">
      <w:pPr>
        <w:pStyle w:val="Body"/>
      </w:pPr>
      <w:r w:rsidRPr="005B2CB8">
        <w:t xml:space="preserve">During </w:t>
      </w:r>
      <w:r w:rsidR="00B41B70" w:rsidRPr="005B2CB8">
        <w:t>May</w:t>
      </w:r>
      <w:r w:rsidR="002528EB" w:rsidRPr="005B2CB8">
        <w:t xml:space="preserve"> to </w:t>
      </w:r>
      <w:r w:rsidR="00B41B70" w:rsidRPr="005B2CB8">
        <w:t>Jul</w:t>
      </w:r>
      <w:r w:rsidR="002528EB" w:rsidRPr="005B2CB8">
        <w:t>y</w:t>
      </w:r>
      <w:r w:rsidRPr="005B2CB8">
        <w:t xml:space="preserve"> 2021, OVIC met with some organisations for their Protective Data Security Plan (</w:t>
      </w:r>
      <w:r w:rsidRPr="005B2CB8">
        <w:rPr>
          <w:b/>
          <w:bCs/>
        </w:rPr>
        <w:t>PDSP</w:t>
      </w:r>
      <w:r w:rsidRPr="005B2CB8">
        <w:t xml:space="preserve">) insights sessions. During </w:t>
      </w:r>
      <w:r w:rsidR="001F024D" w:rsidRPr="005B2CB8">
        <w:t>these sessions</w:t>
      </w:r>
      <w:r w:rsidRPr="005B2CB8">
        <w:t>, the requirements of Element 9.010 were discussed</w:t>
      </w:r>
      <w:r w:rsidR="00754EB9" w:rsidRPr="005B2CB8">
        <w:t xml:space="preserve"> which </w:t>
      </w:r>
      <w:r w:rsidR="00B5220D">
        <w:t>provided</w:t>
      </w:r>
      <w:r w:rsidR="00B5220D" w:rsidRPr="005B2CB8">
        <w:t xml:space="preserve"> </w:t>
      </w:r>
      <w:r w:rsidR="00754EB9" w:rsidRPr="005B2CB8">
        <w:t xml:space="preserve">organisations </w:t>
      </w:r>
      <w:r w:rsidR="00B5220D">
        <w:t xml:space="preserve">with </w:t>
      </w:r>
      <w:r w:rsidR="00754EB9" w:rsidRPr="005B2CB8">
        <w:t>a better understanding of their obligations. This may be another factor in the increase in notifications for this reporting period.</w:t>
      </w:r>
    </w:p>
    <w:tbl>
      <w:tblPr>
        <w:tblStyle w:val="TableGridLight"/>
        <w:tblW w:w="0" w:type="auto"/>
        <w:tblLook w:val="04A0" w:firstRow="1" w:lastRow="0" w:firstColumn="1" w:lastColumn="0" w:noHBand="0" w:noVBand="1"/>
      </w:tblPr>
      <w:tblGrid>
        <w:gridCol w:w="3100"/>
        <w:gridCol w:w="3264"/>
        <w:gridCol w:w="3264"/>
      </w:tblGrid>
      <w:tr w:rsidR="00197EED" w14:paraId="05ACA5C1" w14:textId="77777777" w:rsidTr="00197EED">
        <w:tc>
          <w:tcPr>
            <w:tcW w:w="3100" w:type="dxa"/>
          </w:tcPr>
          <w:p w14:paraId="30EA4CD0" w14:textId="35DDC59A" w:rsidR="00197EED" w:rsidRPr="00197EED" w:rsidRDefault="00197EED" w:rsidP="00197EED">
            <w:pPr>
              <w:pStyle w:val="BodyCopy"/>
              <w:rPr>
                <w:b/>
                <w:bCs/>
                <w:i/>
                <w:iCs/>
              </w:rPr>
            </w:pPr>
            <w:r w:rsidRPr="00197EED">
              <w:rPr>
                <w:b/>
                <w:bCs/>
                <w:i/>
                <w:iCs/>
              </w:rPr>
              <w:t>Month</w:t>
            </w:r>
          </w:p>
        </w:tc>
        <w:tc>
          <w:tcPr>
            <w:tcW w:w="3264" w:type="dxa"/>
          </w:tcPr>
          <w:p w14:paraId="33D17494" w14:textId="01A6C53C" w:rsidR="00197EED" w:rsidRPr="00197EED" w:rsidRDefault="00197EED" w:rsidP="00197EED">
            <w:pPr>
              <w:pStyle w:val="BodyCopy"/>
              <w:rPr>
                <w:b/>
                <w:bCs/>
                <w:i/>
                <w:iCs/>
              </w:rPr>
            </w:pPr>
            <w:r w:rsidRPr="00197EED">
              <w:rPr>
                <w:b/>
                <w:bCs/>
                <w:i/>
                <w:iCs/>
              </w:rPr>
              <w:t>2020</w:t>
            </w:r>
            <w:r w:rsidR="00CD3CCE">
              <w:rPr>
                <w:b/>
                <w:bCs/>
                <w:i/>
                <w:iCs/>
              </w:rPr>
              <w:t xml:space="preserve"> notification #</w:t>
            </w:r>
          </w:p>
        </w:tc>
        <w:tc>
          <w:tcPr>
            <w:tcW w:w="3264" w:type="dxa"/>
          </w:tcPr>
          <w:p w14:paraId="05721C19" w14:textId="078F91C1" w:rsidR="00197EED" w:rsidRPr="00197EED" w:rsidRDefault="00197EED" w:rsidP="00197EED">
            <w:pPr>
              <w:pStyle w:val="BodyCopy"/>
              <w:rPr>
                <w:b/>
                <w:bCs/>
                <w:i/>
                <w:iCs/>
              </w:rPr>
            </w:pPr>
            <w:r w:rsidRPr="00197EED">
              <w:rPr>
                <w:b/>
                <w:bCs/>
                <w:i/>
                <w:iCs/>
              </w:rPr>
              <w:t>2021</w:t>
            </w:r>
            <w:r w:rsidR="00CD3CCE">
              <w:rPr>
                <w:b/>
                <w:bCs/>
                <w:i/>
                <w:iCs/>
              </w:rPr>
              <w:t xml:space="preserve"> notification #</w:t>
            </w:r>
          </w:p>
        </w:tc>
      </w:tr>
      <w:tr w:rsidR="00197EED" w14:paraId="414E41A1" w14:textId="77777777" w:rsidTr="00D14306">
        <w:tc>
          <w:tcPr>
            <w:tcW w:w="3100" w:type="dxa"/>
          </w:tcPr>
          <w:p w14:paraId="53C080B7" w14:textId="0C070544" w:rsidR="00197EED" w:rsidRPr="00197EED" w:rsidRDefault="00197EED" w:rsidP="00197EED">
            <w:pPr>
              <w:pStyle w:val="BodyCopy"/>
              <w:rPr>
                <w:b/>
                <w:bCs/>
                <w:i/>
                <w:iCs/>
              </w:rPr>
            </w:pPr>
            <w:r w:rsidRPr="00197EED">
              <w:rPr>
                <w:b/>
                <w:bCs/>
                <w:i/>
                <w:iCs/>
              </w:rPr>
              <w:t>July</w:t>
            </w:r>
          </w:p>
        </w:tc>
        <w:tc>
          <w:tcPr>
            <w:tcW w:w="3264" w:type="dxa"/>
          </w:tcPr>
          <w:p w14:paraId="1B16C353" w14:textId="279FE426" w:rsidR="00197EED" w:rsidRPr="00197EED" w:rsidRDefault="00197EED" w:rsidP="00197EED">
            <w:pPr>
              <w:pStyle w:val="BodyCopy"/>
              <w:rPr>
                <w:i/>
                <w:iCs/>
              </w:rPr>
            </w:pPr>
            <w:r w:rsidRPr="00197EED">
              <w:rPr>
                <w:i/>
                <w:iCs/>
              </w:rPr>
              <w:t>12</w:t>
            </w:r>
          </w:p>
        </w:tc>
        <w:tc>
          <w:tcPr>
            <w:tcW w:w="3264" w:type="dxa"/>
            <w:vAlign w:val="bottom"/>
          </w:tcPr>
          <w:p w14:paraId="53500EA2" w14:textId="7EBAA563" w:rsidR="00197EED" w:rsidRPr="00197EED" w:rsidRDefault="00197EED" w:rsidP="00197EED">
            <w:pPr>
              <w:pStyle w:val="BodyCopy"/>
              <w:rPr>
                <w:i/>
                <w:iCs/>
              </w:rPr>
            </w:pPr>
            <w:r w:rsidRPr="00197EED">
              <w:rPr>
                <w:i/>
                <w:iCs/>
                <w:lang w:eastAsia="en-AU"/>
              </w:rPr>
              <w:t>38</w:t>
            </w:r>
          </w:p>
        </w:tc>
      </w:tr>
      <w:tr w:rsidR="00197EED" w14:paraId="284826B7" w14:textId="77777777" w:rsidTr="00D14306">
        <w:tc>
          <w:tcPr>
            <w:tcW w:w="3100" w:type="dxa"/>
          </w:tcPr>
          <w:p w14:paraId="53960688" w14:textId="1C6E9C57" w:rsidR="00197EED" w:rsidRPr="00197EED" w:rsidRDefault="00197EED" w:rsidP="00197EED">
            <w:pPr>
              <w:pStyle w:val="BodyCopy"/>
              <w:rPr>
                <w:b/>
                <w:bCs/>
                <w:i/>
                <w:iCs/>
              </w:rPr>
            </w:pPr>
            <w:r w:rsidRPr="00197EED">
              <w:rPr>
                <w:b/>
                <w:bCs/>
                <w:i/>
                <w:iCs/>
              </w:rPr>
              <w:t>August</w:t>
            </w:r>
          </w:p>
        </w:tc>
        <w:tc>
          <w:tcPr>
            <w:tcW w:w="3264" w:type="dxa"/>
          </w:tcPr>
          <w:p w14:paraId="3D856640" w14:textId="73BE617E" w:rsidR="00197EED" w:rsidRPr="00197EED" w:rsidRDefault="00197EED" w:rsidP="00197EED">
            <w:pPr>
              <w:pStyle w:val="BodyCopy"/>
              <w:rPr>
                <w:i/>
                <w:iCs/>
              </w:rPr>
            </w:pPr>
            <w:r w:rsidRPr="00197EED">
              <w:rPr>
                <w:i/>
                <w:iCs/>
              </w:rPr>
              <w:t>21</w:t>
            </w:r>
          </w:p>
        </w:tc>
        <w:tc>
          <w:tcPr>
            <w:tcW w:w="3264" w:type="dxa"/>
            <w:vAlign w:val="bottom"/>
          </w:tcPr>
          <w:p w14:paraId="41B06CBB" w14:textId="5967B063" w:rsidR="00197EED" w:rsidRPr="00197EED" w:rsidRDefault="00197EED" w:rsidP="00197EED">
            <w:pPr>
              <w:pStyle w:val="BodyCopy"/>
              <w:rPr>
                <w:i/>
                <w:iCs/>
              </w:rPr>
            </w:pPr>
            <w:r w:rsidRPr="00197EED">
              <w:rPr>
                <w:i/>
                <w:iCs/>
                <w:lang w:eastAsia="en-AU"/>
              </w:rPr>
              <w:t>49</w:t>
            </w:r>
          </w:p>
        </w:tc>
      </w:tr>
      <w:tr w:rsidR="00197EED" w14:paraId="03D36491" w14:textId="77777777" w:rsidTr="00D14306">
        <w:tc>
          <w:tcPr>
            <w:tcW w:w="3100" w:type="dxa"/>
          </w:tcPr>
          <w:p w14:paraId="78AAA759" w14:textId="5E9D153B" w:rsidR="00197EED" w:rsidRPr="00197EED" w:rsidRDefault="00197EED" w:rsidP="00197EED">
            <w:pPr>
              <w:pStyle w:val="BodyCopy"/>
              <w:rPr>
                <w:b/>
                <w:bCs/>
                <w:i/>
                <w:iCs/>
              </w:rPr>
            </w:pPr>
            <w:r w:rsidRPr="00197EED">
              <w:rPr>
                <w:b/>
                <w:bCs/>
                <w:i/>
                <w:iCs/>
              </w:rPr>
              <w:lastRenderedPageBreak/>
              <w:t>September</w:t>
            </w:r>
          </w:p>
        </w:tc>
        <w:tc>
          <w:tcPr>
            <w:tcW w:w="3264" w:type="dxa"/>
          </w:tcPr>
          <w:p w14:paraId="45E302BC" w14:textId="7C61444A" w:rsidR="00197EED" w:rsidRPr="00197EED" w:rsidRDefault="00197EED" w:rsidP="00197EED">
            <w:pPr>
              <w:pStyle w:val="BodyCopy"/>
              <w:rPr>
                <w:i/>
                <w:iCs/>
              </w:rPr>
            </w:pPr>
            <w:r w:rsidRPr="00197EED">
              <w:rPr>
                <w:i/>
                <w:iCs/>
              </w:rPr>
              <w:t>33</w:t>
            </w:r>
          </w:p>
        </w:tc>
        <w:tc>
          <w:tcPr>
            <w:tcW w:w="3264" w:type="dxa"/>
            <w:vAlign w:val="bottom"/>
          </w:tcPr>
          <w:p w14:paraId="30ECB473" w14:textId="79E6B5AE" w:rsidR="00197EED" w:rsidRPr="00197EED" w:rsidRDefault="00197EED" w:rsidP="00197EED">
            <w:pPr>
              <w:pStyle w:val="BodyCopy"/>
              <w:rPr>
                <w:i/>
                <w:iCs/>
              </w:rPr>
            </w:pPr>
            <w:r w:rsidRPr="00197EED">
              <w:rPr>
                <w:i/>
                <w:iCs/>
                <w:lang w:eastAsia="en-AU"/>
              </w:rPr>
              <w:t>20</w:t>
            </w:r>
          </w:p>
        </w:tc>
      </w:tr>
      <w:tr w:rsidR="00197EED" w14:paraId="45BC8A5E" w14:textId="77777777" w:rsidTr="00D14306">
        <w:tc>
          <w:tcPr>
            <w:tcW w:w="3100" w:type="dxa"/>
          </w:tcPr>
          <w:p w14:paraId="12A08237" w14:textId="328B4675" w:rsidR="00197EED" w:rsidRPr="00197EED" w:rsidRDefault="00197EED" w:rsidP="00197EED">
            <w:pPr>
              <w:pStyle w:val="BodyCopy"/>
              <w:rPr>
                <w:b/>
                <w:bCs/>
                <w:i/>
                <w:iCs/>
              </w:rPr>
            </w:pPr>
            <w:r w:rsidRPr="00197EED">
              <w:rPr>
                <w:b/>
                <w:bCs/>
                <w:i/>
                <w:iCs/>
              </w:rPr>
              <w:t>October</w:t>
            </w:r>
          </w:p>
        </w:tc>
        <w:tc>
          <w:tcPr>
            <w:tcW w:w="3264" w:type="dxa"/>
          </w:tcPr>
          <w:p w14:paraId="32B0380C" w14:textId="3B0BEE76" w:rsidR="00197EED" w:rsidRPr="00197EED" w:rsidRDefault="00197EED" w:rsidP="00197EED">
            <w:pPr>
              <w:pStyle w:val="BodyCopy"/>
              <w:rPr>
                <w:i/>
                <w:iCs/>
              </w:rPr>
            </w:pPr>
            <w:r w:rsidRPr="00197EED">
              <w:rPr>
                <w:i/>
                <w:iCs/>
              </w:rPr>
              <w:t>26</w:t>
            </w:r>
          </w:p>
        </w:tc>
        <w:tc>
          <w:tcPr>
            <w:tcW w:w="3264" w:type="dxa"/>
            <w:vAlign w:val="bottom"/>
          </w:tcPr>
          <w:p w14:paraId="2D62E373" w14:textId="22D4CDBF" w:rsidR="00197EED" w:rsidRPr="00197EED" w:rsidRDefault="00197EED" w:rsidP="00197EED">
            <w:pPr>
              <w:pStyle w:val="BodyCopy"/>
              <w:rPr>
                <w:i/>
                <w:iCs/>
              </w:rPr>
            </w:pPr>
            <w:r w:rsidRPr="00197EED">
              <w:rPr>
                <w:i/>
                <w:iCs/>
                <w:lang w:eastAsia="en-AU"/>
              </w:rPr>
              <w:t>80</w:t>
            </w:r>
          </w:p>
        </w:tc>
      </w:tr>
      <w:tr w:rsidR="00197EED" w14:paraId="0E26EAF0" w14:textId="77777777" w:rsidTr="00D14306">
        <w:tc>
          <w:tcPr>
            <w:tcW w:w="3100" w:type="dxa"/>
          </w:tcPr>
          <w:p w14:paraId="56F6B68D" w14:textId="47FA0381" w:rsidR="00197EED" w:rsidRPr="00197EED" w:rsidRDefault="00197EED" w:rsidP="00197EED">
            <w:pPr>
              <w:pStyle w:val="BodyCopy"/>
              <w:rPr>
                <w:b/>
                <w:bCs/>
                <w:i/>
                <w:iCs/>
              </w:rPr>
            </w:pPr>
            <w:r w:rsidRPr="00197EED">
              <w:rPr>
                <w:b/>
                <w:bCs/>
                <w:i/>
                <w:iCs/>
              </w:rPr>
              <w:t>November</w:t>
            </w:r>
          </w:p>
        </w:tc>
        <w:tc>
          <w:tcPr>
            <w:tcW w:w="3264" w:type="dxa"/>
          </w:tcPr>
          <w:p w14:paraId="51C632C3" w14:textId="3738FD52" w:rsidR="00197EED" w:rsidRPr="00197EED" w:rsidRDefault="00197EED" w:rsidP="00197EED">
            <w:pPr>
              <w:pStyle w:val="BodyCopy"/>
              <w:rPr>
                <w:i/>
                <w:iCs/>
              </w:rPr>
            </w:pPr>
            <w:r w:rsidRPr="00197EED">
              <w:rPr>
                <w:i/>
                <w:iCs/>
              </w:rPr>
              <w:t>50</w:t>
            </w:r>
          </w:p>
        </w:tc>
        <w:tc>
          <w:tcPr>
            <w:tcW w:w="3264" w:type="dxa"/>
            <w:vAlign w:val="bottom"/>
          </w:tcPr>
          <w:p w14:paraId="3B964020" w14:textId="58E5E3D7" w:rsidR="00197EED" w:rsidRPr="00197EED" w:rsidRDefault="00197EED" w:rsidP="00197EED">
            <w:pPr>
              <w:pStyle w:val="BodyCopy"/>
              <w:rPr>
                <w:i/>
                <w:iCs/>
              </w:rPr>
            </w:pPr>
            <w:r w:rsidRPr="00197EED">
              <w:rPr>
                <w:i/>
                <w:iCs/>
                <w:lang w:eastAsia="en-AU"/>
              </w:rPr>
              <w:t>101</w:t>
            </w:r>
          </w:p>
        </w:tc>
      </w:tr>
      <w:tr w:rsidR="00197EED" w14:paraId="6C05396B" w14:textId="77777777" w:rsidTr="00D14306">
        <w:tc>
          <w:tcPr>
            <w:tcW w:w="3100" w:type="dxa"/>
          </w:tcPr>
          <w:p w14:paraId="0DBE658A" w14:textId="27C933C8" w:rsidR="00197EED" w:rsidRPr="00197EED" w:rsidRDefault="00197EED" w:rsidP="00197EED">
            <w:pPr>
              <w:pStyle w:val="BodyCopy"/>
              <w:rPr>
                <w:b/>
                <w:bCs/>
                <w:i/>
                <w:iCs/>
              </w:rPr>
            </w:pPr>
            <w:r w:rsidRPr="00197EED">
              <w:rPr>
                <w:b/>
                <w:bCs/>
                <w:i/>
                <w:iCs/>
              </w:rPr>
              <w:t>December</w:t>
            </w:r>
          </w:p>
        </w:tc>
        <w:tc>
          <w:tcPr>
            <w:tcW w:w="3264" w:type="dxa"/>
          </w:tcPr>
          <w:p w14:paraId="5C4A154E" w14:textId="5CE9D1B9" w:rsidR="00197EED" w:rsidRPr="00197EED" w:rsidRDefault="00197EED" w:rsidP="00197EED">
            <w:pPr>
              <w:pStyle w:val="BodyCopy"/>
              <w:rPr>
                <w:i/>
                <w:iCs/>
              </w:rPr>
            </w:pPr>
            <w:r w:rsidRPr="00197EED">
              <w:rPr>
                <w:i/>
                <w:iCs/>
              </w:rPr>
              <w:t>13</w:t>
            </w:r>
          </w:p>
        </w:tc>
        <w:tc>
          <w:tcPr>
            <w:tcW w:w="3264" w:type="dxa"/>
            <w:vAlign w:val="bottom"/>
          </w:tcPr>
          <w:p w14:paraId="212037B1" w14:textId="06628594" w:rsidR="00197EED" w:rsidRPr="00197EED" w:rsidRDefault="00197EED" w:rsidP="00197EED">
            <w:pPr>
              <w:pStyle w:val="BodyCopy"/>
              <w:rPr>
                <w:i/>
                <w:iCs/>
              </w:rPr>
            </w:pPr>
            <w:r w:rsidRPr="00197EED">
              <w:rPr>
                <w:i/>
                <w:iCs/>
                <w:lang w:eastAsia="en-AU"/>
              </w:rPr>
              <w:t>55</w:t>
            </w:r>
          </w:p>
        </w:tc>
      </w:tr>
    </w:tbl>
    <w:p w14:paraId="23A1173E" w14:textId="17B23938" w:rsidR="003C4199" w:rsidRPr="00712A49" w:rsidRDefault="00E84816" w:rsidP="00BC5B11">
      <w:pPr>
        <w:pStyle w:val="Body"/>
        <w:rPr>
          <w:i/>
          <w:iCs/>
          <w:sz w:val="18"/>
          <w:szCs w:val="18"/>
        </w:rPr>
      </w:pPr>
      <w:r>
        <w:rPr>
          <w:i/>
          <w:iCs/>
        </w:rPr>
        <w:t xml:space="preserve"> </w:t>
      </w:r>
      <w:r w:rsidR="00712A49">
        <w:rPr>
          <w:i/>
          <w:iCs/>
          <w:sz w:val="18"/>
          <w:szCs w:val="18"/>
        </w:rPr>
        <w:t xml:space="preserve">Table 1. Comparison between 2020 and 2021 monthly </w:t>
      </w:r>
      <w:r w:rsidR="00CD3CCE">
        <w:rPr>
          <w:i/>
          <w:iCs/>
          <w:sz w:val="18"/>
          <w:szCs w:val="18"/>
        </w:rPr>
        <w:t xml:space="preserve">notification </w:t>
      </w:r>
      <w:r w:rsidR="00712A49">
        <w:rPr>
          <w:i/>
          <w:iCs/>
          <w:sz w:val="18"/>
          <w:szCs w:val="18"/>
        </w:rPr>
        <w:t>figures</w:t>
      </w:r>
    </w:p>
    <w:p w14:paraId="6D5B7D51" w14:textId="65C352C1" w:rsidR="00345E85" w:rsidRPr="00AF24F8" w:rsidRDefault="00D8350E" w:rsidP="00EF7DE8">
      <w:pPr>
        <w:pStyle w:val="Body"/>
      </w:pPr>
      <w:r w:rsidRPr="00AF24F8">
        <w:t>T</w:t>
      </w:r>
      <w:r w:rsidR="0055769E" w:rsidRPr="00AF24F8">
        <w:t xml:space="preserve">he </w:t>
      </w:r>
      <w:r w:rsidR="00281BB1" w:rsidRPr="00AF24F8">
        <w:t>increase</w:t>
      </w:r>
      <w:r w:rsidR="00C109ED" w:rsidRPr="00AF24F8">
        <w:t xml:space="preserve"> in notifications in </w:t>
      </w:r>
      <w:r w:rsidR="003C4199" w:rsidRPr="00AF24F8">
        <w:t>October and November</w:t>
      </w:r>
      <w:r w:rsidR="007D5DB5" w:rsidRPr="00AF24F8">
        <w:t xml:space="preserve"> </w:t>
      </w:r>
      <w:r w:rsidR="00281BB1" w:rsidRPr="00AF24F8">
        <w:t xml:space="preserve">may reflect organisations </w:t>
      </w:r>
      <w:r w:rsidR="00645708" w:rsidRPr="00AF24F8">
        <w:t xml:space="preserve">undertaking </w:t>
      </w:r>
      <w:r w:rsidR="007F0A20">
        <w:t xml:space="preserve">increasing </w:t>
      </w:r>
      <w:r w:rsidR="00645708" w:rsidRPr="00AF24F8">
        <w:t>administration activities</w:t>
      </w:r>
      <w:r w:rsidR="003C4199" w:rsidRPr="00AF24F8">
        <w:t xml:space="preserve"> before the end of year</w:t>
      </w:r>
      <w:r w:rsidR="00281BB1" w:rsidRPr="00AF24F8">
        <w:t xml:space="preserve"> </w:t>
      </w:r>
      <w:r w:rsidR="005776D4" w:rsidRPr="00AF24F8">
        <w:t xml:space="preserve">and </w:t>
      </w:r>
      <w:r w:rsidR="00256DA4" w:rsidRPr="00AF24F8">
        <w:t xml:space="preserve">does not necessarily reflect </w:t>
      </w:r>
      <w:r w:rsidR="005776D4" w:rsidRPr="00AF24F8">
        <w:t>more</w:t>
      </w:r>
      <w:r w:rsidR="00256DA4" w:rsidRPr="00AF24F8">
        <w:t xml:space="preserve"> incidents occurring</w:t>
      </w:r>
      <w:r w:rsidR="00F248F0" w:rsidRPr="00AF24F8">
        <w:t>.</w:t>
      </w:r>
      <w:r w:rsidR="00057B0F" w:rsidRPr="00AF24F8">
        <w:t xml:space="preserve"> For this reason, caution should be observed drawing conclusions from month-to-month comparisons.</w:t>
      </w:r>
    </w:p>
    <w:p w14:paraId="486B3D4D" w14:textId="77777777" w:rsidR="00345E85" w:rsidRDefault="00345E85" w:rsidP="00345E85">
      <w:pPr>
        <w:pStyle w:val="SectionHeading1"/>
        <w:rPr>
          <w:sz w:val="24"/>
          <w:szCs w:val="24"/>
        </w:rPr>
      </w:pPr>
    </w:p>
    <w:p w14:paraId="75F37086" w14:textId="77777777" w:rsidR="00EF7DE8" w:rsidRDefault="00EF7DE8">
      <w:pPr>
        <w:rPr>
          <w:rFonts w:ascii="Calibri" w:eastAsia="Calibri" w:hAnsi="Calibri" w:cs="PostGrotesk-Medium"/>
          <w:color w:val="430098"/>
          <w:sz w:val="24"/>
          <w:szCs w:val="24"/>
          <w:lang w:val="en-GB"/>
        </w:rPr>
      </w:pPr>
      <w:r>
        <w:rPr>
          <w:sz w:val="24"/>
          <w:szCs w:val="24"/>
        </w:rPr>
        <w:br w:type="page"/>
      </w:r>
    </w:p>
    <w:p w14:paraId="70D444E5" w14:textId="77C03E93" w:rsidR="00E93FC2" w:rsidRDefault="00E93FC2" w:rsidP="00345E85">
      <w:pPr>
        <w:pStyle w:val="SectionHeading1"/>
        <w:rPr>
          <w:sz w:val="24"/>
          <w:szCs w:val="24"/>
        </w:rPr>
      </w:pPr>
      <w:r w:rsidRPr="00345E85">
        <w:rPr>
          <w:sz w:val="24"/>
          <w:szCs w:val="24"/>
        </w:rPr>
        <w:lastRenderedPageBreak/>
        <w:t>Notifications by portfolio</w:t>
      </w:r>
    </w:p>
    <w:p w14:paraId="370811DD" w14:textId="34DBE3E7" w:rsidR="0076524F" w:rsidRPr="00E93FC2" w:rsidRDefault="00223BEC" w:rsidP="00223BEC">
      <w:pPr>
        <w:pStyle w:val="SectionHeading1"/>
        <w:jc w:val="center"/>
        <w:rPr>
          <w:sz w:val="24"/>
          <w:szCs w:val="24"/>
        </w:rPr>
      </w:pPr>
      <w:r w:rsidRPr="00223BEC">
        <w:rPr>
          <w:noProof/>
          <w:sz w:val="24"/>
          <w:szCs w:val="24"/>
        </w:rPr>
        <w:drawing>
          <wp:inline distT="0" distB="0" distL="0" distR="0" wp14:anchorId="72C2DDD2" wp14:editId="07153E40">
            <wp:extent cx="5583688" cy="3476625"/>
            <wp:effectExtent l="0" t="0" r="0" b="0"/>
            <wp:docPr id="2" name="Picture 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pic:nvPicPr>
                  <pic:blipFill>
                    <a:blip r:embed="rId10"/>
                    <a:stretch>
                      <a:fillRect/>
                    </a:stretch>
                  </pic:blipFill>
                  <pic:spPr>
                    <a:xfrm>
                      <a:off x="0" y="0"/>
                      <a:ext cx="5599237" cy="3486307"/>
                    </a:xfrm>
                    <a:prstGeom prst="rect">
                      <a:avLst/>
                    </a:prstGeom>
                  </pic:spPr>
                </pic:pic>
              </a:graphicData>
            </a:graphic>
          </wp:inline>
        </w:drawing>
      </w:r>
    </w:p>
    <w:p w14:paraId="0620AE79" w14:textId="732CC058" w:rsidR="001D7701" w:rsidRDefault="002C7FE4" w:rsidP="00CA175E">
      <w:pPr>
        <w:pStyle w:val="Body"/>
      </w:pPr>
      <w:r>
        <w:t>O</w:t>
      </w:r>
      <w:r w:rsidR="00CA175E">
        <w:t xml:space="preserve">f the </w:t>
      </w:r>
      <w:r w:rsidR="00DF67F8" w:rsidRPr="00AF24F8">
        <w:rPr>
          <w:b/>
          <w:bCs/>
        </w:rPr>
        <w:t>343</w:t>
      </w:r>
      <w:r w:rsidR="00CA175E">
        <w:t xml:space="preserve"> notifications received</w:t>
      </w:r>
      <w:r w:rsidR="0055769E">
        <w:t xml:space="preserve"> by OVIC</w:t>
      </w:r>
      <w:r w:rsidR="006804A9">
        <w:t>,</w:t>
      </w:r>
      <w:r w:rsidR="00CA175E">
        <w:t xml:space="preserve"> the majority</w:t>
      </w:r>
      <w:r w:rsidR="003F2C46">
        <w:t xml:space="preserve"> </w:t>
      </w:r>
      <w:r w:rsidR="00CA175E">
        <w:t>c</w:t>
      </w:r>
      <w:r w:rsidR="003F2C46">
        <w:t>o</w:t>
      </w:r>
      <w:r w:rsidR="00CA175E">
        <w:t xml:space="preserve">me from </w:t>
      </w:r>
      <w:r>
        <w:t>the</w:t>
      </w:r>
      <w:r w:rsidR="0055769E">
        <w:t xml:space="preserve"> </w:t>
      </w:r>
      <w:r w:rsidR="000C7141">
        <w:t>j</w:t>
      </w:r>
      <w:r w:rsidR="00CA175E">
        <w:t xml:space="preserve">ustice </w:t>
      </w:r>
      <w:r w:rsidR="00687185">
        <w:t>sector</w:t>
      </w:r>
      <w:r w:rsidR="000C7141">
        <w:t>,</w:t>
      </w:r>
      <w:r w:rsidR="003F2C46">
        <w:t xml:space="preserve"> specifically </w:t>
      </w:r>
      <w:r w:rsidR="000C7141">
        <w:t xml:space="preserve">from </w:t>
      </w:r>
      <w:r w:rsidR="003F2C46">
        <w:t xml:space="preserve">the </w:t>
      </w:r>
      <w:r w:rsidR="002C1027">
        <w:t>D</w:t>
      </w:r>
      <w:r w:rsidR="003F2C46">
        <w:t>epartment</w:t>
      </w:r>
      <w:r w:rsidR="00711031">
        <w:t xml:space="preserve"> </w:t>
      </w:r>
      <w:r w:rsidR="002C1027">
        <w:t>of Justice and Community Safety</w:t>
      </w:r>
      <w:r w:rsidR="000C7141">
        <w:t xml:space="preserve"> (</w:t>
      </w:r>
      <w:r w:rsidR="000C7141" w:rsidRPr="00345E85">
        <w:rPr>
          <w:b/>
          <w:bCs/>
        </w:rPr>
        <w:t>DJCS</w:t>
      </w:r>
      <w:r w:rsidR="000C7141">
        <w:t>)</w:t>
      </w:r>
      <w:r w:rsidR="00B5220D">
        <w:t>,</w:t>
      </w:r>
      <w:r w:rsidR="00DD7C42">
        <w:t xml:space="preserve"> and the transport sector, specifically from the Transport Accident Commission (</w:t>
      </w:r>
      <w:r w:rsidR="00DD7C42" w:rsidRPr="00F935C3">
        <w:rPr>
          <w:b/>
          <w:bCs/>
        </w:rPr>
        <w:t>TAC</w:t>
      </w:r>
      <w:r w:rsidR="00DD7C42">
        <w:t>).</w:t>
      </w:r>
      <w:r w:rsidR="00524176">
        <w:t xml:space="preserve"> </w:t>
      </w:r>
    </w:p>
    <w:p w14:paraId="5153B629" w14:textId="372B742A" w:rsidR="00695D85" w:rsidRDefault="00DF67F8" w:rsidP="00CA175E">
      <w:pPr>
        <w:pStyle w:val="Body"/>
      </w:pPr>
      <w:r>
        <w:t xml:space="preserve">This reporting period saw </w:t>
      </w:r>
      <w:r w:rsidR="00DD7C42">
        <w:t>the</w:t>
      </w:r>
      <w:r>
        <w:t xml:space="preserve"> health and human </w:t>
      </w:r>
      <w:r w:rsidR="00B5220D">
        <w:t xml:space="preserve">services </w:t>
      </w:r>
      <w:r>
        <w:t>sectors</w:t>
      </w:r>
      <w:r w:rsidR="00DD7C42">
        <w:t xml:space="preserve"> </w:t>
      </w:r>
      <w:r w:rsidR="001F024D">
        <w:t>notify</w:t>
      </w:r>
      <w:r w:rsidR="00DD7C42">
        <w:t xml:space="preserve"> separately under the health portfolio or the families, fairness</w:t>
      </w:r>
      <w:r w:rsidR="009C1A28">
        <w:t>,</w:t>
      </w:r>
      <w:r w:rsidR="00DD7C42">
        <w:t xml:space="preserve"> and housing portfolio.</w:t>
      </w:r>
    </w:p>
    <w:p w14:paraId="72FE6FAE" w14:textId="0EA3BCC5" w:rsidR="009E6C25" w:rsidRDefault="009E6C25" w:rsidP="00CA175E">
      <w:pPr>
        <w:pStyle w:val="Body"/>
      </w:pPr>
      <w:r w:rsidRPr="009E6C25">
        <w:t xml:space="preserve">Notifications from local government increased from </w:t>
      </w:r>
      <w:r w:rsidR="00D00C42">
        <w:t>three (</w:t>
      </w:r>
      <w:r w:rsidRPr="00AF24F8">
        <w:rPr>
          <w:b/>
          <w:bCs/>
        </w:rPr>
        <w:t>3</w:t>
      </w:r>
      <w:r w:rsidR="00D00C42">
        <w:t>)</w:t>
      </w:r>
      <w:r w:rsidRPr="009E6C25">
        <w:t xml:space="preserve"> to </w:t>
      </w:r>
      <w:r w:rsidRPr="00AF24F8">
        <w:rPr>
          <w:b/>
          <w:bCs/>
        </w:rPr>
        <w:t>12</w:t>
      </w:r>
      <w:r w:rsidRPr="009E6C25">
        <w:t xml:space="preserve"> as awareness of the scheme grows within that sector</w:t>
      </w:r>
      <w:r>
        <w:t xml:space="preserve"> for any Committee of Management information they handle or where they require privacy assistance for incidents related to personal information</w:t>
      </w:r>
      <w:r w:rsidRPr="009E6C25">
        <w:t>.</w:t>
      </w:r>
    </w:p>
    <w:p w14:paraId="3A8D8139" w14:textId="745668A5" w:rsidR="001F024D" w:rsidRPr="001F024D" w:rsidRDefault="001F024D" w:rsidP="00CA175E">
      <w:pPr>
        <w:pStyle w:val="Body"/>
        <w:rPr>
          <w:sz w:val="24"/>
          <w:szCs w:val="24"/>
        </w:rPr>
      </w:pPr>
      <w:r w:rsidRPr="001F024D">
        <w:t xml:space="preserve">The three notifications </w:t>
      </w:r>
      <w:r w:rsidR="001F375B">
        <w:t xml:space="preserve">categorised as </w:t>
      </w:r>
      <w:r w:rsidR="001F375B" w:rsidRPr="00525A2E">
        <w:rPr>
          <w:b/>
          <w:bCs/>
        </w:rPr>
        <w:t>Other</w:t>
      </w:r>
      <w:r w:rsidR="001F375B" w:rsidRPr="001F024D">
        <w:t xml:space="preserve"> </w:t>
      </w:r>
      <w:r w:rsidRPr="001F024D">
        <w:t xml:space="preserve">either related to incidents that affected multiple Victorian </w:t>
      </w:r>
      <w:r w:rsidR="00B5220D">
        <w:t>g</w:t>
      </w:r>
      <w:r w:rsidR="00B5220D" w:rsidRPr="001F024D">
        <w:t xml:space="preserve">overnment </w:t>
      </w:r>
      <w:r w:rsidRPr="001F024D">
        <w:t xml:space="preserve">organisations or came from a non-Victorian </w:t>
      </w:r>
      <w:r w:rsidR="00B5220D">
        <w:t>g</w:t>
      </w:r>
      <w:r w:rsidR="00B5220D" w:rsidRPr="001F024D">
        <w:t xml:space="preserve">overnment </w:t>
      </w:r>
      <w:r w:rsidRPr="001F024D">
        <w:t>organisation.</w:t>
      </w:r>
    </w:p>
    <w:p w14:paraId="0722E908" w14:textId="0C032E2B" w:rsidR="00DD7C42" w:rsidRPr="00D25762" w:rsidRDefault="00695D85" w:rsidP="00DD7C42">
      <w:pPr>
        <w:pStyle w:val="Body"/>
        <w:rPr>
          <w:rStyle w:val="Emphasis"/>
          <w:rFonts w:cstheme="minorHAnsi"/>
          <w:i w:val="0"/>
          <w:iCs w:val="0"/>
          <w:shd w:val="clear" w:color="auto" w:fill="FFFFFF"/>
        </w:rPr>
      </w:pPr>
      <w:r w:rsidRPr="00D455FD">
        <w:rPr>
          <w:b/>
          <w:bCs/>
        </w:rPr>
        <w:t>Take</w:t>
      </w:r>
      <w:r w:rsidR="001D7701">
        <w:rPr>
          <w:b/>
          <w:bCs/>
        </w:rPr>
        <w:t>-</w:t>
      </w:r>
      <w:r w:rsidRPr="00D455FD">
        <w:rPr>
          <w:b/>
          <w:bCs/>
        </w:rPr>
        <w:t>out:</w:t>
      </w:r>
      <w:r>
        <w:rPr>
          <w:i/>
          <w:iCs/>
        </w:rPr>
        <w:t xml:space="preserve"> </w:t>
      </w:r>
      <w:r w:rsidR="007001D0">
        <w:rPr>
          <w:i/>
          <w:iCs/>
        </w:rPr>
        <w:br/>
      </w:r>
      <w:r w:rsidR="00DD7C42" w:rsidRPr="00AF24F8">
        <w:rPr>
          <w:rStyle w:val="Emphasis"/>
          <w:rFonts w:cstheme="minorHAnsi"/>
          <w:i w:val="0"/>
          <w:iCs w:val="0"/>
          <w:shd w:val="clear" w:color="auto" w:fill="FFFFFF"/>
        </w:rPr>
        <w:t>The increase of notifications</w:t>
      </w:r>
      <w:r w:rsidR="00BE731C" w:rsidRPr="00AF24F8">
        <w:rPr>
          <w:rStyle w:val="Emphasis"/>
          <w:rFonts w:cstheme="minorHAnsi"/>
          <w:i w:val="0"/>
          <w:iCs w:val="0"/>
          <w:shd w:val="clear" w:color="auto" w:fill="FFFFFF"/>
        </w:rPr>
        <w:t xml:space="preserve"> from the transport sector from </w:t>
      </w:r>
      <w:r w:rsidR="00D00C42" w:rsidRPr="00AF24F8">
        <w:rPr>
          <w:rStyle w:val="Emphasis"/>
          <w:rFonts w:cstheme="minorHAnsi"/>
          <w:i w:val="0"/>
          <w:iCs w:val="0"/>
          <w:shd w:val="clear" w:color="auto" w:fill="FFFFFF"/>
        </w:rPr>
        <w:t>eight (</w:t>
      </w:r>
      <w:r w:rsidR="00BE731C" w:rsidRPr="00AF24F8">
        <w:rPr>
          <w:rStyle w:val="Emphasis"/>
          <w:rFonts w:cstheme="minorHAnsi"/>
          <w:b/>
          <w:bCs/>
          <w:i w:val="0"/>
          <w:iCs w:val="0"/>
          <w:shd w:val="clear" w:color="auto" w:fill="FFFFFF"/>
        </w:rPr>
        <w:t>8</w:t>
      </w:r>
      <w:r w:rsidR="00D00C42" w:rsidRPr="00AF24F8">
        <w:rPr>
          <w:rStyle w:val="Emphasis"/>
          <w:rFonts w:cstheme="minorHAnsi"/>
          <w:i w:val="0"/>
          <w:iCs w:val="0"/>
          <w:shd w:val="clear" w:color="auto" w:fill="FFFFFF"/>
        </w:rPr>
        <w:t>)</w:t>
      </w:r>
      <w:r w:rsidR="00BE731C" w:rsidRPr="00AF24F8">
        <w:rPr>
          <w:rStyle w:val="Emphasis"/>
          <w:rFonts w:cstheme="minorHAnsi"/>
          <w:i w:val="0"/>
          <w:iCs w:val="0"/>
          <w:shd w:val="clear" w:color="auto" w:fill="FFFFFF"/>
        </w:rPr>
        <w:t xml:space="preserve"> in the last reporting period to </w:t>
      </w:r>
      <w:r w:rsidR="00BE731C" w:rsidRPr="00AF24F8">
        <w:rPr>
          <w:rStyle w:val="Emphasis"/>
          <w:rFonts w:cstheme="minorHAnsi"/>
          <w:b/>
          <w:bCs/>
          <w:i w:val="0"/>
          <w:iCs w:val="0"/>
          <w:shd w:val="clear" w:color="auto" w:fill="FFFFFF"/>
        </w:rPr>
        <w:t>81</w:t>
      </w:r>
      <w:r w:rsidR="00BE731C" w:rsidRPr="00AF24F8">
        <w:rPr>
          <w:rStyle w:val="Emphasis"/>
          <w:rFonts w:cstheme="minorHAnsi"/>
          <w:i w:val="0"/>
          <w:iCs w:val="0"/>
          <w:shd w:val="clear" w:color="auto" w:fill="FFFFFF"/>
        </w:rPr>
        <w:t xml:space="preserve"> this period is </w:t>
      </w:r>
      <w:r w:rsidR="007A5078">
        <w:rPr>
          <w:rStyle w:val="Emphasis"/>
          <w:rFonts w:cstheme="minorHAnsi"/>
          <w:i w:val="0"/>
          <w:iCs w:val="0"/>
          <w:shd w:val="clear" w:color="auto" w:fill="FFFFFF"/>
        </w:rPr>
        <w:t xml:space="preserve">a result of </w:t>
      </w:r>
      <w:r w:rsidR="007A5078" w:rsidRPr="00295637">
        <w:rPr>
          <w:rStyle w:val="Emphasis"/>
          <w:rFonts w:cstheme="minorHAnsi"/>
          <w:i w:val="0"/>
          <w:iCs w:val="0"/>
          <w:shd w:val="clear" w:color="auto" w:fill="FFFFFF"/>
        </w:rPr>
        <w:t>TAC notifying OVIC</w:t>
      </w:r>
      <w:r w:rsidR="007A5078">
        <w:rPr>
          <w:rStyle w:val="Emphasis"/>
          <w:rFonts w:cstheme="minorHAnsi"/>
          <w:i w:val="0"/>
          <w:iCs w:val="0"/>
          <w:shd w:val="clear" w:color="auto" w:fill="FFFFFF"/>
        </w:rPr>
        <w:t xml:space="preserve"> rather than</w:t>
      </w:r>
      <w:r w:rsidR="001F375B">
        <w:rPr>
          <w:rStyle w:val="Emphasis"/>
          <w:rFonts w:cstheme="minorHAnsi"/>
          <w:i w:val="0"/>
          <w:iCs w:val="0"/>
          <w:shd w:val="clear" w:color="auto" w:fill="FFFFFF"/>
        </w:rPr>
        <w:t xml:space="preserve"> </w:t>
      </w:r>
      <w:r w:rsidR="009C1A28" w:rsidRPr="00AF24F8">
        <w:rPr>
          <w:rStyle w:val="Emphasis"/>
          <w:rFonts w:cstheme="minorHAnsi"/>
          <w:i w:val="0"/>
          <w:iCs w:val="0"/>
          <w:shd w:val="clear" w:color="auto" w:fill="FFFFFF"/>
        </w:rPr>
        <w:t>more incidents occurring</w:t>
      </w:r>
      <w:r w:rsidR="00DD7C42" w:rsidRPr="00B5220D">
        <w:rPr>
          <w:i/>
        </w:rPr>
        <w:t>.</w:t>
      </w:r>
      <w:r w:rsidR="000C7141" w:rsidRPr="00AF24F8">
        <w:rPr>
          <w:rStyle w:val="Emphasis"/>
          <w:rFonts w:cstheme="minorHAnsi"/>
          <w:i w:val="0"/>
          <w:iCs w:val="0"/>
          <w:shd w:val="clear" w:color="auto" w:fill="FFFFFF"/>
        </w:rPr>
        <w:t xml:space="preserve"> </w:t>
      </w:r>
      <w:r w:rsidR="009C1A28" w:rsidRPr="00AF24F8">
        <w:rPr>
          <w:rStyle w:val="Emphasis"/>
          <w:rFonts w:cstheme="minorHAnsi"/>
          <w:i w:val="0"/>
          <w:iCs w:val="0"/>
          <w:shd w:val="clear" w:color="auto" w:fill="FFFFFF"/>
        </w:rPr>
        <w:t xml:space="preserve">As more organisations establish their incident management frameworks </w:t>
      </w:r>
      <w:r w:rsidR="001F375B">
        <w:rPr>
          <w:rStyle w:val="Emphasis"/>
          <w:rFonts w:cstheme="minorHAnsi"/>
          <w:i w:val="0"/>
          <w:iCs w:val="0"/>
          <w:shd w:val="clear" w:color="auto" w:fill="FFFFFF"/>
        </w:rPr>
        <w:t xml:space="preserve">which </w:t>
      </w:r>
      <w:r w:rsidR="009C1A28" w:rsidRPr="00D25762">
        <w:rPr>
          <w:rStyle w:val="Emphasis"/>
          <w:rFonts w:cstheme="minorHAnsi"/>
          <w:i w:val="0"/>
          <w:iCs w:val="0"/>
          <w:shd w:val="clear" w:color="auto" w:fill="FFFFFF"/>
        </w:rPr>
        <w:t>includ</w:t>
      </w:r>
      <w:r w:rsidR="001F375B">
        <w:rPr>
          <w:rStyle w:val="Emphasis"/>
          <w:rFonts w:cstheme="minorHAnsi"/>
          <w:i w:val="0"/>
          <w:iCs w:val="0"/>
          <w:shd w:val="clear" w:color="auto" w:fill="FFFFFF"/>
        </w:rPr>
        <w:t>es</w:t>
      </w:r>
      <w:r w:rsidR="009C1A28" w:rsidRPr="00D25762">
        <w:rPr>
          <w:rStyle w:val="Emphasis"/>
          <w:rFonts w:cstheme="minorHAnsi"/>
          <w:i w:val="0"/>
          <w:iCs w:val="0"/>
          <w:shd w:val="clear" w:color="auto" w:fill="FFFFFF"/>
        </w:rPr>
        <w:t xml:space="preserve"> notification protocols, we expect to see similar increases in notifications to our office across </w:t>
      </w:r>
      <w:r w:rsidR="007A5078">
        <w:rPr>
          <w:rStyle w:val="Emphasis"/>
          <w:rFonts w:cstheme="minorHAnsi"/>
          <w:i w:val="0"/>
          <w:iCs w:val="0"/>
          <w:shd w:val="clear" w:color="auto" w:fill="FFFFFF"/>
        </w:rPr>
        <w:t xml:space="preserve">the </w:t>
      </w:r>
      <w:r w:rsidR="009C1A28" w:rsidRPr="00D25762">
        <w:rPr>
          <w:rStyle w:val="Emphasis"/>
          <w:rFonts w:cstheme="minorHAnsi"/>
          <w:i w:val="0"/>
          <w:iCs w:val="0"/>
          <w:shd w:val="clear" w:color="auto" w:fill="FFFFFF"/>
        </w:rPr>
        <w:t xml:space="preserve">Victorian </w:t>
      </w:r>
      <w:r w:rsidR="007A5078">
        <w:rPr>
          <w:rStyle w:val="Emphasis"/>
          <w:rFonts w:cstheme="minorHAnsi"/>
          <w:i w:val="0"/>
          <w:iCs w:val="0"/>
          <w:shd w:val="clear" w:color="auto" w:fill="FFFFFF"/>
        </w:rPr>
        <w:t xml:space="preserve">public sector. </w:t>
      </w:r>
      <w:r w:rsidR="009C1A28" w:rsidRPr="00D25762">
        <w:rPr>
          <w:rStyle w:val="Emphasis"/>
          <w:rFonts w:cstheme="minorHAnsi"/>
          <w:i w:val="0"/>
          <w:iCs w:val="0"/>
          <w:shd w:val="clear" w:color="auto" w:fill="FFFFFF"/>
        </w:rPr>
        <w:t xml:space="preserve"> </w:t>
      </w:r>
    </w:p>
    <w:p w14:paraId="12805943" w14:textId="3AF567EE" w:rsidR="00EC1521" w:rsidRPr="00B5220D" w:rsidRDefault="007A5078" w:rsidP="00DD7C42">
      <w:pPr>
        <w:pStyle w:val="Body"/>
        <w:rPr>
          <w:i/>
        </w:rPr>
      </w:pPr>
      <w:r>
        <w:rPr>
          <w:rStyle w:val="Emphasis"/>
          <w:rFonts w:cstheme="minorHAnsi"/>
          <w:i w:val="0"/>
          <w:iCs w:val="0"/>
          <w:shd w:val="clear" w:color="auto" w:fill="FFFFFF"/>
        </w:rPr>
        <w:t>Most</w:t>
      </w:r>
      <w:r w:rsidR="00BE731C" w:rsidRPr="00D25762">
        <w:rPr>
          <w:rStyle w:val="Emphasis"/>
          <w:rFonts w:cstheme="minorHAnsi"/>
          <w:i w:val="0"/>
          <w:iCs w:val="0"/>
          <w:shd w:val="clear" w:color="auto" w:fill="FFFFFF"/>
        </w:rPr>
        <w:t xml:space="preserve"> </w:t>
      </w:r>
      <w:r w:rsidR="00EC1521" w:rsidRPr="00D25762">
        <w:rPr>
          <w:rStyle w:val="Emphasis"/>
          <w:rFonts w:cstheme="minorHAnsi"/>
          <w:i w:val="0"/>
          <w:iCs w:val="0"/>
          <w:shd w:val="clear" w:color="auto" w:fill="FFFFFF"/>
        </w:rPr>
        <w:t xml:space="preserve">notifications from the </w:t>
      </w:r>
      <w:r w:rsidR="00EC1521" w:rsidRPr="00D25762">
        <w:rPr>
          <w:iCs/>
        </w:rPr>
        <w:t>families, fairness and housing portfolio came from the department itself</w:t>
      </w:r>
      <w:r w:rsidR="009E6C25" w:rsidRPr="00D25762">
        <w:rPr>
          <w:iCs/>
        </w:rPr>
        <w:t>,</w:t>
      </w:r>
      <w:r w:rsidR="00EC1521" w:rsidRPr="00D25762">
        <w:rPr>
          <w:iCs/>
        </w:rPr>
        <w:t xml:space="preserve"> </w:t>
      </w:r>
      <w:r w:rsidR="00A40ED1" w:rsidRPr="00D25762">
        <w:rPr>
          <w:iCs/>
        </w:rPr>
        <w:t>and were</w:t>
      </w:r>
      <w:r w:rsidR="00EC1521" w:rsidRPr="00D25762">
        <w:rPr>
          <w:iCs/>
        </w:rPr>
        <w:t xml:space="preserve"> received by </w:t>
      </w:r>
      <w:r w:rsidR="001F375B">
        <w:rPr>
          <w:iCs/>
        </w:rPr>
        <w:t>OVIC’s</w:t>
      </w:r>
      <w:r w:rsidR="001F375B" w:rsidRPr="00D25762">
        <w:rPr>
          <w:iCs/>
        </w:rPr>
        <w:t xml:space="preserve"> </w:t>
      </w:r>
      <w:r w:rsidR="00EC1521" w:rsidRPr="00D25762">
        <w:rPr>
          <w:iCs/>
        </w:rPr>
        <w:t>privacy team.</w:t>
      </w:r>
      <w:r w:rsidR="00A40ED1" w:rsidRPr="00D25762">
        <w:rPr>
          <w:iCs/>
        </w:rPr>
        <w:t xml:space="preserve"> This is a good demonstration of where</w:t>
      </w:r>
      <w:r w:rsidR="00A40ED1" w:rsidRPr="00B5220D">
        <w:rPr>
          <w:i/>
        </w:rPr>
        <w:t xml:space="preserve"> </w:t>
      </w:r>
      <w:r w:rsidR="00A40ED1" w:rsidRPr="00D25762">
        <w:rPr>
          <w:rStyle w:val="Emphasis"/>
          <w:rFonts w:cstheme="minorHAnsi"/>
          <w:i w:val="0"/>
          <w:iCs w:val="0"/>
          <w:shd w:val="clear" w:color="auto" w:fill="FFFFFF"/>
        </w:rPr>
        <w:t xml:space="preserve">organisations </w:t>
      </w:r>
      <w:r w:rsidR="00B5220D">
        <w:rPr>
          <w:rStyle w:val="Emphasis"/>
          <w:rFonts w:cstheme="minorHAnsi"/>
          <w:i w:val="0"/>
          <w:iCs w:val="0"/>
          <w:shd w:val="clear" w:color="auto" w:fill="FFFFFF"/>
        </w:rPr>
        <w:t>can</w:t>
      </w:r>
      <w:r w:rsidR="00A40ED1" w:rsidRPr="00D25762">
        <w:rPr>
          <w:rStyle w:val="Emphasis"/>
          <w:rFonts w:cstheme="minorHAnsi"/>
          <w:i w:val="0"/>
          <w:iCs w:val="0"/>
          <w:shd w:val="clear" w:color="auto" w:fill="FFFFFF"/>
        </w:rPr>
        <w:t xml:space="preserve"> report to OVIC </w:t>
      </w:r>
      <w:r>
        <w:rPr>
          <w:rStyle w:val="Emphasis"/>
          <w:rFonts w:cstheme="minorHAnsi"/>
          <w:i w:val="0"/>
          <w:iCs w:val="0"/>
          <w:shd w:val="clear" w:color="auto" w:fill="FFFFFF"/>
        </w:rPr>
        <w:t xml:space="preserve">once </w:t>
      </w:r>
      <w:r w:rsidR="00A40ED1" w:rsidRPr="00D25762">
        <w:rPr>
          <w:rStyle w:val="Emphasis"/>
          <w:rFonts w:cstheme="minorHAnsi"/>
          <w:i w:val="0"/>
          <w:iCs w:val="0"/>
          <w:shd w:val="clear" w:color="auto" w:fill="FFFFFF"/>
        </w:rPr>
        <w:t>rather than needing to notify security and privacy areas separately and can utilise existing relationships with our office to fulfil their reporting obligations.</w:t>
      </w:r>
    </w:p>
    <w:p w14:paraId="40C234AE" w14:textId="221B5BF6" w:rsidR="00EF7DE8" w:rsidRPr="009E6C25" w:rsidRDefault="00EF7DE8" w:rsidP="001E18F1">
      <w:pPr>
        <w:pStyle w:val="Body"/>
        <w:rPr>
          <w:i/>
          <w:iCs/>
        </w:rPr>
      </w:pPr>
      <w:r>
        <w:rPr>
          <w:sz w:val="24"/>
          <w:szCs w:val="24"/>
        </w:rPr>
        <w:br w:type="page"/>
      </w:r>
    </w:p>
    <w:p w14:paraId="20E4A683" w14:textId="0D6D6ACF" w:rsidR="00E93FC2" w:rsidRDefault="00E93FC2" w:rsidP="00E93FC2">
      <w:pPr>
        <w:pStyle w:val="SectionHeading1"/>
        <w:rPr>
          <w:sz w:val="24"/>
          <w:szCs w:val="24"/>
        </w:rPr>
      </w:pPr>
      <w:r>
        <w:rPr>
          <w:sz w:val="24"/>
          <w:szCs w:val="24"/>
        </w:rPr>
        <w:lastRenderedPageBreak/>
        <w:t>Information format</w:t>
      </w:r>
    </w:p>
    <w:p w14:paraId="4933E11F" w14:textId="770494A2" w:rsidR="003535C0" w:rsidRDefault="00854286" w:rsidP="00064073">
      <w:pPr>
        <w:pStyle w:val="Body"/>
        <w:jc w:val="center"/>
      </w:pPr>
      <w:r w:rsidRPr="00854286">
        <w:rPr>
          <w:noProof/>
        </w:rPr>
        <w:drawing>
          <wp:inline distT="0" distB="0" distL="0" distR="0" wp14:anchorId="05C714E0" wp14:editId="10EDCCE0">
            <wp:extent cx="6120130" cy="1163320"/>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1"/>
                    <a:stretch>
                      <a:fillRect/>
                    </a:stretch>
                  </pic:blipFill>
                  <pic:spPr>
                    <a:xfrm>
                      <a:off x="0" y="0"/>
                      <a:ext cx="6120130" cy="1163320"/>
                    </a:xfrm>
                    <a:prstGeom prst="rect">
                      <a:avLst/>
                    </a:prstGeom>
                  </pic:spPr>
                </pic:pic>
              </a:graphicData>
            </a:graphic>
          </wp:inline>
        </w:drawing>
      </w:r>
    </w:p>
    <w:p w14:paraId="634DFDCC" w14:textId="6A9BD1D2" w:rsidR="00F436A4" w:rsidRDefault="00640827" w:rsidP="00CA175E">
      <w:pPr>
        <w:pStyle w:val="Body"/>
      </w:pPr>
      <w:r>
        <w:t>Once again</w:t>
      </w:r>
      <w:r w:rsidR="000E5D3B">
        <w:t>,</w:t>
      </w:r>
      <w:r w:rsidR="001B50A8">
        <w:t xml:space="preserve"> </w:t>
      </w:r>
      <w:r w:rsidR="000E5D3B">
        <w:t>most</w:t>
      </w:r>
      <w:r w:rsidR="001B50A8">
        <w:t xml:space="preserve"> incident notifications related to</w:t>
      </w:r>
      <w:r w:rsidR="0058635E">
        <w:t xml:space="preserve"> compromise</w:t>
      </w:r>
      <w:r w:rsidR="000E5D3B">
        <w:t>s</w:t>
      </w:r>
      <w:r w:rsidR="0058635E">
        <w:t xml:space="preserve"> of</w:t>
      </w:r>
      <w:r w:rsidR="001B50A8">
        <w:t xml:space="preserve"> </w:t>
      </w:r>
      <w:r w:rsidR="00DE4C2C">
        <w:t>electronic information followed by hard copy information.</w:t>
      </w:r>
      <w:r w:rsidR="005E18CE">
        <w:t xml:space="preserve"> </w:t>
      </w:r>
    </w:p>
    <w:p w14:paraId="312F68B4" w14:textId="09A0B156" w:rsidR="001F375B" w:rsidRDefault="007A5078" w:rsidP="00721AD1">
      <w:pPr>
        <w:pStyle w:val="Body"/>
      </w:pPr>
      <w:r>
        <w:t>Like</w:t>
      </w:r>
      <w:r w:rsidR="00A763EA">
        <w:t xml:space="preserve"> previous reporting periods, approximately </w:t>
      </w:r>
      <w:r w:rsidR="00A763EA" w:rsidRPr="00F4470B">
        <w:rPr>
          <w:b/>
          <w:bCs/>
        </w:rPr>
        <w:t>55%</w:t>
      </w:r>
      <w:r w:rsidR="00A763EA">
        <w:t xml:space="preserve"> of incidents affecting electronic information </w:t>
      </w:r>
      <w:r w:rsidR="005E18CE" w:rsidRPr="00A928C4">
        <w:t>related to emails</w:t>
      </w:r>
      <w:r w:rsidR="00F436A4" w:rsidRPr="00A928C4">
        <w:t xml:space="preserve">. These incidents </w:t>
      </w:r>
      <w:r>
        <w:t>predominantly involved</w:t>
      </w:r>
      <w:r w:rsidR="00A763EA">
        <w:t xml:space="preserve"> sending emails to the</w:t>
      </w:r>
      <w:r w:rsidR="00EC4AAB" w:rsidRPr="00A928C4">
        <w:t xml:space="preserve"> incorrect recipient</w:t>
      </w:r>
      <w:r w:rsidR="005E18CE" w:rsidRPr="00A928C4">
        <w:t>.</w:t>
      </w:r>
      <w:r w:rsidR="005E18CE">
        <w:t xml:space="preserve"> </w:t>
      </w:r>
    </w:p>
    <w:p w14:paraId="5A985236" w14:textId="5EB71863" w:rsidR="00721AD1" w:rsidRDefault="00721AD1" w:rsidP="00721AD1">
      <w:pPr>
        <w:pStyle w:val="Body"/>
      </w:pPr>
      <w:r>
        <w:t xml:space="preserve">Most of the incidents involving hard copy information were related to mail including delivery to wrong person or incorrect labelling. </w:t>
      </w:r>
    </w:p>
    <w:p w14:paraId="6FDCCBBE" w14:textId="187B6D74" w:rsidR="003535C0" w:rsidRDefault="003535C0" w:rsidP="00CA175E">
      <w:pPr>
        <w:pStyle w:val="Body"/>
      </w:pPr>
      <w:r>
        <w:t xml:space="preserve">There were </w:t>
      </w:r>
      <w:r w:rsidRPr="001F375B">
        <w:t>two</w:t>
      </w:r>
      <w:r>
        <w:t xml:space="preserve"> </w:t>
      </w:r>
      <w:r w:rsidR="001F375B">
        <w:t>(</w:t>
      </w:r>
      <w:r w:rsidR="001F375B" w:rsidRPr="00F4470B">
        <w:rPr>
          <w:b/>
          <w:bCs/>
        </w:rPr>
        <w:t>2</w:t>
      </w:r>
      <w:r w:rsidR="001F375B">
        <w:t xml:space="preserve">) </w:t>
      </w:r>
      <w:r>
        <w:t>notifications</w:t>
      </w:r>
      <w:r w:rsidR="001473F2">
        <w:t xml:space="preserve"> that affected both hard copy and electronic information. One of these </w:t>
      </w:r>
      <w:r w:rsidR="00F82AA6">
        <w:t xml:space="preserve">related to </w:t>
      </w:r>
      <w:r w:rsidR="001473F2">
        <w:t>stolen</w:t>
      </w:r>
      <w:r w:rsidR="00F82AA6">
        <w:t xml:space="preserve"> information (</w:t>
      </w:r>
      <w:r w:rsidR="001473F2">
        <w:t>hard</w:t>
      </w:r>
      <w:r w:rsidR="001F375B">
        <w:t xml:space="preserve"> </w:t>
      </w:r>
      <w:r w:rsidR="001473F2">
        <w:t xml:space="preserve">copy </w:t>
      </w:r>
      <w:r w:rsidR="00F82AA6">
        <w:t xml:space="preserve">files </w:t>
      </w:r>
      <w:r w:rsidR="001473F2">
        <w:t xml:space="preserve">and </w:t>
      </w:r>
      <w:r w:rsidR="004F140A">
        <w:t xml:space="preserve">an </w:t>
      </w:r>
      <w:r w:rsidR="001473F2">
        <w:t>electronic device</w:t>
      </w:r>
      <w:r w:rsidR="00F82AA6">
        <w:t>)</w:t>
      </w:r>
      <w:r w:rsidR="001473F2">
        <w:t xml:space="preserve"> and the other one was an incident affecting</w:t>
      </w:r>
      <w:r w:rsidR="003F3680">
        <w:t xml:space="preserve"> both</w:t>
      </w:r>
      <w:r w:rsidR="001473F2">
        <w:t xml:space="preserve"> digital and hard</w:t>
      </w:r>
      <w:r w:rsidR="004F140A">
        <w:t xml:space="preserve"> </w:t>
      </w:r>
      <w:r w:rsidR="001473F2">
        <w:t>copy letter mailout.</w:t>
      </w:r>
    </w:p>
    <w:p w14:paraId="0F0A3D22" w14:textId="76BBFC71" w:rsidR="00614269" w:rsidRDefault="000F45EB" w:rsidP="001473F2">
      <w:pPr>
        <w:pStyle w:val="Body"/>
      </w:pPr>
      <w:r w:rsidRPr="00A50870">
        <w:rPr>
          <w:b/>
          <w:bCs/>
        </w:rPr>
        <w:t>Take</w:t>
      </w:r>
      <w:r w:rsidR="00455B5E">
        <w:rPr>
          <w:b/>
          <w:bCs/>
        </w:rPr>
        <w:t>-</w:t>
      </w:r>
      <w:r w:rsidRPr="00A50870">
        <w:rPr>
          <w:b/>
          <w:bCs/>
        </w:rPr>
        <w:t>out:</w:t>
      </w:r>
      <w:r w:rsidRPr="00D86981">
        <w:rPr>
          <w:i/>
          <w:iCs/>
        </w:rPr>
        <w:t xml:space="preserve"> </w:t>
      </w:r>
      <w:r w:rsidR="007001D0">
        <w:rPr>
          <w:i/>
          <w:iCs/>
        </w:rPr>
        <w:br/>
      </w:r>
      <w:r w:rsidR="00BC2BC4" w:rsidRPr="00F4470B">
        <w:t>Incidents involving p</w:t>
      </w:r>
      <w:r w:rsidR="003F3680" w:rsidRPr="00F4470B">
        <w:t xml:space="preserve">hishing and ransomware </w:t>
      </w:r>
      <w:r w:rsidR="00BC2BC4" w:rsidRPr="00F4470B">
        <w:t xml:space="preserve">are published daily in the news and are </w:t>
      </w:r>
      <w:r w:rsidR="00897E17" w:rsidRPr="00F4470B">
        <w:t>some of the top sources in</w:t>
      </w:r>
      <w:r w:rsidR="00BC2BC4" w:rsidRPr="00F4470B">
        <w:t xml:space="preserve"> the curr</w:t>
      </w:r>
      <w:r w:rsidR="003F3680" w:rsidRPr="00F4470B">
        <w:t xml:space="preserve">ent </w:t>
      </w:r>
      <w:r w:rsidR="00C754F4" w:rsidRPr="00F4470B">
        <w:t>threat environment</w:t>
      </w:r>
      <w:r w:rsidR="00BC2BC4" w:rsidRPr="00F4470B">
        <w:t>. The O</w:t>
      </w:r>
      <w:r w:rsidR="007A5078">
        <w:t>ffice of the</w:t>
      </w:r>
      <w:r w:rsidR="00775F7E">
        <w:t xml:space="preserve"> Australian</w:t>
      </w:r>
      <w:r w:rsidR="007A5078">
        <w:t xml:space="preserve"> Information Commissioner's (</w:t>
      </w:r>
      <w:r w:rsidR="007A5078" w:rsidRPr="00F4470B">
        <w:rPr>
          <w:b/>
          <w:bCs/>
        </w:rPr>
        <w:t>O</w:t>
      </w:r>
      <w:r w:rsidR="00BC2BC4" w:rsidRPr="00F4470B">
        <w:rPr>
          <w:b/>
          <w:bCs/>
        </w:rPr>
        <w:t>AIC</w:t>
      </w:r>
      <w:r w:rsidR="007A5078">
        <w:t>)</w:t>
      </w:r>
      <w:r w:rsidR="00BC2BC4" w:rsidRPr="00F4470B">
        <w:t xml:space="preserve"> </w:t>
      </w:r>
      <w:hyperlink r:id="rId12" w:history="1">
        <w:r w:rsidR="00BC2BC4" w:rsidRPr="00F4470B">
          <w:rPr>
            <w:rStyle w:val="Hyperlink"/>
          </w:rPr>
          <w:t>Notifiable Data Breaches Report: January</w:t>
        </w:r>
        <w:r w:rsidR="00B5220D">
          <w:rPr>
            <w:rStyle w:val="Hyperlink"/>
          </w:rPr>
          <w:t xml:space="preserve"> </w:t>
        </w:r>
        <w:r w:rsidR="00BC2BC4" w:rsidRPr="00F4470B">
          <w:rPr>
            <w:rStyle w:val="Hyperlink"/>
          </w:rPr>
          <w:t>–</w:t>
        </w:r>
        <w:r w:rsidR="00B5220D">
          <w:rPr>
            <w:rStyle w:val="Hyperlink"/>
          </w:rPr>
          <w:t xml:space="preserve"> </w:t>
        </w:r>
        <w:r w:rsidR="00BC2BC4" w:rsidRPr="00F4470B">
          <w:rPr>
            <w:rStyle w:val="Hyperlink"/>
          </w:rPr>
          <w:t>June 2021</w:t>
        </w:r>
      </w:hyperlink>
      <w:r w:rsidR="00BC2BC4" w:rsidRPr="00F4470B">
        <w:t xml:space="preserve"> noted </w:t>
      </w:r>
      <w:r w:rsidR="00BC2BC4" w:rsidRPr="00F4470B">
        <w:rPr>
          <w:b/>
          <w:bCs/>
        </w:rPr>
        <w:t>54%</w:t>
      </w:r>
      <w:r w:rsidR="00BC2BC4" w:rsidRPr="00F4470B">
        <w:t xml:space="preserve"> of cyber incidents were fro</w:t>
      </w:r>
      <w:r w:rsidR="00650519" w:rsidRPr="00F4470B">
        <w:t>m</w:t>
      </w:r>
      <w:r w:rsidR="00BC2BC4" w:rsidRPr="00F4470B">
        <w:t xml:space="preserve"> phishing and </w:t>
      </w:r>
      <w:r w:rsidR="00650519" w:rsidRPr="00F4470B">
        <w:t>ransomware</w:t>
      </w:r>
      <w:r w:rsidR="00897E17" w:rsidRPr="00F4470B">
        <w:t xml:space="preserve">. </w:t>
      </w:r>
    </w:p>
    <w:p w14:paraId="27B235A0" w14:textId="61EA8F29" w:rsidR="002D3014" w:rsidRPr="001473F2" w:rsidRDefault="00897E17" w:rsidP="001473F2">
      <w:pPr>
        <w:pStyle w:val="Body"/>
        <w:rPr>
          <w:i/>
          <w:iCs/>
        </w:rPr>
      </w:pPr>
      <w:r w:rsidRPr="00F4470B">
        <w:t xml:space="preserve">In contrast, </w:t>
      </w:r>
      <w:r w:rsidRPr="00F4470B">
        <w:rPr>
          <w:b/>
          <w:bCs/>
        </w:rPr>
        <w:t>0.6%</w:t>
      </w:r>
      <w:r w:rsidRPr="007E167E">
        <w:t xml:space="preserve"> of notifications under our scheme were </w:t>
      </w:r>
      <w:r w:rsidR="00C754F4" w:rsidRPr="007E167E">
        <w:t xml:space="preserve">a result of phishing </w:t>
      </w:r>
      <w:r w:rsidRPr="007E167E">
        <w:t xml:space="preserve">and </w:t>
      </w:r>
      <w:r w:rsidRPr="00C31C02">
        <w:rPr>
          <w:b/>
          <w:bCs/>
        </w:rPr>
        <w:t>1.5%</w:t>
      </w:r>
      <w:r w:rsidRPr="00C31C02">
        <w:t xml:space="preserve"> </w:t>
      </w:r>
      <w:r w:rsidR="00614269">
        <w:t xml:space="preserve">were </w:t>
      </w:r>
      <w:r w:rsidR="008412D7" w:rsidRPr="00C31C02">
        <w:t>ransomware</w:t>
      </w:r>
      <w:r w:rsidR="00E31B84" w:rsidRPr="00C31C02">
        <w:t>.</w:t>
      </w:r>
      <w:r w:rsidR="00AA69CD" w:rsidRPr="00C31C02">
        <w:t xml:space="preserve"> </w:t>
      </w:r>
      <w:r w:rsidR="00F0436C" w:rsidRPr="00C31C02">
        <w:t xml:space="preserve">This discrepancy is due to various factors including differing </w:t>
      </w:r>
      <w:r w:rsidR="00295637">
        <w:t>scope</w:t>
      </w:r>
      <w:r w:rsidR="006F1EF8">
        <w:t>s</w:t>
      </w:r>
      <w:r w:rsidR="00295637">
        <w:t xml:space="preserve">, jurisdictions, </w:t>
      </w:r>
      <w:r w:rsidR="00F0436C" w:rsidRPr="00C31C02">
        <w:t>thresholds, information types, and data points e.g., confirmed data breach versus security incident.</w:t>
      </w:r>
    </w:p>
    <w:p w14:paraId="434C9CF2" w14:textId="77777777" w:rsidR="00E85491" w:rsidRDefault="00E85491">
      <w:pPr>
        <w:rPr>
          <w:rFonts w:ascii="Calibri" w:eastAsia="Calibri" w:hAnsi="Calibri" w:cs="PostGrotesk-Medium"/>
          <w:color w:val="430098"/>
          <w:sz w:val="24"/>
          <w:szCs w:val="24"/>
          <w:lang w:val="en-GB"/>
        </w:rPr>
      </w:pPr>
      <w:r>
        <w:rPr>
          <w:sz w:val="24"/>
          <w:szCs w:val="24"/>
        </w:rPr>
        <w:br w:type="page"/>
      </w:r>
    </w:p>
    <w:p w14:paraId="0CB905AD" w14:textId="5B8CCACA" w:rsidR="00695D85" w:rsidRDefault="009D2AB2" w:rsidP="00695D85">
      <w:pPr>
        <w:pStyle w:val="SectionHeading1"/>
        <w:rPr>
          <w:sz w:val="24"/>
          <w:szCs w:val="24"/>
        </w:rPr>
      </w:pPr>
      <w:r>
        <w:rPr>
          <w:sz w:val="24"/>
          <w:szCs w:val="24"/>
        </w:rPr>
        <w:lastRenderedPageBreak/>
        <w:t>Type of information impacted</w:t>
      </w:r>
    </w:p>
    <w:p w14:paraId="09E1E3A3" w14:textId="3CB385CB" w:rsidR="00E85491" w:rsidRDefault="00B413CC" w:rsidP="00064073">
      <w:pPr>
        <w:pStyle w:val="Body"/>
        <w:jc w:val="center"/>
      </w:pPr>
      <w:r w:rsidRPr="00B413CC">
        <w:drawing>
          <wp:inline distT="0" distB="0" distL="0" distR="0" wp14:anchorId="2AA50B3C" wp14:editId="4FEA370D">
            <wp:extent cx="5236501" cy="3514725"/>
            <wp:effectExtent l="0" t="0" r="2540" b="0"/>
            <wp:docPr id="12" name="Picture 1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sunburst chart&#10;&#10;Description automatically generated"/>
                    <pic:cNvPicPr/>
                  </pic:nvPicPr>
                  <pic:blipFill>
                    <a:blip r:embed="rId13"/>
                    <a:stretch>
                      <a:fillRect/>
                    </a:stretch>
                  </pic:blipFill>
                  <pic:spPr>
                    <a:xfrm>
                      <a:off x="0" y="0"/>
                      <a:ext cx="5243616" cy="3519501"/>
                    </a:xfrm>
                    <a:prstGeom prst="rect">
                      <a:avLst/>
                    </a:prstGeom>
                  </pic:spPr>
                </pic:pic>
              </a:graphicData>
            </a:graphic>
          </wp:inline>
        </w:drawing>
      </w:r>
    </w:p>
    <w:p w14:paraId="62451686" w14:textId="5E804298" w:rsidR="00ED24AB" w:rsidRDefault="00ED24AB" w:rsidP="00452E25">
      <w:pPr>
        <w:pStyle w:val="Body"/>
        <w:rPr>
          <w:lang w:val="en-AU"/>
        </w:rPr>
      </w:pPr>
      <w:r>
        <w:t xml:space="preserve">Incidents </w:t>
      </w:r>
      <w:r w:rsidR="00C900E9">
        <w:t>involving</w:t>
      </w:r>
      <w:r w:rsidR="003F794F" w:rsidRPr="003F794F">
        <w:rPr>
          <w:lang w:val="en-AU"/>
        </w:rPr>
        <w:t xml:space="preserve"> personal information</w:t>
      </w:r>
      <w:r>
        <w:rPr>
          <w:lang w:val="en-AU"/>
        </w:rPr>
        <w:t xml:space="preserve"> continue to </w:t>
      </w:r>
      <w:r w:rsidR="00784849">
        <w:rPr>
          <w:lang w:val="en-AU"/>
        </w:rPr>
        <w:t>exceed</w:t>
      </w:r>
      <w:r>
        <w:rPr>
          <w:lang w:val="en-AU"/>
        </w:rPr>
        <w:t xml:space="preserve"> incidents affecting other types of information.</w:t>
      </w:r>
      <w:r w:rsidR="001F3F63">
        <w:rPr>
          <w:lang w:val="en-AU"/>
        </w:rPr>
        <w:t xml:space="preserve"> This period saw a slight increase in incidents involving personal information (</w:t>
      </w:r>
      <w:r w:rsidR="001F3F63" w:rsidRPr="00C31C02">
        <w:rPr>
          <w:b/>
          <w:bCs/>
          <w:lang w:val="en-AU"/>
        </w:rPr>
        <w:t>78%</w:t>
      </w:r>
      <w:r w:rsidR="001F3F63">
        <w:rPr>
          <w:lang w:val="en-AU"/>
        </w:rPr>
        <w:t>) compared to the last reporting period (</w:t>
      </w:r>
      <w:r w:rsidR="001F3F63" w:rsidRPr="00C31C02">
        <w:rPr>
          <w:b/>
          <w:bCs/>
          <w:lang w:val="en-AU"/>
        </w:rPr>
        <w:t>70%</w:t>
      </w:r>
      <w:r w:rsidR="001F3F63">
        <w:rPr>
          <w:lang w:val="en-AU"/>
        </w:rPr>
        <w:t>).</w:t>
      </w:r>
    </w:p>
    <w:p w14:paraId="5CD90C67" w14:textId="664C735F" w:rsidR="00ED24AB" w:rsidRDefault="00ED24AB" w:rsidP="00452E25">
      <w:pPr>
        <w:pStyle w:val="Body"/>
        <w:rPr>
          <w:lang w:val="en-AU"/>
        </w:rPr>
      </w:pPr>
      <w:r>
        <w:rPr>
          <w:lang w:val="en-AU"/>
        </w:rPr>
        <w:t>There w</w:t>
      </w:r>
      <w:r w:rsidR="001917D2">
        <w:rPr>
          <w:lang w:val="en-AU"/>
        </w:rPr>
        <w:t>ere four (</w:t>
      </w:r>
      <w:r w:rsidR="001917D2" w:rsidRPr="00C31C02">
        <w:rPr>
          <w:b/>
          <w:bCs/>
          <w:lang w:val="en-AU"/>
        </w:rPr>
        <w:t>4</w:t>
      </w:r>
      <w:r w:rsidR="001917D2">
        <w:rPr>
          <w:lang w:val="en-AU"/>
        </w:rPr>
        <w:t xml:space="preserve">) </w:t>
      </w:r>
      <w:r>
        <w:rPr>
          <w:lang w:val="en-AU"/>
        </w:rPr>
        <w:t>incident</w:t>
      </w:r>
      <w:r w:rsidR="00784849">
        <w:rPr>
          <w:lang w:val="en-AU"/>
        </w:rPr>
        <w:t xml:space="preserve"> notification</w:t>
      </w:r>
      <w:r w:rsidR="001917D2">
        <w:rPr>
          <w:lang w:val="en-AU"/>
        </w:rPr>
        <w:t>s</w:t>
      </w:r>
      <w:r>
        <w:rPr>
          <w:lang w:val="en-AU"/>
        </w:rPr>
        <w:t xml:space="preserve"> </w:t>
      </w:r>
      <w:r w:rsidR="001917D2">
        <w:rPr>
          <w:lang w:val="en-AU"/>
        </w:rPr>
        <w:t>where</w:t>
      </w:r>
      <w:r>
        <w:rPr>
          <w:lang w:val="en-AU"/>
        </w:rPr>
        <w:t xml:space="preserve"> </w:t>
      </w:r>
      <w:proofErr w:type="gramStart"/>
      <w:r w:rsidRPr="00C31C02">
        <w:rPr>
          <w:b/>
          <w:bCs/>
          <w:lang w:val="en-AU"/>
        </w:rPr>
        <w:t>Other</w:t>
      </w:r>
      <w:proofErr w:type="gramEnd"/>
      <w:r>
        <w:rPr>
          <w:lang w:val="en-AU"/>
        </w:rPr>
        <w:t xml:space="preserve"> information</w:t>
      </w:r>
      <w:r w:rsidR="001917D2">
        <w:rPr>
          <w:lang w:val="en-AU"/>
        </w:rPr>
        <w:t xml:space="preserve"> type was selected </w:t>
      </w:r>
      <w:r w:rsidR="001D4A11">
        <w:rPr>
          <w:lang w:val="en-AU"/>
        </w:rPr>
        <w:t>relating to</w:t>
      </w:r>
      <w:r w:rsidR="001917D2">
        <w:rPr>
          <w:lang w:val="en-AU"/>
        </w:rPr>
        <w:t xml:space="preserve"> administrative information</w:t>
      </w:r>
      <w:r w:rsidR="000F54FB">
        <w:rPr>
          <w:lang w:val="en-AU"/>
        </w:rPr>
        <w:t xml:space="preserve">, </w:t>
      </w:r>
      <w:r w:rsidR="001D4A11">
        <w:rPr>
          <w:lang w:val="en-AU"/>
        </w:rPr>
        <w:t>investigation</w:t>
      </w:r>
      <w:r w:rsidR="000F54FB">
        <w:rPr>
          <w:lang w:val="en-AU"/>
        </w:rPr>
        <w:t xml:space="preserve"> information, draft internal notes, and</w:t>
      </w:r>
      <w:r w:rsidR="001917D2">
        <w:rPr>
          <w:lang w:val="en-AU"/>
        </w:rPr>
        <w:t xml:space="preserve"> cabinet</w:t>
      </w:r>
      <w:r w:rsidR="000F54FB">
        <w:rPr>
          <w:lang w:val="en-AU"/>
        </w:rPr>
        <w:t xml:space="preserve"> information.</w:t>
      </w:r>
      <w:r w:rsidR="001917D2">
        <w:rPr>
          <w:lang w:val="en-AU"/>
        </w:rPr>
        <w:t xml:space="preserve"> </w:t>
      </w:r>
    </w:p>
    <w:p w14:paraId="7C4801E7" w14:textId="3465A0CA" w:rsidR="00695D85" w:rsidRPr="00B5019B" w:rsidRDefault="00ED24AB" w:rsidP="00452E25">
      <w:pPr>
        <w:pStyle w:val="Body"/>
      </w:pPr>
      <w:r>
        <w:rPr>
          <w:lang w:val="en-AU"/>
        </w:rPr>
        <w:t>There were two incident</w:t>
      </w:r>
      <w:r w:rsidR="00784849">
        <w:rPr>
          <w:lang w:val="en-AU"/>
        </w:rPr>
        <w:t xml:space="preserve"> notification</w:t>
      </w:r>
      <w:r>
        <w:rPr>
          <w:lang w:val="en-AU"/>
        </w:rPr>
        <w:t xml:space="preserve">s </w:t>
      </w:r>
      <w:r w:rsidR="00C900E9">
        <w:t>where the type of information involved could not be ascertained</w:t>
      </w:r>
      <w:r w:rsidR="00614269">
        <w:t>.</w:t>
      </w:r>
      <w:r w:rsidR="00C900E9">
        <w:t xml:space="preserve"> </w:t>
      </w:r>
      <w:r w:rsidR="00614269">
        <w:t>F</w:t>
      </w:r>
      <w:r w:rsidR="000F54FB">
        <w:t>or example</w:t>
      </w:r>
      <w:r w:rsidR="001F375B">
        <w:t>,</w:t>
      </w:r>
      <w:r w:rsidR="001D4A11">
        <w:t xml:space="preserve"> the incident related to</w:t>
      </w:r>
      <w:r w:rsidR="000F54FB">
        <w:t xml:space="preserve"> a </w:t>
      </w:r>
      <w:r w:rsidR="00114000">
        <w:t xml:space="preserve">weather event </w:t>
      </w:r>
      <w:r w:rsidR="001D4A11">
        <w:t xml:space="preserve">which </w:t>
      </w:r>
      <w:r w:rsidR="00114000">
        <w:t xml:space="preserve">damaged a </w:t>
      </w:r>
      <w:r w:rsidR="001F375B">
        <w:t>building,</w:t>
      </w:r>
      <w:r w:rsidR="00114000">
        <w:t xml:space="preserve"> and it isn’t known </w:t>
      </w:r>
      <w:r w:rsidR="001321D1">
        <w:t>what</w:t>
      </w:r>
      <w:r w:rsidR="001F375B">
        <w:t>,</w:t>
      </w:r>
      <w:r w:rsidR="001321D1">
        <w:t xml:space="preserve"> </w:t>
      </w:r>
      <w:r w:rsidR="00114000">
        <w:t>if any</w:t>
      </w:r>
      <w:r w:rsidR="001321D1">
        <w:t>,</w:t>
      </w:r>
      <w:r w:rsidR="00114000">
        <w:t xml:space="preserve"> public sector information was impacted</w:t>
      </w:r>
      <w:r w:rsidR="00C900E9">
        <w:t>.</w:t>
      </w:r>
    </w:p>
    <w:p w14:paraId="19E058D7" w14:textId="55B11BF9" w:rsidR="00B5019B" w:rsidRPr="00C31C02" w:rsidRDefault="00B5019B" w:rsidP="00B5019B">
      <w:pPr>
        <w:pStyle w:val="Body"/>
      </w:pPr>
      <w:r w:rsidRPr="00A50870">
        <w:rPr>
          <w:b/>
          <w:bCs/>
        </w:rPr>
        <w:t>Take</w:t>
      </w:r>
      <w:r w:rsidR="001D7701">
        <w:rPr>
          <w:b/>
          <w:bCs/>
        </w:rPr>
        <w:t>-</w:t>
      </w:r>
      <w:r w:rsidRPr="00A50870">
        <w:rPr>
          <w:b/>
          <w:bCs/>
        </w:rPr>
        <w:t>out:</w:t>
      </w:r>
      <w:r>
        <w:t xml:space="preserve"> </w:t>
      </w:r>
      <w:r w:rsidR="007001D0">
        <w:br/>
      </w:r>
      <w:r w:rsidR="00C900E9" w:rsidRPr="00C31C02">
        <w:t xml:space="preserve">OVIC accepts notifications in differing forms and the security team fills in </w:t>
      </w:r>
      <w:r w:rsidR="00E5002A" w:rsidRPr="00C31C02">
        <w:t xml:space="preserve">any </w:t>
      </w:r>
      <w:r w:rsidR="00C900E9" w:rsidRPr="00C31C02">
        <w:t xml:space="preserve">blank fields from information provided in the notification. </w:t>
      </w:r>
      <w:r w:rsidR="00E5002A" w:rsidRPr="00C31C02">
        <w:t>Sometimes there isn’t enough information provided in notifications to determine some fields.</w:t>
      </w:r>
    </w:p>
    <w:p w14:paraId="0B433794" w14:textId="3F68E05A" w:rsidR="009E54AE" w:rsidRPr="00C31C02" w:rsidRDefault="00184C39" w:rsidP="000B4B72">
      <w:pPr>
        <w:pStyle w:val="Body"/>
      </w:pPr>
      <w:r>
        <w:t>Three per cent</w:t>
      </w:r>
      <w:r w:rsidR="001D4A11" w:rsidRPr="00C31C02">
        <w:t xml:space="preserve"> </w:t>
      </w:r>
      <w:r w:rsidR="001F375B">
        <w:t>(</w:t>
      </w:r>
      <w:r w:rsidR="001F375B" w:rsidRPr="00C31C02">
        <w:rPr>
          <w:b/>
          <w:bCs/>
        </w:rPr>
        <w:t>3%</w:t>
      </w:r>
      <w:r w:rsidR="001F375B">
        <w:t xml:space="preserve">) </w:t>
      </w:r>
      <w:r w:rsidR="001D4A11" w:rsidRPr="00C31C02">
        <w:t xml:space="preserve">of notifications related to incidents </w:t>
      </w:r>
      <w:r w:rsidR="009F51A2" w:rsidRPr="00C31C02">
        <w:t>involving</w:t>
      </w:r>
      <w:r w:rsidR="001D4A11" w:rsidRPr="00C31C02">
        <w:t xml:space="preserve"> </w:t>
      </w:r>
      <w:r w:rsidR="001F375B">
        <w:t>C</w:t>
      </w:r>
      <w:r w:rsidR="001F375B" w:rsidRPr="00C31C02">
        <w:t>ovid</w:t>
      </w:r>
      <w:r w:rsidR="001F375B">
        <w:t>-19</w:t>
      </w:r>
      <w:r w:rsidR="001F375B" w:rsidRPr="00C31C02">
        <w:t xml:space="preserve"> </w:t>
      </w:r>
      <w:r w:rsidR="009F51A2" w:rsidRPr="00C31C02">
        <w:t xml:space="preserve">related </w:t>
      </w:r>
      <w:r w:rsidR="00054CE4" w:rsidRPr="00C31C02">
        <w:t xml:space="preserve">information </w:t>
      </w:r>
      <w:r w:rsidR="009F51A2" w:rsidRPr="00C31C02">
        <w:t>such as vaccination status, test results or border permits</w:t>
      </w:r>
      <w:r w:rsidR="00054CE4" w:rsidRPr="00C31C02">
        <w:t xml:space="preserve">. </w:t>
      </w:r>
    </w:p>
    <w:p w14:paraId="1099232D" w14:textId="5D487F30" w:rsidR="00E85491" w:rsidRDefault="009E54AE" w:rsidP="000B4B72">
      <w:pPr>
        <w:pStyle w:val="Body"/>
        <w:rPr>
          <w:rFonts w:cs="PostGrotesk-Medium"/>
          <w:color w:val="430098"/>
          <w:sz w:val="24"/>
          <w:szCs w:val="24"/>
        </w:rPr>
      </w:pPr>
      <w:r w:rsidRPr="00C31C02">
        <w:t xml:space="preserve">Analysing the data for the notifications which identified critical infrastructure </w:t>
      </w:r>
      <w:r w:rsidR="00184C6A" w:rsidRPr="00C31C02">
        <w:t xml:space="preserve">information involved in the incident </w:t>
      </w:r>
      <w:r w:rsidRPr="00C31C02">
        <w:t xml:space="preserve">has highlighted the need for OVIC to define what is meant by critical infrastructure information </w:t>
      </w:r>
      <w:r w:rsidR="005068ED" w:rsidRPr="00C31C02">
        <w:t>(</w:t>
      </w:r>
      <w:r w:rsidR="005068ED" w:rsidRPr="00C31C02">
        <w:rPr>
          <w:b/>
          <w:bCs/>
        </w:rPr>
        <w:t>CII</w:t>
      </w:r>
      <w:r w:rsidR="005068ED" w:rsidRPr="00C31C02">
        <w:t>)</w:t>
      </w:r>
      <w:r w:rsidR="00872F45" w:rsidRPr="00C31C02">
        <w:t>. There appears to be a misunderstanding of what is meant by this term and these incidents that identified CII was affected may not be accurate.</w:t>
      </w:r>
      <w:r w:rsidR="005068ED" w:rsidRPr="00C31C02">
        <w:t xml:space="preserve"> </w:t>
      </w:r>
      <w:r w:rsidRPr="00C31C02">
        <w:t>Industrial Control and Automation Systems (</w:t>
      </w:r>
      <w:r w:rsidRPr="00C31C02">
        <w:rPr>
          <w:b/>
          <w:bCs/>
        </w:rPr>
        <w:t>IACS</w:t>
      </w:r>
      <w:r w:rsidRPr="00C31C02">
        <w:t>)</w:t>
      </w:r>
      <w:r w:rsidR="00872F45" w:rsidRPr="00C31C02">
        <w:t xml:space="preserve"> is </w:t>
      </w:r>
      <w:r w:rsidR="00AA6504" w:rsidRPr="00C31C02">
        <w:t xml:space="preserve">a </w:t>
      </w:r>
      <w:r w:rsidR="00872F45" w:rsidRPr="00C31C02">
        <w:t>specialised</w:t>
      </w:r>
      <w:r w:rsidR="00AA6504" w:rsidRPr="00C31C02">
        <w:t xml:space="preserve"> field with only a few organisations operating these types of systems and associated data</w:t>
      </w:r>
      <w:r w:rsidR="00184C6A" w:rsidRPr="00C31C02">
        <w:t xml:space="preserve">, primarily used in operational sectors such as water and transport. The updated </w:t>
      </w:r>
      <w:hyperlink r:id="rId14" w:history="1">
        <w:r w:rsidR="00184C6A" w:rsidRPr="00ED2188">
          <w:rPr>
            <w:rStyle w:val="Hyperlink"/>
          </w:rPr>
          <w:t>VPDSS Glossary</w:t>
        </w:r>
      </w:hyperlink>
      <w:r w:rsidR="00184C6A" w:rsidRPr="00ED2188">
        <w:t xml:space="preserve"> published on the OVIC website</w:t>
      </w:r>
      <w:r w:rsidR="005068ED" w:rsidRPr="00ED2188">
        <w:t xml:space="preserve"> includes definitions for CII and IACS</w:t>
      </w:r>
      <w:r w:rsidR="00184C6A" w:rsidRPr="00ED2188">
        <w:t>.</w:t>
      </w:r>
      <w:r w:rsidR="00E85491">
        <w:rPr>
          <w:sz w:val="24"/>
          <w:szCs w:val="24"/>
        </w:rPr>
        <w:br w:type="page"/>
      </w:r>
    </w:p>
    <w:p w14:paraId="2EC89EDE" w14:textId="39E6900C" w:rsidR="00B5019B" w:rsidRDefault="00B5019B" w:rsidP="00B5019B">
      <w:pPr>
        <w:pStyle w:val="SectionHeading1"/>
        <w:rPr>
          <w:sz w:val="24"/>
          <w:szCs w:val="24"/>
        </w:rPr>
      </w:pPr>
      <w:r w:rsidRPr="009D2AB2">
        <w:rPr>
          <w:sz w:val="24"/>
          <w:szCs w:val="24"/>
        </w:rPr>
        <w:lastRenderedPageBreak/>
        <w:t xml:space="preserve">Information </w:t>
      </w:r>
      <w:r w:rsidR="00781567">
        <w:rPr>
          <w:sz w:val="24"/>
          <w:szCs w:val="24"/>
        </w:rPr>
        <w:t>B</w:t>
      </w:r>
      <w:r w:rsidR="008C71AA">
        <w:rPr>
          <w:sz w:val="24"/>
          <w:szCs w:val="24"/>
        </w:rPr>
        <w:t xml:space="preserve">usiness </w:t>
      </w:r>
      <w:r w:rsidR="00781567">
        <w:rPr>
          <w:sz w:val="24"/>
          <w:szCs w:val="24"/>
        </w:rPr>
        <w:t>I</w:t>
      </w:r>
      <w:r w:rsidR="008C71AA">
        <w:rPr>
          <w:sz w:val="24"/>
          <w:szCs w:val="24"/>
        </w:rPr>
        <w:t xml:space="preserve">mpact </w:t>
      </w:r>
      <w:r w:rsidR="00781567">
        <w:rPr>
          <w:sz w:val="24"/>
          <w:szCs w:val="24"/>
        </w:rPr>
        <w:t>L</w:t>
      </w:r>
      <w:r w:rsidR="008C71AA">
        <w:rPr>
          <w:sz w:val="24"/>
          <w:szCs w:val="24"/>
        </w:rPr>
        <w:t>evel</w:t>
      </w:r>
      <w:r w:rsidR="00781567">
        <w:rPr>
          <w:sz w:val="24"/>
          <w:szCs w:val="24"/>
        </w:rPr>
        <w:t xml:space="preserve"> (</w:t>
      </w:r>
      <w:r w:rsidR="00781567" w:rsidRPr="00B413CC">
        <w:rPr>
          <w:b/>
          <w:bCs/>
          <w:sz w:val="24"/>
          <w:szCs w:val="24"/>
        </w:rPr>
        <w:t>BIL</w:t>
      </w:r>
      <w:r w:rsidR="00781567">
        <w:rPr>
          <w:sz w:val="24"/>
          <w:szCs w:val="24"/>
        </w:rPr>
        <w:t>)</w:t>
      </w:r>
      <w:r w:rsidR="008C71AA">
        <w:rPr>
          <w:sz w:val="24"/>
          <w:szCs w:val="24"/>
        </w:rPr>
        <w:t xml:space="preserve"> </w:t>
      </w:r>
    </w:p>
    <w:p w14:paraId="40A53075" w14:textId="20A40996" w:rsidR="00A44D08" w:rsidRPr="000E2C8B" w:rsidRDefault="00B413CC" w:rsidP="000E2C8B">
      <w:pPr>
        <w:pStyle w:val="SectionHeading1"/>
        <w:jc w:val="center"/>
        <w:rPr>
          <w:sz w:val="24"/>
          <w:szCs w:val="24"/>
        </w:rPr>
      </w:pPr>
      <w:r w:rsidRPr="00B413CC">
        <w:rPr>
          <w:sz w:val="24"/>
          <w:szCs w:val="24"/>
        </w:rPr>
        <w:drawing>
          <wp:inline distT="0" distB="0" distL="0" distR="0" wp14:anchorId="6A614336" wp14:editId="6F887CF8">
            <wp:extent cx="5505450" cy="2785856"/>
            <wp:effectExtent l="0" t="0" r="0" b="0"/>
            <wp:docPr id="13" name="Picture 1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 rectangle&#10;&#10;Description automatically generated"/>
                    <pic:cNvPicPr/>
                  </pic:nvPicPr>
                  <pic:blipFill>
                    <a:blip r:embed="rId15"/>
                    <a:stretch>
                      <a:fillRect/>
                    </a:stretch>
                  </pic:blipFill>
                  <pic:spPr>
                    <a:xfrm>
                      <a:off x="0" y="0"/>
                      <a:ext cx="5517082" cy="2791742"/>
                    </a:xfrm>
                    <a:prstGeom prst="rect">
                      <a:avLst/>
                    </a:prstGeom>
                  </pic:spPr>
                </pic:pic>
              </a:graphicData>
            </a:graphic>
          </wp:inline>
        </w:drawing>
      </w:r>
    </w:p>
    <w:p w14:paraId="1829E36E" w14:textId="4F25BBC4" w:rsidR="00037385" w:rsidRDefault="002648E9" w:rsidP="00B5019B">
      <w:pPr>
        <w:pStyle w:val="Body"/>
      </w:pPr>
      <w:r>
        <w:t>The</w:t>
      </w:r>
      <w:r w:rsidR="003F794F">
        <w:t xml:space="preserve"> </w:t>
      </w:r>
      <w:r w:rsidR="00D02376">
        <w:t>number</w:t>
      </w:r>
      <w:r>
        <w:t xml:space="preserve"> of notifications affecting</w:t>
      </w:r>
      <w:r w:rsidR="00B5019B">
        <w:t xml:space="preserve"> </w:t>
      </w:r>
      <w:r w:rsidR="00911AB0">
        <w:t xml:space="preserve">information assessed as </w:t>
      </w:r>
      <w:r w:rsidR="00B5019B">
        <w:t>BIL 2</w:t>
      </w:r>
      <w:r w:rsidR="003F794F">
        <w:t xml:space="preserve">, or </w:t>
      </w:r>
      <w:r w:rsidR="009E213E" w:rsidRPr="00ED2188">
        <w:rPr>
          <w:b/>
          <w:bCs/>
        </w:rPr>
        <w:t>L</w:t>
      </w:r>
      <w:r w:rsidRPr="00ED2188">
        <w:rPr>
          <w:b/>
          <w:bCs/>
        </w:rPr>
        <w:t>imited</w:t>
      </w:r>
      <w:r w:rsidR="003F794F">
        <w:t>,</w:t>
      </w:r>
      <w:r w:rsidR="000B4B72">
        <w:t xml:space="preserve"> slightly</w:t>
      </w:r>
      <w:r w:rsidR="003F794F">
        <w:t xml:space="preserve"> increased from </w:t>
      </w:r>
      <w:r w:rsidR="000B4B72" w:rsidRPr="00ED2188">
        <w:rPr>
          <w:b/>
          <w:bCs/>
        </w:rPr>
        <w:t>87</w:t>
      </w:r>
      <w:r w:rsidR="003F794F" w:rsidRPr="00ED2188">
        <w:rPr>
          <w:b/>
          <w:bCs/>
        </w:rPr>
        <w:t>%</w:t>
      </w:r>
      <w:r w:rsidR="003F794F">
        <w:t xml:space="preserve"> in the last reporting period to</w:t>
      </w:r>
      <w:r>
        <w:t xml:space="preserve"> </w:t>
      </w:r>
      <w:r w:rsidR="000B4B72" w:rsidRPr="00ED2188">
        <w:rPr>
          <w:b/>
          <w:bCs/>
        </w:rPr>
        <w:t>90</w:t>
      </w:r>
      <w:r w:rsidRPr="00ED2188">
        <w:rPr>
          <w:b/>
          <w:bCs/>
        </w:rPr>
        <w:t>%</w:t>
      </w:r>
      <w:r w:rsidR="003F794F">
        <w:t xml:space="preserve"> this period.</w:t>
      </w:r>
      <w:r>
        <w:t xml:space="preserve"> </w:t>
      </w:r>
    </w:p>
    <w:p w14:paraId="12F31747" w14:textId="1F7F7D48" w:rsidR="00443344" w:rsidRDefault="00443344" w:rsidP="00B5019B">
      <w:pPr>
        <w:pStyle w:val="Body"/>
      </w:pPr>
      <w:r>
        <w:t>Although the percentage of incidents related to BIL</w:t>
      </w:r>
      <w:r w:rsidR="00645708">
        <w:t xml:space="preserve"> </w:t>
      </w:r>
      <w:r>
        <w:t xml:space="preserve">3 / PROTECTED information dropped from </w:t>
      </w:r>
      <w:r w:rsidRPr="00ED2188">
        <w:rPr>
          <w:b/>
          <w:bCs/>
        </w:rPr>
        <w:t>6%</w:t>
      </w:r>
      <w:r>
        <w:t xml:space="preserve"> last reporting period to </w:t>
      </w:r>
      <w:r w:rsidRPr="00ED2188">
        <w:rPr>
          <w:b/>
          <w:bCs/>
        </w:rPr>
        <w:t>3%</w:t>
      </w:r>
      <w:r>
        <w:t xml:space="preserve"> this reporting period, the actual number of notifications affecting BIL</w:t>
      </w:r>
      <w:r w:rsidR="00645708">
        <w:t xml:space="preserve"> </w:t>
      </w:r>
      <w:r>
        <w:t>3 information (</w:t>
      </w:r>
      <w:r w:rsidRPr="00ED2188">
        <w:rPr>
          <w:b/>
          <w:bCs/>
        </w:rPr>
        <w:t>1</w:t>
      </w:r>
      <w:r w:rsidR="00BB58D9" w:rsidRPr="00ED2188">
        <w:rPr>
          <w:b/>
          <w:bCs/>
        </w:rPr>
        <w:t>1</w:t>
      </w:r>
      <w:r>
        <w:t>) is the same.</w:t>
      </w:r>
    </w:p>
    <w:p w14:paraId="3D806920" w14:textId="7BA99D4A" w:rsidR="00B5019B" w:rsidRDefault="001F375B" w:rsidP="00B5019B">
      <w:pPr>
        <w:pStyle w:val="Body"/>
      </w:pPr>
      <w:r w:rsidRPr="00ED2188">
        <w:t>Ten per cent (</w:t>
      </w:r>
      <w:r w:rsidR="00536533" w:rsidRPr="00ED2188">
        <w:rPr>
          <w:b/>
          <w:bCs/>
        </w:rPr>
        <w:t>10%</w:t>
      </w:r>
      <w:r w:rsidRPr="00ED2188">
        <w:t>)</w:t>
      </w:r>
      <w:r w:rsidR="00536533" w:rsidRPr="001F375B">
        <w:t xml:space="preserve"> </w:t>
      </w:r>
      <w:r w:rsidR="00536533">
        <w:t>of</w:t>
      </w:r>
      <w:r w:rsidR="003F794F">
        <w:t xml:space="preserve"> incident notifications</w:t>
      </w:r>
      <w:r w:rsidR="00687277">
        <w:t xml:space="preserve"> were received through </w:t>
      </w:r>
      <w:r w:rsidR="003F794F">
        <w:t xml:space="preserve">OVIC’s </w:t>
      </w:r>
      <w:r w:rsidR="00687277">
        <w:t xml:space="preserve">privacy </w:t>
      </w:r>
      <w:r w:rsidR="00536533">
        <w:t>team</w:t>
      </w:r>
      <w:r w:rsidR="005068ED">
        <w:t xml:space="preserve"> and utilise </w:t>
      </w:r>
      <w:r w:rsidR="005068ED" w:rsidRPr="005068ED">
        <w:t>differing forms</w:t>
      </w:r>
      <w:r w:rsidR="005068ED">
        <w:t xml:space="preserve"> depending on individual organisation’s privacy unit. </w:t>
      </w:r>
      <w:r w:rsidR="00F748D6">
        <w:t>In instances</w:t>
      </w:r>
      <w:r w:rsidR="00536533">
        <w:t xml:space="preserve"> where the BIL is not provided</w:t>
      </w:r>
      <w:r w:rsidR="00F748D6">
        <w:t>,</w:t>
      </w:r>
      <w:r w:rsidR="00687277">
        <w:t xml:space="preserve"> subjective assessments were made by OVIC practitioners using the information provided in the notifications to nominate a corresponding BIL.</w:t>
      </w:r>
    </w:p>
    <w:p w14:paraId="44A51EBC" w14:textId="54ECD91A" w:rsidR="003842DC" w:rsidRPr="00DD13B4" w:rsidRDefault="00B5019B" w:rsidP="00D02376">
      <w:pPr>
        <w:pStyle w:val="Body"/>
      </w:pPr>
      <w:r w:rsidRPr="00A50870">
        <w:rPr>
          <w:b/>
          <w:bCs/>
        </w:rPr>
        <w:t>Take</w:t>
      </w:r>
      <w:r w:rsidR="001D7701">
        <w:rPr>
          <w:b/>
          <w:bCs/>
        </w:rPr>
        <w:t>-</w:t>
      </w:r>
      <w:r w:rsidRPr="00A50870">
        <w:rPr>
          <w:b/>
          <w:bCs/>
        </w:rPr>
        <w:t>out:</w:t>
      </w:r>
      <w:r>
        <w:t xml:space="preserve"> </w:t>
      </w:r>
      <w:r w:rsidR="007001D0">
        <w:br/>
      </w:r>
      <w:r w:rsidR="00374314">
        <w:t>Looking at the affected information in the incident</w:t>
      </w:r>
      <w:r w:rsidR="006F1EF8">
        <w:t xml:space="preserve"> notification</w:t>
      </w:r>
      <w:r w:rsidR="00374314">
        <w:t xml:space="preserve">s indicates a growing understanding </w:t>
      </w:r>
      <w:r w:rsidR="006F1EF8">
        <w:t>of</w:t>
      </w:r>
      <w:r w:rsidR="00374314">
        <w:t xml:space="preserve"> t</w:t>
      </w:r>
      <w:r w:rsidR="003842DC" w:rsidRPr="00DD13B4">
        <w:t xml:space="preserve">he threshold for notifying OVIC of incidents related to BIL 2 or higher information. Some organisations notify OVIC of incidents related to </w:t>
      </w:r>
      <w:r w:rsidR="00DD13B4" w:rsidRPr="00DD13B4">
        <w:t>lower-level</w:t>
      </w:r>
      <w:r w:rsidR="003842DC" w:rsidRPr="00DD13B4">
        <w:t xml:space="preserve"> information either because they aren’t confident </w:t>
      </w:r>
      <w:r w:rsidR="000B7452" w:rsidRPr="00DD13B4">
        <w:t xml:space="preserve">with their BIL assessment </w:t>
      </w:r>
      <w:r w:rsidR="003842DC" w:rsidRPr="00DD13B4">
        <w:t xml:space="preserve">or require </w:t>
      </w:r>
      <w:r w:rsidR="00614269">
        <w:t>p</w:t>
      </w:r>
      <w:r w:rsidR="00614269" w:rsidRPr="00DD13B4">
        <w:t xml:space="preserve">rivacy </w:t>
      </w:r>
      <w:r w:rsidR="003842DC" w:rsidRPr="00DD13B4">
        <w:t>assistance</w:t>
      </w:r>
      <w:r w:rsidR="000B7452" w:rsidRPr="00DD13B4">
        <w:t xml:space="preserve"> from </w:t>
      </w:r>
      <w:r w:rsidR="001F375B">
        <w:t>OVIC</w:t>
      </w:r>
      <w:r w:rsidR="003842DC" w:rsidRPr="00DD13B4">
        <w:t xml:space="preserve">. </w:t>
      </w:r>
      <w:r w:rsidR="001F375B">
        <w:t>We</w:t>
      </w:r>
      <w:r w:rsidR="001F375B" w:rsidRPr="00DD13B4">
        <w:t xml:space="preserve"> </w:t>
      </w:r>
      <w:r w:rsidR="003842DC" w:rsidRPr="00DD13B4">
        <w:t xml:space="preserve">accept all </w:t>
      </w:r>
      <w:r w:rsidR="00572F0E" w:rsidRPr="00DD13B4">
        <w:t xml:space="preserve">notifications </w:t>
      </w:r>
      <w:r w:rsidR="001F375B">
        <w:t>and</w:t>
      </w:r>
      <w:r w:rsidR="00572F0E" w:rsidRPr="00DD13B4">
        <w:t xml:space="preserve"> encourage organisations to notify</w:t>
      </w:r>
      <w:r w:rsidR="001F375B">
        <w:t xml:space="preserve"> even if in doubt.</w:t>
      </w:r>
    </w:p>
    <w:p w14:paraId="5155C13E" w14:textId="451B14F5" w:rsidR="00443344" w:rsidRPr="00DD13B4" w:rsidRDefault="00443344" w:rsidP="00D02376">
      <w:pPr>
        <w:pStyle w:val="Body"/>
      </w:pPr>
      <w:r w:rsidRPr="00DD13B4">
        <w:t>Analysis of the notifications affecting BIL</w:t>
      </w:r>
      <w:r w:rsidR="00BB58D9" w:rsidRPr="00DD13B4">
        <w:t xml:space="preserve"> </w:t>
      </w:r>
      <w:r w:rsidRPr="00DD13B4">
        <w:t>3 information indicates that half of the notifications do not appear to relate to the business impact of the information itself but perhaps w</w:t>
      </w:r>
      <w:r w:rsidR="00CC3821" w:rsidRPr="00DD13B4">
        <w:t>ere</w:t>
      </w:r>
      <w:r w:rsidRPr="00DD13B4">
        <w:t xml:space="preserve"> chosen to reflect the severity of the incident or the priority that the organisation placed on the incident.</w:t>
      </w:r>
    </w:p>
    <w:p w14:paraId="6F1EDF3E" w14:textId="2D5A654D" w:rsidR="005C27D2" w:rsidRDefault="00BB58D9" w:rsidP="00E560E6">
      <w:pPr>
        <w:pStyle w:val="Body"/>
        <w:rPr>
          <w:rFonts w:cs="PostGrotesk-Medium"/>
          <w:color w:val="430098"/>
          <w:sz w:val="24"/>
          <w:szCs w:val="24"/>
        </w:rPr>
      </w:pPr>
      <w:r w:rsidRPr="00DD13B4">
        <w:t>Standard 2 of the Victorian Protective Data Security Standards (</w:t>
      </w:r>
      <w:r w:rsidRPr="00DD13B4">
        <w:rPr>
          <w:b/>
          <w:bCs/>
        </w:rPr>
        <w:t>VPDSS</w:t>
      </w:r>
      <w:r w:rsidRPr="00DD13B4">
        <w:t xml:space="preserve">) requires organisations to identify and assess the security value of public sector information. OVIC undertook an audit on Standard 2 in 2021. </w:t>
      </w:r>
      <w:r w:rsidR="000B7452" w:rsidRPr="00DD13B4">
        <w:t xml:space="preserve">The audit report </w:t>
      </w:r>
      <w:bookmarkStart w:id="1" w:name="_Hlk64020959"/>
      <w:r w:rsidR="00A81F1B" w:rsidRPr="00DD13B4">
        <w:t xml:space="preserve">has been published and </w:t>
      </w:r>
      <w:r w:rsidR="00536533" w:rsidRPr="00DD13B4">
        <w:t xml:space="preserve">is available on </w:t>
      </w:r>
      <w:hyperlink r:id="rId16" w:history="1">
        <w:r w:rsidR="00536533" w:rsidRPr="00DD13B4">
          <w:rPr>
            <w:rStyle w:val="Hyperlink"/>
          </w:rPr>
          <w:t>OVIC’s website</w:t>
        </w:r>
      </w:hyperlink>
      <w:r w:rsidR="00536533" w:rsidRPr="00DD13B4">
        <w:t>.</w:t>
      </w:r>
      <w:r w:rsidR="00A81F1B" w:rsidRPr="00DD13B4">
        <w:t xml:space="preserve"> It covers the application of Standard 2 broadly across four </w:t>
      </w:r>
      <w:r w:rsidR="00DD13B4" w:rsidRPr="00DD13B4">
        <w:t>organisations and</w:t>
      </w:r>
      <w:r w:rsidR="00A81F1B" w:rsidRPr="00DD13B4">
        <w:t xml:space="preserve"> focusses on </w:t>
      </w:r>
      <w:r w:rsidR="0015470C" w:rsidRPr="00DD13B4">
        <w:t xml:space="preserve">the </w:t>
      </w:r>
      <w:r w:rsidR="00A81F1B" w:rsidRPr="00DD13B4">
        <w:t xml:space="preserve">implementation of each element under Standard 2 including element 2.040 which covers assessing the security value of public sector information. </w:t>
      </w:r>
      <w:bookmarkEnd w:id="1"/>
      <w:r w:rsidRPr="00DD13B4">
        <w:t>Using the outcomes from this security value assessment allows organisations to identify incidents related to public sector information assessed as BIL 2.</w:t>
      </w:r>
      <w:r w:rsidR="00F87B89">
        <w:rPr>
          <w:sz w:val="24"/>
          <w:szCs w:val="24"/>
        </w:rPr>
        <w:br w:type="page"/>
      </w:r>
    </w:p>
    <w:p w14:paraId="22C2A6FA" w14:textId="0E673AB3" w:rsidR="009D2AB2" w:rsidRDefault="009D2AB2" w:rsidP="009D2AB2">
      <w:pPr>
        <w:pStyle w:val="SectionHeading1"/>
        <w:rPr>
          <w:sz w:val="24"/>
          <w:szCs w:val="24"/>
        </w:rPr>
      </w:pPr>
      <w:r w:rsidRPr="009D2AB2">
        <w:rPr>
          <w:sz w:val="24"/>
          <w:szCs w:val="24"/>
        </w:rPr>
        <w:lastRenderedPageBreak/>
        <w:t>Security attributes impacted</w:t>
      </w:r>
    </w:p>
    <w:p w14:paraId="59BC5AE4" w14:textId="2AC74AB2" w:rsidR="00421A3A" w:rsidRPr="009D2AB2" w:rsidRDefault="004A11AF" w:rsidP="000E2C8B">
      <w:pPr>
        <w:pStyle w:val="SectionHeading1"/>
        <w:jc w:val="center"/>
        <w:rPr>
          <w:i/>
          <w:iCs/>
          <w:sz w:val="24"/>
          <w:szCs w:val="24"/>
        </w:rPr>
      </w:pPr>
      <w:r w:rsidRPr="004A11AF">
        <w:rPr>
          <w:i/>
          <w:iCs/>
          <w:noProof/>
          <w:sz w:val="24"/>
          <w:szCs w:val="24"/>
        </w:rPr>
        <w:drawing>
          <wp:inline distT="0" distB="0" distL="0" distR="0" wp14:anchorId="3A895D90" wp14:editId="37C475B3">
            <wp:extent cx="5076825" cy="3325906"/>
            <wp:effectExtent l="0" t="0" r="0" b="8255"/>
            <wp:docPr id="6" name="Picture 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unburst chart&#10;&#10;Description automatically generated"/>
                    <pic:cNvPicPr/>
                  </pic:nvPicPr>
                  <pic:blipFill>
                    <a:blip r:embed="rId17"/>
                    <a:stretch>
                      <a:fillRect/>
                    </a:stretch>
                  </pic:blipFill>
                  <pic:spPr>
                    <a:xfrm>
                      <a:off x="0" y="0"/>
                      <a:ext cx="5094623" cy="3337565"/>
                    </a:xfrm>
                    <a:prstGeom prst="rect">
                      <a:avLst/>
                    </a:prstGeom>
                  </pic:spPr>
                </pic:pic>
              </a:graphicData>
            </a:graphic>
          </wp:inline>
        </w:drawing>
      </w:r>
    </w:p>
    <w:p w14:paraId="142DC563" w14:textId="6F5E7D5B" w:rsidR="00301639" w:rsidRDefault="00305050" w:rsidP="00B66C6F">
      <w:pPr>
        <w:pStyle w:val="Body"/>
      </w:pPr>
      <w:bookmarkStart w:id="2" w:name="_Hlk57107159"/>
      <w:r>
        <w:t xml:space="preserve">The </w:t>
      </w:r>
      <w:r w:rsidR="00D649D0">
        <w:t xml:space="preserve">percentages of </w:t>
      </w:r>
      <w:r>
        <w:t xml:space="preserve">security attributes were </w:t>
      </w:r>
      <w:proofErr w:type="gramStart"/>
      <w:r>
        <w:t>similar to</w:t>
      </w:r>
      <w:proofErr w:type="gramEnd"/>
      <w:r>
        <w:t xml:space="preserve"> previous reporting periods with incidents </w:t>
      </w:r>
      <w:r w:rsidR="00301639">
        <w:t>affecting</w:t>
      </w:r>
      <w:r>
        <w:t xml:space="preserve"> the confidentiality of information still the </w:t>
      </w:r>
      <w:r w:rsidR="00301639">
        <w:t>most common</w:t>
      </w:r>
      <w:r w:rsidR="0033113E">
        <w:t>.</w:t>
      </w:r>
    </w:p>
    <w:p w14:paraId="5D7325B6" w14:textId="37F37B45" w:rsidR="00014EBF" w:rsidRDefault="00014EBF" w:rsidP="00B66C6F">
      <w:pPr>
        <w:pStyle w:val="Body"/>
      </w:pPr>
      <w:r>
        <w:t xml:space="preserve">There was an increase in incidents affecting the integrity of information from </w:t>
      </w:r>
      <w:r w:rsidRPr="00DD13B4">
        <w:rPr>
          <w:b/>
          <w:bCs/>
        </w:rPr>
        <w:t>9%</w:t>
      </w:r>
      <w:r>
        <w:t xml:space="preserve"> to </w:t>
      </w:r>
      <w:r w:rsidRPr="00DD13B4">
        <w:rPr>
          <w:b/>
          <w:bCs/>
        </w:rPr>
        <w:t>12%</w:t>
      </w:r>
      <w:r>
        <w:t xml:space="preserve"> this reporting period. Although this is a slight increase in percentage, the actual number has doubled from </w:t>
      </w:r>
      <w:r w:rsidRPr="00DD13B4">
        <w:rPr>
          <w:b/>
          <w:bCs/>
        </w:rPr>
        <w:t>24</w:t>
      </w:r>
      <w:r>
        <w:t xml:space="preserve"> to </w:t>
      </w:r>
      <w:r w:rsidRPr="00DD13B4">
        <w:rPr>
          <w:b/>
          <w:bCs/>
        </w:rPr>
        <w:t>49</w:t>
      </w:r>
      <w:r>
        <w:t xml:space="preserve"> incidents. </w:t>
      </w:r>
    </w:p>
    <w:bookmarkEnd w:id="2"/>
    <w:p w14:paraId="32F53314" w14:textId="79266E19" w:rsidR="00992DD2" w:rsidRDefault="00B42EA1" w:rsidP="00FD4EFE">
      <w:pPr>
        <w:pStyle w:val="Body"/>
      </w:pPr>
      <w:r w:rsidRPr="00A93F41">
        <w:rPr>
          <w:b/>
          <w:bCs/>
        </w:rPr>
        <w:t>Take</w:t>
      </w:r>
      <w:r w:rsidR="001D7701">
        <w:rPr>
          <w:b/>
          <w:bCs/>
        </w:rPr>
        <w:t>-</w:t>
      </w:r>
      <w:r w:rsidRPr="00A93F41">
        <w:rPr>
          <w:b/>
          <w:bCs/>
        </w:rPr>
        <w:t>out:</w:t>
      </w:r>
      <w:r>
        <w:t xml:space="preserve"> </w:t>
      </w:r>
      <w:r w:rsidR="007001D0">
        <w:br/>
      </w:r>
      <w:r w:rsidR="00071B45" w:rsidRPr="00DD13B4">
        <w:t>Previously</w:t>
      </w:r>
      <w:r w:rsidR="00F43DED" w:rsidRPr="00DD13B4">
        <w:t>,</w:t>
      </w:r>
      <w:r w:rsidR="00071B45" w:rsidRPr="00DD13B4">
        <w:t xml:space="preserve"> </w:t>
      </w:r>
      <w:r w:rsidR="00992DD2">
        <w:t>most</w:t>
      </w:r>
      <w:r w:rsidR="00071B45" w:rsidRPr="00DD13B4">
        <w:t xml:space="preserve"> confidentiality related incidents were </w:t>
      </w:r>
      <w:r w:rsidR="007F5245" w:rsidRPr="00DD13B4">
        <w:t>from</w:t>
      </w:r>
      <w:r w:rsidR="00071B45" w:rsidRPr="00DD13B4">
        <w:t xml:space="preserve"> email disclosures</w:t>
      </w:r>
      <w:r w:rsidR="007F5245" w:rsidRPr="00DD13B4">
        <w:t xml:space="preserve"> (</w:t>
      </w:r>
      <w:r w:rsidR="007F5245" w:rsidRPr="00DD13B4">
        <w:rPr>
          <w:b/>
          <w:bCs/>
        </w:rPr>
        <w:t>85%</w:t>
      </w:r>
      <w:r w:rsidR="007F5245" w:rsidRPr="00DD13B4">
        <w:t>)</w:t>
      </w:r>
      <w:r w:rsidR="00071B45" w:rsidRPr="00DD13B4">
        <w:t xml:space="preserve">. </w:t>
      </w:r>
      <w:r w:rsidR="00992DD2">
        <w:t>In t</w:t>
      </w:r>
      <w:r w:rsidR="00071B45" w:rsidRPr="00DD13B4">
        <w:t xml:space="preserve">his period </w:t>
      </w:r>
      <w:r w:rsidR="00B1373D" w:rsidRPr="00DD13B4">
        <w:rPr>
          <w:b/>
          <w:bCs/>
        </w:rPr>
        <w:t>45</w:t>
      </w:r>
      <w:r w:rsidR="00E50E41" w:rsidRPr="00DD13B4">
        <w:rPr>
          <w:b/>
          <w:bCs/>
        </w:rPr>
        <w:t>%</w:t>
      </w:r>
      <w:r w:rsidR="00E50E41" w:rsidRPr="00DD13B4">
        <w:t xml:space="preserve"> of </w:t>
      </w:r>
      <w:r w:rsidR="00EE6E11" w:rsidRPr="00DD13B4">
        <w:t xml:space="preserve">incidents affecting the </w:t>
      </w:r>
      <w:r w:rsidR="00E50E41" w:rsidRPr="00DD13B4">
        <w:t xml:space="preserve">confidentiality </w:t>
      </w:r>
      <w:r w:rsidR="00EE6E11" w:rsidRPr="00DD13B4">
        <w:t>of public sector information</w:t>
      </w:r>
      <w:r w:rsidR="00E50E41" w:rsidRPr="00DD13B4">
        <w:t xml:space="preserve"> were related to email</w:t>
      </w:r>
      <w:r w:rsidR="001517EB" w:rsidRPr="00DD13B4">
        <w:t>/mail</w:t>
      </w:r>
      <w:r w:rsidR="00E50E41" w:rsidRPr="00DD13B4">
        <w:t xml:space="preserve"> disclosures</w:t>
      </w:r>
      <w:r w:rsidR="00233ADA" w:rsidRPr="00DD13B4">
        <w:t>.</w:t>
      </w:r>
      <w:r w:rsidR="00E50E41" w:rsidRPr="00DD13B4">
        <w:t xml:space="preserve"> </w:t>
      </w:r>
    </w:p>
    <w:p w14:paraId="48FF65A8" w14:textId="32F9C487" w:rsidR="00014EBF" w:rsidRPr="00DD13B4" w:rsidRDefault="00B1373D" w:rsidP="00FD4EFE">
      <w:pPr>
        <w:pStyle w:val="Body"/>
      </w:pPr>
      <w:r w:rsidRPr="00DD13B4">
        <w:t>Other</w:t>
      </w:r>
      <w:r w:rsidR="001517EB" w:rsidRPr="00DD13B4">
        <w:t xml:space="preserve"> confidentiality related incidents were due to</w:t>
      </w:r>
      <w:r w:rsidR="00014EBF" w:rsidRPr="00DD13B4">
        <w:t xml:space="preserve">: </w:t>
      </w:r>
      <w:r w:rsidR="001517EB" w:rsidRPr="00DD13B4">
        <w:t xml:space="preserve"> </w:t>
      </w:r>
    </w:p>
    <w:p w14:paraId="4B33BC81" w14:textId="77777777" w:rsidR="00014EBF" w:rsidRPr="00DD13B4" w:rsidRDefault="00014EBF" w:rsidP="00014EBF">
      <w:pPr>
        <w:pStyle w:val="Body"/>
        <w:numPr>
          <w:ilvl w:val="0"/>
          <w:numId w:val="8"/>
        </w:numPr>
      </w:pPr>
      <w:r w:rsidRPr="00DD13B4">
        <w:t>i</w:t>
      </w:r>
      <w:r w:rsidR="001517EB" w:rsidRPr="00DD13B4">
        <w:t xml:space="preserve">ncorrect access permissions applied to </w:t>
      </w:r>
      <w:r w:rsidR="00B1373D" w:rsidRPr="00DD13B4">
        <w:t xml:space="preserve">folders; </w:t>
      </w:r>
    </w:p>
    <w:p w14:paraId="1613E0AF" w14:textId="77777777" w:rsidR="004C2553" w:rsidRPr="00DD13B4" w:rsidRDefault="00B1373D" w:rsidP="00014EBF">
      <w:pPr>
        <w:pStyle w:val="Body"/>
        <w:numPr>
          <w:ilvl w:val="0"/>
          <w:numId w:val="8"/>
        </w:numPr>
      </w:pPr>
      <w:r w:rsidRPr="00DD13B4">
        <w:t xml:space="preserve">misconfiguration of systems; </w:t>
      </w:r>
    </w:p>
    <w:p w14:paraId="395EE284" w14:textId="77777777" w:rsidR="004C2553" w:rsidRPr="00DD13B4" w:rsidRDefault="0025152F" w:rsidP="00014EBF">
      <w:pPr>
        <w:pStyle w:val="Body"/>
        <w:numPr>
          <w:ilvl w:val="0"/>
          <w:numId w:val="8"/>
        </w:numPr>
      </w:pPr>
      <w:r w:rsidRPr="00DD13B4">
        <w:t xml:space="preserve">oversharing information in meetings or over the phone; </w:t>
      </w:r>
    </w:p>
    <w:p w14:paraId="013FEF36" w14:textId="77777777" w:rsidR="004C2553" w:rsidRPr="00DD13B4" w:rsidRDefault="0025152F" w:rsidP="00014EBF">
      <w:pPr>
        <w:pStyle w:val="Body"/>
        <w:numPr>
          <w:ilvl w:val="0"/>
          <w:numId w:val="8"/>
        </w:numPr>
      </w:pPr>
      <w:r w:rsidRPr="00DD13B4">
        <w:t xml:space="preserve">inappropriate access to systems for personal use; </w:t>
      </w:r>
    </w:p>
    <w:p w14:paraId="06BC3807" w14:textId="77777777" w:rsidR="004C2553" w:rsidRPr="00DD13B4" w:rsidRDefault="0025152F" w:rsidP="00014EBF">
      <w:pPr>
        <w:pStyle w:val="Body"/>
        <w:numPr>
          <w:ilvl w:val="0"/>
          <w:numId w:val="8"/>
        </w:numPr>
      </w:pPr>
      <w:r w:rsidRPr="00DD13B4">
        <w:t>not checking redacted documents before releasing</w:t>
      </w:r>
      <w:r w:rsidR="001603C8" w:rsidRPr="00DD13B4">
        <w:t>;</w:t>
      </w:r>
      <w:r w:rsidRPr="00DD13B4">
        <w:t xml:space="preserve"> </w:t>
      </w:r>
    </w:p>
    <w:p w14:paraId="6EDFE3D9" w14:textId="77777777" w:rsidR="004C2553" w:rsidRPr="00DD13B4" w:rsidRDefault="0025152F" w:rsidP="00014EBF">
      <w:pPr>
        <w:pStyle w:val="Body"/>
        <w:numPr>
          <w:ilvl w:val="0"/>
          <w:numId w:val="8"/>
        </w:numPr>
      </w:pPr>
      <w:r w:rsidRPr="00DD13B4">
        <w:t>sharing filled in templates instead of blank forms</w:t>
      </w:r>
      <w:r w:rsidR="004C2553" w:rsidRPr="00DD13B4">
        <w:t>;</w:t>
      </w:r>
      <w:r w:rsidR="001603C8" w:rsidRPr="00DD13B4">
        <w:t xml:space="preserve"> and </w:t>
      </w:r>
    </w:p>
    <w:p w14:paraId="5837FF5C" w14:textId="7E85D240" w:rsidR="00E50E41" w:rsidRPr="00DD13B4" w:rsidRDefault="001603C8" w:rsidP="00014EBF">
      <w:pPr>
        <w:pStyle w:val="Body"/>
        <w:numPr>
          <w:ilvl w:val="0"/>
          <w:numId w:val="8"/>
        </w:numPr>
      </w:pPr>
      <w:r w:rsidRPr="00DD13B4">
        <w:t>applying workarounds e.g.</w:t>
      </w:r>
      <w:r w:rsidR="00F43DED" w:rsidRPr="00DD13B4">
        <w:t>,</w:t>
      </w:r>
      <w:r w:rsidRPr="00DD13B4">
        <w:t xml:space="preserve"> using personal email accounts when work supplied systems do not work</w:t>
      </w:r>
      <w:r w:rsidR="001517EB" w:rsidRPr="00DD13B4">
        <w:t>.</w:t>
      </w:r>
      <w:r w:rsidR="00E50E41" w:rsidRPr="00DD13B4">
        <w:t xml:space="preserve"> </w:t>
      </w:r>
    </w:p>
    <w:p w14:paraId="74B6EE46" w14:textId="6CABAD23" w:rsidR="00695D85" w:rsidRPr="00DD13B4" w:rsidRDefault="0025152F" w:rsidP="00FD4EFE">
      <w:pPr>
        <w:pStyle w:val="Body"/>
      </w:pPr>
      <w:r w:rsidRPr="00DD13B4">
        <w:t>Most of the incidents affecting the integrity of information were due to incorrect linking of records in databases or input of wrong data</w:t>
      </w:r>
      <w:r w:rsidR="00071B45" w:rsidRPr="00DD13B4">
        <w:t xml:space="preserve"> e.g.</w:t>
      </w:r>
      <w:r w:rsidR="00F43DED" w:rsidRPr="00DD13B4">
        <w:t>,</w:t>
      </w:r>
      <w:r w:rsidR="00071B45" w:rsidRPr="00DD13B4">
        <w:t xml:space="preserve"> wrong suburb in an address field</w:t>
      </w:r>
      <w:r w:rsidR="00AA69CD" w:rsidRPr="00DD13B4">
        <w:t xml:space="preserve">. </w:t>
      </w:r>
    </w:p>
    <w:p w14:paraId="267B2DA9" w14:textId="30EF6CF5" w:rsidR="00071B45" w:rsidRPr="00DD13B4" w:rsidRDefault="00071B45" w:rsidP="00071B45">
      <w:pPr>
        <w:pStyle w:val="Body"/>
      </w:pPr>
      <w:r w:rsidRPr="00DD13B4">
        <w:lastRenderedPageBreak/>
        <w:t xml:space="preserve">There were occasions where multiple attributes were selected. For example, the reason for the disclosure of the information (confidentiality) was due to incorrect data on the record or file (integrity) or the information being sent to the incorrect recipient (confidentiality) meant that the right recipient didn’t receive their information in a timely manner (availability). </w:t>
      </w:r>
    </w:p>
    <w:p w14:paraId="58049979" w14:textId="5407187A" w:rsidR="004B08BD" w:rsidRDefault="004B08BD">
      <w:pPr>
        <w:rPr>
          <w:rFonts w:ascii="Calibri" w:eastAsia="Calibri" w:hAnsi="Calibri" w:cs="PostGrotesk-Medium"/>
          <w:color w:val="430098"/>
          <w:sz w:val="24"/>
          <w:szCs w:val="24"/>
          <w:lang w:val="en-GB"/>
        </w:rPr>
      </w:pPr>
    </w:p>
    <w:p w14:paraId="33938D7B" w14:textId="77777777" w:rsidR="005C27D2" w:rsidRDefault="005C27D2">
      <w:pPr>
        <w:rPr>
          <w:rFonts w:ascii="Calibri" w:eastAsia="Calibri" w:hAnsi="Calibri" w:cs="PostGrotesk-Medium"/>
          <w:color w:val="430098"/>
          <w:sz w:val="24"/>
          <w:szCs w:val="24"/>
          <w:lang w:val="en-GB"/>
        </w:rPr>
      </w:pPr>
      <w:r>
        <w:rPr>
          <w:sz w:val="24"/>
          <w:szCs w:val="24"/>
        </w:rPr>
        <w:br w:type="page"/>
      </w:r>
    </w:p>
    <w:p w14:paraId="01B37949" w14:textId="77777777" w:rsidR="00D65DCB" w:rsidRDefault="00D65DCB" w:rsidP="00D65DCB">
      <w:pPr>
        <w:pStyle w:val="SectionHeading1"/>
        <w:rPr>
          <w:sz w:val="24"/>
          <w:szCs w:val="24"/>
        </w:rPr>
      </w:pPr>
      <w:r>
        <w:rPr>
          <w:sz w:val="24"/>
          <w:szCs w:val="24"/>
        </w:rPr>
        <w:lastRenderedPageBreak/>
        <w:t>Introduction of three new fields</w:t>
      </w:r>
    </w:p>
    <w:p w14:paraId="58D7AA1E" w14:textId="77777777" w:rsidR="00D649D0" w:rsidRDefault="00992DD2" w:rsidP="00D65DCB">
      <w:pPr>
        <w:pStyle w:val="Body"/>
      </w:pPr>
      <w:r>
        <w:t xml:space="preserve">We introduced three new fields in this reporting period: </w:t>
      </w:r>
    </w:p>
    <w:p w14:paraId="767C9A30" w14:textId="63521E6A" w:rsidR="00D649D0" w:rsidRPr="00DD13B4" w:rsidRDefault="00D65DCB" w:rsidP="005F282F">
      <w:pPr>
        <w:pStyle w:val="Body"/>
        <w:numPr>
          <w:ilvl w:val="0"/>
          <w:numId w:val="9"/>
        </w:numPr>
        <w:rPr>
          <w:b/>
          <w:bCs/>
        </w:rPr>
      </w:pPr>
      <w:r w:rsidRPr="00DD13B4">
        <w:rPr>
          <w:b/>
          <w:bCs/>
        </w:rPr>
        <w:t>controls area(s)</w:t>
      </w:r>
      <w:r w:rsidR="00D649D0" w:rsidRPr="00DD13B4">
        <w:rPr>
          <w:b/>
          <w:bCs/>
        </w:rPr>
        <w:t>;</w:t>
      </w:r>
    </w:p>
    <w:p w14:paraId="38072C44" w14:textId="3A3B6709" w:rsidR="00D649D0" w:rsidRDefault="00D65DCB" w:rsidP="005F282F">
      <w:pPr>
        <w:pStyle w:val="Body"/>
        <w:numPr>
          <w:ilvl w:val="0"/>
          <w:numId w:val="9"/>
        </w:numPr>
      </w:pPr>
      <w:r w:rsidRPr="00DD13B4">
        <w:rPr>
          <w:b/>
          <w:bCs/>
        </w:rPr>
        <w:t>threat actor(s)</w:t>
      </w:r>
      <w:r w:rsidR="00D649D0" w:rsidRPr="00DD13B4">
        <w:rPr>
          <w:b/>
          <w:bCs/>
        </w:rPr>
        <w:t>;</w:t>
      </w:r>
      <w:r>
        <w:t xml:space="preserve"> and </w:t>
      </w:r>
    </w:p>
    <w:p w14:paraId="58433EF1" w14:textId="6C0D4D3B" w:rsidR="00D649D0" w:rsidRDefault="00D65DCB" w:rsidP="005F282F">
      <w:pPr>
        <w:pStyle w:val="Body"/>
        <w:numPr>
          <w:ilvl w:val="0"/>
          <w:numId w:val="9"/>
        </w:numPr>
      </w:pPr>
      <w:r w:rsidRPr="00DD13B4">
        <w:rPr>
          <w:b/>
          <w:bCs/>
        </w:rPr>
        <w:t>threat type(s)</w:t>
      </w:r>
      <w:r w:rsidR="00992DD2" w:rsidRPr="00DD13B4">
        <w:rPr>
          <w:b/>
          <w:bCs/>
        </w:rPr>
        <w:t>.</w:t>
      </w:r>
      <w:r>
        <w:t xml:space="preserve"> </w:t>
      </w:r>
    </w:p>
    <w:p w14:paraId="5D408B82" w14:textId="41BF0583" w:rsidR="00D65DCB" w:rsidRDefault="00992DD2" w:rsidP="00D649D0">
      <w:pPr>
        <w:pStyle w:val="Body"/>
      </w:pPr>
      <w:r>
        <w:t>We included these new fields as part of the</w:t>
      </w:r>
      <w:r w:rsidR="00D65DCB">
        <w:t xml:space="preserve"> release of the refreshed </w:t>
      </w:r>
      <w:hyperlink r:id="rId18" w:history="1">
        <w:r w:rsidR="00D65DCB" w:rsidRPr="006D120E">
          <w:rPr>
            <w:rStyle w:val="Hyperlink"/>
          </w:rPr>
          <w:t>notification form</w:t>
        </w:r>
      </w:hyperlink>
      <w:r w:rsidR="00D65DCB">
        <w:t xml:space="preserve"> which incorporates previously separate privacy breach and security incident forms. These forms have been consolidated to enable organisations to report once to OVIC and report consistently.</w:t>
      </w:r>
    </w:p>
    <w:p w14:paraId="2FBE41D4" w14:textId="4CA78943" w:rsidR="00D65DCB" w:rsidRDefault="00D65DCB" w:rsidP="00DD13B4">
      <w:pPr>
        <w:pStyle w:val="Body"/>
      </w:pPr>
      <w:r>
        <w:t xml:space="preserve">The introduction of the three new fields </w:t>
      </w:r>
      <w:proofErr w:type="gramStart"/>
      <w:r>
        <w:t>provide</w:t>
      </w:r>
      <w:proofErr w:type="gramEnd"/>
      <w:r>
        <w:t xml:space="preserve"> an at-a-glance view of key causal factors of security incidents.</w:t>
      </w:r>
    </w:p>
    <w:p w14:paraId="273D32AC" w14:textId="5E0BA8BF" w:rsidR="00CB19CB" w:rsidRDefault="006D120E" w:rsidP="009D2AB2">
      <w:pPr>
        <w:pStyle w:val="SectionHeading1"/>
        <w:rPr>
          <w:sz w:val="24"/>
          <w:szCs w:val="24"/>
        </w:rPr>
      </w:pPr>
      <w:r>
        <w:rPr>
          <w:sz w:val="24"/>
          <w:szCs w:val="24"/>
        </w:rPr>
        <w:t>Control</w:t>
      </w:r>
      <w:r w:rsidR="009D2AB2" w:rsidRPr="009D2AB2">
        <w:rPr>
          <w:sz w:val="24"/>
          <w:szCs w:val="24"/>
        </w:rPr>
        <w:t xml:space="preserve"> area</w:t>
      </w:r>
      <w:r w:rsidR="00FC7AC3">
        <w:rPr>
          <w:sz w:val="24"/>
          <w:szCs w:val="24"/>
        </w:rPr>
        <w:t>(</w:t>
      </w:r>
      <w:r w:rsidR="009D2AB2" w:rsidRPr="009D2AB2">
        <w:rPr>
          <w:sz w:val="24"/>
          <w:szCs w:val="24"/>
        </w:rPr>
        <w:t>s</w:t>
      </w:r>
      <w:r w:rsidR="00FC7AC3">
        <w:rPr>
          <w:sz w:val="24"/>
          <w:szCs w:val="24"/>
        </w:rPr>
        <w:t>) affected</w:t>
      </w:r>
      <w:r w:rsidR="00D65DCB">
        <w:rPr>
          <w:sz w:val="24"/>
          <w:szCs w:val="24"/>
        </w:rPr>
        <w:t xml:space="preserve"> </w:t>
      </w:r>
    </w:p>
    <w:p w14:paraId="7037404E" w14:textId="3F3070C6" w:rsidR="006D120E" w:rsidRDefault="002E0908" w:rsidP="00E560E6">
      <w:pPr>
        <w:pStyle w:val="Body"/>
        <w:jc w:val="center"/>
      </w:pPr>
      <w:r w:rsidRPr="002E0908">
        <w:drawing>
          <wp:inline distT="0" distB="0" distL="0" distR="0" wp14:anchorId="716C6C0A" wp14:editId="2CC35209">
            <wp:extent cx="5229225" cy="3520151"/>
            <wp:effectExtent l="0" t="0" r="0" b="4445"/>
            <wp:docPr id="14" name="Picture 1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sunburst chart&#10;&#10;Description automatically generated"/>
                    <pic:cNvPicPr/>
                  </pic:nvPicPr>
                  <pic:blipFill>
                    <a:blip r:embed="rId19"/>
                    <a:stretch>
                      <a:fillRect/>
                    </a:stretch>
                  </pic:blipFill>
                  <pic:spPr>
                    <a:xfrm>
                      <a:off x="0" y="0"/>
                      <a:ext cx="5241905" cy="3528687"/>
                    </a:xfrm>
                    <a:prstGeom prst="rect">
                      <a:avLst/>
                    </a:prstGeom>
                  </pic:spPr>
                </pic:pic>
              </a:graphicData>
            </a:graphic>
          </wp:inline>
        </w:drawing>
      </w:r>
    </w:p>
    <w:p w14:paraId="796400BF" w14:textId="06EBBDEF" w:rsidR="00184C39" w:rsidRPr="00DD13B4" w:rsidRDefault="00184C39" w:rsidP="00FD4EFE">
      <w:pPr>
        <w:pStyle w:val="Body"/>
      </w:pPr>
      <w:r w:rsidRPr="00DD13B4">
        <w:t xml:space="preserve">This is a new field introduced </w:t>
      </w:r>
      <w:r>
        <w:t xml:space="preserve">during this reporting period. </w:t>
      </w:r>
    </w:p>
    <w:p w14:paraId="66C445BA" w14:textId="40BA84B5" w:rsidR="00C4192F" w:rsidRDefault="00D649D0" w:rsidP="00FD4EFE">
      <w:pPr>
        <w:pStyle w:val="Body"/>
      </w:pPr>
      <w:r w:rsidRPr="00DD13B4">
        <w:t>Most</w:t>
      </w:r>
      <w:r>
        <w:rPr>
          <w:b/>
          <w:bCs/>
        </w:rPr>
        <w:t xml:space="preserve"> </w:t>
      </w:r>
      <w:r w:rsidRPr="00DD13B4">
        <w:t>(</w:t>
      </w:r>
      <w:r w:rsidR="00C4192F" w:rsidRPr="00DD13B4">
        <w:rPr>
          <w:b/>
          <w:bCs/>
        </w:rPr>
        <w:t>80%</w:t>
      </w:r>
      <w:r w:rsidRPr="00DD13B4">
        <w:t>)</w:t>
      </w:r>
      <w:r w:rsidR="00C4192F">
        <w:t xml:space="preserve"> incident</w:t>
      </w:r>
      <w:r w:rsidR="004C2553">
        <w:t xml:space="preserve"> notification</w:t>
      </w:r>
      <w:r w:rsidR="00C4192F">
        <w:t xml:space="preserve">s related to </w:t>
      </w:r>
      <w:r w:rsidR="00C4192F" w:rsidRPr="00DD13B4">
        <w:rPr>
          <w:b/>
          <w:bCs/>
        </w:rPr>
        <w:t>people</w:t>
      </w:r>
      <w:r w:rsidR="00C4192F">
        <w:t xml:space="preserve">. This is not surprising as people are behind almost all interactions with information whether it is misdirecting information, misconfiguring </w:t>
      </w:r>
      <w:proofErr w:type="gramStart"/>
      <w:r w:rsidR="00C4192F">
        <w:t>permissions</w:t>
      </w:r>
      <w:proofErr w:type="gramEnd"/>
      <w:r w:rsidR="00C4192F">
        <w:t xml:space="preserve"> or system settings, inputting wrong data or oversharing.</w:t>
      </w:r>
    </w:p>
    <w:p w14:paraId="366B209B" w14:textId="3A43AA4D" w:rsidR="008C7E92" w:rsidRDefault="0072488F" w:rsidP="00FD4EFE">
      <w:pPr>
        <w:pStyle w:val="Body"/>
      </w:pPr>
      <w:r w:rsidRPr="00DD13B4">
        <w:t>Fifteen per cent</w:t>
      </w:r>
      <w:r>
        <w:rPr>
          <w:b/>
          <w:bCs/>
        </w:rPr>
        <w:t xml:space="preserve"> </w:t>
      </w:r>
      <w:r w:rsidRPr="00DD13B4">
        <w:t>(</w:t>
      </w:r>
      <w:r w:rsidR="008C7E92" w:rsidRPr="00DD13B4">
        <w:rPr>
          <w:b/>
          <w:bCs/>
        </w:rPr>
        <w:t>15%</w:t>
      </w:r>
      <w:r w:rsidRPr="00DD13B4">
        <w:t>)</w:t>
      </w:r>
      <w:r w:rsidR="008C7E92">
        <w:t xml:space="preserve"> of incident</w:t>
      </w:r>
      <w:r w:rsidR="004C2553">
        <w:t xml:space="preserve"> notification</w:t>
      </w:r>
      <w:r w:rsidR="008C7E92">
        <w:t xml:space="preserve">s indicated process failures and </w:t>
      </w:r>
      <w:r w:rsidR="008C7E92" w:rsidRPr="00DD13B4">
        <w:rPr>
          <w:b/>
          <w:bCs/>
        </w:rPr>
        <w:t>6%</w:t>
      </w:r>
      <w:r w:rsidR="008C7E92">
        <w:t xml:space="preserve"> </w:t>
      </w:r>
      <w:r>
        <w:t xml:space="preserve">indicated </w:t>
      </w:r>
      <w:r w:rsidR="00D81E14">
        <w:t xml:space="preserve">failures in </w:t>
      </w:r>
      <w:r w:rsidR="008C7E92">
        <w:t>technology.</w:t>
      </w:r>
    </w:p>
    <w:p w14:paraId="10FE6365" w14:textId="77777777" w:rsidR="002E0908" w:rsidRDefault="002E0908" w:rsidP="008C7E92">
      <w:pPr>
        <w:pStyle w:val="Body"/>
        <w:rPr>
          <w:b/>
          <w:bCs/>
        </w:rPr>
      </w:pPr>
    </w:p>
    <w:p w14:paraId="72E1A655" w14:textId="2CC15C4B" w:rsidR="0030030E" w:rsidRPr="00167781" w:rsidRDefault="00CB19CB" w:rsidP="008C7E92">
      <w:pPr>
        <w:pStyle w:val="Body"/>
      </w:pPr>
      <w:r w:rsidRPr="0019098D">
        <w:rPr>
          <w:b/>
          <w:bCs/>
        </w:rPr>
        <w:lastRenderedPageBreak/>
        <w:t>Take</w:t>
      </w:r>
      <w:r w:rsidR="001D7701">
        <w:rPr>
          <w:b/>
          <w:bCs/>
        </w:rPr>
        <w:t>-</w:t>
      </w:r>
      <w:r w:rsidRPr="0019098D">
        <w:rPr>
          <w:b/>
          <w:bCs/>
        </w:rPr>
        <w:t>out:</w:t>
      </w:r>
      <w:r>
        <w:t xml:space="preserve"> </w:t>
      </w:r>
      <w:r w:rsidR="007001D0">
        <w:br/>
      </w:r>
      <w:r w:rsidR="0030030E" w:rsidRPr="00DD13B4">
        <w:t>The key causal factors of security incidents are people</w:t>
      </w:r>
      <w:r w:rsidR="00167781">
        <w:t>;</w:t>
      </w:r>
      <w:r w:rsidR="0030030E" w:rsidRPr="00DD13B4">
        <w:t xml:space="preserve"> interna</w:t>
      </w:r>
      <w:r w:rsidR="0030030E" w:rsidRPr="00167781">
        <w:t>l</w:t>
      </w:r>
      <w:r w:rsidR="00167781">
        <w:t xml:space="preserve">; </w:t>
      </w:r>
      <w:r w:rsidR="0072488F">
        <w:t>and</w:t>
      </w:r>
      <w:r w:rsidR="0030030E" w:rsidRPr="00167781">
        <w:t xml:space="preserve"> accidental.</w:t>
      </w:r>
      <w:r w:rsidR="00771A1B" w:rsidRPr="00167781">
        <w:t xml:space="preserve"> For example, staff accidentally sending emails to incorrect recipients.</w:t>
      </w:r>
    </w:p>
    <w:p w14:paraId="54D54281" w14:textId="11548792" w:rsidR="008C7E92" w:rsidRPr="00167781" w:rsidRDefault="008C7E92" w:rsidP="008C7E92">
      <w:pPr>
        <w:pStyle w:val="Body"/>
      </w:pPr>
      <w:r w:rsidRPr="00167781">
        <w:t>There were occasions where multiple control areas were selected. For example,</w:t>
      </w:r>
      <w:r w:rsidR="0011136D" w:rsidRPr="00167781">
        <w:t xml:space="preserve"> a staff member (</w:t>
      </w:r>
      <w:r w:rsidR="0011136D" w:rsidRPr="00167781">
        <w:rPr>
          <w:b/>
          <w:bCs/>
        </w:rPr>
        <w:t>people</w:t>
      </w:r>
      <w:r w:rsidR="0011136D" w:rsidRPr="00167781">
        <w:t>) sent information to the incorrect customer because the accounts matching process was set to match two pieces of information instead of three or more (</w:t>
      </w:r>
      <w:r w:rsidR="0011136D" w:rsidRPr="00167781">
        <w:rPr>
          <w:b/>
          <w:bCs/>
        </w:rPr>
        <w:t>process</w:t>
      </w:r>
      <w:r w:rsidR="0011136D" w:rsidRPr="00167781">
        <w:t>).</w:t>
      </w:r>
    </w:p>
    <w:p w14:paraId="13535DB6" w14:textId="53C52848" w:rsidR="00FC7AC3" w:rsidRDefault="008C7E92" w:rsidP="008C7E92">
      <w:pPr>
        <w:pStyle w:val="Body"/>
        <w:rPr>
          <w:rFonts w:cs="PostGrotesk-Medium"/>
          <w:color w:val="430098"/>
          <w:sz w:val="24"/>
          <w:szCs w:val="24"/>
        </w:rPr>
      </w:pPr>
      <w:r w:rsidRPr="00167781">
        <w:t>The introduction of this field enables organisations to identify where current controls are not operating effectively</w:t>
      </w:r>
      <w:r w:rsidR="002B7FC1" w:rsidRPr="00167781">
        <w:t xml:space="preserve"> and where attention is required. These </w:t>
      </w:r>
      <w:r w:rsidR="00A401DB" w:rsidRPr="00167781">
        <w:t xml:space="preserve">learnings </w:t>
      </w:r>
      <w:r w:rsidR="002B7FC1" w:rsidRPr="00167781">
        <w:t xml:space="preserve">can be fed into the post incident review </w:t>
      </w:r>
      <w:r w:rsidR="004C2553" w:rsidRPr="00167781">
        <w:t>or</w:t>
      </w:r>
      <w:r w:rsidR="002B7FC1" w:rsidRPr="00167781">
        <w:t xml:space="preserve"> risk monitoring and review cycle to ensure</w:t>
      </w:r>
      <w:r w:rsidR="00A401DB" w:rsidRPr="00167781">
        <w:t xml:space="preserve"> gaps are actioned and</w:t>
      </w:r>
      <w:r w:rsidR="002B7FC1" w:rsidRPr="00167781">
        <w:t xml:space="preserve"> risk treatments are adequate and prioritised.</w:t>
      </w:r>
      <w:r w:rsidR="00A401DB" w:rsidRPr="00167781">
        <w:t xml:space="preserve"> </w:t>
      </w:r>
      <w:r w:rsidR="002B7FC1" w:rsidRPr="00167781">
        <w:t xml:space="preserve">For example, where incidents related to </w:t>
      </w:r>
      <w:r w:rsidR="002B7FC1" w:rsidRPr="00167781">
        <w:rPr>
          <w:b/>
          <w:bCs/>
        </w:rPr>
        <w:t>people</w:t>
      </w:r>
      <w:r w:rsidR="002B7FC1" w:rsidRPr="00167781">
        <w:t xml:space="preserve"> continue to occur, an organisation may prioritise </w:t>
      </w:r>
      <w:r w:rsidR="008848E7" w:rsidRPr="00167781">
        <w:t xml:space="preserve">staff training </w:t>
      </w:r>
      <w:r w:rsidR="00A401DB" w:rsidRPr="00167781">
        <w:t xml:space="preserve">or review of the process </w:t>
      </w:r>
      <w:r w:rsidR="008848E7" w:rsidRPr="00167781">
        <w:t>over technology investment.</w:t>
      </w:r>
      <w:r w:rsidR="00FC7AC3">
        <w:rPr>
          <w:sz w:val="24"/>
          <w:szCs w:val="24"/>
        </w:rPr>
        <w:br w:type="page"/>
      </w:r>
    </w:p>
    <w:p w14:paraId="22504FD7" w14:textId="7ED13A1C" w:rsidR="006D120E" w:rsidRDefault="00FC7AC3" w:rsidP="006D120E">
      <w:pPr>
        <w:pStyle w:val="SectionHeading1"/>
        <w:rPr>
          <w:sz w:val="24"/>
          <w:szCs w:val="24"/>
        </w:rPr>
      </w:pPr>
      <w:r>
        <w:rPr>
          <w:sz w:val="24"/>
          <w:szCs w:val="24"/>
        </w:rPr>
        <w:lastRenderedPageBreak/>
        <w:t>Threat actor(s)</w:t>
      </w:r>
      <w:r w:rsidR="00D65DCB">
        <w:rPr>
          <w:sz w:val="24"/>
          <w:szCs w:val="24"/>
        </w:rPr>
        <w:t xml:space="preserve"> </w:t>
      </w:r>
    </w:p>
    <w:p w14:paraId="5527243A" w14:textId="21987543" w:rsidR="006D120E" w:rsidRDefault="002E0908" w:rsidP="006D120E">
      <w:pPr>
        <w:pStyle w:val="Body"/>
        <w:jc w:val="center"/>
      </w:pPr>
      <w:r w:rsidRPr="002E0908">
        <w:drawing>
          <wp:inline distT="0" distB="0" distL="0" distR="0" wp14:anchorId="7D483D45" wp14:editId="68E177E4">
            <wp:extent cx="5276850" cy="3308023"/>
            <wp:effectExtent l="0" t="0" r="0" b="6985"/>
            <wp:docPr id="15" name="Picture 15"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sunburst chart&#10;&#10;Description automatically generated"/>
                    <pic:cNvPicPr/>
                  </pic:nvPicPr>
                  <pic:blipFill>
                    <a:blip r:embed="rId20"/>
                    <a:stretch>
                      <a:fillRect/>
                    </a:stretch>
                  </pic:blipFill>
                  <pic:spPr>
                    <a:xfrm>
                      <a:off x="0" y="0"/>
                      <a:ext cx="5290544" cy="3316608"/>
                    </a:xfrm>
                    <a:prstGeom prst="rect">
                      <a:avLst/>
                    </a:prstGeom>
                  </pic:spPr>
                </pic:pic>
              </a:graphicData>
            </a:graphic>
          </wp:inline>
        </w:drawing>
      </w:r>
    </w:p>
    <w:p w14:paraId="15FB5AEA" w14:textId="77777777" w:rsidR="00184C39" w:rsidRPr="00167781" w:rsidRDefault="00184C39" w:rsidP="00184C39">
      <w:pPr>
        <w:pStyle w:val="Body"/>
      </w:pPr>
      <w:r w:rsidRPr="00167781">
        <w:t xml:space="preserve">This is a new field introduced during this reporting period. </w:t>
      </w:r>
    </w:p>
    <w:p w14:paraId="3FA3FEF0" w14:textId="06EDC219" w:rsidR="00B00DFF" w:rsidRDefault="00B528C5" w:rsidP="00FC7AC3">
      <w:pPr>
        <w:pStyle w:val="Body"/>
      </w:pPr>
      <w:r w:rsidRPr="00167781">
        <w:t>The majority</w:t>
      </w:r>
      <w:r>
        <w:rPr>
          <w:b/>
          <w:bCs/>
        </w:rPr>
        <w:t xml:space="preserve"> </w:t>
      </w:r>
      <w:r w:rsidRPr="00167781">
        <w:t>(</w:t>
      </w:r>
      <w:r w:rsidR="00B00DFF" w:rsidRPr="00167781">
        <w:rPr>
          <w:b/>
          <w:bCs/>
        </w:rPr>
        <w:t>77%</w:t>
      </w:r>
      <w:r w:rsidRPr="00167781">
        <w:t>)</w:t>
      </w:r>
      <w:r w:rsidR="00B00DFF">
        <w:t xml:space="preserve"> of incident</w:t>
      </w:r>
      <w:r w:rsidR="004C2553">
        <w:t xml:space="preserve"> notification</w:t>
      </w:r>
      <w:r w:rsidR="00B00DFF">
        <w:t>s related to internal staff</w:t>
      </w:r>
      <w:r w:rsidR="00B14FD7">
        <w:t xml:space="preserve"> and </w:t>
      </w:r>
      <w:r w:rsidR="00B14FD7" w:rsidRPr="00167781">
        <w:rPr>
          <w:b/>
          <w:bCs/>
        </w:rPr>
        <w:t>13%</w:t>
      </w:r>
      <w:r w:rsidR="00B14FD7">
        <w:t xml:space="preserve"> related to authorised third parties such as contracted service providers. A smaller percentage (</w:t>
      </w:r>
      <w:r w:rsidR="00B14FD7" w:rsidRPr="00167781">
        <w:rPr>
          <w:b/>
          <w:bCs/>
        </w:rPr>
        <w:t>7%</w:t>
      </w:r>
      <w:r w:rsidR="00B14FD7">
        <w:t>) account for external threat actors e.g., scammers, hackers, who are outside the control of the organisation.</w:t>
      </w:r>
    </w:p>
    <w:p w14:paraId="7F5EB608" w14:textId="527919AF" w:rsidR="00B14FD7" w:rsidRDefault="00B14FD7" w:rsidP="00FC7AC3">
      <w:pPr>
        <w:pStyle w:val="Body"/>
      </w:pPr>
      <w:r>
        <w:t xml:space="preserve">There were </w:t>
      </w:r>
      <w:r w:rsidRPr="00167781">
        <w:rPr>
          <w:b/>
          <w:bCs/>
        </w:rPr>
        <w:t>4%</w:t>
      </w:r>
      <w:r>
        <w:t xml:space="preserve"> of notifications where the threat actor could not be ascertained.</w:t>
      </w:r>
    </w:p>
    <w:p w14:paraId="04BF8B11" w14:textId="45153DBF" w:rsidR="0030030E" w:rsidRPr="00167781" w:rsidRDefault="006D120E" w:rsidP="006D120E">
      <w:pPr>
        <w:pStyle w:val="Body"/>
      </w:pPr>
      <w:r w:rsidRPr="00A50870">
        <w:rPr>
          <w:b/>
          <w:bCs/>
        </w:rPr>
        <w:t>Take</w:t>
      </w:r>
      <w:r>
        <w:rPr>
          <w:b/>
          <w:bCs/>
        </w:rPr>
        <w:t>-</w:t>
      </w:r>
      <w:r w:rsidRPr="00A50870">
        <w:rPr>
          <w:b/>
          <w:bCs/>
        </w:rPr>
        <w:t>out:</w:t>
      </w:r>
      <w:r>
        <w:t xml:space="preserve"> </w:t>
      </w:r>
      <w:r>
        <w:br/>
      </w:r>
      <w:r w:rsidR="0030030E" w:rsidRPr="00167781">
        <w:t>The key causal factors of security incidents are people</w:t>
      </w:r>
      <w:r w:rsidR="00167781">
        <w:t>;</w:t>
      </w:r>
      <w:r w:rsidR="0030030E" w:rsidRPr="00167781">
        <w:t xml:space="preserve"> internal</w:t>
      </w:r>
      <w:r w:rsidR="00167781">
        <w:t>;</w:t>
      </w:r>
      <w:r w:rsidR="0030030E" w:rsidRPr="00167781">
        <w:t xml:space="preserve"> </w:t>
      </w:r>
      <w:r w:rsidR="0072488F">
        <w:t xml:space="preserve">and </w:t>
      </w:r>
      <w:r w:rsidR="0030030E" w:rsidRPr="00167781">
        <w:t>accidental.</w:t>
      </w:r>
    </w:p>
    <w:p w14:paraId="427A9A8F" w14:textId="09A580B6" w:rsidR="006D120E" w:rsidRPr="00167781" w:rsidRDefault="002D3130" w:rsidP="006D120E">
      <w:pPr>
        <w:pStyle w:val="Body"/>
      </w:pPr>
      <w:r w:rsidRPr="00167781">
        <w:t xml:space="preserve">Since </w:t>
      </w:r>
      <w:r w:rsidR="003561F1" w:rsidRPr="00167781">
        <w:t>the majority (</w:t>
      </w:r>
      <w:r w:rsidR="003561F1" w:rsidRPr="00167781">
        <w:rPr>
          <w:b/>
          <w:bCs/>
        </w:rPr>
        <w:t>90%</w:t>
      </w:r>
      <w:r w:rsidR="003561F1" w:rsidRPr="00167781">
        <w:t xml:space="preserve">) of incidents </w:t>
      </w:r>
      <w:r w:rsidRPr="00167781">
        <w:t xml:space="preserve">are </w:t>
      </w:r>
      <w:r w:rsidR="003561F1" w:rsidRPr="00167781">
        <w:t xml:space="preserve">caused by </w:t>
      </w:r>
      <w:r w:rsidRPr="00167781">
        <w:t xml:space="preserve">threat actors within the organisation’s closer control </w:t>
      </w:r>
      <w:r w:rsidR="0072488F">
        <w:t>e</w:t>
      </w:r>
      <w:r w:rsidRPr="00167781">
        <w:t>.</w:t>
      </w:r>
      <w:r w:rsidR="0072488F">
        <w:t>g</w:t>
      </w:r>
      <w:r w:rsidRPr="00167781">
        <w:t xml:space="preserve">., </w:t>
      </w:r>
      <w:r w:rsidR="003561F1" w:rsidRPr="00167781">
        <w:t>internal staff or authorised third parties, organisations have a</w:t>
      </w:r>
      <w:r w:rsidR="003A5423" w:rsidRPr="00167781">
        <w:t xml:space="preserve">n opportunity </w:t>
      </w:r>
      <w:r w:rsidR="003561F1" w:rsidRPr="00167781">
        <w:t xml:space="preserve">to improve their controls to minimise these exposures either through stronger personnel security practices, better </w:t>
      </w:r>
      <w:r w:rsidRPr="00167781">
        <w:t>training</w:t>
      </w:r>
      <w:r w:rsidR="003561F1" w:rsidRPr="00167781">
        <w:t xml:space="preserve"> and awareness, updated </w:t>
      </w:r>
      <w:proofErr w:type="gramStart"/>
      <w:r w:rsidR="003561F1" w:rsidRPr="00167781">
        <w:t>policies</w:t>
      </w:r>
      <w:proofErr w:type="gramEnd"/>
      <w:r w:rsidR="003561F1" w:rsidRPr="00167781">
        <w:t xml:space="preserve"> and procedures, or </w:t>
      </w:r>
      <w:r w:rsidR="003A5423" w:rsidRPr="00167781">
        <w:t>revised third party arrangements</w:t>
      </w:r>
      <w:r w:rsidR="006D120E" w:rsidRPr="00167781">
        <w:t>.</w:t>
      </w:r>
    </w:p>
    <w:p w14:paraId="017A2161" w14:textId="77777777" w:rsidR="00FC7AC3" w:rsidRDefault="00FC7AC3">
      <w:pPr>
        <w:rPr>
          <w:rFonts w:ascii="Calibri" w:eastAsia="Calibri" w:hAnsi="Calibri" w:cs="PostGrotesk-Medium"/>
          <w:color w:val="430098"/>
          <w:sz w:val="24"/>
          <w:szCs w:val="24"/>
          <w:lang w:val="en-GB"/>
        </w:rPr>
      </w:pPr>
      <w:r>
        <w:rPr>
          <w:sz w:val="24"/>
          <w:szCs w:val="24"/>
        </w:rPr>
        <w:br w:type="page"/>
      </w:r>
    </w:p>
    <w:p w14:paraId="7503E4E2" w14:textId="08569366" w:rsidR="00FC7AC3" w:rsidRDefault="00FC7AC3" w:rsidP="00FC7AC3">
      <w:pPr>
        <w:pStyle w:val="SectionHeading1"/>
        <w:rPr>
          <w:sz w:val="24"/>
          <w:szCs w:val="24"/>
        </w:rPr>
      </w:pPr>
      <w:r>
        <w:rPr>
          <w:sz w:val="24"/>
          <w:szCs w:val="24"/>
        </w:rPr>
        <w:lastRenderedPageBreak/>
        <w:t>Threat type(s)</w:t>
      </w:r>
      <w:r w:rsidR="00D65DCB">
        <w:rPr>
          <w:sz w:val="24"/>
          <w:szCs w:val="24"/>
        </w:rPr>
        <w:t xml:space="preserve"> </w:t>
      </w:r>
    </w:p>
    <w:p w14:paraId="3170BB85" w14:textId="10B3C108" w:rsidR="00FC7AC3" w:rsidRDefault="002E0908" w:rsidP="00071490">
      <w:pPr>
        <w:pStyle w:val="SectionHeading1"/>
        <w:jc w:val="center"/>
        <w:rPr>
          <w:sz w:val="24"/>
          <w:szCs w:val="24"/>
        </w:rPr>
      </w:pPr>
      <w:r w:rsidRPr="002E0908">
        <w:rPr>
          <w:sz w:val="24"/>
          <w:szCs w:val="24"/>
        </w:rPr>
        <w:drawing>
          <wp:inline distT="0" distB="0" distL="0" distR="0" wp14:anchorId="303E9DB2" wp14:editId="34AF7150">
            <wp:extent cx="5305425" cy="3606126"/>
            <wp:effectExtent l="0" t="0" r="0" b="0"/>
            <wp:docPr id="16" name="Picture 1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sunburst chart&#10;&#10;Description automatically generated"/>
                    <pic:cNvPicPr/>
                  </pic:nvPicPr>
                  <pic:blipFill>
                    <a:blip r:embed="rId21"/>
                    <a:stretch>
                      <a:fillRect/>
                    </a:stretch>
                  </pic:blipFill>
                  <pic:spPr>
                    <a:xfrm>
                      <a:off x="0" y="0"/>
                      <a:ext cx="5316052" cy="3613349"/>
                    </a:xfrm>
                    <a:prstGeom prst="rect">
                      <a:avLst/>
                    </a:prstGeom>
                  </pic:spPr>
                </pic:pic>
              </a:graphicData>
            </a:graphic>
          </wp:inline>
        </w:drawing>
      </w:r>
    </w:p>
    <w:p w14:paraId="1CBD86FE" w14:textId="06A949C9" w:rsidR="00184C39" w:rsidRPr="00167781" w:rsidRDefault="00184C39" w:rsidP="00FC7AC3">
      <w:pPr>
        <w:pStyle w:val="Body"/>
      </w:pPr>
      <w:r w:rsidRPr="00167781">
        <w:t xml:space="preserve">This is a new field introduced during this reporting period. </w:t>
      </w:r>
    </w:p>
    <w:p w14:paraId="4B4BB9D3" w14:textId="65770AC3" w:rsidR="0030030E" w:rsidRDefault="0072488F" w:rsidP="00FC7AC3">
      <w:pPr>
        <w:pStyle w:val="Body"/>
      </w:pPr>
      <w:r w:rsidRPr="00167781">
        <w:t>Most</w:t>
      </w:r>
      <w:r>
        <w:rPr>
          <w:b/>
          <w:bCs/>
        </w:rPr>
        <w:t xml:space="preserve"> </w:t>
      </w:r>
      <w:r w:rsidRPr="00167781">
        <w:t>(</w:t>
      </w:r>
      <w:r w:rsidR="00771A1B" w:rsidRPr="00167781">
        <w:rPr>
          <w:b/>
          <w:bCs/>
        </w:rPr>
        <w:t>84%</w:t>
      </w:r>
      <w:r w:rsidRPr="00167781">
        <w:t>)</w:t>
      </w:r>
      <w:r w:rsidR="00771A1B">
        <w:t xml:space="preserve"> incident</w:t>
      </w:r>
      <w:r w:rsidR="000161B1">
        <w:t xml:space="preserve"> notification</w:t>
      </w:r>
      <w:r w:rsidR="00771A1B">
        <w:t xml:space="preserve">s related to accidental actions with </w:t>
      </w:r>
      <w:r w:rsidR="00771A1B" w:rsidRPr="00167781">
        <w:rPr>
          <w:b/>
          <w:bCs/>
        </w:rPr>
        <w:t>12%</w:t>
      </w:r>
      <w:r w:rsidR="00771A1B">
        <w:t xml:space="preserve"> </w:t>
      </w:r>
      <w:r w:rsidR="00A87D4C">
        <w:t>accounting for intentional</w:t>
      </w:r>
      <w:r w:rsidR="00947E49">
        <w:t xml:space="preserve"> </w:t>
      </w:r>
      <w:r w:rsidR="00A87D4C">
        <w:t>/ malicious actions by threat actors.</w:t>
      </w:r>
    </w:p>
    <w:p w14:paraId="5B63C912" w14:textId="77777777" w:rsidR="000161B1" w:rsidRDefault="00A87D4C" w:rsidP="00FC7AC3">
      <w:pPr>
        <w:pStyle w:val="Body"/>
      </w:pPr>
      <w:r>
        <w:t>There was one notification related to a weather event (natural)</w:t>
      </w:r>
      <w:r w:rsidR="000161B1">
        <w:t xml:space="preserve">. </w:t>
      </w:r>
    </w:p>
    <w:p w14:paraId="64F9C515" w14:textId="143549FA" w:rsidR="00A87D4C" w:rsidRDefault="000161B1" w:rsidP="00FC7AC3">
      <w:pPr>
        <w:pStyle w:val="Body"/>
      </w:pPr>
      <w:r>
        <w:t>T</w:t>
      </w:r>
      <w:r w:rsidR="00A87D4C">
        <w:t xml:space="preserve">he threat type of </w:t>
      </w:r>
      <w:r w:rsidR="00A87D4C" w:rsidRPr="00167781">
        <w:rPr>
          <w:b/>
          <w:bCs/>
        </w:rPr>
        <w:t>3%</w:t>
      </w:r>
      <w:r w:rsidR="00A87D4C">
        <w:t xml:space="preserve"> of notifications could not be ascertained. </w:t>
      </w:r>
    </w:p>
    <w:p w14:paraId="2F6125C8" w14:textId="48AD9590" w:rsidR="00AF1F54" w:rsidRPr="00167781" w:rsidRDefault="00FC7AC3" w:rsidP="00FC7AC3">
      <w:pPr>
        <w:pStyle w:val="BodyCopy"/>
      </w:pPr>
      <w:r w:rsidRPr="00FC7AC3">
        <w:rPr>
          <w:b/>
          <w:bCs/>
        </w:rPr>
        <w:t>Take-out:</w:t>
      </w:r>
      <w:r>
        <w:t xml:space="preserve"> </w:t>
      </w:r>
      <w:r>
        <w:br/>
      </w:r>
      <w:r w:rsidR="00771A1B" w:rsidRPr="00167781">
        <w:t>The key causal factors of security incidents are people</w:t>
      </w:r>
      <w:r w:rsidR="00167781">
        <w:t>;</w:t>
      </w:r>
      <w:r w:rsidR="00B528C5">
        <w:t xml:space="preserve"> internal</w:t>
      </w:r>
      <w:r w:rsidR="00167781">
        <w:t>;</w:t>
      </w:r>
      <w:r w:rsidR="00B528C5">
        <w:t xml:space="preserve"> and accidental.</w:t>
      </w:r>
    </w:p>
    <w:p w14:paraId="3B58FE9C" w14:textId="7883A0D6" w:rsidR="0072488F" w:rsidRDefault="00075917" w:rsidP="00FC7AC3">
      <w:pPr>
        <w:pStyle w:val="BodyCopy"/>
      </w:pPr>
      <w:r w:rsidRPr="00167781">
        <w:t xml:space="preserve">Where </w:t>
      </w:r>
      <w:r w:rsidR="00E603BF" w:rsidRPr="00167781">
        <w:t>incident</w:t>
      </w:r>
      <w:r w:rsidR="00897E17" w:rsidRPr="00167781">
        <w:t xml:space="preserve"> notification</w:t>
      </w:r>
      <w:r w:rsidR="00E603BF" w:rsidRPr="00167781">
        <w:t xml:space="preserve">s related to </w:t>
      </w:r>
      <w:r w:rsidR="00A87D4C" w:rsidRPr="00167781">
        <w:t xml:space="preserve">malicious </w:t>
      </w:r>
      <w:r w:rsidR="00E603BF" w:rsidRPr="00167781">
        <w:t xml:space="preserve">actions </w:t>
      </w:r>
      <w:r w:rsidRPr="00167781">
        <w:t>as opposed to intentional actions</w:t>
      </w:r>
      <w:r w:rsidR="00F578DB">
        <w:t>,</w:t>
      </w:r>
      <w:r w:rsidRPr="00167781">
        <w:t xml:space="preserve"> </w:t>
      </w:r>
      <w:r w:rsidR="00FB2540" w:rsidRPr="00167781">
        <w:t xml:space="preserve">these </w:t>
      </w:r>
      <w:r w:rsidR="00E603BF" w:rsidRPr="00167781">
        <w:t xml:space="preserve">were </w:t>
      </w:r>
      <w:r w:rsidR="00FB2540" w:rsidRPr="00167781">
        <w:t xml:space="preserve">mostly </w:t>
      </w:r>
      <w:r w:rsidR="00E603BF" w:rsidRPr="00167781">
        <w:t xml:space="preserve">carried out by external threat actors rather than internal staff. </w:t>
      </w:r>
    </w:p>
    <w:p w14:paraId="01B7A490" w14:textId="55C2B0D2" w:rsidR="00A87D4C" w:rsidRPr="00B5220D" w:rsidRDefault="00E603BF" w:rsidP="00FC7AC3">
      <w:pPr>
        <w:pStyle w:val="BodyCopy"/>
      </w:pPr>
      <w:r w:rsidRPr="00167781">
        <w:t>Where internal staff were involved</w:t>
      </w:r>
      <w:r w:rsidR="00FB2540" w:rsidRPr="00167781">
        <w:t xml:space="preserve"> and the intentional</w:t>
      </w:r>
      <w:r w:rsidR="00F578DB">
        <w:t xml:space="preserve"> </w:t>
      </w:r>
      <w:r w:rsidR="00FB2540" w:rsidRPr="00167781">
        <w:t>/ malicious field was selected</w:t>
      </w:r>
      <w:r w:rsidRPr="00167781">
        <w:t xml:space="preserve">, these </w:t>
      </w:r>
      <w:r w:rsidR="00F578DB">
        <w:t>involved</w:t>
      </w:r>
      <w:r w:rsidRPr="00167781">
        <w:t xml:space="preserve"> intentional actions</w:t>
      </w:r>
      <w:r w:rsidR="003F3680" w:rsidRPr="00167781">
        <w:t xml:space="preserve"> rather than malicious reasons</w:t>
      </w:r>
      <w:r w:rsidRPr="00167781">
        <w:t xml:space="preserve"> e.g.</w:t>
      </w:r>
      <w:r w:rsidR="000161B1" w:rsidRPr="00167781">
        <w:t>,</w:t>
      </w:r>
      <w:r w:rsidRPr="00167781">
        <w:t xml:space="preserve"> staff knowingly going against policy to access systems to gather information for personal gain </w:t>
      </w:r>
      <w:r w:rsidR="00F578DB">
        <w:t>to</w:t>
      </w:r>
      <w:r w:rsidR="000161B1" w:rsidRPr="00167781">
        <w:t xml:space="preserve"> check a customer record without legitimate business reason</w:t>
      </w:r>
      <w:r w:rsidRPr="00167781">
        <w:t xml:space="preserve">. </w:t>
      </w:r>
    </w:p>
    <w:p w14:paraId="0C2C8486" w14:textId="6FEAAFDA" w:rsidR="005C27D2" w:rsidRPr="00E17C9D" w:rsidRDefault="00167781" w:rsidP="00075917">
      <w:pPr>
        <w:pStyle w:val="BodyCopy"/>
        <w:rPr>
          <w:rFonts w:ascii="Calibri" w:eastAsia="Calibri" w:hAnsi="Calibri" w:cs="PostGrotesk-Medium"/>
          <w:color w:val="430098"/>
          <w:sz w:val="28"/>
          <w:szCs w:val="28"/>
          <w:lang w:val="en-GB"/>
        </w:rPr>
      </w:pPr>
      <w:r>
        <w:t>T</w:t>
      </w:r>
      <w:r w:rsidR="0072488F">
        <w:t>he</w:t>
      </w:r>
      <w:r w:rsidR="00075917" w:rsidRPr="00167781">
        <w:t xml:space="preserve"> OAIC</w:t>
      </w:r>
      <w:r w:rsidR="005F282F">
        <w:t>’s</w:t>
      </w:r>
      <w:r w:rsidR="00075917" w:rsidRPr="00167781">
        <w:t xml:space="preserve"> </w:t>
      </w:r>
      <w:hyperlink r:id="rId22" w:history="1">
        <w:r w:rsidR="00075917" w:rsidRPr="00167781">
          <w:rPr>
            <w:rStyle w:val="Hyperlink"/>
          </w:rPr>
          <w:t>Notifiable Data Breaches Report: January</w:t>
        </w:r>
        <w:r w:rsidR="00614269">
          <w:rPr>
            <w:rStyle w:val="Hyperlink"/>
          </w:rPr>
          <w:t xml:space="preserve"> </w:t>
        </w:r>
        <w:r w:rsidR="00075917" w:rsidRPr="00167781">
          <w:rPr>
            <w:rStyle w:val="Hyperlink"/>
          </w:rPr>
          <w:t>–</w:t>
        </w:r>
        <w:r w:rsidR="00614269">
          <w:rPr>
            <w:rStyle w:val="Hyperlink"/>
          </w:rPr>
          <w:t xml:space="preserve"> </w:t>
        </w:r>
        <w:r w:rsidR="00075917" w:rsidRPr="00167781">
          <w:rPr>
            <w:rStyle w:val="Hyperlink"/>
          </w:rPr>
          <w:t>June 2021</w:t>
        </w:r>
      </w:hyperlink>
      <w:r w:rsidR="00075917" w:rsidRPr="00167781">
        <w:t xml:space="preserve"> </w:t>
      </w:r>
      <w:r w:rsidR="00FB2540" w:rsidRPr="00167781">
        <w:t xml:space="preserve">identified </w:t>
      </w:r>
      <w:r w:rsidR="00FB2540" w:rsidRPr="00167781">
        <w:rPr>
          <w:b/>
          <w:bCs/>
        </w:rPr>
        <w:t>65%</w:t>
      </w:r>
      <w:r w:rsidR="00FB2540" w:rsidRPr="00167781">
        <w:t xml:space="preserve"> of breach sources were malicious and </w:t>
      </w:r>
      <w:r w:rsidR="00FB2540" w:rsidRPr="00167781">
        <w:rPr>
          <w:b/>
          <w:bCs/>
        </w:rPr>
        <w:t>30%</w:t>
      </w:r>
      <w:r w:rsidR="00FB2540" w:rsidRPr="00167781">
        <w:t xml:space="preserve"> human error</w:t>
      </w:r>
      <w:r w:rsidR="005F282F">
        <w:t xml:space="preserve">. This </w:t>
      </w:r>
      <w:r>
        <w:t>contrasts with</w:t>
      </w:r>
      <w:r w:rsidR="00FB2540" w:rsidRPr="00167781">
        <w:t xml:space="preserve"> notification</w:t>
      </w:r>
      <w:r w:rsidR="00304374" w:rsidRPr="00167781">
        <w:t>s</w:t>
      </w:r>
      <w:r w:rsidR="00FB2540" w:rsidRPr="00167781">
        <w:t xml:space="preserve"> </w:t>
      </w:r>
      <w:r w:rsidR="005F282F">
        <w:t xml:space="preserve">OVIC received </w:t>
      </w:r>
      <w:r w:rsidR="00FB2540" w:rsidRPr="00167781">
        <w:t>w</w:t>
      </w:r>
      <w:r w:rsidR="00304374" w:rsidRPr="00167781">
        <w:t xml:space="preserve">here </w:t>
      </w:r>
      <w:r w:rsidR="00304374" w:rsidRPr="00E17C9D">
        <w:rPr>
          <w:b/>
          <w:bCs/>
        </w:rPr>
        <w:t>12%</w:t>
      </w:r>
      <w:r w:rsidR="00304374" w:rsidRPr="00E17C9D">
        <w:t xml:space="preserve"> are malicious and </w:t>
      </w:r>
      <w:r w:rsidR="00304374" w:rsidRPr="00E17C9D">
        <w:rPr>
          <w:b/>
          <w:bCs/>
        </w:rPr>
        <w:t>84%</w:t>
      </w:r>
      <w:r w:rsidR="00304374" w:rsidRPr="00E17C9D">
        <w:t xml:space="preserve"> are errors. This discrepancy is due to various factors including differing </w:t>
      </w:r>
      <w:r w:rsidR="006F1EF8">
        <w:t xml:space="preserve">scopes, jurisdictions, </w:t>
      </w:r>
      <w:r w:rsidR="00304374" w:rsidRPr="00E17C9D">
        <w:t xml:space="preserve">thresholds, </w:t>
      </w:r>
      <w:r w:rsidR="00302045" w:rsidRPr="00E17C9D">
        <w:t xml:space="preserve">information types, </w:t>
      </w:r>
      <w:r w:rsidR="00304374" w:rsidRPr="00E17C9D">
        <w:t xml:space="preserve">and data points e.g., confirmed data breach versus security incident.  </w:t>
      </w:r>
    </w:p>
    <w:p w14:paraId="60E252AA" w14:textId="77777777" w:rsidR="00A87D4C" w:rsidRDefault="00A87D4C">
      <w:pPr>
        <w:rPr>
          <w:rFonts w:ascii="Calibri" w:eastAsia="Calibri" w:hAnsi="Calibri" w:cs="PostGrotesk-Medium"/>
          <w:color w:val="430098"/>
          <w:sz w:val="28"/>
          <w:szCs w:val="28"/>
          <w:lang w:val="en-GB"/>
        </w:rPr>
      </w:pPr>
      <w:r>
        <w:br w:type="page"/>
      </w:r>
    </w:p>
    <w:p w14:paraId="774A37AF" w14:textId="77F72F66" w:rsidR="000C7AB9" w:rsidRDefault="000C7AB9" w:rsidP="000C7AB9">
      <w:pPr>
        <w:pStyle w:val="SectionHeading1"/>
      </w:pPr>
      <w:r>
        <w:lastRenderedPageBreak/>
        <w:t>Risk statements</w:t>
      </w:r>
    </w:p>
    <w:p w14:paraId="7FE1915C" w14:textId="697BAD95" w:rsidR="00771051" w:rsidRDefault="00A30219" w:rsidP="00A82A88">
      <w:pPr>
        <w:pStyle w:val="Body"/>
      </w:pPr>
      <w:r>
        <w:t>Based on</w:t>
      </w:r>
      <w:r w:rsidR="00463989">
        <w:t xml:space="preserve"> </w:t>
      </w:r>
      <w:r w:rsidR="00C761D8">
        <w:t xml:space="preserve">the </w:t>
      </w:r>
      <w:r w:rsidR="00463989">
        <w:t xml:space="preserve">incident </w:t>
      </w:r>
      <w:r w:rsidR="008D1E1C">
        <w:t xml:space="preserve">notifications </w:t>
      </w:r>
      <w:r w:rsidR="00463989">
        <w:t xml:space="preserve">received by OVIC, </w:t>
      </w:r>
      <w:r>
        <w:t xml:space="preserve">we </w:t>
      </w:r>
      <w:r w:rsidR="00C761D8">
        <w:t>developed</w:t>
      </w:r>
      <w:r w:rsidR="00463989">
        <w:t xml:space="preserve"> the following r</w:t>
      </w:r>
      <w:r w:rsidR="00771051">
        <w:t xml:space="preserve">isk </w:t>
      </w:r>
      <w:r w:rsidR="00463989">
        <w:t>s</w:t>
      </w:r>
      <w:r w:rsidR="00771051">
        <w:t>tatements</w:t>
      </w:r>
      <w:r w:rsidR="005907C9">
        <w:t xml:space="preserve"> </w:t>
      </w:r>
      <w:r>
        <w:t>for</w:t>
      </w:r>
      <w:r w:rsidR="005907C9">
        <w:t xml:space="preserve"> consideration by </w:t>
      </w:r>
      <w:r w:rsidR="00BF560F">
        <w:t>VPS organisations</w:t>
      </w:r>
      <w:r>
        <w:t xml:space="preserve"> when reviewing their information security risks</w:t>
      </w:r>
      <w:r w:rsidR="00097964">
        <w:t>:</w:t>
      </w:r>
    </w:p>
    <w:tbl>
      <w:tblPr>
        <w:tblStyle w:val="GridTable4-Accent4"/>
        <w:tblW w:w="9634"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AE5E3"/>
        <w:tblLook w:val="04A0" w:firstRow="1" w:lastRow="0" w:firstColumn="1" w:lastColumn="0" w:noHBand="0" w:noVBand="1"/>
      </w:tblPr>
      <w:tblGrid>
        <w:gridCol w:w="3211"/>
        <w:gridCol w:w="3211"/>
        <w:gridCol w:w="3212"/>
      </w:tblGrid>
      <w:tr w:rsidR="00463989" w:rsidRPr="00075292" w14:paraId="2B2F151B" w14:textId="77777777" w:rsidTr="00C9121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11" w:type="dxa"/>
            <w:tcBorders>
              <w:top w:val="none" w:sz="0" w:space="0" w:color="auto"/>
              <w:left w:val="none" w:sz="0" w:space="0" w:color="auto"/>
              <w:bottom w:val="none" w:sz="0" w:space="0" w:color="auto"/>
              <w:right w:val="none" w:sz="0" w:space="0" w:color="auto"/>
            </w:tcBorders>
            <w:shd w:val="clear" w:color="auto" w:fill="420098"/>
          </w:tcPr>
          <w:p w14:paraId="26B3ED04" w14:textId="193B0137" w:rsidR="00463989" w:rsidRPr="00463989" w:rsidRDefault="00463989" w:rsidP="00463989">
            <w:pPr>
              <w:spacing w:before="120" w:after="120"/>
              <w:ind w:left="360"/>
            </w:pPr>
            <w:r w:rsidRPr="00463989">
              <w:t>The risk of…</w:t>
            </w:r>
          </w:p>
        </w:tc>
        <w:tc>
          <w:tcPr>
            <w:tcW w:w="3211" w:type="dxa"/>
            <w:tcBorders>
              <w:top w:val="none" w:sz="0" w:space="0" w:color="auto"/>
              <w:left w:val="none" w:sz="0" w:space="0" w:color="auto"/>
              <w:bottom w:val="none" w:sz="0" w:space="0" w:color="auto"/>
              <w:right w:val="none" w:sz="0" w:space="0" w:color="auto"/>
            </w:tcBorders>
            <w:shd w:val="clear" w:color="auto" w:fill="420098"/>
          </w:tcPr>
          <w:p w14:paraId="5F9887F2" w14:textId="6E110E00" w:rsidR="00463989" w:rsidRPr="00463989" w:rsidRDefault="00463989" w:rsidP="00463989">
            <w:pPr>
              <w:spacing w:before="120" w:after="120"/>
              <w:ind w:left="360"/>
              <w:cnfStyle w:val="100000000000" w:firstRow="1" w:lastRow="0" w:firstColumn="0" w:lastColumn="0" w:oddVBand="0" w:evenVBand="0" w:oddHBand="0" w:evenHBand="0" w:firstRowFirstColumn="0" w:firstRowLastColumn="0" w:lastRowFirstColumn="0" w:lastRowLastColumn="0"/>
            </w:pPr>
            <w:r w:rsidRPr="00463989">
              <w:t>Caused by…</w:t>
            </w:r>
          </w:p>
        </w:tc>
        <w:tc>
          <w:tcPr>
            <w:tcW w:w="3212" w:type="dxa"/>
            <w:tcBorders>
              <w:top w:val="none" w:sz="0" w:space="0" w:color="auto"/>
              <w:left w:val="none" w:sz="0" w:space="0" w:color="auto"/>
              <w:bottom w:val="none" w:sz="0" w:space="0" w:color="auto"/>
              <w:right w:val="none" w:sz="0" w:space="0" w:color="auto"/>
            </w:tcBorders>
            <w:shd w:val="clear" w:color="auto" w:fill="420098"/>
          </w:tcPr>
          <w:p w14:paraId="79A4326A" w14:textId="21C2815E" w:rsidR="00463989" w:rsidRPr="00463989" w:rsidRDefault="00463989" w:rsidP="00463989">
            <w:pPr>
              <w:spacing w:before="120" w:after="120"/>
              <w:ind w:left="360"/>
              <w:cnfStyle w:val="100000000000" w:firstRow="1" w:lastRow="0" w:firstColumn="0" w:lastColumn="0" w:oddVBand="0" w:evenVBand="0" w:oddHBand="0" w:evenHBand="0" w:firstRowFirstColumn="0" w:firstRowLastColumn="0" w:lastRowFirstColumn="0" w:lastRowLastColumn="0"/>
            </w:pPr>
            <w:r w:rsidRPr="00463989">
              <w:t>Resulting in…</w:t>
            </w:r>
            <w:r w:rsidR="00A30219">
              <w:rPr>
                <w:rStyle w:val="FootnoteReference"/>
              </w:rPr>
              <w:footnoteReference w:id="1"/>
            </w:r>
          </w:p>
        </w:tc>
      </w:tr>
      <w:tr w:rsidR="00463989" w:rsidRPr="00075292" w14:paraId="3B4572D1" w14:textId="77777777" w:rsidTr="00C91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33EC8F00" w14:textId="06CC6630" w:rsidR="00463989" w:rsidRDefault="00E44730" w:rsidP="00DB44ED">
            <w:pPr>
              <w:pStyle w:val="BodyCopy"/>
            </w:pPr>
            <w:r>
              <w:rPr>
                <w:b w:val="0"/>
                <w:bCs w:val="0"/>
              </w:rPr>
              <w:t>Misuse</w:t>
            </w:r>
            <w:r w:rsidR="00653DDE">
              <w:rPr>
                <w:b w:val="0"/>
                <w:bCs w:val="0"/>
              </w:rPr>
              <w:t xml:space="preserve"> </w:t>
            </w:r>
            <w:r w:rsidR="00463989" w:rsidRPr="00733049">
              <w:rPr>
                <w:b w:val="0"/>
                <w:bCs w:val="0"/>
              </w:rPr>
              <w:t xml:space="preserve">of </w:t>
            </w:r>
            <w:r>
              <w:rPr>
                <w:b w:val="0"/>
                <w:bCs w:val="0"/>
              </w:rPr>
              <w:t>customer</w:t>
            </w:r>
            <w:r w:rsidR="004A73A0" w:rsidRPr="00733049">
              <w:rPr>
                <w:b w:val="0"/>
                <w:bCs w:val="0"/>
              </w:rPr>
              <w:t xml:space="preserve"> </w:t>
            </w:r>
            <w:r w:rsidR="00463989" w:rsidRPr="00733049">
              <w:rPr>
                <w:b w:val="0"/>
                <w:bCs w:val="0"/>
              </w:rPr>
              <w:t>information</w:t>
            </w:r>
            <w:r w:rsidR="00E722BE">
              <w:rPr>
                <w:b w:val="0"/>
                <w:bCs w:val="0"/>
              </w:rPr>
              <w:t xml:space="preserve"> </w:t>
            </w:r>
            <w:r w:rsidR="00393826">
              <w:rPr>
                <w:b w:val="0"/>
                <w:bCs w:val="0"/>
              </w:rPr>
              <w:t>for personal gain</w:t>
            </w:r>
          </w:p>
          <w:p w14:paraId="48496561" w14:textId="497BB855" w:rsidR="004D46D1" w:rsidRPr="000C7141" w:rsidRDefault="00776EBD" w:rsidP="00653DDE">
            <w:pPr>
              <w:pStyle w:val="BodyCopy"/>
              <w:rPr>
                <w:b w:val="0"/>
                <w:bCs w:val="0"/>
              </w:rPr>
            </w:pPr>
            <w:r w:rsidRPr="00F74D3A">
              <w:t>(Compromise of confidentiality)</w:t>
            </w:r>
          </w:p>
        </w:tc>
        <w:tc>
          <w:tcPr>
            <w:tcW w:w="3211" w:type="dxa"/>
            <w:shd w:val="clear" w:color="auto" w:fill="EAE5E3"/>
          </w:tcPr>
          <w:p w14:paraId="42C31966" w14:textId="37CAC79B" w:rsidR="00463989" w:rsidRPr="00075292" w:rsidRDefault="00E44730" w:rsidP="00DB44ED">
            <w:pPr>
              <w:pStyle w:val="BodyCopy"/>
              <w:cnfStyle w:val="000000100000" w:firstRow="0" w:lastRow="0" w:firstColumn="0" w:lastColumn="0" w:oddVBand="0" w:evenVBand="0" w:oddHBand="1" w:evenHBand="0" w:firstRowFirstColumn="0" w:firstRowLastColumn="0" w:lastRowFirstColumn="0" w:lastRowLastColumn="0"/>
            </w:pPr>
            <w:r>
              <w:t xml:space="preserve">Employees </w:t>
            </w:r>
            <w:r w:rsidR="00393826">
              <w:t>looking up customers records without legitimate business reason</w:t>
            </w:r>
          </w:p>
        </w:tc>
        <w:tc>
          <w:tcPr>
            <w:tcW w:w="3212" w:type="dxa"/>
            <w:shd w:val="clear" w:color="auto" w:fill="EAE5E3"/>
          </w:tcPr>
          <w:p w14:paraId="3AB20353" w14:textId="77777777" w:rsidR="008F27F0" w:rsidRDefault="00653DDE" w:rsidP="00DB44ED">
            <w:pPr>
              <w:pStyle w:val="BodyCopy"/>
              <w:cnfStyle w:val="000000100000" w:firstRow="0" w:lastRow="0" w:firstColumn="0" w:lastColumn="0" w:oddVBand="0" w:evenVBand="0" w:oddHBand="1" w:evenHBand="0" w:firstRowFirstColumn="0" w:firstRowLastColumn="0" w:lastRowFirstColumn="0" w:lastRowLastColumn="0"/>
            </w:pPr>
            <w:r>
              <w:t>I</w:t>
            </w:r>
            <w:r w:rsidR="00463989" w:rsidRPr="00075292">
              <w:t xml:space="preserve">mpact to individuals whose personal information was affected </w:t>
            </w:r>
          </w:p>
          <w:p w14:paraId="51B22BC1" w14:textId="5A365FA4" w:rsidR="00393826" w:rsidRPr="00075292" w:rsidRDefault="00393826" w:rsidP="00DB44ED">
            <w:pPr>
              <w:pStyle w:val="BodyCopy"/>
              <w:cnfStyle w:val="000000100000" w:firstRow="0" w:lastRow="0" w:firstColumn="0" w:lastColumn="0" w:oddVBand="0" w:evenVBand="0" w:oddHBand="1" w:evenHBand="0" w:firstRowFirstColumn="0" w:firstRowLastColumn="0" w:lastRowFirstColumn="0" w:lastRowLastColumn="0"/>
            </w:pPr>
            <w:r>
              <w:t>Impact on public services (reputation of, and confidence in, the organisation)</w:t>
            </w:r>
          </w:p>
        </w:tc>
      </w:tr>
      <w:tr w:rsidR="00393826" w:rsidRPr="00075292" w14:paraId="0CA14C4C" w14:textId="77777777" w:rsidTr="00C91215">
        <w:trPr>
          <w:cantSplit/>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0555D089" w14:textId="48F5E789" w:rsidR="00393826" w:rsidRDefault="00D44C93" w:rsidP="00DB44ED">
            <w:pPr>
              <w:pStyle w:val="BodyCopy"/>
            </w:pPr>
            <w:r>
              <w:rPr>
                <w:b w:val="0"/>
                <w:bCs w:val="0"/>
              </w:rPr>
              <w:t xml:space="preserve">Accidental </w:t>
            </w:r>
            <w:r w:rsidR="00484C02">
              <w:rPr>
                <w:b w:val="0"/>
                <w:bCs w:val="0"/>
              </w:rPr>
              <w:t xml:space="preserve">access to client information </w:t>
            </w:r>
          </w:p>
          <w:p w14:paraId="67DC2948" w14:textId="482DD8F5" w:rsidR="00484C02" w:rsidRDefault="00484C02" w:rsidP="00DB44ED">
            <w:pPr>
              <w:pStyle w:val="BodyCopy"/>
              <w:rPr>
                <w:b w:val="0"/>
                <w:bCs w:val="0"/>
              </w:rPr>
            </w:pPr>
            <w:r w:rsidRPr="00F74D3A">
              <w:t>(Compromise of confidentiality)</w:t>
            </w:r>
          </w:p>
        </w:tc>
        <w:tc>
          <w:tcPr>
            <w:tcW w:w="3211" w:type="dxa"/>
            <w:shd w:val="clear" w:color="auto" w:fill="EAE5E3"/>
          </w:tcPr>
          <w:p w14:paraId="04288CF8" w14:textId="496FC818" w:rsidR="00393826" w:rsidRDefault="00484C02" w:rsidP="00DB44ED">
            <w:pPr>
              <w:pStyle w:val="BodyCopy"/>
              <w:cnfStyle w:val="000000000000" w:firstRow="0" w:lastRow="0" w:firstColumn="0" w:lastColumn="0" w:oddVBand="0" w:evenVBand="0" w:oddHBand="0" w:evenHBand="0" w:firstRowFirstColumn="0" w:firstRowLastColumn="0" w:lastRowFirstColumn="0" w:lastRowLastColumn="0"/>
            </w:pPr>
            <w:r>
              <w:t>Third parties not following the labelling requirements of the organisation</w:t>
            </w:r>
          </w:p>
        </w:tc>
        <w:tc>
          <w:tcPr>
            <w:tcW w:w="3212" w:type="dxa"/>
            <w:shd w:val="clear" w:color="auto" w:fill="EAE5E3"/>
          </w:tcPr>
          <w:p w14:paraId="22B4C975" w14:textId="53531EDE" w:rsidR="00393826" w:rsidRDefault="00484C02" w:rsidP="00DB44ED">
            <w:pPr>
              <w:pStyle w:val="BodyCopy"/>
              <w:cnfStyle w:val="000000000000" w:firstRow="0" w:lastRow="0" w:firstColumn="0" w:lastColumn="0" w:oddVBand="0" w:evenVBand="0" w:oddHBand="0" w:evenHBand="0" w:firstRowFirstColumn="0" w:firstRowLastColumn="0" w:lastRowFirstColumn="0" w:lastRowLastColumn="0"/>
            </w:pPr>
            <w:r>
              <w:t>I</w:t>
            </w:r>
            <w:r w:rsidRPr="00075292">
              <w:t xml:space="preserve">mpact to individuals whose personal information was affected </w:t>
            </w:r>
          </w:p>
        </w:tc>
      </w:tr>
      <w:tr w:rsidR="005D5EFA" w:rsidRPr="00075292" w14:paraId="396445D1" w14:textId="77777777" w:rsidTr="00C91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74DB32FE" w14:textId="4B47F8B6" w:rsidR="00393826" w:rsidRDefault="00393826" w:rsidP="00393826">
            <w:pPr>
              <w:pStyle w:val="BodyCopy"/>
            </w:pPr>
            <w:r>
              <w:rPr>
                <w:b w:val="0"/>
                <w:bCs w:val="0"/>
              </w:rPr>
              <w:t>Customers not receiving their letters in a timely manner</w:t>
            </w:r>
          </w:p>
          <w:p w14:paraId="6DE12F17" w14:textId="267A3935" w:rsidR="005D5EFA" w:rsidRPr="00733049" w:rsidRDefault="00393826" w:rsidP="00393826">
            <w:pPr>
              <w:pStyle w:val="BodyCopy"/>
            </w:pPr>
            <w:r w:rsidRPr="00F74D3A">
              <w:t xml:space="preserve">(Compromise of </w:t>
            </w:r>
            <w:r>
              <w:t xml:space="preserve">integrity and </w:t>
            </w:r>
            <w:r w:rsidRPr="00F74D3A">
              <w:t>availability)</w:t>
            </w:r>
          </w:p>
        </w:tc>
        <w:tc>
          <w:tcPr>
            <w:tcW w:w="3211" w:type="dxa"/>
            <w:shd w:val="clear" w:color="auto" w:fill="EAE5E3"/>
          </w:tcPr>
          <w:p w14:paraId="72D887CE" w14:textId="2A005492" w:rsidR="005D5EFA" w:rsidRDefault="00393826" w:rsidP="00DB44ED">
            <w:pPr>
              <w:pStyle w:val="BodyCopy"/>
              <w:cnfStyle w:val="000000100000" w:firstRow="0" w:lastRow="0" w:firstColumn="0" w:lastColumn="0" w:oddVBand="0" w:evenVBand="0" w:oddHBand="1" w:evenHBand="0" w:firstRowFirstColumn="0" w:firstRowLastColumn="0" w:lastRowFirstColumn="0" w:lastRowLastColumn="0"/>
            </w:pPr>
            <w:r>
              <w:t>Employees not paying attention and inputting incorrect data into customer database</w:t>
            </w:r>
          </w:p>
        </w:tc>
        <w:tc>
          <w:tcPr>
            <w:tcW w:w="3212" w:type="dxa"/>
            <w:shd w:val="clear" w:color="auto" w:fill="EAE5E3"/>
          </w:tcPr>
          <w:p w14:paraId="77DECCD0" w14:textId="1B8A3D01" w:rsidR="005D5EFA" w:rsidRDefault="00393826" w:rsidP="00DB44ED">
            <w:pPr>
              <w:pStyle w:val="BodyCopy"/>
              <w:cnfStyle w:val="000000100000" w:firstRow="0" w:lastRow="0" w:firstColumn="0" w:lastColumn="0" w:oddVBand="0" w:evenVBand="0" w:oddHBand="1" w:evenHBand="0" w:firstRowFirstColumn="0" w:firstRowLastColumn="0" w:lastRowFirstColumn="0" w:lastRowLastColumn="0"/>
            </w:pPr>
            <w:r>
              <w:t>I</w:t>
            </w:r>
            <w:r w:rsidRPr="00075292">
              <w:t>mpact to individuals</w:t>
            </w:r>
            <w:r w:rsidR="00715FC9">
              <w:t xml:space="preserve"> </w:t>
            </w:r>
            <w:r w:rsidR="00715FC9" w:rsidRPr="00075292">
              <w:t>whose personal information was affected</w:t>
            </w:r>
          </w:p>
        </w:tc>
      </w:tr>
      <w:tr w:rsidR="005D5EFA" w:rsidRPr="00075292" w14:paraId="22CCBCA4" w14:textId="77777777" w:rsidTr="00C91215">
        <w:trPr>
          <w:cantSplit/>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6918AF24" w14:textId="77777777" w:rsidR="005D5EFA" w:rsidRPr="00484C02" w:rsidRDefault="00484C02" w:rsidP="00DB44ED">
            <w:pPr>
              <w:pStyle w:val="BodyCopy"/>
              <w:rPr>
                <w:b w:val="0"/>
                <w:bCs w:val="0"/>
              </w:rPr>
            </w:pPr>
            <w:r w:rsidRPr="00484C02">
              <w:rPr>
                <w:b w:val="0"/>
                <w:bCs w:val="0"/>
              </w:rPr>
              <w:t>Unauthorised access to systems and data</w:t>
            </w:r>
          </w:p>
          <w:p w14:paraId="65893252" w14:textId="122DAAB3" w:rsidR="00484C02" w:rsidRPr="00733049" w:rsidRDefault="00484C02" w:rsidP="00DB44ED">
            <w:pPr>
              <w:pStyle w:val="BodyCopy"/>
            </w:pPr>
            <w:r>
              <w:t>(</w:t>
            </w:r>
            <w:r w:rsidRPr="00F74D3A">
              <w:t>Compromise of confidentiality</w:t>
            </w:r>
            <w:r w:rsidR="005312DE">
              <w:t xml:space="preserve"> and </w:t>
            </w:r>
            <w:r w:rsidR="005312DE" w:rsidRPr="00F74D3A">
              <w:t>availability</w:t>
            </w:r>
            <w:r w:rsidRPr="00F74D3A">
              <w:t>)</w:t>
            </w:r>
          </w:p>
        </w:tc>
        <w:tc>
          <w:tcPr>
            <w:tcW w:w="3211" w:type="dxa"/>
            <w:shd w:val="clear" w:color="auto" w:fill="EAE5E3"/>
          </w:tcPr>
          <w:p w14:paraId="5B5C6142" w14:textId="472673AF" w:rsidR="005D5EFA" w:rsidRDefault="00484C02" w:rsidP="00DB44ED">
            <w:pPr>
              <w:pStyle w:val="BodyCopy"/>
              <w:cnfStyle w:val="000000000000" w:firstRow="0" w:lastRow="0" w:firstColumn="0" w:lastColumn="0" w:oddVBand="0" w:evenVBand="0" w:oddHBand="0" w:evenHBand="0" w:firstRowFirstColumn="0" w:firstRowLastColumn="0" w:lastRowFirstColumn="0" w:lastRowLastColumn="0"/>
            </w:pPr>
            <w:r>
              <w:t>Malicious threat actors stealing government devices and poor password practices by employees (password stuck on</w:t>
            </w:r>
            <w:r w:rsidR="005312DE">
              <w:t xml:space="preserve"> stolen</w:t>
            </w:r>
            <w:r>
              <w:t xml:space="preserve"> device)</w:t>
            </w:r>
          </w:p>
        </w:tc>
        <w:tc>
          <w:tcPr>
            <w:tcW w:w="3212" w:type="dxa"/>
            <w:shd w:val="clear" w:color="auto" w:fill="EAE5E3"/>
          </w:tcPr>
          <w:p w14:paraId="22421B43" w14:textId="303130A8" w:rsidR="005D5EFA" w:rsidRDefault="00C91215" w:rsidP="00DB44ED">
            <w:pPr>
              <w:pStyle w:val="BodyCopy"/>
              <w:cnfStyle w:val="000000000000" w:firstRow="0" w:lastRow="0" w:firstColumn="0" w:lastColumn="0" w:oddVBand="0" w:evenVBand="0" w:oddHBand="0" w:evenHBand="0" w:firstRowFirstColumn="0" w:firstRowLastColumn="0" w:lastRowFirstColumn="0" w:lastRowLastColumn="0"/>
            </w:pPr>
            <w:r>
              <w:t xml:space="preserve">Impact </w:t>
            </w:r>
            <w:r w:rsidR="00B528C5">
              <w:t xml:space="preserve">on </w:t>
            </w:r>
            <w:r>
              <w:t>service delivery</w:t>
            </w:r>
          </w:p>
          <w:p w14:paraId="020C0948" w14:textId="5D1C9967" w:rsidR="00C91215" w:rsidRDefault="00C91215" w:rsidP="00DB44ED">
            <w:pPr>
              <w:pStyle w:val="BodyCopy"/>
              <w:cnfStyle w:val="000000000000" w:firstRow="0" w:lastRow="0" w:firstColumn="0" w:lastColumn="0" w:oddVBand="0" w:evenVBand="0" w:oddHBand="0" w:evenHBand="0" w:firstRowFirstColumn="0" w:firstRowLastColumn="0" w:lastRowFirstColumn="0" w:lastRowLastColumn="0"/>
            </w:pPr>
            <w:r>
              <w:t>Impact on public services (reputation of, and confidence in, the organisation)</w:t>
            </w:r>
          </w:p>
        </w:tc>
      </w:tr>
    </w:tbl>
    <w:p w14:paraId="555B32AD" w14:textId="1ACF3921" w:rsidR="00463989" w:rsidRDefault="00463989"/>
    <w:p w14:paraId="1C2019CA" w14:textId="77777777" w:rsidR="00463989" w:rsidRPr="000C7AB9" w:rsidRDefault="00463989" w:rsidP="000C7AB9">
      <w:pPr>
        <w:pStyle w:val="SectionHeading"/>
        <w:rPr>
          <w:b w:val="0"/>
          <w:bCs/>
          <w:sz w:val="28"/>
          <w:szCs w:val="28"/>
        </w:rPr>
      </w:pPr>
      <w:r w:rsidRPr="000C7AB9">
        <w:rPr>
          <w:b w:val="0"/>
          <w:bCs/>
          <w:sz w:val="28"/>
          <w:szCs w:val="28"/>
        </w:rPr>
        <w:t>More information</w:t>
      </w:r>
    </w:p>
    <w:p w14:paraId="7A90DF72" w14:textId="0B7DF094" w:rsidR="00463989" w:rsidRDefault="00463989" w:rsidP="00463989">
      <w:pPr>
        <w:pStyle w:val="Body"/>
      </w:pPr>
      <w:r>
        <w:t xml:space="preserve">For further information </w:t>
      </w:r>
      <w:r w:rsidR="00006C16">
        <w:t xml:space="preserve">on </w:t>
      </w:r>
      <w:r>
        <w:t xml:space="preserve">the information security incident notification scheme </w:t>
      </w:r>
      <w:r w:rsidR="00006C16">
        <w:t xml:space="preserve">and to </w:t>
      </w:r>
      <w:r>
        <w:t xml:space="preserve">download a notification form </w:t>
      </w:r>
      <w:r w:rsidR="00006C16">
        <w:t>visit</w:t>
      </w:r>
      <w:r>
        <w:t xml:space="preserve"> our website</w:t>
      </w:r>
      <w:r w:rsidR="00006C16">
        <w:t>:</w:t>
      </w:r>
      <w:r w:rsidR="00006C16">
        <w:br/>
      </w:r>
      <w:hyperlink r:id="rId23" w:history="1">
        <w:r w:rsidR="00006C16" w:rsidRPr="00006C16">
          <w:rPr>
            <w:rStyle w:val="Hyperlink"/>
          </w:rPr>
          <w:t>https://ovic.vic.gov.au/data-protection/agency-reporting-obligations/incident-notification/</w:t>
        </w:r>
      </w:hyperlink>
      <w:r>
        <w:t xml:space="preserve"> </w:t>
      </w:r>
    </w:p>
    <w:p w14:paraId="1C8C490D" w14:textId="20339E36" w:rsidR="000C7AB9" w:rsidRPr="00B5019B" w:rsidRDefault="00006C16" w:rsidP="00B5019B">
      <w:pPr>
        <w:pStyle w:val="Body"/>
      </w:pPr>
      <w:r>
        <w:t xml:space="preserve">We welcome your feedback on this report. </w:t>
      </w:r>
      <w:r w:rsidR="00463989" w:rsidRPr="001F3DC9">
        <w:t xml:space="preserve">Contact OVIC at </w:t>
      </w:r>
      <w:hyperlink r:id="rId24" w:history="1">
        <w:r w:rsidR="00463989" w:rsidRPr="00952599">
          <w:rPr>
            <w:rStyle w:val="Hyperlink"/>
          </w:rPr>
          <w:t>security@ovic.vic.gov.au</w:t>
        </w:r>
      </w:hyperlink>
      <w:r w:rsidR="00463989">
        <w:t xml:space="preserve"> </w:t>
      </w:r>
      <w:r w:rsidR="00463989" w:rsidRPr="001F3DC9">
        <w:t xml:space="preserve">if you </w:t>
      </w:r>
      <w:r w:rsidR="00463989">
        <w:t>would like to discuss this report any further.</w:t>
      </w:r>
    </w:p>
    <w:sectPr w:rsidR="000C7AB9" w:rsidRPr="00B5019B" w:rsidSect="002B353D">
      <w:headerReference w:type="default" r:id="rId25"/>
      <w:footerReference w:type="default" r:id="rId26"/>
      <w:headerReference w:type="first" r:id="rId27"/>
      <w:footerReference w:type="first" r:id="rId2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4653" w14:textId="77777777" w:rsidR="002F7A4F" w:rsidRDefault="002F7A4F" w:rsidP="00771051">
      <w:pPr>
        <w:spacing w:after="0" w:line="240" w:lineRule="auto"/>
      </w:pPr>
      <w:r>
        <w:separator/>
      </w:r>
    </w:p>
  </w:endnote>
  <w:endnote w:type="continuationSeparator" w:id="0">
    <w:p w14:paraId="7AA66978" w14:textId="77777777" w:rsidR="002F7A4F" w:rsidRDefault="002F7A4F" w:rsidP="0077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National-Book">
    <w:altName w:val="Times New Roman"/>
    <w:panose1 w:val="00000000000000000000"/>
    <w:charset w:val="00"/>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8FFA" w14:textId="6DE3F458" w:rsidR="000F6636" w:rsidRPr="00C40D5B" w:rsidRDefault="000F6636" w:rsidP="00C40D5B">
    <w:pPr>
      <w:pStyle w:val="SectionHeading"/>
      <w:jc w:val="center"/>
      <w:rPr>
        <w:color w:val="FF0000"/>
        <w:sz w:val="44"/>
        <w:szCs w:val="44"/>
      </w:rPr>
    </w:pPr>
    <w:r w:rsidRPr="00C40D5B">
      <w:rPr>
        <w:color w:val="FF0000"/>
        <w:sz w:val="44"/>
        <w:szCs w:val="44"/>
      </w:rPr>
      <w:t>OFFICIAL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5E66" w14:textId="27FB6020" w:rsidR="000F6636" w:rsidRPr="00C40D5B" w:rsidRDefault="000F6636" w:rsidP="00C40D5B">
    <w:pPr>
      <w:pStyle w:val="SectionHeading"/>
      <w:jc w:val="center"/>
      <w:rPr>
        <w:color w:val="FF0000"/>
        <w:sz w:val="44"/>
        <w:szCs w:val="44"/>
      </w:rPr>
    </w:pPr>
    <w:r w:rsidRPr="00C40D5B">
      <w:rPr>
        <w:color w:val="FF0000"/>
        <w:sz w:val="44"/>
        <w:szCs w:val="44"/>
      </w:rPr>
      <w:t>OFFICIAL</w:t>
    </w:r>
  </w:p>
  <w:p w14:paraId="26916963" w14:textId="6A236A56" w:rsidR="000F6636" w:rsidRDefault="000F6636" w:rsidP="00C40D5B">
    <w:pPr>
      <w:pStyle w:val="SectionHeading"/>
    </w:pPr>
    <w:r w:rsidRPr="00487066">
      <w:rPr>
        <w:sz w:val="20"/>
        <w:szCs w:val="20"/>
      </w:rPr>
      <w:t xml:space="preserve">Freedom of Information </w:t>
    </w:r>
    <w:r w:rsidRPr="00487066">
      <w:rPr>
        <w:color w:val="E5007D"/>
        <w:sz w:val="20"/>
        <w:szCs w:val="20"/>
      </w:rPr>
      <w:t>|</w:t>
    </w:r>
    <w:r w:rsidRPr="00487066">
      <w:rPr>
        <w:sz w:val="20"/>
        <w:szCs w:val="20"/>
      </w:rPr>
      <w:t xml:space="preserve"> Privacy </w:t>
    </w:r>
    <w:r w:rsidRPr="00487066">
      <w:rPr>
        <w:color w:val="E5007D"/>
        <w:sz w:val="20"/>
        <w:szCs w:val="20"/>
      </w:rPr>
      <w:t>|</w:t>
    </w:r>
    <w:r w:rsidRPr="00487066">
      <w:rPr>
        <w:sz w:val="20"/>
        <w:szCs w:val="20"/>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31A6" w14:textId="77777777" w:rsidR="002F7A4F" w:rsidRDefault="002F7A4F" w:rsidP="00771051">
      <w:pPr>
        <w:spacing w:after="0" w:line="240" w:lineRule="auto"/>
      </w:pPr>
      <w:r>
        <w:separator/>
      </w:r>
    </w:p>
  </w:footnote>
  <w:footnote w:type="continuationSeparator" w:id="0">
    <w:p w14:paraId="1F9C3FC4" w14:textId="77777777" w:rsidR="002F7A4F" w:rsidRDefault="002F7A4F" w:rsidP="00771051">
      <w:pPr>
        <w:spacing w:after="0" w:line="240" w:lineRule="auto"/>
      </w:pPr>
      <w:r>
        <w:continuationSeparator/>
      </w:r>
    </w:p>
  </w:footnote>
  <w:footnote w:id="1">
    <w:p w14:paraId="3DE9C558" w14:textId="62225E06" w:rsidR="000F6636" w:rsidRPr="00777AD6" w:rsidRDefault="000F6636">
      <w:pPr>
        <w:pStyle w:val="FootnoteText"/>
        <w:rPr>
          <w:color w:val="595959" w:themeColor="text1" w:themeTint="A6"/>
          <w:sz w:val="16"/>
          <w:szCs w:val="16"/>
        </w:rPr>
      </w:pPr>
      <w:r w:rsidRPr="00777AD6">
        <w:rPr>
          <w:rStyle w:val="FootnoteReference"/>
          <w:color w:val="595959" w:themeColor="text1" w:themeTint="A6"/>
          <w:sz w:val="16"/>
          <w:szCs w:val="16"/>
        </w:rPr>
        <w:footnoteRef/>
      </w:r>
      <w:r w:rsidRPr="00777AD6">
        <w:rPr>
          <w:color w:val="595959" w:themeColor="text1" w:themeTint="A6"/>
          <w:sz w:val="16"/>
          <w:szCs w:val="16"/>
        </w:rPr>
        <w:t xml:space="preserve"> The extent of the impact could be “limited” or higher depending on the context and nature of the incident and is left for an organisation to determine.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DA2F" w14:textId="240E659E" w:rsidR="000F6636" w:rsidRPr="00C40D5B" w:rsidRDefault="000F6636" w:rsidP="00C40D5B">
    <w:pPr>
      <w:pStyle w:val="SectionHeading"/>
      <w:jc w:val="center"/>
      <w:rPr>
        <w:color w:val="FF0000"/>
        <w:sz w:val="44"/>
        <w:szCs w:val="44"/>
      </w:rPr>
    </w:pPr>
    <w:r w:rsidRPr="00C40D5B">
      <w:rPr>
        <w:color w:val="FF0000"/>
        <w:sz w:val="44"/>
        <w:szCs w:val="44"/>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7118" w14:textId="77777777" w:rsidR="000F6636" w:rsidRPr="00D70A8A" w:rsidRDefault="000F6636" w:rsidP="002B353D">
    <w:pPr>
      <w:pStyle w:val="Header"/>
      <w:tabs>
        <w:tab w:val="clear" w:pos="4513"/>
        <w:tab w:val="clear" w:pos="9026"/>
        <w:tab w:val="left" w:pos="6946"/>
      </w:tabs>
      <w:spacing w:after="180"/>
      <w:rPr>
        <w:color w:val="7F7F7F"/>
        <w:sz w:val="26"/>
        <w:szCs w:val="26"/>
      </w:rPr>
    </w:pPr>
    <w:r>
      <w:rPr>
        <w:noProof/>
        <w:color w:val="7F7F7F"/>
        <w:sz w:val="28"/>
        <w:szCs w:val="28"/>
        <w:lang w:eastAsia="en-AU"/>
      </w:rPr>
      <w:drawing>
        <wp:anchor distT="0" distB="0" distL="114300" distR="114300" simplePos="0" relativeHeight="251659264" behindDoc="1" locked="0" layoutInCell="1" allowOverlap="1" wp14:anchorId="0D5B5D44" wp14:editId="0515B81F">
          <wp:simplePos x="0" y="0"/>
          <wp:positionH relativeFrom="column">
            <wp:posOffset>6350</wp:posOffset>
          </wp:positionH>
          <wp:positionV relativeFrom="paragraph">
            <wp:posOffset>-47625</wp:posOffset>
          </wp:positionV>
          <wp:extent cx="1565910" cy="720090"/>
          <wp:effectExtent l="0" t="0" r="0" b="3810"/>
          <wp:wrapThrough wrapText="bothSides">
            <wp:wrapPolygon edited="0">
              <wp:start x="0" y="0"/>
              <wp:lineTo x="0" y="21143"/>
              <wp:lineTo x="21285" y="21143"/>
              <wp:lineTo x="21285" y="0"/>
              <wp:lineTo x="0" y="0"/>
            </wp:wrapPolygon>
          </wp:wrapThrough>
          <wp:docPr id="23" name="Picture 2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Pr="00D70A8A">
      <w:rPr>
        <w:color w:val="555559"/>
        <w:sz w:val="26"/>
        <w:szCs w:val="26"/>
      </w:rPr>
      <w:t>INFORMATION FOR</w:t>
    </w:r>
    <w:r w:rsidRPr="00D70A8A">
      <w:rPr>
        <w:color w:val="7F7F7F"/>
        <w:sz w:val="26"/>
        <w:szCs w:val="26"/>
      </w:rPr>
      <w:br/>
    </w:r>
    <w:r w:rsidRPr="00D70A8A">
      <w:rPr>
        <w:color w:val="7F7F7F"/>
        <w:sz w:val="26"/>
        <w:szCs w:val="26"/>
      </w:rPr>
      <w:tab/>
    </w:r>
    <w:r>
      <w:rPr>
        <w:color w:val="430098"/>
        <w:sz w:val="26"/>
        <w:szCs w:val="26"/>
      </w:rPr>
      <w:t>AGENCIES and BODIES</w:t>
    </w:r>
  </w:p>
  <w:p w14:paraId="73244EC7" w14:textId="77777777" w:rsidR="000F6636" w:rsidRPr="00B37C5F" w:rsidRDefault="000F6636" w:rsidP="002B353D">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52EF16D0" w14:textId="77777777" w:rsidR="000F6636" w:rsidRPr="00142FDF" w:rsidRDefault="000F6636" w:rsidP="002B353D">
    <w:pPr>
      <w:pStyle w:val="DocumentTitle"/>
      <w:rPr>
        <w:color w:val="7F7F7F"/>
        <w:sz w:val="20"/>
        <w:szCs w:val="20"/>
      </w:rPr>
    </w:pPr>
    <w:r>
      <w:rPr>
        <w:noProof/>
        <w:lang w:val="en-AU" w:eastAsia="en-AU"/>
      </w:rPr>
      <w:drawing>
        <wp:anchor distT="0" distB="0" distL="114300" distR="114300" simplePos="0" relativeHeight="251660288" behindDoc="0" locked="0" layoutInCell="1" allowOverlap="1" wp14:anchorId="2D453C81" wp14:editId="542EE007">
          <wp:simplePos x="0" y="0"/>
          <wp:positionH relativeFrom="column">
            <wp:posOffset>-20955</wp:posOffset>
          </wp:positionH>
          <wp:positionV relativeFrom="paragraph">
            <wp:posOffset>172085</wp:posOffset>
          </wp:positionV>
          <wp:extent cx="6119495" cy="70485"/>
          <wp:effectExtent l="0" t="0" r="0" b="5715"/>
          <wp:wrapNone/>
          <wp:docPr id="25" name="Picture 25"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t>Incident Insights Report</w:t>
    </w:r>
  </w:p>
  <w:p w14:paraId="394B0068" w14:textId="204ED596" w:rsidR="000F6636" w:rsidRDefault="000F6636" w:rsidP="002B353D">
    <w:pPr>
      <w:pStyle w:val="Header"/>
    </w:pPr>
    <w:r>
      <w:rPr>
        <w:rFonts w:ascii="Arial" w:hAnsi="Arial" w:cs="Arial"/>
        <w:color w:val="555559"/>
        <w:sz w:val="30"/>
        <w:szCs w:val="30"/>
      </w:rPr>
      <w:t>1 J</w:t>
    </w:r>
    <w:r w:rsidR="00BF614A">
      <w:rPr>
        <w:rFonts w:ascii="Arial" w:hAnsi="Arial" w:cs="Arial"/>
        <w:color w:val="555559"/>
        <w:sz w:val="30"/>
        <w:szCs w:val="30"/>
      </w:rPr>
      <w:t>uly</w:t>
    </w:r>
    <w:r>
      <w:rPr>
        <w:rFonts w:ascii="Arial" w:hAnsi="Arial" w:cs="Arial"/>
        <w:color w:val="555559"/>
        <w:sz w:val="30"/>
        <w:szCs w:val="30"/>
      </w:rPr>
      <w:t xml:space="preserve"> 202</w:t>
    </w:r>
    <w:r w:rsidR="006E44C9">
      <w:rPr>
        <w:rFonts w:ascii="Arial" w:hAnsi="Arial" w:cs="Arial"/>
        <w:color w:val="555559"/>
        <w:sz w:val="30"/>
        <w:szCs w:val="30"/>
      </w:rPr>
      <w:t>1</w:t>
    </w:r>
    <w:r>
      <w:rPr>
        <w:rFonts w:ascii="Arial" w:hAnsi="Arial" w:cs="Arial"/>
        <w:color w:val="555559"/>
        <w:sz w:val="30"/>
        <w:szCs w:val="30"/>
      </w:rPr>
      <w:t xml:space="preserve"> – 3</w:t>
    </w:r>
    <w:r w:rsidR="00BF614A">
      <w:rPr>
        <w:rFonts w:ascii="Arial" w:hAnsi="Arial" w:cs="Arial"/>
        <w:color w:val="555559"/>
        <w:sz w:val="30"/>
        <w:szCs w:val="30"/>
      </w:rPr>
      <w:t>1</w:t>
    </w:r>
    <w:r>
      <w:rPr>
        <w:rFonts w:ascii="Arial" w:hAnsi="Arial" w:cs="Arial"/>
        <w:color w:val="555559"/>
        <w:sz w:val="30"/>
        <w:szCs w:val="30"/>
      </w:rPr>
      <w:t xml:space="preserve"> </w:t>
    </w:r>
    <w:r w:rsidR="00BF614A">
      <w:rPr>
        <w:rFonts w:ascii="Arial" w:hAnsi="Arial" w:cs="Arial"/>
        <w:color w:val="555559"/>
        <w:sz w:val="30"/>
        <w:szCs w:val="30"/>
      </w:rPr>
      <w:t>December</w:t>
    </w:r>
    <w:r>
      <w:rPr>
        <w:rFonts w:ascii="Arial" w:hAnsi="Arial" w:cs="Arial"/>
        <w:color w:val="555559"/>
        <w:sz w:val="30"/>
        <w:szCs w:val="30"/>
      </w:rPr>
      <w:t xml:space="preserve"> 202</w:t>
    </w:r>
    <w:r w:rsidR="006E44C9">
      <w:rPr>
        <w:rFonts w:ascii="Arial" w:hAnsi="Arial" w:cs="Arial"/>
        <w:color w:val="555559"/>
        <w:sz w:val="30"/>
        <w:szCs w:val="30"/>
      </w:rPr>
      <w:t>1</w:t>
    </w:r>
  </w:p>
  <w:p w14:paraId="3530856F" w14:textId="77777777" w:rsidR="000F6636" w:rsidRDefault="000F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953"/>
    <w:multiLevelType w:val="hybridMultilevel"/>
    <w:tmpl w:val="B254CB0A"/>
    <w:lvl w:ilvl="0" w:tplc="D4F08EC0">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EC6914"/>
    <w:multiLevelType w:val="hybridMultilevel"/>
    <w:tmpl w:val="E256B7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A943D31"/>
    <w:multiLevelType w:val="hybridMultilevel"/>
    <w:tmpl w:val="68D2D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A70673"/>
    <w:multiLevelType w:val="hybridMultilevel"/>
    <w:tmpl w:val="2084B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BE7CD2"/>
    <w:multiLevelType w:val="hybridMultilevel"/>
    <w:tmpl w:val="A6E8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431B2F"/>
    <w:multiLevelType w:val="hybridMultilevel"/>
    <w:tmpl w:val="01F67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BB7FBC"/>
    <w:multiLevelType w:val="hybridMultilevel"/>
    <w:tmpl w:val="2530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1D5372"/>
    <w:multiLevelType w:val="hybridMultilevel"/>
    <w:tmpl w:val="1AD4BB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E055C9"/>
    <w:multiLevelType w:val="hybridMultilevel"/>
    <w:tmpl w:val="8AEE3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0"/>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3E"/>
    <w:rsid w:val="00005969"/>
    <w:rsid w:val="00005E22"/>
    <w:rsid w:val="00006C16"/>
    <w:rsid w:val="00014EBF"/>
    <w:rsid w:val="0001504B"/>
    <w:rsid w:val="000161B1"/>
    <w:rsid w:val="000176FD"/>
    <w:rsid w:val="00020250"/>
    <w:rsid w:val="00037385"/>
    <w:rsid w:val="00042D00"/>
    <w:rsid w:val="00043E66"/>
    <w:rsid w:val="00054CE4"/>
    <w:rsid w:val="00057B0F"/>
    <w:rsid w:val="00064073"/>
    <w:rsid w:val="00064A83"/>
    <w:rsid w:val="00071490"/>
    <w:rsid w:val="00071B45"/>
    <w:rsid w:val="00075917"/>
    <w:rsid w:val="00077C4F"/>
    <w:rsid w:val="00087904"/>
    <w:rsid w:val="000904B5"/>
    <w:rsid w:val="00097964"/>
    <w:rsid w:val="000A0700"/>
    <w:rsid w:val="000B4B72"/>
    <w:rsid w:val="000B7452"/>
    <w:rsid w:val="000C2FE0"/>
    <w:rsid w:val="000C3730"/>
    <w:rsid w:val="000C7141"/>
    <w:rsid w:val="000C7AB9"/>
    <w:rsid w:val="000D3955"/>
    <w:rsid w:val="000E01B8"/>
    <w:rsid w:val="000E1F46"/>
    <w:rsid w:val="000E2C8B"/>
    <w:rsid w:val="000E5D3B"/>
    <w:rsid w:val="000F30D7"/>
    <w:rsid w:val="000F45EB"/>
    <w:rsid w:val="000F54FB"/>
    <w:rsid w:val="000F6636"/>
    <w:rsid w:val="000F6D4F"/>
    <w:rsid w:val="0011136D"/>
    <w:rsid w:val="00114000"/>
    <w:rsid w:val="001149D8"/>
    <w:rsid w:val="00117DF6"/>
    <w:rsid w:val="001303D5"/>
    <w:rsid w:val="001321D1"/>
    <w:rsid w:val="001367F1"/>
    <w:rsid w:val="00137968"/>
    <w:rsid w:val="001405E2"/>
    <w:rsid w:val="00141063"/>
    <w:rsid w:val="0014168B"/>
    <w:rsid w:val="00146BFB"/>
    <w:rsid w:val="001473F2"/>
    <w:rsid w:val="001517EB"/>
    <w:rsid w:val="001519A6"/>
    <w:rsid w:val="0015470C"/>
    <w:rsid w:val="0015589E"/>
    <w:rsid w:val="001603C8"/>
    <w:rsid w:val="00167781"/>
    <w:rsid w:val="00173280"/>
    <w:rsid w:val="001774B7"/>
    <w:rsid w:val="00184C39"/>
    <w:rsid w:val="00184C6A"/>
    <w:rsid w:val="0019098D"/>
    <w:rsid w:val="001917D2"/>
    <w:rsid w:val="001940E6"/>
    <w:rsid w:val="00197EED"/>
    <w:rsid w:val="001A2B14"/>
    <w:rsid w:val="001B3399"/>
    <w:rsid w:val="001B50A8"/>
    <w:rsid w:val="001C61A9"/>
    <w:rsid w:val="001D4783"/>
    <w:rsid w:val="001D4A11"/>
    <w:rsid w:val="001D7701"/>
    <w:rsid w:val="001E18F1"/>
    <w:rsid w:val="001E2173"/>
    <w:rsid w:val="001E383E"/>
    <w:rsid w:val="001E6FE4"/>
    <w:rsid w:val="001F024D"/>
    <w:rsid w:val="001F375B"/>
    <w:rsid w:val="001F3F63"/>
    <w:rsid w:val="001F4AF1"/>
    <w:rsid w:val="002038DF"/>
    <w:rsid w:val="00222A04"/>
    <w:rsid w:val="00223BEC"/>
    <w:rsid w:val="00225942"/>
    <w:rsid w:val="00233ADA"/>
    <w:rsid w:val="002415A5"/>
    <w:rsid w:val="002425E1"/>
    <w:rsid w:val="002448E8"/>
    <w:rsid w:val="0025152F"/>
    <w:rsid w:val="00251F92"/>
    <w:rsid w:val="002528EB"/>
    <w:rsid w:val="00256291"/>
    <w:rsid w:val="00256DA4"/>
    <w:rsid w:val="002648E9"/>
    <w:rsid w:val="00265DBC"/>
    <w:rsid w:val="0027322A"/>
    <w:rsid w:val="0028150C"/>
    <w:rsid w:val="00281BB1"/>
    <w:rsid w:val="002852E9"/>
    <w:rsid w:val="0029040E"/>
    <w:rsid w:val="00295637"/>
    <w:rsid w:val="002B353D"/>
    <w:rsid w:val="002B7FC1"/>
    <w:rsid w:val="002C1027"/>
    <w:rsid w:val="002C11FE"/>
    <w:rsid w:val="002C36B8"/>
    <w:rsid w:val="002C7FE4"/>
    <w:rsid w:val="002D3014"/>
    <w:rsid w:val="002D3130"/>
    <w:rsid w:val="002E0908"/>
    <w:rsid w:val="002E3331"/>
    <w:rsid w:val="002F71B8"/>
    <w:rsid w:val="002F7A4F"/>
    <w:rsid w:val="0030030E"/>
    <w:rsid w:val="00300CFA"/>
    <w:rsid w:val="00301639"/>
    <w:rsid w:val="00302045"/>
    <w:rsid w:val="00304374"/>
    <w:rsid w:val="00304A4F"/>
    <w:rsid w:val="00305050"/>
    <w:rsid w:val="00311A9E"/>
    <w:rsid w:val="00312A38"/>
    <w:rsid w:val="00313A50"/>
    <w:rsid w:val="0032215C"/>
    <w:rsid w:val="00322898"/>
    <w:rsid w:val="00326EC8"/>
    <w:rsid w:val="0033113E"/>
    <w:rsid w:val="00335F91"/>
    <w:rsid w:val="00345E85"/>
    <w:rsid w:val="003504EF"/>
    <w:rsid w:val="00350D15"/>
    <w:rsid w:val="003535C0"/>
    <w:rsid w:val="00354E39"/>
    <w:rsid w:val="003561F1"/>
    <w:rsid w:val="00374314"/>
    <w:rsid w:val="00375235"/>
    <w:rsid w:val="003842DC"/>
    <w:rsid w:val="00385C6F"/>
    <w:rsid w:val="003925A1"/>
    <w:rsid w:val="00393826"/>
    <w:rsid w:val="003A5423"/>
    <w:rsid w:val="003A60FC"/>
    <w:rsid w:val="003A7D9B"/>
    <w:rsid w:val="003C3D0B"/>
    <w:rsid w:val="003C4199"/>
    <w:rsid w:val="003C4754"/>
    <w:rsid w:val="003C57DC"/>
    <w:rsid w:val="003D2B7D"/>
    <w:rsid w:val="003D6F4E"/>
    <w:rsid w:val="003E2141"/>
    <w:rsid w:val="003F2021"/>
    <w:rsid w:val="003F2C46"/>
    <w:rsid w:val="003F3680"/>
    <w:rsid w:val="003F794F"/>
    <w:rsid w:val="00402367"/>
    <w:rsid w:val="00404F45"/>
    <w:rsid w:val="00410BFD"/>
    <w:rsid w:val="00417C72"/>
    <w:rsid w:val="00421A3A"/>
    <w:rsid w:val="00422B69"/>
    <w:rsid w:val="00430F1F"/>
    <w:rsid w:val="00434370"/>
    <w:rsid w:val="00443344"/>
    <w:rsid w:val="00452383"/>
    <w:rsid w:val="00452E25"/>
    <w:rsid w:val="00455B5E"/>
    <w:rsid w:val="00463989"/>
    <w:rsid w:val="0047181E"/>
    <w:rsid w:val="00483005"/>
    <w:rsid w:val="00484C02"/>
    <w:rsid w:val="00487066"/>
    <w:rsid w:val="004944A5"/>
    <w:rsid w:val="004A11AF"/>
    <w:rsid w:val="004A2388"/>
    <w:rsid w:val="004A6FB4"/>
    <w:rsid w:val="004A73A0"/>
    <w:rsid w:val="004A7887"/>
    <w:rsid w:val="004B08BD"/>
    <w:rsid w:val="004B17E4"/>
    <w:rsid w:val="004B2044"/>
    <w:rsid w:val="004C2553"/>
    <w:rsid w:val="004C3C0E"/>
    <w:rsid w:val="004C6742"/>
    <w:rsid w:val="004D46D1"/>
    <w:rsid w:val="004E33DC"/>
    <w:rsid w:val="004E4D08"/>
    <w:rsid w:val="004E4F2C"/>
    <w:rsid w:val="004F140A"/>
    <w:rsid w:val="004F392D"/>
    <w:rsid w:val="005033DB"/>
    <w:rsid w:val="005068ED"/>
    <w:rsid w:val="00515044"/>
    <w:rsid w:val="00520C75"/>
    <w:rsid w:val="00524176"/>
    <w:rsid w:val="005247AC"/>
    <w:rsid w:val="005312DE"/>
    <w:rsid w:val="00536533"/>
    <w:rsid w:val="00543FE5"/>
    <w:rsid w:val="00553FDA"/>
    <w:rsid w:val="005553A9"/>
    <w:rsid w:val="0055769E"/>
    <w:rsid w:val="00562E60"/>
    <w:rsid w:val="00564E52"/>
    <w:rsid w:val="00572F0E"/>
    <w:rsid w:val="005767A7"/>
    <w:rsid w:val="005776D4"/>
    <w:rsid w:val="00583124"/>
    <w:rsid w:val="00583918"/>
    <w:rsid w:val="00584094"/>
    <w:rsid w:val="0058635E"/>
    <w:rsid w:val="005907C9"/>
    <w:rsid w:val="00592358"/>
    <w:rsid w:val="00596043"/>
    <w:rsid w:val="005A410C"/>
    <w:rsid w:val="005A4F71"/>
    <w:rsid w:val="005A6E16"/>
    <w:rsid w:val="005B2CB8"/>
    <w:rsid w:val="005C27D2"/>
    <w:rsid w:val="005C3D7B"/>
    <w:rsid w:val="005D2CCA"/>
    <w:rsid w:val="005D5EFA"/>
    <w:rsid w:val="005E18CE"/>
    <w:rsid w:val="005E2487"/>
    <w:rsid w:val="005F0863"/>
    <w:rsid w:val="005F282F"/>
    <w:rsid w:val="005F47BD"/>
    <w:rsid w:val="005F5BF6"/>
    <w:rsid w:val="0060520E"/>
    <w:rsid w:val="00614269"/>
    <w:rsid w:val="0063309A"/>
    <w:rsid w:val="0063679E"/>
    <w:rsid w:val="00640827"/>
    <w:rsid w:val="00641400"/>
    <w:rsid w:val="00644E81"/>
    <w:rsid w:val="00645708"/>
    <w:rsid w:val="00650519"/>
    <w:rsid w:val="00651761"/>
    <w:rsid w:val="00653DDE"/>
    <w:rsid w:val="00656228"/>
    <w:rsid w:val="0066330D"/>
    <w:rsid w:val="00666841"/>
    <w:rsid w:val="006804A9"/>
    <w:rsid w:val="00682660"/>
    <w:rsid w:val="0068490E"/>
    <w:rsid w:val="00687185"/>
    <w:rsid w:val="00687277"/>
    <w:rsid w:val="00695B54"/>
    <w:rsid w:val="00695D85"/>
    <w:rsid w:val="00696AAD"/>
    <w:rsid w:val="006B3AA4"/>
    <w:rsid w:val="006B5E30"/>
    <w:rsid w:val="006D120E"/>
    <w:rsid w:val="006D5775"/>
    <w:rsid w:val="006D7002"/>
    <w:rsid w:val="006D76F5"/>
    <w:rsid w:val="006E44C9"/>
    <w:rsid w:val="006F1EF8"/>
    <w:rsid w:val="006F271F"/>
    <w:rsid w:val="006F739F"/>
    <w:rsid w:val="007001D0"/>
    <w:rsid w:val="007016BE"/>
    <w:rsid w:val="007027C2"/>
    <w:rsid w:val="00711031"/>
    <w:rsid w:val="00712A49"/>
    <w:rsid w:val="00715FC9"/>
    <w:rsid w:val="00716883"/>
    <w:rsid w:val="00721AD1"/>
    <w:rsid w:val="0072488F"/>
    <w:rsid w:val="007277FA"/>
    <w:rsid w:val="00747CDF"/>
    <w:rsid w:val="007505D9"/>
    <w:rsid w:val="00754EB9"/>
    <w:rsid w:val="0076019E"/>
    <w:rsid w:val="00763056"/>
    <w:rsid w:val="0076524F"/>
    <w:rsid w:val="007652E6"/>
    <w:rsid w:val="00771051"/>
    <w:rsid w:val="00771A1B"/>
    <w:rsid w:val="007753B4"/>
    <w:rsid w:val="00775F7E"/>
    <w:rsid w:val="00776EBD"/>
    <w:rsid w:val="00777AD6"/>
    <w:rsid w:val="0078079D"/>
    <w:rsid w:val="00781567"/>
    <w:rsid w:val="00784849"/>
    <w:rsid w:val="00786CFA"/>
    <w:rsid w:val="007876B1"/>
    <w:rsid w:val="007A3A51"/>
    <w:rsid w:val="007A5078"/>
    <w:rsid w:val="007B4F1A"/>
    <w:rsid w:val="007C114F"/>
    <w:rsid w:val="007C3638"/>
    <w:rsid w:val="007D0697"/>
    <w:rsid w:val="007D5DB5"/>
    <w:rsid w:val="007E167E"/>
    <w:rsid w:val="007E328A"/>
    <w:rsid w:val="007E6016"/>
    <w:rsid w:val="007F0A20"/>
    <w:rsid w:val="007F5245"/>
    <w:rsid w:val="007F61EB"/>
    <w:rsid w:val="00804A12"/>
    <w:rsid w:val="00821F2B"/>
    <w:rsid w:val="00834CA7"/>
    <w:rsid w:val="00835CDD"/>
    <w:rsid w:val="008412D7"/>
    <w:rsid w:val="00844A88"/>
    <w:rsid w:val="0084756B"/>
    <w:rsid w:val="00854286"/>
    <w:rsid w:val="00861FC2"/>
    <w:rsid w:val="00872304"/>
    <w:rsid w:val="00872F45"/>
    <w:rsid w:val="0087741A"/>
    <w:rsid w:val="008848E7"/>
    <w:rsid w:val="00884E92"/>
    <w:rsid w:val="00897E17"/>
    <w:rsid w:val="008A2774"/>
    <w:rsid w:val="008C2897"/>
    <w:rsid w:val="008C5AF2"/>
    <w:rsid w:val="008C71AA"/>
    <w:rsid w:val="008C7E92"/>
    <w:rsid w:val="008D1B82"/>
    <w:rsid w:val="008D1E1C"/>
    <w:rsid w:val="008D5062"/>
    <w:rsid w:val="008D50DF"/>
    <w:rsid w:val="008F27F0"/>
    <w:rsid w:val="009113D2"/>
    <w:rsid w:val="00911AB0"/>
    <w:rsid w:val="00915DCF"/>
    <w:rsid w:val="00920E81"/>
    <w:rsid w:val="00921F4E"/>
    <w:rsid w:val="0094555E"/>
    <w:rsid w:val="00947E49"/>
    <w:rsid w:val="00956F61"/>
    <w:rsid w:val="0095714C"/>
    <w:rsid w:val="009607BE"/>
    <w:rsid w:val="00966CE8"/>
    <w:rsid w:val="00982235"/>
    <w:rsid w:val="00992DD2"/>
    <w:rsid w:val="00996A18"/>
    <w:rsid w:val="009A1253"/>
    <w:rsid w:val="009A7D4F"/>
    <w:rsid w:val="009C16F7"/>
    <w:rsid w:val="009C1A28"/>
    <w:rsid w:val="009C1C13"/>
    <w:rsid w:val="009C38A7"/>
    <w:rsid w:val="009D2AB2"/>
    <w:rsid w:val="009D7D05"/>
    <w:rsid w:val="009E213E"/>
    <w:rsid w:val="009E3271"/>
    <w:rsid w:val="009E54AE"/>
    <w:rsid w:val="009E6C25"/>
    <w:rsid w:val="009F288F"/>
    <w:rsid w:val="009F51A2"/>
    <w:rsid w:val="009F55D8"/>
    <w:rsid w:val="009F6229"/>
    <w:rsid w:val="00A05019"/>
    <w:rsid w:val="00A063FC"/>
    <w:rsid w:val="00A11391"/>
    <w:rsid w:val="00A11D5B"/>
    <w:rsid w:val="00A30219"/>
    <w:rsid w:val="00A34816"/>
    <w:rsid w:val="00A401DB"/>
    <w:rsid w:val="00A407DE"/>
    <w:rsid w:val="00A40ED1"/>
    <w:rsid w:val="00A44D08"/>
    <w:rsid w:val="00A50870"/>
    <w:rsid w:val="00A546F8"/>
    <w:rsid w:val="00A728EC"/>
    <w:rsid w:val="00A763EA"/>
    <w:rsid w:val="00A81F1B"/>
    <w:rsid w:val="00A82A88"/>
    <w:rsid w:val="00A82B91"/>
    <w:rsid w:val="00A87D4C"/>
    <w:rsid w:val="00A928C4"/>
    <w:rsid w:val="00A93F41"/>
    <w:rsid w:val="00A9521B"/>
    <w:rsid w:val="00AA1519"/>
    <w:rsid w:val="00AA6504"/>
    <w:rsid w:val="00AA69CD"/>
    <w:rsid w:val="00AB0E23"/>
    <w:rsid w:val="00AB31C0"/>
    <w:rsid w:val="00AC495A"/>
    <w:rsid w:val="00AC6EC8"/>
    <w:rsid w:val="00AD13C6"/>
    <w:rsid w:val="00AD1735"/>
    <w:rsid w:val="00AD21F4"/>
    <w:rsid w:val="00AE68E6"/>
    <w:rsid w:val="00AF1F54"/>
    <w:rsid w:val="00AF24F8"/>
    <w:rsid w:val="00AF2F11"/>
    <w:rsid w:val="00AF5349"/>
    <w:rsid w:val="00AF75E9"/>
    <w:rsid w:val="00B00DFF"/>
    <w:rsid w:val="00B010C3"/>
    <w:rsid w:val="00B01518"/>
    <w:rsid w:val="00B12B2F"/>
    <w:rsid w:val="00B1373D"/>
    <w:rsid w:val="00B14FD7"/>
    <w:rsid w:val="00B25FB0"/>
    <w:rsid w:val="00B4134E"/>
    <w:rsid w:val="00B413CC"/>
    <w:rsid w:val="00B41B70"/>
    <w:rsid w:val="00B42EA1"/>
    <w:rsid w:val="00B5019B"/>
    <w:rsid w:val="00B5220D"/>
    <w:rsid w:val="00B528C5"/>
    <w:rsid w:val="00B56ED0"/>
    <w:rsid w:val="00B63399"/>
    <w:rsid w:val="00B667CA"/>
    <w:rsid w:val="00B66C6F"/>
    <w:rsid w:val="00B7282D"/>
    <w:rsid w:val="00B81FA3"/>
    <w:rsid w:val="00B86CBA"/>
    <w:rsid w:val="00B907B1"/>
    <w:rsid w:val="00B90B75"/>
    <w:rsid w:val="00B93984"/>
    <w:rsid w:val="00B959AC"/>
    <w:rsid w:val="00BA5700"/>
    <w:rsid w:val="00BA66C6"/>
    <w:rsid w:val="00BB1429"/>
    <w:rsid w:val="00BB58D9"/>
    <w:rsid w:val="00BC0B2F"/>
    <w:rsid w:val="00BC137E"/>
    <w:rsid w:val="00BC2BC4"/>
    <w:rsid w:val="00BC354F"/>
    <w:rsid w:val="00BC5B11"/>
    <w:rsid w:val="00BE5C2F"/>
    <w:rsid w:val="00BE731C"/>
    <w:rsid w:val="00BF560F"/>
    <w:rsid w:val="00BF614A"/>
    <w:rsid w:val="00C015D6"/>
    <w:rsid w:val="00C109ED"/>
    <w:rsid w:val="00C119F2"/>
    <w:rsid w:val="00C20C73"/>
    <w:rsid w:val="00C2589E"/>
    <w:rsid w:val="00C300C4"/>
    <w:rsid w:val="00C301D8"/>
    <w:rsid w:val="00C30F0C"/>
    <w:rsid w:val="00C31C02"/>
    <w:rsid w:val="00C32C74"/>
    <w:rsid w:val="00C40D5B"/>
    <w:rsid w:val="00C40F8D"/>
    <w:rsid w:val="00C4192F"/>
    <w:rsid w:val="00C44649"/>
    <w:rsid w:val="00C5023C"/>
    <w:rsid w:val="00C621FB"/>
    <w:rsid w:val="00C63C7A"/>
    <w:rsid w:val="00C66CB8"/>
    <w:rsid w:val="00C748DD"/>
    <w:rsid w:val="00C754F4"/>
    <w:rsid w:val="00C761D8"/>
    <w:rsid w:val="00C81E8B"/>
    <w:rsid w:val="00C86B59"/>
    <w:rsid w:val="00C87253"/>
    <w:rsid w:val="00C900E9"/>
    <w:rsid w:val="00C91215"/>
    <w:rsid w:val="00CA175E"/>
    <w:rsid w:val="00CB19CB"/>
    <w:rsid w:val="00CC3709"/>
    <w:rsid w:val="00CC3821"/>
    <w:rsid w:val="00CD3CCE"/>
    <w:rsid w:val="00D00C42"/>
    <w:rsid w:val="00D015C3"/>
    <w:rsid w:val="00D02376"/>
    <w:rsid w:val="00D23F74"/>
    <w:rsid w:val="00D25762"/>
    <w:rsid w:val="00D25EA1"/>
    <w:rsid w:val="00D30584"/>
    <w:rsid w:val="00D30BF2"/>
    <w:rsid w:val="00D34D5C"/>
    <w:rsid w:val="00D44C93"/>
    <w:rsid w:val="00D455FD"/>
    <w:rsid w:val="00D458A2"/>
    <w:rsid w:val="00D4616C"/>
    <w:rsid w:val="00D53B9F"/>
    <w:rsid w:val="00D62FA8"/>
    <w:rsid w:val="00D649D0"/>
    <w:rsid w:val="00D65DCB"/>
    <w:rsid w:val="00D74714"/>
    <w:rsid w:val="00D81627"/>
    <w:rsid w:val="00D81E14"/>
    <w:rsid w:val="00D8350E"/>
    <w:rsid w:val="00D86981"/>
    <w:rsid w:val="00DA66D0"/>
    <w:rsid w:val="00DA7AF0"/>
    <w:rsid w:val="00DB44ED"/>
    <w:rsid w:val="00DB50A8"/>
    <w:rsid w:val="00DB5BC4"/>
    <w:rsid w:val="00DB7882"/>
    <w:rsid w:val="00DD040D"/>
    <w:rsid w:val="00DD13B4"/>
    <w:rsid w:val="00DD155F"/>
    <w:rsid w:val="00DD167B"/>
    <w:rsid w:val="00DD7278"/>
    <w:rsid w:val="00DD7C42"/>
    <w:rsid w:val="00DE0074"/>
    <w:rsid w:val="00DE48BB"/>
    <w:rsid w:val="00DE4C2C"/>
    <w:rsid w:val="00DE5D91"/>
    <w:rsid w:val="00DE78B5"/>
    <w:rsid w:val="00DF040A"/>
    <w:rsid w:val="00DF20F4"/>
    <w:rsid w:val="00DF67F8"/>
    <w:rsid w:val="00DF6E70"/>
    <w:rsid w:val="00E11294"/>
    <w:rsid w:val="00E17C9D"/>
    <w:rsid w:val="00E20A5C"/>
    <w:rsid w:val="00E20CD1"/>
    <w:rsid w:val="00E31390"/>
    <w:rsid w:val="00E31B84"/>
    <w:rsid w:val="00E334DF"/>
    <w:rsid w:val="00E44730"/>
    <w:rsid w:val="00E47BE0"/>
    <w:rsid w:val="00E5002A"/>
    <w:rsid w:val="00E50E41"/>
    <w:rsid w:val="00E52C54"/>
    <w:rsid w:val="00E549E6"/>
    <w:rsid w:val="00E560E6"/>
    <w:rsid w:val="00E603BF"/>
    <w:rsid w:val="00E640C4"/>
    <w:rsid w:val="00E722BE"/>
    <w:rsid w:val="00E84816"/>
    <w:rsid w:val="00E85491"/>
    <w:rsid w:val="00E859D3"/>
    <w:rsid w:val="00E87365"/>
    <w:rsid w:val="00E93FC2"/>
    <w:rsid w:val="00EA6BBB"/>
    <w:rsid w:val="00EB09E6"/>
    <w:rsid w:val="00EC1521"/>
    <w:rsid w:val="00EC1B52"/>
    <w:rsid w:val="00EC4AAB"/>
    <w:rsid w:val="00ED2188"/>
    <w:rsid w:val="00ED24AB"/>
    <w:rsid w:val="00EE3AA7"/>
    <w:rsid w:val="00EE4F27"/>
    <w:rsid w:val="00EE6E11"/>
    <w:rsid w:val="00EF5089"/>
    <w:rsid w:val="00EF7DE8"/>
    <w:rsid w:val="00F0310F"/>
    <w:rsid w:val="00F034F4"/>
    <w:rsid w:val="00F0436C"/>
    <w:rsid w:val="00F0593D"/>
    <w:rsid w:val="00F07F57"/>
    <w:rsid w:val="00F13EE4"/>
    <w:rsid w:val="00F248F0"/>
    <w:rsid w:val="00F270D4"/>
    <w:rsid w:val="00F34ED7"/>
    <w:rsid w:val="00F35A57"/>
    <w:rsid w:val="00F436A4"/>
    <w:rsid w:val="00F43DED"/>
    <w:rsid w:val="00F4470B"/>
    <w:rsid w:val="00F5151C"/>
    <w:rsid w:val="00F55A27"/>
    <w:rsid w:val="00F578DB"/>
    <w:rsid w:val="00F73283"/>
    <w:rsid w:val="00F748D6"/>
    <w:rsid w:val="00F74D3A"/>
    <w:rsid w:val="00F82AA6"/>
    <w:rsid w:val="00F87B89"/>
    <w:rsid w:val="00F9151A"/>
    <w:rsid w:val="00F919F1"/>
    <w:rsid w:val="00F92938"/>
    <w:rsid w:val="00F935C3"/>
    <w:rsid w:val="00FA1831"/>
    <w:rsid w:val="00FB2540"/>
    <w:rsid w:val="00FB45FD"/>
    <w:rsid w:val="00FB4656"/>
    <w:rsid w:val="00FC47C7"/>
    <w:rsid w:val="00FC7AC3"/>
    <w:rsid w:val="00FC7C49"/>
    <w:rsid w:val="00FD4EFE"/>
    <w:rsid w:val="00FE6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CF8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C39"/>
  </w:style>
  <w:style w:type="paragraph" w:styleId="Heading1">
    <w:name w:val="heading 1"/>
    <w:basedOn w:val="Normal"/>
    <w:next w:val="Normal"/>
    <w:link w:val="Heading1Char"/>
    <w:uiPriority w:val="9"/>
    <w:qFormat/>
    <w:rsid w:val="00463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3E"/>
    <w:rPr>
      <w:rFonts w:ascii="Segoe UI" w:hAnsi="Segoe UI" w:cs="Segoe UI"/>
      <w:sz w:val="18"/>
      <w:szCs w:val="18"/>
    </w:rPr>
  </w:style>
  <w:style w:type="paragraph" w:styleId="Header">
    <w:name w:val="header"/>
    <w:basedOn w:val="Normal"/>
    <w:link w:val="HeaderChar"/>
    <w:uiPriority w:val="99"/>
    <w:unhideWhenUsed/>
    <w:rsid w:val="00771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051"/>
  </w:style>
  <w:style w:type="paragraph" w:styleId="Footer">
    <w:name w:val="footer"/>
    <w:basedOn w:val="Normal"/>
    <w:link w:val="FooterChar"/>
    <w:uiPriority w:val="99"/>
    <w:unhideWhenUsed/>
    <w:rsid w:val="00771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051"/>
  </w:style>
  <w:style w:type="paragraph" w:customStyle="1" w:styleId="DocumentTitle">
    <w:name w:val="Document Title"/>
    <w:basedOn w:val="Header"/>
    <w:qFormat/>
    <w:rsid w:val="00771051"/>
    <w:pPr>
      <w:tabs>
        <w:tab w:val="clear" w:pos="9026"/>
        <w:tab w:val="left" w:pos="6946"/>
      </w:tabs>
      <w:spacing w:before="840" w:after="120"/>
    </w:pPr>
    <w:rPr>
      <w:rFonts w:ascii="Arial" w:eastAsia="Calibri" w:hAnsi="Arial" w:cs="Arial"/>
      <w:b/>
      <w:color w:val="430098"/>
      <w:sz w:val="40"/>
      <w:szCs w:val="40"/>
      <w:lang w:val="en-GB"/>
    </w:rPr>
  </w:style>
  <w:style w:type="paragraph" w:customStyle="1" w:styleId="Body">
    <w:name w:val="Body"/>
    <w:basedOn w:val="Normal"/>
    <w:qFormat/>
    <w:rsid w:val="00771051"/>
    <w:pPr>
      <w:widowControl w:val="0"/>
      <w:suppressAutoHyphens/>
      <w:autoSpaceDE w:val="0"/>
      <w:autoSpaceDN w:val="0"/>
      <w:adjustRightInd w:val="0"/>
      <w:spacing w:after="240" w:line="240" w:lineRule="auto"/>
      <w:textAlignment w:val="center"/>
    </w:pPr>
    <w:rPr>
      <w:rFonts w:ascii="Calibri" w:eastAsia="Calibri" w:hAnsi="Calibri" w:cs="PostGrotesk-Book"/>
      <w:color w:val="55565A"/>
      <w:lang w:val="en-GB"/>
    </w:rPr>
  </w:style>
  <w:style w:type="paragraph" w:customStyle="1" w:styleId="SectionHeading1">
    <w:name w:val="Section Heading 1"/>
    <w:basedOn w:val="Normal"/>
    <w:qFormat/>
    <w:rsid w:val="00771051"/>
    <w:pPr>
      <w:widowControl w:val="0"/>
      <w:suppressAutoHyphens/>
      <w:autoSpaceDE w:val="0"/>
      <w:autoSpaceDN w:val="0"/>
      <w:adjustRightInd w:val="0"/>
      <w:spacing w:after="120" w:line="288" w:lineRule="auto"/>
      <w:textAlignment w:val="center"/>
    </w:pPr>
    <w:rPr>
      <w:rFonts w:ascii="Calibri" w:eastAsia="Calibri" w:hAnsi="Calibri" w:cs="PostGrotesk-Medium"/>
      <w:color w:val="430098"/>
      <w:sz w:val="28"/>
      <w:szCs w:val="28"/>
      <w:lang w:val="en-GB"/>
    </w:rPr>
  </w:style>
  <w:style w:type="character" w:styleId="Hyperlink">
    <w:name w:val="Hyperlink"/>
    <w:uiPriority w:val="99"/>
    <w:rsid w:val="00771051"/>
    <w:rPr>
      <w:color w:val="430098"/>
      <w:w w:val="100"/>
      <w:u w:val="single" w:color="430098"/>
    </w:rPr>
  </w:style>
  <w:style w:type="paragraph" w:styleId="FootnoteText">
    <w:name w:val="footnote text"/>
    <w:basedOn w:val="Normal"/>
    <w:link w:val="FootnoteTextChar"/>
    <w:uiPriority w:val="99"/>
    <w:semiHidden/>
    <w:unhideWhenUsed/>
    <w:rsid w:val="0077105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71051"/>
    <w:rPr>
      <w:rFonts w:eastAsia="Times New Roman" w:cs="Times New Roman"/>
      <w:sz w:val="20"/>
      <w:szCs w:val="20"/>
    </w:rPr>
  </w:style>
  <w:style w:type="character" w:styleId="FootnoteReference">
    <w:name w:val="footnote reference"/>
    <w:basedOn w:val="DefaultParagraphFont"/>
    <w:uiPriority w:val="99"/>
    <w:semiHidden/>
    <w:unhideWhenUsed/>
    <w:rsid w:val="00771051"/>
    <w:rPr>
      <w:vertAlign w:val="superscript"/>
    </w:rPr>
  </w:style>
  <w:style w:type="character" w:styleId="CommentReference">
    <w:name w:val="annotation reference"/>
    <w:basedOn w:val="DefaultParagraphFont"/>
    <w:uiPriority w:val="99"/>
    <w:semiHidden/>
    <w:unhideWhenUsed/>
    <w:rsid w:val="00BB1429"/>
    <w:rPr>
      <w:sz w:val="16"/>
      <w:szCs w:val="16"/>
    </w:rPr>
  </w:style>
  <w:style w:type="paragraph" w:styleId="CommentText">
    <w:name w:val="annotation text"/>
    <w:basedOn w:val="Normal"/>
    <w:link w:val="CommentTextChar"/>
    <w:uiPriority w:val="99"/>
    <w:unhideWhenUsed/>
    <w:rsid w:val="00BB1429"/>
    <w:pPr>
      <w:spacing w:line="240" w:lineRule="auto"/>
    </w:pPr>
    <w:rPr>
      <w:sz w:val="20"/>
      <w:szCs w:val="20"/>
    </w:rPr>
  </w:style>
  <w:style w:type="character" w:customStyle="1" w:styleId="CommentTextChar">
    <w:name w:val="Comment Text Char"/>
    <w:basedOn w:val="DefaultParagraphFont"/>
    <w:link w:val="CommentText"/>
    <w:uiPriority w:val="99"/>
    <w:rsid w:val="00BB1429"/>
    <w:rPr>
      <w:sz w:val="20"/>
      <w:szCs w:val="20"/>
    </w:rPr>
  </w:style>
  <w:style w:type="paragraph" w:styleId="CommentSubject">
    <w:name w:val="annotation subject"/>
    <w:basedOn w:val="CommentText"/>
    <w:next w:val="CommentText"/>
    <w:link w:val="CommentSubjectChar"/>
    <w:uiPriority w:val="99"/>
    <w:semiHidden/>
    <w:unhideWhenUsed/>
    <w:rsid w:val="00BB1429"/>
    <w:rPr>
      <w:b/>
      <w:bCs/>
    </w:rPr>
  </w:style>
  <w:style w:type="character" w:customStyle="1" w:styleId="CommentSubjectChar">
    <w:name w:val="Comment Subject Char"/>
    <w:basedOn w:val="CommentTextChar"/>
    <w:link w:val="CommentSubject"/>
    <w:uiPriority w:val="99"/>
    <w:semiHidden/>
    <w:rsid w:val="00BB1429"/>
    <w:rPr>
      <w:b/>
      <w:bCs/>
      <w:sz w:val="20"/>
      <w:szCs w:val="20"/>
    </w:rPr>
  </w:style>
  <w:style w:type="paragraph" w:customStyle="1" w:styleId="BodyCopy">
    <w:name w:val="Body Copy"/>
    <w:basedOn w:val="Normal"/>
    <w:uiPriority w:val="99"/>
    <w:qFormat/>
    <w:rsid w:val="00463989"/>
    <w:pPr>
      <w:widowControl w:val="0"/>
      <w:suppressAutoHyphens/>
      <w:autoSpaceDE w:val="0"/>
      <w:autoSpaceDN w:val="0"/>
      <w:adjustRightInd w:val="0"/>
      <w:spacing w:before="120" w:after="200" w:line="264" w:lineRule="auto"/>
      <w:textAlignment w:val="center"/>
    </w:pPr>
    <w:rPr>
      <w:rFonts w:eastAsia="Times New Roman" w:cs="National-Book"/>
      <w:color w:val="55565A"/>
      <w:lang w:val="en-US"/>
    </w:rPr>
  </w:style>
  <w:style w:type="paragraph" w:styleId="ListParagraph">
    <w:name w:val="List Paragraph"/>
    <w:basedOn w:val="Normal"/>
    <w:uiPriority w:val="34"/>
    <w:qFormat/>
    <w:rsid w:val="00463989"/>
    <w:pPr>
      <w:spacing w:after="0" w:line="240" w:lineRule="auto"/>
      <w:ind w:left="720"/>
      <w:contextualSpacing/>
    </w:pPr>
    <w:rPr>
      <w:rFonts w:eastAsia="Times New Roman" w:cs="Times New Roman"/>
      <w:szCs w:val="24"/>
    </w:rPr>
  </w:style>
  <w:style w:type="table" w:styleId="GridTable4-Accent4">
    <w:name w:val="Grid Table 4 Accent 4"/>
    <w:basedOn w:val="TableNormal"/>
    <w:uiPriority w:val="49"/>
    <w:rsid w:val="00463989"/>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SectionHeading">
    <w:name w:val="Section Heading"/>
    <w:basedOn w:val="Heading1"/>
    <w:qFormat/>
    <w:rsid w:val="00463989"/>
    <w:pPr>
      <w:keepNext w:val="0"/>
      <w:keepLines w:val="0"/>
      <w:spacing w:before="120" w:after="160" w:line="264" w:lineRule="auto"/>
    </w:pPr>
    <w:rPr>
      <w:rFonts w:ascii="Calibri" w:eastAsia="Times New Roman" w:hAnsi="Calibri" w:cs="Times New Roman"/>
      <w:b/>
      <w:color w:val="5620A9"/>
    </w:rPr>
  </w:style>
  <w:style w:type="character" w:customStyle="1" w:styleId="Heading1Char">
    <w:name w:val="Heading 1 Char"/>
    <w:basedOn w:val="DefaultParagraphFont"/>
    <w:link w:val="Heading1"/>
    <w:uiPriority w:val="9"/>
    <w:rsid w:val="0046398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63989"/>
    <w:rPr>
      <w:color w:val="605E5C"/>
      <w:shd w:val="clear" w:color="auto" w:fill="E1DFDD"/>
    </w:rPr>
  </w:style>
  <w:style w:type="paragraph" w:styleId="Revision">
    <w:name w:val="Revision"/>
    <w:hidden/>
    <w:uiPriority w:val="99"/>
    <w:semiHidden/>
    <w:rsid w:val="00920E81"/>
    <w:pPr>
      <w:spacing w:after="0" w:line="240" w:lineRule="auto"/>
    </w:pPr>
  </w:style>
  <w:style w:type="character" w:styleId="Emphasis">
    <w:name w:val="Emphasis"/>
    <w:basedOn w:val="DefaultParagraphFont"/>
    <w:uiPriority w:val="20"/>
    <w:qFormat/>
    <w:rsid w:val="00B25FB0"/>
    <w:rPr>
      <w:i/>
      <w:iCs/>
    </w:rPr>
  </w:style>
  <w:style w:type="table" w:styleId="TableGrid">
    <w:name w:val="Table Grid"/>
    <w:basedOn w:val="TableNormal"/>
    <w:uiPriority w:val="39"/>
    <w:rsid w:val="0040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7277"/>
    <w:rPr>
      <w:color w:val="954F72" w:themeColor="followedHyperlink"/>
      <w:u w:val="single"/>
    </w:rPr>
  </w:style>
  <w:style w:type="table" w:styleId="TableGridLight">
    <w:name w:val="Grid Table Light"/>
    <w:basedOn w:val="TableNormal"/>
    <w:uiPriority w:val="40"/>
    <w:rsid w:val="00197E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344">
      <w:bodyDiv w:val="1"/>
      <w:marLeft w:val="0"/>
      <w:marRight w:val="0"/>
      <w:marTop w:val="0"/>
      <w:marBottom w:val="0"/>
      <w:divBdr>
        <w:top w:val="none" w:sz="0" w:space="0" w:color="auto"/>
        <w:left w:val="none" w:sz="0" w:space="0" w:color="auto"/>
        <w:bottom w:val="none" w:sz="0" w:space="0" w:color="auto"/>
        <w:right w:val="none" w:sz="0" w:space="0" w:color="auto"/>
      </w:divBdr>
    </w:div>
    <w:div w:id="66611263">
      <w:bodyDiv w:val="1"/>
      <w:marLeft w:val="0"/>
      <w:marRight w:val="0"/>
      <w:marTop w:val="0"/>
      <w:marBottom w:val="0"/>
      <w:divBdr>
        <w:top w:val="none" w:sz="0" w:space="0" w:color="auto"/>
        <w:left w:val="none" w:sz="0" w:space="0" w:color="auto"/>
        <w:bottom w:val="none" w:sz="0" w:space="0" w:color="auto"/>
        <w:right w:val="none" w:sz="0" w:space="0" w:color="auto"/>
      </w:divBdr>
    </w:div>
    <w:div w:id="150871728">
      <w:bodyDiv w:val="1"/>
      <w:marLeft w:val="0"/>
      <w:marRight w:val="0"/>
      <w:marTop w:val="0"/>
      <w:marBottom w:val="0"/>
      <w:divBdr>
        <w:top w:val="none" w:sz="0" w:space="0" w:color="auto"/>
        <w:left w:val="none" w:sz="0" w:space="0" w:color="auto"/>
        <w:bottom w:val="none" w:sz="0" w:space="0" w:color="auto"/>
        <w:right w:val="none" w:sz="0" w:space="0" w:color="auto"/>
      </w:divBdr>
    </w:div>
    <w:div w:id="187573924">
      <w:bodyDiv w:val="1"/>
      <w:marLeft w:val="0"/>
      <w:marRight w:val="0"/>
      <w:marTop w:val="0"/>
      <w:marBottom w:val="0"/>
      <w:divBdr>
        <w:top w:val="none" w:sz="0" w:space="0" w:color="auto"/>
        <w:left w:val="none" w:sz="0" w:space="0" w:color="auto"/>
        <w:bottom w:val="none" w:sz="0" w:space="0" w:color="auto"/>
        <w:right w:val="none" w:sz="0" w:space="0" w:color="auto"/>
      </w:divBdr>
    </w:div>
    <w:div w:id="271861686">
      <w:bodyDiv w:val="1"/>
      <w:marLeft w:val="0"/>
      <w:marRight w:val="0"/>
      <w:marTop w:val="0"/>
      <w:marBottom w:val="0"/>
      <w:divBdr>
        <w:top w:val="none" w:sz="0" w:space="0" w:color="auto"/>
        <w:left w:val="none" w:sz="0" w:space="0" w:color="auto"/>
        <w:bottom w:val="none" w:sz="0" w:space="0" w:color="auto"/>
        <w:right w:val="none" w:sz="0" w:space="0" w:color="auto"/>
      </w:divBdr>
    </w:div>
    <w:div w:id="306202495">
      <w:bodyDiv w:val="1"/>
      <w:marLeft w:val="0"/>
      <w:marRight w:val="0"/>
      <w:marTop w:val="0"/>
      <w:marBottom w:val="0"/>
      <w:divBdr>
        <w:top w:val="none" w:sz="0" w:space="0" w:color="auto"/>
        <w:left w:val="none" w:sz="0" w:space="0" w:color="auto"/>
        <w:bottom w:val="none" w:sz="0" w:space="0" w:color="auto"/>
        <w:right w:val="none" w:sz="0" w:space="0" w:color="auto"/>
      </w:divBdr>
    </w:div>
    <w:div w:id="316883750">
      <w:bodyDiv w:val="1"/>
      <w:marLeft w:val="0"/>
      <w:marRight w:val="0"/>
      <w:marTop w:val="0"/>
      <w:marBottom w:val="0"/>
      <w:divBdr>
        <w:top w:val="none" w:sz="0" w:space="0" w:color="auto"/>
        <w:left w:val="none" w:sz="0" w:space="0" w:color="auto"/>
        <w:bottom w:val="none" w:sz="0" w:space="0" w:color="auto"/>
        <w:right w:val="none" w:sz="0" w:space="0" w:color="auto"/>
      </w:divBdr>
    </w:div>
    <w:div w:id="460080143">
      <w:bodyDiv w:val="1"/>
      <w:marLeft w:val="0"/>
      <w:marRight w:val="0"/>
      <w:marTop w:val="0"/>
      <w:marBottom w:val="0"/>
      <w:divBdr>
        <w:top w:val="none" w:sz="0" w:space="0" w:color="auto"/>
        <w:left w:val="none" w:sz="0" w:space="0" w:color="auto"/>
        <w:bottom w:val="none" w:sz="0" w:space="0" w:color="auto"/>
        <w:right w:val="none" w:sz="0" w:space="0" w:color="auto"/>
      </w:divBdr>
    </w:div>
    <w:div w:id="472530052">
      <w:bodyDiv w:val="1"/>
      <w:marLeft w:val="0"/>
      <w:marRight w:val="0"/>
      <w:marTop w:val="0"/>
      <w:marBottom w:val="0"/>
      <w:divBdr>
        <w:top w:val="none" w:sz="0" w:space="0" w:color="auto"/>
        <w:left w:val="none" w:sz="0" w:space="0" w:color="auto"/>
        <w:bottom w:val="none" w:sz="0" w:space="0" w:color="auto"/>
        <w:right w:val="none" w:sz="0" w:space="0" w:color="auto"/>
      </w:divBdr>
    </w:div>
    <w:div w:id="550962041">
      <w:bodyDiv w:val="1"/>
      <w:marLeft w:val="0"/>
      <w:marRight w:val="0"/>
      <w:marTop w:val="0"/>
      <w:marBottom w:val="0"/>
      <w:divBdr>
        <w:top w:val="none" w:sz="0" w:space="0" w:color="auto"/>
        <w:left w:val="none" w:sz="0" w:space="0" w:color="auto"/>
        <w:bottom w:val="none" w:sz="0" w:space="0" w:color="auto"/>
        <w:right w:val="none" w:sz="0" w:space="0" w:color="auto"/>
      </w:divBdr>
    </w:div>
    <w:div w:id="555164817">
      <w:bodyDiv w:val="1"/>
      <w:marLeft w:val="0"/>
      <w:marRight w:val="0"/>
      <w:marTop w:val="0"/>
      <w:marBottom w:val="0"/>
      <w:divBdr>
        <w:top w:val="none" w:sz="0" w:space="0" w:color="auto"/>
        <w:left w:val="none" w:sz="0" w:space="0" w:color="auto"/>
        <w:bottom w:val="none" w:sz="0" w:space="0" w:color="auto"/>
        <w:right w:val="none" w:sz="0" w:space="0" w:color="auto"/>
      </w:divBdr>
    </w:div>
    <w:div w:id="555315153">
      <w:bodyDiv w:val="1"/>
      <w:marLeft w:val="0"/>
      <w:marRight w:val="0"/>
      <w:marTop w:val="0"/>
      <w:marBottom w:val="0"/>
      <w:divBdr>
        <w:top w:val="none" w:sz="0" w:space="0" w:color="auto"/>
        <w:left w:val="none" w:sz="0" w:space="0" w:color="auto"/>
        <w:bottom w:val="none" w:sz="0" w:space="0" w:color="auto"/>
        <w:right w:val="none" w:sz="0" w:space="0" w:color="auto"/>
      </w:divBdr>
    </w:div>
    <w:div w:id="558905442">
      <w:bodyDiv w:val="1"/>
      <w:marLeft w:val="0"/>
      <w:marRight w:val="0"/>
      <w:marTop w:val="0"/>
      <w:marBottom w:val="0"/>
      <w:divBdr>
        <w:top w:val="none" w:sz="0" w:space="0" w:color="auto"/>
        <w:left w:val="none" w:sz="0" w:space="0" w:color="auto"/>
        <w:bottom w:val="none" w:sz="0" w:space="0" w:color="auto"/>
        <w:right w:val="none" w:sz="0" w:space="0" w:color="auto"/>
      </w:divBdr>
    </w:div>
    <w:div w:id="595796880">
      <w:bodyDiv w:val="1"/>
      <w:marLeft w:val="0"/>
      <w:marRight w:val="0"/>
      <w:marTop w:val="0"/>
      <w:marBottom w:val="0"/>
      <w:divBdr>
        <w:top w:val="none" w:sz="0" w:space="0" w:color="auto"/>
        <w:left w:val="none" w:sz="0" w:space="0" w:color="auto"/>
        <w:bottom w:val="none" w:sz="0" w:space="0" w:color="auto"/>
        <w:right w:val="none" w:sz="0" w:space="0" w:color="auto"/>
      </w:divBdr>
    </w:div>
    <w:div w:id="644743401">
      <w:bodyDiv w:val="1"/>
      <w:marLeft w:val="0"/>
      <w:marRight w:val="0"/>
      <w:marTop w:val="0"/>
      <w:marBottom w:val="0"/>
      <w:divBdr>
        <w:top w:val="none" w:sz="0" w:space="0" w:color="auto"/>
        <w:left w:val="none" w:sz="0" w:space="0" w:color="auto"/>
        <w:bottom w:val="none" w:sz="0" w:space="0" w:color="auto"/>
        <w:right w:val="none" w:sz="0" w:space="0" w:color="auto"/>
      </w:divBdr>
    </w:div>
    <w:div w:id="655037923">
      <w:bodyDiv w:val="1"/>
      <w:marLeft w:val="0"/>
      <w:marRight w:val="0"/>
      <w:marTop w:val="0"/>
      <w:marBottom w:val="0"/>
      <w:divBdr>
        <w:top w:val="none" w:sz="0" w:space="0" w:color="auto"/>
        <w:left w:val="none" w:sz="0" w:space="0" w:color="auto"/>
        <w:bottom w:val="none" w:sz="0" w:space="0" w:color="auto"/>
        <w:right w:val="none" w:sz="0" w:space="0" w:color="auto"/>
      </w:divBdr>
    </w:div>
    <w:div w:id="744913144">
      <w:bodyDiv w:val="1"/>
      <w:marLeft w:val="0"/>
      <w:marRight w:val="0"/>
      <w:marTop w:val="0"/>
      <w:marBottom w:val="0"/>
      <w:divBdr>
        <w:top w:val="none" w:sz="0" w:space="0" w:color="auto"/>
        <w:left w:val="none" w:sz="0" w:space="0" w:color="auto"/>
        <w:bottom w:val="none" w:sz="0" w:space="0" w:color="auto"/>
        <w:right w:val="none" w:sz="0" w:space="0" w:color="auto"/>
      </w:divBdr>
    </w:div>
    <w:div w:id="788816693">
      <w:bodyDiv w:val="1"/>
      <w:marLeft w:val="0"/>
      <w:marRight w:val="0"/>
      <w:marTop w:val="0"/>
      <w:marBottom w:val="0"/>
      <w:divBdr>
        <w:top w:val="none" w:sz="0" w:space="0" w:color="auto"/>
        <w:left w:val="none" w:sz="0" w:space="0" w:color="auto"/>
        <w:bottom w:val="none" w:sz="0" w:space="0" w:color="auto"/>
        <w:right w:val="none" w:sz="0" w:space="0" w:color="auto"/>
      </w:divBdr>
    </w:div>
    <w:div w:id="844132046">
      <w:bodyDiv w:val="1"/>
      <w:marLeft w:val="0"/>
      <w:marRight w:val="0"/>
      <w:marTop w:val="0"/>
      <w:marBottom w:val="0"/>
      <w:divBdr>
        <w:top w:val="none" w:sz="0" w:space="0" w:color="auto"/>
        <w:left w:val="none" w:sz="0" w:space="0" w:color="auto"/>
        <w:bottom w:val="none" w:sz="0" w:space="0" w:color="auto"/>
        <w:right w:val="none" w:sz="0" w:space="0" w:color="auto"/>
      </w:divBdr>
    </w:div>
    <w:div w:id="910458090">
      <w:bodyDiv w:val="1"/>
      <w:marLeft w:val="0"/>
      <w:marRight w:val="0"/>
      <w:marTop w:val="0"/>
      <w:marBottom w:val="0"/>
      <w:divBdr>
        <w:top w:val="none" w:sz="0" w:space="0" w:color="auto"/>
        <w:left w:val="none" w:sz="0" w:space="0" w:color="auto"/>
        <w:bottom w:val="none" w:sz="0" w:space="0" w:color="auto"/>
        <w:right w:val="none" w:sz="0" w:space="0" w:color="auto"/>
      </w:divBdr>
    </w:div>
    <w:div w:id="948780322">
      <w:bodyDiv w:val="1"/>
      <w:marLeft w:val="0"/>
      <w:marRight w:val="0"/>
      <w:marTop w:val="0"/>
      <w:marBottom w:val="0"/>
      <w:divBdr>
        <w:top w:val="none" w:sz="0" w:space="0" w:color="auto"/>
        <w:left w:val="none" w:sz="0" w:space="0" w:color="auto"/>
        <w:bottom w:val="none" w:sz="0" w:space="0" w:color="auto"/>
        <w:right w:val="none" w:sz="0" w:space="0" w:color="auto"/>
      </w:divBdr>
    </w:div>
    <w:div w:id="1029332975">
      <w:bodyDiv w:val="1"/>
      <w:marLeft w:val="0"/>
      <w:marRight w:val="0"/>
      <w:marTop w:val="0"/>
      <w:marBottom w:val="0"/>
      <w:divBdr>
        <w:top w:val="none" w:sz="0" w:space="0" w:color="auto"/>
        <w:left w:val="none" w:sz="0" w:space="0" w:color="auto"/>
        <w:bottom w:val="none" w:sz="0" w:space="0" w:color="auto"/>
        <w:right w:val="none" w:sz="0" w:space="0" w:color="auto"/>
      </w:divBdr>
    </w:div>
    <w:div w:id="1059286752">
      <w:bodyDiv w:val="1"/>
      <w:marLeft w:val="0"/>
      <w:marRight w:val="0"/>
      <w:marTop w:val="0"/>
      <w:marBottom w:val="0"/>
      <w:divBdr>
        <w:top w:val="none" w:sz="0" w:space="0" w:color="auto"/>
        <w:left w:val="none" w:sz="0" w:space="0" w:color="auto"/>
        <w:bottom w:val="none" w:sz="0" w:space="0" w:color="auto"/>
        <w:right w:val="none" w:sz="0" w:space="0" w:color="auto"/>
      </w:divBdr>
    </w:div>
    <w:div w:id="1082677241">
      <w:bodyDiv w:val="1"/>
      <w:marLeft w:val="0"/>
      <w:marRight w:val="0"/>
      <w:marTop w:val="0"/>
      <w:marBottom w:val="0"/>
      <w:divBdr>
        <w:top w:val="none" w:sz="0" w:space="0" w:color="auto"/>
        <w:left w:val="none" w:sz="0" w:space="0" w:color="auto"/>
        <w:bottom w:val="none" w:sz="0" w:space="0" w:color="auto"/>
        <w:right w:val="none" w:sz="0" w:space="0" w:color="auto"/>
      </w:divBdr>
    </w:div>
    <w:div w:id="1149712945">
      <w:bodyDiv w:val="1"/>
      <w:marLeft w:val="0"/>
      <w:marRight w:val="0"/>
      <w:marTop w:val="0"/>
      <w:marBottom w:val="0"/>
      <w:divBdr>
        <w:top w:val="none" w:sz="0" w:space="0" w:color="auto"/>
        <w:left w:val="none" w:sz="0" w:space="0" w:color="auto"/>
        <w:bottom w:val="none" w:sz="0" w:space="0" w:color="auto"/>
        <w:right w:val="none" w:sz="0" w:space="0" w:color="auto"/>
      </w:divBdr>
    </w:div>
    <w:div w:id="1203513390">
      <w:bodyDiv w:val="1"/>
      <w:marLeft w:val="0"/>
      <w:marRight w:val="0"/>
      <w:marTop w:val="0"/>
      <w:marBottom w:val="0"/>
      <w:divBdr>
        <w:top w:val="none" w:sz="0" w:space="0" w:color="auto"/>
        <w:left w:val="none" w:sz="0" w:space="0" w:color="auto"/>
        <w:bottom w:val="none" w:sz="0" w:space="0" w:color="auto"/>
        <w:right w:val="none" w:sz="0" w:space="0" w:color="auto"/>
      </w:divBdr>
    </w:div>
    <w:div w:id="1309675947">
      <w:bodyDiv w:val="1"/>
      <w:marLeft w:val="0"/>
      <w:marRight w:val="0"/>
      <w:marTop w:val="0"/>
      <w:marBottom w:val="0"/>
      <w:divBdr>
        <w:top w:val="none" w:sz="0" w:space="0" w:color="auto"/>
        <w:left w:val="none" w:sz="0" w:space="0" w:color="auto"/>
        <w:bottom w:val="none" w:sz="0" w:space="0" w:color="auto"/>
        <w:right w:val="none" w:sz="0" w:space="0" w:color="auto"/>
      </w:divBdr>
    </w:div>
    <w:div w:id="1312370738">
      <w:bodyDiv w:val="1"/>
      <w:marLeft w:val="0"/>
      <w:marRight w:val="0"/>
      <w:marTop w:val="0"/>
      <w:marBottom w:val="0"/>
      <w:divBdr>
        <w:top w:val="none" w:sz="0" w:space="0" w:color="auto"/>
        <w:left w:val="none" w:sz="0" w:space="0" w:color="auto"/>
        <w:bottom w:val="none" w:sz="0" w:space="0" w:color="auto"/>
        <w:right w:val="none" w:sz="0" w:space="0" w:color="auto"/>
      </w:divBdr>
    </w:div>
    <w:div w:id="1371690662">
      <w:bodyDiv w:val="1"/>
      <w:marLeft w:val="0"/>
      <w:marRight w:val="0"/>
      <w:marTop w:val="0"/>
      <w:marBottom w:val="0"/>
      <w:divBdr>
        <w:top w:val="none" w:sz="0" w:space="0" w:color="auto"/>
        <w:left w:val="none" w:sz="0" w:space="0" w:color="auto"/>
        <w:bottom w:val="none" w:sz="0" w:space="0" w:color="auto"/>
        <w:right w:val="none" w:sz="0" w:space="0" w:color="auto"/>
      </w:divBdr>
    </w:div>
    <w:div w:id="1393231517">
      <w:bodyDiv w:val="1"/>
      <w:marLeft w:val="0"/>
      <w:marRight w:val="0"/>
      <w:marTop w:val="0"/>
      <w:marBottom w:val="0"/>
      <w:divBdr>
        <w:top w:val="none" w:sz="0" w:space="0" w:color="auto"/>
        <w:left w:val="none" w:sz="0" w:space="0" w:color="auto"/>
        <w:bottom w:val="none" w:sz="0" w:space="0" w:color="auto"/>
        <w:right w:val="none" w:sz="0" w:space="0" w:color="auto"/>
      </w:divBdr>
    </w:div>
    <w:div w:id="1489902198">
      <w:bodyDiv w:val="1"/>
      <w:marLeft w:val="0"/>
      <w:marRight w:val="0"/>
      <w:marTop w:val="0"/>
      <w:marBottom w:val="0"/>
      <w:divBdr>
        <w:top w:val="none" w:sz="0" w:space="0" w:color="auto"/>
        <w:left w:val="none" w:sz="0" w:space="0" w:color="auto"/>
        <w:bottom w:val="none" w:sz="0" w:space="0" w:color="auto"/>
        <w:right w:val="none" w:sz="0" w:space="0" w:color="auto"/>
      </w:divBdr>
    </w:div>
    <w:div w:id="1526560312">
      <w:bodyDiv w:val="1"/>
      <w:marLeft w:val="0"/>
      <w:marRight w:val="0"/>
      <w:marTop w:val="0"/>
      <w:marBottom w:val="0"/>
      <w:divBdr>
        <w:top w:val="none" w:sz="0" w:space="0" w:color="auto"/>
        <w:left w:val="none" w:sz="0" w:space="0" w:color="auto"/>
        <w:bottom w:val="none" w:sz="0" w:space="0" w:color="auto"/>
        <w:right w:val="none" w:sz="0" w:space="0" w:color="auto"/>
      </w:divBdr>
    </w:div>
    <w:div w:id="1563634045">
      <w:bodyDiv w:val="1"/>
      <w:marLeft w:val="0"/>
      <w:marRight w:val="0"/>
      <w:marTop w:val="0"/>
      <w:marBottom w:val="0"/>
      <w:divBdr>
        <w:top w:val="none" w:sz="0" w:space="0" w:color="auto"/>
        <w:left w:val="none" w:sz="0" w:space="0" w:color="auto"/>
        <w:bottom w:val="none" w:sz="0" w:space="0" w:color="auto"/>
        <w:right w:val="none" w:sz="0" w:space="0" w:color="auto"/>
      </w:divBdr>
    </w:div>
    <w:div w:id="1621644279">
      <w:bodyDiv w:val="1"/>
      <w:marLeft w:val="0"/>
      <w:marRight w:val="0"/>
      <w:marTop w:val="0"/>
      <w:marBottom w:val="0"/>
      <w:divBdr>
        <w:top w:val="none" w:sz="0" w:space="0" w:color="auto"/>
        <w:left w:val="none" w:sz="0" w:space="0" w:color="auto"/>
        <w:bottom w:val="none" w:sz="0" w:space="0" w:color="auto"/>
        <w:right w:val="none" w:sz="0" w:space="0" w:color="auto"/>
      </w:divBdr>
    </w:div>
    <w:div w:id="1646933738">
      <w:bodyDiv w:val="1"/>
      <w:marLeft w:val="0"/>
      <w:marRight w:val="0"/>
      <w:marTop w:val="0"/>
      <w:marBottom w:val="0"/>
      <w:divBdr>
        <w:top w:val="none" w:sz="0" w:space="0" w:color="auto"/>
        <w:left w:val="none" w:sz="0" w:space="0" w:color="auto"/>
        <w:bottom w:val="none" w:sz="0" w:space="0" w:color="auto"/>
        <w:right w:val="none" w:sz="0" w:space="0" w:color="auto"/>
      </w:divBdr>
    </w:div>
    <w:div w:id="1814789422">
      <w:bodyDiv w:val="1"/>
      <w:marLeft w:val="0"/>
      <w:marRight w:val="0"/>
      <w:marTop w:val="0"/>
      <w:marBottom w:val="0"/>
      <w:divBdr>
        <w:top w:val="none" w:sz="0" w:space="0" w:color="auto"/>
        <w:left w:val="none" w:sz="0" w:space="0" w:color="auto"/>
        <w:bottom w:val="none" w:sz="0" w:space="0" w:color="auto"/>
        <w:right w:val="none" w:sz="0" w:space="0" w:color="auto"/>
      </w:divBdr>
    </w:div>
    <w:div w:id="1891840831">
      <w:bodyDiv w:val="1"/>
      <w:marLeft w:val="0"/>
      <w:marRight w:val="0"/>
      <w:marTop w:val="0"/>
      <w:marBottom w:val="0"/>
      <w:divBdr>
        <w:top w:val="none" w:sz="0" w:space="0" w:color="auto"/>
        <w:left w:val="none" w:sz="0" w:space="0" w:color="auto"/>
        <w:bottom w:val="none" w:sz="0" w:space="0" w:color="auto"/>
        <w:right w:val="none" w:sz="0" w:space="0" w:color="auto"/>
      </w:divBdr>
    </w:div>
    <w:div w:id="1921593169">
      <w:bodyDiv w:val="1"/>
      <w:marLeft w:val="0"/>
      <w:marRight w:val="0"/>
      <w:marTop w:val="0"/>
      <w:marBottom w:val="0"/>
      <w:divBdr>
        <w:top w:val="none" w:sz="0" w:space="0" w:color="auto"/>
        <w:left w:val="none" w:sz="0" w:space="0" w:color="auto"/>
        <w:bottom w:val="none" w:sz="0" w:space="0" w:color="auto"/>
        <w:right w:val="none" w:sz="0" w:space="0" w:color="auto"/>
      </w:divBdr>
    </w:div>
    <w:div w:id="1938632047">
      <w:bodyDiv w:val="1"/>
      <w:marLeft w:val="0"/>
      <w:marRight w:val="0"/>
      <w:marTop w:val="0"/>
      <w:marBottom w:val="0"/>
      <w:divBdr>
        <w:top w:val="none" w:sz="0" w:space="0" w:color="auto"/>
        <w:left w:val="none" w:sz="0" w:space="0" w:color="auto"/>
        <w:bottom w:val="none" w:sz="0" w:space="0" w:color="auto"/>
        <w:right w:val="none" w:sz="0" w:space="0" w:color="auto"/>
      </w:divBdr>
    </w:div>
    <w:div w:id="2022731519">
      <w:bodyDiv w:val="1"/>
      <w:marLeft w:val="0"/>
      <w:marRight w:val="0"/>
      <w:marTop w:val="0"/>
      <w:marBottom w:val="0"/>
      <w:divBdr>
        <w:top w:val="none" w:sz="0" w:space="0" w:color="auto"/>
        <w:left w:val="none" w:sz="0" w:space="0" w:color="auto"/>
        <w:bottom w:val="none" w:sz="0" w:space="0" w:color="auto"/>
        <w:right w:val="none" w:sz="0" w:space="0" w:color="auto"/>
      </w:divBdr>
    </w:div>
    <w:div w:id="2056350108">
      <w:bodyDiv w:val="1"/>
      <w:marLeft w:val="0"/>
      <w:marRight w:val="0"/>
      <w:marTop w:val="0"/>
      <w:marBottom w:val="0"/>
      <w:divBdr>
        <w:top w:val="none" w:sz="0" w:space="0" w:color="auto"/>
        <w:left w:val="none" w:sz="0" w:space="0" w:color="auto"/>
        <w:bottom w:val="none" w:sz="0" w:space="0" w:color="auto"/>
        <w:right w:val="none" w:sz="0" w:space="0" w:color="auto"/>
      </w:divBdr>
    </w:div>
    <w:div w:id="20613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data-protection/incident-insights-report-from-january-2021-june-2021/" TargetMode="External"/><Relationship Id="rId13" Type="http://schemas.openxmlformats.org/officeDocument/2006/relationships/image" Target="media/image4.png"/><Relationship Id="rId18" Type="http://schemas.openxmlformats.org/officeDocument/2006/relationships/hyperlink" Target="https://ovic.vic.gov.au/information-security-and-privacy-incident-notification-for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oaic.gov.au/privacy/notifiable-data-breaches/notifiable-data-breaches-statistics/notifiable-data-breaches-report-january-june-2021" TargetMode="Externa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vic.vic.gov.au/audit-report-standard-2-of-the-victorian-protective-data-security-standards/"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ecurity@ovic.vic.gov.a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ovic.vic.gov.au/data-protection/agency-reporting-obligations/incident-notification/"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vic.vic.gov.au/data-protection/victorian-protective-data-security-standards-glossary-v2-1/" TargetMode="External"/><Relationship Id="rId22" Type="http://schemas.openxmlformats.org/officeDocument/2006/relationships/hyperlink" Target="https://www.oaic.gov.au/privacy/notifiable-data-breaches/notifiable-data-breaches-statistics/notifiable-data-breaches-report-january-june-2021"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EE7-E428-4E2E-AE4E-9EE3CBAC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2022-02-14T05:32:00Z</dcterms:created>
  <dcterms:modified xsi:type="dcterms:W3CDTF">2022-03-28T01:02:00Z</dcterms:modified>
</cp:coreProperties>
</file>