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43CD" w14:textId="29C9D39D" w:rsidR="001F40CB" w:rsidRDefault="009A120D" w:rsidP="001F40CB">
      <w:pPr>
        <w:pStyle w:val="Heading2"/>
        <w:shd w:val="clear" w:color="auto" w:fill="FFFFFF"/>
        <w:spacing w:before="120" w:beforeAutospacing="0" w:after="240" w:afterAutospacing="0"/>
        <w:rPr>
          <w:rFonts w:asciiTheme="minorHAnsi" w:hAnsiTheme="minorHAnsi" w:cstheme="minorHAnsi"/>
          <w:color w:val="430098"/>
          <w:sz w:val="28"/>
          <w:szCs w:val="28"/>
        </w:rPr>
      </w:pPr>
      <w:r w:rsidRPr="00A24424">
        <w:rPr>
          <w:rFonts w:asciiTheme="minorHAnsi" w:hAnsiTheme="minorHAnsi" w:cstheme="minorHAnsi"/>
          <w:color w:val="430098"/>
          <w:sz w:val="28"/>
          <w:szCs w:val="28"/>
        </w:rPr>
        <w:t>Background</w:t>
      </w:r>
    </w:p>
    <w:p w14:paraId="3E4BE72E" w14:textId="17493E4D" w:rsidR="00A607E2" w:rsidRDefault="006D71DA" w:rsidP="0007055B">
      <w:pPr>
        <w:pStyle w:val="Body"/>
      </w:pPr>
      <w:r>
        <w:t xml:space="preserve">The Complainant </w:t>
      </w:r>
      <w:r w:rsidR="00F85201">
        <w:t>had</w:t>
      </w:r>
      <w:r>
        <w:t xml:space="preserve"> </w:t>
      </w:r>
      <w:r w:rsidR="00F85201">
        <w:t xml:space="preserve">a </w:t>
      </w:r>
      <w:r>
        <w:t>custody</w:t>
      </w:r>
      <w:r w:rsidR="00F85201">
        <w:t xml:space="preserve"> dispute with his former partner about th</w:t>
      </w:r>
      <w:r>
        <w:t xml:space="preserve">eir </w:t>
      </w:r>
      <w:r w:rsidR="0048282F">
        <w:t xml:space="preserve">two </w:t>
      </w:r>
      <w:r>
        <w:t xml:space="preserve">children. The Complainant called </w:t>
      </w:r>
      <w:r w:rsidR="004118DB">
        <w:t>the</w:t>
      </w:r>
      <w:r>
        <w:t xml:space="preserve"> Child Support Agency (</w:t>
      </w:r>
      <w:r>
        <w:rPr>
          <w:b/>
          <w:bCs/>
        </w:rPr>
        <w:t>CSA</w:t>
      </w:r>
      <w:r>
        <w:t>)</w:t>
      </w:r>
      <w:r w:rsidR="0048282F">
        <w:t xml:space="preserve"> during which he</w:t>
      </w:r>
      <w:r w:rsidR="00F85201">
        <w:t xml:space="preserve"> made a threat to harm himself. The CSA notified Victoria Police, prompting them to perform a welfare check.</w:t>
      </w:r>
      <w:r w:rsidR="00A607E2">
        <w:t xml:space="preserve"> </w:t>
      </w:r>
    </w:p>
    <w:p w14:paraId="31850BAE" w14:textId="59936368" w:rsidR="006E6608" w:rsidRDefault="006E6608" w:rsidP="0007055B">
      <w:pPr>
        <w:pStyle w:val="Body"/>
      </w:pPr>
      <w:r>
        <w:t>Victoria Police assigned</w:t>
      </w:r>
      <w:r w:rsidR="000675E3">
        <w:t xml:space="preserve"> </w:t>
      </w:r>
      <w:r w:rsidR="004118DB">
        <w:t>officers, including a</w:t>
      </w:r>
      <w:r w:rsidR="000675E3">
        <w:t xml:space="preserve"> Leading Senior Constable (</w:t>
      </w:r>
      <w:r w:rsidR="000675E3">
        <w:rPr>
          <w:b/>
          <w:bCs/>
        </w:rPr>
        <w:t>LSC</w:t>
      </w:r>
      <w:r w:rsidR="000675E3">
        <w:t>)</w:t>
      </w:r>
      <w:r w:rsidR="004118DB">
        <w:t>,</w:t>
      </w:r>
      <w:r>
        <w:t xml:space="preserve"> to conduct the welfare check</w:t>
      </w:r>
      <w:r w:rsidR="00D923F5">
        <w:t xml:space="preserve">. LSC attended the Complainant’s home and, after being unable to locate him, contacted the Complainant’s </w:t>
      </w:r>
      <w:r w:rsidR="004118DB">
        <w:t xml:space="preserve">former </w:t>
      </w:r>
      <w:r w:rsidR="00D923F5">
        <w:t xml:space="preserve">partner to try and obtain his current whereabouts. In doing so, LSC </w:t>
      </w:r>
      <w:r>
        <w:t>disclosed that the Complainant had made a threat to harm himself. The Complainan</w:t>
      </w:r>
      <w:r w:rsidR="004118DB">
        <w:t>t asserted that his</w:t>
      </w:r>
      <w:r>
        <w:t xml:space="preserve"> former partner later used this information in the custody dispute </w:t>
      </w:r>
      <w:r w:rsidR="004118DB">
        <w:t>which led to his contact hours with his children being reduced.</w:t>
      </w:r>
      <w:r>
        <w:t xml:space="preserve"> </w:t>
      </w:r>
    </w:p>
    <w:p w14:paraId="782FC5C5" w14:textId="75EC6646" w:rsidR="005758B2" w:rsidRDefault="00F85201" w:rsidP="005758B2">
      <w:pPr>
        <w:pStyle w:val="Heading2"/>
        <w:shd w:val="clear" w:color="auto" w:fill="FFFFFF"/>
        <w:spacing w:before="120" w:beforeAutospacing="0" w:after="240" w:afterAutospacing="0"/>
        <w:rPr>
          <w:rFonts w:asciiTheme="minorHAnsi" w:hAnsiTheme="minorHAnsi" w:cstheme="minorHAnsi"/>
          <w:color w:val="430098"/>
          <w:sz w:val="28"/>
          <w:szCs w:val="28"/>
        </w:rPr>
      </w:pPr>
      <w:bookmarkStart w:id="0" w:name="_Hlk75510433"/>
      <w:r>
        <w:rPr>
          <w:rFonts w:asciiTheme="minorHAnsi" w:hAnsiTheme="minorHAnsi" w:cstheme="minorHAnsi"/>
          <w:color w:val="430098"/>
          <w:sz w:val="28"/>
          <w:szCs w:val="28"/>
        </w:rPr>
        <w:t xml:space="preserve">Submissions and </w:t>
      </w:r>
      <w:r w:rsidR="005758B2">
        <w:rPr>
          <w:rFonts w:asciiTheme="minorHAnsi" w:hAnsiTheme="minorHAnsi" w:cstheme="minorHAnsi"/>
          <w:color w:val="430098"/>
          <w:sz w:val="28"/>
          <w:szCs w:val="28"/>
        </w:rPr>
        <w:t>VCAT’s decision</w:t>
      </w:r>
    </w:p>
    <w:bookmarkEnd w:id="0"/>
    <w:p w14:paraId="04C23698" w14:textId="222E89C3" w:rsidR="006E6608" w:rsidRPr="00043189" w:rsidRDefault="00043189" w:rsidP="006E6608">
      <w:pPr>
        <w:pStyle w:val="Heading5"/>
        <w:shd w:val="clear" w:color="auto" w:fill="FFFFFF"/>
        <w:spacing w:before="375" w:beforeAutospacing="0" w:after="180" w:afterAutospacing="0"/>
        <w:rPr>
          <w:rFonts w:asciiTheme="minorHAnsi" w:hAnsiTheme="minorHAnsi" w:cstheme="minorHAnsi"/>
          <w:color w:val="430098"/>
          <w:sz w:val="24"/>
          <w:szCs w:val="24"/>
        </w:rPr>
      </w:pPr>
      <w:r w:rsidRPr="00043189">
        <w:rPr>
          <w:rFonts w:asciiTheme="minorHAnsi" w:hAnsiTheme="minorHAnsi" w:cstheme="minorHAnsi"/>
          <w:color w:val="430098"/>
          <w:sz w:val="24"/>
          <w:szCs w:val="24"/>
        </w:rPr>
        <w:t>IPP 2.1</w:t>
      </w:r>
    </w:p>
    <w:p w14:paraId="4F4E0FCB" w14:textId="6967434D" w:rsidR="000675E3" w:rsidRDefault="00836E60"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The Complainant alleged that Victoria Police breached IPP 2.1 when LSC disclosed to his former partner</w:t>
      </w:r>
      <w:r w:rsidR="00E731B8">
        <w:rPr>
          <w:rFonts w:ascii="Calibri" w:eastAsia="Calibri" w:hAnsi="Calibri" w:cs="PostGrotesk-Book"/>
          <w:b w:val="0"/>
          <w:bCs w:val="0"/>
          <w:color w:val="55565A"/>
          <w:sz w:val="22"/>
          <w:szCs w:val="22"/>
          <w:lang w:val="en-GB" w:eastAsia="en-US"/>
        </w:rPr>
        <w:t xml:space="preserve"> </w:t>
      </w:r>
      <w:r>
        <w:rPr>
          <w:rFonts w:ascii="Calibri" w:eastAsia="Calibri" w:hAnsi="Calibri" w:cs="PostGrotesk-Book"/>
          <w:b w:val="0"/>
          <w:bCs w:val="0"/>
          <w:color w:val="55565A"/>
          <w:sz w:val="22"/>
          <w:szCs w:val="22"/>
          <w:lang w:val="en-GB" w:eastAsia="en-US"/>
        </w:rPr>
        <w:t xml:space="preserve">that he had made a threat to harm himself. </w:t>
      </w:r>
    </w:p>
    <w:p w14:paraId="7A7C3AEC" w14:textId="77777777" w:rsidR="000675E3" w:rsidRDefault="000675E3"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p>
    <w:p w14:paraId="195C6BDB" w14:textId="172C31D8" w:rsidR="00E731B8" w:rsidRDefault="00836E60"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VCAT held that the disclosure was authorised</w:t>
      </w:r>
      <w:r w:rsidR="00294F6E">
        <w:rPr>
          <w:rFonts w:ascii="Calibri" w:eastAsia="Calibri" w:hAnsi="Calibri" w:cs="PostGrotesk-Book"/>
          <w:b w:val="0"/>
          <w:bCs w:val="0"/>
          <w:color w:val="55565A"/>
          <w:sz w:val="22"/>
          <w:szCs w:val="22"/>
          <w:lang w:val="en-GB" w:eastAsia="en-US"/>
        </w:rPr>
        <w:t>, primarily on the basis that</w:t>
      </w:r>
      <w:r>
        <w:rPr>
          <w:rFonts w:ascii="Calibri" w:eastAsia="Calibri" w:hAnsi="Calibri" w:cs="PostGrotesk-Book"/>
          <w:b w:val="0"/>
          <w:bCs w:val="0"/>
          <w:color w:val="55565A"/>
          <w:sz w:val="22"/>
          <w:szCs w:val="22"/>
          <w:lang w:val="en-GB" w:eastAsia="en-US"/>
        </w:rPr>
        <w:t xml:space="preserve"> </w:t>
      </w:r>
      <w:r w:rsidR="00294F6E">
        <w:rPr>
          <w:rFonts w:ascii="Calibri" w:eastAsia="Calibri" w:hAnsi="Calibri" w:cs="PostGrotesk-Book"/>
          <w:b w:val="0"/>
          <w:bCs w:val="0"/>
          <w:color w:val="55565A"/>
          <w:sz w:val="22"/>
          <w:szCs w:val="22"/>
          <w:lang w:val="en-GB" w:eastAsia="en-US"/>
        </w:rPr>
        <w:t xml:space="preserve">the </w:t>
      </w:r>
      <w:r w:rsidR="002728E7">
        <w:rPr>
          <w:rFonts w:ascii="Calibri" w:eastAsia="Calibri" w:hAnsi="Calibri" w:cs="PostGrotesk-Book"/>
          <w:b w:val="0"/>
          <w:bCs w:val="0"/>
          <w:color w:val="55565A"/>
          <w:sz w:val="22"/>
          <w:szCs w:val="22"/>
          <w:lang w:val="en-GB" w:eastAsia="en-US"/>
        </w:rPr>
        <w:t>personal information</w:t>
      </w:r>
      <w:r>
        <w:rPr>
          <w:rFonts w:ascii="Calibri" w:eastAsia="Calibri" w:hAnsi="Calibri" w:cs="PostGrotesk-Book"/>
          <w:b w:val="0"/>
          <w:bCs w:val="0"/>
          <w:color w:val="55565A"/>
          <w:sz w:val="22"/>
          <w:szCs w:val="22"/>
          <w:lang w:val="en-GB" w:eastAsia="en-US"/>
        </w:rPr>
        <w:t xml:space="preserve"> was disclosed for the primary purpose</w:t>
      </w:r>
      <w:r w:rsidR="00294F6E">
        <w:rPr>
          <w:rFonts w:ascii="Calibri" w:eastAsia="Calibri" w:hAnsi="Calibri" w:cs="PostGrotesk-Book"/>
          <w:b w:val="0"/>
          <w:bCs w:val="0"/>
          <w:color w:val="55565A"/>
          <w:sz w:val="22"/>
          <w:szCs w:val="22"/>
          <w:lang w:val="en-GB" w:eastAsia="en-US"/>
        </w:rPr>
        <w:t xml:space="preserve"> for which</w:t>
      </w:r>
      <w:r>
        <w:rPr>
          <w:rFonts w:ascii="Calibri" w:eastAsia="Calibri" w:hAnsi="Calibri" w:cs="PostGrotesk-Book"/>
          <w:b w:val="0"/>
          <w:bCs w:val="0"/>
          <w:color w:val="55565A"/>
          <w:sz w:val="22"/>
          <w:szCs w:val="22"/>
          <w:lang w:val="en-GB" w:eastAsia="en-US"/>
        </w:rPr>
        <w:t xml:space="preserve"> it was collected</w:t>
      </w:r>
      <w:r w:rsidR="002728E7">
        <w:rPr>
          <w:rFonts w:ascii="Calibri" w:eastAsia="Calibri" w:hAnsi="Calibri" w:cs="PostGrotesk-Book"/>
          <w:b w:val="0"/>
          <w:bCs w:val="0"/>
          <w:color w:val="55565A"/>
          <w:sz w:val="22"/>
          <w:szCs w:val="22"/>
          <w:lang w:val="en-GB" w:eastAsia="en-US"/>
        </w:rPr>
        <w:t xml:space="preserve">: </w:t>
      </w:r>
      <w:r>
        <w:rPr>
          <w:rFonts w:ascii="Calibri" w:eastAsia="Calibri" w:hAnsi="Calibri" w:cs="PostGrotesk-Book"/>
          <w:b w:val="0"/>
          <w:bCs w:val="0"/>
          <w:color w:val="55565A"/>
          <w:sz w:val="22"/>
          <w:szCs w:val="22"/>
          <w:lang w:val="en-GB" w:eastAsia="en-US"/>
        </w:rPr>
        <w:t>being to ascertain the Complainant’s location and identify whether he was in any danger.</w:t>
      </w:r>
      <w:r w:rsidR="002728E7">
        <w:rPr>
          <w:rFonts w:ascii="Calibri" w:eastAsia="Calibri" w:hAnsi="Calibri" w:cs="PostGrotesk-Book"/>
          <w:b w:val="0"/>
          <w:bCs w:val="0"/>
          <w:color w:val="55565A"/>
          <w:sz w:val="22"/>
          <w:szCs w:val="22"/>
          <w:lang w:val="en-GB" w:eastAsia="en-US"/>
        </w:rPr>
        <w:t xml:space="preserve"> </w:t>
      </w:r>
    </w:p>
    <w:p w14:paraId="4CBC94A6" w14:textId="77777777" w:rsidR="00E731B8" w:rsidRDefault="00E731B8"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p>
    <w:p w14:paraId="43A631D3" w14:textId="525F969E" w:rsidR="000675E3" w:rsidRDefault="006C7FC9"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 xml:space="preserve">The Complainant argued that this could have been achieved without Victoria Police disclosing </w:t>
      </w:r>
      <w:r w:rsidR="00785E1C">
        <w:rPr>
          <w:rFonts w:ascii="Calibri" w:eastAsia="Calibri" w:hAnsi="Calibri" w:cs="PostGrotesk-Book"/>
          <w:b w:val="0"/>
          <w:bCs w:val="0"/>
          <w:color w:val="55565A"/>
          <w:sz w:val="22"/>
          <w:szCs w:val="22"/>
          <w:lang w:val="en-GB" w:eastAsia="en-US"/>
        </w:rPr>
        <w:t>his information</w:t>
      </w:r>
      <w:r>
        <w:rPr>
          <w:rFonts w:ascii="Calibri" w:eastAsia="Calibri" w:hAnsi="Calibri" w:cs="PostGrotesk-Book"/>
          <w:b w:val="0"/>
          <w:bCs w:val="0"/>
          <w:color w:val="55565A"/>
          <w:sz w:val="22"/>
          <w:szCs w:val="22"/>
          <w:lang w:val="en-GB" w:eastAsia="en-US"/>
        </w:rPr>
        <w:t xml:space="preserve">. VCAT rejected this argument, stating that such an approach would require VCAT to conduct an inquiry into police practices, which is not contemplated by </w:t>
      </w:r>
      <w:r w:rsidR="00785E1C">
        <w:rPr>
          <w:rFonts w:ascii="Calibri" w:eastAsia="Calibri" w:hAnsi="Calibri" w:cs="PostGrotesk-Book"/>
          <w:b w:val="0"/>
          <w:bCs w:val="0"/>
          <w:color w:val="55565A"/>
          <w:sz w:val="22"/>
          <w:szCs w:val="22"/>
          <w:lang w:val="en-GB" w:eastAsia="en-US"/>
        </w:rPr>
        <w:t>IPP 2.1</w:t>
      </w:r>
      <w:r>
        <w:rPr>
          <w:rFonts w:ascii="Calibri" w:eastAsia="Calibri" w:hAnsi="Calibri" w:cs="PostGrotesk-Book"/>
          <w:b w:val="0"/>
          <w:bCs w:val="0"/>
          <w:color w:val="55565A"/>
          <w:sz w:val="22"/>
          <w:szCs w:val="22"/>
          <w:lang w:val="en-GB" w:eastAsia="en-US"/>
        </w:rPr>
        <w:t>.</w:t>
      </w:r>
      <w:r w:rsidR="00F309DE">
        <w:rPr>
          <w:rFonts w:ascii="Calibri" w:eastAsia="Calibri" w:hAnsi="Calibri" w:cs="PostGrotesk-Book"/>
          <w:b w:val="0"/>
          <w:bCs w:val="0"/>
          <w:color w:val="55565A"/>
          <w:sz w:val="22"/>
          <w:szCs w:val="22"/>
          <w:lang w:val="en-GB" w:eastAsia="en-US"/>
        </w:rPr>
        <w:t xml:space="preserve"> </w:t>
      </w:r>
    </w:p>
    <w:p w14:paraId="72424A22" w14:textId="77777777" w:rsidR="000675E3" w:rsidRDefault="000675E3"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p>
    <w:p w14:paraId="19A743CC" w14:textId="77777777" w:rsidR="000675E3" w:rsidRDefault="000675E3"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VCAT went on to find that the disclosure would also have been authorised under:</w:t>
      </w:r>
    </w:p>
    <w:p w14:paraId="0348BF27" w14:textId="77777777" w:rsidR="000675E3" w:rsidRDefault="000675E3" w:rsidP="002F58FD">
      <w:pPr>
        <w:pStyle w:val="Heading5"/>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p>
    <w:p w14:paraId="6A0D8268" w14:textId="470C637B" w:rsidR="002C21D6" w:rsidRDefault="000675E3" w:rsidP="008F79C7">
      <w:pPr>
        <w:pStyle w:val="Heading5"/>
        <w:shd w:val="clear" w:color="auto" w:fill="FFFFFF"/>
        <w:spacing w:before="0" w:beforeAutospacing="0" w:after="0" w:afterAutospacing="0"/>
        <w:ind w:left="720"/>
        <w:rPr>
          <w:rFonts w:ascii="Calibri" w:eastAsia="Calibri" w:hAnsi="Calibri" w:cs="PostGrotesk-Book"/>
          <w:b w:val="0"/>
          <w:bCs w:val="0"/>
          <w:color w:val="55565A"/>
          <w:sz w:val="22"/>
          <w:szCs w:val="22"/>
          <w:lang w:val="en-GB" w:eastAsia="en-US"/>
        </w:rPr>
      </w:pPr>
      <w:r w:rsidRPr="002C21D6">
        <w:rPr>
          <w:rFonts w:ascii="Calibri" w:eastAsia="Calibri" w:hAnsi="Calibri" w:cs="PostGrotesk-Book"/>
          <w:b w:val="0"/>
          <w:bCs w:val="0"/>
          <w:color w:val="55565A"/>
          <w:sz w:val="22"/>
          <w:szCs w:val="22"/>
          <w:lang w:val="en-GB" w:eastAsia="en-US"/>
        </w:rPr>
        <w:t>I</w:t>
      </w:r>
      <w:r w:rsidRPr="002C21D6">
        <w:rPr>
          <w:rFonts w:ascii="Calibri" w:eastAsia="Calibri" w:hAnsi="Calibri" w:cs="PostGrotesk-Book"/>
          <w:color w:val="55565A"/>
          <w:sz w:val="22"/>
          <w:szCs w:val="22"/>
          <w:lang w:val="en-GB" w:eastAsia="en-US"/>
        </w:rPr>
        <w:t xml:space="preserve">PP 2.1(d) - </w:t>
      </w:r>
      <w:r w:rsidR="00D923F5" w:rsidRPr="002C21D6">
        <w:rPr>
          <w:rFonts w:ascii="Calibri" w:eastAsia="Calibri" w:hAnsi="Calibri" w:cs="PostGrotesk-Book"/>
          <w:b w:val="0"/>
          <w:bCs w:val="0"/>
          <w:color w:val="55565A"/>
          <w:sz w:val="22"/>
          <w:szCs w:val="22"/>
          <w:lang w:val="en-GB" w:eastAsia="en-US"/>
        </w:rPr>
        <w:t>There was a serious threat to the Complainant’s own life</w:t>
      </w:r>
      <w:r w:rsidR="007A612C" w:rsidRPr="002C21D6">
        <w:rPr>
          <w:rFonts w:ascii="Calibri" w:eastAsia="Calibri" w:hAnsi="Calibri" w:cs="PostGrotesk-Book"/>
          <w:b w:val="0"/>
          <w:bCs w:val="0"/>
          <w:color w:val="55565A"/>
          <w:sz w:val="22"/>
          <w:szCs w:val="22"/>
          <w:lang w:val="en-GB" w:eastAsia="en-US"/>
        </w:rPr>
        <w:t xml:space="preserve"> </w:t>
      </w:r>
      <w:r w:rsidR="00D923F5" w:rsidRPr="002C21D6">
        <w:rPr>
          <w:rFonts w:ascii="Calibri" w:eastAsia="Calibri" w:hAnsi="Calibri" w:cs="PostGrotesk-Book"/>
          <w:b w:val="0"/>
          <w:bCs w:val="0"/>
          <w:color w:val="55565A"/>
          <w:sz w:val="22"/>
          <w:szCs w:val="22"/>
          <w:lang w:val="en-GB" w:eastAsia="en-US"/>
        </w:rPr>
        <w:t xml:space="preserve">based on the comments he had made during the call with the CSA. The </w:t>
      </w:r>
      <w:r w:rsidR="00F309DE" w:rsidRPr="002C21D6">
        <w:rPr>
          <w:rFonts w:ascii="Calibri" w:eastAsia="Calibri" w:hAnsi="Calibri" w:cs="PostGrotesk-Book"/>
          <w:b w:val="0"/>
          <w:bCs w:val="0"/>
          <w:color w:val="55565A"/>
          <w:sz w:val="22"/>
          <w:szCs w:val="22"/>
          <w:lang w:val="en-GB" w:eastAsia="en-US"/>
        </w:rPr>
        <w:t xml:space="preserve">level of information disclosed </w:t>
      </w:r>
      <w:r w:rsidR="002C21D6" w:rsidRPr="002C21D6">
        <w:rPr>
          <w:rFonts w:ascii="Calibri" w:eastAsia="Calibri" w:hAnsi="Calibri" w:cs="PostGrotesk-Book"/>
          <w:b w:val="0"/>
          <w:bCs w:val="0"/>
          <w:color w:val="55565A"/>
          <w:sz w:val="22"/>
          <w:szCs w:val="22"/>
          <w:lang w:val="en-GB" w:eastAsia="en-US"/>
        </w:rPr>
        <w:t xml:space="preserve">(including that he had made the threats) </w:t>
      </w:r>
      <w:r w:rsidR="00F309DE" w:rsidRPr="002C21D6">
        <w:rPr>
          <w:rFonts w:ascii="Calibri" w:eastAsia="Calibri" w:hAnsi="Calibri" w:cs="PostGrotesk-Book"/>
          <w:b w:val="0"/>
          <w:bCs w:val="0"/>
          <w:color w:val="55565A"/>
          <w:sz w:val="22"/>
          <w:szCs w:val="22"/>
          <w:lang w:val="en-GB" w:eastAsia="en-US"/>
        </w:rPr>
        <w:t xml:space="preserve">was reasonably necessary for the purposes of </w:t>
      </w:r>
      <w:r w:rsidR="006C7FC9" w:rsidRPr="002C21D6">
        <w:rPr>
          <w:rFonts w:ascii="Calibri" w:eastAsia="Calibri" w:hAnsi="Calibri" w:cs="PostGrotesk-Book"/>
          <w:b w:val="0"/>
          <w:bCs w:val="0"/>
          <w:color w:val="55565A"/>
          <w:sz w:val="22"/>
          <w:szCs w:val="22"/>
          <w:lang w:val="en-GB" w:eastAsia="en-US"/>
        </w:rPr>
        <w:t>prevent</w:t>
      </w:r>
      <w:r w:rsidR="00F309DE" w:rsidRPr="002C21D6">
        <w:rPr>
          <w:rFonts w:ascii="Calibri" w:eastAsia="Calibri" w:hAnsi="Calibri" w:cs="PostGrotesk-Book"/>
          <w:b w:val="0"/>
          <w:bCs w:val="0"/>
          <w:color w:val="55565A"/>
          <w:sz w:val="22"/>
          <w:szCs w:val="22"/>
          <w:lang w:val="en-GB" w:eastAsia="en-US"/>
        </w:rPr>
        <w:t>ing</w:t>
      </w:r>
      <w:r w:rsidR="006C7FC9" w:rsidRPr="002C21D6">
        <w:rPr>
          <w:rFonts w:ascii="Calibri" w:eastAsia="Calibri" w:hAnsi="Calibri" w:cs="PostGrotesk-Book"/>
          <w:b w:val="0"/>
          <w:bCs w:val="0"/>
          <w:color w:val="55565A"/>
          <w:sz w:val="22"/>
          <w:szCs w:val="22"/>
          <w:lang w:val="en-GB" w:eastAsia="en-US"/>
        </w:rPr>
        <w:t xml:space="preserve"> </w:t>
      </w:r>
      <w:r w:rsidR="002C21D6" w:rsidRPr="002C21D6">
        <w:rPr>
          <w:rFonts w:ascii="Calibri" w:eastAsia="Calibri" w:hAnsi="Calibri" w:cs="PostGrotesk-Book"/>
          <w:b w:val="0"/>
          <w:bCs w:val="0"/>
          <w:color w:val="55565A"/>
          <w:sz w:val="22"/>
          <w:szCs w:val="22"/>
          <w:lang w:val="en-GB" w:eastAsia="en-US"/>
        </w:rPr>
        <w:t xml:space="preserve">the threat </w:t>
      </w:r>
      <w:r w:rsidR="008F79C7">
        <w:rPr>
          <w:rFonts w:ascii="Calibri" w:eastAsia="Calibri" w:hAnsi="Calibri" w:cs="PostGrotesk-Book"/>
          <w:b w:val="0"/>
          <w:bCs w:val="0"/>
          <w:color w:val="55565A"/>
          <w:sz w:val="22"/>
          <w:szCs w:val="22"/>
          <w:lang w:val="en-GB" w:eastAsia="en-US"/>
        </w:rPr>
        <w:t>as</w:t>
      </w:r>
      <w:r w:rsidR="008F79C7" w:rsidRPr="002C21D6">
        <w:rPr>
          <w:rFonts w:ascii="Calibri" w:eastAsia="Calibri" w:hAnsi="Calibri" w:cs="PostGrotesk-Book"/>
          <w:b w:val="0"/>
          <w:bCs w:val="0"/>
          <w:color w:val="55565A"/>
          <w:sz w:val="22"/>
          <w:szCs w:val="22"/>
          <w:lang w:val="en-GB" w:eastAsia="en-US"/>
        </w:rPr>
        <w:t xml:space="preserve"> </w:t>
      </w:r>
      <w:r w:rsidR="007A612C" w:rsidRPr="002C21D6">
        <w:rPr>
          <w:rFonts w:ascii="Calibri" w:eastAsia="Calibri" w:hAnsi="Calibri" w:cs="PostGrotesk-Book"/>
          <w:b w:val="0"/>
          <w:bCs w:val="0"/>
          <w:color w:val="55565A"/>
          <w:sz w:val="22"/>
          <w:szCs w:val="22"/>
          <w:lang w:val="en-GB" w:eastAsia="en-US"/>
        </w:rPr>
        <w:t xml:space="preserve">it was </w:t>
      </w:r>
      <w:r w:rsidR="00D923F5" w:rsidRPr="002C21D6">
        <w:rPr>
          <w:rFonts w:ascii="Calibri" w:eastAsia="Calibri" w:hAnsi="Calibri" w:cs="PostGrotesk-Book"/>
          <w:b w:val="0"/>
          <w:bCs w:val="0"/>
          <w:color w:val="55565A"/>
          <w:sz w:val="22"/>
          <w:szCs w:val="22"/>
          <w:lang w:val="en-GB" w:eastAsia="en-US"/>
        </w:rPr>
        <w:t>‘selective and targeted’ to ensure that the Complainant could be located as soon as possible</w:t>
      </w:r>
      <w:r w:rsidR="00785E1C" w:rsidRPr="002C21D6">
        <w:rPr>
          <w:rFonts w:ascii="Calibri" w:eastAsia="Calibri" w:hAnsi="Calibri" w:cs="PostGrotesk-Book"/>
          <w:b w:val="0"/>
          <w:bCs w:val="0"/>
          <w:color w:val="55565A"/>
          <w:sz w:val="22"/>
          <w:szCs w:val="22"/>
          <w:lang w:val="en-GB" w:eastAsia="en-US"/>
        </w:rPr>
        <w:t xml:space="preserve">. </w:t>
      </w:r>
    </w:p>
    <w:p w14:paraId="410512CA" w14:textId="77777777" w:rsidR="000675E3" w:rsidRPr="002C21D6" w:rsidRDefault="000675E3" w:rsidP="002C21D6">
      <w:pPr>
        <w:pStyle w:val="Heading5"/>
        <w:shd w:val="clear" w:color="auto" w:fill="FFFFFF"/>
        <w:spacing w:before="0" w:beforeAutospacing="0" w:after="0" w:afterAutospacing="0"/>
        <w:ind w:left="720"/>
        <w:rPr>
          <w:rFonts w:ascii="Calibri" w:eastAsia="Calibri" w:hAnsi="Calibri" w:cs="PostGrotesk-Book"/>
          <w:b w:val="0"/>
          <w:bCs w:val="0"/>
          <w:color w:val="55565A"/>
          <w:sz w:val="22"/>
          <w:szCs w:val="22"/>
          <w:lang w:val="en-GB" w:eastAsia="en-US"/>
        </w:rPr>
      </w:pPr>
    </w:p>
    <w:p w14:paraId="3A28156A" w14:textId="2E8A551B" w:rsidR="00AE58CD" w:rsidRPr="000675E3" w:rsidRDefault="000675E3" w:rsidP="002F58FD">
      <w:pPr>
        <w:pStyle w:val="Heading5"/>
        <w:numPr>
          <w:ilvl w:val="0"/>
          <w:numId w:val="17"/>
        </w:numPr>
        <w:shd w:val="clear" w:color="auto" w:fill="FFFFFF"/>
        <w:spacing w:before="0" w:beforeAutospacing="0" w:after="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color w:val="55565A"/>
          <w:sz w:val="22"/>
          <w:szCs w:val="22"/>
          <w:lang w:val="en-GB" w:eastAsia="en-US"/>
        </w:rPr>
        <w:t xml:space="preserve">IPP 2.1(f) </w:t>
      </w:r>
      <w:r>
        <w:rPr>
          <w:rFonts w:ascii="Calibri" w:eastAsia="Calibri" w:hAnsi="Calibri" w:cs="PostGrotesk-Book"/>
          <w:b w:val="0"/>
          <w:bCs w:val="0"/>
          <w:color w:val="55565A"/>
          <w:sz w:val="22"/>
          <w:szCs w:val="22"/>
          <w:lang w:val="en-GB" w:eastAsia="en-US"/>
        </w:rPr>
        <w:t xml:space="preserve">– As </w:t>
      </w:r>
      <w:r w:rsidR="00AE58CD" w:rsidRPr="000675E3">
        <w:rPr>
          <w:rFonts w:ascii="Calibri" w:eastAsia="Calibri" w:hAnsi="Calibri" w:cs="PostGrotesk-Book"/>
          <w:b w:val="0"/>
          <w:bCs w:val="0"/>
          <w:color w:val="55565A"/>
          <w:sz w:val="22"/>
          <w:szCs w:val="22"/>
          <w:lang w:val="en-GB" w:eastAsia="en-US"/>
        </w:rPr>
        <w:t xml:space="preserve">sections 144M and 144N of the </w:t>
      </w:r>
      <w:r w:rsidR="00AE58CD" w:rsidRPr="000675E3">
        <w:rPr>
          <w:rFonts w:ascii="Calibri" w:eastAsia="Calibri" w:hAnsi="Calibri" w:cs="PostGrotesk-Book"/>
          <w:b w:val="0"/>
          <w:bCs w:val="0"/>
          <w:i/>
          <w:iCs/>
          <w:color w:val="55565A"/>
          <w:sz w:val="22"/>
          <w:szCs w:val="22"/>
          <w:lang w:val="en-GB" w:eastAsia="en-US"/>
        </w:rPr>
        <w:t xml:space="preserve">Family Violence Act 2008 </w:t>
      </w:r>
      <w:r w:rsidR="00AE58CD" w:rsidRPr="000675E3">
        <w:rPr>
          <w:rFonts w:ascii="Calibri" w:eastAsia="Calibri" w:hAnsi="Calibri" w:cs="PostGrotesk-Book"/>
          <w:b w:val="0"/>
          <w:bCs w:val="0"/>
          <w:color w:val="55565A"/>
          <w:sz w:val="22"/>
          <w:szCs w:val="22"/>
          <w:lang w:val="en-GB" w:eastAsia="en-US"/>
        </w:rPr>
        <w:t xml:space="preserve">permitted Victoria Police to disclose information about a </w:t>
      </w:r>
      <w:r w:rsidR="00987A3D">
        <w:rPr>
          <w:rFonts w:ascii="Calibri" w:eastAsia="Calibri" w:hAnsi="Calibri" w:cs="PostGrotesk-Book"/>
          <w:b w:val="0"/>
          <w:bCs w:val="0"/>
          <w:color w:val="55565A"/>
          <w:sz w:val="22"/>
          <w:szCs w:val="22"/>
          <w:lang w:val="en-GB" w:eastAsia="en-US"/>
        </w:rPr>
        <w:t>concerned person (being the Complainant) to a primary person (being the former partner as parent of the two children)</w:t>
      </w:r>
      <w:r w:rsidR="00AE58CD" w:rsidRPr="000675E3">
        <w:rPr>
          <w:rFonts w:ascii="Calibri" w:eastAsia="Calibri" w:hAnsi="Calibri" w:cs="PostGrotesk-Book"/>
          <w:b w:val="0"/>
          <w:bCs w:val="0"/>
          <w:color w:val="55565A"/>
          <w:sz w:val="22"/>
          <w:szCs w:val="22"/>
          <w:lang w:val="en-GB" w:eastAsia="en-US"/>
        </w:rPr>
        <w:t>, if Victoria Police believed that</w:t>
      </w:r>
      <w:r w:rsidR="00BF44C7">
        <w:rPr>
          <w:rFonts w:ascii="Calibri" w:eastAsia="Calibri" w:hAnsi="Calibri" w:cs="PostGrotesk-Book"/>
          <w:b w:val="0"/>
          <w:bCs w:val="0"/>
          <w:color w:val="55565A"/>
          <w:sz w:val="22"/>
          <w:szCs w:val="22"/>
          <w:lang w:val="en-GB" w:eastAsia="en-US"/>
        </w:rPr>
        <w:t xml:space="preserve"> there was a risk the</w:t>
      </w:r>
      <w:r w:rsidR="00AE58CD" w:rsidRPr="000675E3">
        <w:rPr>
          <w:rFonts w:ascii="Calibri" w:eastAsia="Calibri" w:hAnsi="Calibri" w:cs="PostGrotesk-Book"/>
          <w:b w:val="0"/>
          <w:bCs w:val="0"/>
          <w:color w:val="55565A"/>
          <w:sz w:val="22"/>
          <w:szCs w:val="22"/>
          <w:lang w:val="en-GB" w:eastAsia="en-US"/>
        </w:rPr>
        <w:t xml:space="preserve"> </w:t>
      </w:r>
      <w:r w:rsidR="00987A3D">
        <w:rPr>
          <w:rFonts w:ascii="Calibri" w:eastAsia="Calibri" w:hAnsi="Calibri" w:cs="PostGrotesk-Book"/>
          <w:b w:val="0"/>
          <w:bCs w:val="0"/>
          <w:color w:val="55565A"/>
          <w:sz w:val="22"/>
          <w:szCs w:val="22"/>
          <w:lang w:val="en-GB" w:eastAsia="en-US"/>
        </w:rPr>
        <w:t>concerned person</w:t>
      </w:r>
      <w:r w:rsidR="00AE58CD" w:rsidRPr="000675E3">
        <w:rPr>
          <w:rFonts w:ascii="Calibri" w:eastAsia="Calibri" w:hAnsi="Calibri" w:cs="PostGrotesk-Book"/>
          <w:b w:val="0"/>
          <w:bCs w:val="0"/>
          <w:color w:val="55565A"/>
          <w:sz w:val="22"/>
          <w:szCs w:val="22"/>
          <w:lang w:val="en-GB" w:eastAsia="en-US"/>
        </w:rPr>
        <w:t xml:space="preserve"> </w:t>
      </w:r>
      <w:r w:rsidR="00BF44C7">
        <w:rPr>
          <w:rFonts w:ascii="Calibri" w:eastAsia="Calibri" w:hAnsi="Calibri" w:cs="PostGrotesk-Book"/>
          <w:b w:val="0"/>
          <w:bCs w:val="0"/>
          <w:color w:val="55565A"/>
          <w:sz w:val="22"/>
          <w:szCs w:val="22"/>
          <w:lang w:val="en-GB" w:eastAsia="en-US"/>
        </w:rPr>
        <w:t>may</w:t>
      </w:r>
      <w:r w:rsidR="00AE58CD" w:rsidRPr="000675E3">
        <w:rPr>
          <w:rFonts w:ascii="Calibri" w:eastAsia="Calibri" w:hAnsi="Calibri" w:cs="PostGrotesk-Book"/>
          <w:b w:val="0"/>
          <w:bCs w:val="0"/>
          <w:color w:val="55565A"/>
          <w:sz w:val="22"/>
          <w:szCs w:val="22"/>
          <w:lang w:val="en-GB" w:eastAsia="en-US"/>
        </w:rPr>
        <w:t xml:space="preserve"> commit family violence</w:t>
      </w:r>
      <w:r w:rsidR="00987A3D">
        <w:rPr>
          <w:rFonts w:ascii="Calibri" w:eastAsia="Calibri" w:hAnsi="Calibri" w:cs="PostGrotesk-Book"/>
          <w:b w:val="0"/>
          <w:bCs w:val="0"/>
          <w:color w:val="55565A"/>
          <w:sz w:val="22"/>
          <w:szCs w:val="22"/>
          <w:lang w:val="en-GB" w:eastAsia="en-US"/>
        </w:rPr>
        <w:t xml:space="preserve"> (Victoria Police becoming aware that the Complainant was out camping with his children and that if he was not located, those children could potentially become the victims of family violence). </w:t>
      </w:r>
      <w:r w:rsidR="00785E1C" w:rsidRPr="000675E3">
        <w:rPr>
          <w:rFonts w:ascii="Calibri" w:eastAsia="Calibri" w:hAnsi="Calibri" w:cs="PostGrotesk-Book"/>
          <w:b w:val="0"/>
          <w:bCs w:val="0"/>
          <w:color w:val="55565A"/>
          <w:sz w:val="22"/>
          <w:szCs w:val="22"/>
          <w:lang w:val="en-GB" w:eastAsia="en-US"/>
        </w:rPr>
        <w:br/>
      </w:r>
    </w:p>
    <w:p w14:paraId="2871731D" w14:textId="36BB6E28" w:rsidR="00E2799F" w:rsidRDefault="00E2799F" w:rsidP="00785E1C">
      <w:pPr>
        <w:pStyle w:val="Heading5"/>
        <w:shd w:val="clear" w:color="auto" w:fill="FFFFFF"/>
        <w:spacing w:before="0" w:beforeAutospacing="0" w:after="0" w:afterAutospacing="0"/>
        <w:rPr>
          <w:rFonts w:asciiTheme="minorHAnsi" w:hAnsiTheme="minorHAnsi" w:cstheme="minorHAnsi"/>
          <w:color w:val="430098"/>
          <w:sz w:val="24"/>
          <w:szCs w:val="24"/>
        </w:rPr>
      </w:pPr>
      <w:r w:rsidRPr="00043189">
        <w:rPr>
          <w:rFonts w:asciiTheme="minorHAnsi" w:hAnsiTheme="minorHAnsi" w:cstheme="minorHAnsi"/>
          <w:color w:val="430098"/>
          <w:sz w:val="24"/>
          <w:szCs w:val="24"/>
        </w:rPr>
        <w:t xml:space="preserve">IPP </w:t>
      </w:r>
      <w:r w:rsidR="006B3E02">
        <w:rPr>
          <w:rFonts w:asciiTheme="minorHAnsi" w:hAnsiTheme="minorHAnsi" w:cstheme="minorHAnsi"/>
          <w:color w:val="430098"/>
          <w:sz w:val="24"/>
          <w:szCs w:val="24"/>
        </w:rPr>
        <w:t>3.1</w:t>
      </w:r>
      <w:r w:rsidR="00F105F1">
        <w:rPr>
          <w:rFonts w:asciiTheme="minorHAnsi" w:hAnsiTheme="minorHAnsi" w:cstheme="minorHAnsi"/>
          <w:color w:val="430098"/>
          <w:sz w:val="24"/>
          <w:szCs w:val="24"/>
        </w:rPr>
        <w:t xml:space="preserve"> and</w:t>
      </w:r>
      <w:r w:rsidR="006B3E02">
        <w:rPr>
          <w:rFonts w:asciiTheme="minorHAnsi" w:hAnsiTheme="minorHAnsi" w:cstheme="minorHAnsi"/>
          <w:color w:val="430098"/>
          <w:sz w:val="24"/>
          <w:szCs w:val="24"/>
        </w:rPr>
        <w:t xml:space="preserve"> 4.1</w:t>
      </w:r>
    </w:p>
    <w:p w14:paraId="552B3F9B" w14:textId="54B0B517" w:rsidR="006B3E02" w:rsidRPr="00043189" w:rsidRDefault="006B3E02" w:rsidP="00E2799F">
      <w:pPr>
        <w:pStyle w:val="Heading5"/>
        <w:shd w:val="clear" w:color="auto" w:fill="FFFFFF"/>
        <w:spacing w:before="375" w:beforeAutospacing="0" w:after="180" w:afterAutospacing="0"/>
        <w:rPr>
          <w:rFonts w:asciiTheme="minorHAnsi" w:hAnsiTheme="minorHAnsi" w:cstheme="minorHAnsi"/>
          <w:color w:val="430098"/>
          <w:sz w:val="24"/>
          <w:szCs w:val="24"/>
        </w:rPr>
      </w:pPr>
      <w:r>
        <w:rPr>
          <w:rFonts w:ascii="Calibri" w:eastAsia="Calibri" w:hAnsi="Calibri" w:cs="PostGrotesk-Book"/>
          <w:b w:val="0"/>
          <w:bCs w:val="0"/>
          <w:color w:val="55565A"/>
          <w:sz w:val="22"/>
          <w:szCs w:val="22"/>
          <w:lang w:val="en-GB" w:eastAsia="en-US"/>
        </w:rPr>
        <w:t>The Complainant also alleged that Victoria Police breached IPP</w:t>
      </w:r>
      <w:r w:rsidR="00294F6E">
        <w:rPr>
          <w:rFonts w:ascii="Calibri" w:eastAsia="Calibri" w:hAnsi="Calibri" w:cs="PostGrotesk-Book"/>
          <w:b w:val="0"/>
          <w:bCs w:val="0"/>
          <w:color w:val="55565A"/>
          <w:sz w:val="22"/>
          <w:szCs w:val="22"/>
          <w:lang w:val="en-GB" w:eastAsia="en-US"/>
        </w:rPr>
        <w:t>s</w:t>
      </w:r>
      <w:r>
        <w:rPr>
          <w:rFonts w:ascii="Calibri" w:eastAsia="Calibri" w:hAnsi="Calibri" w:cs="PostGrotesk-Book"/>
          <w:b w:val="0"/>
          <w:bCs w:val="0"/>
          <w:color w:val="55565A"/>
          <w:sz w:val="22"/>
          <w:szCs w:val="22"/>
          <w:lang w:val="en-GB" w:eastAsia="en-US"/>
        </w:rPr>
        <w:t xml:space="preserve"> 3.1</w:t>
      </w:r>
      <w:r w:rsidR="00294F6E">
        <w:rPr>
          <w:rFonts w:ascii="Calibri" w:eastAsia="Calibri" w:hAnsi="Calibri" w:cs="PostGrotesk-Book"/>
          <w:b w:val="0"/>
          <w:bCs w:val="0"/>
          <w:color w:val="55565A"/>
          <w:sz w:val="22"/>
          <w:szCs w:val="22"/>
          <w:lang w:val="en-GB" w:eastAsia="en-US"/>
        </w:rPr>
        <w:t xml:space="preserve"> and </w:t>
      </w:r>
      <w:r>
        <w:rPr>
          <w:rFonts w:ascii="Calibri" w:eastAsia="Calibri" w:hAnsi="Calibri" w:cs="PostGrotesk-Book"/>
          <w:b w:val="0"/>
          <w:bCs w:val="0"/>
          <w:color w:val="55565A"/>
          <w:sz w:val="22"/>
          <w:szCs w:val="22"/>
          <w:lang w:val="en-GB" w:eastAsia="en-US"/>
        </w:rPr>
        <w:t xml:space="preserve">4.1, VCAT held that there was no interference with these IPPs as Victoria Police’s conduct was ‘reasonable, targeted, justified’ and </w:t>
      </w:r>
      <w:r w:rsidR="00A607E2">
        <w:rPr>
          <w:rFonts w:ascii="Calibri" w:eastAsia="Calibri" w:hAnsi="Calibri" w:cs="PostGrotesk-Book"/>
          <w:b w:val="0"/>
          <w:bCs w:val="0"/>
          <w:color w:val="55565A"/>
          <w:sz w:val="22"/>
          <w:szCs w:val="22"/>
          <w:lang w:val="en-GB" w:eastAsia="en-US"/>
        </w:rPr>
        <w:t>‘Victoria Police could not have made any further reasonable enquiry or taken any different action in the circumstances.’</w:t>
      </w:r>
    </w:p>
    <w:p w14:paraId="3F1899F9" w14:textId="7DC6C3C3" w:rsidR="000D00BD" w:rsidRPr="000D00BD" w:rsidRDefault="00785E1C" w:rsidP="000D00BD">
      <w:pPr>
        <w:pStyle w:val="Heading2"/>
        <w:shd w:val="clear" w:color="auto" w:fill="FFFFFF"/>
        <w:spacing w:before="120" w:beforeAutospacing="0" w:after="240" w:afterAutospacing="0"/>
        <w:rPr>
          <w:rFonts w:asciiTheme="minorHAnsi" w:hAnsiTheme="minorHAnsi" w:cstheme="minorHAnsi"/>
          <w:color w:val="430098"/>
          <w:sz w:val="28"/>
          <w:szCs w:val="28"/>
        </w:rPr>
      </w:pPr>
      <w:r>
        <w:rPr>
          <w:rFonts w:asciiTheme="minorHAnsi" w:hAnsiTheme="minorHAnsi" w:cstheme="minorHAnsi"/>
          <w:color w:val="430098"/>
          <w:sz w:val="28"/>
          <w:szCs w:val="28"/>
        </w:rPr>
        <w:lastRenderedPageBreak/>
        <w:t>Other matters</w:t>
      </w:r>
    </w:p>
    <w:p w14:paraId="068530FE" w14:textId="20188EBC" w:rsidR="002F74E7" w:rsidRDefault="00157AF2" w:rsidP="006D71DA">
      <w:pPr>
        <w:pStyle w:val="Body"/>
        <w:rPr>
          <w:lang w:val="en-AU"/>
        </w:rPr>
      </w:pPr>
      <w:r>
        <w:rPr>
          <w:lang w:val="en-AU"/>
        </w:rPr>
        <w:t xml:space="preserve">In addition to its </w:t>
      </w:r>
      <w:r w:rsidR="00785E1C">
        <w:rPr>
          <w:lang w:val="en-AU"/>
        </w:rPr>
        <w:t>application of</w:t>
      </w:r>
      <w:r>
        <w:rPr>
          <w:lang w:val="en-AU"/>
        </w:rPr>
        <w:t xml:space="preserve"> the IPPs, this decision provides several </w:t>
      </w:r>
      <w:r w:rsidR="008D194A">
        <w:rPr>
          <w:lang w:val="en-AU"/>
        </w:rPr>
        <w:t xml:space="preserve">other </w:t>
      </w:r>
      <w:r>
        <w:rPr>
          <w:lang w:val="en-AU"/>
        </w:rPr>
        <w:t>useful insight</w:t>
      </w:r>
      <w:r w:rsidR="008D194A">
        <w:rPr>
          <w:lang w:val="en-AU"/>
        </w:rPr>
        <w:t>s</w:t>
      </w:r>
      <w:r w:rsidR="00987A3D">
        <w:rPr>
          <w:lang w:val="en-AU"/>
        </w:rPr>
        <w:t xml:space="preserve"> on VCAT’s jurisdiction</w:t>
      </w:r>
      <w:r w:rsidR="00785E1C">
        <w:rPr>
          <w:lang w:val="en-AU"/>
        </w:rPr>
        <w:t xml:space="preserve"> which individuals</w:t>
      </w:r>
      <w:r>
        <w:rPr>
          <w:lang w:val="en-AU"/>
        </w:rPr>
        <w:t xml:space="preserve"> should consider when making a privacy complaint</w:t>
      </w:r>
      <w:r w:rsidR="00987A3D">
        <w:rPr>
          <w:lang w:val="en-AU"/>
        </w:rPr>
        <w:t>. These include</w:t>
      </w:r>
      <w:r w:rsidR="00785E1C">
        <w:rPr>
          <w:lang w:val="en-AU"/>
        </w:rPr>
        <w:t>:</w:t>
      </w:r>
    </w:p>
    <w:p w14:paraId="14AC32E5" w14:textId="385B5C81" w:rsidR="00157AF2" w:rsidRDefault="00157AF2" w:rsidP="00157AF2">
      <w:pPr>
        <w:pStyle w:val="Body"/>
        <w:numPr>
          <w:ilvl w:val="0"/>
          <w:numId w:val="16"/>
        </w:numPr>
        <w:rPr>
          <w:lang w:val="en-AU"/>
        </w:rPr>
      </w:pPr>
      <w:r>
        <w:rPr>
          <w:lang w:val="en-AU"/>
        </w:rPr>
        <w:t>Individuals cannot make a direct application under the PDP Act to VCAT, a referral must come from OVIC</w:t>
      </w:r>
      <w:r w:rsidR="00A607E2">
        <w:rPr>
          <w:lang w:val="en-AU"/>
        </w:rPr>
        <w:t xml:space="preserve">. </w:t>
      </w:r>
      <w:r w:rsidR="008D194A">
        <w:rPr>
          <w:lang w:val="en-AU"/>
        </w:rPr>
        <w:t xml:space="preserve">VCAT will be restricted to determining those matters in that </w:t>
      </w:r>
      <w:r w:rsidR="00DF4F49">
        <w:rPr>
          <w:lang w:val="en-AU"/>
        </w:rPr>
        <w:t xml:space="preserve">referred </w:t>
      </w:r>
      <w:r w:rsidR="008D194A">
        <w:rPr>
          <w:lang w:val="en-AU"/>
        </w:rPr>
        <w:t xml:space="preserve">complaint. </w:t>
      </w:r>
    </w:p>
    <w:p w14:paraId="16D4D2C9" w14:textId="569B411C" w:rsidR="00DF4F49" w:rsidRDefault="00DF4F49" w:rsidP="00157AF2">
      <w:pPr>
        <w:pStyle w:val="Body"/>
        <w:numPr>
          <w:ilvl w:val="0"/>
          <w:numId w:val="16"/>
        </w:numPr>
        <w:rPr>
          <w:lang w:val="en-AU"/>
        </w:rPr>
      </w:pPr>
      <w:r>
        <w:rPr>
          <w:lang w:val="en-AU"/>
        </w:rPr>
        <w:t>Even where a breach has been established</w:t>
      </w:r>
      <w:r w:rsidR="00F105F1">
        <w:rPr>
          <w:lang w:val="en-AU"/>
        </w:rPr>
        <w:t>, when providing an order</w:t>
      </w:r>
      <w:r>
        <w:rPr>
          <w:lang w:val="en-AU"/>
        </w:rPr>
        <w:t>:</w:t>
      </w:r>
    </w:p>
    <w:p w14:paraId="3569E6F4" w14:textId="22F01701" w:rsidR="00DF4F49" w:rsidRDefault="00DF4F49" w:rsidP="00DF4F49">
      <w:pPr>
        <w:pStyle w:val="Body"/>
        <w:numPr>
          <w:ilvl w:val="1"/>
          <w:numId w:val="16"/>
        </w:numPr>
        <w:rPr>
          <w:lang w:val="en-AU"/>
        </w:rPr>
      </w:pPr>
      <w:r>
        <w:rPr>
          <w:lang w:val="en-AU"/>
        </w:rPr>
        <w:t>VCAT cannot review decisions made by another Court</w:t>
      </w:r>
      <w:r w:rsidR="00F105F1">
        <w:rPr>
          <w:lang w:val="en-AU"/>
        </w:rPr>
        <w:t xml:space="preserve"> or independent body.</w:t>
      </w:r>
    </w:p>
    <w:p w14:paraId="4A498EEB" w14:textId="1A84D8E1" w:rsidR="00DF4F49" w:rsidRDefault="00DF4F49" w:rsidP="00DF4F49">
      <w:pPr>
        <w:pStyle w:val="Body"/>
        <w:numPr>
          <w:ilvl w:val="1"/>
          <w:numId w:val="16"/>
        </w:numPr>
        <w:rPr>
          <w:lang w:val="en-AU"/>
        </w:rPr>
      </w:pPr>
      <w:r>
        <w:rPr>
          <w:lang w:val="en-AU"/>
        </w:rPr>
        <w:t>VCAT is unable to make orders regarding the employment or dismissal of an organisation’s employees.</w:t>
      </w:r>
    </w:p>
    <w:p w14:paraId="6AC81D75" w14:textId="12762179" w:rsidR="00DF4F49" w:rsidRDefault="00DF4F49" w:rsidP="00F105F1">
      <w:pPr>
        <w:pStyle w:val="Body"/>
        <w:numPr>
          <w:ilvl w:val="1"/>
          <w:numId w:val="16"/>
        </w:numPr>
        <w:rPr>
          <w:lang w:val="en-AU"/>
        </w:rPr>
      </w:pPr>
      <w:r>
        <w:rPr>
          <w:lang w:val="en-AU"/>
        </w:rPr>
        <w:t>Where financial compensation is being sought for psychological harm and other stressors are involved impacting upon the mental health of the complainant, individuals should attempt to substantiate their harm and disentangle it from</w:t>
      </w:r>
      <w:r w:rsidR="00F105F1">
        <w:rPr>
          <w:lang w:val="en-AU"/>
        </w:rPr>
        <w:t xml:space="preserve"> the</w:t>
      </w:r>
      <w:r>
        <w:rPr>
          <w:lang w:val="en-AU"/>
        </w:rPr>
        <w:t xml:space="preserve"> other stressors through a relevant health professional’s opinion. </w:t>
      </w:r>
    </w:p>
    <w:p w14:paraId="7580DF51" w14:textId="77777777" w:rsidR="00DF4F49" w:rsidRDefault="00DF4F49" w:rsidP="00F105F1">
      <w:pPr>
        <w:pStyle w:val="Body"/>
        <w:ind w:left="1440"/>
        <w:rPr>
          <w:lang w:val="en-AU"/>
        </w:rPr>
      </w:pPr>
    </w:p>
    <w:p w14:paraId="3C28758F"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732B514"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sectPr w:rsidR="007B041D" w:rsidRPr="00BA681B" w:rsidSect="007B041D">
          <w:footerReference w:type="default" r:id="rId8"/>
          <w:headerReference w:type="first" r:id="rId9"/>
          <w:pgSz w:w="11900" w:h="16840"/>
          <w:pgMar w:top="896" w:right="1134" w:bottom="709" w:left="1134" w:header="510" w:footer="510" w:gutter="0"/>
          <w:cols w:space="720"/>
          <w:titlePg/>
          <w:docGrid w:linePitch="360"/>
        </w:sectPr>
      </w:pPr>
    </w:p>
    <w:p w14:paraId="09795C11" w14:textId="1B763179" w:rsidR="00D01435" w:rsidRDefault="007B041D" w:rsidP="00D42B9B">
      <w:pPr>
        <w:pStyle w:val="Disclaimer"/>
        <w:spacing w:before="120" w:after="240"/>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D01435" w:rsidSect="00BA008A">
      <w:headerReference w:type="first" r:id="rId10"/>
      <w:footerReference w:type="first" r:id="rId11"/>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1F77" w14:textId="77777777" w:rsidR="00194C5E" w:rsidRDefault="00194C5E" w:rsidP="007B041D">
      <w:r>
        <w:separator/>
      </w:r>
    </w:p>
  </w:endnote>
  <w:endnote w:type="continuationSeparator" w:id="0">
    <w:p w14:paraId="0AAF3E91" w14:textId="77777777" w:rsidR="00194C5E" w:rsidRDefault="00194C5E" w:rsidP="007B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C4E" w14:textId="77777777" w:rsidR="00E26F8B" w:rsidRPr="003B6B6A" w:rsidRDefault="00FF03F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D790" w14:textId="77777777" w:rsidR="00E26F8B" w:rsidRDefault="00FF03F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F50B" w14:textId="77777777" w:rsidR="00194C5E" w:rsidRDefault="00194C5E" w:rsidP="007B041D">
      <w:r>
        <w:separator/>
      </w:r>
    </w:p>
  </w:footnote>
  <w:footnote w:type="continuationSeparator" w:id="0">
    <w:p w14:paraId="183F00D9" w14:textId="77777777" w:rsidR="00194C5E" w:rsidRDefault="00194C5E" w:rsidP="007B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953" w14:textId="77777777" w:rsidR="00E26F8B" w:rsidRPr="00D70A8A" w:rsidRDefault="00FF03F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CF0D396" wp14:editId="2DF1FB8F">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6A42DB6" w14:textId="77777777" w:rsidR="00E26F8B" w:rsidRDefault="00FF03F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374C5D2A" wp14:editId="079EE14A">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737A82FE" w14:textId="254B311D" w:rsidR="00E26F8B" w:rsidRPr="00956C57" w:rsidRDefault="006D71DA" w:rsidP="00362F36">
    <w:pPr>
      <w:pStyle w:val="DocumentTitle"/>
      <w:spacing w:before="0"/>
      <w:rPr>
        <w:color w:val="555559"/>
        <w:sz w:val="30"/>
        <w:szCs w:val="30"/>
      </w:rPr>
    </w:pPr>
    <w:r>
      <w:rPr>
        <w:rFonts w:ascii="Calibri" w:hAnsi="Calibri"/>
        <w:bCs/>
        <w:i/>
        <w:iCs/>
        <w:sz w:val="36"/>
        <w:szCs w:val="36"/>
        <w:lang w:val="en"/>
      </w:rPr>
      <w:t>WOS v Victoria Police (Human Rights) [2021] VCAT 1540</w:t>
    </w:r>
    <w:r w:rsidR="00B30233">
      <w:rPr>
        <w:rFonts w:ascii="Calibri" w:hAnsi="Calibri"/>
        <w:bCs/>
        <w:sz w:val="36"/>
        <w:szCs w:val="36"/>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CDE" w14:textId="77777777" w:rsidR="00E26F8B" w:rsidRPr="0070388B" w:rsidRDefault="00E617F6"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81"/>
    <w:multiLevelType w:val="hybridMultilevel"/>
    <w:tmpl w:val="B692A0A8"/>
    <w:lvl w:ilvl="0" w:tplc="BBB6B378">
      <w:start w:val="1300"/>
      <w:numFmt w:val="bullet"/>
      <w:lvlText w:val=""/>
      <w:lvlJc w:val="left"/>
      <w:pPr>
        <w:ind w:left="720" w:hanging="360"/>
      </w:pPr>
      <w:rPr>
        <w:rFonts w:ascii="Symbol" w:eastAsia="Calibri" w:hAnsi="Symbol" w:cs="PostGrotesk-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5870"/>
    <w:multiLevelType w:val="hybridMultilevel"/>
    <w:tmpl w:val="ECAC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F50AF"/>
    <w:multiLevelType w:val="hybridMultilevel"/>
    <w:tmpl w:val="06CA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57B83"/>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D37E3"/>
    <w:multiLevelType w:val="multilevel"/>
    <w:tmpl w:val="877AC8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65AAE"/>
    <w:multiLevelType w:val="hybridMultilevel"/>
    <w:tmpl w:val="153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22AE0"/>
    <w:multiLevelType w:val="hybridMultilevel"/>
    <w:tmpl w:val="1602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F2AFA"/>
    <w:multiLevelType w:val="hybridMultilevel"/>
    <w:tmpl w:val="939E7946"/>
    <w:lvl w:ilvl="0" w:tplc="1E8E784C">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B1F73"/>
    <w:multiLevelType w:val="hybridMultilevel"/>
    <w:tmpl w:val="48E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217AC"/>
    <w:multiLevelType w:val="hybridMultilevel"/>
    <w:tmpl w:val="9FB2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684009"/>
    <w:multiLevelType w:val="hybridMultilevel"/>
    <w:tmpl w:val="BDBA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B295B"/>
    <w:multiLevelType w:val="hybridMultilevel"/>
    <w:tmpl w:val="7AC0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215F75"/>
    <w:multiLevelType w:val="hybridMultilevel"/>
    <w:tmpl w:val="A852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604432"/>
    <w:multiLevelType w:val="hybridMultilevel"/>
    <w:tmpl w:val="A97C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34030E"/>
    <w:multiLevelType w:val="hybridMultilevel"/>
    <w:tmpl w:val="ACEE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B4C37"/>
    <w:multiLevelType w:val="hybridMultilevel"/>
    <w:tmpl w:val="282A55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16"/>
  </w:num>
  <w:num w:numId="7">
    <w:abstractNumId w:val="11"/>
  </w:num>
  <w:num w:numId="8">
    <w:abstractNumId w:val="9"/>
  </w:num>
  <w:num w:numId="9">
    <w:abstractNumId w:val="10"/>
  </w:num>
  <w:num w:numId="10">
    <w:abstractNumId w:val="14"/>
  </w:num>
  <w:num w:numId="11">
    <w:abstractNumId w:val="12"/>
  </w:num>
  <w:num w:numId="12">
    <w:abstractNumId w:val="6"/>
  </w:num>
  <w:num w:numId="13">
    <w:abstractNumId w:val="13"/>
  </w:num>
  <w:num w:numId="14">
    <w:abstractNumId w:val="15"/>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D"/>
    <w:rsid w:val="00014AC7"/>
    <w:rsid w:val="00014DE4"/>
    <w:rsid w:val="00015642"/>
    <w:rsid w:val="000212BE"/>
    <w:rsid w:val="00040135"/>
    <w:rsid w:val="00043189"/>
    <w:rsid w:val="000509DA"/>
    <w:rsid w:val="00050A70"/>
    <w:rsid w:val="00050FC0"/>
    <w:rsid w:val="000675E3"/>
    <w:rsid w:val="0007055B"/>
    <w:rsid w:val="00073623"/>
    <w:rsid w:val="0008085C"/>
    <w:rsid w:val="0008115F"/>
    <w:rsid w:val="00084790"/>
    <w:rsid w:val="00096E2E"/>
    <w:rsid w:val="000B2AE6"/>
    <w:rsid w:val="000B3EE0"/>
    <w:rsid w:val="000C2919"/>
    <w:rsid w:val="000D00BD"/>
    <w:rsid w:val="000D06A9"/>
    <w:rsid w:val="000E38EE"/>
    <w:rsid w:val="0010134D"/>
    <w:rsid w:val="00112790"/>
    <w:rsid w:val="00156EFA"/>
    <w:rsid w:val="00157AF2"/>
    <w:rsid w:val="00167ED4"/>
    <w:rsid w:val="00185393"/>
    <w:rsid w:val="00185AE1"/>
    <w:rsid w:val="001901B5"/>
    <w:rsid w:val="00194190"/>
    <w:rsid w:val="00194C5E"/>
    <w:rsid w:val="001A5CF8"/>
    <w:rsid w:val="001C08F2"/>
    <w:rsid w:val="001C4E1C"/>
    <w:rsid w:val="001D1078"/>
    <w:rsid w:val="001F0FDC"/>
    <w:rsid w:val="001F40CB"/>
    <w:rsid w:val="00221EAE"/>
    <w:rsid w:val="0022258F"/>
    <w:rsid w:val="00225EA8"/>
    <w:rsid w:val="002302E0"/>
    <w:rsid w:val="002357EA"/>
    <w:rsid w:val="002373BD"/>
    <w:rsid w:val="00242AFE"/>
    <w:rsid w:val="002538A8"/>
    <w:rsid w:val="00253BDD"/>
    <w:rsid w:val="0025647B"/>
    <w:rsid w:val="00261681"/>
    <w:rsid w:val="0026470F"/>
    <w:rsid w:val="002728E7"/>
    <w:rsid w:val="00294F6E"/>
    <w:rsid w:val="0029603A"/>
    <w:rsid w:val="002C21D6"/>
    <w:rsid w:val="002C3B5E"/>
    <w:rsid w:val="002D7D26"/>
    <w:rsid w:val="002E0552"/>
    <w:rsid w:val="002F55FF"/>
    <w:rsid w:val="002F58FD"/>
    <w:rsid w:val="002F74E7"/>
    <w:rsid w:val="00312949"/>
    <w:rsid w:val="00332C5A"/>
    <w:rsid w:val="00333EF6"/>
    <w:rsid w:val="00337951"/>
    <w:rsid w:val="00373A20"/>
    <w:rsid w:val="00375B92"/>
    <w:rsid w:val="00376440"/>
    <w:rsid w:val="00392A90"/>
    <w:rsid w:val="003A111E"/>
    <w:rsid w:val="003B194A"/>
    <w:rsid w:val="003B7B16"/>
    <w:rsid w:val="003C10C6"/>
    <w:rsid w:val="003F09B7"/>
    <w:rsid w:val="0040786A"/>
    <w:rsid w:val="00410165"/>
    <w:rsid w:val="004118DB"/>
    <w:rsid w:val="004149A3"/>
    <w:rsid w:val="004731FC"/>
    <w:rsid w:val="0048282F"/>
    <w:rsid w:val="00491487"/>
    <w:rsid w:val="004B7F48"/>
    <w:rsid w:val="004D3E42"/>
    <w:rsid w:val="004D663A"/>
    <w:rsid w:val="004E6002"/>
    <w:rsid w:val="00507A8F"/>
    <w:rsid w:val="00512635"/>
    <w:rsid w:val="00516932"/>
    <w:rsid w:val="0052435B"/>
    <w:rsid w:val="00524709"/>
    <w:rsid w:val="00560F7F"/>
    <w:rsid w:val="00564324"/>
    <w:rsid w:val="005758B2"/>
    <w:rsid w:val="005915F9"/>
    <w:rsid w:val="005C617F"/>
    <w:rsid w:val="005D4B6C"/>
    <w:rsid w:val="005D5939"/>
    <w:rsid w:val="00616ACF"/>
    <w:rsid w:val="006462F8"/>
    <w:rsid w:val="00656902"/>
    <w:rsid w:val="00671CA5"/>
    <w:rsid w:val="00681833"/>
    <w:rsid w:val="006875BC"/>
    <w:rsid w:val="0069256F"/>
    <w:rsid w:val="00696C2B"/>
    <w:rsid w:val="006B3E02"/>
    <w:rsid w:val="006B61C6"/>
    <w:rsid w:val="006C7EE2"/>
    <w:rsid w:val="006C7FC9"/>
    <w:rsid w:val="006D71DA"/>
    <w:rsid w:val="006E6608"/>
    <w:rsid w:val="007117D7"/>
    <w:rsid w:val="00730DA8"/>
    <w:rsid w:val="007316FC"/>
    <w:rsid w:val="00732027"/>
    <w:rsid w:val="00737135"/>
    <w:rsid w:val="00740C78"/>
    <w:rsid w:val="007462EE"/>
    <w:rsid w:val="00760AE2"/>
    <w:rsid w:val="00785E1C"/>
    <w:rsid w:val="00794372"/>
    <w:rsid w:val="007A31EC"/>
    <w:rsid w:val="007A612C"/>
    <w:rsid w:val="007B041D"/>
    <w:rsid w:val="007B455E"/>
    <w:rsid w:val="007B5A16"/>
    <w:rsid w:val="007B5D31"/>
    <w:rsid w:val="007B67C9"/>
    <w:rsid w:val="007C7107"/>
    <w:rsid w:val="007D05AA"/>
    <w:rsid w:val="007D742B"/>
    <w:rsid w:val="007E67AC"/>
    <w:rsid w:val="007F4F9A"/>
    <w:rsid w:val="007F647F"/>
    <w:rsid w:val="00804D1B"/>
    <w:rsid w:val="0081687B"/>
    <w:rsid w:val="008176D7"/>
    <w:rsid w:val="00836E60"/>
    <w:rsid w:val="00843C1C"/>
    <w:rsid w:val="00871911"/>
    <w:rsid w:val="0087588D"/>
    <w:rsid w:val="008812BB"/>
    <w:rsid w:val="008814B8"/>
    <w:rsid w:val="0088704C"/>
    <w:rsid w:val="00891406"/>
    <w:rsid w:val="0089348D"/>
    <w:rsid w:val="008972BB"/>
    <w:rsid w:val="008A5357"/>
    <w:rsid w:val="008B3FD0"/>
    <w:rsid w:val="008C0586"/>
    <w:rsid w:val="008C59F3"/>
    <w:rsid w:val="008D194A"/>
    <w:rsid w:val="008E1F3A"/>
    <w:rsid w:val="008F4544"/>
    <w:rsid w:val="008F79C7"/>
    <w:rsid w:val="00906C58"/>
    <w:rsid w:val="00911CD7"/>
    <w:rsid w:val="00914BC1"/>
    <w:rsid w:val="009170B8"/>
    <w:rsid w:val="0093257C"/>
    <w:rsid w:val="009414FF"/>
    <w:rsid w:val="00942B19"/>
    <w:rsid w:val="009554CF"/>
    <w:rsid w:val="00957554"/>
    <w:rsid w:val="00984327"/>
    <w:rsid w:val="00987A3D"/>
    <w:rsid w:val="009A120D"/>
    <w:rsid w:val="009A231F"/>
    <w:rsid w:val="009A2607"/>
    <w:rsid w:val="009A4E39"/>
    <w:rsid w:val="009A73B8"/>
    <w:rsid w:val="00A11663"/>
    <w:rsid w:val="00A24424"/>
    <w:rsid w:val="00A25522"/>
    <w:rsid w:val="00A34891"/>
    <w:rsid w:val="00A44B24"/>
    <w:rsid w:val="00A607E2"/>
    <w:rsid w:val="00A95436"/>
    <w:rsid w:val="00AA34F8"/>
    <w:rsid w:val="00AB46F2"/>
    <w:rsid w:val="00AD2293"/>
    <w:rsid w:val="00AD540D"/>
    <w:rsid w:val="00AD7530"/>
    <w:rsid w:val="00AE58CD"/>
    <w:rsid w:val="00B126EA"/>
    <w:rsid w:val="00B16877"/>
    <w:rsid w:val="00B16EB6"/>
    <w:rsid w:val="00B2070F"/>
    <w:rsid w:val="00B224A3"/>
    <w:rsid w:val="00B30233"/>
    <w:rsid w:val="00B3659F"/>
    <w:rsid w:val="00B4176B"/>
    <w:rsid w:val="00B4560F"/>
    <w:rsid w:val="00B62B2D"/>
    <w:rsid w:val="00B6612F"/>
    <w:rsid w:val="00B82908"/>
    <w:rsid w:val="00B87C02"/>
    <w:rsid w:val="00B905B9"/>
    <w:rsid w:val="00BA22FF"/>
    <w:rsid w:val="00BB0CEE"/>
    <w:rsid w:val="00BB3E48"/>
    <w:rsid w:val="00BB7F0F"/>
    <w:rsid w:val="00BE0C45"/>
    <w:rsid w:val="00BF44C7"/>
    <w:rsid w:val="00C026CB"/>
    <w:rsid w:val="00C03DC4"/>
    <w:rsid w:val="00C32F27"/>
    <w:rsid w:val="00C67251"/>
    <w:rsid w:val="00CB3E0A"/>
    <w:rsid w:val="00CC76AB"/>
    <w:rsid w:val="00CC7F40"/>
    <w:rsid w:val="00CD3B71"/>
    <w:rsid w:val="00CD59DA"/>
    <w:rsid w:val="00CE1668"/>
    <w:rsid w:val="00CE5447"/>
    <w:rsid w:val="00D01435"/>
    <w:rsid w:val="00D121E8"/>
    <w:rsid w:val="00D201BD"/>
    <w:rsid w:val="00D271F9"/>
    <w:rsid w:val="00D273E3"/>
    <w:rsid w:val="00D42B9B"/>
    <w:rsid w:val="00D4615B"/>
    <w:rsid w:val="00D51883"/>
    <w:rsid w:val="00D540F9"/>
    <w:rsid w:val="00D575AC"/>
    <w:rsid w:val="00D66D78"/>
    <w:rsid w:val="00D74404"/>
    <w:rsid w:val="00D74C48"/>
    <w:rsid w:val="00D755EA"/>
    <w:rsid w:val="00D923F5"/>
    <w:rsid w:val="00DA178E"/>
    <w:rsid w:val="00DC34BC"/>
    <w:rsid w:val="00DE5EBF"/>
    <w:rsid w:val="00DF03C1"/>
    <w:rsid w:val="00DF4F49"/>
    <w:rsid w:val="00E01C1C"/>
    <w:rsid w:val="00E2799F"/>
    <w:rsid w:val="00E5596C"/>
    <w:rsid w:val="00E5725C"/>
    <w:rsid w:val="00E617F6"/>
    <w:rsid w:val="00E62E29"/>
    <w:rsid w:val="00E64FD4"/>
    <w:rsid w:val="00E729D9"/>
    <w:rsid w:val="00E731B8"/>
    <w:rsid w:val="00E8390E"/>
    <w:rsid w:val="00E86AB9"/>
    <w:rsid w:val="00E874B0"/>
    <w:rsid w:val="00EC0EE4"/>
    <w:rsid w:val="00F105F1"/>
    <w:rsid w:val="00F309DE"/>
    <w:rsid w:val="00F57055"/>
    <w:rsid w:val="00F65CDC"/>
    <w:rsid w:val="00F820D4"/>
    <w:rsid w:val="00F83B90"/>
    <w:rsid w:val="00F85201"/>
    <w:rsid w:val="00F867BB"/>
    <w:rsid w:val="00F91321"/>
    <w:rsid w:val="00FB761F"/>
    <w:rsid w:val="00FC2972"/>
    <w:rsid w:val="00FD0F40"/>
    <w:rsid w:val="00FD2C40"/>
    <w:rsid w:val="00FE6AB7"/>
    <w:rsid w:val="00FE745E"/>
    <w:rsid w:val="00FF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3BCB"/>
  <w15:chartTrackingRefBased/>
  <w15:docId w15:val="{DFC9F88A-57D0-4AED-AA07-A60CD78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1D"/>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7B041D"/>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7B041D"/>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7B041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B041D"/>
    <w:pPr>
      <w:tabs>
        <w:tab w:val="center" w:pos="4513"/>
        <w:tab w:val="right" w:pos="9026"/>
      </w:tabs>
    </w:pPr>
  </w:style>
  <w:style w:type="character" w:customStyle="1" w:styleId="HeaderChar">
    <w:name w:val="Header Char"/>
    <w:basedOn w:val="DefaultParagraphFont"/>
    <w:link w:val="Header"/>
    <w:uiPriority w:val="99"/>
    <w:rsid w:val="007B041D"/>
    <w:rPr>
      <w:rFonts w:ascii="Calibri" w:eastAsia="Calibri" w:hAnsi="Calibri" w:cs="Times New Roman"/>
      <w:sz w:val="24"/>
      <w:szCs w:val="24"/>
      <w:lang w:val="en-GB"/>
    </w:rPr>
  </w:style>
  <w:style w:type="paragraph" w:styleId="Footer">
    <w:name w:val="footer"/>
    <w:basedOn w:val="Normal"/>
    <w:link w:val="FooterChar"/>
    <w:uiPriority w:val="99"/>
    <w:unhideWhenUsed/>
    <w:rsid w:val="007B041D"/>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7B041D"/>
    <w:rPr>
      <w:rFonts w:ascii="Calibri" w:eastAsia="Calibri" w:hAnsi="Calibri" w:cs="Times New Roman"/>
      <w:color w:val="430098"/>
      <w:sz w:val="24"/>
      <w:szCs w:val="24"/>
      <w:lang w:val="en-GB"/>
    </w:rPr>
  </w:style>
  <w:style w:type="paragraph" w:customStyle="1" w:styleId="Body">
    <w:name w:val="Body"/>
    <w:basedOn w:val="Normal"/>
    <w:qFormat/>
    <w:rsid w:val="007B041D"/>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Disclaimer">
    <w:name w:val="Disclaimer"/>
    <w:basedOn w:val="Normal"/>
    <w:qFormat/>
    <w:rsid w:val="007B041D"/>
    <w:pPr>
      <w:ind w:right="-7"/>
    </w:pPr>
    <w:rPr>
      <w:rFonts w:cs="PostGrotesk-Book"/>
      <w:color w:val="55565A"/>
      <w:sz w:val="18"/>
      <w:szCs w:val="18"/>
    </w:rPr>
  </w:style>
  <w:style w:type="paragraph" w:customStyle="1" w:styleId="DocumentTitle">
    <w:name w:val="Document Title"/>
    <w:basedOn w:val="Header"/>
    <w:qFormat/>
    <w:rsid w:val="007B041D"/>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7B041D"/>
    <w:rPr>
      <w:color w:val="0000FF"/>
      <w:u w:val="single"/>
    </w:rPr>
  </w:style>
  <w:style w:type="paragraph" w:styleId="NormalWeb">
    <w:name w:val="Normal (Web)"/>
    <w:basedOn w:val="Normal"/>
    <w:uiPriority w:val="99"/>
    <w:unhideWhenUsed/>
    <w:rsid w:val="007B041D"/>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7B041D"/>
    <w:rPr>
      <w:b/>
      <w:bCs/>
    </w:rPr>
  </w:style>
  <w:style w:type="character" w:styleId="CommentReference">
    <w:name w:val="annotation reference"/>
    <w:basedOn w:val="DefaultParagraphFont"/>
    <w:uiPriority w:val="99"/>
    <w:semiHidden/>
    <w:unhideWhenUsed/>
    <w:rsid w:val="00FD2C40"/>
    <w:rPr>
      <w:sz w:val="16"/>
      <w:szCs w:val="16"/>
    </w:rPr>
  </w:style>
  <w:style w:type="paragraph" w:styleId="CommentText">
    <w:name w:val="annotation text"/>
    <w:basedOn w:val="Normal"/>
    <w:link w:val="CommentTextChar"/>
    <w:uiPriority w:val="99"/>
    <w:semiHidden/>
    <w:unhideWhenUsed/>
    <w:rsid w:val="00FD2C40"/>
    <w:rPr>
      <w:sz w:val="20"/>
      <w:szCs w:val="20"/>
    </w:rPr>
  </w:style>
  <w:style w:type="character" w:customStyle="1" w:styleId="CommentTextChar">
    <w:name w:val="Comment Text Char"/>
    <w:basedOn w:val="DefaultParagraphFont"/>
    <w:link w:val="CommentText"/>
    <w:uiPriority w:val="99"/>
    <w:semiHidden/>
    <w:rsid w:val="00FD2C4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2C40"/>
    <w:rPr>
      <w:b/>
      <w:bCs/>
    </w:rPr>
  </w:style>
  <w:style w:type="character" w:customStyle="1" w:styleId="CommentSubjectChar">
    <w:name w:val="Comment Subject Char"/>
    <w:basedOn w:val="CommentTextChar"/>
    <w:link w:val="CommentSubject"/>
    <w:uiPriority w:val="99"/>
    <w:semiHidden/>
    <w:rsid w:val="00FD2C40"/>
    <w:rPr>
      <w:rFonts w:ascii="Calibri" w:eastAsia="Calibri" w:hAnsi="Calibri" w:cs="Times New Roman"/>
      <w:b/>
      <w:bCs/>
      <w:sz w:val="20"/>
      <w:szCs w:val="20"/>
      <w:lang w:val="en-GB"/>
    </w:rPr>
  </w:style>
  <w:style w:type="paragraph" w:styleId="Revision">
    <w:name w:val="Revision"/>
    <w:hidden/>
    <w:uiPriority w:val="99"/>
    <w:semiHidden/>
    <w:rsid w:val="00FD2C40"/>
    <w:pPr>
      <w:spacing w:after="0" w:line="240" w:lineRule="auto"/>
    </w:pPr>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D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40"/>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957554"/>
    <w:rPr>
      <w:color w:val="954F72" w:themeColor="followedHyperlink"/>
      <w:u w:val="single"/>
    </w:rPr>
  </w:style>
  <w:style w:type="character" w:styleId="UnresolvedMention">
    <w:name w:val="Unresolved Mention"/>
    <w:basedOn w:val="DefaultParagraphFont"/>
    <w:uiPriority w:val="99"/>
    <w:semiHidden/>
    <w:unhideWhenUsed/>
    <w:rsid w:val="008E1F3A"/>
    <w:rPr>
      <w:color w:val="605E5C"/>
      <w:shd w:val="clear" w:color="auto" w:fill="E1DFDD"/>
    </w:rPr>
  </w:style>
  <w:style w:type="paragraph" w:styleId="FootnoteText">
    <w:name w:val="footnote text"/>
    <w:basedOn w:val="Normal"/>
    <w:link w:val="FootnoteTextChar"/>
    <w:uiPriority w:val="99"/>
    <w:semiHidden/>
    <w:unhideWhenUsed/>
    <w:rsid w:val="00242AFE"/>
    <w:rPr>
      <w:sz w:val="20"/>
      <w:szCs w:val="20"/>
    </w:rPr>
  </w:style>
  <w:style w:type="character" w:customStyle="1" w:styleId="FootnoteTextChar">
    <w:name w:val="Footnote Text Char"/>
    <w:basedOn w:val="DefaultParagraphFont"/>
    <w:link w:val="FootnoteText"/>
    <w:uiPriority w:val="99"/>
    <w:semiHidden/>
    <w:rsid w:val="00242AF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42AFE"/>
    <w:rPr>
      <w:vertAlign w:val="superscript"/>
    </w:rPr>
  </w:style>
  <w:style w:type="paragraph" w:styleId="ListParagraph">
    <w:name w:val="List Paragraph"/>
    <w:basedOn w:val="Normal"/>
    <w:uiPriority w:val="34"/>
    <w:qFormat/>
    <w:rsid w:val="0073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4464">
      <w:bodyDiv w:val="1"/>
      <w:marLeft w:val="0"/>
      <w:marRight w:val="0"/>
      <w:marTop w:val="0"/>
      <w:marBottom w:val="0"/>
      <w:divBdr>
        <w:top w:val="none" w:sz="0" w:space="0" w:color="auto"/>
        <w:left w:val="none" w:sz="0" w:space="0" w:color="auto"/>
        <w:bottom w:val="none" w:sz="0" w:space="0" w:color="auto"/>
        <w:right w:val="none" w:sz="0" w:space="0" w:color="auto"/>
      </w:divBdr>
    </w:div>
    <w:div w:id="1475415102">
      <w:bodyDiv w:val="1"/>
      <w:marLeft w:val="0"/>
      <w:marRight w:val="0"/>
      <w:marTop w:val="0"/>
      <w:marBottom w:val="0"/>
      <w:divBdr>
        <w:top w:val="none" w:sz="0" w:space="0" w:color="auto"/>
        <w:left w:val="none" w:sz="0" w:space="0" w:color="auto"/>
        <w:bottom w:val="none" w:sz="0" w:space="0" w:color="auto"/>
        <w:right w:val="none" w:sz="0" w:space="0" w:color="auto"/>
      </w:divBdr>
    </w:div>
    <w:div w:id="16899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E0BA-E1E1-421E-AF29-134A3B1C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Cathro</dc:creator>
  <cp:keywords/>
  <dc:description/>
  <cp:lastModifiedBy>Jessica Brackin</cp:lastModifiedBy>
  <cp:revision>2</cp:revision>
  <dcterms:created xsi:type="dcterms:W3CDTF">2022-02-07T04:49:00Z</dcterms:created>
  <dcterms:modified xsi:type="dcterms:W3CDTF">2022-02-07T04:49:00Z</dcterms:modified>
</cp:coreProperties>
</file>