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43CD" w14:textId="0B6C19E3" w:rsidR="001F40CB" w:rsidRDefault="00EA66CC" w:rsidP="001F40CB">
      <w:pPr>
        <w:pStyle w:val="Heading2"/>
        <w:shd w:val="clear" w:color="auto" w:fill="FFFFFF"/>
        <w:spacing w:before="120" w:beforeAutospacing="0" w:after="240" w:afterAutospacing="0"/>
        <w:rPr>
          <w:rFonts w:asciiTheme="minorHAnsi" w:hAnsiTheme="minorHAnsi" w:cstheme="minorHAnsi"/>
          <w:color w:val="430098"/>
          <w:sz w:val="28"/>
          <w:szCs w:val="28"/>
        </w:rPr>
      </w:pPr>
      <w:r>
        <w:rPr>
          <w:rFonts w:asciiTheme="minorHAnsi" w:hAnsiTheme="minorHAnsi" w:cstheme="minorHAnsi"/>
          <w:color w:val="430098"/>
          <w:sz w:val="28"/>
          <w:szCs w:val="28"/>
        </w:rPr>
        <w:t>Lessons</w:t>
      </w:r>
    </w:p>
    <w:p w14:paraId="4A78C991" w14:textId="714A52DC" w:rsidR="00EA66CC" w:rsidRPr="00536EC4" w:rsidRDefault="00EA66CC" w:rsidP="00EA66CC">
      <w:pPr>
        <w:pStyle w:val="ListParagraph"/>
        <w:numPr>
          <w:ilvl w:val="0"/>
          <w:numId w:val="19"/>
        </w:numPr>
        <w:spacing w:after="160" w:line="252" w:lineRule="auto"/>
        <w:rPr>
          <w:rFonts w:asciiTheme="minorHAnsi" w:eastAsia="Times New Roman" w:hAnsiTheme="minorHAnsi" w:cstheme="minorBidi"/>
          <w:color w:val="55565A"/>
          <w:sz w:val="22"/>
          <w:szCs w:val="22"/>
          <w:lang w:val="en-AU"/>
        </w:rPr>
      </w:pPr>
      <w:r w:rsidRPr="00536EC4">
        <w:rPr>
          <w:rFonts w:asciiTheme="minorHAnsi" w:eastAsia="Times New Roman" w:hAnsiTheme="minorHAnsi" w:cstheme="minorBidi"/>
          <w:color w:val="55565A"/>
          <w:sz w:val="22"/>
          <w:szCs w:val="22"/>
          <w:lang w:val="en-AU"/>
        </w:rPr>
        <w:t>When handling complaints agencies should be careful when sharing information with individuals who report concerns. While it’s important to share information with the complainant to respond to their concern, agencies should be careful to protect the privacy of any individual the complaint is about when doing so.</w:t>
      </w:r>
    </w:p>
    <w:p w14:paraId="16D9A967" w14:textId="77777777" w:rsidR="00EA66CC" w:rsidRPr="00EA66CC" w:rsidRDefault="00EA66CC" w:rsidP="00EA66CC">
      <w:pPr>
        <w:spacing w:after="160" w:line="252" w:lineRule="auto"/>
        <w:ind w:left="720"/>
        <w:contextualSpacing/>
        <w:rPr>
          <w:rFonts w:asciiTheme="minorHAnsi" w:eastAsia="Times New Roman" w:hAnsiTheme="minorHAnsi" w:cstheme="minorBidi"/>
          <w:color w:val="55565A"/>
          <w:sz w:val="22"/>
          <w:szCs w:val="22"/>
          <w:lang w:val="en-AU"/>
        </w:rPr>
      </w:pPr>
    </w:p>
    <w:p w14:paraId="37449335" w14:textId="77777777" w:rsidR="00EA66CC" w:rsidRPr="00EA66CC" w:rsidRDefault="00EA66CC" w:rsidP="00EA66CC">
      <w:pPr>
        <w:numPr>
          <w:ilvl w:val="0"/>
          <w:numId w:val="18"/>
        </w:numPr>
        <w:autoSpaceDE w:val="0"/>
        <w:autoSpaceDN w:val="0"/>
        <w:adjustRightInd w:val="0"/>
        <w:spacing w:after="160" w:line="259" w:lineRule="auto"/>
        <w:ind w:left="709" w:hanging="425"/>
        <w:contextualSpacing/>
        <w:rPr>
          <w:rFonts w:asciiTheme="minorHAnsi" w:eastAsiaTheme="minorHAnsi" w:hAnsiTheme="minorHAnsi" w:cs="Calibri"/>
          <w:color w:val="55565A"/>
          <w:sz w:val="22"/>
          <w:szCs w:val="22"/>
          <w:lang w:val="en-AU"/>
        </w:rPr>
      </w:pPr>
      <w:r w:rsidRPr="00EA66CC">
        <w:rPr>
          <w:rFonts w:asciiTheme="minorHAnsi" w:eastAsiaTheme="minorHAnsi" w:hAnsiTheme="minorHAnsi" w:cs="Calibri"/>
          <w:color w:val="55565A"/>
          <w:sz w:val="22"/>
          <w:szCs w:val="22"/>
          <w:lang w:val="en-AU"/>
        </w:rPr>
        <w:t>OVIC reminds agencies that what constitutes ‘personal information’ will depend on the particular circumstances of each case. When uncertain, organisations should treat information as personal information and handle it in accordance with the IPPs.</w:t>
      </w:r>
    </w:p>
    <w:p w14:paraId="5CD03A55" w14:textId="77777777" w:rsidR="00EA66CC" w:rsidRPr="00EA66CC" w:rsidRDefault="00EA66CC" w:rsidP="00EA66CC">
      <w:pPr>
        <w:autoSpaceDE w:val="0"/>
        <w:autoSpaceDN w:val="0"/>
        <w:adjustRightInd w:val="0"/>
        <w:spacing w:line="259" w:lineRule="auto"/>
        <w:rPr>
          <w:rFonts w:asciiTheme="minorHAnsi" w:eastAsiaTheme="minorHAnsi" w:hAnsiTheme="minorHAnsi" w:cs="Calibri"/>
          <w:color w:val="55565A"/>
          <w:sz w:val="22"/>
          <w:szCs w:val="22"/>
          <w:lang w:val="en-AU"/>
        </w:rPr>
      </w:pPr>
    </w:p>
    <w:p w14:paraId="3B5AC62A" w14:textId="440231D1" w:rsidR="00EA66CC" w:rsidRPr="00536EC4" w:rsidRDefault="00EA66CC" w:rsidP="00EA66CC">
      <w:pPr>
        <w:numPr>
          <w:ilvl w:val="0"/>
          <w:numId w:val="18"/>
        </w:numPr>
        <w:autoSpaceDE w:val="0"/>
        <w:autoSpaceDN w:val="0"/>
        <w:adjustRightInd w:val="0"/>
        <w:spacing w:after="160" w:line="259" w:lineRule="auto"/>
        <w:ind w:left="709" w:hanging="425"/>
        <w:contextualSpacing/>
        <w:rPr>
          <w:rFonts w:asciiTheme="minorHAnsi" w:eastAsiaTheme="minorHAnsi" w:hAnsiTheme="minorHAnsi" w:cs="Calibri"/>
          <w:color w:val="55565A"/>
          <w:sz w:val="22"/>
          <w:szCs w:val="22"/>
          <w:lang w:val="en-AU"/>
        </w:rPr>
      </w:pPr>
      <w:r w:rsidRPr="00EA66CC">
        <w:rPr>
          <w:rFonts w:asciiTheme="minorHAnsi" w:eastAsiaTheme="minorHAnsi" w:hAnsiTheme="minorHAnsi" w:cs="Calibri"/>
          <w:color w:val="55565A"/>
          <w:sz w:val="22"/>
          <w:szCs w:val="22"/>
          <w:lang w:val="en-AU"/>
        </w:rPr>
        <w:t xml:space="preserve">Assessing whether information is a ‘generally available publication’ for the purposes of section 12 of the </w:t>
      </w:r>
      <w:r w:rsidRPr="00EA66CC">
        <w:rPr>
          <w:rFonts w:asciiTheme="minorHAnsi" w:eastAsiaTheme="minorHAnsi" w:hAnsiTheme="minorHAnsi" w:cs="Calibri"/>
          <w:i/>
          <w:iCs/>
          <w:color w:val="55565A"/>
          <w:sz w:val="22"/>
          <w:szCs w:val="22"/>
          <w:lang w:val="en-AU"/>
        </w:rPr>
        <w:t xml:space="preserve">Privacy and Data Protection Act 2014 </w:t>
      </w:r>
      <w:r w:rsidRPr="00EA66CC">
        <w:rPr>
          <w:rFonts w:asciiTheme="minorHAnsi" w:eastAsiaTheme="minorHAnsi" w:hAnsiTheme="minorHAnsi" w:cs="Calibri"/>
          <w:color w:val="55565A"/>
          <w:sz w:val="22"/>
          <w:szCs w:val="22"/>
          <w:lang w:val="en-AU"/>
        </w:rPr>
        <w:t>(Vic) (</w:t>
      </w:r>
      <w:r w:rsidRPr="00EA66CC">
        <w:rPr>
          <w:rFonts w:asciiTheme="minorHAnsi" w:eastAsiaTheme="minorHAnsi" w:hAnsiTheme="minorHAnsi" w:cs="Calibri"/>
          <w:b/>
          <w:bCs/>
          <w:color w:val="55565A"/>
          <w:sz w:val="22"/>
          <w:szCs w:val="22"/>
          <w:lang w:val="en-AU"/>
        </w:rPr>
        <w:t>PDP Act</w:t>
      </w:r>
      <w:r w:rsidRPr="00EA66CC">
        <w:rPr>
          <w:rFonts w:asciiTheme="minorHAnsi" w:eastAsiaTheme="minorHAnsi" w:hAnsiTheme="minorHAnsi" w:cs="Calibri"/>
          <w:color w:val="55565A"/>
          <w:sz w:val="22"/>
          <w:szCs w:val="22"/>
          <w:lang w:val="en-AU"/>
        </w:rPr>
        <w:t>) also depends on a consideration of the facts and circumstances as a whole. The nature of the information,</w:t>
      </w:r>
      <w:r w:rsidRPr="00EA66CC">
        <w:rPr>
          <w:rFonts w:asciiTheme="minorHAnsi" w:eastAsiaTheme="minorHAnsi" w:hAnsiTheme="minorHAnsi" w:cstheme="minorBidi"/>
          <w:color w:val="55565A"/>
          <w:sz w:val="22"/>
          <w:szCs w:val="22"/>
          <w:lang w:val="en-AU"/>
        </w:rPr>
        <w:t xml:space="preserve"> </w:t>
      </w:r>
      <w:r w:rsidRPr="00EA66CC">
        <w:rPr>
          <w:rFonts w:asciiTheme="minorHAnsi" w:eastAsiaTheme="minorHAnsi" w:hAnsiTheme="minorHAnsi" w:cs="Calibri"/>
          <w:color w:val="55565A"/>
          <w:sz w:val="22"/>
          <w:szCs w:val="22"/>
          <w:lang w:val="en-AU"/>
        </w:rPr>
        <w:t>the prominence of [its location], the likelihood of the access and the steps needed to obtain that access are relevant considerations, amongst others.</w:t>
      </w:r>
    </w:p>
    <w:p w14:paraId="233DF41F" w14:textId="77777777" w:rsidR="00EA66CC" w:rsidRPr="00EA66CC" w:rsidRDefault="00EA66CC" w:rsidP="00EA66CC">
      <w:pPr>
        <w:autoSpaceDE w:val="0"/>
        <w:autoSpaceDN w:val="0"/>
        <w:adjustRightInd w:val="0"/>
        <w:spacing w:after="160" w:line="259" w:lineRule="auto"/>
        <w:contextualSpacing/>
        <w:rPr>
          <w:rFonts w:asciiTheme="minorHAnsi" w:eastAsiaTheme="minorHAnsi" w:hAnsiTheme="minorHAnsi" w:cs="Calibri"/>
          <w:color w:val="55565A"/>
          <w:sz w:val="22"/>
          <w:szCs w:val="22"/>
          <w:lang w:val="en-AU"/>
        </w:rPr>
      </w:pPr>
    </w:p>
    <w:p w14:paraId="2CCF50AC" w14:textId="77777777" w:rsidR="00EA66CC" w:rsidRPr="00536EC4" w:rsidRDefault="00EA66CC" w:rsidP="00EA66CC">
      <w:pPr>
        <w:autoSpaceDE w:val="0"/>
        <w:autoSpaceDN w:val="0"/>
        <w:adjustRightInd w:val="0"/>
        <w:rPr>
          <w:rFonts w:asciiTheme="minorHAnsi" w:hAnsiTheme="minorHAnsi" w:cs="Calibri"/>
          <w:color w:val="55565A"/>
          <w:sz w:val="22"/>
          <w:szCs w:val="22"/>
        </w:rPr>
      </w:pPr>
      <w:r w:rsidRPr="00536EC4">
        <w:rPr>
          <w:rFonts w:asciiTheme="minorHAnsi" w:hAnsiTheme="minorHAnsi" w:cs="Calibri"/>
          <w:color w:val="55565A"/>
          <w:sz w:val="22"/>
          <w:szCs w:val="22"/>
        </w:rPr>
        <w:t>VCAT considered two privacy complaints:</w:t>
      </w:r>
    </w:p>
    <w:p w14:paraId="28569F17" w14:textId="77777777" w:rsidR="00EA66CC" w:rsidRPr="00536EC4" w:rsidRDefault="00EA66CC" w:rsidP="00EA66CC">
      <w:pPr>
        <w:autoSpaceDE w:val="0"/>
        <w:autoSpaceDN w:val="0"/>
        <w:adjustRightInd w:val="0"/>
        <w:rPr>
          <w:rFonts w:asciiTheme="minorHAnsi" w:hAnsiTheme="minorHAnsi" w:cs="Calibri"/>
          <w:color w:val="55565A"/>
          <w:sz w:val="22"/>
          <w:szCs w:val="22"/>
        </w:rPr>
      </w:pPr>
    </w:p>
    <w:p w14:paraId="1E220F92" w14:textId="77777777" w:rsidR="00EA66CC" w:rsidRPr="00536EC4" w:rsidRDefault="00EA66CC" w:rsidP="00EA66CC">
      <w:pPr>
        <w:pStyle w:val="ListParagraph"/>
        <w:numPr>
          <w:ilvl w:val="0"/>
          <w:numId w:val="20"/>
        </w:numPr>
        <w:autoSpaceDE w:val="0"/>
        <w:autoSpaceDN w:val="0"/>
        <w:adjustRightInd w:val="0"/>
        <w:rPr>
          <w:rFonts w:asciiTheme="minorHAnsi" w:hAnsiTheme="minorHAnsi" w:cs="Calibri"/>
          <w:color w:val="55565A"/>
          <w:sz w:val="22"/>
          <w:szCs w:val="22"/>
        </w:rPr>
      </w:pPr>
      <w:r w:rsidRPr="00536EC4">
        <w:rPr>
          <w:rFonts w:asciiTheme="minorHAnsi" w:hAnsiTheme="minorHAnsi" w:cs="Calibri"/>
          <w:color w:val="55565A"/>
          <w:sz w:val="22"/>
          <w:szCs w:val="22"/>
        </w:rPr>
        <w:t>After the Complainant reported issues about their neighbour’s (</w:t>
      </w:r>
      <w:r w:rsidRPr="00536EC4">
        <w:rPr>
          <w:rFonts w:asciiTheme="minorHAnsi" w:hAnsiTheme="minorHAnsi" w:cs="Calibri"/>
          <w:b/>
          <w:bCs/>
          <w:color w:val="55565A"/>
          <w:sz w:val="22"/>
          <w:szCs w:val="22"/>
        </w:rPr>
        <w:t>Person A’s</w:t>
      </w:r>
      <w:r w:rsidRPr="00536EC4">
        <w:rPr>
          <w:rFonts w:asciiTheme="minorHAnsi" w:hAnsiTheme="minorHAnsi" w:cs="Calibri"/>
          <w:color w:val="55565A"/>
          <w:sz w:val="22"/>
          <w:szCs w:val="22"/>
        </w:rPr>
        <w:t>) fencing and alleged illegal dumping of waste to the Respondent, the Complainant alleged that the Respondent inappropriately disclosed their personal information to that neighbour when handling the complaint (</w:t>
      </w:r>
      <w:r w:rsidRPr="00536EC4">
        <w:rPr>
          <w:rFonts w:asciiTheme="minorHAnsi" w:hAnsiTheme="minorHAnsi" w:cs="Calibri"/>
          <w:b/>
          <w:bCs/>
          <w:color w:val="55565A"/>
          <w:sz w:val="22"/>
          <w:szCs w:val="22"/>
        </w:rPr>
        <w:t>the first complaint</w:t>
      </w:r>
      <w:r w:rsidRPr="00536EC4">
        <w:rPr>
          <w:rFonts w:asciiTheme="minorHAnsi" w:hAnsiTheme="minorHAnsi" w:cs="Calibri"/>
          <w:color w:val="55565A"/>
          <w:sz w:val="22"/>
          <w:szCs w:val="22"/>
        </w:rPr>
        <w:t xml:space="preserve">). </w:t>
      </w:r>
    </w:p>
    <w:p w14:paraId="1BBC2231" w14:textId="77777777" w:rsidR="00EA66CC" w:rsidRPr="00536EC4" w:rsidRDefault="00EA66CC" w:rsidP="00EA66CC">
      <w:pPr>
        <w:pStyle w:val="ListParagraph"/>
        <w:autoSpaceDE w:val="0"/>
        <w:autoSpaceDN w:val="0"/>
        <w:adjustRightInd w:val="0"/>
        <w:rPr>
          <w:rFonts w:asciiTheme="minorHAnsi" w:hAnsiTheme="minorHAnsi" w:cs="Calibri"/>
          <w:color w:val="55565A"/>
          <w:sz w:val="22"/>
          <w:szCs w:val="22"/>
        </w:rPr>
      </w:pPr>
    </w:p>
    <w:p w14:paraId="31850BAE" w14:textId="395E823F" w:rsidR="006E6608" w:rsidRPr="00536EC4" w:rsidRDefault="00EA66CC" w:rsidP="00EA66CC">
      <w:pPr>
        <w:pStyle w:val="ListParagraph"/>
        <w:numPr>
          <w:ilvl w:val="0"/>
          <w:numId w:val="20"/>
        </w:numPr>
        <w:autoSpaceDE w:val="0"/>
        <w:autoSpaceDN w:val="0"/>
        <w:adjustRightInd w:val="0"/>
        <w:spacing w:after="240"/>
        <w:rPr>
          <w:rFonts w:asciiTheme="minorHAnsi" w:hAnsiTheme="minorHAnsi" w:cs="Calibri"/>
          <w:color w:val="55565A"/>
          <w:sz w:val="22"/>
          <w:szCs w:val="22"/>
        </w:rPr>
      </w:pPr>
      <w:r w:rsidRPr="00536EC4">
        <w:rPr>
          <w:rFonts w:asciiTheme="minorHAnsi" w:hAnsiTheme="minorHAnsi" w:cs="Calibri"/>
          <w:color w:val="55565A"/>
          <w:sz w:val="22"/>
          <w:szCs w:val="22"/>
        </w:rPr>
        <w:t>The Complainant operated their property as a short-term rental and neighbours complained about this use and associated noise to the Respondent. The Complainant alleged that the Respondent inappropriately disclosed their personal information to the neighbours, Airbnb Pty Ltd and a journalist (</w:t>
      </w:r>
      <w:r w:rsidRPr="00536EC4">
        <w:rPr>
          <w:rFonts w:asciiTheme="minorHAnsi" w:hAnsiTheme="minorHAnsi" w:cs="Calibri"/>
          <w:b/>
          <w:bCs/>
          <w:color w:val="55565A"/>
          <w:sz w:val="22"/>
          <w:szCs w:val="22"/>
        </w:rPr>
        <w:t>the second complaint</w:t>
      </w:r>
      <w:r w:rsidRPr="00536EC4">
        <w:rPr>
          <w:rFonts w:asciiTheme="minorHAnsi" w:hAnsiTheme="minorHAnsi" w:cs="Calibri"/>
          <w:color w:val="55565A"/>
          <w:sz w:val="22"/>
          <w:szCs w:val="22"/>
        </w:rPr>
        <w:t xml:space="preserve">). </w:t>
      </w:r>
    </w:p>
    <w:p w14:paraId="782FC5C5" w14:textId="2B9824B8" w:rsidR="005758B2" w:rsidRDefault="00EA66CC" w:rsidP="005758B2">
      <w:pPr>
        <w:pStyle w:val="Heading2"/>
        <w:shd w:val="clear" w:color="auto" w:fill="FFFFFF"/>
        <w:spacing w:before="120" w:beforeAutospacing="0" w:after="240" w:afterAutospacing="0"/>
        <w:rPr>
          <w:rFonts w:asciiTheme="minorHAnsi" w:hAnsiTheme="minorHAnsi" w:cstheme="minorHAnsi"/>
          <w:color w:val="430098"/>
          <w:sz w:val="28"/>
          <w:szCs w:val="28"/>
        </w:rPr>
      </w:pPr>
      <w:bookmarkStart w:id="0" w:name="_Hlk75510433"/>
      <w:r>
        <w:rPr>
          <w:rFonts w:asciiTheme="minorHAnsi" w:hAnsiTheme="minorHAnsi" w:cstheme="minorHAnsi"/>
          <w:color w:val="430098"/>
          <w:sz w:val="28"/>
          <w:szCs w:val="28"/>
        </w:rPr>
        <w:t>The first complaint</w:t>
      </w:r>
      <w:r w:rsidR="00CD5977">
        <w:rPr>
          <w:rFonts w:asciiTheme="minorHAnsi" w:hAnsiTheme="minorHAnsi" w:cstheme="minorHAnsi"/>
          <w:color w:val="430098"/>
          <w:sz w:val="28"/>
          <w:szCs w:val="28"/>
        </w:rPr>
        <w:t xml:space="preserve"> – The fencing and dumping complaints</w:t>
      </w:r>
    </w:p>
    <w:p w14:paraId="706C1000" w14:textId="77777777" w:rsidR="00CD5977" w:rsidRPr="00CD5977" w:rsidRDefault="00CD5977" w:rsidP="00CD5977">
      <w:pPr>
        <w:autoSpaceDE w:val="0"/>
        <w:autoSpaceDN w:val="0"/>
        <w:adjustRightInd w:val="0"/>
        <w:rPr>
          <w:rFonts w:eastAsiaTheme="minorHAnsi" w:cs="Calibri"/>
          <w:color w:val="55565A"/>
          <w:sz w:val="22"/>
          <w:szCs w:val="22"/>
          <w:lang w:val="en-AU"/>
        </w:rPr>
      </w:pPr>
      <w:r w:rsidRPr="00CD5977">
        <w:rPr>
          <w:rFonts w:eastAsiaTheme="minorHAnsi" w:cs="Calibri"/>
          <w:color w:val="55565A"/>
          <w:sz w:val="22"/>
          <w:szCs w:val="22"/>
          <w:lang w:val="en-AU"/>
        </w:rPr>
        <w:t>The Complainant alleged the Respondent revealed their identity as the source of the fencing and dumping complaints to their neighbour via letter to the neighbour and in conversations during a site inspection.</w:t>
      </w:r>
    </w:p>
    <w:p w14:paraId="7CAEBF91" w14:textId="77777777" w:rsidR="00CD5977" w:rsidRPr="00CD5977" w:rsidRDefault="00CD5977" w:rsidP="00CD5977">
      <w:pPr>
        <w:autoSpaceDE w:val="0"/>
        <w:autoSpaceDN w:val="0"/>
        <w:adjustRightInd w:val="0"/>
        <w:rPr>
          <w:rFonts w:eastAsiaTheme="minorHAnsi" w:cs="Calibri"/>
          <w:color w:val="55565A"/>
          <w:sz w:val="22"/>
          <w:szCs w:val="22"/>
          <w:lang w:val="en-AU"/>
        </w:rPr>
      </w:pPr>
    </w:p>
    <w:p w14:paraId="1892F056" w14:textId="3BAD492D" w:rsidR="00FF7F81" w:rsidRDefault="00CD5977" w:rsidP="00CD5977">
      <w:pPr>
        <w:autoSpaceDE w:val="0"/>
        <w:autoSpaceDN w:val="0"/>
        <w:adjustRightInd w:val="0"/>
        <w:rPr>
          <w:rFonts w:eastAsiaTheme="minorHAnsi" w:cs="Calibri"/>
          <w:color w:val="55565A"/>
          <w:sz w:val="22"/>
          <w:szCs w:val="22"/>
          <w:lang w:val="en-AU"/>
        </w:rPr>
      </w:pPr>
      <w:r w:rsidRPr="00CD5977">
        <w:rPr>
          <w:rFonts w:eastAsiaTheme="minorHAnsi" w:cs="Calibri"/>
          <w:color w:val="55565A"/>
          <w:sz w:val="22"/>
          <w:szCs w:val="22"/>
          <w:lang w:val="en-AU"/>
        </w:rPr>
        <w:t xml:space="preserve">VCAT found in both instances that the Respondent did not disclose the Complainant’s personal information and, given the history of the relationship, it was more likely that the neighbour identified the source of the complaints on their own. </w:t>
      </w:r>
    </w:p>
    <w:p w14:paraId="06C56364" w14:textId="474CAEFD" w:rsidR="00CD5977" w:rsidRPr="00FF7F81" w:rsidRDefault="00FF7F81" w:rsidP="005758B2">
      <w:pPr>
        <w:pStyle w:val="Heading2"/>
        <w:shd w:val="clear" w:color="auto" w:fill="FFFFFF"/>
        <w:spacing w:before="120" w:after="240"/>
        <w:rPr>
          <w:rFonts w:asciiTheme="minorHAnsi" w:hAnsiTheme="minorHAnsi" w:cstheme="minorHAnsi"/>
          <w:i/>
          <w:iCs/>
          <w:color w:val="430098"/>
          <w:sz w:val="28"/>
          <w:szCs w:val="28"/>
        </w:rPr>
      </w:pPr>
      <w:r w:rsidRPr="00FF7F81">
        <w:rPr>
          <w:rFonts w:asciiTheme="minorHAnsi" w:hAnsiTheme="minorHAnsi" w:cstheme="minorHAnsi"/>
          <w:color w:val="430098"/>
          <w:sz w:val="28"/>
          <w:szCs w:val="28"/>
        </w:rPr>
        <w:t xml:space="preserve">The second </w:t>
      </w:r>
      <w:r w:rsidR="006A2D3C">
        <w:rPr>
          <w:rFonts w:asciiTheme="minorHAnsi" w:hAnsiTheme="minorHAnsi" w:cstheme="minorHAnsi"/>
          <w:color w:val="430098"/>
          <w:sz w:val="28"/>
          <w:szCs w:val="28"/>
        </w:rPr>
        <w:t>c</w:t>
      </w:r>
      <w:r w:rsidRPr="00FF7F81">
        <w:rPr>
          <w:rFonts w:asciiTheme="minorHAnsi" w:hAnsiTheme="minorHAnsi" w:cstheme="minorHAnsi"/>
          <w:color w:val="430098"/>
          <w:sz w:val="28"/>
          <w:szCs w:val="28"/>
        </w:rPr>
        <w:t xml:space="preserve">omplaint – </w:t>
      </w:r>
      <w:r w:rsidR="006A2D3C">
        <w:rPr>
          <w:rFonts w:asciiTheme="minorHAnsi" w:hAnsiTheme="minorHAnsi" w:cstheme="minorHAnsi"/>
          <w:color w:val="430098"/>
          <w:sz w:val="28"/>
          <w:szCs w:val="28"/>
        </w:rPr>
        <w:t>D</w:t>
      </w:r>
      <w:r w:rsidRPr="00FF7F81">
        <w:rPr>
          <w:rFonts w:asciiTheme="minorHAnsi" w:hAnsiTheme="minorHAnsi" w:cstheme="minorHAnsi"/>
          <w:color w:val="430098"/>
          <w:sz w:val="28"/>
          <w:szCs w:val="28"/>
        </w:rPr>
        <w:t xml:space="preserve">isclosure of information about Respondent’s actions regarding Complainant’s rental property </w:t>
      </w:r>
    </w:p>
    <w:bookmarkEnd w:id="0"/>
    <w:p w14:paraId="28119E0C" w14:textId="7B982357" w:rsidR="00FF7F81" w:rsidRPr="00FF7F81" w:rsidRDefault="00FF7F81" w:rsidP="00FF7F81">
      <w:pPr>
        <w:pStyle w:val="Heading5"/>
        <w:shd w:val="clear" w:color="auto" w:fill="FFFFFF"/>
        <w:spacing w:before="375" w:beforeAutospacing="0" w:after="180" w:afterAutospacing="0"/>
        <w:rPr>
          <w:rFonts w:asciiTheme="minorHAnsi" w:hAnsiTheme="minorHAnsi" w:cstheme="minorHAnsi"/>
          <w:color w:val="430098"/>
          <w:sz w:val="24"/>
          <w:szCs w:val="24"/>
        </w:rPr>
      </w:pPr>
      <w:r>
        <w:rPr>
          <w:rFonts w:asciiTheme="minorHAnsi" w:hAnsiTheme="minorHAnsi" w:cstheme="minorHAnsi"/>
          <w:color w:val="430098"/>
          <w:sz w:val="24"/>
          <w:szCs w:val="24"/>
        </w:rPr>
        <w:t>Disclosures to the Complainant’s neighbours</w:t>
      </w:r>
    </w:p>
    <w:p w14:paraId="46E90096"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 xml:space="preserve">The Complainant alleged that the Respondent inappropriately provided updates about its investigations into their use of their property to neighbours who had complained about the issue. </w:t>
      </w:r>
    </w:p>
    <w:p w14:paraId="73C8463E" w14:textId="77777777" w:rsidR="00FF7F81" w:rsidRPr="00DA3018" w:rsidRDefault="00FF7F81" w:rsidP="00FF7F81">
      <w:pPr>
        <w:autoSpaceDE w:val="0"/>
        <w:autoSpaceDN w:val="0"/>
        <w:adjustRightInd w:val="0"/>
        <w:rPr>
          <w:rFonts w:cs="Calibri"/>
          <w:color w:val="55565A"/>
          <w:sz w:val="22"/>
          <w:szCs w:val="22"/>
        </w:rPr>
      </w:pPr>
    </w:p>
    <w:p w14:paraId="653BAADD"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Person A initiated a complaint by sending the Respondent an email that included the Complainant’s address and described the owner’s use of the property. The Respondent replied by email setting out the steps it would take to investigate the matter, without naming the Complainant. The neighbour requested several updates and the Respondent provided information in reply (</w:t>
      </w:r>
      <w:r w:rsidRPr="00DA3018">
        <w:rPr>
          <w:rFonts w:cs="Calibri"/>
          <w:b/>
          <w:bCs/>
          <w:color w:val="55565A"/>
          <w:sz w:val="22"/>
          <w:szCs w:val="22"/>
        </w:rPr>
        <w:t>the email chain</w:t>
      </w:r>
      <w:r w:rsidRPr="00DA3018">
        <w:rPr>
          <w:rFonts w:cs="Calibri"/>
          <w:color w:val="55565A"/>
          <w:sz w:val="22"/>
          <w:szCs w:val="22"/>
        </w:rPr>
        <w:t xml:space="preserve">). </w:t>
      </w:r>
    </w:p>
    <w:p w14:paraId="3D16C151" w14:textId="77777777" w:rsidR="00FF7F81" w:rsidRPr="00DA3018" w:rsidRDefault="00FF7F81" w:rsidP="00FF7F81">
      <w:pPr>
        <w:autoSpaceDE w:val="0"/>
        <w:autoSpaceDN w:val="0"/>
        <w:adjustRightInd w:val="0"/>
        <w:rPr>
          <w:rFonts w:cs="Calibri"/>
          <w:color w:val="55565A"/>
          <w:sz w:val="22"/>
          <w:szCs w:val="22"/>
        </w:rPr>
      </w:pPr>
    </w:p>
    <w:p w14:paraId="2D0322E2"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VCAT found that the Respondent’s emails did not contain the Complainant’s personal information because the Complainant’s identity was not apparent or reasonably ascertainable from the content of the emails.</w:t>
      </w:r>
    </w:p>
    <w:p w14:paraId="6C5E0580" w14:textId="77777777" w:rsidR="00FF7F81" w:rsidRPr="00DA3018" w:rsidRDefault="00FF7F81" w:rsidP="00FF7F81">
      <w:pPr>
        <w:autoSpaceDE w:val="0"/>
        <w:autoSpaceDN w:val="0"/>
        <w:adjustRightInd w:val="0"/>
        <w:rPr>
          <w:rFonts w:cs="Calibri"/>
          <w:color w:val="55565A"/>
          <w:sz w:val="22"/>
          <w:szCs w:val="22"/>
        </w:rPr>
      </w:pPr>
    </w:p>
    <w:p w14:paraId="6E05F1B0"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VCAT also found that even if the email chain had contained the Complainant’s personal information, the disclosure would have been authorised under Information Privacy Principle (</w:t>
      </w:r>
      <w:r w:rsidRPr="00DA3018">
        <w:rPr>
          <w:rFonts w:cs="Calibri"/>
          <w:b/>
          <w:bCs/>
          <w:color w:val="55565A"/>
          <w:sz w:val="22"/>
          <w:szCs w:val="22"/>
        </w:rPr>
        <w:t>IPP</w:t>
      </w:r>
      <w:r w:rsidRPr="00DA3018">
        <w:rPr>
          <w:rFonts w:cs="Calibri"/>
          <w:color w:val="55565A"/>
          <w:sz w:val="22"/>
          <w:szCs w:val="22"/>
        </w:rPr>
        <w:t>) 2.1(a). This was because the Respondent disclosed the Complainant’s personal information for the purpose of complaint handling and this would have been reasonably expected by the Complainant.</w:t>
      </w:r>
    </w:p>
    <w:p w14:paraId="7515E63E" w14:textId="77777777" w:rsidR="00FF7F81" w:rsidRPr="00457B24" w:rsidRDefault="00FF7F81" w:rsidP="00FF7F81">
      <w:pPr>
        <w:autoSpaceDE w:val="0"/>
        <w:autoSpaceDN w:val="0"/>
        <w:adjustRightInd w:val="0"/>
        <w:rPr>
          <w:rFonts w:cs="Calibri"/>
        </w:rPr>
      </w:pPr>
    </w:p>
    <w:p w14:paraId="642EDBB9" w14:textId="77777777" w:rsidR="00FF7F81" w:rsidRPr="00FF7F81" w:rsidRDefault="00FF7F81" w:rsidP="00FF7F81">
      <w:pPr>
        <w:autoSpaceDE w:val="0"/>
        <w:autoSpaceDN w:val="0"/>
        <w:adjustRightInd w:val="0"/>
        <w:rPr>
          <w:rFonts w:cs="Calibri"/>
          <w:b/>
          <w:bCs/>
          <w:color w:val="430098"/>
        </w:rPr>
      </w:pPr>
      <w:r w:rsidRPr="00FF7F81">
        <w:rPr>
          <w:rFonts w:cs="Calibri"/>
          <w:b/>
          <w:bCs/>
          <w:color w:val="430098"/>
        </w:rPr>
        <w:t>Disclosures to police</w:t>
      </w:r>
    </w:p>
    <w:p w14:paraId="74B02424" w14:textId="77777777" w:rsidR="00FF7F81" w:rsidRPr="00DA3018" w:rsidRDefault="00FF7F81" w:rsidP="00FF7F81">
      <w:pPr>
        <w:autoSpaceDE w:val="0"/>
        <w:autoSpaceDN w:val="0"/>
        <w:adjustRightInd w:val="0"/>
        <w:rPr>
          <w:rFonts w:cs="Calibri"/>
          <w:color w:val="55565A"/>
          <w:sz w:val="22"/>
          <w:szCs w:val="22"/>
        </w:rPr>
      </w:pPr>
    </w:p>
    <w:p w14:paraId="2467746A"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 xml:space="preserve">VCAT also examined emails from the Respondent to a police officer containing the Complainant’s address and information about noise complaints that had been made about their property. </w:t>
      </w:r>
    </w:p>
    <w:p w14:paraId="2FE9B963" w14:textId="77777777" w:rsidR="00FF7F81" w:rsidRPr="00DA3018" w:rsidRDefault="00FF7F81" w:rsidP="00FF7F81">
      <w:pPr>
        <w:autoSpaceDE w:val="0"/>
        <w:autoSpaceDN w:val="0"/>
        <w:adjustRightInd w:val="0"/>
        <w:rPr>
          <w:rFonts w:cs="Calibri"/>
          <w:color w:val="55565A"/>
          <w:sz w:val="22"/>
          <w:szCs w:val="22"/>
        </w:rPr>
      </w:pPr>
    </w:p>
    <w:p w14:paraId="3479CB41"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 xml:space="preserve">VCAT held that these emails did contain the Complainant’s personal information, because the use of extraneous materials, such as a title search, would make the Complainant’s identity reasonably ascertainable. </w:t>
      </w:r>
    </w:p>
    <w:p w14:paraId="3F77509C" w14:textId="77777777" w:rsidR="00FF7F81" w:rsidRPr="00DA3018" w:rsidRDefault="00FF7F81" w:rsidP="00FF7F81">
      <w:pPr>
        <w:autoSpaceDE w:val="0"/>
        <w:autoSpaceDN w:val="0"/>
        <w:adjustRightInd w:val="0"/>
        <w:rPr>
          <w:rFonts w:cs="Calibri"/>
          <w:color w:val="55565A"/>
          <w:sz w:val="22"/>
          <w:szCs w:val="22"/>
        </w:rPr>
      </w:pPr>
    </w:p>
    <w:p w14:paraId="5F5C3BE6"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VCAT held that the primary purpose of collection was to handle the noise complaints. VCAT held these disclosures were authorised as they were for a reasonably expected related secondary purpose: seeking Police assistance for the investigation and attempted resolution of the complaints.</w:t>
      </w:r>
    </w:p>
    <w:p w14:paraId="7072CE7A" w14:textId="77777777" w:rsidR="00FF7F81" w:rsidRPr="00412E67" w:rsidRDefault="00FF7F81" w:rsidP="00FF7F81">
      <w:pPr>
        <w:autoSpaceDE w:val="0"/>
        <w:autoSpaceDN w:val="0"/>
        <w:adjustRightInd w:val="0"/>
        <w:rPr>
          <w:rFonts w:cs="Calibri"/>
        </w:rPr>
      </w:pPr>
    </w:p>
    <w:p w14:paraId="7F681C0C" w14:textId="77777777" w:rsidR="00FF7F81" w:rsidRPr="00FF7F81" w:rsidRDefault="00FF7F81" w:rsidP="00FF7F81">
      <w:pPr>
        <w:autoSpaceDE w:val="0"/>
        <w:autoSpaceDN w:val="0"/>
        <w:adjustRightInd w:val="0"/>
        <w:rPr>
          <w:rFonts w:cs="Calibri"/>
          <w:b/>
          <w:bCs/>
        </w:rPr>
      </w:pPr>
      <w:r w:rsidRPr="00FF7F81">
        <w:rPr>
          <w:rFonts w:cs="Calibri"/>
          <w:b/>
          <w:bCs/>
          <w:color w:val="430098"/>
        </w:rPr>
        <w:t>Disclosure to Airbnb Pty Ltd</w:t>
      </w:r>
    </w:p>
    <w:p w14:paraId="5808F0C5" w14:textId="77777777" w:rsidR="00FF7F81" w:rsidRPr="00412E67" w:rsidRDefault="00FF7F81" w:rsidP="00FF7F81">
      <w:pPr>
        <w:autoSpaceDE w:val="0"/>
        <w:autoSpaceDN w:val="0"/>
        <w:adjustRightInd w:val="0"/>
        <w:rPr>
          <w:rFonts w:cs="Calibri"/>
        </w:rPr>
      </w:pPr>
    </w:p>
    <w:p w14:paraId="6A098B82" w14:textId="77777777" w:rsidR="00FF7F81" w:rsidRPr="006A2D3C" w:rsidRDefault="00FF7F81" w:rsidP="00FF7F81">
      <w:pPr>
        <w:autoSpaceDE w:val="0"/>
        <w:autoSpaceDN w:val="0"/>
        <w:adjustRightInd w:val="0"/>
        <w:rPr>
          <w:rFonts w:ascii="Source Sans Pro" w:hAnsi="Source Sans Pro"/>
          <w:color w:val="55565A"/>
          <w:sz w:val="22"/>
          <w:szCs w:val="22"/>
          <w:shd w:val="clear" w:color="auto" w:fill="FFFFFF"/>
        </w:rPr>
      </w:pPr>
      <w:r w:rsidRPr="006A2D3C">
        <w:rPr>
          <w:rFonts w:cs="Calibri"/>
          <w:color w:val="55565A"/>
          <w:sz w:val="22"/>
          <w:szCs w:val="22"/>
        </w:rPr>
        <w:t>The Complainant alleged that the Respondent wrote a letter to Airbnb setting out its concerns about short term rentals in the municipality and inappropriately disclosed their personal information in this letter.</w:t>
      </w:r>
      <w:r w:rsidRPr="006A2D3C">
        <w:rPr>
          <w:rFonts w:ascii="Source Sans Pro" w:hAnsi="Source Sans Pro"/>
          <w:color w:val="55565A"/>
          <w:sz w:val="22"/>
          <w:szCs w:val="22"/>
          <w:shd w:val="clear" w:color="auto" w:fill="FFFFFF"/>
        </w:rPr>
        <w:t xml:space="preserve"> </w:t>
      </w:r>
    </w:p>
    <w:p w14:paraId="0B39E12E" w14:textId="77777777" w:rsidR="00FF7F81" w:rsidRPr="006A2D3C" w:rsidRDefault="00FF7F81" w:rsidP="00FF7F81">
      <w:pPr>
        <w:autoSpaceDE w:val="0"/>
        <w:autoSpaceDN w:val="0"/>
        <w:adjustRightInd w:val="0"/>
        <w:rPr>
          <w:rFonts w:ascii="Source Sans Pro" w:hAnsi="Source Sans Pro"/>
          <w:color w:val="55565A"/>
          <w:sz w:val="22"/>
          <w:szCs w:val="22"/>
          <w:shd w:val="clear" w:color="auto" w:fill="FFFFFF"/>
        </w:rPr>
      </w:pPr>
    </w:p>
    <w:p w14:paraId="46806B37" w14:textId="77777777" w:rsidR="00FF7F81" w:rsidRPr="006A2D3C" w:rsidRDefault="00FF7F81" w:rsidP="00FF7F81">
      <w:pPr>
        <w:autoSpaceDE w:val="0"/>
        <w:autoSpaceDN w:val="0"/>
        <w:adjustRightInd w:val="0"/>
        <w:rPr>
          <w:rFonts w:cs="Calibri"/>
          <w:color w:val="55565A"/>
          <w:sz w:val="22"/>
          <w:szCs w:val="22"/>
        </w:rPr>
      </w:pPr>
      <w:r w:rsidRPr="006A2D3C">
        <w:rPr>
          <w:rFonts w:cs="Calibri"/>
          <w:color w:val="55565A"/>
          <w:sz w:val="22"/>
          <w:szCs w:val="22"/>
        </w:rPr>
        <w:t>VCAT considered the letter and found that it did not contain the Complainant’s personal information as it did not contain the Complainant’s name or address.</w:t>
      </w:r>
    </w:p>
    <w:p w14:paraId="354714B4" w14:textId="77777777" w:rsidR="00FF7F81" w:rsidRPr="00412E67" w:rsidRDefault="00FF7F81" w:rsidP="00FF7F81">
      <w:pPr>
        <w:autoSpaceDE w:val="0"/>
        <w:autoSpaceDN w:val="0"/>
        <w:adjustRightInd w:val="0"/>
        <w:rPr>
          <w:rFonts w:cs="Calibri"/>
        </w:rPr>
      </w:pPr>
    </w:p>
    <w:p w14:paraId="13297B6B" w14:textId="77777777" w:rsidR="00FF7F81" w:rsidRPr="00FF7F81" w:rsidRDefault="00FF7F81" w:rsidP="00FF7F81">
      <w:pPr>
        <w:autoSpaceDE w:val="0"/>
        <w:autoSpaceDN w:val="0"/>
        <w:adjustRightInd w:val="0"/>
        <w:rPr>
          <w:rFonts w:cs="Calibri"/>
          <w:b/>
          <w:bCs/>
          <w:color w:val="430098"/>
        </w:rPr>
      </w:pPr>
      <w:r w:rsidRPr="00FF7F81">
        <w:rPr>
          <w:rFonts w:cs="Calibri"/>
          <w:b/>
          <w:bCs/>
          <w:color w:val="430098"/>
        </w:rPr>
        <w:t>Disclosure to journalist</w:t>
      </w:r>
    </w:p>
    <w:p w14:paraId="39708127" w14:textId="77777777" w:rsidR="00FF7F81" w:rsidRPr="00412E67" w:rsidRDefault="00FF7F81" w:rsidP="00FF7F81">
      <w:pPr>
        <w:autoSpaceDE w:val="0"/>
        <w:autoSpaceDN w:val="0"/>
        <w:adjustRightInd w:val="0"/>
        <w:rPr>
          <w:rFonts w:cs="Calibri"/>
          <w:b/>
          <w:bCs/>
        </w:rPr>
      </w:pPr>
    </w:p>
    <w:p w14:paraId="2C17815F"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 xml:space="preserve">The Complainant alleged that the Respondent responded via email to a journalist’s enquiries and inappropriately disclosed the Complainant’s personal information. In the emails the Respondent included some details relating to the Complainant’s Magistrates’ Court Hearing. </w:t>
      </w:r>
    </w:p>
    <w:p w14:paraId="1CCAE8F0" w14:textId="77777777" w:rsidR="00FF7F81" w:rsidRPr="00DA3018" w:rsidRDefault="00FF7F81" w:rsidP="00FF7F81">
      <w:pPr>
        <w:autoSpaceDE w:val="0"/>
        <w:autoSpaceDN w:val="0"/>
        <w:adjustRightInd w:val="0"/>
        <w:rPr>
          <w:rFonts w:cs="Calibri"/>
          <w:color w:val="55565A"/>
          <w:sz w:val="22"/>
          <w:szCs w:val="22"/>
        </w:rPr>
      </w:pPr>
    </w:p>
    <w:p w14:paraId="2F570758" w14:textId="77777777" w:rsidR="00FF7F81" w:rsidRPr="00DA3018" w:rsidRDefault="00FF7F81" w:rsidP="00FF7F81">
      <w:pPr>
        <w:autoSpaceDE w:val="0"/>
        <w:autoSpaceDN w:val="0"/>
        <w:adjustRightInd w:val="0"/>
        <w:rPr>
          <w:rFonts w:cs="Calibri"/>
          <w:color w:val="55565A"/>
          <w:sz w:val="22"/>
          <w:szCs w:val="22"/>
        </w:rPr>
      </w:pPr>
      <w:r w:rsidRPr="00DA3018">
        <w:rPr>
          <w:rFonts w:cs="Calibri"/>
          <w:color w:val="55565A"/>
          <w:sz w:val="22"/>
          <w:szCs w:val="22"/>
        </w:rPr>
        <w:t xml:space="preserve">VCAT found that the Respondent had not disclosed the Complainant’s personal information because the email contents made it clear that the journalist already knew the Complainant’s identity. </w:t>
      </w:r>
    </w:p>
    <w:p w14:paraId="38C191BD" w14:textId="77777777" w:rsidR="00FF7F81" w:rsidRPr="00DA3018" w:rsidRDefault="00FF7F81" w:rsidP="00FF7F81">
      <w:pPr>
        <w:autoSpaceDE w:val="0"/>
        <w:autoSpaceDN w:val="0"/>
        <w:adjustRightInd w:val="0"/>
        <w:rPr>
          <w:rFonts w:cs="Calibri"/>
          <w:color w:val="55565A"/>
          <w:sz w:val="22"/>
          <w:szCs w:val="22"/>
        </w:rPr>
      </w:pPr>
    </w:p>
    <w:p w14:paraId="7580DF51" w14:textId="3504BE19" w:rsidR="00DF4F49" w:rsidRPr="00DA3018" w:rsidRDefault="00FF7F81" w:rsidP="000523B7">
      <w:pPr>
        <w:autoSpaceDE w:val="0"/>
        <w:autoSpaceDN w:val="0"/>
        <w:adjustRightInd w:val="0"/>
        <w:rPr>
          <w:rFonts w:cs="Calibri"/>
          <w:color w:val="55565A"/>
          <w:sz w:val="22"/>
          <w:szCs w:val="22"/>
        </w:rPr>
      </w:pPr>
      <w:r w:rsidRPr="00DA3018">
        <w:rPr>
          <w:rFonts w:cs="Calibri"/>
          <w:color w:val="55565A"/>
          <w:sz w:val="22"/>
          <w:szCs w:val="22"/>
        </w:rPr>
        <w:t>VCAT also found that in any case the information relating to the Complainant’s court hearing was available in the Magistrates’ Court lists and related public documents. VCAT held that these were generally available publications under section 12 of the PDP Act and therefore exempt from the application of the IPPs.</w:t>
      </w:r>
    </w:p>
    <w:p w14:paraId="11FDA7B1" w14:textId="77777777" w:rsidR="000523B7" w:rsidRPr="000523B7" w:rsidRDefault="000523B7" w:rsidP="000523B7">
      <w:pPr>
        <w:autoSpaceDE w:val="0"/>
        <w:autoSpaceDN w:val="0"/>
        <w:adjustRightInd w:val="0"/>
        <w:rPr>
          <w:rFonts w:cs="Calibri"/>
        </w:rPr>
      </w:pPr>
    </w:p>
    <w:p w14:paraId="3C28758F"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pPr>
      <w:r w:rsidRPr="00BA681B">
        <w:rPr>
          <w:rFonts w:asciiTheme="minorHAnsi" w:hAnsiTheme="minorHAnsi" w:cstheme="minorHAnsi"/>
          <w:color w:val="430098"/>
          <w:szCs w:val="26"/>
          <w:lang w:val="en-AU"/>
        </w:rPr>
        <w:t>Further Information</w:t>
      </w:r>
    </w:p>
    <w:p w14:paraId="7732B514"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sectPr w:rsidR="007B041D" w:rsidRPr="00BA681B" w:rsidSect="007B041D">
          <w:footerReference w:type="default" r:id="rId8"/>
          <w:headerReference w:type="first" r:id="rId9"/>
          <w:pgSz w:w="11900" w:h="16840"/>
          <w:pgMar w:top="896" w:right="1134" w:bottom="709" w:left="1134" w:header="510" w:footer="510" w:gutter="0"/>
          <w:cols w:space="720"/>
          <w:titlePg/>
          <w:docGrid w:linePitch="360"/>
        </w:sectPr>
      </w:pPr>
    </w:p>
    <w:p w14:paraId="09795C11" w14:textId="1B763179" w:rsidR="00D01435" w:rsidRDefault="007B041D" w:rsidP="00D42B9B">
      <w:pPr>
        <w:pStyle w:val="Disclaimer"/>
        <w:spacing w:before="120" w:after="240"/>
      </w:pPr>
      <w:r w:rsidRPr="00BA681B">
        <w:rPr>
          <w:rFonts w:asciiTheme="minorHAnsi" w:hAnsiTheme="minorHAnsi" w:cstheme="minorHAnsi"/>
          <w:b/>
          <w:color w:val="430098"/>
          <w:sz w:val="16"/>
          <w:szCs w:val="16"/>
          <w:lang w:val="en-AU"/>
        </w:rPr>
        <w:t>t:</w:t>
      </w:r>
      <w:r w:rsidRPr="00BA681B">
        <w:rPr>
          <w:rFonts w:asciiTheme="minorHAnsi" w:hAnsiTheme="minorHAnsi" w:cstheme="minorHAnsi"/>
          <w:sz w:val="16"/>
          <w:szCs w:val="16"/>
          <w:lang w:val="en-AU"/>
        </w:rPr>
        <w:tab/>
        <w:t xml:space="preserve">1300 00 6842 </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e:</w:t>
      </w:r>
      <w:r w:rsidRPr="00BA681B">
        <w:rPr>
          <w:rFonts w:asciiTheme="minorHAnsi" w:hAnsiTheme="minorHAnsi" w:cstheme="minorHAnsi"/>
          <w:sz w:val="16"/>
          <w:szCs w:val="16"/>
          <w:lang w:val="en-AU"/>
        </w:rPr>
        <w:tab/>
        <w:t>enquiries@ovic.vic.gov.au</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w:</w:t>
      </w:r>
      <w:r w:rsidRPr="00BA681B">
        <w:rPr>
          <w:rFonts w:asciiTheme="minorHAnsi" w:hAnsiTheme="minorHAnsi" w:cstheme="minorHAnsi"/>
          <w:sz w:val="16"/>
          <w:szCs w:val="16"/>
          <w:lang w:val="en-AU"/>
        </w:rPr>
        <w:tab/>
        <w:t>ovic.vic.gov.au</w:t>
      </w:r>
      <w:r w:rsidRPr="00BA681B">
        <w:rPr>
          <w:rFonts w:asciiTheme="minorHAnsi" w:hAnsiTheme="minorHAnsi" w:cstheme="minorHAnsi"/>
          <w:b/>
          <w:sz w:val="16"/>
          <w:szCs w:val="16"/>
          <w:lang w:val="en-AU"/>
        </w:rPr>
        <w:t xml:space="preserve"> </w:t>
      </w:r>
      <w:r w:rsidRPr="00BA681B">
        <w:rPr>
          <w:rFonts w:asciiTheme="minorHAnsi" w:hAnsiTheme="minorHAnsi" w:cstheme="minorHAnsi"/>
          <w:b/>
          <w:sz w:val="16"/>
          <w:szCs w:val="16"/>
          <w:lang w:val="en-AU"/>
        </w:rPr>
        <w:br w:type="column"/>
      </w:r>
      <w:r w:rsidRPr="00BA681B">
        <w:rPr>
          <w:rFonts w:asciiTheme="minorHAnsi" w:hAnsiTheme="minorHAnsi" w:cstheme="minorHAnsi"/>
          <w:sz w:val="16"/>
          <w:szCs w:val="16"/>
          <w:lang w:val="en-AU"/>
        </w:rPr>
        <w:t>This case note is general in nature and does not constitute legal advice.</w:t>
      </w:r>
    </w:p>
    <w:sectPr w:rsidR="00D01435" w:rsidSect="00BA008A">
      <w:headerReference w:type="first" r:id="rId10"/>
      <w:footerReference w:type="first" r:id="rId11"/>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1F77" w14:textId="77777777" w:rsidR="00194C5E" w:rsidRDefault="00194C5E" w:rsidP="007B041D">
      <w:r>
        <w:separator/>
      </w:r>
    </w:p>
  </w:endnote>
  <w:endnote w:type="continuationSeparator" w:id="0">
    <w:p w14:paraId="0AAF3E91" w14:textId="77777777" w:rsidR="00194C5E" w:rsidRDefault="00194C5E" w:rsidP="007B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C4E" w14:textId="77777777" w:rsidR="00E26F8B" w:rsidRPr="003B6B6A" w:rsidRDefault="00FF03FD"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D790" w14:textId="77777777" w:rsidR="00E26F8B" w:rsidRDefault="00FF03FD"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F50B" w14:textId="77777777" w:rsidR="00194C5E" w:rsidRDefault="00194C5E" w:rsidP="007B041D">
      <w:r>
        <w:separator/>
      </w:r>
    </w:p>
  </w:footnote>
  <w:footnote w:type="continuationSeparator" w:id="0">
    <w:p w14:paraId="183F00D9" w14:textId="77777777" w:rsidR="00194C5E" w:rsidRDefault="00194C5E" w:rsidP="007B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8953" w14:textId="77777777" w:rsidR="00E26F8B" w:rsidRPr="00D70A8A" w:rsidRDefault="00FF03FD"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CF0D396" wp14:editId="2DF1FB8F">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56A42DB6" w14:textId="77777777" w:rsidR="00E26F8B" w:rsidRDefault="00FF03FD"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374C5D2A" wp14:editId="079EE14A">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737A82FE" w14:textId="1E3AAC9A" w:rsidR="00E26F8B" w:rsidRPr="00956C57" w:rsidRDefault="00EA66CC" w:rsidP="00362F36">
    <w:pPr>
      <w:pStyle w:val="DocumentTitle"/>
      <w:spacing w:before="0"/>
      <w:rPr>
        <w:color w:val="555559"/>
        <w:sz w:val="30"/>
        <w:szCs w:val="30"/>
      </w:rPr>
    </w:pPr>
    <w:r>
      <w:rPr>
        <w:rFonts w:ascii="Calibri" w:hAnsi="Calibri"/>
        <w:bCs/>
        <w:i/>
        <w:iCs/>
        <w:sz w:val="36"/>
        <w:szCs w:val="36"/>
        <w:lang w:val="en"/>
      </w:rPr>
      <w:t>Huang v Frankston City Council</w:t>
    </w:r>
    <w:r w:rsidRPr="00EA66CC">
      <w:rPr>
        <w:rFonts w:ascii="Calibri" w:hAnsi="Calibri"/>
        <w:bCs/>
        <w:i/>
        <w:iCs/>
        <w:sz w:val="36"/>
        <w:szCs w:val="36"/>
        <w:lang w:val="en-AU"/>
      </w:rPr>
      <w:t xml:space="preserve"> (Human Rights) [2022] VCAT 24 (12 January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CDE" w14:textId="77777777" w:rsidR="00E26F8B" w:rsidRPr="0070388B" w:rsidRDefault="000E6619"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81"/>
    <w:multiLevelType w:val="hybridMultilevel"/>
    <w:tmpl w:val="B692A0A8"/>
    <w:lvl w:ilvl="0" w:tplc="BBB6B378">
      <w:start w:val="1300"/>
      <w:numFmt w:val="bullet"/>
      <w:lvlText w:val=""/>
      <w:lvlJc w:val="left"/>
      <w:pPr>
        <w:ind w:left="720" w:hanging="360"/>
      </w:pPr>
      <w:rPr>
        <w:rFonts w:ascii="Symbol" w:eastAsia="Calibri" w:hAnsi="Symbol" w:cs="PostGrotesk-Book"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15870"/>
    <w:multiLevelType w:val="hybridMultilevel"/>
    <w:tmpl w:val="ECAC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F50AF"/>
    <w:multiLevelType w:val="hybridMultilevel"/>
    <w:tmpl w:val="06CA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57B83"/>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D37E3"/>
    <w:multiLevelType w:val="multilevel"/>
    <w:tmpl w:val="877AC8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65AAE"/>
    <w:multiLevelType w:val="hybridMultilevel"/>
    <w:tmpl w:val="153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22AE0"/>
    <w:multiLevelType w:val="hybridMultilevel"/>
    <w:tmpl w:val="1602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F2AFA"/>
    <w:multiLevelType w:val="hybridMultilevel"/>
    <w:tmpl w:val="939E7946"/>
    <w:lvl w:ilvl="0" w:tplc="1E8E784C">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B1F73"/>
    <w:multiLevelType w:val="hybridMultilevel"/>
    <w:tmpl w:val="48E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217AC"/>
    <w:multiLevelType w:val="hybridMultilevel"/>
    <w:tmpl w:val="9FB2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317B5"/>
    <w:multiLevelType w:val="hybridMultilevel"/>
    <w:tmpl w:val="176E2600"/>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684009"/>
    <w:multiLevelType w:val="hybridMultilevel"/>
    <w:tmpl w:val="BDBA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B295B"/>
    <w:multiLevelType w:val="hybridMultilevel"/>
    <w:tmpl w:val="7AC0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DB3BF9"/>
    <w:multiLevelType w:val="hybridMultilevel"/>
    <w:tmpl w:val="DD98AB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C9001C"/>
    <w:multiLevelType w:val="hybridMultilevel"/>
    <w:tmpl w:val="B22CD9FE"/>
    <w:lvl w:ilvl="0" w:tplc="1D1C06CA">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F215F75"/>
    <w:multiLevelType w:val="hybridMultilevel"/>
    <w:tmpl w:val="A852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604432"/>
    <w:multiLevelType w:val="hybridMultilevel"/>
    <w:tmpl w:val="A97C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34030E"/>
    <w:multiLevelType w:val="hybridMultilevel"/>
    <w:tmpl w:val="ACEE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DB4C37"/>
    <w:multiLevelType w:val="hybridMultilevel"/>
    <w:tmpl w:val="282A55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19"/>
  </w:num>
  <w:num w:numId="7">
    <w:abstractNumId w:val="12"/>
  </w:num>
  <w:num w:numId="8">
    <w:abstractNumId w:val="9"/>
  </w:num>
  <w:num w:numId="9">
    <w:abstractNumId w:val="10"/>
  </w:num>
  <w:num w:numId="10">
    <w:abstractNumId w:val="17"/>
  </w:num>
  <w:num w:numId="11">
    <w:abstractNumId w:val="13"/>
  </w:num>
  <w:num w:numId="12">
    <w:abstractNumId w:val="6"/>
  </w:num>
  <w:num w:numId="13">
    <w:abstractNumId w:val="16"/>
  </w:num>
  <w:num w:numId="14">
    <w:abstractNumId w:val="18"/>
  </w:num>
  <w:num w:numId="15">
    <w:abstractNumId w:val="2"/>
  </w:num>
  <w:num w:numId="16">
    <w:abstractNumId w:val="0"/>
  </w:num>
  <w:num w:numId="17">
    <w:abstractNumId w:val="8"/>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1D"/>
    <w:rsid w:val="000047E2"/>
    <w:rsid w:val="00014AC7"/>
    <w:rsid w:val="00014DE4"/>
    <w:rsid w:val="00015642"/>
    <w:rsid w:val="000212BE"/>
    <w:rsid w:val="00040135"/>
    <w:rsid w:val="00043189"/>
    <w:rsid w:val="000509DA"/>
    <w:rsid w:val="00050A70"/>
    <w:rsid w:val="00050FC0"/>
    <w:rsid w:val="000523B7"/>
    <w:rsid w:val="000675E3"/>
    <w:rsid w:val="0007055B"/>
    <w:rsid w:val="00073623"/>
    <w:rsid w:val="0008085C"/>
    <w:rsid w:val="0008115F"/>
    <w:rsid w:val="00084790"/>
    <w:rsid w:val="00096E2E"/>
    <w:rsid w:val="000B2AE6"/>
    <w:rsid w:val="000B3EE0"/>
    <w:rsid w:val="000C2919"/>
    <w:rsid w:val="000D00BD"/>
    <w:rsid w:val="000D06A9"/>
    <w:rsid w:val="000E38EE"/>
    <w:rsid w:val="000E6619"/>
    <w:rsid w:val="0010134D"/>
    <w:rsid w:val="00112790"/>
    <w:rsid w:val="00113EAE"/>
    <w:rsid w:val="00156EFA"/>
    <w:rsid w:val="00157AF2"/>
    <w:rsid w:val="00167ED4"/>
    <w:rsid w:val="00185393"/>
    <w:rsid w:val="00185AE1"/>
    <w:rsid w:val="001901B5"/>
    <w:rsid w:val="00194190"/>
    <w:rsid w:val="00194C5E"/>
    <w:rsid w:val="001A5CF8"/>
    <w:rsid w:val="001C08F2"/>
    <w:rsid w:val="001C4E1C"/>
    <w:rsid w:val="001D1078"/>
    <w:rsid w:val="001F0FDC"/>
    <w:rsid w:val="001F40CB"/>
    <w:rsid w:val="00221EAE"/>
    <w:rsid w:val="0022258F"/>
    <w:rsid w:val="00225EA8"/>
    <w:rsid w:val="002302E0"/>
    <w:rsid w:val="002357EA"/>
    <w:rsid w:val="002373BD"/>
    <w:rsid w:val="00242AFE"/>
    <w:rsid w:val="002538A8"/>
    <w:rsid w:val="00253BDD"/>
    <w:rsid w:val="0025647B"/>
    <w:rsid w:val="00261681"/>
    <w:rsid w:val="0026470F"/>
    <w:rsid w:val="002728E7"/>
    <w:rsid w:val="00294F6E"/>
    <w:rsid w:val="0029603A"/>
    <w:rsid w:val="002C21D6"/>
    <w:rsid w:val="002C3B5E"/>
    <w:rsid w:val="002D7D26"/>
    <w:rsid w:val="002E0552"/>
    <w:rsid w:val="002F55FF"/>
    <w:rsid w:val="002F58FD"/>
    <w:rsid w:val="002F74E7"/>
    <w:rsid w:val="00312949"/>
    <w:rsid w:val="00332C5A"/>
    <w:rsid w:val="00333EF6"/>
    <w:rsid w:val="00337951"/>
    <w:rsid w:val="00373A20"/>
    <w:rsid w:val="00375B92"/>
    <w:rsid w:val="00376440"/>
    <w:rsid w:val="00392A90"/>
    <w:rsid w:val="003A111E"/>
    <w:rsid w:val="003B194A"/>
    <w:rsid w:val="003B7B16"/>
    <w:rsid w:val="003C10C6"/>
    <w:rsid w:val="003F09B7"/>
    <w:rsid w:val="0040786A"/>
    <w:rsid w:val="00410165"/>
    <w:rsid w:val="004118DB"/>
    <w:rsid w:val="004149A3"/>
    <w:rsid w:val="004731FC"/>
    <w:rsid w:val="0048282F"/>
    <w:rsid w:val="00491487"/>
    <w:rsid w:val="004B7F48"/>
    <w:rsid w:val="004D3E42"/>
    <w:rsid w:val="004D663A"/>
    <w:rsid w:val="004E6002"/>
    <w:rsid w:val="00507A8F"/>
    <w:rsid w:val="00512635"/>
    <w:rsid w:val="00516932"/>
    <w:rsid w:val="0052435B"/>
    <w:rsid w:val="00524709"/>
    <w:rsid w:val="00536EC4"/>
    <w:rsid w:val="00560F7F"/>
    <w:rsid w:val="00564324"/>
    <w:rsid w:val="005758B2"/>
    <w:rsid w:val="005915F9"/>
    <w:rsid w:val="005C617F"/>
    <w:rsid w:val="005D4B6C"/>
    <w:rsid w:val="005D5939"/>
    <w:rsid w:val="00616ACF"/>
    <w:rsid w:val="006462F8"/>
    <w:rsid w:val="00656902"/>
    <w:rsid w:val="00671CA5"/>
    <w:rsid w:val="00681833"/>
    <w:rsid w:val="006875BC"/>
    <w:rsid w:val="0069256F"/>
    <w:rsid w:val="00696C2B"/>
    <w:rsid w:val="006A2D3C"/>
    <w:rsid w:val="006B3E02"/>
    <w:rsid w:val="006B61C6"/>
    <w:rsid w:val="006C7EE2"/>
    <w:rsid w:val="006C7FC9"/>
    <w:rsid w:val="006D71DA"/>
    <w:rsid w:val="006E6608"/>
    <w:rsid w:val="007117D7"/>
    <w:rsid w:val="00730DA8"/>
    <w:rsid w:val="007316FC"/>
    <w:rsid w:val="00732027"/>
    <w:rsid w:val="00737135"/>
    <w:rsid w:val="00740C78"/>
    <w:rsid w:val="007462EE"/>
    <w:rsid w:val="00760AE2"/>
    <w:rsid w:val="00785E1C"/>
    <w:rsid w:val="00794372"/>
    <w:rsid w:val="007A31EC"/>
    <w:rsid w:val="007A612C"/>
    <w:rsid w:val="007B041D"/>
    <w:rsid w:val="007B455E"/>
    <w:rsid w:val="007B5A16"/>
    <w:rsid w:val="007B5D31"/>
    <w:rsid w:val="007B67C9"/>
    <w:rsid w:val="007C7107"/>
    <w:rsid w:val="007D05AA"/>
    <w:rsid w:val="007D742B"/>
    <w:rsid w:val="007E67AC"/>
    <w:rsid w:val="007F4F9A"/>
    <w:rsid w:val="007F647F"/>
    <w:rsid w:val="00804D1B"/>
    <w:rsid w:val="0081687B"/>
    <w:rsid w:val="008176D7"/>
    <w:rsid w:val="00836E60"/>
    <w:rsid w:val="00843C1C"/>
    <w:rsid w:val="00871911"/>
    <w:rsid w:val="0087588D"/>
    <w:rsid w:val="008812BB"/>
    <w:rsid w:val="008814B8"/>
    <w:rsid w:val="0088704C"/>
    <w:rsid w:val="00891406"/>
    <w:rsid w:val="0089348D"/>
    <w:rsid w:val="008972BB"/>
    <w:rsid w:val="008A5357"/>
    <w:rsid w:val="008B3FD0"/>
    <w:rsid w:val="008C0586"/>
    <w:rsid w:val="008C59F3"/>
    <w:rsid w:val="008D194A"/>
    <w:rsid w:val="008E1F3A"/>
    <w:rsid w:val="008F4544"/>
    <w:rsid w:val="008F79C7"/>
    <w:rsid w:val="00906C58"/>
    <w:rsid w:val="009100E2"/>
    <w:rsid w:val="00911CD7"/>
    <w:rsid w:val="00914BC1"/>
    <w:rsid w:val="009170B8"/>
    <w:rsid w:val="0093257C"/>
    <w:rsid w:val="009414FF"/>
    <w:rsid w:val="00942B19"/>
    <w:rsid w:val="009554CF"/>
    <w:rsid w:val="00957554"/>
    <w:rsid w:val="00984327"/>
    <w:rsid w:val="00987A3D"/>
    <w:rsid w:val="009A120D"/>
    <w:rsid w:val="009A231F"/>
    <w:rsid w:val="009A2607"/>
    <w:rsid w:val="009A4E39"/>
    <w:rsid w:val="009A73B8"/>
    <w:rsid w:val="00A11663"/>
    <w:rsid w:val="00A24424"/>
    <w:rsid w:val="00A25522"/>
    <w:rsid w:val="00A34891"/>
    <w:rsid w:val="00A44B24"/>
    <w:rsid w:val="00A607E2"/>
    <w:rsid w:val="00A95436"/>
    <w:rsid w:val="00AA34F8"/>
    <w:rsid w:val="00AB46F2"/>
    <w:rsid w:val="00AD2293"/>
    <w:rsid w:val="00AD540D"/>
    <w:rsid w:val="00AD5655"/>
    <w:rsid w:val="00AD7530"/>
    <w:rsid w:val="00AE58CD"/>
    <w:rsid w:val="00B126EA"/>
    <w:rsid w:val="00B16877"/>
    <w:rsid w:val="00B16EB6"/>
    <w:rsid w:val="00B2070F"/>
    <w:rsid w:val="00B224A3"/>
    <w:rsid w:val="00B30233"/>
    <w:rsid w:val="00B3659F"/>
    <w:rsid w:val="00B4176B"/>
    <w:rsid w:val="00B4560F"/>
    <w:rsid w:val="00B62B2D"/>
    <w:rsid w:val="00B6612F"/>
    <w:rsid w:val="00B82908"/>
    <w:rsid w:val="00B87C02"/>
    <w:rsid w:val="00B905B9"/>
    <w:rsid w:val="00BA22FF"/>
    <w:rsid w:val="00BB0CEE"/>
    <w:rsid w:val="00BB3E48"/>
    <w:rsid w:val="00BB7F0F"/>
    <w:rsid w:val="00BE0C45"/>
    <w:rsid w:val="00BF44C7"/>
    <w:rsid w:val="00C026CB"/>
    <w:rsid w:val="00C03DC4"/>
    <w:rsid w:val="00C32F27"/>
    <w:rsid w:val="00C67251"/>
    <w:rsid w:val="00CB3E0A"/>
    <w:rsid w:val="00CC76AB"/>
    <w:rsid w:val="00CC7F40"/>
    <w:rsid w:val="00CD3B71"/>
    <w:rsid w:val="00CD5977"/>
    <w:rsid w:val="00CD59DA"/>
    <w:rsid w:val="00CE1668"/>
    <w:rsid w:val="00CE5447"/>
    <w:rsid w:val="00D01435"/>
    <w:rsid w:val="00D121E8"/>
    <w:rsid w:val="00D201BD"/>
    <w:rsid w:val="00D271F9"/>
    <w:rsid w:val="00D273E3"/>
    <w:rsid w:val="00D42B9B"/>
    <w:rsid w:val="00D4615B"/>
    <w:rsid w:val="00D51883"/>
    <w:rsid w:val="00D540F9"/>
    <w:rsid w:val="00D575AC"/>
    <w:rsid w:val="00D66D78"/>
    <w:rsid w:val="00D74404"/>
    <w:rsid w:val="00D74C48"/>
    <w:rsid w:val="00D755EA"/>
    <w:rsid w:val="00D923F5"/>
    <w:rsid w:val="00DA178E"/>
    <w:rsid w:val="00DA3018"/>
    <w:rsid w:val="00DC34BC"/>
    <w:rsid w:val="00DE5EBF"/>
    <w:rsid w:val="00DF03C1"/>
    <w:rsid w:val="00DF4F49"/>
    <w:rsid w:val="00E01C1C"/>
    <w:rsid w:val="00E2799F"/>
    <w:rsid w:val="00E5596C"/>
    <w:rsid w:val="00E5725C"/>
    <w:rsid w:val="00E617F6"/>
    <w:rsid w:val="00E62E29"/>
    <w:rsid w:val="00E64FD4"/>
    <w:rsid w:val="00E729D9"/>
    <w:rsid w:val="00E731B8"/>
    <w:rsid w:val="00E8390E"/>
    <w:rsid w:val="00E86AB9"/>
    <w:rsid w:val="00E874B0"/>
    <w:rsid w:val="00EA66CC"/>
    <w:rsid w:val="00EC0EE4"/>
    <w:rsid w:val="00F105F1"/>
    <w:rsid w:val="00F309DE"/>
    <w:rsid w:val="00F57055"/>
    <w:rsid w:val="00F65CDC"/>
    <w:rsid w:val="00F820D4"/>
    <w:rsid w:val="00F83B90"/>
    <w:rsid w:val="00F85201"/>
    <w:rsid w:val="00F867BB"/>
    <w:rsid w:val="00F91321"/>
    <w:rsid w:val="00FB761F"/>
    <w:rsid w:val="00FC2972"/>
    <w:rsid w:val="00FD0F40"/>
    <w:rsid w:val="00FD2C40"/>
    <w:rsid w:val="00FE6AB7"/>
    <w:rsid w:val="00FE745E"/>
    <w:rsid w:val="00FF03FD"/>
    <w:rsid w:val="00FF7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3BCB"/>
  <w15:chartTrackingRefBased/>
  <w15:docId w15:val="{DFC9F88A-57D0-4AED-AA07-A60CD78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1D"/>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7B041D"/>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7B041D"/>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1D"/>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7B041D"/>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7B041D"/>
    <w:pPr>
      <w:tabs>
        <w:tab w:val="center" w:pos="4513"/>
        <w:tab w:val="right" w:pos="9026"/>
      </w:tabs>
    </w:pPr>
  </w:style>
  <w:style w:type="character" w:customStyle="1" w:styleId="HeaderChar">
    <w:name w:val="Header Char"/>
    <w:basedOn w:val="DefaultParagraphFont"/>
    <w:link w:val="Header"/>
    <w:uiPriority w:val="99"/>
    <w:rsid w:val="007B041D"/>
    <w:rPr>
      <w:rFonts w:ascii="Calibri" w:eastAsia="Calibri" w:hAnsi="Calibri" w:cs="Times New Roman"/>
      <w:sz w:val="24"/>
      <w:szCs w:val="24"/>
      <w:lang w:val="en-GB"/>
    </w:rPr>
  </w:style>
  <w:style w:type="paragraph" w:styleId="Footer">
    <w:name w:val="footer"/>
    <w:basedOn w:val="Normal"/>
    <w:link w:val="FooterChar"/>
    <w:uiPriority w:val="99"/>
    <w:unhideWhenUsed/>
    <w:rsid w:val="007B041D"/>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7B041D"/>
    <w:rPr>
      <w:rFonts w:ascii="Calibri" w:eastAsia="Calibri" w:hAnsi="Calibri" w:cs="Times New Roman"/>
      <w:color w:val="430098"/>
      <w:sz w:val="24"/>
      <w:szCs w:val="24"/>
      <w:lang w:val="en-GB"/>
    </w:rPr>
  </w:style>
  <w:style w:type="paragraph" w:customStyle="1" w:styleId="Body">
    <w:name w:val="Body"/>
    <w:basedOn w:val="Normal"/>
    <w:qFormat/>
    <w:rsid w:val="007B041D"/>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Disclaimer">
    <w:name w:val="Disclaimer"/>
    <w:basedOn w:val="Normal"/>
    <w:qFormat/>
    <w:rsid w:val="007B041D"/>
    <w:pPr>
      <w:ind w:right="-7"/>
    </w:pPr>
    <w:rPr>
      <w:rFonts w:cs="PostGrotesk-Book"/>
      <w:color w:val="55565A"/>
      <w:sz w:val="18"/>
      <w:szCs w:val="18"/>
    </w:rPr>
  </w:style>
  <w:style w:type="paragraph" w:customStyle="1" w:styleId="DocumentTitle">
    <w:name w:val="Document Title"/>
    <w:basedOn w:val="Header"/>
    <w:qFormat/>
    <w:rsid w:val="007B041D"/>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7B041D"/>
    <w:rPr>
      <w:color w:val="0000FF"/>
      <w:u w:val="single"/>
    </w:rPr>
  </w:style>
  <w:style w:type="paragraph" w:styleId="NormalWeb">
    <w:name w:val="Normal (Web)"/>
    <w:basedOn w:val="Normal"/>
    <w:uiPriority w:val="99"/>
    <w:unhideWhenUsed/>
    <w:rsid w:val="007B041D"/>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7B041D"/>
    <w:rPr>
      <w:b/>
      <w:bCs/>
    </w:rPr>
  </w:style>
  <w:style w:type="character" w:styleId="CommentReference">
    <w:name w:val="annotation reference"/>
    <w:basedOn w:val="DefaultParagraphFont"/>
    <w:uiPriority w:val="99"/>
    <w:semiHidden/>
    <w:unhideWhenUsed/>
    <w:rsid w:val="00FD2C40"/>
    <w:rPr>
      <w:sz w:val="16"/>
      <w:szCs w:val="16"/>
    </w:rPr>
  </w:style>
  <w:style w:type="paragraph" w:styleId="CommentText">
    <w:name w:val="annotation text"/>
    <w:basedOn w:val="Normal"/>
    <w:link w:val="CommentTextChar"/>
    <w:uiPriority w:val="99"/>
    <w:semiHidden/>
    <w:unhideWhenUsed/>
    <w:rsid w:val="00FD2C40"/>
    <w:rPr>
      <w:sz w:val="20"/>
      <w:szCs w:val="20"/>
    </w:rPr>
  </w:style>
  <w:style w:type="character" w:customStyle="1" w:styleId="CommentTextChar">
    <w:name w:val="Comment Text Char"/>
    <w:basedOn w:val="DefaultParagraphFont"/>
    <w:link w:val="CommentText"/>
    <w:uiPriority w:val="99"/>
    <w:semiHidden/>
    <w:rsid w:val="00FD2C4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2C40"/>
    <w:rPr>
      <w:b/>
      <w:bCs/>
    </w:rPr>
  </w:style>
  <w:style w:type="character" w:customStyle="1" w:styleId="CommentSubjectChar">
    <w:name w:val="Comment Subject Char"/>
    <w:basedOn w:val="CommentTextChar"/>
    <w:link w:val="CommentSubject"/>
    <w:uiPriority w:val="99"/>
    <w:semiHidden/>
    <w:rsid w:val="00FD2C40"/>
    <w:rPr>
      <w:rFonts w:ascii="Calibri" w:eastAsia="Calibri" w:hAnsi="Calibri" w:cs="Times New Roman"/>
      <w:b/>
      <w:bCs/>
      <w:sz w:val="20"/>
      <w:szCs w:val="20"/>
      <w:lang w:val="en-GB"/>
    </w:rPr>
  </w:style>
  <w:style w:type="paragraph" w:styleId="Revision">
    <w:name w:val="Revision"/>
    <w:hidden/>
    <w:uiPriority w:val="99"/>
    <w:semiHidden/>
    <w:rsid w:val="00FD2C40"/>
    <w:pPr>
      <w:spacing w:after="0" w:line="240" w:lineRule="auto"/>
    </w:pPr>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FD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40"/>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957554"/>
    <w:rPr>
      <w:color w:val="954F72" w:themeColor="followedHyperlink"/>
      <w:u w:val="single"/>
    </w:rPr>
  </w:style>
  <w:style w:type="character" w:styleId="UnresolvedMention">
    <w:name w:val="Unresolved Mention"/>
    <w:basedOn w:val="DefaultParagraphFont"/>
    <w:uiPriority w:val="99"/>
    <w:semiHidden/>
    <w:unhideWhenUsed/>
    <w:rsid w:val="008E1F3A"/>
    <w:rPr>
      <w:color w:val="605E5C"/>
      <w:shd w:val="clear" w:color="auto" w:fill="E1DFDD"/>
    </w:rPr>
  </w:style>
  <w:style w:type="paragraph" w:styleId="FootnoteText">
    <w:name w:val="footnote text"/>
    <w:basedOn w:val="Normal"/>
    <w:link w:val="FootnoteTextChar"/>
    <w:uiPriority w:val="99"/>
    <w:semiHidden/>
    <w:unhideWhenUsed/>
    <w:rsid w:val="00242AFE"/>
    <w:rPr>
      <w:sz w:val="20"/>
      <w:szCs w:val="20"/>
    </w:rPr>
  </w:style>
  <w:style w:type="character" w:customStyle="1" w:styleId="FootnoteTextChar">
    <w:name w:val="Footnote Text Char"/>
    <w:basedOn w:val="DefaultParagraphFont"/>
    <w:link w:val="FootnoteText"/>
    <w:uiPriority w:val="99"/>
    <w:semiHidden/>
    <w:rsid w:val="00242AF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42AFE"/>
    <w:rPr>
      <w:vertAlign w:val="superscript"/>
    </w:rPr>
  </w:style>
  <w:style w:type="paragraph" w:styleId="ListParagraph">
    <w:name w:val="List Paragraph"/>
    <w:basedOn w:val="Normal"/>
    <w:uiPriority w:val="34"/>
    <w:qFormat/>
    <w:rsid w:val="0073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4464">
      <w:bodyDiv w:val="1"/>
      <w:marLeft w:val="0"/>
      <w:marRight w:val="0"/>
      <w:marTop w:val="0"/>
      <w:marBottom w:val="0"/>
      <w:divBdr>
        <w:top w:val="none" w:sz="0" w:space="0" w:color="auto"/>
        <w:left w:val="none" w:sz="0" w:space="0" w:color="auto"/>
        <w:bottom w:val="none" w:sz="0" w:space="0" w:color="auto"/>
        <w:right w:val="none" w:sz="0" w:space="0" w:color="auto"/>
      </w:divBdr>
    </w:div>
    <w:div w:id="1475415102">
      <w:bodyDiv w:val="1"/>
      <w:marLeft w:val="0"/>
      <w:marRight w:val="0"/>
      <w:marTop w:val="0"/>
      <w:marBottom w:val="0"/>
      <w:divBdr>
        <w:top w:val="none" w:sz="0" w:space="0" w:color="auto"/>
        <w:left w:val="none" w:sz="0" w:space="0" w:color="auto"/>
        <w:bottom w:val="none" w:sz="0" w:space="0" w:color="auto"/>
        <w:right w:val="none" w:sz="0" w:space="0" w:color="auto"/>
      </w:divBdr>
    </w:div>
    <w:div w:id="16899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E0BA-E1E1-421E-AF29-134A3B1C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Cathro</dc:creator>
  <cp:keywords/>
  <dc:description/>
  <cp:lastModifiedBy>Jessica Brackin</cp:lastModifiedBy>
  <cp:revision>2</cp:revision>
  <dcterms:created xsi:type="dcterms:W3CDTF">2022-02-21T02:25:00Z</dcterms:created>
  <dcterms:modified xsi:type="dcterms:W3CDTF">2022-02-21T02:25:00Z</dcterms:modified>
</cp:coreProperties>
</file>