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4FC5" w14:textId="7822D44E" w:rsidR="0034513D" w:rsidRPr="00756BEA" w:rsidRDefault="00EA47FA" w:rsidP="00756BEA">
      <w:pPr>
        <w:pStyle w:val="MainTitle"/>
        <w:rPr>
          <w:sz w:val="40"/>
          <w:szCs w:val="52"/>
        </w:rPr>
      </w:pPr>
      <w:r>
        <w:t>PRIVACY BY DESIGN</w:t>
      </w:r>
    </w:p>
    <w:p w14:paraId="4192F735" w14:textId="73DB57AF" w:rsidR="00533CAC" w:rsidRDefault="005339B8" w:rsidP="00DA0D52">
      <w:pPr>
        <w:pStyle w:val="Heading-1"/>
      </w:pPr>
      <w:r>
        <w:t>Purpose of guidance</w:t>
      </w:r>
    </w:p>
    <w:p w14:paraId="1C6D3AFA" w14:textId="7F3DB135" w:rsidR="00FB2A76" w:rsidRDefault="00EA47FA" w:rsidP="00EA47FA">
      <w:pPr>
        <w:pStyle w:val="Body"/>
      </w:pPr>
      <w:r>
        <w:t>This resource is designed to provide</w:t>
      </w:r>
      <w:r w:rsidR="000C2376">
        <w:t xml:space="preserve"> an overview </w:t>
      </w:r>
      <w:r>
        <w:t xml:space="preserve">to Victorian public sector organisations </w:t>
      </w:r>
      <w:r w:rsidR="005C5A0D">
        <w:t>(</w:t>
      </w:r>
      <w:r w:rsidR="005C5A0D" w:rsidRPr="005C5A0D">
        <w:rPr>
          <w:b/>
          <w:bCs/>
        </w:rPr>
        <w:t>organisations</w:t>
      </w:r>
      <w:r w:rsidR="005C5A0D">
        <w:t xml:space="preserve">) </w:t>
      </w:r>
      <w:r>
        <w:t>on Privacy by Design</w:t>
      </w:r>
      <w:r w:rsidR="00365ED8">
        <w:t xml:space="preserve"> (</w:t>
      </w:r>
      <w:proofErr w:type="spellStart"/>
      <w:r w:rsidR="00365ED8" w:rsidRPr="00E462A0">
        <w:rPr>
          <w:b/>
          <w:bCs/>
        </w:rPr>
        <w:t>PbD</w:t>
      </w:r>
      <w:proofErr w:type="spellEnd"/>
      <w:r w:rsidR="00365ED8">
        <w:t>)</w:t>
      </w:r>
      <w:r>
        <w:t xml:space="preserve">. It </w:t>
      </w:r>
      <w:r w:rsidR="009741E1">
        <w:t xml:space="preserve">discusses the benefits of </w:t>
      </w:r>
      <w:proofErr w:type="spellStart"/>
      <w:r w:rsidR="009741E1">
        <w:t>Pb</w:t>
      </w:r>
      <w:r w:rsidR="00C1627B">
        <w:t>D</w:t>
      </w:r>
      <w:proofErr w:type="spellEnd"/>
      <w:r w:rsidR="00C1627B">
        <w:t xml:space="preserve"> </w:t>
      </w:r>
      <w:r w:rsidR="009741E1">
        <w:t xml:space="preserve">and </w:t>
      </w:r>
      <w:r w:rsidR="008D335C">
        <w:t xml:space="preserve">the </w:t>
      </w:r>
      <w:r w:rsidR="009741E1">
        <w:t>steps an organisation can take to implement</w:t>
      </w:r>
      <w:r w:rsidR="005C5A0D">
        <w:t xml:space="preserve"> it</w:t>
      </w:r>
      <w:r w:rsidR="009741E1">
        <w:t xml:space="preserve">. </w:t>
      </w:r>
    </w:p>
    <w:p w14:paraId="5960C105" w14:textId="41249127" w:rsidR="00267A55" w:rsidRDefault="00267A55" w:rsidP="009F0AC3">
      <w:pPr>
        <w:pStyle w:val="Heading-1"/>
      </w:pPr>
      <w:r>
        <w:t>What is Privacy by Design?</w:t>
      </w:r>
    </w:p>
    <w:p w14:paraId="52E07FB1" w14:textId="779E0841" w:rsidR="00273EB7" w:rsidRDefault="009E6C5C" w:rsidP="00365ED8">
      <w:pPr>
        <w:pStyle w:val="Body"/>
      </w:pPr>
      <w:proofErr w:type="spellStart"/>
      <w:r>
        <w:t>PbD</w:t>
      </w:r>
      <w:proofErr w:type="spellEnd"/>
      <w:r w:rsidR="00D71FA0">
        <w:rPr>
          <w:rStyle w:val="EndnoteReference"/>
        </w:rPr>
        <w:endnoteReference w:id="1"/>
      </w:r>
      <w:r>
        <w:t xml:space="preserve"> is a</w:t>
      </w:r>
      <w:r w:rsidR="00B83844">
        <w:t xml:space="preserve">n approach to </w:t>
      </w:r>
      <w:r w:rsidR="009741E1">
        <w:t xml:space="preserve">proactively </w:t>
      </w:r>
      <w:r w:rsidR="00267A55">
        <w:t xml:space="preserve">embedding </w:t>
      </w:r>
      <w:r w:rsidR="007E0E14">
        <w:t xml:space="preserve">privacy </w:t>
      </w:r>
      <w:r w:rsidR="00AB7714">
        <w:t>into</w:t>
      </w:r>
      <w:r w:rsidR="00267A55">
        <w:t xml:space="preserve"> the design and development of</w:t>
      </w:r>
      <w:r w:rsidR="00AB7714">
        <w:t xml:space="preserve"> </w:t>
      </w:r>
      <w:r w:rsidR="00866E99">
        <w:t xml:space="preserve">a program </w:t>
      </w:r>
      <w:r w:rsidR="00CB735A">
        <w:t xml:space="preserve">that </w:t>
      </w:r>
      <w:r w:rsidR="00053588">
        <w:t>involve</w:t>
      </w:r>
      <w:r w:rsidR="00866E99">
        <w:t>s</w:t>
      </w:r>
      <w:r w:rsidR="00053588">
        <w:t xml:space="preserve"> </w:t>
      </w:r>
      <w:r w:rsidR="00A75C7D">
        <w:t>any</w:t>
      </w:r>
      <w:r w:rsidR="00CB735A">
        <w:t xml:space="preserve"> collection</w:t>
      </w:r>
      <w:r w:rsidR="007979FB">
        <w:t>, use</w:t>
      </w:r>
      <w:r w:rsidR="000C2376">
        <w:t>, or</w:t>
      </w:r>
      <w:r w:rsidR="007979FB">
        <w:t xml:space="preserve"> disclosure </w:t>
      </w:r>
      <w:r w:rsidR="00CB735A">
        <w:t>of personal information.</w:t>
      </w:r>
      <w:r w:rsidR="00284C31">
        <w:t xml:space="preserve"> </w:t>
      </w:r>
      <w:proofErr w:type="spellStart"/>
      <w:r w:rsidR="00A75C7D">
        <w:t>PbD</w:t>
      </w:r>
      <w:proofErr w:type="spellEnd"/>
      <w:r w:rsidR="007164C8">
        <w:t xml:space="preserve"> aims to ensure privacy is considered before, at the start of, and throughout the development and implementation of a program.  </w:t>
      </w:r>
    </w:p>
    <w:p w14:paraId="4FF749AF" w14:textId="04AF9662" w:rsidR="007164C8" w:rsidRDefault="007164C8" w:rsidP="00365ED8">
      <w:pPr>
        <w:pStyle w:val="Body"/>
      </w:pPr>
      <w:r>
        <w:t xml:space="preserve">In this resource, program refers to an organisation’s information systems, business processes, practices, services, and the range of projects the organisation undertakes. </w:t>
      </w:r>
    </w:p>
    <w:p w14:paraId="1299DA8B" w14:textId="0EE5E628" w:rsidR="00DF340F" w:rsidRDefault="00A75C7D" w:rsidP="008C2194">
      <w:pPr>
        <w:pStyle w:val="Body"/>
      </w:pPr>
      <w:r>
        <w:t>Organisations</w:t>
      </w:r>
      <w:r w:rsidR="00DF340F">
        <w:t xml:space="preserve"> </w:t>
      </w:r>
      <w:r w:rsidR="008402EE">
        <w:t xml:space="preserve">increasingly </w:t>
      </w:r>
      <w:r w:rsidR="00DF340F">
        <w:t>us</w:t>
      </w:r>
      <w:r>
        <w:t>e</w:t>
      </w:r>
      <w:r w:rsidR="00DF340F">
        <w:t xml:space="preserve"> digital technologies to</w:t>
      </w:r>
      <w:r w:rsidR="00C84F28">
        <w:t xml:space="preserve"> understand the public better and achieve better outcomes for them, to improve services for the public, and to find creative solutions to policy issues</w:t>
      </w:r>
      <w:r w:rsidR="00866E99">
        <w:t xml:space="preserve">. </w:t>
      </w:r>
      <w:r>
        <w:t>Organisations</w:t>
      </w:r>
      <w:r w:rsidR="00414B6E">
        <w:t xml:space="preserve"> collect, use and disclos</w:t>
      </w:r>
      <w:r>
        <w:t xml:space="preserve">e </w:t>
      </w:r>
      <w:r w:rsidR="00414B6E">
        <w:t>significant amounts of personal information to achieve these objectives</w:t>
      </w:r>
      <w:r>
        <w:t>, consequently</w:t>
      </w:r>
      <w:r w:rsidR="00C84F28">
        <w:t xml:space="preserve"> it is important that </w:t>
      </w:r>
      <w:r w:rsidR="00866E99">
        <w:t xml:space="preserve">an organisation </w:t>
      </w:r>
      <w:r>
        <w:t>implements</w:t>
      </w:r>
      <w:r w:rsidR="00866E99">
        <w:t xml:space="preserve"> </w:t>
      </w:r>
      <w:r w:rsidR="00C84F28">
        <w:t>good privacy practices</w:t>
      </w:r>
      <w:r w:rsidR="00866E99">
        <w:t xml:space="preserve">. </w:t>
      </w:r>
    </w:p>
    <w:p w14:paraId="222FCDC9" w14:textId="29E9E938" w:rsidR="00414B6E" w:rsidRDefault="00414B6E" w:rsidP="008C2194">
      <w:pPr>
        <w:pStyle w:val="Body"/>
      </w:pPr>
      <w:r>
        <w:t>The</w:t>
      </w:r>
      <w:r w:rsidR="00A54268">
        <w:t>re are many</w:t>
      </w:r>
      <w:r>
        <w:t xml:space="preserve"> benefits </w:t>
      </w:r>
      <w:r w:rsidR="00A54268">
        <w:t xml:space="preserve">to both organisations and the public when </w:t>
      </w:r>
      <w:proofErr w:type="spellStart"/>
      <w:r w:rsidR="00A54268">
        <w:t>PbD</w:t>
      </w:r>
      <w:proofErr w:type="spellEnd"/>
      <w:r w:rsidR="00A54268">
        <w:t xml:space="preserve"> principles are considered</w:t>
      </w:r>
      <w:r>
        <w:t>:</w:t>
      </w:r>
    </w:p>
    <w:p w14:paraId="403708E3" w14:textId="30BECD3E" w:rsidR="00855DC5" w:rsidRDefault="00A54268" w:rsidP="00E30BD4">
      <w:pPr>
        <w:pStyle w:val="Body"/>
        <w:numPr>
          <w:ilvl w:val="0"/>
          <w:numId w:val="26"/>
        </w:numPr>
        <w:ind w:left="426" w:hanging="426"/>
      </w:pPr>
      <w:proofErr w:type="spellStart"/>
      <w:r>
        <w:t>PbD</w:t>
      </w:r>
      <w:proofErr w:type="spellEnd"/>
      <w:r>
        <w:t xml:space="preserve"> m</w:t>
      </w:r>
      <w:r w:rsidR="00414B6E">
        <w:t>inimis</w:t>
      </w:r>
      <w:r w:rsidR="00F1275D">
        <w:t>es</w:t>
      </w:r>
      <w:r w:rsidR="00414B6E">
        <w:t xml:space="preserve"> the privacy risks associated with handling personal information. There is a reduced risk of </w:t>
      </w:r>
      <w:r w:rsidR="00B9196A">
        <w:t xml:space="preserve">an </w:t>
      </w:r>
      <w:r w:rsidR="00414B6E">
        <w:t xml:space="preserve">organisation breaching </w:t>
      </w:r>
      <w:r w:rsidR="00B9196A">
        <w:t>its</w:t>
      </w:r>
      <w:r w:rsidR="00414B6E">
        <w:t xml:space="preserve"> privacy obligations under the </w:t>
      </w:r>
      <w:r w:rsidR="00414B6E" w:rsidRPr="00E30BD4">
        <w:rPr>
          <w:i/>
          <w:iCs/>
        </w:rPr>
        <w:t>P</w:t>
      </w:r>
      <w:r w:rsidR="000D7214" w:rsidRPr="00E30BD4">
        <w:rPr>
          <w:i/>
          <w:iCs/>
        </w:rPr>
        <w:t xml:space="preserve">rivacy and </w:t>
      </w:r>
      <w:r w:rsidR="00414B6E" w:rsidRPr="00E30BD4">
        <w:rPr>
          <w:i/>
          <w:iCs/>
        </w:rPr>
        <w:t>D</w:t>
      </w:r>
      <w:r w:rsidR="000D7214" w:rsidRPr="00E30BD4">
        <w:rPr>
          <w:i/>
          <w:iCs/>
        </w:rPr>
        <w:t xml:space="preserve">ata </w:t>
      </w:r>
      <w:r w:rsidR="00414B6E" w:rsidRPr="00E30BD4">
        <w:rPr>
          <w:i/>
          <w:iCs/>
        </w:rPr>
        <w:t>P</w:t>
      </w:r>
      <w:r w:rsidR="000D7214" w:rsidRPr="00E30BD4">
        <w:rPr>
          <w:i/>
          <w:iCs/>
        </w:rPr>
        <w:t>rotection</w:t>
      </w:r>
      <w:r w:rsidR="00414B6E" w:rsidRPr="00E30BD4">
        <w:rPr>
          <w:i/>
          <w:iCs/>
        </w:rPr>
        <w:t xml:space="preserve"> Ac</w:t>
      </w:r>
      <w:r w:rsidR="000D7214" w:rsidRPr="00E30BD4">
        <w:rPr>
          <w:i/>
          <w:iCs/>
        </w:rPr>
        <w:t>t 2014</w:t>
      </w:r>
      <w:r w:rsidR="00E24B32">
        <w:rPr>
          <w:i/>
          <w:iCs/>
        </w:rPr>
        <w:t xml:space="preserve"> </w:t>
      </w:r>
      <w:r w:rsidR="00E24B32">
        <w:t>(</w:t>
      </w:r>
      <w:r w:rsidR="00E24B32" w:rsidRPr="00E30BD4">
        <w:rPr>
          <w:b/>
          <w:bCs/>
        </w:rPr>
        <w:t>PDP Act</w:t>
      </w:r>
      <w:r w:rsidR="00E24B32">
        <w:t>)</w:t>
      </w:r>
      <w:r w:rsidR="000D7214">
        <w:t xml:space="preserve">, </w:t>
      </w:r>
      <w:r w:rsidR="00414B6E">
        <w:t>and any other applicable privacy laws</w:t>
      </w:r>
      <w:r w:rsidR="00B9196A">
        <w:t xml:space="preserve"> as </w:t>
      </w:r>
      <w:r w:rsidR="0053552D">
        <w:t>the organisation</w:t>
      </w:r>
      <w:r w:rsidR="00B9196A">
        <w:t xml:space="preserve"> </w:t>
      </w:r>
      <w:r w:rsidR="00F1275D">
        <w:t>proactively</w:t>
      </w:r>
      <w:r w:rsidR="00B9196A">
        <w:t xml:space="preserve"> identifies the privacy risks associated with a program </w:t>
      </w:r>
      <w:r w:rsidR="00855DC5">
        <w:t>a</w:t>
      </w:r>
      <w:r w:rsidR="00B9196A">
        <w:t>nd take</w:t>
      </w:r>
      <w:r w:rsidR="0053552D">
        <w:t>s</w:t>
      </w:r>
      <w:r w:rsidR="00B9196A">
        <w:t xml:space="preserve"> steps to address them</w:t>
      </w:r>
      <w:r w:rsidR="00586895">
        <w:t>.</w:t>
      </w:r>
    </w:p>
    <w:p w14:paraId="261DC71C" w14:textId="4D44BCE5" w:rsidR="00414B6E" w:rsidRDefault="00A54268" w:rsidP="00E30BD4">
      <w:pPr>
        <w:pStyle w:val="Body"/>
        <w:numPr>
          <w:ilvl w:val="0"/>
          <w:numId w:val="26"/>
        </w:numPr>
        <w:ind w:left="426" w:hanging="426"/>
      </w:pPr>
      <w:proofErr w:type="spellStart"/>
      <w:r>
        <w:t>PbD</w:t>
      </w:r>
      <w:proofErr w:type="spellEnd"/>
      <w:r>
        <w:t xml:space="preserve"> s</w:t>
      </w:r>
      <w:r w:rsidR="00414B6E">
        <w:t>hift</w:t>
      </w:r>
      <w:r w:rsidR="0053552D">
        <w:t>s</w:t>
      </w:r>
      <w:r w:rsidR="00B9196A">
        <w:t xml:space="preserve"> the privacy focus </w:t>
      </w:r>
      <w:r w:rsidR="00414B6E">
        <w:t>from compliance to prevention</w:t>
      </w:r>
      <w:r w:rsidR="00B9196A">
        <w:t xml:space="preserve"> as it </w:t>
      </w:r>
      <w:r w:rsidR="00414B6E">
        <w:t>help</w:t>
      </w:r>
      <w:r w:rsidR="00B9196A">
        <w:t xml:space="preserve">s an </w:t>
      </w:r>
      <w:r w:rsidR="00414B6E">
        <w:t>organisation design, manage</w:t>
      </w:r>
      <w:r w:rsidR="008D335C">
        <w:t>,</w:t>
      </w:r>
      <w:r w:rsidR="00414B6E">
        <w:t xml:space="preserve"> and implement initiatives in a way that respects and protects </w:t>
      </w:r>
      <w:r w:rsidR="0053552D">
        <w:t xml:space="preserve">an </w:t>
      </w:r>
      <w:r w:rsidR="00414B6E">
        <w:t>individual</w:t>
      </w:r>
      <w:r w:rsidR="00B9196A">
        <w:t>’</w:t>
      </w:r>
      <w:r w:rsidR="0053552D">
        <w:t>s</w:t>
      </w:r>
      <w:r w:rsidR="00414B6E">
        <w:t xml:space="preserve"> privacy rights</w:t>
      </w:r>
      <w:r w:rsidR="00E401B3">
        <w:t>. Privacy protection is viewed as an asset, not just a compliance measure</w:t>
      </w:r>
      <w:r w:rsidR="00586895">
        <w:t>.</w:t>
      </w:r>
    </w:p>
    <w:p w14:paraId="3CD8EA18" w14:textId="28A9C757" w:rsidR="00601058" w:rsidRDefault="00A54268" w:rsidP="00E30BD4">
      <w:pPr>
        <w:pStyle w:val="Body"/>
        <w:numPr>
          <w:ilvl w:val="0"/>
          <w:numId w:val="26"/>
        </w:numPr>
        <w:ind w:left="426" w:hanging="426"/>
      </w:pPr>
      <w:proofErr w:type="spellStart"/>
      <w:r>
        <w:t>PbD</w:t>
      </w:r>
      <w:proofErr w:type="spellEnd"/>
      <w:r>
        <w:t xml:space="preserve"> i</w:t>
      </w:r>
      <w:r w:rsidR="00414B6E">
        <w:t xml:space="preserve">ncreases awareness of privacy across </w:t>
      </w:r>
      <w:r w:rsidR="00B9196A">
        <w:t>an</w:t>
      </w:r>
      <w:r w:rsidR="00414B6E">
        <w:t xml:space="preserve"> organisation and facilitates cultural change in the way that pro</w:t>
      </w:r>
      <w:r w:rsidR="00D50AAF">
        <w:t>grams</w:t>
      </w:r>
      <w:r w:rsidR="00414B6E">
        <w:t xml:space="preserve"> are developed and implemente</w:t>
      </w:r>
      <w:r w:rsidR="00586895">
        <w:t>d.</w:t>
      </w:r>
    </w:p>
    <w:p w14:paraId="15FD477A" w14:textId="15571EC3" w:rsidR="00414B6E" w:rsidRDefault="00A54268" w:rsidP="00E30BD4">
      <w:pPr>
        <w:pStyle w:val="Body"/>
        <w:numPr>
          <w:ilvl w:val="0"/>
          <w:numId w:val="26"/>
        </w:numPr>
        <w:ind w:left="426" w:hanging="426"/>
      </w:pPr>
      <w:proofErr w:type="spellStart"/>
      <w:r>
        <w:t>PbD</w:t>
      </w:r>
      <w:proofErr w:type="spellEnd"/>
      <w:r>
        <w:t xml:space="preserve"> h</w:t>
      </w:r>
      <w:r w:rsidR="00601058">
        <w:t xml:space="preserve">elps build </w:t>
      </w:r>
      <w:r w:rsidR="00855DC5">
        <w:t xml:space="preserve">public </w:t>
      </w:r>
      <w:r w:rsidR="00601058">
        <w:t xml:space="preserve">trust in an organisation’s ability to handle personal information appropriately as </w:t>
      </w:r>
      <w:r w:rsidR="006D6A55">
        <w:t xml:space="preserve">it </w:t>
      </w:r>
      <w:r w:rsidR="00601058">
        <w:t xml:space="preserve">demonstrates that </w:t>
      </w:r>
      <w:r w:rsidR="00B9196A">
        <w:t>the</w:t>
      </w:r>
      <w:r w:rsidR="00601058">
        <w:t xml:space="preserve"> organisation</w:t>
      </w:r>
      <w:r w:rsidR="00601058" w:rsidRPr="00601058">
        <w:t xml:space="preserve"> </w:t>
      </w:r>
      <w:r w:rsidR="00601058">
        <w:t>priorit</w:t>
      </w:r>
      <w:r w:rsidR="00B9196A">
        <w:t>is</w:t>
      </w:r>
      <w:r w:rsidR="00601058">
        <w:t>es privacy and values the personal information it holds</w:t>
      </w:r>
      <w:r w:rsidR="00586895">
        <w:t>.</w:t>
      </w:r>
    </w:p>
    <w:p w14:paraId="05D05D67" w14:textId="4A43E1AD" w:rsidR="008C2194" w:rsidRDefault="00A54268" w:rsidP="00E30BD4">
      <w:pPr>
        <w:pStyle w:val="Body"/>
        <w:numPr>
          <w:ilvl w:val="0"/>
          <w:numId w:val="20"/>
        </w:numPr>
        <w:ind w:left="426" w:hanging="426"/>
      </w:pPr>
      <w:proofErr w:type="spellStart"/>
      <w:r>
        <w:t>PbD</w:t>
      </w:r>
      <w:proofErr w:type="spellEnd"/>
      <w:r w:rsidR="00B9196A">
        <w:t xml:space="preserve"> can be c</w:t>
      </w:r>
      <w:r w:rsidR="00601058">
        <w:t xml:space="preserve">ost effective as it enables </w:t>
      </w:r>
      <w:r w:rsidR="00B9196A">
        <w:t xml:space="preserve">an </w:t>
      </w:r>
      <w:r w:rsidR="00601058">
        <w:t xml:space="preserve">organisation to </w:t>
      </w:r>
      <w:r w:rsidR="00D50AAF">
        <w:t>i</w:t>
      </w:r>
      <w:r w:rsidR="008C2194">
        <w:t>dentify and address</w:t>
      </w:r>
      <w:r w:rsidR="00601058">
        <w:t xml:space="preserve"> any</w:t>
      </w:r>
      <w:r w:rsidR="008C2194">
        <w:t xml:space="preserve"> potential </w:t>
      </w:r>
      <w:r w:rsidR="00601058">
        <w:t xml:space="preserve">privacy </w:t>
      </w:r>
      <w:r w:rsidR="008C2194">
        <w:t xml:space="preserve">problems </w:t>
      </w:r>
      <w:r w:rsidR="00601058">
        <w:t xml:space="preserve">early as opposed to retroactively building privacy into programs that </w:t>
      </w:r>
      <w:r w:rsidR="00B9196A">
        <w:t>already exist</w:t>
      </w:r>
      <w:r w:rsidR="00D50AAF">
        <w:t>.</w:t>
      </w:r>
      <w:r w:rsidR="009E1A5C">
        <w:t xml:space="preserve"> Not only can data breaches have significant financial impacts to an organisation, they can also erode the public’s trust in the organisation’s information handling practices</w:t>
      </w:r>
      <w:r w:rsidR="00A76ED5">
        <w:t xml:space="preserve"> and affect the organisation’s reputation. </w:t>
      </w:r>
    </w:p>
    <w:p w14:paraId="22EB2E2B" w14:textId="5F9BF996" w:rsidR="006471C4" w:rsidRPr="009F0AC3" w:rsidRDefault="00267A55" w:rsidP="009F0AC3">
      <w:pPr>
        <w:pStyle w:val="Heading-1"/>
      </w:pPr>
      <w:r w:rsidRPr="009F0AC3">
        <w:lastRenderedPageBreak/>
        <w:t>Implementing</w:t>
      </w:r>
      <w:r w:rsidR="00EA47FA" w:rsidRPr="009F0AC3">
        <w:t xml:space="preserve"> Privacy by Design</w:t>
      </w:r>
    </w:p>
    <w:p w14:paraId="4B3647E8" w14:textId="33155688" w:rsidR="00C84F28" w:rsidRDefault="00697C0D" w:rsidP="00697C0D">
      <w:pPr>
        <w:pStyle w:val="Body"/>
      </w:pPr>
      <w:r>
        <w:t xml:space="preserve">There are a range of factors that influence how an organisation implements </w:t>
      </w:r>
      <w:proofErr w:type="spellStart"/>
      <w:r>
        <w:t>PbD</w:t>
      </w:r>
      <w:proofErr w:type="spellEnd"/>
      <w:r w:rsidR="002326BC">
        <w:t>,</w:t>
      </w:r>
      <w:r>
        <w:t xml:space="preserve"> including the nature </w:t>
      </w:r>
      <w:r w:rsidR="00894E1E">
        <w:t xml:space="preserve">and size </w:t>
      </w:r>
      <w:r>
        <w:t>of the organisation, the amount of personal information handled by the organisation</w:t>
      </w:r>
      <w:r w:rsidR="000C72B7">
        <w:t>,</w:t>
      </w:r>
      <w:r w:rsidR="008D3777">
        <w:t xml:space="preserve"> and the resources available to the organisation</w:t>
      </w:r>
      <w:r>
        <w:t xml:space="preserve">. </w:t>
      </w:r>
      <w:r w:rsidR="00567E86">
        <w:t>Importantly</w:t>
      </w:r>
      <w:r w:rsidR="00C84F28">
        <w:t xml:space="preserve">, the measures that an organisation implements should be anchored in a respect for individual’s personal information. </w:t>
      </w:r>
    </w:p>
    <w:p w14:paraId="1B41682C" w14:textId="0EAED8C1" w:rsidR="00697C0D" w:rsidRDefault="000C72B7" w:rsidP="00697C0D">
      <w:pPr>
        <w:pStyle w:val="Body"/>
      </w:pPr>
      <w:r>
        <w:t>S</w:t>
      </w:r>
      <w:r w:rsidR="00567E86">
        <w:t>teps</w:t>
      </w:r>
      <w:r w:rsidR="00697C0D">
        <w:t xml:space="preserve"> that </w:t>
      </w:r>
      <w:r w:rsidR="003E162F">
        <w:t xml:space="preserve">an </w:t>
      </w:r>
      <w:r w:rsidR="00DA6A0E">
        <w:t xml:space="preserve">organisation can </w:t>
      </w:r>
      <w:r w:rsidR="00567E86">
        <w:t>take</w:t>
      </w:r>
      <w:r w:rsidR="00DA6A0E">
        <w:t xml:space="preserve"> to </w:t>
      </w:r>
      <w:r w:rsidR="00697C0D">
        <w:t xml:space="preserve">embed a </w:t>
      </w:r>
      <w:proofErr w:type="spellStart"/>
      <w:r w:rsidR="00697C0D">
        <w:t>PbD</w:t>
      </w:r>
      <w:proofErr w:type="spellEnd"/>
      <w:r w:rsidR="00697C0D">
        <w:t xml:space="preserve"> </w:t>
      </w:r>
      <w:r w:rsidR="00DA6A0E">
        <w:t xml:space="preserve">approach </w:t>
      </w:r>
      <w:r w:rsidR="00442C5A">
        <w:t xml:space="preserve">across </w:t>
      </w:r>
      <w:r w:rsidR="00DA6A0E">
        <w:t>the</w:t>
      </w:r>
      <w:r w:rsidR="00442C5A">
        <w:t xml:space="preserve"> organisation</w:t>
      </w:r>
      <w:r w:rsidR="00DA6A0E">
        <w:t xml:space="preserve"> include</w:t>
      </w:r>
      <w:r w:rsidR="00442C5A">
        <w:t xml:space="preserve">: </w:t>
      </w:r>
    </w:p>
    <w:p w14:paraId="6A49D694" w14:textId="670741D1" w:rsidR="004042A9" w:rsidRDefault="004042A9" w:rsidP="00E30BD4">
      <w:pPr>
        <w:pStyle w:val="Body"/>
        <w:numPr>
          <w:ilvl w:val="0"/>
          <w:numId w:val="20"/>
        </w:numPr>
        <w:ind w:left="426" w:hanging="426"/>
      </w:pPr>
      <w:r>
        <w:t xml:space="preserve">Mandating </w:t>
      </w:r>
      <w:r w:rsidR="000C72B7">
        <w:t>p</w:t>
      </w:r>
      <w:r>
        <w:t xml:space="preserve">rivacy </w:t>
      </w:r>
      <w:r w:rsidR="000C72B7">
        <w:t>i</w:t>
      </w:r>
      <w:r>
        <w:t xml:space="preserve">mpact </w:t>
      </w:r>
      <w:r w:rsidR="000C72B7">
        <w:t>a</w:t>
      </w:r>
      <w:r>
        <w:t>ssessments (</w:t>
      </w:r>
      <w:r w:rsidRPr="000C72B7">
        <w:rPr>
          <w:b/>
          <w:bCs/>
        </w:rPr>
        <w:t>PIAs</w:t>
      </w:r>
      <w:r>
        <w:t>) for programs that involve collection, use and disclosure of personal information. An organisation will find it easier to build privacy into programs once it has identified privacy risks and developed appropriate risk mitigation strategies.</w:t>
      </w:r>
      <w:r w:rsidRPr="00E30BD4">
        <w:rPr>
          <w:vertAlign w:val="superscript"/>
        </w:rPr>
        <w:endnoteReference w:id="2"/>
      </w:r>
    </w:p>
    <w:p w14:paraId="35286108" w14:textId="6E088F52" w:rsidR="00E8547E" w:rsidRDefault="00E8547E" w:rsidP="00E30BD4">
      <w:pPr>
        <w:pStyle w:val="Body"/>
        <w:numPr>
          <w:ilvl w:val="0"/>
          <w:numId w:val="20"/>
        </w:numPr>
        <w:ind w:left="426" w:hanging="426"/>
      </w:pPr>
      <w:r>
        <w:t xml:space="preserve">Consulting the Privacy Officer on all programs that involve handling personal </w:t>
      </w:r>
      <w:proofErr w:type="gramStart"/>
      <w:r>
        <w:t>information, or</w:t>
      </w:r>
      <w:proofErr w:type="gramEnd"/>
      <w:r>
        <w:t xml:space="preserve"> ensuring the Privacy Officer is involved in the development of such programs. </w:t>
      </w:r>
    </w:p>
    <w:p w14:paraId="242E4E11" w14:textId="3C59DBB0" w:rsidR="004042A9" w:rsidRDefault="00D96D42" w:rsidP="00E30BD4">
      <w:pPr>
        <w:pStyle w:val="Body"/>
        <w:numPr>
          <w:ilvl w:val="0"/>
          <w:numId w:val="20"/>
        </w:numPr>
        <w:ind w:left="426" w:hanging="426"/>
      </w:pPr>
      <w:r>
        <w:t>Ensuring appropriate security measures are implemented throughout the program’s lifecy</w:t>
      </w:r>
      <w:r w:rsidR="008D335C">
        <w:t>c</w:t>
      </w:r>
      <w:r>
        <w:t xml:space="preserve">le </w:t>
      </w:r>
      <w:r w:rsidR="004042A9">
        <w:t xml:space="preserve">to </w:t>
      </w:r>
      <w:r>
        <w:t xml:space="preserve">protect personal information. </w:t>
      </w:r>
      <w:r w:rsidR="008D335C">
        <w:t>For example, f</w:t>
      </w:r>
      <w:r w:rsidR="004042A9">
        <w:t>or ICT systems</w:t>
      </w:r>
      <w:r w:rsidR="000C72B7">
        <w:t>,</w:t>
      </w:r>
      <w:r w:rsidR="008D335C">
        <w:t xml:space="preserve"> measure</w:t>
      </w:r>
      <w:r w:rsidR="000C72B7">
        <w:t>s</w:t>
      </w:r>
      <w:r w:rsidR="004042A9">
        <w:t xml:space="preserve"> c</w:t>
      </w:r>
      <w:r w:rsidR="000C72B7">
        <w:t>ould</w:t>
      </w:r>
      <w:r w:rsidR="004042A9">
        <w:t xml:space="preserve"> include:</w:t>
      </w:r>
    </w:p>
    <w:p w14:paraId="1F75A8B0" w14:textId="5E4DB751" w:rsidR="004042A9" w:rsidRDefault="009F16C0" w:rsidP="00E30BD4">
      <w:pPr>
        <w:pStyle w:val="Body"/>
        <w:numPr>
          <w:ilvl w:val="1"/>
          <w:numId w:val="21"/>
        </w:numPr>
        <w:ind w:left="851" w:hanging="425"/>
      </w:pPr>
      <w:r>
        <w:t>C</w:t>
      </w:r>
      <w:r w:rsidR="004042A9">
        <w:t xml:space="preserve">ollecting only </w:t>
      </w:r>
      <w:r w:rsidR="008D335C">
        <w:t xml:space="preserve">the </w:t>
      </w:r>
      <w:r w:rsidR="004042A9">
        <w:t>minimum amount of information required for the program</w:t>
      </w:r>
      <w:r w:rsidR="00D96D42">
        <w:t xml:space="preserve"> to avoid risks associated with overcollection of information</w:t>
      </w:r>
      <w:r>
        <w:t>.</w:t>
      </w:r>
    </w:p>
    <w:p w14:paraId="7FD5187D" w14:textId="667E8A19" w:rsidR="004042A9" w:rsidRDefault="009F16C0" w:rsidP="00E30BD4">
      <w:pPr>
        <w:pStyle w:val="Body"/>
        <w:numPr>
          <w:ilvl w:val="1"/>
          <w:numId w:val="21"/>
        </w:numPr>
        <w:ind w:left="851" w:hanging="425"/>
      </w:pPr>
      <w:r>
        <w:t>I</w:t>
      </w:r>
      <w:r w:rsidR="004042A9">
        <w:t>mplementing access controls to ensure only the right individuals have access to the information held in the system</w:t>
      </w:r>
      <w:r>
        <w:t>.</w:t>
      </w:r>
    </w:p>
    <w:p w14:paraId="5D1AE936" w14:textId="05994531" w:rsidR="008D335C" w:rsidRDefault="009F16C0" w:rsidP="00E30BD4">
      <w:pPr>
        <w:pStyle w:val="Body"/>
        <w:numPr>
          <w:ilvl w:val="1"/>
          <w:numId w:val="21"/>
        </w:numPr>
        <w:ind w:left="851" w:hanging="425"/>
      </w:pPr>
      <w:r>
        <w:t>P</w:t>
      </w:r>
      <w:r w:rsidR="004042A9">
        <w:t>eriodically testing the program to ensure privacy and security measures are operating efficiently</w:t>
      </w:r>
      <w:r w:rsidR="006C1DC3">
        <w:t xml:space="preserve"> and e</w:t>
      </w:r>
      <w:r w:rsidR="008D335C">
        <w:t>nsuring access to the system can be audited</w:t>
      </w:r>
      <w:r>
        <w:t>.</w:t>
      </w:r>
    </w:p>
    <w:p w14:paraId="2B4F2C6A" w14:textId="64001408" w:rsidR="00D96D42" w:rsidRDefault="009F16C0" w:rsidP="00E30BD4">
      <w:pPr>
        <w:pStyle w:val="Body"/>
        <w:numPr>
          <w:ilvl w:val="1"/>
          <w:numId w:val="21"/>
        </w:numPr>
        <w:ind w:left="851" w:hanging="425"/>
      </w:pPr>
      <w:r>
        <w:t>H</w:t>
      </w:r>
      <w:r w:rsidR="00D96D42">
        <w:t xml:space="preserve">aving a clear process for destroying or de-identifying personal information </w:t>
      </w:r>
      <w:r w:rsidR="00A1597A">
        <w:t>once</w:t>
      </w:r>
      <w:r w:rsidR="00D96D42">
        <w:t xml:space="preserve"> it is no longer needed for the program</w:t>
      </w:r>
      <w:r>
        <w:t>.</w:t>
      </w:r>
    </w:p>
    <w:p w14:paraId="30C77283" w14:textId="5F10F20E" w:rsidR="00531F89" w:rsidRDefault="00A76ED5" w:rsidP="00E30BD4">
      <w:pPr>
        <w:pStyle w:val="Body"/>
        <w:numPr>
          <w:ilvl w:val="0"/>
          <w:numId w:val="20"/>
        </w:numPr>
        <w:ind w:left="426" w:hanging="426"/>
      </w:pPr>
      <w:r>
        <w:t>Build</w:t>
      </w:r>
      <w:r w:rsidR="00531F89">
        <w:t xml:space="preserve">ing a culture of privacy across </w:t>
      </w:r>
      <w:r w:rsidR="008D335C">
        <w:t>the</w:t>
      </w:r>
      <w:r w:rsidR="00531F89">
        <w:t xml:space="preserve"> organisation</w:t>
      </w:r>
      <w:r w:rsidR="00F64896">
        <w:t xml:space="preserve">: </w:t>
      </w:r>
    </w:p>
    <w:p w14:paraId="69B94ED0" w14:textId="7544D804" w:rsidR="009F16C0" w:rsidRDefault="009F16C0" w:rsidP="009F16C0">
      <w:pPr>
        <w:pStyle w:val="Body"/>
        <w:numPr>
          <w:ilvl w:val="1"/>
          <w:numId w:val="21"/>
        </w:numPr>
        <w:ind w:left="851" w:hanging="425"/>
      </w:pPr>
      <w:r>
        <w:t xml:space="preserve">Conducting regular training and awareness sessions on privacy obligations </w:t>
      </w:r>
      <w:r w:rsidR="002326BC">
        <w:t xml:space="preserve">for employees </w:t>
      </w:r>
      <w:r>
        <w:t>under the PDP Act</w:t>
      </w:r>
      <w:r w:rsidR="002326BC">
        <w:t>,</w:t>
      </w:r>
      <w:r>
        <w:t xml:space="preserve"> and the role </w:t>
      </w:r>
      <w:r w:rsidR="002326BC">
        <w:t xml:space="preserve">they play </w:t>
      </w:r>
      <w:r>
        <w:t xml:space="preserve">in ensuring the organisation handles personal information appropriately. </w:t>
      </w:r>
    </w:p>
    <w:p w14:paraId="7510802C" w14:textId="6D201121" w:rsidR="009F16C0" w:rsidRDefault="009F16C0" w:rsidP="009F16C0">
      <w:pPr>
        <w:pStyle w:val="Body"/>
        <w:numPr>
          <w:ilvl w:val="1"/>
          <w:numId w:val="21"/>
        </w:numPr>
        <w:ind w:left="851" w:hanging="425"/>
      </w:pPr>
      <w:r>
        <w:t>Incorporated privacy education into staff induction</w:t>
      </w:r>
      <w:r w:rsidR="002326BC">
        <w:t xml:space="preserve"> processes</w:t>
      </w:r>
      <w:r>
        <w:t xml:space="preserve">. </w:t>
      </w:r>
    </w:p>
    <w:p w14:paraId="6EF8B2B9" w14:textId="5E2DBC56" w:rsidR="00F64896" w:rsidRDefault="00F64896" w:rsidP="00E30BD4">
      <w:pPr>
        <w:pStyle w:val="Body"/>
        <w:numPr>
          <w:ilvl w:val="1"/>
          <w:numId w:val="21"/>
        </w:numPr>
        <w:ind w:left="851" w:hanging="425"/>
      </w:pPr>
      <w:r>
        <w:t>Ensuring executive and senior management take the lead in promoting good privacy practices</w:t>
      </w:r>
      <w:r w:rsidR="009F16C0">
        <w:t>.</w:t>
      </w:r>
    </w:p>
    <w:p w14:paraId="4C60AC49" w14:textId="1A46F092" w:rsidR="00F64896" w:rsidRDefault="00F64896" w:rsidP="00E30BD4">
      <w:pPr>
        <w:pStyle w:val="Body"/>
        <w:numPr>
          <w:ilvl w:val="1"/>
          <w:numId w:val="21"/>
        </w:numPr>
        <w:ind w:left="851" w:hanging="425"/>
      </w:pPr>
      <w:r>
        <w:t>Creating key roles and responsibilities for privacy management</w:t>
      </w:r>
      <w:r w:rsidR="002326BC">
        <w:t>,</w:t>
      </w:r>
      <w:r>
        <w:t xml:space="preserve"> including </w:t>
      </w:r>
      <w:r w:rsidR="002326BC">
        <w:t xml:space="preserve">making </w:t>
      </w:r>
      <w:r>
        <w:t>a senior staff member with overall accountability for privacy</w:t>
      </w:r>
      <w:r w:rsidR="00233E5E">
        <w:t xml:space="preserve">, and </w:t>
      </w:r>
      <w:r w:rsidR="002326BC">
        <w:t xml:space="preserve">appointing </w:t>
      </w:r>
      <w:r w:rsidR="00233E5E">
        <w:t>a privacy officer to handle privacy queries and complaints</w:t>
      </w:r>
      <w:r w:rsidR="006C1DC3">
        <w:t>.</w:t>
      </w:r>
    </w:p>
    <w:p w14:paraId="55FFF966" w14:textId="67F42118" w:rsidR="005D3506" w:rsidRDefault="005D3506" w:rsidP="00E30BD4">
      <w:pPr>
        <w:pStyle w:val="Body"/>
        <w:numPr>
          <w:ilvl w:val="0"/>
          <w:numId w:val="20"/>
        </w:numPr>
        <w:ind w:left="426" w:hanging="426"/>
      </w:pPr>
      <w:r>
        <w:t>Promoting openness and transparency to help build public trust in the organisation’s ability to handle personal information appropriately:</w:t>
      </w:r>
    </w:p>
    <w:p w14:paraId="580FB052" w14:textId="77777777" w:rsidR="005D3506" w:rsidRDefault="005D3506" w:rsidP="00E30BD4">
      <w:pPr>
        <w:pStyle w:val="Body"/>
        <w:numPr>
          <w:ilvl w:val="1"/>
          <w:numId w:val="21"/>
        </w:numPr>
        <w:ind w:left="851" w:hanging="425"/>
      </w:pPr>
      <w:r>
        <w:t xml:space="preserve">Having privacy policies that are easily accessible, current, and clearly explain how the organisation manages personal information. </w:t>
      </w:r>
    </w:p>
    <w:p w14:paraId="725F002E" w14:textId="5E17CFD5" w:rsidR="006C1DC3" w:rsidRDefault="005D3506" w:rsidP="00E30BD4">
      <w:pPr>
        <w:pStyle w:val="Body"/>
        <w:numPr>
          <w:ilvl w:val="1"/>
          <w:numId w:val="21"/>
        </w:numPr>
        <w:ind w:left="851" w:hanging="425"/>
      </w:pPr>
      <w:r>
        <w:lastRenderedPageBreak/>
        <w:t>Providing detailed, easy-to-understand collection notices when collecting personal information from individuals.</w:t>
      </w:r>
      <w:r>
        <w:rPr>
          <w:rStyle w:val="EndnoteReference"/>
        </w:rPr>
        <w:endnoteReference w:id="3"/>
      </w:r>
    </w:p>
    <w:p w14:paraId="4ECB73CE" w14:textId="023E1827" w:rsidR="006C1DC3" w:rsidRDefault="006C1DC3" w:rsidP="00E30BD4">
      <w:pPr>
        <w:pStyle w:val="Body"/>
      </w:pPr>
      <w:proofErr w:type="spellStart"/>
      <w:r w:rsidRPr="00E30BD4">
        <w:t>PbD</w:t>
      </w:r>
      <w:proofErr w:type="spellEnd"/>
      <w:r w:rsidRPr="00E30BD4">
        <w:t xml:space="preserve"> enables </w:t>
      </w:r>
      <w:r>
        <w:t>organisations</w:t>
      </w:r>
      <w:r w:rsidRPr="00E30BD4">
        <w:t xml:space="preserve"> to approach privacy </w:t>
      </w:r>
      <w:r>
        <w:t xml:space="preserve">in </w:t>
      </w:r>
      <w:r w:rsidRPr="00E30BD4">
        <w:t>productive ways that centre on prevention rather than remediation. It means that privacy concerns are identified and mitigated early and comprehensively in an environment where privacy is not the inevitable loser in a zero</w:t>
      </w:r>
      <w:r w:rsidR="002326BC">
        <w:t>-</w:t>
      </w:r>
      <w:r w:rsidRPr="00E30BD4">
        <w:t xml:space="preserve">sum game. </w:t>
      </w:r>
    </w:p>
    <w:p w14:paraId="7A5B5910" w14:textId="77777777" w:rsidR="006C1DC3" w:rsidRDefault="006C1DC3" w:rsidP="00E30BD4">
      <w:pPr>
        <w:pStyle w:val="Body"/>
      </w:pPr>
      <w:r w:rsidRPr="00E30BD4">
        <w:t>The payoff is significant: improved relationships</w:t>
      </w:r>
      <w:r>
        <w:t xml:space="preserve"> with the public</w:t>
      </w:r>
      <w:r w:rsidRPr="00E30BD4">
        <w:t xml:space="preserve">, better satisfaction and trust, support for ICT initiatives, cost savings, reduced legal liabilities and more efficient public sector operations. </w:t>
      </w:r>
    </w:p>
    <w:p w14:paraId="3A10873C" w14:textId="340C4272" w:rsidR="004D47C9" w:rsidRDefault="006C1DC3" w:rsidP="006C1DC3">
      <w:pPr>
        <w:pStyle w:val="Body"/>
      </w:pPr>
      <w:proofErr w:type="spellStart"/>
      <w:r w:rsidRPr="00E30BD4">
        <w:t>PbD</w:t>
      </w:r>
      <w:proofErr w:type="spellEnd"/>
      <w:r w:rsidRPr="00E30BD4">
        <w:t xml:space="preserve"> sets the scene for a culture of privacy where privacy is woven into the fabric of day</w:t>
      </w:r>
      <w:r w:rsidR="002326BC">
        <w:t>-</w:t>
      </w:r>
      <w:r w:rsidRPr="00E30BD4">
        <w:t>to</w:t>
      </w:r>
      <w:r w:rsidR="002326BC">
        <w:t>-</w:t>
      </w:r>
      <w:r w:rsidRPr="00E30BD4">
        <w:t xml:space="preserve">day organisational practices such that it becomes a part of </w:t>
      </w:r>
      <w:proofErr w:type="gramStart"/>
      <w:r w:rsidRPr="00E30BD4">
        <w:t>business as usual</w:t>
      </w:r>
      <w:proofErr w:type="gramEnd"/>
      <w:r w:rsidRPr="00E30BD4">
        <w:t xml:space="preserve"> activities that sustain and promote public value.</w:t>
      </w:r>
    </w:p>
    <w:sectPr w:rsidR="004D47C9" w:rsidSect="005754AC">
      <w:footerReference w:type="default" r:id="rId8"/>
      <w:headerReference w:type="first" r:id="rId9"/>
      <w:footerReference w:type="first" r:id="rId10"/>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9602" w14:textId="77777777" w:rsidR="003D1D8B" w:rsidRDefault="003D1D8B" w:rsidP="00B53C78">
      <w:r>
        <w:separator/>
      </w:r>
    </w:p>
  </w:endnote>
  <w:endnote w:type="continuationSeparator" w:id="0">
    <w:p w14:paraId="168AB793" w14:textId="77777777" w:rsidR="003D1D8B" w:rsidRDefault="003D1D8B" w:rsidP="00B53C78">
      <w:r>
        <w:continuationSeparator/>
      </w:r>
    </w:p>
  </w:endnote>
  <w:endnote w:id="1">
    <w:p w14:paraId="4DF4F15F" w14:textId="12931BA1" w:rsidR="00D71FA0" w:rsidRPr="00E30BD4" w:rsidRDefault="00D71FA0">
      <w:pPr>
        <w:pStyle w:val="EndnoteText"/>
        <w:rPr>
          <w:sz w:val="16"/>
          <w:szCs w:val="16"/>
          <w:lang w:val="en-AU"/>
        </w:rPr>
      </w:pPr>
      <w:r w:rsidRPr="00E30BD4">
        <w:rPr>
          <w:rStyle w:val="EndnoteReference"/>
          <w:sz w:val="16"/>
          <w:szCs w:val="16"/>
        </w:rPr>
        <w:endnoteRef/>
      </w:r>
      <w:r w:rsidRPr="00E30BD4">
        <w:rPr>
          <w:sz w:val="16"/>
          <w:szCs w:val="16"/>
        </w:rPr>
        <w:t xml:space="preserve"> </w:t>
      </w:r>
      <w:r w:rsidR="009F4D23" w:rsidRPr="00E30BD4">
        <w:rPr>
          <w:sz w:val="16"/>
          <w:szCs w:val="16"/>
        </w:rPr>
        <w:t xml:space="preserve">Dr </w:t>
      </w:r>
      <w:r w:rsidR="009F4D23" w:rsidRPr="00E30BD4">
        <w:rPr>
          <w:sz w:val="16"/>
          <w:szCs w:val="16"/>
          <w:lang w:val="en-AU"/>
        </w:rPr>
        <w:t xml:space="preserve">Ann Cavoukian </w:t>
      </w:r>
      <w:r w:rsidR="005E3E38" w:rsidRPr="00E30BD4">
        <w:rPr>
          <w:sz w:val="16"/>
          <w:szCs w:val="16"/>
          <w:lang w:val="en-AU"/>
        </w:rPr>
        <w:t>developed</w:t>
      </w:r>
      <w:r w:rsidR="009F4D23" w:rsidRPr="00E30BD4">
        <w:rPr>
          <w:sz w:val="16"/>
          <w:szCs w:val="16"/>
        </w:rPr>
        <w:t xml:space="preserve"> </w:t>
      </w:r>
      <w:r w:rsidR="005E3E38" w:rsidRPr="00E30BD4">
        <w:rPr>
          <w:sz w:val="16"/>
          <w:szCs w:val="16"/>
        </w:rPr>
        <w:t xml:space="preserve">the concept of </w:t>
      </w:r>
      <w:r w:rsidRPr="00E30BD4">
        <w:rPr>
          <w:sz w:val="16"/>
          <w:szCs w:val="16"/>
          <w:lang w:val="en-AU"/>
        </w:rPr>
        <w:t>Privacy by Design</w:t>
      </w:r>
      <w:r w:rsidR="009F4D23" w:rsidRPr="00E30BD4">
        <w:rPr>
          <w:sz w:val="16"/>
          <w:szCs w:val="16"/>
          <w:lang w:val="en-AU"/>
        </w:rPr>
        <w:t xml:space="preserve"> and the seven foundational principles underpinning th</w:t>
      </w:r>
      <w:r w:rsidR="005E3E38" w:rsidRPr="00E30BD4">
        <w:rPr>
          <w:sz w:val="16"/>
          <w:szCs w:val="16"/>
          <w:lang w:val="en-AU"/>
        </w:rPr>
        <w:t>e</w:t>
      </w:r>
      <w:r w:rsidR="009F4D23" w:rsidRPr="00E30BD4">
        <w:rPr>
          <w:sz w:val="16"/>
          <w:szCs w:val="16"/>
          <w:lang w:val="en-AU"/>
        </w:rPr>
        <w:t xml:space="preserve"> approach.</w:t>
      </w:r>
      <w:r w:rsidR="005E3E38" w:rsidRPr="00E30BD4">
        <w:rPr>
          <w:sz w:val="16"/>
          <w:szCs w:val="16"/>
          <w:lang w:val="en-AU"/>
        </w:rPr>
        <w:t xml:space="preserve"> </w:t>
      </w:r>
      <w:r w:rsidRPr="00E30BD4">
        <w:rPr>
          <w:sz w:val="16"/>
          <w:szCs w:val="16"/>
          <w:lang w:val="en-AU"/>
        </w:rPr>
        <w:t xml:space="preserve"> </w:t>
      </w:r>
    </w:p>
  </w:endnote>
  <w:endnote w:id="2">
    <w:p w14:paraId="4B8B1538" w14:textId="77777777" w:rsidR="004042A9" w:rsidRPr="00E30BD4" w:rsidRDefault="004042A9" w:rsidP="004042A9">
      <w:pPr>
        <w:pStyle w:val="EndnoteText"/>
        <w:rPr>
          <w:sz w:val="16"/>
          <w:szCs w:val="16"/>
          <w:lang w:val="en-AU"/>
        </w:rPr>
      </w:pPr>
      <w:r w:rsidRPr="00E30BD4">
        <w:rPr>
          <w:rStyle w:val="EndnoteReference"/>
          <w:sz w:val="16"/>
          <w:szCs w:val="16"/>
        </w:rPr>
        <w:endnoteRef/>
      </w:r>
      <w:r w:rsidRPr="00E30BD4">
        <w:rPr>
          <w:sz w:val="16"/>
          <w:szCs w:val="16"/>
        </w:rPr>
        <w:t xml:space="preserve"> </w:t>
      </w:r>
      <w:r w:rsidRPr="00E30BD4">
        <w:rPr>
          <w:sz w:val="16"/>
          <w:szCs w:val="16"/>
          <w:lang w:val="en-AU"/>
        </w:rPr>
        <w:t xml:space="preserve">Detailed guidance on PIAs is available on OVIC’s website here: </w:t>
      </w:r>
      <w:hyperlink r:id="rId1" w:history="1">
        <w:r w:rsidRPr="00E30BD4">
          <w:rPr>
            <w:rStyle w:val="Hyperlink"/>
            <w:sz w:val="16"/>
            <w:szCs w:val="16"/>
            <w:lang w:val="en-AU"/>
          </w:rPr>
          <w:t>https://ovic.vic.gov.au/privacy/privacy-impact-assessment/</w:t>
        </w:r>
      </w:hyperlink>
      <w:r w:rsidRPr="00E30BD4">
        <w:rPr>
          <w:sz w:val="16"/>
          <w:szCs w:val="16"/>
          <w:lang w:val="en-AU"/>
        </w:rPr>
        <w:t>.</w:t>
      </w:r>
    </w:p>
  </w:endnote>
  <w:endnote w:id="3">
    <w:p w14:paraId="11BD3462" w14:textId="60506FF4" w:rsidR="000C72B7" w:rsidRPr="00E30BD4" w:rsidRDefault="005D3506" w:rsidP="005D3506">
      <w:pPr>
        <w:pStyle w:val="EndnoteText"/>
        <w:rPr>
          <w:sz w:val="16"/>
          <w:szCs w:val="16"/>
          <w:lang w:val="en-AU"/>
        </w:rPr>
      </w:pPr>
      <w:r w:rsidRPr="00E30BD4">
        <w:rPr>
          <w:rStyle w:val="EndnoteReference"/>
          <w:sz w:val="16"/>
          <w:szCs w:val="16"/>
        </w:rPr>
        <w:endnoteRef/>
      </w:r>
      <w:r w:rsidRPr="00E30BD4">
        <w:rPr>
          <w:sz w:val="16"/>
          <w:szCs w:val="16"/>
        </w:rPr>
        <w:t xml:space="preserve"> </w:t>
      </w:r>
      <w:r w:rsidRPr="00E30BD4">
        <w:rPr>
          <w:sz w:val="16"/>
          <w:szCs w:val="16"/>
          <w:lang w:val="en-AU"/>
        </w:rPr>
        <w:t xml:space="preserve">Detailed guidance on privacy policies and collection notices is available on OVIC’s website here: </w:t>
      </w:r>
      <w:hyperlink r:id="rId2" w:history="1">
        <w:r w:rsidRPr="00E30BD4">
          <w:rPr>
            <w:rStyle w:val="Hyperlink"/>
            <w:sz w:val="16"/>
            <w:szCs w:val="16"/>
            <w:lang w:val="en-AU"/>
          </w:rPr>
          <w:t>https://ovic.vic.gov.au/privacy/privacy-policies/</w:t>
        </w:r>
      </w:hyperlink>
      <w:r w:rsidRPr="00E30BD4">
        <w:rPr>
          <w:sz w:val="16"/>
          <w:szCs w:val="16"/>
          <w:lang w:val="en-AU"/>
        </w:rPr>
        <w:t xml:space="preserve"> and here: </w:t>
      </w:r>
      <w:hyperlink r:id="rId3" w:history="1">
        <w:r w:rsidRPr="00E30BD4">
          <w:rPr>
            <w:rStyle w:val="Hyperlink"/>
            <w:sz w:val="16"/>
            <w:szCs w:val="16"/>
            <w:lang w:val="en-AU"/>
          </w:rPr>
          <w:t>https://ovic.vic.gov.au/privacy/collection-notices/</w:t>
        </w:r>
      </w:hyperlink>
      <w:r w:rsidRPr="00E30BD4">
        <w:rPr>
          <w:sz w:val="16"/>
          <w:szCs w:val="16"/>
          <w:lang w:val="en-AU"/>
        </w:rPr>
        <w:t xml:space="preserve">. </w:t>
      </w:r>
    </w:p>
    <w:p w14:paraId="3848DF06" w14:textId="77777777" w:rsidR="000C72B7" w:rsidRPr="00E54A51" w:rsidRDefault="000C72B7" w:rsidP="000C72B7">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lang w:val="en-AU"/>
        </w:rPr>
      </w:pPr>
      <w:r w:rsidRPr="00E54A51">
        <w:rPr>
          <w:rFonts w:asciiTheme="minorHAnsi" w:hAnsiTheme="minorHAnsi" w:cstheme="minorHAnsi"/>
          <w:b/>
          <w:color w:val="000000" w:themeColor="text1"/>
          <w:sz w:val="16"/>
          <w:szCs w:val="16"/>
          <w:lang w:val="en-AU"/>
        </w:rPr>
        <w:t xml:space="preserve">Disclaimer: </w:t>
      </w:r>
      <w:r w:rsidRPr="00E54A51">
        <w:rPr>
          <w:rFonts w:asciiTheme="minorHAnsi" w:hAnsiTheme="minorHAnsi" w:cstheme="minorHAnsi"/>
          <w:color w:val="000000" w:themeColor="text1"/>
          <w:sz w:val="16"/>
          <w:szCs w:val="16"/>
          <w:lang w:val="en-AU"/>
        </w:rPr>
        <w:t>The information in this document is general in nature and does not constitute legal advice.</w:t>
      </w:r>
    </w:p>
    <w:p w14:paraId="1C9F9484" w14:textId="77777777" w:rsidR="000C72B7" w:rsidRPr="00F56223" w:rsidRDefault="000C72B7" w:rsidP="005D3506">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2000503000000020004"/>
    <w:charset w:val="00"/>
    <w:family w:val="auto"/>
    <w:pitch w:val="variable"/>
    <w:sig w:usb0="00000001"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44D3"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BEB3"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9FBE" w14:textId="77777777" w:rsidR="003D1D8B" w:rsidRPr="002330E8" w:rsidRDefault="003D1D8B">
      <w:pPr>
        <w:rPr>
          <w:color w:val="55565A"/>
          <w:sz w:val="22"/>
          <w:szCs w:val="22"/>
        </w:rPr>
      </w:pPr>
      <w:r w:rsidRPr="002330E8">
        <w:rPr>
          <w:color w:val="55565A"/>
          <w:sz w:val="22"/>
          <w:szCs w:val="22"/>
        </w:rPr>
        <w:separator/>
      </w:r>
    </w:p>
  </w:footnote>
  <w:footnote w:type="continuationSeparator" w:id="0">
    <w:p w14:paraId="0C7CEC1E" w14:textId="77777777" w:rsidR="003D1D8B" w:rsidRDefault="003D1D8B" w:rsidP="00B53C78">
      <w:r>
        <w:continuationSeparator/>
      </w:r>
    </w:p>
  </w:footnote>
  <w:footnote w:type="continuationNotice" w:id="1">
    <w:p w14:paraId="1D3C94B7" w14:textId="77777777" w:rsidR="003D1D8B" w:rsidRDefault="003D1D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3100" w14:textId="77777777" w:rsidR="005754AC" w:rsidRPr="00383F1E"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rPr>
    </w:pPr>
    <w:r>
      <w:rPr>
        <w:noProof/>
        <w:color w:val="7F7F7F"/>
        <w:sz w:val="28"/>
        <w:szCs w:val="28"/>
        <w:lang w:val="en-AU" w:eastAsia="en-AU"/>
      </w:rPr>
      <w:drawing>
        <wp:anchor distT="0" distB="0" distL="114300" distR="114300" simplePos="0" relativeHeight="251659264" behindDoc="1" locked="0" layoutInCell="1" allowOverlap="1" wp14:anchorId="7AFD487E" wp14:editId="61D2F897">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13BF8B1E" w14:textId="0E9F163A" w:rsidR="005754AC" w:rsidRPr="00E54A51" w:rsidRDefault="00E03164"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383F1E">
      <w:rPr>
        <w:rFonts w:asciiTheme="minorHAnsi" w:hAnsiTheme="minorHAnsi" w:cstheme="minorHAnsi"/>
        <w:color w:val="000000" w:themeColor="text1"/>
        <w:sz w:val="16"/>
        <w:szCs w:val="16"/>
        <w:lang w:val="en-AU"/>
      </w:rPr>
      <w:t>January 2022</w:t>
    </w:r>
    <w:r w:rsidR="00112666" w:rsidRPr="00383F1E">
      <w:rPr>
        <w:rFonts w:asciiTheme="minorHAnsi" w:hAnsiTheme="minorHAnsi" w:cstheme="minorHAnsi"/>
        <w:color w:val="000000" w:themeColor="text1"/>
        <w:sz w:val="16"/>
        <w:szCs w:val="16"/>
        <w:lang w:val="en-AU"/>
      </w:rPr>
      <w:t xml:space="preserve"> – </w:t>
    </w:r>
    <w:r w:rsidR="004D47C9" w:rsidRPr="00383F1E">
      <w:rPr>
        <w:rFonts w:asciiTheme="minorHAnsi" w:hAnsiTheme="minorHAnsi" w:cstheme="minorHAnsi"/>
        <w:color w:val="000000" w:themeColor="text1"/>
        <w:sz w:val="16"/>
        <w:szCs w:val="16"/>
        <w:lang w:val="en-AU"/>
      </w:rPr>
      <w:t>D21</w:t>
    </w:r>
    <w:r w:rsidR="004D47C9">
      <w:rPr>
        <w:rFonts w:asciiTheme="minorHAnsi" w:hAnsiTheme="minorHAnsi" w:cstheme="minorHAnsi"/>
        <w:color w:val="000000" w:themeColor="text1"/>
        <w:sz w:val="16"/>
        <w:szCs w:val="16"/>
        <w:lang w:val="en-AU"/>
      </w:rPr>
      <w:t>/</w:t>
    </w:r>
    <w:r w:rsidR="006B5F58">
      <w:rPr>
        <w:rFonts w:asciiTheme="minorHAnsi" w:hAnsiTheme="minorHAnsi" w:cstheme="minorHAnsi"/>
        <w:color w:val="000000" w:themeColor="text1"/>
        <w:sz w:val="16"/>
        <w:szCs w:val="16"/>
        <w:lang w:val="en-AU"/>
      </w:rPr>
      <w:t>24515</w:t>
    </w:r>
  </w:p>
  <w:p w14:paraId="3648C7A1"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211F3B24"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7597AB91" wp14:editId="569DDD66">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F10367"/>
    <w:multiLevelType w:val="hybridMultilevel"/>
    <w:tmpl w:val="507E7A5C"/>
    <w:lvl w:ilvl="0" w:tplc="53EE2C2E">
      <w:numFmt w:val="bullet"/>
      <w:lvlText w:val="-"/>
      <w:lvlJc w:val="left"/>
      <w:pPr>
        <w:ind w:left="1114" w:hanging="360"/>
      </w:pPr>
      <w:rPr>
        <w:rFonts w:ascii="Calibri" w:eastAsia="Calibri" w:hAnsi="Calibri" w:cs="Calibri"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4" w15:restartNumberingAfterBreak="0">
    <w:nsid w:val="0B45199E"/>
    <w:multiLevelType w:val="hybridMultilevel"/>
    <w:tmpl w:val="D79E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4770FD"/>
    <w:multiLevelType w:val="hybridMultilevel"/>
    <w:tmpl w:val="E1AC0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732FB8"/>
    <w:multiLevelType w:val="hybridMultilevel"/>
    <w:tmpl w:val="AF8C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34450"/>
    <w:multiLevelType w:val="hybridMultilevel"/>
    <w:tmpl w:val="E67A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33E1B"/>
    <w:multiLevelType w:val="hybridMultilevel"/>
    <w:tmpl w:val="BDEA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F55AAD"/>
    <w:multiLevelType w:val="hybridMultilevel"/>
    <w:tmpl w:val="BBB6D0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037A90"/>
    <w:multiLevelType w:val="hybridMultilevel"/>
    <w:tmpl w:val="B32AE93E"/>
    <w:lvl w:ilvl="0" w:tplc="56AEC0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9C3938"/>
    <w:multiLevelType w:val="hybridMultilevel"/>
    <w:tmpl w:val="BB006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26"/>
  </w:num>
  <w:num w:numId="5">
    <w:abstractNumId w:val="20"/>
  </w:num>
  <w:num w:numId="6">
    <w:abstractNumId w:val="25"/>
  </w:num>
  <w:num w:numId="7">
    <w:abstractNumId w:val="10"/>
  </w:num>
  <w:num w:numId="8">
    <w:abstractNumId w:val="13"/>
  </w:num>
  <w:num w:numId="9">
    <w:abstractNumId w:val="0"/>
  </w:num>
  <w:num w:numId="10">
    <w:abstractNumId w:val="7"/>
  </w:num>
  <w:num w:numId="11">
    <w:abstractNumId w:val="23"/>
  </w:num>
  <w:num w:numId="12">
    <w:abstractNumId w:val="5"/>
  </w:num>
  <w:num w:numId="13">
    <w:abstractNumId w:val="18"/>
  </w:num>
  <w:num w:numId="14">
    <w:abstractNumId w:val="1"/>
  </w:num>
  <w:num w:numId="15">
    <w:abstractNumId w:val="21"/>
  </w:num>
  <w:num w:numId="16">
    <w:abstractNumId w:val="16"/>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6"/>
  </w:num>
  <w:num w:numId="22">
    <w:abstractNumId w:val="22"/>
  </w:num>
  <w:num w:numId="23">
    <w:abstractNumId w:val="24"/>
  </w:num>
  <w:num w:numId="24">
    <w:abstractNumId w:val="8"/>
  </w:num>
  <w:num w:numId="25">
    <w:abstractNumId w:val="19"/>
  </w:num>
  <w:num w:numId="26">
    <w:abstractNumId w:val="4"/>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29"/>
    <w:rsid w:val="00001D44"/>
    <w:rsid w:val="00026946"/>
    <w:rsid w:val="00044728"/>
    <w:rsid w:val="00053588"/>
    <w:rsid w:val="00064688"/>
    <w:rsid w:val="00071169"/>
    <w:rsid w:val="00077961"/>
    <w:rsid w:val="00077F9C"/>
    <w:rsid w:val="00086F6E"/>
    <w:rsid w:val="00091CB4"/>
    <w:rsid w:val="000A288E"/>
    <w:rsid w:val="000A2D3D"/>
    <w:rsid w:val="000A6340"/>
    <w:rsid w:val="000B469A"/>
    <w:rsid w:val="000C09CC"/>
    <w:rsid w:val="000C2376"/>
    <w:rsid w:val="000C72B7"/>
    <w:rsid w:val="000D6593"/>
    <w:rsid w:val="000D7214"/>
    <w:rsid w:val="000E133C"/>
    <w:rsid w:val="000E4EA8"/>
    <w:rsid w:val="000E6D30"/>
    <w:rsid w:val="000E7FAE"/>
    <w:rsid w:val="000F3A12"/>
    <w:rsid w:val="000F5FBE"/>
    <w:rsid w:val="00112666"/>
    <w:rsid w:val="001132A7"/>
    <w:rsid w:val="00113B64"/>
    <w:rsid w:val="001159CB"/>
    <w:rsid w:val="00117A32"/>
    <w:rsid w:val="00122E63"/>
    <w:rsid w:val="0012374C"/>
    <w:rsid w:val="00145431"/>
    <w:rsid w:val="00146F50"/>
    <w:rsid w:val="00164A42"/>
    <w:rsid w:val="001716C9"/>
    <w:rsid w:val="00173F40"/>
    <w:rsid w:val="0017786A"/>
    <w:rsid w:val="0019036B"/>
    <w:rsid w:val="00192695"/>
    <w:rsid w:val="0019423B"/>
    <w:rsid w:val="001967FD"/>
    <w:rsid w:val="00197113"/>
    <w:rsid w:val="001B37C3"/>
    <w:rsid w:val="001C063B"/>
    <w:rsid w:val="001C6E4B"/>
    <w:rsid w:val="00231CA6"/>
    <w:rsid w:val="002326BC"/>
    <w:rsid w:val="002330E8"/>
    <w:rsid w:val="00233E5E"/>
    <w:rsid w:val="0024071F"/>
    <w:rsid w:val="0025217E"/>
    <w:rsid w:val="00252833"/>
    <w:rsid w:val="00261684"/>
    <w:rsid w:val="00267A55"/>
    <w:rsid w:val="002713FA"/>
    <w:rsid w:val="00273EB7"/>
    <w:rsid w:val="00284C31"/>
    <w:rsid w:val="00293DDA"/>
    <w:rsid w:val="0029538B"/>
    <w:rsid w:val="002A48A0"/>
    <w:rsid w:val="002A4FBE"/>
    <w:rsid w:val="002B0C12"/>
    <w:rsid w:val="002B258B"/>
    <w:rsid w:val="002B614D"/>
    <w:rsid w:val="002D7864"/>
    <w:rsid w:val="002E1861"/>
    <w:rsid w:val="002F3ED5"/>
    <w:rsid w:val="003020DA"/>
    <w:rsid w:val="00305D40"/>
    <w:rsid w:val="00315658"/>
    <w:rsid w:val="00317A27"/>
    <w:rsid w:val="00320B70"/>
    <w:rsid w:val="00322784"/>
    <w:rsid w:val="00326E58"/>
    <w:rsid w:val="00330030"/>
    <w:rsid w:val="0034513D"/>
    <w:rsid w:val="0034520D"/>
    <w:rsid w:val="00345731"/>
    <w:rsid w:val="0035211D"/>
    <w:rsid w:val="00365ED8"/>
    <w:rsid w:val="00370F3D"/>
    <w:rsid w:val="00372C3E"/>
    <w:rsid w:val="00383F1E"/>
    <w:rsid w:val="00384F15"/>
    <w:rsid w:val="003922C2"/>
    <w:rsid w:val="003A0F3A"/>
    <w:rsid w:val="003A7085"/>
    <w:rsid w:val="003C6D10"/>
    <w:rsid w:val="003D1D8B"/>
    <w:rsid w:val="003E162F"/>
    <w:rsid w:val="003E180A"/>
    <w:rsid w:val="003F4712"/>
    <w:rsid w:val="003F6439"/>
    <w:rsid w:val="00400498"/>
    <w:rsid w:val="004042A9"/>
    <w:rsid w:val="00406248"/>
    <w:rsid w:val="00414B6E"/>
    <w:rsid w:val="0042046C"/>
    <w:rsid w:val="00424309"/>
    <w:rsid w:val="0043156F"/>
    <w:rsid w:val="00436C00"/>
    <w:rsid w:val="00442C5A"/>
    <w:rsid w:val="0045060E"/>
    <w:rsid w:val="00453B44"/>
    <w:rsid w:val="004634A1"/>
    <w:rsid w:val="00465B05"/>
    <w:rsid w:val="00470E39"/>
    <w:rsid w:val="0047248D"/>
    <w:rsid w:val="00476315"/>
    <w:rsid w:val="004775F9"/>
    <w:rsid w:val="004A33DA"/>
    <w:rsid w:val="004B66C0"/>
    <w:rsid w:val="004D1C82"/>
    <w:rsid w:val="004D4448"/>
    <w:rsid w:val="004D47C9"/>
    <w:rsid w:val="00502CD1"/>
    <w:rsid w:val="005178FE"/>
    <w:rsid w:val="00531F89"/>
    <w:rsid w:val="00532D82"/>
    <w:rsid w:val="005339B8"/>
    <w:rsid w:val="00533CAC"/>
    <w:rsid w:val="0053552D"/>
    <w:rsid w:val="00542947"/>
    <w:rsid w:val="00555602"/>
    <w:rsid w:val="0056043E"/>
    <w:rsid w:val="00567B36"/>
    <w:rsid w:val="00567E86"/>
    <w:rsid w:val="005754AC"/>
    <w:rsid w:val="00585BD2"/>
    <w:rsid w:val="00586895"/>
    <w:rsid w:val="005870C5"/>
    <w:rsid w:val="00593013"/>
    <w:rsid w:val="005A0AFB"/>
    <w:rsid w:val="005A49D0"/>
    <w:rsid w:val="005B1915"/>
    <w:rsid w:val="005B1D42"/>
    <w:rsid w:val="005B6797"/>
    <w:rsid w:val="005C5A0D"/>
    <w:rsid w:val="005D01F3"/>
    <w:rsid w:val="005D3506"/>
    <w:rsid w:val="005D3E8A"/>
    <w:rsid w:val="005D50BF"/>
    <w:rsid w:val="005E3E38"/>
    <w:rsid w:val="005F3F5C"/>
    <w:rsid w:val="00601058"/>
    <w:rsid w:val="006120B5"/>
    <w:rsid w:val="00620FD8"/>
    <w:rsid w:val="0063331A"/>
    <w:rsid w:val="00635E9F"/>
    <w:rsid w:val="006471C4"/>
    <w:rsid w:val="00652D6F"/>
    <w:rsid w:val="00662FFB"/>
    <w:rsid w:val="00663F65"/>
    <w:rsid w:val="006713D1"/>
    <w:rsid w:val="00673EEB"/>
    <w:rsid w:val="00674485"/>
    <w:rsid w:val="006876B7"/>
    <w:rsid w:val="00697C0D"/>
    <w:rsid w:val="006A56D2"/>
    <w:rsid w:val="006B1C0F"/>
    <w:rsid w:val="006B5F58"/>
    <w:rsid w:val="006C1DC3"/>
    <w:rsid w:val="006D6A55"/>
    <w:rsid w:val="006F48C4"/>
    <w:rsid w:val="007140E5"/>
    <w:rsid w:val="007164C8"/>
    <w:rsid w:val="00717657"/>
    <w:rsid w:val="00723ACA"/>
    <w:rsid w:val="00726FA9"/>
    <w:rsid w:val="00756BEA"/>
    <w:rsid w:val="00760DDC"/>
    <w:rsid w:val="00765158"/>
    <w:rsid w:val="007707E3"/>
    <w:rsid w:val="00776737"/>
    <w:rsid w:val="00780584"/>
    <w:rsid w:val="007862E0"/>
    <w:rsid w:val="00786837"/>
    <w:rsid w:val="00795F8E"/>
    <w:rsid w:val="007964E0"/>
    <w:rsid w:val="007973AB"/>
    <w:rsid w:val="007979FB"/>
    <w:rsid w:val="007A6964"/>
    <w:rsid w:val="007A7A4D"/>
    <w:rsid w:val="007C3E32"/>
    <w:rsid w:val="007E0E14"/>
    <w:rsid w:val="007E2C00"/>
    <w:rsid w:val="008046F8"/>
    <w:rsid w:val="00806B62"/>
    <w:rsid w:val="0082296F"/>
    <w:rsid w:val="00824C35"/>
    <w:rsid w:val="008348E8"/>
    <w:rsid w:val="008402EE"/>
    <w:rsid w:val="00850519"/>
    <w:rsid w:val="00854716"/>
    <w:rsid w:val="00855DC5"/>
    <w:rsid w:val="00856EDC"/>
    <w:rsid w:val="00863040"/>
    <w:rsid w:val="00866E99"/>
    <w:rsid w:val="0086734F"/>
    <w:rsid w:val="00871FC7"/>
    <w:rsid w:val="008721FC"/>
    <w:rsid w:val="0088604A"/>
    <w:rsid w:val="00894D83"/>
    <w:rsid w:val="00894E1E"/>
    <w:rsid w:val="008B4992"/>
    <w:rsid w:val="008B7923"/>
    <w:rsid w:val="008C01D3"/>
    <w:rsid w:val="008C2194"/>
    <w:rsid w:val="008C301D"/>
    <w:rsid w:val="008D335C"/>
    <w:rsid w:val="008D3777"/>
    <w:rsid w:val="008D6B89"/>
    <w:rsid w:val="008D7078"/>
    <w:rsid w:val="008E7AAD"/>
    <w:rsid w:val="008F106C"/>
    <w:rsid w:val="008F621C"/>
    <w:rsid w:val="00903C63"/>
    <w:rsid w:val="00916BE1"/>
    <w:rsid w:val="00917694"/>
    <w:rsid w:val="0092276F"/>
    <w:rsid w:val="00922C7A"/>
    <w:rsid w:val="00936BB8"/>
    <w:rsid w:val="00940F43"/>
    <w:rsid w:val="00955F92"/>
    <w:rsid w:val="00960BC3"/>
    <w:rsid w:val="00971F0C"/>
    <w:rsid w:val="009741E1"/>
    <w:rsid w:val="00974EB2"/>
    <w:rsid w:val="00985EF9"/>
    <w:rsid w:val="009B3144"/>
    <w:rsid w:val="009D5EC2"/>
    <w:rsid w:val="009E0FAD"/>
    <w:rsid w:val="009E1A5C"/>
    <w:rsid w:val="009E6C5C"/>
    <w:rsid w:val="009F0AC3"/>
    <w:rsid w:val="009F16C0"/>
    <w:rsid w:val="009F4D23"/>
    <w:rsid w:val="009F5A09"/>
    <w:rsid w:val="00A121B2"/>
    <w:rsid w:val="00A1597A"/>
    <w:rsid w:val="00A21322"/>
    <w:rsid w:val="00A26740"/>
    <w:rsid w:val="00A31747"/>
    <w:rsid w:val="00A33D6F"/>
    <w:rsid w:val="00A34BF8"/>
    <w:rsid w:val="00A37BE1"/>
    <w:rsid w:val="00A42AC4"/>
    <w:rsid w:val="00A54268"/>
    <w:rsid w:val="00A64392"/>
    <w:rsid w:val="00A64E7B"/>
    <w:rsid w:val="00A64F3D"/>
    <w:rsid w:val="00A75C7D"/>
    <w:rsid w:val="00A76ED5"/>
    <w:rsid w:val="00A77D22"/>
    <w:rsid w:val="00A92625"/>
    <w:rsid w:val="00A92993"/>
    <w:rsid w:val="00AB47E7"/>
    <w:rsid w:val="00AB7714"/>
    <w:rsid w:val="00AC35A9"/>
    <w:rsid w:val="00AE13A1"/>
    <w:rsid w:val="00B04B43"/>
    <w:rsid w:val="00B177DA"/>
    <w:rsid w:val="00B2499E"/>
    <w:rsid w:val="00B25762"/>
    <w:rsid w:val="00B31448"/>
    <w:rsid w:val="00B316BE"/>
    <w:rsid w:val="00B32753"/>
    <w:rsid w:val="00B339BB"/>
    <w:rsid w:val="00B37418"/>
    <w:rsid w:val="00B37C5F"/>
    <w:rsid w:val="00B41E2C"/>
    <w:rsid w:val="00B53C78"/>
    <w:rsid w:val="00B607BF"/>
    <w:rsid w:val="00B61929"/>
    <w:rsid w:val="00B83844"/>
    <w:rsid w:val="00B9196A"/>
    <w:rsid w:val="00B95E61"/>
    <w:rsid w:val="00B9736F"/>
    <w:rsid w:val="00BA770C"/>
    <w:rsid w:val="00BB1B28"/>
    <w:rsid w:val="00BC1972"/>
    <w:rsid w:val="00BD07DC"/>
    <w:rsid w:val="00BD2C4E"/>
    <w:rsid w:val="00BD4E38"/>
    <w:rsid w:val="00BD5AE9"/>
    <w:rsid w:val="00BE3022"/>
    <w:rsid w:val="00C1627B"/>
    <w:rsid w:val="00C23A7F"/>
    <w:rsid w:val="00C4028E"/>
    <w:rsid w:val="00C40E09"/>
    <w:rsid w:val="00C42986"/>
    <w:rsid w:val="00C473B0"/>
    <w:rsid w:val="00C535AB"/>
    <w:rsid w:val="00C62A45"/>
    <w:rsid w:val="00C84F28"/>
    <w:rsid w:val="00C9198C"/>
    <w:rsid w:val="00C922DD"/>
    <w:rsid w:val="00CB4387"/>
    <w:rsid w:val="00CB69B8"/>
    <w:rsid w:val="00CB735A"/>
    <w:rsid w:val="00CC5B35"/>
    <w:rsid w:val="00CD6BDB"/>
    <w:rsid w:val="00CE7458"/>
    <w:rsid w:val="00CF4062"/>
    <w:rsid w:val="00D000A5"/>
    <w:rsid w:val="00D02542"/>
    <w:rsid w:val="00D02655"/>
    <w:rsid w:val="00D0311E"/>
    <w:rsid w:val="00D214C2"/>
    <w:rsid w:val="00D2541D"/>
    <w:rsid w:val="00D267EC"/>
    <w:rsid w:val="00D3108A"/>
    <w:rsid w:val="00D32D00"/>
    <w:rsid w:val="00D40CA7"/>
    <w:rsid w:val="00D43A29"/>
    <w:rsid w:val="00D50AAF"/>
    <w:rsid w:val="00D71FA0"/>
    <w:rsid w:val="00D723C1"/>
    <w:rsid w:val="00D72FD8"/>
    <w:rsid w:val="00D77B3C"/>
    <w:rsid w:val="00D96D42"/>
    <w:rsid w:val="00DA0D52"/>
    <w:rsid w:val="00DA234D"/>
    <w:rsid w:val="00DA6A0E"/>
    <w:rsid w:val="00DB13A1"/>
    <w:rsid w:val="00DB2938"/>
    <w:rsid w:val="00DB55DB"/>
    <w:rsid w:val="00DD0EA8"/>
    <w:rsid w:val="00DD1BC9"/>
    <w:rsid w:val="00DD4C01"/>
    <w:rsid w:val="00DE73F6"/>
    <w:rsid w:val="00DF0A18"/>
    <w:rsid w:val="00DF340F"/>
    <w:rsid w:val="00E03164"/>
    <w:rsid w:val="00E24B32"/>
    <w:rsid w:val="00E30BD4"/>
    <w:rsid w:val="00E401B3"/>
    <w:rsid w:val="00E40ACD"/>
    <w:rsid w:val="00E43E03"/>
    <w:rsid w:val="00E45B00"/>
    <w:rsid w:val="00E462A0"/>
    <w:rsid w:val="00E54A51"/>
    <w:rsid w:val="00E55C61"/>
    <w:rsid w:val="00E601B3"/>
    <w:rsid w:val="00E606BA"/>
    <w:rsid w:val="00E66BA5"/>
    <w:rsid w:val="00E80E70"/>
    <w:rsid w:val="00E8547E"/>
    <w:rsid w:val="00E86019"/>
    <w:rsid w:val="00E87F33"/>
    <w:rsid w:val="00E921A1"/>
    <w:rsid w:val="00EA1468"/>
    <w:rsid w:val="00EA1B53"/>
    <w:rsid w:val="00EA47FA"/>
    <w:rsid w:val="00EB03B3"/>
    <w:rsid w:val="00EB145E"/>
    <w:rsid w:val="00EE7966"/>
    <w:rsid w:val="00EF06C1"/>
    <w:rsid w:val="00EF26A1"/>
    <w:rsid w:val="00EF553E"/>
    <w:rsid w:val="00EF65B2"/>
    <w:rsid w:val="00EF7213"/>
    <w:rsid w:val="00F033A7"/>
    <w:rsid w:val="00F07AE5"/>
    <w:rsid w:val="00F1275D"/>
    <w:rsid w:val="00F12A32"/>
    <w:rsid w:val="00F12EB6"/>
    <w:rsid w:val="00F17578"/>
    <w:rsid w:val="00F3674C"/>
    <w:rsid w:val="00F36C34"/>
    <w:rsid w:val="00F402B9"/>
    <w:rsid w:val="00F5377F"/>
    <w:rsid w:val="00F54F7C"/>
    <w:rsid w:val="00F56223"/>
    <w:rsid w:val="00F64896"/>
    <w:rsid w:val="00F83814"/>
    <w:rsid w:val="00F84CBD"/>
    <w:rsid w:val="00F87792"/>
    <w:rsid w:val="00F90D59"/>
    <w:rsid w:val="00F923FB"/>
    <w:rsid w:val="00F97259"/>
    <w:rsid w:val="00FA10FA"/>
    <w:rsid w:val="00FA1F8E"/>
    <w:rsid w:val="00FA59E7"/>
    <w:rsid w:val="00FB0370"/>
    <w:rsid w:val="00FB2860"/>
    <w:rsid w:val="00FB2A76"/>
    <w:rsid w:val="00FF0D00"/>
    <w:rsid w:val="00FF3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EDA7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9F0AC3"/>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paragraph" w:styleId="ListParagraph">
    <w:name w:val="List Paragraph"/>
    <w:basedOn w:val="Normal"/>
    <w:uiPriority w:val="34"/>
    <w:qFormat/>
    <w:rsid w:val="00FA59E7"/>
    <w:pPr>
      <w:spacing w:after="240"/>
      <w:ind w:left="720"/>
    </w:pPr>
    <w:rPr>
      <w:rFonts w:asciiTheme="minorHAnsi" w:eastAsiaTheme="minorHAnsi" w:hAnsiTheme="minorHAnsi" w:cstheme="minorBidi"/>
      <w:lang w:val="en-AU"/>
    </w:rPr>
  </w:style>
  <w:style w:type="character" w:styleId="UnresolvedMention">
    <w:name w:val="Unresolved Mention"/>
    <w:basedOn w:val="DefaultParagraphFont"/>
    <w:uiPriority w:val="99"/>
    <w:semiHidden/>
    <w:unhideWhenUsed/>
    <w:rsid w:val="003E1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1130">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ovic.vic.gov.au/privacy/collection-notices/" TargetMode="External"/><Relationship Id="rId2" Type="http://schemas.openxmlformats.org/officeDocument/2006/relationships/hyperlink" Target="https://ovic.vic.gov.au/privacy/privacy-policies/" TargetMode="External"/><Relationship Id="rId1" Type="http://schemas.openxmlformats.org/officeDocument/2006/relationships/hyperlink" Target="https://ovic.vic.gov.au/privacy/privacy-impact-assess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2022-01-31T01:09:00Z</dcterms:created>
  <dcterms:modified xsi:type="dcterms:W3CDTF">2022-01-31T01:09:00Z</dcterms:modified>
</cp:coreProperties>
</file>