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618" w14:textId="44967C6A" w:rsidR="00771051" w:rsidRPr="001D1FE7" w:rsidRDefault="00771051" w:rsidP="00771051">
      <w:pPr>
        <w:pStyle w:val="SectionHeading1"/>
        <w:rPr>
          <w:sz w:val="24"/>
          <w:szCs w:val="24"/>
        </w:rPr>
      </w:pPr>
      <w:r>
        <w:rPr>
          <w:sz w:val="24"/>
          <w:szCs w:val="24"/>
        </w:rPr>
        <w:t>T</w:t>
      </w:r>
      <w:r w:rsidRPr="001D1FE7">
        <w:rPr>
          <w:sz w:val="24"/>
          <w:szCs w:val="24"/>
        </w:rPr>
        <w:t>he</w:t>
      </w:r>
      <w:r w:rsidR="00300CFA">
        <w:rPr>
          <w:sz w:val="24"/>
          <w:szCs w:val="24"/>
        </w:rPr>
        <w:t xml:space="preserve"> information security</w:t>
      </w:r>
      <w:r w:rsidRPr="001D1FE7">
        <w:rPr>
          <w:sz w:val="24"/>
          <w:szCs w:val="24"/>
        </w:rPr>
        <w:t xml:space="preserve"> incident notification scheme</w:t>
      </w:r>
      <w:r w:rsidR="004B17E4">
        <w:rPr>
          <w:sz w:val="24"/>
          <w:szCs w:val="24"/>
        </w:rPr>
        <w:t xml:space="preserve"> (</w:t>
      </w:r>
      <w:r w:rsidR="004B17E4" w:rsidRPr="00C86B59">
        <w:rPr>
          <w:b/>
          <w:bCs/>
          <w:sz w:val="24"/>
          <w:szCs w:val="24"/>
        </w:rPr>
        <w:t>the scheme</w:t>
      </w:r>
      <w:r w:rsidR="004B17E4">
        <w:rPr>
          <w:sz w:val="24"/>
          <w:szCs w:val="24"/>
        </w:rPr>
        <w:t>)</w:t>
      </w:r>
      <w:r w:rsidRPr="001D1FE7">
        <w:rPr>
          <w:sz w:val="24"/>
          <w:szCs w:val="24"/>
        </w:rPr>
        <w:t xml:space="preserve"> provide</w:t>
      </w:r>
      <w:r w:rsidR="00BC5B11">
        <w:rPr>
          <w:sz w:val="24"/>
          <w:szCs w:val="24"/>
        </w:rPr>
        <w:t>s</w:t>
      </w:r>
      <w:r w:rsidRPr="001D1FE7">
        <w:rPr>
          <w:sz w:val="24"/>
          <w:szCs w:val="24"/>
        </w:rPr>
        <w:t xml:space="preserve"> tangible resources, trends analysis and risk reporting. </w:t>
      </w:r>
    </w:p>
    <w:p w14:paraId="0B6E49CF" w14:textId="77777777" w:rsidR="00C86B59" w:rsidRDefault="00C86B59" w:rsidP="00C86B59">
      <w:pPr>
        <w:pStyle w:val="SectionHeading1"/>
      </w:pPr>
      <w:r>
        <w:t>Overview of this report</w:t>
      </w:r>
    </w:p>
    <w:p w14:paraId="21123D87" w14:textId="69F1271E" w:rsidR="00C86B59" w:rsidRDefault="00C86B59" w:rsidP="00C86B59">
      <w:pPr>
        <w:pStyle w:val="Body"/>
      </w:pPr>
      <w:r>
        <w:t>The Incident Insight</w:t>
      </w:r>
      <w:r w:rsidR="007C3638">
        <w:t>s</w:t>
      </w:r>
      <w:r>
        <w:t xml:space="preserve"> Report provides a summary and analysis of the information security incident notifications received by OVIC between </w:t>
      </w:r>
      <w:r w:rsidR="00956F61" w:rsidRPr="00956F61">
        <w:rPr>
          <w:b/>
          <w:bCs/>
        </w:rPr>
        <w:t>1</w:t>
      </w:r>
      <w:r w:rsidRPr="00956F61">
        <w:rPr>
          <w:b/>
          <w:bCs/>
        </w:rPr>
        <w:t xml:space="preserve"> </w:t>
      </w:r>
      <w:r w:rsidR="00956F61">
        <w:rPr>
          <w:b/>
          <w:bCs/>
        </w:rPr>
        <w:t>J</w:t>
      </w:r>
      <w:r w:rsidR="0014168B">
        <w:rPr>
          <w:b/>
          <w:bCs/>
        </w:rPr>
        <w:t>anuary</w:t>
      </w:r>
      <w:r w:rsidRPr="00D015C3">
        <w:rPr>
          <w:b/>
          <w:bCs/>
        </w:rPr>
        <w:t xml:space="preserve"> 20</w:t>
      </w:r>
      <w:r w:rsidR="00956F61">
        <w:rPr>
          <w:b/>
          <w:bCs/>
        </w:rPr>
        <w:t>2</w:t>
      </w:r>
      <w:r w:rsidR="0014168B">
        <w:rPr>
          <w:b/>
          <w:bCs/>
        </w:rPr>
        <w:t>1</w:t>
      </w:r>
      <w:r w:rsidRPr="00D015C3">
        <w:rPr>
          <w:b/>
          <w:bCs/>
        </w:rPr>
        <w:t xml:space="preserve"> </w:t>
      </w:r>
      <w:r w:rsidRPr="00C86B59">
        <w:t>to</w:t>
      </w:r>
      <w:r w:rsidRPr="00D015C3">
        <w:rPr>
          <w:b/>
          <w:bCs/>
        </w:rPr>
        <w:t xml:space="preserve"> 3</w:t>
      </w:r>
      <w:r w:rsidR="0014168B">
        <w:rPr>
          <w:b/>
          <w:bCs/>
        </w:rPr>
        <w:t>0 June</w:t>
      </w:r>
      <w:r w:rsidRPr="00D015C3">
        <w:rPr>
          <w:b/>
          <w:bCs/>
        </w:rPr>
        <w:t xml:space="preserve"> 202</w:t>
      </w:r>
      <w:r w:rsidR="0014168B">
        <w:rPr>
          <w:b/>
          <w:bCs/>
        </w:rPr>
        <w:t>1</w:t>
      </w:r>
      <w:r>
        <w:t>.</w:t>
      </w:r>
    </w:p>
    <w:p w14:paraId="236497AA" w14:textId="51229A0E" w:rsidR="00020250" w:rsidRDefault="00020250" w:rsidP="00C86B59">
      <w:pPr>
        <w:pStyle w:val="Body"/>
      </w:pPr>
      <w:r w:rsidRPr="00020250">
        <w:t xml:space="preserve">Our </w:t>
      </w:r>
      <w:r>
        <w:t>observations and take</w:t>
      </w:r>
      <w:r w:rsidR="00DB7882">
        <w:t>-</w:t>
      </w:r>
      <w:r>
        <w:t xml:space="preserve">outs in this report are based on </w:t>
      </w:r>
      <w:r w:rsidRPr="00020250">
        <w:t>compar</w:t>
      </w:r>
      <w:r>
        <w:t xml:space="preserve">ing the </w:t>
      </w:r>
      <w:r w:rsidR="0094555E">
        <w:t>statistics</w:t>
      </w:r>
      <w:r>
        <w:t xml:space="preserve"> published </w:t>
      </w:r>
      <w:r w:rsidR="0094555E">
        <w:t xml:space="preserve">in </w:t>
      </w:r>
      <w:r w:rsidR="0014168B">
        <w:t>previous</w:t>
      </w:r>
      <w:r w:rsidRPr="00020250">
        <w:t xml:space="preserve"> </w:t>
      </w:r>
      <w:r w:rsidRPr="0014168B">
        <w:rPr>
          <w:u w:color="430098"/>
        </w:rPr>
        <w:t>Incident Insights Report</w:t>
      </w:r>
      <w:r w:rsidR="0014168B">
        <w:rPr>
          <w:u w:color="430098"/>
        </w:rPr>
        <w:t>s</w:t>
      </w:r>
      <w:r w:rsidRPr="00020250">
        <w:t xml:space="preserve"> with </w:t>
      </w:r>
      <w:r>
        <w:t>the notifications received by our office</w:t>
      </w:r>
      <w:r w:rsidR="0094555E">
        <w:t>.</w:t>
      </w:r>
      <w:r w:rsidRPr="00020250">
        <w:t xml:space="preserve"> </w:t>
      </w:r>
    </w:p>
    <w:p w14:paraId="74297344" w14:textId="4D056E2B" w:rsidR="00956F61" w:rsidRDefault="00956F61" w:rsidP="00C86B59">
      <w:pPr>
        <w:pStyle w:val="Body"/>
      </w:pPr>
      <w:r>
        <w:t xml:space="preserve">Victoria Police incident statistics are reported on </w:t>
      </w:r>
      <w:r w:rsidR="009C1C13">
        <w:t>an annual</w:t>
      </w:r>
      <w:r>
        <w:t xml:space="preserve"> basis </w:t>
      </w:r>
      <w:r w:rsidR="009C1C13">
        <w:t xml:space="preserve">consistent with existing reporting commitments. </w:t>
      </w:r>
      <w:r w:rsidR="000C7141">
        <w:t>T</w:t>
      </w:r>
      <w:r w:rsidR="0014168B">
        <w:t xml:space="preserve">hese have been included </w:t>
      </w:r>
      <w:r w:rsidR="00AF1F54">
        <w:t>towards</w:t>
      </w:r>
      <w:r w:rsidR="0014168B">
        <w:t xml:space="preserve"> the end of this report with comparisons made from our </w:t>
      </w:r>
      <w:hyperlink r:id="rId8" w:history="1">
        <w:r w:rsidR="00AC495A" w:rsidRPr="00DE48BB">
          <w:rPr>
            <w:rStyle w:val="Hyperlink"/>
          </w:rPr>
          <w:t>Incident Insights Report for 29 October 2019 – 30 June 2020</w:t>
        </w:r>
      </w:hyperlink>
      <w:r w:rsidR="00AC495A">
        <w:t>.</w:t>
      </w:r>
      <w:r w:rsidR="00AC495A" w:rsidRPr="00AC495A" w:rsidDel="009C1C13">
        <w:t xml:space="preserve"> </w:t>
      </w:r>
    </w:p>
    <w:p w14:paraId="376C0B20" w14:textId="77777777" w:rsidR="00020250" w:rsidRDefault="00020250">
      <w:pPr>
        <w:rPr>
          <w:rFonts w:ascii="Calibri" w:eastAsia="Calibri" w:hAnsi="Calibri" w:cs="PostGrotesk-Medium"/>
          <w:color w:val="430098"/>
          <w:sz w:val="28"/>
          <w:szCs w:val="28"/>
          <w:lang w:val="en-GB"/>
        </w:rPr>
      </w:pPr>
      <w:r>
        <w:br w:type="page"/>
      </w:r>
    </w:p>
    <w:p w14:paraId="6202AFEA" w14:textId="4CF2DB60" w:rsidR="00BC354F" w:rsidRDefault="003A60FC" w:rsidP="00BC354F">
      <w:pPr>
        <w:pStyle w:val="SectionHeading1"/>
      </w:pPr>
      <w:r>
        <w:lastRenderedPageBreak/>
        <w:t xml:space="preserve">Information security incident notification </w:t>
      </w:r>
      <w:r w:rsidR="00BC354F">
        <w:t>insights</w:t>
      </w:r>
      <w:r w:rsidR="0055769E">
        <w:t xml:space="preserve"> from </w:t>
      </w:r>
      <w:r w:rsidR="00956F61">
        <w:t>J</w:t>
      </w:r>
      <w:r w:rsidR="0014168B">
        <w:t>anuary</w:t>
      </w:r>
      <w:r w:rsidR="0055769E">
        <w:t xml:space="preserve"> 20</w:t>
      </w:r>
      <w:r w:rsidR="00956F61">
        <w:t>2</w:t>
      </w:r>
      <w:r w:rsidR="0014168B">
        <w:t>1</w:t>
      </w:r>
      <w:r w:rsidR="0055769E">
        <w:t xml:space="preserve"> – </w:t>
      </w:r>
      <w:r w:rsidR="0014168B">
        <w:t>June</w:t>
      </w:r>
      <w:r w:rsidR="0055769E">
        <w:t xml:space="preserve"> 202</w:t>
      </w:r>
      <w:r w:rsidR="0014168B">
        <w:t>1</w:t>
      </w:r>
    </w:p>
    <w:p w14:paraId="4C16CCC3" w14:textId="77777777" w:rsidR="00695D85" w:rsidRDefault="00695D85" w:rsidP="00BC354F">
      <w:pPr>
        <w:pStyle w:val="SectionHeading1"/>
        <w:rPr>
          <w:sz w:val="24"/>
          <w:szCs w:val="24"/>
        </w:rPr>
      </w:pPr>
    </w:p>
    <w:p w14:paraId="3C323463" w14:textId="048EA192" w:rsidR="00E93FC2" w:rsidRDefault="00E93FC2" w:rsidP="00BC354F">
      <w:pPr>
        <w:pStyle w:val="SectionHeading1"/>
        <w:rPr>
          <w:sz w:val="24"/>
          <w:szCs w:val="24"/>
        </w:rPr>
      </w:pPr>
      <w:r w:rsidRPr="00E93FC2">
        <w:rPr>
          <w:sz w:val="24"/>
          <w:szCs w:val="24"/>
        </w:rPr>
        <w:t>Notifications by month</w:t>
      </w:r>
    </w:p>
    <w:p w14:paraId="20E58954" w14:textId="6DBA280F" w:rsidR="00695D85" w:rsidRPr="001E18F1" w:rsidRDefault="001E18F1" w:rsidP="001E18F1">
      <w:pPr>
        <w:pStyle w:val="SectionHeading1"/>
        <w:rPr>
          <w:sz w:val="24"/>
          <w:szCs w:val="24"/>
        </w:rPr>
      </w:pPr>
      <w:r w:rsidRPr="001E18F1">
        <w:rPr>
          <w:sz w:val="24"/>
          <w:szCs w:val="24"/>
        </w:rPr>
        <w:drawing>
          <wp:inline distT="0" distB="0" distL="0" distR="0" wp14:anchorId="51533F17" wp14:editId="0F87F477">
            <wp:extent cx="6120130" cy="4110355"/>
            <wp:effectExtent l="0" t="0" r="0" b="444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6120130" cy="4110355"/>
                    </a:xfrm>
                    <a:prstGeom prst="rect">
                      <a:avLst/>
                    </a:prstGeom>
                  </pic:spPr>
                </pic:pic>
              </a:graphicData>
            </a:graphic>
          </wp:inline>
        </w:drawing>
      </w:r>
    </w:p>
    <w:p w14:paraId="399A776E" w14:textId="16444F22" w:rsidR="00DE48BB" w:rsidRDefault="00F248F0" w:rsidP="00BC5B11">
      <w:pPr>
        <w:pStyle w:val="Body"/>
      </w:pPr>
      <w:bookmarkStart w:id="0" w:name="_Hlk57106984"/>
      <w:r>
        <w:t xml:space="preserve">OVIC received </w:t>
      </w:r>
      <w:r w:rsidR="00057B0F">
        <w:rPr>
          <w:lang w:val="en-AU"/>
        </w:rPr>
        <w:t>218</w:t>
      </w:r>
      <w:r w:rsidR="00DE48BB" w:rsidRPr="00DE48BB">
        <w:rPr>
          <w:lang w:val="en-AU"/>
        </w:rPr>
        <w:t xml:space="preserve"> notifications </w:t>
      </w:r>
      <w:r w:rsidR="00DE48BB">
        <w:t xml:space="preserve">between </w:t>
      </w:r>
      <w:r w:rsidR="00DE48BB" w:rsidRPr="00345E85">
        <w:rPr>
          <w:b/>
          <w:bCs/>
        </w:rPr>
        <w:t xml:space="preserve">1 </w:t>
      </w:r>
      <w:r w:rsidR="00281BB1" w:rsidRPr="00345E85">
        <w:rPr>
          <w:b/>
          <w:bCs/>
        </w:rPr>
        <w:t>January</w:t>
      </w:r>
      <w:r w:rsidR="00DE48BB" w:rsidRPr="00345E85">
        <w:rPr>
          <w:b/>
          <w:bCs/>
        </w:rPr>
        <w:t xml:space="preserve"> 202</w:t>
      </w:r>
      <w:r w:rsidR="00281BB1" w:rsidRPr="00345E85">
        <w:rPr>
          <w:b/>
          <w:bCs/>
        </w:rPr>
        <w:t>1</w:t>
      </w:r>
      <w:r w:rsidR="00DE48BB">
        <w:t xml:space="preserve"> to </w:t>
      </w:r>
      <w:r w:rsidR="00DE48BB" w:rsidRPr="00345E85">
        <w:rPr>
          <w:b/>
          <w:bCs/>
        </w:rPr>
        <w:t>3</w:t>
      </w:r>
      <w:r w:rsidR="00281BB1" w:rsidRPr="00345E85">
        <w:rPr>
          <w:b/>
          <w:bCs/>
        </w:rPr>
        <w:t>0 June</w:t>
      </w:r>
      <w:r w:rsidR="00DE48BB" w:rsidRPr="00345E85">
        <w:rPr>
          <w:b/>
          <w:bCs/>
        </w:rPr>
        <w:t xml:space="preserve"> 202</w:t>
      </w:r>
      <w:r w:rsidR="00281BB1" w:rsidRPr="00345E85">
        <w:rPr>
          <w:b/>
          <w:bCs/>
        </w:rPr>
        <w:t>1</w:t>
      </w:r>
      <w:r w:rsidR="00DE48BB">
        <w:t xml:space="preserve"> (inclusive). This </w:t>
      </w:r>
      <w:r w:rsidR="001D7701">
        <w:t xml:space="preserve">is </w:t>
      </w:r>
      <w:r w:rsidR="00281BB1">
        <w:rPr>
          <w:lang w:val="en-AU"/>
        </w:rPr>
        <w:t xml:space="preserve">a steady </w:t>
      </w:r>
      <w:r w:rsidR="00524176">
        <w:rPr>
          <w:lang w:val="en-AU"/>
        </w:rPr>
        <w:t xml:space="preserve">increase </w:t>
      </w:r>
      <w:r w:rsidR="00281BB1">
        <w:rPr>
          <w:lang w:val="en-AU"/>
        </w:rPr>
        <w:t>in the</w:t>
      </w:r>
      <w:r w:rsidR="00DE48BB" w:rsidRPr="00DE48BB">
        <w:rPr>
          <w:lang w:val="en-AU"/>
        </w:rPr>
        <w:t xml:space="preserve"> number of notifications </w:t>
      </w:r>
      <w:r w:rsidR="00C621FB">
        <w:t>compared to the last reporting period</w:t>
      </w:r>
      <w:r w:rsidR="00EF7DE8">
        <w:t xml:space="preserve"> (155 notifications)</w:t>
      </w:r>
      <w:r>
        <w:t xml:space="preserve">. </w:t>
      </w:r>
      <w:bookmarkEnd w:id="0"/>
      <w:r w:rsidR="00EF7DE8">
        <w:t>This represents a 40% increase.</w:t>
      </w:r>
    </w:p>
    <w:p w14:paraId="255BBCA0" w14:textId="0ADE5DCF" w:rsidR="00F248F0" w:rsidRDefault="00F248F0" w:rsidP="00BC5B11">
      <w:pPr>
        <w:pStyle w:val="Body"/>
      </w:pPr>
      <w:r>
        <w:t xml:space="preserve">We received the highest number of notifications in </w:t>
      </w:r>
      <w:r w:rsidR="00281BB1">
        <w:t xml:space="preserve">January </w:t>
      </w:r>
      <w:r w:rsidR="001D7701">
        <w:t xml:space="preserve">(53) </w:t>
      </w:r>
      <w:r w:rsidR="00281BB1">
        <w:t>and April</w:t>
      </w:r>
      <w:r w:rsidR="001D7701">
        <w:t xml:space="preserve"> (51)</w:t>
      </w:r>
      <w:r>
        <w:t xml:space="preserve"> 202</w:t>
      </w:r>
      <w:r w:rsidR="00281BB1">
        <w:t>1</w:t>
      </w:r>
      <w:r w:rsidR="007001D0">
        <w:t>.</w:t>
      </w:r>
      <w:r w:rsidR="00777AD6">
        <w:t xml:space="preserve"> </w:t>
      </w:r>
    </w:p>
    <w:p w14:paraId="21CB4A37" w14:textId="160AC6FF" w:rsidR="00256DA4" w:rsidRPr="00345E85" w:rsidRDefault="00C109ED" w:rsidP="00BC5B11">
      <w:pPr>
        <w:pStyle w:val="Body"/>
        <w:rPr>
          <w:i/>
          <w:iCs/>
        </w:rPr>
      </w:pPr>
      <w:r w:rsidRPr="00D455FD">
        <w:rPr>
          <w:b/>
          <w:bCs/>
        </w:rPr>
        <w:t>Take</w:t>
      </w:r>
      <w:r w:rsidR="001D7701">
        <w:rPr>
          <w:b/>
          <w:bCs/>
        </w:rPr>
        <w:t>-</w:t>
      </w:r>
      <w:r w:rsidRPr="00D455FD">
        <w:rPr>
          <w:b/>
          <w:bCs/>
        </w:rPr>
        <w:t>out:</w:t>
      </w:r>
      <w:r>
        <w:t xml:space="preserve"> </w:t>
      </w:r>
      <w:r w:rsidR="007001D0">
        <w:br/>
      </w:r>
      <w:r w:rsidR="00F248F0" w:rsidRPr="00345E85">
        <w:rPr>
          <w:i/>
          <w:iCs/>
        </w:rPr>
        <w:t>As predicted,</w:t>
      </w:r>
      <w:r w:rsidR="00256DA4" w:rsidRPr="00345E85">
        <w:rPr>
          <w:i/>
          <w:iCs/>
        </w:rPr>
        <w:t xml:space="preserve"> notifications </w:t>
      </w:r>
      <w:r w:rsidR="001D7701" w:rsidRPr="00345E85">
        <w:rPr>
          <w:i/>
          <w:iCs/>
        </w:rPr>
        <w:t>have</w:t>
      </w:r>
      <w:r w:rsidR="00256DA4" w:rsidRPr="00345E85">
        <w:rPr>
          <w:i/>
          <w:iCs/>
        </w:rPr>
        <w:t xml:space="preserve"> steadily increase</w:t>
      </w:r>
      <w:r w:rsidR="001D7701" w:rsidRPr="00345E85">
        <w:rPr>
          <w:i/>
          <w:iCs/>
        </w:rPr>
        <w:t>d</w:t>
      </w:r>
      <w:r w:rsidR="00F248F0" w:rsidRPr="00345E85">
        <w:rPr>
          <w:i/>
          <w:iCs/>
        </w:rPr>
        <w:t xml:space="preserve"> </w:t>
      </w:r>
      <w:r w:rsidR="00173280" w:rsidRPr="00345E85">
        <w:rPr>
          <w:i/>
          <w:iCs/>
        </w:rPr>
        <w:t xml:space="preserve">as awareness </w:t>
      </w:r>
      <w:r w:rsidR="007D5DB5" w:rsidRPr="00345E85">
        <w:rPr>
          <w:i/>
          <w:iCs/>
        </w:rPr>
        <w:t xml:space="preserve">of the scheme increases </w:t>
      </w:r>
      <w:r w:rsidR="0055769E" w:rsidRPr="00345E85">
        <w:rPr>
          <w:i/>
          <w:iCs/>
        </w:rPr>
        <w:t>across the V</w:t>
      </w:r>
      <w:r w:rsidR="000C7141" w:rsidRPr="00345E85">
        <w:rPr>
          <w:i/>
          <w:iCs/>
        </w:rPr>
        <w:t>ictorian public sector (</w:t>
      </w:r>
      <w:r w:rsidR="000C7141" w:rsidRPr="00345E85">
        <w:rPr>
          <w:b/>
          <w:bCs/>
          <w:i/>
          <w:iCs/>
        </w:rPr>
        <w:t>V</w:t>
      </w:r>
      <w:r w:rsidR="0055769E" w:rsidRPr="00345E85">
        <w:rPr>
          <w:b/>
          <w:bCs/>
          <w:i/>
          <w:iCs/>
        </w:rPr>
        <w:t>PS</w:t>
      </w:r>
      <w:r w:rsidR="000C7141" w:rsidRPr="00345E85">
        <w:rPr>
          <w:i/>
          <w:iCs/>
        </w:rPr>
        <w:t>)</w:t>
      </w:r>
      <w:r w:rsidR="00173280" w:rsidRPr="00345E85">
        <w:rPr>
          <w:i/>
          <w:iCs/>
        </w:rPr>
        <w:t>.</w:t>
      </w:r>
      <w:r w:rsidRPr="00345E85">
        <w:rPr>
          <w:i/>
          <w:iCs/>
        </w:rPr>
        <w:t xml:space="preserve"> </w:t>
      </w:r>
      <w:r w:rsidR="000C7141" w:rsidRPr="00345E85">
        <w:rPr>
          <w:i/>
          <w:iCs/>
        </w:rPr>
        <w:t xml:space="preserve">We received 78 notifications in the first reporting period and 155 in the last reporting period, compared to 218 notifications this reporting period. </w:t>
      </w:r>
    </w:p>
    <w:p w14:paraId="6D5B7D51" w14:textId="77777777" w:rsidR="00345E85" w:rsidRPr="00EF7DE8" w:rsidRDefault="00D8350E" w:rsidP="00EF7DE8">
      <w:pPr>
        <w:pStyle w:val="Body"/>
        <w:rPr>
          <w:i/>
          <w:iCs/>
        </w:rPr>
      </w:pPr>
      <w:r w:rsidRPr="00EF7DE8">
        <w:rPr>
          <w:i/>
          <w:iCs/>
        </w:rPr>
        <w:t>T</w:t>
      </w:r>
      <w:r w:rsidR="0055769E" w:rsidRPr="00EF7DE8">
        <w:rPr>
          <w:i/>
          <w:iCs/>
        </w:rPr>
        <w:t xml:space="preserve">he </w:t>
      </w:r>
      <w:r w:rsidR="00281BB1" w:rsidRPr="00EF7DE8">
        <w:rPr>
          <w:i/>
          <w:iCs/>
        </w:rPr>
        <w:t>increase</w:t>
      </w:r>
      <w:r w:rsidR="00C109ED" w:rsidRPr="00EF7DE8">
        <w:rPr>
          <w:i/>
          <w:iCs/>
        </w:rPr>
        <w:t xml:space="preserve"> in notifications in </w:t>
      </w:r>
      <w:r w:rsidR="00281BB1" w:rsidRPr="00EF7DE8">
        <w:rPr>
          <w:i/>
          <w:iCs/>
        </w:rPr>
        <w:t>January and April</w:t>
      </w:r>
      <w:r w:rsidR="007D5DB5" w:rsidRPr="00EF7DE8">
        <w:rPr>
          <w:i/>
          <w:iCs/>
        </w:rPr>
        <w:t xml:space="preserve"> </w:t>
      </w:r>
      <w:r w:rsidR="00281BB1" w:rsidRPr="00EF7DE8">
        <w:rPr>
          <w:i/>
          <w:iCs/>
        </w:rPr>
        <w:t>may reflect organisations catching up on paperwor</w:t>
      </w:r>
      <w:r w:rsidR="005776D4" w:rsidRPr="00EF7DE8">
        <w:rPr>
          <w:i/>
          <w:iCs/>
        </w:rPr>
        <w:t xml:space="preserve">k </w:t>
      </w:r>
      <w:r w:rsidR="000C7141" w:rsidRPr="00EF7DE8">
        <w:rPr>
          <w:i/>
          <w:iCs/>
        </w:rPr>
        <w:t>or</w:t>
      </w:r>
      <w:r w:rsidR="001D7701" w:rsidRPr="00EF7DE8">
        <w:rPr>
          <w:i/>
          <w:iCs/>
        </w:rPr>
        <w:t xml:space="preserve"> </w:t>
      </w:r>
      <w:r w:rsidR="005776D4" w:rsidRPr="00EF7DE8">
        <w:rPr>
          <w:i/>
          <w:iCs/>
        </w:rPr>
        <w:t>administrative tasks</w:t>
      </w:r>
      <w:r w:rsidR="00281BB1" w:rsidRPr="00EF7DE8">
        <w:rPr>
          <w:i/>
          <w:iCs/>
        </w:rPr>
        <w:t xml:space="preserve"> after the Christmas and Easter </w:t>
      </w:r>
      <w:r w:rsidR="005776D4" w:rsidRPr="00EF7DE8">
        <w:rPr>
          <w:i/>
          <w:iCs/>
        </w:rPr>
        <w:t xml:space="preserve">festivities and </w:t>
      </w:r>
      <w:r w:rsidR="00281BB1" w:rsidRPr="00EF7DE8">
        <w:rPr>
          <w:i/>
          <w:iCs/>
        </w:rPr>
        <w:t>holiday periods</w:t>
      </w:r>
      <w:r w:rsidR="005776D4" w:rsidRPr="00EF7DE8">
        <w:rPr>
          <w:i/>
          <w:iCs/>
        </w:rPr>
        <w:t xml:space="preserve"> and </w:t>
      </w:r>
      <w:r w:rsidR="00256DA4" w:rsidRPr="00EF7DE8">
        <w:rPr>
          <w:i/>
          <w:iCs/>
        </w:rPr>
        <w:t xml:space="preserve">does not necessarily reflect </w:t>
      </w:r>
      <w:r w:rsidR="005776D4" w:rsidRPr="00EF7DE8">
        <w:rPr>
          <w:i/>
          <w:iCs/>
        </w:rPr>
        <w:t>more</w:t>
      </w:r>
      <w:r w:rsidR="00256DA4" w:rsidRPr="00EF7DE8">
        <w:rPr>
          <w:i/>
          <w:iCs/>
        </w:rPr>
        <w:t xml:space="preserve"> incidents occurring</w:t>
      </w:r>
      <w:r w:rsidR="00F248F0" w:rsidRPr="00EF7DE8">
        <w:rPr>
          <w:i/>
          <w:iCs/>
        </w:rPr>
        <w:t>.</w:t>
      </w:r>
      <w:r w:rsidR="00057B0F" w:rsidRPr="00EF7DE8">
        <w:rPr>
          <w:i/>
          <w:iCs/>
        </w:rPr>
        <w:t xml:space="preserve"> For this reason, caution should be observed drawing conclusions from month-to-month comparisons.</w:t>
      </w:r>
    </w:p>
    <w:p w14:paraId="486B3D4D" w14:textId="77777777" w:rsidR="00345E85" w:rsidRDefault="00345E85" w:rsidP="00345E85">
      <w:pPr>
        <w:pStyle w:val="SectionHeading1"/>
        <w:rPr>
          <w:sz w:val="24"/>
          <w:szCs w:val="24"/>
        </w:rPr>
      </w:pPr>
    </w:p>
    <w:p w14:paraId="75F37086" w14:textId="77777777" w:rsidR="00EF7DE8" w:rsidRDefault="00EF7DE8">
      <w:pPr>
        <w:rPr>
          <w:rFonts w:ascii="Calibri" w:eastAsia="Calibri" w:hAnsi="Calibri" w:cs="PostGrotesk-Medium"/>
          <w:color w:val="430098"/>
          <w:sz w:val="24"/>
          <w:szCs w:val="24"/>
          <w:lang w:val="en-GB"/>
        </w:rPr>
      </w:pPr>
      <w:r>
        <w:rPr>
          <w:sz w:val="24"/>
          <w:szCs w:val="24"/>
        </w:rPr>
        <w:br w:type="page"/>
      </w:r>
    </w:p>
    <w:p w14:paraId="70D444E5" w14:textId="199FB572" w:rsidR="00E93FC2" w:rsidRDefault="00E93FC2" w:rsidP="00345E85">
      <w:pPr>
        <w:pStyle w:val="SectionHeading1"/>
        <w:rPr>
          <w:sz w:val="24"/>
          <w:szCs w:val="24"/>
        </w:rPr>
      </w:pPr>
      <w:r w:rsidRPr="00345E85">
        <w:rPr>
          <w:sz w:val="24"/>
          <w:szCs w:val="24"/>
        </w:rPr>
        <w:lastRenderedPageBreak/>
        <w:t>Notifications by portfolio</w:t>
      </w:r>
    </w:p>
    <w:p w14:paraId="1F00A2C5" w14:textId="57416360" w:rsidR="001E18F1" w:rsidRPr="00345E85" w:rsidRDefault="001E18F1" w:rsidP="00345E85">
      <w:pPr>
        <w:pStyle w:val="SectionHeading1"/>
        <w:rPr>
          <w:sz w:val="24"/>
          <w:szCs w:val="24"/>
        </w:rPr>
      </w:pPr>
      <w:r w:rsidRPr="001E18F1">
        <w:rPr>
          <w:sz w:val="24"/>
          <w:szCs w:val="24"/>
        </w:rPr>
        <w:drawing>
          <wp:inline distT="0" distB="0" distL="0" distR="0" wp14:anchorId="028E3584" wp14:editId="0A21D142">
            <wp:extent cx="6120130" cy="3678555"/>
            <wp:effectExtent l="0" t="0" r="0" b="0"/>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pic:nvPicPr>
                  <pic:blipFill>
                    <a:blip r:embed="rId10"/>
                    <a:stretch>
                      <a:fillRect/>
                    </a:stretch>
                  </pic:blipFill>
                  <pic:spPr>
                    <a:xfrm>
                      <a:off x="0" y="0"/>
                      <a:ext cx="6120130" cy="3678555"/>
                    </a:xfrm>
                    <a:prstGeom prst="rect">
                      <a:avLst/>
                    </a:prstGeom>
                  </pic:spPr>
                </pic:pic>
              </a:graphicData>
            </a:graphic>
          </wp:inline>
        </w:drawing>
      </w:r>
    </w:p>
    <w:p w14:paraId="370811DD" w14:textId="37572BB3" w:rsidR="0076524F" w:rsidRPr="00E93FC2" w:rsidRDefault="0076524F" w:rsidP="000E2C8B">
      <w:pPr>
        <w:pStyle w:val="SectionHeading1"/>
        <w:jc w:val="center"/>
        <w:rPr>
          <w:sz w:val="24"/>
          <w:szCs w:val="24"/>
        </w:rPr>
      </w:pPr>
    </w:p>
    <w:p w14:paraId="0620AE79" w14:textId="399C825C" w:rsidR="001D7701" w:rsidRDefault="002C7FE4" w:rsidP="00CA175E">
      <w:pPr>
        <w:pStyle w:val="Body"/>
      </w:pPr>
      <w:r>
        <w:t>O</w:t>
      </w:r>
      <w:r w:rsidR="00CA175E">
        <w:t xml:space="preserve">f the </w:t>
      </w:r>
      <w:r w:rsidR="00057B0F">
        <w:t>218</w:t>
      </w:r>
      <w:r w:rsidR="00CA175E">
        <w:t xml:space="preserve"> notifications received</w:t>
      </w:r>
      <w:r w:rsidR="0055769E">
        <w:t xml:space="preserve"> by OVIC</w:t>
      </w:r>
      <w:r w:rsidR="006804A9">
        <w:t>,</w:t>
      </w:r>
      <w:r w:rsidR="00CA175E">
        <w:t xml:space="preserve"> the majority</w:t>
      </w:r>
      <w:r w:rsidR="003F2C46">
        <w:t xml:space="preserve"> </w:t>
      </w:r>
      <w:r w:rsidR="00CA175E">
        <w:t>c</w:t>
      </w:r>
      <w:r w:rsidR="003F2C46">
        <w:t>o</w:t>
      </w:r>
      <w:r w:rsidR="00CA175E">
        <w:t xml:space="preserve">me from </w:t>
      </w:r>
      <w:r>
        <w:t>the</w:t>
      </w:r>
      <w:r w:rsidR="0055769E">
        <w:t xml:space="preserve"> </w:t>
      </w:r>
      <w:r w:rsidR="000C7141">
        <w:t>j</w:t>
      </w:r>
      <w:r w:rsidR="00CA175E">
        <w:t xml:space="preserve">ustice </w:t>
      </w:r>
      <w:r w:rsidR="00687185">
        <w:t>sector</w:t>
      </w:r>
      <w:r w:rsidR="000C7141">
        <w:t>,</w:t>
      </w:r>
      <w:r w:rsidR="003F2C46">
        <w:t xml:space="preserve"> specifically </w:t>
      </w:r>
      <w:r w:rsidR="000C7141">
        <w:t xml:space="preserve">from </w:t>
      </w:r>
      <w:r w:rsidR="003F2C46">
        <w:t xml:space="preserve">the </w:t>
      </w:r>
      <w:r w:rsidR="002C1027">
        <w:t>D</w:t>
      </w:r>
      <w:r w:rsidR="003F2C46">
        <w:t>epartment</w:t>
      </w:r>
      <w:r w:rsidR="00711031">
        <w:t xml:space="preserve"> </w:t>
      </w:r>
      <w:r w:rsidR="002C1027">
        <w:t>of Justice and Community Safety</w:t>
      </w:r>
      <w:r w:rsidR="000C7141">
        <w:t xml:space="preserve"> (</w:t>
      </w:r>
      <w:r w:rsidR="000C7141" w:rsidRPr="00345E85">
        <w:rPr>
          <w:b/>
          <w:bCs/>
        </w:rPr>
        <w:t>DJCS</w:t>
      </w:r>
      <w:r w:rsidR="000C7141">
        <w:t>)</w:t>
      </w:r>
      <w:r w:rsidR="00524176">
        <w:t xml:space="preserve">. </w:t>
      </w:r>
    </w:p>
    <w:p w14:paraId="5153B629" w14:textId="4752B645" w:rsidR="00695D85" w:rsidRDefault="00524176" w:rsidP="00CA175E">
      <w:pPr>
        <w:pStyle w:val="Body"/>
      </w:pPr>
      <w:r>
        <w:t>DJCS</w:t>
      </w:r>
      <w:r w:rsidR="002C1027">
        <w:t xml:space="preserve"> </w:t>
      </w:r>
      <w:r>
        <w:t>participated in a panel discussion at the</w:t>
      </w:r>
      <w:r w:rsidR="002C1027">
        <w:t xml:space="preserve"> </w:t>
      </w:r>
      <w:r w:rsidR="00711031">
        <w:t xml:space="preserve">March </w:t>
      </w:r>
      <w:r w:rsidR="001D7701">
        <w:t xml:space="preserve">2021 </w:t>
      </w:r>
      <w:r w:rsidR="00711031">
        <w:t>V</w:t>
      </w:r>
      <w:r w:rsidR="000C7141">
        <w:t>ictorian Information Security Network (</w:t>
      </w:r>
      <w:r w:rsidR="000C7141" w:rsidRPr="00345E85">
        <w:rPr>
          <w:b/>
          <w:bCs/>
        </w:rPr>
        <w:t>V</w:t>
      </w:r>
      <w:r w:rsidR="00711031" w:rsidRPr="00345E85">
        <w:rPr>
          <w:b/>
          <w:bCs/>
        </w:rPr>
        <w:t>ISN</w:t>
      </w:r>
      <w:r w:rsidR="000C7141">
        <w:t>)</w:t>
      </w:r>
      <w:r w:rsidR="00711031">
        <w:t xml:space="preserve"> Incident Insights </w:t>
      </w:r>
      <w:r>
        <w:t xml:space="preserve">forum </w:t>
      </w:r>
      <w:r w:rsidR="002C1027">
        <w:t>to explain how they have implemented a supporting internal process to meet their notification obligations</w:t>
      </w:r>
      <w:r w:rsidR="00CA175E">
        <w:t>.</w:t>
      </w:r>
    </w:p>
    <w:p w14:paraId="65D09BCC" w14:textId="77D70BEF" w:rsidR="00711031" w:rsidRDefault="00711031" w:rsidP="00CA175E">
      <w:pPr>
        <w:pStyle w:val="Body"/>
      </w:pPr>
      <w:r>
        <w:t xml:space="preserve">Although the </w:t>
      </w:r>
      <w:r w:rsidR="00C20C73">
        <w:t>h</w:t>
      </w:r>
      <w:r>
        <w:t xml:space="preserve">ealth and </w:t>
      </w:r>
      <w:r w:rsidR="00C20C73">
        <w:t>h</w:t>
      </w:r>
      <w:r>
        <w:t xml:space="preserve">uman </w:t>
      </w:r>
      <w:r w:rsidR="000C7141">
        <w:t xml:space="preserve">services </w:t>
      </w:r>
      <w:r>
        <w:t xml:space="preserve">sector was split on 1 February 2021 into separate sectors, their incident notifications </w:t>
      </w:r>
      <w:r w:rsidR="00C20C73">
        <w:t>are</w:t>
      </w:r>
      <w:r>
        <w:t xml:space="preserve"> represented as a single sector </w:t>
      </w:r>
      <w:r w:rsidR="00C20C73">
        <w:t>in</w:t>
      </w:r>
      <w:r>
        <w:t xml:space="preserve"> this report</w:t>
      </w:r>
      <w:r w:rsidR="000C7141">
        <w:t>. This is due to</w:t>
      </w:r>
      <w:r w:rsidR="00C20C73">
        <w:t xml:space="preserve"> some incidents occurr</w:t>
      </w:r>
      <w:r w:rsidR="000C7141">
        <w:t>ing</w:t>
      </w:r>
      <w:r w:rsidR="00C20C73">
        <w:t xml:space="preserve"> prior to 1 February and administrative reporting processes </w:t>
      </w:r>
      <w:r w:rsidR="000C7141">
        <w:t xml:space="preserve">still </w:t>
      </w:r>
      <w:r w:rsidR="00C20C73">
        <w:t xml:space="preserve">being </w:t>
      </w:r>
      <w:r w:rsidR="002C1027">
        <w:t>developed</w:t>
      </w:r>
      <w:r w:rsidR="00C20C73">
        <w:t>.</w:t>
      </w:r>
      <w:r>
        <w:t xml:space="preserve"> </w:t>
      </w:r>
    </w:p>
    <w:p w14:paraId="0722E908" w14:textId="7E0DCFFA" w:rsidR="003E2141" w:rsidRPr="00455B5E" w:rsidRDefault="00695D85" w:rsidP="00455B5E">
      <w:pPr>
        <w:pStyle w:val="Body"/>
        <w:rPr>
          <w:rStyle w:val="Emphasis"/>
          <w:rFonts w:cstheme="minorHAnsi"/>
          <w:shd w:val="clear" w:color="auto" w:fill="FFFFFF"/>
        </w:rPr>
      </w:pPr>
      <w:r w:rsidRPr="00D455FD">
        <w:rPr>
          <w:b/>
          <w:bCs/>
        </w:rPr>
        <w:t>Take</w:t>
      </w:r>
      <w:r w:rsidR="001D7701">
        <w:rPr>
          <w:b/>
          <w:bCs/>
        </w:rPr>
        <w:t>-</w:t>
      </w:r>
      <w:r w:rsidRPr="00D455FD">
        <w:rPr>
          <w:b/>
          <w:bCs/>
        </w:rPr>
        <w:t>out:</w:t>
      </w:r>
      <w:r>
        <w:rPr>
          <w:i/>
          <w:iCs/>
        </w:rPr>
        <w:t xml:space="preserve"> </w:t>
      </w:r>
      <w:r w:rsidR="007001D0">
        <w:rPr>
          <w:i/>
          <w:iCs/>
        </w:rPr>
        <w:br/>
      </w:r>
      <w:r w:rsidR="000C7141" w:rsidRPr="00455B5E">
        <w:rPr>
          <w:rStyle w:val="Emphasis"/>
          <w:rFonts w:cstheme="minorHAnsi"/>
          <w:shd w:val="clear" w:color="auto" w:fill="FFFFFF"/>
        </w:rPr>
        <w:t>During this reporting period, OVIC met with</w:t>
      </w:r>
      <w:r w:rsidR="003E2141" w:rsidRPr="00455B5E">
        <w:rPr>
          <w:rStyle w:val="Emphasis"/>
          <w:rFonts w:cstheme="minorHAnsi"/>
          <w:shd w:val="clear" w:color="auto" w:fill="FFFFFF"/>
        </w:rPr>
        <w:t xml:space="preserve"> some organisations for their Protective Data Security Plan (</w:t>
      </w:r>
      <w:r w:rsidR="003E2141" w:rsidRPr="00455B5E">
        <w:rPr>
          <w:rStyle w:val="Emphasis"/>
          <w:rFonts w:cstheme="minorHAnsi"/>
          <w:b/>
          <w:bCs/>
          <w:shd w:val="clear" w:color="auto" w:fill="FFFFFF"/>
        </w:rPr>
        <w:t>PDSP</w:t>
      </w:r>
      <w:r w:rsidR="003E2141" w:rsidRPr="00455B5E">
        <w:rPr>
          <w:rStyle w:val="Emphasis"/>
          <w:rFonts w:cstheme="minorHAnsi"/>
          <w:shd w:val="clear" w:color="auto" w:fill="FFFFFF"/>
        </w:rPr>
        <w:t>) insights session</w:t>
      </w:r>
      <w:r w:rsidR="000C7141" w:rsidRPr="00455B5E">
        <w:rPr>
          <w:rStyle w:val="Emphasis"/>
          <w:rFonts w:cstheme="minorHAnsi"/>
          <w:shd w:val="clear" w:color="auto" w:fill="FFFFFF"/>
        </w:rPr>
        <w:t>s.</w:t>
      </w:r>
      <w:r w:rsidR="003E2141" w:rsidRPr="00455B5E">
        <w:rPr>
          <w:rStyle w:val="Emphasis"/>
          <w:rFonts w:cstheme="minorHAnsi"/>
          <w:shd w:val="clear" w:color="auto" w:fill="FFFFFF"/>
        </w:rPr>
        <w:t xml:space="preserve"> </w:t>
      </w:r>
      <w:r w:rsidR="000C7141" w:rsidRPr="00455B5E">
        <w:rPr>
          <w:rStyle w:val="Emphasis"/>
          <w:rFonts w:cstheme="minorHAnsi"/>
          <w:shd w:val="clear" w:color="auto" w:fill="FFFFFF"/>
        </w:rPr>
        <w:t>D</w:t>
      </w:r>
      <w:r w:rsidR="006D76F5" w:rsidRPr="00455B5E">
        <w:rPr>
          <w:rStyle w:val="Emphasis"/>
          <w:rFonts w:cstheme="minorHAnsi"/>
          <w:shd w:val="clear" w:color="auto" w:fill="FFFFFF"/>
        </w:rPr>
        <w:t>uring</w:t>
      </w:r>
      <w:r w:rsidR="0058635E" w:rsidRPr="00455B5E">
        <w:rPr>
          <w:rStyle w:val="Emphasis"/>
          <w:rFonts w:cstheme="minorHAnsi"/>
          <w:shd w:val="clear" w:color="auto" w:fill="FFFFFF"/>
        </w:rPr>
        <w:t xml:space="preserve"> discussi</w:t>
      </w:r>
      <w:r w:rsidR="006D76F5" w:rsidRPr="00455B5E">
        <w:rPr>
          <w:rStyle w:val="Emphasis"/>
          <w:rFonts w:cstheme="minorHAnsi"/>
          <w:shd w:val="clear" w:color="auto" w:fill="FFFFFF"/>
        </w:rPr>
        <w:t xml:space="preserve">ons </w:t>
      </w:r>
      <w:r w:rsidR="000C7141" w:rsidRPr="00455B5E">
        <w:rPr>
          <w:rStyle w:val="Emphasis"/>
          <w:rFonts w:cstheme="minorHAnsi"/>
          <w:shd w:val="clear" w:color="auto" w:fill="FFFFFF"/>
        </w:rPr>
        <w:t xml:space="preserve">related </w:t>
      </w:r>
      <w:r w:rsidR="006D76F5" w:rsidRPr="00455B5E">
        <w:rPr>
          <w:rStyle w:val="Emphasis"/>
          <w:rFonts w:cstheme="minorHAnsi"/>
          <w:shd w:val="clear" w:color="auto" w:fill="FFFFFF"/>
        </w:rPr>
        <w:t>to</w:t>
      </w:r>
      <w:r w:rsidR="0058635E" w:rsidRPr="00455B5E">
        <w:rPr>
          <w:rStyle w:val="Emphasis"/>
          <w:rFonts w:cstheme="minorHAnsi"/>
          <w:shd w:val="clear" w:color="auto" w:fill="FFFFFF"/>
        </w:rPr>
        <w:t xml:space="preserve"> </w:t>
      </w:r>
      <w:r w:rsidR="000C7141" w:rsidRPr="00455B5E">
        <w:rPr>
          <w:rStyle w:val="Emphasis"/>
          <w:rFonts w:cstheme="minorHAnsi"/>
          <w:shd w:val="clear" w:color="auto" w:fill="FFFFFF"/>
        </w:rPr>
        <w:t>Victorian Protective Data Security Standards (</w:t>
      </w:r>
      <w:r w:rsidR="000C7141" w:rsidRPr="00455B5E">
        <w:rPr>
          <w:rStyle w:val="Emphasis"/>
          <w:rFonts w:cstheme="minorHAnsi"/>
          <w:b/>
          <w:bCs/>
          <w:shd w:val="clear" w:color="auto" w:fill="FFFFFF"/>
        </w:rPr>
        <w:t>VPDSS</w:t>
      </w:r>
      <w:r w:rsidR="000C7141" w:rsidRPr="00455B5E">
        <w:rPr>
          <w:rStyle w:val="Emphasis"/>
          <w:rFonts w:cstheme="minorHAnsi"/>
          <w:shd w:val="clear" w:color="auto" w:fill="FFFFFF"/>
        </w:rPr>
        <w:t>) E</w:t>
      </w:r>
      <w:r w:rsidR="0058635E" w:rsidRPr="00455B5E">
        <w:rPr>
          <w:rStyle w:val="Emphasis"/>
          <w:rFonts w:cstheme="minorHAnsi"/>
          <w:shd w:val="clear" w:color="auto" w:fill="FFFFFF"/>
        </w:rPr>
        <w:t xml:space="preserve">lement 9.010, </w:t>
      </w:r>
      <w:r w:rsidR="003E2141" w:rsidRPr="00455B5E">
        <w:rPr>
          <w:rStyle w:val="Emphasis"/>
          <w:rFonts w:cstheme="minorHAnsi"/>
          <w:shd w:val="clear" w:color="auto" w:fill="FFFFFF"/>
        </w:rPr>
        <w:t xml:space="preserve">it </w:t>
      </w:r>
      <w:r w:rsidR="00524176" w:rsidRPr="00455B5E">
        <w:rPr>
          <w:rStyle w:val="Emphasis"/>
          <w:rFonts w:cstheme="minorHAnsi"/>
          <w:shd w:val="clear" w:color="auto" w:fill="FFFFFF"/>
        </w:rPr>
        <w:t>became clear</w:t>
      </w:r>
      <w:r w:rsidR="003E2141" w:rsidRPr="00455B5E">
        <w:rPr>
          <w:rStyle w:val="Emphasis"/>
          <w:rFonts w:cstheme="minorHAnsi"/>
          <w:shd w:val="clear" w:color="auto" w:fill="FFFFFF"/>
        </w:rPr>
        <w:t xml:space="preserve"> </w:t>
      </w:r>
      <w:bookmarkStart w:id="1" w:name="_Hlk77847612"/>
      <w:r w:rsidR="003E2141" w:rsidRPr="00455B5E">
        <w:rPr>
          <w:rStyle w:val="Emphasis"/>
          <w:rFonts w:cstheme="minorHAnsi"/>
          <w:shd w:val="clear" w:color="auto" w:fill="FFFFFF"/>
        </w:rPr>
        <w:t>that some organisations:</w:t>
      </w:r>
    </w:p>
    <w:p w14:paraId="7D92CEC3" w14:textId="5EE27D7F" w:rsidR="003E2141" w:rsidRPr="00455B5E" w:rsidRDefault="003E2141" w:rsidP="00455B5E">
      <w:pPr>
        <w:pStyle w:val="Body"/>
        <w:numPr>
          <w:ilvl w:val="0"/>
          <w:numId w:val="7"/>
        </w:numPr>
        <w:rPr>
          <w:rStyle w:val="Emphasis"/>
          <w:sz w:val="24"/>
          <w:szCs w:val="24"/>
        </w:rPr>
      </w:pPr>
      <w:r w:rsidRPr="00455B5E">
        <w:rPr>
          <w:rStyle w:val="Emphasis"/>
          <w:rFonts w:cstheme="minorHAnsi"/>
          <w:shd w:val="clear" w:color="auto" w:fill="FFFFFF"/>
        </w:rPr>
        <w:t>did not know the incident notification scheme exists</w:t>
      </w:r>
      <w:r w:rsidR="000C7141" w:rsidRPr="00455B5E">
        <w:rPr>
          <w:rStyle w:val="Emphasis"/>
          <w:rFonts w:cstheme="minorHAnsi"/>
          <w:shd w:val="clear" w:color="auto" w:fill="FFFFFF"/>
        </w:rPr>
        <w:t>;</w:t>
      </w:r>
      <w:r w:rsidRPr="00455B5E">
        <w:rPr>
          <w:rStyle w:val="Emphasis"/>
          <w:rFonts w:cstheme="minorHAnsi"/>
          <w:shd w:val="clear" w:color="auto" w:fill="FFFFFF"/>
        </w:rPr>
        <w:t xml:space="preserve"> </w:t>
      </w:r>
    </w:p>
    <w:p w14:paraId="58BEC3D9" w14:textId="72F0AC0B" w:rsidR="003E2141" w:rsidRPr="00455B5E" w:rsidRDefault="000C7141" w:rsidP="00455B5E">
      <w:pPr>
        <w:pStyle w:val="Body"/>
        <w:numPr>
          <w:ilvl w:val="0"/>
          <w:numId w:val="7"/>
        </w:numPr>
        <w:rPr>
          <w:rStyle w:val="Emphasis"/>
          <w:sz w:val="24"/>
          <w:szCs w:val="24"/>
        </w:rPr>
      </w:pPr>
      <w:r w:rsidRPr="00455B5E">
        <w:rPr>
          <w:rStyle w:val="Emphasis"/>
          <w:rFonts w:cstheme="minorHAnsi"/>
          <w:shd w:val="clear" w:color="auto" w:fill="FFFFFF"/>
        </w:rPr>
        <w:t>experienced</w:t>
      </w:r>
      <w:r w:rsidR="003E2141" w:rsidRPr="00455B5E">
        <w:rPr>
          <w:rStyle w:val="Emphasis"/>
          <w:rFonts w:cstheme="minorHAnsi"/>
          <w:shd w:val="clear" w:color="auto" w:fill="FFFFFF"/>
        </w:rPr>
        <w:t xml:space="preserve"> incidents </w:t>
      </w:r>
      <w:r w:rsidRPr="00455B5E">
        <w:rPr>
          <w:rStyle w:val="Emphasis"/>
          <w:rFonts w:cstheme="minorHAnsi"/>
          <w:shd w:val="clear" w:color="auto" w:fill="FFFFFF"/>
        </w:rPr>
        <w:t xml:space="preserve">that </w:t>
      </w:r>
      <w:r w:rsidR="003E2141" w:rsidRPr="00455B5E">
        <w:rPr>
          <w:rStyle w:val="Emphasis"/>
          <w:rFonts w:cstheme="minorHAnsi"/>
          <w:shd w:val="clear" w:color="auto" w:fill="FFFFFF"/>
        </w:rPr>
        <w:t>did not reach the</w:t>
      </w:r>
      <w:r w:rsidRPr="00455B5E">
        <w:rPr>
          <w:rStyle w:val="Emphasis"/>
          <w:rFonts w:cstheme="minorHAnsi"/>
          <w:shd w:val="clear" w:color="auto" w:fill="FFFFFF"/>
        </w:rPr>
        <w:t xml:space="preserve"> Business Impact Level</w:t>
      </w:r>
      <w:r w:rsidR="003E2141" w:rsidRPr="00455B5E">
        <w:rPr>
          <w:rStyle w:val="Emphasis"/>
          <w:rFonts w:cstheme="minorHAnsi"/>
          <w:shd w:val="clear" w:color="auto" w:fill="FFFFFF"/>
        </w:rPr>
        <w:t xml:space="preserve"> </w:t>
      </w:r>
      <w:r w:rsidRPr="00455B5E">
        <w:rPr>
          <w:rStyle w:val="Emphasis"/>
          <w:rFonts w:cstheme="minorHAnsi"/>
          <w:shd w:val="clear" w:color="auto" w:fill="FFFFFF"/>
        </w:rPr>
        <w:t>(</w:t>
      </w:r>
      <w:r w:rsidR="003E2141" w:rsidRPr="00455B5E">
        <w:rPr>
          <w:rStyle w:val="Emphasis"/>
          <w:rFonts w:cstheme="minorHAnsi"/>
          <w:b/>
          <w:bCs/>
          <w:shd w:val="clear" w:color="auto" w:fill="FFFFFF"/>
        </w:rPr>
        <w:t>BIL</w:t>
      </w:r>
      <w:r w:rsidRPr="00455B5E">
        <w:rPr>
          <w:rStyle w:val="Emphasis"/>
          <w:rFonts w:cstheme="minorHAnsi"/>
          <w:shd w:val="clear" w:color="auto" w:fill="FFFFFF"/>
        </w:rPr>
        <w:t xml:space="preserve">) </w:t>
      </w:r>
      <w:r w:rsidR="003E2141" w:rsidRPr="00455B5E">
        <w:rPr>
          <w:rStyle w:val="Emphasis"/>
          <w:rFonts w:cstheme="minorHAnsi"/>
          <w:shd w:val="clear" w:color="auto" w:fill="FFFFFF"/>
        </w:rPr>
        <w:t>2 threshold</w:t>
      </w:r>
      <w:r w:rsidRPr="00455B5E">
        <w:rPr>
          <w:rStyle w:val="Emphasis"/>
          <w:rFonts w:cstheme="minorHAnsi"/>
          <w:shd w:val="clear" w:color="auto" w:fill="FFFFFF"/>
        </w:rPr>
        <w:t>; or</w:t>
      </w:r>
    </w:p>
    <w:p w14:paraId="72C3F0EC" w14:textId="16051683" w:rsidR="003E2141" w:rsidRPr="00455B5E" w:rsidRDefault="000C7141" w:rsidP="00455B5E">
      <w:pPr>
        <w:pStyle w:val="Body"/>
        <w:numPr>
          <w:ilvl w:val="0"/>
          <w:numId w:val="7"/>
        </w:numPr>
        <w:rPr>
          <w:rStyle w:val="Emphasis"/>
          <w:sz w:val="24"/>
          <w:szCs w:val="24"/>
        </w:rPr>
      </w:pPr>
      <w:r w:rsidRPr="00455B5E">
        <w:rPr>
          <w:rStyle w:val="Emphasis"/>
          <w:rFonts w:cstheme="minorHAnsi"/>
          <w:shd w:val="clear" w:color="auto" w:fill="FFFFFF"/>
        </w:rPr>
        <w:t>were</w:t>
      </w:r>
      <w:r w:rsidR="003E2141" w:rsidRPr="00455B5E">
        <w:rPr>
          <w:rStyle w:val="Emphasis"/>
          <w:rFonts w:cstheme="minorHAnsi"/>
          <w:shd w:val="clear" w:color="auto" w:fill="FFFFFF"/>
        </w:rPr>
        <w:t xml:space="preserve"> in the process of setting up their incident management policy and procedures</w:t>
      </w:r>
      <w:r w:rsidR="0058635E" w:rsidRPr="00455B5E">
        <w:rPr>
          <w:rStyle w:val="Emphasis"/>
          <w:rFonts w:cstheme="minorHAnsi"/>
          <w:shd w:val="clear" w:color="auto" w:fill="FFFFFF"/>
        </w:rPr>
        <w:t xml:space="preserve"> including defining </w:t>
      </w:r>
      <w:r w:rsidR="00520C75" w:rsidRPr="00455B5E">
        <w:rPr>
          <w:rStyle w:val="Emphasis"/>
          <w:rFonts w:cstheme="minorHAnsi"/>
          <w:shd w:val="clear" w:color="auto" w:fill="FFFFFF"/>
        </w:rPr>
        <w:t>the term</w:t>
      </w:r>
      <w:r w:rsidR="0058635E" w:rsidRPr="00455B5E">
        <w:rPr>
          <w:rStyle w:val="Emphasis"/>
          <w:rFonts w:cstheme="minorHAnsi"/>
          <w:shd w:val="clear" w:color="auto" w:fill="FFFFFF"/>
        </w:rPr>
        <w:t xml:space="preserve"> ‘incident’</w:t>
      </w:r>
      <w:r w:rsidRPr="00455B5E">
        <w:rPr>
          <w:rStyle w:val="Emphasis"/>
          <w:rFonts w:cstheme="minorHAnsi"/>
          <w:shd w:val="clear" w:color="auto" w:fill="FFFFFF"/>
        </w:rPr>
        <w:t>.</w:t>
      </w:r>
    </w:p>
    <w:bookmarkEnd w:id="1"/>
    <w:p w14:paraId="40C234AE" w14:textId="2649B6D1" w:rsidR="00EF7DE8" w:rsidRDefault="003E2141" w:rsidP="001E18F1">
      <w:pPr>
        <w:pStyle w:val="Body"/>
        <w:rPr>
          <w:rFonts w:cs="PostGrotesk-Medium"/>
          <w:color w:val="430098"/>
          <w:sz w:val="24"/>
          <w:szCs w:val="24"/>
        </w:rPr>
      </w:pPr>
      <w:r w:rsidRPr="00455B5E">
        <w:rPr>
          <w:rStyle w:val="Emphasis"/>
          <w:rFonts w:cstheme="minorHAnsi"/>
          <w:shd w:val="clear" w:color="auto" w:fill="FFFFFF"/>
        </w:rPr>
        <w:t xml:space="preserve">Following </w:t>
      </w:r>
      <w:r w:rsidR="0058635E" w:rsidRPr="00455B5E">
        <w:rPr>
          <w:rStyle w:val="Emphasis"/>
          <w:rFonts w:cstheme="minorHAnsi"/>
          <w:shd w:val="clear" w:color="auto" w:fill="FFFFFF"/>
        </w:rPr>
        <w:t xml:space="preserve">these </w:t>
      </w:r>
      <w:r w:rsidRPr="00455B5E">
        <w:rPr>
          <w:rStyle w:val="Emphasis"/>
          <w:rFonts w:cstheme="minorHAnsi"/>
          <w:shd w:val="clear" w:color="auto" w:fill="FFFFFF"/>
        </w:rPr>
        <w:t xml:space="preserve">discussions with OVIC, </w:t>
      </w:r>
      <w:r w:rsidR="00C748DD" w:rsidRPr="00455B5E">
        <w:rPr>
          <w:rStyle w:val="Emphasis"/>
          <w:rFonts w:cstheme="minorHAnsi"/>
          <w:shd w:val="clear" w:color="auto" w:fill="FFFFFF"/>
        </w:rPr>
        <w:t>organisations</w:t>
      </w:r>
      <w:r w:rsidRPr="00455B5E">
        <w:rPr>
          <w:rStyle w:val="Emphasis"/>
          <w:rFonts w:cstheme="minorHAnsi"/>
          <w:shd w:val="clear" w:color="auto" w:fill="FFFFFF"/>
        </w:rPr>
        <w:t xml:space="preserve"> </w:t>
      </w:r>
      <w:r w:rsidR="00C748DD" w:rsidRPr="00455B5E">
        <w:rPr>
          <w:rStyle w:val="Emphasis"/>
          <w:rFonts w:cstheme="minorHAnsi"/>
          <w:shd w:val="clear" w:color="auto" w:fill="FFFFFF"/>
        </w:rPr>
        <w:t xml:space="preserve">reported </w:t>
      </w:r>
      <w:r w:rsidR="00CC3709" w:rsidRPr="00455B5E">
        <w:rPr>
          <w:rStyle w:val="Emphasis"/>
          <w:rFonts w:cstheme="minorHAnsi"/>
          <w:shd w:val="clear" w:color="auto" w:fill="FFFFFF"/>
        </w:rPr>
        <w:t xml:space="preserve">a </w:t>
      </w:r>
      <w:r w:rsidRPr="00455B5E">
        <w:rPr>
          <w:rStyle w:val="Emphasis"/>
          <w:rFonts w:cstheme="minorHAnsi"/>
          <w:shd w:val="clear" w:color="auto" w:fill="FFFFFF"/>
        </w:rPr>
        <w:t>better understand</w:t>
      </w:r>
      <w:r w:rsidR="00C748DD" w:rsidRPr="00455B5E">
        <w:rPr>
          <w:rStyle w:val="Emphasis"/>
          <w:rFonts w:cstheme="minorHAnsi"/>
          <w:shd w:val="clear" w:color="auto" w:fill="FFFFFF"/>
        </w:rPr>
        <w:t>ing of</w:t>
      </w:r>
      <w:r w:rsidRPr="00455B5E">
        <w:rPr>
          <w:rStyle w:val="Emphasis"/>
          <w:rFonts w:cstheme="minorHAnsi"/>
          <w:shd w:val="clear" w:color="auto" w:fill="FFFFFF"/>
        </w:rPr>
        <w:t xml:space="preserve"> their obligations and </w:t>
      </w:r>
      <w:r w:rsidR="00524176" w:rsidRPr="00455B5E">
        <w:rPr>
          <w:rStyle w:val="Emphasis"/>
          <w:rFonts w:cstheme="minorHAnsi"/>
          <w:shd w:val="clear" w:color="auto" w:fill="FFFFFF"/>
        </w:rPr>
        <w:t xml:space="preserve">the </w:t>
      </w:r>
      <w:r w:rsidRPr="00455B5E">
        <w:rPr>
          <w:rStyle w:val="Emphasis"/>
          <w:rFonts w:cstheme="minorHAnsi"/>
          <w:shd w:val="clear" w:color="auto" w:fill="FFFFFF"/>
        </w:rPr>
        <w:t>type</w:t>
      </w:r>
      <w:r w:rsidR="00524176" w:rsidRPr="00455B5E">
        <w:rPr>
          <w:rStyle w:val="Emphasis"/>
          <w:rFonts w:cstheme="minorHAnsi"/>
          <w:shd w:val="clear" w:color="auto" w:fill="FFFFFF"/>
        </w:rPr>
        <w:t>s</w:t>
      </w:r>
      <w:r w:rsidRPr="00455B5E">
        <w:rPr>
          <w:rStyle w:val="Emphasis"/>
          <w:rFonts w:cstheme="minorHAnsi"/>
          <w:shd w:val="clear" w:color="auto" w:fill="FFFFFF"/>
        </w:rPr>
        <w:t xml:space="preserve"> of incidents </w:t>
      </w:r>
      <w:r w:rsidR="00524176" w:rsidRPr="00455B5E">
        <w:rPr>
          <w:rStyle w:val="Emphasis"/>
          <w:rFonts w:cstheme="minorHAnsi"/>
          <w:shd w:val="clear" w:color="auto" w:fill="FFFFFF"/>
        </w:rPr>
        <w:t xml:space="preserve">that </w:t>
      </w:r>
      <w:r w:rsidRPr="00455B5E">
        <w:rPr>
          <w:rStyle w:val="Emphasis"/>
          <w:rFonts w:cstheme="minorHAnsi"/>
          <w:shd w:val="clear" w:color="auto" w:fill="FFFFFF"/>
        </w:rPr>
        <w:t>should be notified</w:t>
      </w:r>
      <w:r w:rsidR="00524176" w:rsidRPr="00455B5E">
        <w:rPr>
          <w:rStyle w:val="Emphasis"/>
          <w:rFonts w:cstheme="minorHAnsi"/>
          <w:shd w:val="clear" w:color="auto" w:fill="FFFFFF"/>
        </w:rPr>
        <w:t xml:space="preserve"> to OVIC</w:t>
      </w:r>
      <w:r w:rsidRPr="00455B5E">
        <w:rPr>
          <w:rStyle w:val="Emphasis"/>
          <w:rFonts w:cstheme="minorHAnsi"/>
          <w:shd w:val="clear" w:color="auto" w:fill="FFFFFF"/>
        </w:rPr>
        <w:t>.</w:t>
      </w:r>
      <w:r w:rsidR="00EF7DE8">
        <w:rPr>
          <w:sz w:val="24"/>
          <w:szCs w:val="24"/>
        </w:rPr>
        <w:br w:type="page"/>
      </w:r>
    </w:p>
    <w:p w14:paraId="20E4A683" w14:textId="74F734A2" w:rsidR="00E93FC2" w:rsidRDefault="00E93FC2" w:rsidP="00E93FC2">
      <w:pPr>
        <w:pStyle w:val="SectionHeading1"/>
        <w:rPr>
          <w:sz w:val="24"/>
          <w:szCs w:val="24"/>
        </w:rPr>
      </w:pPr>
      <w:r>
        <w:rPr>
          <w:sz w:val="24"/>
          <w:szCs w:val="24"/>
        </w:rPr>
        <w:lastRenderedPageBreak/>
        <w:t>Information format</w:t>
      </w:r>
    </w:p>
    <w:p w14:paraId="7CED0567" w14:textId="657CA937" w:rsidR="00DE4C2C" w:rsidRPr="00E93FC2" w:rsidRDefault="001E18F1" w:rsidP="001E18F1">
      <w:pPr>
        <w:pStyle w:val="SectionHeading1"/>
        <w:rPr>
          <w:sz w:val="24"/>
          <w:szCs w:val="24"/>
        </w:rPr>
      </w:pPr>
      <w:r w:rsidRPr="001E18F1">
        <w:rPr>
          <w:sz w:val="24"/>
          <w:szCs w:val="24"/>
        </w:rPr>
        <w:drawing>
          <wp:inline distT="0" distB="0" distL="0" distR="0" wp14:anchorId="27726047" wp14:editId="346A1A38">
            <wp:extent cx="6120130" cy="173482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1"/>
                    <a:stretch>
                      <a:fillRect/>
                    </a:stretch>
                  </pic:blipFill>
                  <pic:spPr>
                    <a:xfrm>
                      <a:off x="0" y="0"/>
                      <a:ext cx="6120130" cy="1734820"/>
                    </a:xfrm>
                    <a:prstGeom prst="rect">
                      <a:avLst/>
                    </a:prstGeom>
                  </pic:spPr>
                </pic:pic>
              </a:graphicData>
            </a:graphic>
          </wp:inline>
        </w:drawing>
      </w:r>
    </w:p>
    <w:p w14:paraId="634DFDCC" w14:textId="5829C8D2" w:rsidR="00F436A4" w:rsidRDefault="000E5D3B" w:rsidP="00CA175E">
      <w:pPr>
        <w:pStyle w:val="Body"/>
      </w:pPr>
      <w:r>
        <w:t>Like previous reporting periods,</w:t>
      </w:r>
      <w:r w:rsidR="001B50A8">
        <w:t xml:space="preserve"> </w:t>
      </w:r>
      <w:r>
        <w:t>most</w:t>
      </w:r>
      <w:r w:rsidR="001B50A8">
        <w:t xml:space="preserve"> incident notifications related to</w:t>
      </w:r>
      <w:r w:rsidR="0058635E">
        <w:t xml:space="preserve"> compromise</w:t>
      </w:r>
      <w:r>
        <w:t>s</w:t>
      </w:r>
      <w:r w:rsidR="0058635E">
        <w:t xml:space="preserve"> of</w:t>
      </w:r>
      <w:r w:rsidR="001B50A8">
        <w:t xml:space="preserve"> </w:t>
      </w:r>
      <w:r w:rsidR="00DE4C2C">
        <w:t>electronic information followed by hard copy information.</w:t>
      </w:r>
      <w:r w:rsidR="005E18CE">
        <w:t xml:space="preserve"> </w:t>
      </w:r>
    </w:p>
    <w:p w14:paraId="07E6F481" w14:textId="50FB9622" w:rsidR="00B01518" w:rsidRDefault="00B01518" w:rsidP="00CA175E">
      <w:pPr>
        <w:pStyle w:val="Body"/>
      </w:pPr>
      <w:r>
        <w:t xml:space="preserve">Most of the incidents involving hard copy information were related to mail </w:t>
      </w:r>
      <w:r w:rsidR="000E5D3B">
        <w:t xml:space="preserve">and included </w:t>
      </w:r>
      <w:r>
        <w:t>lost mail, incorrect addressee</w:t>
      </w:r>
      <w:r w:rsidR="00524176">
        <w:t>,</w:t>
      </w:r>
      <w:r>
        <w:t xml:space="preserve"> or incorrect document</w:t>
      </w:r>
      <w:r w:rsidR="00524176">
        <w:t>/s</w:t>
      </w:r>
      <w:r w:rsidR="000E5D3B">
        <w:t>. This is</w:t>
      </w:r>
      <w:r>
        <w:t xml:space="preserve"> </w:t>
      </w:r>
      <w:r w:rsidR="00455B5E">
        <w:t>like</w:t>
      </w:r>
      <w:r w:rsidR="00524176">
        <w:t xml:space="preserve"> </w:t>
      </w:r>
      <w:r>
        <w:t xml:space="preserve">trends observed </w:t>
      </w:r>
      <w:r w:rsidR="00524176">
        <w:t xml:space="preserve">in </w:t>
      </w:r>
      <w:r w:rsidR="000E5D3B">
        <w:t xml:space="preserve">incidents involving </w:t>
      </w:r>
      <w:r w:rsidR="00455B5E">
        <w:t xml:space="preserve">the </w:t>
      </w:r>
      <w:r w:rsidR="000E5D3B">
        <w:t xml:space="preserve">electronic </w:t>
      </w:r>
      <w:r w:rsidR="00455B5E">
        <w:t>version of mail i.e.,</w:t>
      </w:r>
      <w:r w:rsidR="000E5D3B">
        <w:t xml:space="preserve"> </w:t>
      </w:r>
      <w:r>
        <w:t xml:space="preserve">email. </w:t>
      </w:r>
    </w:p>
    <w:p w14:paraId="483E00FF" w14:textId="40A4CED7" w:rsidR="00F436A4" w:rsidRDefault="005E18CE" w:rsidP="00CA175E">
      <w:pPr>
        <w:pStyle w:val="Body"/>
      </w:pPr>
      <w:r w:rsidRPr="00A928C4">
        <w:t xml:space="preserve">Of the notifications relating to information in electronic format, approximately </w:t>
      </w:r>
      <w:r w:rsidR="00A928C4">
        <w:t>50</w:t>
      </w:r>
      <w:r w:rsidRPr="00A928C4">
        <w:t>% of incidents related to emails</w:t>
      </w:r>
      <w:r w:rsidR="00F436A4" w:rsidRPr="00A928C4">
        <w:t xml:space="preserve">. These incidents were </w:t>
      </w:r>
      <w:r w:rsidR="003C3D0B" w:rsidRPr="00A928C4">
        <w:t>either related to</w:t>
      </w:r>
      <w:r w:rsidRPr="00A928C4">
        <w:t xml:space="preserve"> phishing</w:t>
      </w:r>
      <w:r w:rsidR="00EC4AAB" w:rsidRPr="00A928C4">
        <w:t>, incorrect recipients</w:t>
      </w:r>
      <w:r w:rsidR="00C301D8">
        <w:t>,</w:t>
      </w:r>
      <w:r w:rsidR="00A928C4">
        <w:t xml:space="preserve"> or</w:t>
      </w:r>
      <w:r w:rsidR="00EC4AAB" w:rsidRPr="00A928C4">
        <w:t xml:space="preserve"> incorrect attachments</w:t>
      </w:r>
      <w:r w:rsidRPr="00A928C4">
        <w:t>.</w:t>
      </w:r>
      <w:r>
        <w:t xml:space="preserve"> </w:t>
      </w:r>
    </w:p>
    <w:p w14:paraId="26A4F454" w14:textId="4EC19B3D" w:rsidR="00322898" w:rsidRPr="00455B5E" w:rsidRDefault="000F45EB" w:rsidP="003C3D0B">
      <w:pPr>
        <w:pStyle w:val="Body"/>
        <w:rPr>
          <w:i/>
          <w:iCs/>
        </w:rPr>
      </w:pPr>
      <w:r w:rsidRPr="00A50870">
        <w:rPr>
          <w:b/>
          <w:bCs/>
        </w:rPr>
        <w:t>Take</w:t>
      </w:r>
      <w:r w:rsidR="00455B5E">
        <w:rPr>
          <w:b/>
          <w:bCs/>
        </w:rPr>
        <w:t>-</w:t>
      </w:r>
      <w:r w:rsidRPr="00A50870">
        <w:rPr>
          <w:b/>
          <w:bCs/>
        </w:rPr>
        <w:t>out:</w:t>
      </w:r>
      <w:r w:rsidRPr="00D86981">
        <w:rPr>
          <w:i/>
          <w:iCs/>
        </w:rPr>
        <w:t xml:space="preserve"> </w:t>
      </w:r>
      <w:r w:rsidR="007001D0">
        <w:rPr>
          <w:i/>
          <w:iCs/>
        </w:rPr>
        <w:br/>
      </w:r>
      <w:r w:rsidR="000E5D3B" w:rsidRPr="00455B5E">
        <w:rPr>
          <w:i/>
          <w:iCs/>
        </w:rPr>
        <w:t>F</w:t>
      </w:r>
      <w:r w:rsidR="00434370" w:rsidRPr="00455B5E">
        <w:rPr>
          <w:i/>
          <w:iCs/>
        </w:rPr>
        <w:t xml:space="preserve">ollowing an email incident such as sending to the incorrect recipient, attaching the wrong </w:t>
      </w:r>
      <w:r w:rsidR="00AA69CD" w:rsidRPr="00455B5E">
        <w:rPr>
          <w:i/>
          <w:iCs/>
        </w:rPr>
        <w:t>document,</w:t>
      </w:r>
      <w:r w:rsidR="00434370" w:rsidRPr="00455B5E">
        <w:rPr>
          <w:i/>
          <w:iCs/>
        </w:rPr>
        <w:t xml:space="preserve"> or </w:t>
      </w:r>
      <w:r w:rsidR="00E31B84" w:rsidRPr="00455B5E">
        <w:rPr>
          <w:i/>
          <w:iCs/>
        </w:rPr>
        <w:t xml:space="preserve">inserting an incorrect protective marking, organisations are increasingly </w:t>
      </w:r>
      <w:r w:rsidR="00EF7DE8">
        <w:rPr>
          <w:i/>
          <w:iCs/>
        </w:rPr>
        <w:t xml:space="preserve">implementing mitigation strategies such as </w:t>
      </w:r>
      <w:r w:rsidR="00E31B84" w:rsidRPr="00455B5E">
        <w:rPr>
          <w:i/>
          <w:iCs/>
        </w:rPr>
        <w:t>add</w:t>
      </w:r>
      <w:r w:rsidR="00322898" w:rsidRPr="00455B5E">
        <w:rPr>
          <w:i/>
          <w:iCs/>
        </w:rPr>
        <w:t>ing</w:t>
      </w:r>
      <w:r w:rsidR="00E31B84" w:rsidRPr="00455B5E">
        <w:rPr>
          <w:i/>
          <w:iCs/>
        </w:rPr>
        <w:t xml:space="preserve"> a minor time delay when sending emails</w:t>
      </w:r>
      <w:r w:rsidR="00322898" w:rsidRPr="00455B5E">
        <w:rPr>
          <w:i/>
          <w:iCs/>
        </w:rPr>
        <w:t xml:space="preserve">. This involves </w:t>
      </w:r>
      <w:r w:rsidR="001D7701" w:rsidRPr="00455B5E">
        <w:rPr>
          <w:i/>
          <w:iCs/>
        </w:rPr>
        <w:t xml:space="preserve">implementing </w:t>
      </w:r>
      <w:r w:rsidR="00322898" w:rsidRPr="00455B5E">
        <w:rPr>
          <w:i/>
          <w:iCs/>
        </w:rPr>
        <w:t>a delay of</w:t>
      </w:r>
      <w:r w:rsidR="00E31B84" w:rsidRPr="00455B5E">
        <w:rPr>
          <w:i/>
          <w:iCs/>
        </w:rPr>
        <w:t xml:space="preserve"> 2-3 minutes </w:t>
      </w:r>
      <w:r w:rsidR="001D7701" w:rsidRPr="00455B5E">
        <w:rPr>
          <w:i/>
          <w:iCs/>
        </w:rPr>
        <w:t xml:space="preserve">after sending, </w:t>
      </w:r>
      <w:r w:rsidR="00E31B84" w:rsidRPr="00455B5E">
        <w:rPr>
          <w:i/>
          <w:iCs/>
        </w:rPr>
        <w:t xml:space="preserve">to </w:t>
      </w:r>
      <w:r w:rsidR="00322898" w:rsidRPr="00455B5E">
        <w:rPr>
          <w:i/>
          <w:iCs/>
        </w:rPr>
        <w:t xml:space="preserve">minimise </w:t>
      </w:r>
      <w:r w:rsidR="00E31B84" w:rsidRPr="00455B5E">
        <w:rPr>
          <w:i/>
          <w:iCs/>
        </w:rPr>
        <w:t>incidents given the majority are detected by the sender within moments of clicking send.</w:t>
      </w:r>
      <w:r w:rsidR="00AD21F4" w:rsidRPr="00455B5E">
        <w:rPr>
          <w:i/>
          <w:iCs/>
        </w:rPr>
        <w:t xml:space="preserve"> </w:t>
      </w:r>
      <w:r w:rsidR="00AA69CD" w:rsidRPr="00455B5E">
        <w:rPr>
          <w:i/>
          <w:iCs/>
        </w:rPr>
        <w:t xml:space="preserve"> </w:t>
      </w:r>
    </w:p>
    <w:p w14:paraId="3F285E2D" w14:textId="2C55AFB9" w:rsidR="00AD21F4" w:rsidRPr="00455B5E" w:rsidRDefault="00322898" w:rsidP="003C3D0B">
      <w:pPr>
        <w:pStyle w:val="Body"/>
        <w:rPr>
          <w:i/>
          <w:iCs/>
        </w:rPr>
      </w:pPr>
      <w:r w:rsidRPr="00455B5E">
        <w:rPr>
          <w:i/>
          <w:iCs/>
        </w:rPr>
        <w:t xml:space="preserve">We encourage organisations to </w:t>
      </w:r>
      <w:r w:rsidR="00AA69CD" w:rsidRPr="00455B5E">
        <w:rPr>
          <w:i/>
          <w:iCs/>
        </w:rPr>
        <w:t xml:space="preserve">refer to our privacy guidance on </w:t>
      </w:r>
      <w:hyperlink r:id="rId12" w:history="1">
        <w:r w:rsidR="00AA69CD" w:rsidRPr="00455B5E">
          <w:rPr>
            <w:rStyle w:val="Hyperlink"/>
            <w:i/>
            <w:iCs/>
          </w:rPr>
          <w:t>Tips to reduce data breaches when sending emails</w:t>
        </w:r>
      </w:hyperlink>
      <w:r w:rsidR="00AA69CD" w:rsidRPr="00455B5E">
        <w:rPr>
          <w:i/>
          <w:iCs/>
        </w:rPr>
        <w:t xml:space="preserve"> on our website.</w:t>
      </w:r>
    </w:p>
    <w:p w14:paraId="27B235A0" w14:textId="23E26E01" w:rsidR="002D3014" w:rsidRDefault="002D3014">
      <w:pPr>
        <w:rPr>
          <w:rFonts w:ascii="Calibri" w:eastAsia="Calibri" w:hAnsi="Calibri" w:cs="PostGrotesk-Medium"/>
          <w:color w:val="430098"/>
          <w:sz w:val="24"/>
          <w:szCs w:val="24"/>
          <w:lang w:val="en-GB"/>
        </w:rPr>
      </w:pPr>
    </w:p>
    <w:p w14:paraId="434C9CF2" w14:textId="77777777" w:rsidR="00E85491" w:rsidRDefault="00E85491">
      <w:pPr>
        <w:rPr>
          <w:rFonts w:ascii="Calibri" w:eastAsia="Calibri" w:hAnsi="Calibri" w:cs="PostGrotesk-Medium"/>
          <w:color w:val="430098"/>
          <w:sz w:val="24"/>
          <w:szCs w:val="24"/>
          <w:lang w:val="en-GB"/>
        </w:rPr>
      </w:pPr>
      <w:r>
        <w:rPr>
          <w:sz w:val="24"/>
          <w:szCs w:val="24"/>
        </w:rPr>
        <w:br w:type="page"/>
      </w:r>
    </w:p>
    <w:p w14:paraId="0CB905AD" w14:textId="5B8CCACA" w:rsidR="00695D85" w:rsidRDefault="009D2AB2" w:rsidP="00695D85">
      <w:pPr>
        <w:pStyle w:val="SectionHeading1"/>
        <w:rPr>
          <w:sz w:val="24"/>
          <w:szCs w:val="24"/>
        </w:rPr>
      </w:pPr>
      <w:r>
        <w:rPr>
          <w:sz w:val="24"/>
          <w:szCs w:val="24"/>
        </w:rPr>
        <w:lastRenderedPageBreak/>
        <w:t>Type of information impacted</w:t>
      </w:r>
    </w:p>
    <w:p w14:paraId="162266C0" w14:textId="452B8704" w:rsidR="00E85491" w:rsidRDefault="00E85491" w:rsidP="00695D85">
      <w:pPr>
        <w:pStyle w:val="SectionHeading1"/>
        <w:rPr>
          <w:sz w:val="24"/>
          <w:szCs w:val="24"/>
        </w:rPr>
      </w:pPr>
      <w:r w:rsidRPr="00E85491">
        <w:rPr>
          <w:sz w:val="24"/>
          <w:szCs w:val="24"/>
        </w:rPr>
        <w:drawing>
          <wp:inline distT="0" distB="0" distL="0" distR="0" wp14:anchorId="31E77CF2" wp14:editId="01B3724A">
            <wp:extent cx="6120130" cy="4103370"/>
            <wp:effectExtent l="0" t="0" r="0" b="0"/>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pic:nvPicPr>
                  <pic:blipFill>
                    <a:blip r:embed="rId13"/>
                    <a:stretch>
                      <a:fillRect/>
                    </a:stretch>
                  </pic:blipFill>
                  <pic:spPr>
                    <a:xfrm>
                      <a:off x="0" y="0"/>
                      <a:ext cx="6120130" cy="4103370"/>
                    </a:xfrm>
                    <a:prstGeom prst="rect">
                      <a:avLst/>
                    </a:prstGeom>
                  </pic:spPr>
                </pic:pic>
              </a:graphicData>
            </a:graphic>
          </wp:inline>
        </w:drawing>
      </w:r>
    </w:p>
    <w:p w14:paraId="09E1E3A3" w14:textId="77777777" w:rsidR="00E85491" w:rsidRDefault="00E85491" w:rsidP="00452E25">
      <w:pPr>
        <w:pStyle w:val="Body"/>
      </w:pPr>
    </w:p>
    <w:p w14:paraId="7C4801E7" w14:textId="5DE734CF" w:rsidR="00695D85" w:rsidRPr="00B5019B" w:rsidRDefault="003F794F" w:rsidP="00452E25">
      <w:pPr>
        <w:pStyle w:val="Body"/>
      </w:pPr>
      <w:r>
        <w:t xml:space="preserve">Like </w:t>
      </w:r>
      <w:r w:rsidRPr="003F794F">
        <w:rPr>
          <w:lang w:val="en-AU"/>
        </w:rPr>
        <w:t>previous reporting periods, most notifications received by OVIC related to compromises of personal information, followed by health information</w:t>
      </w:r>
      <w:r>
        <w:rPr>
          <w:lang w:val="en-AU"/>
        </w:rPr>
        <w:t xml:space="preserve">. </w:t>
      </w:r>
      <w:r w:rsidR="00452E25">
        <w:t xml:space="preserve">Although the percentage of incidents related to personal information </w:t>
      </w:r>
      <w:r>
        <w:t xml:space="preserve">decreased </w:t>
      </w:r>
      <w:r w:rsidR="00452E25">
        <w:t>from 81% to 70%</w:t>
      </w:r>
      <w:r>
        <w:t>.</w:t>
      </w:r>
      <w:r w:rsidR="00452E25">
        <w:t xml:space="preserve"> This perceived drop gave an overall increase in all other information types affected by an incident, for example a</w:t>
      </w:r>
      <w:r w:rsidR="00781567">
        <w:t>n</w:t>
      </w:r>
      <w:r w:rsidR="00452E25">
        <w:t xml:space="preserve"> </w:t>
      </w:r>
      <w:r w:rsidR="00137968">
        <w:t>i</w:t>
      </w:r>
      <w:r w:rsidR="006D76F5">
        <w:t xml:space="preserve">ncrease in notifications regarding compromises of </w:t>
      </w:r>
      <w:r w:rsidR="00781567">
        <w:t xml:space="preserve">‘legal’, </w:t>
      </w:r>
      <w:r w:rsidR="006D76F5">
        <w:t xml:space="preserve">‘policy’ </w:t>
      </w:r>
      <w:r w:rsidR="00781567">
        <w:t xml:space="preserve">and ‘operational’ </w:t>
      </w:r>
      <w:r w:rsidR="006D76F5">
        <w:t xml:space="preserve">related information. </w:t>
      </w:r>
    </w:p>
    <w:p w14:paraId="19E058D7" w14:textId="6C8096E1" w:rsidR="00B5019B" w:rsidRDefault="00B5019B" w:rsidP="00B5019B">
      <w:pPr>
        <w:pStyle w:val="Body"/>
        <w:rPr>
          <w:i/>
          <w:iCs/>
        </w:rPr>
      </w:pPr>
      <w:r w:rsidRPr="00A50870">
        <w:rPr>
          <w:b/>
          <w:bCs/>
        </w:rPr>
        <w:t>Take</w:t>
      </w:r>
      <w:r w:rsidR="001D7701">
        <w:rPr>
          <w:b/>
          <w:bCs/>
        </w:rPr>
        <w:t>-</w:t>
      </w:r>
      <w:r w:rsidRPr="00A50870">
        <w:rPr>
          <w:b/>
          <w:bCs/>
        </w:rPr>
        <w:t>out:</w:t>
      </w:r>
      <w:r>
        <w:t xml:space="preserve"> </w:t>
      </w:r>
      <w:r w:rsidR="007001D0">
        <w:br/>
      </w:r>
      <w:r w:rsidR="003F794F" w:rsidRPr="009E213E">
        <w:rPr>
          <w:i/>
          <w:iCs/>
        </w:rPr>
        <w:t>We published</w:t>
      </w:r>
      <w:r w:rsidR="003F794F" w:rsidRPr="00455B5E">
        <w:rPr>
          <w:i/>
          <w:iCs/>
        </w:rPr>
        <w:t xml:space="preserve"> </w:t>
      </w:r>
      <w:r w:rsidR="00A44D08" w:rsidRPr="00455B5E">
        <w:rPr>
          <w:i/>
          <w:iCs/>
        </w:rPr>
        <w:t>guidance</w:t>
      </w:r>
      <w:r w:rsidR="003F794F" w:rsidRPr="009E213E">
        <w:rPr>
          <w:i/>
          <w:iCs/>
        </w:rPr>
        <w:t xml:space="preserve"> on the types of information impacted</w:t>
      </w:r>
      <w:r w:rsidR="00137968" w:rsidRPr="009E213E">
        <w:rPr>
          <w:i/>
          <w:iCs/>
        </w:rPr>
        <w:t xml:space="preserve"> </w:t>
      </w:r>
      <w:r w:rsidR="009E213E">
        <w:rPr>
          <w:i/>
          <w:iCs/>
        </w:rPr>
        <w:t xml:space="preserve">field </w:t>
      </w:r>
      <w:r w:rsidR="00A44D08" w:rsidRPr="009E213E">
        <w:rPr>
          <w:i/>
          <w:iCs/>
        </w:rPr>
        <w:t xml:space="preserve">in </w:t>
      </w:r>
      <w:r w:rsidR="003F794F" w:rsidRPr="009E213E">
        <w:rPr>
          <w:i/>
          <w:iCs/>
        </w:rPr>
        <w:t>our</w:t>
      </w:r>
      <w:r w:rsidR="003F794F" w:rsidRPr="00455B5E">
        <w:rPr>
          <w:i/>
          <w:iCs/>
        </w:rPr>
        <w:t xml:space="preserve"> </w:t>
      </w:r>
      <w:hyperlink r:id="rId14" w:history="1">
        <w:r w:rsidR="00A44D08" w:rsidRPr="009E213E">
          <w:rPr>
            <w:rStyle w:val="Hyperlink"/>
            <w:i/>
            <w:iCs/>
          </w:rPr>
          <w:t>January 2021 newsletter</w:t>
        </w:r>
      </w:hyperlink>
      <w:r w:rsidR="00A44D08" w:rsidRPr="00455B5E">
        <w:rPr>
          <w:i/>
          <w:iCs/>
        </w:rPr>
        <w:t xml:space="preserve"> to spotlight the types of information OVIC accepts notifications for</w:t>
      </w:r>
      <w:r w:rsidR="00137968" w:rsidRPr="00455B5E">
        <w:rPr>
          <w:i/>
          <w:iCs/>
        </w:rPr>
        <w:t xml:space="preserve"> under the scheme</w:t>
      </w:r>
      <w:r w:rsidR="003F794F" w:rsidRPr="009E213E">
        <w:rPr>
          <w:i/>
          <w:iCs/>
        </w:rPr>
        <w:t>.</w:t>
      </w:r>
      <w:r w:rsidR="00137968" w:rsidRPr="00455B5E">
        <w:rPr>
          <w:i/>
          <w:iCs/>
        </w:rPr>
        <w:t xml:space="preserve"> </w:t>
      </w:r>
      <w:r w:rsidR="003F794F" w:rsidRPr="009E213E">
        <w:rPr>
          <w:i/>
          <w:iCs/>
        </w:rPr>
        <w:t>I</w:t>
      </w:r>
      <w:r w:rsidR="00137968" w:rsidRPr="009E213E">
        <w:rPr>
          <w:i/>
          <w:iCs/>
        </w:rPr>
        <w:t xml:space="preserve">t is encouraging to see incidents related to other information types being </w:t>
      </w:r>
      <w:r w:rsidR="00D02376" w:rsidRPr="009E213E">
        <w:rPr>
          <w:i/>
          <w:iCs/>
        </w:rPr>
        <w:t xml:space="preserve">identified and </w:t>
      </w:r>
      <w:r w:rsidR="00137968" w:rsidRPr="009E213E">
        <w:rPr>
          <w:i/>
          <w:iCs/>
        </w:rPr>
        <w:t>notified</w:t>
      </w:r>
      <w:r w:rsidR="003F794F" w:rsidRPr="009E213E">
        <w:rPr>
          <w:i/>
          <w:iCs/>
        </w:rPr>
        <w:t xml:space="preserve"> in this period.</w:t>
      </w:r>
    </w:p>
    <w:p w14:paraId="1C29327F" w14:textId="1453657C" w:rsidR="00D34D5C" w:rsidRDefault="00D34D5C" w:rsidP="00B5019B">
      <w:pPr>
        <w:pStyle w:val="Body"/>
        <w:rPr>
          <w:i/>
          <w:iCs/>
        </w:rPr>
      </w:pPr>
      <w:r>
        <w:rPr>
          <w:i/>
          <w:iCs/>
        </w:rPr>
        <w:t>Organisations can select multiple</w:t>
      </w:r>
      <w:r w:rsidR="00054CE4">
        <w:rPr>
          <w:i/>
          <w:iCs/>
        </w:rPr>
        <w:t xml:space="preserve"> options when filling in this field. 3% of notifications mentioned compromise</w:t>
      </w:r>
      <w:r w:rsidR="001E2173">
        <w:rPr>
          <w:i/>
          <w:iCs/>
        </w:rPr>
        <w:t>d</w:t>
      </w:r>
      <w:r w:rsidR="00054CE4">
        <w:rPr>
          <w:i/>
          <w:iCs/>
        </w:rPr>
        <w:t xml:space="preserve"> staff account(s) so in these cases, almost all options </w:t>
      </w:r>
      <w:r w:rsidR="001E2173">
        <w:rPr>
          <w:i/>
          <w:iCs/>
        </w:rPr>
        <w:t>may be</w:t>
      </w:r>
      <w:r w:rsidR="00054CE4">
        <w:rPr>
          <w:i/>
          <w:iCs/>
        </w:rPr>
        <w:t xml:space="preserve"> selected depending on what information the staff member had access </w:t>
      </w:r>
      <w:r w:rsidR="00A11391">
        <w:rPr>
          <w:i/>
          <w:iCs/>
        </w:rPr>
        <w:t>to,</w:t>
      </w:r>
      <w:r w:rsidR="00054CE4">
        <w:rPr>
          <w:i/>
          <w:iCs/>
        </w:rPr>
        <w:t xml:space="preserve"> or the content of emails contained in their </w:t>
      </w:r>
      <w:r w:rsidR="001E2173">
        <w:rPr>
          <w:i/>
          <w:iCs/>
        </w:rPr>
        <w:t>compromised</w:t>
      </w:r>
      <w:r w:rsidR="00054CE4">
        <w:rPr>
          <w:i/>
          <w:iCs/>
        </w:rPr>
        <w:t xml:space="preserve"> mailbox. </w:t>
      </w:r>
    </w:p>
    <w:p w14:paraId="7B956ECD" w14:textId="77777777" w:rsidR="00B5019B" w:rsidRDefault="00B5019B" w:rsidP="00695D85">
      <w:pPr>
        <w:pStyle w:val="SectionHeading1"/>
        <w:rPr>
          <w:sz w:val="24"/>
          <w:szCs w:val="24"/>
        </w:rPr>
      </w:pPr>
    </w:p>
    <w:p w14:paraId="1099232D" w14:textId="77777777" w:rsidR="00E85491" w:rsidRDefault="00E85491">
      <w:pPr>
        <w:rPr>
          <w:rFonts w:ascii="Calibri" w:eastAsia="Calibri" w:hAnsi="Calibri" w:cs="PostGrotesk-Medium"/>
          <w:color w:val="430098"/>
          <w:sz w:val="24"/>
          <w:szCs w:val="24"/>
          <w:lang w:val="en-GB"/>
        </w:rPr>
      </w:pPr>
      <w:r>
        <w:rPr>
          <w:sz w:val="24"/>
          <w:szCs w:val="24"/>
        </w:rPr>
        <w:br w:type="page"/>
      </w:r>
    </w:p>
    <w:p w14:paraId="2EC89EDE" w14:textId="39E6900C" w:rsidR="00B5019B" w:rsidRDefault="00B5019B" w:rsidP="00B5019B">
      <w:pPr>
        <w:pStyle w:val="SectionHeading1"/>
        <w:rPr>
          <w:sz w:val="24"/>
          <w:szCs w:val="24"/>
        </w:rPr>
      </w:pPr>
      <w:r w:rsidRPr="009D2AB2">
        <w:rPr>
          <w:sz w:val="24"/>
          <w:szCs w:val="24"/>
        </w:rPr>
        <w:lastRenderedPageBreak/>
        <w:t xml:space="preserve">Information </w:t>
      </w:r>
      <w:r w:rsidR="00781567">
        <w:rPr>
          <w:sz w:val="24"/>
          <w:szCs w:val="24"/>
        </w:rPr>
        <w:t>B</w:t>
      </w:r>
      <w:r w:rsidR="008C71AA">
        <w:rPr>
          <w:sz w:val="24"/>
          <w:szCs w:val="24"/>
        </w:rPr>
        <w:t xml:space="preserve">usiness </w:t>
      </w:r>
      <w:r w:rsidR="00781567">
        <w:rPr>
          <w:sz w:val="24"/>
          <w:szCs w:val="24"/>
        </w:rPr>
        <w:t>I</w:t>
      </w:r>
      <w:r w:rsidR="008C71AA">
        <w:rPr>
          <w:sz w:val="24"/>
          <w:szCs w:val="24"/>
        </w:rPr>
        <w:t xml:space="preserve">mpact </w:t>
      </w:r>
      <w:r w:rsidR="00781567">
        <w:rPr>
          <w:sz w:val="24"/>
          <w:szCs w:val="24"/>
        </w:rPr>
        <w:t>L</w:t>
      </w:r>
      <w:r w:rsidR="008C71AA">
        <w:rPr>
          <w:sz w:val="24"/>
          <w:szCs w:val="24"/>
        </w:rPr>
        <w:t>evel</w:t>
      </w:r>
      <w:r w:rsidR="00781567">
        <w:rPr>
          <w:sz w:val="24"/>
          <w:szCs w:val="24"/>
        </w:rPr>
        <w:t xml:space="preserve"> (BIL)</w:t>
      </w:r>
      <w:r w:rsidR="008C71AA">
        <w:rPr>
          <w:sz w:val="24"/>
          <w:szCs w:val="24"/>
        </w:rPr>
        <w:t xml:space="preserve"> </w:t>
      </w:r>
    </w:p>
    <w:p w14:paraId="5D31002A" w14:textId="4A045DC7" w:rsidR="00E85491" w:rsidRDefault="00E85491" w:rsidP="00B5019B">
      <w:pPr>
        <w:pStyle w:val="SectionHeading1"/>
        <w:rPr>
          <w:sz w:val="24"/>
          <w:szCs w:val="24"/>
        </w:rPr>
      </w:pPr>
      <w:r w:rsidRPr="00E85491">
        <w:rPr>
          <w:sz w:val="24"/>
          <w:szCs w:val="24"/>
        </w:rPr>
        <w:drawing>
          <wp:inline distT="0" distB="0" distL="0" distR="0" wp14:anchorId="248E7522" wp14:editId="2F029D75">
            <wp:extent cx="6120130" cy="3148965"/>
            <wp:effectExtent l="0" t="0" r="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5"/>
                    <a:stretch>
                      <a:fillRect/>
                    </a:stretch>
                  </pic:blipFill>
                  <pic:spPr>
                    <a:xfrm>
                      <a:off x="0" y="0"/>
                      <a:ext cx="6120130" cy="3148965"/>
                    </a:xfrm>
                    <a:prstGeom prst="rect">
                      <a:avLst/>
                    </a:prstGeom>
                  </pic:spPr>
                </pic:pic>
              </a:graphicData>
            </a:graphic>
          </wp:inline>
        </w:drawing>
      </w:r>
    </w:p>
    <w:p w14:paraId="40A53075" w14:textId="42911FFD" w:rsidR="00A44D08" w:rsidRPr="000E2C8B" w:rsidRDefault="00A44D08" w:rsidP="000E2C8B">
      <w:pPr>
        <w:pStyle w:val="SectionHeading1"/>
        <w:jc w:val="center"/>
        <w:rPr>
          <w:sz w:val="24"/>
          <w:szCs w:val="24"/>
        </w:rPr>
      </w:pPr>
    </w:p>
    <w:p w14:paraId="1829E36E" w14:textId="50C92E21" w:rsidR="00037385" w:rsidRDefault="002648E9" w:rsidP="00B5019B">
      <w:pPr>
        <w:pStyle w:val="Body"/>
      </w:pPr>
      <w:r>
        <w:t>The</w:t>
      </w:r>
      <w:r w:rsidR="003F794F">
        <w:t xml:space="preserve"> </w:t>
      </w:r>
      <w:r w:rsidR="00D02376">
        <w:t>number</w:t>
      </w:r>
      <w:r>
        <w:t xml:space="preserve"> of notifications affecting</w:t>
      </w:r>
      <w:r w:rsidR="00B5019B">
        <w:t xml:space="preserve"> </w:t>
      </w:r>
      <w:r w:rsidR="00911AB0">
        <w:t xml:space="preserve">information assessed as </w:t>
      </w:r>
      <w:r w:rsidR="00B5019B">
        <w:t>BIL 2</w:t>
      </w:r>
      <w:r w:rsidR="003F794F">
        <w:t xml:space="preserve">, or </w:t>
      </w:r>
      <w:r w:rsidR="009E213E">
        <w:t>‘L</w:t>
      </w:r>
      <w:r>
        <w:t>imited</w:t>
      </w:r>
      <w:r w:rsidR="009E213E">
        <w:t>’</w:t>
      </w:r>
      <w:r w:rsidR="003F794F">
        <w:t>, increased from 66% in the last reporting period to</w:t>
      </w:r>
      <w:r>
        <w:t xml:space="preserve"> 87%</w:t>
      </w:r>
      <w:r w:rsidR="003F794F">
        <w:t xml:space="preserve"> this period.</w:t>
      </w:r>
      <w:r>
        <w:t xml:space="preserve"> </w:t>
      </w:r>
      <w:r w:rsidR="003F794F">
        <w:t xml:space="preserve">Like </w:t>
      </w:r>
      <w:r w:rsidR="00A11391">
        <w:t xml:space="preserve">the </w:t>
      </w:r>
      <w:r w:rsidR="003F794F">
        <w:t>last reporting period, there was</w:t>
      </w:r>
      <w:r w:rsidR="002E3331">
        <w:t xml:space="preserve"> </w:t>
      </w:r>
      <w:r>
        <w:t xml:space="preserve">an even spread </w:t>
      </w:r>
      <w:r w:rsidR="003F794F">
        <w:t xml:space="preserve">of incident notifications </w:t>
      </w:r>
      <w:r>
        <w:t xml:space="preserve">affecting </w:t>
      </w:r>
      <w:r w:rsidR="009E213E">
        <w:t xml:space="preserve">information assessed as </w:t>
      </w:r>
      <w:r>
        <w:t xml:space="preserve">minor and major </w:t>
      </w:r>
      <w:r w:rsidR="003F794F">
        <w:t>business impact</w:t>
      </w:r>
      <w:r w:rsidR="009E213E">
        <w:t xml:space="preserve"> level</w:t>
      </w:r>
      <w:r w:rsidR="003F794F">
        <w:t>.</w:t>
      </w:r>
      <w:r>
        <w:t xml:space="preserve"> </w:t>
      </w:r>
    </w:p>
    <w:p w14:paraId="3D806920" w14:textId="3DBEC418" w:rsidR="00B5019B" w:rsidRDefault="00F748D6" w:rsidP="00B5019B">
      <w:pPr>
        <w:pStyle w:val="Body"/>
      </w:pPr>
      <w:r>
        <w:t>Some</w:t>
      </w:r>
      <w:r w:rsidR="003F794F">
        <w:t xml:space="preserve"> incident notifications</w:t>
      </w:r>
      <w:r w:rsidR="00687277">
        <w:t xml:space="preserve"> (12%) were received through </w:t>
      </w:r>
      <w:r w:rsidR="003F794F">
        <w:t xml:space="preserve">OVIC’s </w:t>
      </w:r>
      <w:r w:rsidR="00687277">
        <w:t>privacy data breach reporting form which does not have a field to indicate the BIL</w:t>
      </w:r>
      <w:r>
        <w:t>. In these instances,</w:t>
      </w:r>
      <w:r w:rsidR="00687277">
        <w:t xml:space="preserve"> subjective assessments were made by OVIC practitioners using the information provided in the notifications to nominate a corresponding BIL.</w:t>
      </w:r>
    </w:p>
    <w:p w14:paraId="20360429" w14:textId="5005A4DB" w:rsidR="00F748D6" w:rsidRPr="009E213E" w:rsidRDefault="00B5019B" w:rsidP="00D02376">
      <w:pPr>
        <w:pStyle w:val="Body"/>
        <w:rPr>
          <w:i/>
          <w:iCs/>
        </w:rPr>
      </w:pPr>
      <w:r w:rsidRPr="00A50870">
        <w:rPr>
          <w:b/>
          <w:bCs/>
        </w:rPr>
        <w:t>Take</w:t>
      </w:r>
      <w:r w:rsidR="001D7701">
        <w:rPr>
          <w:b/>
          <w:bCs/>
        </w:rPr>
        <w:t>-</w:t>
      </w:r>
      <w:r w:rsidRPr="00A50870">
        <w:rPr>
          <w:b/>
          <w:bCs/>
        </w:rPr>
        <w:t>out:</w:t>
      </w:r>
      <w:r>
        <w:t xml:space="preserve"> </w:t>
      </w:r>
      <w:r w:rsidR="007001D0">
        <w:br/>
      </w:r>
      <w:r w:rsidR="00F748D6" w:rsidRPr="009E213E">
        <w:rPr>
          <w:i/>
          <w:iCs/>
        </w:rPr>
        <w:t xml:space="preserve">As </w:t>
      </w:r>
      <w:r w:rsidR="00D02376" w:rsidRPr="009E213E">
        <w:rPr>
          <w:i/>
          <w:iCs/>
        </w:rPr>
        <w:t xml:space="preserve">maturity </w:t>
      </w:r>
      <w:r w:rsidR="00F748D6" w:rsidRPr="009E213E">
        <w:rPr>
          <w:i/>
          <w:iCs/>
        </w:rPr>
        <w:t xml:space="preserve">in </w:t>
      </w:r>
      <w:r w:rsidR="00D02376" w:rsidRPr="009E213E">
        <w:rPr>
          <w:i/>
          <w:iCs/>
        </w:rPr>
        <w:t xml:space="preserve">assessing </w:t>
      </w:r>
      <w:r w:rsidR="00911AB0">
        <w:rPr>
          <w:i/>
          <w:iCs/>
        </w:rPr>
        <w:t>the security value (BIL)</w:t>
      </w:r>
      <w:r w:rsidR="00D02376" w:rsidRPr="009E213E">
        <w:rPr>
          <w:i/>
          <w:iCs/>
        </w:rPr>
        <w:t xml:space="preserve"> </w:t>
      </w:r>
      <w:r w:rsidR="00911AB0">
        <w:rPr>
          <w:i/>
          <w:iCs/>
        </w:rPr>
        <w:t>of</w:t>
      </w:r>
      <w:r w:rsidR="00D02376" w:rsidRPr="009E213E">
        <w:rPr>
          <w:i/>
          <w:iCs/>
        </w:rPr>
        <w:t xml:space="preserve"> public sector information improves, these fields</w:t>
      </w:r>
      <w:r w:rsidR="00F748D6" w:rsidRPr="009E213E">
        <w:rPr>
          <w:i/>
          <w:iCs/>
        </w:rPr>
        <w:t xml:space="preserve"> will be</w:t>
      </w:r>
      <w:r w:rsidR="00D02376" w:rsidRPr="009E213E">
        <w:rPr>
          <w:i/>
          <w:iCs/>
        </w:rPr>
        <w:t xml:space="preserve"> more widely understood</w:t>
      </w:r>
      <w:r w:rsidR="00F748D6" w:rsidRPr="009E213E">
        <w:rPr>
          <w:i/>
          <w:iCs/>
        </w:rPr>
        <w:t xml:space="preserve"> and </w:t>
      </w:r>
      <w:r w:rsidR="001D7701" w:rsidRPr="009E213E">
        <w:rPr>
          <w:i/>
          <w:iCs/>
        </w:rPr>
        <w:t xml:space="preserve">more </w:t>
      </w:r>
      <w:r w:rsidR="00F748D6" w:rsidRPr="009E213E">
        <w:rPr>
          <w:i/>
          <w:iCs/>
        </w:rPr>
        <w:t>accurately reported on</w:t>
      </w:r>
      <w:r w:rsidR="00D02376" w:rsidRPr="009E213E">
        <w:rPr>
          <w:i/>
          <w:iCs/>
        </w:rPr>
        <w:t xml:space="preserve">. </w:t>
      </w:r>
    </w:p>
    <w:p w14:paraId="38741F2B" w14:textId="2B7782B8" w:rsidR="003925A1" w:rsidRPr="009E213E" w:rsidRDefault="00D02376" w:rsidP="00D02376">
      <w:pPr>
        <w:pStyle w:val="Body"/>
        <w:rPr>
          <w:i/>
          <w:iCs/>
        </w:rPr>
      </w:pPr>
      <w:r w:rsidRPr="009E213E">
        <w:rPr>
          <w:i/>
          <w:iCs/>
        </w:rPr>
        <w:t xml:space="preserve">OVIC </w:t>
      </w:r>
      <w:r w:rsidR="002E3331" w:rsidRPr="009E213E">
        <w:rPr>
          <w:i/>
          <w:iCs/>
        </w:rPr>
        <w:t xml:space="preserve">recently </w:t>
      </w:r>
      <w:r w:rsidRPr="009E213E">
        <w:rPr>
          <w:i/>
          <w:iCs/>
        </w:rPr>
        <w:t xml:space="preserve">conducted a review into how Standard 2 </w:t>
      </w:r>
      <w:r w:rsidR="00146BFB" w:rsidRPr="009E213E">
        <w:rPr>
          <w:i/>
          <w:iCs/>
        </w:rPr>
        <w:t xml:space="preserve">of the VPDSS </w:t>
      </w:r>
      <w:r w:rsidRPr="009E213E">
        <w:rPr>
          <w:i/>
          <w:iCs/>
        </w:rPr>
        <w:t>is implemented in four VPS organisations</w:t>
      </w:r>
      <w:r w:rsidR="00F748D6" w:rsidRPr="009E213E">
        <w:rPr>
          <w:i/>
          <w:iCs/>
        </w:rPr>
        <w:t>. The review</w:t>
      </w:r>
      <w:r w:rsidRPr="009E213E">
        <w:rPr>
          <w:i/>
          <w:iCs/>
        </w:rPr>
        <w:t xml:space="preserve"> </w:t>
      </w:r>
      <w:r w:rsidR="00F748D6" w:rsidRPr="009E213E">
        <w:rPr>
          <w:i/>
          <w:iCs/>
        </w:rPr>
        <w:t xml:space="preserve">looked at </w:t>
      </w:r>
      <w:r w:rsidR="00146BFB" w:rsidRPr="009E213E">
        <w:rPr>
          <w:i/>
          <w:iCs/>
        </w:rPr>
        <w:t xml:space="preserve">policies and procedures </w:t>
      </w:r>
      <w:r w:rsidR="00F748D6" w:rsidRPr="009E213E">
        <w:rPr>
          <w:i/>
          <w:iCs/>
        </w:rPr>
        <w:t>on how these organisations</w:t>
      </w:r>
      <w:r w:rsidR="00146BFB" w:rsidRPr="009E213E">
        <w:rPr>
          <w:i/>
          <w:iCs/>
        </w:rPr>
        <w:t xml:space="preserve"> assess the security value of public sector information</w:t>
      </w:r>
      <w:r w:rsidR="00F748D6" w:rsidRPr="009E213E">
        <w:rPr>
          <w:i/>
          <w:iCs/>
        </w:rPr>
        <w:t>.</w:t>
      </w:r>
      <w:r w:rsidR="00146BFB" w:rsidRPr="009E213E">
        <w:rPr>
          <w:i/>
          <w:iCs/>
        </w:rPr>
        <w:t xml:space="preserve"> </w:t>
      </w:r>
      <w:r w:rsidR="00F748D6" w:rsidRPr="009E213E">
        <w:rPr>
          <w:i/>
          <w:iCs/>
        </w:rPr>
        <w:t>OVIC</w:t>
      </w:r>
      <w:r w:rsidRPr="009E213E">
        <w:rPr>
          <w:i/>
          <w:iCs/>
        </w:rPr>
        <w:t xml:space="preserve"> will publish </w:t>
      </w:r>
      <w:r w:rsidR="00AA69CD" w:rsidRPr="009E213E">
        <w:rPr>
          <w:i/>
          <w:iCs/>
        </w:rPr>
        <w:t>a report</w:t>
      </w:r>
      <w:r w:rsidRPr="009E213E">
        <w:rPr>
          <w:i/>
          <w:iCs/>
        </w:rPr>
        <w:t xml:space="preserve"> </w:t>
      </w:r>
      <w:r w:rsidR="002E3331" w:rsidRPr="009E213E">
        <w:rPr>
          <w:i/>
          <w:iCs/>
        </w:rPr>
        <w:t>on th</w:t>
      </w:r>
      <w:r w:rsidR="00F748D6" w:rsidRPr="009E213E">
        <w:rPr>
          <w:i/>
          <w:iCs/>
        </w:rPr>
        <w:t>e review later in 2021.</w:t>
      </w:r>
      <w:bookmarkStart w:id="2" w:name="_Hlk64020959"/>
    </w:p>
    <w:bookmarkEnd w:id="2"/>
    <w:p w14:paraId="4DE6AB46" w14:textId="205F9141" w:rsidR="001367F1" w:rsidRDefault="001367F1">
      <w:pPr>
        <w:rPr>
          <w:rFonts w:ascii="Calibri" w:eastAsia="Calibri" w:hAnsi="Calibri" w:cs="PostGrotesk-Medium"/>
          <w:color w:val="430098"/>
          <w:sz w:val="24"/>
          <w:szCs w:val="24"/>
          <w:lang w:val="en-GB"/>
        </w:rPr>
      </w:pPr>
    </w:p>
    <w:p w14:paraId="5142B31A" w14:textId="77777777" w:rsidR="00F87B89" w:rsidRDefault="00F87B89">
      <w:pPr>
        <w:rPr>
          <w:rFonts w:ascii="Calibri" w:eastAsia="Calibri" w:hAnsi="Calibri" w:cs="PostGrotesk-Medium"/>
          <w:color w:val="430098"/>
          <w:sz w:val="24"/>
          <w:szCs w:val="24"/>
          <w:lang w:val="en-GB"/>
        </w:rPr>
      </w:pPr>
      <w:r>
        <w:rPr>
          <w:sz w:val="24"/>
          <w:szCs w:val="24"/>
        </w:rPr>
        <w:br w:type="page"/>
      </w:r>
    </w:p>
    <w:p w14:paraId="2121A60D" w14:textId="4E5C0F2D" w:rsidR="00CB19CB" w:rsidRDefault="00B5019B" w:rsidP="00B5019B">
      <w:pPr>
        <w:pStyle w:val="SectionHeading1"/>
        <w:rPr>
          <w:sz w:val="24"/>
          <w:szCs w:val="24"/>
        </w:rPr>
      </w:pPr>
      <w:r>
        <w:rPr>
          <w:sz w:val="24"/>
          <w:szCs w:val="24"/>
        </w:rPr>
        <w:lastRenderedPageBreak/>
        <w:t>Potential business impact category affected</w:t>
      </w:r>
    </w:p>
    <w:p w14:paraId="3CBF0EC9" w14:textId="0E51A1F0" w:rsidR="00EE4F27" w:rsidRDefault="00EE4F27" w:rsidP="00B5019B">
      <w:pPr>
        <w:pStyle w:val="SectionHeading1"/>
        <w:rPr>
          <w:sz w:val="24"/>
          <w:szCs w:val="24"/>
        </w:rPr>
      </w:pPr>
      <w:r w:rsidRPr="00EE4F27">
        <w:rPr>
          <w:sz w:val="24"/>
          <w:szCs w:val="24"/>
        </w:rPr>
        <w:drawing>
          <wp:inline distT="0" distB="0" distL="0" distR="0" wp14:anchorId="6CBE21D1" wp14:editId="1EC677DC">
            <wp:extent cx="6120130" cy="4107815"/>
            <wp:effectExtent l="0" t="0" r="0" b="6985"/>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pic:nvPicPr>
                  <pic:blipFill>
                    <a:blip r:embed="rId16"/>
                    <a:stretch>
                      <a:fillRect/>
                    </a:stretch>
                  </pic:blipFill>
                  <pic:spPr>
                    <a:xfrm>
                      <a:off x="0" y="0"/>
                      <a:ext cx="6120130" cy="4107815"/>
                    </a:xfrm>
                    <a:prstGeom prst="rect">
                      <a:avLst/>
                    </a:prstGeom>
                  </pic:spPr>
                </pic:pic>
              </a:graphicData>
            </a:graphic>
          </wp:inline>
        </w:drawing>
      </w:r>
    </w:p>
    <w:p w14:paraId="3C181EE3" w14:textId="4916A44A" w:rsidR="00651761" w:rsidRDefault="00651761" w:rsidP="000E2C8B">
      <w:pPr>
        <w:pStyle w:val="Body"/>
        <w:jc w:val="center"/>
      </w:pPr>
    </w:p>
    <w:p w14:paraId="58FDFB49" w14:textId="24532599" w:rsidR="00F55A27" w:rsidRDefault="00F748D6" w:rsidP="00F748D6">
      <w:pPr>
        <w:pStyle w:val="Body"/>
      </w:pPr>
      <w:r>
        <w:t>G</w:t>
      </w:r>
      <w:r w:rsidR="00A11D5B">
        <w:t xml:space="preserve">iven </w:t>
      </w:r>
      <w:r w:rsidR="00AA69CD">
        <w:t>most</w:t>
      </w:r>
      <w:r w:rsidR="00B66C6F">
        <w:t xml:space="preserve"> notifications related to personal information, the </w:t>
      </w:r>
      <w:r>
        <w:t>most selected</w:t>
      </w:r>
      <w:r w:rsidR="00F55A27">
        <w:t xml:space="preserve"> </w:t>
      </w:r>
      <w:r w:rsidR="001405E2">
        <w:t>BIL</w:t>
      </w:r>
      <w:r w:rsidR="00F55A27">
        <w:t xml:space="preserve"> category was ‘</w:t>
      </w:r>
      <w:r w:rsidR="00F55A27" w:rsidRPr="00A50870">
        <w:t>personal</w:t>
      </w:r>
      <w:r w:rsidR="00F55A27" w:rsidRPr="001405E2">
        <w:rPr>
          <w:i/>
          <w:iCs/>
        </w:rPr>
        <w:t>’</w:t>
      </w:r>
      <w:r w:rsidR="00F07F57">
        <w:rPr>
          <w:i/>
          <w:iCs/>
        </w:rPr>
        <w:t>,</w:t>
      </w:r>
      <w:r w:rsidR="00F55A27">
        <w:t xml:space="preserve"> </w:t>
      </w:r>
      <w:r w:rsidR="0033113E">
        <w:t xml:space="preserve">as </w:t>
      </w:r>
      <w:r w:rsidR="00F55A27">
        <w:t>the compromise</w:t>
      </w:r>
      <w:r w:rsidR="00F07F57">
        <w:t xml:space="preserve"> was assessed to have the potential to</w:t>
      </w:r>
      <w:r w:rsidR="00F55A27">
        <w:t xml:space="preserve"> cause harm to an individual.</w:t>
      </w:r>
      <w:r>
        <w:t xml:space="preserve"> This is consistent with the previous reporting periods. </w:t>
      </w:r>
    </w:p>
    <w:p w14:paraId="0D61979F" w14:textId="405A3019" w:rsidR="00233ADA" w:rsidRPr="00583124" w:rsidRDefault="00F55A27" w:rsidP="00B66C6F">
      <w:pPr>
        <w:pStyle w:val="Body"/>
        <w:rPr>
          <w:i/>
          <w:iCs/>
        </w:rPr>
      </w:pPr>
      <w:r w:rsidRPr="00A50870">
        <w:rPr>
          <w:b/>
          <w:bCs/>
        </w:rPr>
        <w:t>Take</w:t>
      </w:r>
      <w:r w:rsidR="001D7701">
        <w:rPr>
          <w:b/>
          <w:bCs/>
        </w:rPr>
        <w:t>-</w:t>
      </w:r>
      <w:r w:rsidRPr="00A50870">
        <w:rPr>
          <w:b/>
          <w:bCs/>
        </w:rPr>
        <w:t>out:</w:t>
      </w:r>
      <w:r>
        <w:t xml:space="preserve"> </w:t>
      </w:r>
      <w:r w:rsidR="007001D0">
        <w:br/>
      </w:r>
      <w:r w:rsidR="00233ADA" w:rsidRPr="00583124">
        <w:rPr>
          <w:i/>
          <w:iCs/>
        </w:rPr>
        <w:t xml:space="preserve">In </w:t>
      </w:r>
      <w:r w:rsidR="00596043" w:rsidRPr="009E213E">
        <w:rPr>
          <w:i/>
          <w:iCs/>
        </w:rPr>
        <w:t>OVIC</w:t>
      </w:r>
      <w:r w:rsidR="009F6229" w:rsidRPr="009E213E">
        <w:rPr>
          <w:i/>
          <w:iCs/>
        </w:rPr>
        <w:t>’s</w:t>
      </w:r>
      <w:r w:rsidR="00233ADA" w:rsidRPr="00583124">
        <w:rPr>
          <w:i/>
          <w:iCs/>
        </w:rPr>
        <w:t xml:space="preserve"> </w:t>
      </w:r>
      <w:hyperlink r:id="rId17" w:anchor="incidentreport" w:history="1">
        <w:r w:rsidR="00233ADA" w:rsidRPr="009E213E">
          <w:rPr>
            <w:rStyle w:val="Hyperlink"/>
            <w:i/>
            <w:iCs/>
          </w:rPr>
          <w:t>March</w:t>
        </w:r>
        <w:r w:rsidR="00596043" w:rsidRPr="009E213E">
          <w:rPr>
            <w:rStyle w:val="Hyperlink"/>
            <w:i/>
            <w:iCs/>
          </w:rPr>
          <w:t xml:space="preserve"> newsletter</w:t>
        </w:r>
      </w:hyperlink>
      <w:r w:rsidR="00596043" w:rsidRPr="009E213E">
        <w:rPr>
          <w:i/>
          <w:iCs/>
        </w:rPr>
        <w:t xml:space="preserve"> </w:t>
      </w:r>
      <w:r w:rsidR="00233ADA" w:rsidRPr="00583124">
        <w:rPr>
          <w:i/>
          <w:iCs/>
        </w:rPr>
        <w:t>we published guidance</w:t>
      </w:r>
      <w:r w:rsidR="00596043" w:rsidRPr="009E213E">
        <w:rPr>
          <w:i/>
          <w:iCs/>
        </w:rPr>
        <w:t xml:space="preserve"> </w:t>
      </w:r>
      <w:r w:rsidR="00233ADA" w:rsidRPr="00583124">
        <w:rPr>
          <w:i/>
          <w:iCs/>
        </w:rPr>
        <w:t>on</w:t>
      </w:r>
      <w:r w:rsidR="009F6229" w:rsidRPr="009E213E">
        <w:rPr>
          <w:i/>
          <w:iCs/>
        </w:rPr>
        <w:t xml:space="preserve"> how to fill in this field. </w:t>
      </w:r>
    </w:p>
    <w:p w14:paraId="7D7A1D10" w14:textId="7B22AAED" w:rsidR="00233ADA" w:rsidRPr="00583124" w:rsidRDefault="00D02376" w:rsidP="00B66C6F">
      <w:pPr>
        <w:pStyle w:val="Body"/>
        <w:rPr>
          <w:i/>
          <w:iCs/>
        </w:rPr>
      </w:pPr>
      <w:r w:rsidRPr="009E213E">
        <w:rPr>
          <w:i/>
          <w:iCs/>
        </w:rPr>
        <w:t xml:space="preserve">After a year of operation to see where improvements can be made to the incident notification scheme, </w:t>
      </w:r>
      <w:r w:rsidR="00233ADA" w:rsidRPr="00583124">
        <w:rPr>
          <w:i/>
          <w:iCs/>
        </w:rPr>
        <w:t>we have</w:t>
      </w:r>
      <w:r w:rsidRPr="009E213E">
        <w:rPr>
          <w:i/>
          <w:iCs/>
        </w:rPr>
        <w:t xml:space="preserve"> consolidate</w:t>
      </w:r>
      <w:r w:rsidR="00233ADA" w:rsidRPr="00583124">
        <w:rPr>
          <w:i/>
          <w:iCs/>
        </w:rPr>
        <w:t>d</w:t>
      </w:r>
      <w:r w:rsidRPr="009E213E">
        <w:rPr>
          <w:i/>
          <w:iCs/>
        </w:rPr>
        <w:t xml:space="preserve"> the privacy </w:t>
      </w:r>
      <w:r w:rsidR="00233ADA" w:rsidRPr="00583124">
        <w:rPr>
          <w:i/>
          <w:iCs/>
        </w:rPr>
        <w:t xml:space="preserve">breach </w:t>
      </w:r>
      <w:r w:rsidRPr="009E213E">
        <w:rPr>
          <w:i/>
          <w:iCs/>
        </w:rPr>
        <w:t xml:space="preserve">and security incident forms into a single form </w:t>
      </w:r>
      <w:r w:rsidRPr="00583124">
        <w:rPr>
          <w:i/>
          <w:iCs/>
        </w:rPr>
        <w:t xml:space="preserve">which </w:t>
      </w:r>
      <w:r w:rsidR="00233ADA" w:rsidRPr="00583124">
        <w:rPr>
          <w:i/>
          <w:iCs/>
        </w:rPr>
        <w:t>removes</w:t>
      </w:r>
      <w:r w:rsidR="00233ADA" w:rsidRPr="009E213E">
        <w:rPr>
          <w:i/>
          <w:iCs/>
        </w:rPr>
        <w:t xml:space="preserve"> </w:t>
      </w:r>
      <w:r w:rsidRPr="00583124">
        <w:rPr>
          <w:i/>
          <w:iCs/>
        </w:rPr>
        <w:t xml:space="preserve">this field. </w:t>
      </w:r>
    </w:p>
    <w:p w14:paraId="3ACF3F67" w14:textId="09A2BB64" w:rsidR="0084756B" w:rsidRPr="00583124" w:rsidRDefault="00D02376" w:rsidP="00B66C6F">
      <w:pPr>
        <w:pStyle w:val="Body"/>
        <w:rPr>
          <w:i/>
          <w:iCs/>
        </w:rPr>
      </w:pPr>
      <w:r w:rsidRPr="009E213E">
        <w:rPr>
          <w:i/>
          <w:iCs/>
        </w:rPr>
        <w:t xml:space="preserve">Given this field was related to the ‘potential’ impact </w:t>
      </w:r>
      <w:r w:rsidR="00583124">
        <w:rPr>
          <w:i/>
          <w:iCs/>
        </w:rPr>
        <w:t xml:space="preserve">of the affected information </w:t>
      </w:r>
      <w:r w:rsidR="00233ADA" w:rsidRPr="00583124">
        <w:rPr>
          <w:i/>
          <w:iCs/>
        </w:rPr>
        <w:t>and</w:t>
      </w:r>
      <w:r w:rsidRPr="009E213E">
        <w:rPr>
          <w:i/>
          <w:iCs/>
        </w:rPr>
        <w:t xml:space="preserve"> not directly related to the ‘actual’ impacts </w:t>
      </w:r>
      <w:proofErr w:type="gramStart"/>
      <w:r w:rsidRPr="009E213E">
        <w:rPr>
          <w:i/>
          <w:iCs/>
        </w:rPr>
        <w:t>as a result of</w:t>
      </w:r>
      <w:proofErr w:type="gramEnd"/>
      <w:r w:rsidRPr="009E213E">
        <w:rPr>
          <w:i/>
          <w:iCs/>
        </w:rPr>
        <w:t xml:space="preserve"> the </w:t>
      </w:r>
      <w:r w:rsidR="00146BFB" w:rsidRPr="009E213E">
        <w:rPr>
          <w:i/>
          <w:iCs/>
        </w:rPr>
        <w:t>incident,</w:t>
      </w:r>
      <w:r w:rsidRPr="00583124">
        <w:rPr>
          <w:i/>
          <w:iCs/>
        </w:rPr>
        <w:t xml:space="preserve"> it was deemed </w:t>
      </w:r>
      <w:r w:rsidR="00233ADA" w:rsidRPr="00583124">
        <w:rPr>
          <w:i/>
          <w:iCs/>
        </w:rPr>
        <w:t>un</w:t>
      </w:r>
      <w:r w:rsidRPr="009E213E">
        <w:rPr>
          <w:i/>
          <w:iCs/>
        </w:rPr>
        <w:t>necessary to collect</w:t>
      </w:r>
      <w:r w:rsidR="002E3331" w:rsidRPr="009E213E">
        <w:rPr>
          <w:i/>
          <w:iCs/>
        </w:rPr>
        <w:t xml:space="preserve"> this data</w:t>
      </w:r>
      <w:r w:rsidRPr="00583124">
        <w:rPr>
          <w:i/>
          <w:iCs/>
        </w:rPr>
        <w:t>.</w:t>
      </w:r>
    </w:p>
    <w:p w14:paraId="015E28FE" w14:textId="77777777" w:rsidR="00695D85" w:rsidRDefault="00695D85" w:rsidP="009D2AB2">
      <w:pPr>
        <w:pStyle w:val="SectionHeading1"/>
        <w:rPr>
          <w:sz w:val="24"/>
          <w:szCs w:val="24"/>
        </w:rPr>
      </w:pPr>
    </w:p>
    <w:p w14:paraId="6F1EDF3E" w14:textId="77777777" w:rsidR="005C27D2" w:rsidRDefault="005C27D2">
      <w:pPr>
        <w:rPr>
          <w:rFonts w:ascii="Calibri" w:eastAsia="Calibri" w:hAnsi="Calibri" w:cs="PostGrotesk-Medium"/>
          <w:color w:val="430098"/>
          <w:sz w:val="24"/>
          <w:szCs w:val="24"/>
          <w:lang w:val="en-GB"/>
        </w:rPr>
      </w:pPr>
      <w:r>
        <w:rPr>
          <w:sz w:val="24"/>
          <w:szCs w:val="24"/>
        </w:rPr>
        <w:br w:type="page"/>
      </w:r>
    </w:p>
    <w:p w14:paraId="22C2A6FA" w14:textId="0E673AB3" w:rsidR="009D2AB2" w:rsidRDefault="009D2AB2" w:rsidP="009D2AB2">
      <w:pPr>
        <w:pStyle w:val="SectionHeading1"/>
        <w:rPr>
          <w:sz w:val="24"/>
          <w:szCs w:val="24"/>
        </w:rPr>
      </w:pPr>
      <w:r w:rsidRPr="009D2AB2">
        <w:rPr>
          <w:sz w:val="24"/>
          <w:szCs w:val="24"/>
        </w:rPr>
        <w:lastRenderedPageBreak/>
        <w:t>Security attributes impacted</w:t>
      </w:r>
    </w:p>
    <w:p w14:paraId="29438B2B" w14:textId="1D7BBD8B" w:rsidR="005C27D2" w:rsidRDefault="005C27D2" w:rsidP="009D2AB2">
      <w:pPr>
        <w:pStyle w:val="SectionHeading1"/>
        <w:rPr>
          <w:sz w:val="24"/>
          <w:szCs w:val="24"/>
        </w:rPr>
      </w:pPr>
      <w:r w:rsidRPr="005C27D2">
        <w:rPr>
          <w:sz w:val="24"/>
          <w:szCs w:val="24"/>
        </w:rPr>
        <w:drawing>
          <wp:inline distT="0" distB="0" distL="0" distR="0" wp14:anchorId="2F23370B" wp14:editId="514D5D9D">
            <wp:extent cx="6120130" cy="3943350"/>
            <wp:effectExtent l="0" t="0" r="0" b="0"/>
            <wp:docPr id="7" name="Picture 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unburst chart&#10;&#10;Description automatically generated"/>
                    <pic:cNvPicPr/>
                  </pic:nvPicPr>
                  <pic:blipFill>
                    <a:blip r:embed="rId18"/>
                    <a:stretch>
                      <a:fillRect/>
                    </a:stretch>
                  </pic:blipFill>
                  <pic:spPr>
                    <a:xfrm>
                      <a:off x="0" y="0"/>
                      <a:ext cx="6120130" cy="3943350"/>
                    </a:xfrm>
                    <a:prstGeom prst="rect">
                      <a:avLst/>
                    </a:prstGeom>
                  </pic:spPr>
                </pic:pic>
              </a:graphicData>
            </a:graphic>
          </wp:inline>
        </w:drawing>
      </w:r>
    </w:p>
    <w:p w14:paraId="59BC5AE4" w14:textId="053F3223" w:rsidR="00421A3A" w:rsidRPr="009D2AB2" w:rsidRDefault="00421A3A" w:rsidP="000E2C8B">
      <w:pPr>
        <w:pStyle w:val="SectionHeading1"/>
        <w:jc w:val="center"/>
        <w:rPr>
          <w:i/>
          <w:iCs/>
          <w:sz w:val="24"/>
          <w:szCs w:val="24"/>
        </w:rPr>
      </w:pPr>
    </w:p>
    <w:p w14:paraId="2A43C317" w14:textId="479DE06E" w:rsidR="00B42EA1" w:rsidRDefault="0033113E" w:rsidP="00B66C6F">
      <w:pPr>
        <w:pStyle w:val="Body"/>
      </w:pPr>
      <w:bookmarkStart w:id="3" w:name="_Hlk57107159"/>
      <w:r>
        <w:t xml:space="preserve">While the </w:t>
      </w:r>
      <w:r w:rsidR="00146BFB">
        <w:t xml:space="preserve">actual </w:t>
      </w:r>
      <w:r>
        <w:t xml:space="preserve">number of notifications received relating to compromises </w:t>
      </w:r>
      <w:r w:rsidR="00146BFB">
        <w:t>of</w:t>
      </w:r>
      <w:r>
        <w:t xml:space="preserve"> the confidentiality of public sector information doubled, the percentage compared to other security attributes remained </w:t>
      </w:r>
      <w:r w:rsidR="00146BFB">
        <w:t>the same as</w:t>
      </w:r>
      <w:r>
        <w:t xml:space="preserve"> the last reporting period</w:t>
      </w:r>
      <w:r w:rsidR="00146BFB">
        <w:t xml:space="preserve"> at 82%</w:t>
      </w:r>
      <w:r>
        <w:t xml:space="preserve">. </w:t>
      </w:r>
      <w:bookmarkEnd w:id="3"/>
    </w:p>
    <w:p w14:paraId="5837FF5C" w14:textId="065E2F9D" w:rsidR="00E50E41" w:rsidRPr="00EE6E11" w:rsidRDefault="00B42EA1" w:rsidP="00FD4EFE">
      <w:pPr>
        <w:pStyle w:val="Body"/>
        <w:rPr>
          <w:i/>
          <w:iCs/>
        </w:rPr>
      </w:pPr>
      <w:r w:rsidRPr="00A93F41">
        <w:rPr>
          <w:b/>
          <w:bCs/>
        </w:rPr>
        <w:t>Take</w:t>
      </w:r>
      <w:r w:rsidR="001D7701">
        <w:rPr>
          <w:b/>
          <w:bCs/>
        </w:rPr>
        <w:t>-</w:t>
      </w:r>
      <w:r w:rsidRPr="00A93F41">
        <w:rPr>
          <w:b/>
          <w:bCs/>
        </w:rPr>
        <w:t>out:</w:t>
      </w:r>
      <w:r>
        <w:t xml:space="preserve"> </w:t>
      </w:r>
      <w:r w:rsidR="007001D0">
        <w:br/>
      </w:r>
      <w:r w:rsidR="00233ADA" w:rsidRPr="00EE6E11">
        <w:rPr>
          <w:i/>
          <w:iCs/>
        </w:rPr>
        <w:t>More than</w:t>
      </w:r>
      <w:r w:rsidR="00E50E41" w:rsidRPr="00583124">
        <w:rPr>
          <w:i/>
          <w:iCs/>
        </w:rPr>
        <w:t xml:space="preserve"> </w:t>
      </w:r>
      <w:r w:rsidR="001517EB" w:rsidRPr="00EE6E11">
        <w:rPr>
          <w:i/>
          <w:iCs/>
        </w:rPr>
        <w:t>85</w:t>
      </w:r>
      <w:r w:rsidR="00E50E41" w:rsidRPr="00EE6E11">
        <w:rPr>
          <w:i/>
          <w:iCs/>
        </w:rPr>
        <w:t xml:space="preserve">% of </w:t>
      </w:r>
      <w:r w:rsidR="00EE6E11">
        <w:rPr>
          <w:i/>
          <w:iCs/>
        </w:rPr>
        <w:t xml:space="preserve">incidents affecting the </w:t>
      </w:r>
      <w:r w:rsidR="00E50E41" w:rsidRPr="00EE6E11">
        <w:rPr>
          <w:i/>
          <w:iCs/>
        </w:rPr>
        <w:t xml:space="preserve">confidentiality </w:t>
      </w:r>
      <w:r w:rsidR="00EE6E11">
        <w:rPr>
          <w:i/>
          <w:iCs/>
        </w:rPr>
        <w:t>of public sector information</w:t>
      </w:r>
      <w:r w:rsidR="00E50E41" w:rsidRPr="00EE6E11">
        <w:rPr>
          <w:i/>
          <w:iCs/>
        </w:rPr>
        <w:t xml:space="preserve"> were related to email</w:t>
      </w:r>
      <w:r w:rsidR="001517EB" w:rsidRPr="00EE6E11">
        <w:rPr>
          <w:i/>
          <w:iCs/>
        </w:rPr>
        <w:t>/mail</w:t>
      </w:r>
      <w:r w:rsidR="00E50E41" w:rsidRPr="00EE6E11">
        <w:rPr>
          <w:i/>
          <w:iCs/>
        </w:rPr>
        <w:t xml:space="preserve"> disclosures</w:t>
      </w:r>
      <w:r w:rsidR="00233ADA" w:rsidRPr="00EE6E11">
        <w:rPr>
          <w:i/>
          <w:iCs/>
        </w:rPr>
        <w:t>.</w:t>
      </w:r>
      <w:r w:rsidR="00E50E41" w:rsidRPr="00EE6E11">
        <w:rPr>
          <w:i/>
          <w:iCs/>
        </w:rPr>
        <w:t xml:space="preserve"> </w:t>
      </w:r>
      <w:r w:rsidR="00233ADA" w:rsidRPr="00EE6E11">
        <w:rPr>
          <w:i/>
          <w:iCs/>
        </w:rPr>
        <w:t>T</w:t>
      </w:r>
      <w:r w:rsidR="00E50E41" w:rsidRPr="00EE6E11">
        <w:rPr>
          <w:i/>
          <w:iCs/>
        </w:rPr>
        <w:t>he</w:t>
      </w:r>
      <w:r w:rsidR="001517EB" w:rsidRPr="00EE6E11">
        <w:rPr>
          <w:i/>
          <w:iCs/>
        </w:rPr>
        <w:t xml:space="preserve"> </w:t>
      </w:r>
      <w:r w:rsidR="00233ADA" w:rsidRPr="00EE6E11">
        <w:rPr>
          <w:i/>
          <w:iCs/>
        </w:rPr>
        <w:t>second</w:t>
      </w:r>
      <w:r w:rsidR="00233ADA" w:rsidRPr="00583124">
        <w:rPr>
          <w:i/>
          <w:iCs/>
        </w:rPr>
        <w:t xml:space="preserve"> </w:t>
      </w:r>
      <w:r w:rsidR="001517EB" w:rsidRPr="00EE6E11">
        <w:rPr>
          <w:i/>
          <w:iCs/>
        </w:rPr>
        <w:t xml:space="preserve">highest observed confidentiality related incidents were due to incorrect access permissions applied to systems </w:t>
      </w:r>
      <w:r w:rsidR="00233ADA" w:rsidRPr="00EE6E11">
        <w:rPr>
          <w:i/>
          <w:iCs/>
        </w:rPr>
        <w:t xml:space="preserve">including </w:t>
      </w:r>
      <w:r w:rsidR="001517EB" w:rsidRPr="00EE6E11">
        <w:rPr>
          <w:i/>
          <w:iCs/>
        </w:rPr>
        <w:t>shared drives, MS Teams, Google drive, HR systems and other business systems.</w:t>
      </w:r>
      <w:r w:rsidR="00E50E41" w:rsidRPr="00EE6E11">
        <w:rPr>
          <w:i/>
          <w:iCs/>
        </w:rPr>
        <w:t xml:space="preserve"> </w:t>
      </w:r>
    </w:p>
    <w:p w14:paraId="74B6EE46" w14:textId="07BD812E" w:rsidR="00695D85" w:rsidRPr="00EE6E11" w:rsidRDefault="00233ADA" w:rsidP="00FD4EFE">
      <w:pPr>
        <w:pStyle w:val="Body"/>
        <w:rPr>
          <w:i/>
          <w:iCs/>
        </w:rPr>
      </w:pPr>
      <w:r w:rsidRPr="00EE6E11">
        <w:rPr>
          <w:i/>
          <w:iCs/>
        </w:rPr>
        <w:t>There was</w:t>
      </w:r>
      <w:r w:rsidR="00E11294" w:rsidRPr="00583124">
        <w:rPr>
          <w:i/>
          <w:iCs/>
        </w:rPr>
        <w:t xml:space="preserve"> an</w:t>
      </w:r>
      <w:r w:rsidR="00AA69CD" w:rsidRPr="00EE6E11">
        <w:rPr>
          <w:i/>
          <w:iCs/>
        </w:rPr>
        <w:t xml:space="preserve"> increase </w:t>
      </w:r>
      <w:r w:rsidRPr="00EE6E11">
        <w:rPr>
          <w:i/>
          <w:iCs/>
        </w:rPr>
        <w:t>in</w:t>
      </w:r>
      <w:r w:rsidR="00AA69CD" w:rsidRPr="00EE6E11">
        <w:rPr>
          <w:i/>
          <w:iCs/>
        </w:rPr>
        <w:t xml:space="preserve"> notifications related to third parties e.g. </w:t>
      </w:r>
      <w:proofErr w:type="spellStart"/>
      <w:r w:rsidR="00AA69CD" w:rsidRPr="00EE6E11">
        <w:rPr>
          <w:i/>
          <w:iCs/>
        </w:rPr>
        <w:t>Allens</w:t>
      </w:r>
      <w:proofErr w:type="spellEnd"/>
      <w:r w:rsidR="00AA69CD" w:rsidRPr="00EE6E11">
        <w:rPr>
          <w:i/>
          <w:iCs/>
        </w:rPr>
        <w:t xml:space="preserve">, Law In Order, </w:t>
      </w:r>
      <w:r w:rsidR="00E11294" w:rsidRPr="00EE6E11">
        <w:rPr>
          <w:i/>
          <w:iCs/>
        </w:rPr>
        <w:t xml:space="preserve">after publishing </w:t>
      </w:r>
      <w:r w:rsidR="00AA69CD" w:rsidRPr="00EE6E11">
        <w:rPr>
          <w:i/>
          <w:iCs/>
        </w:rPr>
        <w:t xml:space="preserve">guidance in </w:t>
      </w:r>
      <w:r w:rsidRPr="00EE6E11">
        <w:rPr>
          <w:i/>
          <w:iCs/>
        </w:rPr>
        <w:t>our</w:t>
      </w:r>
      <w:r w:rsidRPr="00583124">
        <w:rPr>
          <w:i/>
          <w:iCs/>
        </w:rPr>
        <w:t xml:space="preserve"> </w:t>
      </w:r>
      <w:hyperlink r:id="rId19" w:history="1">
        <w:r w:rsidR="00AA69CD" w:rsidRPr="00EE6E11">
          <w:rPr>
            <w:rStyle w:val="Hyperlink"/>
            <w:rFonts w:asciiTheme="minorHAnsi" w:hAnsiTheme="minorHAnsi" w:cstheme="minorHAnsi"/>
            <w:i/>
            <w:iCs/>
            <w:color w:val="3F007F"/>
          </w:rPr>
          <w:t>January 2021 newsletter</w:t>
        </w:r>
      </w:hyperlink>
      <w:r w:rsidRPr="001A2B14">
        <w:rPr>
          <w:rStyle w:val="Hyperlink"/>
          <w:rFonts w:asciiTheme="minorHAnsi" w:hAnsiTheme="minorHAnsi" w:cstheme="minorHAnsi"/>
          <w:i/>
          <w:iCs/>
          <w:color w:val="3F007F"/>
        </w:rPr>
        <w:t>. The guidance</w:t>
      </w:r>
      <w:r w:rsidR="00AA69CD" w:rsidRPr="00583124">
        <w:rPr>
          <w:rStyle w:val="Emphasis"/>
          <w:rFonts w:asciiTheme="minorHAnsi" w:hAnsiTheme="minorHAnsi" w:cstheme="minorHAnsi"/>
          <w:color w:val="525252"/>
          <w:shd w:val="clear" w:color="auto" w:fill="FFFFFF"/>
        </w:rPr>
        <w:t xml:space="preserve"> </w:t>
      </w:r>
      <w:r w:rsidRPr="001A2B14">
        <w:rPr>
          <w:i/>
          <w:iCs/>
        </w:rPr>
        <w:t>highlighted</w:t>
      </w:r>
      <w:r w:rsidR="00AA69CD" w:rsidRPr="00EE6E11">
        <w:rPr>
          <w:i/>
          <w:iCs/>
        </w:rPr>
        <w:t xml:space="preserve"> that </w:t>
      </w:r>
      <w:r w:rsidRPr="001A2B14">
        <w:rPr>
          <w:i/>
          <w:iCs/>
        </w:rPr>
        <w:t xml:space="preserve">when </w:t>
      </w:r>
      <w:r w:rsidR="00AA69CD" w:rsidRPr="00583124">
        <w:rPr>
          <w:i/>
          <w:iCs/>
        </w:rPr>
        <w:t xml:space="preserve">public sector information </w:t>
      </w:r>
      <w:r w:rsidRPr="001A2B14">
        <w:rPr>
          <w:i/>
          <w:iCs/>
        </w:rPr>
        <w:t xml:space="preserve">is </w:t>
      </w:r>
      <w:r w:rsidR="00AA69CD" w:rsidRPr="00583124">
        <w:rPr>
          <w:i/>
          <w:iCs/>
        </w:rPr>
        <w:t>handled by a third party that has suffered an incident</w:t>
      </w:r>
      <w:r w:rsidRPr="001A2B14">
        <w:rPr>
          <w:i/>
          <w:iCs/>
        </w:rPr>
        <w:t>, OVIC</w:t>
      </w:r>
      <w:r w:rsidR="00AA69CD" w:rsidRPr="00583124">
        <w:rPr>
          <w:i/>
          <w:iCs/>
        </w:rPr>
        <w:t xml:space="preserve"> should </w:t>
      </w:r>
      <w:r w:rsidR="001A2B14">
        <w:rPr>
          <w:i/>
          <w:iCs/>
        </w:rPr>
        <w:t xml:space="preserve">still </w:t>
      </w:r>
      <w:r w:rsidR="00AA69CD" w:rsidRPr="00583124">
        <w:rPr>
          <w:i/>
          <w:iCs/>
        </w:rPr>
        <w:t xml:space="preserve">be notified under the scheme. </w:t>
      </w:r>
    </w:p>
    <w:p w14:paraId="58049979" w14:textId="5407187A" w:rsidR="004B08BD" w:rsidRDefault="004B08BD">
      <w:pPr>
        <w:rPr>
          <w:rFonts w:ascii="Calibri" w:eastAsia="Calibri" w:hAnsi="Calibri" w:cs="PostGrotesk-Medium"/>
          <w:color w:val="430098"/>
          <w:sz w:val="24"/>
          <w:szCs w:val="24"/>
          <w:lang w:val="en-GB"/>
        </w:rPr>
      </w:pPr>
    </w:p>
    <w:p w14:paraId="33938D7B" w14:textId="77777777" w:rsidR="005C27D2" w:rsidRDefault="005C27D2">
      <w:pPr>
        <w:rPr>
          <w:rFonts w:ascii="Calibri" w:eastAsia="Calibri" w:hAnsi="Calibri" w:cs="PostGrotesk-Medium"/>
          <w:color w:val="430098"/>
          <w:sz w:val="24"/>
          <w:szCs w:val="24"/>
          <w:lang w:val="en-GB"/>
        </w:rPr>
      </w:pPr>
      <w:r>
        <w:rPr>
          <w:sz w:val="24"/>
          <w:szCs w:val="24"/>
        </w:rPr>
        <w:br w:type="page"/>
      </w:r>
    </w:p>
    <w:p w14:paraId="273D32AC" w14:textId="3EA76E57" w:rsidR="00CB19CB" w:rsidRDefault="009D2AB2" w:rsidP="009D2AB2">
      <w:pPr>
        <w:pStyle w:val="SectionHeading1"/>
        <w:rPr>
          <w:sz w:val="24"/>
          <w:szCs w:val="24"/>
        </w:rPr>
      </w:pPr>
      <w:r w:rsidRPr="009D2AB2">
        <w:rPr>
          <w:sz w:val="24"/>
          <w:szCs w:val="24"/>
        </w:rPr>
        <w:lastRenderedPageBreak/>
        <w:t>Security areas affected</w:t>
      </w:r>
    </w:p>
    <w:p w14:paraId="3840E476" w14:textId="6A45A966" w:rsidR="005C27D2" w:rsidRDefault="005C27D2" w:rsidP="009D2AB2">
      <w:pPr>
        <w:pStyle w:val="SectionHeading1"/>
        <w:rPr>
          <w:sz w:val="24"/>
          <w:szCs w:val="24"/>
        </w:rPr>
      </w:pPr>
      <w:r w:rsidRPr="005C27D2">
        <w:rPr>
          <w:sz w:val="24"/>
          <w:szCs w:val="24"/>
        </w:rPr>
        <w:drawing>
          <wp:inline distT="0" distB="0" distL="0" distR="0" wp14:anchorId="0D809B3B" wp14:editId="722970DA">
            <wp:extent cx="6120130" cy="1393190"/>
            <wp:effectExtent l="0" t="0" r="0" b="0"/>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pic:nvPicPr>
                  <pic:blipFill>
                    <a:blip r:embed="rId20"/>
                    <a:stretch>
                      <a:fillRect/>
                    </a:stretch>
                  </pic:blipFill>
                  <pic:spPr>
                    <a:xfrm>
                      <a:off x="0" y="0"/>
                      <a:ext cx="6120130" cy="1393190"/>
                    </a:xfrm>
                    <a:prstGeom prst="rect">
                      <a:avLst/>
                    </a:prstGeom>
                  </pic:spPr>
                </pic:pic>
              </a:graphicData>
            </a:graphic>
          </wp:inline>
        </w:drawing>
      </w:r>
    </w:p>
    <w:p w14:paraId="5150E198" w14:textId="5ED47035" w:rsidR="00FC7C49" w:rsidRDefault="00452383" w:rsidP="00FD4EFE">
      <w:pPr>
        <w:pStyle w:val="Body"/>
      </w:pPr>
      <w:r>
        <w:t>There</w:t>
      </w:r>
      <w:r w:rsidR="0078079D">
        <w:t xml:space="preserve"> </w:t>
      </w:r>
      <w:r>
        <w:t>was</w:t>
      </w:r>
      <w:r w:rsidR="0078079D">
        <w:t xml:space="preserve"> an increase </w:t>
      </w:r>
      <w:r>
        <w:t xml:space="preserve">in incidents related to a failure in the personnel security area </w:t>
      </w:r>
      <w:r w:rsidRPr="00452383">
        <w:rPr>
          <w:lang w:val="en-AU"/>
        </w:rPr>
        <w:t>from 6% to 13%</w:t>
      </w:r>
      <w:r>
        <w:rPr>
          <w:lang w:val="en-AU"/>
        </w:rPr>
        <w:t xml:space="preserve">. </w:t>
      </w:r>
      <w:r w:rsidR="0078079D">
        <w:t>e.g.</w:t>
      </w:r>
      <w:r w:rsidR="00AF1F54">
        <w:t>,</w:t>
      </w:r>
      <w:r w:rsidR="0078079D">
        <w:t xml:space="preserve"> user error</w:t>
      </w:r>
      <w:r w:rsidR="001A2B14">
        <w:t>.</w:t>
      </w:r>
      <w:r w:rsidR="00656228">
        <w:t xml:space="preserve"> </w:t>
      </w:r>
      <w:r w:rsidR="001A2B14">
        <w:t xml:space="preserve">Similarly, there was an increase in incidents related to a failure in the </w:t>
      </w:r>
      <w:r w:rsidR="00656228">
        <w:t>physical security area from 1% to 5% e.g.</w:t>
      </w:r>
      <w:r w:rsidR="00AF1F54">
        <w:t>,</w:t>
      </w:r>
      <w:r w:rsidR="00656228">
        <w:t xml:space="preserve"> inadequate physical security controls in a foyer</w:t>
      </w:r>
      <w:r w:rsidR="0078079D">
        <w:t>.</w:t>
      </w:r>
    </w:p>
    <w:p w14:paraId="0515CC78" w14:textId="58670C57" w:rsidR="0078079D" w:rsidRDefault="00452383" w:rsidP="00FD4EFE">
      <w:pPr>
        <w:pStyle w:val="Body"/>
      </w:pPr>
      <w:r>
        <w:t>Some</w:t>
      </w:r>
      <w:r w:rsidR="0078079D">
        <w:t xml:space="preserve"> (12%) notifications were received through the privacy data breach reporting form which does not have a field to select the ‘security area’</w:t>
      </w:r>
      <w:r>
        <w:t>. In these instances,</w:t>
      </w:r>
      <w:r w:rsidR="0078079D">
        <w:t xml:space="preserve"> OVIC practitioners used the information provided in the notifications to nominate a corresponding security area</w:t>
      </w:r>
      <w:r>
        <w:t>.</w:t>
      </w:r>
      <w:r w:rsidR="0078079D">
        <w:t xml:space="preserve"> </w:t>
      </w:r>
      <w:r>
        <w:t>This</w:t>
      </w:r>
      <w:r w:rsidR="0078079D">
        <w:t xml:space="preserve"> explain</w:t>
      </w:r>
      <w:r>
        <w:t>s</w:t>
      </w:r>
      <w:r w:rsidR="0078079D">
        <w:t xml:space="preserve"> </w:t>
      </w:r>
      <w:r>
        <w:t>the</w:t>
      </w:r>
      <w:r w:rsidR="0078079D">
        <w:t xml:space="preserve"> increase in the selection of ‘personnel’</w:t>
      </w:r>
      <w:r w:rsidR="00656228">
        <w:t xml:space="preserve"> and ‘physical’</w:t>
      </w:r>
      <w:r>
        <w:t>,</w:t>
      </w:r>
      <w:r w:rsidR="00656228">
        <w:t xml:space="preserve"> given our understanding of the intent of this field</w:t>
      </w:r>
      <w:r w:rsidR="0078079D">
        <w:t>.</w:t>
      </w:r>
    </w:p>
    <w:p w14:paraId="35522FD3" w14:textId="026F9C1B" w:rsidR="00C40F8D" w:rsidRPr="001A2B14" w:rsidRDefault="00CB19CB" w:rsidP="0078079D">
      <w:pPr>
        <w:pStyle w:val="Body"/>
        <w:rPr>
          <w:i/>
          <w:iCs/>
        </w:rPr>
      </w:pPr>
      <w:r w:rsidRPr="0019098D">
        <w:rPr>
          <w:b/>
          <w:bCs/>
        </w:rPr>
        <w:t>Take</w:t>
      </w:r>
      <w:r w:rsidR="001D7701">
        <w:rPr>
          <w:b/>
          <w:bCs/>
        </w:rPr>
        <w:t>-</w:t>
      </w:r>
      <w:r w:rsidRPr="0019098D">
        <w:rPr>
          <w:b/>
          <w:bCs/>
        </w:rPr>
        <w:t>out:</w:t>
      </w:r>
      <w:r>
        <w:t xml:space="preserve"> </w:t>
      </w:r>
      <w:r w:rsidR="007001D0">
        <w:br/>
      </w:r>
      <w:r w:rsidR="0078079D" w:rsidRPr="001A2B14">
        <w:rPr>
          <w:i/>
          <w:iCs/>
        </w:rPr>
        <w:t>After a year of operation to see where improvements can be made to the incident notification scheme,</w:t>
      </w:r>
      <w:r w:rsidR="00452383" w:rsidRPr="001A2B14">
        <w:rPr>
          <w:i/>
          <w:iCs/>
        </w:rPr>
        <w:t xml:space="preserve"> </w:t>
      </w:r>
      <w:r w:rsidR="00C40F8D" w:rsidRPr="001A2B14">
        <w:rPr>
          <w:i/>
          <w:iCs/>
        </w:rPr>
        <w:t xml:space="preserve">we </w:t>
      </w:r>
      <w:r w:rsidR="0078079D" w:rsidRPr="001A2B14">
        <w:rPr>
          <w:i/>
          <w:iCs/>
        </w:rPr>
        <w:t>consolidate</w:t>
      </w:r>
      <w:r w:rsidR="00452383" w:rsidRPr="001A2B14">
        <w:rPr>
          <w:i/>
          <w:iCs/>
        </w:rPr>
        <w:t>d</w:t>
      </w:r>
      <w:r w:rsidR="0078079D" w:rsidRPr="001A2B14">
        <w:rPr>
          <w:i/>
          <w:iCs/>
        </w:rPr>
        <w:t xml:space="preserve"> the privacy </w:t>
      </w:r>
      <w:r w:rsidR="00452383" w:rsidRPr="001A2B14">
        <w:rPr>
          <w:i/>
          <w:iCs/>
        </w:rPr>
        <w:t xml:space="preserve">breach </w:t>
      </w:r>
      <w:r w:rsidR="0078079D" w:rsidRPr="001A2B14">
        <w:rPr>
          <w:i/>
          <w:iCs/>
        </w:rPr>
        <w:t xml:space="preserve">and security incident forms into a single form which </w:t>
      </w:r>
      <w:r w:rsidR="00C40F8D" w:rsidRPr="001A2B14">
        <w:rPr>
          <w:i/>
          <w:iCs/>
        </w:rPr>
        <w:t xml:space="preserve">removes </w:t>
      </w:r>
      <w:r w:rsidR="0078079D" w:rsidRPr="001A2B14">
        <w:rPr>
          <w:i/>
          <w:iCs/>
        </w:rPr>
        <w:t xml:space="preserve">this field. </w:t>
      </w:r>
    </w:p>
    <w:p w14:paraId="6E7B4D13" w14:textId="7D11B4C6" w:rsidR="0078079D" w:rsidRPr="001A2B14" w:rsidRDefault="00C40F8D" w:rsidP="0078079D">
      <w:pPr>
        <w:pStyle w:val="Body"/>
        <w:rPr>
          <w:i/>
          <w:iCs/>
        </w:rPr>
      </w:pPr>
      <w:r w:rsidRPr="001A2B14">
        <w:rPr>
          <w:i/>
          <w:iCs/>
        </w:rPr>
        <w:t>There was</w:t>
      </w:r>
      <w:r w:rsidR="00656228" w:rsidRPr="001A2B14">
        <w:rPr>
          <w:i/>
          <w:iCs/>
        </w:rPr>
        <w:t xml:space="preserve"> confusion around the intent of this field </w:t>
      </w:r>
      <w:r w:rsidRPr="001A2B14">
        <w:rPr>
          <w:i/>
          <w:iCs/>
        </w:rPr>
        <w:t>as</w:t>
      </w:r>
      <w:r w:rsidR="00656228" w:rsidRPr="001A2B14">
        <w:rPr>
          <w:i/>
          <w:iCs/>
        </w:rPr>
        <w:t xml:space="preserve"> ‘information’ </w:t>
      </w:r>
      <w:r w:rsidRPr="001A2B14">
        <w:rPr>
          <w:i/>
          <w:iCs/>
        </w:rPr>
        <w:t xml:space="preserve">is listed as </w:t>
      </w:r>
      <w:r w:rsidR="00656228" w:rsidRPr="001A2B14">
        <w:rPr>
          <w:i/>
          <w:iCs/>
        </w:rPr>
        <w:t xml:space="preserve">both a security area as well as </w:t>
      </w:r>
      <w:r w:rsidRPr="001A2B14">
        <w:rPr>
          <w:i/>
          <w:iCs/>
        </w:rPr>
        <w:t xml:space="preserve">a </w:t>
      </w:r>
      <w:r w:rsidR="00656228" w:rsidRPr="001A2B14">
        <w:rPr>
          <w:i/>
          <w:iCs/>
        </w:rPr>
        <w:t>type of incident</w:t>
      </w:r>
      <w:r w:rsidRPr="001A2B14">
        <w:rPr>
          <w:i/>
          <w:iCs/>
        </w:rPr>
        <w:t>. The new form</w:t>
      </w:r>
      <w:r w:rsidR="00AF1F54" w:rsidRPr="001A2B14">
        <w:rPr>
          <w:i/>
          <w:iCs/>
        </w:rPr>
        <w:t xml:space="preserve"> replace</w:t>
      </w:r>
      <w:r w:rsidRPr="001A2B14">
        <w:rPr>
          <w:i/>
          <w:iCs/>
        </w:rPr>
        <w:t>s</w:t>
      </w:r>
      <w:r w:rsidR="00AF1F54" w:rsidRPr="001A2B14">
        <w:rPr>
          <w:i/>
          <w:iCs/>
        </w:rPr>
        <w:t xml:space="preserve"> this field with new field</w:t>
      </w:r>
      <w:r w:rsidR="00D34D5C">
        <w:rPr>
          <w:i/>
          <w:iCs/>
        </w:rPr>
        <w:t>s</w:t>
      </w:r>
      <w:r w:rsidR="00AF1F54" w:rsidRPr="001A2B14">
        <w:rPr>
          <w:i/>
          <w:iCs/>
        </w:rPr>
        <w:t xml:space="preserve"> that collect details about the control</w:t>
      </w:r>
      <w:r w:rsidR="00D34D5C">
        <w:rPr>
          <w:i/>
          <w:iCs/>
        </w:rPr>
        <w:t xml:space="preserve"> area</w:t>
      </w:r>
      <w:r w:rsidR="00F87B89">
        <w:rPr>
          <w:i/>
          <w:iCs/>
        </w:rPr>
        <w:t>(s)</w:t>
      </w:r>
      <w:r w:rsidR="00AF1F54" w:rsidRPr="001A2B14">
        <w:rPr>
          <w:i/>
          <w:iCs/>
        </w:rPr>
        <w:t xml:space="preserve"> that </w:t>
      </w:r>
      <w:r w:rsidR="00F87B89">
        <w:rPr>
          <w:i/>
          <w:iCs/>
        </w:rPr>
        <w:t>caused the incident e.g., people, process, technology</w:t>
      </w:r>
      <w:r w:rsidR="00D34D5C">
        <w:rPr>
          <w:i/>
          <w:iCs/>
        </w:rPr>
        <w:t>, and the threat type e.g., accidental, failure, malicious or natural</w:t>
      </w:r>
      <w:r w:rsidR="00656228" w:rsidRPr="001A2B14">
        <w:rPr>
          <w:i/>
          <w:iCs/>
        </w:rPr>
        <w:t>.</w:t>
      </w:r>
    </w:p>
    <w:p w14:paraId="2F6125C8" w14:textId="77777777" w:rsidR="00AF1F54" w:rsidRDefault="00AF1F54" w:rsidP="00AF1F54">
      <w:pPr>
        <w:pStyle w:val="SectionHeading1"/>
      </w:pPr>
    </w:p>
    <w:p w14:paraId="0C2C8486" w14:textId="77777777" w:rsidR="005C27D2" w:rsidRDefault="005C27D2">
      <w:pPr>
        <w:rPr>
          <w:rFonts w:ascii="Calibri" w:eastAsia="Calibri" w:hAnsi="Calibri" w:cs="PostGrotesk-Medium"/>
          <w:color w:val="430098"/>
          <w:sz w:val="28"/>
          <w:szCs w:val="28"/>
          <w:lang w:val="en-GB"/>
        </w:rPr>
      </w:pPr>
      <w:r>
        <w:br w:type="page"/>
      </w:r>
    </w:p>
    <w:p w14:paraId="43D65C41" w14:textId="4CB9BA4A" w:rsidR="00AF1F54" w:rsidRDefault="00AF1F54" w:rsidP="00AF1F54">
      <w:pPr>
        <w:pStyle w:val="SectionHeading1"/>
      </w:pPr>
      <w:r>
        <w:lastRenderedPageBreak/>
        <w:t>VICTORIA POLICE STATISTICS</w:t>
      </w:r>
    </w:p>
    <w:p w14:paraId="0CAD0576" w14:textId="7C02315E" w:rsidR="005C27D2" w:rsidRDefault="005C27D2" w:rsidP="00AF1F54">
      <w:pPr>
        <w:pStyle w:val="SectionHeading1"/>
      </w:pPr>
      <w:r w:rsidRPr="005C27D2">
        <w:drawing>
          <wp:inline distT="0" distB="0" distL="0" distR="0" wp14:anchorId="7B2CEA3E" wp14:editId="1B134138">
            <wp:extent cx="6120130" cy="3660140"/>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21"/>
                    <a:stretch>
                      <a:fillRect/>
                    </a:stretch>
                  </pic:blipFill>
                  <pic:spPr>
                    <a:xfrm>
                      <a:off x="0" y="0"/>
                      <a:ext cx="6120130" cy="3660140"/>
                    </a:xfrm>
                    <a:prstGeom prst="rect">
                      <a:avLst/>
                    </a:prstGeom>
                  </pic:spPr>
                </pic:pic>
              </a:graphicData>
            </a:graphic>
          </wp:inline>
        </w:drawing>
      </w:r>
    </w:p>
    <w:p w14:paraId="774F86B2" w14:textId="77777777" w:rsidR="00C81E8B" w:rsidRDefault="00C81E8B" w:rsidP="00AF1F54">
      <w:pPr>
        <w:pStyle w:val="Body"/>
      </w:pPr>
    </w:p>
    <w:p w14:paraId="119E0075" w14:textId="02540968" w:rsidR="00AF1F54" w:rsidRDefault="00AF1F54" w:rsidP="00AF1F54">
      <w:pPr>
        <w:pStyle w:val="Body"/>
      </w:pPr>
      <w:r>
        <w:t>OVIC receives incident notifications from the Victoria Police Security Incident Regist</w:t>
      </w:r>
      <w:r w:rsidR="00422B69">
        <w:t>ry</w:t>
      </w:r>
      <w:r w:rsidR="00F34ED7">
        <w:t xml:space="preserve"> (</w:t>
      </w:r>
      <w:r w:rsidR="00F34ED7" w:rsidRPr="001A2B14">
        <w:rPr>
          <w:b/>
          <w:bCs/>
        </w:rPr>
        <w:t>SIR</w:t>
      </w:r>
      <w:r w:rsidR="00F34ED7">
        <w:t>)</w:t>
      </w:r>
      <w:r>
        <w:t xml:space="preserve"> team.</w:t>
      </w:r>
    </w:p>
    <w:p w14:paraId="319E94FF" w14:textId="77777777" w:rsidR="00C40F8D" w:rsidRDefault="00AF1F54" w:rsidP="00410BFD">
      <w:pPr>
        <w:pStyle w:val="Body"/>
      </w:pPr>
      <w:r>
        <w:t>Comparison between the 2018-19</w:t>
      </w:r>
      <w:r w:rsidR="00515044">
        <w:t>,</w:t>
      </w:r>
      <w:r>
        <w:t xml:space="preserve"> 2019-20</w:t>
      </w:r>
      <w:r w:rsidR="00515044">
        <w:t xml:space="preserve"> and 2020-21</w:t>
      </w:r>
      <w:r>
        <w:t xml:space="preserve"> </w:t>
      </w:r>
      <w:r w:rsidR="00E31390">
        <w:t xml:space="preserve">financial year </w:t>
      </w:r>
      <w:r>
        <w:t>period</w:t>
      </w:r>
      <w:r w:rsidR="00E31390">
        <w:t>s</w:t>
      </w:r>
      <w:r>
        <w:t xml:space="preserve"> shows the top </w:t>
      </w:r>
      <w:r w:rsidR="004C6742">
        <w:t>five</w:t>
      </w:r>
      <w:r>
        <w:t xml:space="preserve"> closed incident categories are the same. </w:t>
      </w:r>
    </w:p>
    <w:p w14:paraId="049AA229" w14:textId="53731D43" w:rsidR="00404F45" w:rsidRDefault="00AF1F54" w:rsidP="00410BFD">
      <w:pPr>
        <w:pStyle w:val="Body"/>
      </w:pPr>
      <w:r w:rsidRPr="00410BFD">
        <w:t xml:space="preserve">However, the numbers for </w:t>
      </w:r>
      <w:r w:rsidR="00FC47C7" w:rsidRPr="00410BFD">
        <w:t xml:space="preserve">2020-21 show a considerable increase in the number of closed ‘information handling’ incidents. This is because Victoria Police have prioritised this category and implemented proactive monitoring to detect the unauthorised movement of law enforcement data </w:t>
      </w:r>
      <w:r w:rsidR="001D7701">
        <w:t>including information</w:t>
      </w:r>
      <w:r w:rsidR="00FC47C7" w:rsidRPr="00410BFD">
        <w:t xml:space="preserve"> saved in</w:t>
      </w:r>
      <w:r w:rsidR="001D7701">
        <w:t xml:space="preserve"> an</w:t>
      </w:r>
      <w:r w:rsidR="00FC47C7" w:rsidRPr="00410BFD">
        <w:t xml:space="preserve"> incorrect folder,</w:t>
      </w:r>
      <w:r w:rsidR="001D7701">
        <w:t xml:space="preserve"> or an</w:t>
      </w:r>
      <w:r w:rsidR="00FC47C7" w:rsidRPr="00410BFD">
        <w:t xml:space="preserve"> email sent to external personal email account. There was also an increase in closed ‘other event’ incidents due </w:t>
      </w:r>
      <w:r w:rsidR="00410BFD" w:rsidRPr="00410BFD">
        <w:t xml:space="preserve">to more regular reporting of communications outages </w:t>
      </w:r>
      <w:r w:rsidR="00410BFD">
        <w:t>at</w:t>
      </w:r>
      <w:r w:rsidR="00410BFD" w:rsidRPr="00410BFD">
        <w:t xml:space="preserve"> Victoria Police facilities across the state</w:t>
      </w:r>
      <w:r w:rsidRPr="00410BFD">
        <w:t xml:space="preserve">. </w:t>
      </w:r>
      <w:r w:rsidR="007A3A51">
        <w:t xml:space="preserve"> </w:t>
      </w:r>
    </w:p>
    <w:p w14:paraId="02684550" w14:textId="77777777" w:rsidR="00C40F8D" w:rsidRDefault="00F34ED7" w:rsidP="00410BFD">
      <w:pPr>
        <w:pStyle w:val="Body"/>
      </w:pPr>
      <w:r>
        <w:t xml:space="preserve">On 1 March 2021, Victoria Police modified the level of detail that is provided to OVIC for incidents recorded as </w:t>
      </w:r>
      <w:r w:rsidR="00682660">
        <w:t>‘Minor’ or ‘</w:t>
      </w:r>
      <w:r>
        <w:t>Insignifican</w:t>
      </w:r>
      <w:r w:rsidR="00682660">
        <w:t>t’</w:t>
      </w:r>
      <w:r>
        <w:t xml:space="preserve">. This change was initiated by Victoria Police to enable the SIR to focus efforts </w:t>
      </w:r>
      <w:r w:rsidR="00682660">
        <w:t>on</w:t>
      </w:r>
      <w:r>
        <w:t xml:space="preserve"> isolation, containment</w:t>
      </w:r>
      <w:r w:rsidR="00682660">
        <w:t>,</w:t>
      </w:r>
      <w:r>
        <w:t xml:space="preserve"> and remediation for all ‘Moderate’ and above security incidents.</w:t>
      </w:r>
      <w:r w:rsidR="00682660">
        <w:t xml:space="preserve"> </w:t>
      </w:r>
    </w:p>
    <w:p w14:paraId="1F469731" w14:textId="3AB42B64" w:rsidR="00F34ED7" w:rsidRPr="00410BFD" w:rsidRDefault="00682660" w:rsidP="00410BFD">
      <w:pPr>
        <w:pStyle w:val="Body"/>
        <w:rPr>
          <w:highlight w:val="yellow"/>
        </w:rPr>
      </w:pPr>
      <w:r>
        <w:t>While the SIR continues to notify OVIC of ‘Minor’ and ‘Insignificant’ incidents, the level of detail for these incidents is not as descriptive as more significant incidents. The statistics of incidents gathered from Victoria Police by OVIC to allow for regular reporting such as this insights report are not affected by the change in process.</w:t>
      </w:r>
    </w:p>
    <w:p w14:paraId="741C2F24" w14:textId="1A2EEFFE" w:rsidR="001367F1" w:rsidRDefault="001367F1">
      <w:pPr>
        <w:rPr>
          <w:rFonts w:ascii="Calibri" w:eastAsia="Calibri" w:hAnsi="Calibri" w:cs="PostGrotesk-Medium"/>
          <w:color w:val="430098"/>
          <w:sz w:val="28"/>
          <w:szCs w:val="28"/>
          <w:lang w:val="en-GB"/>
        </w:rPr>
      </w:pPr>
    </w:p>
    <w:p w14:paraId="0BA837A0" w14:textId="77777777" w:rsidR="00410BFD" w:rsidRDefault="00410BFD">
      <w:pPr>
        <w:rPr>
          <w:rFonts w:ascii="Calibri" w:eastAsia="Calibri" w:hAnsi="Calibri" w:cs="PostGrotesk-Medium"/>
          <w:color w:val="430098"/>
          <w:sz w:val="28"/>
          <w:szCs w:val="28"/>
          <w:lang w:val="en-GB"/>
        </w:rPr>
      </w:pPr>
      <w:r>
        <w:br w:type="page"/>
      </w:r>
    </w:p>
    <w:p w14:paraId="774A37AF" w14:textId="15B9957A" w:rsidR="000C7AB9" w:rsidRDefault="000C7AB9" w:rsidP="000C7AB9">
      <w:pPr>
        <w:pStyle w:val="SectionHeading1"/>
      </w:pPr>
      <w:r>
        <w:lastRenderedPageBreak/>
        <w:t>Risk statements</w:t>
      </w:r>
    </w:p>
    <w:p w14:paraId="7FE1915C" w14:textId="697BAD95" w:rsidR="00771051" w:rsidRDefault="00A30219" w:rsidP="00A82A88">
      <w:pPr>
        <w:pStyle w:val="Body"/>
      </w:pPr>
      <w:r>
        <w:t>Based on</w:t>
      </w:r>
      <w:r w:rsidR="00463989">
        <w:t xml:space="preserve"> </w:t>
      </w:r>
      <w:r w:rsidR="00C761D8">
        <w:t xml:space="preserve">the </w:t>
      </w:r>
      <w:r w:rsidR="00463989">
        <w:t xml:space="preserve">incident </w:t>
      </w:r>
      <w:r w:rsidR="008D1E1C">
        <w:t xml:space="preserve">notifications </w:t>
      </w:r>
      <w:r w:rsidR="00463989">
        <w:t xml:space="preserve">received by OVIC, </w:t>
      </w:r>
      <w:r>
        <w:t xml:space="preserve">we </w:t>
      </w:r>
      <w:r w:rsidR="00C761D8">
        <w:t>developed</w:t>
      </w:r>
      <w:r w:rsidR="00463989">
        <w:t xml:space="preserve"> the following r</w:t>
      </w:r>
      <w:r w:rsidR="00771051">
        <w:t xml:space="preserve">isk </w:t>
      </w:r>
      <w:r w:rsidR="00463989">
        <w:t>s</w:t>
      </w:r>
      <w:r w:rsidR="00771051">
        <w:t>tatements</w:t>
      </w:r>
      <w:r w:rsidR="005907C9">
        <w:t xml:space="preserve"> </w:t>
      </w:r>
      <w:r>
        <w:t>for</w:t>
      </w:r>
      <w:r w:rsidR="005907C9">
        <w:t xml:space="preserve"> consideration by </w:t>
      </w:r>
      <w:r w:rsidR="00BF560F">
        <w:t>VPS organisations</w:t>
      </w:r>
      <w:r>
        <w:t xml:space="preserve"> when reviewing their information security risks</w:t>
      </w:r>
      <w:r w:rsidR="00097964">
        <w:t>:</w:t>
      </w:r>
    </w:p>
    <w:tbl>
      <w:tblPr>
        <w:tblStyle w:val="GridTable4-Accent4"/>
        <w:tblW w:w="9674" w:type="dxa"/>
        <w:tblInd w:w="-40"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ook w:val="04A0" w:firstRow="1" w:lastRow="0" w:firstColumn="1" w:lastColumn="0" w:noHBand="0" w:noVBand="1"/>
      </w:tblPr>
      <w:tblGrid>
        <w:gridCol w:w="40"/>
        <w:gridCol w:w="3171"/>
        <w:gridCol w:w="40"/>
        <w:gridCol w:w="3171"/>
        <w:gridCol w:w="40"/>
        <w:gridCol w:w="3172"/>
        <w:gridCol w:w="40"/>
      </w:tblGrid>
      <w:tr w:rsidR="00463989" w:rsidRPr="00075292" w14:paraId="2B2F151B" w14:textId="77777777" w:rsidTr="00DF6E70">
        <w:trPr>
          <w:gridBefore w:val="1"/>
          <w:cnfStyle w:val="100000000000" w:firstRow="1" w:lastRow="0" w:firstColumn="0" w:lastColumn="0" w:oddVBand="0" w:evenVBand="0" w:oddHBand="0" w:evenHBand="0" w:firstRowFirstColumn="0" w:firstRowLastColumn="0" w:lastRowFirstColumn="0" w:lastRowLastColumn="0"/>
          <w:wBefore w:w="40" w:type="dxa"/>
          <w:cantSplit/>
          <w:tblHeader/>
        </w:trPr>
        <w:tc>
          <w:tcPr>
            <w:cnfStyle w:val="001000000000" w:firstRow="0" w:lastRow="0" w:firstColumn="1" w:lastColumn="0" w:oddVBand="0" w:evenVBand="0" w:oddHBand="0" w:evenHBand="0" w:firstRowFirstColumn="0" w:firstRowLastColumn="0" w:lastRowFirstColumn="0" w:lastRowLastColumn="0"/>
            <w:tcW w:w="3211" w:type="dxa"/>
            <w:gridSpan w:val="2"/>
            <w:tcBorders>
              <w:top w:val="none" w:sz="0" w:space="0" w:color="auto"/>
              <w:left w:val="none" w:sz="0" w:space="0" w:color="auto"/>
              <w:bottom w:val="none" w:sz="0" w:space="0" w:color="auto"/>
              <w:right w:val="none" w:sz="0" w:space="0" w:color="auto"/>
            </w:tcBorders>
            <w:shd w:val="clear" w:color="auto" w:fill="420098"/>
          </w:tcPr>
          <w:p w14:paraId="26B3ED04" w14:textId="193B0137" w:rsidR="00463989" w:rsidRPr="00463989" w:rsidRDefault="00463989" w:rsidP="00463989">
            <w:pPr>
              <w:spacing w:before="120" w:after="120"/>
              <w:ind w:left="360"/>
            </w:pPr>
            <w:r w:rsidRPr="00463989">
              <w:t>The risk of…</w:t>
            </w:r>
          </w:p>
        </w:tc>
        <w:tc>
          <w:tcPr>
            <w:tcW w:w="3211" w:type="dxa"/>
            <w:gridSpan w:val="2"/>
            <w:tcBorders>
              <w:top w:val="none" w:sz="0" w:space="0" w:color="auto"/>
              <w:left w:val="none" w:sz="0" w:space="0" w:color="auto"/>
              <w:bottom w:val="none" w:sz="0" w:space="0" w:color="auto"/>
              <w:right w:val="none" w:sz="0" w:space="0" w:color="auto"/>
            </w:tcBorders>
            <w:shd w:val="clear" w:color="auto" w:fill="420098"/>
          </w:tcPr>
          <w:p w14:paraId="5F9887F2" w14:textId="6E110E00" w:rsidR="00463989" w:rsidRPr="00463989" w:rsidRDefault="00463989" w:rsidP="00463989">
            <w:pPr>
              <w:spacing w:before="120" w:after="120"/>
              <w:ind w:left="360"/>
              <w:cnfStyle w:val="100000000000" w:firstRow="1" w:lastRow="0" w:firstColumn="0" w:lastColumn="0" w:oddVBand="0" w:evenVBand="0" w:oddHBand="0" w:evenHBand="0" w:firstRowFirstColumn="0" w:firstRowLastColumn="0" w:lastRowFirstColumn="0" w:lastRowLastColumn="0"/>
            </w:pPr>
            <w:r w:rsidRPr="00463989">
              <w:t>Caused by…</w:t>
            </w:r>
          </w:p>
        </w:tc>
        <w:tc>
          <w:tcPr>
            <w:tcW w:w="3212" w:type="dxa"/>
            <w:gridSpan w:val="2"/>
            <w:tcBorders>
              <w:top w:val="none" w:sz="0" w:space="0" w:color="auto"/>
              <w:left w:val="none" w:sz="0" w:space="0" w:color="auto"/>
              <w:bottom w:val="none" w:sz="0" w:space="0" w:color="auto"/>
              <w:right w:val="none" w:sz="0" w:space="0" w:color="auto"/>
            </w:tcBorders>
            <w:shd w:val="clear" w:color="auto" w:fill="420098"/>
          </w:tcPr>
          <w:p w14:paraId="79A4326A" w14:textId="21C2815E" w:rsidR="00463989" w:rsidRPr="00463989" w:rsidRDefault="00463989" w:rsidP="00463989">
            <w:pPr>
              <w:spacing w:before="120" w:after="120"/>
              <w:ind w:left="360"/>
              <w:cnfStyle w:val="100000000000" w:firstRow="1" w:lastRow="0" w:firstColumn="0" w:lastColumn="0" w:oddVBand="0" w:evenVBand="0" w:oddHBand="0" w:evenHBand="0" w:firstRowFirstColumn="0" w:firstRowLastColumn="0" w:lastRowFirstColumn="0" w:lastRowLastColumn="0"/>
            </w:pPr>
            <w:r w:rsidRPr="00463989">
              <w:t>Resulting in…</w:t>
            </w:r>
            <w:r w:rsidR="00A30219">
              <w:rPr>
                <w:rStyle w:val="FootnoteReference"/>
              </w:rPr>
              <w:footnoteReference w:id="1"/>
            </w:r>
          </w:p>
        </w:tc>
      </w:tr>
      <w:tr w:rsidR="00463989" w:rsidRPr="00075292" w14:paraId="3B4572D1" w14:textId="77777777" w:rsidTr="00DF6E70">
        <w:trPr>
          <w:gridBefore w:val="1"/>
          <w:cnfStyle w:val="000000100000" w:firstRow="0" w:lastRow="0" w:firstColumn="0" w:lastColumn="0" w:oddVBand="0" w:evenVBand="0" w:oddHBand="1" w:evenHBand="0" w:firstRowFirstColumn="0" w:firstRowLastColumn="0" w:lastRowFirstColumn="0" w:lastRowLastColumn="0"/>
          <w:wBefore w:w="40" w:type="dxa"/>
          <w:cantSplit/>
        </w:trPr>
        <w:tc>
          <w:tcPr>
            <w:cnfStyle w:val="001000000000" w:firstRow="0" w:lastRow="0" w:firstColumn="1" w:lastColumn="0" w:oddVBand="0" w:evenVBand="0" w:oddHBand="0" w:evenHBand="0" w:firstRowFirstColumn="0" w:firstRowLastColumn="0" w:lastRowFirstColumn="0" w:lastRowLastColumn="0"/>
            <w:tcW w:w="3211" w:type="dxa"/>
            <w:gridSpan w:val="2"/>
            <w:shd w:val="clear" w:color="auto" w:fill="EAE5E3"/>
          </w:tcPr>
          <w:p w14:paraId="33EC8F00" w14:textId="3E3EC649" w:rsidR="00463989" w:rsidRDefault="00463989" w:rsidP="00DB44ED">
            <w:pPr>
              <w:pStyle w:val="BodyCopy"/>
            </w:pPr>
            <w:r w:rsidRPr="00733049">
              <w:rPr>
                <w:b w:val="0"/>
                <w:bCs w:val="0"/>
              </w:rPr>
              <w:t>Unauthorised disclosure</w:t>
            </w:r>
            <w:r w:rsidR="00653DDE">
              <w:rPr>
                <w:b w:val="0"/>
                <w:bCs w:val="0"/>
              </w:rPr>
              <w:t xml:space="preserve"> </w:t>
            </w:r>
            <w:r w:rsidRPr="00733049">
              <w:rPr>
                <w:b w:val="0"/>
                <w:bCs w:val="0"/>
              </w:rPr>
              <w:t xml:space="preserve">of </w:t>
            </w:r>
            <w:r w:rsidR="00E859D3">
              <w:rPr>
                <w:b w:val="0"/>
                <w:bCs w:val="0"/>
              </w:rPr>
              <w:t>employee</w:t>
            </w:r>
            <w:r w:rsidR="004A73A0" w:rsidRPr="00733049">
              <w:rPr>
                <w:b w:val="0"/>
                <w:bCs w:val="0"/>
              </w:rPr>
              <w:t xml:space="preserve"> </w:t>
            </w:r>
            <w:r w:rsidRPr="00733049">
              <w:rPr>
                <w:b w:val="0"/>
                <w:bCs w:val="0"/>
              </w:rPr>
              <w:t>information</w:t>
            </w:r>
            <w:r w:rsidR="00E722BE">
              <w:rPr>
                <w:b w:val="0"/>
                <w:bCs w:val="0"/>
              </w:rPr>
              <w:t xml:space="preserve"> </w:t>
            </w:r>
          </w:p>
          <w:p w14:paraId="48496561" w14:textId="497BB855" w:rsidR="004D46D1" w:rsidRPr="000C7141" w:rsidRDefault="00776EBD" w:rsidP="00653DDE">
            <w:pPr>
              <w:pStyle w:val="BodyCopy"/>
              <w:rPr>
                <w:b w:val="0"/>
                <w:bCs w:val="0"/>
              </w:rPr>
            </w:pPr>
            <w:r w:rsidRPr="00F74D3A">
              <w:t>(Compromise of confidentiality)</w:t>
            </w:r>
          </w:p>
        </w:tc>
        <w:tc>
          <w:tcPr>
            <w:tcW w:w="3211" w:type="dxa"/>
            <w:gridSpan w:val="2"/>
            <w:shd w:val="clear" w:color="auto" w:fill="EAE5E3"/>
          </w:tcPr>
          <w:p w14:paraId="42C31966" w14:textId="50012ACB" w:rsidR="00463989" w:rsidRPr="00075292" w:rsidRDefault="00E859D3" w:rsidP="00DB44ED">
            <w:pPr>
              <w:pStyle w:val="BodyCopy"/>
              <w:cnfStyle w:val="000000100000" w:firstRow="0" w:lastRow="0" w:firstColumn="0" w:lastColumn="0" w:oddVBand="0" w:evenVBand="0" w:oddHBand="1" w:evenHBand="0" w:firstRowFirstColumn="0" w:firstRowLastColumn="0" w:lastRowFirstColumn="0" w:lastRowLastColumn="0"/>
            </w:pPr>
            <w:r>
              <w:t>Incorrect permissions set on shared drive / MS Teams / line of business system</w:t>
            </w:r>
            <w:r w:rsidR="00304A4F">
              <w:t xml:space="preserve"> / Google drive</w:t>
            </w:r>
          </w:p>
        </w:tc>
        <w:tc>
          <w:tcPr>
            <w:tcW w:w="3212" w:type="dxa"/>
            <w:gridSpan w:val="2"/>
            <w:shd w:val="clear" w:color="auto" w:fill="EAE5E3"/>
          </w:tcPr>
          <w:p w14:paraId="51B22BC1" w14:textId="5A3D6D43" w:rsidR="008F27F0" w:rsidRPr="00075292" w:rsidRDefault="00653DDE" w:rsidP="00DB44ED">
            <w:pPr>
              <w:pStyle w:val="BodyCopy"/>
              <w:cnfStyle w:val="000000100000" w:firstRow="0" w:lastRow="0" w:firstColumn="0" w:lastColumn="0" w:oddVBand="0" w:evenVBand="0" w:oddHBand="1" w:evenHBand="0" w:firstRowFirstColumn="0" w:firstRowLastColumn="0" w:lastRowFirstColumn="0" w:lastRowLastColumn="0"/>
            </w:pPr>
            <w:r>
              <w:t>I</w:t>
            </w:r>
            <w:r w:rsidR="00463989" w:rsidRPr="00075292">
              <w:t xml:space="preserve">mpact to individuals whose personal information was affected </w:t>
            </w:r>
          </w:p>
        </w:tc>
      </w:tr>
      <w:tr w:rsidR="00DF6E70" w14:paraId="2AC3500B" w14:textId="77777777" w:rsidTr="00DF6E70">
        <w:trPr>
          <w:gridAfter w:val="1"/>
          <w:wAfter w:w="40" w:type="dxa"/>
          <w:cantSplit/>
        </w:trPr>
        <w:tc>
          <w:tcPr>
            <w:cnfStyle w:val="001000000000" w:firstRow="0" w:lastRow="0" w:firstColumn="1" w:lastColumn="0" w:oddVBand="0" w:evenVBand="0" w:oddHBand="0" w:evenHBand="0" w:firstRowFirstColumn="0" w:firstRowLastColumn="0" w:lastRowFirstColumn="0" w:lastRowLastColumn="0"/>
            <w:tcW w:w="3211" w:type="dxa"/>
            <w:gridSpan w:val="2"/>
            <w:shd w:val="clear" w:color="auto" w:fill="EAE5E3"/>
          </w:tcPr>
          <w:p w14:paraId="0BED7A55" w14:textId="77777777" w:rsidR="00DF6E70" w:rsidRPr="0019098D" w:rsidRDefault="00DF6E70" w:rsidP="00CD5252">
            <w:pPr>
              <w:pStyle w:val="BodyCopy"/>
              <w:rPr>
                <w:b w:val="0"/>
                <w:bCs w:val="0"/>
              </w:rPr>
            </w:pPr>
            <w:r>
              <w:rPr>
                <w:b w:val="0"/>
                <w:bCs w:val="0"/>
              </w:rPr>
              <w:t>Inappropriate handling</w:t>
            </w:r>
            <w:r w:rsidRPr="0019098D">
              <w:rPr>
                <w:b w:val="0"/>
                <w:bCs w:val="0"/>
              </w:rPr>
              <w:t xml:space="preserve"> of </w:t>
            </w:r>
            <w:r>
              <w:rPr>
                <w:b w:val="0"/>
                <w:bCs w:val="0"/>
              </w:rPr>
              <w:t>investigations information</w:t>
            </w:r>
          </w:p>
          <w:p w14:paraId="307ABCA9" w14:textId="77777777" w:rsidR="00DF6E70" w:rsidRPr="00F74D3A" w:rsidRDefault="00DF6E70" w:rsidP="00CD5252">
            <w:pPr>
              <w:pStyle w:val="BodyCopy"/>
              <w:rPr>
                <w:b w:val="0"/>
                <w:bCs w:val="0"/>
              </w:rPr>
            </w:pPr>
            <w:r w:rsidRPr="00F74D3A">
              <w:t>(Compromise of confidentiality)</w:t>
            </w:r>
          </w:p>
        </w:tc>
        <w:tc>
          <w:tcPr>
            <w:tcW w:w="3211" w:type="dxa"/>
            <w:gridSpan w:val="2"/>
            <w:shd w:val="clear" w:color="auto" w:fill="EAE5E3"/>
          </w:tcPr>
          <w:p w14:paraId="6FA4788E" w14:textId="77777777" w:rsidR="00DF6E70" w:rsidRDefault="00DF6E70" w:rsidP="00CD5252">
            <w:pPr>
              <w:pStyle w:val="BodyCopy"/>
              <w:cnfStyle w:val="000000000000" w:firstRow="0" w:lastRow="0" w:firstColumn="0" w:lastColumn="0" w:oddVBand="0" w:evenVBand="0" w:oddHBand="0" w:evenHBand="0" w:firstRowFirstColumn="0" w:firstRowLastColumn="0" w:lastRowFirstColumn="0" w:lastRowLastColumn="0"/>
            </w:pPr>
            <w:r>
              <w:t xml:space="preserve">Employee using unauthorised third-party software not approved by the organisation </w:t>
            </w:r>
          </w:p>
        </w:tc>
        <w:tc>
          <w:tcPr>
            <w:tcW w:w="3212" w:type="dxa"/>
            <w:gridSpan w:val="2"/>
            <w:shd w:val="clear" w:color="auto" w:fill="EAE5E3"/>
          </w:tcPr>
          <w:p w14:paraId="13B1E5A3" w14:textId="52EE6745" w:rsidR="00DF6E70" w:rsidRDefault="00DF6E70" w:rsidP="00CD5252">
            <w:pPr>
              <w:pStyle w:val="BodyCopy"/>
              <w:cnfStyle w:val="000000000000" w:firstRow="0" w:lastRow="0" w:firstColumn="0" w:lastColumn="0" w:oddVBand="0" w:evenVBand="0" w:oddHBand="0" w:evenHBand="0" w:firstRowFirstColumn="0" w:firstRowLastColumn="0" w:lastRowFirstColumn="0" w:lastRowLastColumn="0"/>
            </w:pPr>
            <w:r>
              <w:t>Impact on public services (reputation of, and confidence in, the organisation)</w:t>
            </w:r>
          </w:p>
        </w:tc>
      </w:tr>
      <w:tr w:rsidR="00463989" w14:paraId="325B48E8" w14:textId="77777777" w:rsidTr="00DF6E70">
        <w:trPr>
          <w:gridBefore w:val="1"/>
          <w:cnfStyle w:val="000000100000" w:firstRow="0" w:lastRow="0" w:firstColumn="0" w:lastColumn="0" w:oddVBand="0" w:evenVBand="0" w:oddHBand="1" w:evenHBand="0" w:firstRowFirstColumn="0" w:firstRowLastColumn="0" w:lastRowFirstColumn="0" w:lastRowLastColumn="0"/>
          <w:wBefore w:w="40" w:type="dxa"/>
          <w:cantSplit/>
        </w:trPr>
        <w:tc>
          <w:tcPr>
            <w:cnfStyle w:val="001000000000" w:firstRow="0" w:lastRow="0" w:firstColumn="1" w:lastColumn="0" w:oddVBand="0" w:evenVBand="0" w:oddHBand="0" w:evenHBand="0" w:firstRowFirstColumn="0" w:firstRowLastColumn="0" w:lastRowFirstColumn="0" w:lastRowLastColumn="0"/>
            <w:tcW w:w="3211" w:type="dxa"/>
            <w:gridSpan w:val="2"/>
            <w:shd w:val="clear" w:color="auto" w:fill="EAE5E3"/>
          </w:tcPr>
          <w:p w14:paraId="54D9BDE4" w14:textId="1C8794A3" w:rsidR="00776EBD" w:rsidRDefault="004A73A0" w:rsidP="00DB44ED">
            <w:pPr>
              <w:pStyle w:val="BodyCopy"/>
            </w:pPr>
            <w:r>
              <w:rPr>
                <w:b w:val="0"/>
                <w:bCs w:val="0"/>
              </w:rPr>
              <w:t xml:space="preserve">Inappropriate handling of identity </w:t>
            </w:r>
            <w:r w:rsidR="00A05019">
              <w:rPr>
                <w:b w:val="0"/>
                <w:bCs w:val="0"/>
              </w:rPr>
              <w:t>information</w:t>
            </w:r>
          </w:p>
          <w:p w14:paraId="72527E62" w14:textId="46F9295C" w:rsidR="004A73A0" w:rsidRPr="000C7141" w:rsidRDefault="004A73A0" w:rsidP="00DB44ED">
            <w:pPr>
              <w:pStyle w:val="BodyCopy"/>
              <w:rPr>
                <w:b w:val="0"/>
                <w:bCs w:val="0"/>
              </w:rPr>
            </w:pPr>
            <w:r w:rsidRPr="00F74D3A">
              <w:t>(Compromise of confidentiality</w:t>
            </w:r>
            <w:r w:rsidR="0066330D" w:rsidRPr="00F74D3A">
              <w:t xml:space="preserve"> and integrity</w:t>
            </w:r>
            <w:r w:rsidRPr="00F74D3A">
              <w:t>)</w:t>
            </w:r>
          </w:p>
        </w:tc>
        <w:tc>
          <w:tcPr>
            <w:tcW w:w="3211" w:type="dxa"/>
            <w:gridSpan w:val="2"/>
            <w:shd w:val="clear" w:color="auto" w:fill="EAE5E3"/>
          </w:tcPr>
          <w:p w14:paraId="61C77A39" w14:textId="26325659" w:rsidR="00463989" w:rsidRDefault="004A73A0" w:rsidP="00DB44ED">
            <w:pPr>
              <w:pStyle w:val="BodyCopy"/>
              <w:cnfStyle w:val="000000100000" w:firstRow="0" w:lastRow="0" w:firstColumn="0" w:lastColumn="0" w:oddVBand="0" w:evenVBand="0" w:oddHBand="1" w:evenHBand="0" w:firstRowFirstColumn="0" w:firstRowLastColumn="0" w:lastRowFirstColumn="0" w:lastRowLastColumn="0"/>
            </w:pPr>
            <w:r>
              <w:t xml:space="preserve">Employees failing to follow the </w:t>
            </w:r>
            <w:r w:rsidR="00E20CD1">
              <w:t xml:space="preserve">identity checking </w:t>
            </w:r>
            <w:r>
              <w:t xml:space="preserve">process and </w:t>
            </w:r>
            <w:r w:rsidR="00E20CD1">
              <w:t>being helpful to callers probing for information over the phone to change other customer records</w:t>
            </w:r>
          </w:p>
        </w:tc>
        <w:tc>
          <w:tcPr>
            <w:tcW w:w="3212" w:type="dxa"/>
            <w:gridSpan w:val="2"/>
            <w:shd w:val="clear" w:color="auto" w:fill="EAE5E3"/>
          </w:tcPr>
          <w:p w14:paraId="3CA8CA07" w14:textId="24EC9873" w:rsidR="00463989" w:rsidRPr="00C04DFC" w:rsidRDefault="004A73A0" w:rsidP="00DB44ED">
            <w:pPr>
              <w:pStyle w:val="BodyCopy"/>
              <w:cnfStyle w:val="000000100000" w:firstRow="0" w:lastRow="0" w:firstColumn="0" w:lastColumn="0" w:oddVBand="0" w:evenVBand="0" w:oddHBand="1" w:evenHBand="0" w:firstRowFirstColumn="0" w:firstRowLastColumn="0" w:lastRowFirstColumn="0" w:lastRowLastColumn="0"/>
            </w:pPr>
            <w:r>
              <w:t>I</w:t>
            </w:r>
            <w:r w:rsidRPr="00075292">
              <w:t xml:space="preserve">mpact to individuals whose personal information was affected </w:t>
            </w:r>
          </w:p>
        </w:tc>
      </w:tr>
      <w:tr w:rsidR="00463989" w14:paraId="129FB84B" w14:textId="77777777" w:rsidTr="00DF6E70">
        <w:trPr>
          <w:gridBefore w:val="1"/>
          <w:wBefore w:w="40" w:type="dxa"/>
          <w:cantSplit/>
        </w:trPr>
        <w:tc>
          <w:tcPr>
            <w:cnfStyle w:val="001000000000" w:firstRow="0" w:lastRow="0" w:firstColumn="1" w:lastColumn="0" w:oddVBand="0" w:evenVBand="0" w:oddHBand="0" w:evenHBand="0" w:firstRowFirstColumn="0" w:firstRowLastColumn="0" w:lastRowFirstColumn="0" w:lastRowLastColumn="0"/>
            <w:tcW w:w="3211" w:type="dxa"/>
            <w:gridSpan w:val="2"/>
            <w:shd w:val="clear" w:color="auto" w:fill="EAE5E3"/>
          </w:tcPr>
          <w:p w14:paraId="696BC9F8" w14:textId="3A9D3F9E" w:rsidR="00776EBD" w:rsidRPr="000E1F46" w:rsidRDefault="00430F1F" w:rsidP="00DB44ED">
            <w:pPr>
              <w:pStyle w:val="BodyCopy"/>
              <w:rPr>
                <w:b w:val="0"/>
                <w:bCs w:val="0"/>
              </w:rPr>
            </w:pPr>
            <w:r>
              <w:rPr>
                <w:b w:val="0"/>
                <w:bCs w:val="0"/>
              </w:rPr>
              <w:t>Loss of client files</w:t>
            </w:r>
          </w:p>
          <w:p w14:paraId="7308C85E" w14:textId="00F21A53" w:rsidR="000E1F46" w:rsidRPr="00F74D3A" w:rsidRDefault="000E1F46" w:rsidP="00DB44ED">
            <w:pPr>
              <w:pStyle w:val="BodyCopy"/>
              <w:rPr>
                <w:b w:val="0"/>
                <w:bCs w:val="0"/>
              </w:rPr>
            </w:pPr>
            <w:r w:rsidRPr="00F74D3A">
              <w:t>(Compromise of availability)</w:t>
            </w:r>
          </w:p>
        </w:tc>
        <w:tc>
          <w:tcPr>
            <w:tcW w:w="3211" w:type="dxa"/>
            <w:gridSpan w:val="2"/>
            <w:shd w:val="clear" w:color="auto" w:fill="EAE5E3"/>
          </w:tcPr>
          <w:p w14:paraId="32FBA10E" w14:textId="6A86F55B" w:rsidR="00463989" w:rsidRDefault="00430F1F" w:rsidP="00DB44ED">
            <w:pPr>
              <w:pStyle w:val="BodyCopy"/>
              <w:cnfStyle w:val="000000000000" w:firstRow="0" w:lastRow="0" w:firstColumn="0" w:lastColumn="0" w:oddVBand="0" w:evenVBand="0" w:oddHBand="0" w:evenHBand="0" w:firstRowFirstColumn="0" w:firstRowLastColumn="0" w:lastRowFirstColumn="0" w:lastRowLastColumn="0"/>
            </w:pPr>
            <w:r>
              <w:t>Third party suffering a ransomware attack</w:t>
            </w:r>
          </w:p>
        </w:tc>
        <w:tc>
          <w:tcPr>
            <w:tcW w:w="3212" w:type="dxa"/>
            <w:gridSpan w:val="2"/>
            <w:shd w:val="clear" w:color="auto" w:fill="EAE5E3"/>
          </w:tcPr>
          <w:p w14:paraId="7A5E66EE" w14:textId="7391454F" w:rsidR="00463989" w:rsidRPr="00C04DFC" w:rsidRDefault="000E1F46" w:rsidP="00DB44ED">
            <w:pPr>
              <w:pStyle w:val="BodyCopy"/>
              <w:cnfStyle w:val="000000000000" w:firstRow="0" w:lastRow="0" w:firstColumn="0" w:lastColumn="0" w:oddVBand="0" w:evenVBand="0" w:oddHBand="0" w:evenHBand="0" w:firstRowFirstColumn="0" w:firstRowLastColumn="0" w:lastRowFirstColumn="0" w:lastRowLastColumn="0"/>
            </w:pPr>
            <w:r>
              <w:t>Impact to service delivery</w:t>
            </w:r>
          </w:p>
        </w:tc>
      </w:tr>
      <w:tr w:rsidR="00E52C54" w14:paraId="4BE0496A" w14:textId="77777777" w:rsidTr="00DF6E70">
        <w:trPr>
          <w:gridBefore w:val="1"/>
          <w:cnfStyle w:val="000000100000" w:firstRow="0" w:lastRow="0" w:firstColumn="0" w:lastColumn="0" w:oddVBand="0" w:evenVBand="0" w:oddHBand="1" w:evenHBand="0" w:firstRowFirstColumn="0" w:firstRowLastColumn="0" w:lastRowFirstColumn="0" w:lastRowLastColumn="0"/>
          <w:wBefore w:w="40" w:type="dxa"/>
          <w:cantSplit/>
        </w:trPr>
        <w:tc>
          <w:tcPr>
            <w:cnfStyle w:val="001000000000" w:firstRow="0" w:lastRow="0" w:firstColumn="1" w:lastColumn="0" w:oddVBand="0" w:evenVBand="0" w:oddHBand="0" w:evenHBand="0" w:firstRowFirstColumn="0" w:firstRowLastColumn="0" w:lastRowFirstColumn="0" w:lastRowLastColumn="0"/>
            <w:tcW w:w="3211" w:type="dxa"/>
            <w:gridSpan w:val="2"/>
            <w:shd w:val="clear" w:color="auto" w:fill="EAE5E3"/>
          </w:tcPr>
          <w:p w14:paraId="6E41E4FE" w14:textId="515B651E" w:rsidR="00E52C54" w:rsidRDefault="00DF6E70" w:rsidP="00DB44ED">
            <w:pPr>
              <w:pStyle w:val="BodyCopy"/>
            </w:pPr>
            <w:r>
              <w:rPr>
                <w:b w:val="0"/>
                <w:bCs w:val="0"/>
              </w:rPr>
              <w:t>C</w:t>
            </w:r>
            <w:r w:rsidR="00A05019">
              <w:rPr>
                <w:b w:val="0"/>
                <w:bCs w:val="0"/>
              </w:rPr>
              <w:t>ustomer</w:t>
            </w:r>
            <w:r>
              <w:rPr>
                <w:b w:val="0"/>
                <w:bCs w:val="0"/>
              </w:rPr>
              <w:t>s</w:t>
            </w:r>
            <w:r w:rsidR="00A05019">
              <w:rPr>
                <w:b w:val="0"/>
                <w:bCs w:val="0"/>
              </w:rPr>
              <w:t xml:space="preserve"> </w:t>
            </w:r>
            <w:r>
              <w:rPr>
                <w:b w:val="0"/>
                <w:bCs w:val="0"/>
              </w:rPr>
              <w:t xml:space="preserve">not receiving their </w:t>
            </w:r>
            <w:r w:rsidR="00A05019">
              <w:rPr>
                <w:b w:val="0"/>
                <w:bCs w:val="0"/>
              </w:rPr>
              <w:t>documents</w:t>
            </w:r>
            <w:r w:rsidR="009F288F">
              <w:rPr>
                <w:b w:val="0"/>
                <w:bCs w:val="0"/>
              </w:rPr>
              <w:t xml:space="preserve"> </w:t>
            </w:r>
            <w:r>
              <w:rPr>
                <w:b w:val="0"/>
                <w:bCs w:val="0"/>
              </w:rPr>
              <w:t>(letters/bills) in a timely manner</w:t>
            </w:r>
          </w:p>
          <w:p w14:paraId="5ED0E853" w14:textId="109EEFF2" w:rsidR="000E1F46" w:rsidRPr="000C7141" w:rsidRDefault="000E1F46" w:rsidP="00DB44ED">
            <w:pPr>
              <w:pStyle w:val="BodyCopy"/>
              <w:rPr>
                <w:b w:val="0"/>
                <w:bCs w:val="0"/>
              </w:rPr>
            </w:pPr>
            <w:r w:rsidRPr="00F74D3A">
              <w:t xml:space="preserve">(Compromise of </w:t>
            </w:r>
            <w:r w:rsidR="00E20CD1" w:rsidRPr="00F74D3A">
              <w:t>availability</w:t>
            </w:r>
            <w:r w:rsidRPr="00F74D3A">
              <w:t>)</w:t>
            </w:r>
          </w:p>
        </w:tc>
        <w:tc>
          <w:tcPr>
            <w:tcW w:w="3211" w:type="dxa"/>
            <w:gridSpan w:val="2"/>
            <w:shd w:val="clear" w:color="auto" w:fill="EAE5E3"/>
          </w:tcPr>
          <w:p w14:paraId="0F6D91EB" w14:textId="784AF154" w:rsidR="0066330D" w:rsidRDefault="00A05019" w:rsidP="00DB44ED">
            <w:pPr>
              <w:pStyle w:val="BodyCopy"/>
              <w:cnfStyle w:val="000000100000" w:firstRow="0" w:lastRow="0" w:firstColumn="0" w:lastColumn="0" w:oddVBand="0" w:evenVBand="0" w:oddHBand="1" w:evenHBand="0" w:firstRowFirstColumn="0" w:firstRowLastColumn="0" w:lastRowFirstColumn="0" w:lastRowLastColumn="0"/>
            </w:pPr>
            <w:r>
              <w:t>Physical mail missing and not reaching intended mailing address</w:t>
            </w:r>
          </w:p>
        </w:tc>
        <w:tc>
          <w:tcPr>
            <w:tcW w:w="3212" w:type="dxa"/>
            <w:gridSpan w:val="2"/>
            <w:shd w:val="clear" w:color="auto" w:fill="EAE5E3"/>
          </w:tcPr>
          <w:p w14:paraId="7983AF12" w14:textId="454B8DE3" w:rsidR="00E52C54" w:rsidRDefault="00DF6E70" w:rsidP="00DB44ED">
            <w:pPr>
              <w:pStyle w:val="BodyCopy"/>
              <w:cnfStyle w:val="000000100000" w:firstRow="0" w:lastRow="0" w:firstColumn="0" w:lastColumn="0" w:oddVBand="0" w:evenVBand="0" w:oddHBand="1" w:evenHBand="0" w:firstRowFirstColumn="0" w:firstRowLastColumn="0" w:lastRowFirstColumn="0" w:lastRowLastColumn="0"/>
            </w:pPr>
            <w:r>
              <w:t>I</w:t>
            </w:r>
            <w:r w:rsidRPr="00075292">
              <w:t>mpact to individuals</w:t>
            </w:r>
          </w:p>
        </w:tc>
      </w:tr>
    </w:tbl>
    <w:p w14:paraId="555B32AD" w14:textId="1ACF3921" w:rsidR="00463989" w:rsidRDefault="00463989"/>
    <w:p w14:paraId="1C2019CA" w14:textId="77777777" w:rsidR="00463989" w:rsidRPr="000C7AB9" w:rsidRDefault="00463989" w:rsidP="000C7AB9">
      <w:pPr>
        <w:pStyle w:val="SectionHeading"/>
        <w:rPr>
          <w:b w:val="0"/>
          <w:bCs/>
          <w:sz w:val="28"/>
          <w:szCs w:val="28"/>
        </w:rPr>
      </w:pPr>
      <w:r w:rsidRPr="000C7AB9">
        <w:rPr>
          <w:b w:val="0"/>
          <w:bCs/>
          <w:sz w:val="28"/>
          <w:szCs w:val="28"/>
        </w:rPr>
        <w:t>More information</w:t>
      </w:r>
    </w:p>
    <w:p w14:paraId="7A90DF72" w14:textId="3ED4AC78" w:rsidR="00463989" w:rsidRDefault="00463989" w:rsidP="00463989">
      <w:pPr>
        <w:pStyle w:val="Body"/>
      </w:pPr>
      <w:r>
        <w:t xml:space="preserve">For further information </w:t>
      </w:r>
      <w:r w:rsidR="00006C16">
        <w:t xml:space="preserve">on </w:t>
      </w:r>
      <w:r>
        <w:t>the information security incident notification scheme</w:t>
      </w:r>
      <w:r w:rsidR="002E3331">
        <w:t>,</w:t>
      </w:r>
      <w:r>
        <w:t xml:space="preserve"> </w:t>
      </w:r>
      <w:r w:rsidR="00006C16">
        <w:t xml:space="preserve">and to </w:t>
      </w:r>
      <w:r>
        <w:t xml:space="preserve">download a notification form, </w:t>
      </w:r>
      <w:r w:rsidR="00006C16">
        <w:t>visit</w:t>
      </w:r>
      <w:r>
        <w:t xml:space="preserve"> our website</w:t>
      </w:r>
      <w:r w:rsidR="00006C16">
        <w:t>:</w:t>
      </w:r>
      <w:r w:rsidR="00006C16">
        <w:br/>
      </w:r>
      <w:hyperlink r:id="rId22" w:history="1">
        <w:r w:rsidR="00006C16" w:rsidRPr="00006C16">
          <w:rPr>
            <w:rStyle w:val="Hyperlink"/>
          </w:rPr>
          <w:t>https://ovic.vic.gov.au/data-protection/agency-reporting-obligations/incident-notification/</w:t>
        </w:r>
      </w:hyperlink>
      <w:r>
        <w:t xml:space="preserve"> </w:t>
      </w:r>
    </w:p>
    <w:p w14:paraId="1C8C490D" w14:textId="20339E36" w:rsidR="000C7AB9" w:rsidRPr="00B5019B" w:rsidRDefault="00006C16" w:rsidP="00B5019B">
      <w:pPr>
        <w:pStyle w:val="Body"/>
      </w:pPr>
      <w:r>
        <w:t xml:space="preserve">We welcome your feedback on this report. </w:t>
      </w:r>
      <w:r w:rsidR="00463989" w:rsidRPr="001F3DC9">
        <w:t xml:space="preserve">Contact OVIC at </w:t>
      </w:r>
      <w:hyperlink r:id="rId23" w:history="1">
        <w:r w:rsidR="00463989" w:rsidRPr="00952599">
          <w:rPr>
            <w:rStyle w:val="Hyperlink"/>
          </w:rPr>
          <w:t>security@ovic.vic.gov.au</w:t>
        </w:r>
      </w:hyperlink>
      <w:r w:rsidR="00463989">
        <w:t xml:space="preserve"> </w:t>
      </w:r>
      <w:r w:rsidR="00463989" w:rsidRPr="001F3DC9">
        <w:t xml:space="preserve">if you </w:t>
      </w:r>
      <w:r w:rsidR="00463989">
        <w:t>would like to discuss this report any further.</w:t>
      </w:r>
    </w:p>
    <w:sectPr w:rsidR="000C7AB9" w:rsidRPr="00B5019B" w:rsidSect="002B353D">
      <w:headerReference w:type="default" r:id="rId24"/>
      <w:footerReference w:type="default" r:id="rId25"/>
      <w:headerReference w:type="first" r:id="rId26"/>
      <w:footerReference w:type="first" r:id="rId2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4653" w14:textId="77777777" w:rsidR="002F7A4F" w:rsidRDefault="002F7A4F" w:rsidP="00771051">
      <w:pPr>
        <w:spacing w:after="0" w:line="240" w:lineRule="auto"/>
      </w:pPr>
      <w:r>
        <w:separator/>
      </w:r>
    </w:p>
  </w:endnote>
  <w:endnote w:type="continuationSeparator" w:id="0">
    <w:p w14:paraId="7AA66978" w14:textId="77777777" w:rsidR="002F7A4F" w:rsidRDefault="002F7A4F" w:rsidP="007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National-Book">
    <w:altName w:val="Times New Roman"/>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FFA" w14:textId="6DE3F458" w:rsidR="000F6636" w:rsidRPr="00C40D5B" w:rsidRDefault="000F6636" w:rsidP="00C40D5B">
    <w:pPr>
      <w:pStyle w:val="SectionHeading"/>
      <w:jc w:val="center"/>
      <w:rPr>
        <w:color w:val="FF0000"/>
        <w:sz w:val="44"/>
        <w:szCs w:val="44"/>
      </w:rPr>
    </w:pPr>
    <w:r w:rsidRPr="00C40D5B">
      <w:rPr>
        <w:color w:val="FF0000"/>
        <w:sz w:val="44"/>
        <w:szCs w:val="4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5E66" w14:textId="27FB6020" w:rsidR="000F6636" w:rsidRPr="00C40D5B" w:rsidRDefault="000F6636" w:rsidP="00C40D5B">
    <w:pPr>
      <w:pStyle w:val="SectionHeading"/>
      <w:jc w:val="center"/>
      <w:rPr>
        <w:color w:val="FF0000"/>
        <w:sz w:val="44"/>
        <w:szCs w:val="44"/>
      </w:rPr>
    </w:pPr>
    <w:r w:rsidRPr="00C40D5B">
      <w:rPr>
        <w:color w:val="FF0000"/>
        <w:sz w:val="44"/>
        <w:szCs w:val="44"/>
      </w:rPr>
      <w:t>OFFICIAL</w:t>
    </w:r>
  </w:p>
  <w:p w14:paraId="26916963" w14:textId="6A236A56" w:rsidR="000F6636" w:rsidRDefault="000F6636" w:rsidP="00C40D5B">
    <w:pPr>
      <w:pStyle w:val="SectionHeading"/>
    </w:pPr>
    <w:r w:rsidRPr="00487066">
      <w:rPr>
        <w:sz w:val="20"/>
        <w:szCs w:val="20"/>
      </w:rPr>
      <w:t xml:space="preserve">Freedom of Information </w:t>
    </w:r>
    <w:r w:rsidRPr="00487066">
      <w:rPr>
        <w:color w:val="E5007D"/>
        <w:sz w:val="20"/>
        <w:szCs w:val="20"/>
      </w:rPr>
      <w:t>|</w:t>
    </w:r>
    <w:r w:rsidRPr="00487066">
      <w:rPr>
        <w:sz w:val="20"/>
        <w:szCs w:val="20"/>
      </w:rPr>
      <w:t xml:space="preserve"> Privacy </w:t>
    </w:r>
    <w:r w:rsidRPr="00487066">
      <w:rPr>
        <w:color w:val="E5007D"/>
        <w:sz w:val="20"/>
        <w:szCs w:val="20"/>
      </w:rPr>
      <w:t>|</w:t>
    </w:r>
    <w:r w:rsidRPr="00487066">
      <w:rPr>
        <w:sz w:val="20"/>
        <w:szCs w:val="20"/>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31A6" w14:textId="77777777" w:rsidR="002F7A4F" w:rsidRDefault="002F7A4F" w:rsidP="00771051">
      <w:pPr>
        <w:spacing w:after="0" w:line="240" w:lineRule="auto"/>
      </w:pPr>
      <w:r>
        <w:separator/>
      </w:r>
    </w:p>
  </w:footnote>
  <w:footnote w:type="continuationSeparator" w:id="0">
    <w:p w14:paraId="1F9C3FC4" w14:textId="77777777" w:rsidR="002F7A4F" w:rsidRDefault="002F7A4F" w:rsidP="00771051">
      <w:pPr>
        <w:spacing w:after="0" w:line="240" w:lineRule="auto"/>
      </w:pPr>
      <w:r>
        <w:continuationSeparator/>
      </w:r>
    </w:p>
  </w:footnote>
  <w:footnote w:id="1">
    <w:p w14:paraId="3DE9C558" w14:textId="62225E06" w:rsidR="000F6636" w:rsidRPr="00777AD6" w:rsidRDefault="000F6636">
      <w:pPr>
        <w:pStyle w:val="FootnoteText"/>
        <w:rPr>
          <w:color w:val="595959" w:themeColor="text1" w:themeTint="A6"/>
          <w:sz w:val="16"/>
          <w:szCs w:val="16"/>
        </w:rPr>
      </w:pPr>
      <w:r w:rsidRPr="00777AD6">
        <w:rPr>
          <w:rStyle w:val="FootnoteReference"/>
          <w:color w:val="595959" w:themeColor="text1" w:themeTint="A6"/>
          <w:sz w:val="16"/>
          <w:szCs w:val="16"/>
        </w:rPr>
        <w:footnoteRef/>
      </w:r>
      <w:r w:rsidRPr="00777AD6">
        <w:rPr>
          <w:color w:val="595959" w:themeColor="text1" w:themeTint="A6"/>
          <w:sz w:val="16"/>
          <w:szCs w:val="16"/>
        </w:rPr>
        <w:t xml:space="preserve"> The extent of the impact could be “limited” or higher depending on the context and nature of the incident and is left for an organisation to determine.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DA2F" w14:textId="240E659E" w:rsidR="000F6636" w:rsidRPr="00C40D5B" w:rsidRDefault="000F6636" w:rsidP="00C40D5B">
    <w:pPr>
      <w:pStyle w:val="SectionHeading"/>
      <w:jc w:val="center"/>
      <w:rPr>
        <w:color w:val="FF0000"/>
        <w:sz w:val="44"/>
        <w:szCs w:val="44"/>
      </w:rPr>
    </w:pPr>
    <w:r w:rsidRPr="00C40D5B">
      <w:rPr>
        <w:color w:val="FF0000"/>
        <w:sz w:val="44"/>
        <w:szCs w:val="4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7118" w14:textId="77777777" w:rsidR="000F6636" w:rsidRPr="00D70A8A" w:rsidRDefault="000F6636" w:rsidP="002B353D">
    <w:pPr>
      <w:pStyle w:val="Header"/>
      <w:tabs>
        <w:tab w:val="clear" w:pos="4513"/>
        <w:tab w:val="clear" w:pos="9026"/>
        <w:tab w:val="left" w:pos="6946"/>
      </w:tabs>
      <w:spacing w:after="180"/>
      <w:rPr>
        <w:color w:val="7F7F7F"/>
        <w:sz w:val="26"/>
        <w:szCs w:val="26"/>
      </w:rPr>
    </w:pPr>
    <w:r>
      <w:rPr>
        <w:noProof/>
        <w:color w:val="7F7F7F"/>
        <w:sz w:val="28"/>
        <w:szCs w:val="28"/>
        <w:lang w:eastAsia="en-AU"/>
      </w:rPr>
      <w:drawing>
        <wp:anchor distT="0" distB="0" distL="114300" distR="114300" simplePos="0" relativeHeight="251659264" behindDoc="1" locked="0" layoutInCell="1" allowOverlap="1" wp14:anchorId="0D5B5D44" wp14:editId="0515B81F">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23" name="Picture 2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Pr>
        <w:color w:val="430098"/>
        <w:sz w:val="26"/>
        <w:szCs w:val="26"/>
      </w:rPr>
      <w:t>AGENCIES and BODIES</w:t>
    </w:r>
  </w:p>
  <w:p w14:paraId="73244EC7" w14:textId="77777777" w:rsidR="000F6636" w:rsidRPr="00B37C5F" w:rsidRDefault="000F6636" w:rsidP="002B353D">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52EF16D0" w14:textId="77777777" w:rsidR="000F6636" w:rsidRPr="00142FDF" w:rsidRDefault="000F6636" w:rsidP="002B353D">
    <w:pPr>
      <w:pStyle w:val="DocumentTitle"/>
      <w:rPr>
        <w:color w:val="7F7F7F"/>
        <w:sz w:val="20"/>
        <w:szCs w:val="20"/>
      </w:rPr>
    </w:pPr>
    <w:r>
      <w:rPr>
        <w:noProof/>
        <w:lang w:val="en-AU" w:eastAsia="en-AU"/>
      </w:rPr>
      <w:drawing>
        <wp:anchor distT="0" distB="0" distL="114300" distR="114300" simplePos="0" relativeHeight="251660288" behindDoc="0" locked="0" layoutInCell="1" allowOverlap="1" wp14:anchorId="2D453C81" wp14:editId="542EE007">
          <wp:simplePos x="0" y="0"/>
          <wp:positionH relativeFrom="column">
            <wp:posOffset>-20955</wp:posOffset>
          </wp:positionH>
          <wp:positionV relativeFrom="paragraph">
            <wp:posOffset>172085</wp:posOffset>
          </wp:positionV>
          <wp:extent cx="6119495" cy="70485"/>
          <wp:effectExtent l="0" t="0" r="0" b="5715"/>
          <wp:wrapNone/>
          <wp:docPr id="25" name="Picture 2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t>Incident Insights Report</w:t>
    </w:r>
  </w:p>
  <w:p w14:paraId="394B0068" w14:textId="4B80C0EA" w:rsidR="000F6636" w:rsidRDefault="000F6636" w:rsidP="002B353D">
    <w:pPr>
      <w:pStyle w:val="Header"/>
    </w:pPr>
    <w:r>
      <w:rPr>
        <w:rFonts w:ascii="Arial" w:hAnsi="Arial" w:cs="Arial"/>
        <w:color w:val="555559"/>
        <w:sz w:val="30"/>
        <w:szCs w:val="30"/>
      </w:rPr>
      <w:t>1 J</w:t>
    </w:r>
    <w:r w:rsidR="006E44C9">
      <w:rPr>
        <w:rFonts w:ascii="Arial" w:hAnsi="Arial" w:cs="Arial"/>
        <w:color w:val="555559"/>
        <w:sz w:val="30"/>
        <w:szCs w:val="30"/>
      </w:rPr>
      <w:t>anuary</w:t>
    </w:r>
    <w:r>
      <w:rPr>
        <w:rFonts w:ascii="Arial" w:hAnsi="Arial" w:cs="Arial"/>
        <w:color w:val="555559"/>
        <w:sz w:val="30"/>
        <w:szCs w:val="30"/>
      </w:rPr>
      <w:t xml:space="preserve"> 202</w:t>
    </w:r>
    <w:r w:rsidR="006E44C9">
      <w:rPr>
        <w:rFonts w:ascii="Arial" w:hAnsi="Arial" w:cs="Arial"/>
        <w:color w:val="555559"/>
        <w:sz w:val="30"/>
        <w:szCs w:val="30"/>
      </w:rPr>
      <w:t>1</w:t>
    </w:r>
    <w:r>
      <w:rPr>
        <w:rFonts w:ascii="Arial" w:hAnsi="Arial" w:cs="Arial"/>
        <w:color w:val="555559"/>
        <w:sz w:val="30"/>
        <w:szCs w:val="30"/>
      </w:rPr>
      <w:t xml:space="preserve"> – 3</w:t>
    </w:r>
    <w:r w:rsidR="006E44C9">
      <w:rPr>
        <w:rFonts w:ascii="Arial" w:hAnsi="Arial" w:cs="Arial"/>
        <w:color w:val="555559"/>
        <w:sz w:val="30"/>
        <w:szCs w:val="30"/>
      </w:rPr>
      <w:t>0</w:t>
    </w:r>
    <w:r>
      <w:rPr>
        <w:rFonts w:ascii="Arial" w:hAnsi="Arial" w:cs="Arial"/>
        <w:color w:val="555559"/>
        <w:sz w:val="30"/>
        <w:szCs w:val="30"/>
      </w:rPr>
      <w:t xml:space="preserve"> </w:t>
    </w:r>
    <w:r w:rsidR="006E44C9">
      <w:rPr>
        <w:rFonts w:ascii="Arial" w:hAnsi="Arial" w:cs="Arial"/>
        <w:color w:val="555559"/>
        <w:sz w:val="30"/>
        <w:szCs w:val="30"/>
      </w:rPr>
      <w:t>June</w:t>
    </w:r>
    <w:r>
      <w:rPr>
        <w:rFonts w:ascii="Arial" w:hAnsi="Arial" w:cs="Arial"/>
        <w:color w:val="555559"/>
        <w:sz w:val="30"/>
        <w:szCs w:val="30"/>
      </w:rPr>
      <w:t xml:space="preserve"> 202</w:t>
    </w:r>
    <w:r w:rsidR="006E44C9">
      <w:rPr>
        <w:rFonts w:ascii="Arial" w:hAnsi="Arial" w:cs="Arial"/>
        <w:color w:val="555559"/>
        <w:sz w:val="30"/>
        <w:szCs w:val="30"/>
      </w:rPr>
      <w:t>1</w:t>
    </w:r>
  </w:p>
  <w:p w14:paraId="3530856F" w14:textId="77777777" w:rsidR="000F6636" w:rsidRDefault="000F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53"/>
    <w:multiLevelType w:val="hybridMultilevel"/>
    <w:tmpl w:val="B254CB0A"/>
    <w:lvl w:ilvl="0" w:tplc="D4F08EC0">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C6914"/>
    <w:multiLevelType w:val="hybridMultilevel"/>
    <w:tmpl w:val="E256B7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A943D31"/>
    <w:multiLevelType w:val="hybridMultilevel"/>
    <w:tmpl w:val="68D2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A70673"/>
    <w:multiLevelType w:val="hybridMultilevel"/>
    <w:tmpl w:val="2084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BE7CD2"/>
    <w:multiLevelType w:val="hybridMultilevel"/>
    <w:tmpl w:val="A6E8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BB7FBC"/>
    <w:multiLevelType w:val="hybridMultilevel"/>
    <w:tmpl w:val="2530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1D5372"/>
    <w:multiLevelType w:val="hybridMultilevel"/>
    <w:tmpl w:val="1AD4B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3E"/>
    <w:rsid w:val="00005969"/>
    <w:rsid w:val="00005E22"/>
    <w:rsid w:val="00006C16"/>
    <w:rsid w:val="0001504B"/>
    <w:rsid w:val="000176FD"/>
    <w:rsid w:val="00020250"/>
    <w:rsid w:val="00037385"/>
    <w:rsid w:val="00042D00"/>
    <w:rsid w:val="00043E66"/>
    <w:rsid w:val="00054CE4"/>
    <w:rsid w:val="00057B0F"/>
    <w:rsid w:val="00064A83"/>
    <w:rsid w:val="00077C4F"/>
    <w:rsid w:val="00087904"/>
    <w:rsid w:val="000904B5"/>
    <w:rsid w:val="00097964"/>
    <w:rsid w:val="000A0700"/>
    <w:rsid w:val="000C2FE0"/>
    <w:rsid w:val="000C3730"/>
    <w:rsid w:val="000C7141"/>
    <w:rsid w:val="000C7AB9"/>
    <w:rsid w:val="000D3955"/>
    <w:rsid w:val="000E1F46"/>
    <w:rsid w:val="000E2C8B"/>
    <w:rsid w:val="000E5D3B"/>
    <w:rsid w:val="000F30D7"/>
    <w:rsid w:val="000F45EB"/>
    <w:rsid w:val="000F6636"/>
    <w:rsid w:val="000F6D4F"/>
    <w:rsid w:val="00117DF6"/>
    <w:rsid w:val="001367F1"/>
    <w:rsid w:val="00137968"/>
    <w:rsid w:val="001405E2"/>
    <w:rsid w:val="0014168B"/>
    <w:rsid w:val="00146BFB"/>
    <w:rsid w:val="001517EB"/>
    <w:rsid w:val="0015589E"/>
    <w:rsid w:val="00173280"/>
    <w:rsid w:val="0019098D"/>
    <w:rsid w:val="001940E6"/>
    <w:rsid w:val="001A2B14"/>
    <w:rsid w:val="001B3399"/>
    <w:rsid w:val="001B50A8"/>
    <w:rsid w:val="001C61A9"/>
    <w:rsid w:val="001D4783"/>
    <w:rsid w:val="001D7701"/>
    <w:rsid w:val="001E18F1"/>
    <w:rsid w:val="001E2173"/>
    <w:rsid w:val="001E383E"/>
    <w:rsid w:val="001E6FE4"/>
    <w:rsid w:val="001F4AF1"/>
    <w:rsid w:val="002038DF"/>
    <w:rsid w:val="00222A04"/>
    <w:rsid w:val="00225942"/>
    <w:rsid w:val="00233ADA"/>
    <w:rsid w:val="002415A5"/>
    <w:rsid w:val="002448E8"/>
    <w:rsid w:val="00251F92"/>
    <w:rsid w:val="00256291"/>
    <w:rsid w:val="00256DA4"/>
    <w:rsid w:val="002648E9"/>
    <w:rsid w:val="00265DBC"/>
    <w:rsid w:val="0027322A"/>
    <w:rsid w:val="0028150C"/>
    <w:rsid w:val="00281BB1"/>
    <w:rsid w:val="002852E9"/>
    <w:rsid w:val="0029040E"/>
    <w:rsid w:val="002B353D"/>
    <w:rsid w:val="002C1027"/>
    <w:rsid w:val="002C11FE"/>
    <w:rsid w:val="002C36B8"/>
    <w:rsid w:val="002C7FE4"/>
    <w:rsid w:val="002D3014"/>
    <w:rsid w:val="002E3331"/>
    <w:rsid w:val="002F7A4F"/>
    <w:rsid w:val="00300CFA"/>
    <w:rsid w:val="00304A4F"/>
    <w:rsid w:val="00312A38"/>
    <w:rsid w:val="00313A50"/>
    <w:rsid w:val="0032215C"/>
    <w:rsid w:val="00322898"/>
    <w:rsid w:val="0033113E"/>
    <w:rsid w:val="00335F91"/>
    <w:rsid w:val="00345E85"/>
    <w:rsid w:val="00354E39"/>
    <w:rsid w:val="00385C6F"/>
    <w:rsid w:val="003925A1"/>
    <w:rsid w:val="003A60FC"/>
    <w:rsid w:val="003A7D9B"/>
    <w:rsid w:val="003C3D0B"/>
    <w:rsid w:val="003C57DC"/>
    <w:rsid w:val="003D2B7D"/>
    <w:rsid w:val="003E2141"/>
    <w:rsid w:val="003F2021"/>
    <w:rsid w:val="003F2C46"/>
    <w:rsid w:val="003F794F"/>
    <w:rsid w:val="00402367"/>
    <w:rsid w:val="00404F45"/>
    <w:rsid w:val="00410BFD"/>
    <w:rsid w:val="00417C72"/>
    <w:rsid w:val="00421A3A"/>
    <w:rsid w:val="00422B69"/>
    <w:rsid w:val="00430F1F"/>
    <w:rsid w:val="00434370"/>
    <w:rsid w:val="00452383"/>
    <w:rsid w:val="00452E25"/>
    <w:rsid w:val="00455B5E"/>
    <w:rsid w:val="00463989"/>
    <w:rsid w:val="0047181E"/>
    <w:rsid w:val="00483005"/>
    <w:rsid w:val="00487066"/>
    <w:rsid w:val="004944A5"/>
    <w:rsid w:val="004A6FB4"/>
    <w:rsid w:val="004A73A0"/>
    <w:rsid w:val="004A7887"/>
    <w:rsid w:val="004B08BD"/>
    <w:rsid w:val="004B17E4"/>
    <w:rsid w:val="004C6742"/>
    <w:rsid w:val="004D46D1"/>
    <w:rsid w:val="004E33DC"/>
    <w:rsid w:val="004E4D08"/>
    <w:rsid w:val="004E4F2C"/>
    <w:rsid w:val="004F392D"/>
    <w:rsid w:val="00515044"/>
    <w:rsid w:val="00520C75"/>
    <w:rsid w:val="00524176"/>
    <w:rsid w:val="00543FE5"/>
    <w:rsid w:val="00553FDA"/>
    <w:rsid w:val="0055769E"/>
    <w:rsid w:val="00562E60"/>
    <w:rsid w:val="00564E52"/>
    <w:rsid w:val="005776D4"/>
    <w:rsid w:val="00583124"/>
    <w:rsid w:val="00584094"/>
    <w:rsid w:val="0058635E"/>
    <w:rsid w:val="005907C9"/>
    <w:rsid w:val="00592358"/>
    <w:rsid w:val="00596043"/>
    <w:rsid w:val="005A410C"/>
    <w:rsid w:val="005A4F71"/>
    <w:rsid w:val="005A6E16"/>
    <w:rsid w:val="005C27D2"/>
    <w:rsid w:val="005C3D7B"/>
    <w:rsid w:val="005D2CCA"/>
    <w:rsid w:val="005E18CE"/>
    <w:rsid w:val="005E2487"/>
    <w:rsid w:val="005F5BF6"/>
    <w:rsid w:val="0060520E"/>
    <w:rsid w:val="0063309A"/>
    <w:rsid w:val="0063679E"/>
    <w:rsid w:val="00644E81"/>
    <w:rsid w:val="00651761"/>
    <w:rsid w:val="00653DDE"/>
    <w:rsid w:val="00656228"/>
    <w:rsid w:val="0066330D"/>
    <w:rsid w:val="00666841"/>
    <w:rsid w:val="006804A9"/>
    <w:rsid w:val="00682660"/>
    <w:rsid w:val="0068490E"/>
    <w:rsid w:val="00687185"/>
    <w:rsid w:val="00687277"/>
    <w:rsid w:val="00695B54"/>
    <w:rsid w:val="00695D85"/>
    <w:rsid w:val="00696AAD"/>
    <w:rsid w:val="006B5E30"/>
    <w:rsid w:val="006D5775"/>
    <w:rsid w:val="006D76F5"/>
    <w:rsid w:val="006E44C9"/>
    <w:rsid w:val="006F271F"/>
    <w:rsid w:val="006F739F"/>
    <w:rsid w:val="007001D0"/>
    <w:rsid w:val="007016BE"/>
    <w:rsid w:val="00711031"/>
    <w:rsid w:val="00716883"/>
    <w:rsid w:val="007277FA"/>
    <w:rsid w:val="00747CDF"/>
    <w:rsid w:val="0076019E"/>
    <w:rsid w:val="00763056"/>
    <w:rsid w:val="0076524F"/>
    <w:rsid w:val="007652E6"/>
    <w:rsid w:val="00771051"/>
    <w:rsid w:val="00776EBD"/>
    <w:rsid w:val="00777AD6"/>
    <w:rsid w:val="0078079D"/>
    <w:rsid w:val="00781567"/>
    <w:rsid w:val="007876B1"/>
    <w:rsid w:val="007A3A51"/>
    <w:rsid w:val="007B4F1A"/>
    <w:rsid w:val="007C3638"/>
    <w:rsid w:val="007D0697"/>
    <w:rsid w:val="007D5DB5"/>
    <w:rsid w:val="007E328A"/>
    <w:rsid w:val="007F61EB"/>
    <w:rsid w:val="00804A12"/>
    <w:rsid w:val="00821F2B"/>
    <w:rsid w:val="00835CDD"/>
    <w:rsid w:val="0084756B"/>
    <w:rsid w:val="00872304"/>
    <w:rsid w:val="0087741A"/>
    <w:rsid w:val="00884E92"/>
    <w:rsid w:val="008A2774"/>
    <w:rsid w:val="008C71AA"/>
    <w:rsid w:val="008D1B82"/>
    <w:rsid w:val="008D1E1C"/>
    <w:rsid w:val="008D5062"/>
    <w:rsid w:val="008F27F0"/>
    <w:rsid w:val="009113D2"/>
    <w:rsid w:val="00911AB0"/>
    <w:rsid w:val="00915DCF"/>
    <w:rsid w:val="00920E81"/>
    <w:rsid w:val="00921F4E"/>
    <w:rsid w:val="0094555E"/>
    <w:rsid w:val="00956F61"/>
    <w:rsid w:val="009607BE"/>
    <w:rsid w:val="00996A18"/>
    <w:rsid w:val="009A7D4F"/>
    <w:rsid w:val="009C16F7"/>
    <w:rsid w:val="009C1C13"/>
    <w:rsid w:val="009C38A7"/>
    <w:rsid w:val="009D2AB2"/>
    <w:rsid w:val="009D7D05"/>
    <w:rsid w:val="009E213E"/>
    <w:rsid w:val="009F288F"/>
    <w:rsid w:val="009F6229"/>
    <w:rsid w:val="00A05019"/>
    <w:rsid w:val="00A063FC"/>
    <w:rsid w:val="00A11391"/>
    <w:rsid w:val="00A11D5B"/>
    <w:rsid w:val="00A30219"/>
    <w:rsid w:val="00A34816"/>
    <w:rsid w:val="00A44D08"/>
    <w:rsid w:val="00A50870"/>
    <w:rsid w:val="00A728EC"/>
    <w:rsid w:val="00A82A88"/>
    <w:rsid w:val="00A82B91"/>
    <w:rsid w:val="00A928C4"/>
    <w:rsid w:val="00A93F41"/>
    <w:rsid w:val="00A9521B"/>
    <w:rsid w:val="00AA1519"/>
    <w:rsid w:val="00AA69CD"/>
    <w:rsid w:val="00AB0E23"/>
    <w:rsid w:val="00AC495A"/>
    <w:rsid w:val="00AC6EC8"/>
    <w:rsid w:val="00AD21F4"/>
    <w:rsid w:val="00AE68E6"/>
    <w:rsid w:val="00AF1F54"/>
    <w:rsid w:val="00B01518"/>
    <w:rsid w:val="00B12B2F"/>
    <w:rsid w:val="00B25FB0"/>
    <w:rsid w:val="00B4134E"/>
    <w:rsid w:val="00B42EA1"/>
    <w:rsid w:val="00B5019B"/>
    <w:rsid w:val="00B56ED0"/>
    <w:rsid w:val="00B63399"/>
    <w:rsid w:val="00B66C6F"/>
    <w:rsid w:val="00B7282D"/>
    <w:rsid w:val="00B81FA3"/>
    <w:rsid w:val="00B86CBA"/>
    <w:rsid w:val="00B93984"/>
    <w:rsid w:val="00B959AC"/>
    <w:rsid w:val="00BA5700"/>
    <w:rsid w:val="00BA66C6"/>
    <w:rsid w:val="00BB1429"/>
    <w:rsid w:val="00BC137E"/>
    <w:rsid w:val="00BC354F"/>
    <w:rsid w:val="00BC5B11"/>
    <w:rsid w:val="00BF560F"/>
    <w:rsid w:val="00C015D6"/>
    <w:rsid w:val="00C109ED"/>
    <w:rsid w:val="00C119F2"/>
    <w:rsid w:val="00C20C73"/>
    <w:rsid w:val="00C2589E"/>
    <w:rsid w:val="00C301D8"/>
    <w:rsid w:val="00C32C74"/>
    <w:rsid w:val="00C40D5B"/>
    <w:rsid w:val="00C40F8D"/>
    <w:rsid w:val="00C44649"/>
    <w:rsid w:val="00C621FB"/>
    <w:rsid w:val="00C63C7A"/>
    <w:rsid w:val="00C66CB8"/>
    <w:rsid w:val="00C748DD"/>
    <w:rsid w:val="00C761D8"/>
    <w:rsid w:val="00C81E8B"/>
    <w:rsid w:val="00C86B59"/>
    <w:rsid w:val="00C87253"/>
    <w:rsid w:val="00CA175E"/>
    <w:rsid w:val="00CB19CB"/>
    <w:rsid w:val="00CC3709"/>
    <w:rsid w:val="00D015C3"/>
    <w:rsid w:val="00D02376"/>
    <w:rsid w:val="00D23F74"/>
    <w:rsid w:val="00D30584"/>
    <w:rsid w:val="00D30BF2"/>
    <w:rsid w:val="00D34D5C"/>
    <w:rsid w:val="00D455FD"/>
    <w:rsid w:val="00D458A2"/>
    <w:rsid w:val="00D4616C"/>
    <w:rsid w:val="00D53B9F"/>
    <w:rsid w:val="00D62FA8"/>
    <w:rsid w:val="00D74714"/>
    <w:rsid w:val="00D81627"/>
    <w:rsid w:val="00D8350E"/>
    <w:rsid w:val="00D86981"/>
    <w:rsid w:val="00DA66D0"/>
    <w:rsid w:val="00DA7AF0"/>
    <w:rsid w:val="00DB44ED"/>
    <w:rsid w:val="00DB50A8"/>
    <w:rsid w:val="00DB5BC4"/>
    <w:rsid w:val="00DB7882"/>
    <w:rsid w:val="00DD040D"/>
    <w:rsid w:val="00DD155F"/>
    <w:rsid w:val="00DD167B"/>
    <w:rsid w:val="00DD7278"/>
    <w:rsid w:val="00DE0074"/>
    <w:rsid w:val="00DE48BB"/>
    <w:rsid w:val="00DE4C2C"/>
    <w:rsid w:val="00DE78B5"/>
    <w:rsid w:val="00DF040A"/>
    <w:rsid w:val="00DF20F4"/>
    <w:rsid w:val="00DF6E70"/>
    <w:rsid w:val="00E11294"/>
    <w:rsid w:val="00E20A5C"/>
    <w:rsid w:val="00E20CD1"/>
    <w:rsid w:val="00E31390"/>
    <w:rsid w:val="00E31B84"/>
    <w:rsid w:val="00E334DF"/>
    <w:rsid w:val="00E47BE0"/>
    <w:rsid w:val="00E50E41"/>
    <w:rsid w:val="00E52C54"/>
    <w:rsid w:val="00E549E6"/>
    <w:rsid w:val="00E640C4"/>
    <w:rsid w:val="00E722BE"/>
    <w:rsid w:val="00E85491"/>
    <w:rsid w:val="00E859D3"/>
    <w:rsid w:val="00E87365"/>
    <w:rsid w:val="00E93FC2"/>
    <w:rsid w:val="00EA6BBB"/>
    <w:rsid w:val="00EB09E6"/>
    <w:rsid w:val="00EC4AAB"/>
    <w:rsid w:val="00EE3AA7"/>
    <w:rsid w:val="00EE4F27"/>
    <w:rsid w:val="00EE6E11"/>
    <w:rsid w:val="00EF7DE8"/>
    <w:rsid w:val="00F0310F"/>
    <w:rsid w:val="00F034F4"/>
    <w:rsid w:val="00F0593D"/>
    <w:rsid w:val="00F07F57"/>
    <w:rsid w:val="00F13EE4"/>
    <w:rsid w:val="00F248F0"/>
    <w:rsid w:val="00F34ED7"/>
    <w:rsid w:val="00F35A57"/>
    <w:rsid w:val="00F436A4"/>
    <w:rsid w:val="00F5151C"/>
    <w:rsid w:val="00F55A27"/>
    <w:rsid w:val="00F73283"/>
    <w:rsid w:val="00F748D6"/>
    <w:rsid w:val="00F74D3A"/>
    <w:rsid w:val="00F87B89"/>
    <w:rsid w:val="00F9151A"/>
    <w:rsid w:val="00F919F1"/>
    <w:rsid w:val="00F92938"/>
    <w:rsid w:val="00FA1831"/>
    <w:rsid w:val="00FB45FD"/>
    <w:rsid w:val="00FB4656"/>
    <w:rsid w:val="00FC47C7"/>
    <w:rsid w:val="00FC7C49"/>
    <w:rsid w:val="00FD4EFE"/>
    <w:rsid w:val="00FE6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F8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3E"/>
    <w:rPr>
      <w:rFonts w:ascii="Segoe UI" w:hAnsi="Segoe UI" w:cs="Segoe UI"/>
      <w:sz w:val="18"/>
      <w:szCs w:val="18"/>
    </w:rPr>
  </w:style>
  <w:style w:type="paragraph" w:styleId="Header">
    <w:name w:val="header"/>
    <w:basedOn w:val="Normal"/>
    <w:link w:val="HeaderChar"/>
    <w:uiPriority w:val="99"/>
    <w:unhideWhenUsed/>
    <w:rsid w:val="0077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051"/>
  </w:style>
  <w:style w:type="paragraph" w:styleId="Footer">
    <w:name w:val="footer"/>
    <w:basedOn w:val="Normal"/>
    <w:link w:val="FooterChar"/>
    <w:uiPriority w:val="99"/>
    <w:unhideWhenUsed/>
    <w:rsid w:val="0077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051"/>
  </w:style>
  <w:style w:type="paragraph" w:customStyle="1" w:styleId="DocumentTitle">
    <w:name w:val="Document Title"/>
    <w:basedOn w:val="Header"/>
    <w:qFormat/>
    <w:rsid w:val="00771051"/>
    <w:pPr>
      <w:tabs>
        <w:tab w:val="clear" w:pos="9026"/>
        <w:tab w:val="left" w:pos="6946"/>
      </w:tabs>
      <w:spacing w:before="840" w:after="120"/>
    </w:pPr>
    <w:rPr>
      <w:rFonts w:ascii="Arial" w:eastAsia="Calibri" w:hAnsi="Arial" w:cs="Arial"/>
      <w:b/>
      <w:color w:val="430098"/>
      <w:sz w:val="40"/>
      <w:szCs w:val="40"/>
      <w:lang w:val="en-GB"/>
    </w:rPr>
  </w:style>
  <w:style w:type="paragraph" w:customStyle="1" w:styleId="Body">
    <w:name w:val="Body"/>
    <w:basedOn w:val="Normal"/>
    <w:qFormat/>
    <w:rsid w:val="00771051"/>
    <w:pPr>
      <w:widowControl w:val="0"/>
      <w:suppressAutoHyphens/>
      <w:autoSpaceDE w:val="0"/>
      <w:autoSpaceDN w:val="0"/>
      <w:adjustRightInd w:val="0"/>
      <w:spacing w:after="240" w:line="240" w:lineRule="auto"/>
      <w:textAlignment w:val="center"/>
    </w:pPr>
    <w:rPr>
      <w:rFonts w:ascii="Calibri" w:eastAsia="Calibri" w:hAnsi="Calibri" w:cs="PostGrotesk-Book"/>
      <w:color w:val="55565A"/>
      <w:lang w:val="en-GB"/>
    </w:rPr>
  </w:style>
  <w:style w:type="paragraph" w:customStyle="1" w:styleId="SectionHeading1">
    <w:name w:val="Section Heading 1"/>
    <w:basedOn w:val="Normal"/>
    <w:qFormat/>
    <w:rsid w:val="00771051"/>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rPr>
  </w:style>
  <w:style w:type="character" w:styleId="Hyperlink">
    <w:name w:val="Hyperlink"/>
    <w:uiPriority w:val="99"/>
    <w:rsid w:val="00771051"/>
    <w:rPr>
      <w:color w:val="430098"/>
      <w:w w:val="100"/>
      <w:u w:val="single" w:color="430098"/>
    </w:rPr>
  </w:style>
  <w:style w:type="paragraph" w:styleId="FootnoteText">
    <w:name w:val="footnote text"/>
    <w:basedOn w:val="Normal"/>
    <w:link w:val="FootnoteTextChar"/>
    <w:uiPriority w:val="99"/>
    <w:semiHidden/>
    <w:unhideWhenUsed/>
    <w:rsid w:val="0077105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71051"/>
    <w:rPr>
      <w:rFonts w:eastAsia="Times New Roman" w:cs="Times New Roman"/>
      <w:sz w:val="20"/>
      <w:szCs w:val="20"/>
    </w:rPr>
  </w:style>
  <w:style w:type="character" w:styleId="FootnoteReference">
    <w:name w:val="footnote reference"/>
    <w:basedOn w:val="DefaultParagraphFont"/>
    <w:uiPriority w:val="99"/>
    <w:semiHidden/>
    <w:unhideWhenUsed/>
    <w:rsid w:val="00771051"/>
    <w:rPr>
      <w:vertAlign w:val="superscript"/>
    </w:rPr>
  </w:style>
  <w:style w:type="character" w:styleId="CommentReference">
    <w:name w:val="annotation reference"/>
    <w:basedOn w:val="DefaultParagraphFont"/>
    <w:uiPriority w:val="99"/>
    <w:semiHidden/>
    <w:unhideWhenUsed/>
    <w:rsid w:val="00BB1429"/>
    <w:rPr>
      <w:sz w:val="16"/>
      <w:szCs w:val="16"/>
    </w:rPr>
  </w:style>
  <w:style w:type="paragraph" w:styleId="CommentText">
    <w:name w:val="annotation text"/>
    <w:basedOn w:val="Normal"/>
    <w:link w:val="CommentTextChar"/>
    <w:uiPriority w:val="99"/>
    <w:unhideWhenUsed/>
    <w:rsid w:val="00BB1429"/>
    <w:pPr>
      <w:spacing w:line="240" w:lineRule="auto"/>
    </w:pPr>
    <w:rPr>
      <w:sz w:val="20"/>
      <w:szCs w:val="20"/>
    </w:rPr>
  </w:style>
  <w:style w:type="character" w:customStyle="1" w:styleId="CommentTextChar">
    <w:name w:val="Comment Text Char"/>
    <w:basedOn w:val="DefaultParagraphFont"/>
    <w:link w:val="CommentText"/>
    <w:uiPriority w:val="99"/>
    <w:rsid w:val="00BB1429"/>
    <w:rPr>
      <w:sz w:val="20"/>
      <w:szCs w:val="20"/>
    </w:rPr>
  </w:style>
  <w:style w:type="paragraph" w:styleId="CommentSubject">
    <w:name w:val="annotation subject"/>
    <w:basedOn w:val="CommentText"/>
    <w:next w:val="CommentText"/>
    <w:link w:val="CommentSubjectChar"/>
    <w:uiPriority w:val="99"/>
    <w:semiHidden/>
    <w:unhideWhenUsed/>
    <w:rsid w:val="00BB1429"/>
    <w:rPr>
      <w:b/>
      <w:bCs/>
    </w:rPr>
  </w:style>
  <w:style w:type="character" w:customStyle="1" w:styleId="CommentSubjectChar">
    <w:name w:val="Comment Subject Char"/>
    <w:basedOn w:val="CommentTextChar"/>
    <w:link w:val="CommentSubject"/>
    <w:uiPriority w:val="99"/>
    <w:semiHidden/>
    <w:rsid w:val="00BB1429"/>
    <w:rPr>
      <w:b/>
      <w:bCs/>
      <w:sz w:val="20"/>
      <w:szCs w:val="20"/>
    </w:rPr>
  </w:style>
  <w:style w:type="paragraph" w:customStyle="1" w:styleId="BodyCopy">
    <w:name w:val="Body Copy"/>
    <w:basedOn w:val="Normal"/>
    <w:uiPriority w:val="99"/>
    <w:qFormat/>
    <w:rsid w:val="00463989"/>
    <w:pPr>
      <w:widowControl w:val="0"/>
      <w:suppressAutoHyphens/>
      <w:autoSpaceDE w:val="0"/>
      <w:autoSpaceDN w:val="0"/>
      <w:adjustRightInd w:val="0"/>
      <w:spacing w:before="120" w:after="200" w:line="264" w:lineRule="auto"/>
      <w:textAlignment w:val="center"/>
    </w:pPr>
    <w:rPr>
      <w:rFonts w:eastAsia="Times New Roman" w:cs="National-Book"/>
      <w:color w:val="55565A"/>
      <w:lang w:val="en-US"/>
    </w:rPr>
  </w:style>
  <w:style w:type="paragraph" w:styleId="ListParagraph">
    <w:name w:val="List Paragraph"/>
    <w:basedOn w:val="Normal"/>
    <w:uiPriority w:val="34"/>
    <w:qFormat/>
    <w:rsid w:val="00463989"/>
    <w:pPr>
      <w:spacing w:after="0" w:line="240" w:lineRule="auto"/>
      <w:ind w:left="720"/>
      <w:contextualSpacing/>
    </w:pPr>
    <w:rPr>
      <w:rFonts w:eastAsia="Times New Roman" w:cs="Times New Roman"/>
      <w:szCs w:val="24"/>
    </w:rPr>
  </w:style>
  <w:style w:type="table" w:styleId="GridTable4-Accent4">
    <w:name w:val="Grid Table 4 Accent 4"/>
    <w:basedOn w:val="TableNormal"/>
    <w:uiPriority w:val="49"/>
    <w:rsid w:val="00463989"/>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ectionHeading">
    <w:name w:val="Section Heading"/>
    <w:basedOn w:val="Heading1"/>
    <w:qFormat/>
    <w:rsid w:val="00463989"/>
    <w:pPr>
      <w:keepNext w:val="0"/>
      <w:keepLines w:val="0"/>
      <w:spacing w:before="120" w:after="160" w:line="264" w:lineRule="auto"/>
    </w:pPr>
    <w:rPr>
      <w:rFonts w:ascii="Calibri" w:eastAsia="Times New Roman" w:hAnsi="Calibri" w:cs="Times New Roman"/>
      <w:b/>
      <w:color w:val="5620A9"/>
    </w:rPr>
  </w:style>
  <w:style w:type="character" w:customStyle="1" w:styleId="Heading1Char">
    <w:name w:val="Heading 1 Char"/>
    <w:basedOn w:val="DefaultParagraphFont"/>
    <w:link w:val="Heading1"/>
    <w:uiPriority w:val="9"/>
    <w:rsid w:val="0046398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63989"/>
    <w:rPr>
      <w:color w:val="605E5C"/>
      <w:shd w:val="clear" w:color="auto" w:fill="E1DFDD"/>
    </w:rPr>
  </w:style>
  <w:style w:type="paragraph" w:styleId="Revision">
    <w:name w:val="Revision"/>
    <w:hidden/>
    <w:uiPriority w:val="99"/>
    <w:semiHidden/>
    <w:rsid w:val="00920E81"/>
    <w:pPr>
      <w:spacing w:after="0" w:line="240" w:lineRule="auto"/>
    </w:pPr>
  </w:style>
  <w:style w:type="character" w:styleId="Emphasis">
    <w:name w:val="Emphasis"/>
    <w:basedOn w:val="DefaultParagraphFont"/>
    <w:uiPriority w:val="20"/>
    <w:qFormat/>
    <w:rsid w:val="00B25FB0"/>
    <w:rPr>
      <w:i/>
      <w:iCs/>
    </w:rPr>
  </w:style>
  <w:style w:type="table" w:styleId="TableGrid">
    <w:name w:val="Table Grid"/>
    <w:basedOn w:val="TableNormal"/>
    <w:uiPriority w:val="39"/>
    <w:rsid w:val="0040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7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344">
      <w:bodyDiv w:val="1"/>
      <w:marLeft w:val="0"/>
      <w:marRight w:val="0"/>
      <w:marTop w:val="0"/>
      <w:marBottom w:val="0"/>
      <w:divBdr>
        <w:top w:val="none" w:sz="0" w:space="0" w:color="auto"/>
        <w:left w:val="none" w:sz="0" w:space="0" w:color="auto"/>
        <w:bottom w:val="none" w:sz="0" w:space="0" w:color="auto"/>
        <w:right w:val="none" w:sz="0" w:space="0" w:color="auto"/>
      </w:divBdr>
    </w:div>
    <w:div w:id="150871728">
      <w:bodyDiv w:val="1"/>
      <w:marLeft w:val="0"/>
      <w:marRight w:val="0"/>
      <w:marTop w:val="0"/>
      <w:marBottom w:val="0"/>
      <w:divBdr>
        <w:top w:val="none" w:sz="0" w:space="0" w:color="auto"/>
        <w:left w:val="none" w:sz="0" w:space="0" w:color="auto"/>
        <w:bottom w:val="none" w:sz="0" w:space="0" w:color="auto"/>
        <w:right w:val="none" w:sz="0" w:space="0" w:color="auto"/>
      </w:divBdr>
    </w:div>
    <w:div w:id="187573924">
      <w:bodyDiv w:val="1"/>
      <w:marLeft w:val="0"/>
      <w:marRight w:val="0"/>
      <w:marTop w:val="0"/>
      <w:marBottom w:val="0"/>
      <w:divBdr>
        <w:top w:val="none" w:sz="0" w:space="0" w:color="auto"/>
        <w:left w:val="none" w:sz="0" w:space="0" w:color="auto"/>
        <w:bottom w:val="none" w:sz="0" w:space="0" w:color="auto"/>
        <w:right w:val="none" w:sz="0" w:space="0" w:color="auto"/>
      </w:divBdr>
    </w:div>
    <w:div w:id="271861686">
      <w:bodyDiv w:val="1"/>
      <w:marLeft w:val="0"/>
      <w:marRight w:val="0"/>
      <w:marTop w:val="0"/>
      <w:marBottom w:val="0"/>
      <w:divBdr>
        <w:top w:val="none" w:sz="0" w:space="0" w:color="auto"/>
        <w:left w:val="none" w:sz="0" w:space="0" w:color="auto"/>
        <w:bottom w:val="none" w:sz="0" w:space="0" w:color="auto"/>
        <w:right w:val="none" w:sz="0" w:space="0" w:color="auto"/>
      </w:divBdr>
    </w:div>
    <w:div w:id="316883750">
      <w:bodyDiv w:val="1"/>
      <w:marLeft w:val="0"/>
      <w:marRight w:val="0"/>
      <w:marTop w:val="0"/>
      <w:marBottom w:val="0"/>
      <w:divBdr>
        <w:top w:val="none" w:sz="0" w:space="0" w:color="auto"/>
        <w:left w:val="none" w:sz="0" w:space="0" w:color="auto"/>
        <w:bottom w:val="none" w:sz="0" w:space="0" w:color="auto"/>
        <w:right w:val="none" w:sz="0" w:space="0" w:color="auto"/>
      </w:divBdr>
    </w:div>
    <w:div w:id="472530052">
      <w:bodyDiv w:val="1"/>
      <w:marLeft w:val="0"/>
      <w:marRight w:val="0"/>
      <w:marTop w:val="0"/>
      <w:marBottom w:val="0"/>
      <w:divBdr>
        <w:top w:val="none" w:sz="0" w:space="0" w:color="auto"/>
        <w:left w:val="none" w:sz="0" w:space="0" w:color="auto"/>
        <w:bottom w:val="none" w:sz="0" w:space="0" w:color="auto"/>
        <w:right w:val="none" w:sz="0" w:space="0" w:color="auto"/>
      </w:divBdr>
    </w:div>
    <w:div w:id="550962041">
      <w:bodyDiv w:val="1"/>
      <w:marLeft w:val="0"/>
      <w:marRight w:val="0"/>
      <w:marTop w:val="0"/>
      <w:marBottom w:val="0"/>
      <w:divBdr>
        <w:top w:val="none" w:sz="0" w:space="0" w:color="auto"/>
        <w:left w:val="none" w:sz="0" w:space="0" w:color="auto"/>
        <w:bottom w:val="none" w:sz="0" w:space="0" w:color="auto"/>
        <w:right w:val="none" w:sz="0" w:space="0" w:color="auto"/>
      </w:divBdr>
    </w:div>
    <w:div w:id="555164817">
      <w:bodyDiv w:val="1"/>
      <w:marLeft w:val="0"/>
      <w:marRight w:val="0"/>
      <w:marTop w:val="0"/>
      <w:marBottom w:val="0"/>
      <w:divBdr>
        <w:top w:val="none" w:sz="0" w:space="0" w:color="auto"/>
        <w:left w:val="none" w:sz="0" w:space="0" w:color="auto"/>
        <w:bottom w:val="none" w:sz="0" w:space="0" w:color="auto"/>
        <w:right w:val="none" w:sz="0" w:space="0" w:color="auto"/>
      </w:divBdr>
    </w:div>
    <w:div w:id="595796880">
      <w:bodyDiv w:val="1"/>
      <w:marLeft w:val="0"/>
      <w:marRight w:val="0"/>
      <w:marTop w:val="0"/>
      <w:marBottom w:val="0"/>
      <w:divBdr>
        <w:top w:val="none" w:sz="0" w:space="0" w:color="auto"/>
        <w:left w:val="none" w:sz="0" w:space="0" w:color="auto"/>
        <w:bottom w:val="none" w:sz="0" w:space="0" w:color="auto"/>
        <w:right w:val="none" w:sz="0" w:space="0" w:color="auto"/>
      </w:divBdr>
    </w:div>
    <w:div w:id="644743401">
      <w:bodyDiv w:val="1"/>
      <w:marLeft w:val="0"/>
      <w:marRight w:val="0"/>
      <w:marTop w:val="0"/>
      <w:marBottom w:val="0"/>
      <w:divBdr>
        <w:top w:val="none" w:sz="0" w:space="0" w:color="auto"/>
        <w:left w:val="none" w:sz="0" w:space="0" w:color="auto"/>
        <w:bottom w:val="none" w:sz="0" w:space="0" w:color="auto"/>
        <w:right w:val="none" w:sz="0" w:space="0" w:color="auto"/>
      </w:divBdr>
    </w:div>
    <w:div w:id="655037923">
      <w:bodyDiv w:val="1"/>
      <w:marLeft w:val="0"/>
      <w:marRight w:val="0"/>
      <w:marTop w:val="0"/>
      <w:marBottom w:val="0"/>
      <w:divBdr>
        <w:top w:val="none" w:sz="0" w:space="0" w:color="auto"/>
        <w:left w:val="none" w:sz="0" w:space="0" w:color="auto"/>
        <w:bottom w:val="none" w:sz="0" w:space="0" w:color="auto"/>
        <w:right w:val="none" w:sz="0" w:space="0" w:color="auto"/>
      </w:divBdr>
    </w:div>
    <w:div w:id="744913144">
      <w:bodyDiv w:val="1"/>
      <w:marLeft w:val="0"/>
      <w:marRight w:val="0"/>
      <w:marTop w:val="0"/>
      <w:marBottom w:val="0"/>
      <w:divBdr>
        <w:top w:val="none" w:sz="0" w:space="0" w:color="auto"/>
        <w:left w:val="none" w:sz="0" w:space="0" w:color="auto"/>
        <w:bottom w:val="none" w:sz="0" w:space="0" w:color="auto"/>
        <w:right w:val="none" w:sz="0" w:space="0" w:color="auto"/>
      </w:divBdr>
    </w:div>
    <w:div w:id="788816693">
      <w:bodyDiv w:val="1"/>
      <w:marLeft w:val="0"/>
      <w:marRight w:val="0"/>
      <w:marTop w:val="0"/>
      <w:marBottom w:val="0"/>
      <w:divBdr>
        <w:top w:val="none" w:sz="0" w:space="0" w:color="auto"/>
        <w:left w:val="none" w:sz="0" w:space="0" w:color="auto"/>
        <w:bottom w:val="none" w:sz="0" w:space="0" w:color="auto"/>
        <w:right w:val="none" w:sz="0" w:space="0" w:color="auto"/>
      </w:divBdr>
    </w:div>
    <w:div w:id="910458090">
      <w:bodyDiv w:val="1"/>
      <w:marLeft w:val="0"/>
      <w:marRight w:val="0"/>
      <w:marTop w:val="0"/>
      <w:marBottom w:val="0"/>
      <w:divBdr>
        <w:top w:val="none" w:sz="0" w:space="0" w:color="auto"/>
        <w:left w:val="none" w:sz="0" w:space="0" w:color="auto"/>
        <w:bottom w:val="none" w:sz="0" w:space="0" w:color="auto"/>
        <w:right w:val="none" w:sz="0" w:space="0" w:color="auto"/>
      </w:divBdr>
    </w:div>
    <w:div w:id="1029332975">
      <w:bodyDiv w:val="1"/>
      <w:marLeft w:val="0"/>
      <w:marRight w:val="0"/>
      <w:marTop w:val="0"/>
      <w:marBottom w:val="0"/>
      <w:divBdr>
        <w:top w:val="none" w:sz="0" w:space="0" w:color="auto"/>
        <w:left w:val="none" w:sz="0" w:space="0" w:color="auto"/>
        <w:bottom w:val="none" w:sz="0" w:space="0" w:color="auto"/>
        <w:right w:val="none" w:sz="0" w:space="0" w:color="auto"/>
      </w:divBdr>
    </w:div>
    <w:div w:id="1082677241">
      <w:bodyDiv w:val="1"/>
      <w:marLeft w:val="0"/>
      <w:marRight w:val="0"/>
      <w:marTop w:val="0"/>
      <w:marBottom w:val="0"/>
      <w:divBdr>
        <w:top w:val="none" w:sz="0" w:space="0" w:color="auto"/>
        <w:left w:val="none" w:sz="0" w:space="0" w:color="auto"/>
        <w:bottom w:val="none" w:sz="0" w:space="0" w:color="auto"/>
        <w:right w:val="none" w:sz="0" w:space="0" w:color="auto"/>
      </w:divBdr>
    </w:div>
    <w:div w:id="1149712945">
      <w:bodyDiv w:val="1"/>
      <w:marLeft w:val="0"/>
      <w:marRight w:val="0"/>
      <w:marTop w:val="0"/>
      <w:marBottom w:val="0"/>
      <w:divBdr>
        <w:top w:val="none" w:sz="0" w:space="0" w:color="auto"/>
        <w:left w:val="none" w:sz="0" w:space="0" w:color="auto"/>
        <w:bottom w:val="none" w:sz="0" w:space="0" w:color="auto"/>
        <w:right w:val="none" w:sz="0" w:space="0" w:color="auto"/>
      </w:divBdr>
    </w:div>
    <w:div w:id="1203513390">
      <w:bodyDiv w:val="1"/>
      <w:marLeft w:val="0"/>
      <w:marRight w:val="0"/>
      <w:marTop w:val="0"/>
      <w:marBottom w:val="0"/>
      <w:divBdr>
        <w:top w:val="none" w:sz="0" w:space="0" w:color="auto"/>
        <w:left w:val="none" w:sz="0" w:space="0" w:color="auto"/>
        <w:bottom w:val="none" w:sz="0" w:space="0" w:color="auto"/>
        <w:right w:val="none" w:sz="0" w:space="0" w:color="auto"/>
      </w:divBdr>
    </w:div>
    <w:div w:id="1489902198">
      <w:bodyDiv w:val="1"/>
      <w:marLeft w:val="0"/>
      <w:marRight w:val="0"/>
      <w:marTop w:val="0"/>
      <w:marBottom w:val="0"/>
      <w:divBdr>
        <w:top w:val="none" w:sz="0" w:space="0" w:color="auto"/>
        <w:left w:val="none" w:sz="0" w:space="0" w:color="auto"/>
        <w:bottom w:val="none" w:sz="0" w:space="0" w:color="auto"/>
        <w:right w:val="none" w:sz="0" w:space="0" w:color="auto"/>
      </w:divBdr>
    </w:div>
    <w:div w:id="1526560312">
      <w:bodyDiv w:val="1"/>
      <w:marLeft w:val="0"/>
      <w:marRight w:val="0"/>
      <w:marTop w:val="0"/>
      <w:marBottom w:val="0"/>
      <w:divBdr>
        <w:top w:val="none" w:sz="0" w:space="0" w:color="auto"/>
        <w:left w:val="none" w:sz="0" w:space="0" w:color="auto"/>
        <w:bottom w:val="none" w:sz="0" w:space="0" w:color="auto"/>
        <w:right w:val="none" w:sz="0" w:space="0" w:color="auto"/>
      </w:divBdr>
    </w:div>
    <w:div w:id="1563634045">
      <w:bodyDiv w:val="1"/>
      <w:marLeft w:val="0"/>
      <w:marRight w:val="0"/>
      <w:marTop w:val="0"/>
      <w:marBottom w:val="0"/>
      <w:divBdr>
        <w:top w:val="none" w:sz="0" w:space="0" w:color="auto"/>
        <w:left w:val="none" w:sz="0" w:space="0" w:color="auto"/>
        <w:bottom w:val="none" w:sz="0" w:space="0" w:color="auto"/>
        <w:right w:val="none" w:sz="0" w:space="0" w:color="auto"/>
      </w:divBdr>
    </w:div>
    <w:div w:id="1621644279">
      <w:bodyDiv w:val="1"/>
      <w:marLeft w:val="0"/>
      <w:marRight w:val="0"/>
      <w:marTop w:val="0"/>
      <w:marBottom w:val="0"/>
      <w:divBdr>
        <w:top w:val="none" w:sz="0" w:space="0" w:color="auto"/>
        <w:left w:val="none" w:sz="0" w:space="0" w:color="auto"/>
        <w:bottom w:val="none" w:sz="0" w:space="0" w:color="auto"/>
        <w:right w:val="none" w:sz="0" w:space="0" w:color="auto"/>
      </w:divBdr>
    </w:div>
    <w:div w:id="1646933738">
      <w:bodyDiv w:val="1"/>
      <w:marLeft w:val="0"/>
      <w:marRight w:val="0"/>
      <w:marTop w:val="0"/>
      <w:marBottom w:val="0"/>
      <w:divBdr>
        <w:top w:val="none" w:sz="0" w:space="0" w:color="auto"/>
        <w:left w:val="none" w:sz="0" w:space="0" w:color="auto"/>
        <w:bottom w:val="none" w:sz="0" w:space="0" w:color="auto"/>
        <w:right w:val="none" w:sz="0" w:space="0" w:color="auto"/>
      </w:divBdr>
    </w:div>
    <w:div w:id="1814789422">
      <w:bodyDiv w:val="1"/>
      <w:marLeft w:val="0"/>
      <w:marRight w:val="0"/>
      <w:marTop w:val="0"/>
      <w:marBottom w:val="0"/>
      <w:divBdr>
        <w:top w:val="none" w:sz="0" w:space="0" w:color="auto"/>
        <w:left w:val="none" w:sz="0" w:space="0" w:color="auto"/>
        <w:bottom w:val="none" w:sz="0" w:space="0" w:color="auto"/>
        <w:right w:val="none" w:sz="0" w:space="0" w:color="auto"/>
      </w:divBdr>
    </w:div>
    <w:div w:id="1891840831">
      <w:bodyDiv w:val="1"/>
      <w:marLeft w:val="0"/>
      <w:marRight w:val="0"/>
      <w:marTop w:val="0"/>
      <w:marBottom w:val="0"/>
      <w:divBdr>
        <w:top w:val="none" w:sz="0" w:space="0" w:color="auto"/>
        <w:left w:val="none" w:sz="0" w:space="0" w:color="auto"/>
        <w:bottom w:val="none" w:sz="0" w:space="0" w:color="auto"/>
        <w:right w:val="none" w:sz="0" w:space="0" w:color="auto"/>
      </w:divBdr>
    </w:div>
    <w:div w:id="1938632047">
      <w:bodyDiv w:val="1"/>
      <w:marLeft w:val="0"/>
      <w:marRight w:val="0"/>
      <w:marTop w:val="0"/>
      <w:marBottom w:val="0"/>
      <w:divBdr>
        <w:top w:val="none" w:sz="0" w:space="0" w:color="auto"/>
        <w:left w:val="none" w:sz="0" w:space="0" w:color="auto"/>
        <w:bottom w:val="none" w:sz="0" w:space="0" w:color="auto"/>
        <w:right w:val="none" w:sz="0" w:space="0" w:color="auto"/>
      </w:divBdr>
    </w:div>
    <w:div w:id="20563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data-protection/security-insights/incident-insights-report29-october-2019-30-june-2020/"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ovic.vic.gov.au/resource/tips-to-reduce-data-breaches-when-sending-emails/" TargetMode="External"/><Relationship Id="rId17" Type="http://schemas.openxmlformats.org/officeDocument/2006/relationships/hyperlink" Target="https://mailchi.mp/056a87a43886/ovic-newsletter-feb-1950369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security@ovic.vic.gov.a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mailchi.mp/f81a1d6d1dca/ovic-newsletter-january21?e=%5bUNIQID%5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ailchi.mp/f81a1d6d1dca/ovic-newsletter-january21?e=%5bUNIQID%5d" TargetMode="External"/><Relationship Id="rId22" Type="http://schemas.openxmlformats.org/officeDocument/2006/relationships/hyperlink" Target="https://ovic.vic.gov.au/data-protection/agency-reporting-obligations/incident-notification/"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EE7-E428-4E2E-AE4E-9EE3CBA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2021-10-21T05:45:00Z</dcterms:created>
  <dcterms:modified xsi:type="dcterms:W3CDTF">2021-10-21T05:45:00Z</dcterms:modified>
</cp:coreProperties>
</file>