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7F4B" w14:textId="547C7F60" w:rsidR="0034513D" w:rsidRPr="001B54D9" w:rsidRDefault="00A335A6" w:rsidP="00011593">
      <w:pPr>
        <w:pStyle w:val="MainTitle"/>
        <w:spacing w:before="120" w:after="240"/>
        <w:rPr>
          <w:sz w:val="40"/>
          <w:szCs w:val="52"/>
        </w:rPr>
      </w:pPr>
      <w:r w:rsidRPr="001B54D9">
        <w:t>Gender Equality Act 2020 and Privacy</w:t>
      </w:r>
    </w:p>
    <w:p w14:paraId="4136C163" w14:textId="5B0C56BB" w:rsidR="004B3792" w:rsidRDefault="00A915C6" w:rsidP="00994B48">
      <w:pPr>
        <w:pStyle w:val="Body"/>
      </w:pPr>
      <w:r>
        <w:t>T</w:t>
      </w:r>
      <w:r w:rsidR="00B46813">
        <w:t xml:space="preserve">he </w:t>
      </w:r>
      <w:r w:rsidR="008B6444" w:rsidRPr="002104B5">
        <w:rPr>
          <w:i/>
          <w:iCs/>
        </w:rPr>
        <w:t>Gender Equality Act 2020</w:t>
      </w:r>
      <w:r w:rsidR="008B6444">
        <w:t xml:space="preserve"> (</w:t>
      </w:r>
      <w:r w:rsidR="008B6444" w:rsidRPr="002104B5">
        <w:rPr>
          <w:b/>
          <w:bCs/>
        </w:rPr>
        <w:t>GE Act</w:t>
      </w:r>
      <w:r w:rsidR="008B6444">
        <w:t>) r</w:t>
      </w:r>
      <w:r w:rsidR="00E016DE">
        <w:t>equire</w:t>
      </w:r>
      <w:r w:rsidR="008B6444">
        <w:t>s</w:t>
      </w:r>
      <w:r w:rsidR="00E016DE">
        <w:t xml:space="preserve"> </w:t>
      </w:r>
      <w:r w:rsidR="00B46813">
        <w:t>d</w:t>
      </w:r>
      <w:r w:rsidR="004B3792">
        <w:t>efined entities</w:t>
      </w:r>
      <w:r w:rsidR="004B3792">
        <w:rPr>
          <w:rStyle w:val="EndnoteReference"/>
        </w:rPr>
        <w:endnoteReference w:id="1"/>
      </w:r>
      <w:r w:rsidR="00886A96">
        <w:t xml:space="preserve"> to </w:t>
      </w:r>
      <w:r>
        <w:t>develop a Gender Equality Action Plan</w:t>
      </w:r>
      <w:r>
        <w:rPr>
          <w:rStyle w:val="EndnoteReference"/>
        </w:rPr>
        <w:endnoteReference w:id="2"/>
      </w:r>
      <w:r>
        <w:t xml:space="preserve"> (</w:t>
      </w:r>
      <w:r w:rsidRPr="008E626C">
        <w:rPr>
          <w:b/>
          <w:bCs/>
        </w:rPr>
        <w:t>GEAP</w:t>
      </w:r>
      <w:r>
        <w:t>) and c</w:t>
      </w:r>
      <w:r w:rsidR="00886A96">
        <w:t>onduct a workplace gender audit</w:t>
      </w:r>
      <w:r>
        <w:rPr>
          <w:rStyle w:val="EndnoteReference"/>
        </w:rPr>
        <w:endnoteReference w:id="3"/>
      </w:r>
      <w:r w:rsidR="00886A96">
        <w:t xml:space="preserve"> </w:t>
      </w:r>
      <w:r w:rsidR="004B75AB">
        <w:t>(</w:t>
      </w:r>
      <w:r w:rsidR="004B75AB" w:rsidRPr="004B75AB">
        <w:rPr>
          <w:b/>
          <w:bCs/>
        </w:rPr>
        <w:t>audit</w:t>
      </w:r>
      <w:r w:rsidR="004B75AB">
        <w:t>)</w:t>
      </w:r>
      <w:r w:rsidR="0030490B">
        <w:t>. The GEAP must</w:t>
      </w:r>
      <w:r>
        <w:t xml:space="preserve"> include the results of the audit and</w:t>
      </w:r>
      <w:r w:rsidR="0030490B">
        <w:t xml:space="preserve"> </w:t>
      </w:r>
      <w:r w:rsidR="00B448F1">
        <w:t xml:space="preserve">must </w:t>
      </w:r>
      <w:r w:rsidR="0030490B">
        <w:t>be submitted to the Commission for Gender Equality in the Public Sector (</w:t>
      </w:r>
      <w:r w:rsidR="0030490B" w:rsidRPr="00E415A1">
        <w:rPr>
          <w:b/>
          <w:bCs/>
        </w:rPr>
        <w:t>the Commission</w:t>
      </w:r>
      <w:r w:rsidR="0030490B">
        <w:t>)</w:t>
      </w:r>
      <w:r>
        <w:t>.</w:t>
      </w:r>
      <w:r w:rsidR="005D5EB9">
        <w:rPr>
          <w:rStyle w:val="EndnoteReference"/>
        </w:rPr>
        <w:endnoteReference w:id="4"/>
      </w:r>
    </w:p>
    <w:p w14:paraId="36185E06" w14:textId="7BD45543" w:rsidR="0066036E" w:rsidRPr="00C637BF" w:rsidRDefault="006F207D" w:rsidP="00DD0EA8">
      <w:pPr>
        <w:pStyle w:val="Body"/>
      </w:pPr>
      <w:r>
        <w:t>Most d</w:t>
      </w:r>
      <w:r w:rsidR="0066036E">
        <w:t xml:space="preserve">efined entities have privacy obligations under the </w:t>
      </w:r>
      <w:r w:rsidR="0066036E" w:rsidRPr="008E626C">
        <w:rPr>
          <w:i/>
          <w:iCs/>
        </w:rPr>
        <w:t>Privacy and Data Protection Act 2014</w:t>
      </w:r>
      <w:r w:rsidR="0066036E">
        <w:t xml:space="preserve"> (</w:t>
      </w:r>
      <w:r w:rsidR="0066036E" w:rsidRPr="008E626C">
        <w:rPr>
          <w:b/>
          <w:bCs/>
        </w:rPr>
        <w:t>PDP Act</w:t>
      </w:r>
      <w:r w:rsidR="0066036E">
        <w:t>)</w:t>
      </w:r>
      <w:r w:rsidR="006012F8">
        <w:rPr>
          <w:rStyle w:val="EndnoteReference"/>
        </w:rPr>
        <w:endnoteReference w:id="5"/>
      </w:r>
      <w:r w:rsidR="00A915C6">
        <w:t xml:space="preserve"> and </w:t>
      </w:r>
      <w:r w:rsidR="00A915C6" w:rsidRPr="00011593">
        <w:rPr>
          <w:i/>
          <w:iCs/>
        </w:rPr>
        <w:t>Health Records Act 2001</w:t>
      </w:r>
      <w:r w:rsidR="00A915C6">
        <w:t xml:space="preserve"> (</w:t>
      </w:r>
      <w:r w:rsidR="00A915C6" w:rsidRPr="00011593">
        <w:rPr>
          <w:b/>
          <w:bCs/>
        </w:rPr>
        <w:t>HR Act</w:t>
      </w:r>
      <w:r w:rsidR="00A915C6">
        <w:t>)</w:t>
      </w:r>
      <w:r w:rsidR="00357B8B">
        <w:rPr>
          <w:rStyle w:val="EndnoteReference"/>
        </w:rPr>
        <w:endnoteReference w:id="6"/>
      </w:r>
      <w:r w:rsidR="0066036E">
        <w:t xml:space="preserve"> requir</w:t>
      </w:r>
      <w:r w:rsidR="00994B48">
        <w:t>ing them</w:t>
      </w:r>
      <w:r w:rsidR="0066036E">
        <w:t xml:space="preserve"> to</w:t>
      </w:r>
      <w:r w:rsidR="008B6444">
        <w:t xml:space="preserve"> </w:t>
      </w:r>
      <w:r w:rsidR="00A41208">
        <w:t>collect, use</w:t>
      </w:r>
      <w:r w:rsidR="008B6444">
        <w:t>,</w:t>
      </w:r>
      <w:r w:rsidR="00A41208">
        <w:t xml:space="preserve"> and disclose personal</w:t>
      </w:r>
      <w:r w:rsidR="008B6444">
        <w:t xml:space="preserve"> and health </w:t>
      </w:r>
      <w:r w:rsidR="00A41208">
        <w:t xml:space="preserve">information in accordance with the </w:t>
      </w:r>
      <w:hyperlink r:id="rId11" w:history="1">
        <w:r w:rsidR="00A41208" w:rsidRPr="004B75AB">
          <w:rPr>
            <w:rStyle w:val="Hyperlink"/>
          </w:rPr>
          <w:t>Information Privacy Principles</w:t>
        </w:r>
      </w:hyperlink>
      <w:r w:rsidR="00A41208">
        <w:t xml:space="preserve"> </w:t>
      </w:r>
      <w:r w:rsidR="00C637BF">
        <w:t>(</w:t>
      </w:r>
      <w:r w:rsidR="00C637BF" w:rsidRPr="00453192">
        <w:rPr>
          <w:b/>
          <w:bCs/>
        </w:rPr>
        <w:t>IPPs</w:t>
      </w:r>
      <w:r w:rsidR="00C637BF" w:rsidRPr="00C637BF">
        <w:t>)</w:t>
      </w:r>
      <w:r w:rsidR="00A915C6">
        <w:t xml:space="preserve"> and Health Privacy Principles (</w:t>
      </w:r>
      <w:r w:rsidR="00A915C6" w:rsidRPr="00011593">
        <w:rPr>
          <w:b/>
          <w:bCs/>
        </w:rPr>
        <w:t>HPPs</w:t>
      </w:r>
      <w:r w:rsidR="00A915C6">
        <w:t>)</w:t>
      </w:r>
      <w:r w:rsidR="00994B48">
        <w:t>.</w:t>
      </w:r>
      <w:r w:rsidR="005D5EB9">
        <w:t xml:space="preserve"> This resource </w:t>
      </w:r>
      <w:r w:rsidR="00450636">
        <w:t xml:space="preserve">discusses </w:t>
      </w:r>
      <w:r w:rsidR="005D5EB9">
        <w:t>privacy considerations</w:t>
      </w:r>
      <w:r w:rsidR="00450636">
        <w:t xml:space="preserve"> for defined entities when complying with their obligations under the GE Act</w:t>
      </w:r>
      <w:r w:rsidR="005D5EB9">
        <w:t xml:space="preserve">. </w:t>
      </w:r>
    </w:p>
    <w:p w14:paraId="3E18A3F7" w14:textId="17DB13E0" w:rsidR="00E770CD" w:rsidRPr="00011593" w:rsidRDefault="005D5EB9" w:rsidP="005D5EB9">
      <w:pPr>
        <w:pStyle w:val="Body"/>
        <w:rPr>
          <w:rFonts w:cs="PostGrotesk-Medium"/>
          <w:b/>
          <w:color w:val="430098"/>
          <w:sz w:val="24"/>
          <w:szCs w:val="26"/>
        </w:rPr>
      </w:pPr>
      <w:r w:rsidRPr="00011593">
        <w:rPr>
          <w:rFonts w:cs="PostGrotesk-Medium"/>
          <w:b/>
          <w:color w:val="430098"/>
          <w:sz w:val="24"/>
          <w:szCs w:val="26"/>
        </w:rPr>
        <w:t xml:space="preserve">WHAT </w:t>
      </w:r>
      <w:r w:rsidR="007F0B10" w:rsidRPr="00011593">
        <w:rPr>
          <w:rFonts w:cs="PostGrotesk-Medium"/>
          <w:b/>
          <w:color w:val="430098"/>
          <w:sz w:val="24"/>
          <w:szCs w:val="26"/>
        </w:rPr>
        <w:t xml:space="preserve">IS </w:t>
      </w:r>
      <w:r w:rsidRPr="00011593">
        <w:rPr>
          <w:rFonts w:cs="PostGrotesk-Medium"/>
          <w:b/>
          <w:color w:val="430098"/>
          <w:sz w:val="24"/>
          <w:szCs w:val="26"/>
        </w:rPr>
        <w:t>PERSONAL</w:t>
      </w:r>
      <w:r w:rsidR="00ED06C4" w:rsidRPr="00011593">
        <w:rPr>
          <w:rFonts w:cs="PostGrotesk-Medium"/>
          <w:b/>
          <w:color w:val="430098"/>
          <w:sz w:val="24"/>
          <w:szCs w:val="26"/>
        </w:rPr>
        <w:t>, SENSITIVE,</w:t>
      </w:r>
      <w:r w:rsidR="00820268" w:rsidRPr="00011593">
        <w:rPr>
          <w:rFonts w:cs="PostGrotesk-Medium"/>
          <w:b/>
          <w:color w:val="430098"/>
          <w:sz w:val="24"/>
          <w:szCs w:val="26"/>
        </w:rPr>
        <w:t xml:space="preserve"> AND</w:t>
      </w:r>
      <w:r w:rsidRPr="00011593">
        <w:rPr>
          <w:rFonts w:cs="PostGrotesk-Medium"/>
          <w:b/>
          <w:color w:val="430098"/>
          <w:sz w:val="24"/>
          <w:szCs w:val="26"/>
        </w:rPr>
        <w:t xml:space="preserve"> HEALTH INFOR</w:t>
      </w:r>
      <w:r w:rsidR="00820268" w:rsidRPr="00011593">
        <w:rPr>
          <w:rFonts w:cs="PostGrotesk-Medium"/>
          <w:b/>
          <w:color w:val="430098"/>
          <w:sz w:val="24"/>
          <w:szCs w:val="26"/>
        </w:rPr>
        <w:t>M</w:t>
      </w:r>
      <w:r w:rsidRPr="00011593">
        <w:rPr>
          <w:rFonts w:cs="PostGrotesk-Medium"/>
          <w:b/>
          <w:color w:val="430098"/>
          <w:sz w:val="24"/>
          <w:szCs w:val="26"/>
        </w:rPr>
        <w:t>ATION?</w:t>
      </w:r>
    </w:p>
    <w:p w14:paraId="4265A216" w14:textId="7E546FD7" w:rsidR="007C4817" w:rsidRDefault="006012F8" w:rsidP="007C4817">
      <w:pPr>
        <w:pStyle w:val="Body"/>
      </w:pPr>
      <w:r w:rsidRPr="00735D6E">
        <w:rPr>
          <w:b/>
          <w:bCs/>
          <w:i/>
          <w:iCs/>
        </w:rPr>
        <w:t>P</w:t>
      </w:r>
      <w:r w:rsidR="007C4817" w:rsidRPr="00735D6E">
        <w:rPr>
          <w:b/>
          <w:bCs/>
          <w:i/>
          <w:iCs/>
        </w:rPr>
        <w:t>ersonal information</w:t>
      </w:r>
      <w:r w:rsidR="007C4817">
        <w:t xml:space="preserve"> is any information a</w:t>
      </w:r>
      <w:r w:rsidR="007C4817" w:rsidRPr="00E770CD">
        <w:rPr>
          <w:lang w:val="en-AU"/>
        </w:rPr>
        <w:t>bout an individual</w:t>
      </w:r>
      <w:r w:rsidR="00011593">
        <w:rPr>
          <w:lang w:val="en-AU"/>
        </w:rPr>
        <w:t xml:space="preserve"> </w:t>
      </w:r>
      <w:r w:rsidR="007C4817" w:rsidRPr="00E770CD">
        <w:rPr>
          <w:lang w:val="en-AU"/>
        </w:rPr>
        <w:t>whose identity is apparent or can reasonably be ascertained from the information</w:t>
      </w:r>
      <w:r w:rsidR="007C4817">
        <w:rPr>
          <w:lang w:val="en-AU"/>
        </w:rPr>
        <w:t>.</w:t>
      </w:r>
      <w:r w:rsidR="007C4817">
        <w:rPr>
          <w:rStyle w:val="EndnoteReference"/>
          <w:lang w:val="en-AU"/>
        </w:rPr>
        <w:endnoteReference w:id="7"/>
      </w:r>
      <w:r w:rsidR="007C4817">
        <w:rPr>
          <w:lang w:val="en-AU"/>
        </w:rPr>
        <w:t xml:space="preserve"> </w:t>
      </w:r>
      <w:r>
        <w:rPr>
          <w:lang w:val="en-AU"/>
        </w:rPr>
        <w:t>C</w:t>
      </w:r>
      <w:r w:rsidR="007C4817">
        <w:rPr>
          <w:lang w:val="en-AU"/>
        </w:rPr>
        <w:t xml:space="preserve">ertain personal information </w:t>
      </w:r>
      <w:r>
        <w:rPr>
          <w:lang w:val="en-AU"/>
        </w:rPr>
        <w:t>i</w:t>
      </w:r>
      <w:r w:rsidR="00D23DB4">
        <w:rPr>
          <w:lang w:val="en-AU"/>
        </w:rPr>
        <w:t>s</w:t>
      </w:r>
      <w:r>
        <w:rPr>
          <w:lang w:val="en-AU"/>
        </w:rPr>
        <w:t xml:space="preserve"> classed </w:t>
      </w:r>
      <w:r w:rsidR="007C4817">
        <w:rPr>
          <w:lang w:val="en-AU"/>
        </w:rPr>
        <w:t xml:space="preserve">as </w:t>
      </w:r>
      <w:r w:rsidR="007C4817" w:rsidRPr="00735D6E">
        <w:rPr>
          <w:b/>
          <w:bCs/>
          <w:i/>
          <w:iCs/>
          <w:lang w:val="en-AU"/>
        </w:rPr>
        <w:t>sensitive information</w:t>
      </w:r>
      <w:r>
        <w:rPr>
          <w:i/>
          <w:iCs/>
          <w:lang w:val="en-AU"/>
        </w:rPr>
        <w:t xml:space="preserve"> </w:t>
      </w:r>
      <w:r w:rsidR="007C4817">
        <w:rPr>
          <w:lang w:val="en-AU"/>
        </w:rPr>
        <w:t>includ</w:t>
      </w:r>
      <w:r>
        <w:rPr>
          <w:lang w:val="en-AU"/>
        </w:rPr>
        <w:t>ing</w:t>
      </w:r>
      <w:r w:rsidR="007C4817">
        <w:rPr>
          <w:lang w:val="en-AU"/>
        </w:rPr>
        <w:t xml:space="preserve"> </w:t>
      </w:r>
      <w:r w:rsidR="007C4817">
        <w:t>racial or ethnic origin, religious beliefs or affiliations, and sexual preferences or practices.</w:t>
      </w:r>
      <w:r>
        <w:rPr>
          <w:rStyle w:val="EndnoteReference"/>
        </w:rPr>
        <w:endnoteReference w:id="8"/>
      </w:r>
      <w:r w:rsidR="007C4817">
        <w:rPr>
          <w:lang w:val="en-AU"/>
        </w:rPr>
        <w:t xml:space="preserve"> </w:t>
      </w:r>
      <w:r>
        <w:rPr>
          <w:lang w:val="en-AU"/>
        </w:rPr>
        <w:t xml:space="preserve">Sensitive information is subject to additional restrictions on collection, use and disclosure.  </w:t>
      </w:r>
    </w:p>
    <w:p w14:paraId="1F38EA6B" w14:textId="3C801E0D" w:rsidR="007C4817" w:rsidRDefault="006012F8" w:rsidP="007C4817">
      <w:pPr>
        <w:pStyle w:val="Body"/>
      </w:pPr>
      <w:r w:rsidRPr="00735D6E">
        <w:rPr>
          <w:b/>
          <w:bCs/>
          <w:i/>
          <w:iCs/>
        </w:rPr>
        <w:t>H</w:t>
      </w:r>
      <w:r w:rsidR="007C4817" w:rsidRPr="00735D6E">
        <w:rPr>
          <w:b/>
          <w:bCs/>
          <w:i/>
          <w:iCs/>
        </w:rPr>
        <w:t>ealth information</w:t>
      </w:r>
      <w:r w:rsidR="007C4817" w:rsidRPr="00011593">
        <w:rPr>
          <w:i/>
          <w:iCs/>
        </w:rPr>
        <w:t xml:space="preserve"> </w:t>
      </w:r>
      <w:r w:rsidR="00011593">
        <w:t xml:space="preserve">includes </w:t>
      </w:r>
      <w:r w:rsidR="007C4817">
        <w:t xml:space="preserve">information about the physical, </w:t>
      </w:r>
      <w:proofErr w:type="gramStart"/>
      <w:r w:rsidR="007C4817">
        <w:t>mental</w:t>
      </w:r>
      <w:proofErr w:type="gramEnd"/>
      <w:r w:rsidR="007C4817">
        <w:t xml:space="preserve"> or psychological health of an individual, or a disability of an individual</w:t>
      </w:r>
      <w:r w:rsidR="007F0B10">
        <w:t>.</w:t>
      </w:r>
      <w:r w:rsidR="00357B8B">
        <w:rPr>
          <w:rStyle w:val="EndnoteReference"/>
        </w:rPr>
        <w:endnoteReference w:id="9"/>
      </w:r>
    </w:p>
    <w:p w14:paraId="2F4EE23F" w14:textId="11FC96A0" w:rsidR="007F0B10" w:rsidRPr="00011593" w:rsidRDefault="007F0B10" w:rsidP="007C4817">
      <w:pPr>
        <w:pStyle w:val="Body"/>
        <w:rPr>
          <w:rFonts w:cs="PostGrotesk-Medium"/>
          <w:b/>
          <w:color w:val="430098"/>
          <w:sz w:val="24"/>
          <w:szCs w:val="26"/>
        </w:rPr>
      </w:pPr>
      <w:r w:rsidRPr="00011593">
        <w:rPr>
          <w:rFonts w:cs="PostGrotesk-Medium"/>
          <w:b/>
          <w:color w:val="430098"/>
          <w:sz w:val="24"/>
          <w:szCs w:val="26"/>
        </w:rPr>
        <w:t>WHAT PERSONAL</w:t>
      </w:r>
      <w:r w:rsidR="00ED06C4" w:rsidRPr="00011593">
        <w:rPr>
          <w:rFonts w:cs="PostGrotesk-Medium"/>
          <w:b/>
          <w:color w:val="430098"/>
          <w:sz w:val="24"/>
          <w:szCs w:val="26"/>
        </w:rPr>
        <w:t xml:space="preserve">, SENSITIVE, </w:t>
      </w:r>
      <w:r w:rsidR="00D23DB4">
        <w:rPr>
          <w:rFonts w:cs="PostGrotesk-Medium"/>
          <w:b/>
          <w:color w:val="430098"/>
          <w:sz w:val="24"/>
          <w:szCs w:val="26"/>
        </w:rPr>
        <w:t>OR</w:t>
      </w:r>
      <w:r w:rsidRPr="00011593">
        <w:rPr>
          <w:rFonts w:cs="PostGrotesk-Medium"/>
          <w:b/>
          <w:color w:val="430098"/>
          <w:sz w:val="24"/>
          <w:szCs w:val="26"/>
        </w:rPr>
        <w:t xml:space="preserve"> HEALTH INFOR</w:t>
      </w:r>
      <w:r w:rsidR="00820268" w:rsidRPr="00011593">
        <w:rPr>
          <w:rFonts w:cs="PostGrotesk-Medium"/>
          <w:b/>
          <w:color w:val="430098"/>
          <w:sz w:val="24"/>
          <w:szCs w:val="26"/>
        </w:rPr>
        <w:t>M</w:t>
      </w:r>
      <w:r w:rsidRPr="00011593">
        <w:rPr>
          <w:rFonts w:cs="PostGrotesk-Medium"/>
          <w:b/>
          <w:color w:val="430098"/>
          <w:sz w:val="24"/>
          <w:szCs w:val="26"/>
        </w:rPr>
        <w:t xml:space="preserve">ATION IS </w:t>
      </w:r>
      <w:r w:rsidR="00D23DB4">
        <w:rPr>
          <w:rFonts w:cs="PostGrotesk-Medium"/>
          <w:b/>
          <w:color w:val="430098"/>
          <w:sz w:val="24"/>
          <w:szCs w:val="26"/>
        </w:rPr>
        <w:t>RELEVANT TO</w:t>
      </w:r>
      <w:r w:rsidR="00900F6E" w:rsidRPr="00011593">
        <w:rPr>
          <w:rFonts w:cs="PostGrotesk-Medium"/>
          <w:b/>
          <w:color w:val="430098"/>
          <w:sz w:val="24"/>
          <w:szCs w:val="26"/>
        </w:rPr>
        <w:t xml:space="preserve"> THE AUDIT AND GEAP</w:t>
      </w:r>
      <w:r w:rsidRPr="00011593">
        <w:rPr>
          <w:rFonts w:cs="PostGrotesk-Medium"/>
          <w:b/>
          <w:color w:val="430098"/>
          <w:sz w:val="24"/>
          <w:szCs w:val="26"/>
        </w:rPr>
        <w:t>?</w:t>
      </w:r>
    </w:p>
    <w:p w14:paraId="4CC0AD1D" w14:textId="2AB1A15A" w:rsidR="005D5EB9" w:rsidRDefault="00D13E5A" w:rsidP="005D5EB9">
      <w:pPr>
        <w:pStyle w:val="Body"/>
      </w:pPr>
      <w:r>
        <w:t>T</w:t>
      </w:r>
      <w:r w:rsidR="005D5EB9">
        <w:t xml:space="preserve">he audit must assess the state and nature of gender inequality in a defined entity’s workplace </w:t>
      </w:r>
      <w:proofErr w:type="gramStart"/>
      <w:r w:rsidR="00450636">
        <w:t xml:space="preserve">with </w:t>
      </w:r>
      <w:r w:rsidR="005D5EB9">
        <w:t>regard to</w:t>
      </w:r>
      <w:proofErr w:type="gramEnd"/>
      <w:r w:rsidR="005D5EB9">
        <w:t xml:space="preserve"> a range of </w:t>
      </w:r>
      <w:r>
        <w:t xml:space="preserve">factors set out </w:t>
      </w:r>
      <w:r w:rsidR="00851AD8">
        <w:t xml:space="preserve">in </w:t>
      </w:r>
      <w:r>
        <w:t>the GE Act</w:t>
      </w:r>
      <w:r w:rsidR="00851AD8">
        <w:t xml:space="preserve">. This </w:t>
      </w:r>
      <w:r>
        <w:t>includ</w:t>
      </w:r>
      <w:r w:rsidR="00851AD8">
        <w:t>es</w:t>
      </w:r>
      <w:r w:rsidR="005D5EB9">
        <w:t>:</w:t>
      </w:r>
    </w:p>
    <w:p w14:paraId="430A3A71" w14:textId="74CCA748" w:rsidR="005D5EB9" w:rsidRDefault="00851AD8" w:rsidP="00011593">
      <w:pPr>
        <w:pStyle w:val="Body"/>
        <w:numPr>
          <w:ilvl w:val="0"/>
          <w:numId w:val="30"/>
        </w:numPr>
        <w:spacing w:after="0"/>
      </w:pPr>
      <w:r>
        <w:t>t</w:t>
      </w:r>
      <w:r w:rsidR="005D5EB9">
        <w:t>he workplace gender equality indicators</w:t>
      </w:r>
      <w:r w:rsidR="00A41164">
        <w:t xml:space="preserve"> which </w:t>
      </w:r>
      <w:r w:rsidR="00011593">
        <w:t>cover</w:t>
      </w:r>
      <w:r w:rsidR="00A41164" w:rsidRPr="00644DB5">
        <w:t xml:space="preserve"> </w:t>
      </w:r>
      <w:r w:rsidR="005D5EB9" w:rsidRPr="00644DB5">
        <w:t>gender pay equity</w:t>
      </w:r>
      <w:r w:rsidR="00A41164">
        <w:t xml:space="preserve">, </w:t>
      </w:r>
      <w:r w:rsidR="005D5EB9" w:rsidRPr="00644DB5">
        <w:t>gender composition at all levels of the workforce</w:t>
      </w:r>
      <w:r w:rsidR="00A41164">
        <w:t xml:space="preserve">, </w:t>
      </w:r>
      <w:r w:rsidR="005D5EB9" w:rsidRPr="00644DB5">
        <w:t>gender composition of governing bodies</w:t>
      </w:r>
      <w:r w:rsidR="00A41164">
        <w:t>, w</w:t>
      </w:r>
      <w:r w:rsidR="005D5EB9" w:rsidRPr="00644DB5">
        <w:t>orkplace sexual harassment</w:t>
      </w:r>
      <w:r w:rsidR="00A41164">
        <w:t xml:space="preserve">, </w:t>
      </w:r>
      <w:r w:rsidR="005D5EB9" w:rsidRPr="00644DB5">
        <w:t>recruitment and promotion</w:t>
      </w:r>
      <w:r w:rsidR="00A41164">
        <w:t xml:space="preserve">, </w:t>
      </w:r>
      <w:r w:rsidR="005D5EB9" w:rsidRPr="00644DB5">
        <w:t>gendered work segregation</w:t>
      </w:r>
      <w:r w:rsidR="00A41164">
        <w:t xml:space="preserve">, </w:t>
      </w:r>
      <w:r w:rsidR="005D5EB9" w:rsidRPr="00644DB5">
        <w:t>leav</w:t>
      </w:r>
      <w:r w:rsidR="00011593">
        <w:t>e</w:t>
      </w:r>
      <w:r w:rsidR="005D5EB9" w:rsidRPr="00644DB5">
        <w:t xml:space="preserve"> and flexibility</w:t>
      </w:r>
      <w:r>
        <w:t>;</w:t>
      </w:r>
      <w:r w:rsidR="00A41164">
        <w:rPr>
          <w:rStyle w:val="EndnoteReference"/>
        </w:rPr>
        <w:endnoteReference w:id="10"/>
      </w:r>
      <w:r>
        <w:t xml:space="preserve"> and</w:t>
      </w:r>
    </w:p>
    <w:p w14:paraId="56B76883" w14:textId="5DA7D769" w:rsidR="005D5EB9" w:rsidRDefault="00851AD8" w:rsidP="006012F8">
      <w:pPr>
        <w:pStyle w:val="Body"/>
        <w:numPr>
          <w:ilvl w:val="0"/>
          <w:numId w:val="30"/>
        </w:numPr>
      </w:pPr>
      <w:r>
        <w:t>t</w:t>
      </w:r>
      <w:r w:rsidR="005D5EB9">
        <w:t xml:space="preserve">he disadvantage or discrimination that a person may experience </w:t>
      </w:r>
      <w:proofErr w:type="gramStart"/>
      <w:r w:rsidR="005D5EB9">
        <w:t>on the basis of</w:t>
      </w:r>
      <w:proofErr w:type="gramEnd"/>
      <w:r w:rsidR="005D5EB9">
        <w:t xml:space="preserve"> aboriginality, age, disability, ethnicity, gender identity, race, religion or sexual orientation.</w:t>
      </w:r>
      <w:r w:rsidR="005D5EB9">
        <w:rPr>
          <w:rStyle w:val="EndnoteReference"/>
        </w:rPr>
        <w:endnoteReference w:id="11"/>
      </w:r>
    </w:p>
    <w:p w14:paraId="5AB3CDE5" w14:textId="5161486C" w:rsidR="00D23DB4" w:rsidRDefault="00011593" w:rsidP="00D13E5A">
      <w:pPr>
        <w:pStyle w:val="Body"/>
      </w:pPr>
      <w:r>
        <w:t>The</w:t>
      </w:r>
      <w:r w:rsidR="00A41164">
        <w:t xml:space="preserve"> audit must be based on gender-disaggregated dat</w:t>
      </w:r>
      <w:r w:rsidR="00287481">
        <w:t>a</w:t>
      </w:r>
      <w:r w:rsidR="00A41164">
        <w:t xml:space="preserve"> and</w:t>
      </w:r>
      <w:r w:rsidR="00287481">
        <w:t>,</w:t>
      </w:r>
      <w:r w:rsidR="00A41164" w:rsidRPr="00011593">
        <w:rPr>
          <w:i/>
          <w:iCs/>
        </w:rPr>
        <w:t xml:space="preserve"> if available</w:t>
      </w:r>
      <w:r w:rsidR="00A41164">
        <w:t>, data about aboriginality, age, disability, ethnicity, gender identity, race, religion</w:t>
      </w:r>
      <w:r w:rsidR="00D23DB4">
        <w:t>,</w:t>
      </w:r>
      <w:r w:rsidR="00A41164">
        <w:t xml:space="preserve"> and sexual orientation.</w:t>
      </w:r>
      <w:r w:rsidR="00A41164">
        <w:rPr>
          <w:rStyle w:val="EndnoteReference"/>
        </w:rPr>
        <w:endnoteReference w:id="12"/>
      </w:r>
      <w:r w:rsidR="002A5DC8">
        <w:t xml:space="preserve"> </w:t>
      </w:r>
      <w:r w:rsidR="00450636">
        <w:t>Therefore,</w:t>
      </w:r>
      <w:r w:rsidR="00231993">
        <w:t xml:space="preserve"> </w:t>
      </w:r>
      <w:r w:rsidR="00287481">
        <w:t>co</w:t>
      </w:r>
      <w:r w:rsidR="00754CB0">
        <w:t>nducting t</w:t>
      </w:r>
      <w:r w:rsidR="008221A2">
        <w:t xml:space="preserve">he audit </w:t>
      </w:r>
      <w:r w:rsidR="009E3056">
        <w:t xml:space="preserve">and submitting a GEAP to the Commission </w:t>
      </w:r>
      <w:r w:rsidR="008221A2">
        <w:t>require</w:t>
      </w:r>
      <w:r w:rsidR="00450636">
        <w:t>s</w:t>
      </w:r>
      <w:r w:rsidR="008221A2">
        <w:t xml:space="preserve"> the</w:t>
      </w:r>
      <w:r w:rsidR="009E3056">
        <w:t xml:space="preserve"> collection,</w:t>
      </w:r>
      <w:r w:rsidR="008221A2">
        <w:t xml:space="preserve"> use</w:t>
      </w:r>
      <w:r w:rsidR="009E3056">
        <w:t xml:space="preserve">, and disclosure </w:t>
      </w:r>
      <w:r w:rsidR="008221A2">
        <w:t>of</w:t>
      </w:r>
      <w:r w:rsidR="00D23DB4">
        <w:t>:</w:t>
      </w:r>
    </w:p>
    <w:p w14:paraId="021FC418" w14:textId="70FDD7D2" w:rsidR="00D23DB4" w:rsidRDefault="002A5DC8" w:rsidP="00AF715F">
      <w:pPr>
        <w:pStyle w:val="Body"/>
        <w:numPr>
          <w:ilvl w:val="0"/>
          <w:numId w:val="34"/>
        </w:numPr>
      </w:pPr>
      <w:r w:rsidRPr="00A73EB2">
        <w:rPr>
          <w:i/>
          <w:iCs/>
        </w:rPr>
        <w:t>P</w:t>
      </w:r>
      <w:r w:rsidR="008221A2" w:rsidRPr="00A73EB2">
        <w:rPr>
          <w:i/>
          <w:iCs/>
        </w:rPr>
        <w:t>ersonal information</w:t>
      </w:r>
      <w:r>
        <w:t xml:space="preserve"> – Information about an employee’s </w:t>
      </w:r>
      <w:r w:rsidR="00D23DB4">
        <w:t>classification, salary, gender,</w:t>
      </w:r>
      <w:r>
        <w:t xml:space="preserve"> and employment basis</w:t>
      </w:r>
      <w:r w:rsidR="00735D6E">
        <w:t>; and</w:t>
      </w:r>
    </w:p>
    <w:p w14:paraId="4C2A4E1C" w14:textId="779C08E2" w:rsidR="00D23DB4" w:rsidRDefault="00735D6E" w:rsidP="00AF715F">
      <w:pPr>
        <w:pStyle w:val="Body"/>
        <w:numPr>
          <w:ilvl w:val="0"/>
          <w:numId w:val="34"/>
        </w:numPr>
      </w:pPr>
      <w:r>
        <w:t>i</w:t>
      </w:r>
      <w:r w:rsidR="008221A2" w:rsidRPr="00F4669D">
        <w:t>f available</w:t>
      </w:r>
      <w:r w:rsidR="008221A2">
        <w:t xml:space="preserve">, </w:t>
      </w:r>
      <w:r w:rsidR="008221A2" w:rsidRPr="00A73EB2">
        <w:rPr>
          <w:i/>
          <w:iCs/>
        </w:rPr>
        <w:t>sensitive information</w:t>
      </w:r>
      <w:r w:rsidR="002A5DC8">
        <w:t xml:space="preserve"> – I</w:t>
      </w:r>
      <w:r w:rsidR="00D23DB4">
        <w:t>nformation about</w:t>
      </w:r>
      <w:r w:rsidR="002A5DC8">
        <w:t xml:space="preserve"> an employee’s</w:t>
      </w:r>
      <w:r w:rsidR="00D23DB4">
        <w:t xml:space="preserve"> aboriginality, ethnicity, race, religion, and sexual orientation</w:t>
      </w:r>
      <w:r>
        <w:t>; and</w:t>
      </w:r>
    </w:p>
    <w:p w14:paraId="119FF179" w14:textId="035251F4" w:rsidR="007C4817" w:rsidRDefault="00735D6E" w:rsidP="00011593">
      <w:pPr>
        <w:pStyle w:val="Body"/>
        <w:numPr>
          <w:ilvl w:val="0"/>
          <w:numId w:val="34"/>
        </w:numPr>
      </w:pPr>
      <w:r>
        <w:t>i</w:t>
      </w:r>
      <w:r w:rsidR="00D23DB4" w:rsidRPr="00F4669D">
        <w:t>f available</w:t>
      </w:r>
      <w:r w:rsidR="00D23DB4">
        <w:t>,</w:t>
      </w:r>
      <w:r w:rsidR="008221A2">
        <w:t xml:space="preserve"> </w:t>
      </w:r>
      <w:r w:rsidR="008221A2" w:rsidRPr="00A73EB2">
        <w:rPr>
          <w:i/>
          <w:iCs/>
        </w:rPr>
        <w:t>health informatio</w:t>
      </w:r>
      <w:r w:rsidR="002A5DC8" w:rsidRPr="00A73EB2">
        <w:rPr>
          <w:i/>
          <w:iCs/>
        </w:rPr>
        <w:t xml:space="preserve">n </w:t>
      </w:r>
      <w:r w:rsidR="002A5DC8">
        <w:t>– I</w:t>
      </w:r>
      <w:r w:rsidR="00D23DB4">
        <w:t>nformation about</w:t>
      </w:r>
      <w:r w:rsidR="002A5DC8">
        <w:t xml:space="preserve"> an employee’s</w:t>
      </w:r>
      <w:r w:rsidR="00D23DB4">
        <w:t xml:space="preserve"> disability. </w:t>
      </w:r>
    </w:p>
    <w:p w14:paraId="6B37706F" w14:textId="3968EAC0" w:rsidR="00A41208" w:rsidRPr="00011593" w:rsidRDefault="002A5DC8" w:rsidP="00276927">
      <w:pPr>
        <w:pStyle w:val="Heading-2"/>
        <w:rPr>
          <w:i w:val="0"/>
          <w:iCs w:val="0"/>
          <w:sz w:val="24"/>
          <w:szCs w:val="26"/>
        </w:rPr>
      </w:pPr>
      <w:r w:rsidRPr="00011593">
        <w:rPr>
          <w:i w:val="0"/>
          <w:iCs w:val="0"/>
          <w:sz w:val="24"/>
          <w:szCs w:val="26"/>
        </w:rPr>
        <w:lastRenderedPageBreak/>
        <w:t xml:space="preserve">CAN A </w:t>
      </w:r>
      <w:r w:rsidR="008B6444" w:rsidRPr="00011593">
        <w:rPr>
          <w:i w:val="0"/>
          <w:iCs w:val="0"/>
          <w:sz w:val="24"/>
          <w:szCs w:val="26"/>
        </w:rPr>
        <w:t>DEFINED ENTIT</w:t>
      </w:r>
      <w:r w:rsidRPr="00011593">
        <w:rPr>
          <w:i w:val="0"/>
          <w:iCs w:val="0"/>
          <w:sz w:val="24"/>
          <w:szCs w:val="26"/>
        </w:rPr>
        <w:t xml:space="preserve">Y </w:t>
      </w:r>
      <w:r w:rsidR="008B6444" w:rsidRPr="00011593">
        <w:rPr>
          <w:i w:val="0"/>
          <w:iCs w:val="0"/>
          <w:sz w:val="24"/>
          <w:szCs w:val="26"/>
        </w:rPr>
        <w:t>USE</w:t>
      </w:r>
      <w:r w:rsidRPr="00011593">
        <w:rPr>
          <w:i w:val="0"/>
          <w:iCs w:val="0"/>
          <w:sz w:val="24"/>
          <w:szCs w:val="26"/>
        </w:rPr>
        <w:t xml:space="preserve"> PERSONAL, SENS</w:t>
      </w:r>
      <w:r w:rsidR="007375AA">
        <w:rPr>
          <w:i w:val="0"/>
          <w:iCs w:val="0"/>
          <w:sz w:val="24"/>
          <w:szCs w:val="26"/>
        </w:rPr>
        <w:t>I</w:t>
      </w:r>
      <w:r w:rsidRPr="00011593">
        <w:rPr>
          <w:i w:val="0"/>
          <w:iCs w:val="0"/>
          <w:sz w:val="24"/>
          <w:szCs w:val="26"/>
        </w:rPr>
        <w:t>TIVE, OR HEALTH INFOR</w:t>
      </w:r>
      <w:r w:rsidR="007375AA">
        <w:rPr>
          <w:i w:val="0"/>
          <w:iCs w:val="0"/>
          <w:sz w:val="24"/>
          <w:szCs w:val="26"/>
        </w:rPr>
        <w:t>M</w:t>
      </w:r>
      <w:r w:rsidRPr="00011593">
        <w:rPr>
          <w:i w:val="0"/>
          <w:iCs w:val="0"/>
          <w:sz w:val="24"/>
          <w:szCs w:val="26"/>
        </w:rPr>
        <w:t>ATION IT ALREADY HOLDS</w:t>
      </w:r>
      <w:r w:rsidR="00450636">
        <w:rPr>
          <w:i w:val="0"/>
          <w:iCs w:val="0"/>
          <w:sz w:val="24"/>
          <w:szCs w:val="26"/>
        </w:rPr>
        <w:t xml:space="preserve"> TO CONDUCT THE AUDIT AND DEVELOP A GEAP</w:t>
      </w:r>
      <w:r w:rsidRPr="00011593">
        <w:rPr>
          <w:i w:val="0"/>
          <w:iCs w:val="0"/>
          <w:sz w:val="24"/>
          <w:szCs w:val="26"/>
        </w:rPr>
        <w:t xml:space="preserve">? </w:t>
      </w:r>
    </w:p>
    <w:p w14:paraId="1ED55024" w14:textId="0DBF065C" w:rsidR="0007633D" w:rsidRDefault="0007633D" w:rsidP="00011593">
      <w:pPr>
        <w:pStyle w:val="Heading-3"/>
      </w:pPr>
      <w:r>
        <w:t xml:space="preserve">Using </w:t>
      </w:r>
      <w:r w:rsidRPr="00011593">
        <w:rPr>
          <w:i/>
          <w:iCs/>
          <w:u w:val="single"/>
        </w:rPr>
        <w:t>personal information</w:t>
      </w:r>
      <w:r w:rsidR="00F4669D">
        <w:t xml:space="preserve"> and </w:t>
      </w:r>
      <w:r w:rsidR="00F4669D" w:rsidRPr="00A13BF1">
        <w:rPr>
          <w:i/>
          <w:iCs/>
          <w:u w:val="single"/>
        </w:rPr>
        <w:t>s</w:t>
      </w:r>
      <w:r w:rsidR="00F4669D" w:rsidRPr="00F4669D">
        <w:rPr>
          <w:i/>
          <w:iCs/>
          <w:u w:val="single"/>
        </w:rPr>
        <w:t>ensitive information</w:t>
      </w:r>
      <w:r w:rsidRPr="00011593">
        <w:rPr>
          <w:i/>
          <w:iCs/>
        </w:rPr>
        <w:t xml:space="preserve"> </w:t>
      </w:r>
      <w:r>
        <w:t>already held</w:t>
      </w:r>
    </w:p>
    <w:p w14:paraId="35D71580" w14:textId="0C357D61" w:rsidR="0094246F" w:rsidRDefault="0077122A" w:rsidP="00AF715F">
      <w:pPr>
        <w:pStyle w:val="Body"/>
      </w:pPr>
      <w:r>
        <w:t xml:space="preserve">Under </w:t>
      </w:r>
      <w:r w:rsidRPr="00A13BF1">
        <w:t>IPP 2</w:t>
      </w:r>
      <w:r>
        <w:t>.1</w:t>
      </w:r>
      <w:r w:rsidR="00754CB0">
        <w:t>,</w:t>
      </w:r>
      <w:r>
        <w:t xml:space="preserve"> </w:t>
      </w:r>
      <w:r w:rsidR="00B86F9A">
        <w:t xml:space="preserve">a </w:t>
      </w:r>
      <w:r w:rsidR="00450636">
        <w:t>defined entit</w:t>
      </w:r>
      <w:r w:rsidR="00B86F9A">
        <w:t>y</w:t>
      </w:r>
      <w:r>
        <w:t xml:space="preserve"> must not use personal </w:t>
      </w:r>
      <w:r w:rsidR="00F4669D">
        <w:t xml:space="preserve">or sensitive </w:t>
      </w:r>
      <w:r>
        <w:t xml:space="preserve">information for a purpose other than the primary purpose </w:t>
      </w:r>
      <w:r w:rsidR="007960A4">
        <w:t xml:space="preserve">for which </w:t>
      </w:r>
      <w:r w:rsidR="00754CB0">
        <w:t>it was collected</w:t>
      </w:r>
      <w:r>
        <w:t xml:space="preserve">. </w:t>
      </w:r>
      <w:r w:rsidR="0094246F">
        <w:t>Personal or sensitive i</w:t>
      </w:r>
      <w:r w:rsidR="00735D6E">
        <w:t xml:space="preserve">nformation </w:t>
      </w:r>
      <w:r w:rsidR="0094246F">
        <w:t>already held by a defined entity that is relevant to conducting the audit and developing a GEAP will likely have been collected in the context of recruiting employees, for human resource purposes. As such, this information cannot be used</w:t>
      </w:r>
      <w:r w:rsidR="00150950">
        <w:t xml:space="preserve"> for any other purpose</w:t>
      </w:r>
      <w:r w:rsidR="0094246F">
        <w:t xml:space="preserve"> unless an exception</w:t>
      </w:r>
      <w:r w:rsidR="00150950">
        <w:t xml:space="preserve"> to</w:t>
      </w:r>
      <w:r w:rsidR="0094246F">
        <w:t xml:space="preserve"> IPP 2.1 applies. </w:t>
      </w:r>
    </w:p>
    <w:p w14:paraId="7B17BC1D" w14:textId="6C9EACC9" w:rsidR="00150950" w:rsidRDefault="0017674F" w:rsidP="00AF715F">
      <w:pPr>
        <w:pStyle w:val="Body"/>
      </w:pPr>
      <w:r>
        <w:t>However</w:t>
      </w:r>
      <w:r w:rsidR="00150950">
        <w:t xml:space="preserve">, IPP 2.1(f) </w:t>
      </w:r>
      <w:r w:rsidR="00150950" w:rsidRPr="00F4669D">
        <w:t>permits</w:t>
      </w:r>
      <w:r w:rsidR="00150950">
        <w:t xml:space="preserve"> </w:t>
      </w:r>
      <w:r w:rsidR="00150950" w:rsidRPr="00F4669D">
        <w:t>personal</w:t>
      </w:r>
      <w:r w:rsidR="00150950">
        <w:t xml:space="preserve"> and sensitive</w:t>
      </w:r>
      <w:r w:rsidR="00150950" w:rsidRPr="00F4669D">
        <w:t xml:space="preserve"> information to be used where the use is required or authorised by law. </w:t>
      </w:r>
      <w:r w:rsidR="00150950">
        <w:t>As a d</w:t>
      </w:r>
      <w:r w:rsidR="00150950" w:rsidRPr="00F4669D">
        <w:t>efined entit</w:t>
      </w:r>
      <w:r w:rsidR="00150950">
        <w:t>y</w:t>
      </w:r>
      <w:r w:rsidR="00150950" w:rsidRPr="00F4669D">
        <w:t xml:space="preserve"> ha</w:t>
      </w:r>
      <w:r w:rsidR="00150950">
        <w:t>s</w:t>
      </w:r>
      <w:r w:rsidR="00150950" w:rsidRPr="00F4669D">
        <w:t xml:space="preserve"> a legal obligation under section 10 and 11 of the GE Act to </w:t>
      </w:r>
      <w:r w:rsidR="00150950">
        <w:t>conduct</w:t>
      </w:r>
      <w:r w:rsidR="00150950" w:rsidRPr="00F4669D">
        <w:t xml:space="preserve"> </w:t>
      </w:r>
      <w:r w:rsidR="00150950">
        <w:t>the</w:t>
      </w:r>
      <w:r w:rsidR="00150950" w:rsidRPr="00F4669D">
        <w:t xml:space="preserve"> audit and </w:t>
      </w:r>
      <w:r w:rsidR="00150950">
        <w:t xml:space="preserve">develop a </w:t>
      </w:r>
      <w:r w:rsidR="00150950" w:rsidRPr="00F4669D">
        <w:t>GEAP</w:t>
      </w:r>
      <w:r w:rsidR="00150950">
        <w:t xml:space="preserve">, it is permissible for a defined entity to use </w:t>
      </w:r>
      <w:r w:rsidR="00150950" w:rsidRPr="00F4669D">
        <w:t>personal</w:t>
      </w:r>
      <w:r w:rsidR="00150950">
        <w:t xml:space="preserve"> and sensitive</w:t>
      </w:r>
      <w:r w:rsidR="00150950" w:rsidRPr="00F4669D">
        <w:t xml:space="preserve"> information already</w:t>
      </w:r>
      <w:r w:rsidR="00150950">
        <w:t xml:space="preserve"> held</w:t>
      </w:r>
      <w:r w:rsidR="00150950" w:rsidRPr="00F4669D">
        <w:t xml:space="preserve"> about</w:t>
      </w:r>
      <w:r w:rsidR="00150950">
        <w:t xml:space="preserve"> </w:t>
      </w:r>
      <w:r w:rsidR="00150950" w:rsidRPr="00F4669D">
        <w:t xml:space="preserve">employees to </w:t>
      </w:r>
      <w:r w:rsidR="00150950">
        <w:t>do so.</w:t>
      </w:r>
    </w:p>
    <w:p w14:paraId="0395614C" w14:textId="644CC8D4" w:rsidR="0037051D" w:rsidRDefault="0037051D" w:rsidP="00513F35">
      <w:pPr>
        <w:pStyle w:val="Body"/>
        <w:tabs>
          <w:tab w:val="left" w:pos="3921"/>
        </w:tabs>
        <w:rPr>
          <w:b/>
          <w:bCs/>
        </w:rPr>
      </w:pPr>
      <w:r w:rsidRPr="00011593">
        <w:rPr>
          <w:b/>
          <w:bCs/>
        </w:rPr>
        <w:t xml:space="preserve">Using </w:t>
      </w:r>
      <w:r w:rsidRPr="00011593">
        <w:rPr>
          <w:b/>
          <w:bCs/>
          <w:i/>
          <w:iCs/>
          <w:u w:val="single"/>
        </w:rPr>
        <w:t>health information</w:t>
      </w:r>
      <w:r w:rsidRPr="00011593">
        <w:rPr>
          <w:b/>
          <w:bCs/>
        </w:rPr>
        <w:t xml:space="preserve"> already held</w:t>
      </w:r>
    </w:p>
    <w:p w14:paraId="5D21AAB1" w14:textId="0F23933D" w:rsidR="007375AA" w:rsidRPr="00150950" w:rsidRDefault="00104CAF" w:rsidP="00A73EB2">
      <w:pPr>
        <w:pStyle w:val="Body"/>
        <w:rPr>
          <w:b/>
          <w:bCs/>
        </w:rPr>
      </w:pPr>
      <w:r>
        <w:t>Under H</w:t>
      </w:r>
      <w:r w:rsidRPr="00A13BF1">
        <w:t>PP 2</w:t>
      </w:r>
      <w:r>
        <w:t>.2 a</w:t>
      </w:r>
      <w:r w:rsidR="00450636">
        <w:t xml:space="preserve"> </w:t>
      </w:r>
      <w:r>
        <w:t xml:space="preserve">defined entity must not use health information for a purpose other than the primary purpose </w:t>
      </w:r>
      <w:r w:rsidR="007960A4">
        <w:t>for which it was collected</w:t>
      </w:r>
      <w:r>
        <w:t>. Howev</w:t>
      </w:r>
      <w:r w:rsidR="00150950">
        <w:t xml:space="preserve">er, </w:t>
      </w:r>
      <w:r>
        <w:t xml:space="preserve">HPP 2.2(c) </w:t>
      </w:r>
      <w:r w:rsidRPr="00F4669D">
        <w:t>permits</w:t>
      </w:r>
      <w:r>
        <w:t xml:space="preserve"> health </w:t>
      </w:r>
      <w:r w:rsidRPr="00F4669D">
        <w:t xml:space="preserve">information to be used where the use is required or authorised by law. </w:t>
      </w:r>
      <w:r>
        <w:t xml:space="preserve">As </w:t>
      </w:r>
      <w:r w:rsidR="00B86F9A">
        <w:t xml:space="preserve">a </w:t>
      </w:r>
      <w:r>
        <w:t>d</w:t>
      </w:r>
      <w:r w:rsidRPr="00F4669D">
        <w:t>efined entit</w:t>
      </w:r>
      <w:r w:rsidR="00B86F9A">
        <w:t>y</w:t>
      </w:r>
      <w:r w:rsidRPr="00F4669D">
        <w:t xml:space="preserve"> ha</w:t>
      </w:r>
      <w:r w:rsidR="00B86F9A">
        <w:t>s</w:t>
      </w:r>
      <w:r w:rsidRPr="00F4669D">
        <w:t xml:space="preserve"> a legal obligation under sections 10 and 11 of the GE Act to c</w:t>
      </w:r>
      <w:r w:rsidR="007960A4">
        <w:t>onduct</w:t>
      </w:r>
      <w:r w:rsidRPr="00F4669D">
        <w:t xml:space="preserve"> </w:t>
      </w:r>
      <w:r w:rsidR="007960A4">
        <w:t>the</w:t>
      </w:r>
      <w:r w:rsidRPr="00F4669D">
        <w:t xml:space="preserve"> audit and </w:t>
      </w:r>
      <w:r w:rsidR="007960A4">
        <w:t xml:space="preserve">develop a </w:t>
      </w:r>
      <w:r w:rsidRPr="00F4669D">
        <w:t>GEAP</w:t>
      </w:r>
      <w:r>
        <w:t xml:space="preserve">, </w:t>
      </w:r>
      <w:r w:rsidR="00150950">
        <w:t xml:space="preserve">it is permissible for a defined entity to use health </w:t>
      </w:r>
      <w:r w:rsidR="00150950" w:rsidRPr="00F4669D">
        <w:t>information already</w:t>
      </w:r>
      <w:r w:rsidR="00150950">
        <w:t xml:space="preserve"> held</w:t>
      </w:r>
      <w:r w:rsidR="00150950" w:rsidRPr="00F4669D">
        <w:t xml:space="preserve"> about</w:t>
      </w:r>
      <w:r w:rsidR="00150950">
        <w:t xml:space="preserve"> </w:t>
      </w:r>
      <w:r w:rsidR="00150950" w:rsidRPr="00F4669D">
        <w:t xml:space="preserve">employees to </w:t>
      </w:r>
      <w:r w:rsidR="00150950">
        <w:t>do so.</w:t>
      </w:r>
      <w:r w:rsidR="00150950" w:rsidDel="00150950">
        <w:t xml:space="preserve"> </w:t>
      </w:r>
    </w:p>
    <w:p w14:paraId="1CFEDDD6" w14:textId="0DB4404B" w:rsidR="000659EF" w:rsidRDefault="007375AA" w:rsidP="00513F35">
      <w:pPr>
        <w:pStyle w:val="Body"/>
        <w:tabs>
          <w:tab w:val="left" w:pos="3921"/>
        </w:tabs>
        <w:rPr>
          <w:b/>
          <w:bCs/>
        </w:rPr>
      </w:pPr>
      <w:r>
        <w:rPr>
          <w:b/>
          <w:bCs/>
        </w:rPr>
        <w:t>Notifying employees</w:t>
      </w:r>
    </w:p>
    <w:p w14:paraId="0E213C0F" w14:textId="2C351FD2" w:rsidR="00104CAF" w:rsidRPr="007375AA" w:rsidRDefault="000659EF" w:rsidP="00513F35">
      <w:pPr>
        <w:pStyle w:val="Body"/>
        <w:tabs>
          <w:tab w:val="left" w:pos="3921"/>
        </w:tabs>
      </w:pPr>
      <w:r w:rsidRPr="00404CEB">
        <w:t xml:space="preserve">Where </w:t>
      </w:r>
      <w:r w:rsidR="00B86F9A">
        <w:t>a defined entity</w:t>
      </w:r>
      <w:r w:rsidRPr="00404CEB">
        <w:t xml:space="preserve"> use</w:t>
      </w:r>
      <w:r w:rsidR="00B86F9A">
        <w:t>s</w:t>
      </w:r>
      <w:r w:rsidRPr="00404CEB">
        <w:t xml:space="preserve"> personal</w:t>
      </w:r>
      <w:r>
        <w:t>, sensitive, or health</w:t>
      </w:r>
      <w:r w:rsidRPr="00404CEB">
        <w:t xml:space="preserve"> information </w:t>
      </w:r>
      <w:r w:rsidR="00B86F9A">
        <w:t>it</w:t>
      </w:r>
      <w:r w:rsidRPr="00404CEB">
        <w:t xml:space="preserve"> </w:t>
      </w:r>
      <w:r>
        <w:t xml:space="preserve">already </w:t>
      </w:r>
      <w:r w:rsidRPr="00404CEB">
        <w:t>hold</w:t>
      </w:r>
      <w:r w:rsidR="00B86F9A">
        <w:t>s</w:t>
      </w:r>
      <w:r w:rsidRPr="00404CEB">
        <w:t xml:space="preserve"> </w:t>
      </w:r>
      <w:r>
        <w:t xml:space="preserve">to conduct the audit and </w:t>
      </w:r>
      <w:r w:rsidR="007375AA">
        <w:t xml:space="preserve">develop </w:t>
      </w:r>
      <w:r>
        <w:t>a GEAP,</w:t>
      </w:r>
      <w:r w:rsidRPr="00404CEB">
        <w:t xml:space="preserve"> </w:t>
      </w:r>
      <w:r w:rsidR="00B86F9A">
        <w:t>it</w:t>
      </w:r>
      <w:r w:rsidR="00150950">
        <w:t xml:space="preserve"> is best practice to</w:t>
      </w:r>
      <w:r w:rsidRPr="00404CEB">
        <w:t xml:space="preserve"> notify employees of the new use of their information.</w:t>
      </w:r>
      <w:r w:rsidR="00582114">
        <w:t xml:space="preserve"> For example, this could be done by an email to all staff notifying them that the GE Act requires an audit to be undertaken and their personal information will be used as part of that process.</w:t>
      </w:r>
      <w:r w:rsidRPr="00404CEB">
        <w:t xml:space="preserve"> </w:t>
      </w:r>
      <w:r w:rsidR="007375AA">
        <w:t xml:space="preserve">Providing </w:t>
      </w:r>
      <w:r w:rsidRPr="00404CEB">
        <w:t xml:space="preserve">notice promotes transparency about </w:t>
      </w:r>
      <w:r>
        <w:t>the entity’s</w:t>
      </w:r>
      <w:r w:rsidRPr="00404CEB">
        <w:t xml:space="preserve"> information handling practices</w:t>
      </w:r>
      <w:r w:rsidR="00582114">
        <w:t xml:space="preserve"> and </w:t>
      </w:r>
      <w:r w:rsidR="007375AA" w:rsidRPr="00404CEB">
        <w:t>ensures individuals are aware</w:t>
      </w:r>
      <w:r w:rsidR="00582114">
        <w:t xml:space="preserve"> of how their information is used. </w:t>
      </w:r>
    </w:p>
    <w:p w14:paraId="5B4AEBD8" w14:textId="33588B4B" w:rsidR="00261495" w:rsidRPr="00011593" w:rsidRDefault="0037051D" w:rsidP="00453192">
      <w:pPr>
        <w:pStyle w:val="Heading-2"/>
        <w:rPr>
          <w:i w:val="0"/>
          <w:iCs w:val="0"/>
          <w:sz w:val="24"/>
          <w:szCs w:val="26"/>
        </w:rPr>
      </w:pPr>
      <w:r>
        <w:rPr>
          <w:i w:val="0"/>
          <w:iCs w:val="0"/>
          <w:sz w:val="24"/>
          <w:szCs w:val="26"/>
        </w:rPr>
        <w:t xml:space="preserve">CAN A DEFINED ENTITY COLLECT </w:t>
      </w:r>
      <w:r w:rsidRPr="00011593">
        <w:rPr>
          <w:i w:val="0"/>
          <w:iCs w:val="0"/>
          <w:sz w:val="24"/>
          <w:szCs w:val="26"/>
        </w:rPr>
        <w:t>PERSONAL</w:t>
      </w:r>
      <w:r>
        <w:rPr>
          <w:i w:val="0"/>
          <w:iCs w:val="0"/>
          <w:sz w:val="24"/>
          <w:szCs w:val="26"/>
        </w:rPr>
        <w:t>, SENSITIVE, OR HEALTH</w:t>
      </w:r>
      <w:r w:rsidRPr="00011593">
        <w:rPr>
          <w:i w:val="0"/>
          <w:iCs w:val="0"/>
          <w:sz w:val="24"/>
          <w:szCs w:val="26"/>
        </w:rPr>
        <w:t xml:space="preserve"> INFORMATION</w:t>
      </w:r>
      <w:r w:rsidR="00450636">
        <w:rPr>
          <w:i w:val="0"/>
          <w:iCs w:val="0"/>
          <w:sz w:val="24"/>
          <w:szCs w:val="26"/>
        </w:rPr>
        <w:t xml:space="preserve"> TO CONDUCT THE AUDIT AND DEVELOP A GEAP?</w:t>
      </w:r>
    </w:p>
    <w:p w14:paraId="37429181" w14:textId="4A3AFC04" w:rsidR="0037051D" w:rsidRPr="00011593" w:rsidRDefault="0037051D" w:rsidP="00E949E5">
      <w:pPr>
        <w:pStyle w:val="Body"/>
        <w:rPr>
          <w:b/>
          <w:bCs/>
        </w:rPr>
      </w:pPr>
      <w:r w:rsidRPr="00011593">
        <w:rPr>
          <w:b/>
          <w:bCs/>
        </w:rPr>
        <w:t>Collecti</w:t>
      </w:r>
      <w:r w:rsidR="005A489C">
        <w:rPr>
          <w:b/>
          <w:bCs/>
        </w:rPr>
        <w:t>ng</w:t>
      </w:r>
      <w:r w:rsidRPr="00011593">
        <w:rPr>
          <w:b/>
          <w:bCs/>
        </w:rPr>
        <w:t xml:space="preserve"> </w:t>
      </w:r>
      <w:r w:rsidRPr="007375AA">
        <w:rPr>
          <w:b/>
          <w:bCs/>
        </w:rPr>
        <w:t>personal information</w:t>
      </w:r>
    </w:p>
    <w:p w14:paraId="2DD8ED23" w14:textId="361EA998" w:rsidR="005A489C" w:rsidRDefault="005A489C" w:rsidP="00E949E5">
      <w:pPr>
        <w:pStyle w:val="Body"/>
      </w:pPr>
      <w:r>
        <w:t>As the GE Act requires certain personal information to be included in the audit, a defined entity</w:t>
      </w:r>
      <w:r w:rsidR="00C6691A">
        <w:t xml:space="preserve"> can </w:t>
      </w:r>
      <w:r>
        <w:t xml:space="preserve">collect personal information from its employees if </w:t>
      </w:r>
      <w:r w:rsidR="00C6691A">
        <w:t>it</w:t>
      </w:r>
      <w:r>
        <w:t xml:space="preserve"> does not already hold this information.</w:t>
      </w:r>
      <w:r w:rsidR="00467974">
        <w:t xml:space="preserve"> </w:t>
      </w:r>
      <w:r w:rsidR="00B86F9A">
        <w:t>A de</w:t>
      </w:r>
      <w:r w:rsidR="00467974">
        <w:t>fined entit</w:t>
      </w:r>
      <w:r w:rsidR="00B86F9A">
        <w:t xml:space="preserve">y </w:t>
      </w:r>
      <w:r w:rsidR="00467974">
        <w:t xml:space="preserve">should collect this information directly from </w:t>
      </w:r>
      <w:r w:rsidR="00B86F9A">
        <w:t xml:space="preserve">its </w:t>
      </w:r>
      <w:r w:rsidR="00467974">
        <w:t xml:space="preserve">employees. </w:t>
      </w:r>
    </w:p>
    <w:p w14:paraId="28289048" w14:textId="76CCDBCE" w:rsidR="00E96934" w:rsidRPr="00011593" w:rsidRDefault="0037051D" w:rsidP="00E96934">
      <w:pPr>
        <w:pStyle w:val="Heading-3"/>
        <w:rPr>
          <w:i/>
          <w:iCs/>
        </w:rPr>
      </w:pPr>
      <w:r w:rsidRPr="00F4669D">
        <w:t>Collect</w:t>
      </w:r>
      <w:r w:rsidR="005A489C">
        <w:t>ing</w:t>
      </w:r>
      <w:r w:rsidRPr="00011593">
        <w:rPr>
          <w:i/>
          <w:iCs/>
        </w:rPr>
        <w:t xml:space="preserve"> </w:t>
      </w:r>
      <w:r w:rsidRPr="007375AA">
        <w:t>s</w:t>
      </w:r>
      <w:r w:rsidR="00E96934" w:rsidRPr="007375AA">
        <w:t>ensitive information</w:t>
      </w:r>
    </w:p>
    <w:p w14:paraId="182BD9E8" w14:textId="787CA387" w:rsidR="00C6691A" w:rsidRDefault="00394F0E" w:rsidP="00011593">
      <w:pPr>
        <w:pStyle w:val="Body"/>
      </w:pPr>
      <w:r>
        <w:t>As</w:t>
      </w:r>
      <w:r w:rsidR="00582114">
        <w:t xml:space="preserve"> noted,</w:t>
      </w:r>
      <w:r>
        <w:t xml:space="preserve"> </w:t>
      </w:r>
      <w:r w:rsidR="00582114">
        <w:t xml:space="preserve">in the context of the GE Act, </w:t>
      </w:r>
      <w:r>
        <w:t xml:space="preserve">sensitive information </w:t>
      </w:r>
      <w:r w:rsidR="00C6691A">
        <w:t>includes</w:t>
      </w:r>
      <w:r>
        <w:t xml:space="preserve"> any information about an employee’s aboriginality, ethnicity, race, religion, </w:t>
      </w:r>
      <w:r w:rsidR="00582114">
        <w:t>or</w:t>
      </w:r>
      <w:r>
        <w:t xml:space="preserve"> sexual orientation.</w:t>
      </w:r>
      <w:r w:rsidRPr="00394F0E">
        <w:t xml:space="preserve"> </w:t>
      </w:r>
    </w:p>
    <w:p w14:paraId="128E0B20" w14:textId="416577AE" w:rsidR="00394F0E" w:rsidRDefault="00C6691A" w:rsidP="00011593">
      <w:pPr>
        <w:pStyle w:val="Body"/>
      </w:pPr>
      <w:r>
        <w:t xml:space="preserve">Section 11(3)(b) of GE Act requires sensitive information </w:t>
      </w:r>
      <w:r w:rsidR="00582114">
        <w:t xml:space="preserve">to be used </w:t>
      </w:r>
      <w:r>
        <w:t xml:space="preserve">for the audit “if available”. </w:t>
      </w:r>
      <w:r w:rsidR="00072A2E">
        <w:t xml:space="preserve">Thus, </w:t>
      </w:r>
      <w:r w:rsidR="00B86F9A">
        <w:t>a defined entity</w:t>
      </w:r>
      <w:r w:rsidR="00582114">
        <w:t xml:space="preserve"> </w:t>
      </w:r>
      <w:r w:rsidR="00CF1F05">
        <w:t xml:space="preserve">is </w:t>
      </w:r>
      <w:r w:rsidR="00582114">
        <w:t xml:space="preserve">permitted to use sensitive information </w:t>
      </w:r>
      <w:r w:rsidR="00CF1F05">
        <w:t>it</w:t>
      </w:r>
      <w:r w:rsidR="00582114">
        <w:t xml:space="preserve"> </w:t>
      </w:r>
      <w:r w:rsidR="00CF1F05">
        <w:t xml:space="preserve">already </w:t>
      </w:r>
      <w:r w:rsidR="00582114">
        <w:t>h</w:t>
      </w:r>
      <w:r w:rsidR="00CF1F05">
        <w:t>olds</w:t>
      </w:r>
      <w:r w:rsidR="00582114">
        <w:t>, however it</w:t>
      </w:r>
      <w:r w:rsidR="00B86F9A">
        <w:t xml:space="preserve"> is not</w:t>
      </w:r>
      <w:r>
        <w:t xml:space="preserve"> required to collect sensitive information</w:t>
      </w:r>
      <w:r w:rsidR="00CF1F05">
        <w:t xml:space="preserve"> </w:t>
      </w:r>
      <w:r>
        <w:t>nor are</w:t>
      </w:r>
      <w:r w:rsidR="00B86F9A">
        <w:t xml:space="preserve"> </w:t>
      </w:r>
      <w:r>
        <w:t>employees required to disclose sensitive information.</w:t>
      </w:r>
    </w:p>
    <w:p w14:paraId="48582C9C" w14:textId="609A6A14" w:rsidR="0037051D" w:rsidRDefault="00072A2E" w:rsidP="00011593">
      <w:pPr>
        <w:pStyle w:val="Body"/>
      </w:pPr>
      <w:r>
        <w:lastRenderedPageBreak/>
        <w:t xml:space="preserve">If </w:t>
      </w:r>
      <w:r w:rsidR="00394F0E">
        <w:t xml:space="preserve">a defined entity </w:t>
      </w:r>
      <w:r>
        <w:t>wants</w:t>
      </w:r>
      <w:r w:rsidR="00394F0E">
        <w:t xml:space="preserve"> </w:t>
      </w:r>
      <w:r>
        <w:t xml:space="preserve">to </w:t>
      </w:r>
      <w:r w:rsidR="00394F0E">
        <w:t xml:space="preserve">collect sensitive information </w:t>
      </w:r>
      <w:r>
        <w:t>to conduct the</w:t>
      </w:r>
      <w:r w:rsidR="00394F0E">
        <w:t xml:space="preserve"> audit </w:t>
      </w:r>
      <w:r w:rsidR="00394F0E" w:rsidRPr="00394F0E">
        <w:t>and</w:t>
      </w:r>
      <w:r w:rsidR="00394F0E">
        <w:t xml:space="preserve"> </w:t>
      </w:r>
      <w:r>
        <w:t xml:space="preserve">develop a </w:t>
      </w:r>
      <w:r w:rsidR="00394F0E">
        <w:t>GEAP,</w:t>
      </w:r>
      <w:r>
        <w:t xml:space="preserve"> it must seek the employee’s consent as required by IPP 10.1(a). </w:t>
      </w:r>
      <w:r w:rsidR="00394F0E">
        <w:t xml:space="preserve">An employee </w:t>
      </w:r>
      <w:r>
        <w:t xml:space="preserve">is entitled to refuse </w:t>
      </w:r>
      <w:r w:rsidR="00394F0E">
        <w:t>the collection of</w:t>
      </w:r>
      <w:r>
        <w:t xml:space="preserve"> their</w:t>
      </w:r>
      <w:r w:rsidR="00394F0E">
        <w:t xml:space="preserve"> sensitive information</w:t>
      </w:r>
      <w:r w:rsidR="00582114">
        <w:t xml:space="preserve"> and should be informed of this.</w:t>
      </w:r>
    </w:p>
    <w:p w14:paraId="1D996ED7" w14:textId="7C1ADE4A" w:rsidR="00394F0E" w:rsidRDefault="0037051D" w:rsidP="00011593">
      <w:pPr>
        <w:pStyle w:val="Heading-3"/>
      </w:pPr>
      <w:r w:rsidRPr="00394F0E">
        <w:t xml:space="preserve">Collecting </w:t>
      </w:r>
      <w:r w:rsidRPr="007375AA">
        <w:t>health information</w:t>
      </w:r>
    </w:p>
    <w:p w14:paraId="5D7CC20E" w14:textId="397C6D00" w:rsidR="00E534FE" w:rsidRDefault="00394F0E" w:rsidP="00394F0E">
      <w:pPr>
        <w:pStyle w:val="Body"/>
      </w:pPr>
      <w:r>
        <w:t xml:space="preserve">As </w:t>
      </w:r>
      <w:r w:rsidR="00582114">
        <w:t>noted</w:t>
      </w:r>
      <w:r>
        <w:t>,</w:t>
      </w:r>
      <w:r w:rsidR="00582114">
        <w:t xml:space="preserve"> in the context of the GE Act,</w:t>
      </w:r>
      <w:r>
        <w:t xml:space="preserve"> health </w:t>
      </w:r>
      <w:r w:rsidR="00B86F9A">
        <w:t>i</w:t>
      </w:r>
      <w:r>
        <w:t xml:space="preserve">nformation </w:t>
      </w:r>
      <w:r w:rsidR="00072A2E">
        <w:t xml:space="preserve">includes </w:t>
      </w:r>
      <w:r>
        <w:t>any information about an employee’s disability.</w:t>
      </w:r>
    </w:p>
    <w:p w14:paraId="2B270381" w14:textId="00A1E5EB" w:rsidR="00582114" w:rsidRDefault="00E534FE" w:rsidP="00582114">
      <w:pPr>
        <w:pStyle w:val="Body"/>
      </w:pPr>
      <w:r>
        <w:t>Section 11(3)(b) of the GE Act requires health information for the audit “if available”.</w:t>
      </w:r>
      <w:r w:rsidR="00394F0E" w:rsidRPr="00394F0E">
        <w:t xml:space="preserve"> </w:t>
      </w:r>
      <w:r w:rsidR="00582114">
        <w:t xml:space="preserve">Thus, a defined entity </w:t>
      </w:r>
      <w:r w:rsidR="00CF1F05">
        <w:t xml:space="preserve">is </w:t>
      </w:r>
      <w:r w:rsidR="00582114">
        <w:t xml:space="preserve">permitted to use health information </w:t>
      </w:r>
      <w:r w:rsidR="00CF1F05">
        <w:t>it already holds</w:t>
      </w:r>
      <w:r w:rsidR="00582114">
        <w:t>, however it is not required to collect health information nor are employees required to disclose health information.</w:t>
      </w:r>
    </w:p>
    <w:p w14:paraId="70880FBF" w14:textId="109D9BE6" w:rsidR="00E534FE" w:rsidRDefault="00E534FE" w:rsidP="00FB595C">
      <w:pPr>
        <w:pStyle w:val="Body"/>
      </w:pPr>
      <w:r>
        <w:t xml:space="preserve">If a defined entity wants to collect health information to conduct the audit </w:t>
      </w:r>
      <w:r w:rsidRPr="00394F0E">
        <w:t>and</w:t>
      </w:r>
      <w:r>
        <w:t xml:space="preserve"> develop a GEAP, it must seek the employee’s consent as required by HPP 1.1(a). An employee is entitled to refuse the collection of their </w:t>
      </w:r>
      <w:r w:rsidR="00582114">
        <w:t>health</w:t>
      </w:r>
      <w:r>
        <w:t xml:space="preserve"> information</w:t>
      </w:r>
      <w:r w:rsidR="00582114">
        <w:t xml:space="preserve"> and should be informed of this.</w:t>
      </w:r>
    </w:p>
    <w:p w14:paraId="4DC144F0" w14:textId="753B4438" w:rsidR="00467974" w:rsidRDefault="007375AA" w:rsidP="00467974">
      <w:pPr>
        <w:pStyle w:val="Body"/>
        <w:tabs>
          <w:tab w:val="left" w:pos="3921"/>
        </w:tabs>
        <w:rPr>
          <w:b/>
          <w:bCs/>
        </w:rPr>
      </w:pPr>
      <w:r>
        <w:rPr>
          <w:b/>
          <w:bCs/>
        </w:rPr>
        <w:t>Notifying employees</w:t>
      </w:r>
    </w:p>
    <w:p w14:paraId="09B04AD3" w14:textId="77777777" w:rsidR="0020633D" w:rsidRDefault="00467974" w:rsidP="00011593">
      <w:pPr>
        <w:pStyle w:val="Body"/>
      </w:pPr>
      <w:r>
        <w:t xml:space="preserve">When collecting </w:t>
      </w:r>
      <w:r w:rsidR="00582114">
        <w:t xml:space="preserve">new </w:t>
      </w:r>
      <w:r>
        <w:t xml:space="preserve">personal, sensitive, or health information, </w:t>
      </w:r>
      <w:r w:rsidR="00B86F9A">
        <w:t xml:space="preserve">a </w:t>
      </w:r>
      <w:r>
        <w:t>defined entit</w:t>
      </w:r>
      <w:r w:rsidR="00B86F9A">
        <w:t>y</w:t>
      </w:r>
      <w:r>
        <w:t xml:space="preserve"> must take reasonable steps to notify </w:t>
      </w:r>
      <w:r w:rsidR="00B86F9A">
        <w:t xml:space="preserve">its </w:t>
      </w:r>
      <w:r>
        <w:t xml:space="preserve">employees of a range of matters related to the collection including the purpose for which the information is collected, any law requiring the collection and the organisations or individuals to whom the information is usually disclosed. </w:t>
      </w:r>
    </w:p>
    <w:p w14:paraId="4BB079AB" w14:textId="1223FD12" w:rsidR="003C708B" w:rsidRDefault="00467974" w:rsidP="00011593">
      <w:pPr>
        <w:pStyle w:val="Body"/>
      </w:pPr>
      <w:r>
        <w:t xml:space="preserve">This is commonly referred to as a collection notice and it should be provided to employees at or before the time the defined entity collects </w:t>
      </w:r>
      <w:r w:rsidR="00B86F9A">
        <w:t xml:space="preserve">the </w:t>
      </w:r>
      <w:r>
        <w:t>personal</w:t>
      </w:r>
      <w:r w:rsidR="00B86F9A">
        <w:t>, sensitive or health</w:t>
      </w:r>
      <w:r>
        <w:t xml:space="preserve"> information (or if that is not practical, as soon as possible after the information is collected).</w:t>
      </w:r>
      <w:r>
        <w:rPr>
          <w:rStyle w:val="EndnoteReference"/>
        </w:rPr>
        <w:endnoteReference w:id="13"/>
      </w:r>
    </w:p>
    <w:p w14:paraId="4BD29B64" w14:textId="162FAF0F" w:rsidR="0020633D" w:rsidRPr="00A73EB2" w:rsidRDefault="0020633D" w:rsidP="00A73EB2">
      <w:pPr>
        <w:pStyle w:val="Body"/>
        <w:tabs>
          <w:tab w:val="left" w:pos="3921"/>
        </w:tabs>
        <w:rPr>
          <w:b/>
          <w:bCs/>
        </w:rPr>
      </w:pPr>
      <w:r>
        <w:rPr>
          <w:b/>
          <w:bCs/>
        </w:rPr>
        <w:t>V</w:t>
      </w:r>
      <w:r w:rsidRPr="00A73EB2">
        <w:rPr>
          <w:b/>
          <w:bCs/>
        </w:rPr>
        <w:t>alid consent</w:t>
      </w:r>
    </w:p>
    <w:p w14:paraId="0B7D97DD" w14:textId="7E36A9FB" w:rsidR="0020633D" w:rsidRPr="00394F0E" w:rsidRDefault="0020633D" w:rsidP="00011593">
      <w:pPr>
        <w:pStyle w:val="Body"/>
      </w:pPr>
      <w:r>
        <w:t>Where a defined entity collects sensitive or health information with consent, it should ensure the employee’s consent it</w:t>
      </w:r>
      <w:r w:rsidRPr="00A73EB2">
        <w:rPr>
          <w:i/>
          <w:iCs/>
        </w:rPr>
        <w:t xml:space="preserve"> valid</w:t>
      </w:r>
      <w:r>
        <w:t xml:space="preserve">. For consent to be valid, it must be voluntary, informed, specific, </w:t>
      </w:r>
      <w:proofErr w:type="gramStart"/>
      <w:r>
        <w:t>current</w:t>
      </w:r>
      <w:proofErr w:type="gramEnd"/>
      <w:r>
        <w:t xml:space="preserve"> and provided by someone with capacity to consent. For detailed information on the elements of consent, see </w:t>
      </w:r>
      <w:hyperlink r:id="rId12" w:anchor="Consent" w:history="1">
        <w:r w:rsidRPr="009C23E6">
          <w:rPr>
            <w:rStyle w:val="Hyperlink"/>
          </w:rPr>
          <w:t>OVIC’s guidance</w:t>
        </w:r>
      </w:hyperlink>
      <w:r>
        <w:t xml:space="preserve">. </w:t>
      </w:r>
    </w:p>
    <w:p w14:paraId="11126226" w14:textId="4A5447CE" w:rsidR="00A56CDA" w:rsidRPr="00B448F1" w:rsidRDefault="003C708B" w:rsidP="00B448F1">
      <w:pPr>
        <w:pStyle w:val="Heading-2"/>
        <w:rPr>
          <w:i w:val="0"/>
          <w:iCs w:val="0"/>
          <w:sz w:val="24"/>
          <w:szCs w:val="26"/>
        </w:rPr>
      </w:pPr>
      <w:r>
        <w:rPr>
          <w:i w:val="0"/>
          <w:iCs w:val="0"/>
          <w:sz w:val="24"/>
          <w:szCs w:val="26"/>
        </w:rPr>
        <w:t>CAN A DEFINED ENTITY DISC</w:t>
      </w:r>
      <w:r w:rsidR="00A56CDA">
        <w:rPr>
          <w:i w:val="0"/>
          <w:iCs w:val="0"/>
          <w:sz w:val="24"/>
          <w:szCs w:val="26"/>
        </w:rPr>
        <w:t>L</w:t>
      </w:r>
      <w:r>
        <w:rPr>
          <w:i w:val="0"/>
          <w:iCs w:val="0"/>
          <w:sz w:val="24"/>
          <w:szCs w:val="26"/>
        </w:rPr>
        <w:t xml:space="preserve">OSE </w:t>
      </w:r>
      <w:r w:rsidRPr="00A13BF1">
        <w:rPr>
          <w:i w:val="0"/>
          <w:iCs w:val="0"/>
          <w:sz w:val="24"/>
          <w:szCs w:val="26"/>
        </w:rPr>
        <w:t>PERSONAL</w:t>
      </w:r>
      <w:r>
        <w:rPr>
          <w:i w:val="0"/>
          <w:iCs w:val="0"/>
          <w:sz w:val="24"/>
          <w:szCs w:val="26"/>
        </w:rPr>
        <w:t>, SENSITIVE, OR HEALTH</w:t>
      </w:r>
      <w:r w:rsidRPr="00A13BF1">
        <w:rPr>
          <w:i w:val="0"/>
          <w:iCs w:val="0"/>
          <w:sz w:val="24"/>
          <w:szCs w:val="26"/>
        </w:rPr>
        <w:t xml:space="preserve"> INFORMATION</w:t>
      </w:r>
      <w:r>
        <w:rPr>
          <w:i w:val="0"/>
          <w:iCs w:val="0"/>
          <w:sz w:val="24"/>
          <w:szCs w:val="26"/>
        </w:rPr>
        <w:t xml:space="preserve"> TO THE COMMIS</w:t>
      </w:r>
      <w:r w:rsidR="00C6691A">
        <w:rPr>
          <w:i w:val="0"/>
          <w:iCs w:val="0"/>
          <w:sz w:val="24"/>
          <w:szCs w:val="26"/>
        </w:rPr>
        <w:t>S</w:t>
      </w:r>
      <w:r>
        <w:rPr>
          <w:i w:val="0"/>
          <w:iCs w:val="0"/>
          <w:sz w:val="24"/>
          <w:szCs w:val="26"/>
        </w:rPr>
        <w:t>ION</w:t>
      </w:r>
      <w:r w:rsidRPr="00A13BF1">
        <w:rPr>
          <w:i w:val="0"/>
          <w:iCs w:val="0"/>
          <w:sz w:val="24"/>
          <w:szCs w:val="26"/>
        </w:rPr>
        <w:t xml:space="preserve">? </w:t>
      </w:r>
    </w:p>
    <w:p w14:paraId="40D78311" w14:textId="77777777" w:rsidR="00582114" w:rsidRDefault="00582114" w:rsidP="00A73EB2">
      <w:pPr>
        <w:pStyle w:val="Body"/>
      </w:pPr>
      <w:r>
        <w:t xml:space="preserve">Section 12(1) of the GE Act requires a defined entity to submit its GEAP to the Commission, and section 10(1)(a) requires the GEAP to include the results of the audit. </w:t>
      </w:r>
    </w:p>
    <w:p w14:paraId="265481F9" w14:textId="6863343A" w:rsidR="003C708B" w:rsidRDefault="003C708B" w:rsidP="00FB595C">
      <w:pPr>
        <w:pStyle w:val="Body"/>
        <w:numPr>
          <w:ilvl w:val="0"/>
          <w:numId w:val="38"/>
        </w:numPr>
      </w:pPr>
      <w:r>
        <w:t xml:space="preserve">IPP 2.1(f) permits the disclosure of personal and sensitive information </w:t>
      </w:r>
      <w:r w:rsidRPr="00F4669D">
        <w:t xml:space="preserve">where the </w:t>
      </w:r>
      <w:r>
        <w:t>disclosure</w:t>
      </w:r>
      <w:r w:rsidRPr="00F4669D">
        <w:t xml:space="preserve"> is required or authorised by law</w:t>
      </w:r>
      <w:r>
        <w:t xml:space="preserve">. </w:t>
      </w:r>
    </w:p>
    <w:p w14:paraId="4CE07FE0" w14:textId="2449F714" w:rsidR="00B448F1" w:rsidRDefault="003C708B" w:rsidP="00011593">
      <w:pPr>
        <w:pStyle w:val="Body"/>
        <w:numPr>
          <w:ilvl w:val="0"/>
          <w:numId w:val="38"/>
        </w:numPr>
      </w:pPr>
      <w:r>
        <w:t xml:space="preserve">HPP 2.2(c) </w:t>
      </w:r>
      <w:r w:rsidRPr="00F4669D">
        <w:t>permits</w:t>
      </w:r>
      <w:r>
        <w:t xml:space="preserve"> the disclosure of health </w:t>
      </w:r>
      <w:r w:rsidRPr="00F4669D">
        <w:t>information where</w:t>
      </w:r>
      <w:r>
        <w:t xml:space="preserve"> the disclosure is </w:t>
      </w:r>
      <w:r w:rsidRPr="00F4669D">
        <w:t>required or authorised by law</w:t>
      </w:r>
      <w:r>
        <w:t>.</w:t>
      </w:r>
    </w:p>
    <w:p w14:paraId="114CFBB2" w14:textId="09728B45" w:rsidR="003C708B" w:rsidRDefault="00B448F1" w:rsidP="00011593">
      <w:pPr>
        <w:pStyle w:val="Body"/>
      </w:pPr>
      <w:r>
        <w:t xml:space="preserve">Thus, a defined </w:t>
      </w:r>
      <w:r w:rsidR="00A56CDA">
        <w:t>entity can</w:t>
      </w:r>
      <w:r w:rsidR="003C708B">
        <w:t xml:space="preserve"> disclose personal, sensitive, and health information contained in </w:t>
      </w:r>
      <w:r w:rsidR="00CA3F91">
        <w:t xml:space="preserve">the </w:t>
      </w:r>
      <w:r w:rsidR="003C708B">
        <w:t>GEAP</w:t>
      </w:r>
      <w:r w:rsidR="00CA3F91">
        <w:t xml:space="preserve"> and the audit</w:t>
      </w:r>
      <w:r w:rsidR="003C708B">
        <w:t xml:space="preserve"> to the Commission.</w:t>
      </w:r>
    </w:p>
    <w:p w14:paraId="5AC791F4" w14:textId="21C02BD5" w:rsidR="001B54D9" w:rsidRPr="00011593" w:rsidRDefault="00467974" w:rsidP="004C2B89">
      <w:pPr>
        <w:pStyle w:val="Heading-2"/>
        <w:rPr>
          <w:i w:val="0"/>
          <w:iCs w:val="0"/>
          <w:sz w:val="24"/>
        </w:rPr>
      </w:pPr>
      <w:r w:rsidRPr="00011593">
        <w:rPr>
          <w:i w:val="0"/>
          <w:iCs w:val="0"/>
          <w:sz w:val="24"/>
        </w:rPr>
        <w:lastRenderedPageBreak/>
        <w:t xml:space="preserve">CAN </w:t>
      </w:r>
      <w:r w:rsidR="00B86F9A">
        <w:rPr>
          <w:i w:val="0"/>
          <w:iCs w:val="0"/>
          <w:sz w:val="24"/>
        </w:rPr>
        <w:t xml:space="preserve">A </w:t>
      </w:r>
      <w:r w:rsidRPr="00011593">
        <w:rPr>
          <w:i w:val="0"/>
          <w:iCs w:val="0"/>
          <w:sz w:val="24"/>
        </w:rPr>
        <w:t>DEFINED ENTIT</w:t>
      </w:r>
      <w:r w:rsidR="00B86F9A">
        <w:rPr>
          <w:i w:val="0"/>
          <w:iCs w:val="0"/>
          <w:sz w:val="24"/>
        </w:rPr>
        <w:t>Y</w:t>
      </w:r>
      <w:r w:rsidRPr="00011593">
        <w:rPr>
          <w:i w:val="0"/>
          <w:iCs w:val="0"/>
          <w:sz w:val="24"/>
        </w:rPr>
        <w:t xml:space="preserve"> OR THE COMMISSION PUBLISH PERSONAL INFORMATION? </w:t>
      </w:r>
    </w:p>
    <w:p w14:paraId="179C7F30" w14:textId="77777777" w:rsidR="00CA3F91" w:rsidRDefault="00467974" w:rsidP="00A47583">
      <w:pPr>
        <w:pStyle w:val="Body"/>
        <w:tabs>
          <w:tab w:val="left" w:pos="3921"/>
        </w:tabs>
      </w:pPr>
      <w:r>
        <w:t>Section 51 of the</w:t>
      </w:r>
      <w:r w:rsidR="00A47583">
        <w:t xml:space="preserve"> GE Act prohibits the publication of personal information</w:t>
      </w:r>
      <w:r>
        <w:t>, including sensitive information</w:t>
      </w:r>
      <w:r w:rsidR="00A47583">
        <w:t xml:space="preserve">. </w:t>
      </w:r>
    </w:p>
    <w:p w14:paraId="042D6124" w14:textId="6AAA402D" w:rsidR="0020633D" w:rsidRDefault="00B86F9A" w:rsidP="00A47583">
      <w:pPr>
        <w:pStyle w:val="Body"/>
        <w:tabs>
          <w:tab w:val="left" w:pos="3921"/>
        </w:tabs>
      </w:pPr>
      <w:r>
        <w:t>A d</w:t>
      </w:r>
      <w:r w:rsidR="00A47583">
        <w:t>efined entit</w:t>
      </w:r>
      <w:r>
        <w:t>y</w:t>
      </w:r>
      <w:r w:rsidR="00A47583">
        <w:t xml:space="preserve"> </w:t>
      </w:r>
      <w:r>
        <w:t>is</w:t>
      </w:r>
      <w:r w:rsidR="00A47583">
        <w:t xml:space="preserve"> required to publish</w:t>
      </w:r>
      <w:r w:rsidR="00CC3DAF">
        <w:t xml:space="preserve"> </w:t>
      </w:r>
      <w:r>
        <w:t xml:space="preserve">its </w:t>
      </w:r>
      <w:r w:rsidR="00A47583">
        <w:t xml:space="preserve">GEAP on </w:t>
      </w:r>
      <w:r>
        <w:t xml:space="preserve">its </w:t>
      </w:r>
      <w:r w:rsidR="00A47583">
        <w:t>website</w:t>
      </w:r>
      <w:r w:rsidR="00CA3F91">
        <w:t xml:space="preserve"> but</w:t>
      </w:r>
      <w:r w:rsidR="00A47583">
        <w:t xml:space="preserve"> </w:t>
      </w:r>
      <w:r w:rsidR="00CC3DAF">
        <w:t xml:space="preserve">must </w:t>
      </w:r>
      <w:r w:rsidR="00A47583">
        <w:t>remove any personal information from the GEAP before doing so.</w:t>
      </w:r>
      <w:r w:rsidR="00A47583">
        <w:rPr>
          <w:rStyle w:val="EndnoteReference"/>
        </w:rPr>
        <w:endnoteReference w:id="14"/>
      </w:r>
      <w:r w:rsidR="00A47583">
        <w:t xml:space="preserve"> </w:t>
      </w:r>
    </w:p>
    <w:p w14:paraId="15FAEC88" w14:textId="179C6960" w:rsidR="00A47583" w:rsidRDefault="00B86F9A" w:rsidP="00A47583">
      <w:pPr>
        <w:pStyle w:val="Body"/>
        <w:tabs>
          <w:tab w:val="left" w:pos="3921"/>
        </w:tabs>
      </w:pPr>
      <w:r>
        <w:t>A d</w:t>
      </w:r>
      <w:r w:rsidR="00CA3F91">
        <w:t>efined entit</w:t>
      </w:r>
      <w:r>
        <w:t>y</w:t>
      </w:r>
      <w:r w:rsidR="00CA3F91">
        <w:t xml:space="preserve"> must advise the Commissioner whether </w:t>
      </w:r>
      <w:r>
        <w:t xml:space="preserve">its </w:t>
      </w:r>
      <w:r w:rsidR="00CA3F91">
        <w:t>GEAP contains personal information.</w:t>
      </w:r>
      <w:r w:rsidR="00CA3F91">
        <w:rPr>
          <w:rStyle w:val="EndnoteReference"/>
        </w:rPr>
        <w:endnoteReference w:id="15"/>
      </w:r>
      <w:r w:rsidR="00CA3F91">
        <w:t xml:space="preserve"> </w:t>
      </w:r>
      <w:r w:rsidR="00CC3DAF">
        <w:t>The Commissioner may publish a submitted GEAP</w:t>
      </w:r>
      <w:r w:rsidR="00CC3DAF">
        <w:rPr>
          <w:rStyle w:val="EndnoteReference"/>
        </w:rPr>
        <w:endnoteReference w:id="16"/>
      </w:r>
      <w:r w:rsidR="00CC3DAF">
        <w:t xml:space="preserve"> and is required to remove </w:t>
      </w:r>
      <w:r w:rsidR="00CA3F91">
        <w:t xml:space="preserve">any </w:t>
      </w:r>
      <w:r w:rsidR="00CC3DAF">
        <w:t xml:space="preserve">personal information from </w:t>
      </w:r>
      <w:r w:rsidR="00CA3F91">
        <w:t>it</w:t>
      </w:r>
      <w:r w:rsidR="00CC3DAF">
        <w:t xml:space="preserve"> before publication or further distribution</w:t>
      </w:r>
      <w:r w:rsidR="00CA3F91">
        <w:t>.</w:t>
      </w:r>
      <w:r w:rsidR="00CA3F91">
        <w:rPr>
          <w:rStyle w:val="EndnoteReference"/>
        </w:rPr>
        <w:endnoteReference w:id="17"/>
      </w:r>
    </w:p>
    <w:p w14:paraId="204AD0CD" w14:textId="24834987" w:rsidR="00215BA4" w:rsidRPr="00011593" w:rsidRDefault="00FB595C" w:rsidP="00FB595C">
      <w:pPr>
        <w:pStyle w:val="Heading-2"/>
        <w:rPr>
          <w:i w:val="0"/>
          <w:iCs w:val="0"/>
          <w:sz w:val="24"/>
          <w:szCs w:val="26"/>
        </w:rPr>
      </w:pPr>
      <w:r w:rsidRPr="00FB595C">
        <w:rPr>
          <w:i w:val="0"/>
          <w:iCs w:val="0"/>
          <w:sz w:val="24"/>
          <w:szCs w:val="26"/>
        </w:rPr>
        <w:t xml:space="preserve">WHAT STEPS CAN </w:t>
      </w:r>
      <w:r w:rsidR="00B86F9A">
        <w:rPr>
          <w:i w:val="0"/>
          <w:iCs w:val="0"/>
          <w:sz w:val="24"/>
          <w:szCs w:val="26"/>
        </w:rPr>
        <w:t xml:space="preserve">A </w:t>
      </w:r>
      <w:r w:rsidRPr="00FB595C">
        <w:rPr>
          <w:i w:val="0"/>
          <w:iCs w:val="0"/>
          <w:sz w:val="24"/>
          <w:szCs w:val="26"/>
        </w:rPr>
        <w:t>DEFINED ENTIT</w:t>
      </w:r>
      <w:r w:rsidR="00B86F9A">
        <w:rPr>
          <w:i w:val="0"/>
          <w:iCs w:val="0"/>
          <w:sz w:val="24"/>
          <w:szCs w:val="26"/>
        </w:rPr>
        <w:t>Y</w:t>
      </w:r>
      <w:r w:rsidRPr="00FB595C">
        <w:rPr>
          <w:i w:val="0"/>
          <w:iCs w:val="0"/>
          <w:sz w:val="24"/>
          <w:szCs w:val="26"/>
        </w:rPr>
        <w:t xml:space="preserve"> TAKE TO MINIMISE THE RISK OF PUBLISHING PERSONAL INFORMATION? </w:t>
      </w:r>
    </w:p>
    <w:p w14:paraId="3A164F57" w14:textId="2E06ADFE" w:rsidR="004C2B89" w:rsidRDefault="00663061" w:rsidP="00412FFA">
      <w:pPr>
        <w:pStyle w:val="Body"/>
        <w:tabs>
          <w:tab w:val="left" w:pos="3921"/>
        </w:tabs>
      </w:pPr>
      <w:r>
        <w:t xml:space="preserve">Whether </w:t>
      </w:r>
      <w:r w:rsidR="00CC3DAF">
        <w:t>a</w:t>
      </w:r>
      <w:r>
        <w:t xml:space="preserve"> </w:t>
      </w:r>
      <w:r w:rsidR="00CA3F91">
        <w:t xml:space="preserve">GEAP </w:t>
      </w:r>
      <w:r>
        <w:t>includes</w:t>
      </w:r>
      <w:r w:rsidR="004C2B89">
        <w:t xml:space="preserve"> personal information </w:t>
      </w:r>
      <w:r>
        <w:t>will depend on several factors</w:t>
      </w:r>
      <w:r w:rsidR="00F5346D">
        <w:t xml:space="preserve"> including</w:t>
      </w:r>
      <w:r>
        <w:t>:</w:t>
      </w:r>
    </w:p>
    <w:p w14:paraId="1111BFD2" w14:textId="4071E659" w:rsidR="00663061" w:rsidRDefault="003671BF" w:rsidP="00412FFA">
      <w:pPr>
        <w:pStyle w:val="Body"/>
        <w:numPr>
          <w:ilvl w:val="0"/>
          <w:numId w:val="26"/>
        </w:numPr>
        <w:tabs>
          <w:tab w:val="left" w:pos="3921"/>
        </w:tabs>
      </w:pPr>
      <w:r>
        <w:t xml:space="preserve">The size of the organisation – </w:t>
      </w:r>
      <w:r w:rsidR="00663061">
        <w:t xml:space="preserve">the smaller the organisation, the higher the likelihood </w:t>
      </w:r>
      <w:r w:rsidR="005064E5">
        <w:t xml:space="preserve">that </w:t>
      </w:r>
      <w:r w:rsidR="00663061">
        <w:t xml:space="preserve">the </w:t>
      </w:r>
      <w:r w:rsidR="003418A1">
        <w:t xml:space="preserve">results of the audit which are published through the </w:t>
      </w:r>
      <w:r w:rsidR="00663061">
        <w:t xml:space="preserve">GEAP may include personal information. For example, in an organisation with </w:t>
      </w:r>
      <w:r w:rsidR="00436676">
        <w:t>20</w:t>
      </w:r>
      <w:r w:rsidR="00663061">
        <w:t xml:space="preserve"> or less employees, it may be possible to easily identify specific individuals based on the amount and type of information collected about them. </w:t>
      </w:r>
    </w:p>
    <w:p w14:paraId="65809FF4" w14:textId="31FD624B" w:rsidR="003671BF" w:rsidRDefault="003671BF" w:rsidP="00412FFA">
      <w:pPr>
        <w:pStyle w:val="Body"/>
        <w:numPr>
          <w:ilvl w:val="0"/>
          <w:numId w:val="26"/>
        </w:numPr>
        <w:tabs>
          <w:tab w:val="left" w:pos="3921"/>
        </w:tabs>
      </w:pPr>
      <w:r>
        <w:t xml:space="preserve">The number of employees with </w:t>
      </w:r>
      <w:proofErr w:type="gramStart"/>
      <w:r w:rsidR="00663061">
        <w:t xml:space="preserve">particular </w:t>
      </w:r>
      <w:r w:rsidR="005E1BB4">
        <w:t>characteristics</w:t>
      </w:r>
      <w:proofErr w:type="gramEnd"/>
      <w:r w:rsidR="00AF183D">
        <w:t xml:space="preserve"> </w:t>
      </w:r>
      <w:r w:rsidR="00C855FC">
        <w:t>–</w:t>
      </w:r>
      <w:r w:rsidR="00AF183D">
        <w:t xml:space="preserve"> </w:t>
      </w:r>
      <w:r w:rsidR="00F5346D">
        <w:t xml:space="preserve">regardless of the size of the defined entity, </w:t>
      </w:r>
      <w:r w:rsidR="00C855FC">
        <w:t xml:space="preserve">there may be </w:t>
      </w:r>
      <w:r w:rsidR="00F5346D">
        <w:t xml:space="preserve">a cohort of </w:t>
      </w:r>
      <w:r w:rsidR="00C855FC">
        <w:t xml:space="preserve">employees who are easily identifiable based on the </w:t>
      </w:r>
      <w:r w:rsidR="00F5346D">
        <w:t xml:space="preserve">type of </w:t>
      </w:r>
      <w:r w:rsidR="00C855FC">
        <w:t xml:space="preserve">personal information collected about them. </w:t>
      </w:r>
    </w:p>
    <w:p w14:paraId="359C1B56" w14:textId="77777777" w:rsidR="00082D45" w:rsidRDefault="005D6942" w:rsidP="00412FFA">
      <w:pPr>
        <w:pStyle w:val="Body"/>
        <w:numPr>
          <w:ilvl w:val="0"/>
          <w:numId w:val="26"/>
        </w:numPr>
        <w:tabs>
          <w:tab w:val="left" w:pos="3921"/>
        </w:tabs>
      </w:pPr>
      <w:r>
        <w:t xml:space="preserve">The context in which the </w:t>
      </w:r>
      <w:r w:rsidR="00215BA4">
        <w:t>information will be used -</w:t>
      </w:r>
      <w:r w:rsidR="00935460">
        <w:t xml:space="preserve"> information may appear de-identified</w:t>
      </w:r>
      <w:r w:rsidR="00AE2521">
        <w:t xml:space="preserve"> in one context</w:t>
      </w:r>
      <w:r w:rsidR="00935460">
        <w:t xml:space="preserve"> however</w:t>
      </w:r>
      <w:r w:rsidR="00AE2521">
        <w:t>,</w:t>
      </w:r>
      <w:r w:rsidR="00935460">
        <w:t xml:space="preserve"> when combined with other available information</w:t>
      </w:r>
      <w:r w:rsidR="00AE2521">
        <w:t>,</w:t>
      </w:r>
      <w:r w:rsidR="00935460">
        <w:t xml:space="preserve"> may </w:t>
      </w:r>
      <w:r w:rsidR="00AE2521">
        <w:t>constitute</w:t>
      </w:r>
      <w:r w:rsidR="00935460">
        <w:t xml:space="preserve"> personal information</w:t>
      </w:r>
      <w:r w:rsidR="00AE2521">
        <w:t xml:space="preserve"> in another context. </w:t>
      </w:r>
      <w:r w:rsidR="00082D45">
        <w:t xml:space="preserve">All de-identified data carries the inherent risk that it may be matched with other available auxiliary information and re-identified. </w:t>
      </w:r>
    </w:p>
    <w:p w14:paraId="475D6F23" w14:textId="51D6F6E2" w:rsidR="00AE2521" w:rsidRDefault="003A0A9F" w:rsidP="005D6942">
      <w:pPr>
        <w:pStyle w:val="Body"/>
        <w:tabs>
          <w:tab w:val="left" w:pos="3921"/>
        </w:tabs>
      </w:pPr>
      <w:r>
        <w:t>De-identif</w:t>
      </w:r>
      <w:r w:rsidR="00040232">
        <w:t>ication</w:t>
      </w:r>
      <w:r>
        <w:t xml:space="preserve"> is one way of protecting the privacy of personal information. </w:t>
      </w:r>
      <w:r w:rsidR="00040232">
        <w:t xml:space="preserve">It involves removing or altering information that is likely to identify an </w:t>
      </w:r>
      <w:proofErr w:type="gramStart"/>
      <w:r w:rsidR="00040232">
        <w:t>individual, or</w:t>
      </w:r>
      <w:proofErr w:type="gramEnd"/>
      <w:r w:rsidR="00040232">
        <w:t xml:space="preserve"> achieving a state in which individuals cannot be ‘reasonably identified’ from the information. It is important to note that it is often</w:t>
      </w:r>
      <w:r>
        <w:t xml:space="preserve"> difficult to completely de-identify information</w:t>
      </w:r>
      <w:r w:rsidR="00040232">
        <w:t xml:space="preserve">. </w:t>
      </w:r>
    </w:p>
    <w:p w14:paraId="2CF2DBDA" w14:textId="548FF379" w:rsidR="00CA3F91" w:rsidRDefault="00935460" w:rsidP="00A73EB2">
      <w:pPr>
        <w:pStyle w:val="Body"/>
        <w:tabs>
          <w:tab w:val="left" w:pos="3921"/>
        </w:tabs>
      </w:pPr>
      <w:r>
        <w:t>For detailed guidance on de-identification</w:t>
      </w:r>
      <w:r w:rsidR="003B0C05">
        <w:t xml:space="preserve"> and its limitation, see </w:t>
      </w:r>
      <w:hyperlink r:id="rId13" w:history="1">
        <w:r w:rsidR="003B0C05" w:rsidRPr="003B0C05">
          <w:rPr>
            <w:rStyle w:val="Hyperlink"/>
          </w:rPr>
          <w:t>OVIC’s resource</w:t>
        </w:r>
      </w:hyperlink>
      <w:r w:rsidR="003B0C05">
        <w:t>.</w:t>
      </w:r>
      <w:r w:rsidR="003B0C05">
        <w:rPr>
          <w:rStyle w:val="EndnoteReference"/>
        </w:rPr>
        <w:endnoteReference w:id="18"/>
      </w:r>
    </w:p>
    <w:sectPr w:rsidR="00CA3F91" w:rsidSect="005754AC">
      <w:footerReference w:type="default" r:id="rId14"/>
      <w:headerReference w:type="first" r:id="rId15"/>
      <w:footerReference w:type="first" r:id="rId16"/>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369C" w14:textId="77777777" w:rsidR="004B707D" w:rsidRDefault="004B707D" w:rsidP="00B53C78">
      <w:r>
        <w:separator/>
      </w:r>
    </w:p>
  </w:endnote>
  <w:endnote w:type="continuationSeparator" w:id="0">
    <w:p w14:paraId="29DFA3D2" w14:textId="77777777" w:rsidR="004B707D" w:rsidRDefault="004B707D" w:rsidP="00B53C78">
      <w:r>
        <w:continuationSeparator/>
      </w:r>
    </w:p>
  </w:endnote>
  <w:endnote w:id="1">
    <w:p w14:paraId="16D4ADA9" w14:textId="2A937EBA" w:rsidR="004B3792" w:rsidRPr="00A73EB2" w:rsidRDefault="004B3792">
      <w:pPr>
        <w:pStyle w:val="EndnoteText"/>
        <w:rPr>
          <w:sz w:val="16"/>
          <w:szCs w:val="16"/>
          <w:lang w:val="en-AU"/>
        </w:rPr>
      </w:pPr>
      <w:r w:rsidRPr="00A73EB2">
        <w:rPr>
          <w:rStyle w:val="EndnoteReference"/>
          <w:sz w:val="16"/>
          <w:szCs w:val="16"/>
        </w:rPr>
        <w:endnoteRef/>
      </w:r>
      <w:r w:rsidRPr="00A73EB2">
        <w:rPr>
          <w:sz w:val="16"/>
          <w:szCs w:val="16"/>
        </w:rPr>
        <w:t xml:space="preserve"> </w:t>
      </w:r>
      <w:r w:rsidR="005D5EB9" w:rsidRPr="00A73EB2">
        <w:rPr>
          <w:sz w:val="16"/>
          <w:szCs w:val="16"/>
        </w:rPr>
        <w:t xml:space="preserve">Under </w:t>
      </w:r>
      <w:r w:rsidR="00886A96" w:rsidRPr="00A73EB2">
        <w:rPr>
          <w:sz w:val="16"/>
          <w:szCs w:val="16"/>
        </w:rPr>
        <w:t xml:space="preserve">section 5 of the GE Act, an entity </w:t>
      </w:r>
      <w:r w:rsidR="00886A96" w:rsidRPr="00A73EB2">
        <w:rPr>
          <w:sz w:val="16"/>
          <w:szCs w:val="16"/>
          <w:lang w:val="en-AU"/>
        </w:rPr>
        <w:t xml:space="preserve">is a ‘defined entity’ if it has 50 or more employees and is a public service body, a public entity, a special body, a Council, Court Services Victoria, a university within the meaning of the </w:t>
      </w:r>
      <w:r w:rsidR="00886A96" w:rsidRPr="00A73EB2">
        <w:rPr>
          <w:i/>
          <w:iCs/>
          <w:sz w:val="16"/>
          <w:szCs w:val="16"/>
          <w:lang w:val="en-AU"/>
        </w:rPr>
        <w:t>Education and Training Reform Act 2006,</w:t>
      </w:r>
      <w:r w:rsidR="00886A96" w:rsidRPr="00A73EB2">
        <w:rPr>
          <w:sz w:val="16"/>
          <w:szCs w:val="16"/>
          <w:lang w:val="en-AU"/>
        </w:rPr>
        <w:t xml:space="preserve"> the Office of the Public Prosecutions, or a prescribed entity.</w:t>
      </w:r>
    </w:p>
  </w:endnote>
  <w:endnote w:id="2">
    <w:p w14:paraId="68840CCB" w14:textId="77777777" w:rsidR="00A915C6" w:rsidRPr="00A73EB2" w:rsidRDefault="00A915C6" w:rsidP="00A915C6">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Section 10 of the GE Act.</w:t>
      </w:r>
    </w:p>
  </w:endnote>
  <w:endnote w:id="3">
    <w:p w14:paraId="7056F4BB" w14:textId="0D486BE4" w:rsidR="00A915C6" w:rsidRPr="00A73EB2" w:rsidRDefault="00A915C6">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 xml:space="preserve">Section 11 of the GE Act. </w:t>
      </w:r>
    </w:p>
  </w:endnote>
  <w:endnote w:id="4">
    <w:p w14:paraId="6E13B2C7" w14:textId="6865D400" w:rsidR="005D5EB9" w:rsidRPr="00A73EB2" w:rsidRDefault="005D5EB9">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 xml:space="preserve">Section 10(1)(a) and 12 of the GE Act. </w:t>
      </w:r>
    </w:p>
  </w:endnote>
  <w:endnote w:id="5">
    <w:p w14:paraId="6B07F294" w14:textId="77777777" w:rsidR="006012F8" w:rsidRPr="00A73EB2" w:rsidRDefault="006012F8" w:rsidP="006012F8">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 xml:space="preserve">Section 3 of the PDP Act lists public sector organisations that must comply with the Information Privacy Principles.  </w:t>
      </w:r>
    </w:p>
  </w:endnote>
  <w:endnote w:id="6">
    <w:p w14:paraId="71A5E41E" w14:textId="42A642CE" w:rsidR="00357B8B" w:rsidRPr="00A73EB2" w:rsidRDefault="00357B8B">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Section 10 of the HR Act lists public sector organisations that must comply with the Health Privacy Principles.</w:t>
      </w:r>
    </w:p>
  </w:endnote>
  <w:endnote w:id="7">
    <w:p w14:paraId="5007FEDB" w14:textId="77777777" w:rsidR="007C4817" w:rsidRPr="00A73EB2" w:rsidRDefault="007C4817" w:rsidP="007C4817">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Section 3 of the PDP Act.</w:t>
      </w:r>
    </w:p>
  </w:endnote>
  <w:endnote w:id="8">
    <w:p w14:paraId="2C8F3B77" w14:textId="4E0DBC1C" w:rsidR="006012F8" w:rsidRPr="00A73EB2" w:rsidRDefault="006012F8">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Schedule 1 of the PDP Act</w:t>
      </w:r>
    </w:p>
  </w:endnote>
  <w:endnote w:id="9">
    <w:p w14:paraId="442CAC2E" w14:textId="781B862C" w:rsidR="00357B8B" w:rsidRPr="00A73EB2" w:rsidRDefault="00357B8B">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Section 3 of the HR Act.</w:t>
      </w:r>
    </w:p>
  </w:endnote>
  <w:endnote w:id="10">
    <w:p w14:paraId="6D0E645F" w14:textId="317C5D2C" w:rsidR="00A41164" w:rsidRPr="00A73EB2" w:rsidRDefault="00A41164" w:rsidP="00A41164">
      <w:pPr>
        <w:pStyle w:val="EndnoteText"/>
        <w:rPr>
          <w:sz w:val="16"/>
          <w:szCs w:val="16"/>
          <w:lang w:val="en-AU"/>
        </w:rPr>
      </w:pPr>
      <w:r w:rsidRPr="00A73EB2">
        <w:rPr>
          <w:rStyle w:val="EndnoteReference"/>
          <w:sz w:val="16"/>
          <w:szCs w:val="16"/>
        </w:rPr>
        <w:endnoteRef/>
      </w:r>
      <w:r w:rsidR="00A73EB2">
        <w:rPr>
          <w:sz w:val="16"/>
          <w:szCs w:val="16"/>
        </w:rPr>
        <w:t xml:space="preserve"> </w:t>
      </w:r>
      <w:r w:rsidR="00851AD8" w:rsidRPr="00A73EB2">
        <w:rPr>
          <w:sz w:val="16"/>
          <w:szCs w:val="16"/>
        </w:rPr>
        <w:t>Section 11(2)(a). Further</w:t>
      </w:r>
      <w:r w:rsidRPr="00A73EB2">
        <w:rPr>
          <w:sz w:val="16"/>
          <w:szCs w:val="16"/>
        </w:rPr>
        <w:t xml:space="preserve"> </w:t>
      </w:r>
      <w:r w:rsidR="00851AD8" w:rsidRPr="00A73EB2">
        <w:rPr>
          <w:sz w:val="16"/>
          <w:szCs w:val="16"/>
          <w:lang w:val="en-AU"/>
        </w:rPr>
        <w:t>i</w:t>
      </w:r>
      <w:r w:rsidRPr="00A73EB2">
        <w:rPr>
          <w:sz w:val="16"/>
          <w:szCs w:val="16"/>
          <w:lang w:val="en-AU"/>
        </w:rPr>
        <w:t xml:space="preserve">nformation on the workplace gender equality indicators is available on the Commission’s website here: </w:t>
      </w:r>
      <w:hyperlink r:id="rId1" w:history="1">
        <w:r w:rsidRPr="00A73EB2">
          <w:rPr>
            <w:rStyle w:val="Hyperlink"/>
            <w:sz w:val="16"/>
            <w:szCs w:val="16"/>
            <w:lang w:val="en-AU"/>
          </w:rPr>
          <w:t>https://www.genderequalitycommission.vic.gov.au/workplace-gender-equality-indicators</w:t>
        </w:r>
      </w:hyperlink>
      <w:r w:rsidRPr="00A73EB2">
        <w:rPr>
          <w:sz w:val="16"/>
          <w:szCs w:val="16"/>
          <w:lang w:val="en-AU"/>
        </w:rPr>
        <w:t xml:space="preserve">. </w:t>
      </w:r>
    </w:p>
  </w:endnote>
  <w:endnote w:id="11">
    <w:p w14:paraId="7C3E0FED" w14:textId="1FD21CF2" w:rsidR="005D5EB9" w:rsidRPr="00A73EB2" w:rsidRDefault="005D5EB9" w:rsidP="005D5EB9">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Section 11(2)</w:t>
      </w:r>
      <w:r w:rsidR="00D13E5A" w:rsidRPr="00A73EB2">
        <w:rPr>
          <w:sz w:val="16"/>
          <w:szCs w:val="16"/>
          <w:lang w:val="en-AU"/>
        </w:rPr>
        <w:t>(c)</w:t>
      </w:r>
      <w:r w:rsidRPr="00A73EB2">
        <w:rPr>
          <w:sz w:val="16"/>
          <w:szCs w:val="16"/>
          <w:lang w:val="en-AU"/>
        </w:rPr>
        <w:t xml:space="preserve"> of the GE Act. </w:t>
      </w:r>
    </w:p>
  </w:endnote>
  <w:endnote w:id="12">
    <w:p w14:paraId="041AA3A8" w14:textId="77777777" w:rsidR="00A41164" w:rsidRPr="00A73EB2" w:rsidRDefault="00A41164" w:rsidP="00A41164">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Section 11(3) of the GE Act.</w:t>
      </w:r>
    </w:p>
  </w:endnote>
  <w:endnote w:id="13">
    <w:p w14:paraId="17CAA627" w14:textId="77777777" w:rsidR="00467974" w:rsidRPr="00A73EB2" w:rsidRDefault="00467974" w:rsidP="00467974">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 xml:space="preserve">See OVIC’s resource on collection notices available here: </w:t>
      </w:r>
      <w:hyperlink r:id="rId2" w:history="1">
        <w:r w:rsidRPr="00A73EB2">
          <w:rPr>
            <w:rStyle w:val="Hyperlink"/>
            <w:sz w:val="16"/>
            <w:szCs w:val="16"/>
            <w:lang w:val="en-AU"/>
          </w:rPr>
          <w:t>https://ovic.vic.gov.au/privacy/collection-notices/</w:t>
        </w:r>
      </w:hyperlink>
      <w:r w:rsidRPr="00A73EB2">
        <w:rPr>
          <w:sz w:val="16"/>
          <w:szCs w:val="16"/>
          <w:lang w:val="en-AU"/>
        </w:rPr>
        <w:t xml:space="preserve"> </w:t>
      </w:r>
    </w:p>
  </w:endnote>
  <w:endnote w:id="14">
    <w:p w14:paraId="7949F327" w14:textId="77777777" w:rsidR="00A47583" w:rsidRPr="00A73EB2" w:rsidRDefault="00A47583" w:rsidP="00A47583">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Section 51(1) of the GE Act.</w:t>
      </w:r>
    </w:p>
  </w:endnote>
  <w:endnote w:id="15">
    <w:p w14:paraId="11D60A70" w14:textId="4EE71068" w:rsidR="00CA3F91" w:rsidRPr="00A73EB2" w:rsidRDefault="00CA3F91">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 xml:space="preserve">Section 51(2) of the GE Act. </w:t>
      </w:r>
    </w:p>
  </w:endnote>
  <w:endnote w:id="16">
    <w:p w14:paraId="19B0CD6E" w14:textId="77777777" w:rsidR="00CC3DAF" w:rsidRPr="00A73EB2" w:rsidRDefault="00CC3DAF" w:rsidP="00CC3DAF">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Section 14(2) of the GE Act.</w:t>
      </w:r>
    </w:p>
  </w:endnote>
  <w:endnote w:id="17">
    <w:p w14:paraId="1CAB21F2" w14:textId="16CEABCB" w:rsidR="00CA3F91" w:rsidRPr="00A73EB2" w:rsidRDefault="00CA3F91">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 xml:space="preserve">Section 51(3) of the GE Act. </w:t>
      </w:r>
    </w:p>
  </w:endnote>
  <w:endnote w:id="18">
    <w:p w14:paraId="18BAF642" w14:textId="19160B87" w:rsidR="003B0C05" w:rsidRPr="00A73EB2" w:rsidRDefault="003B0C05">
      <w:pPr>
        <w:pStyle w:val="EndnoteText"/>
        <w:rPr>
          <w:sz w:val="16"/>
          <w:szCs w:val="16"/>
          <w:lang w:val="en-AU"/>
        </w:rPr>
      </w:pPr>
      <w:r w:rsidRPr="00A73EB2">
        <w:rPr>
          <w:rStyle w:val="EndnoteReference"/>
          <w:sz w:val="16"/>
          <w:szCs w:val="16"/>
        </w:rPr>
        <w:endnoteRef/>
      </w:r>
      <w:r w:rsidRPr="00A73EB2">
        <w:rPr>
          <w:sz w:val="16"/>
          <w:szCs w:val="16"/>
        </w:rPr>
        <w:t xml:space="preserve"> </w:t>
      </w:r>
      <w:r w:rsidRPr="00A73EB2">
        <w:rPr>
          <w:sz w:val="16"/>
          <w:szCs w:val="16"/>
          <w:lang w:val="en-AU"/>
        </w:rPr>
        <w:t xml:space="preserve">Also see OVIC’s </w:t>
      </w:r>
      <w:r w:rsidRPr="00A73EB2">
        <w:rPr>
          <w:i/>
          <w:iCs/>
          <w:sz w:val="16"/>
          <w:szCs w:val="16"/>
          <w:lang w:val="en-AU"/>
        </w:rPr>
        <w:t>Introduction to De-identification</w:t>
      </w:r>
      <w:r w:rsidRPr="00A73EB2">
        <w:rPr>
          <w:sz w:val="16"/>
          <w:szCs w:val="16"/>
          <w:lang w:val="en-AU"/>
        </w:rPr>
        <w:t xml:space="preserve"> guidance available here: </w:t>
      </w:r>
      <w:hyperlink r:id="rId3" w:history="1">
        <w:r w:rsidRPr="00A73EB2">
          <w:rPr>
            <w:rStyle w:val="Hyperlink"/>
            <w:sz w:val="16"/>
            <w:szCs w:val="16"/>
            <w:lang w:val="en-AU"/>
          </w:rPr>
          <w:t>https://ovic.vic.gov.au/privacy/an-introduction-to-de-identification/</w:t>
        </w:r>
      </w:hyperlink>
      <w:r w:rsidRPr="00A73EB2">
        <w:rPr>
          <w:sz w:val="16"/>
          <w:szCs w:val="16"/>
          <w:lang w:val="en-AU"/>
        </w:rPr>
        <w:t>.</w:t>
      </w:r>
    </w:p>
    <w:p w14:paraId="7DC4E785" w14:textId="05F2E357" w:rsidR="0020633D" w:rsidRDefault="0020633D">
      <w:pPr>
        <w:pStyle w:val="EndnoteText"/>
        <w:rPr>
          <w:sz w:val="18"/>
          <w:szCs w:val="18"/>
          <w:lang w:val="en-AU"/>
        </w:rPr>
      </w:pPr>
    </w:p>
    <w:p w14:paraId="52082432" w14:textId="3F14418B" w:rsidR="0020633D" w:rsidRPr="00A73EB2" w:rsidRDefault="0020633D" w:rsidP="00A73EB2">
      <w:pPr>
        <w:widowControl w:val="0"/>
        <w:pBdr>
          <w:top w:val="single" w:sz="4" w:space="8" w:color="430098"/>
        </w:pBdr>
        <w:tabs>
          <w:tab w:val="left" w:pos="284"/>
          <w:tab w:val="left" w:pos="709"/>
        </w:tabs>
        <w:suppressAutoHyphens/>
        <w:autoSpaceDE w:val="0"/>
        <w:autoSpaceDN w:val="0"/>
        <w:adjustRightInd w:val="0"/>
        <w:spacing w:before="240" w:after="120"/>
        <w:textAlignment w:val="center"/>
        <w:rPr>
          <w:rFonts w:asciiTheme="minorHAnsi" w:hAnsiTheme="minorHAnsi" w:cstheme="minorHAnsi"/>
          <w:color w:val="000000" w:themeColor="text1"/>
          <w:sz w:val="16"/>
          <w:szCs w:val="16"/>
          <w:lang w:val="en-AU"/>
        </w:rPr>
      </w:pPr>
      <w:r w:rsidRPr="00E54A51">
        <w:rPr>
          <w:rFonts w:asciiTheme="minorHAnsi" w:hAnsiTheme="minorHAnsi" w:cstheme="minorHAnsi"/>
          <w:b/>
          <w:color w:val="000000" w:themeColor="text1"/>
          <w:sz w:val="16"/>
          <w:szCs w:val="16"/>
          <w:lang w:val="en-AU"/>
        </w:rPr>
        <w:t xml:space="preserve">Disclaimer: </w:t>
      </w:r>
      <w:r w:rsidRPr="00E54A51">
        <w:rPr>
          <w:rFonts w:asciiTheme="minorHAnsi" w:hAnsiTheme="minorHAnsi" w:cstheme="minorHAnsi"/>
          <w:color w:val="000000" w:themeColor="text1"/>
          <w:sz w:val="16"/>
          <w:szCs w:val="16"/>
          <w:lang w:val="en-AU"/>
        </w:rPr>
        <w:t>The information in this document is general in nature and does not constitute legal advice</w:t>
      </w:r>
      <w:r>
        <w:rPr>
          <w:rFonts w:asciiTheme="minorHAnsi" w:hAnsiTheme="minorHAnsi" w:cstheme="minorHAnsi"/>
          <w:color w:val="000000" w:themeColor="text1"/>
          <w:sz w:val="16"/>
          <w:szCs w:val="16"/>
          <w:lang w:val="en-AU"/>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00503000000020004"/>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8626" w14:textId="33AEA83F"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2291" w14:textId="1E58825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E404" w14:textId="77777777" w:rsidR="004B707D" w:rsidRPr="002330E8" w:rsidRDefault="004B707D">
      <w:pPr>
        <w:rPr>
          <w:color w:val="55565A"/>
          <w:sz w:val="22"/>
          <w:szCs w:val="22"/>
        </w:rPr>
      </w:pPr>
      <w:r w:rsidRPr="002330E8">
        <w:rPr>
          <w:color w:val="55565A"/>
          <w:sz w:val="22"/>
          <w:szCs w:val="22"/>
        </w:rPr>
        <w:separator/>
      </w:r>
    </w:p>
  </w:footnote>
  <w:footnote w:type="continuationSeparator" w:id="0">
    <w:p w14:paraId="6D1E585D" w14:textId="77777777" w:rsidR="004B707D" w:rsidRDefault="004B707D" w:rsidP="00B53C78">
      <w:r>
        <w:continuationSeparator/>
      </w:r>
    </w:p>
  </w:footnote>
  <w:footnote w:type="continuationNotice" w:id="1">
    <w:p w14:paraId="2D8BBA51" w14:textId="77777777" w:rsidR="004B707D" w:rsidRDefault="004B70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209E" w14:textId="77777777"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71AF2197" wp14:editId="66A89EF4">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p>
  <w:p w14:paraId="048A152F" w14:textId="356AFEE4" w:rsidR="005754AC" w:rsidRPr="00E54A51" w:rsidRDefault="00515D6B"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515D6B">
      <w:rPr>
        <w:rFonts w:asciiTheme="minorHAnsi" w:hAnsiTheme="minorHAnsi" w:cstheme="minorHAnsi"/>
        <w:color w:val="000000" w:themeColor="text1"/>
        <w:sz w:val="16"/>
        <w:szCs w:val="16"/>
        <w:lang w:val="en-AU"/>
      </w:rPr>
      <w:t>September 2021</w:t>
    </w:r>
    <w:r w:rsidR="00112666" w:rsidRPr="00515D6B">
      <w:rPr>
        <w:rFonts w:asciiTheme="minorHAnsi" w:hAnsiTheme="minorHAnsi" w:cstheme="minorHAnsi"/>
        <w:color w:val="000000" w:themeColor="text1"/>
        <w:sz w:val="16"/>
        <w:szCs w:val="16"/>
        <w:lang w:val="en-AU"/>
      </w:rPr>
      <w:t xml:space="preserve"> – </w:t>
    </w:r>
    <w:r w:rsidR="00516B08">
      <w:rPr>
        <w:rFonts w:asciiTheme="minorHAnsi" w:hAnsiTheme="minorHAnsi" w:cstheme="minorHAnsi"/>
        <w:color w:val="000000" w:themeColor="text1"/>
        <w:sz w:val="16"/>
        <w:szCs w:val="16"/>
        <w:lang w:val="en-AU"/>
      </w:rPr>
      <w:t>D21/16823</w:t>
    </w:r>
  </w:p>
  <w:p w14:paraId="405B6000"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0C7EB51F"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6DE6F5A4" wp14:editId="506A9036">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E7A4B"/>
    <w:multiLevelType w:val="hybridMultilevel"/>
    <w:tmpl w:val="B884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B64F9"/>
    <w:multiLevelType w:val="hybridMultilevel"/>
    <w:tmpl w:val="4DDEA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0F7E3D"/>
    <w:multiLevelType w:val="hybridMultilevel"/>
    <w:tmpl w:val="714025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11A27"/>
    <w:multiLevelType w:val="hybridMultilevel"/>
    <w:tmpl w:val="E0EA0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F01FB"/>
    <w:multiLevelType w:val="hybridMultilevel"/>
    <w:tmpl w:val="3DB0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39201B"/>
    <w:multiLevelType w:val="hybridMultilevel"/>
    <w:tmpl w:val="B5B8F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A3680B"/>
    <w:multiLevelType w:val="hybridMultilevel"/>
    <w:tmpl w:val="89D889D0"/>
    <w:lvl w:ilvl="0" w:tplc="F39E88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045759"/>
    <w:multiLevelType w:val="hybridMultilevel"/>
    <w:tmpl w:val="70A276B2"/>
    <w:lvl w:ilvl="0" w:tplc="0A50F34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73BD1"/>
    <w:multiLevelType w:val="hybridMultilevel"/>
    <w:tmpl w:val="E0244EC4"/>
    <w:lvl w:ilvl="0" w:tplc="F39E88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4591A"/>
    <w:multiLevelType w:val="hybridMultilevel"/>
    <w:tmpl w:val="F234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EE6786"/>
    <w:multiLevelType w:val="hybridMultilevel"/>
    <w:tmpl w:val="90DE0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90416"/>
    <w:multiLevelType w:val="hybridMultilevel"/>
    <w:tmpl w:val="6F08FB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B050F7"/>
    <w:multiLevelType w:val="hybridMultilevel"/>
    <w:tmpl w:val="D0B2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AE42CE"/>
    <w:multiLevelType w:val="hybridMultilevel"/>
    <w:tmpl w:val="32F41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341341"/>
    <w:multiLevelType w:val="hybridMultilevel"/>
    <w:tmpl w:val="CEC6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84462C"/>
    <w:multiLevelType w:val="hybridMultilevel"/>
    <w:tmpl w:val="02E2F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9F5D28"/>
    <w:multiLevelType w:val="hybridMultilevel"/>
    <w:tmpl w:val="27B467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0C08D4"/>
    <w:multiLevelType w:val="hybridMultilevel"/>
    <w:tmpl w:val="AE0A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E45CB"/>
    <w:multiLevelType w:val="hybridMultilevel"/>
    <w:tmpl w:val="878A3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3"/>
  </w:num>
  <w:num w:numId="4">
    <w:abstractNumId w:val="36"/>
  </w:num>
  <w:num w:numId="5">
    <w:abstractNumId w:val="26"/>
  </w:num>
  <w:num w:numId="6">
    <w:abstractNumId w:val="33"/>
  </w:num>
  <w:num w:numId="7">
    <w:abstractNumId w:val="12"/>
  </w:num>
  <w:num w:numId="8">
    <w:abstractNumId w:val="18"/>
  </w:num>
  <w:num w:numId="9">
    <w:abstractNumId w:val="0"/>
  </w:num>
  <w:num w:numId="10">
    <w:abstractNumId w:val="11"/>
  </w:num>
  <w:num w:numId="11">
    <w:abstractNumId w:val="31"/>
  </w:num>
  <w:num w:numId="12">
    <w:abstractNumId w:val="8"/>
  </w:num>
  <w:num w:numId="13">
    <w:abstractNumId w:val="24"/>
  </w:num>
  <w:num w:numId="14">
    <w:abstractNumId w:val="1"/>
  </w:num>
  <w:num w:numId="15">
    <w:abstractNumId w:val="29"/>
  </w:num>
  <w:num w:numId="16">
    <w:abstractNumId w:val="22"/>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16"/>
  </w:num>
  <w:num w:numId="22">
    <w:abstractNumId w:val="7"/>
  </w:num>
  <w:num w:numId="23">
    <w:abstractNumId w:val="5"/>
  </w:num>
  <w:num w:numId="24">
    <w:abstractNumId w:val="10"/>
  </w:num>
  <w:num w:numId="25">
    <w:abstractNumId w:val="15"/>
  </w:num>
  <w:num w:numId="26">
    <w:abstractNumId w:val="6"/>
  </w:num>
  <w:num w:numId="27">
    <w:abstractNumId w:val="3"/>
  </w:num>
  <w:num w:numId="28">
    <w:abstractNumId w:val="34"/>
  </w:num>
  <w:num w:numId="29">
    <w:abstractNumId w:val="2"/>
  </w:num>
  <w:num w:numId="30">
    <w:abstractNumId w:val="23"/>
  </w:num>
  <w:num w:numId="31">
    <w:abstractNumId w:val="27"/>
  </w:num>
  <w:num w:numId="32">
    <w:abstractNumId w:val="32"/>
  </w:num>
  <w:num w:numId="33">
    <w:abstractNumId w:val="28"/>
  </w:num>
  <w:num w:numId="34">
    <w:abstractNumId w:val="19"/>
  </w:num>
  <w:num w:numId="35">
    <w:abstractNumId w:val="14"/>
  </w:num>
  <w:num w:numId="36">
    <w:abstractNumId w:val="25"/>
  </w:num>
  <w:num w:numId="37">
    <w:abstractNumId w:val="3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8"/>
    <w:rsid w:val="00001D44"/>
    <w:rsid w:val="00011593"/>
    <w:rsid w:val="00024428"/>
    <w:rsid w:val="00032410"/>
    <w:rsid w:val="00040232"/>
    <w:rsid w:val="00044728"/>
    <w:rsid w:val="00064688"/>
    <w:rsid w:val="000659EF"/>
    <w:rsid w:val="00072A2E"/>
    <w:rsid w:val="0007633D"/>
    <w:rsid w:val="00077961"/>
    <w:rsid w:val="00082D45"/>
    <w:rsid w:val="00086DDB"/>
    <w:rsid w:val="00091CB4"/>
    <w:rsid w:val="0009769C"/>
    <w:rsid w:val="000A5C24"/>
    <w:rsid w:val="000A783B"/>
    <w:rsid w:val="000C09CC"/>
    <w:rsid w:val="000E4792"/>
    <w:rsid w:val="000E4EA8"/>
    <w:rsid w:val="000E6D30"/>
    <w:rsid w:val="000E73FB"/>
    <w:rsid w:val="000E7FAE"/>
    <w:rsid w:val="000F3A12"/>
    <w:rsid w:val="00104CAF"/>
    <w:rsid w:val="00112666"/>
    <w:rsid w:val="001159CB"/>
    <w:rsid w:val="00120F8B"/>
    <w:rsid w:val="0012374C"/>
    <w:rsid w:val="00145431"/>
    <w:rsid w:val="00146F50"/>
    <w:rsid w:val="001473CA"/>
    <w:rsid w:val="00150950"/>
    <w:rsid w:val="00164A42"/>
    <w:rsid w:val="001716C9"/>
    <w:rsid w:val="00173F40"/>
    <w:rsid w:val="0017674F"/>
    <w:rsid w:val="0017786A"/>
    <w:rsid w:val="0019036B"/>
    <w:rsid w:val="00192D19"/>
    <w:rsid w:val="00195FA1"/>
    <w:rsid w:val="001967FD"/>
    <w:rsid w:val="001A4661"/>
    <w:rsid w:val="001B1B7D"/>
    <w:rsid w:val="001B54D9"/>
    <w:rsid w:val="001C063B"/>
    <w:rsid w:val="001C0A6E"/>
    <w:rsid w:val="001C6E4B"/>
    <w:rsid w:val="001E48E7"/>
    <w:rsid w:val="00201CFB"/>
    <w:rsid w:val="0020633D"/>
    <w:rsid w:val="002104B5"/>
    <w:rsid w:val="00215BA4"/>
    <w:rsid w:val="00231993"/>
    <w:rsid w:val="002330E8"/>
    <w:rsid w:val="00236FF9"/>
    <w:rsid w:val="002404CF"/>
    <w:rsid w:val="0024071F"/>
    <w:rsid w:val="00247F35"/>
    <w:rsid w:val="0025217E"/>
    <w:rsid w:val="00252833"/>
    <w:rsid w:val="002537A9"/>
    <w:rsid w:val="00261495"/>
    <w:rsid w:val="00261684"/>
    <w:rsid w:val="00275423"/>
    <w:rsid w:val="00276927"/>
    <w:rsid w:val="00287481"/>
    <w:rsid w:val="00293DDA"/>
    <w:rsid w:val="002A48A0"/>
    <w:rsid w:val="002A5DC8"/>
    <w:rsid w:val="002B33BF"/>
    <w:rsid w:val="002B614D"/>
    <w:rsid w:val="002D633D"/>
    <w:rsid w:val="002E21F2"/>
    <w:rsid w:val="003020DA"/>
    <w:rsid w:val="00303B4E"/>
    <w:rsid w:val="0030490B"/>
    <w:rsid w:val="00305D40"/>
    <w:rsid w:val="00312173"/>
    <w:rsid w:val="00320B70"/>
    <w:rsid w:val="00322784"/>
    <w:rsid w:val="00326E58"/>
    <w:rsid w:val="00330030"/>
    <w:rsid w:val="003418A1"/>
    <w:rsid w:val="0034423A"/>
    <w:rsid w:val="0034513D"/>
    <w:rsid w:val="0034520D"/>
    <w:rsid w:val="00345731"/>
    <w:rsid w:val="0035211D"/>
    <w:rsid w:val="003523AB"/>
    <w:rsid w:val="00357B8B"/>
    <w:rsid w:val="003671BF"/>
    <w:rsid w:val="0037051D"/>
    <w:rsid w:val="00370F3D"/>
    <w:rsid w:val="00372C3E"/>
    <w:rsid w:val="00384F15"/>
    <w:rsid w:val="003940C3"/>
    <w:rsid w:val="00394F0E"/>
    <w:rsid w:val="003A0A9F"/>
    <w:rsid w:val="003A0F3A"/>
    <w:rsid w:val="003A7085"/>
    <w:rsid w:val="003B008E"/>
    <w:rsid w:val="003B0C05"/>
    <w:rsid w:val="003C6D10"/>
    <w:rsid w:val="003C708B"/>
    <w:rsid w:val="003D5934"/>
    <w:rsid w:val="00400498"/>
    <w:rsid w:val="004038CA"/>
    <w:rsid w:val="00404CEB"/>
    <w:rsid w:val="00406248"/>
    <w:rsid w:val="00412FFA"/>
    <w:rsid w:val="00424309"/>
    <w:rsid w:val="0043156F"/>
    <w:rsid w:val="00433FAA"/>
    <w:rsid w:val="00436676"/>
    <w:rsid w:val="00436C00"/>
    <w:rsid w:val="0043744D"/>
    <w:rsid w:val="00450636"/>
    <w:rsid w:val="00453192"/>
    <w:rsid w:val="00453B44"/>
    <w:rsid w:val="004634A1"/>
    <w:rsid w:val="00465B05"/>
    <w:rsid w:val="0046766B"/>
    <w:rsid w:val="00467974"/>
    <w:rsid w:val="00470E39"/>
    <w:rsid w:val="0047248D"/>
    <w:rsid w:val="004727FC"/>
    <w:rsid w:val="00476315"/>
    <w:rsid w:val="00492A28"/>
    <w:rsid w:val="004A33DA"/>
    <w:rsid w:val="004A6A5A"/>
    <w:rsid w:val="004B2D63"/>
    <w:rsid w:val="004B3792"/>
    <w:rsid w:val="004B707D"/>
    <w:rsid w:val="004B75AB"/>
    <w:rsid w:val="004C2B89"/>
    <w:rsid w:val="004C54A0"/>
    <w:rsid w:val="004D1C82"/>
    <w:rsid w:val="004D4448"/>
    <w:rsid w:val="004F2268"/>
    <w:rsid w:val="004F4DFD"/>
    <w:rsid w:val="00502B8F"/>
    <w:rsid w:val="00502CD1"/>
    <w:rsid w:val="005064E5"/>
    <w:rsid w:val="00513F35"/>
    <w:rsid w:val="00515D6B"/>
    <w:rsid w:val="00516B08"/>
    <w:rsid w:val="005178FE"/>
    <w:rsid w:val="0052659C"/>
    <w:rsid w:val="00532D82"/>
    <w:rsid w:val="00533CAC"/>
    <w:rsid w:val="00542947"/>
    <w:rsid w:val="00555602"/>
    <w:rsid w:val="00560E36"/>
    <w:rsid w:val="005754AC"/>
    <w:rsid w:val="00582114"/>
    <w:rsid w:val="0058235E"/>
    <w:rsid w:val="005848A5"/>
    <w:rsid w:val="00585250"/>
    <w:rsid w:val="005870C5"/>
    <w:rsid w:val="005911CA"/>
    <w:rsid w:val="005A0AFB"/>
    <w:rsid w:val="005A489C"/>
    <w:rsid w:val="005A49D0"/>
    <w:rsid w:val="005B1D42"/>
    <w:rsid w:val="005D01F3"/>
    <w:rsid w:val="005D3E8A"/>
    <w:rsid w:val="005D5EB9"/>
    <w:rsid w:val="005D6942"/>
    <w:rsid w:val="005E1BB4"/>
    <w:rsid w:val="005F2484"/>
    <w:rsid w:val="006012F8"/>
    <w:rsid w:val="006120B5"/>
    <w:rsid w:val="00620FD8"/>
    <w:rsid w:val="006240B8"/>
    <w:rsid w:val="006267A9"/>
    <w:rsid w:val="00635E9F"/>
    <w:rsid w:val="00644DB5"/>
    <w:rsid w:val="00652D6F"/>
    <w:rsid w:val="00653E08"/>
    <w:rsid w:val="0066036E"/>
    <w:rsid w:val="006628CA"/>
    <w:rsid w:val="00662FFB"/>
    <w:rsid w:val="00663061"/>
    <w:rsid w:val="00665228"/>
    <w:rsid w:val="006713D1"/>
    <w:rsid w:val="00674485"/>
    <w:rsid w:val="006876B7"/>
    <w:rsid w:val="006B1C0F"/>
    <w:rsid w:val="006C3285"/>
    <w:rsid w:val="006C4123"/>
    <w:rsid w:val="006F207D"/>
    <w:rsid w:val="006F68FD"/>
    <w:rsid w:val="00704CCF"/>
    <w:rsid w:val="007140E5"/>
    <w:rsid w:val="00717657"/>
    <w:rsid w:val="00723ACA"/>
    <w:rsid w:val="00724745"/>
    <w:rsid w:val="007258DB"/>
    <w:rsid w:val="00726FA9"/>
    <w:rsid w:val="00735D6E"/>
    <w:rsid w:val="007375AA"/>
    <w:rsid w:val="007444AC"/>
    <w:rsid w:val="00746898"/>
    <w:rsid w:val="00754CB0"/>
    <w:rsid w:val="00756BEA"/>
    <w:rsid w:val="00760DDC"/>
    <w:rsid w:val="00765158"/>
    <w:rsid w:val="0077122A"/>
    <w:rsid w:val="00776737"/>
    <w:rsid w:val="00780584"/>
    <w:rsid w:val="00783DFA"/>
    <w:rsid w:val="007862E0"/>
    <w:rsid w:val="00786837"/>
    <w:rsid w:val="00795FCB"/>
    <w:rsid w:val="007960A4"/>
    <w:rsid w:val="007964E0"/>
    <w:rsid w:val="007973AB"/>
    <w:rsid w:val="007A22D4"/>
    <w:rsid w:val="007A6964"/>
    <w:rsid w:val="007C3E32"/>
    <w:rsid w:val="007C4817"/>
    <w:rsid w:val="007D354A"/>
    <w:rsid w:val="007E1066"/>
    <w:rsid w:val="007F0B10"/>
    <w:rsid w:val="007F0EBD"/>
    <w:rsid w:val="007F6222"/>
    <w:rsid w:val="008046F8"/>
    <w:rsid w:val="008049EA"/>
    <w:rsid w:val="00806B62"/>
    <w:rsid w:val="008079B9"/>
    <w:rsid w:val="00813B30"/>
    <w:rsid w:val="00817AB4"/>
    <w:rsid w:val="00820268"/>
    <w:rsid w:val="008221A2"/>
    <w:rsid w:val="00823105"/>
    <w:rsid w:val="008245FE"/>
    <w:rsid w:val="00832BFD"/>
    <w:rsid w:val="00851AD8"/>
    <w:rsid w:val="00854716"/>
    <w:rsid w:val="00855473"/>
    <w:rsid w:val="00856EDC"/>
    <w:rsid w:val="00863040"/>
    <w:rsid w:val="0086734F"/>
    <w:rsid w:val="00871FC7"/>
    <w:rsid w:val="008721FC"/>
    <w:rsid w:val="008841E2"/>
    <w:rsid w:val="0088604A"/>
    <w:rsid w:val="00886A96"/>
    <w:rsid w:val="008B3A58"/>
    <w:rsid w:val="008B4992"/>
    <w:rsid w:val="008B6444"/>
    <w:rsid w:val="008B7923"/>
    <w:rsid w:val="008C301D"/>
    <w:rsid w:val="008D4A0A"/>
    <w:rsid w:val="008E626C"/>
    <w:rsid w:val="008E6B38"/>
    <w:rsid w:val="008F106C"/>
    <w:rsid w:val="008F3BDF"/>
    <w:rsid w:val="00900F6E"/>
    <w:rsid w:val="0092276F"/>
    <w:rsid w:val="00922C7A"/>
    <w:rsid w:val="00935460"/>
    <w:rsid w:val="00940F43"/>
    <w:rsid w:val="0094246F"/>
    <w:rsid w:val="009536BD"/>
    <w:rsid w:val="00965D8E"/>
    <w:rsid w:val="00994B48"/>
    <w:rsid w:val="00995C11"/>
    <w:rsid w:val="009C23E6"/>
    <w:rsid w:val="009E3056"/>
    <w:rsid w:val="009F44F1"/>
    <w:rsid w:val="00A26740"/>
    <w:rsid w:val="00A31747"/>
    <w:rsid w:val="00A335A6"/>
    <w:rsid w:val="00A33D6F"/>
    <w:rsid w:val="00A37BE1"/>
    <w:rsid w:val="00A41164"/>
    <w:rsid w:val="00A41208"/>
    <w:rsid w:val="00A43169"/>
    <w:rsid w:val="00A47583"/>
    <w:rsid w:val="00A56CDA"/>
    <w:rsid w:val="00A6236E"/>
    <w:rsid w:val="00A73EB2"/>
    <w:rsid w:val="00A915C6"/>
    <w:rsid w:val="00A92625"/>
    <w:rsid w:val="00A951D0"/>
    <w:rsid w:val="00AB6C7A"/>
    <w:rsid w:val="00AB704A"/>
    <w:rsid w:val="00AC35A9"/>
    <w:rsid w:val="00AC6F65"/>
    <w:rsid w:val="00AD1082"/>
    <w:rsid w:val="00AD415E"/>
    <w:rsid w:val="00AE13A1"/>
    <w:rsid w:val="00AE2521"/>
    <w:rsid w:val="00AF183D"/>
    <w:rsid w:val="00AF715F"/>
    <w:rsid w:val="00B04B43"/>
    <w:rsid w:val="00B177DA"/>
    <w:rsid w:val="00B2499E"/>
    <w:rsid w:val="00B316BE"/>
    <w:rsid w:val="00B32753"/>
    <w:rsid w:val="00B339BB"/>
    <w:rsid w:val="00B37C5F"/>
    <w:rsid w:val="00B448F1"/>
    <w:rsid w:val="00B46813"/>
    <w:rsid w:val="00B53C78"/>
    <w:rsid w:val="00B61929"/>
    <w:rsid w:val="00B72E53"/>
    <w:rsid w:val="00B86F9A"/>
    <w:rsid w:val="00B9451C"/>
    <w:rsid w:val="00B9736F"/>
    <w:rsid w:val="00BA770C"/>
    <w:rsid w:val="00BB13E7"/>
    <w:rsid w:val="00BC1972"/>
    <w:rsid w:val="00BC285B"/>
    <w:rsid w:val="00BC7394"/>
    <w:rsid w:val="00BD07DC"/>
    <w:rsid w:val="00BD2C4E"/>
    <w:rsid w:val="00BD3226"/>
    <w:rsid w:val="00BD4E38"/>
    <w:rsid w:val="00BD5AE9"/>
    <w:rsid w:val="00BE3022"/>
    <w:rsid w:val="00C179C8"/>
    <w:rsid w:val="00C36EDE"/>
    <w:rsid w:val="00C42986"/>
    <w:rsid w:val="00C473B0"/>
    <w:rsid w:val="00C5556F"/>
    <w:rsid w:val="00C62A45"/>
    <w:rsid w:val="00C637BF"/>
    <w:rsid w:val="00C64A2A"/>
    <w:rsid w:val="00C6691A"/>
    <w:rsid w:val="00C8429B"/>
    <w:rsid w:val="00C855FC"/>
    <w:rsid w:val="00C9198C"/>
    <w:rsid w:val="00C922DD"/>
    <w:rsid w:val="00C95DC7"/>
    <w:rsid w:val="00CA3F91"/>
    <w:rsid w:val="00CB4387"/>
    <w:rsid w:val="00CC3DAF"/>
    <w:rsid w:val="00CD6BDB"/>
    <w:rsid w:val="00CE7458"/>
    <w:rsid w:val="00CF1F05"/>
    <w:rsid w:val="00CF4062"/>
    <w:rsid w:val="00CF7AB6"/>
    <w:rsid w:val="00D02655"/>
    <w:rsid w:val="00D0311E"/>
    <w:rsid w:val="00D13E5A"/>
    <w:rsid w:val="00D214C2"/>
    <w:rsid w:val="00D23DB4"/>
    <w:rsid w:val="00D267EC"/>
    <w:rsid w:val="00D3108A"/>
    <w:rsid w:val="00D32D00"/>
    <w:rsid w:val="00D41231"/>
    <w:rsid w:val="00D43AC3"/>
    <w:rsid w:val="00D56755"/>
    <w:rsid w:val="00D71218"/>
    <w:rsid w:val="00D723C1"/>
    <w:rsid w:val="00D77B3C"/>
    <w:rsid w:val="00D922FE"/>
    <w:rsid w:val="00D96057"/>
    <w:rsid w:val="00DA234D"/>
    <w:rsid w:val="00DB13A1"/>
    <w:rsid w:val="00DB55DB"/>
    <w:rsid w:val="00DD0EA8"/>
    <w:rsid w:val="00DD101F"/>
    <w:rsid w:val="00DD23A3"/>
    <w:rsid w:val="00DD4786"/>
    <w:rsid w:val="00DE1144"/>
    <w:rsid w:val="00DE73F6"/>
    <w:rsid w:val="00DF3C44"/>
    <w:rsid w:val="00E016DE"/>
    <w:rsid w:val="00E354C3"/>
    <w:rsid w:val="00E40ACD"/>
    <w:rsid w:val="00E415A1"/>
    <w:rsid w:val="00E445E7"/>
    <w:rsid w:val="00E45B00"/>
    <w:rsid w:val="00E5035A"/>
    <w:rsid w:val="00E52745"/>
    <w:rsid w:val="00E534FE"/>
    <w:rsid w:val="00E54A51"/>
    <w:rsid w:val="00E55C61"/>
    <w:rsid w:val="00E606BA"/>
    <w:rsid w:val="00E60CC1"/>
    <w:rsid w:val="00E66BA5"/>
    <w:rsid w:val="00E770CD"/>
    <w:rsid w:val="00E80E70"/>
    <w:rsid w:val="00E86019"/>
    <w:rsid w:val="00E87F33"/>
    <w:rsid w:val="00E949E5"/>
    <w:rsid w:val="00E96934"/>
    <w:rsid w:val="00E96A73"/>
    <w:rsid w:val="00EA1B53"/>
    <w:rsid w:val="00EB03B3"/>
    <w:rsid w:val="00EB5063"/>
    <w:rsid w:val="00ED06C4"/>
    <w:rsid w:val="00ED4C22"/>
    <w:rsid w:val="00EE5646"/>
    <w:rsid w:val="00EE6360"/>
    <w:rsid w:val="00EE696C"/>
    <w:rsid w:val="00EF06C1"/>
    <w:rsid w:val="00EF553E"/>
    <w:rsid w:val="00EF65B2"/>
    <w:rsid w:val="00EF7213"/>
    <w:rsid w:val="00F12A32"/>
    <w:rsid w:val="00F17578"/>
    <w:rsid w:val="00F27EF2"/>
    <w:rsid w:val="00F32155"/>
    <w:rsid w:val="00F3674C"/>
    <w:rsid w:val="00F36C34"/>
    <w:rsid w:val="00F402B9"/>
    <w:rsid w:val="00F4669D"/>
    <w:rsid w:val="00F5346D"/>
    <w:rsid w:val="00F5377F"/>
    <w:rsid w:val="00F83814"/>
    <w:rsid w:val="00F87792"/>
    <w:rsid w:val="00F923FB"/>
    <w:rsid w:val="00FA1F8E"/>
    <w:rsid w:val="00FB0370"/>
    <w:rsid w:val="00FB595C"/>
    <w:rsid w:val="00FD0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0CC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1B54D9"/>
    <w:pPr>
      <w:tabs>
        <w:tab w:val="clear" w:pos="9026"/>
        <w:tab w:val="left" w:pos="6946"/>
      </w:tabs>
      <w:spacing w:before="240" w:after="360"/>
    </w:pPr>
    <w:rPr>
      <w:rFonts w:asciiTheme="minorHAnsi" w:hAnsiTheme="minorHAnsi" w:cs="Arial"/>
      <w:b/>
      <w:caps/>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character" w:styleId="UnresolvedMention">
    <w:name w:val="Unresolved Mention"/>
    <w:basedOn w:val="DefaultParagraphFont"/>
    <w:uiPriority w:val="99"/>
    <w:semiHidden/>
    <w:unhideWhenUsed/>
    <w:rsid w:val="00832BFD"/>
    <w:rPr>
      <w:color w:val="605E5C"/>
      <w:shd w:val="clear" w:color="auto" w:fill="E1DFDD"/>
    </w:rPr>
  </w:style>
  <w:style w:type="character" w:styleId="FollowedHyperlink">
    <w:name w:val="FollowedHyperlink"/>
    <w:basedOn w:val="DefaultParagraphFont"/>
    <w:uiPriority w:val="99"/>
    <w:semiHidden/>
    <w:unhideWhenUsed/>
    <w:rsid w:val="008B6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2205">
      <w:bodyDiv w:val="1"/>
      <w:marLeft w:val="0"/>
      <w:marRight w:val="0"/>
      <w:marTop w:val="0"/>
      <w:marBottom w:val="0"/>
      <w:divBdr>
        <w:top w:val="none" w:sz="0" w:space="0" w:color="auto"/>
        <w:left w:val="none" w:sz="0" w:space="0" w:color="auto"/>
        <w:bottom w:val="none" w:sz="0" w:space="0" w:color="auto"/>
        <w:right w:val="none" w:sz="0" w:space="0" w:color="auto"/>
      </w:divBdr>
    </w:div>
    <w:div w:id="403648268">
      <w:bodyDiv w:val="1"/>
      <w:marLeft w:val="0"/>
      <w:marRight w:val="0"/>
      <w:marTop w:val="0"/>
      <w:marBottom w:val="0"/>
      <w:divBdr>
        <w:top w:val="none" w:sz="0" w:space="0" w:color="auto"/>
        <w:left w:val="none" w:sz="0" w:space="0" w:color="auto"/>
        <w:bottom w:val="none" w:sz="0" w:space="0" w:color="auto"/>
        <w:right w:val="none" w:sz="0" w:space="0" w:color="auto"/>
      </w:divBdr>
    </w:div>
    <w:div w:id="475143766">
      <w:bodyDiv w:val="1"/>
      <w:marLeft w:val="0"/>
      <w:marRight w:val="0"/>
      <w:marTop w:val="0"/>
      <w:marBottom w:val="0"/>
      <w:divBdr>
        <w:top w:val="none" w:sz="0" w:space="0" w:color="auto"/>
        <w:left w:val="none" w:sz="0" w:space="0" w:color="auto"/>
        <w:bottom w:val="none" w:sz="0" w:space="0" w:color="auto"/>
        <w:right w:val="none" w:sz="0" w:space="0" w:color="auto"/>
      </w:divBdr>
    </w:div>
    <w:div w:id="565991332">
      <w:bodyDiv w:val="1"/>
      <w:marLeft w:val="0"/>
      <w:marRight w:val="0"/>
      <w:marTop w:val="0"/>
      <w:marBottom w:val="0"/>
      <w:divBdr>
        <w:top w:val="none" w:sz="0" w:space="0" w:color="auto"/>
        <w:left w:val="none" w:sz="0" w:space="0" w:color="auto"/>
        <w:bottom w:val="none" w:sz="0" w:space="0" w:color="auto"/>
        <w:right w:val="none" w:sz="0" w:space="0" w:color="auto"/>
      </w:divBdr>
    </w:div>
    <w:div w:id="697004366">
      <w:bodyDiv w:val="1"/>
      <w:marLeft w:val="0"/>
      <w:marRight w:val="0"/>
      <w:marTop w:val="0"/>
      <w:marBottom w:val="0"/>
      <w:divBdr>
        <w:top w:val="none" w:sz="0" w:space="0" w:color="auto"/>
        <w:left w:val="none" w:sz="0" w:space="0" w:color="auto"/>
        <w:bottom w:val="none" w:sz="0" w:space="0" w:color="auto"/>
        <w:right w:val="none" w:sz="0" w:space="0" w:color="auto"/>
      </w:divBdr>
    </w:div>
    <w:div w:id="1549759978">
      <w:bodyDiv w:val="1"/>
      <w:marLeft w:val="0"/>
      <w:marRight w:val="0"/>
      <w:marTop w:val="0"/>
      <w:marBottom w:val="0"/>
      <w:divBdr>
        <w:top w:val="none" w:sz="0" w:space="0" w:color="auto"/>
        <w:left w:val="none" w:sz="0" w:space="0" w:color="auto"/>
        <w:bottom w:val="none" w:sz="0" w:space="0" w:color="auto"/>
        <w:right w:val="none" w:sz="0" w:space="0" w:color="auto"/>
      </w:divBdr>
    </w:div>
    <w:div w:id="1659458358">
      <w:bodyDiv w:val="1"/>
      <w:marLeft w:val="0"/>
      <w:marRight w:val="0"/>
      <w:marTop w:val="0"/>
      <w:marBottom w:val="0"/>
      <w:divBdr>
        <w:top w:val="none" w:sz="0" w:space="0" w:color="auto"/>
        <w:left w:val="none" w:sz="0" w:space="0" w:color="auto"/>
        <w:bottom w:val="none" w:sz="0" w:space="0" w:color="auto"/>
        <w:right w:val="none" w:sz="0" w:space="0" w:color="auto"/>
      </w:divBdr>
    </w:div>
    <w:div w:id="1693192187">
      <w:bodyDiv w:val="1"/>
      <w:marLeft w:val="0"/>
      <w:marRight w:val="0"/>
      <w:marTop w:val="0"/>
      <w:marBottom w:val="0"/>
      <w:divBdr>
        <w:top w:val="none" w:sz="0" w:space="0" w:color="auto"/>
        <w:left w:val="none" w:sz="0" w:space="0" w:color="auto"/>
        <w:bottom w:val="none" w:sz="0" w:space="0" w:color="auto"/>
        <w:right w:val="none" w:sz="0" w:space="0" w:color="auto"/>
      </w:divBdr>
    </w:div>
    <w:div w:id="2058780066">
      <w:bodyDiv w:val="1"/>
      <w:marLeft w:val="0"/>
      <w:marRight w:val="0"/>
      <w:marTop w:val="0"/>
      <w:marBottom w:val="0"/>
      <w:divBdr>
        <w:top w:val="none" w:sz="0" w:space="0" w:color="auto"/>
        <w:left w:val="none" w:sz="0" w:space="0" w:color="auto"/>
        <w:bottom w:val="none" w:sz="0" w:space="0" w:color="auto"/>
        <w:right w:val="none" w:sz="0" w:space="0" w:color="auto"/>
      </w:divBdr>
    </w:div>
    <w:div w:id="2097902276">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vic.vic.gov.au/privacy/the-limitations-of-de-identification-protecting-unit-record-level-personal-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vic.vic.gov.au/book/key-concep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ic.vic.gov.au/privacy/information-privacy-principles-short-gui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ovic.vic.gov.au/privacy/an-introduction-to-de-identification/" TargetMode="External"/><Relationship Id="rId2" Type="http://schemas.openxmlformats.org/officeDocument/2006/relationships/hyperlink" Target="https://ovic.vic.gov.au/privacy/collection-notices/" TargetMode="External"/><Relationship Id="rId1" Type="http://schemas.openxmlformats.org/officeDocument/2006/relationships/hyperlink" Target="https://www.genderequalitycommission.vic.gov.au/workplace-gender-equality-indicat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5DF7B4C3396B4DA0F821E47AA844D3" ma:contentTypeVersion="14" ma:contentTypeDescription="Create a new document." ma:contentTypeScope="" ma:versionID="5b25b0b4ffdb79cca3d5b5f39b0d23b8">
  <xsd:schema xmlns:xsd="http://www.w3.org/2001/XMLSchema" xmlns:xs="http://www.w3.org/2001/XMLSchema" xmlns:p="http://schemas.microsoft.com/office/2006/metadata/properties" xmlns:ns2="50f00e27-c35f-46eb-9301-c9e2bd24673f" xmlns:ns3="27cb37dd-16a1-4d7b-8276-5c0e4168f63b" targetNamespace="http://schemas.microsoft.com/office/2006/metadata/properties" ma:root="true" ma:fieldsID="3c18e1ca5c7e1a1f30b989d8b508b452" ns2:_="" ns3:_="">
    <xsd:import namespace="50f00e27-c35f-46eb-9301-c9e2bd24673f"/>
    <xsd:import namespace="27cb37dd-16a1-4d7b-8276-5c0e4168f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00e27-c35f-46eb-9301-c9e2bd246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b37dd-16a1-4d7b-8276-5c0e4168f6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7cb37dd-16a1-4d7b-8276-5c0e4168f63b">
      <UserInfo>
        <DisplayName>Margot Paxman (CGEPS)</DisplayName>
        <AccountId>18</AccountId>
        <AccountType/>
      </UserInfo>
    </SharedWithUsers>
  </documentManagement>
</p:properties>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customXml/itemProps2.xml><?xml version="1.0" encoding="utf-8"?>
<ds:datastoreItem xmlns:ds="http://schemas.openxmlformats.org/officeDocument/2006/customXml" ds:itemID="{5BEE2A5D-2D88-4FB0-BA18-DE9501AA4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00e27-c35f-46eb-9301-c9e2bd24673f"/>
    <ds:schemaRef ds:uri="27cb37dd-16a1-4d7b-8276-5c0e4168f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42F29-9B47-4907-A5C7-799F5C1F1EB7}">
  <ds:schemaRefs>
    <ds:schemaRef ds:uri="http://schemas.microsoft.com/sharepoint/v3/contenttype/forms"/>
  </ds:schemaRefs>
</ds:datastoreItem>
</file>

<file path=customXml/itemProps4.xml><?xml version="1.0" encoding="utf-8"?>
<ds:datastoreItem xmlns:ds="http://schemas.openxmlformats.org/officeDocument/2006/customXml" ds:itemID="{ED501470-4F59-420C-9BD1-2D0402D94295}">
  <ds:schemaRefs>
    <ds:schemaRef ds:uri="http://schemas.microsoft.com/office/2006/metadata/properties"/>
    <ds:schemaRef ds:uri="http://schemas.microsoft.com/office/infopath/2007/PartnerControls"/>
    <ds:schemaRef ds:uri="27cb37dd-16a1-4d7b-8276-5c0e4168f6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9232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2021-10-28T04:15:00Z</dcterms:created>
  <dcterms:modified xsi:type="dcterms:W3CDTF">2021-10-28T04:15:00Z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0x010100555DF7B4C3396B4DA0F821E47AA844D3</vt:lpwstr>
  </property>
</Properties>
</file>