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87E3" w14:textId="77777777" w:rsidR="00732968" w:rsidRPr="000F73B5" w:rsidRDefault="00732968" w:rsidP="00732968">
      <w:pPr>
        <w:rPr>
          <w:rFonts w:eastAsia="Times New Roman" w:cs="Calibri"/>
          <w:b/>
          <w:bCs/>
          <w:iCs/>
          <w:color w:val="430098"/>
          <w:sz w:val="40"/>
          <w:szCs w:val="44"/>
        </w:rPr>
      </w:pPr>
    </w:p>
    <w:p w14:paraId="4E68058D" w14:textId="77777777" w:rsidR="00732968" w:rsidRPr="000F73B5" w:rsidRDefault="00732968" w:rsidP="00732968">
      <w:pPr>
        <w:rPr>
          <w:rFonts w:eastAsia="Times New Roman" w:cs="Calibri"/>
          <w:b/>
          <w:bCs/>
          <w:iCs/>
          <w:color w:val="430098"/>
          <w:sz w:val="40"/>
          <w:szCs w:val="44"/>
        </w:rPr>
      </w:pPr>
    </w:p>
    <w:p w14:paraId="07A9D641" w14:textId="77777777" w:rsidR="00732968" w:rsidRPr="000F73B5" w:rsidRDefault="00732968" w:rsidP="00732968">
      <w:pPr>
        <w:rPr>
          <w:rFonts w:eastAsia="Times New Roman" w:cs="Calibri"/>
          <w:b/>
          <w:bCs/>
          <w:iCs/>
          <w:color w:val="430098"/>
          <w:sz w:val="40"/>
          <w:szCs w:val="44"/>
        </w:rPr>
      </w:pPr>
    </w:p>
    <w:p w14:paraId="198D41E6" w14:textId="77777777" w:rsidR="00732968" w:rsidRPr="000F73B5" w:rsidRDefault="00732968" w:rsidP="00732968">
      <w:pPr>
        <w:rPr>
          <w:rFonts w:eastAsia="Times New Roman" w:cs="Calibri"/>
          <w:b/>
          <w:bCs/>
          <w:iCs/>
          <w:color w:val="430098"/>
          <w:sz w:val="40"/>
          <w:szCs w:val="44"/>
        </w:rPr>
      </w:pPr>
    </w:p>
    <w:p w14:paraId="5B25D691" w14:textId="77777777" w:rsidR="00732968" w:rsidRPr="000F73B5" w:rsidRDefault="00732968" w:rsidP="00732968">
      <w:pPr>
        <w:rPr>
          <w:rFonts w:eastAsia="Times New Roman" w:cs="Calibri"/>
          <w:b/>
          <w:bCs/>
          <w:iCs/>
          <w:color w:val="430098"/>
          <w:sz w:val="40"/>
          <w:szCs w:val="44"/>
        </w:rPr>
      </w:pPr>
    </w:p>
    <w:p w14:paraId="55A5537D" w14:textId="77777777" w:rsidR="00732968" w:rsidRPr="000F73B5" w:rsidRDefault="00732968" w:rsidP="00732968">
      <w:pPr>
        <w:rPr>
          <w:rFonts w:eastAsia="Times New Roman" w:cs="Calibri"/>
          <w:b/>
          <w:bCs/>
          <w:iCs/>
          <w:color w:val="430098"/>
          <w:sz w:val="40"/>
          <w:szCs w:val="44"/>
        </w:rPr>
      </w:pPr>
    </w:p>
    <w:p w14:paraId="4280C1F2" w14:textId="77777777" w:rsidR="00732968" w:rsidRPr="000F73B5" w:rsidRDefault="00732968" w:rsidP="00732968">
      <w:pPr>
        <w:rPr>
          <w:rFonts w:eastAsia="Times New Roman" w:cs="Calibri"/>
          <w:b/>
          <w:bCs/>
          <w:iCs/>
          <w:color w:val="430098"/>
          <w:sz w:val="40"/>
          <w:szCs w:val="44"/>
        </w:rPr>
      </w:pPr>
    </w:p>
    <w:p w14:paraId="609D2B17" w14:textId="77777777" w:rsidR="00732968" w:rsidRPr="000F73B5" w:rsidRDefault="00732968" w:rsidP="00732968">
      <w:pPr>
        <w:rPr>
          <w:rFonts w:eastAsia="Times New Roman" w:cs="Calibri"/>
          <w:b/>
          <w:bCs/>
          <w:iCs/>
          <w:color w:val="430098"/>
          <w:sz w:val="40"/>
          <w:szCs w:val="44"/>
        </w:rPr>
      </w:pPr>
    </w:p>
    <w:p w14:paraId="088B0AD1" w14:textId="77777777" w:rsidR="00732968" w:rsidRPr="000F73B5" w:rsidRDefault="00732968" w:rsidP="00732968">
      <w:pPr>
        <w:rPr>
          <w:rFonts w:eastAsia="Times New Roman" w:cs="Calibri"/>
          <w:b/>
          <w:bCs/>
          <w:iCs/>
          <w:color w:val="430098"/>
          <w:sz w:val="40"/>
          <w:szCs w:val="44"/>
        </w:rPr>
      </w:pPr>
    </w:p>
    <w:p w14:paraId="592AB842" w14:textId="77777777" w:rsidR="00732968" w:rsidRPr="000F73B5" w:rsidRDefault="00732968" w:rsidP="00732968">
      <w:pPr>
        <w:rPr>
          <w:rFonts w:eastAsia="Times New Roman" w:cs="Calibri"/>
          <w:b/>
          <w:bCs/>
          <w:iCs/>
          <w:color w:val="430098"/>
          <w:sz w:val="40"/>
          <w:szCs w:val="44"/>
        </w:rPr>
      </w:pPr>
    </w:p>
    <w:p w14:paraId="56EBAEFE" w14:textId="77777777" w:rsidR="00732968" w:rsidRPr="000F73B5" w:rsidRDefault="00732968" w:rsidP="00732968">
      <w:pPr>
        <w:rPr>
          <w:rFonts w:eastAsia="Times New Roman" w:cs="Calibri"/>
          <w:b/>
          <w:bCs/>
          <w:iCs/>
          <w:color w:val="430098"/>
          <w:sz w:val="40"/>
          <w:szCs w:val="44"/>
        </w:rPr>
      </w:pPr>
    </w:p>
    <w:p w14:paraId="52A4AD6D" w14:textId="5576EE2F" w:rsidR="004A6243" w:rsidRDefault="00FC4109" w:rsidP="00043443">
      <w:pPr>
        <w:ind w:right="1983"/>
        <w:rPr>
          <w:rFonts w:eastAsia="Times New Roman" w:cs="Calibri"/>
          <w:b/>
          <w:bCs/>
          <w:iCs/>
          <w:color w:val="430098"/>
          <w:sz w:val="44"/>
          <w:szCs w:val="48"/>
        </w:rPr>
      </w:pPr>
      <w:r w:rsidRPr="000F73B5">
        <w:rPr>
          <w:rFonts w:eastAsia="Times New Roman" w:cs="Calibri"/>
          <w:b/>
          <w:bCs/>
          <w:iCs/>
          <w:color w:val="430098"/>
          <w:sz w:val="44"/>
          <w:szCs w:val="48"/>
        </w:rPr>
        <w:t xml:space="preserve">Enhancing Victoria’s FOI Culture to be </w:t>
      </w:r>
      <w:r w:rsidR="008F4248" w:rsidRPr="000F73B5">
        <w:rPr>
          <w:rFonts w:eastAsia="Times New Roman" w:cs="Calibri"/>
          <w:b/>
          <w:bCs/>
          <w:iCs/>
          <w:color w:val="430098"/>
          <w:sz w:val="44"/>
          <w:szCs w:val="48"/>
        </w:rPr>
        <w:t xml:space="preserve">Open by </w:t>
      </w:r>
      <w:r w:rsidRPr="000F73B5">
        <w:rPr>
          <w:rFonts w:eastAsia="Times New Roman" w:cs="Calibri"/>
          <w:b/>
          <w:bCs/>
          <w:iCs/>
          <w:color w:val="430098"/>
          <w:sz w:val="44"/>
          <w:szCs w:val="48"/>
        </w:rPr>
        <w:t>D</w:t>
      </w:r>
      <w:r w:rsidR="008F4248" w:rsidRPr="000F73B5">
        <w:rPr>
          <w:rFonts w:eastAsia="Times New Roman" w:cs="Calibri"/>
          <w:b/>
          <w:bCs/>
          <w:iCs/>
          <w:color w:val="430098"/>
          <w:sz w:val="44"/>
          <w:szCs w:val="48"/>
        </w:rPr>
        <w:t>esign</w:t>
      </w:r>
    </w:p>
    <w:p w14:paraId="7E338E91" w14:textId="77777777" w:rsidR="004A6243" w:rsidRDefault="004A6243" w:rsidP="004A6243">
      <w:pPr>
        <w:ind w:right="1983"/>
        <w:rPr>
          <w:rFonts w:eastAsia="Times New Roman" w:cs="Calibri"/>
          <w:b/>
          <w:bCs/>
          <w:iCs/>
          <w:color w:val="430098"/>
          <w:sz w:val="36"/>
          <w:szCs w:val="40"/>
        </w:rPr>
      </w:pPr>
    </w:p>
    <w:p w14:paraId="42C0F40F" w14:textId="152B7445" w:rsidR="00E27EFB" w:rsidRPr="004A6243" w:rsidRDefault="00E27EFB" w:rsidP="004A6243">
      <w:pPr>
        <w:ind w:right="1983"/>
        <w:rPr>
          <w:rFonts w:eastAsia="Times New Roman" w:cs="Calibri"/>
          <w:b/>
          <w:bCs/>
          <w:iCs/>
          <w:color w:val="430098"/>
          <w:sz w:val="36"/>
          <w:szCs w:val="40"/>
        </w:rPr>
        <w:sectPr w:rsidR="00E27EFB" w:rsidRPr="004A6243" w:rsidSect="00065EA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128" w:right="1134" w:bottom="1134" w:left="1134" w:header="720" w:footer="510" w:gutter="0"/>
          <w:cols w:space="720"/>
          <w:noEndnote/>
          <w:titlePg/>
          <w:docGrid w:linePitch="326"/>
        </w:sectPr>
      </w:pPr>
    </w:p>
    <w:p w14:paraId="7F5FAD8D" w14:textId="77777777" w:rsidR="00452739" w:rsidRPr="000F73B5" w:rsidRDefault="006B1CF3" w:rsidP="00452739">
      <w:pPr>
        <w:rPr>
          <w:rFonts w:eastAsia="Times New Roman" w:cs="Calibri"/>
          <w:b/>
          <w:bCs/>
          <w:iCs/>
          <w:color w:val="430098"/>
          <w:sz w:val="32"/>
          <w:szCs w:val="36"/>
        </w:rPr>
      </w:pPr>
      <w:r w:rsidRPr="000F73B5">
        <w:rPr>
          <w:rFonts w:eastAsia="Times New Roman" w:cs="Calibri"/>
          <w:b/>
          <w:bCs/>
          <w:iCs/>
          <w:color w:val="430098"/>
          <w:sz w:val="32"/>
          <w:szCs w:val="36"/>
        </w:rPr>
        <w:lastRenderedPageBreak/>
        <w:t>CONTENTS</w:t>
      </w:r>
    </w:p>
    <w:p w14:paraId="1491ECB7" w14:textId="77777777" w:rsidR="00DF1B44" w:rsidRPr="000F73B5" w:rsidRDefault="00DF1B44" w:rsidP="004F4ED5">
      <w:pPr>
        <w:pStyle w:val="OVICQuote"/>
        <w:rPr>
          <w:lang w:val="en-AU"/>
        </w:rPr>
      </w:pPr>
    </w:p>
    <w:p w14:paraId="27136E4F" w14:textId="403B6265" w:rsidR="00771516" w:rsidRDefault="004F4ED5">
      <w:pPr>
        <w:pStyle w:val="TOC1"/>
        <w:tabs>
          <w:tab w:val="right" w:leader="dot" w:pos="9622"/>
        </w:tabs>
        <w:rPr>
          <w:rFonts w:eastAsiaTheme="minorEastAsia" w:cstheme="minorBidi"/>
          <w:b w:val="0"/>
          <w:bCs w:val="0"/>
          <w:noProof/>
          <w:sz w:val="24"/>
          <w:szCs w:val="24"/>
          <w:lang w:eastAsia="en-GB"/>
        </w:rPr>
      </w:pPr>
      <w:r w:rsidRPr="000F73B5">
        <w:rPr>
          <w:b w:val="0"/>
          <w:bCs w:val="0"/>
          <w:color w:val="000000"/>
          <w:sz w:val="22"/>
          <w:szCs w:val="22"/>
        </w:rPr>
        <w:fldChar w:fldCharType="begin"/>
      </w:r>
      <w:r w:rsidRPr="000F73B5">
        <w:rPr>
          <w:b w:val="0"/>
          <w:bCs w:val="0"/>
          <w:color w:val="000000"/>
          <w:sz w:val="22"/>
          <w:szCs w:val="22"/>
        </w:rPr>
        <w:instrText xml:space="preserve"> TOC \o "1-3" \h \z \u </w:instrText>
      </w:r>
      <w:r w:rsidRPr="000F73B5">
        <w:rPr>
          <w:b w:val="0"/>
          <w:bCs w:val="0"/>
          <w:color w:val="000000"/>
          <w:sz w:val="22"/>
          <w:szCs w:val="22"/>
        </w:rPr>
        <w:fldChar w:fldCharType="separate"/>
      </w:r>
      <w:hyperlink w:anchor="_Toc83287251" w:history="1">
        <w:r w:rsidR="00771516" w:rsidRPr="00284124">
          <w:rPr>
            <w:rStyle w:val="Hyperlink"/>
            <w:noProof/>
          </w:rPr>
          <w:t>EXECUTIVE SUMMARY</w:t>
        </w:r>
        <w:r w:rsidR="00771516">
          <w:rPr>
            <w:noProof/>
            <w:webHidden/>
          </w:rPr>
          <w:tab/>
        </w:r>
        <w:r w:rsidR="00771516">
          <w:rPr>
            <w:noProof/>
            <w:webHidden/>
          </w:rPr>
          <w:fldChar w:fldCharType="begin"/>
        </w:r>
        <w:r w:rsidR="00771516">
          <w:rPr>
            <w:noProof/>
            <w:webHidden/>
          </w:rPr>
          <w:instrText xml:space="preserve"> PAGEREF _Toc83287251 \h </w:instrText>
        </w:r>
        <w:r w:rsidR="00771516">
          <w:rPr>
            <w:noProof/>
            <w:webHidden/>
          </w:rPr>
        </w:r>
        <w:r w:rsidR="00771516">
          <w:rPr>
            <w:noProof/>
            <w:webHidden/>
          </w:rPr>
          <w:fldChar w:fldCharType="separate"/>
        </w:r>
        <w:r w:rsidR="00771516">
          <w:rPr>
            <w:noProof/>
            <w:webHidden/>
          </w:rPr>
          <w:t>3</w:t>
        </w:r>
        <w:r w:rsidR="00771516">
          <w:rPr>
            <w:noProof/>
            <w:webHidden/>
          </w:rPr>
          <w:fldChar w:fldCharType="end"/>
        </w:r>
      </w:hyperlink>
    </w:p>
    <w:p w14:paraId="2F7B875F" w14:textId="5CEC282A" w:rsidR="00771516" w:rsidRDefault="0036231A">
      <w:pPr>
        <w:pStyle w:val="TOC1"/>
        <w:tabs>
          <w:tab w:val="right" w:leader="dot" w:pos="9622"/>
        </w:tabs>
        <w:rPr>
          <w:rFonts w:eastAsiaTheme="minorEastAsia" w:cstheme="minorBidi"/>
          <w:b w:val="0"/>
          <w:bCs w:val="0"/>
          <w:noProof/>
          <w:sz w:val="24"/>
          <w:szCs w:val="24"/>
          <w:lang w:eastAsia="en-GB"/>
        </w:rPr>
      </w:pPr>
      <w:hyperlink w:anchor="_Toc83287252" w:history="1">
        <w:r w:rsidR="00771516" w:rsidRPr="00284124">
          <w:rPr>
            <w:rStyle w:val="Hyperlink"/>
            <w:noProof/>
          </w:rPr>
          <w:t>INTRODUCTION</w:t>
        </w:r>
        <w:r w:rsidR="00771516">
          <w:rPr>
            <w:noProof/>
            <w:webHidden/>
          </w:rPr>
          <w:tab/>
        </w:r>
        <w:r w:rsidR="00771516">
          <w:rPr>
            <w:noProof/>
            <w:webHidden/>
          </w:rPr>
          <w:fldChar w:fldCharType="begin"/>
        </w:r>
        <w:r w:rsidR="00771516">
          <w:rPr>
            <w:noProof/>
            <w:webHidden/>
          </w:rPr>
          <w:instrText xml:space="preserve"> PAGEREF _Toc83287252 \h </w:instrText>
        </w:r>
        <w:r w:rsidR="00771516">
          <w:rPr>
            <w:noProof/>
            <w:webHidden/>
          </w:rPr>
        </w:r>
        <w:r w:rsidR="00771516">
          <w:rPr>
            <w:noProof/>
            <w:webHidden/>
          </w:rPr>
          <w:fldChar w:fldCharType="separate"/>
        </w:r>
        <w:r w:rsidR="00771516">
          <w:rPr>
            <w:noProof/>
            <w:webHidden/>
          </w:rPr>
          <w:t>4</w:t>
        </w:r>
        <w:r w:rsidR="00771516">
          <w:rPr>
            <w:noProof/>
            <w:webHidden/>
          </w:rPr>
          <w:fldChar w:fldCharType="end"/>
        </w:r>
      </w:hyperlink>
    </w:p>
    <w:p w14:paraId="3105039B" w14:textId="6BC8CC00" w:rsidR="00771516" w:rsidRDefault="0036231A">
      <w:pPr>
        <w:pStyle w:val="TOC1"/>
        <w:tabs>
          <w:tab w:val="right" w:leader="dot" w:pos="9622"/>
        </w:tabs>
        <w:rPr>
          <w:rFonts w:eastAsiaTheme="minorEastAsia" w:cstheme="minorBidi"/>
          <w:b w:val="0"/>
          <w:bCs w:val="0"/>
          <w:noProof/>
          <w:sz w:val="24"/>
          <w:szCs w:val="24"/>
          <w:lang w:eastAsia="en-GB"/>
        </w:rPr>
      </w:pPr>
      <w:hyperlink w:anchor="_Toc83287253" w:history="1">
        <w:r w:rsidR="00771516" w:rsidRPr="00284124">
          <w:rPr>
            <w:rStyle w:val="Hyperlink"/>
            <w:noProof/>
          </w:rPr>
          <w:t>PURPOSE</w:t>
        </w:r>
        <w:r w:rsidR="00771516">
          <w:rPr>
            <w:noProof/>
            <w:webHidden/>
          </w:rPr>
          <w:tab/>
        </w:r>
        <w:r w:rsidR="00771516">
          <w:rPr>
            <w:noProof/>
            <w:webHidden/>
          </w:rPr>
          <w:fldChar w:fldCharType="begin"/>
        </w:r>
        <w:r w:rsidR="00771516">
          <w:rPr>
            <w:noProof/>
            <w:webHidden/>
          </w:rPr>
          <w:instrText xml:space="preserve"> PAGEREF _Toc83287253 \h </w:instrText>
        </w:r>
        <w:r w:rsidR="00771516">
          <w:rPr>
            <w:noProof/>
            <w:webHidden/>
          </w:rPr>
        </w:r>
        <w:r w:rsidR="00771516">
          <w:rPr>
            <w:noProof/>
            <w:webHidden/>
          </w:rPr>
          <w:fldChar w:fldCharType="separate"/>
        </w:r>
        <w:r w:rsidR="00771516">
          <w:rPr>
            <w:noProof/>
            <w:webHidden/>
          </w:rPr>
          <w:t>4</w:t>
        </w:r>
        <w:r w:rsidR="00771516">
          <w:rPr>
            <w:noProof/>
            <w:webHidden/>
          </w:rPr>
          <w:fldChar w:fldCharType="end"/>
        </w:r>
      </w:hyperlink>
    </w:p>
    <w:p w14:paraId="28681EB6" w14:textId="0AAB16B9" w:rsidR="00771516" w:rsidRDefault="0036231A">
      <w:pPr>
        <w:pStyle w:val="TOC1"/>
        <w:tabs>
          <w:tab w:val="right" w:leader="dot" w:pos="9622"/>
        </w:tabs>
        <w:rPr>
          <w:rFonts w:eastAsiaTheme="minorEastAsia" w:cstheme="minorBidi"/>
          <w:b w:val="0"/>
          <w:bCs w:val="0"/>
          <w:noProof/>
          <w:sz w:val="24"/>
          <w:szCs w:val="24"/>
          <w:lang w:eastAsia="en-GB"/>
        </w:rPr>
      </w:pPr>
      <w:hyperlink w:anchor="_Toc83287254" w:history="1">
        <w:r w:rsidR="00771516" w:rsidRPr="00284124">
          <w:rPr>
            <w:rStyle w:val="Hyperlink"/>
            <w:noProof/>
          </w:rPr>
          <w:t>BACKGROUND</w:t>
        </w:r>
        <w:r w:rsidR="00771516">
          <w:rPr>
            <w:noProof/>
            <w:webHidden/>
          </w:rPr>
          <w:tab/>
        </w:r>
        <w:r w:rsidR="00771516">
          <w:rPr>
            <w:noProof/>
            <w:webHidden/>
          </w:rPr>
          <w:fldChar w:fldCharType="begin"/>
        </w:r>
        <w:r w:rsidR="00771516">
          <w:rPr>
            <w:noProof/>
            <w:webHidden/>
          </w:rPr>
          <w:instrText xml:space="preserve"> PAGEREF _Toc83287254 \h </w:instrText>
        </w:r>
        <w:r w:rsidR="00771516">
          <w:rPr>
            <w:noProof/>
            <w:webHidden/>
          </w:rPr>
        </w:r>
        <w:r w:rsidR="00771516">
          <w:rPr>
            <w:noProof/>
            <w:webHidden/>
          </w:rPr>
          <w:fldChar w:fldCharType="separate"/>
        </w:r>
        <w:r w:rsidR="00771516">
          <w:rPr>
            <w:noProof/>
            <w:webHidden/>
          </w:rPr>
          <w:t>4</w:t>
        </w:r>
        <w:r w:rsidR="00771516">
          <w:rPr>
            <w:noProof/>
            <w:webHidden/>
          </w:rPr>
          <w:fldChar w:fldCharType="end"/>
        </w:r>
      </w:hyperlink>
    </w:p>
    <w:p w14:paraId="3D6EF7F2" w14:textId="5FBDFE2D" w:rsidR="00771516" w:rsidRDefault="0036231A">
      <w:pPr>
        <w:pStyle w:val="TOC1"/>
        <w:tabs>
          <w:tab w:val="right" w:leader="dot" w:pos="9622"/>
        </w:tabs>
        <w:rPr>
          <w:rFonts w:eastAsiaTheme="minorEastAsia" w:cstheme="minorBidi"/>
          <w:b w:val="0"/>
          <w:bCs w:val="0"/>
          <w:noProof/>
          <w:sz w:val="24"/>
          <w:szCs w:val="24"/>
          <w:lang w:eastAsia="en-GB"/>
        </w:rPr>
      </w:pPr>
      <w:hyperlink w:anchor="_Toc83287255" w:history="1">
        <w:r w:rsidR="00771516" w:rsidRPr="00284124">
          <w:rPr>
            <w:rStyle w:val="Hyperlink"/>
            <w:noProof/>
          </w:rPr>
          <w:t>THE CULTURE OF FOI IN VICTORIA</w:t>
        </w:r>
        <w:r w:rsidR="00771516">
          <w:rPr>
            <w:noProof/>
            <w:webHidden/>
          </w:rPr>
          <w:tab/>
        </w:r>
        <w:r w:rsidR="00771516">
          <w:rPr>
            <w:noProof/>
            <w:webHidden/>
          </w:rPr>
          <w:fldChar w:fldCharType="begin"/>
        </w:r>
        <w:r w:rsidR="00771516">
          <w:rPr>
            <w:noProof/>
            <w:webHidden/>
          </w:rPr>
          <w:instrText xml:space="preserve"> PAGEREF _Toc83287255 \h </w:instrText>
        </w:r>
        <w:r w:rsidR="00771516">
          <w:rPr>
            <w:noProof/>
            <w:webHidden/>
          </w:rPr>
        </w:r>
        <w:r w:rsidR="00771516">
          <w:rPr>
            <w:noProof/>
            <w:webHidden/>
          </w:rPr>
          <w:fldChar w:fldCharType="separate"/>
        </w:r>
        <w:r w:rsidR="00771516">
          <w:rPr>
            <w:noProof/>
            <w:webHidden/>
          </w:rPr>
          <w:t>5</w:t>
        </w:r>
        <w:r w:rsidR="00771516">
          <w:rPr>
            <w:noProof/>
            <w:webHidden/>
          </w:rPr>
          <w:fldChar w:fldCharType="end"/>
        </w:r>
      </w:hyperlink>
    </w:p>
    <w:p w14:paraId="652AD1DC" w14:textId="6C67A26B" w:rsidR="00771516" w:rsidRDefault="0036231A">
      <w:pPr>
        <w:pStyle w:val="TOC2"/>
        <w:rPr>
          <w:rFonts w:eastAsiaTheme="minorEastAsia" w:cstheme="minorBidi"/>
          <w:sz w:val="24"/>
          <w:szCs w:val="24"/>
          <w:lang w:eastAsia="en-GB"/>
        </w:rPr>
      </w:pPr>
      <w:hyperlink w:anchor="_Toc83287256" w:history="1">
        <w:r w:rsidR="00771516" w:rsidRPr="00284124">
          <w:rPr>
            <w:rStyle w:val="Hyperlink"/>
          </w:rPr>
          <w:t>The FOI Act</w:t>
        </w:r>
        <w:r w:rsidR="00771516">
          <w:rPr>
            <w:webHidden/>
          </w:rPr>
          <w:tab/>
        </w:r>
        <w:r w:rsidR="00771516">
          <w:rPr>
            <w:webHidden/>
          </w:rPr>
          <w:fldChar w:fldCharType="begin"/>
        </w:r>
        <w:r w:rsidR="00771516">
          <w:rPr>
            <w:webHidden/>
          </w:rPr>
          <w:instrText xml:space="preserve"> PAGEREF _Toc83287256 \h </w:instrText>
        </w:r>
        <w:r w:rsidR="00771516">
          <w:rPr>
            <w:webHidden/>
          </w:rPr>
        </w:r>
        <w:r w:rsidR="00771516">
          <w:rPr>
            <w:webHidden/>
          </w:rPr>
          <w:fldChar w:fldCharType="separate"/>
        </w:r>
        <w:r w:rsidR="00771516">
          <w:rPr>
            <w:webHidden/>
          </w:rPr>
          <w:t>5</w:t>
        </w:r>
        <w:r w:rsidR="00771516">
          <w:rPr>
            <w:webHidden/>
          </w:rPr>
          <w:fldChar w:fldCharType="end"/>
        </w:r>
      </w:hyperlink>
    </w:p>
    <w:p w14:paraId="36C1C1AF" w14:textId="71509D72" w:rsidR="00771516" w:rsidRDefault="0036231A">
      <w:pPr>
        <w:pStyle w:val="TOC2"/>
        <w:rPr>
          <w:rFonts w:eastAsiaTheme="minorEastAsia" w:cstheme="minorBidi"/>
          <w:sz w:val="24"/>
          <w:szCs w:val="24"/>
          <w:lang w:eastAsia="en-GB"/>
        </w:rPr>
      </w:pPr>
      <w:hyperlink w:anchor="_Toc83287257" w:history="1">
        <w:r w:rsidR="00771516" w:rsidRPr="00284124">
          <w:rPr>
            <w:rStyle w:val="Hyperlink"/>
          </w:rPr>
          <w:t>Agencies understand the purpose and aim of FOI in Victoria</w:t>
        </w:r>
        <w:r w:rsidR="00771516">
          <w:rPr>
            <w:webHidden/>
          </w:rPr>
          <w:tab/>
        </w:r>
        <w:r w:rsidR="00771516">
          <w:rPr>
            <w:webHidden/>
          </w:rPr>
          <w:fldChar w:fldCharType="begin"/>
        </w:r>
        <w:r w:rsidR="00771516">
          <w:rPr>
            <w:webHidden/>
          </w:rPr>
          <w:instrText xml:space="preserve"> PAGEREF _Toc83287257 \h </w:instrText>
        </w:r>
        <w:r w:rsidR="00771516">
          <w:rPr>
            <w:webHidden/>
          </w:rPr>
        </w:r>
        <w:r w:rsidR="00771516">
          <w:rPr>
            <w:webHidden/>
          </w:rPr>
          <w:fldChar w:fldCharType="separate"/>
        </w:r>
        <w:r w:rsidR="00771516">
          <w:rPr>
            <w:webHidden/>
          </w:rPr>
          <w:t>6</w:t>
        </w:r>
        <w:r w:rsidR="00771516">
          <w:rPr>
            <w:webHidden/>
          </w:rPr>
          <w:fldChar w:fldCharType="end"/>
        </w:r>
      </w:hyperlink>
    </w:p>
    <w:p w14:paraId="42302B78" w14:textId="3CF3C537" w:rsidR="00771516" w:rsidRDefault="0036231A">
      <w:pPr>
        <w:pStyle w:val="TOC2"/>
        <w:rPr>
          <w:rFonts w:eastAsiaTheme="minorEastAsia" w:cstheme="minorBidi"/>
          <w:sz w:val="24"/>
          <w:szCs w:val="24"/>
          <w:lang w:eastAsia="en-GB"/>
        </w:rPr>
      </w:pPr>
      <w:hyperlink w:anchor="_Toc83287258" w:history="1">
        <w:r w:rsidR="00771516" w:rsidRPr="00284124">
          <w:rPr>
            <w:rStyle w:val="Hyperlink"/>
          </w:rPr>
          <w:t>Challenges with administering FOI in Victoria</w:t>
        </w:r>
        <w:r w:rsidR="00771516">
          <w:rPr>
            <w:webHidden/>
          </w:rPr>
          <w:tab/>
        </w:r>
        <w:r w:rsidR="00771516">
          <w:rPr>
            <w:webHidden/>
          </w:rPr>
          <w:fldChar w:fldCharType="begin"/>
        </w:r>
        <w:r w:rsidR="00771516">
          <w:rPr>
            <w:webHidden/>
          </w:rPr>
          <w:instrText xml:space="preserve"> PAGEREF _Toc83287258 \h </w:instrText>
        </w:r>
        <w:r w:rsidR="00771516">
          <w:rPr>
            <w:webHidden/>
          </w:rPr>
        </w:r>
        <w:r w:rsidR="00771516">
          <w:rPr>
            <w:webHidden/>
          </w:rPr>
          <w:fldChar w:fldCharType="separate"/>
        </w:r>
        <w:r w:rsidR="00771516">
          <w:rPr>
            <w:webHidden/>
          </w:rPr>
          <w:t>6</w:t>
        </w:r>
        <w:r w:rsidR="00771516">
          <w:rPr>
            <w:webHidden/>
          </w:rPr>
          <w:fldChar w:fldCharType="end"/>
        </w:r>
      </w:hyperlink>
    </w:p>
    <w:p w14:paraId="4D006CB7" w14:textId="376FB937" w:rsidR="00771516" w:rsidRDefault="0036231A">
      <w:pPr>
        <w:pStyle w:val="TOC2"/>
        <w:rPr>
          <w:rFonts w:eastAsiaTheme="minorEastAsia" w:cstheme="minorBidi"/>
          <w:sz w:val="24"/>
          <w:szCs w:val="24"/>
          <w:lang w:eastAsia="en-GB"/>
        </w:rPr>
      </w:pPr>
      <w:hyperlink w:anchor="_Toc83287259" w:history="1">
        <w:r w:rsidR="00771516" w:rsidRPr="00284124">
          <w:rPr>
            <w:rStyle w:val="Hyperlink"/>
          </w:rPr>
          <w:t>There is a strong will to make FOI in Victoria work better</w:t>
        </w:r>
        <w:r w:rsidR="00771516">
          <w:rPr>
            <w:webHidden/>
          </w:rPr>
          <w:tab/>
        </w:r>
        <w:r w:rsidR="00771516">
          <w:rPr>
            <w:webHidden/>
          </w:rPr>
          <w:fldChar w:fldCharType="begin"/>
        </w:r>
        <w:r w:rsidR="00771516">
          <w:rPr>
            <w:webHidden/>
          </w:rPr>
          <w:instrText xml:space="preserve"> PAGEREF _Toc83287259 \h </w:instrText>
        </w:r>
        <w:r w:rsidR="00771516">
          <w:rPr>
            <w:webHidden/>
          </w:rPr>
        </w:r>
        <w:r w:rsidR="00771516">
          <w:rPr>
            <w:webHidden/>
          </w:rPr>
          <w:fldChar w:fldCharType="separate"/>
        </w:r>
        <w:r w:rsidR="00771516">
          <w:rPr>
            <w:webHidden/>
          </w:rPr>
          <w:t>8</w:t>
        </w:r>
        <w:r w:rsidR="00771516">
          <w:rPr>
            <w:webHidden/>
          </w:rPr>
          <w:fldChar w:fldCharType="end"/>
        </w:r>
      </w:hyperlink>
    </w:p>
    <w:p w14:paraId="24578552" w14:textId="545932A2" w:rsidR="00771516" w:rsidRDefault="0036231A">
      <w:pPr>
        <w:pStyle w:val="TOC1"/>
        <w:tabs>
          <w:tab w:val="right" w:leader="dot" w:pos="9622"/>
        </w:tabs>
        <w:rPr>
          <w:rFonts w:eastAsiaTheme="minorEastAsia" w:cstheme="minorBidi"/>
          <w:b w:val="0"/>
          <w:bCs w:val="0"/>
          <w:noProof/>
          <w:sz w:val="24"/>
          <w:szCs w:val="24"/>
          <w:lang w:eastAsia="en-GB"/>
        </w:rPr>
      </w:pPr>
      <w:hyperlink w:anchor="_Toc83287260" w:history="1">
        <w:r w:rsidR="00771516" w:rsidRPr="00284124">
          <w:rPr>
            <w:rStyle w:val="Hyperlink"/>
            <w:noProof/>
          </w:rPr>
          <w:t>INFLUENCING BEHAVIOUR TO ENHANCE PROACTIVE AND INFORMAL RELEASE</w:t>
        </w:r>
        <w:r w:rsidR="00771516">
          <w:rPr>
            <w:noProof/>
            <w:webHidden/>
          </w:rPr>
          <w:tab/>
        </w:r>
        <w:r w:rsidR="00771516">
          <w:rPr>
            <w:noProof/>
            <w:webHidden/>
          </w:rPr>
          <w:fldChar w:fldCharType="begin"/>
        </w:r>
        <w:r w:rsidR="00771516">
          <w:rPr>
            <w:noProof/>
            <w:webHidden/>
          </w:rPr>
          <w:instrText xml:space="preserve"> PAGEREF _Toc83287260 \h </w:instrText>
        </w:r>
        <w:r w:rsidR="00771516">
          <w:rPr>
            <w:noProof/>
            <w:webHidden/>
          </w:rPr>
        </w:r>
        <w:r w:rsidR="00771516">
          <w:rPr>
            <w:noProof/>
            <w:webHidden/>
          </w:rPr>
          <w:fldChar w:fldCharType="separate"/>
        </w:r>
        <w:r w:rsidR="00771516">
          <w:rPr>
            <w:noProof/>
            <w:webHidden/>
          </w:rPr>
          <w:t>9</w:t>
        </w:r>
        <w:r w:rsidR="00771516">
          <w:rPr>
            <w:noProof/>
            <w:webHidden/>
          </w:rPr>
          <w:fldChar w:fldCharType="end"/>
        </w:r>
      </w:hyperlink>
    </w:p>
    <w:p w14:paraId="4CA2504A" w14:textId="2923CE37" w:rsidR="00771516" w:rsidRDefault="0036231A">
      <w:pPr>
        <w:pStyle w:val="TOC2"/>
        <w:rPr>
          <w:rFonts w:eastAsiaTheme="minorEastAsia" w:cstheme="minorBidi"/>
          <w:sz w:val="24"/>
          <w:szCs w:val="24"/>
          <w:lang w:eastAsia="en-GB"/>
        </w:rPr>
      </w:pPr>
      <w:hyperlink w:anchor="_Toc83287261" w:history="1">
        <w:r w:rsidR="00771516" w:rsidRPr="00284124">
          <w:rPr>
            <w:rStyle w:val="Hyperlink"/>
          </w:rPr>
          <w:t>Conditions required to enhance proactive and informal release behaviour</w:t>
        </w:r>
        <w:r w:rsidR="00771516">
          <w:rPr>
            <w:webHidden/>
          </w:rPr>
          <w:tab/>
        </w:r>
        <w:r w:rsidR="00771516">
          <w:rPr>
            <w:webHidden/>
          </w:rPr>
          <w:fldChar w:fldCharType="begin"/>
        </w:r>
        <w:r w:rsidR="00771516">
          <w:rPr>
            <w:webHidden/>
          </w:rPr>
          <w:instrText xml:space="preserve"> PAGEREF _Toc83287261 \h </w:instrText>
        </w:r>
        <w:r w:rsidR="00771516">
          <w:rPr>
            <w:webHidden/>
          </w:rPr>
        </w:r>
        <w:r w:rsidR="00771516">
          <w:rPr>
            <w:webHidden/>
          </w:rPr>
          <w:fldChar w:fldCharType="separate"/>
        </w:r>
        <w:r w:rsidR="00771516">
          <w:rPr>
            <w:webHidden/>
          </w:rPr>
          <w:t>10</w:t>
        </w:r>
        <w:r w:rsidR="00771516">
          <w:rPr>
            <w:webHidden/>
          </w:rPr>
          <w:fldChar w:fldCharType="end"/>
        </w:r>
      </w:hyperlink>
    </w:p>
    <w:p w14:paraId="09EEF4E3" w14:textId="1DED7A81" w:rsidR="00771516" w:rsidRDefault="0036231A">
      <w:pPr>
        <w:pStyle w:val="TOC1"/>
        <w:tabs>
          <w:tab w:val="right" w:leader="dot" w:pos="9622"/>
        </w:tabs>
        <w:rPr>
          <w:rFonts w:eastAsiaTheme="minorEastAsia" w:cstheme="minorBidi"/>
          <w:b w:val="0"/>
          <w:bCs w:val="0"/>
          <w:noProof/>
          <w:sz w:val="24"/>
          <w:szCs w:val="24"/>
          <w:lang w:eastAsia="en-GB"/>
        </w:rPr>
      </w:pPr>
      <w:hyperlink w:anchor="_Toc83287262" w:history="1">
        <w:r w:rsidR="00771516" w:rsidRPr="00284124">
          <w:rPr>
            <w:rStyle w:val="Hyperlink"/>
            <w:noProof/>
          </w:rPr>
          <w:t>OVIC’S ROLE IN INFLUENCING BEHAVIOUR: RECOMMENDED ACTIONS</w:t>
        </w:r>
        <w:r w:rsidR="00771516">
          <w:rPr>
            <w:noProof/>
            <w:webHidden/>
          </w:rPr>
          <w:tab/>
        </w:r>
        <w:r w:rsidR="00771516">
          <w:rPr>
            <w:noProof/>
            <w:webHidden/>
          </w:rPr>
          <w:fldChar w:fldCharType="begin"/>
        </w:r>
        <w:r w:rsidR="00771516">
          <w:rPr>
            <w:noProof/>
            <w:webHidden/>
          </w:rPr>
          <w:instrText xml:space="preserve"> PAGEREF _Toc83287262 \h </w:instrText>
        </w:r>
        <w:r w:rsidR="00771516">
          <w:rPr>
            <w:noProof/>
            <w:webHidden/>
          </w:rPr>
        </w:r>
        <w:r w:rsidR="00771516">
          <w:rPr>
            <w:noProof/>
            <w:webHidden/>
          </w:rPr>
          <w:fldChar w:fldCharType="separate"/>
        </w:r>
        <w:r w:rsidR="00771516">
          <w:rPr>
            <w:noProof/>
            <w:webHidden/>
          </w:rPr>
          <w:t>11</w:t>
        </w:r>
        <w:r w:rsidR="00771516">
          <w:rPr>
            <w:noProof/>
            <w:webHidden/>
          </w:rPr>
          <w:fldChar w:fldCharType="end"/>
        </w:r>
      </w:hyperlink>
    </w:p>
    <w:p w14:paraId="2F355F50" w14:textId="18D9BB8D" w:rsidR="00771516" w:rsidRDefault="0036231A">
      <w:pPr>
        <w:pStyle w:val="TOC2"/>
        <w:rPr>
          <w:rFonts w:eastAsiaTheme="minorEastAsia" w:cstheme="minorBidi"/>
          <w:sz w:val="24"/>
          <w:szCs w:val="24"/>
          <w:lang w:eastAsia="en-GB"/>
        </w:rPr>
      </w:pPr>
      <w:hyperlink w:anchor="_Toc83287263" w:history="1">
        <w:r w:rsidR="00771516" w:rsidRPr="00284124">
          <w:rPr>
            <w:rStyle w:val="Hyperlink"/>
          </w:rPr>
          <w:t>OVIC action plan for proactive and informal release</w:t>
        </w:r>
        <w:r w:rsidR="00771516">
          <w:rPr>
            <w:webHidden/>
          </w:rPr>
          <w:tab/>
        </w:r>
        <w:r w:rsidR="00771516">
          <w:rPr>
            <w:webHidden/>
          </w:rPr>
          <w:fldChar w:fldCharType="begin"/>
        </w:r>
        <w:r w:rsidR="00771516">
          <w:rPr>
            <w:webHidden/>
          </w:rPr>
          <w:instrText xml:space="preserve"> PAGEREF _Toc83287263 \h </w:instrText>
        </w:r>
        <w:r w:rsidR="00771516">
          <w:rPr>
            <w:webHidden/>
          </w:rPr>
        </w:r>
        <w:r w:rsidR="00771516">
          <w:rPr>
            <w:webHidden/>
          </w:rPr>
          <w:fldChar w:fldCharType="separate"/>
        </w:r>
        <w:r w:rsidR="00771516">
          <w:rPr>
            <w:webHidden/>
          </w:rPr>
          <w:t>11</w:t>
        </w:r>
        <w:r w:rsidR="00771516">
          <w:rPr>
            <w:webHidden/>
          </w:rPr>
          <w:fldChar w:fldCharType="end"/>
        </w:r>
      </w:hyperlink>
    </w:p>
    <w:p w14:paraId="2D965868" w14:textId="369C8BF0" w:rsidR="00771516" w:rsidRDefault="0036231A">
      <w:pPr>
        <w:pStyle w:val="TOC2"/>
        <w:rPr>
          <w:rFonts w:eastAsiaTheme="minorEastAsia" w:cstheme="minorBidi"/>
          <w:sz w:val="24"/>
          <w:szCs w:val="24"/>
          <w:lang w:eastAsia="en-GB"/>
        </w:rPr>
      </w:pPr>
      <w:hyperlink w:anchor="_Toc83287264" w:history="1">
        <w:r w:rsidR="00771516" w:rsidRPr="00284124">
          <w:rPr>
            <w:rStyle w:val="Hyperlink"/>
          </w:rPr>
          <w:t>Education and training</w:t>
        </w:r>
        <w:r w:rsidR="00771516">
          <w:rPr>
            <w:webHidden/>
          </w:rPr>
          <w:tab/>
        </w:r>
        <w:r w:rsidR="00771516">
          <w:rPr>
            <w:webHidden/>
          </w:rPr>
          <w:fldChar w:fldCharType="begin"/>
        </w:r>
        <w:r w:rsidR="00771516">
          <w:rPr>
            <w:webHidden/>
          </w:rPr>
          <w:instrText xml:space="preserve"> PAGEREF _Toc83287264 \h </w:instrText>
        </w:r>
        <w:r w:rsidR="00771516">
          <w:rPr>
            <w:webHidden/>
          </w:rPr>
        </w:r>
        <w:r w:rsidR="00771516">
          <w:rPr>
            <w:webHidden/>
          </w:rPr>
          <w:fldChar w:fldCharType="separate"/>
        </w:r>
        <w:r w:rsidR="00771516">
          <w:rPr>
            <w:webHidden/>
          </w:rPr>
          <w:t>12</w:t>
        </w:r>
        <w:r w:rsidR="00771516">
          <w:rPr>
            <w:webHidden/>
          </w:rPr>
          <w:fldChar w:fldCharType="end"/>
        </w:r>
      </w:hyperlink>
    </w:p>
    <w:p w14:paraId="7BCA472C" w14:textId="069117B2" w:rsidR="00771516" w:rsidRDefault="0036231A">
      <w:pPr>
        <w:pStyle w:val="TOC2"/>
        <w:rPr>
          <w:rFonts w:eastAsiaTheme="minorEastAsia" w:cstheme="minorBidi"/>
          <w:sz w:val="24"/>
          <w:szCs w:val="24"/>
          <w:lang w:eastAsia="en-GB"/>
        </w:rPr>
      </w:pPr>
      <w:hyperlink w:anchor="_Toc83287265" w:history="1">
        <w:r w:rsidR="00771516" w:rsidRPr="00284124">
          <w:rPr>
            <w:rStyle w:val="Hyperlink"/>
          </w:rPr>
          <w:t>Stakeholder engagement</w:t>
        </w:r>
        <w:r w:rsidR="00771516">
          <w:rPr>
            <w:webHidden/>
          </w:rPr>
          <w:tab/>
        </w:r>
        <w:r w:rsidR="00771516">
          <w:rPr>
            <w:webHidden/>
          </w:rPr>
          <w:fldChar w:fldCharType="begin"/>
        </w:r>
        <w:r w:rsidR="00771516">
          <w:rPr>
            <w:webHidden/>
          </w:rPr>
          <w:instrText xml:space="preserve"> PAGEREF _Toc83287265 \h </w:instrText>
        </w:r>
        <w:r w:rsidR="00771516">
          <w:rPr>
            <w:webHidden/>
          </w:rPr>
        </w:r>
        <w:r w:rsidR="00771516">
          <w:rPr>
            <w:webHidden/>
          </w:rPr>
          <w:fldChar w:fldCharType="separate"/>
        </w:r>
        <w:r w:rsidR="00771516">
          <w:rPr>
            <w:webHidden/>
          </w:rPr>
          <w:t>13</w:t>
        </w:r>
        <w:r w:rsidR="00771516">
          <w:rPr>
            <w:webHidden/>
          </w:rPr>
          <w:fldChar w:fldCharType="end"/>
        </w:r>
      </w:hyperlink>
    </w:p>
    <w:p w14:paraId="1A19686F" w14:textId="643D0C3D" w:rsidR="00771516" w:rsidRDefault="0036231A">
      <w:pPr>
        <w:pStyle w:val="TOC2"/>
        <w:rPr>
          <w:rFonts w:eastAsiaTheme="minorEastAsia" w:cstheme="minorBidi"/>
          <w:sz w:val="24"/>
          <w:szCs w:val="24"/>
          <w:lang w:eastAsia="en-GB"/>
        </w:rPr>
      </w:pPr>
      <w:hyperlink w:anchor="_Toc83287266" w:history="1">
        <w:r w:rsidR="00771516" w:rsidRPr="00284124">
          <w:rPr>
            <w:rStyle w:val="Hyperlink"/>
          </w:rPr>
          <w:t>Promotion</w:t>
        </w:r>
        <w:r w:rsidR="00771516">
          <w:rPr>
            <w:webHidden/>
          </w:rPr>
          <w:tab/>
        </w:r>
        <w:r w:rsidR="00771516">
          <w:rPr>
            <w:webHidden/>
          </w:rPr>
          <w:fldChar w:fldCharType="begin"/>
        </w:r>
        <w:r w:rsidR="00771516">
          <w:rPr>
            <w:webHidden/>
          </w:rPr>
          <w:instrText xml:space="preserve"> PAGEREF _Toc83287266 \h </w:instrText>
        </w:r>
        <w:r w:rsidR="00771516">
          <w:rPr>
            <w:webHidden/>
          </w:rPr>
        </w:r>
        <w:r w:rsidR="00771516">
          <w:rPr>
            <w:webHidden/>
          </w:rPr>
          <w:fldChar w:fldCharType="separate"/>
        </w:r>
        <w:r w:rsidR="00771516">
          <w:rPr>
            <w:webHidden/>
          </w:rPr>
          <w:t>14</w:t>
        </w:r>
        <w:r w:rsidR="00771516">
          <w:rPr>
            <w:webHidden/>
          </w:rPr>
          <w:fldChar w:fldCharType="end"/>
        </w:r>
      </w:hyperlink>
    </w:p>
    <w:p w14:paraId="5BC83121" w14:textId="3F77B9FA" w:rsidR="00771516" w:rsidRDefault="0036231A">
      <w:pPr>
        <w:pStyle w:val="TOC2"/>
        <w:rPr>
          <w:rFonts w:eastAsiaTheme="minorEastAsia" w:cstheme="minorBidi"/>
          <w:sz w:val="24"/>
          <w:szCs w:val="24"/>
          <w:lang w:eastAsia="en-GB"/>
        </w:rPr>
      </w:pPr>
      <w:hyperlink w:anchor="_Toc83287267" w:history="1">
        <w:r w:rsidR="00771516" w:rsidRPr="00284124">
          <w:rPr>
            <w:rStyle w:val="Hyperlink"/>
          </w:rPr>
          <w:t>Monitor agency needs and progress</w:t>
        </w:r>
        <w:r w:rsidR="00771516">
          <w:rPr>
            <w:webHidden/>
          </w:rPr>
          <w:tab/>
        </w:r>
        <w:r w:rsidR="00771516">
          <w:rPr>
            <w:webHidden/>
          </w:rPr>
          <w:fldChar w:fldCharType="begin"/>
        </w:r>
        <w:r w:rsidR="00771516">
          <w:rPr>
            <w:webHidden/>
          </w:rPr>
          <w:instrText xml:space="preserve"> PAGEREF _Toc83287267 \h </w:instrText>
        </w:r>
        <w:r w:rsidR="00771516">
          <w:rPr>
            <w:webHidden/>
          </w:rPr>
        </w:r>
        <w:r w:rsidR="00771516">
          <w:rPr>
            <w:webHidden/>
          </w:rPr>
          <w:fldChar w:fldCharType="separate"/>
        </w:r>
        <w:r w:rsidR="00771516">
          <w:rPr>
            <w:webHidden/>
          </w:rPr>
          <w:t>15</w:t>
        </w:r>
        <w:r w:rsidR="00771516">
          <w:rPr>
            <w:webHidden/>
          </w:rPr>
          <w:fldChar w:fldCharType="end"/>
        </w:r>
      </w:hyperlink>
    </w:p>
    <w:p w14:paraId="2A11B1C8" w14:textId="54CE948F" w:rsidR="00771516" w:rsidRDefault="0036231A">
      <w:pPr>
        <w:pStyle w:val="TOC2"/>
        <w:rPr>
          <w:rFonts w:eastAsiaTheme="minorEastAsia" w:cstheme="minorBidi"/>
          <w:sz w:val="24"/>
          <w:szCs w:val="24"/>
          <w:lang w:eastAsia="en-GB"/>
        </w:rPr>
      </w:pPr>
      <w:hyperlink w:anchor="_Toc83287268" w:history="1">
        <w:r w:rsidR="00771516" w:rsidRPr="00284124">
          <w:rPr>
            <w:rStyle w:val="Hyperlink"/>
          </w:rPr>
          <w:t>Recommendations not considered in this paper</w:t>
        </w:r>
        <w:r w:rsidR="00771516">
          <w:rPr>
            <w:webHidden/>
          </w:rPr>
          <w:tab/>
        </w:r>
        <w:r w:rsidR="00771516">
          <w:rPr>
            <w:webHidden/>
          </w:rPr>
          <w:fldChar w:fldCharType="begin"/>
        </w:r>
        <w:r w:rsidR="00771516">
          <w:rPr>
            <w:webHidden/>
          </w:rPr>
          <w:instrText xml:space="preserve"> PAGEREF _Toc83287268 \h </w:instrText>
        </w:r>
        <w:r w:rsidR="00771516">
          <w:rPr>
            <w:webHidden/>
          </w:rPr>
        </w:r>
        <w:r w:rsidR="00771516">
          <w:rPr>
            <w:webHidden/>
          </w:rPr>
          <w:fldChar w:fldCharType="separate"/>
        </w:r>
        <w:r w:rsidR="00771516">
          <w:rPr>
            <w:webHidden/>
          </w:rPr>
          <w:t>15</w:t>
        </w:r>
        <w:r w:rsidR="00771516">
          <w:rPr>
            <w:webHidden/>
          </w:rPr>
          <w:fldChar w:fldCharType="end"/>
        </w:r>
      </w:hyperlink>
    </w:p>
    <w:p w14:paraId="03DE03A0" w14:textId="542B2DDE" w:rsidR="00771516" w:rsidRDefault="0036231A">
      <w:pPr>
        <w:pStyle w:val="TOC1"/>
        <w:tabs>
          <w:tab w:val="right" w:leader="dot" w:pos="9622"/>
        </w:tabs>
        <w:rPr>
          <w:rFonts w:eastAsiaTheme="minorEastAsia" w:cstheme="minorBidi"/>
          <w:b w:val="0"/>
          <w:bCs w:val="0"/>
          <w:noProof/>
          <w:sz w:val="24"/>
          <w:szCs w:val="24"/>
          <w:lang w:eastAsia="en-GB"/>
        </w:rPr>
      </w:pPr>
      <w:hyperlink w:anchor="_Toc83287269" w:history="1">
        <w:r w:rsidR="00771516" w:rsidRPr="00284124">
          <w:rPr>
            <w:rStyle w:val="Hyperlink"/>
            <w:noProof/>
          </w:rPr>
          <w:t>CONCLUSION</w:t>
        </w:r>
        <w:r w:rsidR="00771516">
          <w:rPr>
            <w:noProof/>
            <w:webHidden/>
          </w:rPr>
          <w:tab/>
        </w:r>
        <w:r w:rsidR="00771516">
          <w:rPr>
            <w:noProof/>
            <w:webHidden/>
          </w:rPr>
          <w:fldChar w:fldCharType="begin"/>
        </w:r>
        <w:r w:rsidR="00771516">
          <w:rPr>
            <w:noProof/>
            <w:webHidden/>
          </w:rPr>
          <w:instrText xml:space="preserve"> PAGEREF _Toc83287269 \h </w:instrText>
        </w:r>
        <w:r w:rsidR="00771516">
          <w:rPr>
            <w:noProof/>
            <w:webHidden/>
          </w:rPr>
        </w:r>
        <w:r w:rsidR="00771516">
          <w:rPr>
            <w:noProof/>
            <w:webHidden/>
          </w:rPr>
          <w:fldChar w:fldCharType="separate"/>
        </w:r>
        <w:r w:rsidR="00771516">
          <w:rPr>
            <w:noProof/>
            <w:webHidden/>
          </w:rPr>
          <w:t>16</w:t>
        </w:r>
        <w:r w:rsidR="00771516">
          <w:rPr>
            <w:noProof/>
            <w:webHidden/>
          </w:rPr>
          <w:fldChar w:fldCharType="end"/>
        </w:r>
      </w:hyperlink>
    </w:p>
    <w:p w14:paraId="3E650409" w14:textId="773DCCEA" w:rsidR="004820B2" w:rsidRPr="000F73B5" w:rsidRDefault="004F4ED5" w:rsidP="006B1CF3">
      <w:pPr>
        <w:pStyle w:val="OVICQuote"/>
        <w:spacing w:before="120" w:after="200"/>
        <w:rPr>
          <w:lang w:val="en-AU"/>
        </w:rPr>
      </w:pPr>
      <w:r w:rsidRPr="000F73B5">
        <w:rPr>
          <w:color w:val="000000"/>
          <w:sz w:val="22"/>
          <w:szCs w:val="22"/>
          <w:lang w:val="en-AU"/>
        </w:rPr>
        <w:fldChar w:fldCharType="end"/>
      </w:r>
      <w:bookmarkStart w:id="0" w:name="_Toc532399298"/>
      <w:r w:rsidRPr="000F73B5">
        <w:rPr>
          <w:lang w:val="en-AU"/>
        </w:rPr>
        <w:br w:type="page"/>
      </w:r>
    </w:p>
    <w:p w14:paraId="06705944" w14:textId="3EF1F62D" w:rsidR="00AE59D6" w:rsidRPr="000F73B5" w:rsidRDefault="00220B67" w:rsidP="001548BD">
      <w:pPr>
        <w:pStyle w:val="Heading-1"/>
      </w:pPr>
      <w:bookmarkStart w:id="1" w:name="_Toc83287251"/>
      <w:r w:rsidRPr="000F73B5">
        <w:lastRenderedPageBreak/>
        <w:t>EXECUTIVE SUMMARY</w:t>
      </w:r>
      <w:bookmarkEnd w:id="1"/>
    </w:p>
    <w:p w14:paraId="3C5A2257" w14:textId="28C11999" w:rsidR="00BC0D1F" w:rsidRPr="000F73B5" w:rsidRDefault="007A4B90" w:rsidP="000A230E">
      <w:pPr>
        <w:pStyle w:val="Body"/>
      </w:pPr>
      <w:r w:rsidRPr="000F73B5">
        <w:t>Since 2019, t</w:t>
      </w:r>
      <w:r w:rsidR="00BC0D1F" w:rsidRPr="000F73B5">
        <w:t>he Office of the Victorian Information Commissioner (</w:t>
      </w:r>
      <w:r w:rsidR="00BC0D1F" w:rsidRPr="000F73B5">
        <w:rPr>
          <w:b/>
          <w:bCs/>
        </w:rPr>
        <w:t>OVIC</w:t>
      </w:r>
      <w:r w:rsidR="00BC0D1F" w:rsidRPr="000F73B5">
        <w:t>)</w:t>
      </w:r>
      <w:r w:rsidR="007C7B26" w:rsidRPr="000F73B5">
        <w:t xml:space="preserve"> has</w:t>
      </w:r>
      <w:r w:rsidRPr="000F73B5">
        <w:t xml:space="preserve"> </w:t>
      </w:r>
      <w:r w:rsidR="00162EAA">
        <w:t>undertaken</w:t>
      </w:r>
      <w:r w:rsidRPr="000F73B5">
        <w:t xml:space="preserve"> several research </w:t>
      </w:r>
      <w:r w:rsidR="00EE18B5">
        <w:t xml:space="preserve">projects </w:t>
      </w:r>
      <w:r w:rsidRPr="000F73B5">
        <w:t>to better understand freedom of information (</w:t>
      </w:r>
      <w:r w:rsidRPr="000F73B5">
        <w:rPr>
          <w:b/>
          <w:bCs/>
        </w:rPr>
        <w:t>FOI</w:t>
      </w:r>
      <w:r w:rsidRPr="000F73B5">
        <w:t>) culture in Victoria</w:t>
      </w:r>
      <w:r w:rsidR="00162EAA">
        <w:t xml:space="preserve">. The aim of these projects has been to develop strategies to effect cultural change, </w:t>
      </w:r>
      <w:r w:rsidR="00D21261" w:rsidRPr="000F73B5">
        <w:t>increase transparency</w:t>
      </w:r>
      <w:r w:rsidR="00162EAA">
        <w:t>,</w:t>
      </w:r>
      <w:r w:rsidR="00D21261" w:rsidRPr="000F73B5">
        <w:t xml:space="preserve"> and </w:t>
      </w:r>
      <w:r w:rsidR="00162EAA">
        <w:t xml:space="preserve">enhance </w:t>
      </w:r>
      <w:r w:rsidR="00D21261" w:rsidRPr="000F73B5">
        <w:t>the public’s right to</w:t>
      </w:r>
      <w:r w:rsidR="000658C7" w:rsidRPr="000F73B5">
        <w:t xml:space="preserve"> seek access to</w:t>
      </w:r>
      <w:r w:rsidR="00D21261" w:rsidRPr="000F73B5">
        <w:t xml:space="preserve"> informatio</w:t>
      </w:r>
      <w:r w:rsidR="000658C7" w:rsidRPr="000F73B5">
        <w:t>n</w:t>
      </w:r>
      <w:r w:rsidR="00474AC8" w:rsidRPr="000F73B5">
        <w:t xml:space="preserve">. </w:t>
      </w:r>
    </w:p>
    <w:p w14:paraId="7D5A7819" w14:textId="77777777" w:rsidR="00D21F8B" w:rsidRPr="000F73B5" w:rsidRDefault="00D21F8B" w:rsidP="000A230E">
      <w:pPr>
        <w:pStyle w:val="Body"/>
      </w:pPr>
      <w:r w:rsidRPr="000F73B5">
        <w:t xml:space="preserve">This work highlights </w:t>
      </w:r>
      <w:r w:rsidR="00474AC8" w:rsidRPr="000F73B5">
        <w:t>FOI in Victoria functions well</w:t>
      </w:r>
      <w:r w:rsidRPr="000F73B5">
        <w:t xml:space="preserve">, but it should be better. </w:t>
      </w:r>
    </w:p>
    <w:p w14:paraId="31323B70" w14:textId="1B81B59F" w:rsidR="00474AC8" w:rsidRPr="000F73B5" w:rsidRDefault="00D21F8B" w:rsidP="000A230E">
      <w:pPr>
        <w:pStyle w:val="Body"/>
      </w:pPr>
      <w:r w:rsidRPr="000F73B5">
        <w:t>A</w:t>
      </w:r>
      <w:r w:rsidR="00474AC8" w:rsidRPr="000F73B5">
        <w:t xml:space="preserve">gencies </w:t>
      </w:r>
      <w:r w:rsidRPr="000F73B5">
        <w:t xml:space="preserve">(FOI practitioners and Principal Officers) </w:t>
      </w:r>
      <w:r w:rsidR="00474AC8" w:rsidRPr="000F73B5">
        <w:t xml:space="preserve">understand </w:t>
      </w:r>
      <w:r w:rsidRPr="000F73B5">
        <w:t xml:space="preserve">that </w:t>
      </w:r>
      <w:r w:rsidR="00474AC8" w:rsidRPr="000F73B5">
        <w:t xml:space="preserve">the purpose and intent of the </w:t>
      </w:r>
      <w:r w:rsidR="00C43A60" w:rsidRPr="000F73B5">
        <w:rPr>
          <w:i/>
          <w:iCs/>
        </w:rPr>
        <w:t>Freedom of Information Act 1982</w:t>
      </w:r>
      <w:r w:rsidR="00C43A60" w:rsidRPr="000F73B5">
        <w:t xml:space="preserve"> (</w:t>
      </w:r>
      <w:r w:rsidR="00C43A60" w:rsidRPr="000F73B5">
        <w:rPr>
          <w:b/>
          <w:bCs/>
        </w:rPr>
        <w:t>the Act</w:t>
      </w:r>
      <w:r w:rsidR="00C43A60" w:rsidRPr="000F73B5">
        <w:t>)</w:t>
      </w:r>
      <w:r w:rsidR="007C7B26" w:rsidRPr="000F73B5">
        <w:t xml:space="preserve"> is</w:t>
      </w:r>
      <w:r w:rsidR="00C43A60" w:rsidRPr="000F73B5">
        <w:t xml:space="preserve"> to facilitate access to information promptly and inexpensively. </w:t>
      </w:r>
      <w:r w:rsidR="003B2059" w:rsidRPr="000F73B5">
        <w:t>They</w:t>
      </w:r>
      <w:r w:rsidR="00C43A60" w:rsidRPr="000F73B5">
        <w:t xml:space="preserve"> also understand that proactive and informal release forms part of the FOI system in Victoria. </w:t>
      </w:r>
    </w:p>
    <w:p w14:paraId="341A69B7" w14:textId="70DB3809" w:rsidR="004F6B67" w:rsidRPr="000F73B5" w:rsidRDefault="0081022F" w:rsidP="000A230E">
      <w:pPr>
        <w:pStyle w:val="Body"/>
      </w:pPr>
      <w:r>
        <w:t>However</w:t>
      </w:r>
      <w:r w:rsidR="00484F2E" w:rsidRPr="000F73B5">
        <w:t xml:space="preserve">, </w:t>
      </w:r>
      <w:r w:rsidR="001752D4" w:rsidRPr="000F73B5">
        <w:t>agencies face</w:t>
      </w:r>
      <w:r w:rsidR="008561E3" w:rsidRPr="000F73B5">
        <w:t xml:space="preserve"> </w:t>
      </w:r>
      <w:r w:rsidR="001752D4" w:rsidRPr="000F73B5">
        <w:t xml:space="preserve">challenges </w:t>
      </w:r>
      <w:r w:rsidR="008561E3" w:rsidRPr="000F73B5">
        <w:t xml:space="preserve">such as </w:t>
      </w:r>
      <w:r w:rsidR="00276ED6">
        <w:t>limited and stretched staff</w:t>
      </w:r>
      <w:r w:rsidR="00276ED6" w:rsidRPr="000F73B5">
        <w:t xml:space="preserve"> </w:t>
      </w:r>
      <w:r w:rsidR="001752D4" w:rsidRPr="000F73B5">
        <w:t xml:space="preserve">resources, increasing workloads, and complex legislation. </w:t>
      </w:r>
      <w:r w:rsidR="00276ED6">
        <w:t xml:space="preserve">The COVID-19 pandemic has also added a significant further burden on several large FOI agencies. </w:t>
      </w:r>
      <w:r w:rsidR="00484F2E" w:rsidRPr="000F73B5">
        <w:t>These challenges can lead to delays in processing requests and an increase in the number of FOI reviews and complaints OVIC receives</w:t>
      </w:r>
      <w:r w:rsidR="00276ED6">
        <w:t xml:space="preserve"> </w:t>
      </w:r>
      <w:proofErr w:type="gramStart"/>
      <w:r w:rsidR="00276ED6">
        <w:t>and also</w:t>
      </w:r>
      <w:proofErr w:type="gramEnd"/>
      <w:r w:rsidR="00276ED6">
        <w:t xml:space="preserve"> matters that proceed to the Victorian Civil and Administrative Tribunal</w:t>
      </w:r>
      <w:r w:rsidR="004B0C1B">
        <w:t>. This in turn i</w:t>
      </w:r>
      <w:r w:rsidR="008561E3" w:rsidRPr="000F73B5">
        <w:t xml:space="preserve">ncreases </w:t>
      </w:r>
      <w:r w:rsidR="004B0C1B">
        <w:t xml:space="preserve">the FOI workload of </w:t>
      </w:r>
      <w:r w:rsidR="008561E3" w:rsidRPr="000F73B5">
        <w:t>agencies and creates barriers to</w:t>
      </w:r>
      <w:r w:rsidR="00784C0E">
        <w:t xml:space="preserve"> </w:t>
      </w:r>
      <w:r w:rsidR="00276ED6">
        <w:t xml:space="preserve">the public </w:t>
      </w:r>
      <w:r w:rsidR="00784C0E">
        <w:t xml:space="preserve">receiving </w:t>
      </w:r>
      <w:r w:rsidR="00C343AA">
        <w:t xml:space="preserve">timely </w:t>
      </w:r>
      <w:r w:rsidR="00784C0E">
        <w:t>access to</w:t>
      </w:r>
      <w:r w:rsidR="008561E3" w:rsidRPr="000F73B5">
        <w:t xml:space="preserve"> information. </w:t>
      </w:r>
    </w:p>
    <w:p w14:paraId="136E87A9" w14:textId="2CBCE13F" w:rsidR="00167C0D" w:rsidRPr="000F73B5" w:rsidRDefault="004B0C1B" w:rsidP="000A230E">
      <w:pPr>
        <w:pStyle w:val="Body"/>
      </w:pPr>
      <w:r>
        <w:t>Despite</w:t>
      </w:r>
      <w:r w:rsidR="008A618B" w:rsidRPr="000F73B5">
        <w:t xml:space="preserve"> these challenges, a</w:t>
      </w:r>
      <w:r w:rsidR="00167C0D" w:rsidRPr="000F73B5">
        <w:t>gencies have a strong will to make FOI in Victoria work better.</w:t>
      </w:r>
      <w:r w:rsidR="00D162AC" w:rsidRPr="000F73B5">
        <w:t xml:space="preserve"> </w:t>
      </w:r>
    </w:p>
    <w:p w14:paraId="767152D2" w14:textId="2DCEE91A" w:rsidR="007764E4" w:rsidRPr="000F73B5" w:rsidRDefault="004B0C1B" w:rsidP="00D162AC">
      <w:pPr>
        <w:pStyle w:val="Body"/>
      </w:pPr>
      <w:r>
        <w:t xml:space="preserve">To assist agencies, </w:t>
      </w:r>
      <w:r w:rsidR="00D162AC" w:rsidRPr="000F73B5">
        <w:t xml:space="preserve">OVIC is </w:t>
      </w:r>
      <w:r w:rsidR="00033B3A" w:rsidRPr="000F73B5">
        <w:t>focused on</w:t>
      </w:r>
      <w:r w:rsidR="00D162AC" w:rsidRPr="000F73B5">
        <w:t xml:space="preserve"> </w:t>
      </w:r>
      <w:r w:rsidR="007764E4" w:rsidRPr="000F73B5">
        <w:t>influencing</w:t>
      </w:r>
      <w:r w:rsidR="00D162AC" w:rsidRPr="000F73B5">
        <w:t xml:space="preserve"> </w:t>
      </w:r>
      <w:r w:rsidR="00276ED6">
        <w:t xml:space="preserve">Victoria’s reliance on FOI to instead embrace a </w:t>
      </w:r>
      <w:r w:rsidR="00D162AC" w:rsidRPr="000F73B5">
        <w:t xml:space="preserve">culture </w:t>
      </w:r>
      <w:r w:rsidR="00276ED6">
        <w:t>of</w:t>
      </w:r>
      <w:r w:rsidR="00D162AC" w:rsidRPr="000F73B5">
        <w:t xml:space="preserve"> proactive and informal release</w:t>
      </w:r>
      <w:r w:rsidR="00276ED6">
        <w:t xml:space="preserve"> – in effect – making FOI a last resort</w:t>
      </w:r>
      <w:r w:rsidR="00D162AC" w:rsidRPr="000F73B5">
        <w:t xml:space="preserve">. </w:t>
      </w:r>
    </w:p>
    <w:p w14:paraId="724049A4" w14:textId="75D162EF" w:rsidR="00D162AC" w:rsidRPr="000F73B5" w:rsidRDefault="00D162AC" w:rsidP="00D162AC">
      <w:pPr>
        <w:pStyle w:val="Body"/>
      </w:pPr>
      <w:r w:rsidRPr="000F73B5">
        <w:t>Proactive and informal release fulfils the object of the Act and embraces best practice by making it easier for the public to access information</w:t>
      </w:r>
      <w:r w:rsidR="001332E8">
        <w:t xml:space="preserve"> and </w:t>
      </w:r>
      <w:r w:rsidRPr="000F73B5">
        <w:t xml:space="preserve">more efficient for agencies to facilitate access to information. </w:t>
      </w:r>
    </w:p>
    <w:p w14:paraId="7463D04A" w14:textId="7CCD5884" w:rsidR="007764E4" w:rsidRPr="000F73B5" w:rsidRDefault="007764E4" w:rsidP="00D162AC">
      <w:pPr>
        <w:pStyle w:val="Body"/>
      </w:pPr>
      <w:r w:rsidRPr="000F73B5">
        <w:t xml:space="preserve">To target the different conditions </w:t>
      </w:r>
      <w:r w:rsidR="001332E8">
        <w:t xml:space="preserve">necessary </w:t>
      </w:r>
      <w:r w:rsidRPr="000F73B5">
        <w:t xml:space="preserve">to enable greater proactive and informal release, OVIC will build on its existing education and training activities, drive greater stakeholder engagement, and </w:t>
      </w:r>
      <w:r w:rsidR="00C343AA">
        <w:t xml:space="preserve">continue to </w:t>
      </w:r>
      <w:r w:rsidRPr="000F73B5">
        <w:t xml:space="preserve">promote proactive and informal release. </w:t>
      </w:r>
      <w:r w:rsidR="001332E8">
        <w:t>T</w:t>
      </w:r>
      <w:r w:rsidR="00DA79A8" w:rsidRPr="000F73B5">
        <w:t xml:space="preserve">hese activities </w:t>
      </w:r>
      <w:r w:rsidR="001332E8">
        <w:t>will be undertaken in</w:t>
      </w:r>
      <w:r w:rsidR="00DA79A8" w:rsidRPr="000F73B5">
        <w:t xml:space="preserve"> two phases</w:t>
      </w:r>
      <w:r w:rsidR="001332E8">
        <w:t xml:space="preserve"> – over</w:t>
      </w:r>
      <w:r w:rsidR="00DA79A8" w:rsidRPr="000F73B5">
        <w:t xml:space="preserve"> the next 12-18</w:t>
      </w:r>
      <w:r w:rsidR="00B11520" w:rsidRPr="000F73B5">
        <w:t xml:space="preserve"> </w:t>
      </w:r>
      <w:r w:rsidR="00DA79A8" w:rsidRPr="000F73B5">
        <w:t xml:space="preserve">months and </w:t>
      </w:r>
      <w:r w:rsidR="00276ED6">
        <w:t>beyond</w:t>
      </w:r>
      <w:r w:rsidR="00DA79A8" w:rsidRPr="000F73B5">
        <w:t>.</w:t>
      </w:r>
    </w:p>
    <w:p w14:paraId="73051E6A" w14:textId="77777777" w:rsidR="007764E4" w:rsidRPr="000F73B5" w:rsidRDefault="007764E4" w:rsidP="00D162AC">
      <w:pPr>
        <w:pStyle w:val="Body"/>
      </w:pPr>
    </w:p>
    <w:p w14:paraId="27B5EC35" w14:textId="77777777" w:rsidR="004F6B67" w:rsidRPr="000F73B5" w:rsidRDefault="004F6B67" w:rsidP="00D162AC">
      <w:pPr>
        <w:pStyle w:val="Body"/>
      </w:pPr>
    </w:p>
    <w:p w14:paraId="034B13B9" w14:textId="77777777" w:rsidR="00D162AC" w:rsidRPr="000F73B5" w:rsidRDefault="00D162AC" w:rsidP="000A230E">
      <w:pPr>
        <w:pStyle w:val="Body"/>
      </w:pPr>
    </w:p>
    <w:p w14:paraId="5F277B2B" w14:textId="77777777" w:rsidR="00D21261" w:rsidRPr="000F73B5" w:rsidRDefault="00D21261" w:rsidP="000A230E">
      <w:pPr>
        <w:pStyle w:val="Body"/>
      </w:pPr>
    </w:p>
    <w:p w14:paraId="3959C774" w14:textId="16D31F08" w:rsidR="00AE59D6" w:rsidRPr="000F73B5" w:rsidRDefault="00AE59D6" w:rsidP="000A230E">
      <w:pPr>
        <w:pStyle w:val="Body"/>
        <w:rPr>
          <w:rFonts w:eastAsia="Times New Roman"/>
          <w:color w:val="430098"/>
          <w:sz w:val="28"/>
          <w:szCs w:val="32"/>
        </w:rPr>
      </w:pPr>
      <w:r w:rsidRPr="000F73B5">
        <w:br w:type="page"/>
      </w:r>
    </w:p>
    <w:p w14:paraId="197CBE6C" w14:textId="5AC8FA6D" w:rsidR="008262E6" w:rsidRPr="000F73B5" w:rsidRDefault="00220B67" w:rsidP="001548BD">
      <w:pPr>
        <w:pStyle w:val="Heading-1"/>
      </w:pPr>
      <w:bookmarkStart w:id="2" w:name="_Toc83287252"/>
      <w:r w:rsidRPr="000F73B5">
        <w:lastRenderedPageBreak/>
        <w:t>INTRODUCTION</w:t>
      </w:r>
      <w:bookmarkEnd w:id="2"/>
      <w:r w:rsidR="00D0532D" w:rsidRPr="000F73B5">
        <w:t xml:space="preserve"> </w:t>
      </w:r>
    </w:p>
    <w:p w14:paraId="441983AB" w14:textId="72E8828A" w:rsidR="00B976A0" w:rsidRPr="000F73B5" w:rsidRDefault="00B976A0" w:rsidP="000A230E">
      <w:pPr>
        <w:pStyle w:val="Body"/>
      </w:pPr>
      <w:r w:rsidRPr="000F73B5">
        <w:t xml:space="preserve">Recognising the role of access to information in facilitating government transparency and accountability, </w:t>
      </w:r>
      <w:r w:rsidR="00BC0D1F" w:rsidRPr="000F73B5">
        <w:t>OVIC</w:t>
      </w:r>
      <w:r w:rsidRPr="000F73B5">
        <w:t xml:space="preserve"> has been exploring the culture of</w:t>
      </w:r>
      <w:r w:rsidR="00474AC8" w:rsidRPr="000F73B5">
        <w:t xml:space="preserve"> FOI</w:t>
      </w:r>
      <w:r w:rsidRPr="000F73B5">
        <w:t xml:space="preserve"> in Victoria and how to change agency behaviour to be open by design through proactive and informal release of information. </w:t>
      </w:r>
    </w:p>
    <w:p w14:paraId="749E0CD6" w14:textId="03D2313C" w:rsidR="006E0CAA" w:rsidRPr="000F73B5" w:rsidRDefault="005B0143" w:rsidP="000A230E">
      <w:pPr>
        <w:pStyle w:val="Body"/>
      </w:pPr>
      <w:r w:rsidRPr="000F73B5">
        <w:t xml:space="preserve">Information is one of the most important resources and tools that any government has. </w:t>
      </w:r>
      <w:r w:rsidR="00AB75F5" w:rsidRPr="000F73B5">
        <w:t>Government</w:t>
      </w:r>
      <w:r w:rsidR="00A42C3B" w:rsidRPr="000F73B5">
        <w:t>s</w:t>
      </w:r>
      <w:r w:rsidR="00AB75F5" w:rsidRPr="000F73B5">
        <w:t xml:space="preserve"> collect, </w:t>
      </w:r>
      <w:r w:rsidR="00E218B7" w:rsidRPr="000F73B5">
        <w:t>create</w:t>
      </w:r>
      <w:r w:rsidR="00453A45" w:rsidRPr="000F73B5">
        <w:t>,</w:t>
      </w:r>
      <w:r w:rsidR="00AB75F5" w:rsidRPr="000F73B5">
        <w:t xml:space="preserve"> and use a</w:t>
      </w:r>
      <w:r w:rsidR="008574E5" w:rsidRPr="000F73B5">
        <w:t xml:space="preserve"> large and growing</w:t>
      </w:r>
      <w:r w:rsidR="00AB75F5" w:rsidRPr="000F73B5">
        <w:t xml:space="preserve"> amount of information</w:t>
      </w:r>
      <w:r w:rsidR="000C624A" w:rsidRPr="000F73B5">
        <w:t xml:space="preserve"> which i</w:t>
      </w:r>
      <w:r w:rsidR="006E0CAA" w:rsidRPr="000F73B5">
        <w:t>s</w:t>
      </w:r>
      <w:r w:rsidR="000C624A" w:rsidRPr="000F73B5">
        <w:t xml:space="preserve"> use</w:t>
      </w:r>
      <w:r w:rsidR="006E0CAA" w:rsidRPr="000F73B5">
        <w:t>d</w:t>
      </w:r>
      <w:r w:rsidR="000C624A" w:rsidRPr="000F73B5">
        <w:t xml:space="preserve"> to deliver services</w:t>
      </w:r>
      <w:r w:rsidRPr="000F73B5">
        <w:t xml:space="preserve"> and make decisions affecting</w:t>
      </w:r>
      <w:r w:rsidR="000C624A" w:rsidRPr="000F73B5">
        <w:t xml:space="preserve"> the public. </w:t>
      </w:r>
      <w:r w:rsidRPr="000F73B5">
        <w:t xml:space="preserve">In a democratic society, the government </w:t>
      </w:r>
      <w:r w:rsidR="000C624A" w:rsidRPr="000F73B5">
        <w:t>acts on behalf of the people.</w:t>
      </w:r>
      <w:r w:rsidR="00E73281" w:rsidRPr="000F73B5">
        <w:t xml:space="preserve"> </w:t>
      </w:r>
    </w:p>
    <w:p w14:paraId="6307FAD4" w14:textId="31B771B0" w:rsidR="00F65111" w:rsidRPr="000F73B5" w:rsidRDefault="00F65111" w:rsidP="000A230E">
      <w:pPr>
        <w:pStyle w:val="Body"/>
      </w:pPr>
      <w:r w:rsidRPr="000F73B5">
        <w:t xml:space="preserve">Public access to </w:t>
      </w:r>
      <w:r w:rsidR="00237510" w:rsidRPr="000F73B5">
        <w:t>government</w:t>
      </w:r>
      <w:r w:rsidRPr="000F73B5">
        <w:t xml:space="preserve"> information is</w:t>
      </w:r>
      <w:r w:rsidR="0086043A" w:rsidRPr="000F73B5">
        <w:t xml:space="preserve"> therefore </w:t>
      </w:r>
      <w:r w:rsidRPr="000F73B5">
        <w:t xml:space="preserve">fundamental to open and accountable government. The right to access government information enables the public to hold government to account, participate meaningfully in society and support better government decision making. </w:t>
      </w:r>
      <w:proofErr w:type="gramStart"/>
      <w:r w:rsidRPr="000F73B5">
        <w:t xml:space="preserve">As custodians of information, </w:t>
      </w:r>
      <w:r w:rsidR="00425AE3" w:rsidRPr="000F73B5">
        <w:t xml:space="preserve">the </w:t>
      </w:r>
      <w:r w:rsidRPr="000F73B5">
        <w:t>government</w:t>
      </w:r>
      <w:proofErr w:type="gramEnd"/>
      <w:r w:rsidRPr="000F73B5">
        <w:t xml:space="preserve"> ha</w:t>
      </w:r>
      <w:r w:rsidR="000247C3" w:rsidRPr="000F73B5">
        <w:t>s</w:t>
      </w:r>
      <w:r w:rsidRPr="000F73B5">
        <w:t xml:space="preserve"> a responsibility to ensure the public’s right to access government</w:t>
      </w:r>
      <w:r w:rsidR="005B1DA2" w:rsidRPr="000F73B5">
        <w:t>-held</w:t>
      </w:r>
      <w:r w:rsidRPr="000F73B5">
        <w:t xml:space="preserve"> information is upheld.</w:t>
      </w:r>
    </w:p>
    <w:p w14:paraId="21294C79" w14:textId="3E092DF5" w:rsidR="00EE4E81" w:rsidRPr="000F73B5" w:rsidRDefault="00EE4E81" w:rsidP="000A230E">
      <w:pPr>
        <w:pStyle w:val="Body"/>
      </w:pPr>
      <w:r w:rsidRPr="000F73B5">
        <w:t xml:space="preserve">As </w:t>
      </w:r>
      <w:r w:rsidR="00482A99" w:rsidRPr="000F73B5">
        <w:t xml:space="preserve">the Victorian </w:t>
      </w:r>
      <w:r w:rsidR="001C3756" w:rsidRPr="000F73B5">
        <w:t>G</w:t>
      </w:r>
      <w:r w:rsidR="00BA5979" w:rsidRPr="000F73B5">
        <w:t>overnment</w:t>
      </w:r>
      <w:r w:rsidRPr="000F73B5">
        <w:t xml:space="preserve"> continue</w:t>
      </w:r>
      <w:r w:rsidR="00482A99" w:rsidRPr="000F73B5">
        <w:t>s</w:t>
      </w:r>
      <w:r w:rsidRPr="000F73B5">
        <w:t xml:space="preserve"> to digitalise processes, generate more information, and make </w:t>
      </w:r>
      <w:r w:rsidR="008601D1" w:rsidRPr="000F73B5">
        <w:t>significant</w:t>
      </w:r>
      <w:r w:rsidRPr="000F73B5">
        <w:t xml:space="preserve"> decisions affect</w:t>
      </w:r>
      <w:r w:rsidR="001F7F54" w:rsidRPr="000F73B5">
        <w:t>ing</w:t>
      </w:r>
      <w:r w:rsidRPr="000F73B5">
        <w:t xml:space="preserve"> the public, </w:t>
      </w:r>
      <w:r w:rsidR="00627C19" w:rsidRPr="000F73B5">
        <w:t>it</w:t>
      </w:r>
      <w:r w:rsidRPr="000F73B5">
        <w:t xml:space="preserve"> </w:t>
      </w:r>
      <w:r w:rsidR="00B87E04" w:rsidRPr="000F73B5">
        <w:t>must be</w:t>
      </w:r>
      <w:r w:rsidRPr="000F73B5">
        <w:t xml:space="preserve"> </w:t>
      </w:r>
      <w:r w:rsidR="00B87E04" w:rsidRPr="000F73B5">
        <w:t>O</w:t>
      </w:r>
      <w:r w:rsidRPr="000F73B5">
        <w:t xml:space="preserve">pen by </w:t>
      </w:r>
      <w:r w:rsidR="00B87E04" w:rsidRPr="000F73B5">
        <w:t>D</w:t>
      </w:r>
      <w:r w:rsidRPr="000F73B5">
        <w:t>es</w:t>
      </w:r>
      <w:r w:rsidR="0081626B" w:rsidRPr="000F73B5">
        <w:t>i</w:t>
      </w:r>
      <w:r w:rsidRPr="000F73B5">
        <w:t>gn</w:t>
      </w:r>
      <w:r w:rsidR="00F3345B" w:rsidRPr="000F73B5">
        <w:t xml:space="preserve"> </w:t>
      </w:r>
      <w:r w:rsidR="001C3756" w:rsidRPr="000F73B5">
        <w:t>so that</w:t>
      </w:r>
      <w:r w:rsidR="00F3345B" w:rsidRPr="000F73B5">
        <w:t xml:space="preserve"> transparency remains front of mind</w:t>
      </w:r>
      <w:r w:rsidR="009011BC" w:rsidRPr="000F73B5">
        <w:t xml:space="preserve"> and second nature</w:t>
      </w:r>
      <w:r w:rsidR="00F3345B" w:rsidRPr="000F73B5">
        <w:t xml:space="preserve">. </w:t>
      </w:r>
    </w:p>
    <w:p w14:paraId="45E95164" w14:textId="0FA896AA" w:rsidR="00684561" w:rsidRPr="000F73B5" w:rsidRDefault="00220B67" w:rsidP="00684561">
      <w:pPr>
        <w:pStyle w:val="Heading-1"/>
      </w:pPr>
      <w:bookmarkStart w:id="3" w:name="_Toc83287253"/>
      <w:r w:rsidRPr="000F73B5">
        <w:t>PURPOSE</w:t>
      </w:r>
      <w:bookmarkEnd w:id="3"/>
    </w:p>
    <w:p w14:paraId="1F7AC23A" w14:textId="685B7069" w:rsidR="007F3E7E" w:rsidRPr="000F73B5" w:rsidRDefault="00B82DAB" w:rsidP="000A230E">
      <w:pPr>
        <w:pStyle w:val="Body"/>
      </w:pPr>
      <w:r>
        <w:t>T</w:t>
      </w:r>
      <w:r w:rsidR="001C3756" w:rsidRPr="000F73B5">
        <w:t>his paper</w:t>
      </w:r>
      <w:r w:rsidR="00F36E3E" w:rsidRPr="000F73B5">
        <w:t xml:space="preserve"> outline</w:t>
      </w:r>
      <w:r>
        <w:t>s</w:t>
      </w:r>
      <w:r w:rsidR="00F36E3E" w:rsidRPr="000F73B5">
        <w:t xml:space="preserve"> and discuss</w:t>
      </w:r>
      <w:r>
        <w:t>es</w:t>
      </w:r>
      <w:r w:rsidR="00F36E3E" w:rsidRPr="000F73B5">
        <w:t xml:space="preserve"> t</w:t>
      </w:r>
      <w:r w:rsidR="0015664A" w:rsidRPr="000F73B5">
        <w:t>he culture of FOI in Victoria</w:t>
      </w:r>
      <w:r w:rsidR="00B43863" w:rsidRPr="000F73B5">
        <w:t xml:space="preserve"> </w:t>
      </w:r>
      <w:r w:rsidR="00F36E3E" w:rsidRPr="000F73B5">
        <w:t>and</w:t>
      </w:r>
      <w:r w:rsidR="00B43863" w:rsidRPr="000F73B5">
        <w:t xml:space="preserve"> how OVIC </w:t>
      </w:r>
      <w:r w:rsidR="00AA150C">
        <w:t>intends to</w:t>
      </w:r>
      <w:r w:rsidR="00AA150C" w:rsidRPr="000F73B5">
        <w:t xml:space="preserve"> </w:t>
      </w:r>
      <w:r w:rsidR="00B43863" w:rsidRPr="000F73B5">
        <w:t xml:space="preserve">influence behavioural change </w:t>
      </w:r>
      <w:r w:rsidR="00684561" w:rsidRPr="000F73B5">
        <w:t xml:space="preserve">in agencies </w:t>
      </w:r>
      <w:r w:rsidR="00B43863" w:rsidRPr="000F73B5">
        <w:t>to</w:t>
      </w:r>
      <w:r w:rsidR="0015664A" w:rsidRPr="000F73B5">
        <w:t xml:space="preserve"> better support proactive and informal release of information. </w:t>
      </w:r>
      <w:r w:rsidR="00F36E3E" w:rsidRPr="000F73B5">
        <w:t xml:space="preserve">The overall aim of this work is to support agencies to be </w:t>
      </w:r>
      <w:r w:rsidR="00ED232E" w:rsidRPr="000F73B5">
        <w:t>Open by Design</w:t>
      </w:r>
      <w:r w:rsidR="00F36E3E" w:rsidRPr="000F73B5">
        <w:t xml:space="preserve"> </w:t>
      </w:r>
      <w:r>
        <w:t xml:space="preserve">and </w:t>
      </w:r>
      <w:r w:rsidR="00C343AA">
        <w:t>improve</w:t>
      </w:r>
      <w:r w:rsidR="00C343AA" w:rsidRPr="000F73B5">
        <w:t xml:space="preserve"> </w:t>
      </w:r>
      <w:r w:rsidR="00C343AA">
        <w:t>and expand access to information.</w:t>
      </w:r>
    </w:p>
    <w:p w14:paraId="4F00E251" w14:textId="3511103C" w:rsidR="004136A3" w:rsidRPr="000F73B5" w:rsidRDefault="00220B67" w:rsidP="00E07CC0">
      <w:pPr>
        <w:pStyle w:val="Heading-1"/>
      </w:pPr>
      <w:bookmarkStart w:id="4" w:name="_Toc83287254"/>
      <w:r w:rsidRPr="000F73B5">
        <w:t>BACKGROUND</w:t>
      </w:r>
      <w:bookmarkEnd w:id="4"/>
      <w:r w:rsidRPr="000F73B5">
        <w:t xml:space="preserve"> </w:t>
      </w:r>
    </w:p>
    <w:p w14:paraId="4154AADF" w14:textId="6E54582E" w:rsidR="00F641F0" w:rsidRPr="000F73B5" w:rsidRDefault="00B82DAB" w:rsidP="000A230E">
      <w:pPr>
        <w:pStyle w:val="Body"/>
      </w:pPr>
      <w:r>
        <w:t>T</w:t>
      </w:r>
      <w:r w:rsidR="008D60FC" w:rsidRPr="000F73B5">
        <w:t>he Information Commissioner and Public Access Deputy Commissioner’s</w:t>
      </w:r>
      <w:r w:rsidR="00F641F0" w:rsidRPr="000F73B5">
        <w:t xml:space="preserve"> FOI functions</w:t>
      </w:r>
      <w:r>
        <w:t xml:space="preserve"> include</w:t>
      </w:r>
      <w:r w:rsidR="00F641F0" w:rsidRPr="000F73B5">
        <w:t xml:space="preserve"> promot</w:t>
      </w:r>
      <w:r>
        <w:t>ing</w:t>
      </w:r>
      <w:r w:rsidR="00F641F0" w:rsidRPr="000F73B5">
        <w:t xml:space="preserve"> the understanding and acceptance by agencies and the public of </w:t>
      </w:r>
      <w:r w:rsidR="00F36E3E" w:rsidRPr="000F73B5">
        <w:t xml:space="preserve">the Act </w:t>
      </w:r>
      <w:r w:rsidR="00F641F0" w:rsidRPr="000F73B5">
        <w:t>and its object</w:t>
      </w:r>
      <w:r>
        <w:t xml:space="preserve">. </w:t>
      </w:r>
      <w:r w:rsidR="00FF2E07">
        <w:t xml:space="preserve">As part of this function, </w:t>
      </w:r>
      <w:r w:rsidR="00F641F0" w:rsidRPr="000F73B5">
        <w:t>OVIC has progressed f</w:t>
      </w:r>
      <w:r>
        <w:t>ive</w:t>
      </w:r>
      <w:r w:rsidR="00F641F0" w:rsidRPr="000F73B5">
        <w:t xml:space="preserve"> key </w:t>
      </w:r>
      <w:r w:rsidR="00AA150C">
        <w:t>research projects</w:t>
      </w:r>
      <w:r w:rsidR="00F641F0" w:rsidRPr="000F73B5">
        <w:t xml:space="preserve"> </w:t>
      </w:r>
      <w:r w:rsidR="00705D40" w:rsidRPr="000F73B5">
        <w:t>including:</w:t>
      </w:r>
    </w:p>
    <w:p w14:paraId="095A86CA" w14:textId="42AE1EF1" w:rsidR="006951CF" w:rsidRPr="000F73B5" w:rsidRDefault="006951CF" w:rsidP="00321E41">
      <w:pPr>
        <w:pStyle w:val="Body"/>
        <w:numPr>
          <w:ilvl w:val="0"/>
          <w:numId w:val="13"/>
        </w:numPr>
      </w:pPr>
      <w:r w:rsidRPr="000F73B5">
        <w:rPr>
          <w:b/>
          <w:bCs/>
        </w:rPr>
        <w:t>Pilot study: Report on the Culture of Administering Access to Government Information and Freedom of Information in Victoria (September 2019)</w:t>
      </w:r>
      <w:r w:rsidRPr="000F73B5">
        <w:t xml:space="preserve"> – Monash University, in collaboration with OVIC, conducted a pilot study examining FOI culture in six Victorian agencies subject to the Act.</w:t>
      </w:r>
      <w:r w:rsidRPr="000F73B5">
        <w:rPr>
          <w:rStyle w:val="FootnoteReference"/>
        </w:rPr>
        <w:footnoteReference w:id="1"/>
      </w:r>
    </w:p>
    <w:p w14:paraId="2B135029" w14:textId="147CFA6D" w:rsidR="006951CF" w:rsidRPr="000F73B5" w:rsidRDefault="006951CF" w:rsidP="00321E41">
      <w:pPr>
        <w:pStyle w:val="Body"/>
        <w:numPr>
          <w:ilvl w:val="0"/>
          <w:numId w:val="13"/>
        </w:numPr>
      </w:pPr>
      <w:r w:rsidRPr="000F73B5">
        <w:rPr>
          <w:b/>
          <w:bCs/>
        </w:rPr>
        <w:t xml:space="preserve">Report on the State of FOI in Victoria: Five years in Review 2014 to 2019 </w:t>
      </w:r>
      <w:r w:rsidR="009F01C6" w:rsidRPr="000F73B5">
        <w:rPr>
          <w:b/>
          <w:bCs/>
        </w:rPr>
        <w:t>(February 2020)</w:t>
      </w:r>
      <w:r w:rsidR="009F01C6" w:rsidRPr="000F73B5">
        <w:t xml:space="preserve"> </w:t>
      </w:r>
      <w:r w:rsidRPr="000F73B5">
        <w:t xml:space="preserve">– OVIC analysed five years of FOI data to </w:t>
      </w:r>
      <w:r w:rsidR="009F01C6" w:rsidRPr="000F73B5">
        <w:t>better understand</w:t>
      </w:r>
      <w:r w:rsidRPr="000F73B5">
        <w:t xml:space="preserve"> FOI trends.</w:t>
      </w:r>
      <w:r w:rsidR="009F01C6" w:rsidRPr="000F73B5">
        <w:rPr>
          <w:rStyle w:val="FootnoteReference"/>
        </w:rPr>
        <w:t xml:space="preserve"> </w:t>
      </w:r>
      <w:r w:rsidR="009F01C6" w:rsidRPr="000F73B5">
        <w:rPr>
          <w:rStyle w:val="FootnoteReference"/>
        </w:rPr>
        <w:footnoteReference w:id="2"/>
      </w:r>
    </w:p>
    <w:p w14:paraId="7D7EB444" w14:textId="34C7C84F" w:rsidR="006951CF" w:rsidRPr="000F73B5" w:rsidRDefault="00D846BB" w:rsidP="00321E41">
      <w:pPr>
        <w:pStyle w:val="Body"/>
        <w:numPr>
          <w:ilvl w:val="0"/>
          <w:numId w:val="13"/>
        </w:numPr>
      </w:pPr>
      <w:r w:rsidRPr="000F73B5">
        <w:rPr>
          <w:b/>
          <w:bCs/>
        </w:rPr>
        <w:t>Proactive and Informal Release Discussion Paper and Consultation (March 2020)</w:t>
      </w:r>
      <w:r w:rsidRPr="000F73B5">
        <w:t xml:space="preserve"> – OVIC published a discussion paper on proactive and informal release of information in the Victorian public sector to better understand the challenges and opportunities.</w:t>
      </w:r>
    </w:p>
    <w:p w14:paraId="69467BB3" w14:textId="6F5C523E" w:rsidR="00D846BB" w:rsidRPr="000F73B5" w:rsidRDefault="00D846BB" w:rsidP="00321E41">
      <w:pPr>
        <w:pStyle w:val="Body"/>
        <w:numPr>
          <w:ilvl w:val="0"/>
          <w:numId w:val="13"/>
        </w:numPr>
      </w:pPr>
      <w:r w:rsidRPr="000F73B5">
        <w:rPr>
          <w:b/>
          <w:bCs/>
        </w:rPr>
        <w:t>Part II Study: Report on the Culture of Administering Access to Government Information and Freedom of Information in Victoria</w:t>
      </w:r>
      <w:r w:rsidR="00477D3A" w:rsidRPr="000F73B5">
        <w:rPr>
          <w:b/>
          <w:bCs/>
        </w:rPr>
        <w:t xml:space="preserve"> (June 2021)</w:t>
      </w:r>
      <w:r w:rsidRPr="000F73B5">
        <w:t xml:space="preserve"> – Monash University, in collaboration with OVIC, conducted a follow up study aimed at capturing the culture of administering the Act and the </w:t>
      </w:r>
      <w:r w:rsidRPr="000F73B5">
        <w:lastRenderedPageBreak/>
        <w:t xml:space="preserve">Victorian information access system overall based on </w:t>
      </w:r>
      <w:r w:rsidR="009A5DAF" w:rsidRPr="000F73B5">
        <w:t>57 agencies subject to the Act</w:t>
      </w:r>
      <w:r w:rsidR="00841A18" w:rsidRPr="000F73B5">
        <w:t xml:space="preserve"> (this report is referred to as the </w:t>
      </w:r>
      <w:r w:rsidR="00841A18" w:rsidRPr="000F73B5">
        <w:rPr>
          <w:b/>
          <w:bCs/>
        </w:rPr>
        <w:t>Culture of FOI in Victoria Part II Study Report</w:t>
      </w:r>
      <w:r w:rsidR="00841A18" w:rsidRPr="000F73B5">
        <w:t>)</w:t>
      </w:r>
      <w:r w:rsidR="009A5DAF" w:rsidRPr="000F73B5">
        <w:t>.</w:t>
      </w:r>
      <w:r w:rsidR="009A5DAF" w:rsidRPr="000F73B5">
        <w:rPr>
          <w:rStyle w:val="FootnoteReference"/>
        </w:rPr>
        <w:t xml:space="preserve"> </w:t>
      </w:r>
      <w:r w:rsidR="009A5DAF" w:rsidRPr="000F73B5">
        <w:rPr>
          <w:rStyle w:val="FootnoteReference"/>
        </w:rPr>
        <w:footnoteReference w:id="3"/>
      </w:r>
    </w:p>
    <w:p w14:paraId="0C34BEDC" w14:textId="04E03502" w:rsidR="00D846BB" w:rsidRPr="000F73B5" w:rsidRDefault="00D846BB" w:rsidP="00321E41">
      <w:pPr>
        <w:pStyle w:val="Body"/>
        <w:numPr>
          <w:ilvl w:val="0"/>
          <w:numId w:val="13"/>
        </w:numPr>
      </w:pPr>
      <w:r w:rsidRPr="000F73B5">
        <w:rPr>
          <w:b/>
          <w:bCs/>
        </w:rPr>
        <w:t>Proactive and Informal Release Behavioural Change Report (June 2021)</w:t>
      </w:r>
      <w:r w:rsidRPr="000F73B5">
        <w:t xml:space="preserve"> – OVIC engaged a</w:t>
      </w:r>
      <w:r w:rsidR="00706821">
        <w:t xml:space="preserve"> </w:t>
      </w:r>
      <w:r w:rsidRPr="000F73B5">
        <w:t>consultant to explore and advise how OVIC can influence behavioural change to enable more efficient FOI administration through proactive and informal release.</w:t>
      </w:r>
      <w:r w:rsidRPr="000F73B5">
        <w:rPr>
          <w:rStyle w:val="FootnoteReference"/>
        </w:rPr>
        <w:footnoteReference w:id="4"/>
      </w:r>
      <w:r w:rsidR="00FF040B" w:rsidRPr="000F73B5">
        <w:t xml:space="preserve"> </w:t>
      </w:r>
    </w:p>
    <w:p w14:paraId="20CC5569" w14:textId="7AF4C896" w:rsidR="00CE1B49" w:rsidRPr="000F73B5" w:rsidRDefault="00DF36A7" w:rsidP="000A230E">
      <w:pPr>
        <w:pStyle w:val="Body"/>
      </w:pPr>
      <w:r w:rsidRPr="000F73B5">
        <w:t xml:space="preserve">The purpose of this work is to better understand </w:t>
      </w:r>
      <w:r w:rsidR="00173120" w:rsidRPr="000F73B5">
        <w:t>how agencies approach and administer</w:t>
      </w:r>
      <w:r w:rsidR="001D1D2A" w:rsidRPr="000F73B5">
        <w:t xml:space="preserve"> </w:t>
      </w:r>
      <w:r w:rsidR="00706821">
        <w:t>FOI, and</w:t>
      </w:r>
      <w:r w:rsidR="00173120" w:rsidRPr="000F73B5">
        <w:t xml:space="preserve"> </w:t>
      </w:r>
      <w:r w:rsidR="001D1D2A" w:rsidRPr="000F73B5">
        <w:t>to</w:t>
      </w:r>
      <w:r w:rsidR="000E2345" w:rsidRPr="000F73B5">
        <w:t xml:space="preserve"> identify </w:t>
      </w:r>
      <w:r w:rsidR="001D1D2A" w:rsidRPr="000F73B5">
        <w:t>how</w:t>
      </w:r>
      <w:r w:rsidR="00592D13" w:rsidRPr="000F73B5">
        <w:t xml:space="preserve"> OVIC can </w:t>
      </w:r>
      <w:r w:rsidR="00503123" w:rsidRPr="000F73B5">
        <w:t>support</w:t>
      </w:r>
      <w:r w:rsidR="009E4E4E" w:rsidRPr="000F73B5">
        <w:t xml:space="preserve"> agencies to</w:t>
      </w:r>
      <w:r w:rsidR="00693AE8" w:rsidRPr="000F73B5">
        <w:t xml:space="preserve"> enhance the public’s right to access information</w:t>
      </w:r>
      <w:r w:rsidRPr="000F73B5">
        <w:t xml:space="preserve">. </w:t>
      </w:r>
      <w:r w:rsidR="00EB6653">
        <w:t xml:space="preserve">Together with this paper, these projects provide insights from a </w:t>
      </w:r>
      <w:r w:rsidR="00EB6653" w:rsidRPr="000F73B5">
        <w:t>representative sample of agencies</w:t>
      </w:r>
      <w:r w:rsidR="00EB6653">
        <w:t xml:space="preserve"> </w:t>
      </w:r>
      <w:r w:rsidR="007F6422">
        <w:t>that</w:t>
      </w:r>
      <w:r w:rsidR="00EB6653">
        <w:t xml:space="preserve"> contextualise the FOI culture and</w:t>
      </w:r>
      <w:r w:rsidR="00EB6653" w:rsidRPr="000F73B5">
        <w:t xml:space="preserve"> context</w:t>
      </w:r>
      <w:r w:rsidR="00EB6653">
        <w:t xml:space="preserve">, </w:t>
      </w:r>
      <w:r w:rsidR="00EB6653" w:rsidRPr="000F73B5">
        <w:t>challenges Victorian agencies face</w:t>
      </w:r>
      <w:r w:rsidR="007F6422">
        <w:t xml:space="preserve">, and opportunities for change. </w:t>
      </w:r>
      <w:r w:rsidR="00CE1B49" w:rsidRPr="000F73B5">
        <w:t xml:space="preserve">OVIC appreciates the views and experiences </w:t>
      </w:r>
      <w:r w:rsidR="00B264CB" w:rsidRPr="000F73B5">
        <w:t>discussed</w:t>
      </w:r>
      <w:r w:rsidR="00CE1B49" w:rsidRPr="000F73B5">
        <w:t xml:space="preserve"> may not reflect all agencies’ experiences. </w:t>
      </w:r>
    </w:p>
    <w:p w14:paraId="65C409DF" w14:textId="5031B074" w:rsidR="00F81952" w:rsidRPr="000F73B5" w:rsidRDefault="00220B67" w:rsidP="009C75DF">
      <w:pPr>
        <w:pStyle w:val="Heading-1"/>
        <w:keepNext/>
      </w:pPr>
      <w:bookmarkStart w:id="5" w:name="_Toc83287255"/>
      <w:r w:rsidRPr="000F73B5">
        <w:t>THE CULTURE OF FOI IN VICTORIA</w:t>
      </w:r>
      <w:bookmarkEnd w:id="5"/>
      <w:r w:rsidRPr="000F73B5">
        <w:t xml:space="preserve"> </w:t>
      </w:r>
    </w:p>
    <w:p w14:paraId="428C886B" w14:textId="17FA1260" w:rsidR="006F692F" w:rsidRPr="000F73B5" w:rsidRDefault="00431216" w:rsidP="000A230E">
      <w:pPr>
        <w:pStyle w:val="Body"/>
      </w:pPr>
      <w:r w:rsidRPr="000F73B5">
        <w:t xml:space="preserve">Agencies generally </w:t>
      </w:r>
      <w:r w:rsidR="006F692F" w:rsidRPr="000F73B5">
        <w:t>understand the purpose</w:t>
      </w:r>
      <w:r w:rsidR="005D7315" w:rsidRPr="000F73B5">
        <w:t xml:space="preserve"> and </w:t>
      </w:r>
      <w:r w:rsidR="006F692F" w:rsidRPr="000F73B5">
        <w:t>function of FOI</w:t>
      </w:r>
      <w:r w:rsidR="00220B67">
        <w:t xml:space="preserve">, and the system is </w:t>
      </w:r>
      <w:r w:rsidRPr="000F73B5">
        <w:t xml:space="preserve">working </w:t>
      </w:r>
      <w:r w:rsidR="009A2284">
        <w:t xml:space="preserve">relatively </w:t>
      </w:r>
      <w:r w:rsidRPr="000F73B5">
        <w:t xml:space="preserve">well </w:t>
      </w:r>
      <w:r w:rsidR="00E81277" w:rsidRPr="000F73B5">
        <w:t>despite</w:t>
      </w:r>
      <w:r w:rsidRPr="000F73B5">
        <w:t xml:space="preserve"> </w:t>
      </w:r>
      <w:r w:rsidR="00484342" w:rsidRPr="000F73B5">
        <w:t xml:space="preserve">some </w:t>
      </w:r>
      <w:r w:rsidRPr="000F73B5">
        <w:t>challenges</w:t>
      </w:r>
      <w:r w:rsidR="00220B67">
        <w:t>. H</w:t>
      </w:r>
      <w:r w:rsidR="00036233" w:rsidRPr="000F73B5">
        <w:t>owever</w:t>
      </w:r>
      <w:r w:rsidR="00220B67">
        <w:t>,</w:t>
      </w:r>
      <w:r w:rsidR="00036233" w:rsidRPr="000F73B5">
        <w:t xml:space="preserve"> there is room to enhance</w:t>
      </w:r>
      <w:r w:rsidR="00220B67">
        <w:t xml:space="preserve"> </w:t>
      </w:r>
      <w:r w:rsidR="003C011B" w:rsidRPr="000F73B5">
        <w:t xml:space="preserve">public </w:t>
      </w:r>
      <w:r w:rsidR="00036233" w:rsidRPr="000F73B5">
        <w:t>access</w:t>
      </w:r>
      <w:r w:rsidR="00220B67">
        <w:t xml:space="preserve"> to</w:t>
      </w:r>
      <w:r w:rsidR="00036233" w:rsidRPr="000F73B5">
        <w:t xml:space="preserve"> information </w:t>
      </w:r>
      <w:r w:rsidR="00290581" w:rsidRPr="000F73B5">
        <w:t xml:space="preserve">and make </w:t>
      </w:r>
      <w:r w:rsidR="003C011B" w:rsidRPr="000F73B5">
        <w:t>FOI</w:t>
      </w:r>
      <w:r w:rsidR="00290581" w:rsidRPr="000F73B5">
        <w:t xml:space="preserve"> work better</w:t>
      </w:r>
      <w:r w:rsidR="00036233" w:rsidRPr="000F73B5">
        <w:t>.</w:t>
      </w:r>
    </w:p>
    <w:p w14:paraId="5805DA01" w14:textId="0EF8AD5C" w:rsidR="00DC1329" w:rsidRPr="000F73B5" w:rsidRDefault="00DC1329" w:rsidP="00DC1329">
      <w:pPr>
        <w:pStyle w:val="Heading-2"/>
      </w:pPr>
      <w:bookmarkStart w:id="6" w:name="_Toc83287256"/>
      <w:r w:rsidRPr="000F73B5">
        <w:t>The</w:t>
      </w:r>
      <w:r w:rsidR="00CE3469" w:rsidRPr="000F73B5">
        <w:t xml:space="preserve"> </w:t>
      </w:r>
      <w:r w:rsidR="00AA150C">
        <w:t xml:space="preserve">FOI </w:t>
      </w:r>
      <w:r w:rsidR="00C3460C" w:rsidRPr="000F73B5">
        <w:t>Act</w:t>
      </w:r>
      <w:bookmarkEnd w:id="6"/>
      <w:r w:rsidRPr="000F73B5">
        <w:t xml:space="preserve"> </w:t>
      </w:r>
    </w:p>
    <w:p w14:paraId="73894EE6" w14:textId="47108324" w:rsidR="00DC1329" w:rsidRPr="000F73B5" w:rsidRDefault="00DC1329" w:rsidP="000A230E">
      <w:pPr>
        <w:pStyle w:val="Body"/>
      </w:pPr>
      <w:r w:rsidRPr="000F73B5">
        <w:t>Parliament enacted the Act to promote openness, accountability</w:t>
      </w:r>
      <w:r w:rsidR="00C55403" w:rsidRPr="000F73B5">
        <w:t>,</w:t>
      </w:r>
      <w:r w:rsidRPr="000F73B5">
        <w:t xml:space="preserve"> and transparency in the Victorian public sector by giving the public the right to seek access to government documents and by requiring publication of certain information.</w:t>
      </w:r>
      <w:r w:rsidRPr="000F73B5">
        <w:rPr>
          <w:rStyle w:val="FootnoteReference"/>
        </w:rPr>
        <w:footnoteReference w:id="5"/>
      </w:r>
    </w:p>
    <w:p w14:paraId="75A4B507" w14:textId="76D7EE98" w:rsidR="00DC1329" w:rsidRPr="000F73B5" w:rsidRDefault="00DC1329" w:rsidP="000A230E">
      <w:pPr>
        <w:pStyle w:val="Body"/>
      </w:pPr>
      <w:r w:rsidRPr="000F73B5">
        <w:t>The Act enshrines a legally enforceable right to request access to government documents,</w:t>
      </w:r>
      <w:r w:rsidRPr="000F73B5">
        <w:rPr>
          <w:rStyle w:val="FootnoteReference"/>
        </w:rPr>
        <w:footnoteReference w:id="6"/>
      </w:r>
      <w:r w:rsidRPr="000F73B5">
        <w:t xml:space="preserve"> founded on a ‘pull’ model. </w:t>
      </w:r>
      <w:r w:rsidR="000326D4" w:rsidRPr="000F73B5">
        <w:t>W</w:t>
      </w:r>
      <w:r w:rsidRPr="000F73B5">
        <w:t xml:space="preserve">hile the Act facilitates and promotes proactive and informal release, the central mechanism </w:t>
      </w:r>
      <w:r w:rsidR="00966019" w:rsidRPr="000F73B5">
        <w:t>to access</w:t>
      </w:r>
      <w:r w:rsidRPr="000F73B5">
        <w:t xml:space="preserve"> government information is by making a formal FOI request to a</w:t>
      </w:r>
      <w:r w:rsidR="000326D4" w:rsidRPr="000F73B5">
        <w:t xml:space="preserve">n </w:t>
      </w:r>
      <w:r w:rsidRPr="000F73B5">
        <w:t>agency</w:t>
      </w:r>
      <w:r w:rsidR="000326D4" w:rsidRPr="000F73B5">
        <w:t xml:space="preserve"> subject to the Act</w:t>
      </w:r>
      <w:r w:rsidRPr="000F73B5">
        <w:t>.</w:t>
      </w:r>
      <w:r w:rsidRPr="000F73B5">
        <w:rPr>
          <w:rStyle w:val="FootnoteReference"/>
        </w:rPr>
        <w:footnoteReference w:id="7"/>
      </w:r>
    </w:p>
    <w:p w14:paraId="4AC1C7E7" w14:textId="0E05BBFB" w:rsidR="00DC1329" w:rsidRPr="000F73B5" w:rsidRDefault="001B2AAF" w:rsidP="000A230E">
      <w:pPr>
        <w:pStyle w:val="Body"/>
      </w:pPr>
      <w:r w:rsidRPr="000F73B5">
        <w:t>T</w:t>
      </w:r>
      <w:r w:rsidR="0031637E" w:rsidRPr="000F73B5">
        <w:t>he Act was the first FOI legislation in any Australian State or Territory</w:t>
      </w:r>
      <w:r w:rsidR="007252F5" w:rsidRPr="000F73B5">
        <w:t>, marking an important step towards greater government transparency in Australia</w:t>
      </w:r>
      <w:r w:rsidR="0031637E" w:rsidRPr="000F73B5">
        <w:t>.</w:t>
      </w:r>
      <w:r w:rsidR="0031637E" w:rsidRPr="000F73B5">
        <w:rPr>
          <w:rStyle w:val="FootnoteReference"/>
        </w:rPr>
        <w:footnoteReference w:id="8"/>
      </w:r>
      <w:r w:rsidR="0031637E" w:rsidRPr="000F73B5">
        <w:t xml:space="preserve"> </w:t>
      </w:r>
      <w:r w:rsidR="00DC1329" w:rsidRPr="000F73B5">
        <w:t>The Act has had some amendment since it was introduced,</w:t>
      </w:r>
      <w:r w:rsidR="006E1E09" w:rsidRPr="000F73B5">
        <w:t xml:space="preserve"> but</w:t>
      </w:r>
      <w:r w:rsidR="00DC1329" w:rsidRPr="000F73B5">
        <w:t xml:space="preserve"> it has not had a comprehensive review like other </w:t>
      </w:r>
      <w:r w:rsidR="005439CD" w:rsidRPr="000F73B5">
        <w:t xml:space="preserve">Australian </w:t>
      </w:r>
      <w:r w:rsidR="00DC1329" w:rsidRPr="000F73B5">
        <w:t xml:space="preserve">jurisdictions. For example, New South Wales and Queensland </w:t>
      </w:r>
      <w:r w:rsidR="0094151C" w:rsidRPr="000F73B5">
        <w:t>enacted</w:t>
      </w:r>
      <w:r w:rsidR="00DC1329" w:rsidRPr="000F73B5">
        <w:t xml:space="preserve"> ‘push’ models of access legislation, which </w:t>
      </w:r>
      <w:r w:rsidR="002F3554" w:rsidRPr="000F73B5">
        <w:t>place a greater emphasis on</w:t>
      </w:r>
      <w:r w:rsidR="00442756" w:rsidRPr="000F73B5">
        <w:t>,</w:t>
      </w:r>
      <w:r w:rsidR="002F3554" w:rsidRPr="000F73B5">
        <w:t xml:space="preserve"> and </w:t>
      </w:r>
      <w:r w:rsidR="00DC1329" w:rsidRPr="000F73B5">
        <w:t>require</w:t>
      </w:r>
      <w:r w:rsidR="00442756" w:rsidRPr="000F73B5">
        <w:t>,</w:t>
      </w:r>
      <w:r w:rsidR="00DC1329" w:rsidRPr="000F73B5">
        <w:t xml:space="preserve"> proactive and informal release.</w:t>
      </w:r>
      <w:r w:rsidR="00DC1329" w:rsidRPr="000F73B5">
        <w:rPr>
          <w:rStyle w:val="FootnoteReference"/>
        </w:rPr>
        <w:footnoteReference w:id="9"/>
      </w:r>
      <w:r w:rsidR="00DC1329" w:rsidRPr="000F73B5">
        <w:t xml:space="preserve"> A ‘push’ model aims to make formal access requests a last resort and elevates the importance of proactive and informal </w:t>
      </w:r>
      <w:r w:rsidR="00442756" w:rsidRPr="000F73B5">
        <w:t>release</w:t>
      </w:r>
      <w:r w:rsidR="00DC1329" w:rsidRPr="000F73B5">
        <w:t xml:space="preserve"> to provide greater access to information.</w:t>
      </w:r>
    </w:p>
    <w:p w14:paraId="3A6ADEC9" w14:textId="4A4B16B3" w:rsidR="00013ABD" w:rsidRPr="000F73B5" w:rsidRDefault="00013ABD" w:rsidP="00BA0FFA">
      <w:pPr>
        <w:pStyle w:val="Heading-2"/>
      </w:pPr>
      <w:bookmarkStart w:id="7" w:name="_Toc83287257"/>
      <w:r w:rsidRPr="000F73B5">
        <w:lastRenderedPageBreak/>
        <w:t xml:space="preserve">Agencies understand the </w:t>
      </w:r>
      <w:r w:rsidR="00D86002" w:rsidRPr="000F73B5">
        <w:t xml:space="preserve">purpose and </w:t>
      </w:r>
      <w:r w:rsidR="00BD2EBB" w:rsidRPr="000F73B5">
        <w:t>aim</w:t>
      </w:r>
      <w:r w:rsidR="00D86002" w:rsidRPr="000F73B5">
        <w:t xml:space="preserve"> of FOI in Victoria</w:t>
      </w:r>
      <w:bookmarkEnd w:id="7"/>
      <w:r w:rsidR="00D86002" w:rsidRPr="000F73B5">
        <w:t xml:space="preserve"> </w:t>
      </w:r>
      <w:r w:rsidRPr="000F73B5">
        <w:t xml:space="preserve"> </w:t>
      </w:r>
    </w:p>
    <w:p w14:paraId="7E5DE741" w14:textId="3F4B864A" w:rsidR="00A1413E" w:rsidRPr="000F73B5" w:rsidRDefault="00A1413E" w:rsidP="00B44152">
      <w:pPr>
        <w:pStyle w:val="Body"/>
        <w:keepLines/>
      </w:pPr>
      <w:r w:rsidRPr="000F73B5">
        <w:t xml:space="preserve">Agencies generally </w:t>
      </w:r>
      <w:r w:rsidR="009445D3" w:rsidRPr="000F73B5">
        <w:t>understand the purpose and aim of the Act</w:t>
      </w:r>
      <w:r w:rsidR="00DF6CFF" w:rsidRPr="000F73B5">
        <w:t xml:space="preserve"> </w:t>
      </w:r>
      <w:r w:rsidRPr="000F73B5">
        <w:t xml:space="preserve">is </w:t>
      </w:r>
      <w:r w:rsidR="00DF6CFF" w:rsidRPr="000F73B5">
        <w:t>to provide access to information promptly and inexpensively</w:t>
      </w:r>
      <w:r w:rsidR="00B345AB" w:rsidRPr="000F73B5">
        <w:t>.</w:t>
      </w:r>
      <w:r w:rsidRPr="000F73B5">
        <w:t xml:space="preserve"> </w:t>
      </w:r>
      <w:r w:rsidR="00586884" w:rsidRPr="000F73B5">
        <w:t xml:space="preserve">For example, </w:t>
      </w:r>
      <w:r w:rsidRPr="000F73B5">
        <w:t xml:space="preserve">98.3% of FOI practitioners and 100% of Principal Officers interviewed for the Culture </w:t>
      </w:r>
      <w:r w:rsidR="009F0A0D" w:rsidRPr="000F73B5">
        <w:t xml:space="preserve">of FOI in Victoria </w:t>
      </w:r>
      <w:r w:rsidRPr="000F73B5">
        <w:t>Part II Study agree</w:t>
      </w:r>
      <w:r w:rsidR="001B6723" w:rsidRPr="000F73B5">
        <w:t>d</w:t>
      </w:r>
      <w:r w:rsidRPr="000F73B5">
        <w:t xml:space="preserve"> the purpose of the Act is to provide an efficient and low cost means through which the public can access government information.</w:t>
      </w:r>
      <w:r w:rsidR="00B345AB" w:rsidRPr="000F73B5">
        <w:rPr>
          <w:rStyle w:val="FootnoteReference"/>
        </w:rPr>
        <w:footnoteReference w:id="10"/>
      </w:r>
      <w:r w:rsidR="00B345AB" w:rsidRPr="000F73B5">
        <w:t xml:space="preserve"> </w:t>
      </w:r>
    </w:p>
    <w:p w14:paraId="379C713B" w14:textId="59F14D34" w:rsidR="007A04CD" w:rsidRPr="000F73B5" w:rsidRDefault="00A70CA8" w:rsidP="000A230E">
      <w:pPr>
        <w:pStyle w:val="Body"/>
      </w:pPr>
      <w:r w:rsidRPr="000F73B5">
        <w:t xml:space="preserve">Agencies also </w:t>
      </w:r>
      <w:r w:rsidR="00071A62" w:rsidRPr="000F73B5">
        <w:t>agree that</w:t>
      </w:r>
      <w:r w:rsidR="007A04CD" w:rsidRPr="000F73B5">
        <w:t xml:space="preserve"> the FOI system includes proactive and informal release. </w:t>
      </w:r>
      <w:r w:rsidR="00D548DD">
        <w:t xml:space="preserve">In the same report, </w:t>
      </w:r>
      <w:r w:rsidR="007A04CD" w:rsidRPr="000F73B5">
        <w:t>87% of FOI practitioners and 73.3% of Principal Officers agree</w:t>
      </w:r>
      <w:r w:rsidR="00D548DD">
        <w:t>d</w:t>
      </w:r>
      <w:r w:rsidR="007A04CD" w:rsidRPr="000F73B5">
        <w:t xml:space="preserve"> </w:t>
      </w:r>
      <w:r w:rsidR="00B42EE6" w:rsidRPr="000F73B5">
        <w:t xml:space="preserve">that </w:t>
      </w:r>
      <w:r w:rsidR="007A04CD" w:rsidRPr="000F73B5">
        <w:t>FOI in Victoria includes proactive and informal release.</w:t>
      </w:r>
      <w:r w:rsidR="007A04CD" w:rsidRPr="000F73B5">
        <w:rPr>
          <w:rStyle w:val="FootnoteReference"/>
        </w:rPr>
        <w:footnoteReference w:id="11"/>
      </w:r>
      <w:r w:rsidR="007A04CD" w:rsidRPr="000F73B5">
        <w:t xml:space="preserve"> </w:t>
      </w:r>
    </w:p>
    <w:p w14:paraId="2C5B539C" w14:textId="7F7271C8" w:rsidR="00E5460F" w:rsidRPr="000F73B5" w:rsidRDefault="00B128F7" w:rsidP="000A230E">
      <w:pPr>
        <w:pStyle w:val="Body"/>
      </w:pPr>
      <w:r w:rsidRPr="000F73B5">
        <w:t xml:space="preserve">In terms of how </w:t>
      </w:r>
      <w:r w:rsidR="00E5460F" w:rsidRPr="000F73B5">
        <w:t>FOI practitioners and Principal Officers see their role in the FOI system:</w:t>
      </w:r>
    </w:p>
    <w:p w14:paraId="47A8382D" w14:textId="542456A1" w:rsidR="00590934" w:rsidRPr="000F73B5" w:rsidRDefault="00EC02DC" w:rsidP="00321E41">
      <w:pPr>
        <w:pStyle w:val="Body"/>
        <w:numPr>
          <w:ilvl w:val="0"/>
          <w:numId w:val="14"/>
        </w:numPr>
      </w:pPr>
      <w:r w:rsidRPr="000F73B5">
        <w:t>FOI practitioners</w:t>
      </w:r>
      <w:r w:rsidR="00E42A13" w:rsidRPr="000F73B5">
        <w:t xml:space="preserve"> are engaged and want to do the right thing.</w:t>
      </w:r>
      <w:r w:rsidR="00E42A13" w:rsidRPr="000F73B5">
        <w:rPr>
          <w:rStyle w:val="FootnoteReference"/>
        </w:rPr>
        <w:footnoteReference w:id="12"/>
      </w:r>
      <w:r w:rsidR="00E42A13" w:rsidRPr="000F73B5">
        <w:t xml:space="preserve"> They see their role as both assessing and facilitating access to information, in accordance with the Act.</w:t>
      </w:r>
      <w:r w:rsidR="00E42A13" w:rsidRPr="000F73B5">
        <w:rPr>
          <w:rStyle w:val="FootnoteReference"/>
        </w:rPr>
        <w:footnoteReference w:id="13"/>
      </w:r>
    </w:p>
    <w:p w14:paraId="25AC0DB5" w14:textId="70319EB7" w:rsidR="00E42A13" w:rsidRPr="000F73B5" w:rsidRDefault="00E42A13" w:rsidP="00321E41">
      <w:pPr>
        <w:pStyle w:val="Body"/>
        <w:numPr>
          <w:ilvl w:val="0"/>
          <w:numId w:val="14"/>
        </w:numPr>
      </w:pPr>
      <w:r w:rsidRPr="000F73B5">
        <w:t>Principal Officers see their role as:</w:t>
      </w:r>
    </w:p>
    <w:p w14:paraId="5496AE79" w14:textId="77777777" w:rsidR="00E42A13" w:rsidRPr="000F73B5" w:rsidRDefault="00E42A13" w:rsidP="00321E41">
      <w:pPr>
        <w:pStyle w:val="Body"/>
        <w:numPr>
          <w:ilvl w:val="1"/>
          <w:numId w:val="14"/>
        </w:numPr>
      </w:pPr>
      <w:r w:rsidRPr="000F73B5">
        <w:t xml:space="preserve">ensuring information is appropriately collected and </w:t>
      </w:r>
      <w:proofErr w:type="gramStart"/>
      <w:r w:rsidRPr="000F73B5">
        <w:t>stored;</w:t>
      </w:r>
      <w:proofErr w:type="gramEnd"/>
    </w:p>
    <w:p w14:paraId="33B02A01" w14:textId="4B037D3A" w:rsidR="00E42A13" w:rsidRPr="000F73B5" w:rsidRDefault="00E42A13" w:rsidP="00321E41">
      <w:pPr>
        <w:pStyle w:val="Body"/>
        <w:numPr>
          <w:ilvl w:val="1"/>
          <w:numId w:val="14"/>
        </w:numPr>
      </w:pPr>
      <w:r w:rsidRPr="000F73B5">
        <w:t xml:space="preserve">ensuring their agency has the appropriate systems, staff, processes, policies, training and resources in place to support </w:t>
      </w:r>
      <w:r w:rsidR="001405D6">
        <w:t xml:space="preserve">the </w:t>
      </w:r>
      <w:r w:rsidRPr="000F73B5">
        <w:t xml:space="preserve">FOI </w:t>
      </w:r>
      <w:proofErr w:type="gramStart"/>
      <w:r w:rsidR="001405D6">
        <w:t>function</w:t>
      </w:r>
      <w:r w:rsidRPr="000F73B5">
        <w:t>;</w:t>
      </w:r>
      <w:proofErr w:type="gramEnd"/>
      <w:r w:rsidRPr="000F73B5">
        <w:t xml:space="preserve"> </w:t>
      </w:r>
    </w:p>
    <w:p w14:paraId="08483E3C" w14:textId="77777777" w:rsidR="00E42A13" w:rsidRPr="000F73B5" w:rsidRDefault="00E42A13" w:rsidP="00321E41">
      <w:pPr>
        <w:pStyle w:val="Body"/>
        <w:numPr>
          <w:ilvl w:val="1"/>
          <w:numId w:val="14"/>
        </w:numPr>
      </w:pPr>
      <w:r w:rsidRPr="000F73B5">
        <w:t xml:space="preserve">taking accountability for ensuring the system is delivered </w:t>
      </w:r>
      <w:proofErr w:type="gramStart"/>
      <w:r w:rsidRPr="000F73B5">
        <w:t>appropriately;</w:t>
      </w:r>
      <w:proofErr w:type="gramEnd"/>
    </w:p>
    <w:p w14:paraId="56883D6A" w14:textId="5D94F70B" w:rsidR="00E42A13" w:rsidRPr="000F73B5" w:rsidRDefault="00E42A13" w:rsidP="00321E41">
      <w:pPr>
        <w:pStyle w:val="Body"/>
        <w:numPr>
          <w:ilvl w:val="1"/>
          <w:numId w:val="14"/>
        </w:numPr>
      </w:pPr>
      <w:r w:rsidRPr="000F73B5">
        <w:t>developing a culture that embraces transparency</w:t>
      </w:r>
      <w:r w:rsidR="00873C9A" w:rsidRPr="000F73B5">
        <w:t>;</w:t>
      </w:r>
      <w:r w:rsidRPr="000F73B5">
        <w:rPr>
          <w:rStyle w:val="FootnoteReference"/>
        </w:rPr>
        <w:footnoteReference w:id="14"/>
      </w:r>
      <w:r w:rsidR="00873C9A" w:rsidRPr="000F73B5">
        <w:t xml:space="preserve"> and</w:t>
      </w:r>
    </w:p>
    <w:p w14:paraId="36D652AA" w14:textId="37B5DD94" w:rsidR="00873C9A" w:rsidRPr="000F73B5" w:rsidRDefault="00873C9A" w:rsidP="00321E41">
      <w:pPr>
        <w:pStyle w:val="Body"/>
        <w:numPr>
          <w:ilvl w:val="1"/>
          <w:numId w:val="14"/>
        </w:numPr>
      </w:pPr>
      <w:r w:rsidRPr="000F73B5">
        <w:t>facilitating and promoting proactive and informal release.</w:t>
      </w:r>
      <w:r w:rsidRPr="000F73B5">
        <w:rPr>
          <w:rStyle w:val="FootnoteReference"/>
        </w:rPr>
        <w:footnoteReference w:id="15"/>
      </w:r>
    </w:p>
    <w:p w14:paraId="11EF6641" w14:textId="642D0230" w:rsidR="00296983" w:rsidRPr="000F73B5" w:rsidRDefault="00296983" w:rsidP="000A230E">
      <w:pPr>
        <w:pStyle w:val="Body"/>
      </w:pPr>
      <w:r w:rsidRPr="000F73B5">
        <w:t xml:space="preserve">Principal Officers acknowledge they have the </w:t>
      </w:r>
      <w:r w:rsidR="007A686D" w:rsidRPr="000F73B5">
        <w:t xml:space="preserve">political </w:t>
      </w:r>
      <w:r w:rsidRPr="000F73B5">
        <w:t>autonomy to drive behavioural change</w:t>
      </w:r>
      <w:r w:rsidR="00313514" w:rsidRPr="000F73B5">
        <w:t xml:space="preserve"> and FOI culture in their agency.</w:t>
      </w:r>
      <w:r w:rsidRPr="000F73B5">
        <w:rPr>
          <w:rStyle w:val="FootnoteReference"/>
        </w:rPr>
        <w:footnoteReference w:id="16"/>
      </w:r>
      <w:r w:rsidRPr="000F73B5">
        <w:t xml:space="preserve"> </w:t>
      </w:r>
    </w:p>
    <w:p w14:paraId="66BAF46B" w14:textId="29E5D3BC" w:rsidR="00E42A13" w:rsidRPr="000F73B5" w:rsidRDefault="00E42A13" w:rsidP="00E42A13">
      <w:pPr>
        <w:pStyle w:val="Heading-2"/>
      </w:pPr>
      <w:bookmarkStart w:id="8" w:name="_Toc83287258"/>
      <w:r w:rsidRPr="000F73B5">
        <w:t xml:space="preserve">Challenges with administering </w:t>
      </w:r>
      <w:r w:rsidR="00071067" w:rsidRPr="000F73B5">
        <w:t>FOI in Victoria</w:t>
      </w:r>
      <w:bookmarkEnd w:id="8"/>
    </w:p>
    <w:p w14:paraId="4B4CA05A" w14:textId="1AA99D85" w:rsidR="00475166" w:rsidRPr="000F73B5" w:rsidRDefault="00475166" w:rsidP="000A230E">
      <w:pPr>
        <w:pStyle w:val="Body"/>
      </w:pPr>
      <w:r w:rsidRPr="000F73B5">
        <w:t xml:space="preserve">While agencies understand the purpose and aim of FOI, </w:t>
      </w:r>
      <w:r w:rsidR="0033085D" w:rsidRPr="000F73B5">
        <w:t xml:space="preserve">there are </w:t>
      </w:r>
      <w:r w:rsidRPr="000F73B5">
        <w:t xml:space="preserve">challenges </w:t>
      </w:r>
      <w:r w:rsidR="00F167FA">
        <w:t xml:space="preserve">in its administration, </w:t>
      </w:r>
      <w:r w:rsidR="00C442E4" w:rsidRPr="000F73B5">
        <w:t>including strained resources, growing FOI demand, and complex legislation</w:t>
      </w:r>
      <w:r w:rsidRPr="000F73B5">
        <w:t>.</w:t>
      </w:r>
      <w:r w:rsidR="00AB66A4" w:rsidRPr="000F73B5">
        <w:t xml:space="preserve"> </w:t>
      </w:r>
    </w:p>
    <w:p w14:paraId="189F268A" w14:textId="5FCA2BB9" w:rsidR="0033085D" w:rsidRPr="000F73B5" w:rsidRDefault="00AA150C" w:rsidP="00A11251">
      <w:pPr>
        <w:pStyle w:val="Heading-3"/>
        <w:keepNext/>
      </w:pPr>
      <w:r>
        <w:lastRenderedPageBreak/>
        <w:t>Limited</w:t>
      </w:r>
      <w:r w:rsidRPr="000F73B5">
        <w:t xml:space="preserve"> </w:t>
      </w:r>
      <w:r w:rsidR="008A4FA2" w:rsidRPr="000F73B5">
        <w:t xml:space="preserve">FOI </w:t>
      </w:r>
      <w:r w:rsidR="0033085D" w:rsidRPr="000F73B5">
        <w:t>resources</w:t>
      </w:r>
    </w:p>
    <w:p w14:paraId="142C6899" w14:textId="363E4854" w:rsidR="00B41A18" w:rsidRPr="000F73B5" w:rsidRDefault="001F7EC7" w:rsidP="00A11251">
      <w:pPr>
        <w:pStyle w:val="Body"/>
        <w:keepLines/>
      </w:pPr>
      <w:r w:rsidRPr="000F73B5">
        <w:t xml:space="preserve">Despite being a central function, FOI </w:t>
      </w:r>
      <w:r w:rsidR="00C044C6" w:rsidRPr="000F73B5">
        <w:t xml:space="preserve">is not always appropriately resourced to meet </w:t>
      </w:r>
      <w:r w:rsidR="00276ED6">
        <w:t xml:space="preserve">growing </w:t>
      </w:r>
      <w:r w:rsidR="00C044C6" w:rsidRPr="000F73B5">
        <w:t>demands</w:t>
      </w:r>
      <w:r w:rsidR="00276ED6">
        <w:t xml:space="preserve"> for greater access to information</w:t>
      </w:r>
      <w:r w:rsidR="00C044C6" w:rsidRPr="000F73B5">
        <w:t xml:space="preserve">. This </w:t>
      </w:r>
      <w:r w:rsidR="00166D72" w:rsidRPr="000F73B5">
        <w:t xml:space="preserve">means </w:t>
      </w:r>
      <w:r w:rsidR="00C044C6" w:rsidRPr="000F73B5">
        <w:t xml:space="preserve">FOI practitioners </w:t>
      </w:r>
      <w:r w:rsidR="00166D72" w:rsidRPr="000F73B5">
        <w:t xml:space="preserve">often </w:t>
      </w:r>
      <w:r w:rsidR="00F167FA">
        <w:t xml:space="preserve">only </w:t>
      </w:r>
      <w:r w:rsidR="00D513F3" w:rsidRPr="000F73B5">
        <w:t xml:space="preserve">address day-to-day operational matters </w:t>
      </w:r>
      <w:r w:rsidR="00C044C6" w:rsidRPr="000F73B5">
        <w:t>rather than</w:t>
      </w:r>
      <w:r w:rsidR="00DB02D4" w:rsidRPr="000F73B5">
        <w:t xml:space="preserve"> exploring longer term, strategic, projects to</w:t>
      </w:r>
      <w:r w:rsidR="00C044C6" w:rsidRPr="000F73B5">
        <w:t xml:space="preserve"> build </w:t>
      </w:r>
      <w:r w:rsidR="00D8551B" w:rsidRPr="000F73B5">
        <w:t xml:space="preserve">FOI </w:t>
      </w:r>
      <w:r w:rsidR="00C044C6" w:rsidRPr="000F73B5">
        <w:t xml:space="preserve">culture </w:t>
      </w:r>
      <w:r w:rsidR="0086307B" w:rsidRPr="000F73B5">
        <w:t>in their agency</w:t>
      </w:r>
      <w:r w:rsidR="00E72DFB" w:rsidRPr="000F73B5">
        <w:t xml:space="preserve"> or </w:t>
      </w:r>
      <w:r w:rsidR="0086307B" w:rsidRPr="000F73B5">
        <w:t xml:space="preserve">to improve efficiency </w:t>
      </w:r>
      <w:r w:rsidR="00F167FA">
        <w:t>in</w:t>
      </w:r>
      <w:r w:rsidR="00F167FA" w:rsidRPr="000F73B5">
        <w:t xml:space="preserve"> </w:t>
      </w:r>
      <w:r w:rsidR="0086307B" w:rsidRPr="000F73B5">
        <w:t xml:space="preserve">processing FOI requests. </w:t>
      </w:r>
      <w:r w:rsidR="000A15C5" w:rsidRPr="000F73B5">
        <w:t xml:space="preserve">Resourcing can also impact how quickly an agency </w:t>
      </w:r>
      <w:r w:rsidR="00A21D1E" w:rsidRPr="000F73B5">
        <w:t>can</w:t>
      </w:r>
      <w:r w:rsidR="000A15C5" w:rsidRPr="000F73B5">
        <w:t xml:space="preserve"> respond to an FOI request.</w:t>
      </w:r>
      <w:r w:rsidR="000A15C5" w:rsidRPr="000F73B5">
        <w:rPr>
          <w:rStyle w:val="FootnoteReference"/>
        </w:rPr>
        <w:footnoteReference w:id="17"/>
      </w:r>
    </w:p>
    <w:p w14:paraId="7BCE91F3" w14:textId="0970448B" w:rsidR="008B7267" w:rsidRPr="000F73B5" w:rsidRDefault="0067095B" w:rsidP="000A230E">
      <w:pPr>
        <w:pStyle w:val="Body"/>
      </w:pPr>
      <w:r w:rsidRPr="000F73B5">
        <w:t>Agencies with small FOI teams</w:t>
      </w:r>
      <w:r w:rsidR="003D411B" w:rsidRPr="000F73B5">
        <w:t>,</w:t>
      </w:r>
      <w:r w:rsidRPr="000F73B5">
        <w:t xml:space="preserve"> </w:t>
      </w:r>
      <w:r w:rsidR="003D411B" w:rsidRPr="000F73B5">
        <w:t xml:space="preserve">or with a single FOI practitioner, </w:t>
      </w:r>
      <w:r w:rsidRPr="000F73B5">
        <w:t xml:space="preserve">who perform multiple functions (for example, privacy and governance in addition to FOI) may experience this </w:t>
      </w:r>
      <w:r w:rsidR="0089388F" w:rsidRPr="000F73B5">
        <w:t xml:space="preserve">challenge </w:t>
      </w:r>
      <w:r w:rsidRPr="000F73B5">
        <w:t xml:space="preserve">more, given their </w:t>
      </w:r>
      <w:r w:rsidR="00B31D11" w:rsidRPr="000F73B5">
        <w:t xml:space="preserve">limited </w:t>
      </w:r>
      <w:r w:rsidRPr="000F73B5">
        <w:t>resources must be directed at multiple and varied functions.</w:t>
      </w:r>
    </w:p>
    <w:p w14:paraId="0CAE2D3C" w14:textId="3F861A84" w:rsidR="007703F1" w:rsidRPr="000F73B5" w:rsidRDefault="007B6613" w:rsidP="000A230E">
      <w:pPr>
        <w:pStyle w:val="Body"/>
      </w:pPr>
      <w:r w:rsidRPr="000F73B5">
        <w:t xml:space="preserve">FOI practitioners </w:t>
      </w:r>
      <w:r w:rsidR="004272A0" w:rsidRPr="000F73B5">
        <w:t xml:space="preserve">place a greater emphasis on the resource challenge than </w:t>
      </w:r>
      <w:r w:rsidRPr="000F73B5">
        <w:t>by</w:t>
      </w:r>
      <w:r w:rsidR="00E320C1" w:rsidRPr="000F73B5">
        <w:t xml:space="preserve"> </w:t>
      </w:r>
      <w:r w:rsidRPr="000F73B5">
        <w:t>a</w:t>
      </w:r>
      <w:r w:rsidR="008B7267" w:rsidRPr="000F73B5">
        <w:t xml:space="preserve">gency leadership. </w:t>
      </w:r>
      <w:r w:rsidR="001F7EC7" w:rsidRPr="000F73B5">
        <w:t>For</w:t>
      </w:r>
      <w:r w:rsidR="00811687" w:rsidRPr="000F73B5">
        <w:t xml:space="preserve"> </w:t>
      </w:r>
      <w:r w:rsidR="001F7EC7" w:rsidRPr="000F73B5">
        <w:t xml:space="preserve">example, 65.6% of FOI practitioners </w:t>
      </w:r>
      <w:r w:rsidR="00E320C1" w:rsidRPr="000F73B5">
        <w:t xml:space="preserve">compared with 48.2% of Principal Officers </w:t>
      </w:r>
      <w:r w:rsidR="001F7EC7" w:rsidRPr="000F73B5">
        <w:t>agreed that the lack of resources to administer the Act is a significant impediment to a better functioning information access system in Victoria</w:t>
      </w:r>
      <w:r w:rsidR="00E320C1" w:rsidRPr="000F73B5">
        <w:t>.</w:t>
      </w:r>
      <w:r w:rsidR="001F7EC7" w:rsidRPr="000F73B5">
        <w:rPr>
          <w:rStyle w:val="FootnoteReference"/>
        </w:rPr>
        <w:footnoteReference w:id="18"/>
      </w:r>
      <w:r w:rsidR="001D6F9A" w:rsidRPr="000F73B5">
        <w:t xml:space="preserve"> </w:t>
      </w:r>
      <w:r w:rsidR="008A61A6" w:rsidRPr="000F73B5">
        <w:t>However, s</w:t>
      </w:r>
      <w:r w:rsidR="007703F1" w:rsidRPr="000F73B5">
        <w:t xml:space="preserve">ome Principal Officers </w:t>
      </w:r>
      <w:r w:rsidR="004F2C89" w:rsidRPr="000F73B5">
        <w:t>note</w:t>
      </w:r>
      <w:r w:rsidR="007703F1" w:rsidRPr="000F73B5">
        <w:t xml:space="preserve"> FOI resourcing </w:t>
      </w:r>
      <w:r w:rsidR="004F2C89" w:rsidRPr="000F73B5">
        <w:t>must</w:t>
      </w:r>
      <w:r w:rsidR="007703F1" w:rsidRPr="000F73B5">
        <w:t xml:space="preserve"> be balanced against demand, which can fluctuate</w:t>
      </w:r>
      <w:r w:rsidR="008A61A6" w:rsidRPr="000F73B5">
        <w:t>.</w:t>
      </w:r>
      <w:r w:rsidR="00256991" w:rsidRPr="000F73B5">
        <w:rPr>
          <w:rStyle w:val="FootnoteReference"/>
        </w:rPr>
        <w:footnoteReference w:id="19"/>
      </w:r>
    </w:p>
    <w:p w14:paraId="56094B3B" w14:textId="73786A13" w:rsidR="00A93F0A" w:rsidRPr="000F73B5" w:rsidRDefault="00A93F0A" w:rsidP="000A230E">
      <w:pPr>
        <w:pStyle w:val="Body"/>
      </w:pPr>
      <w:r w:rsidRPr="000F73B5">
        <w:t>In addition</w:t>
      </w:r>
      <w:r w:rsidR="00915DCB" w:rsidRPr="000F73B5">
        <w:t xml:space="preserve"> to a lack of resources</w:t>
      </w:r>
      <w:r w:rsidRPr="000F73B5">
        <w:t xml:space="preserve">, </w:t>
      </w:r>
      <w:r w:rsidR="00915DCB" w:rsidRPr="000F73B5">
        <w:t xml:space="preserve">changes in resources such as </w:t>
      </w:r>
      <w:r w:rsidRPr="000F73B5">
        <w:t>staff turnover can create a lack of continuity</w:t>
      </w:r>
      <w:r w:rsidR="00A534DA" w:rsidRPr="000F73B5">
        <w:t>,</w:t>
      </w:r>
      <w:r w:rsidRPr="000F73B5">
        <w:t xml:space="preserve"> </w:t>
      </w:r>
      <w:proofErr w:type="gramStart"/>
      <w:r w:rsidRPr="000F73B5">
        <w:t>knowledge</w:t>
      </w:r>
      <w:proofErr w:type="gramEnd"/>
      <w:r w:rsidRPr="000F73B5">
        <w:t xml:space="preserve"> </w:t>
      </w:r>
      <w:r w:rsidR="00F167FA">
        <w:t xml:space="preserve">and </w:t>
      </w:r>
      <w:r w:rsidR="00B6716A" w:rsidRPr="000F73B5">
        <w:t>r</w:t>
      </w:r>
      <w:r w:rsidR="007E729B" w:rsidRPr="000F73B5">
        <w:t xml:space="preserve">esource </w:t>
      </w:r>
      <w:r w:rsidRPr="000F73B5">
        <w:t>gaps</w:t>
      </w:r>
      <w:r w:rsidR="00A534DA" w:rsidRPr="000F73B5">
        <w:t xml:space="preserve">, and generally decrease </w:t>
      </w:r>
      <w:r w:rsidR="007E729B" w:rsidRPr="000F73B5">
        <w:t xml:space="preserve">FOI </w:t>
      </w:r>
      <w:r w:rsidR="00A534DA" w:rsidRPr="000F73B5">
        <w:t>efficiency</w:t>
      </w:r>
      <w:r w:rsidRPr="000F73B5">
        <w:t>.</w:t>
      </w:r>
      <w:r w:rsidR="00A15A32" w:rsidRPr="000F73B5">
        <w:rPr>
          <w:rStyle w:val="FootnoteReference"/>
        </w:rPr>
        <w:footnoteReference w:id="20"/>
      </w:r>
    </w:p>
    <w:p w14:paraId="12E97D14" w14:textId="0AADC40D" w:rsidR="00475166" w:rsidRPr="000F73B5" w:rsidRDefault="00BE580B" w:rsidP="000A230E">
      <w:pPr>
        <w:pStyle w:val="Heading-3"/>
      </w:pPr>
      <w:r w:rsidRPr="000F73B5">
        <w:t>Growing FOI demand</w:t>
      </w:r>
    </w:p>
    <w:p w14:paraId="2D87A40B" w14:textId="6D8A62AC" w:rsidR="00296022" w:rsidRPr="000F73B5" w:rsidRDefault="00BF0447" w:rsidP="00296022">
      <w:pPr>
        <w:pStyle w:val="Body"/>
      </w:pPr>
      <w:r w:rsidRPr="000F73B5">
        <w:t>Exacerbating already strained resources is a growing FOI demand, both in terms of volume and complexity.</w:t>
      </w:r>
      <w:r w:rsidR="00545C95" w:rsidRPr="000F73B5">
        <w:rPr>
          <w:rFonts w:cs="Times New Roman"/>
          <w:color w:val="auto"/>
          <w:sz w:val="18"/>
          <w:szCs w:val="18"/>
        </w:rPr>
        <w:t xml:space="preserve"> </w:t>
      </w:r>
      <w:r w:rsidR="00296022" w:rsidRPr="000F73B5">
        <w:t>This demand can add to the impacts o</w:t>
      </w:r>
      <w:r w:rsidR="008B5684">
        <w:t>n</w:t>
      </w:r>
      <w:r w:rsidR="00296022" w:rsidRPr="000F73B5">
        <w:t xml:space="preserve"> resourcing noted above such as trying to keep up with operational demand and taking longer to respond to requests. </w:t>
      </w:r>
    </w:p>
    <w:p w14:paraId="24F12EE9" w14:textId="396D9F8E" w:rsidR="0033085D" w:rsidRPr="000F73B5" w:rsidRDefault="008B5684" w:rsidP="000A230E">
      <w:pPr>
        <w:pStyle w:val="Body"/>
      </w:pPr>
      <w:r>
        <w:t>T</w:t>
      </w:r>
      <w:r w:rsidR="000833C9" w:rsidRPr="000F73B5">
        <w:t xml:space="preserve">he number of FOI requests agencies received between 2014 and 2019 increased by around 14.5% </w:t>
      </w:r>
      <w:r w:rsidR="003C03A9">
        <w:t>and</w:t>
      </w:r>
      <w:r w:rsidR="003C03A9" w:rsidRPr="000F73B5">
        <w:t xml:space="preserve"> </w:t>
      </w:r>
      <w:r w:rsidR="000833C9" w:rsidRPr="000F73B5">
        <w:t xml:space="preserve">is </w:t>
      </w:r>
      <w:r w:rsidR="00652E85" w:rsidRPr="000F73B5">
        <w:t xml:space="preserve">likely to </w:t>
      </w:r>
      <w:r w:rsidR="000833C9" w:rsidRPr="000F73B5">
        <w:t>increase based on current trends.</w:t>
      </w:r>
      <w:r w:rsidR="000833C9" w:rsidRPr="000F73B5">
        <w:rPr>
          <w:rStyle w:val="FootnoteReference"/>
        </w:rPr>
        <w:footnoteReference w:id="21"/>
      </w:r>
      <w:r w:rsidR="002D3F40" w:rsidRPr="000F73B5">
        <w:t xml:space="preserve"> Despite a growing number of requests, there was a </w:t>
      </w:r>
      <w:r w:rsidR="00545C95" w:rsidRPr="000F73B5">
        <w:t xml:space="preserve">5.2% decrease in FOI decision makers </w:t>
      </w:r>
      <w:r w:rsidR="002D3F40" w:rsidRPr="000F73B5">
        <w:t>from 2014 to 2019</w:t>
      </w:r>
      <w:r w:rsidR="00545C95" w:rsidRPr="000F73B5">
        <w:t>.</w:t>
      </w:r>
      <w:r w:rsidR="00545C95" w:rsidRPr="000F73B5">
        <w:rPr>
          <w:rStyle w:val="FootnoteReference"/>
        </w:rPr>
        <w:footnoteReference w:id="22"/>
      </w:r>
    </w:p>
    <w:p w14:paraId="41C9C4CE" w14:textId="476E9456" w:rsidR="00FE51E9" w:rsidRPr="000F73B5" w:rsidRDefault="00A12E2F" w:rsidP="000A230E">
      <w:pPr>
        <w:pStyle w:val="Body"/>
      </w:pPr>
      <w:r w:rsidRPr="000F73B5">
        <w:t>Further,</w:t>
      </w:r>
      <w:r w:rsidR="00F070BF" w:rsidRPr="000F73B5">
        <w:t xml:space="preserve"> complex requests can take up a significant amount of an FOI practitioner’s time.</w:t>
      </w:r>
      <w:r w:rsidR="00C050D6" w:rsidRPr="000F73B5">
        <w:rPr>
          <w:rStyle w:val="FootnoteReference"/>
        </w:rPr>
        <w:footnoteReference w:id="23"/>
      </w:r>
      <w:r w:rsidR="00AB2391" w:rsidRPr="000F73B5">
        <w:t xml:space="preserve"> </w:t>
      </w:r>
      <w:r w:rsidR="00C02A9C" w:rsidRPr="000F73B5">
        <w:t>Examples of c</w:t>
      </w:r>
      <w:r w:rsidR="00AB2391" w:rsidRPr="000F73B5">
        <w:t xml:space="preserve">omplex requests may </w:t>
      </w:r>
      <w:r w:rsidR="00C02A9C" w:rsidRPr="000F73B5">
        <w:t>include those with</w:t>
      </w:r>
      <w:r w:rsidR="00AB2391" w:rsidRPr="000F73B5">
        <w:t xml:space="preserve"> a large </w:t>
      </w:r>
      <w:r w:rsidR="001664BF" w:rsidRPr="000F73B5">
        <w:t>volume</w:t>
      </w:r>
      <w:r w:rsidR="00AB2391" w:rsidRPr="000F73B5">
        <w:t xml:space="preserve"> </w:t>
      </w:r>
      <w:r w:rsidR="00BA7E61" w:rsidRPr="000F73B5">
        <w:t xml:space="preserve">of </w:t>
      </w:r>
      <w:r w:rsidR="00AB2391" w:rsidRPr="000F73B5">
        <w:t xml:space="preserve">documents, requests covering long periods of time, </w:t>
      </w:r>
      <w:r w:rsidR="00C02A9C" w:rsidRPr="000F73B5">
        <w:t xml:space="preserve">requests involving </w:t>
      </w:r>
      <w:r w:rsidR="00AB2391" w:rsidRPr="000F73B5">
        <w:t xml:space="preserve">documents </w:t>
      </w:r>
      <w:r w:rsidR="00C02A9C" w:rsidRPr="000F73B5">
        <w:t>with information relating to</w:t>
      </w:r>
      <w:r w:rsidR="00AB2391" w:rsidRPr="000F73B5">
        <w:t xml:space="preserve"> third-part</w:t>
      </w:r>
      <w:r w:rsidR="00C02A9C" w:rsidRPr="000F73B5">
        <w:t>ies</w:t>
      </w:r>
      <w:r w:rsidR="005D11B4" w:rsidRPr="000F73B5">
        <w:t>, or requests involving documents that require specific or technical expertise to review</w:t>
      </w:r>
      <w:r w:rsidR="00AB2391" w:rsidRPr="000F73B5">
        <w:t>.</w:t>
      </w:r>
    </w:p>
    <w:p w14:paraId="44A90997" w14:textId="28C63EF2" w:rsidR="00F403BA" w:rsidRPr="000F73B5" w:rsidRDefault="00F403BA" w:rsidP="002A5A6A">
      <w:pPr>
        <w:pStyle w:val="Body"/>
        <w:keepLines/>
      </w:pPr>
      <w:r w:rsidRPr="000F73B5">
        <w:lastRenderedPageBreak/>
        <w:t xml:space="preserve">Legislative amendment to the Act in 2017 shortened the time to make an FOI decision from 45 days to 30 days and introduced mandatory third-party consultation requirements for </w:t>
      </w:r>
      <w:r w:rsidR="008B5684">
        <w:t>certain</w:t>
      </w:r>
      <w:r w:rsidRPr="000F73B5">
        <w:t xml:space="preserve"> exemptions. These amendments have made it harder for FOI practitioners to administer the Act by reducing timeframes </w:t>
      </w:r>
      <w:r w:rsidR="003C03A9">
        <w:t>despite</w:t>
      </w:r>
      <w:r w:rsidR="003C03A9" w:rsidRPr="000F73B5">
        <w:t xml:space="preserve"> </w:t>
      </w:r>
      <w:r w:rsidRPr="000F73B5">
        <w:t>increasing FOI workloads.</w:t>
      </w:r>
    </w:p>
    <w:p w14:paraId="049243AD" w14:textId="75D17FE9" w:rsidR="00BE580B" w:rsidRPr="000F73B5" w:rsidRDefault="00A80CA9" w:rsidP="00425C41">
      <w:pPr>
        <w:pStyle w:val="Heading-3"/>
        <w:keepNext/>
      </w:pPr>
      <w:r w:rsidRPr="000F73B5">
        <w:t>Legislation</w:t>
      </w:r>
    </w:p>
    <w:p w14:paraId="25A342DE" w14:textId="4C660A34" w:rsidR="00066437" w:rsidRPr="000F73B5" w:rsidRDefault="005312D7" w:rsidP="000A230E">
      <w:pPr>
        <w:pStyle w:val="Body"/>
      </w:pPr>
      <w:r w:rsidRPr="000F73B5">
        <w:t>The Act</w:t>
      </w:r>
      <w:r w:rsidR="0089747C" w:rsidRPr="000F73B5">
        <w:t xml:space="preserve"> has not received </w:t>
      </w:r>
      <w:r w:rsidR="006D0A78" w:rsidRPr="000F73B5">
        <w:t>a comprehensive review</w:t>
      </w:r>
      <w:r w:rsidR="00392010" w:rsidRPr="000F73B5">
        <w:t xml:space="preserve"> </w:t>
      </w:r>
      <w:r w:rsidR="00002130" w:rsidRPr="000F73B5">
        <w:t xml:space="preserve">since </w:t>
      </w:r>
      <w:r w:rsidRPr="000F73B5">
        <w:t>it was introduced</w:t>
      </w:r>
      <w:r w:rsidR="00242B3E">
        <w:t xml:space="preserve"> in the early 1980s</w:t>
      </w:r>
      <w:r w:rsidR="008B5684">
        <w:t xml:space="preserve">. As recommended in OVIC’s </w:t>
      </w:r>
      <w:r w:rsidR="00066437">
        <w:t>O</w:t>
      </w:r>
      <w:r w:rsidR="008B5684">
        <w:t xml:space="preserve">wn </w:t>
      </w:r>
      <w:r w:rsidR="00066437">
        <w:t>M</w:t>
      </w:r>
      <w:r w:rsidR="008B5684">
        <w:t xml:space="preserve">otion </w:t>
      </w:r>
      <w:r w:rsidR="00066437">
        <w:t>I</w:t>
      </w:r>
      <w:r w:rsidR="008B5684">
        <w:t xml:space="preserve">nvestigation </w:t>
      </w:r>
      <w:r w:rsidR="00066437">
        <w:t>R</w:t>
      </w:r>
      <w:r w:rsidR="008B5684">
        <w:t>eport</w:t>
      </w:r>
      <w:r w:rsidR="00066437">
        <w:t xml:space="preserve">, </w:t>
      </w:r>
      <w:r w:rsidR="008B5684">
        <w:t>the Act requires</w:t>
      </w:r>
      <w:r w:rsidR="000F68D0">
        <w:t xml:space="preserve"> a comprehensive review to </w:t>
      </w:r>
      <w:r w:rsidR="00392010" w:rsidRPr="000F73B5">
        <w:t xml:space="preserve">modernise </w:t>
      </w:r>
      <w:r w:rsidR="000F68D0">
        <w:t xml:space="preserve">the information access scheme </w:t>
      </w:r>
      <w:r w:rsidR="00392010" w:rsidRPr="000F73B5">
        <w:t xml:space="preserve">and ensure </w:t>
      </w:r>
      <w:r w:rsidR="00066437">
        <w:t xml:space="preserve">the Act </w:t>
      </w:r>
      <w:r w:rsidR="00066437" w:rsidRPr="00066437">
        <w:t>is fulfilling its object of timely and cost effective provision of information.</w:t>
      </w:r>
      <w:r w:rsidR="00FA2B5A">
        <w:rPr>
          <w:rStyle w:val="FootnoteReference"/>
        </w:rPr>
        <w:footnoteReference w:id="24"/>
      </w:r>
      <w:r w:rsidR="00066437" w:rsidRPr="00066437">
        <w:t xml:space="preserve"> Such a review should inquire into the operation of the access to information scheme and how the scheme and </w:t>
      </w:r>
      <w:r w:rsidR="00066437">
        <w:t xml:space="preserve">the </w:t>
      </w:r>
      <w:r w:rsidR="00066437" w:rsidRPr="00066437">
        <w:t>Act can be modernised and harmonised with contemporary notions of government transparency and accountability, drawing on best practice in other Australian jurisdictions and internationally</w:t>
      </w:r>
      <w:r w:rsidR="00066437">
        <w:t>.</w:t>
      </w:r>
    </w:p>
    <w:p w14:paraId="4F3410FA" w14:textId="7048E6B0" w:rsidR="00392010" w:rsidRPr="000F73B5" w:rsidRDefault="00216A15" w:rsidP="000A230E">
      <w:pPr>
        <w:pStyle w:val="Body"/>
      </w:pPr>
      <w:r w:rsidRPr="000F73B5">
        <w:t>S</w:t>
      </w:r>
      <w:r w:rsidR="00392010" w:rsidRPr="000F73B5">
        <w:t xml:space="preserve">ome challenges with </w:t>
      </w:r>
      <w:r w:rsidR="00F62684" w:rsidRPr="000F73B5">
        <w:t xml:space="preserve">administering </w:t>
      </w:r>
      <w:r w:rsidR="00392010" w:rsidRPr="000F73B5">
        <w:t xml:space="preserve">the </w:t>
      </w:r>
      <w:r w:rsidR="003C03A9">
        <w:t xml:space="preserve">current </w:t>
      </w:r>
      <w:r w:rsidR="00392010" w:rsidRPr="000F73B5">
        <w:t>Act includ</w:t>
      </w:r>
      <w:r w:rsidRPr="000F73B5">
        <w:t>e</w:t>
      </w:r>
      <w:r w:rsidR="00392010" w:rsidRPr="000F73B5">
        <w:t xml:space="preserve">: </w:t>
      </w:r>
    </w:p>
    <w:p w14:paraId="1946B69B" w14:textId="6A06DF33" w:rsidR="00392010" w:rsidRPr="000F73B5" w:rsidRDefault="00327D26" w:rsidP="00321E41">
      <w:pPr>
        <w:pStyle w:val="Body"/>
        <w:numPr>
          <w:ilvl w:val="0"/>
          <w:numId w:val="15"/>
        </w:numPr>
      </w:pPr>
      <w:r w:rsidRPr="000F73B5">
        <w:t xml:space="preserve">outdated language which makes it difficult to apply in an increasingly digital </w:t>
      </w:r>
      <w:r w:rsidR="00CA5A9B" w:rsidRPr="000F73B5">
        <w:t>working environment</w:t>
      </w:r>
      <w:r w:rsidRPr="000F73B5">
        <w:t>;</w:t>
      </w:r>
      <w:r w:rsidR="00AD2A7F" w:rsidRPr="000F73B5">
        <w:rPr>
          <w:rStyle w:val="FootnoteReference"/>
        </w:rPr>
        <w:footnoteReference w:id="25"/>
      </w:r>
    </w:p>
    <w:p w14:paraId="22FD4546" w14:textId="24AD8CFB" w:rsidR="00327D26" w:rsidRPr="000F73B5" w:rsidRDefault="006033F8" w:rsidP="00321E41">
      <w:pPr>
        <w:pStyle w:val="Body"/>
        <w:numPr>
          <w:ilvl w:val="0"/>
          <w:numId w:val="15"/>
        </w:numPr>
      </w:pPr>
      <w:r w:rsidRPr="000F73B5">
        <w:t xml:space="preserve">the 2017 amendments, which shortened the </w:t>
      </w:r>
      <w:r w:rsidR="007061E1" w:rsidRPr="000F73B5">
        <w:t xml:space="preserve">decision-making timeframes </w:t>
      </w:r>
      <w:r w:rsidRPr="000F73B5">
        <w:t xml:space="preserve">from 45 days to 30 days and introduced mandatory third-party notification in some </w:t>
      </w:r>
      <w:proofErr w:type="gramStart"/>
      <w:r w:rsidRPr="000F73B5">
        <w:t>instances;</w:t>
      </w:r>
      <w:proofErr w:type="gramEnd"/>
      <w:r w:rsidR="00FA1B93" w:rsidRPr="000F73B5">
        <w:rPr>
          <w:rStyle w:val="FootnoteReference"/>
        </w:rPr>
        <w:t xml:space="preserve"> </w:t>
      </w:r>
      <w:r w:rsidR="00FA1B93" w:rsidRPr="000F73B5">
        <w:rPr>
          <w:rStyle w:val="FootnoteReference"/>
        </w:rPr>
        <w:footnoteReference w:id="26"/>
      </w:r>
      <w:r w:rsidR="00AD2A7F" w:rsidRPr="000F73B5">
        <w:t xml:space="preserve"> and</w:t>
      </w:r>
    </w:p>
    <w:p w14:paraId="6ADC9E61" w14:textId="09319D24" w:rsidR="000E7835" w:rsidRPr="000F73B5" w:rsidRDefault="006033F8" w:rsidP="00321E41">
      <w:pPr>
        <w:pStyle w:val="Body"/>
        <w:numPr>
          <w:ilvl w:val="0"/>
          <w:numId w:val="15"/>
        </w:numPr>
      </w:pPr>
      <w:r w:rsidRPr="000F73B5">
        <w:t xml:space="preserve">the need for a vexatious applicant provision </w:t>
      </w:r>
      <w:r w:rsidR="003C03A9">
        <w:t xml:space="preserve">to address repeated and persistent applicants that may occupy a disproportionate amount of agency resources, adding to </w:t>
      </w:r>
      <w:r w:rsidRPr="000F73B5">
        <w:t>increas</w:t>
      </w:r>
      <w:r w:rsidR="000F68D0">
        <w:t>ing</w:t>
      </w:r>
      <w:r w:rsidR="003C03A9">
        <w:t xml:space="preserve"> </w:t>
      </w:r>
      <w:r w:rsidRPr="000F73B5">
        <w:t>FOI workload</w:t>
      </w:r>
      <w:r w:rsidR="00077117">
        <w:t>s</w:t>
      </w:r>
      <w:r w:rsidR="003C03A9">
        <w:t xml:space="preserve">, </w:t>
      </w:r>
      <w:r w:rsidRPr="000F73B5">
        <w:t xml:space="preserve">volume of requests and time needed to </w:t>
      </w:r>
      <w:r w:rsidR="003C03A9">
        <w:t>process</w:t>
      </w:r>
      <w:r w:rsidR="003C03A9" w:rsidRPr="000F73B5">
        <w:t xml:space="preserve"> </w:t>
      </w:r>
      <w:r w:rsidRPr="000F73B5">
        <w:t>requests</w:t>
      </w:r>
      <w:r w:rsidR="00AD2A7F" w:rsidRPr="000F73B5">
        <w:t>.</w:t>
      </w:r>
      <w:r w:rsidRPr="000F73B5">
        <w:rPr>
          <w:rStyle w:val="FootnoteReference"/>
        </w:rPr>
        <w:footnoteReference w:id="27"/>
      </w:r>
    </w:p>
    <w:p w14:paraId="0555CD2D" w14:textId="6BCB818E" w:rsidR="0082514D" w:rsidRPr="000F73B5" w:rsidRDefault="0082514D" w:rsidP="000A230E">
      <w:pPr>
        <w:pStyle w:val="Body"/>
      </w:pPr>
      <w:r w:rsidRPr="000F73B5">
        <w:t>In addition to challenges with administering the Act, there are other legislative challenges with facilitating access to information</w:t>
      </w:r>
      <w:r w:rsidR="000F68D0">
        <w:t>.</w:t>
      </w:r>
      <w:r w:rsidR="00A91CF1" w:rsidRPr="000F73B5">
        <w:t xml:space="preserve"> </w:t>
      </w:r>
      <w:r w:rsidR="000F68D0">
        <w:t>A</w:t>
      </w:r>
      <w:r w:rsidR="00A91CF1" w:rsidRPr="000F73B5">
        <w:t>gencies</w:t>
      </w:r>
      <w:r w:rsidR="00B032A2" w:rsidRPr="000F73B5">
        <w:t xml:space="preserve"> </w:t>
      </w:r>
      <w:r w:rsidR="00A91CF1" w:rsidRPr="000F73B5">
        <w:t xml:space="preserve">must be mindful of </w:t>
      </w:r>
      <w:r w:rsidR="000F68D0">
        <w:t>other</w:t>
      </w:r>
      <w:r w:rsidR="00A91CF1" w:rsidRPr="000F73B5">
        <w:t xml:space="preserve"> legislation which </w:t>
      </w:r>
      <w:r w:rsidR="000F68D0">
        <w:t>interacts with the Act and</w:t>
      </w:r>
      <w:r w:rsidR="00A91CF1" w:rsidRPr="000F73B5">
        <w:t xml:space="preserve"> </w:t>
      </w:r>
      <w:r w:rsidR="00C33EC6">
        <w:t xml:space="preserve">can </w:t>
      </w:r>
      <w:r w:rsidR="00A91CF1" w:rsidRPr="000F73B5">
        <w:t xml:space="preserve">create confusion regarding </w:t>
      </w:r>
      <w:r w:rsidR="00ED6BC6" w:rsidRPr="000F73B5">
        <w:t xml:space="preserve">what </w:t>
      </w:r>
      <w:r w:rsidR="000F68D0">
        <w:t>information can released</w:t>
      </w:r>
      <w:r w:rsidR="00D66188">
        <w:t xml:space="preserve"> </w:t>
      </w:r>
      <w:r w:rsidR="00A91CF1" w:rsidRPr="000F73B5">
        <w:t>(for example, secrecy provisions in other Acts).</w:t>
      </w:r>
      <w:r w:rsidR="00576AF8" w:rsidRPr="000F73B5">
        <w:rPr>
          <w:rStyle w:val="FootnoteReference"/>
        </w:rPr>
        <w:footnoteReference w:id="28"/>
      </w:r>
    </w:p>
    <w:p w14:paraId="7E7214DE" w14:textId="1D84EBBE" w:rsidR="007F0E72" w:rsidRPr="000F73B5" w:rsidRDefault="007F0E72" w:rsidP="00F96F36">
      <w:pPr>
        <w:pStyle w:val="Heading-2"/>
      </w:pPr>
      <w:bookmarkStart w:id="9" w:name="_Toc83287259"/>
      <w:r w:rsidRPr="000F73B5">
        <w:t>The</w:t>
      </w:r>
      <w:r w:rsidR="000D437A" w:rsidRPr="000F73B5">
        <w:t xml:space="preserve">re is a strong will to make </w:t>
      </w:r>
      <w:r w:rsidRPr="000F73B5">
        <w:t xml:space="preserve">FOI in Victoria </w:t>
      </w:r>
      <w:r w:rsidR="000D437A" w:rsidRPr="000F73B5">
        <w:t>work better</w:t>
      </w:r>
      <w:bookmarkEnd w:id="9"/>
      <w:r w:rsidRPr="000F73B5">
        <w:t xml:space="preserve"> </w:t>
      </w:r>
    </w:p>
    <w:p w14:paraId="7EDC630C" w14:textId="42DCFD6C" w:rsidR="008B2262" w:rsidRPr="000F73B5" w:rsidRDefault="00865722" w:rsidP="000A230E">
      <w:pPr>
        <w:pStyle w:val="Body"/>
      </w:pPr>
      <w:r w:rsidRPr="000F73B5">
        <w:t xml:space="preserve">Despite the challenges outlined, </w:t>
      </w:r>
      <w:r w:rsidR="009F661A" w:rsidRPr="000F73B5">
        <w:t xml:space="preserve">agencies generally </w:t>
      </w:r>
      <w:r w:rsidR="002440F5" w:rsidRPr="000F73B5">
        <w:t xml:space="preserve">agree </w:t>
      </w:r>
      <w:r w:rsidR="008B2262" w:rsidRPr="000F73B5">
        <w:t xml:space="preserve">the current information access system in Victoria </w:t>
      </w:r>
      <w:r w:rsidR="00482190" w:rsidRPr="000F73B5">
        <w:t>functions</w:t>
      </w:r>
      <w:r w:rsidR="008B2262" w:rsidRPr="000F73B5">
        <w:t xml:space="preserve"> well</w:t>
      </w:r>
      <w:r w:rsidRPr="000F73B5">
        <w:t>.</w:t>
      </w:r>
      <w:r w:rsidR="007A15C2" w:rsidRPr="000F73B5">
        <w:rPr>
          <w:rStyle w:val="FootnoteReference"/>
        </w:rPr>
        <w:footnoteReference w:id="29"/>
      </w:r>
      <w:r w:rsidRPr="000F73B5">
        <w:t xml:space="preserve"> However, there is </w:t>
      </w:r>
      <w:r w:rsidR="00BA4C1E" w:rsidRPr="000F73B5">
        <w:t>a strong will to</w:t>
      </w:r>
      <w:r w:rsidR="005317B9" w:rsidRPr="000F73B5">
        <w:t xml:space="preserve"> make FOI work better</w:t>
      </w:r>
      <w:r w:rsidR="009D5607" w:rsidRPr="000F73B5">
        <w:t xml:space="preserve"> in Victoria</w:t>
      </w:r>
      <w:r w:rsidR="005317B9" w:rsidRPr="000F73B5">
        <w:t>.</w:t>
      </w:r>
      <w:r w:rsidR="005317B9" w:rsidRPr="000F73B5">
        <w:rPr>
          <w:rStyle w:val="FootnoteReference"/>
        </w:rPr>
        <w:footnoteReference w:id="30"/>
      </w:r>
    </w:p>
    <w:p w14:paraId="4C02B0CF" w14:textId="52B17CE6" w:rsidR="00396D8F" w:rsidRPr="000F73B5" w:rsidRDefault="00396D8F" w:rsidP="002A5A6A">
      <w:pPr>
        <w:pStyle w:val="Body"/>
        <w:keepLines/>
      </w:pPr>
      <w:r w:rsidRPr="000F73B5">
        <w:lastRenderedPageBreak/>
        <w:t xml:space="preserve">The </w:t>
      </w:r>
      <w:r w:rsidR="00FD73C5" w:rsidRPr="000F73B5">
        <w:t xml:space="preserve">Culture of FOI in Victoria </w:t>
      </w:r>
      <w:r w:rsidRPr="000F73B5">
        <w:t xml:space="preserve">Part II Study Report recommends two </w:t>
      </w:r>
      <w:r w:rsidR="003F13A0" w:rsidRPr="000F73B5">
        <w:t xml:space="preserve">ways </w:t>
      </w:r>
      <w:r w:rsidRPr="000F73B5">
        <w:t>to improv</w:t>
      </w:r>
      <w:r w:rsidR="003F13A0" w:rsidRPr="000F73B5">
        <w:t>e</w:t>
      </w:r>
      <w:r w:rsidRPr="000F73B5">
        <w:t xml:space="preserve"> the information access system in Victoria: legislative change and </w:t>
      </w:r>
      <w:r w:rsidR="00034877" w:rsidRPr="000F73B5">
        <w:t xml:space="preserve">changing </w:t>
      </w:r>
      <w:r w:rsidRPr="000F73B5">
        <w:t>FOI culture.</w:t>
      </w:r>
      <w:r w:rsidRPr="000F73B5">
        <w:rPr>
          <w:rStyle w:val="FootnoteReference"/>
        </w:rPr>
        <w:footnoteReference w:id="31"/>
      </w:r>
      <w:r w:rsidRPr="000F73B5">
        <w:t xml:space="preserve">  </w:t>
      </w:r>
    </w:p>
    <w:p w14:paraId="44467583" w14:textId="5F695824" w:rsidR="00C71FAF" w:rsidRPr="000F73B5" w:rsidRDefault="00C71FAF" w:rsidP="000A230E">
      <w:pPr>
        <w:pStyle w:val="Body"/>
      </w:pPr>
      <w:r w:rsidRPr="000F73B5">
        <w:t xml:space="preserve">OVIC </w:t>
      </w:r>
      <w:r w:rsidR="000479FD" w:rsidRPr="000F73B5">
        <w:t>recommends a comprehensive review of the Act to modernise it, ensure it fulfil</w:t>
      </w:r>
      <w:r w:rsidR="00FB7664" w:rsidRPr="000F73B5">
        <w:t>s</w:t>
      </w:r>
      <w:r w:rsidR="000479FD" w:rsidRPr="000F73B5">
        <w:t xml:space="preserve"> its object the way Parliament intended, and clarify provisions to make </w:t>
      </w:r>
      <w:r w:rsidR="00AA7067" w:rsidRPr="000F73B5">
        <w:t>the Act</w:t>
      </w:r>
      <w:r w:rsidR="000479FD" w:rsidRPr="000F73B5">
        <w:t xml:space="preserve"> more efficient for agencies to administer. </w:t>
      </w:r>
    </w:p>
    <w:p w14:paraId="2B47E2F3" w14:textId="75A0D1A2" w:rsidR="000479FD" w:rsidRPr="000F73B5" w:rsidRDefault="00DD4C04" w:rsidP="000A230E">
      <w:pPr>
        <w:pStyle w:val="Body"/>
      </w:pPr>
      <w:r w:rsidRPr="000F73B5">
        <w:t>Agency culture regarding information access is</w:t>
      </w:r>
      <w:r>
        <w:t xml:space="preserve"> also</w:t>
      </w:r>
      <w:r w:rsidRPr="000F73B5">
        <w:t xml:space="preserve"> </w:t>
      </w:r>
      <w:r>
        <w:t>important for</w:t>
      </w:r>
      <w:r w:rsidRPr="000F73B5">
        <w:t xml:space="preserve"> improving FOI functionality in Victoria.</w:t>
      </w:r>
      <w:r>
        <w:t xml:space="preserve"> Therefore, i</w:t>
      </w:r>
      <w:r w:rsidR="000479FD" w:rsidRPr="000F73B5">
        <w:t xml:space="preserve">n the absence of legislative change, OVIC is focused on </w:t>
      </w:r>
      <w:r w:rsidR="0081584E" w:rsidRPr="000F73B5">
        <w:t>enhancing</w:t>
      </w:r>
      <w:r w:rsidR="000479FD" w:rsidRPr="000F73B5">
        <w:t xml:space="preserve"> FOI through culture</w:t>
      </w:r>
      <w:r w:rsidR="00490BA8" w:rsidRPr="000F73B5">
        <w:t xml:space="preserve"> and behaviour</w:t>
      </w:r>
      <w:r w:rsidR="000479FD" w:rsidRPr="000F73B5">
        <w:t>.</w:t>
      </w:r>
      <w:r w:rsidR="00C25A66" w:rsidRPr="000F73B5">
        <w:t xml:space="preserve"> E</w:t>
      </w:r>
      <w:r w:rsidR="0066577E" w:rsidRPr="000F73B5">
        <w:t xml:space="preserve">ven </w:t>
      </w:r>
      <w:r w:rsidR="00F13440" w:rsidRPr="000F73B5">
        <w:t>if</w:t>
      </w:r>
      <w:r w:rsidR="0066577E" w:rsidRPr="000F73B5">
        <w:t xml:space="preserve"> legislative change </w:t>
      </w:r>
      <w:r w:rsidR="0036305C" w:rsidRPr="000F73B5">
        <w:t>does occur</w:t>
      </w:r>
      <w:r w:rsidR="0066577E" w:rsidRPr="000F73B5">
        <w:t>, administer</w:t>
      </w:r>
      <w:r w:rsidR="00287A67" w:rsidRPr="000F73B5">
        <w:t>ing</w:t>
      </w:r>
      <w:r w:rsidR="0066577E" w:rsidRPr="000F73B5">
        <w:t xml:space="preserve"> </w:t>
      </w:r>
      <w:r w:rsidR="00F13440" w:rsidRPr="000F73B5">
        <w:t>the Act</w:t>
      </w:r>
      <w:r w:rsidR="0066577E" w:rsidRPr="000F73B5">
        <w:t xml:space="preserve"> in the way Parliament intended still requires a positive agency FOI culture. </w:t>
      </w:r>
      <w:r w:rsidR="009B2F15">
        <w:t xml:space="preserve">Further, while agencies </w:t>
      </w:r>
      <w:r>
        <w:t>believe</w:t>
      </w:r>
      <w:r w:rsidR="009B2F15">
        <w:t xml:space="preserve"> legislative change is important for the efficient administration of the Act, agencies acknowledge a positive FOI culture is </w:t>
      </w:r>
      <w:r>
        <w:t xml:space="preserve">equally </w:t>
      </w:r>
      <w:r w:rsidR="009B2F15">
        <w:t>important.</w:t>
      </w:r>
      <w:r w:rsidR="009B2F15">
        <w:rPr>
          <w:rStyle w:val="FootnoteReference"/>
        </w:rPr>
        <w:footnoteReference w:id="32"/>
      </w:r>
      <w:r w:rsidR="009B2F15">
        <w:t xml:space="preserve"> </w:t>
      </w:r>
    </w:p>
    <w:p w14:paraId="56265765" w14:textId="043DE8DF" w:rsidR="00842F14" w:rsidRPr="000F73B5" w:rsidRDefault="00842F14" w:rsidP="000A230E">
      <w:pPr>
        <w:pStyle w:val="Heading-3"/>
      </w:pPr>
      <w:r w:rsidRPr="000F73B5">
        <w:t>Making FOI in Victoria work better through proactive and informal release</w:t>
      </w:r>
    </w:p>
    <w:p w14:paraId="150B1317" w14:textId="4AEE6BFA" w:rsidR="005034DD" w:rsidRPr="000F73B5" w:rsidRDefault="00635304" w:rsidP="000A230E">
      <w:pPr>
        <w:pStyle w:val="Body"/>
      </w:pPr>
      <w:r w:rsidRPr="000F73B5">
        <w:t>P</w:t>
      </w:r>
      <w:r w:rsidR="00842F14" w:rsidRPr="000F73B5">
        <w:t xml:space="preserve">roactive and informal release can play </w:t>
      </w:r>
      <w:r w:rsidRPr="000F73B5">
        <w:t xml:space="preserve">a pivotal role </w:t>
      </w:r>
      <w:r w:rsidR="00842F14" w:rsidRPr="000F73B5">
        <w:t xml:space="preserve">in FOI culture. </w:t>
      </w:r>
      <w:r w:rsidRPr="000F73B5">
        <w:t>N</w:t>
      </w:r>
      <w:r w:rsidR="00842F14" w:rsidRPr="000F73B5">
        <w:t>ot only</w:t>
      </w:r>
      <w:r w:rsidRPr="000F73B5">
        <w:t xml:space="preserve"> does it fulfil</w:t>
      </w:r>
      <w:r w:rsidR="00842F14" w:rsidRPr="000F73B5">
        <w:t xml:space="preserve"> the object of the Act, but </w:t>
      </w:r>
      <w:r w:rsidRPr="000F73B5">
        <w:t>proactive and informal release</w:t>
      </w:r>
      <w:r w:rsidR="00842F14" w:rsidRPr="000F73B5">
        <w:t xml:space="preserve"> also embraces best practice by making it easier for the public to access government-held information and more efficient for agencies to facilitate access to th</w:t>
      </w:r>
      <w:r w:rsidR="001A1007" w:rsidRPr="000F73B5">
        <w:t>e</w:t>
      </w:r>
      <w:r w:rsidR="00842F14" w:rsidRPr="000F73B5">
        <w:t xml:space="preserve"> information. </w:t>
      </w:r>
    </w:p>
    <w:p w14:paraId="324BA610" w14:textId="6ACA9B78" w:rsidR="005A3268" w:rsidRPr="000F73B5" w:rsidRDefault="00E470E1" w:rsidP="005A3268">
      <w:pPr>
        <w:pStyle w:val="Heading-1"/>
      </w:pPr>
      <w:bookmarkStart w:id="10" w:name="_Toc83287260"/>
      <w:r w:rsidRPr="000F73B5">
        <w:t>INFLUENCING BEHAVIOUR TO ENHANCE PROACTIVE AND INFORMAL RELEASE</w:t>
      </w:r>
      <w:bookmarkEnd w:id="10"/>
    </w:p>
    <w:p w14:paraId="5919D29F" w14:textId="3E6D3CCB" w:rsidR="00C01D05" w:rsidRPr="000F73B5" w:rsidRDefault="00C01D05" w:rsidP="000A230E">
      <w:pPr>
        <w:pStyle w:val="Body"/>
      </w:pPr>
      <w:r w:rsidRPr="000F73B5">
        <w:t>Proactive and informal release refer</w:t>
      </w:r>
      <w:r w:rsidR="00832D62" w:rsidRPr="000F73B5">
        <w:t>s</w:t>
      </w:r>
      <w:r w:rsidRPr="000F73B5">
        <w:t xml:space="preserve"> to</w:t>
      </w:r>
      <w:r w:rsidR="00832D62" w:rsidRPr="000F73B5">
        <w:t xml:space="preserve"> providing access to </w:t>
      </w:r>
      <w:r w:rsidR="007D71D4" w:rsidRPr="000F73B5">
        <w:t>government</w:t>
      </w:r>
      <w:r w:rsidR="00384FFC" w:rsidRPr="000F73B5">
        <w:t xml:space="preserve">-held </w:t>
      </w:r>
      <w:r w:rsidR="00832D62" w:rsidRPr="000F73B5">
        <w:t>information outside of a formal FOI request</w:t>
      </w:r>
      <w:r w:rsidR="006C52CF" w:rsidRPr="000F73B5">
        <w:t>:</w:t>
      </w:r>
      <w:r w:rsidR="00932170" w:rsidRPr="000F73B5">
        <w:rPr>
          <w:rStyle w:val="FootnoteReference"/>
        </w:rPr>
        <w:footnoteReference w:id="33"/>
      </w:r>
    </w:p>
    <w:p w14:paraId="25203236" w14:textId="5560E98A" w:rsidR="00E07CC0" w:rsidRPr="000F73B5" w:rsidRDefault="00E07CC0" w:rsidP="00321E41">
      <w:pPr>
        <w:pStyle w:val="Body"/>
        <w:numPr>
          <w:ilvl w:val="0"/>
          <w:numId w:val="17"/>
        </w:numPr>
      </w:pPr>
      <w:r w:rsidRPr="000F73B5">
        <w:rPr>
          <w:b/>
          <w:bCs/>
        </w:rPr>
        <w:t>Proactive release</w:t>
      </w:r>
      <w:r w:rsidRPr="000F73B5">
        <w:t xml:space="preserve"> involves an agency making information publicly available, on its own accord, without </w:t>
      </w:r>
      <w:r w:rsidR="00C01D05" w:rsidRPr="000F73B5">
        <w:t xml:space="preserve">a person </w:t>
      </w:r>
      <w:r w:rsidRPr="000F73B5">
        <w:t xml:space="preserve">making an </w:t>
      </w:r>
      <w:r w:rsidR="00C01D05" w:rsidRPr="000F73B5">
        <w:t>information access</w:t>
      </w:r>
      <w:r w:rsidRPr="000F73B5">
        <w:t xml:space="preserve"> request.</w:t>
      </w:r>
      <w:r w:rsidR="00C01D05" w:rsidRPr="000F73B5">
        <w:rPr>
          <w:rStyle w:val="FootnoteReference"/>
        </w:rPr>
        <w:footnoteReference w:id="34"/>
      </w:r>
      <w:r w:rsidRPr="000F73B5">
        <w:t xml:space="preserve"> This may involve an agency publishing certain information, reports, </w:t>
      </w:r>
      <w:r w:rsidR="00975400" w:rsidRPr="000F73B5">
        <w:t xml:space="preserve">data, </w:t>
      </w:r>
      <w:proofErr w:type="gramStart"/>
      <w:r w:rsidRPr="000F73B5">
        <w:t>submissions</w:t>
      </w:r>
      <w:proofErr w:type="gramEnd"/>
      <w:r w:rsidRPr="000F73B5">
        <w:t xml:space="preserve"> or other documents on its website.</w:t>
      </w:r>
    </w:p>
    <w:p w14:paraId="088B6E25" w14:textId="198D3362" w:rsidR="00E07CC0" w:rsidRPr="000F73B5" w:rsidRDefault="00E07CC0" w:rsidP="00321E41">
      <w:pPr>
        <w:pStyle w:val="Body"/>
        <w:numPr>
          <w:ilvl w:val="0"/>
          <w:numId w:val="17"/>
        </w:numPr>
      </w:pPr>
      <w:bookmarkStart w:id="11" w:name="_ftn1"/>
      <w:bookmarkEnd w:id="11"/>
      <w:r w:rsidRPr="000F73B5">
        <w:rPr>
          <w:b/>
          <w:bCs/>
        </w:rPr>
        <w:t>Informal release</w:t>
      </w:r>
      <w:r w:rsidRPr="000F73B5">
        <w:t xml:space="preserve"> involves an agency receiving a request for information or a document and providing access to the relevant information outside of the Act.</w:t>
      </w:r>
      <w:bookmarkStart w:id="12" w:name="_ftnref2"/>
      <w:bookmarkEnd w:id="12"/>
      <w:r w:rsidR="00725DC0" w:rsidRPr="000F73B5">
        <w:rPr>
          <w:rStyle w:val="FootnoteReference"/>
        </w:rPr>
        <w:footnoteReference w:id="35"/>
      </w:r>
      <w:r w:rsidRPr="000F73B5">
        <w:t> Information can be informally released in response to a once off request for information, or under more structured information release schemes or policies. Informal release is also commonly referred to as administrative release and is a typically reactive form of providing access to information.</w:t>
      </w:r>
    </w:p>
    <w:p w14:paraId="630A527A" w14:textId="511160FF" w:rsidR="0096147A" w:rsidRPr="000F73B5" w:rsidRDefault="0096147A" w:rsidP="00C5799B">
      <w:pPr>
        <w:pStyle w:val="Body"/>
        <w:keepLines/>
      </w:pPr>
      <w:r w:rsidRPr="000F73B5">
        <w:lastRenderedPageBreak/>
        <w:t xml:space="preserve">Proactive and informal release enhances government integrity, accountability, transparency, and trust. It increases citizen participation in government processes and promotes better informed decision making through increased scrutiny, discussion, </w:t>
      </w:r>
      <w:proofErr w:type="gramStart"/>
      <w:r w:rsidRPr="000F73B5">
        <w:t>comment</w:t>
      </w:r>
      <w:proofErr w:type="gramEnd"/>
      <w:r w:rsidRPr="000F73B5">
        <w:t xml:space="preserve"> and review of government decisions.</w:t>
      </w:r>
      <w:r w:rsidRPr="000F73B5">
        <w:rPr>
          <w:rStyle w:val="FootnoteReference"/>
        </w:rPr>
        <w:footnoteReference w:id="36"/>
      </w:r>
      <w:r w:rsidRPr="000F73B5">
        <w:t xml:space="preserve"> To the greatest extent possible, information held by government should be made publicly available promptly and proactively, without the need for formal access requests.</w:t>
      </w:r>
      <w:r w:rsidRPr="000F73B5">
        <w:rPr>
          <w:rStyle w:val="FootnoteReference"/>
        </w:rPr>
        <w:footnoteReference w:id="37"/>
      </w:r>
    </w:p>
    <w:p w14:paraId="2AF1C51E" w14:textId="0109219A" w:rsidR="0077724A" w:rsidRPr="000F73B5" w:rsidRDefault="000603DC" w:rsidP="000C6593">
      <w:pPr>
        <w:pStyle w:val="Heading-2"/>
      </w:pPr>
      <w:bookmarkStart w:id="13" w:name="_Toc83287261"/>
      <w:r w:rsidRPr="000F73B5">
        <w:t>Conditions required to e</w:t>
      </w:r>
      <w:r w:rsidR="00BD5A25" w:rsidRPr="000F73B5">
        <w:t>nhanc</w:t>
      </w:r>
      <w:r w:rsidRPr="000F73B5">
        <w:t>e</w:t>
      </w:r>
      <w:r w:rsidR="0077724A" w:rsidRPr="000F73B5">
        <w:t xml:space="preserve"> proactive and informal release</w:t>
      </w:r>
      <w:r w:rsidR="00B4215B" w:rsidRPr="000F73B5">
        <w:t xml:space="preserve"> </w:t>
      </w:r>
      <w:r w:rsidR="00103030" w:rsidRPr="000F73B5">
        <w:t>behaviour</w:t>
      </w:r>
      <w:bookmarkEnd w:id="13"/>
    </w:p>
    <w:p w14:paraId="4FAABA07" w14:textId="68A5CFA6" w:rsidR="00225984" w:rsidRPr="000F73B5" w:rsidRDefault="00B578F7" w:rsidP="000A230E">
      <w:pPr>
        <w:pStyle w:val="Body"/>
      </w:pPr>
      <w:r w:rsidRPr="000F73B5">
        <w:t xml:space="preserve">The </w:t>
      </w:r>
      <w:r w:rsidR="002A352A" w:rsidRPr="000F73B5">
        <w:t xml:space="preserve">Proactive and Informal Release </w:t>
      </w:r>
      <w:r w:rsidRPr="000F73B5">
        <w:t>Behavioural Change Final Report identified conditions that can maximise proactive and informal release behaviour. These conditions are outlined below in Table 1, according to four stakeholder groups who play a critical role in the FOI system (applicants, FOI practitioners, agency leadership, and other agency staff).</w:t>
      </w:r>
      <w:r w:rsidR="00CE2AC4" w:rsidRPr="000F73B5">
        <w:rPr>
          <w:rStyle w:val="FootnoteReference"/>
        </w:rPr>
        <w:footnoteReference w:id="38"/>
      </w:r>
      <w:r w:rsidR="00C43E5E" w:rsidRPr="000F73B5">
        <w:t xml:space="preserve"> </w:t>
      </w:r>
    </w:p>
    <w:p w14:paraId="024BA635" w14:textId="0005835E" w:rsidR="00B41C0D" w:rsidRPr="000F73B5" w:rsidRDefault="00B41C0D" w:rsidP="007448C4">
      <w:pPr>
        <w:pStyle w:val="Body"/>
        <w:keepNext/>
        <w:keepLines/>
        <w:widowControl/>
        <w:rPr>
          <w:b/>
          <w:bCs/>
          <w:sz w:val="20"/>
          <w:szCs w:val="20"/>
        </w:rPr>
      </w:pPr>
      <w:r w:rsidRPr="000F73B5">
        <w:rPr>
          <w:b/>
          <w:bCs/>
          <w:sz w:val="20"/>
          <w:szCs w:val="20"/>
        </w:rPr>
        <w:t>Table 1: Conditions required to maximise proactive and informal release according to four stakeholder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8351"/>
      </w:tblGrid>
      <w:tr w:rsidR="00EC5E9C" w:rsidRPr="000F73B5" w14:paraId="0F38C6F7" w14:textId="77777777" w:rsidTr="002305D3">
        <w:tc>
          <w:tcPr>
            <w:tcW w:w="9622" w:type="dxa"/>
            <w:gridSpan w:val="2"/>
            <w:tcBorders>
              <w:top w:val="single" w:sz="4" w:space="0" w:color="auto"/>
              <w:bottom w:val="single" w:sz="4" w:space="0" w:color="auto"/>
            </w:tcBorders>
            <w:shd w:val="clear" w:color="auto" w:fill="430098"/>
          </w:tcPr>
          <w:p w14:paraId="4566AE48" w14:textId="142D6F90" w:rsidR="00EC5E9C" w:rsidRPr="000F73B5" w:rsidRDefault="00EC5E9C" w:rsidP="007448C4">
            <w:pPr>
              <w:pStyle w:val="Body"/>
              <w:keepNext/>
              <w:keepLines/>
              <w:widowControl/>
              <w:rPr>
                <w:rStyle w:val="Strong"/>
                <w:b w:val="0"/>
                <w:bCs w:val="0"/>
                <w:color w:val="FFFFFF" w:themeColor="background1"/>
              </w:rPr>
            </w:pPr>
            <w:r w:rsidRPr="000F73B5">
              <w:rPr>
                <w:rStyle w:val="Strong"/>
                <w:b w:val="0"/>
                <w:bCs w:val="0"/>
                <w:color w:val="FFFFFF" w:themeColor="background1"/>
              </w:rPr>
              <w:t>Conditions required to maximise proactive and informal release</w:t>
            </w:r>
            <w:r w:rsidR="00693BF9" w:rsidRPr="000F73B5">
              <w:rPr>
                <w:rStyle w:val="FootnoteReference"/>
                <w:color w:val="FFFFFF" w:themeColor="background1"/>
                <w:sz w:val="20"/>
                <w:szCs w:val="20"/>
              </w:rPr>
              <w:footnoteReference w:id="39"/>
            </w:r>
          </w:p>
        </w:tc>
      </w:tr>
      <w:tr w:rsidR="00EC5E9C" w:rsidRPr="000F73B5" w14:paraId="680E2213" w14:textId="77777777" w:rsidTr="00970BA8">
        <w:tc>
          <w:tcPr>
            <w:tcW w:w="988" w:type="dxa"/>
            <w:tcBorders>
              <w:top w:val="single" w:sz="4" w:space="0" w:color="auto"/>
              <w:bottom w:val="single" w:sz="4" w:space="0" w:color="auto"/>
            </w:tcBorders>
            <w:shd w:val="clear" w:color="auto" w:fill="auto"/>
          </w:tcPr>
          <w:p w14:paraId="1035BE29" w14:textId="464C9BB3" w:rsidR="00EC5E9C" w:rsidRPr="000F73B5" w:rsidRDefault="00EC5E9C" w:rsidP="007448C4">
            <w:pPr>
              <w:pStyle w:val="Body"/>
              <w:keepNext/>
              <w:keepLines/>
              <w:widowControl/>
              <w:spacing w:before="240"/>
              <w:rPr>
                <w:sz w:val="20"/>
                <w:szCs w:val="20"/>
              </w:rPr>
            </w:pPr>
            <w:r w:rsidRPr="000F73B5">
              <w:rPr>
                <w:b/>
                <w:bCs/>
                <w:sz w:val="20"/>
                <w:szCs w:val="20"/>
              </w:rPr>
              <w:t>Applicants</w:t>
            </w:r>
            <w:r w:rsidRPr="000F73B5">
              <w:rPr>
                <w:sz w:val="20"/>
                <w:szCs w:val="20"/>
              </w:rPr>
              <w:t xml:space="preserve"> must:</w:t>
            </w:r>
          </w:p>
        </w:tc>
        <w:tc>
          <w:tcPr>
            <w:tcW w:w="8634" w:type="dxa"/>
            <w:tcBorders>
              <w:top w:val="single" w:sz="4" w:space="0" w:color="auto"/>
              <w:bottom w:val="single" w:sz="4" w:space="0" w:color="auto"/>
            </w:tcBorders>
            <w:shd w:val="clear" w:color="auto" w:fill="auto"/>
          </w:tcPr>
          <w:p w14:paraId="65C1C4CD" w14:textId="33236646" w:rsidR="00EC5E9C" w:rsidRPr="000F73B5" w:rsidRDefault="00EC5E9C" w:rsidP="007448C4">
            <w:pPr>
              <w:pStyle w:val="Body"/>
              <w:keepNext/>
              <w:keepLines/>
              <w:widowControl/>
              <w:numPr>
                <w:ilvl w:val="0"/>
                <w:numId w:val="9"/>
              </w:numPr>
              <w:spacing w:before="240" w:after="120"/>
              <w:ind w:left="465" w:hanging="357"/>
              <w:rPr>
                <w:sz w:val="20"/>
                <w:szCs w:val="20"/>
              </w:rPr>
            </w:pPr>
            <w:r w:rsidRPr="000F73B5">
              <w:rPr>
                <w:sz w:val="20"/>
                <w:szCs w:val="20"/>
              </w:rPr>
              <w:t xml:space="preserve">be </w:t>
            </w:r>
            <w:r w:rsidRPr="000F73B5">
              <w:rPr>
                <w:b/>
                <w:bCs/>
                <w:sz w:val="20"/>
                <w:szCs w:val="20"/>
              </w:rPr>
              <w:t>aware</w:t>
            </w:r>
            <w:r w:rsidRPr="000F73B5">
              <w:rPr>
                <w:sz w:val="20"/>
                <w:szCs w:val="20"/>
              </w:rPr>
              <w:t xml:space="preserve"> of alternate information access pathways such as proactive and informal release</w:t>
            </w:r>
          </w:p>
          <w:p w14:paraId="55A7C94F" w14:textId="66A50B84" w:rsidR="00EC5E9C" w:rsidRPr="000F73B5" w:rsidRDefault="00EC5E9C" w:rsidP="007448C4">
            <w:pPr>
              <w:pStyle w:val="Body"/>
              <w:keepNext/>
              <w:keepLines/>
              <w:widowControl/>
              <w:numPr>
                <w:ilvl w:val="0"/>
                <w:numId w:val="9"/>
              </w:numPr>
              <w:spacing w:after="120"/>
              <w:ind w:left="465" w:hanging="357"/>
              <w:rPr>
                <w:sz w:val="20"/>
                <w:szCs w:val="20"/>
              </w:rPr>
            </w:pPr>
            <w:r w:rsidRPr="000F73B5">
              <w:rPr>
                <w:b/>
                <w:bCs/>
                <w:sz w:val="20"/>
                <w:szCs w:val="20"/>
              </w:rPr>
              <w:t>trust</w:t>
            </w:r>
            <w:r w:rsidRPr="000F73B5">
              <w:rPr>
                <w:sz w:val="20"/>
                <w:szCs w:val="20"/>
              </w:rPr>
              <w:t xml:space="preserve"> the process so they feel comfortable selecting a less formal access mechanism (a mechanism which may not have statutory timeframes and review rights)</w:t>
            </w:r>
          </w:p>
          <w:p w14:paraId="78CCE8DB" w14:textId="64B7AA02" w:rsidR="00EC5E9C" w:rsidRPr="000F73B5" w:rsidRDefault="00EC5E9C" w:rsidP="007448C4">
            <w:pPr>
              <w:pStyle w:val="Body"/>
              <w:keepNext/>
              <w:keepLines/>
              <w:widowControl/>
              <w:numPr>
                <w:ilvl w:val="0"/>
                <w:numId w:val="9"/>
              </w:numPr>
              <w:ind w:left="467"/>
              <w:rPr>
                <w:sz w:val="20"/>
                <w:szCs w:val="20"/>
              </w:rPr>
            </w:pPr>
            <w:r w:rsidRPr="000F73B5">
              <w:rPr>
                <w:sz w:val="20"/>
                <w:szCs w:val="20"/>
              </w:rPr>
              <w:t xml:space="preserve">be </w:t>
            </w:r>
            <w:r w:rsidRPr="000F73B5">
              <w:rPr>
                <w:b/>
                <w:bCs/>
                <w:sz w:val="20"/>
                <w:szCs w:val="20"/>
              </w:rPr>
              <w:t>served</w:t>
            </w:r>
            <w:r w:rsidRPr="000F73B5">
              <w:rPr>
                <w:sz w:val="20"/>
                <w:szCs w:val="20"/>
              </w:rPr>
              <w:t xml:space="preserve"> by proactive and informal release (meaning they receive access to information through the process)</w:t>
            </w:r>
          </w:p>
        </w:tc>
      </w:tr>
      <w:tr w:rsidR="00EC5E9C" w:rsidRPr="000F73B5" w14:paraId="0CF0AEB4" w14:textId="77777777" w:rsidTr="00970BA8">
        <w:tc>
          <w:tcPr>
            <w:tcW w:w="988" w:type="dxa"/>
            <w:tcBorders>
              <w:top w:val="single" w:sz="4" w:space="0" w:color="auto"/>
              <w:bottom w:val="single" w:sz="4" w:space="0" w:color="auto"/>
            </w:tcBorders>
            <w:shd w:val="clear" w:color="auto" w:fill="auto"/>
          </w:tcPr>
          <w:p w14:paraId="013E314F" w14:textId="5156C37E" w:rsidR="00EC5E9C" w:rsidRPr="000F73B5" w:rsidRDefault="00EC5E9C" w:rsidP="00D93E6C">
            <w:pPr>
              <w:pStyle w:val="Body"/>
              <w:keepLines/>
              <w:spacing w:before="240"/>
              <w:rPr>
                <w:sz w:val="20"/>
                <w:szCs w:val="20"/>
              </w:rPr>
            </w:pPr>
            <w:r w:rsidRPr="000F73B5">
              <w:rPr>
                <w:b/>
                <w:bCs/>
                <w:sz w:val="20"/>
                <w:szCs w:val="20"/>
              </w:rPr>
              <w:t>FOI practitioners</w:t>
            </w:r>
            <w:r w:rsidRPr="000F73B5">
              <w:rPr>
                <w:sz w:val="20"/>
                <w:szCs w:val="20"/>
              </w:rPr>
              <w:t xml:space="preserve"> must:</w:t>
            </w:r>
          </w:p>
        </w:tc>
        <w:tc>
          <w:tcPr>
            <w:tcW w:w="8634" w:type="dxa"/>
            <w:tcBorders>
              <w:top w:val="single" w:sz="4" w:space="0" w:color="auto"/>
              <w:bottom w:val="single" w:sz="4" w:space="0" w:color="auto"/>
            </w:tcBorders>
            <w:shd w:val="clear" w:color="auto" w:fill="auto"/>
          </w:tcPr>
          <w:p w14:paraId="0CEA1EAE" w14:textId="7501ED82" w:rsidR="000A230E" w:rsidRPr="000F73B5" w:rsidRDefault="000A230E" w:rsidP="00D93E6C">
            <w:pPr>
              <w:pStyle w:val="Body"/>
              <w:keepLines/>
              <w:numPr>
                <w:ilvl w:val="0"/>
                <w:numId w:val="10"/>
              </w:numPr>
              <w:spacing w:before="240" w:after="120"/>
              <w:ind w:left="465" w:hanging="357"/>
              <w:rPr>
                <w:sz w:val="20"/>
                <w:szCs w:val="20"/>
              </w:rPr>
            </w:pPr>
            <w:r w:rsidRPr="000F73B5">
              <w:rPr>
                <w:sz w:val="20"/>
                <w:szCs w:val="20"/>
              </w:rPr>
              <w:t xml:space="preserve">be </w:t>
            </w:r>
            <w:r w:rsidRPr="000F73B5">
              <w:rPr>
                <w:b/>
                <w:bCs/>
                <w:sz w:val="20"/>
                <w:szCs w:val="20"/>
              </w:rPr>
              <w:t>inspired</w:t>
            </w:r>
            <w:r w:rsidRPr="000F73B5">
              <w:rPr>
                <w:sz w:val="20"/>
                <w:szCs w:val="20"/>
              </w:rPr>
              <w:t xml:space="preserve"> by good practice examples relevant to their circumstances to drive proactive and informal release and empower them with existing solutions</w:t>
            </w:r>
          </w:p>
          <w:p w14:paraId="0CA7B6E1" w14:textId="66018BCF" w:rsidR="000A230E" w:rsidRPr="000F73B5" w:rsidRDefault="000A230E" w:rsidP="00D93E6C">
            <w:pPr>
              <w:pStyle w:val="Body"/>
              <w:keepLines/>
              <w:numPr>
                <w:ilvl w:val="0"/>
                <w:numId w:val="10"/>
              </w:numPr>
              <w:spacing w:after="120"/>
              <w:ind w:left="465" w:hanging="357"/>
              <w:rPr>
                <w:sz w:val="20"/>
                <w:szCs w:val="20"/>
              </w:rPr>
            </w:pPr>
            <w:r w:rsidRPr="000F73B5">
              <w:rPr>
                <w:sz w:val="20"/>
                <w:szCs w:val="20"/>
              </w:rPr>
              <w:t xml:space="preserve">be </w:t>
            </w:r>
            <w:r w:rsidRPr="000F73B5">
              <w:rPr>
                <w:b/>
                <w:bCs/>
                <w:sz w:val="20"/>
                <w:szCs w:val="20"/>
              </w:rPr>
              <w:t>enabled</w:t>
            </w:r>
            <w:r w:rsidRPr="000F73B5">
              <w:rPr>
                <w:sz w:val="20"/>
                <w:szCs w:val="20"/>
              </w:rPr>
              <w:t xml:space="preserve"> through readily available resources (such as template documents) to keep opportunities to improve FOI front of mind despite high FOI workloads</w:t>
            </w:r>
          </w:p>
          <w:p w14:paraId="191F9C06" w14:textId="40A9F879" w:rsidR="000A230E" w:rsidRPr="000F73B5" w:rsidRDefault="000A230E" w:rsidP="00D93E6C">
            <w:pPr>
              <w:pStyle w:val="Body"/>
              <w:keepLines/>
              <w:numPr>
                <w:ilvl w:val="0"/>
                <w:numId w:val="10"/>
              </w:numPr>
              <w:spacing w:after="120"/>
              <w:ind w:left="465" w:hanging="357"/>
              <w:rPr>
                <w:sz w:val="20"/>
                <w:szCs w:val="20"/>
              </w:rPr>
            </w:pPr>
            <w:r w:rsidRPr="000F73B5">
              <w:rPr>
                <w:sz w:val="20"/>
                <w:szCs w:val="20"/>
              </w:rPr>
              <w:t xml:space="preserve">be </w:t>
            </w:r>
            <w:r w:rsidRPr="000F73B5">
              <w:rPr>
                <w:b/>
                <w:bCs/>
                <w:sz w:val="20"/>
                <w:szCs w:val="20"/>
              </w:rPr>
              <w:t>empowered</w:t>
            </w:r>
            <w:r w:rsidRPr="000F73B5">
              <w:rPr>
                <w:sz w:val="20"/>
                <w:szCs w:val="20"/>
              </w:rPr>
              <w:t xml:space="preserve"> by a positive information access culture in their agency and by external guidance and training</w:t>
            </w:r>
          </w:p>
          <w:p w14:paraId="49F66795" w14:textId="5520EE79" w:rsidR="00EC5E9C" w:rsidRPr="000F73B5" w:rsidRDefault="000A230E" w:rsidP="00D93E6C">
            <w:pPr>
              <w:pStyle w:val="Body"/>
              <w:keepLines/>
              <w:numPr>
                <w:ilvl w:val="0"/>
                <w:numId w:val="10"/>
              </w:numPr>
              <w:ind w:left="467"/>
              <w:rPr>
                <w:sz w:val="20"/>
                <w:szCs w:val="20"/>
              </w:rPr>
            </w:pPr>
            <w:r w:rsidRPr="000F73B5">
              <w:rPr>
                <w:sz w:val="20"/>
                <w:szCs w:val="20"/>
              </w:rPr>
              <w:t xml:space="preserve">have a </w:t>
            </w:r>
            <w:r w:rsidRPr="000F73B5">
              <w:rPr>
                <w:b/>
                <w:bCs/>
                <w:sz w:val="20"/>
                <w:szCs w:val="20"/>
              </w:rPr>
              <w:t>customer service</w:t>
            </w:r>
            <w:r w:rsidRPr="000F73B5">
              <w:rPr>
                <w:sz w:val="20"/>
                <w:szCs w:val="20"/>
              </w:rPr>
              <w:t xml:space="preserve"> </w:t>
            </w:r>
            <w:r w:rsidRPr="000F73B5">
              <w:rPr>
                <w:b/>
                <w:bCs/>
                <w:sz w:val="20"/>
                <w:szCs w:val="20"/>
              </w:rPr>
              <w:t>mindset</w:t>
            </w:r>
            <w:r w:rsidRPr="000F73B5">
              <w:rPr>
                <w:sz w:val="20"/>
                <w:szCs w:val="20"/>
              </w:rPr>
              <w:t xml:space="preserve"> to build trust with applicants and members of the public</w:t>
            </w:r>
          </w:p>
        </w:tc>
      </w:tr>
      <w:tr w:rsidR="00EC5E9C" w:rsidRPr="000F73B5" w14:paraId="67521C84" w14:textId="77777777" w:rsidTr="00970BA8">
        <w:tc>
          <w:tcPr>
            <w:tcW w:w="988" w:type="dxa"/>
            <w:tcBorders>
              <w:top w:val="single" w:sz="4" w:space="0" w:color="auto"/>
              <w:bottom w:val="single" w:sz="4" w:space="0" w:color="auto"/>
            </w:tcBorders>
            <w:shd w:val="clear" w:color="auto" w:fill="auto"/>
          </w:tcPr>
          <w:p w14:paraId="086AD9BB" w14:textId="49DC18AF" w:rsidR="00EC5E9C" w:rsidRPr="000F73B5" w:rsidRDefault="00EC5E9C" w:rsidP="00D93E6C">
            <w:pPr>
              <w:pStyle w:val="Body"/>
              <w:keepLines/>
              <w:spacing w:before="240"/>
              <w:rPr>
                <w:sz w:val="20"/>
                <w:szCs w:val="20"/>
              </w:rPr>
            </w:pPr>
            <w:r w:rsidRPr="000F73B5">
              <w:rPr>
                <w:b/>
                <w:bCs/>
                <w:sz w:val="20"/>
                <w:szCs w:val="20"/>
              </w:rPr>
              <w:t>Agency leadership</w:t>
            </w:r>
            <w:r w:rsidRPr="000F73B5">
              <w:rPr>
                <w:sz w:val="20"/>
                <w:szCs w:val="20"/>
              </w:rPr>
              <w:t xml:space="preserve"> must: </w:t>
            </w:r>
          </w:p>
        </w:tc>
        <w:tc>
          <w:tcPr>
            <w:tcW w:w="8634" w:type="dxa"/>
            <w:tcBorders>
              <w:top w:val="single" w:sz="4" w:space="0" w:color="auto"/>
              <w:bottom w:val="single" w:sz="4" w:space="0" w:color="auto"/>
            </w:tcBorders>
            <w:shd w:val="clear" w:color="auto" w:fill="auto"/>
          </w:tcPr>
          <w:p w14:paraId="49219AE9" w14:textId="6E858C89" w:rsidR="000A230E" w:rsidRPr="000F73B5" w:rsidRDefault="000A230E" w:rsidP="00D93E6C">
            <w:pPr>
              <w:pStyle w:val="Body"/>
              <w:keepLines/>
              <w:numPr>
                <w:ilvl w:val="0"/>
                <w:numId w:val="11"/>
              </w:numPr>
              <w:spacing w:before="240" w:after="120"/>
              <w:ind w:left="465" w:hanging="357"/>
              <w:rPr>
                <w:sz w:val="20"/>
                <w:szCs w:val="20"/>
              </w:rPr>
            </w:pPr>
            <w:r w:rsidRPr="000F73B5">
              <w:rPr>
                <w:b/>
                <w:bCs/>
                <w:sz w:val="20"/>
                <w:szCs w:val="20"/>
              </w:rPr>
              <w:t>value</w:t>
            </w:r>
            <w:r w:rsidRPr="000F73B5">
              <w:rPr>
                <w:sz w:val="20"/>
                <w:szCs w:val="20"/>
              </w:rPr>
              <w:t xml:space="preserve"> proactive and informal release to prioritise, promote and resource it</w:t>
            </w:r>
          </w:p>
          <w:p w14:paraId="062F801A" w14:textId="40FD9785" w:rsidR="00EC5E9C" w:rsidRPr="000F73B5" w:rsidRDefault="000A230E" w:rsidP="00D93E6C">
            <w:pPr>
              <w:pStyle w:val="Body"/>
              <w:keepLines/>
              <w:numPr>
                <w:ilvl w:val="0"/>
                <w:numId w:val="11"/>
              </w:numPr>
              <w:ind w:left="467"/>
              <w:rPr>
                <w:sz w:val="20"/>
                <w:szCs w:val="20"/>
              </w:rPr>
            </w:pPr>
            <w:r w:rsidRPr="000F73B5">
              <w:rPr>
                <w:sz w:val="20"/>
                <w:szCs w:val="20"/>
              </w:rPr>
              <w:t xml:space="preserve">have </w:t>
            </w:r>
            <w:r w:rsidRPr="000F73B5">
              <w:rPr>
                <w:b/>
                <w:bCs/>
                <w:sz w:val="20"/>
                <w:szCs w:val="20"/>
              </w:rPr>
              <w:t>confidence</w:t>
            </w:r>
            <w:r w:rsidRPr="000F73B5">
              <w:rPr>
                <w:sz w:val="20"/>
                <w:szCs w:val="20"/>
              </w:rPr>
              <w:t xml:space="preserve"> in proactive and informal release and its benefits</w:t>
            </w:r>
          </w:p>
        </w:tc>
      </w:tr>
      <w:tr w:rsidR="00EC5E9C" w:rsidRPr="000F73B5" w14:paraId="371321F1" w14:textId="77777777" w:rsidTr="002305D3">
        <w:tc>
          <w:tcPr>
            <w:tcW w:w="988" w:type="dxa"/>
            <w:tcBorders>
              <w:top w:val="single" w:sz="4" w:space="0" w:color="auto"/>
              <w:bottom w:val="single" w:sz="4" w:space="0" w:color="auto"/>
            </w:tcBorders>
            <w:shd w:val="clear" w:color="auto" w:fill="FFFFFF" w:themeFill="background1"/>
          </w:tcPr>
          <w:p w14:paraId="541CE133" w14:textId="6A1E15D3" w:rsidR="00EC5E9C" w:rsidRPr="000F73B5" w:rsidRDefault="00EC5E9C" w:rsidP="00D93E6C">
            <w:pPr>
              <w:pStyle w:val="Body"/>
              <w:keepLines/>
              <w:spacing w:before="240"/>
              <w:rPr>
                <w:sz w:val="20"/>
                <w:szCs w:val="20"/>
              </w:rPr>
            </w:pPr>
            <w:r w:rsidRPr="000F73B5">
              <w:rPr>
                <w:b/>
                <w:bCs/>
                <w:sz w:val="20"/>
                <w:szCs w:val="20"/>
              </w:rPr>
              <w:t>Other (non-FOI staff)</w:t>
            </w:r>
            <w:r w:rsidRPr="000F73B5">
              <w:rPr>
                <w:sz w:val="20"/>
                <w:szCs w:val="20"/>
              </w:rPr>
              <w:t xml:space="preserve"> must:</w:t>
            </w:r>
          </w:p>
        </w:tc>
        <w:tc>
          <w:tcPr>
            <w:tcW w:w="8634" w:type="dxa"/>
            <w:tcBorders>
              <w:top w:val="single" w:sz="4" w:space="0" w:color="auto"/>
              <w:bottom w:val="single" w:sz="4" w:space="0" w:color="auto"/>
            </w:tcBorders>
            <w:shd w:val="clear" w:color="auto" w:fill="FFFFFF" w:themeFill="background1"/>
          </w:tcPr>
          <w:p w14:paraId="55CB3AC9" w14:textId="77777777" w:rsidR="000A230E" w:rsidRPr="000F73B5" w:rsidRDefault="000A230E" w:rsidP="00D93E6C">
            <w:pPr>
              <w:pStyle w:val="Body"/>
              <w:keepLines/>
              <w:numPr>
                <w:ilvl w:val="0"/>
                <w:numId w:val="11"/>
              </w:numPr>
              <w:spacing w:before="240" w:after="120"/>
              <w:ind w:left="465" w:hanging="357"/>
              <w:rPr>
                <w:sz w:val="20"/>
                <w:szCs w:val="20"/>
              </w:rPr>
            </w:pPr>
            <w:r w:rsidRPr="000F73B5">
              <w:rPr>
                <w:b/>
                <w:bCs/>
                <w:sz w:val="20"/>
                <w:szCs w:val="20"/>
              </w:rPr>
              <w:t>know</w:t>
            </w:r>
            <w:r w:rsidRPr="000F73B5">
              <w:rPr>
                <w:sz w:val="20"/>
                <w:szCs w:val="20"/>
              </w:rPr>
              <w:t xml:space="preserve"> and </w:t>
            </w:r>
            <w:r w:rsidRPr="000F73B5">
              <w:rPr>
                <w:b/>
                <w:bCs/>
                <w:sz w:val="20"/>
                <w:szCs w:val="20"/>
              </w:rPr>
              <w:t>understand</w:t>
            </w:r>
            <w:r w:rsidRPr="000F73B5">
              <w:rPr>
                <w:sz w:val="20"/>
                <w:szCs w:val="20"/>
              </w:rPr>
              <w:t xml:space="preserve"> FOI so they can be mindful of FOI in their day-to-day </w:t>
            </w:r>
            <w:proofErr w:type="gramStart"/>
            <w:r w:rsidRPr="000F73B5">
              <w:rPr>
                <w:sz w:val="20"/>
                <w:szCs w:val="20"/>
              </w:rPr>
              <w:t>work;</w:t>
            </w:r>
            <w:proofErr w:type="gramEnd"/>
          </w:p>
          <w:p w14:paraId="709B0A68" w14:textId="77777777" w:rsidR="000A230E" w:rsidRPr="000F73B5" w:rsidRDefault="000A230E" w:rsidP="00D93E6C">
            <w:pPr>
              <w:pStyle w:val="Body"/>
              <w:keepLines/>
              <w:numPr>
                <w:ilvl w:val="0"/>
                <w:numId w:val="11"/>
              </w:numPr>
              <w:spacing w:after="120"/>
              <w:ind w:left="467"/>
              <w:rPr>
                <w:sz w:val="20"/>
                <w:szCs w:val="20"/>
              </w:rPr>
            </w:pPr>
            <w:r w:rsidRPr="000F73B5">
              <w:rPr>
                <w:sz w:val="20"/>
                <w:szCs w:val="20"/>
              </w:rPr>
              <w:t xml:space="preserve">be </w:t>
            </w:r>
            <w:r w:rsidRPr="000F73B5">
              <w:rPr>
                <w:b/>
                <w:bCs/>
                <w:sz w:val="20"/>
                <w:szCs w:val="20"/>
              </w:rPr>
              <w:t>confident</w:t>
            </w:r>
            <w:r w:rsidRPr="000F73B5">
              <w:rPr>
                <w:sz w:val="20"/>
                <w:szCs w:val="20"/>
              </w:rPr>
              <w:t xml:space="preserve"> in providing access to information proactively or </w:t>
            </w:r>
            <w:proofErr w:type="gramStart"/>
            <w:r w:rsidRPr="000F73B5">
              <w:rPr>
                <w:sz w:val="20"/>
                <w:szCs w:val="20"/>
              </w:rPr>
              <w:t>informally;</w:t>
            </w:r>
            <w:proofErr w:type="gramEnd"/>
          </w:p>
          <w:p w14:paraId="72F834EB" w14:textId="55EBFBDF" w:rsidR="00EC5E9C" w:rsidRPr="000F73B5" w:rsidRDefault="000A230E" w:rsidP="00D93E6C">
            <w:pPr>
              <w:pStyle w:val="Body"/>
              <w:keepLines/>
              <w:numPr>
                <w:ilvl w:val="0"/>
                <w:numId w:val="11"/>
              </w:numPr>
              <w:ind w:left="467"/>
              <w:rPr>
                <w:sz w:val="20"/>
                <w:szCs w:val="20"/>
              </w:rPr>
            </w:pPr>
            <w:r w:rsidRPr="000F73B5">
              <w:rPr>
                <w:sz w:val="20"/>
                <w:szCs w:val="20"/>
              </w:rPr>
              <w:t xml:space="preserve">have a </w:t>
            </w:r>
            <w:r w:rsidRPr="000F73B5">
              <w:rPr>
                <w:b/>
                <w:bCs/>
                <w:sz w:val="20"/>
                <w:szCs w:val="20"/>
              </w:rPr>
              <w:t>customer service mindset</w:t>
            </w:r>
            <w:r w:rsidRPr="000F73B5">
              <w:rPr>
                <w:sz w:val="20"/>
                <w:szCs w:val="20"/>
              </w:rPr>
              <w:t xml:space="preserve"> to build trust with applicants and members of the public.</w:t>
            </w:r>
          </w:p>
        </w:tc>
      </w:tr>
    </w:tbl>
    <w:p w14:paraId="5939A1B9" w14:textId="05BE623F" w:rsidR="006E693F" w:rsidRPr="000F73B5" w:rsidRDefault="006E693F" w:rsidP="000A230E">
      <w:pPr>
        <w:pStyle w:val="Heading-3"/>
      </w:pPr>
      <w:r w:rsidRPr="000F73B5">
        <w:lastRenderedPageBreak/>
        <w:t>Agency leadership’s role in enhancing proactive and informal release</w:t>
      </w:r>
    </w:p>
    <w:p w14:paraId="6890CC8A" w14:textId="0B2DAE3F" w:rsidR="007D25B4" w:rsidRPr="000F73B5" w:rsidRDefault="00456E55" w:rsidP="000A230E">
      <w:pPr>
        <w:pStyle w:val="Body"/>
      </w:pPr>
      <w:r w:rsidRPr="000F73B5">
        <w:t>A</w:t>
      </w:r>
      <w:r w:rsidR="00311057" w:rsidRPr="000F73B5">
        <w:t>gency leadership</w:t>
      </w:r>
      <w:r w:rsidR="006E18E4" w:rsidRPr="000F73B5">
        <w:t xml:space="preserve"> </w:t>
      </w:r>
      <w:r w:rsidRPr="000F73B5">
        <w:t>play</w:t>
      </w:r>
      <w:r w:rsidR="003C7F17">
        <w:t>s</w:t>
      </w:r>
      <w:r w:rsidRPr="000F73B5">
        <w:t xml:space="preserve"> an important role </w:t>
      </w:r>
      <w:r w:rsidR="006E18E4" w:rsidRPr="000F73B5">
        <w:t xml:space="preserve">in </w:t>
      </w:r>
      <w:r w:rsidRPr="000F73B5">
        <w:t xml:space="preserve">developing </w:t>
      </w:r>
      <w:r w:rsidR="007F63C5" w:rsidRPr="000F73B5">
        <w:t>FOI</w:t>
      </w:r>
      <w:r w:rsidR="006E18E4" w:rsidRPr="000F73B5">
        <w:t xml:space="preserve"> culture</w:t>
      </w:r>
      <w:r w:rsidR="00650F8C" w:rsidRPr="000F73B5">
        <w:t>. Principal Officers</w:t>
      </w:r>
      <w:r w:rsidR="00370B3D" w:rsidRPr="000F73B5">
        <w:t xml:space="preserve"> and other senior leaders </w:t>
      </w:r>
      <w:r w:rsidR="00650F8C" w:rsidRPr="000F73B5">
        <w:t>must lead their agency in building a culture of transparency.</w:t>
      </w:r>
    </w:p>
    <w:p w14:paraId="0FEDEE1B" w14:textId="290EC715" w:rsidR="00892D04" w:rsidRPr="000F73B5" w:rsidRDefault="00650F8C" w:rsidP="000A230E">
      <w:pPr>
        <w:pStyle w:val="Body"/>
      </w:pPr>
      <w:r w:rsidRPr="000F73B5">
        <w:t>A</w:t>
      </w:r>
      <w:r w:rsidR="006E18E4" w:rsidRPr="000F73B5">
        <w:t xml:space="preserve"> positive FOI culture </w:t>
      </w:r>
      <w:r w:rsidRPr="000F73B5">
        <w:t xml:space="preserve">that </w:t>
      </w:r>
      <w:r w:rsidR="006E18E4" w:rsidRPr="000F73B5">
        <w:t>is embedded at the top</w:t>
      </w:r>
      <w:r w:rsidR="00E85626" w:rsidRPr="000F73B5">
        <w:t xml:space="preserve"> of an agency</w:t>
      </w:r>
      <w:r w:rsidRPr="000F73B5">
        <w:t xml:space="preserve"> </w:t>
      </w:r>
      <w:r w:rsidR="00033773" w:rsidRPr="000F73B5">
        <w:t xml:space="preserve">trickles </w:t>
      </w:r>
      <w:r w:rsidR="006E18E4" w:rsidRPr="000F73B5">
        <w:t xml:space="preserve">down </w:t>
      </w:r>
      <w:r w:rsidR="00033773" w:rsidRPr="000F73B5">
        <w:t>to</w:t>
      </w:r>
      <w:r w:rsidR="006E18E4" w:rsidRPr="000F73B5">
        <w:t xml:space="preserve"> the </w:t>
      </w:r>
      <w:r w:rsidR="00E85626" w:rsidRPr="000F73B5">
        <w:t xml:space="preserve">rest of the </w:t>
      </w:r>
      <w:r w:rsidR="006E18E4" w:rsidRPr="000F73B5">
        <w:t xml:space="preserve">agency. </w:t>
      </w:r>
      <w:r w:rsidR="00892D04" w:rsidRPr="000F73B5">
        <w:t xml:space="preserve">For example, </w:t>
      </w:r>
      <w:r w:rsidR="003450C1" w:rsidRPr="000F73B5">
        <w:t xml:space="preserve">an agency culture which </w:t>
      </w:r>
      <w:r w:rsidR="004E6F5A" w:rsidRPr="000F73B5">
        <w:t xml:space="preserve">clearly </w:t>
      </w:r>
      <w:r w:rsidR="003450C1" w:rsidRPr="000F73B5">
        <w:t xml:space="preserve">supports proactive and informal release </w:t>
      </w:r>
      <w:r w:rsidR="004E6F5A" w:rsidRPr="000F73B5">
        <w:t>(</w:t>
      </w:r>
      <w:r w:rsidR="003450C1" w:rsidRPr="000F73B5">
        <w:t xml:space="preserve">evident through </w:t>
      </w:r>
      <w:r w:rsidR="004E6F5A" w:rsidRPr="000F73B5">
        <w:t>consistent</w:t>
      </w:r>
      <w:r w:rsidR="003450C1" w:rsidRPr="000F73B5">
        <w:t xml:space="preserve"> messaging from </w:t>
      </w:r>
      <w:r w:rsidR="004E6F5A" w:rsidRPr="000F73B5">
        <w:t>agency leaders</w:t>
      </w:r>
      <w:r w:rsidR="003450C1" w:rsidRPr="000F73B5">
        <w:t xml:space="preserve"> and reflected in agency policies and procedures</w:t>
      </w:r>
      <w:r w:rsidR="004E6F5A" w:rsidRPr="000F73B5">
        <w:t>)</w:t>
      </w:r>
      <w:r w:rsidR="003450C1" w:rsidRPr="000F73B5">
        <w:t xml:space="preserve"> </w:t>
      </w:r>
      <w:r w:rsidR="004E6F5A" w:rsidRPr="000F73B5">
        <w:t>can</w:t>
      </w:r>
      <w:r w:rsidR="003450C1" w:rsidRPr="000F73B5">
        <w:t xml:space="preserve"> build confidence in FOI practitioners and other agency staff to provide access to information outside of the formal FOI process.</w:t>
      </w:r>
      <w:r w:rsidR="00DD31F8" w:rsidRPr="000F73B5">
        <w:rPr>
          <w:rStyle w:val="FootnoteReference"/>
        </w:rPr>
        <w:footnoteReference w:id="40"/>
      </w:r>
    </w:p>
    <w:p w14:paraId="25516087" w14:textId="6FA15F47" w:rsidR="003D3C13" w:rsidRPr="000F73B5" w:rsidRDefault="003D3C13" w:rsidP="000A230E">
      <w:pPr>
        <w:pStyle w:val="Body"/>
      </w:pPr>
      <w:r w:rsidRPr="000F73B5">
        <w:t xml:space="preserve">Further, Principal Officers </w:t>
      </w:r>
      <w:r w:rsidR="00F328D4" w:rsidRPr="000F73B5">
        <w:t xml:space="preserve">have </w:t>
      </w:r>
      <w:r w:rsidRPr="000F73B5">
        <w:t>expressed feeling autonomy from political leadership, meaning Principal Officers do not feel politically constrained from developing a positive FOI culture in their agency.</w:t>
      </w:r>
      <w:r w:rsidRPr="000F73B5">
        <w:rPr>
          <w:rStyle w:val="FootnoteReference"/>
        </w:rPr>
        <w:footnoteReference w:id="41"/>
      </w:r>
    </w:p>
    <w:p w14:paraId="3ABDA479" w14:textId="0ABA4BDE" w:rsidR="00E7183E" w:rsidRPr="000F73B5" w:rsidRDefault="00E470E1" w:rsidP="00B25FCB">
      <w:pPr>
        <w:pStyle w:val="Heading-1"/>
        <w:keepNext/>
      </w:pPr>
      <w:bookmarkStart w:id="14" w:name="_Toc83287262"/>
      <w:r w:rsidRPr="000F73B5">
        <w:t>OVIC’S ROLE IN INFLUENCING BEHAVIOUR: RECOMMENDED ACTIONS</w:t>
      </w:r>
      <w:bookmarkEnd w:id="14"/>
    </w:p>
    <w:p w14:paraId="5BDB0837" w14:textId="102820DE" w:rsidR="009E510B" w:rsidRPr="000F73B5" w:rsidRDefault="0059200F" w:rsidP="000A230E">
      <w:pPr>
        <w:pStyle w:val="Body"/>
      </w:pPr>
      <w:r w:rsidRPr="000F73B5">
        <w:t xml:space="preserve">OVIC plays an important role in supporting agencies to develop their FOI culture. </w:t>
      </w:r>
      <w:r w:rsidR="002D4171" w:rsidRPr="000F73B5">
        <w:t xml:space="preserve">Both the </w:t>
      </w:r>
      <w:r w:rsidR="005F20A8" w:rsidRPr="007448C4">
        <w:rPr>
          <w:i/>
          <w:iCs/>
        </w:rPr>
        <w:t>Culture of FOI in Victoria</w:t>
      </w:r>
      <w:r w:rsidR="002D4171" w:rsidRPr="007448C4">
        <w:rPr>
          <w:i/>
          <w:iCs/>
        </w:rPr>
        <w:t xml:space="preserve"> Part II Study Report </w:t>
      </w:r>
      <w:r w:rsidR="002D4171" w:rsidRPr="007448C4">
        <w:t xml:space="preserve">and </w:t>
      </w:r>
      <w:r w:rsidR="000B3EA6" w:rsidRPr="007448C4">
        <w:t>the</w:t>
      </w:r>
      <w:r w:rsidR="000B3EA6" w:rsidRPr="007448C4">
        <w:rPr>
          <w:i/>
          <w:iCs/>
        </w:rPr>
        <w:t xml:space="preserve"> Proactive</w:t>
      </w:r>
      <w:r w:rsidR="000B3EA6" w:rsidRPr="000F73B5">
        <w:t xml:space="preserve"> </w:t>
      </w:r>
      <w:r w:rsidR="000B3EA6" w:rsidRPr="007448C4">
        <w:rPr>
          <w:i/>
          <w:iCs/>
        </w:rPr>
        <w:t>and</w:t>
      </w:r>
      <w:r w:rsidR="000B3EA6" w:rsidRPr="000F73B5">
        <w:t xml:space="preserve"> </w:t>
      </w:r>
      <w:r w:rsidR="000B3EA6" w:rsidRPr="007448C4">
        <w:rPr>
          <w:i/>
          <w:iCs/>
        </w:rPr>
        <w:t xml:space="preserve">Informal Release </w:t>
      </w:r>
      <w:r w:rsidR="005F20A8" w:rsidRPr="007448C4">
        <w:rPr>
          <w:i/>
          <w:iCs/>
        </w:rPr>
        <w:t>Behavioural Change</w:t>
      </w:r>
      <w:r w:rsidR="002D4171" w:rsidRPr="007448C4">
        <w:rPr>
          <w:i/>
          <w:iCs/>
        </w:rPr>
        <w:t xml:space="preserve"> Final Report</w:t>
      </w:r>
      <w:r w:rsidR="002D4171" w:rsidRPr="000F73B5">
        <w:t xml:space="preserve"> </w:t>
      </w:r>
      <w:r w:rsidR="00B11217" w:rsidRPr="000F73B5">
        <w:t xml:space="preserve">outline recommendations regarding </w:t>
      </w:r>
      <w:r w:rsidR="000032F9" w:rsidRPr="000F73B5">
        <w:t xml:space="preserve">actions OVIC </w:t>
      </w:r>
      <w:r w:rsidR="003D796B">
        <w:t>can</w:t>
      </w:r>
      <w:r w:rsidR="003D796B" w:rsidRPr="000F73B5">
        <w:t xml:space="preserve"> </w:t>
      </w:r>
      <w:r w:rsidR="000032F9" w:rsidRPr="000F73B5">
        <w:t xml:space="preserve">take to influence </w:t>
      </w:r>
      <w:r w:rsidR="00B11217" w:rsidRPr="000F73B5">
        <w:t xml:space="preserve">agency culture and </w:t>
      </w:r>
      <w:r w:rsidR="000032F9" w:rsidRPr="000F73B5">
        <w:t xml:space="preserve">enable greater </w:t>
      </w:r>
      <w:r w:rsidR="00B11217" w:rsidRPr="000F73B5">
        <w:t xml:space="preserve">proactive and informal release. </w:t>
      </w:r>
    </w:p>
    <w:p w14:paraId="1BA3EDE8" w14:textId="2B0E7630" w:rsidR="008B1210" w:rsidRPr="000F73B5" w:rsidRDefault="005D6908" w:rsidP="00320A31">
      <w:pPr>
        <w:pStyle w:val="Body"/>
        <w:keepLines/>
      </w:pPr>
      <w:r>
        <w:t xml:space="preserve">A key objective of the </w:t>
      </w:r>
      <w:r w:rsidR="000A638E" w:rsidRPr="000F73B5">
        <w:t xml:space="preserve">Proactive and </w:t>
      </w:r>
      <w:r w:rsidR="00880657" w:rsidRPr="000F73B5">
        <w:t>Informal</w:t>
      </w:r>
      <w:r w:rsidR="000A638E" w:rsidRPr="000F73B5">
        <w:t xml:space="preserve"> Release </w:t>
      </w:r>
      <w:r w:rsidR="008B1210" w:rsidRPr="000F73B5">
        <w:t xml:space="preserve">Behavioural Change </w:t>
      </w:r>
      <w:r>
        <w:t>project was</w:t>
      </w:r>
      <w:r w:rsidR="008B1210" w:rsidRPr="000F73B5">
        <w:t xml:space="preserve"> to consider and design how OVIC could enable greater proactive and informal release in agencies. </w:t>
      </w:r>
      <w:r w:rsidR="00FA2231" w:rsidRPr="000F73B5">
        <w:t xml:space="preserve">The Final Report </w:t>
      </w:r>
      <w:r w:rsidR="00EB2E15" w:rsidRPr="000F73B5">
        <w:t>contains</w:t>
      </w:r>
      <w:r w:rsidR="008B1210" w:rsidRPr="000F73B5">
        <w:t xml:space="preserve"> </w:t>
      </w:r>
      <w:r w:rsidR="00164037" w:rsidRPr="000F73B5">
        <w:t xml:space="preserve">an implementation strategy with </w:t>
      </w:r>
      <w:r w:rsidR="008E5175" w:rsidRPr="000F73B5">
        <w:t xml:space="preserve">specific </w:t>
      </w:r>
      <w:r w:rsidR="00164037" w:rsidRPr="000F73B5">
        <w:t>actions based on the conditions and practice required to increase proactive and informal release.</w:t>
      </w:r>
      <w:r w:rsidR="008E5175" w:rsidRPr="000F73B5">
        <w:t xml:space="preserve"> The implementation strategy will guide OVIC in its work</w:t>
      </w:r>
      <w:r w:rsidR="00121276" w:rsidRPr="000F73B5">
        <w:t xml:space="preserve"> over the short, </w:t>
      </w:r>
      <w:r w:rsidR="00EB2E15" w:rsidRPr="000F73B5">
        <w:t>medium,</w:t>
      </w:r>
      <w:r w:rsidR="00121276" w:rsidRPr="000F73B5">
        <w:t xml:space="preserve"> and long term</w:t>
      </w:r>
      <w:r w:rsidR="008E5175" w:rsidRPr="000F73B5">
        <w:t>.</w:t>
      </w:r>
    </w:p>
    <w:p w14:paraId="36CFE8D8" w14:textId="02CB785A" w:rsidR="001B53F0" w:rsidRPr="000F73B5" w:rsidRDefault="0047794C" w:rsidP="0047794C">
      <w:pPr>
        <w:pStyle w:val="Body"/>
      </w:pPr>
      <w:r w:rsidRPr="000F73B5">
        <w:t xml:space="preserve">The </w:t>
      </w:r>
      <w:r w:rsidR="005E01AB" w:rsidRPr="000F73B5">
        <w:t>recommendations</w:t>
      </w:r>
      <w:r w:rsidRPr="000F73B5">
        <w:t xml:space="preserve"> in the </w:t>
      </w:r>
      <w:r w:rsidR="007255C2" w:rsidRPr="000F73B5">
        <w:t xml:space="preserve">Proactive and Informal Release </w:t>
      </w:r>
      <w:r w:rsidRPr="000F73B5">
        <w:t>Behavioural Change Final Report and the Culture of FOI in Victoria Part II Study Report</w:t>
      </w:r>
      <w:r w:rsidR="001B53F0" w:rsidRPr="000F73B5">
        <w:t xml:space="preserve"> fall into three broad categories:</w:t>
      </w:r>
    </w:p>
    <w:p w14:paraId="608D9EC3" w14:textId="6A2139EB" w:rsidR="00525F1E" w:rsidRPr="000F73B5" w:rsidRDefault="00016408" w:rsidP="00700642">
      <w:pPr>
        <w:pStyle w:val="Body"/>
        <w:numPr>
          <w:ilvl w:val="0"/>
          <w:numId w:val="20"/>
        </w:numPr>
      </w:pPr>
      <w:r w:rsidRPr="000F73B5">
        <w:t>e</w:t>
      </w:r>
      <w:r w:rsidR="007314B5" w:rsidRPr="000F73B5">
        <w:t xml:space="preserve">ducation and </w:t>
      </w:r>
      <w:proofErr w:type="gramStart"/>
      <w:r w:rsidR="007314B5" w:rsidRPr="000F73B5">
        <w:t>training</w:t>
      </w:r>
      <w:r w:rsidR="00B73EFD" w:rsidRPr="000F73B5">
        <w:t>;</w:t>
      </w:r>
      <w:proofErr w:type="gramEnd"/>
      <w:r w:rsidR="00B73EFD" w:rsidRPr="000F73B5">
        <w:t xml:space="preserve"> </w:t>
      </w:r>
    </w:p>
    <w:p w14:paraId="79D81B83" w14:textId="2936F2B6" w:rsidR="00525F1E" w:rsidRPr="000F73B5" w:rsidRDefault="00016408" w:rsidP="00700642">
      <w:pPr>
        <w:pStyle w:val="Body"/>
        <w:numPr>
          <w:ilvl w:val="0"/>
          <w:numId w:val="20"/>
        </w:numPr>
      </w:pPr>
      <w:r w:rsidRPr="000F73B5">
        <w:t>s</w:t>
      </w:r>
      <w:r w:rsidR="007314B5" w:rsidRPr="000F73B5">
        <w:t>takeholder engagement</w:t>
      </w:r>
      <w:r w:rsidR="00B73EFD" w:rsidRPr="000F73B5">
        <w:t>; and</w:t>
      </w:r>
    </w:p>
    <w:p w14:paraId="106E67F0" w14:textId="711B6250" w:rsidR="00BF0B93" w:rsidRPr="000F73B5" w:rsidRDefault="00016408" w:rsidP="00700642">
      <w:pPr>
        <w:pStyle w:val="Body"/>
        <w:numPr>
          <w:ilvl w:val="0"/>
          <w:numId w:val="20"/>
        </w:numPr>
      </w:pPr>
      <w:r w:rsidRPr="000F73B5">
        <w:t>p</w:t>
      </w:r>
      <w:r w:rsidR="007314B5" w:rsidRPr="000F73B5">
        <w:t>romotion</w:t>
      </w:r>
      <w:r w:rsidR="00B73EFD" w:rsidRPr="000F73B5">
        <w:t>.</w:t>
      </w:r>
    </w:p>
    <w:p w14:paraId="3E1D6F24" w14:textId="5C375C6C" w:rsidR="00DD6C1C" w:rsidRPr="000F73B5" w:rsidRDefault="0098044F" w:rsidP="00DD6C1C">
      <w:pPr>
        <w:pStyle w:val="Body"/>
      </w:pPr>
      <w:r w:rsidRPr="000F73B5">
        <w:t>The recommendations directly target FOI practitioners and agency leadership</w:t>
      </w:r>
      <w:r w:rsidR="00B63FBB" w:rsidRPr="000F73B5">
        <w:t>,</w:t>
      </w:r>
      <w:r w:rsidRPr="000F73B5">
        <w:t xml:space="preserve"> and</w:t>
      </w:r>
      <w:r w:rsidR="00B63FBB" w:rsidRPr="000F73B5">
        <w:t xml:space="preserve"> they</w:t>
      </w:r>
      <w:r w:rsidRPr="000F73B5">
        <w:t xml:space="preserve"> indirectly target applicants and other agency staff.</w:t>
      </w:r>
      <w:r w:rsidR="00BB509A" w:rsidRPr="000F73B5">
        <w:t xml:space="preserve"> The</w:t>
      </w:r>
      <w:r w:rsidR="007F35C6" w:rsidRPr="000F73B5">
        <w:t xml:space="preserve"> recommendations </w:t>
      </w:r>
      <w:r w:rsidR="00782FC1" w:rsidRPr="000F73B5">
        <w:t>build on existing OVIC priorities, processes</w:t>
      </w:r>
      <w:r w:rsidR="0084437A" w:rsidRPr="000F73B5">
        <w:t>,</w:t>
      </w:r>
      <w:r w:rsidR="00782FC1" w:rsidRPr="000F73B5">
        <w:t xml:space="preserve"> and structures</w:t>
      </w:r>
      <w:r w:rsidR="0084437A" w:rsidRPr="000F73B5">
        <w:t xml:space="preserve"> </w:t>
      </w:r>
      <w:r w:rsidR="00782FC1" w:rsidRPr="000F73B5">
        <w:t>aligned with OVIC’s FOI function to promote understanding and acceptance by agencies and the public of the Act and its object.</w:t>
      </w:r>
      <w:r w:rsidR="00BB509A" w:rsidRPr="000F73B5">
        <w:t xml:space="preserve"> </w:t>
      </w:r>
      <w:r w:rsidR="00C4183B" w:rsidRPr="000F73B5">
        <w:t xml:space="preserve"> </w:t>
      </w:r>
    </w:p>
    <w:p w14:paraId="308D3D81" w14:textId="260EB6F0" w:rsidR="001176A2" w:rsidRPr="000F73B5" w:rsidRDefault="00642E17" w:rsidP="001176A2">
      <w:pPr>
        <w:pStyle w:val="Heading-2"/>
      </w:pPr>
      <w:bookmarkStart w:id="15" w:name="_Toc83287263"/>
      <w:r w:rsidRPr="000F73B5">
        <w:t>OVIC a</w:t>
      </w:r>
      <w:r w:rsidR="001176A2" w:rsidRPr="000F73B5">
        <w:t>ction plan</w:t>
      </w:r>
      <w:r w:rsidRPr="000F73B5">
        <w:t xml:space="preserve"> for proactive and informal release</w:t>
      </w:r>
      <w:bookmarkEnd w:id="15"/>
    </w:p>
    <w:p w14:paraId="6267D019" w14:textId="37FE554B" w:rsidR="000B07CD" w:rsidRPr="000F73B5" w:rsidRDefault="001176A2" w:rsidP="001176A2">
      <w:pPr>
        <w:pStyle w:val="Body"/>
      </w:pPr>
      <w:r w:rsidRPr="000F73B5">
        <w:t xml:space="preserve">The </w:t>
      </w:r>
      <w:r w:rsidR="009C162B" w:rsidRPr="000F73B5">
        <w:t xml:space="preserve">Proactive and Informal Release </w:t>
      </w:r>
      <w:r w:rsidRPr="000F73B5">
        <w:t>Behavioural Change Final Report outlines specific and detailed actions for OVIC to implement over the next 12</w:t>
      </w:r>
      <w:r w:rsidR="00B032A2">
        <w:t xml:space="preserve"> to </w:t>
      </w:r>
      <w:r w:rsidRPr="000F73B5">
        <w:t xml:space="preserve">18 months and beyond, in two phases. </w:t>
      </w:r>
      <w:r w:rsidR="000B07CD" w:rsidRPr="000F73B5">
        <w:t xml:space="preserve">Table 2 and Table 3 outline a </w:t>
      </w:r>
      <w:r w:rsidR="00872399" w:rsidRPr="000F73B5">
        <w:t>high-level</w:t>
      </w:r>
      <w:r w:rsidR="000B07CD" w:rsidRPr="000F73B5">
        <w:t xml:space="preserve"> action plan of OVIC activities over Phase 1 and Phase 2 (from September 2021 to March 2023 onwards)</w:t>
      </w:r>
      <w:r w:rsidR="004F2708" w:rsidRPr="000F73B5">
        <w:t xml:space="preserve"> regarding education and training, stakeholder engagement, and promotion</w:t>
      </w:r>
      <w:r w:rsidR="00E470E1">
        <w:t>. The</w:t>
      </w:r>
      <w:r w:rsidR="00AD1237" w:rsidRPr="000F73B5">
        <w:t xml:space="preserve"> aim </w:t>
      </w:r>
      <w:r w:rsidR="00E470E1">
        <w:t xml:space="preserve">of these activities </w:t>
      </w:r>
      <w:r w:rsidR="00E44985">
        <w:t>is to</w:t>
      </w:r>
      <w:r w:rsidR="003C79FA">
        <w:t xml:space="preserve"> </w:t>
      </w:r>
      <w:r w:rsidR="00AD1237" w:rsidRPr="000F73B5">
        <w:t>support agencies to enhance FOI culture through proactive and informal release</w:t>
      </w:r>
      <w:r w:rsidR="004F2708" w:rsidRPr="000F73B5">
        <w:t xml:space="preserve">. </w:t>
      </w:r>
    </w:p>
    <w:p w14:paraId="547172F8" w14:textId="6F26E9B9" w:rsidR="001176A2" w:rsidRPr="000F73B5" w:rsidRDefault="00D71649" w:rsidP="00483456">
      <w:pPr>
        <w:pStyle w:val="Body"/>
        <w:keepNext/>
        <w:rPr>
          <w:b/>
          <w:bCs/>
          <w:sz w:val="20"/>
          <w:szCs w:val="18"/>
        </w:rPr>
      </w:pPr>
      <w:r w:rsidRPr="000F73B5">
        <w:rPr>
          <w:b/>
          <w:bCs/>
          <w:sz w:val="20"/>
          <w:szCs w:val="18"/>
        </w:rPr>
        <w:lastRenderedPageBreak/>
        <w:t xml:space="preserve">Table 2: </w:t>
      </w:r>
      <w:r w:rsidR="001176A2" w:rsidRPr="000F73B5">
        <w:rPr>
          <w:b/>
          <w:bCs/>
          <w:sz w:val="20"/>
          <w:szCs w:val="18"/>
        </w:rPr>
        <w:t>Phase 1</w:t>
      </w:r>
      <w:r w:rsidRPr="000F73B5">
        <w:rPr>
          <w:b/>
          <w:bCs/>
          <w:sz w:val="20"/>
          <w:szCs w:val="18"/>
        </w:rPr>
        <w:t xml:space="preserve"> – OVIC actions o</w:t>
      </w:r>
      <w:r w:rsidR="001176A2" w:rsidRPr="000F73B5">
        <w:rPr>
          <w:b/>
          <w:bCs/>
          <w:sz w:val="20"/>
          <w:szCs w:val="18"/>
        </w:rPr>
        <w:t>ver the next 12</w:t>
      </w:r>
      <w:r w:rsidR="00B032A2">
        <w:rPr>
          <w:b/>
          <w:bCs/>
          <w:sz w:val="20"/>
          <w:szCs w:val="18"/>
        </w:rPr>
        <w:t xml:space="preserve"> to </w:t>
      </w:r>
      <w:r w:rsidR="001176A2" w:rsidRPr="000F73B5">
        <w:rPr>
          <w:b/>
          <w:bCs/>
          <w:sz w:val="20"/>
          <w:szCs w:val="18"/>
        </w:rPr>
        <w:t>18 months</w:t>
      </w:r>
      <w:r w:rsidR="003914E2" w:rsidRPr="000F73B5">
        <w:rPr>
          <w:b/>
          <w:bCs/>
          <w:sz w:val="20"/>
          <w:szCs w:val="18"/>
        </w:rPr>
        <w:t xml:space="preserve"> (September 2021 to September 2022/March 2023)</w:t>
      </w:r>
    </w:p>
    <w:tbl>
      <w:tblPr>
        <w:tblStyle w:val="TableGrid"/>
        <w:tblW w:w="0" w:type="auto"/>
        <w:tblLook w:val="04A0" w:firstRow="1" w:lastRow="0" w:firstColumn="1" w:lastColumn="0" w:noHBand="0" w:noVBand="1"/>
      </w:tblPr>
      <w:tblGrid>
        <w:gridCol w:w="3207"/>
        <w:gridCol w:w="3207"/>
        <w:gridCol w:w="3208"/>
      </w:tblGrid>
      <w:tr w:rsidR="007A00CE" w:rsidRPr="000F73B5" w14:paraId="3760192C" w14:textId="77777777" w:rsidTr="007A00CE">
        <w:tc>
          <w:tcPr>
            <w:tcW w:w="9622" w:type="dxa"/>
            <w:gridSpan w:val="3"/>
            <w:tcBorders>
              <w:top w:val="single" w:sz="4" w:space="0" w:color="auto"/>
              <w:left w:val="single" w:sz="4" w:space="0" w:color="auto"/>
              <w:bottom w:val="single" w:sz="4" w:space="0" w:color="auto"/>
            </w:tcBorders>
            <w:shd w:val="clear" w:color="auto" w:fill="430098"/>
          </w:tcPr>
          <w:p w14:paraId="32245866" w14:textId="13393B9D" w:rsidR="007A00CE" w:rsidRPr="000F73B5" w:rsidRDefault="007A00CE" w:rsidP="007A00CE">
            <w:pPr>
              <w:pStyle w:val="Body"/>
              <w:keepLines/>
              <w:jc w:val="center"/>
              <w:rPr>
                <w:b/>
                <w:bCs/>
                <w:sz w:val="20"/>
                <w:szCs w:val="20"/>
              </w:rPr>
            </w:pPr>
            <w:r w:rsidRPr="000F73B5">
              <w:rPr>
                <w:color w:val="FFFFFF" w:themeColor="background1"/>
                <w:sz w:val="20"/>
                <w:szCs w:val="20"/>
              </w:rPr>
              <w:t>Monitor agency needs and progress regarding proactive and informal release</w:t>
            </w:r>
          </w:p>
        </w:tc>
      </w:tr>
      <w:tr w:rsidR="001176A2" w:rsidRPr="000F73B5" w14:paraId="463F1F27" w14:textId="77777777" w:rsidTr="00E500CC">
        <w:tc>
          <w:tcPr>
            <w:tcW w:w="3207" w:type="dxa"/>
            <w:tcBorders>
              <w:top w:val="single" w:sz="4" w:space="0" w:color="auto"/>
              <w:left w:val="single" w:sz="4" w:space="0" w:color="auto"/>
              <w:bottom w:val="single" w:sz="4" w:space="0" w:color="auto"/>
              <w:right w:val="single" w:sz="4" w:space="0" w:color="auto"/>
            </w:tcBorders>
            <w:shd w:val="clear" w:color="auto" w:fill="A5A5A5" w:themeFill="accent3"/>
          </w:tcPr>
          <w:p w14:paraId="19D443B4" w14:textId="77777777" w:rsidR="001176A2" w:rsidRPr="000F73B5" w:rsidRDefault="001176A2" w:rsidP="003721D1">
            <w:pPr>
              <w:pStyle w:val="Body"/>
              <w:keepLines/>
              <w:rPr>
                <w:b/>
                <w:bCs/>
                <w:sz w:val="20"/>
                <w:szCs w:val="20"/>
              </w:rPr>
            </w:pPr>
            <w:r w:rsidRPr="000F73B5">
              <w:rPr>
                <w:b/>
                <w:bCs/>
                <w:sz w:val="20"/>
                <w:szCs w:val="20"/>
              </w:rPr>
              <w:t>Education and training</w:t>
            </w:r>
          </w:p>
        </w:tc>
        <w:tc>
          <w:tcPr>
            <w:tcW w:w="3207" w:type="dxa"/>
            <w:tcBorders>
              <w:top w:val="single" w:sz="4" w:space="0" w:color="auto"/>
              <w:left w:val="single" w:sz="4" w:space="0" w:color="auto"/>
              <w:bottom w:val="single" w:sz="4" w:space="0" w:color="auto"/>
            </w:tcBorders>
            <w:shd w:val="clear" w:color="auto" w:fill="A5A5A5" w:themeFill="accent3"/>
          </w:tcPr>
          <w:p w14:paraId="7F361D57" w14:textId="77777777" w:rsidR="001176A2" w:rsidRPr="000F73B5" w:rsidRDefault="001176A2" w:rsidP="003721D1">
            <w:pPr>
              <w:pStyle w:val="Body"/>
              <w:keepLines/>
              <w:rPr>
                <w:b/>
                <w:bCs/>
                <w:sz w:val="20"/>
                <w:szCs w:val="20"/>
              </w:rPr>
            </w:pPr>
            <w:r w:rsidRPr="000F73B5">
              <w:rPr>
                <w:b/>
                <w:bCs/>
                <w:sz w:val="20"/>
                <w:szCs w:val="20"/>
              </w:rPr>
              <w:t>Stakeholder engagement</w:t>
            </w:r>
          </w:p>
        </w:tc>
        <w:tc>
          <w:tcPr>
            <w:tcW w:w="3208" w:type="dxa"/>
            <w:tcBorders>
              <w:top w:val="single" w:sz="4" w:space="0" w:color="auto"/>
              <w:bottom w:val="single" w:sz="4" w:space="0" w:color="auto"/>
            </w:tcBorders>
            <w:shd w:val="clear" w:color="auto" w:fill="A5A5A5" w:themeFill="accent3"/>
          </w:tcPr>
          <w:p w14:paraId="5A108159" w14:textId="2F1C17A5" w:rsidR="001176A2" w:rsidRPr="000F73B5" w:rsidRDefault="001176A2" w:rsidP="003721D1">
            <w:pPr>
              <w:pStyle w:val="Body"/>
              <w:keepLines/>
              <w:rPr>
                <w:b/>
                <w:bCs/>
                <w:sz w:val="20"/>
                <w:szCs w:val="20"/>
              </w:rPr>
            </w:pPr>
            <w:r w:rsidRPr="000F73B5">
              <w:rPr>
                <w:b/>
                <w:bCs/>
                <w:sz w:val="20"/>
                <w:szCs w:val="20"/>
              </w:rPr>
              <w:t>Promotion</w:t>
            </w:r>
          </w:p>
        </w:tc>
      </w:tr>
      <w:tr w:rsidR="001176A2" w:rsidRPr="000F73B5" w14:paraId="21749A2D" w14:textId="77777777" w:rsidTr="00E500CC">
        <w:trPr>
          <w:trHeight w:val="2127"/>
        </w:trPr>
        <w:tc>
          <w:tcPr>
            <w:tcW w:w="3207" w:type="dxa"/>
            <w:tcBorders>
              <w:top w:val="single" w:sz="4" w:space="0" w:color="auto"/>
              <w:left w:val="single" w:sz="4" w:space="0" w:color="auto"/>
              <w:bottom w:val="single" w:sz="4" w:space="0" w:color="auto"/>
              <w:right w:val="single" w:sz="4" w:space="0" w:color="auto"/>
            </w:tcBorders>
          </w:tcPr>
          <w:p w14:paraId="7E9B039D" w14:textId="60A1F2F5" w:rsidR="001176A2" w:rsidRPr="000F73B5" w:rsidRDefault="001176A2" w:rsidP="003721D1">
            <w:pPr>
              <w:pStyle w:val="Body"/>
              <w:keepLines/>
              <w:rPr>
                <w:b/>
                <w:bCs/>
                <w:i/>
                <w:iCs/>
                <w:sz w:val="20"/>
                <w:szCs w:val="20"/>
              </w:rPr>
            </w:pPr>
            <w:r w:rsidRPr="000F73B5">
              <w:rPr>
                <w:sz w:val="20"/>
                <w:szCs w:val="20"/>
              </w:rPr>
              <w:t>Develop new and update existing guidance materials</w:t>
            </w:r>
            <w:r w:rsidR="00782D71" w:rsidRPr="000F73B5">
              <w:rPr>
                <w:sz w:val="20"/>
                <w:szCs w:val="20"/>
              </w:rPr>
              <w:t>.</w:t>
            </w:r>
          </w:p>
          <w:p w14:paraId="1BE6A62F" w14:textId="37660A32" w:rsidR="001176A2" w:rsidRPr="000F73B5" w:rsidRDefault="001176A2" w:rsidP="003721D1">
            <w:pPr>
              <w:pStyle w:val="Body"/>
              <w:keepLines/>
              <w:rPr>
                <w:b/>
                <w:bCs/>
                <w:i/>
                <w:iCs/>
                <w:sz w:val="20"/>
                <w:szCs w:val="20"/>
              </w:rPr>
            </w:pPr>
            <w:r w:rsidRPr="000F73B5">
              <w:rPr>
                <w:sz w:val="20"/>
                <w:szCs w:val="20"/>
              </w:rPr>
              <w:t>Develop new webinars on improving FOI efficiency and proactive and informal release</w:t>
            </w:r>
            <w:r w:rsidR="00782D71" w:rsidRPr="000F73B5">
              <w:rPr>
                <w:sz w:val="20"/>
                <w:szCs w:val="20"/>
              </w:rPr>
              <w:t>.</w:t>
            </w:r>
          </w:p>
        </w:tc>
        <w:tc>
          <w:tcPr>
            <w:tcW w:w="3207" w:type="dxa"/>
            <w:tcBorders>
              <w:top w:val="single" w:sz="4" w:space="0" w:color="auto"/>
              <w:left w:val="single" w:sz="4" w:space="0" w:color="auto"/>
              <w:bottom w:val="single" w:sz="4" w:space="0" w:color="auto"/>
            </w:tcBorders>
          </w:tcPr>
          <w:p w14:paraId="7A820E32" w14:textId="3FF29631" w:rsidR="001176A2" w:rsidRPr="000F73B5" w:rsidRDefault="001176A2" w:rsidP="003721D1">
            <w:pPr>
              <w:pStyle w:val="Body"/>
              <w:keepLines/>
              <w:rPr>
                <w:b/>
                <w:bCs/>
                <w:i/>
                <w:iCs/>
                <w:sz w:val="20"/>
                <w:szCs w:val="20"/>
              </w:rPr>
            </w:pPr>
            <w:r w:rsidRPr="000F73B5">
              <w:rPr>
                <w:sz w:val="20"/>
                <w:szCs w:val="20"/>
              </w:rPr>
              <w:t>Engage directly with agency leadership, FOI practitioners, other agency staff, and other stakeholders to promote and support proactive and informal release</w:t>
            </w:r>
            <w:r w:rsidR="00782D71" w:rsidRPr="000F73B5">
              <w:rPr>
                <w:sz w:val="20"/>
                <w:szCs w:val="20"/>
              </w:rPr>
              <w:t>.</w:t>
            </w:r>
          </w:p>
        </w:tc>
        <w:tc>
          <w:tcPr>
            <w:tcW w:w="3208" w:type="dxa"/>
            <w:tcBorders>
              <w:top w:val="single" w:sz="4" w:space="0" w:color="auto"/>
              <w:bottom w:val="single" w:sz="4" w:space="0" w:color="auto"/>
            </w:tcBorders>
          </w:tcPr>
          <w:p w14:paraId="6A678C0C" w14:textId="1B9BC3E6" w:rsidR="001176A2" w:rsidRPr="000F73B5" w:rsidRDefault="001176A2" w:rsidP="003721D1">
            <w:pPr>
              <w:pStyle w:val="Body"/>
              <w:keepLines/>
              <w:rPr>
                <w:b/>
                <w:bCs/>
                <w:i/>
                <w:iCs/>
                <w:sz w:val="20"/>
                <w:szCs w:val="20"/>
              </w:rPr>
            </w:pPr>
            <w:r w:rsidRPr="000F73B5">
              <w:rPr>
                <w:sz w:val="20"/>
                <w:szCs w:val="20"/>
              </w:rPr>
              <w:t xml:space="preserve">Promote </w:t>
            </w:r>
            <w:r w:rsidR="00307372" w:rsidRPr="000F73B5">
              <w:rPr>
                <w:sz w:val="20"/>
                <w:szCs w:val="20"/>
              </w:rPr>
              <w:t xml:space="preserve">proactive and informal release </w:t>
            </w:r>
            <w:r w:rsidRPr="000F73B5">
              <w:rPr>
                <w:sz w:val="20"/>
                <w:szCs w:val="20"/>
              </w:rPr>
              <w:t xml:space="preserve">and share best practice </w:t>
            </w:r>
            <w:r w:rsidR="007204BC">
              <w:rPr>
                <w:sz w:val="20"/>
                <w:szCs w:val="20"/>
              </w:rPr>
              <w:t xml:space="preserve">examples </w:t>
            </w:r>
            <w:r w:rsidRPr="000F73B5">
              <w:rPr>
                <w:sz w:val="20"/>
                <w:szCs w:val="20"/>
              </w:rPr>
              <w:t>via communications channels.</w:t>
            </w:r>
          </w:p>
        </w:tc>
      </w:tr>
    </w:tbl>
    <w:p w14:paraId="114B86D1" w14:textId="5DE5BFBF" w:rsidR="001176A2" w:rsidRPr="000F73B5" w:rsidRDefault="00D71649" w:rsidP="00483456">
      <w:pPr>
        <w:pStyle w:val="Body"/>
        <w:keepNext/>
        <w:rPr>
          <w:b/>
          <w:bCs/>
          <w:sz w:val="20"/>
          <w:szCs w:val="18"/>
        </w:rPr>
      </w:pPr>
      <w:r w:rsidRPr="000F73B5">
        <w:rPr>
          <w:b/>
          <w:bCs/>
          <w:sz w:val="20"/>
          <w:szCs w:val="18"/>
        </w:rPr>
        <w:t xml:space="preserve">Table 3: </w:t>
      </w:r>
      <w:r w:rsidR="001176A2" w:rsidRPr="000F73B5">
        <w:rPr>
          <w:b/>
          <w:bCs/>
          <w:sz w:val="20"/>
          <w:szCs w:val="18"/>
        </w:rPr>
        <w:t>Phase 2</w:t>
      </w:r>
      <w:r w:rsidRPr="000F73B5">
        <w:rPr>
          <w:b/>
          <w:bCs/>
          <w:sz w:val="20"/>
          <w:szCs w:val="18"/>
        </w:rPr>
        <w:t xml:space="preserve"> – OVIC actions</w:t>
      </w:r>
      <w:r w:rsidR="001176A2" w:rsidRPr="000F73B5">
        <w:rPr>
          <w:b/>
          <w:bCs/>
          <w:sz w:val="20"/>
          <w:szCs w:val="18"/>
        </w:rPr>
        <w:t xml:space="preserve"> </w:t>
      </w:r>
      <w:r w:rsidRPr="000F73B5">
        <w:rPr>
          <w:b/>
          <w:bCs/>
          <w:sz w:val="20"/>
          <w:szCs w:val="18"/>
        </w:rPr>
        <w:t>o</w:t>
      </w:r>
      <w:r w:rsidR="001176A2" w:rsidRPr="000F73B5">
        <w:rPr>
          <w:b/>
          <w:bCs/>
          <w:sz w:val="20"/>
          <w:szCs w:val="18"/>
        </w:rPr>
        <w:t xml:space="preserve">ngoing </w:t>
      </w:r>
      <w:r w:rsidR="003914E2" w:rsidRPr="000F73B5">
        <w:rPr>
          <w:b/>
          <w:bCs/>
          <w:sz w:val="20"/>
          <w:szCs w:val="18"/>
        </w:rPr>
        <w:t>(September 2022/March 2023 onwards)</w:t>
      </w:r>
    </w:p>
    <w:tbl>
      <w:tblPr>
        <w:tblStyle w:val="TableGrid"/>
        <w:tblW w:w="0" w:type="auto"/>
        <w:tblLook w:val="04A0" w:firstRow="1" w:lastRow="0" w:firstColumn="1" w:lastColumn="0" w:noHBand="0" w:noVBand="1"/>
      </w:tblPr>
      <w:tblGrid>
        <w:gridCol w:w="3207"/>
        <w:gridCol w:w="3207"/>
        <w:gridCol w:w="3208"/>
      </w:tblGrid>
      <w:tr w:rsidR="001176A2" w:rsidRPr="000F73B5" w14:paraId="5698DF7B" w14:textId="77777777" w:rsidTr="00E500CC">
        <w:tc>
          <w:tcPr>
            <w:tcW w:w="9622" w:type="dxa"/>
            <w:gridSpan w:val="3"/>
            <w:shd w:val="clear" w:color="auto" w:fill="430098"/>
          </w:tcPr>
          <w:p w14:paraId="197FCAEF" w14:textId="77777777" w:rsidR="001176A2" w:rsidRPr="000F73B5" w:rsidRDefault="001176A2" w:rsidP="00E500CC">
            <w:pPr>
              <w:pStyle w:val="Body"/>
              <w:jc w:val="center"/>
              <w:rPr>
                <w:b/>
                <w:bCs/>
                <w:i/>
                <w:iCs/>
                <w:sz w:val="20"/>
                <w:szCs w:val="20"/>
              </w:rPr>
            </w:pPr>
            <w:r w:rsidRPr="000F73B5">
              <w:rPr>
                <w:color w:val="FFFFFF" w:themeColor="background1"/>
                <w:sz w:val="20"/>
                <w:szCs w:val="20"/>
              </w:rPr>
              <w:t>Monitor agency needs and progress regarding proactive and informal release</w:t>
            </w:r>
          </w:p>
        </w:tc>
      </w:tr>
      <w:tr w:rsidR="001176A2" w:rsidRPr="000F73B5" w14:paraId="24C4BFFC" w14:textId="77777777" w:rsidTr="00E500CC">
        <w:tc>
          <w:tcPr>
            <w:tcW w:w="3207" w:type="dxa"/>
            <w:shd w:val="clear" w:color="auto" w:fill="A5A5A5" w:themeFill="accent3"/>
          </w:tcPr>
          <w:p w14:paraId="41C2556A" w14:textId="77777777" w:rsidR="001176A2" w:rsidRPr="000F73B5" w:rsidRDefault="001176A2" w:rsidP="00E500CC">
            <w:pPr>
              <w:pStyle w:val="Body"/>
              <w:rPr>
                <w:b/>
                <w:bCs/>
                <w:sz w:val="20"/>
                <w:szCs w:val="20"/>
              </w:rPr>
            </w:pPr>
            <w:r w:rsidRPr="000F73B5">
              <w:rPr>
                <w:b/>
                <w:bCs/>
                <w:sz w:val="20"/>
                <w:szCs w:val="20"/>
              </w:rPr>
              <w:t>Education and training</w:t>
            </w:r>
          </w:p>
        </w:tc>
        <w:tc>
          <w:tcPr>
            <w:tcW w:w="3207" w:type="dxa"/>
            <w:shd w:val="clear" w:color="auto" w:fill="A5A5A5" w:themeFill="accent3"/>
          </w:tcPr>
          <w:p w14:paraId="57539448" w14:textId="77777777" w:rsidR="001176A2" w:rsidRPr="000F73B5" w:rsidRDefault="001176A2" w:rsidP="00E500CC">
            <w:pPr>
              <w:pStyle w:val="Body"/>
              <w:rPr>
                <w:b/>
                <w:bCs/>
                <w:sz w:val="20"/>
                <w:szCs w:val="20"/>
              </w:rPr>
            </w:pPr>
            <w:r w:rsidRPr="000F73B5">
              <w:rPr>
                <w:b/>
                <w:bCs/>
                <w:sz w:val="20"/>
                <w:szCs w:val="20"/>
              </w:rPr>
              <w:t>Stakeholder engagement</w:t>
            </w:r>
          </w:p>
        </w:tc>
        <w:tc>
          <w:tcPr>
            <w:tcW w:w="3208" w:type="dxa"/>
            <w:shd w:val="clear" w:color="auto" w:fill="A5A5A5" w:themeFill="accent3"/>
          </w:tcPr>
          <w:p w14:paraId="3C6C60A7" w14:textId="4F9137E8" w:rsidR="001176A2" w:rsidRPr="000F73B5" w:rsidRDefault="001176A2" w:rsidP="00E500CC">
            <w:pPr>
              <w:pStyle w:val="Body"/>
              <w:rPr>
                <w:b/>
                <w:bCs/>
                <w:sz w:val="20"/>
                <w:szCs w:val="20"/>
              </w:rPr>
            </w:pPr>
            <w:r w:rsidRPr="000F73B5">
              <w:rPr>
                <w:b/>
                <w:bCs/>
                <w:sz w:val="20"/>
                <w:szCs w:val="20"/>
              </w:rPr>
              <w:t>Promotion</w:t>
            </w:r>
          </w:p>
        </w:tc>
      </w:tr>
      <w:tr w:rsidR="001176A2" w:rsidRPr="000F73B5" w14:paraId="4471D103" w14:textId="77777777" w:rsidTr="00E500CC">
        <w:trPr>
          <w:trHeight w:val="2127"/>
        </w:trPr>
        <w:tc>
          <w:tcPr>
            <w:tcW w:w="3207" w:type="dxa"/>
          </w:tcPr>
          <w:p w14:paraId="2B05EDCE" w14:textId="01E93B1D" w:rsidR="001176A2" w:rsidRPr="000F73B5" w:rsidRDefault="001176A2" w:rsidP="00E500CC">
            <w:pPr>
              <w:pStyle w:val="Body"/>
              <w:rPr>
                <w:sz w:val="20"/>
                <w:szCs w:val="20"/>
              </w:rPr>
            </w:pPr>
            <w:r w:rsidRPr="000F73B5">
              <w:rPr>
                <w:sz w:val="20"/>
                <w:szCs w:val="20"/>
              </w:rPr>
              <w:t xml:space="preserve">Continue to </w:t>
            </w:r>
            <w:r w:rsidR="00782D71" w:rsidRPr="000F73B5">
              <w:rPr>
                <w:sz w:val="20"/>
                <w:szCs w:val="20"/>
              </w:rPr>
              <w:t>provide guidance</w:t>
            </w:r>
            <w:r w:rsidRPr="000F73B5">
              <w:rPr>
                <w:sz w:val="20"/>
                <w:szCs w:val="20"/>
              </w:rPr>
              <w:t xml:space="preserve"> materials</w:t>
            </w:r>
            <w:r w:rsidR="00782D71" w:rsidRPr="000F73B5">
              <w:rPr>
                <w:sz w:val="20"/>
                <w:szCs w:val="20"/>
              </w:rPr>
              <w:t>.</w:t>
            </w:r>
          </w:p>
          <w:p w14:paraId="1DC32180" w14:textId="48D6CD80" w:rsidR="002412D7" w:rsidRPr="000F73B5" w:rsidRDefault="001176A2" w:rsidP="00E500CC">
            <w:pPr>
              <w:pStyle w:val="Body"/>
              <w:rPr>
                <w:sz w:val="20"/>
                <w:szCs w:val="20"/>
              </w:rPr>
            </w:pPr>
            <w:r w:rsidRPr="000F73B5">
              <w:rPr>
                <w:sz w:val="20"/>
                <w:szCs w:val="20"/>
              </w:rPr>
              <w:t>Review education and training activities</w:t>
            </w:r>
            <w:r w:rsidR="002412D7" w:rsidRPr="000F73B5">
              <w:rPr>
                <w:sz w:val="20"/>
                <w:szCs w:val="20"/>
              </w:rPr>
              <w:t xml:space="preserve"> </w:t>
            </w:r>
            <w:r w:rsidRPr="000F73B5">
              <w:rPr>
                <w:sz w:val="20"/>
                <w:szCs w:val="20"/>
              </w:rPr>
              <w:t>and update as necessary</w:t>
            </w:r>
            <w:r w:rsidR="00782D71" w:rsidRPr="000F73B5">
              <w:rPr>
                <w:sz w:val="20"/>
                <w:szCs w:val="20"/>
              </w:rPr>
              <w:t>.</w:t>
            </w:r>
            <w:r w:rsidR="002412D7" w:rsidRPr="000F73B5">
              <w:rPr>
                <w:sz w:val="20"/>
                <w:szCs w:val="20"/>
              </w:rPr>
              <w:t xml:space="preserve"> </w:t>
            </w:r>
          </w:p>
          <w:p w14:paraId="1D80C7B6" w14:textId="69F98A20" w:rsidR="001176A2" w:rsidRPr="000F73B5" w:rsidRDefault="002412D7" w:rsidP="00E500CC">
            <w:pPr>
              <w:pStyle w:val="Body"/>
              <w:rPr>
                <w:sz w:val="20"/>
                <w:szCs w:val="20"/>
              </w:rPr>
            </w:pPr>
            <w:r w:rsidRPr="000F73B5">
              <w:rPr>
                <w:sz w:val="20"/>
                <w:szCs w:val="20"/>
              </w:rPr>
              <w:t>Based on agency needs, develop new guidance materials and webinars on different subjects.</w:t>
            </w:r>
          </w:p>
        </w:tc>
        <w:tc>
          <w:tcPr>
            <w:tcW w:w="3207" w:type="dxa"/>
          </w:tcPr>
          <w:p w14:paraId="707A5CB8" w14:textId="3089F418" w:rsidR="001176A2" w:rsidRPr="000F73B5" w:rsidRDefault="001176A2" w:rsidP="00E500CC">
            <w:pPr>
              <w:pStyle w:val="Body"/>
              <w:rPr>
                <w:sz w:val="20"/>
                <w:szCs w:val="20"/>
              </w:rPr>
            </w:pPr>
            <w:r w:rsidRPr="000F73B5">
              <w:rPr>
                <w:sz w:val="20"/>
                <w:szCs w:val="20"/>
              </w:rPr>
              <w:t>Continue and expand stakeholder engagements</w:t>
            </w:r>
            <w:r w:rsidR="00782D71" w:rsidRPr="000F73B5">
              <w:rPr>
                <w:sz w:val="20"/>
                <w:szCs w:val="20"/>
              </w:rPr>
              <w:t>.</w:t>
            </w:r>
          </w:p>
        </w:tc>
        <w:tc>
          <w:tcPr>
            <w:tcW w:w="3208" w:type="dxa"/>
          </w:tcPr>
          <w:p w14:paraId="2143E340" w14:textId="605124BD" w:rsidR="001176A2" w:rsidRPr="000F73B5" w:rsidRDefault="001176A2" w:rsidP="00E500CC">
            <w:pPr>
              <w:pStyle w:val="Body"/>
              <w:rPr>
                <w:sz w:val="20"/>
                <w:szCs w:val="20"/>
              </w:rPr>
            </w:pPr>
            <w:r w:rsidRPr="000F73B5">
              <w:rPr>
                <w:sz w:val="20"/>
                <w:szCs w:val="20"/>
              </w:rPr>
              <w:t>Continue to promote</w:t>
            </w:r>
            <w:r w:rsidR="006C5C4D" w:rsidRPr="000F73B5">
              <w:rPr>
                <w:sz w:val="20"/>
                <w:szCs w:val="20"/>
              </w:rPr>
              <w:t xml:space="preserve"> proactive and informal release</w:t>
            </w:r>
            <w:r w:rsidRPr="000F73B5">
              <w:rPr>
                <w:sz w:val="20"/>
                <w:szCs w:val="20"/>
              </w:rPr>
              <w:t xml:space="preserve"> and share best</w:t>
            </w:r>
            <w:r w:rsidR="00B032A2">
              <w:rPr>
                <w:sz w:val="20"/>
                <w:szCs w:val="20"/>
              </w:rPr>
              <w:t xml:space="preserve"> practice examples</w:t>
            </w:r>
            <w:r w:rsidRPr="000F73B5">
              <w:rPr>
                <w:sz w:val="20"/>
                <w:szCs w:val="20"/>
              </w:rPr>
              <w:t xml:space="preserve"> via communications channels.</w:t>
            </w:r>
          </w:p>
        </w:tc>
      </w:tr>
    </w:tbl>
    <w:p w14:paraId="7B0D263C" w14:textId="0F7C29EB" w:rsidR="002578B5" w:rsidRPr="000F73B5" w:rsidRDefault="00623214" w:rsidP="001A7E16">
      <w:pPr>
        <w:pStyle w:val="Heading-2"/>
      </w:pPr>
      <w:bookmarkStart w:id="16" w:name="_Toc83287264"/>
      <w:r w:rsidRPr="000F73B5">
        <w:t>Education and training</w:t>
      </w:r>
      <w:bookmarkEnd w:id="16"/>
    </w:p>
    <w:p w14:paraId="6CABF17C" w14:textId="29030E78" w:rsidR="000E1F81" w:rsidRPr="000F73B5" w:rsidRDefault="00D463E7" w:rsidP="00502831">
      <w:pPr>
        <w:pStyle w:val="Body"/>
        <w:keepLines/>
      </w:pPr>
      <w:r w:rsidRPr="000F73B5">
        <w:t xml:space="preserve">In Phase 1, OVIC will build on existing education and training activities and </w:t>
      </w:r>
      <w:r w:rsidR="005D487E">
        <w:t xml:space="preserve">agency </w:t>
      </w:r>
      <w:r w:rsidRPr="000F73B5">
        <w:t xml:space="preserve">resources to create new guidance on, and update </w:t>
      </w:r>
      <w:r w:rsidR="00B032A2" w:rsidRPr="000F73B5">
        <w:t>exist</w:t>
      </w:r>
      <w:r w:rsidR="00B032A2">
        <w:t>ing</w:t>
      </w:r>
      <w:r w:rsidR="00B032A2" w:rsidRPr="000F73B5">
        <w:t xml:space="preserve"> </w:t>
      </w:r>
      <w:r w:rsidRPr="000F73B5">
        <w:t xml:space="preserve">guidance to incorporate, proactive and informal release. </w:t>
      </w:r>
    </w:p>
    <w:p w14:paraId="6D7583C8" w14:textId="3E08A4ED" w:rsidR="00D463E7" w:rsidRPr="000F73B5" w:rsidRDefault="00D463E7" w:rsidP="00DC33D0">
      <w:pPr>
        <w:pStyle w:val="Body"/>
        <w:keepNext/>
      </w:pPr>
      <w:r w:rsidRPr="000F73B5">
        <w:t>Examples include:</w:t>
      </w:r>
    </w:p>
    <w:p w14:paraId="504D75C8" w14:textId="77777777" w:rsidR="00D463E7" w:rsidRPr="000F73B5" w:rsidRDefault="00D463E7" w:rsidP="00DC33D0">
      <w:pPr>
        <w:pStyle w:val="Body"/>
        <w:keepNext/>
        <w:keepLines/>
        <w:numPr>
          <w:ilvl w:val="0"/>
          <w:numId w:val="25"/>
        </w:numPr>
        <w:ind w:left="714" w:hanging="357"/>
      </w:pPr>
      <w:r w:rsidRPr="000F73B5">
        <w:t xml:space="preserve">explaining what proactive and informal release </w:t>
      </w:r>
      <w:proofErr w:type="gramStart"/>
      <w:r w:rsidRPr="000F73B5">
        <w:t>is;</w:t>
      </w:r>
      <w:proofErr w:type="gramEnd"/>
    </w:p>
    <w:p w14:paraId="46AC69AD" w14:textId="77777777" w:rsidR="00D463E7" w:rsidRPr="000F73B5" w:rsidRDefault="00D463E7" w:rsidP="00D463E7">
      <w:pPr>
        <w:pStyle w:val="Body"/>
        <w:numPr>
          <w:ilvl w:val="0"/>
          <w:numId w:val="25"/>
        </w:numPr>
      </w:pPr>
      <w:r w:rsidRPr="000F73B5">
        <w:t xml:space="preserve">developing a proactive and informal release </w:t>
      </w:r>
      <w:proofErr w:type="gramStart"/>
      <w:r w:rsidRPr="000F73B5">
        <w:t>policy;</w:t>
      </w:r>
      <w:proofErr w:type="gramEnd"/>
    </w:p>
    <w:p w14:paraId="5F5EDA87" w14:textId="7B7869A4" w:rsidR="00D463E7" w:rsidRPr="000F73B5" w:rsidRDefault="00242B3E" w:rsidP="00D463E7">
      <w:pPr>
        <w:pStyle w:val="Body"/>
        <w:numPr>
          <w:ilvl w:val="0"/>
          <w:numId w:val="25"/>
        </w:numPr>
      </w:pPr>
      <w:r>
        <w:t xml:space="preserve">exploring </w:t>
      </w:r>
      <w:r w:rsidR="00D463E7" w:rsidRPr="000F73B5">
        <w:t>how to optimise proactive and informal release in agencies; and</w:t>
      </w:r>
    </w:p>
    <w:p w14:paraId="54F24E39" w14:textId="77777777" w:rsidR="00D463E7" w:rsidRPr="000F73B5" w:rsidRDefault="00D463E7" w:rsidP="00D463E7">
      <w:pPr>
        <w:pStyle w:val="Body"/>
        <w:numPr>
          <w:ilvl w:val="0"/>
          <w:numId w:val="25"/>
        </w:numPr>
      </w:pPr>
      <w:r w:rsidRPr="000F73B5">
        <w:t>developing an FOI induction kit for new agency staff.</w:t>
      </w:r>
    </w:p>
    <w:p w14:paraId="73716643" w14:textId="459A6376" w:rsidR="00E8190E" w:rsidRPr="000F73B5" w:rsidRDefault="00E8190E" w:rsidP="00844CA7">
      <w:pPr>
        <w:pStyle w:val="Body"/>
      </w:pPr>
      <w:r w:rsidRPr="000F73B5">
        <w:t xml:space="preserve">OVIC will also develop webinars on new topics </w:t>
      </w:r>
      <w:r w:rsidR="00844CA7" w:rsidRPr="000F73B5">
        <w:t>to share best practice examples,</w:t>
      </w:r>
      <w:r w:rsidR="00C31D72" w:rsidRPr="000F73B5">
        <w:t xml:space="preserve"> explain</w:t>
      </w:r>
      <w:r w:rsidR="00844CA7" w:rsidRPr="000F73B5">
        <w:t xml:space="preserve"> how to optimise the FOI process for applicants and agencies, and </w:t>
      </w:r>
      <w:r w:rsidR="00C31D72" w:rsidRPr="000F73B5">
        <w:t xml:space="preserve">discuss </w:t>
      </w:r>
      <w:r w:rsidR="00844CA7" w:rsidRPr="000F73B5">
        <w:t>how to design and implement smart defaults to drive FOI awareness and good FOI practice</w:t>
      </w:r>
      <w:r w:rsidR="00B032A2">
        <w:t>s</w:t>
      </w:r>
      <w:r w:rsidR="00844CA7" w:rsidRPr="000F73B5">
        <w:t xml:space="preserve">. </w:t>
      </w:r>
    </w:p>
    <w:p w14:paraId="6EAFD119" w14:textId="0B052F7D" w:rsidR="00D463E7" w:rsidRPr="000F73B5" w:rsidRDefault="00D463E7" w:rsidP="00D463E7">
      <w:pPr>
        <w:pStyle w:val="Body"/>
      </w:pPr>
      <w:r w:rsidRPr="000F73B5">
        <w:t xml:space="preserve">In Phase 2, OVIC will continue to offer education and training activities, and </w:t>
      </w:r>
      <w:r w:rsidR="002125E9" w:rsidRPr="000F73B5">
        <w:t xml:space="preserve">OVIC will </w:t>
      </w:r>
      <w:r w:rsidRPr="000F73B5">
        <w:t xml:space="preserve">update and develop new guidance materials </w:t>
      </w:r>
      <w:r w:rsidR="00AF04EE" w:rsidRPr="000F73B5">
        <w:t>and webinars</w:t>
      </w:r>
      <w:r w:rsidR="00B032A2">
        <w:t>, as required</w:t>
      </w:r>
      <w:r w:rsidRPr="000F73B5">
        <w:t>.</w:t>
      </w:r>
    </w:p>
    <w:p w14:paraId="131D9996" w14:textId="75B58D66" w:rsidR="008C4790" w:rsidRPr="000F73B5" w:rsidRDefault="008C4790" w:rsidP="008C4790">
      <w:pPr>
        <w:pStyle w:val="Heading-3"/>
      </w:pPr>
      <w:r w:rsidRPr="000F73B5">
        <w:lastRenderedPageBreak/>
        <w:t>Conditions targeted</w:t>
      </w:r>
    </w:p>
    <w:p w14:paraId="3A60903F" w14:textId="754EEC7B" w:rsidR="005740E0" w:rsidRPr="000F73B5" w:rsidRDefault="009E7F5A" w:rsidP="005740E0">
      <w:pPr>
        <w:pStyle w:val="Body"/>
      </w:pPr>
      <w:r w:rsidRPr="000F73B5">
        <w:t>E</w:t>
      </w:r>
      <w:r w:rsidR="00D1401A" w:rsidRPr="000F73B5">
        <w:t>ducation and training</w:t>
      </w:r>
      <w:r w:rsidR="004E7002" w:rsidRPr="000F73B5">
        <w:t xml:space="preserve"> </w:t>
      </w:r>
      <w:r w:rsidR="000F2B5F" w:rsidRPr="000F73B5">
        <w:t xml:space="preserve">for agencies and the public </w:t>
      </w:r>
      <w:r w:rsidR="004E7002" w:rsidRPr="000F73B5">
        <w:t>(such as guidance, template documents and training)</w:t>
      </w:r>
      <w:r w:rsidR="00D1401A" w:rsidRPr="000F73B5">
        <w:t xml:space="preserve"> </w:t>
      </w:r>
      <w:r w:rsidR="00027C39" w:rsidRPr="000F73B5">
        <w:t xml:space="preserve">from OVIC </w:t>
      </w:r>
      <w:r w:rsidR="00486313" w:rsidRPr="000F73B5">
        <w:t xml:space="preserve">can </w:t>
      </w:r>
      <w:r w:rsidR="00E21597" w:rsidRPr="000F73B5">
        <w:t>enable</w:t>
      </w:r>
      <w:r w:rsidR="005740E0" w:rsidRPr="000F73B5">
        <w:t xml:space="preserve"> proactive and informal release</w:t>
      </w:r>
      <w:r w:rsidR="004E7002" w:rsidRPr="000F73B5">
        <w:t xml:space="preserve"> by</w:t>
      </w:r>
      <w:r w:rsidR="0069165A" w:rsidRPr="000F73B5">
        <w:t>:</w:t>
      </w:r>
    </w:p>
    <w:p w14:paraId="5DF21700" w14:textId="78F70750" w:rsidR="0069165A" w:rsidRPr="000F73B5" w:rsidRDefault="00275F15" w:rsidP="0069165A">
      <w:pPr>
        <w:pStyle w:val="Body"/>
        <w:numPr>
          <w:ilvl w:val="0"/>
          <w:numId w:val="24"/>
        </w:numPr>
      </w:pPr>
      <w:r w:rsidRPr="000F73B5">
        <w:rPr>
          <w:b/>
          <w:bCs/>
        </w:rPr>
        <w:t>inform</w:t>
      </w:r>
      <w:r w:rsidR="004E7002" w:rsidRPr="000F73B5">
        <w:rPr>
          <w:b/>
          <w:bCs/>
        </w:rPr>
        <w:t>ing</w:t>
      </w:r>
      <w:r w:rsidRPr="000F73B5">
        <w:t xml:space="preserve"> applicants regarding what proactive and informal release is</w:t>
      </w:r>
      <w:r w:rsidR="00C80387" w:rsidRPr="000F73B5">
        <w:t xml:space="preserve">, which can help </w:t>
      </w:r>
      <w:r w:rsidR="00760D33" w:rsidRPr="000F73B5">
        <w:t xml:space="preserve">to </w:t>
      </w:r>
      <w:r w:rsidR="00C80387" w:rsidRPr="000F73B5">
        <w:t xml:space="preserve">build </w:t>
      </w:r>
      <w:proofErr w:type="gramStart"/>
      <w:r w:rsidR="00C80387" w:rsidRPr="000F73B5">
        <w:rPr>
          <w:b/>
          <w:bCs/>
        </w:rPr>
        <w:t>trust</w:t>
      </w:r>
      <w:r w:rsidR="002555BD" w:rsidRPr="007204BC">
        <w:t>;</w:t>
      </w:r>
      <w:proofErr w:type="gramEnd"/>
    </w:p>
    <w:p w14:paraId="2C7CFA10" w14:textId="6FD3112F" w:rsidR="00C80387" w:rsidRPr="000F73B5" w:rsidRDefault="00BE4AC0" w:rsidP="0069165A">
      <w:pPr>
        <w:pStyle w:val="Body"/>
        <w:numPr>
          <w:ilvl w:val="0"/>
          <w:numId w:val="24"/>
        </w:numPr>
      </w:pPr>
      <w:r w:rsidRPr="000F73B5">
        <w:rPr>
          <w:b/>
          <w:bCs/>
        </w:rPr>
        <w:t>inspir</w:t>
      </w:r>
      <w:r w:rsidR="004E7002" w:rsidRPr="000F73B5">
        <w:rPr>
          <w:b/>
          <w:bCs/>
        </w:rPr>
        <w:t>ing</w:t>
      </w:r>
      <w:r w:rsidRPr="000F73B5">
        <w:t xml:space="preserve">, </w:t>
      </w:r>
      <w:r w:rsidR="009B3829" w:rsidRPr="000F73B5">
        <w:rPr>
          <w:b/>
          <w:bCs/>
        </w:rPr>
        <w:t>enabl</w:t>
      </w:r>
      <w:r w:rsidR="004E7002" w:rsidRPr="000F73B5">
        <w:rPr>
          <w:b/>
          <w:bCs/>
        </w:rPr>
        <w:t>ing</w:t>
      </w:r>
      <w:r w:rsidR="008B1E62" w:rsidRPr="000F73B5">
        <w:t>,</w:t>
      </w:r>
      <w:r w:rsidRPr="000F73B5">
        <w:rPr>
          <w:b/>
          <w:bCs/>
        </w:rPr>
        <w:t xml:space="preserve"> </w:t>
      </w:r>
      <w:r w:rsidRPr="000F73B5">
        <w:t>and</w:t>
      </w:r>
      <w:r w:rsidR="0083260C" w:rsidRPr="000F73B5">
        <w:t xml:space="preserve"> </w:t>
      </w:r>
      <w:r w:rsidR="0083260C" w:rsidRPr="000F73B5">
        <w:rPr>
          <w:b/>
          <w:bCs/>
        </w:rPr>
        <w:t>empower</w:t>
      </w:r>
      <w:r w:rsidR="004E7002" w:rsidRPr="000F73B5">
        <w:rPr>
          <w:b/>
          <w:bCs/>
        </w:rPr>
        <w:t>ing</w:t>
      </w:r>
      <w:r w:rsidR="0083260C" w:rsidRPr="000F73B5">
        <w:rPr>
          <w:b/>
          <w:bCs/>
        </w:rPr>
        <w:t xml:space="preserve"> </w:t>
      </w:r>
      <w:r w:rsidR="009B3829" w:rsidRPr="000F73B5">
        <w:t>FOI practitioners by</w:t>
      </w:r>
      <w:r w:rsidRPr="000F73B5">
        <w:t xml:space="preserve"> providing good practice examples</w:t>
      </w:r>
      <w:r w:rsidR="002E1B0E" w:rsidRPr="000F73B5">
        <w:t xml:space="preserve"> and</w:t>
      </w:r>
      <w:r w:rsidR="009B3829" w:rsidRPr="000F73B5">
        <w:t xml:space="preserve"> minimising actual and perceived barriers </w:t>
      </w:r>
      <w:r w:rsidR="00B032A2">
        <w:t>to</w:t>
      </w:r>
      <w:r w:rsidR="00B032A2" w:rsidRPr="000F73B5">
        <w:t xml:space="preserve"> </w:t>
      </w:r>
      <w:r w:rsidR="009B3829" w:rsidRPr="000F73B5">
        <w:t>driving</w:t>
      </w:r>
      <w:r w:rsidR="008853AD" w:rsidRPr="000F73B5">
        <w:t xml:space="preserve"> and implementing</w:t>
      </w:r>
      <w:r w:rsidR="009B3829" w:rsidRPr="000F73B5">
        <w:t xml:space="preserve"> proactive and informal release</w:t>
      </w:r>
      <w:r w:rsidR="002555BD" w:rsidRPr="000F73B5">
        <w:t>; and</w:t>
      </w:r>
    </w:p>
    <w:p w14:paraId="7FBCEE02" w14:textId="0CB55936" w:rsidR="0083260C" w:rsidRPr="000F73B5" w:rsidRDefault="004E7002" w:rsidP="0069165A">
      <w:pPr>
        <w:pStyle w:val="Body"/>
        <w:numPr>
          <w:ilvl w:val="0"/>
          <w:numId w:val="24"/>
        </w:numPr>
      </w:pPr>
      <w:r w:rsidRPr="000F73B5">
        <w:rPr>
          <w:b/>
          <w:bCs/>
        </w:rPr>
        <w:t>building</w:t>
      </w:r>
      <w:r w:rsidR="00BE4AC0" w:rsidRPr="000F73B5">
        <w:t xml:space="preserve"> </w:t>
      </w:r>
      <w:r w:rsidR="00BE4AC0" w:rsidRPr="000F73B5">
        <w:rPr>
          <w:b/>
          <w:bCs/>
        </w:rPr>
        <w:t>confidence</w:t>
      </w:r>
      <w:r w:rsidR="00BE4AC0" w:rsidRPr="000F73B5">
        <w:t xml:space="preserve"> in FOI practitioners and other agency staff to facilitate access to information through proactive and informal release</w:t>
      </w:r>
      <w:r w:rsidR="003A792B" w:rsidRPr="000F73B5">
        <w:t xml:space="preserve"> rather than</w:t>
      </w:r>
      <w:r w:rsidR="008F1891" w:rsidRPr="000F73B5">
        <w:t xml:space="preserve"> defaulting to</w:t>
      </w:r>
      <w:r w:rsidR="003A792B" w:rsidRPr="000F73B5">
        <w:t xml:space="preserve"> the formal FOI process</w:t>
      </w:r>
      <w:r w:rsidR="002555BD" w:rsidRPr="000F73B5">
        <w:t>.</w:t>
      </w:r>
    </w:p>
    <w:p w14:paraId="71EB03E1" w14:textId="255EBDD6" w:rsidR="00464F79" w:rsidRPr="000F73B5" w:rsidRDefault="00D463E7" w:rsidP="005305F0">
      <w:pPr>
        <w:pStyle w:val="Casestudy"/>
        <w:ind w:left="0" w:right="-7"/>
        <w:rPr>
          <w:b/>
          <w:bCs/>
          <w:lang w:val="en-AU"/>
        </w:rPr>
      </w:pPr>
      <w:r w:rsidRPr="000F73B5">
        <w:rPr>
          <w:b/>
          <w:bCs/>
          <w:lang w:val="en-AU"/>
        </w:rPr>
        <w:t>Related recommendations</w:t>
      </w:r>
      <w:r w:rsidR="00A119C5" w:rsidRPr="000F73B5">
        <w:rPr>
          <w:b/>
          <w:bCs/>
          <w:lang w:val="en-AU"/>
        </w:rPr>
        <w:t xml:space="preserve"> from the Culture of FOI in Victoria Part II Study Report</w:t>
      </w:r>
    </w:p>
    <w:p w14:paraId="27BB8C94" w14:textId="0F472480" w:rsidR="00B65F11" w:rsidRPr="000F73B5" w:rsidRDefault="00F439C6" w:rsidP="00DC6704">
      <w:pPr>
        <w:pStyle w:val="Casestudy"/>
        <w:ind w:left="0" w:right="-7"/>
        <w:rPr>
          <w:lang w:val="en-AU"/>
        </w:rPr>
      </w:pPr>
      <w:r w:rsidRPr="000F73B5">
        <w:rPr>
          <w:b/>
          <w:bCs/>
          <w:lang w:val="en-AU"/>
        </w:rPr>
        <w:t>Recommendation</w:t>
      </w:r>
      <w:r w:rsidR="00B65F11" w:rsidRPr="000F73B5">
        <w:rPr>
          <w:b/>
          <w:bCs/>
          <w:lang w:val="en-AU"/>
        </w:rPr>
        <w:t xml:space="preserve"> 4</w:t>
      </w:r>
      <w:r w:rsidR="00B65F11" w:rsidRPr="000F73B5">
        <w:rPr>
          <w:lang w:val="en-AU"/>
        </w:rPr>
        <w:t xml:space="preserve">: </w:t>
      </w:r>
      <w:r w:rsidR="00B032A2">
        <w:rPr>
          <w:lang w:val="en-AU"/>
        </w:rPr>
        <w:t>m</w:t>
      </w:r>
      <w:r w:rsidR="00B65F11" w:rsidRPr="000F73B5">
        <w:rPr>
          <w:lang w:val="en-AU"/>
        </w:rPr>
        <w:t xml:space="preserve">ake FOI orientation part of the induction package for new agency staff. </w:t>
      </w:r>
    </w:p>
    <w:p w14:paraId="0C0EC967" w14:textId="77777777" w:rsidR="00980880" w:rsidRPr="000F73B5" w:rsidRDefault="00980880" w:rsidP="005305F0">
      <w:pPr>
        <w:pStyle w:val="Casestudy"/>
        <w:ind w:left="0" w:right="-7"/>
        <w:rPr>
          <w:lang w:val="en-AU"/>
        </w:rPr>
      </w:pPr>
      <w:r w:rsidRPr="000F73B5">
        <w:rPr>
          <w:b/>
          <w:bCs/>
          <w:lang w:val="en-AU"/>
        </w:rPr>
        <w:t>Recommendation 6</w:t>
      </w:r>
      <w:r w:rsidRPr="000F73B5">
        <w:rPr>
          <w:lang w:val="en-AU"/>
        </w:rPr>
        <w:t xml:space="preserve">: develop tools facilitating the creation of proactive information disclosure policies in government agencies. </w:t>
      </w:r>
    </w:p>
    <w:p w14:paraId="3E831FDB" w14:textId="06E28191" w:rsidR="00F439C6" w:rsidRPr="000F73B5" w:rsidRDefault="001C676E" w:rsidP="005305F0">
      <w:pPr>
        <w:pStyle w:val="Casestudy"/>
        <w:ind w:left="0" w:right="-7"/>
        <w:rPr>
          <w:lang w:val="en-AU"/>
        </w:rPr>
      </w:pPr>
      <w:r w:rsidRPr="000F73B5">
        <w:rPr>
          <w:b/>
          <w:bCs/>
          <w:lang w:val="en-AU"/>
        </w:rPr>
        <w:t>Recommendation 7</w:t>
      </w:r>
      <w:r w:rsidRPr="000F73B5">
        <w:rPr>
          <w:lang w:val="en-AU"/>
        </w:rPr>
        <w:t>: proactive and informal release policy may include detailed analysis of historical FOI requests to identify information that may be released in future.</w:t>
      </w:r>
    </w:p>
    <w:p w14:paraId="6690EFC6" w14:textId="77777777" w:rsidR="00D26342" w:rsidRPr="000F73B5" w:rsidRDefault="001C676E" w:rsidP="005305F0">
      <w:pPr>
        <w:pStyle w:val="Casestudy"/>
        <w:ind w:left="0" w:right="-7"/>
        <w:rPr>
          <w:lang w:val="en-AU"/>
        </w:rPr>
      </w:pPr>
      <w:r w:rsidRPr="000F73B5">
        <w:rPr>
          <w:b/>
          <w:bCs/>
          <w:lang w:val="en-AU"/>
        </w:rPr>
        <w:t>Recommendation 8</w:t>
      </w:r>
      <w:r w:rsidRPr="000F73B5">
        <w:rPr>
          <w:lang w:val="en-AU"/>
        </w:rPr>
        <w:t>: hold workshops and seminars on how proactive and informal release policies can be created.</w:t>
      </w:r>
    </w:p>
    <w:p w14:paraId="499D0806" w14:textId="30CCEA22" w:rsidR="00D26342" w:rsidRPr="000F73B5" w:rsidRDefault="00D26342" w:rsidP="005305F0">
      <w:pPr>
        <w:pStyle w:val="Casestudy"/>
        <w:ind w:left="0" w:right="-7"/>
        <w:rPr>
          <w:lang w:val="en-AU"/>
        </w:rPr>
      </w:pPr>
      <w:r w:rsidRPr="000F73B5">
        <w:rPr>
          <w:b/>
          <w:bCs/>
          <w:lang w:val="en-AU"/>
        </w:rPr>
        <w:t>Recommendation 11</w:t>
      </w:r>
      <w:r w:rsidRPr="000F73B5">
        <w:rPr>
          <w:lang w:val="en-AU"/>
        </w:rPr>
        <w:t>: OVIC to encourage its staff to attain specific knowledge and understanding of sector-specific FOI needs including the following sectors: health</w:t>
      </w:r>
      <w:r w:rsidR="007654DF" w:rsidRPr="000F73B5">
        <w:rPr>
          <w:lang w:val="en-AU"/>
        </w:rPr>
        <w:t xml:space="preserve">, </w:t>
      </w:r>
      <w:r w:rsidRPr="000F73B5">
        <w:rPr>
          <w:lang w:val="en-AU"/>
        </w:rPr>
        <w:t>statutory agencies</w:t>
      </w:r>
      <w:r w:rsidR="007654DF" w:rsidRPr="000F73B5">
        <w:rPr>
          <w:lang w:val="en-AU"/>
        </w:rPr>
        <w:t xml:space="preserve">, </w:t>
      </w:r>
      <w:r w:rsidRPr="000F73B5">
        <w:rPr>
          <w:lang w:val="en-AU"/>
        </w:rPr>
        <w:t>local government</w:t>
      </w:r>
      <w:r w:rsidR="007654DF" w:rsidRPr="000F73B5">
        <w:rPr>
          <w:lang w:val="en-AU"/>
        </w:rPr>
        <w:t xml:space="preserve">, and </w:t>
      </w:r>
      <w:r w:rsidRPr="000F73B5">
        <w:rPr>
          <w:lang w:val="en-AU"/>
        </w:rPr>
        <w:t>government departments</w:t>
      </w:r>
      <w:r w:rsidR="007654DF" w:rsidRPr="000F73B5">
        <w:rPr>
          <w:lang w:val="en-AU"/>
        </w:rPr>
        <w:t>.</w:t>
      </w:r>
    </w:p>
    <w:p w14:paraId="4BA6E873" w14:textId="38437171" w:rsidR="00D26342" w:rsidRPr="000F73B5" w:rsidRDefault="0006368D" w:rsidP="005305F0">
      <w:pPr>
        <w:pStyle w:val="Casestudy"/>
        <w:ind w:left="0" w:right="-7"/>
        <w:rPr>
          <w:lang w:val="en-AU"/>
        </w:rPr>
      </w:pPr>
      <w:r w:rsidRPr="000F73B5">
        <w:rPr>
          <w:b/>
          <w:bCs/>
          <w:lang w:val="en-AU"/>
        </w:rPr>
        <w:t>Recommendation 12</w:t>
      </w:r>
      <w:r w:rsidRPr="000F73B5">
        <w:rPr>
          <w:lang w:val="en-AU"/>
        </w:rPr>
        <w:t>: OVIC to consider offering more sector-specific FOI and access to information professional development seminars.</w:t>
      </w:r>
    </w:p>
    <w:p w14:paraId="1F077728" w14:textId="3AB77FB0" w:rsidR="00F10C6E" w:rsidRPr="000F73B5" w:rsidRDefault="00372D4C" w:rsidP="001A7E16">
      <w:pPr>
        <w:pStyle w:val="Heading-2"/>
      </w:pPr>
      <w:bookmarkStart w:id="17" w:name="_Toc83287265"/>
      <w:r w:rsidRPr="000F73B5">
        <w:t>Stakeholder e</w:t>
      </w:r>
      <w:r w:rsidR="00F10C6E" w:rsidRPr="000F73B5">
        <w:t>ngag</w:t>
      </w:r>
      <w:r w:rsidR="00F81A6C" w:rsidRPr="000F73B5">
        <w:t>e</w:t>
      </w:r>
      <w:r w:rsidRPr="000F73B5">
        <w:t>ment</w:t>
      </w:r>
      <w:bookmarkEnd w:id="17"/>
    </w:p>
    <w:p w14:paraId="2EF44C12" w14:textId="15C60F5C" w:rsidR="00026C2D" w:rsidRPr="000F73B5" w:rsidRDefault="0025615C" w:rsidP="00517C5B">
      <w:pPr>
        <w:pStyle w:val="Body"/>
        <w:keepNext/>
        <w:keepLines/>
      </w:pPr>
      <w:r w:rsidRPr="000F73B5">
        <w:t xml:space="preserve">In Phase 1, </w:t>
      </w:r>
      <w:r w:rsidR="00026C2D" w:rsidRPr="000F73B5">
        <w:t>OVIC will build on existing stakeholder engagement</w:t>
      </w:r>
      <w:r w:rsidR="0030127D" w:rsidRPr="000F73B5">
        <w:t xml:space="preserve"> activities</w:t>
      </w:r>
      <w:r w:rsidR="00026C2D" w:rsidRPr="000F73B5">
        <w:t xml:space="preserve">, and consider new opportunities, to discuss </w:t>
      </w:r>
      <w:r w:rsidR="0030127D" w:rsidRPr="000F73B5">
        <w:t xml:space="preserve">and promote </w:t>
      </w:r>
      <w:r w:rsidR="00026C2D" w:rsidRPr="000F73B5">
        <w:t>proactive and informal release</w:t>
      </w:r>
      <w:r w:rsidR="00B032A2">
        <w:t>,</w:t>
      </w:r>
      <w:r w:rsidR="00026C2D" w:rsidRPr="000F73B5">
        <w:t xml:space="preserve"> such as:</w:t>
      </w:r>
    </w:p>
    <w:p w14:paraId="6D1719EA" w14:textId="270D6D8E" w:rsidR="00026C2D" w:rsidRPr="000F73B5" w:rsidRDefault="002916E1" w:rsidP="00026C2D">
      <w:pPr>
        <w:pStyle w:val="Body"/>
        <w:numPr>
          <w:ilvl w:val="0"/>
          <w:numId w:val="27"/>
        </w:numPr>
      </w:pPr>
      <w:r w:rsidRPr="000F73B5">
        <w:t>agency</w:t>
      </w:r>
      <w:r w:rsidR="00026C2D" w:rsidRPr="000F73B5">
        <w:t xml:space="preserve"> engagement with the Information Commissioner and Public Access Deputy Commissioner and agency </w:t>
      </w:r>
      <w:proofErr w:type="gramStart"/>
      <w:r w:rsidR="00026C2D" w:rsidRPr="000F73B5">
        <w:t>leaders;</w:t>
      </w:r>
      <w:proofErr w:type="gramEnd"/>
    </w:p>
    <w:p w14:paraId="2A4A1BDF" w14:textId="04A1815A" w:rsidR="00026C2D" w:rsidRPr="000F73B5" w:rsidRDefault="00026C2D" w:rsidP="00026C2D">
      <w:pPr>
        <w:pStyle w:val="Body"/>
        <w:numPr>
          <w:ilvl w:val="0"/>
          <w:numId w:val="27"/>
        </w:numPr>
      </w:pPr>
      <w:r w:rsidRPr="000F73B5">
        <w:t xml:space="preserve">regular agency engagements with OVIC’s Public Access </w:t>
      </w:r>
      <w:r w:rsidR="00B032A2">
        <w:t>Branch</w:t>
      </w:r>
      <w:r w:rsidR="00B032A2" w:rsidRPr="000F73B5">
        <w:t xml:space="preserve"> </w:t>
      </w:r>
      <w:r w:rsidR="000C0A0C" w:rsidRPr="000F73B5">
        <w:t xml:space="preserve">and FOI </w:t>
      </w:r>
      <w:proofErr w:type="gramStart"/>
      <w:r w:rsidR="000C0A0C" w:rsidRPr="000F73B5">
        <w:t>practitioners</w:t>
      </w:r>
      <w:r w:rsidRPr="000F73B5">
        <w:t>;</w:t>
      </w:r>
      <w:proofErr w:type="gramEnd"/>
      <w:r w:rsidRPr="000F73B5">
        <w:t xml:space="preserve"> </w:t>
      </w:r>
    </w:p>
    <w:p w14:paraId="32B68CE8" w14:textId="358C8452" w:rsidR="00A45E9A" w:rsidRPr="000F73B5" w:rsidRDefault="00026C2D" w:rsidP="00253E14">
      <w:pPr>
        <w:pStyle w:val="Body"/>
        <w:numPr>
          <w:ilvl w:val="0"/>
          <w:numId w:val="27"/>
        </w:numPr>
      </w:pPr>
      <w:r w:rsidRPr="000F73B5">
        <w:t>informal resolution, reviews, complaints</w:t>
      </w:r>
      <w:r w:rsidR="00D40303" w:rsidRPr="000F73B5">
        <w:t xml:space="preserve">, </w:t>
      </w:r>
      <w:r w:rsidRPr="000F73B5">
        <w:t xml:space="preserve">Agency </w:t>
      </w:r>
      <w:r w:rsidR="00986DB8">
        <w:t xml:space="preserve">FOI </w:t>
      </w:r>
      <w:r w:rsidRPr="000F73B5">
        <w:t xml:space="preserve">Information </w:t>
      </w:r>
      <w:proofErr w:type="gramStart"/>
      <w:r w:rsidRPr="000F73B5">
        <w:t>Service;</w:t>
      </w:r>
      <w:proofErr w:type="gramEnd"/>
      <w:r w:rsidRPr="000F73B5">
        <w:t xml:space="preserve"> </w:t>
      </w:r>
    </w:p>
    <w:p w14:paraId="669A363B" w14:textId="29B231CD" w:rsidR="00026C2D" w:rsidRPr="000F73B5" w:rsidRDefault="00A45E9A" w:rsidP="00026C2D">
      <w:pPr>
        <w:pStyle w:val="Body"/>
        <w:numPr>
          <w:ilvl w:val="0"/>
          <w:numId w:val="27"/>
        </w:numPr>
      </w:pPr>
      <w:r w:rsidRPr="000F73B5">
        <w:t xml:space="preserve">Public Access Agency Reference Group; </w:t>
      </w:r>
      <w:r w:rsidR="00026C2D" w:rsidRPr="000F73B5">
        <w:t>and</w:t>
      </w:r>
    </w:p>
    <w:p w14:paraId="451F5890" w14:textId="6506438C" w:rsidR="00026C2D" w:rsidRPr="000F73B5" w:rsidRDefault="00026C2D" w:rsidP="00026C2D">
      <w:pPr>
        <w:pStyle w:val="Body"/>
        <w:numPr>
          <w:ilvl w:val="0"/>
          <w:numId w:val="27"/>
        </w:numPr>
      </w:pPr>
      <w:r w:rsidRPr="000F73B5">
        <w:t xml:space="preserve">regular engagements with other </w:t>
      </w:r>
      <w:r w:rsidR="00B36E85" w:rsidRPr="000F73B5">
        <w:t xml:space="preserve">OVIC </w:t>
      </w:r>
      <w:r w:rsidRPr="000F73B5">
        <w:t>teams</w:t>
      </w:r>
      <w:r w:rsidR="002B223B" w:rsidRPr="000F73B5">
        <w:t xml:space="preserve"> and non-FOI agency staff</w:t>
      </w:r>
      <w:r w:rsidRPr="000F73B5">
        <w:t>.</w:t>
      </w:r>
    </w:p>
    <w:p w14:paraId="172DD0F0" w14:textId="388B22AA" w:rsidR="0025615C" w:rsidRPr="000F73B5" w:rsidRDefault="0025615C" w:rsidP="001C2D43">
      <w:pPr>
        <w:pStyle w:val="Body"/>
      </w:pPr>
      <w:r w:rsidRPr="000F73B5">
        <w:t>In Phase 2, OVIC will continue and expand stakeholder engagements.</w:t>
      </w:r>
    </w:p>
    <w:p w14:paraId="443D2248" w14:textId="6DBF04CD" w:rsidR="001C2D43" w:rsidRPr="000F73B5" w:rsidRDefault="001C2D43" w:rsidP="001C2D43">
      <w:pPr>
        <w:pStyle w:val="Body"/>
      </w:pPr>
      <w:r w:rsidRPr="000F73B5">
        <w:t xml:space="preserve">Stakeholder engagement can assist OVIC to identify opportunities for proactive and informal release and </w:t>
      </w:r>
      <w:r w:rsidRPr="000F73B5">
        <w:lastRenderedPageBreak/>
        <w:t xml:space="preserve">assist with realising the opportunity. Executive and senior level agency buy-in and leadership in FOI culture is critical to adopting </w:t>
      </w:r>
      <w:r w:rsidR="00B032A2">
        <w:t xml:space="preserve">and promoting </w:t>
      </w:r>
      <w:r w:rsidRPr="000F73B5">
        <w:t xml:space="preserve">proactive and informal release. This leadership can help to develop a positive FOI culture in an agency by reinforcing the importance of information release which can help to make FOI practitioners and other agency staff feel more confident </w:t>
      </w:r>
      <w:r w:rsidR="00B032A2">
        <w:t xml:space="preserve">in </w:t>
      </w:r>
      <w:r w:rsidRPr="000F73B5">
        <w:t>providing access to information outside of the Act.</w:t>
      </w:r>
      <w:r w:rsidRPr="000F73B5">
        <w:rPr>
          <w:rStyle w:val="FootnoteReference"/>
        </w:rPr>
        <w:footnoteReference w:id="42"/>
      </w:r>
    </w:p>
    <w:p w14:paraId="2645C347" w14:textId="0E6089A4" w:rsidR="00026C2D" w:rsidRPr="000F73B5" w:rsidRDefault="00026C2D" w:rsidP="00026C2D">
      <w:pPr>
        <w:pStyle w:val="Heading-3"/>
      </w:pPr>
      <w:r w:rsidRPr="000F73B5">
        <w:t>Conditions targeted</w:t>
      </w:r>
    </w:p>
    <w:p w14:paraId="0170B1FB" w14:textId="21F60508" w:rsidR="00E21597" w:rsidRPr="000F73B5" w:rsidRDefault="00E21597" w:rsidP="000A230E">
      <w:pPr>
        <w:pStyle w:val="Body"/>
      </w:pPr>
      <w:r w:rsidRPr="000F73B5">
        <w:t>Direct engagements with agencies can enable proactive and informal release by:</w:t>
      </w:r>
    </w:p>
    <w:p w14:paraId="0C7C84DC" w14:textId="4B9E09EE" w:rsidR="00E21597" w:rsidRPr="000F73B5" w:rsidRDefault="00E21597" w:rsidP="00E21597">
      <w:pPr>
        <w:pStyle w:val="Body"/>
        <w:numPr>
          <w:ilvl w:val="0"/>
          <w:numId w:val="26"/>
        </w:numPr>
      </w:pPr>
      <w:r w:rsidRPr="000F73B5">
        <w:rPr>
          <w:b/>
          <w:bCs/>
        </w:rPr>
        <w:t>inspiring</w:t>
      </w:r>
      <w:r w:rsidRPr="000F73B5">
        <w:t xml:space="preserve"> FOI practitioners with best practice examples from within their sector</w:t>
      </w:r>
      <w:r w:rsidR="00F4462F" w:rsidRPr="000F73B5">
        <w:t xml:space="preserve"> (which may include adopting a </w:t>
      </w:r>
      <w:r w:rsidR="00F4462F" w:rsidRPr="000F73B5">
        <w:rPr>
          <w:b/>
          <w:bCs/>
        </w:rPr>
        <w:t>customer service</w:t>
      </w:r>
      <w:r w:rsidR="00F4462F" w:rsidRPr="000F73B5">
        <w:t xml:space="preserve"> mindset</w:t>
      </w:r>
      <w:proofErr w:type="gramStart"/>
      <w:r w:rsidR="00F4462F" w:rsidRPr="000F73B5">
        <w:t>)</w:t>
      </w:r>
      <w:r w:rsidRPr="000F73B5">
        <w:t>;</w:t>
      </w:r>
      <w:proofErr w:type="gramEnd"/>
    </w:p>
    <w:p w14:paraId="08EFD165" w14:textId="59E3F104" w:rsidR="0037593A" w:rsidRPr="000F73B5" w:rsidRDefault="0037593A" w:rsidP="00E21597">
      <w:pPr>
        <w:pStyle w:val="Body"/>
        <w:numPr>
          <w:ilvl w:val="0"/>
          <w:numId w:val="26"/>
        </w:numPr>
      </w:pPr>
      <w:r w:rsidRPr="000F73B5">
        <w:rPr>
          <w:b/>
          <w:bCs/>
        </w:rPr>
        <w:t xml:space="preserve">building confidence </w:t>
      </w:r>
      <w:r w:rsidRPr="000F73B5">
        <w:t xml:space="preserve">in FOI practitioners and other agency staff to </w:t>
      </w:r>
      <w:proofErr w:type="gramStart"/>
      <w:r w:rsidRPr="000F73B5">
        <w:t>proactively or informally provide access</w:t>
      </w:r>
      <w:proofErr w:type="gramEnd"/>
      <w:r w:rsidRPr="000F73B5">
        <w:t xml:space="preserve"> to information; and</w:t>
      </w:r>
    </w:p>
    <w:p w14:paraId="45B0F8CA" w14:textId="42EC0873" w:rsidR="00E21597" w:rsidRPr="000F73B5" w:rsidRDefault="00E21597" w:rsidP="00B614E7">
      <w:pPr>
        <w:pStyle w:val="Body"/>
        <w:numPr>
          <w:ilvl w:val="0"/>
          <w:numId w:val="26"/>
        </w:numPr>
      </w:pPr>
      <w:r w:rsidRPr="000F73B5">
        <w:t xml:space="preserve">demonstrating the </w:t>
      </w:r>
      <w:r w:rsidRPr="000F73B5">
        <w:rPr>
          <w:b/>
          <w:bCs/>
        </w:rPr>
        <w:t>value</w:t>
      </w:r>
      <w:r w:rsidRPr="000F73B5">
        <w:t xml:space="preserve"> of proactive and informal release to agency leadership and </w:t>
      </w:r>
      <w:r w:rsidR="00B81627" w:rsidRPr="000F73B5">
        <w:rPr>
          <w:b/>
          <w:bCs/>
        </w:rPr>
        <w:t>building</w:t>
      </w:r>
      <w:r w:rsidR="00B81627" w:rsidRPr="000F73B5">
        <w:t xml:space="preserve"> </w:t>
      </w:r>
      <w:r w:rsidR="00B81627" w:rsidRPr="000F73B5">
        <w:rPr>
          <w:b/>
          <w:bCs/>
        </w:rPr>
        <w:t>confidence</w:t>
      </w:r>
      <w:r w:rsidR="00B81627" w:rsidRPr="000F73B5">
        <w:t xml:space="preserve"> on </w:t>
      </w:r>
      <w:r w:rsidRPr="000F73B5">
        <w:t>how to achieve benefits</w:t>
      </w:r>
      <w:r w:rsidR="0037593A" w:rsidRPr="000F73B5">
        <w:t xml:space="preserve"> which can help to build </w:t>
      </w:r>
      <w:r w:rsidR="00B032A2">
        <w:t>a ‘push’</w:t>
      </w:r>
      <w:r w:rsidR="00B032A2" w:rsidRPr="000F73B5">
        <w:t xml:space="preserve"> </w:t>
      </w:r>
      <w:r w:rsidR="0037593A" w:rsidRPr="000F73B5">
        <w:t xml:space="preserve">culture and </w:t>
      </w:r>
      <w:r w:rsidR="0037593A" w:rsidRPr="000F73B5">
        <w:rPr>
          <w:b/>
          <w:bCs/>
        </w:rPr>
        <w:t>empower</w:t>
      </w:r>
      <w:r w:rsidR="0037593A" w:rsidRPr="000F73B5">
        <w:t xml:space="preserve"> FOI practitioners and other agency staff.</w:t>
      </w:r>
    </w:p>
    <w:p w14:paraId="61FB8C20" w14:textId="77777777" w:rsidR="00EB24F2" w:rsidRPr="000F73B5" w:rsidRDefault="00EB24F2" w:rsidP="002B6AB0">
      <w:pPr>
        <w:pStyle w:val="Casestudy"/>
        <w:ind w:left="0" w:right="-7"/>
        <w:rPr>
          <w:b/>
          <w:bCs/>
          <w:lang w:val="en-AU"/>
        </w:rPr>
      </w:pPr>
      <w:r w:rsidRPr="000F73B5">
        <w:rPr>
          <w:b/>
          <w:bCs/>
          <w:lang w:val="en-AU"/>
        </w:rPr>
        <w:t>Related recommendations from the Culture of FOI in Victoria Part II Study Report</w:t>
      </w:r>
    </w:p>
    <w:p w14:paraId="7520013E" w14:textId="571D013D" w:rsidR="00B65F11" w:rsidRPr="000F73B5" w:rsidRDefault="00B65F11" w:rsidP="002B6AB0">
      <w:pPr>
        <w:pStyle w:val="Casestudy"/>
        <w:ind w:left="0" w:right="-7"/>
        <w:rPr>
          <w:lang w:val="en-AU"/>
        </w:rPr>
      </w:pPr>
      <w:r w:rsidRPr="000F73B5">
        <w:rPr>
          <w:b/>
          <w:bCs/>
          <w:lang w:val="en-AU"/>
        </w:rPr>
        <w:t>Recommendation</w:t>
      </w:r>
      <w:r w:rsidR="0059721F" w:rsidRPr="000F73B5">
        <w:rPr>
          <w:b/>
          <w:bCs/>
          <w:lang w:val="en-AU"/>
        </w:rPr>
        <w:t xml:space="preserve"> 5</w:t>
      </w:r>
      <w:r w:rsidR="0059721F" w:rsidRPr="000F73B5">
        <w:rPr>
          <w:lang w:val="en-AU"/>
        </w:rPr>
        <w:t>: OVIC to focus its advocacy</w:t>
      </w:r>
      <w:r w:rsidR="00A4598E" w:rsidRPr="000F73B5">
        <w:rPr>
          <w:lang w:val="en-AU"/>
        </w:rPr>
        <w:t xml:space="preserve"> and </w:t>
      </w:r>
      <w:r w:rsidR="0059721F" w:rsidRPr="000F73B5">
        <w:rPr>
          <w:lang w:val="en-AU"/>
        </w:rPr>
        <w:t xml:space="preserve">education towards executive-level agency decision makers. </w:t>
      </w:r>
    </w:p>
    <w:p w14:paraId="18157125" w14:textId="4F444422" w:rsidR="00B65F11" w:rsidRPr="000F73B5" w:rsidRDefault="00733F41" w:rsidP="001A7E16">
      <w:pPr>
        <w:pStyle w:val="Heading-2"/>
      </w:pPr>
      <w:bookmarkStart w:id="18" w:name="_Toc83287266"/>
      <w:r w:rsidRPr="000F73B5">
        <w:t>Promot</w:t>
      </w:r>
      <w:r w:rsidR="00C42B6F" w:rsidRPr="000F73B5">
        <w:t>ion</w:t>
      </w:r>
      <w:bookmarkEnd w:id="18"/>
    </w:p>
    <w:p w14:paraId="5CEEB0E6" w14:textId="30322C08" w:rsidR="005F439C" w:rsidRDefault="005F439C" w:rsidP="00FE1DDA">
      <w:pPr>
        <w:pStyle w:val="Body"/>
        <w:keepLines/>
      </w:pPr>
      <w:r w:rsidRPr="000F73B5">
        <w:t>In Phase 1</w:t>
      </w:r>
      <w:r w:rsidR="003858CA" w:rsidRPr="000F73B5">
        <w:t xml:space="preserve"> and Phase 2</w:t>
      </w:r>
      <w:r w:rsidRPr="000F73B5">
        <w:t>, OVIC will promote proactive and informal release via OVIC’s communications channels (for example, monthly newsletter, Twitter</w:t>
      </w:r>
      <w:r w:rsidR="008518CB" w:rsidRPr="000F73B5">
        <w:t>, LinkedIn</w:t>
      </w:r>
      <w:r w:rsidRPr="000F73B5">
        <w:t xml:space="preserve">). </w:t>
      </w:r>
      <w:r w:rsidR="003858CA" w:rsidRPr="000F73B5">
        <w:t>Promotion builds on OVIC’s education</w:t>
      </w:r>
      <w:r w:rsidR="00260AA6">
        <w:t xml:space="preserve">, </w:t>
      </w:r>
      <w:r w:rsidR="003858CA" w:rsidRPr="000F73B5">
        <w:t>training</w:t>
      </w:r>
      <w:r w:rsidR="00260AA6">
        <w:t>,</w:t>
      </w:r>
      <w:r w:rsidR="003858CA" w:rsidRPr="000F73B5">
        <w:t xml:space="preserve"> and stakeholder engagement activities</w:t>
      </w:r>
      <w:r w:rsidR="00E45B14" w:rsidRPr="000F73B5">
        <w:t xml:space="preserve"> </w:t>
      </w:r>
      <w:r w:rsidR="00396EE3" w:rsidRPr="000F73B5">
        <w:t>by communicating to agencies and the public regarding new OVIC guidance and webinars and sharing best practice examples</w:t>
      </w:r>
      <w:r w:rsidR="009D0A3C" w:rsidRPr="000F73B5">
        <w:t xml:space="preserve"> and positive outcomes</w:t>
      </w:r>
      <w:r w:rsidR="00396EE3" w:rsidRPr="000F73B5">
        <w:t xml:space="preserve"> from other agencies. </w:t>
      </w:r>
    </w:p>
    <w:p w14:paraId="0FCFE8E7" w14:textId="0CC0F333" w:rsidR="00DF2CF7" w:rsidRPr="000F73B5" w:rsidRDefault="00DF2CF7" w:rsidP="00FE1DDA">
      <w:pPr>
        <w:pStyle w:val="Body"/>
        <w:keepLines/>
      </w:pPr>
      <w:r>
        <w:t xml:space="preserve">OVIC will look to partner with agencies engaged in and committed to providing greater proactive and informal access to information to role model and promote how those agencies </w:t>
      </w:r>
      <w:r w:rsidR="00E27EFB">
        <w:t>have succeeded in changing their outlook and culture to public access to information.</w:t>
      </w:r>
      <w:r>
        <w:t xml:space="preserve">  </w:t>
      </w:r>
    </w:p>
    <w:p w14:paraId="48A0D952" w14:textId="54D76280" w:rsidR="003A4B7F" w:rsidRPr="000F73B5" w:rsidRDefault="003A4B7F" w:rsidP="003A4B7F">
      <w:pPr>
        <w:pStyle w:val="Heading-3"/>
      </w:pPr>
      <w:r w:rsidRPr="000F73B5">
        <w:t>Conditions targeted</w:t>
      </w:r>
    </w:p>
    <w:p w14:paraId="57276440" w14:textId="0558BC61" w:rsidR="00F2079D" w:rsidRPr="000F73B5" w:rsidRDefault="00F2079D" w:rsidP="00F2079D">
      <w:pPr>
        <w:pStyle w:val="Body"/>
      </w:pPr>
      <w:r w:rsidRPr="000F73B5">
        <w:t>Promotion can enable proactive and informal release by:</w:t>
      </w:r>
    </w:p>
    <w:p w14:paraId="1D3DDC52" w14:textId="395CF99B" w:rsidR="00F2079D" w:rsidRPr="000F73B5" w:rsidRDefault="00F2079D" w:rsidP="00F2079D">
      <w:pPr>
        <w:pStyle w:val="Body"/>
        <w:numPr>
          <w:ilvl w:val="0"/>
          <w:numId w:val="24"/>
        </w:numPr>
      </w:pPr>
      <w:r w:rsidRPr="000F73B5">
        <w:rPr>
          <w:b/>
          <w:bCs/>
        </w:rPr>
        <w:t>informing</w:t>
      </w:r>
      <w:r w:rsidRPr="000F73B5">
        <w:t xml:space="preserve"> applicants regarding what proactive and informal release is, which can help to build </w:t>
      </w:r>
      <w:proofErr w:type="gramStart"/>
      <w:r w:rsidRPr="000F73B5">
        <w:rPr>
          <w:b/>
          <w:bCs/>
        </w:rPr>
        <w:t>trust;</w:t>
      </w:r>
      <w:proofErr w:type="gramEnd"/>
    </w:p>
    <w:p w14:paraId="6939ECEF" w14:textId="740D0ACD" w:rsidR="00F2079D" w:rsidRPr="000F73B5" w:rsidRDefault="00F2079D" w:rsidP="00F2079D">
      <w:pPr>
        <w:pStyle w:val="Body"/>
        <w:numPr>
          <w:ilvl w:val="0"/>
          <w:numId w:val="24"/>
        </w:numPr>
      </w:pPr>
      <w:r w:rsidRPr="000F73B5">
        <w:rPr>
          <w:b/>
          <w:bCs/>
        </w:rPr>
        <w:t>inspiring</w:t>
      </w:r>
      <w:r w:rsidRPr="000F73B5">
        <w:t xml:space="preserve"> FOI practitioners by providing good practice examples and minimising actual and perceived barriers </w:t>
      </w:r>
      <w:r w:rsidR="00B032A2">
        <w:t>to</w:t>
      </w:r>
      <w:r w:rsidR="00B032A2" w:rsidRPr="000F73B5">
        <w:t xml:space="preserve"> </w:t>
      </w:r>
      <w:r w:rsidRPr="000F73B5">
        <w:t xml:space="preserve">driving and implementing proactive and informal </w:t>
      </w:r>
      <w:proofErr w:type="gramStart"/>
      <w:r w:rsidRPr="000F73B5">
        <w:t>release;</w:t>
      </w:r>
      <w:proofErr w:type="gramEnd"/>
      <w:r w:rsidRPr="000F73B5">
        <w:t xml:space="preserve"> </w:t>
      </w:r>
    </w:p>
    <w:p w14:paraId="6E438109" w14:textId="7372CDA6" w:rsidR="00F2079D" w:rsidRPr="000F73B5" w:rsidRDefault="00F2079D" w:rsidP="00F2079D">
      <w:pPr>
        <w:pStyle w:val="Body"/>
        <w:numPr>
          <w:ilvl w:val="0"/>
          <w:numId w:val="24"/>
        </w:numPr>
      </w:pPr>
      <w:r w:rsidRPr="000F73B5">
        <w:rPr>
          <w:b/>
          <w:bCs/>
        </w:rPr>
        <w:t>building</w:t>
      </w:r>
      <w:r w:rsidRPr="000F73B5">
        <w:t xml:space="preserve"> </w:t>
      </w:r>
      <w:r w:rsidRPr="000F73B5">
        <w:rPr>
          <w:b/>
          <w:bCs/>
        </w:rPr>
        <w:t>confidence</w:t>
      </w:r>
      <w:r w:rsidRPr="000F73B5">
        <w:t xml:space="preserve"> in FOI practitioners and other agency staff to facilitate access to information through proactive and informal release rather than defaulting to the formal FOI process</w:t>
      </w:r>
      <w:r w:rsidR="00074389" w:rsidRPr="000F73B5">
        <w:t>; and</w:t>
      </w:r>
    </w:p>
    <w:p w14:paraId="1648535E" w14:textId="3364514F" w:rsidR="00074389" w:rsidRPr="000F73B5" w:rsidRDefault="00074389" w:rsidP="0049631B">
      <w:pPr>
        <w:pStyle w:val="Body"/>
        <w:numPr>
          <w:ilvl w:val="0"/>
          <w:numId w:val="24"/>
        </w:numPr>
      </w:pPr>
      <w:r w:rsidRPr="000F73B5">
        <w:lastRenderedPageBreak/>
        <w:t xml:space="preserve">demonstrating the </w:t>
      </w:r>
      <w:r w:rsidRPr="000F73B5">
        <w:rPr>
          <w:b/>
          <w:bCs/>
        </w:rPr>
        <w:t>value</w:t>
      </w:r>
      <w:r w:rsidRPr="000F73B5">
        <w:t xml:space="preserve"> of proactive and informal release to agency leadership and </w:t>
      </w:r>
      <w:r w:rsidRPr="000F73B5">
        <w:rPr>
          <w:b/>
          <w:bCs/>
        </w:rPr>
        <w:t>building</w:t>
      </w:r>
      <w:r w:rsidRPr="000F73B5">
        <w:t xml:space="preserve"> </w:t>
      </w:r>
      <w:r w:rsidRPr="000F73B5">
        <w:rPr>
          <w:b/>
          <w:bCs/>
        </w:rPr>
        <w:t>confidence</w:t>
      </w:r>
      <w:r w:rsidRPr="000F73B5">
        <w:t xml:space="preserve"> regarding how to achieve benefits which can help to build </w:t>
      </w:r>
      <w:r w:rsidR="00B032A2">
        <w:t>a ‘push’</w:t>
      </w:r>
      <w:r w:rsidR="00B032A2" w:rsidRPr="000F73B5">
        <w:t xml:space="preserve"> </w:t>
      </w:r>
      <w:r w:rsidRPr="000F73B5">
        <w:t xml:space="preserve">culture and </w:t>
      </w:r>
      <w:r w:rsidRPr="000F73B5">
        <w:rPr>
          <w:b/>
          <w:bCs/>
        </w:rPr>
        <w:t>empower</w:t>
      </w:r>
      <w:r w:rsidRPr="000F73B5">
        <w:t xml:space="preserve"> FOI practitioners and other agency staff.</w:t>
      </w:r>
    </w:p>
    <w:p w14:paraId="440DCED6" w14:textId="46D3A2D7" w:rsidR="00EF22FA" w:rsidRPr="000F73B5" w:rsidRDefault="00EF22FA" w:rsidP="003D3702">
      <w:pPr>
        <w:pStyle w:val="Heading-2"/>
      </w:pPr>
      <w:bookmarkStart w:id="19" w:name="_Toc83287267"/>
      <w:r w:rsidRPr="000F73B5">
        <w:t xml:space="preserve">Monitor </w:t>
      </w:r>
      <w:r w:rsidR="00296046" w:rsidRPr="000F73B5">
        <w:t xml:space="preserve">agency </w:t>
      </w:r>
      <w:r w:rsidRPr="000F73B5">
        <w:t>needs and progress</w:t>
      </w:r>
      <w:bookmarkEnd w:id="19"/>
    </w:p>
    <w:p w14:paraId="5B3D2A60" w14:textId="3DF6E9B5" w:rsidR="007A00CE" w:rsidRPr="000F73B5" w:rsidRDefault="002113FF" w:rsidP="007A00CE">
      <w:pPr>
        <w:pStyle w:val="Body"/>
      </w:pPr>
      <w:r w:rsidRPr="000F73B5">
        <w:t>In Phase 1 and Phase 2, OVIC will monitor agency needs and progress to identify opportunities for new education and training activities</w:t>
      </w:r>
      <w:r w:rsidR="00931A09" w:rsidRPr="000F73B5">
        <w:t>,</w:t>
      </w:r>
      <w:r w:rsidRPr="000F73B5">
        <w:t xml:space="preserve"> for expanding stakeholder engagement</w:t>
      </w:r>
      <w:r w:rsidR="00931A09" w:rsidRPr="000F73B5">
        <w:t>, and for understanding how agencies are progressing</w:t>
      </w:r>
      <w:r w:rsidR="00242B3E">
        <w:t xml:space="preserve"> towards providing greater proactive and informal access to information</w:t>
      </w:r>
      <w:r w:rsidRPr="000F73B5">
        <w:t>.</w:t>
      </w:r>
    </w:p>
    <w:p w14:paraId="20D37344" w14:textId="0DB1D268" w:rsidR="00BA64A3" w:rsidRPr="000F73B5" w:rsidRDefault="00AB12BE" w:rsidP="007448C4">
      <w:pPr>
        <w:pStyle w:val="Body"/>
        <w:widowControl/>
      </w:pPr>
      <w:r w:rsidRPr="000F73B5">
        <w:t>Monitoring proactive and informal release is challenging</w:t>
      </w:r>
      <w:r w:rsidR="00F764C0" w:rsidRPr="000F73B5">
        <w:t>. I</w:t>
      </w:r>
      <w:r w:rsidR="00A14168" w:rsidRPr="000F73B5">
        <w:t xml:space="preserve">t can </w:t>
      </w:r>
      <w:r w:rsidRPr="000F73B5">
        <w:t xml:space="preserve">be difficult to collect data </w:t>
      </w:r>
      <w:r w:rsidR="00473D26" w:rsidRPr="000F73B5">
        <w:t xml:space="preserve">because </w:t>
      </w:r>
      <w:r w:rsidRPr="000F73B5">
        <w:t xml:space="preserve">FOI units </w:t>
      </w:r>
      <w:r w:rsidR="00473D26" w:rsidRPr="000F73B5">
        <w:t xml:space="preserve">often </w:t>
      </w:r>
      <w:r w:rsidRPr="000F73B5">
        <w:t>do not have visibility over</w:t>
      </w:r>
      <w:r w:rsidR="00260AA6">
        <w:t xml:space="preserve"> the</w:t>
      </w:r>
      <w:r w:rsidRPr="000F73B5">
        <w:t xml:space="preserve"> information that other areas in the</w:t>
      </w:r>
      <w:r w:rsidR="00473D26" w:rsidRPr="000F73B5">
        <w:t>ir</w:t>
      </w:r>
      <w:r w:rsidRPr="000F73B5">
        <w:t xml:space="preserve"> agency </w:t>
      </w:r>
      <w:r w:rsidR="00260AA6" w:rsidRPr="000F73B5">
        <w:t>proacti</w:t>
      </w:r>
      <w:r w:rsidR="00260AA6">
        <w:t>v</w:t>
      </w:r>
      <w:r w:rsidR="00260AA6" w:rsidRPr="000F73B5">
        <w:t>e</w:t>
      </w:r>
      <w:r w:rsidR="00260AA6">
        <w:t>ly</w:t>
      </w:r>
      <w:r w:rsidR="00260AA6" w:rsidRPr="000F73B5">
        <w:t xml:space="preserve"> </w:t>
      </w:r>
      <w:r w:rsidR="00260AA6">
        <w:t>or</w:t>
      </w:r>
      <w:r w:rsidR="00260AA6" w:rsidRPr="000F73B5">
        <w:t xml:space="preserve"> informal</w:t>
      </w:r>
      <w:r w:rsidR="00260AA6">
        <w:t>ly</w:t>
      </w:r>
      <w:r w:rsidR="00260AA6" w:rsidRPr="000F73B5">
        <w:t xml:space="preserve"> release</w:t>
      </w:r>
      <w:r w:rsidR="00260AA6">
        <w:t xml:space="preserve">. </w:t>
      </w:r>
      <w:r w:rsidR="00BA64A3" w:rsidRPr="000F73B5">
        <w:t xml:space="preserve">However, monitoring data on information provided outside of </w:t>
      </w:r>
      <w:r w:rsidR="00B032A2">
        <w:t xml:space="preserve">the formal </w:t>
      </w:r>
      <w:r w:rsidR="00BA64A3" w:rsidRPr="000F73B5">
        <w:t xml:space="preserve">FOI </w:t>
      </w:r>
      <w:r w:rsidR="00B032A2">
        <w:t xml:space="preserve">process </w:t>
      </w:r>
      <w:r w:rsidR="00BA64A3" w:rsidRPr="000F73B5">
        <w:t xml:space="preserve">can provide a more holistic perspective of an agency’s FOI performance. For example, in OVIC’s first Own Motion Investigation, the Information Commissioner recommended that a </w:t>
      </w:r>
      <w:r w:rsidR="00242B3E">
        <w:t>l</w:t>
      </w:r>
      <w:r w:rsidR="00BA64A3" w:rsidRPr="000F73B5">
        <w:t xml:space="preserve">ocal </w:t>
      </w:r>
      <w:r w:rsidR="00242B3E">
        <w:t>c</w:t>
      </w:r>
      <w:r w:rsidR="00BA64A3" w:rsidRPr="000F73B5">
        <w:t xml:space="preserve">ouncil should record information about access requests being responded to outside of </w:t>
      </w:r>
      <w:r w:rsidR="00B032A2">
        <w:t xml:space="preserve">the formal </w:t>
      </w:r>
      <w:r w:rsidR="00BA64A3" w:rsidRPr="000F73B5">
        <w:t xml:space="preserve">FOI </w:t>
      </w:r>
      <w:r w:rsidR="00B032A2">
        <w:t xml:space="preserve">process, </w:t>
      </w:r>
      <w:r w:rsidR="00BA64A3" w:rsidRPr="000F73B5">
        <w:t>because the lack of proactive and informal release data made the Council’s performance look worse when FOI figures were viewed in isolation.</w:t>
      </w:r>
      <w:r w:rsidR="00BA64A3" w:rsidRPr="000F73B5">
        <w:rPr>
          <w:rStyle w:val="FootnoteReference"/>
        </w:rPr>
        <w:footnoteReference w:id="43"/>
      </w:r>
    </w:p>
    <w:p w14:paraId="69E9D172" w14:textId="5A33E725" w:rsidR="00EF48D6" w:rsidRPr="000F73B5" w:rsidRDefault="00EF48D6" w:rsidP="007A00CE">
      <w:pPr>
        <w:pStyle w:val="Body"/>
      </w:pPr>
      <w:r w:rsidRPr="000F73B5">
        <w:t xml:space="preserve">OVIC is exploring how it may track agency progress regarding proactive and informal release. </w:t>
      </w:r>
      <w:r w:rsidR="00242B3E">
        <w:t xml:space="preserve">This may include a future audit of selected </w:t>
      </w:r>
      <w:proofErr w:type="gramStart"/>
      <w:r w:rsidR="00242B3E">
        <w:t>agencies’</w:t>
      </w:r>
      <w:proofErr w:type="gramEnd"/>
      <w:r w:rsidR="00242B3E">
        <w:t xml:space="preserve"> or a sector’s compliance with </w:t>
      </w:r>
      <w:r w:rsidR="00242B3E" w:rsidRPr="007448C4">
        <w:t xml:space="preserve">Professional Standards 1.1 and 1.2, which require agencies to consider whether a document requested under the Act can be provided informally, outside of the Act, wherever possible. </w:t>
      </w:r>
      <w:r w:rsidR="00242B3E">
        <w:t xml:space="preserve"> </w:t>
      </w:r>
    </w:p>
    <w:p w14:paraId="52E17A9E" w14:textId="77777777" w:rsidR="006148DA" w:rsidRPr="000F73B5" w:rsidRDefault="006148DA" w:rsidP="00DF2F6E">
      <w:pPr>
        <w:pStyle w:val="Heading-2"/>
      </w:pPr>
      <w:bookmarkStart w:id="20" w:name="_Toc83287268"/>
      <w:r w:rsidRPr="000F73B5">
        <w:t>Recommendations not considered in this paper</w:t>
      </w:r>
      <w:bookmarkEnd w:id="20"/>
    </w:p>
    <w:p w14:paraId="2F29E201" w14:textId="77777777" w:rsidR="006148DA" w:rsidRPr="000F73B5" w:rsidRDefault="006148DA" w:rsidP="006148DA">
      <w:pPr>
        <w:pStyle w:val="Body"/>
      </w:pPr>
      <w:r w:rsidRPr="000F73B5">
        <w:t xml:space="preserve">Some recommendations from the Culture of FOI in Victoria Part II Study Report fall outside the current scope of work outlined in this paper including: </w:t>
      </w:r>
    </w:p>
    <w:p w14:paraId="74D01BB3" w14:textId="77777777" w:rsidR="006148DA" w:rsidRPr="000F73B5" w:rsidRDefault="006148DA" w:rsidP="006148DA">
      <w:pPr>
        <w:pStyle w:val="Body"/>
        <w:numPr>
          <w:ilvl w:val="0"/>
          <w:numId w:val="21"/>
        </w:numPr>
      </w:pPr>
      <w:r w:rsidRPr="000F73B5">
        <w:rPr>
          <w:b/>
          <w:bCs/>
        </w:rPr>
        <w:t>Recommendation 1</w:t>
      </w:r>
      <w:r w:rsidRPr="000F73B5">
        <w:t>: Review and update the Act to reflect the current digital information environment and bring it up to date with the 21</w:t>
      </w:r>
      <w:r w:rsidRPr="000F73B5">
        <w:rPr>
          <w:vertAlign w:val="superscript"/>
        </w:rPr>
        <w:t>st</w:t>
      </w:r>
      <w:r w:rsidRPr="000F73B5">
        <w:t xml:space="preserve"> century.</w:t>
      </w:r>
    </w:p>
    <w:p w14:paraId="6EC38BF9" w14:textId="77777777" w:rsidR="006148DA" w:rsidRPr="000F73B5" w:rsidRDefault="006148DA" w:rsidP="006148DA">
      <w:pPr>
        <w:pStyle w:val="Body"/>
        <w:numPr>
          <w:ilvl w:val="0"/>
          <w:numId w:val="21"/>
        </w:numPr>
      </w:pPr>
      <w:r w:rsidRPr="000F73B5">
        <w:rPr>
          <w:b/>
          <w:bCs/>
        </w:rPr>
        <w:t>Recommendation 2</w:t>
      </w:r>
      <w:r w:rsidRPr="000F73B5">
        <w:t xml:space="preserve">: Review the proactive disclosure sections in reformed FOI/RTI Acts in other Australian jurisdictions (such as Queensland, New South Wales, </w:t>
      </w:r>
      <w:proofErr w:type="gramStart"/>
      <w:r w:rsidRPr="000F73B5">
        <w:t>Tasmania</w:t>
      </w:r>
      <w:proofErr w:type="gramEnd"/>
      <w:r w:rsidRPr="000F73B5">
        <w:t xml:space="preserve"> and the Commonwealth) and consider including an explicit proactive disclosure section in the Act. This should also include a review of the FOI/RTI disclosure logs that are used in several Australian jurisdictions.</w:t>
      </w:r>
    </w:p>
    <w:p w14:paraId="5EDDC9AA" w14:textId="77777777" w:rsidR="006148DA" w:rsidRPr="000F73B5" w:rsidRDefault="006148DA" w:rsidP="006148DA">
      <w:pPr>
        <w:pStyle w:val="Body"/>
        <w:numPr>
          <w:ilvl w:val="0"/>
          <w:numId w:val="21"/>
        </w:numPr>
      </w:pPr>
      <w:r w:rsidRPr="000F73B5">
        <w:rPr>
          <w:b/>
          <w:bCs/>
        </w:rPr>
        <w:t>Recommendation 3</w:t>
      </w:r>
      <w:r w:rsidRPr="000F73B5">
        <w:t>: As part of the review in Recommendation 2, assess the functionality of the use of electronic reading rooms in relevant United States legislation. Can this concept be adapted to creating digital reading rooms in Australia? Decision made to make information available in digital reading rooms when a document/information is created.</w:t>
      </w:r>
    </w:p>
    <w:p w14:paraId="7D8E627C" w14:textId="77777777" w:rsidR="006148DA" w:rsidRPr="000F73B5" w:rsidRDefault="006148DA" w:rsidP="006148DA">
      <w:pPr>
        <w:pStyle w:val="Body"/>
        <w:numPr>
          <w:ilvl w:val="0"/>
          <w:numId w:val="21"/>
        </w:numPr>
      </w:pPr>
      <w:r w:rsidRPr="000F73B5">
        <w:rPr>
          <w:b/>
          <w:bCs/>
        </w:rPr>
        <w:t>Recommendation 9</w:t>
      </w:r>
      <w:r w:rsidRPr="000F73B5">
        <w:t xml:space="preserve">: OVIC to undertake an inventory of the record-keeping systems in agencies and further assess their impact on FOI implementation. </w:t>
      </w:r>
    </w:p>
    <w:p w14:paraId="5A65262E" w14:textId="77777777" w:rsidR="006148DA" w:rsidRPr="000F73B5" w:rsidRDefault="006148DA" w:rsidP="004E16A2">
      <w:pPr>
        <w:pStyle w:val="Body"/>
        <w:keepLines/>
        <w:numPr>
          <w:ilvl w:val="0"/>
          <w:numId w:val="21"/>
        </w:numPr>
        <w:ind w:left="714" w:hanging="357"/>
      </w:pPr>
      <w:r w:rsidRPr="000F73B5">
        <w:rPr>
          <w:b/>
          <w:bCs/>
        </w:rPr>
        <w:lastRenderedPageBreak/>
        <w:t>Recommendation 10</w:t>
      </w:r>
      <w:r w:rsidRPr="000F73B5">
        <w:t>: As part of Recommendation 9, OVIC to assess if artificial intelligence can be used in the information location and retrieval process and to enhance record keeping.</w:t>
      </w:r>
    </w:p>
    <w:p w14:paraId="7576ABB8" w14:textId="205E98B8" w:rsidR="006148DA" w:rsidRPr="000F73B5" w:rsidRDefault="006148DA" w:rsidP="006148DA">
      <w:pPr>
        <w:pStyle w:val="Body"/>
      </w:pPr>
      <w:r w:rsidRPr="000F73B5">
        <w:t>Regarding Recommendations 1 to 3, OVIC recommends a comprehensive review of the Act</w:t>
      </w:r>
      <w:r>
        <w:t>.</w:t>
      </w:r>
    </w:p>
    <w:p w14:paraId="349215B1" w14:textId="77777777" w:rsidR="006148DA" w:rsidRDefault="006148DA" w:rsidP="006148DA">
      <w:pPr>
        <w:pStyle w:val="Body"/>
      </w:pPr>
      <w:r w:rsidRPr="000F73B5">
        <w:t xml:space="preserve">Regarding Recommendations 9 and 10, during the Culture of FOI in Victoria Part II Study, Monash University, Ombudsman SA, the Office of the Information Commissioner WA, and OVIC were awarded an Australian Research Council Linkage Project grant. The grant is for a three-year study capturing and comparing the FOI and access to information cultures in Victoria, South </w:t>
      </w:r>
      <w:proofErr w:type="gramStart"/>
      <w:r w:rsidRPr="000F73B5">
        <w:t>Australia</w:t>
      </w:r>
      <w:proofErr w:type="gramEnd"/>
      <w:r w:rsidRPr="000F73B5">
        <w:t xml:space="preserve"> and Western Australia</w:t>
      </w:r>
      <w:r>
        <w:t>. This new</w:t>
      </w:r>
      <w:r w:rsidRPr="000F73B5">
        <w:t xml:space="preserve"> study will address the questions raised in Recommendations 9 and 10. </w:t>
      </w:r>
    </w:p>
    <w:p w14:paraId="3816DC8A" w14:textId="208F4D38" w:rsidR="00EE2A69" w:rsidRPr="000F73B5" w:rsidRDefault="00260AA6" w:rsidP="006148DA">
      <w:pPr>
        <w:pStyle w:val="Heading-1"/>
        <w:keepNext/>
      </w:pPr>
      <w:bookmarkStart w:id="21" w:name="_Toc83287269"/>
      <w:r w:rsidRPr="000F73B5">
        <w:t>CONCLUSION</w:t>
      </w:r>
      <w:bookmarkEnd w:id="21"/>
      <w:r w:rsidRPr="000F73B5">
        <w:t xml:space="preserve"> </w:t>
      </w:r>
    </w:p>
    <w:p w14:paraId="7762C664" w14:textId="618D8C60" w:rsidR="006008B9" w:rsidRPr="000F73B5" w:rsidRDefault="005C17C0" w:rsidP="00B97179">
      <w:pPr>
        <w:pStyle w:val="Body"/>
        <w:keepLines/>
      </w:pPr>
      <w:r w:rsidRPr="000F73B5">
        <w:t xml:space="preserve">FOI in Victoria </w:t>
      </w:r>
      <w:r w:rsidR="00DF12BA">
        <w:t>can be improved</w:t>
      </w:r>
      <w:r w:rsidR="006008B9" w:rsidRPr="000F73B5">
        <w:t xml:space="preserve"> through increased proactive and informal release</w:t>
      </w:r>
      <w:r w:rsidR="00D102C5">
        <w:t xml:space="preserve"> to </w:t>
      </w:r>
      <w:r w:rsidR="00E43F74" w:rsidRPr="000F73B5">
        <w:t>elevate FOI service delivery and increase transparency.</w:t>
      </w:r>
    </w:p>
    <w:p w14:paraId="50978B98" w14:textId="2A9020D6" w:rsidR="00A61ACF" w:rsidRPr="000F73B5" w:rsidRDefault="00A61ACF" w:rsidP="007448C4">
      <w:pPr>
        <w:pStyle w:val="Body"/>
        <w:widowControl/>
      </w:pPr>
      <w:r w:rsidRPr="000F73B5">
        <w:t xml:space="preserve">Agencies understand the purpose and intent of the Act, however FOI practitioners face challenges with administering FOI in Victoria including </w:t>
      </w:r>
      <w:r w:rsidR="00B032A2">
        <w:t>limited</w:t>
      </w:r>
      <w:r w:rsidR="00B032A2" w:rsidRPr="000F73B5">
        <w:t xml:space="preserve"> </w:t>
      </w:r>
      <w:r w:rsidRPr="000F73B5">
        <w:t>resources, increasing FOI workloads, and complex legislative obligations.</w:t>
      </w:r>
      <w:r w:rsidR="00E43F74" w:rsidRPr="000F73B5">
        <w:t xml:space="preserve"> </w:t>
      </w:r>
    </w:p>
    <w:p w14:paraId="1D530D72" w14:textId="3E583A47" w:rsidR="009106A5" w:rsidRPr="000F73B5" w:rsidRDefault="005C17C0" w:rsidP="000A230E">
      <w:pPr>
        <w:pStyle w:val="Body"/>
      </w:pPr>
      <w:r w:rsidRPr="000F73B5">
        <w:t xml:space="preserve">Agency culture and attitudes play an important role in a healthy information access system. </w:t>
      </w:r>
      <w:r w:rsidR="006008B9" w:rsidRPr="000F73B5">
        <w:t xml:space="preserve">Influencing this culture and changing behaviour requires action </w:t>
      </w:r>
      <w:r w:rsidR="009106A5" w:rsidRPr="000F73B5">
        <w:t xml:space="preserve">to target specific conditions to drive change. </w:t>
      </w:r>
      <w:r w:rsidR="00A61ACF" w:rsidRPr="000F73B5">
        <w:t>Agency leadership play</w:t>
      </w:r>
      <w:r w:rsidR="00B032A2">
        <w:t>s</w:t>
      </w:r>
      <w:r w:rsidR="00A61ACF" w:rsidRPr="000F73B5">
        <w:t xml:space="preserve"> a critical role in changing behaviour. </w:t>
      </w:r>
    </w:p>
    <w:p w14:paraId="74EC48B2" w14:textId="7648831C" w:rsidR="00256C06" w:rsidRPr="000F73B5" w:rsidRDefault="005C17C0" w:rsidP="009943CD">
      <w:pPr>
        <w:pStyle w:val="Body"/>
      </w:pPr>
      <w:r w:rsidRPr="000F73B5">
        <w:t xml:space="preserve">OVIC is committed to enhancing transparency in the Victorian public sector and strongly encourages agencies to </w:t>
      </w:r>
      <w:r w:rsidR="001A341F" w:rsidRPr="000F73B5">
        <w:t xml:space="preserve">increase transparency </w:t>
      </w:r>
      <w:r w:rsidRPr="000F73B5">
        <w:t xml:space="preserve">through proactive and informal release. </w:t>
      </w:r>
      <w:bookmarkEnd w:id="0"/>
      <w:r w:rsidR="00F60B25" w:rsidRPr="000F73B5">
        <w:t xml:space="preserve">OVIC will help to support agencies with proactive and informal release through </w:t>
      </w:r>
      <w:r w:rsidR="009033E7" w:rsidRPr="000F73B5">
        <w:t>education and training, stakeholder engagement, and promotion.</w:t>
      </w:r>
      <w:r w:rsidR="00DB41EB" w:rsidRPr="000F73B5">
        <w:t xml:space="preserve"> </w:t>
      </w:r>
    </w:p>
    <w:sectPr w:rsidR="00256C06" w:rsidRPr="000F73B5" w:rsidSect="00065EA0">
      <w:endnotePr>
        <w:numFmt w:val="decimal"/>
      </w:endnotePr>
      <w:pgSz w:w="11900" w:h="16840"/>
      <w:pgMar w:top="1134"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7B04" w14:textId="77777777" w:rsidR="00A4596E" w:rsidRDefault="00A4596E" w:rsidP="00F75F73">
      <w:r>
        <w:separator/>
      </w:r>
    </w:p>
  </w:endnote>
  <w:endnote w:type="continuationSeparator" w:id="0">
    <w:p w14:paraId="2854F3F4" w14:textId="77777777" w:rsidR="00A4596E" w:rsidRDefault="00A4596E"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Book">
    <w:altName w:val="Times New Roman"/>
    <w:panose1 w:val="02000503000000020004"/>
    <w:charset w:val="00"/>
    <w:family w:val="auto"/>
    <w:pitch w:val="variable"/>
    <w:sig w:usb0="00000001"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variable"/>
    <w:sig w:usb0="00000001"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29AF" w14:textId="77777777" w:rsidR="00F75F73" w:rsidRDefault="00F75F73"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E3F5DE" w14:textId="77777777" w:rsidR="00F75F73" w:rsidRDefault="00F75F73"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C9D2" w14:textId="77777777" w:rsidR="00F75F73" w:rsidRPr="00B14E3F" w:rsidRDefault="00CB04BB" w:rsidP="00B14E3F">
    <w:pPr>
      <w:tabs>
        <w:tab w:val="center" w:pos="4513"/>
        <w:tab w:val="right" w:pos="9632"/>
      </w:tabs>
      <w:ind w:right="-7"/>
      <w:rPr>
        <w:color w:val="430098"/>
        <w:sz w:val="20"/>
        <w:szCs w:val="20"/>
      </w:rPr>
    </w:pPr>
    <w:r w:rsidRPr="00B14E3F">
      <w:rPr>
        <w:rFonts w:cs="Arial"/>
        <w:color w:val="430098"/>
        <w:sz w:val="18"/>
        <w:szCs w:val="20"/>
      </w:rPr>
      <w:t xml:space="preserve">Freedom of Information </w:t>
    </w:r>
    <w:r w:rsidRPr="00B14E3F">
      <w:rPr>
        <w:rFonts w:cs="Arial"/>
        <w:color w:val="E5007D"/>
        <w:sz w:val="18"/>
        <w:szCs w:val="20"/>
      </w:rPr>
      <w:t>|</w:t>
    </w:r>
    <w:r w:rsidRPr="00B14E3F">
      <w:rPr>
        <w:rFonts w:cs="Arial"/>
        <w:color w:val="430098"/>
        <w:sz w:val="18"/>
        <w:szCs w:val="20"/>
      </w:rPr>
      <w:t xml:space="preserve"> Privacy </w:t>
    </w:r>
    <w:r w:rsidRPr="00B14E3F">
      <w:rPr>
        <w:rFonts w:cs="Arial"/>
        <w:color w:val="E5007D"/>
        <w:sz w:val="18"/>
        <w:szCs w:val="20"/>
      </w:rPr>
      <w:t>|</w:t>
    </w:r>
    <w:r w:rsidRPr="00B14E3F">
      <w:rPr>
        <w:rFonts w:cs="Arial"/>
        <w:color w:val="430098"/>
        <w:sz w:val="18"/>
        <w:szCs w:val="20"/>
      </w:rPr>
      <w:t xml:space="preserve"> Data Protection</w:t>
    </w:r>
    <w:r w:rsidRPr="00B14E3F">
      <w:rPr>
        <w:rFonts w:cs="Arial"/>
        <w:color w:val="430098"/>
        <w:sz w:val="18"/>
        <w:szCs w:val="20"/>
      </w:rPr>
      <w:tab/>
    </w:r>
    <w:r w:rsidR="00B14E3F">
      <w:rPr>
        <w:rFonts w:cs="Arial"/>
        <w:color w:val="430098"/>
        <w:sz w:val="18"/>
        <w:szCs w:val="20"/>
      </w:rPr>
      <w:tab/>
    </w:r>
    <w:r w:rsidRPr="00B14E3F">
      <w:rPr>
        <w:rFonts w:cs="Arial"/>
        <w:color w:val="430098"/>
        <w:sz w:val="18"/>
        <w:szCs w:val="20"/>
      </w:rPr>
      <w:fldChar w:fldCharType="begin"/>
    </w:r>
    <w:r w:rsidRPr="00B14E3F">
      <w:rPr>
        <w:rFonts w:cs="Arial"/>
        <w:color w:val="430098"/>
        <w:sz w:val="18"/>
        <w:szCs w:val="20"/>
      </w:rPr>
      <w:instrText xml:space="preserve"> PAGE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r w:rsidRPr="00B14E3F">
      <w:rPr>
        <w:rFonts w:cs="Arial"/>
        <w:color w:val="430098"/>
        <w:sz w:val="18"/>
        <w:szCs w:val="20"/>
      </w:rPr>
      <w:t xml:space="preserve"> of </w:t>
    </w:r>
    <w:r w:rsidRPr="00B14E3F">
      <w:rPr>
        <w:rFonts w:cs="Arial"/>
        <w:color w:val="430098"/>
        <w:sz w:val="18"/>
        <w:szCs w:val="20"/>
      </w:rPr>
      <w:fldChar w:fldCharType="begin"/>
    </w:r>
    <w:r w:rsidRPr="00B14E3F">
      <w:rPr>
        <w:rFonts w:cs="Arial"/>
        <w:color w:val="430098"/>
        <w:sz w:val="18"/>
        <w:szCs w:val="20"/>
      </w:rPr>
      <w:instrText xml:space="preserve"> NUMPAGES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E146" w14:textId="2689110E" w:rsidR="00643549" w:rsidRPr="00065EA0" w:rsidRDefault="00F265B5" w:rsidP="00A77D61">
    <w:pPr>
      <w:tabs>
        <w:tab w:val="center" w:pos="4513"/>
        <w:tab w:val="right" w:pos="8222"/>
      </w:tabs>
      <w:ind w:right="360"/>
      <w:rPr>
        <w:color w:val="430098"/>
        <w:sz w:val="20"/>
        <w:szCs w:val="20"/>
      </w:rPr>
    </w:pPr>
    <w:r w:rsidRPr="00065EA0">
      <w:rPr>
        <w:rFonts w:cs="Arial"/>
        <w:color w:val="430098"/>
        <w:sz w:val="18"/>
        <w:szCs w:val="20"/>
      </w:rPr>
      <w:t xml:space="preserve">Freedom of Information </w:t>
    </w:r>
    <w:r w:rsidRPr="00065EA0">
      <w:rPr>
        <w:rFonts w:cs="Arial"/>
        <w:color w:val="E5007D"/>
        <w:sz w:val="18"/>
        <w:szCs w:val="20"/>
      </w:rPr>
      <w:t>|</w:t>
    </w:r>
    <w:r w:rsidRPr="00065EA0">
      <w:rPr>
        <w:rFonts w:cs="Arial"/>
        <w:color w:val="430098"/>
        <w:sz w:val="18"/>
        <w:szCs w:val="20"/>
      </w:rPr>
      <w:t xml:space="preserve"> Privacy </w:t>
    </w:r>
    <w:r w:rsidRPr="00065EA0">
      <w:rPr>
        <w:rFonts w:cs="Arial"/>
        <w:color w:val="E5007D"/>
        <w:sz w:val="18"/>
        <w:szCs w:val="20"/>
      </w:rPr>
      <w:t>|</w:t>
    </w:r>
    <w:r w:rsidRPr="00065EA0">
      <w:rPr>
        <w:rFonts w:cs="Arial"/>
        <w:color w:val="430098"/>
        <w:sz w:val="18"/>
        <w:szCs w:val="20"/>
      </w:rPr>
      <w:t xml:space="preserve"> Data Protection</w:t>
    </w:r>
    <w:r w:rsidR="00A77D61">
      <w:rPr>
        <w:rFonts w:cs="Arial"/>
        <w:color w:val="430098"/>
        <w:sz w:val="18"/>
        <w:szCs w:val="20"/>
      </w:rPr>
      <w:tab/>
    </w:r>
    <w:r w:rsidR="00A77D61">
      <w:rPr>
        <w:rFonts w:cs="Arial"/>
        <w:color w:val="430098"/>
        <w:sz w:val="18"/>
        <w:szCs w:val="20"/>
      </w:rPr>
      <w:tab/>
      <w:t xml:space="preserve">Version: </w:t>
    </w:r>
    <w:r w:rsidR="004A6243">
      <w:rPr>
        <w:rFonts w:cs="Arial"/>
        <w:color w:val="430098"/>
        <w:sz w:val="18"/>
        <w:szCs w:val="20"/>
      </w:rPr>
      <w:t>S</w:t>
    </w:r>
    <w:r w:rsidR="004A6243" w:rsidRPr="004A6243">
      <w:rPr>
        <w:rFonts w:cs="Arial"/>
        <w:color w:val="430098"/>
        <w:sz w:val="18"/>
        <w:szCs w:val="20"/>
      </w:rPr>
      <w:t>eptember 2021</w:t>
    </w:r>
    <w:r w:rsidR="00A77D61" w:rsidRPr="004A6243">
      <w:rPr>
        <w:rFonts w:cs="Arial"/>
        <w:color w:val="430098"/>
        <w:sz w:val="18"/>
        <w:szCs w:val="20"/>
      </w:rPr>
      <w:t xml:space="preserve"> – D</w:t>
    </w:r>
    <w:r w:rsidR="004A6243" w:rsidRPr="004A6243">
      <w:rPr>
        <w:rFonts w:cs="Arial"/>
        <w:color w:val="430098"/>
        <w:sz w:val="18"/>
        <w:szCs w:val="20"/>
      </w:rPr>
      <w:t>21</w:t>
    </w:r>
    <w:r w:rsidR="00A77D61" w:rsidRPr="004A6243">
      <w:rPr>
        <w:rFonts w:cs="Arial"/>
        <w:color w:val="430098"/>
        <w:sz w:val="18"/>
        <w:szCs w:val="20"/>
      </w:rPr>
      <w:t>/</w:t>
    </w:r>
    <w:r w:rsidR="004A6243">
      <w:rPr>
        <w:rFonts w:cs="Arial"/>
        <w:color w:val="430098"/>
        <w:sz w:val="18"/>
        <w:szCs w:val="20"/>
      </w:rPr>
      <w:t>16777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8F5F" w14:textId="77777777" w:rsidR="00A4596E" w:rsidRDefault="00A4596E" w:rsidP="00F75F73">
      <w:r>
        <w:separator/>
      </w:r>
    </w:p>
  </w:footnote>
  <w:footnote w:type="continuationSeparator" w:id="0">
    <w:p w14:paraId="42F1720C" w14:textId="77777777" w:rsidR="00A4596E" w:rsidRDefault="00A4596E" w:rsidP="00F75F73">
      <w:r>
        <w:continuationSeparator/>
      </w:r>
    </w:p>
  </w:footnote>
  <w:footnote w:id="1">
    <w:p w14:paraId="2CE5E70F" w14:textId="65FCB655" w:rsidR="006951CF" w:rsidRPr="007C0850" w:rsidRDefault="006951CF">
      <w:pPr>
        <w:pStyle w:val="FootnoteText"/>
        <w:rPr>
          <w:rFonts w:asciiTheme="minorHAnsi" w:hAnsiTheme="minorHAnsi"/>
          <w:sz w:val="18"/>
          <w:szCs w:val="18"/>
          <w:lang w:val="en-AU"/>
        </w:rPr>
      </w:pPr>
      <w:r w:rsidRPr="007C0850">
        <w:rPr>
          <w:rStyle w:val="FootnoteReference"/>
          <w:rFonts w:asciiTheme="minorHAnsi" w:hAnsiTheme="minorHAnsi"/>
          <w:sz w:val="18"/>
          <w:szCs w:val="18"/>
          <w:lang w:val="en-AU"/>
        </w:rPr>
        <w:footnoteRef/>
      </w:r>
      <w:r w:rsidRPr="007C0850">
        <w:rPr>
          <w:rFonts w:asciiTheme="minorHAnsi" w:hAnsiTheme="minorHAnsi"/>
          <w:sz w:val="18"/>
          <w:szCs w:val="18"/>
          <w:lang w:val="en-AU"/>
        </w:rPr>
        <w:t xml:space="preserve"> Associate Professor Johan </w:t>
      </w:r>
      <w:proofErr w:type="spellStart"/>
      <w:r w:rsidRPr="007C0850">
        <w:rPr>
          <w:rFonts w:asciiTheme="minorHAnsi" w:hAnsiTheme="minorHAnsi"/>
          <w:sz w:val="18"/>
          <w:szCs w:val="18"/>
          <w:lang w:val="en-AU"/>
        </w:rPr>
        <w:t>Lidberg</w:t>
      </w:r>
      <w:proofErr w:type="spellEnd"/>
      <w:r w:rsidRPr="007C0850">
        <w:rPr>
          <w:rFonts w:asciiTheme="minorHAnsi" w:hAnsiTheme="minorHAnsi"/>
          <w:sz w:val="18"/>
          <w:szCs w:val="18"/>
          <w:lang w:val="en-AU"/>
        </w:rPr>
        <w:t xml:space="preserve">, Monash University, </w:t>
      </w:r>
      <w:r w:rsidRPr="007C0850">
        <w:rPr>
          <w:rFonts w:asciiTheme="minorHAnsi" w:hAnsiTheme="minorHAnsi"/>
          <w:i/>
          <w:iCs/>
          <w:sz w:val="18"/>
          <w:szCs w:val="18"/>
          <w:lang w:val="en-AU"/>
        </w:rPr>
        <w:t xml:space="preserve">The Culture of Administering Access to Government Information and Freedom of Information in Victoria Pilot Study May – August 2019 </w:t>
      </w:r>
      <w:r w:rsidRPr="007C0850">
        <w:rPr>
          <w:rFonts w:asciiTheme="minorHAnsi" w:hAnsiTheme="minorHAnsi"/>
          <w:sz w:val="18"/>
          <w:szCs w:val="18"/>
          <w:lang w:val="en-AU"/>
        </w:rPr>
        <w:t>(Final report, September 2019).</w:t>
      </w:r>
    </w:p>
  </w:footnote>
  <w:footnote w:id="2">
    <w:p w14:paraId="38FA4BEF" w14:textId="79E18FF5" w:rsidR="009F01C6" w:rsidRPr="007C0850" w:rsidRDefault="009F01C6" w:rsidP="009F01C6">
      <w:pPr>
        <w:pStyle w:val="FootnoteText"/>
        <w:rPr>
          <w:rFonts w:asciiTheme="minorHAnsi" w:hAnsiTheme="minorHAnsi"/>
          <w:sz w:val="18"/>
          <w:szCs w:val="18"/>
          <w:highlight w:val="yellow"/>
          <w:lang w:val="en-AU"/>
        </w:rPr>
      </w:pPr>
      <w:r w:rsidRPr="007C0850">
        <w:rPr>
          <w:rStyle w:val="FootnoteReference"/>
          <w:rFonts w:asciiTheme="minorHAnsi" w:hAnsiTheme="minorHAnsi"/>
          <w:sz w:val="18"/>
          <w:szCs w:val="18"/>
          <w:lang w:val="en-AU"/>
        </w:rPr>
        <w:footnoteRef/>
      </w:r>
      <w:r w:rsidRPr="007C0850">
        <w:rPr>
          <w:rFonts w:asciiTheme="minorHAnsi" w:hAnsiTheme="minorHAnsi"/>
          <w:sz w:val="18"/>
          <w:szCs w:val="18"/>
          <w:lang w:val="en-AU"/>
        </w:rPr>
        <w:t xml:space="preserve"> </w:t>
      </w:r>
      <w:r w:rsidR="00242B3E" w:rsidRPr="007C0850">
        <w:rPr>
          <w:rFonts w:asciiTheme="minorHAnsi" w:hAnsiTheme="minorHAnsi"/>
          <w:sz w:val="18"/>
          <w:szCs w:val="18"/>
          <w:lang w:val="en-AU"/>
        </w:rPr>
        <w:t>Victorian Information Commissioner</w:t>
      </w:r>
      <w:r w:rsidRPr="007C0850">
        <w:rPr>
          <w:rFonts w:asciiTheme="minorHAnsi" w:hAnsiTheme="minorHAnsi"/>
          <w:sz w:val="18"/>
          <w:szCs w:val="18"/>
          <w:lang w:val="en-AU"/>
        </w:rPr>
        <w:t xml:space="preserve">, </w:t>
      </w:r>
      <w:r w:rsidRPr="007C0850">
        <w:rPr>
          <w:rFonts w:asciiTheme="minorHAnsi" w:hAnsiTheme="minorHAnsi"/>
          <w:i/>
          <w:iCs/>
          <w:sz w:val="18"/>
          <w:szCs w:val="18"/>
          <w:lang w:val="en-AU"/>
        </w:rPr>
        <w:t>The State of FOI in Victoria: Five Years in Review 2014 – 2019</w:t>
      </w:r>
      <w:r w:rsidRPr="007C0850">
        <w:rPr>
          <w:rFonts w:asciiTheme="minorHAnsi" w:hAnsiTheme="minorHAnsi"/>
          <w:sz w:val="18"/>
          <w:szCs w:val="18"/>
          <w:lang w:val="en-AU"/>
        </w:rPr>
        <w:t xml:space="preserve"> (</w:t>
      </w:r>
      <w:r w:rsidRPr="007C0850">
        <w:rPr>
          <w:rFonts w:asciiTheme="minorHAnsi" w:hAnsiTheme="minorHAnsi"/>
          <w:b/>
          <w:bCs/>
          <w:sz w:val="18"/>
          <w:szCs w:val="18"/>
          <w:lang w:val="en-AU"/>
        </w:rPr>
        <w:t>State of FOI in Victoria Report</w:t>
      </w:r>
      <w:r w:rsidRPr="007C0850">
        <w:rPr>
          <w:rFonts w:asciiTheme="minorHAnsi" w:hAnsiTheme="minorHAnsi"/>
          <w:sz w:val="18"/>
          <w:szCs w:val="18"/>
          <w:lang w:val="en-AU"/>
        </w:rPr>
        <w:t xml:space="preserve">), </w:t>
      </w:r>
      <w:hyperlink r:id="rId1" w:history="1">
        <w:r w:rsidRPr="007C0850">
          <w:rPr>
            <w:rStyle w:val="Hyperlink"/>
            <w:rFonts w:asciiTheme="minorHAnsi" w:hAnsiTheme="minorHAnsi"/>
            <w:sz w:val="18"/>
            <w:szCs w:val="18"/>
            <w:lang w:val="en-AU"/>
          </w:rPr>
          <w:t>https://ovic.vic.gov.au/state-of-freedom-of-information-in-victoria/information-commissioners-foreword/</w:t>
        </w:r>
      </w:hyperlink>
      <w:r w:rsidRPr="007C0850">
        <w:rPr>
          <w:rFonts w:asciiTheme="minorHAnsi" w:hAnsiTheme="minorHAnsi"/>
          <w:sz w:val="18"/>
          <w:szCs w:val="18"/>
          <w:lang w:val="en-AU"/>
        </w:rPr>
        <w:t xml:space="preserve">. </w:t>
      </w:r>
    </w:p>
  </w:footnote>
  <w:footnote w:id="3">
    <w:p w14:paraId="64B97345" w14:textId="65A68567" w:rsidR="009A5DAF" w:rsidRPr="007C0850" w:rsidRDefault="009A5DAF" w:rsidP="009A5DAF">
      <w:pPr>
        <w:pStyle w:val="FootnoteText"/>
        <w:rPr>
          <w:rFonts w:asciiTheme="minorHAnsi" w:hAnsiTheme="minorHAnsi"/>
          <w:sz w:val="18"/>
          <w:szCs w:val="18"/>
          <w:lang w:val="en-AU"/>
        </w:rPr>
      </w:pPr>
      <w:r w:rsidRPr="007C0850">
        <w:rPr>
          <w:rStyle w:val="FootnoteReference"/>
          <w:rFonts w:asciiTheme="minorHAnsi" w:hAnsiTheme="minorHAnsi"/>
          <w:sz w:val="18"/>
          <w:szCs w:val="18"/>
          <w:lang w:val="en-AU"/>
        </w:rPr>
        <w:footnoteRef/>
      </w:r>
      <w:r w:rsidRPr="007C0850">
        <w:rPr>
          <w:rFonts w:asciiTheme="minorHAnsi" w:hAnsiTheme="minorHAnsi"/>
          <w:sz w:val="18"/>
          <w:szCs w:val="18"/>
          <w:lang w:val="en-AU"/>
        </w:rPr>
        <w:t xml:space="preserve"> Associate Professor Johan </w:t>
      </w:r>
      <w:proofErr w:type="spellStart"/>
      <w:r w:rsidRPr="007C0850">
        <w:rPr>
          <w:rFonts w:asciiTheme="minorHAnsi" w:hAnsiTheme="minorHAnsi"/>
          <w:sz w:val="18"/>
          <w:szCs w:val="18"/>
          <w:lang w:val="en-AU"/>
        </w:rPr>
        <w:t>Lidberg</w:t>
      </w:r>
      <w:proofErr w:type="spellEnd"/>
      <w:r w:rsidRPr="007C0850">
        <w:rPr>
          <w:rFonts w:asciiTheme="minorHAnsi" w:hAnsiTheme="minorHAnsi"/>
          <w:sz w:val="18"/>
          <w:szCs w:val="18"/>
          <w:lang w:val="en-AU"/>
        </w:rPr>
        <w:t xml:space="preserve"> and Dr Erin Bradshaw, Monash University, </w:t>
      </w:r>
      <w:r w:rsidRPr="007C0850">
        <w:rPr>
          <w:rFonts w:asciiTheme="minorHAnsi" w:hAnsiTheme="minorHAnsi"/>
          <w:i/>
          <w:iCs/>
          <w:sz w:val="18"/>
          <w:szCs w:val="18"/>
          <w:lang w:val="en-AU"/>
        </w:rPr>
        <w:t xml:space="preserve">The Culture of Administering Access to Government Information and Freedom of Information in Victoria Part II </w:t>
      </w:r>
      <w:r w:rsidRPr="007C0850">
        <w:rPr>
          <w:rFonts w:asciiTheme="minorHAnsi" w:hAnsiTheme="minorHAnsi"/>
          <w:sz w:val="18"/>
          <w:szCs w:val="18"/>
          <w:lang w:val="en-AU"/>
        </w:rPr>
        <w:t>(Final report, June 2021) (</w:t>
      </w:r>
      <w:r w:rsidR="00C71A98" w:rsidRPr="007C0850">
        <w:rPr>
          <w:rFonts w:asciiTheme="minorHAnsi" w:hAnsiTheme="minorHAnsi"/>
          <w:b/>
          <w:bCs/>
          <w:sz w:val="18"/>
          <w:szCs w:val="18"/>
          <w:lang w:val="en-AU"/>
        </w:rPr>
        <w:t>Culture</w:t>
      </w:r>
      <w:r w:rsidRPr="007C0850">
        <w:rPr>
          <w:rFonts w:asciiTheme="minorHAnsi" w:hAnsiTheme="minorHAnsi"/>
          <w:b/>
          <w:bCs/>
          <w:sz w:val="18"/>
          <w:szCs w:val="18"/>
          <w:lang w:val="en-AU"/>
        </w:rPr>
        <w:t xml:space="preserve"> </w:t>
      </w:r>
      <w:r w:rsidR="009F0A0D" w:rsidRPr="007C0850">
        <w:rPr>
          <w:rFonts w:asciiTheme="minorHAnsi" w:hAnsiTheme="minorHAnsi"/>
          <w:b/>
          <w:bCs/>
          <w:sz w:val="18"/>
          <w:szCs w:val="18"/>
          <w:lang w:val="en-AU"/>
        </w:rPr>
        <w:t xml:space="preserve">of FOI in Victoria </w:t>
      </w:r>
      <w:r w:rsidRPr="007C0850">
        <w:rPr>
          <w:rFonts w:asciiTheme="minorHAnsi" w:hAnsiTheme="minorHAnsi"/>
          <w:b/>
          <w:bCs/>
          <w:sz w:val="18"/>
          <w:szCs w:val="18"/>
          <w:lang w:val="en-AU"/>
        </w:rPr>
        <w:t>Part II Study Report</w:t>
      </w:r>
      <w:r w:rsidRPr="007C0850">
        <w:rPr>
          <w:rFonts w:asciiTheme="minorHAnsi" w:hAnsiTheme="minorHAnsi"/>
          <w:sz w:val="18"/>
          <w:szCs w:val="18"/>
          <w:lang w:val="en-AU"/>
        </w:rPr>
        <w:t xml:space="preserve">). </w:t>
      </w:r>
    </w:p>
  </w:footnote>
  <w:footnote w:id="4">
    <w:p w14:paraId="3023FE16" w14:textId="1B09FAA7" w:rsidR="00D846BB" w:rsidRPr="007C0850" w:rsidRDefault="00D846BB" w:rsidP="00D846BB">
      <w:pPr>
        <w:pStyle w:val="FootnoteText"/>
        <w:rPr>
          <w:rFonts w:asciiTheme="minorHAnsi" w:hAnsiTheme="minorHAnsi"/>
          <w:sz w:val="18"/>
          <w:szCs w:val="18"/>
          <w:lang w:val="en-AU"/>
        </w:rPr>
      </w:pPr>
      <w:r w:rsidRPr="007C0850">
        <w:rPr>
          <w:rStyle w:val="FootnoteReference"/>
          <w:rFonts w:asciiTheme="minorHAnsi" w:hAnsiTheme="minorHAnsi"/>
          <w:sz w:val="18"/>
          <w:szCs w:val="18"/>
          <w:lang w:val="en-AU"/>
        </w:rPr>
        <w:footnoteRef/>
      </w:r>
      <w:r w:rsidRPr="007C0850">
        <w:rPr>
          <w:rFonts w:asciiTheme="minorHAnsi" w:hAnsiTheme="minorHAnsi"/>
          <w:sz w:val="18"/>
          <w:szCs w:val="18"/>
          <w:lang w:val="en-AU"/>
        </w:rPr>
        <w:t xml:space="preserve"> Decision Design, Proactive and Informal Release Behaviour Change Final Report – Practical recommendations to increase proactive and informal release (June 2021) (</w:t>
      </w:r>
      <w:r w:rsidR="0083357E" w:rsidRPr="007C0850">
        <w:rPr>
          <w:rFonts w:asciiTheme="minorHAnsi" w:hAnsiTheme="minorHAnsi"/>
          <w:b/>
          <w:bCs/>
          <w:sz w:val="18"/>
          <w:szCs w:val="18"/>
          <w:lang w:val="en-AU"/>
        </w:rPr>
        <w:t>Proactive and Informal Release</w:t>
      </w:r>
      <w:r w:rsidR="0083357E" w:rsidRPr="007C0850">
        <w:rPr>
          <w:rFonts w:asciiTheme="minorHAnsi" w:hAnsiTheme="minorHAnsi"/>
          <w:sz w:val="18"/>
          <w:szCs w:val="18"/>
          <w:lang w:val="en-AU"/>
        </w:rPr>
        <w:t xml:space="preserve"> </w:t>
      </w:r>
      <w:r w:rsidR="00C71A98" w:rsidRPr="007C0850">
        <w:rPr>
          <w:rFonts w:asciiTheme="minorHAnsi" w:hAnsiTheme="minorHAnsi"/>
          <w:b/>
          <w:bCs/>
          <w:sz w:val="18"/>
          <w:szCs w:val="18"/>
          <w:lang w:val="en-AU"/>
        </w:rPr>
        <w:t>Behavioural Change</w:t>
      </w:r>
      <w:r w:rsidRPr="007C0850">
        <w:rPr>
          <w:rFonts w:asciiTheme="minorHAnsi" w:hAnsiTheme="minorHAnsi"/>
          <w:b/>
          <w:bCs/>
          <w:sz w:val="18"/>
          <w:szCs w:val="18"/>
          <w:lang w:val="en-AU"/>
        </w:rPr>
        <w:t xml:space="preserve"> Final Report</w:t>
      </w:r>
      <w:r w:rsidRPr="007C0850">
        <w:rPr>
          <w:rFonts w:asciiTheme="minorHAnsi" w:hAnsiTheme="minorHAnsi"/>
          <w:sz w:val="18"/>
          <w:szCs w:val="18"/>
          <w:lang w:val="en-AU"/>
        </w:rPr>
        <w:t xml:space="preserve">).  </w:t>
      </w:r>
    </w:p>
  </w:footnote>
  <w:footnote w:id="5">
    <w:p w14:paraId="071EB43A" w14:textId="384CBE97" w:rsidR="00DC1329" w:rsidRPr="007C0850" w:rsidRDefault="00DC1329" w:rsidP="00DC1329">
      <w:pPr>
        <w:pStyle w:val="FootnoteText"/>
        <w:rPr>
          <w:rFonts w:asciiTheme="minorHAnsi" w:hAnsiTheme="minorHAnsi"/>
          <w:sz w:val="18"/>
          <w:szCs w:val="18"/>
          <w:lang w:val="en-AU"/>
        </w:rPr>
      </w:pPr>
      <w:r w:rsidRPr="007C0850">
        <w:rPr>
          <w:rStyle w:val="FootnoteReference"/>
          <w:rFonts w:asciiTheme="minorHAnsi" w:hAnsiTheme="minorHAnsi"/>
          <w:sz w:val="18"/>
          <w:szCs w:val="18"/>
          <w:lang w:val="en-AU"/>
        </w:rPr>
        <w:footnoteRef/>
      </w:r>
      <w:r w:rsidRPr="007C0850">
        <w:rPr>
          <w:rFonts w:asciiTheme="minorHAnsi" w:hAnsiTheme="minorHAnsi"/>
          <w:sz w:val="18"/>
          <w:szCs w:val="18"/>
          <w:lang w:val="en-AU"/>
        </w:rPr>
        <w:t xml:space="preserve"> The right of access is in section 13</w:t>
      </w:r>
      <w:r w:rsidR="0003581D" w:rsidRPr="007C0850">
        <w:rPr>
          <w:rFonts w:asciiTheme="minorHAnsi" w:hAnsiTheme="minorHAnsi"/>
          <w:sz w:val="18"/>
          <w:szCs w:val="18"/>
          <w:lang w:val="en-AU"/>
        </w:rPr>
        <w:t xml:space="preserve"> of the Act</w:t>
      </w:r>
      <w:r w:rsidRPr="007C0850">
        <w:rPr>
          <w:rFonts w:asciiTheme="minorHAnsi" w:hAnsiTheme="minorHAnsi"/>
          <w:sz w:val="18"/>
          <w:szCs w:val="18"/>
          <w:lang w:val="en-AU"/>
        </w:rPr>
        <w:t>, and the requirement to publish certain information is in Part II</w:t>
      </w:r>
      <w:r w:rsidR="0003581D" w:rsidRPr="007C0850">
        <w:rPr>
          <w:rFonts w:asciiTheme="minorHAnsi" w:hAnsiTheme="minorHAnsi"/>
          <w:sz w:val="18"/>
          <w:szCs w:val="18"/>
          <w:lang w:val="en-AU"/>
        </w:rPr>
        <w:t xml:space="preserve"> of the Act</w:t>
      </w:r>
      <w:r w:rsidR="00C55403" w:rsidRPr="007C0850">
        <w:rPr>
          <w:rFonts w:asciiTheme="minorHAnsi" w:hAnsiTheme="minorHAnsi"/>
          <w:sz w:val="18"/>
          <w:szCs w:val="18"/>
          <w:lang w:val="en-AU"/>
        </w:rPr>
        <w:t>.</w:t>
      </w:r>
    </w:p>
  </w:footnote>
  <w:footnote w:id="6">
    <w:p w14:paraId="2A267268" w14:textId="76EA934D" w:rsidR="00DC1329" w:rsidRPr="007C0850" w:rsidRDefault="00DC1329" w:rsidP="00DC1329">
      <w:pPr>
        <w:pStyle w:val="FootnoteText"/>
        <w:rPr>
          <w:rFonts w:asciiTheme="minorHAnsi" w:hAnsiTheme="minorHAnsi"/>
          <w:sz w:val="18"/>
          <w:szCs w:val="18"/>
          <w:lang w:val="en-AU"/>
        </w:rPr>
      </w:pPr>
      <w:r w:rsidRPr="007C0850">
        <w:rPr>
          <w:rStyle w:val="FootnoteReference"/>
          <w:rFonts w:asciiTheme="minorHAnsi" w:hAnsiTheme="minorHAnsi"/>
          <w:sz w:val="18"/>
          <w:szCs w:val="18"/>
          <w:lang w:val="en-AU"/>
        </w:rPr>
        <w:footnoteRef/>
      </w:r>
      <w:r w:rsidRPr="007C0850">
        <w:rPr>
          <w:rFonts w:asciiTheme="minorHAnsi" w:hAnsiTheme="minorHAnsi"/>
          <w:sz w:val="18"/>
          <w:szCs w:val="18"/>
          <w:lang w:val="en-AU"/>
        </w:rPr>
        <w:t xml:space="preserve"> </w:t>
      </w:r>
      <w:r w:rsidRPr="007C0850">
        <w:rPr>
          <w:rFonts w:asciiTheme="minorHAnsi" w:hAnsiTheme="minorHAnsi"/>
          <w:i/>
          <w:iCs/>
          <w:sz w:val="18"/>
          <w:szCs w:val="18"/>
          <w:lang w:val="en-AU"/>
        </w:rPr>
        <w:t>Freedom of Information Act 1982</w:t>
      </w:r>
      <w:r w:rsidRPr="007C0850">
        <w:rPr>
          <w:rFonts w:asciiTheme="minorHAnsi" w:hAnsiTheme="minorHAnsi"/>
          <w:sz w:val="18"/>
          <w:szCs w:val="18"/>
          <w:lang w:val="en-AU"/>
        </w:rPr>
        <w:t xml:space="preserve"> (Vic) s</w:t>
      </w:r>
      <w:r w:rsidR="001F1F48" w:rsidRPr="007C0850">
        <w:rPr>
          <w:rFonts w:asciiTheme="minorHAnsi" w:hAnsiTheme="minorHAnsi"/>
          <w:sz w:val="18"/>
          <w:szCs w:val="18"/>
          <w:lang w:val="en-AU"/>
        </w:rPr>
        <w:t>ection</w:t>
      </w:r>
      <w:r w:rsidRPr="007C0850">
        <w:rPr>
          <w:rFonts w:asciiTheme="minorHAnsi" w:hAnsiTheme="minorHAnsi"/>
          <w:sz w:val="18"/>
          <w:szCs w:val="18"/>
          <w:lang w:val="en-AU"/>
        </w:rPr>
        <w:t xml:space="preserve"> 13.</w:t>
      </w:r>
    </w:p>
  </w:footnote>
  <w:footnote w:id="7">
    <w:p w14:paraId="1FFFD20E" w14:textId="77777777" w:rsidR="00DC1329" w:rsidRPr="007C0850" w:rsidRDefault="00DC1329" w:rsidP="00DC1329">
      <w:pPr>
        <w:pStyle w:val="FootnoteText"/>
        <w:rPr>
          <w:rFonts w:asciiTheme="minorHAnsi" w:hAnsiTheme="minorHAnsi"/>
          <w:sz w:val="18"/>
          <w:szCs w:val="18"/>
          <w:lang w:val="en-AU"/>
        </w:rPr>
      </w:pPr>
      <w:r w:rsidRPr="007C0850">
        <w:rPr>
          <w:rStyle w:val="FootnoteReference"/>
          <w:rFonts w:asciiTheme="minorHAnsi" w:hAnsiTheme="minorHAnsi"/>
          <w:sz w:val="18"/>
          <w:szCs w:val="18"/>
          <w:lang w:val="en-AU"/>
        </w:rPr>
        <w:footnoteRef/>
      </w:r>
      <w:r w:rsidRPr="007C0850">
        <w:rPr>
          <w:rFonts w:asciiTheme="minorHAnsi" w:hAnsiTheme="minorHAnsi"/>
          <w:sz w:val="18"/>
          <w:szCs w:val="18"/>
          <w:lang w:val="en-AU"/>
        </w:rPr>
        <w:t xml:space="preserve"> Section 17 of the Act outlines the requirements for making a valid FOI request. </w:t>
      </w:r>
    </w:p>
  </w:footnote>
  <w:footnote w:id="8">
    <w:p w14:paraId="2FCE3917" w14:textId="3A15E286" w:rsidR="0031637E" w:rsidRPr="007C0850" w:rsidRDefault="0031637E" w:rsidP="0031637E">
      <w:pPr>
        <w:pStyle w:val="FootnoteText"/>
        <w:rPr>
          <w:rFonts w:asciiTheme="minorHAnsi" w:hAnsiTheme="minorHAnsi"/>
          <w:sz w:val="18"/>
          <w:szCs w:val="18"/>
          <w:lang w:val="en-AU"/>
        </w:rPr>
      </w:pPr>
      <w:r w:rsidRPr="007C0850">
        <w:rPr>
          <w:rStyle w:val="FootnoteReference"/>
          <w:rFonts w:asciiTheme="minorHAnsi" w:hAnsiTheme="minorHAnsi"/>
          <w:sz w:val="18"/>
          <w:szCs w:val="18"/>
          <w:lang w:val="en-AU"/>
        </w:rPr>
        <w:footnoteRef/>
      </w:r>
      <w:r w:rsidRPr="007C0850">
        <w:rPr>
          <w:rFonts w:asciiTheme="minorHAnsi" w:hAnsiTheme="minorHAnsi"/>
          <w:sz w:val="18"/>
          <w:szCs w:val="18"/>
          <w:lang w:val="en-AU"/>
        </w:rPr>
        <w:t xml:space="preserve"> The Commonwealth </w:t>
      </w:r>
      <w:r w:rsidRPr="007C0850">
        <w:rPr>
          <w:rFonts w:asciiTheme="minorHAnsi" w:hAnsiTheme="minorHAnsi"/>
          <w:i/>
          <w:iCs/>
          <w:sz w:val="18"/>
          <w:szCs w:val="18"/>
          <w:lang w:val="en-AU"/>
        </w:rPr>
        <w:t>Freedom of Information Act 1982</w:t>
      </w:r>
      <w:r w:rsidRPr="007C0850">
        <w:rPr>
          <w:rFonts w:asciiTheme="minorHAnsi" w:hAnsiTheme="minorHAnsi"/>
          <w:sz w:val="18"/>
          <w:szCs w:val="18"/>
          <w:lang w:val="en-AU"/>
        </w:rPr>
        <w:t xml:space="preserve"> (</w:t>
      </w:r>
      <w:proofErr w:type="spellStart"/>
      <w:r w:rsidRPr="007C0850">
        <w:rPr>
          <w:rFonts w:asciiTheme="minorHAnsi" w:hAnsiTheme="minorHAnsi"/>
          <w:sz w:val="18"/>
          <w:szCs w:val="18"/>
          <w:lang w:val="en-AU"/>
        </w:rPr>
        <w:t>Cth</w:t>
      </w:r>
      <w:proofErr w:type="spellEnd"/>
      <w:r w:rsidRPr="007C0850">
        <w:rPr>
          <w:rFonts w:asciiTheme="minorHAnsi" w:hAnsiTheme="minorHAnsi"/>
          <w:sz w:val="18"/>
          <w:szCs w:val="18"/>
          <w:lang w:val="en-AU"/>
        </w:rPr>
        <w:t>) receiv</w:t>
      </w:r>
      <w:r w:rsidR="00FF7FF7" w:rsidRPr="007C0850">
        <w:rPr>
          <w:rFonts w:asciiTheme="minorHAnsi" w:hAnsiTheme="minorHAnsi"/>
          <w:sz w:val="18"/>
          <w:szCs w:val="18"/>
          <w:lang w:val="en-AU"/>
        </w:rPr>
        <w:t>ed</w:t>
      </w:r>
      <w:r w:rsidRPr="007C0850">
        <w:rPr>
          <w:rFonts w:asciiTheme="minorHAnsi" w:hAnsiTheme="minorHAnsi"/>
          <w:sz w:val="18"/>
          <w:szCs w:val="18"/>
          <w:lang w:val="en-AU"/>
        </w:rPr>
        <w:t xml:space="preserve"> Royal Assent on 9 March 1982. </w:t>
      </w:r>
    </w:p>
  </w:footnote>
  <w:footnote w:id="9">
    <w:p w14:paraId="503A06C2" w14:textId="77777777" w:rsidR="00DC1329" w:rsidRPr="007C0850" w:rsidRDefault="00DC1329" w:rsidP="00DC1329">
      <w:pPr>
        <w:pStyle w:val="FootnoteText"/>
        <w:rPr>
          <w:rFonts w:asciiTheme="minorHAnsi" w:hAnsiTheme="minorHAnsi"/>
          <w:sz w:val="18"/>
          <w:szCs w:val="18"/>
          <w:highlight w:val="yellow"/>
          <w:lang w:val="en-AU"/>
        </w:rPr>
      </w:pPr>
      <w:r w:rsidRPr="007C0850">
        <w:rPr>
          <w:rStyle w:val="FootnoteReference"/>
          <w:rFonts w:asciiTheme="minorHAnsi" w:hAnsiTheme="minorHAnsi"/>
          <w:sz w:val="18"/>
          <w:szCs w:val="18"/>
          <w:lang w:val="en-AU"/>
        </w:rPr>
        <w:footnoteRef/>
      </w:r>
      <w:r w:rsidRPr="007C0850">
        <w:rPr>
          <w:rFonts w:asciiTheme="minorHAnsi" w:hAnsiTheme="minorHAnsi"/>
          <w:sz w:val="18"/>
          <w:szCs w:val="18"/>
          <w:lang w:val="en-AU"/>
        </w:rPr>
        <w:t xml:space="preserve"> See, for example, </w:t>
      </w:r>
      <w:r w:rsidRPr="007C0850">
        <w:rPr>
          <w:rFonts w:asciiTheme="minorHAnsi" w:hAnsiTheme="minorHAnsi"/>
          <w:i/>
          <w:iCs/>
          <w:sz w:val="18"/>
          <w:szCs w:val="18"/>
          <w:lang w:val="en-AU"/>
        </w:rPr>
        <w:t>Government Information (Public Access) Act 2009 </w:t>
      </w:r>
      <w:r w:rsidRPr="007C0850">
        <w:rPr>
          <w:rFonts w:asciiTheme="minorHAnsi" w:hAnsiTheme="minorHAnsi"/>
          <w:sz w:val="18"/>
          <w:szCs w:val="18"/>
          <w:lang w:val="en-AU"/>
        </w:rPr>
        <w:t>(NSW) and </w:t>
      </w:r>
      <w:r w:rsidRPr="007C0850">
        <w:rPr>
          <w:rFonts w:asciiTheme="minorHAnsi" w:hAnsiTheme="minorHAnsi"/>
          <w:i/>
          <w:iCs/>
          <w:sz w:val="18"/>
          <w:szCs w:val="18"/>
          <w:lang w:val="en-AU"/>
        </w:rPr>
        <w:t>Right to Information Act 2009 </w:t>
      </w:r>
      <w:r w:rsidRPr="007C0850">
        <w:rPr>
          <w:rFonts w:asciiTheme="minorHAnsi" w:hAnsiTheme="minorHAnsi"/>
          <w:sz w:val="18"/>
          <w:szCs w:val="18"/>
          <w:lang w:val="en-AU"/>
        </w:rPr>
        <w:t>(Qld).</w:t>
      </w:r>
    </w:p>
  </w:footnote>
  <w:footnote w:id="10">
    <w:p w14:paraId="2D5D5E8B" w14:textId="38093F23" w:rsidR="00B345AB" w:rsidRPr="00955576" w:rsidRDefault="00B345AB" w:rsidP="00B345AB">
      <w:pPr>
        <w:pStyle w:val="FootnoteText"/>
        <w:rPr>
          <w:rFonts w:asciiTheme="minorHAnsi" w:hAnsiTheme="minorHAnsi"/>
          <w:sz w:val="18"/>
          <w:szCs w:val="18"/>
          <w:lang w:val="en-AU"/>
        </w:rPr>
      </w:pPr>
      <w:r w:rsidRPr="00955576">
        <w:rPr>
          <w:rStyle w:val="FootnoteReference"/>
          <w:rFonts w:asciiTheme="minorHAnsi" w:hAnsiTheme="minorHAnsi"/>
          <w:sz w:val="18"/>
          <w:szCs w:val="18"/>
          <w:lang w:val="en-AU"/>
        </w:rPr>
        <w:footnoteRef/>
      </w:r>
      <w:r w:rsidRPr="00955576">
        <w:rPr>
          <w:rFonts w:asciiTheme="minorHAnsi" w:hAnsiTheme="minorHAnsi"/>
          <w:sz w:val="18"/>
          <w:szCs w:val="18"/>
          <w:lang w:val="en-AU"/>
        </w:rPr>
        <w:t xml:space="preserve"> </w:t>
      </w:r>
      <w:r w:rsidR="005E2A75" w:rsidRPr="00955576">
        <w:rPr>
          <w:rFonts w:asciiTheme="minorHAnsi" w:hAnsiTheme="minorHAnsi"/>
          <w:i/>
          <w:iCs/>
          <w:sz w:val="18"/>
          <w:szCs w:val="18"/>
          <w:lang w:val="en-AU"/>
        </w:rPr>
        <w:t>Culture</w:t>
      </w:r>
      <w:r w:rsidR="00CB28D0" w:rsidRPr="00955576">
        <w:rPr>
          <w:rFonts w:asciiTheme="minorHAnsi" w:hAnsiTheme="minorHAnsi"/>
          <w:i/>
          <w:iCs/>
          <w:sz w:val="18"/>
          <w:szCs w:val="18"/>
          <w:lang w:val="en-AU"/>
        </w:rPr>
        <w:t xml:space="preserve"> of FOI in Victoria</w:t>
      </w:r>
      <w:r w:rsidR="005E2A75" w:rsidRPr="00955576">
        <w:rPr>
          <w:rFonts w:asciiTheme="minorHAnsi" w:hAnsiTheme="minorHAnsi"/>
          <w:i/>
          <w:iCs/>
          <w:sz w:val="18"/>
          <w:szCs w:val="18"/>
          <w:lang w:val="en-AU"/>
        </w:rPr>
        <w:t xml:space="preserve"> Part II Study Report</w:t>
      </w:r>
      <w:r w:rsidR="005E2A75" w:rsidRPr="00955576">
        <w:rPr>
          <w:rFonts w:asciiTheme="minorHAnsi" w:hAnsiTheme="minorHAnsi"/>
          <w:sz w:val="18"/>
          <w:szCs w:val="18"/>
          <w:lang w:val="en-AU"/>
        </w:rPr>
        <w:t xml:space="preserve">, 16 and </w:t>
      </w:r>
      <w:r w:rsidRPr="00955576">
        <w:rPr>
          <w:rFonts w:asciiTheme="minorHAnsi" w:hAnsiTheme="minorHAnsi"/>
          <w:sz w:val="18"/>
          <w:szCs w:val="18"/>
          <w:lang w:val="en-AU"/>
        </w:rPr>
        <w:t>31</w:t>
      </w:r>
      <w:r w:rsidR="001C5D0F" w:rsidRPr="00955576">
        <w:rPr>
          <w:rFonts w:asciiTheme="minorHAnsi" w:hAnsiTheme="minorHAnsi"/>
          <w:sz w:val="18"/>
          <w:szCs w:val="18"/>
          <w:lang w:val="en-AU"/>
        </w:rPr>
        <w:t>;</w:t>
      </w:r>
      <w:r w:rsidR="006F1E21" w:rsidRPr="00955576">
        <w:rPr>
          <w:rFonts w:asciiTheme="minorHAnsi" w:hAnsiTheme="minorHAnsi"/>
          <w:sz w:val="18"/>
          <w:szCs w:val="18"/>
          <w:lang w:val="en-AU"/>
        </w:rPr>
        <w:t xml:space="preserve"> T</w:t>
      </w:r>
      <w:r w:rsidR="001C5D0F" w:rsidRPr="00955576">
        <w:rPr>
          <w:rFonts w:asciiTheme="minorHAnsi" w:hAnsiTheme="minorHAnsi"/>
          <w:sz w:val="18"/>
          <w:szCs w:val="18"/>
          <w:lang w:val="en-AU"/>
        </w:rPr>
        <w:t>he</w:t>
      </w:r>
      <w:r w:rsidR="001C5D0F" w:rsidRPr="00955576">
        <w:rPr>
          <w:rFonts w:asciiTheme="minorHAnsi" w:hAnsiTheme="minorHAnsi"/>
          <w:i/>
          <w:iCs/>
          <w:sz w:val="18"/>
          <w:szCs w:val="18"/>
          <w:lang w:val="en-AU"/>
        </w:rPr>
        <w:t xml:space="preserve"> </w:t>
      </w:r>
      <w:r w:rsidR="006F1E21" w:rsidRPr="00955576">
        <w:rPr>
          <w:rFonts w:asciiTheme="minorHAnsi" w:hAnsiTheme="minorHAnsi"/>
          <w:i/>
          <w:iCs/>
          <w:sz w:val="18"/>
          <w:szCs w:val="18"/>
          <w:lang w:val="en-AU"/>
        </w:rPr>
        <w:t>Proactive and Informal Release Behavioural Change</w:t>
      </w:r>
      <w:r w:rsidR="001C5D0F" w:rsidRPr="00955576">
        <w:rPr>
          <w:rFonts w:asciiTheme="minorHAnsi" w:hAnsiTheme="minorHAnsi"/>
          <w:i/>
          <w:iCs/>
          <w:sz w:val="18"/>
          <w:szCs w:val="18"/>
          <w:lang w:val="en-AU"/>
        </w:rPr>
        <w:t xml:space="preserve"> Final Report</w:t>
      </w:r>
      <w:r w:rsidR="001C5D0F" w:rsidRPr="00955576">
        <w:rPr>
          <w:rFonts w:asciiTheme="minorHAnsi" w:hAnsiTheme="minorHAnsi"/>
          <w:sz w:val="18"/>
          <w:szCs w:val="18"/>
          <w:lang w:val="en-AU"/>
        </w:rPr>
        <w:t xml:space="preserve"> notes that among FOI staff consulted, there is a strong endorsement of the objective of the Act and strong consensus that proactive and informal release further enables the Act’s purpose and can reduce burden on FOI teams, 6. </w:t>
      </w:r>
    </w:p>
  </w:footnote>
  <w:footnote w:id="11">
    <w:p w14:paraId="2104E62D" w14:textId="08D614E9" w:rsidR="007A04CD" w:rsidRPr="00955576" w:rsidRDefault="007A04CD" w:rsidP="007A04CD">
      <w:pPr>
        <w:pStyle w:val="FootnoteText"/>
        <w:rPr>
          <w:rFonts w:asciiTheme="minorHAnsi" w:hAnsiTheme="minorHAnsi"/>
          <w:sz w:val="18"/>
          <w:szCs w:val="18"/>
          <w:lang w:val="en-AU"/>
        </w:rPr>
      </w:pPr>
      <w:r w:rsidRPr="00955576">
        <w:rPr>
          <w:rStyle w:val="FootnoteReference"/>
          <w:rFonts w:asciiTheme="minorHAnsi" w:hAnsiTheme="minorHAnsi"/>
          <w:sz w:val="18"/>
          <w:szCs w:val="18"/>
          <w:lang w:val="en-AU"/>
        </w:rPr>
        <w:footnoteRef/>
      </w:r>
      <w:r w:rsidRPr="00955576">
        <w:rPr>
          <w:rFonts w:asciiTheme="minorHAnsi" w:hAnsiTheme="minorHAnsi"/>
          <w:sz w:val="18"/>
          <w:szCs w:val="18"/>
          <w:lang w:val="en-AU"/>
        </w:rPr>
        <w:t xml:space="preserve"> </w:t>
      </w:r>
      <w:r w:rsidR="006F1E21" w:rsidRPr="00955576">
        <w:rPr>
          <w:rFonts w:asciiTheme="minorHAnsi" w:hAnsiTheme="minorHAnsi"/>
          <w:i/>
          <w:iCs/>
          <w:sz w:val="18"/>
          <w:szCs w:val="18"/>
          <w:lang w:val="en-AU"/>
        </w:rPr>
        <w:t>Culture of FOI in Victoria Part II Study Report</w:t>
      </w:r>
      <w:r w:rsidRPr="00955576">
        <w:rPr>
          <w:rFonts w:asciiTheme="minorHAnsi" w:hAnsiTheme="minorHAnsi"/>
          <w:sz w:val="18"/>
          <w:szCs w:val="18"/>
          <w:lang w:val="en-AU"/>
        </w:rPr>
        <w:t xml:space="preserve">, 17 and 32; Further, the </w:t>
      </w:r>
      <w:r w:rsidR="006F1E21" w:rsidRPr="00955576">
        <w:rPr>
          <w:rFonts w:asciiTheme="minorHAnsi" w:hAnsiTheme="minorHAnsi"/>
          <w:sz w:val="18"/>
          <w:szCs w:val="18"/>
          <w:lang w:val="en-AU"/>
        </w:rPr>
        <w:t>Pr</w:t>
      </w:r>
      <w:r w:rsidR="006F1E21" w:rsidRPr="00955576">
        <w:rPr>
          <w:rFonts w:asciiTheme="minorHAnsi" w:hAnsiTheme="minorHAnsi"/>
          <w:i/>
          <w:iCs/>
          <w:sz w:val="18"/>
          <w:szCs w:val="18"/>
          <w:lang w:val="en-AU"/>
        </w:rPr>
        <w:t xml:space="preserve">oactive and Informal Release Behavioural Change </w:t>
      </w:r>
      <w:r w:rsidRPr="00955576">
        <w:rPr>
          <w:rFonts w:asciiTheme="minorHAnsi" w:hAnsiTheme="minorHAnsi"/>
          <w:i/>
          <w:iCs/>
          <w:sz w:val="18"/>
          <w:szCs w:val="18"/>
          <w:lang w:val="en-AU"/>
        </w:rPr>
        <w:t>Final Report</w:t>
      </w:r>
      <w:r w:rsidRPr="00955576">
        <w:rPr>
          <w:rFonts w:asciiTheme="minorHAnsi" w:hAnsiTheme="minorHAnsi"/>
          <w:sz w:val="18"/>
          <w:szCs w:val="18"/>
          <w:lang w:val="en-AU"/>
        </w:rPr>
        <w:t xml:space="preserve"> not</w:t>
      </w:r>
      <w:r w:rsidR="006F1E21" w:rsidRPr="00955576">
        <w:rPr>
          <w:rFonts w:asciiTheme="minorHAnsi" w:hAnsiTheme="minorHAnsi"/>
          <w:sz w:val="18"/>
          <w:szCs w:val="18"/>
          <w:lang w:val="en-AU"/>
        </w:rPr>
        <w:t>es</w:t>
      </w:r>
      <w:r w:rsidRPr="00955576">
        <w:rPr>
          <w:rFonts w:asciiTheme="minorHAnsi" w:hAnsiTheme="minorHAnsi"/>
          <w:sz w:val="18"/>
          <w:szCs w:val="18"/>
          <w:lang w:val="en-AU"/>
        </w:rPr>
        <w:t xml:space="preserve"> there is a strong consensus among FOI staff that proactive and informal release further enables the </w:t>
      </w:r>
      <w:r w:rsidR="006F1E21" w:rsidRPr="00955576">
        <w:rPr>
          <w:rFonts w:asciiTheme="minorHAnsi" w:hAnsiTheme="minorHAnsi"/>
          <w:sz w:val="18"/>
          <w:szCs w:val="18"/>
          <w:lang w:val="en-AU"/>
        </w:rPr>
        <w:t xml:space="preserve">Act’s </w:t>
      </w:r>
      <w:r w:rsidRPr="00955576">
        <w:rPr>
          <w:rFonts w:asciiTheme="minorHAnsi" w:hAnsiTheme="minorHAnsi"/>
          <w:sz w:val="18"/>
          <w:szCs w:val="18"/>
          <w:lang w:val="en-AU"/>
        </w:rPr>
        <w:t xml:space="preserve">purpose, 6. </w:t>
      </w:r>
    </w:p>
  </w:footnote>
  <w:footnote w:id="12">
    <w:p w14:paraId="43A8FF7F" w14:textId="48832B72" w:rsidR="00E42A13" w:rsidRPr="00955576" w:rsidRDefault="00E42A13" w:rsidP="00E42A13">
      <w:pPr>
        <w:pStyle w:val="FootnoteText"/>
        <w:rPr>
          <w:rFonts w:asciiTheme="minorHAnsi" w:hAnsiTheme="minorHAnsi"/>
          <w:sz w:val="18"/>
          <w:szCs w:val="18"/>
          <w:lang w:val="en-AU"/>
        </w:rPr>
      </w:pPr>
      <w:r w:rsidRPr="00955576">
        <w:rPr>
          <w:rStyle w:val="FootnoteReference"/>
          <w:rFonts w:asciiTheme="minorHAnsi" w:hAnsiTheme="minorHAnsi"/>
          <w:sz w:val="18"/>
          <w:szCs w:val="18"/>
          <w:lang w:val="en-AU"/>
        </w:rPr>
        <w:footnoteRef/>
      </w:r>
      <w:r w:rsidR="005E5C00" w:rsidRPr="00955576">
        <w:rPr>
          <w:rFonts w:asciiTheme="minorHAnsi" w:hAnsiTheme="minorHAnsi"/>
          <w:sz w:val="18"/>
          <w:szCs w:val="18"/>
          <w:lang w:val="en-AU"/>
        </w:rPr>
        <w:t xml:space="preserve"> </w:t>
      </w:r>
      <w:r w:rsidR="005E5C00" w:rsidRPr="00955576">
        <w:rPr>
          <w:rFonts w:asciiTheme="minorHAnsi" w:hAnsiTheme="minorHAnsi"/>
          <w:i/>
          <w:iCs/>
          <w:sz w:val="18"/>
          <w:szCs w:val="18"/>
          <w:lang w:val="en-AU"/>
        </w:rPr>
        <w:t xml:space="preserve">Culture of FOI in Victoria </w:t>
      </w:r>
      <w:r w:rsidRPr="00955576">
        <w:rPr>
          <w:rFonts w:asciiTheme="minorHAnsi" w:hAnsiTheme="minorHAnsi"/>
          <w:i/>
          <w:iCs/>
          <w:sz w:val="18"/>
          <w:szCs w:val="18"/>
          <w:lang w:val="en-AU"/>
        </w:rPr>
        <w:t>Part II Study Report</w:t>
      </w:r>
      <w:r w:rsidRPr="00955576">
        <w:rPr>
          <w:rFonts w:asciiTheme="minorHAnsi" w:hAnsiTheme="minorHAnsi"/>
          <w:sz w:val="18"/>
          <w:szCs w:val="18"/>
          <w:lang w:val="en-AU"/>
        </w:rPr>
        <w:t>, 29.</w:t>
      </w:r>
    </w:p>
  </w:footnote>
  <w:footnote w:id="13">
    <w:p w14:paraId="455E8BDF" w14:textId="2BE02152" w:rsidR="00E42A13" w:rsidRPr="00955576" w:rsidRDefault="00E42A13" w:rsidP="00E42A13">
      <w:pPr>
        <w:pStyle w:val="FootnoteText"/>
        <w:rPr>
          <w:rFonts w:asciiTheme="minorHAnsi" w:hAnsiTheme="minorHAnsi"/>
          <w:sz w:val="18"/>
          <w:szCs w:val="18"/>
          <w:lang w:val="en-AU"/>
        </w:rPr>
      </w:pPr>
      <w:r w:rsidRPr="00955576">
        <w:rPr>
          <w:rStyle w:val="FootnoteReference"/>
          <w:rFonts w:asciiTheme="minorHAnsi" w:hAnsiTheme="minorHAnsi"/>
          <w:sz w:val="18"/>
          <w:szCs w:val="18"/>
          <w:lang w:val="en-AU"/>
        </w:rPr>
        <w:footnoteRef/>
      </w:r>
      <w:r w:rsidRPr="00955576">
        <w:rPr>
          <w:rFonts w:asciiTheme="minorHAnsi" w:hAnsiTheme="minorHAnsi"/>
          <w:sz w:val="18"/>
          <w:szCs w:val="18"/>
          <w:lang w:val="en-AU"/>
        </w:rPr>
        <w:t xml:space="preserve"> </w:t>
      </w:r>
      <w:r w:rsidR="005E5C00" w:rsidRPr="00955576">
        <w:rPr>
          <w:rFonts w:asciiTheme="minorHAnsi" w:hAnsiTheme="minorHAnsi"/>
          <w:sz w:val="18"/>
          <w:szCs w:val="18"/>
          <w:lang w:val="en-AU"/>
        </w:rPr>
        <w:t>Ibid</w:t>
      </w:r>
      <w:r w:rsidRPr="00955576">
        <w:rPr>
          <w:rFonts w:asciiTheme="minorHAnsi" w:hAnsiTheme="minorHAnsi"/>
          <w:sz w:val="18"/>
          <w:szCs w:val="18"/>
          <w:lang w:val="en-AU"/>
        </w:rPr>
        <w:t xml:space="preserve">, 20 and 45. </w:t>
      </w:r>
    </w:p>
  </w:footnote>
  <w:footnote w:id="14">
    <w:p w14:paraId="5728B098" w14:textId="2D8BD533" w:rsidR="00E42A13" w:rsidRPr="00955576" w:rsidRDefault="00E42A13" w:rsidP="00E42A13">
      <w:pPr>
        <w:pStyle w:val="FootnoteText"/>
        <w:rPr>
          <w:rFonts w:asciiTheme="minorHAnsi" w:hAnsiTheme="minorHAnsi"/>
          <w:sz w:val="18"/>
          <w:szCs w:val="18"/>
          <w:lang w:val="en-AU"/>
        </w:rPr>
      </w:pPr>
      <w:r w:rsidRPr="00955576">
        <w:rPr>
          <w:rStyle w:val="FootnoteReference"/>
          <w:rFonts w:asciiTheme="minorHAnsi" w:hAnsiTheme="minorHAnsi"/>
          <w:sz w:val="18"/>
          <w:szCs w:val="18"/>
          <w:lang w:val="en-AU"/>
        </w:rPr>
        <w:footnoteRef/>
      </w:r>
      <w:r w:rsidRPr="00955576">
        <w:rPr>
          <w:rFonts w:asciiTheme="minorHAnsi" w:hAnsiTheme="minorHAnsi"/>
          <w:sz w:val="18"/>
          <w:szCs w:val="18"/>
          <w:lang w:val="en-AU"/>
        </w:rPr>
        <w:t xml:space="preserve"> </w:t>
      </w:r>
      <w:r w:rsidR="00E55414" w:rsidRPr="00955576">
        <w:rPr>
          <w:rFonts w:asciiTheme="minorHAnsi" w:hAnsiTheme="minorHAnsi"/>
          <w:sz w:val="18"/>
          <w:szCs w:val="18"/>
          <w:lang w:val="en-AU"/>
        </w:rPr>
        <w:t>Ibid</w:t>
      </w:r>
      <w:r w:rsidRPr="00955576">
        <w:rPr>
          <w:rFonts w:asciiTheme="minorHAnsi" w:hAnsiTheme="minorHAnsi"/>
          <w:sz w:val="18"/>
          <w:szCs w:val="18"/>
          <w:lang w:val="en-AU"/>
        </w:rPr>
        <w:t>, 53.</w:t>
      </w:r>
    </w:p>
  </w:footnote>
  <w:footnote w:id="15">
    <w:p w14:paraId="53BBD3CA" w14:textId="0E1F09E9" w:rsidR="00873C9A" w:rsidRPr="00955576" w:rsidRDefault="00873C9A" w:rsidP="00873C9A">
      <w:pPr>
        <w:pStyle w:val="FootnoteText"/>
        <w:rPr>
          <w:rFonts w:asciiTheme="minorHAnsi" w:hAnsiTheme="minorHAnsi"/>
          <w:sz w:val="18"/>
          <w:szCs w:val="18"/>
          <w:lang w:val="en-AU"/>
        </w:rPr>
      </w:pPr>
      <w:r w:rsidRPr="00955576">
        <w:rPr>
          <w:rStyle w:val="FootnoteReference"/>
          <w:rFonts w:asciiTheme="minorHAnsi" w:hAnsiTheme="minorHAnsi"/>
          <w:sz w:val="18"/>
          <w:szCs w:val="18"/>
          <w:lang w:val="en-AU"/>
        </w:rPr>
        <w:footnoteRef/>
      </w:r>
      <w:r w:rsidRPr="00955576">
        <w:rPr>
          <w:rFonts w:asciiTheme="minorHAnsi" w:hAnsiTheme="minorHAnsi"/>
          <w:sz w:val="18"/>
          <w:szCs w:val="18"/>
          <w:lang w:val="en-AU"/>
        </w:rPr>
        <w:t xml:space="preserve"> </w:t>
      </w:r>
      <w:r w:rsidR="00410DA6" w:rsidRPr="00955576">
        <w:rPr>
          <w:rFonts w:asciiTheme="minorHAnsi" w:hAnsiTheme="minorHAnsi"/>
          <w:sz w:val="18"/>
          <w:szCs w:val="18"/>
          <w:lang w:val="en-AU"/>
        </w:rPr>
        <w:t>Ibid</w:t>
      </w:r>
      <w:r w:rsidRPr="00955576">
        <w:rPr>
          <w:rFonts w:asciiTheme="minorHAnsi" w:hAnsiTheme="minorHAnsi"/>
          <w:sz w:val="18"/>
          <w:szCs w:val="18"/>
          <w:lang w:val="en-AU"/>
        </w:rPr>
        <w:t>, 34.</w:t>
      </w:r>
    </w:p>
  </w:footnote>
  <w:footnote w:id="16">
    <w:p w14:paraId="28327E6B" w14:textId="7E0DF90C" w:rsidR="00296983" w:rsidRPr="007C0850" w:rsidRDefault="00296983" w:rsidP="00296983">
      <w:pPr>
        <w:pStyle w:val="FootnoteText"/>
        <w:rPr>
          <w:rFonts w:asciiTheme="minorHAnsi" w:hAnsiTheme="minorHAnsi"/>
          <w:sz w:val="18"/>
          <w:szCs w:val="18"/>
          <w:highlight w:val="yellow"/>
          <w:lang w:val="en-AU"/>
        </w:rPr>
      </w:pPr>
      <w:r w:rsidRPr="00955576">
        <w:rPr>
          <w:rStyle w:val="FootnoteReference"/>
          <w:rFonts w:asciiTheme="minorHAnsi" w:hAnsiTheme="minorHAnsi"/>
          <w:sz w:val="18"/>
          <w:szCs w:val="18"/>
          <w:lang w:val="en-AU"/>
        </w:rPr>
        <w:footnoteRef/>
      </w:r>
      <w:r w:rsidRPr="00955576">
        <w:rPr>
          <w:rFonts w:asciiTheme="minorHAnsi" w:hAnsiTheme="minorHAnsi"/>
          <w:sz w:val="18"/>
          <w:szCs w:val="18"/>
          <w:lang w:val="en-AU"/>
        </w:rPr>
        <w:t xml:space="preserve"> </w:t>
      </w:r>
      <w:r w:rsidR="00AE21BB" w:rsidRPr="00955576">
        <w:rPr>
          <w:rFonts w:asciiTheme="minorHAnsi" w:hAnsiTheme="minorHAnsi"/>
          <w:sz w:val="18"/>
          <w:szCs w:val="18"/>
          <w:lang w:val="en-AU"/>
        </w:rPr>
        <w:t>Ibid</w:t>
      </w:r>
      <w:r w:rsidRPr="00955576">
        <w:rPr>
          <w:rFonts w:asciiTheme="minorHAnsi" w:hAnsiTheme="minorHAnsi"/>
          <w:sz w:val="18"/>
          <w:szCs w:val="18"/>
          <w:lang w:val="en-AU"/>
        </w:rPr>
        <w:t>, 7.</w:t>
      </w:r>
    </w:p>
  </w:footnote>
  <w:footnote w:id="17">
    <w:p w14:paraId="3DB19270" w14:textId="7BC23F6F" w:rsidR="000A15C5" w:rsidRPr="008A71B6" w:rsidRDefault="000A15C5">
      <w:pPr>
        <w:pStyle w:val="FootnoteText"/>
        <w:rPr>
          <w:rFonts w:asciiTheme="minorHAnsi" w:hAnsiTheme="minorHAnsi"/>
          <w:sz w:val="18"/>
          <w:szCs w:val="18"/>
          <w:lang w:val="en-AU"/>
        </w:rPr>
      </w:pPr>
      <w:r w:rsidRPr="008A71B6">
        <w:rPr>
          <w:rStyle w:val="FootnoteReference"/>
          <w:rFonts w:asciiTheme="minorHAnsi" w:hAnsiTheme="minorHAnsi"/>
          <w:sz w:val="18"/>
          <w:szCs w:val="18"/>
          <w:lang w:val="en-AU"/>
        </w:rPr>
        <w:footnoteRef/>
      </w:r>
      <w:r w:rsidRPr="008A71B6">
        <w:rPr>
          <w:rFonts w:asciiTheme="minorHAnsi" w:hAnsiTheme="minorHAnsi"/>
          <w:sz w:val="18"/>
          <w:szCs w:val="18"/>
          <w:lang w:val="en-AU"/>
        </w:rPr>
        <w:t xml:space="preserve"> For example, OVIC</w:t>
      </w:r>
      <w:r w:rsidR="00A94BF5" w:rsidRPr="008A71B6">
        <w:rPr>
          <w:rFonts w:asciiTheme="minorHAnsi" w:hAnsiTheme="minorHAnsi"/>
          <w:sz w:val="18"/>
          <w:szCs w:val="18"/>
          <w:lang w:val="en-AU"/>
        </w:rPr>
        <w:t>’s</w:t>
      </w:r>
      <w:r w:rsidRPr="008A71B6">
        <w:rPr>
          <w:rFonts w:asciiTheme="minorHAnsi" w:hAnsiTheme="minorHAnsi"/>
          <w:sz w:val="18"/>
          <w:szCs w:val="18"/>
          <w:lang w:val="en-AU"/>
        </w:rPr>
        <w:t xml:space="preserve"> Own Motion Investigation </w:t>
      </w:r>
      <w:r w:rsidR="00A94BF5" w:rsidRPr="008A71B6">
        <w:rPr>
          <w:rFonts w:asciiTheme="minorHAnsi" w:hAnsiTheme="minorHAnsi"/>
          <w:sz w:val="18"/>
          <w:szCs w:val="18"/>
          <w:lang w:val="en-AU"/>
        </w:rPr>
        <w:t xml:space="preserve">into FOI timeliness </w:t>
      </w:r>
      <w:r w:rsidRPr="008A71B6">
        <w:rPr>
          <w:rFonts w:asciiTheme="minorHAnsi" w:hAnsiTheme="minorHAnsi"/>
          <w:sz w:val="18"/>
          <w:szCs w:val="18"/>
          <w:lang w:val="en-AU"/>
        </w:rPr>
        <w:t>found resourcing and efficiency issues to be factors contributing to the delay of information release in Victoria</w:t>
      </w:r>
      <w:r w:rsidR="007206A4" w:rsidRPr="008A71B6">
        <w:rPr>
          <w:rFonts w:asciiTheme="minorHAnsi" w:hAnsiTheme="minorHAnsi"/>
          <w:sz w:val="18"/>
          <w:szCs w:val="18"/>
          <w:lang w:val="en-AU"/>
        </w:rPr>
        <w:t xml:space="preserve">; </w:t>
      </w:r>
      <w:r w:rsidR="00446C53">
        <w:rPr>
          <w:rFonts w:asciiTheme="minorHAnsi" w:hAnsiTheme="minorHAnsi"/>
          <w:sz w:val="18"/>
          <w:szCs w:val="18"/>
          <w:lang w:val="en-AU"/>
        </w:rPr>
        <w:t>Victorian Information Commissioner</w:t>
      </w:r>
      <w:r w:rsidR="007206A4" w:rsidRPr="008A71B6">
        <w:rPr>
          <w:rFonts w:asciiTheme="minorHAnsi" w:hAnsiTheme="minorHAnsi"/>
          <w:sz w:val="18"/>
          <w:szCs w:val="18"/>
          <w:lang w:val="en-AU"/>
        </w:rPr>
        <w:t xml:space="preserve">, </w:t>
      </w:r>
      <w:r w:rsidR="007206A4" w:rsidRPr="008A71B6">
        <w:rPr>
          <w:rFonts w:asciiTheme="minorHAnsi" w:hAnsiTheme="minorHAnsi"/>
          <w:i/>
          <w:iCs/>
          <w:sz w:val="18"/>
          <w:szCs w:val="18"/>
          <w:lang w:val="en-AU"/>
        </w:rPr>
        <w:t>Impediments to Timely FOI and Information Release: Own-motion investigation under section 61O of the Freedom of Information Act 1982 (Vic)</w:t>
      </w:r>
      <w:r w:rsidR="007206A4" w:rsidRPr="008A71B6">
        <w:rPr>
          <w:rFonts w:asciiTheme="minorHAnsi" w:hAnsiTheme="minorHAnsi"/>
          <w:sz w:val="18"/>
          <w:szCs w:val="18"/>
          <w:lang w:val="en-AU"/>
        </w:rPr>
        <w:t xml:space="preserve"> (1 September 2021), 5</w:t>
      </w:r>
      <w:r w:rsidR="00570016" w:rsidRPr="008A71B6">
        <w:rPr>
          <w:rFonts w:asciiTheme="minorHAnsi" w:hAnsiTheme="minorHAnsi"/>
          <w:sz w:val="18"/>
          <w:szCs w:val="18"/>
          <w:lang w:val="en-AU"/>
        </w:rPr>
        <w:t xml:space="preserve"> (the report is available here: </w:t>
      </w:r>
      <w:hyperlink r:id="rId2" w:history="1">
        <w:r w:rsidR="00570016" w:rsidRPr="008A71B6">
          <w:rPr>
            <w:rStyle w:val="Hyperlink"/>
            <w:rFonts w:asciiTheme="minorHAnsi" w:hAnsiTheme="minorHAnsi"/>
            <w:sz w:val="18"/>
            <w:szCs w:val="18"/>
            <w:lang w:val="en-AU"/>
          </w:rPr>
          <w:t>https://ovic.vic.gov.au/wp-content/uploads/2021/09/Own-Motion-Investigation-Report-Impediments-to-timely-FOI-and-information-release.pdf</w:t>
        </w:r>
      </w:hyperlink>
      <w:r w:rsidR="00570016" w:rsidRPr="008A71B6">
        <w:rPr>
          <w:rFonts w:asciiTheme="minorHAnsi" w:hAnsiTheme="minorHAnsi"/>
          <w:sz w:val="18"/>
          <w:szCs w:val="18"/>
          <w:lang w:val="en-AU"/>
        </w:rPr>
        <w:t>.</w:t>
      </w:r>
      <w:r w:rsidR="007206A4" w:rsidRPr="008A71B6">
        <w:rPr>
          <w:rFonts w:asciiTheme="minorHAnsi" w:hAnsiTheme="minorHAnsi"/>
          <w:sz w:val="18"/>
          <w:szCs w:val="18"/>
          <w:lang w:val="en-AU"/>
        </w:rPr>
        <w:t xml:space="preserve"> </w:t>
      </w:r>
    </w:p>
  </w:footnote>
  <w:footnote w:id="18">
    <w:p w14:paraId="63223F95" w14:textId="5EE6C720" w:rsidR="001F7EC7" w:rsidRPr="008A71B6" w:rsidRDefault="001F7EC7" w:rsidP="001F7EC7">
      <w:pPr>
        <w:pStyle w:val="FootnoteText"/>
        <w:rPr>
          <w:rFonts w:asciiTheme="minorHAnsi" w:hAnsiTheme="minorHAnsi"/>
          <w:sz w:val="18"/>
          <w:szCs w:val="18"/>
          <w:lang w:val="en-AU"/>
        </w:rPr>
      </w:pPr>
      <w:r w:rsidRPr="008A71B6">
        <w:rPr>
          <w:rStyle w:val="FootnoteReference"/>
          <w:rFonts w:asciiTheme="minorHAnsi" w:hAnsiTheme="minorHAnsi"/>
          <w:sz w:val="18"/>
          <w:szCs w:val="18"/>
          <w:lang w:val="en-AU"/>
        </w:rPr>
        <w:footnoteRef/>
      </w:r>
      <w:r w:rsidRPr="008A71B6">
        <w:rPr>
          <w:rFonts w:asciiTheme="minorHAnsi" w:hAnsiTheme="minorHAnsi"/>
          <w:sz w:val="18"/>
          <w:szCs w:val="18"/>
          <w:lang w:val="en-AU"/>
        </w:rPr>
        <w:t xml:space="preserve"> </w:t>
      </w:r>
      <w:r w:rsidRPr="008A71B6">
        <w:rPr>
          <w:rFonts w:asciiTheme="minorHAnsi" w:hAnsiTheme="minorHAnsi"/>
          <w:i/>
          <w:iCs/>
          <w:sz w:val="18"/>
          <w:szCs w:val="18"/>
          <w:lang w:val="en-AU"/>
        </w:rPr>
        <w:t>Culture of FOI in Victoria Part II Study Report</w:t>
      </w:r>
      <w:r w:rsidRPr="008A71B6">
        <w:rPr>
          <w:rFonts w:asciiTheme="minorHAnsi" w:hAnsiTheme="minorHAnsi"/>
          <w:sz w:val="18"/>
          <w:szCs w:val="18"/>
          <w:lang w:val="en-AU"/>
        </w:rPr>
        <w:t>, 24</w:t>
      </w:r>
      <w:r w:rsidR="00E320C1" w:rsidRPr="008A71B6">
        <w:rPr>
          <w:rFonts w:asciiTheme="minorHAnsi" w:hAnsiTheme="minorHAnsi"/>
          <w:sz w:val="18"/>
          <w:szCs w:val="18"/>
          <w:lang w:val="en-AU"/>
        </w:rPr>
        <w:t xml:space="preserve"> and 38</w:t>
      </w:r>
      <w:r w:rsidRPr="008A71B6">
        <w:rPr>
          <w:rFonts w:asciiTheme="minorHAnsi" w:hAnsiTheme="minorHAnsi"/>
          <w:sz w:val="18"/>
          <w:szCs w:val="18"/>
          <w:lang w:val="en-AU"/>
        </w:rPr>
        <w:t xml:space="preserve">. </w:t>
      </w:r>
    </w:p>
  </w:footnote>
  <w:footnote w:id="19">
    <w:p w14:paraId="38C03285" w14:textId="77777777" w:rsidR="00256991" w:rsidRPr="008A71B6" w:rsidRDefault="00256991" w:rsidP="00256991">
      <w:pPr>
        <w:pStyle w:val="FootnoteText"/>
        <w:rPr>
          <w:rFonts w:asciiTheme="minorHAnsi" w:hAnsiTheme="minorHAnsi"/>
          <w:sz w:val="18"/>
          <w:szCs w:val="18"/>
          <w:lang w:val="en-AU"/>
        </w:rPr>
      </w:pPr>
      <w:r w:rsidRPr="008A71B6">
        <w:rPr>
          <w:rStyle w:val="FootnoteReference"/>
          <w:rFonts w:asciiTheme="minorHAnsi" w:hAnsiTheme="minorHAnsi"/>
          <w:sz w:val="18"/>
          <w:szCs w:val="18"/>
          <w:lang w:val="en-AU"/>
        </w:rPr>
        <w:footnoteRef/>
      </w:r>
      <w:r w:rsidRPr="008A71B6">
        <w:rPr>
          <w:rFonts w:asciiTheme="minorHAnsi" w:hAnsiTheme="minorHAnsi"/>
          <w:sz w:val="18"/>
          <w:szCs w:val="18"/>
          <w:lang w:val="en-AU"/>
        </w:rPr>
        <w:t xml:space="preserve"> Ibid, 54.</w:t>
      </w:r>
    </w:p>
  </w:footnote>
  <w:footnote w:id="20">
    <w:p w14:paraId="5F4F16E7" w14:textId="35FE3C5C" w:rsidR="00A15A32" w:rsidRPr="008A71B6" w:rsidRDefault="00A15A32">
      <w:pPr>
        <w:pStyle w:val="FootnoteText"/>
        <w:rPr>
          <w:rFonts w:asciiTheme="minorHAnsi" w:hAnsiTheme="minorHAnsi"/>
          <w:sz w:val="18"/>
          <w:szCs w:val="18"/>
          <w:lang w:val="en-AU"/>
        </w:rPr>
      </w:pPr>
      <w:r w:rsidRPr="008A71B6">
        <w:rPr>
          <w:rStyle w:val="FootnoteReference"/>
          <w:rFonts w:asciiTheme="minorHAnsi" w:hAnsiTheme="minorHAnsi"/>
          <w:sz w:val="18"/>
          <w:szCs w:val="18"/>
          <w:lang w:val="en-AU"/>
        </w:rPr>
        <w:footnoteRef/>
      </w:r>
      <w:r w:rsidRPr="008A71B6">
        <w:rPr>
          <w:rFonts w:asciiTheme="minorHAnsi" w:hAnsiTheme="minorHAnsi"/>
          <w:sz w:val="18"/>
          <w:szCs w:val="18"/>
          <w:lang w:val="en-AU"/>
        </w:rPr>
        <w:t xml:space="preserve"> </w:t>
      </w:r>
      <w:r w:rsidR="00BD4337" w:rsidRPr="008A71B6">
        <w:rPr>
          <w:rFonts w:asciiTheme="minorHAnsi" w:hAnsiTheme="minorHAnsi"/>
          <w:i/>
          <w:iCs/>
          <w:sz w:val="18"/>
          <w:szCs w:val="18"/>
          <w:lang w:val="en-AU"/>
        </w:rPr>
        <w:t xml:space="preserve">Proactive and Informal Release </w:t>
      </w:r>
      <w:r w:rsidRPr="008A71B6">
        <w:rPr>
          <w:rFonts w:asciiTheme="minorHAnsi" w:hAnsiTheme="minorHAnsi"/>
          <w:i/>
          <w:iCs/>
          <w:sz w:val="18"/>
          <w:szCs w:val="18"/>
          <w:lang w:val="en-AU"/>
        </w:rPr>
        <w:t>Behavioural Change Final Report</w:t>
      </w:r>
      <w:r w:rsidRPr="008A71B6">
        <w:rPr>
          <w:rFonts w:asciiTheme="minorHAnsi" w:hAnsiTheme="minorHAnsi"/>
          <w:sz w:val="18"/>
          <w:szCs w:val="18"/>
          <w:lang w:val="en-AU"/>
        </w:rPr>
        <w:t>, 24.</w:t>
      </w:r>
    </w:p>
  </w:footnote>
  <w:footnote w:id="21">
    <w:p w14:paraId="1747FACB" w14:textId="34B28080" w:rsidR="000833C9" w:rsidRPr="008A71B6" w:rsidRDefault="000833C9" w:rsidP="000833C9">
      <w:pPr>
        <w:pStyle w:val="FootnoteText"/>
        <w:rPr>
          <w:rFonts w:asciiTheme="minorHAnsi" w:hAnsiTheme="minorHAnsi"/>
          <w:sz w:val="18"/>
          <w:szCs w:val="18"/>
          <w:lang w:val="en-AU"/>
        </w:rPr>
      </w:pPr>
      <w:r w:rsidRPr="008A71B6">
        <w:rPr>
          <w:rStyle w:val="FootnoteReference"/>
          <w:rFonts w:asciiTheme="minorHAnsi" w:hAnsiTheme="minorHAnsi"/>
          <w:sz w:val="18"/>
          <w:szCs w:val="18"/>
          <w:lang w:val="en-AU"/>
        </w:rPr>
        <w:footnoteRef/>
      </w:r>
      <w:r w:rsidRPr="008A71B6">
        <w:rPr>
          <w:rFonts w:asciiTheme="minorHAnsi" w:hAnsiTheme="minorHAnsi"/>
          <w:sz w:val="18"/>
          <w:szCs w:val="18"/>
          <w:lang w:val="en-AU"/>
        </w:rPr>
        <w:t xml:space="preserve"> </w:t>
      </w:r>
      <w:r w:rsidR="00276ED6" w:rsidRPr="008A71B6">
        <w:rPr>
          <w:rFonts w:asciiTheme="minorHAnsi" w:hAnsiTheme="minorHAnsi"/>
          <w:sz w:val="18"/>
          <w:szCs w:val="18"/>
          <w:lang w:val="en-AU"/>
        </w:rPr>
        <w:t xml:space="preserve">Victorian Information Commissioner, </w:t>
      </w:r>
      <w:r w:rsidRPr="008A71B6">
        <w:rPr>
          <w:rFonts w:asciiTheme="minorHAnsi" w:hAnsiTheme="minorHAnsi"/>
          <w:i/>
          <w:iCs/>
          <w:sz w:val="18"/>
          <w:szCs w:val="18"/>
          <w:lang w:val="en-AU"/>
        </w:rPr>
        <w:t>State of FOI in Victoria Report</w:t>
      </w:r>
      <w:r w:rsidRPr="008A71B6">
        <w:rPr>
          <w:rFonts w:asciiTheme="minorHAnsi" w:hAnsiTheme="minorHAnsi"/>
          <w:sz w:val="18"/>
          <w:szCs w:val="18"/>
          <w:lang w:val="en-AU"/>
        </w:rPr>
        <w:t xml:space="preserve">, </w:t>
      </w:r>
      <w:r w:rsidRPr="008A71B6">
        <w:rPr>
          <w:rFonts w:asciiTheme="minorHAnsi" w:hAnsiTheme="minorHAnsi"/>
          <w:i/>
          <w:iCs/>
          <w:sz w:val="18"/>
          <w:szCs w:val="18"/>
          <w:lang w:val="en-AU"/>
        </w:rPr>
        <w:t>FOI requests received</w:t>
      </w:r>
      <w:r w:rsidRPr="008A71B6">
        <w:rPr>
          <w:rFonts w:asciiTheme="minorHAnsi" w:hAnsiTheme="minorHAnsi"/>
          <w:sz w:val="18"/>
          <w:szCs w:val="18"/>
          <w:lang w:val="en-AU"/>
        </w:rPr>
        <w:t xml:space="preserve">, </w:t>
      </w:r>
      <w:hyperlink r:id="rId3" w:history="1">
        <w:r w:rsidRPr="008A71B6">
          <w:rPr>
            <w:rStyle w:val="Hyperlink"/>
            <w:rFonts w:asciiTheme="minorHAnsi" w:hAnsiTheme="minorHAnsi"/>
            <w:sz w:val="18"/>
            <w:szCs w:val="18"/>
            <w:lang w:val="en-AU"/>
          </w:rPr>
          <w:t>https://ovic.vic.gov.au/state-of-freedom-of-information-in-victoria/requests-received/</w:t>
        </w:r>
      </w:hyperlink>
      <w:r w:rsidRPr="008A71B6">
        <w:rPr>
          <w:rFonts w:asciiTheme="minorHAnsi" w:hAnsiTheme="minorHAnsi"/>
          <w:sz w:val="18"/>
          <w:szCs w:val="18"/>
          <w:lang w:val="en-AU"/>
        </w:rPr>
        <w:t xml:space="preserve">. </w:t>
      </w:r>
    </w:p>
  </w:footnote>
  <w:footnote w:id="22">
    <w:p w14:paraId="1F688C28" w14:textId="336B2526" w:rsidR="00545C95" w:rsidRPr="008A71B6" w:rsidRDefault="00545C95" w:rsidP="00545C95">
      <w:pPr>
        <w:pStyle w:val="FootnoteText"/>
        <w:rPr>
          <w:rFonts w:asciiTheme="minorHAnsi" w:hAnsiTheme="minorHAnsi"/>
          <w:sz w:val="18"/>
          <w:szCs w:val="18"/>
          <w:lang w:val="en-AU"/>
        </w:rPr>
      </w:pPr>
      <w:r w:rsidRPr="008A71B6">
        <w:rPr>
          <w:rStyle w:val="FootnoteReference"/>
          <w:rFonts w:asciiTheme="minorHAnsi" w:hAnsiTheme="minorHAnsi"/>
          <w:sz w:val="18"/>
          <w:szCs w:val="18"/>
          <w:lang w:val="en-AU"/>
        </w:rPr>
        <w:footnoteRef/>
      </w:r>
      <w:r w:rsidRPr="008A71B6">
        <w:rPr>
          <w:rFonts w:asciiTheme="minorHAnsi" w:hAnsiTheme="minorHAnsi"/>
          <w:sz w:val="18"/>
          <w:szCs w:val="18"/>
          <w:lang w:val="en-AU"/>
        </w:rPr>
        <w:t xml:space="preserve"> Agencies are</w:t>
      </w:r>
      <w:r w:rsidR="000D32F5" w:rsidRPr="008A71B6">
        <w:rPr>
          <w:rFonts w:asciiTheme="minorHAnsi" w:hAnsiTheme="minorHAnsi"/>
          <w:sz w:val="18"/>
          <w:szCs w:val="18"/>
          <w:lang w:val="en-AU"/>
        </w:rPr>
        <w:t xml:space="preserve"> also</w:t>
      </w:r>
      <w:r w:rsidRPr="008A71B6">
        <w:rPr>
          <w:rFonts w:asciiTheme="minorHAnsi" w:hAnsiTheme="minorHAnsi"/>
          <w:sz w:val="18"/>
          <w:szCs w:val="18"/>
          <w:lang w:val="en-AU"/>
        </w:rPr>
        <w:t xml:space="preserve"> making more FOI decisions each year: for example, there was a 14.77% increase in the number of decisions agencies made from 2014 to 2019; State of FOI in Victoria Report, </w:t>
      </w:r>
      <w:r w:rsidRPr="008A71B6">
        <w:rPr>
          <w:rFonts w:asciiTheme="minorHAnsi" w:hAnsiTheme="minorHAnsi"/>
          <w:i/>
          <w:iCs/>
          <w:sz w:val="18"/>
          <w:szCs w:val="18"/>
          <w:lang w:val="en-AU"/>
        </w:rPr>
        <w:t>Decision Making</w:t>
      </w:r>
      <w:r w:rsidRPr="008A71B6">
        <w:rPr>
          <w:rFonts w:asciiTheme="minorHAnsi" w:hAnsiTheme="minorHAnsi"/>
          <w:sz w:val="18"/>
          <w:szCs w:val="18"/>
          <w:lang w:val="en-AU"/>
        </w:rPr>
        <w:t xml:space="preserve">, </w:t>
      </w:r>
      <w:hyperlink r:id="rId4" w:history="1">
        <w:r w:rsidRPr="008A71B6">
          <w:rPr>
            <w:rStyle w:val="Hyperlink"/>
            <w:rFonts w:asciiTheme="minorHAnsi" w:hAnsiTheme="minorHAnsi"/>
            <w:sz w:val="18"/>
            <w:szCs w:val="18"/>
            <w:lang w:val="en-AU"/>
          </w:rPr>
          <w:t>https://ovic.vic.gov.au/state-of-freedom-of-information-in-victoria/decision-making/</w:t>
        </w:r>
      </w:hyperlink>
      <w:r w:rsidRPr="008A71B6">
        <w:rPr>
          <w:rFonts w:asciiTheme="minorHAnsi" w:hAnsiTheme="minorHAnsi"/>
          <w:sz w:val="18"/>
          <w:szCs w:val="18"/>
          <w:lang w:val="en-AU"/>
        </w:rPr>
        <w:t xml:space="preserve">. </w:t>
      </w:r>
    </w:p>
  </w:footnote>
  <w:footnote w:id="23">
    <w:p w14:paraId="6B395DC3" w14:textId="058966B8" w:rsidR="00C050D6" w:rsidRPr="007C0850" w:rsidRDefault="00C050D6">
      <w:pPr>
        <w:pStyle w:val="FootnoteText"/>
        <w:rPr>
          <w:rFonts w:asciiTheme="minorHAnsi" w:hAnsiTheme="minorHAnsi"/>
          <w:sz w:val="18"/>
          <w:szCs w:val="18"/>
          <w:highlight w:val="yellow"/>
          <w:lang w:val="en-AU"/>
        </w:rPr>
      </w:pPr>
      <w:r w:rsidRPr="008A71B6">
        <w:rPr>
          <w:rStyle w:val="FootnoteReference"/>
          <w:rFonts w:asciiTheme="minorHAnsi" w:hAnsiTheme="minorHAnsi"/>
          <w:sz w:val="18"/>
          <w:szCs w:val="18"/>
          <w:lang w:val="en-AU"/>
        </w:rPr>
        <w:footnoteRef/>
      </w:r>
      <w:r w:rsidRPr="008A71B6">
        <w:rPr>
          <w:rFonts w:asciiTheme="minorHAnsi" w:hAnsiTheme="minorHAnsi"/>
          <w:sz w:val="18"/>
          <w:szCs w:val="18"/>
          <w:lang w:val="en-AU"/>
        </w:rPr>
        <w:t xml:space="preserve"> </w:t>
      </w:r>
      <w:r w:rsidR="00A65A0A" w:rsidRPr="008A71B6">
        <w:rPr>
          <w:rFonts w:asciiTheme="minorHAnsi" w:hAnsiTheme="minorHAnsi"/>
          <w:i/>
          <w:iCs/>
          <w:sz w:val="18"/>
          <w:szCs w:val="18"/>
          <w:lang w:val="en-AU"/>
        </w:rPr>
        <w:t xml:space="preserve">Proactive and Informal Release </w:t>
      </w:r>
      <w:r w:rsidRPr="008A71B6">
        <w:rPr>
          <w:rFonts w:asciiTheme="minorHAnsi" w:hAnsiTheme="minorHAnsi"/>
          <w:i/>
          <w:iCs/>
          <w:sz w:val="18"/>
          <w:szCs w:val="18"/>
          <w:lang w:val="en-AU"/>
        </w:rPr>
        <w:t>Behavioural Change Final Report</w:t>
      </w:r>
      <w:r w:rsidRPr="008A71B6">
        <w:rPr>
          <w:rFonts w:asciiTheme="minorHAnsi" w:hAnsiTheme="minorHAnsi"/>
          <w:sz w:val="18"/>
          <w:szCs w:val="18"/>
          <w:lang w:val="en-AU"/>
        </w:rPr>
        <w:t xml:space="preserve">, 24. </w:t>
      </w:r>
    </w:p>
  </w:footnote>
  <w:footnote w:id="24">
    <w:p w14:paraId="374DFB89" w14:textId="5D5CA256" w:rsidR="00FA2B5A" w:rsidRPr="00A52E4E" w:rsidRDefault="00FA2B5A">
      <w:pPr>
        <w:pStyle w:val="FootnoteText"/>
        <w:rPr>
          <w:sz w:val="18"/>
          <w:szCs w:val="18"/>
          <w:lang w:val="en-AU"/>
        </w:rPr>
      </w:pPr>
      <w:r w:rsidRPr="00A52E4E">
        <w:rPr>
          <w:rStyle w:val="FootnoteReference"/>
          <w:sz w:val="18"/>
          <w:szCs w:val="18"/>
        </w:rPr>
        <w:footnoteRef/>
      </w:r>
      <w:r w:rsidRPr="00A52E4E">
        <w:rPr>
          <w:sz w:val="18"/>
          <w:szCs w:val="18"/>
        </w:rPr>
        <w:t xml:space="preserve"> </w:t>
      </w:r>
      <w:r w:rsidR="00276ED6" w:rsidRPr="00A52E4E">
        <w:rPr>
          <w:rFonts w:asciiTheme="minorHAnsi" w:hAnsiTheme="minorHAnsi"/>
          <w:sz w:val="18"/>
          <w:szCs w:val="18"/>
          <w:lang w:val="en-AU"/>
        </w:rPr>
        <w:t>Victorian Information Commissioner</w:t>
      </w:r>
      <w:r w:rsidRPr="00A52E4E">
        <w:rPr>
          <w:rFonts w:asciiTheme="minorHAnsi" w:hAnsiTheme="minorHAnsi"/>
          <w:sz w:val="18"/>
          <w:szCs w:val="18"/>
          <w:lang w:val="en-AU"/>
        </w:rPr>
        <w:t xml:space="preserve">, </w:t>
      </w:r>
      <w:r w:rsidRPr="00A52E4E">
        <w:rPr>
          <w:rFonts w:asciiTheme="minorHAnsi" w:hAnsiTheme="minorHAnsi"/>
          <w:i/>
          <w:iCs/>
          <w:sz w:val="18"/>
          <w:szCs w:val="18"/>
          <w:lang w:val="en-AU"/>
        </w:rPr>
        <w:t>Impediments to Timely FOI and Information Release: Own-motion investigation under section 61O of the Freedom of Information Act 1982 (Vic)</w:t>
      </w:r>
      <w:r w:rsidRPr="00A52E4E">
        <w:rPr>
          <w:rFonts w:asciiTheme="minorHAnsi" w:hAnsiTheme="minorHAnsi"/>
          <w:sz w:val="18"/>
          <w:szCs w:val="18"/>
          <w:lang w:val="en-AU"/>
        </w:rPr>
        <w:t xml:space="preserve"> (1 September 2021), 5 (the report is available here: </w:t>
      </w:r>
      <w:hyperlink r:id="rId5" w:history="1">
        <w:r w:rsidRPr="00A52E4E">
          <w:rPr>
            <w:rStyle w:val="Hyperlink"/>
            <w:rFonts w:asciiTheme="minorHAnsi" w:hAnsiTheme="minorHAnsi"/>
            <w:sz w:val="18"/>
            <w:szCs w:val="18"/>
            <w:lang w:val="en-AU"/>
          </w:rPr>
          <w:t>https://ovic.vic.gov.au/wp-content/uploads/2021/09/Own-Motion-Investigation-Report-Impediments-to-timely-FOI-and-information-release.pdf</w:t>
        </w:r>
      </w:hyperlink>
      <w:r w:rsidRPr="00A52E4E">
        <w:rPr>
          <w:rFonts w:asciiTheme="minorHAnsi" w:hAnsiTheme="minorHAnsi"/>
          <w:sz w:val="18"/>
          <w:szCs w:val="18"/>
          <w:lang w:val="en-AU"/>
        </w:rPr>
        <w:t>.</w:t>
      </w:r>
    </w:p>
  </w:footnote>
  <w:footnote w:id="25">
    <w:p w14:paraId="33A5A41E" w14:textId="18699CBD" w:rsidR="00AD2A7F" w:rsidRPr="00A52E4E" w:rsidRDefault="00AD2A7F" w:rsidP="00AD2A7F">
      <w:pPr>
        <w:pStyle w:val="FootnoteText"/>
        <w:rPr>
          <w:rFonts w:asciiTheme="minorHAnsi" w:hAnsiTheme="minorHAnsi"/>
          <w:sz w:val="18"/>
          <w:szCs w:val="18"/>
          <w:lang w:val="en-AU"/>
        </w:rPr>
      </w:pPr>
      <w:r w:rsidRPr="00A52E4E">
        <w:rPr>
          <w:rStyle w:val="FootnoteReference"/>
          <w:rFonts w:asciiTheme="minorHAnsi" w:hAnsiTheme="minorHAnsi"/>
          <w:sz w:val="18"/>
          <w:szCs w:val="18"/>
          <w:lang w:val="en-AU"/>
        </w:rPr>
        <w:footnoteRef/>
      </w:r>
      <w:r w:rsidRPr="00A52E4E">
        <w:rPr>
          <w:rFonts w:asciiTheme="minorHAnsi" w:hAnsiTheme="minorHAnsi"/>
          <w:sz w:val="18"/>
          <w:szCs w:val="18"/>
          <w:lang w:val="en-AU"/>
        </w:rPr>
        <w:t xml:space="preserve"> </w:t>
      </w:r>
      <w:r w:rsidRPr="00A52E4E">
        <w:rPr>
          <w:rFonts w:asciiTheme="minorHAnsi" w:hAnsiTheme="minorHAnsi"/>
          <w:i/>
          <w:iCs/>
          <w:sz w:val="18"/>
          <w:szCs w:val="18"/>
          <w:lang w:val="en-AU"/>
        </w:rPr>
        <w:t>Culture of FOI in Victoria Part II Study Report</w:t>
      </w:r>
      <w:r w:rsidRPr="00A52E4E">
        <w:rPr>
          <w:rFonts w:asciiTheme="minorHAnsi" w:hAnsiTheme="minorHAnsi"/>
          <w:sz w:val="18"/>
          <w:szCs w:val="18"/>
          <w:lang w:val="en-AU"/>
        </w:rPr>
        <w:t xml:space="preserve">, 51. </w:t>
      </w:r>
    </w:p>
  </w:footnote>
  <w:footnote w:id="26">
    <w:p w14:paraId="30F6DBA2" w14:textId="63753AA1" w:rsidR="00FA1B93" w:rsidRPr="00A52E4E" w:rsidRDefault="00FA1B93" w:rsidP="00FA1B93">
      <w:pPr>
        <w:pStyle w:val="FootnoteText"/>
        <w:rPr>
          <w:rFonts w:asciiTheme="minorHAnsi" w:hAnsiTheme="minorHAnsi"/>
          <w:sz w:val="18"/>
          <w:szCs w:val="18"/>
          <w:lang w:val="en-AU"/>
        </w:rPr>
      </w:pPr>
      <w:r w:rsidRPr="00A52E4E">
        <w:rPr>
          <w:rStyle w:val="FootnoteReference"/>
          <w:rFonts w:asciiTheme="minorHAnsi" w:hAnsiTheme="minorHAnsi"/>
          <w:sz w:val="18"/>
          <w:szCs w:val="18"/>
          <w:lang w:val="en-AU"/>
        </w:rPr>
        <w:footnoteRef/>
      </w:r>
      <w:r w:rsidRPr="00A52E4E">
        <w:rPr>
          <w:rFonts w:asciiTheme="minorHAnsi" w:hAnsiTheme="minorHAnsi"/>
          <w:sz w:val="18"/>
          <w:szCs w:val="18"/>
          <w:lang w:val="en-AU"/>
        </w:rPr>
        <w:t xml:space="preserve"> Ibid. </w:t>
      </w:r>
    </w:p>
  </w:footnote>
  <w:footnote w:id="27">
    <w:p w14:paraId="4E621F74" w14:textId="28F350FB" w:rsidR="006033F8" w:rsidRPr="00A52E4E" w:rsidRDefault="006033F8">
      <w:pPr>
        <w:pStyle w:val="FootnoteText"/>
        <w:rPr>
          <w:rFonts w:asciiTheme="minorHAnsi" w:hAnsiTheme="minorHAnsi"/>
          <w:sz w:val="18"/>
          <w:szCs w:val="18"/>
          <w:lang w:val="en-AU"/>
        </w:rPr>
      </w:pPr>
      <w:r w:rsidRPr="00A52E4E">
        <w:rPr>
          <w:rStyle w:val="FootnoteReference"/>
          <w:rFonts w:asciiTheme="minorHAnsi" w:hAnsiTheme="minorHAnsi"/>
          <w:sz w:val="18"/>
          <w:szCs w:val="18"/>
          <w:lang w:val="en-AU"/>
        </w:rPr>
        <w:footnoteRef/>
      </w:r>
      <w:r w:rsidRPr="00A52E4E">
        <w:rPr>
          <w:rFonts w:asciiTheme="minorHAnsi" w:hAnsiTheme="minorHAnsi"/>
          <w:sz w:val="18"/>
          <w:szCs w:val="18"/>
          <w:lang w:val="en-AU"/>
        </w:rPr>
        <w:t xml:space="preserve"> </w:t>
      </w:r>
      <w:proofErr w:type="gramStart"/>
      <w:r w:rsidR="00FA1B93" w:rsidRPr="00A52E4E">
        <w:rPr>
          <w:rFonts w:asciiTheme="minorHAnsi" w:hAnsiTheme="minorHAnsi"/>
          <w:sz w:val="18"/>
          <w:szCs w:val="18"/>
          <w:lang w:val="en-AU"/>
        </w:rPr>
        <w:t>Ibid;</w:t>
      </w:r>
      <w:proofErr w:type="gramEnd"/>
      <w:r w:rsidR="00FA1B93" w:rsidRPr="00A52E4E">
        <w:rPr>
          <w:rFonts w:asciiTheme="minorHAnsi" w:hAnsiTheme="minorHAnsi"/>
          <w:sz w:val="18"/>
          <w:szCs w:val="18"/>
          <w:lang w:val="en-AU"/>
        </w:rPr>
        <w:t xml:space="preserve"> </w:t>
      </w:r>
      <w:r w:rsidRPr="00A52E4E">
        <w:rPr>
          <w:rFonts w:asciiTheme="minorHAnsi" w:hAnsiTheme="minorHAnsi"/>
          <w:sz w:val="18"/>
          <w:szCs w:val="18"/>
          <w:lang w:val="en-AU"/>
        </w:rPr>
        <w:t xml:space="preserve">Currently, section 24A of the Act </w:t>
      </w:r>
      <w:r w:rsidR="00477C42" w:rsidRPr="00A52E4E">
        <w:rPr>
          <w:rFonts w:asciiTheme="minorHAnsi" w:hAnsiTheme="minorHAnsi"/>
          <w:sz w:val="18"/>
          <w:szCs w:val="18"/>
          <w:lang w:val="en-AU"/>
        </w:rPr>
        <w:t xml:space="preserve">deals with multiple requests in a limited way. It </w:t>
      </w:r>
      <w:r w:rsidRPr="00A52E4E">
        <w:rPr>
          <w:rFonts w:asciiTheme="minorHAnsi" w:hAnsiTheme="minorHAnsi"/>
          <w:sz w:val="18"/>
          <w:szCs w:val="18"/>
          <w:lang w:val="en-AU"/>
        </w:rPr>
        <w:t xml:space="preserve">allows an agency to refuse a request without processing it where the applicant made the same request to the agency for access to the same documents or information and the agency refused the request, </w:t>
      </w:r>
      <w:r w:rsidR="00477C42" w:rsidRPr="00A52E4E">
        <w:rPr>
          <w:rFonts w:asciiTheme="minorHAnsi" w:hAnsiTheme="minorHAnsi"/>
          <w:sz w:val="18"/>
          <w:szCs w:val="18"/>
          <w:lang w:val="en-AU"/>
        </w:rPr>
        <w:t xml:space="preserve">and the Victorian Civil and Administrative Tribunal </w:t>
      </w:r>
      <w:r w:rsidRPr="00A52E4E">
        <w:rPr>
          <w:rFonts w:asciiTheme="minorHAnsi" w:hAnsiTheme="minorHAnsi"/>
          <w:sz w:val="18"/>
          <w:szCs w:val="18"/>
          <w:lang w:val="en-AU"/>
        </w:rPr>
        <w:t>confirmed the decision to refuse the request on review</w:t>
      </w:r>
      <w:r w:rsidR="00477C42" w:rsidRPr="00A52E4E">
        <w:rPr>
          <w:rFonts w:asciiTheme="minorHAnsi" w:hAnsiTheme="minorHAnsi"/>
          <w:sz w:val="18"/>
          <w:szCs w:val="18"/>
          <w:lang w:val="en-AU"/>
        </w:rPr>
        <w:t>, and there are not any reasonable grounds for making the request again.</w:t>
      </w:r>
    </w:p>
  </w:footnote>
  <w:footnote w:id="28">
    <w:p w14:paraId="6112EE86" w14:textId="64B97D2D" w:rsidR="00576AF8" w:rsidRPr="00A52E4E" w:rsidRDefault="00576AF8">
      <w:pPr>
        <w:pStyle w:val="FootnoteText"/>
        <w:rPr>
          <w:rFonts w:asciiTheme="minorHAnsi" w:hAnsiTheme="minorHAnsi"/>
          <w:sz w:val="18"/>
          <w:szCs w:val="18"/>
          <w:lang w:val="en-AU"/>
        </w:rPr>
      </w:pPr>
      <w:r w:rsidRPr="00A52E4E">
        <w:rPr>
          <w:rStyle w:val="FootnoteReference"/>
          <w:rFonts w:asciiTheme="minorHAnsi" w:hAnsiTheme="minorHAnsi"/>
          <w:sz w:val="18"/>
          <w:szCs w:val="18"/>
          <w:lang w:val="en-AU"/>
        </w:rPr>
        <w:footnoteRef/>
      </w:r>
      <w:r w:rsidRPr="00A52E4E">
        <w:rPr>
          <w:rFonts w:asciiTheme="minorHAnsi" w:hAnsiTheme="minorHAnsi"/>
          <w:sz w:val="18"/>
          <w:szCs w:val="18"/>
          <w:lang w:val="en-AU"/>
        </w:rPr>
        <w:t xml:space="preserve"> </w:t>
      </w:r>
      <w:r w:rsidR="000D2749" w:rsidRPr="00A52E4E">
        <w:rPr>
          <w:rFonts w:asciiTheme="minorHAnsi" w:hAnsiTheme="minorHAnsi"/>
          <w:i/>
          <w:iCs/>
          <w:sz w:val="18"/>
          <w:szCs w:val="18"/>
          <w:lang w:val="en-AU"/>
        </w:rPr>
        <w:t xml:space="preserve">Proactive and Informal Release </w:t>
      </w:r>
      <w:r w:rsidRPr="00A52E4E">
        <w:rPr>
          <w:rFonts w:asciiTheme="minorHAnsi" w:hAnsiTheme="minorHAnsi"/>
          <w:i/>
          <w:iCs/>
          <w:sz w:val="18"/>
          <w:szCs w:val="18"/>
          <w:lang w:val="en-AU"/>
        </w:rPr>
        <w:t>Behavioural Change Final Report</w:t>
      </w:r>
      <w:r w:rsidRPr="00A52E4E">
        <w:rPr>
          <w:rFonts w:asciiTheme="minorHAnsi" w:hAnsiTheme="minorHAnsi"/>
          <w:sz w:val="18"/>
          <w:szCs w:val="18"/>
          <w:lang w:val="en-AU"/>
        </w:rPr>
        <w:t xml:space="preserve">, 25. </w:t>
      </w:r>
    </w:p>
  </w:footnote>
  <w:footnote w:id="29">
    <w:p w14:paraId="77870465" w14:textId="276BCDF0" w:rsidR="007A15C2" w:rsidRPr="00A52E4E" w:rsidRDefault="007A15C2">
      <w:pPr>
        <w:pStyle w:val="FootnoteText"/>
        <w:rPr>
          <w:rFonts w:asciiTheme="minorHAnsi" w:hAnsiTheme="minorHAnsi"/>
          <w:sz w:val="18"/>
          <w:szCs w:val="18"/>
          <w:lang w:val="en-AU"/>
        </w:rPr>
      </w:pPr>
      <w:r w:rsidRPr="00A52E4E">
        <w:rPr>
          <w:rStyle w:val="FootnoteReference"/>
          <w:rFonts w:asciiTheme="minorHAnsi" w:hAnsiTheme="minorHAnsi"/>
          <w:sz w:val="18"/>
          <w:szCs w:val="18"/>
          <w:lang w:val="en-AU"/>
        </w:rPr>
        <w:footnoteRef/>
      </w:r>
      <w:r w:rsidRPr="00A52E4E">
        <w:rPr>
          <w:rFonts w:asciiTheme="minorHAnsi" w:hAnsiTheme="minorHAnsi"/>
          <w:sz w:val="18"/>
          <w:szCs w:val="18"/>
          <w:lang w:val="en-AU"/>
        </w:rPr>
        <w:t xml:space="preserve"> However, there is a discrepancy between FOI practitioners</w:t>
      </w:r>
      <w:r w:rsidR="003F4C04" w:rsidRPr="00A52E4E">
        <w:rPr>
          <w:rFonts w:asciiTheme="minorHAnsi" w:hAnsiTheme="minorHAnsi"/>
          <w:sz w:val="18"/>
          <w:szCs w:val="18"/>
          <w:lang w:val="en-AU"/>
        </w:rPr>
        <w:t>’</w:t>
      </w:r>
      <w:r w:rsidRPr="00A52E4E">
        <w:rPr>
          <w:rFonts w:asciiTheme="minorHAnsi" w:hAnsiTheme="minorHAnsi"/>
          <w:sz w:val="18"/>
          <w:szCs w:val="18"/>
          <w:lang w:val="en-AU"/>
        </w:rPr>
        <w:t xml:space="preserve"> views and Principal Officers’ views. For example, 66.7% of FOI practitioners responded positively that the current information access system in Victoria functions well compared to 83.3% of Principal Officers</w:t>
      </w:r>
      <w:r w:rsidR="002452F5" w:rsidRPr="00A52E4E">
        <w:rPr>
          <w:rFonts w:asciiTheme="minorHAnsi" w:hAnsiTheme="minorHAnsi"/>
          <w:sz w:val="18"/>
          <w:szCs w:val="18"/>
          <w:lang w:val="en-AU"/>
        </w:rPr>
        <w:t xml:space="preserve">; </w:t>
      </w:r>
      <w:r w:rsidR="00CB28D0" w:rsidRPr="00A52E4E">
        <w:rPr>
          <w:rFonts w:asciiTheme="minorHAnsi" w:hAnsiTheme="minorHAnsi"/>
          <w:i/>
          <w:iCs/>
          <w:sz w:val="18"/>
          <w:szCs w:val="18"/>
          <w:lang w:val="en-AU"/>
        </w:rPr>
        <w:t>Culture of FOI in Victoria Part II Study Report</w:t>
      </w:r>
      <w:r w:rsidR="002452F5" w:rsidRPr="00A52E4E">
        <w:rPr>
          <w:rFonts w:asciiTheme="minorHAnsi" w:hAnsiTheme="minorHAnsi"/>
          <w:sz w:val="18"/>
          <w:szCs w:val="18"/>
          <w:lang w:val="en-AU"/>
        </w:rPr>
        <w:t xml:space="preserve">, 43. </w:t>
      </w:r>
    </w:p>
  </w:footnote>
  <w:footnote w:id="30">
    <w:p w14:paraId="5972BE7C" w14:textId="64ED4FDF" w:rsidR="005317B9" w:rsidRPr="00A52E4E" w:rsidRDefault="005317B9">
      <w:pPr>
        <w:pStyle w:val="FootnoteText"/>
        <w:rPr>
          <w:rFonts w:asciiTheme="minorHAnsi" w:hAnsiTheme="minorHAnsi"/>
          <w:sz w:val="18"/>
          <w:szCs w:val="18"/>
          <w:lang w:val="en-AU"/>
        </w:rPr>
      </w:pPr>
      <w:r w:rsidRPr="00A52E4E">
        <w:rPr>
          <w:rStyle w:val="FootnoteReference"/>
          <w:rFonts w:asciiTheme="minorHAnsi" w:hAnsiTheme="minorHAnsi"/>
          <w:sz w:val="18"/>
          <w:szCs w:val="18"/>
          <w:lang w:val="en-AU"/>
        </w:rPr>
        <w:footnoteRef/>
      </w:r>
      <w:r w:rsidRPr="00A52E4E">
        <w:rPr>
          <w:rFonts w:asciiTheme="minorHAnsi" w:hAnsiTheme="minorHAnsi"/>
          <w:sz w:val="18"/>
          <w:szCs w:val="18"/>
          <w:lang w:val="en-AU"/>
        </w:rPr>
        <w:t xml:space="preserve"> </w:t>
      </w:r>
      <w:r w:rsidR="00CB28D0" w:rsidRPr="00A52E4E">
        <w:rPr>
          <w:rFonts w:asciiTheme="minorHAnsi" w:hAnsiTheme="minorHAnsi"/>
          <w:i/>
          <w:iCs/>
          <w:sz w:val="18"/>
          <w:szCs w:val="18"/>
          <w:lang w:val="en-AU"/>
        </w:rPr>
        <w:t>Culture of FOI in Victoria Part II Study Report</w:t>
      </w:r>
      <w:r w:rsidRPr="00A52E4E">
        <w:rPr>
          <w:rFonts w:asciiTheme="minorHAnsi" w:hAnsiTheme="minorHAnsi"/>
          <w:sz w:val="18"/>
          <w:szCs w:val="18"/>
          <w:lang w:val="en-AU"/>
        </w:rPr>
        <w:t>, 58.</w:t>
      </w:r>
    </w:p>
  </w:footnote>
  <w:footnote w:id="31">
    <w:p w14:paraId="5F3FE3CE" w14:textId="16403E2A" w:rsidR="00396D8F" w:rsidRPr="007C0850" w:rsidRDefault="00396D8F">
      <w:pPr>
        <w:pStyle w:val="FootnoteText"/>
        <w:rPr>
          <w:rFonts w:asciiTheme="minorHAnsi" w:hAnsiTheme="minorHAnsi"/>
          <w:sz w:val="18"/>
          <w:szCs w:val="18"/>
          <w:highlight w:val="yellow"/>
          <w:lang w:val="en-AU"/>
        </w:rPr>
      </w:pPr>
      <w:r w:rsidRPr="00A52E4E">
        <w:rPr>
          <w:rStyle w:val="FootnoteReference"/>
          <w:rFonts w:asciiTheme="minorHAnsi" w:hAnsiTheme="minorHAnsi"/>
          <w:sz w:val="18"/>
          <w:szCs w:val="18"/>
          <w:lang w:val="en-AU"/>
        </w:rPr>
        <w:footnoteRef/>
      </w:r>
      <w:r w:rsidRPr="00A52E4E">
        <w:rPr>
          <w:rFonts w:asciiTheme="minorHAnsi" w:hAnsiTheme="minorHAnsi"/>
          <w:sz w:val="18"/>
          <w:szCs w:val="18"/>
          <w:lang w:val="en-AU"/>
        </w:rPr>
        <w:t xml:space="preserve"> </w:t>
      </w:r>
      <w:r w:rsidR="00CB28D0" w:rsidRPr="00A52E4E">
        <w:rPr>
          <w:rFonts w:asciiTheme="minorHAnsi" w:hAnsiTheme="minorHAnsi"/>
          <w:sz w:val="18"/>
          <w:szCs w:val="18"/>
          <w:lang w:val="en-AU"/>
        </w:rPr>
        <w:t>Ibid</w:t>
      </w:r>
      <w:r w:rsidRPr="00A52E4E">
        <w:rPr>
          <w:rFonts w:asciiTheme="minorHAnsi" w:hAnsiTheme="minorHAnsi"/>
          <w:sz w:val="18"/>
          <w:szCs w:val="18"/>
          <w:lang w:val="en-AU"/>
        </w:rPr>
        <w:t>, 57.</w:t>
      </w:r>
    </w:p>
  </w:footnote>
  <w:footnote w:id="32">
    <w:p w14:paraId="0DC58BAF" w14:textId="4972E6E7" w:rsidR="009B2F15" w:rsidRPr="00E32310" w:rsidRDefault="009B2F15">
      <w:pPr>
        <w:pStyle w:val="FootnoteText"/>
        <w:rPr>
          <w:sz w:val="18"/>
          <w:szCs w:val="18"/>
          <w:lang w:val="en-AU"/>
        </w:rPr>
      </w:pPr>
      <w:r w:rsidRPr="00E32310">
        <w:rPr>
          <w:rStyle w:val="FootnoteReference"/>
          <w:sz w:val="18"/>
          <w:szCs w:val="18"/>
        </w:rPr>
        <w:footnoteRef/>
      </w:r>
      <w:r w:rsidRPr="00E32310">
        <w:rPr>
          <w:sz w:val="18"/>
          <w:szCs w:val="18"/>
        </w:rPr>
        <w:t xml:space="preserve"> For example, 78% of FOI practitioners and 76% of Principal Officers agree the most effective way to improve FOI is by changing culture and 71% of FOI practitioners and 60% of Principal Officers believe the most effective way to improve is by changing the legislation; </w:t>
      </w:r>
      <w:r w:rsidRPr="00E32310">
        <w:rPr>
          <w:i/>
          <w:iCs/>
          <w:sz w:val="18"/>
          <w:szCs w:val="18"/>
        </w:rPr>
        <w:t>Culture of FOI in Victoria Part II Study Report</w:t>
      </w:r>
      <w:r w:rsidRPr="00E32310">
        <w:rPr>
          <w:sz w:val="18"/>
          <w:szCs w:val="18"/>
        </w:rPr>
        <w:t>, 27 and 41.</w:t>
      </w:r>
    </w:p>
  </w:footnote>
  <w:footnote w:id="33">
    <w:p w14:paraId="37950B1C" w14:textId="3AF7122A" w:rsidR="00932170" w:rsidRPr="00E32310" w:rsidRDefault="00932170">
      <w:pPr>
        <w:pStyle w:val="FootnoteText"/>
        <w:rPr>
          <w:rFonts w:asciiTheme="minorHAnsi" w:hAnsiTheme="minorHAnsi"/>
          <w:sz w:val="18"/>
          <w:szCs w:val="18"/>
          <w:lang w:val="en-AU"/>
        </w:rPr>
      </w:pPr>
      <w:r w:rsidRPr="00E32310">
        <w:rPr>
          <w:rStyle w:val="FootnoteReference"/>
          <w:rFonts w:asciiTheme="minorHAnsi" w:hAnsiTheme="minorHAnsi"/>
          <w:sz w:val="18"/>
          <w:szCs w:val="18"/>
          <w:lang w:val="en-AU"/>
        </w:rPr>
        <w:footnoteRef/>
      </w:r>
      <w:r w:rsidRPr="00E32310">
        <w:rPr>
          <w:rFonts w:asciiTheme="minorHAnsi" w:hAnsiTheme="minorHAnsi"/>
          <w:sz w:val="18"/>
          <w:szCs w:val="18"/>
          <w:lang w:val="en-AU"/>
        </w:rPr>
        <w:t xml:space="preserve"> Proactive and informal release furthers the object of the Act in section 3 to provide access to as much government information as possible, </w:t>
      </w:r>
      <w:proofErr w:type="gramStart"/>
      <w:r w:rsidRPr="00E32310">
        <w:rPr>
          <w:rFonts w:asciiTheme="minorHAnsi" w:hAnsiTheme="minorHAnsi"/>
          <w:sz w:val="18"/>
          <w:szCs w:val="18"/>
          <w:lang w:val="en-AU"/>
        </w:rPr>
        <w:t>promptly</w:t>
      </w:r>
      <w:proofErr w:type="gramEnd"/>
      <w:r w:rsidRPr="00E32310">
        <w:rPr>
          <w:rFonts w:asciiTheme="minorHAnsi" w:hAnsiTheme="minorHAnsi"/>
          <w:sz w:val="18"/>
          <w:szCs w:val="18"/>
          <w:lang w:val="en-AU"/>
        </w:rPr>
        <w:t xml:space="preserve"> and inexpensively. Section 16 supports proactive and informal release by providing agencies with a discretion to provide access to an exempt document provided they are otherwise not prohibited from doing so (for example, </w:t>
      </w:r>
      <w:proofErr w:type="gramStart"/>
      <w:r w:rsidRPr="00E32310">
        <w:rPr>
          <w:rFonts w:asciiTheme="minorHAnsi" w:hAnsiTheme="minorHAnsi"/>
          <w:sz w:val="18"/>
          <w:szCs w:val="18"/>
          <w:lang w:val="en-AU"/>
        </w:rPr>
        <w:t>taking into account</w:t>
      </w:r>
      <w:proofErr w:type="gramEnd"/>
      <w:r w:rsidRPr="00E32310">
        <w:rPr>
          <w:rFonts w:asciiTheme="minorHAnsi" w:hAnsiTheme="minorHAnsi"/>
          <w:sz w:val="18"/>
          <w:szCs w:val="18"/>
          <w:lang w:val="en-AU"/>
        </w:rPr>
        <w:t xml:space="preserve"> secrecy or other provisions that may prohibit release of the document). Part II of the Act requires agencies to publish certain information and documents. Professional Standards 1.1 and 1.2 require agencies to consider whether a document requested under the Act can be provided informally, outside of the Act, wherever possible. </w:t>
      </w:r>
    </w:p>
  </w:footnote>
  <w:footnote w:id="34">
    <w:p w14:paraId="2A60E001" w14:textId="0D518CA1" w:rsidR="00C01D05" w:rsidRPr="00E32310" w:rsidRDefault="00C01D05">
      <w:pPr>
        <w:pStyle w:val="FootnoteText"/>
        <w:rPr>
          <w:rFonts w:asciiTheme="minorHAnsi" w:hAnsiTheme="minorHAnsi"/>
          <w:sz w:val="18"/>
          <w:szCs w:val="18"/>
          <w:lang w:val="en-AU"/>
        </w:rPr>
      </w:pPr>
      <w:r w:rsidRPr="00E32310">
        <w:rPr>
          <w:rStyle w:val="FootnoteReference"/>
          <w:rFonts w:asciiTheme="minorHAnsi" w:hAnsiTheme="minorHAnsi"/>
          <w:sz w:val="18"/>
          <w:szCs w:val="18"/>
          <w:lang w:val="en-AU"/>
        </w:rPr>
        <w:footnoteRef/>
      </w:r>
      <w:r w:rsidRPr="00E32310">
        <w:rPr>
          <w:rFonts w:asciiTheme="minorHAnsi" w:hAnsiTheme="minorHAnsi"/>
          <w:sz w:val="18"/>
          <w:szCs w:val="18"/>
          <w:lang w:val="en-AU"/>
        </w:rPr>
        <w:t xml:space="preserve"> OVIC, Procedural Practice Note 2 – Proactive release of information, </w:t>
      </w:r>
      <w:hyperlink r:id="rId6" w:history="1">
        <w:r w:rsidRPr="00E32310">
          <w:rPr>
            <w:rStyle w:val="Hyperlink"/>
            <w:rFonts w:asciiTheme="minorHAnsi" w:hAnsiTheme="minorHAnsi"/>
            <w:sz w:val="18"/>
            <w:szCs w:val="18"/>
            <w:lang w:val="en-AU"/>
          </w:rPr>
          <w:t>https://ovic.vic.gov.au/resource/proactive-release-of-information/</w:t>
        </w:r>
      </w:hyperlink>
      <w:r w:rsidRPr="00E32310">
        <w:rPr>
          <w:rFonts w:asciiTheme="minorHAnsi" w:hAnsiTheme="minorHAnsi"/>
          <w:sz w:val="18"/>
          <w:szCs w:val="18"/>
          <w:lang w:val="en-AU"/>
        </w:rPr>
        <w:t xml:space="preserve">. </w:t>
      </w:r>
    </w:p>
  </w:footnote>
  <w:footnote w:id="35">
    <w:p w14:paraId="717857BB" w14:textId="42EA11B3" w:rsidR="00725DC0" w:rsidRPr="00E32310" w:rsidRDefault="00725DC0">
      <w:pPr>
        <w:pStyle w:val="FootnoteText"/>
        <w:rPr>
          <w:rFonts w:asciiTheme="minorHAnsi" w:hAnsiTheme="minorHAnsi"/>
          <w:sz w:val="18"/>
          <w:szCs w:val="18"/>
          <w:lang w:val="en-AU"/>
        </w:rPr>
      </w:pPr>
      <w:r w:rsidRPr="00E32310">
        <w:rPr>
          <w:rStyle w:val="FootnoteReference"/>
          <w:rFonts w:asciiTheme="minorHAnsi" w:hAnsiTheme="minorHAnsi"/>
          <w:sz w:val="18"/>
          <w:szCs w:val="18"/>
          <w:lang w:val="en-AU"/>
        </w:rPr>
        <w:footnoteRef/>
      </w:r>
      <w:r w:rsidRPr="00E32310">
        <w:rPr>
          <w:rFonts w:asciiTheme="minorHAnsi" w:hAnsiTheme="minorHAnsi"/>
          <w:sz w:val="18"/>
          <w:szCs w:val="18"/>
          <w:lang w:val="en-AU"/>
        </w:rPr>
        <w:t xml:space="preserve"> OVIC, Procedural Practice Note 6 – Informal release of information, </w:t>
      </w:r>
      <w:hyperlink r:id="rId7" w:history="1">
        <w:r w:rsidRPr="00E32310">
          <w:rPr>
            <w:rStyle w:val="Hyperlink"/>
            <w:rFonts w:asciiTheme="minorHAnsi" w:hAnsiTheme="minorHAnsi"/>
            <w:sz w:val="18"/>
            <w:szCs w:val="18"/>
            <w:lang w:val="en-AU"/>
          </w:rPr>
          <w:t>https://ovic.vic.gov.au/resource/informal-release-of-information/</w:t>
        </w:r>
      </w:hyperlink>
      <w:r w:rsidRPr="00E32310">
        <w:rPr>
          <w:rFonts w:asciiTheme="minorHAnsi" w:hAnsiTheme="minorHAnsi"/>
          <w:sz w:val="18"/>
          <w:szCs w:val="18"/>
          <w:lang w:val="en-AU"/>
        </w:rPr>
        <w:t xml:space="preserve">. </w:t>
      </w:r>
    </w:p>
  </w:footnote>
  <w:footnote w:id="36">
    <w:p w14:paraId="1E0AED23" w14:textId="77777777" w:rsidR="0096147A" w:rsidRPr="00E32310" w:rsidRDefault="0096147A" w:rsidP="0096147A">
      <w:pPr>
        <w:pStyle w:val="FootnoteText"/>
        <w:rPr>
          <w:rFonts w:asciiTheme="minorHAnsi" w:hAnsiTheme="minorHAnsi"/>
          <w:sz w:val="18"/>
          <w:szCs w:val="18"/>
          <w:lang w:val="en-AU"/>
        </w:rPr>
      </w:pPr>
      <w:r w:rsidRPr="00E32310">
        <w:rPr>
          <w:rStyle w:val="FootnoteReference"/>
          <w:rFonts w:asciiTheme="minorHAnsi" w:hAnsiTheme="minorHAnsi"/>
          <w:sz w:val="18"/>
          <w:szCs w:val="18"/>
          <w:lang w:val="en-AU"/>
        </w:rPr>
        <w:footnoteRef/>
      </w:r>
      <w:r w:rsidRPr="00E32310">
        <w:rPr>
          <w:rFonts w:asciiTheme="minorHAnsi" w:hAnsiTheme="minorHAnsi"/>
          <w:sz w:val="18"/>
          <w:szCs w:val="18"/>
          <w:lang w:val="en-AU"/>
        </w:rPr>
        <w:t xml:space="preserve"> International Conference of Information Commissioners, Proactive Publication of Information Relating to the COVID-19 Pandemic Statement (24 June 2021), </w:t>
      </w:r>
      <w:hyperlink r:id="rId8" w:history="1">
        <w:r w:rsidRPr="00E32310">
          <w:rPr>
            <w:rStyle w:val="Hyperlink"/>
            <w:rFonts w:asciiTheme="minorHAnsi" w:hAnsiTheme="minorHAnsi"/>
            <w:sz w:val="18"/>
            <w:szCs w:val="18"/>
            <w:lang w:val="en-AU"/>
          </w:rPr>
          <w:t>https://cdn.website-editor.net/61ed7ac1402f428695fcc2386ad0577f/files/uploaded/ICIC-Statement-Proactive-publication-of-information-relating-to-the-COVID-19-pandemic-24062021.pdf</w:t>
        </w:r>
      </w:hyperlink>
      <w:r w:rsidRPr="00E32310">
        <w:rPr>
          <w:rFonts w:asciiTheme="minorHAnsi" w:hAnsiTheme="minorHAnsi"/>
          <w:sz w:val="18"/>
          <w:szCs w:val="18"/>
          <w:lang w:val="en-AU"/>
        </w:rPr>
        <w:t xml:space="preserve">. </w:t>
      </w:r>
    </w:p>
  </w:footnote>
  <w:footnote w:id="37">
    <w:p w14:paraId="243810E3" w14:textId="77777777" w:rsidR="0096147A" w:rsidRPr="007C0850" w:rsidRDefault="0096147A" w:rsidP="0096147A">
      <w:pPr>
        <w:pStyle w:val="FootnoteText"/>
        <w:rPr>
          <w:rFonts w:asciiTheme="minorHAnsi" w:hAnsiTheme="minorHAnsi"/>
          <w:sz w:val="18"/>
          <w:szCs w:val="18"/>
          <w:highlight w:val="yellow"/>
          <w:lang w:val="en-AU"/>
        </w:rPr>
      </w:pPr>
      <w:r w:rsidRPr="00E32310">
        <w:rPr>
          <w:rStyle w:val="FootnoteReference"/>
          <w:rFonts w:asciiTheme="minorHAnsi" w:hAnsiTheme="minorHAnsi"/>
          <w:sz w:val="18"/>
          <w:szCs w:val="18"/>
          <w:lang w:val="en-AU"/>
        </w:rPr>
        <w:footnoteRef/>
      </w:r>
      <w:r w:rsidRPr="00E32310">
        <w:rPr>
          <w:rFonts w:asciiTheme="minorHAnsi" w:hAnsiTheme="minorHAnsi"/>
          <w:sz w:val="18"/>
          <w:szCs w:val="18"/>
          <w:lang w:val="en-AU"/>
        </w:rPr>
        <w:t xml:space="preserve"> Ibid. </w:t>
      </w:r>
    </w:p>
  </w:footnote>
  <w:footnote w:id="38">
    <w:p w14:paraId="60A9F908" w14:textId="17A7D5DF" w:rsidR="00CE2AC4" w:rsidRPr="00E32310" w:rsidRDefault="00CE2AC4">
      <w:pPr>
        <w:pStyle w:val="FootnoteText"/>
        <w:rPr>
          <w:rFonts w:asciiTheme="minorHAnsi" w:hAnsiTheme="minorHAnsi"/>
          <w:sz w:val="18"/>
          <w:szCs w:val="18"/>
          <w:lang w:val="en-AU"/>
        </w:rPr>
      </w:pPr>
      <w:r w:rsidRPr="00E32310">
        <w:rPr>
          <w:rStyle w:val="FootnoteReference"/>
          <w:rFonts w:asciiTheme="minorHAnsi" w:hAnsiTheme="minorHAnsi"/>
          <w:sz w:val="18"/>
          <w:szCs w:val="18"/>
          <w:lang w:val="en-AU"/>
        </w:rPr>
        <w:footnoteRef/>
      </w:r>
      <w:r w:rsidRPr="00E32310">
        <w:rPr>
          <w:rFonts w:asciiTheme="minorHAnsi" w:hAnsiTheme="minorHAnsi"/>
          <w:sz w:val="18"/>
          <w:szCs w:val="18"/>
          <w:lang w:val="en-AU"/>
        </w:rPr>
        <w:t xml:space="preserve"> </w:t>
      </w:r>
      <w:r w:rsidR="005B1A9A" w:rsidRPr="00E32310">
        <w:rPr>
          <w:rFonts w:asciiTheme="minorHAnsi" w:hAnsiTheme="minorHAnsi"/>
          <w:i/>
          <w:iCs/>
          <w:sz w:val="18"/>
          <w:szCs w:val="18"/>
          <w:lang w:val="en-AU"/>
        </w:rPr>
        <w:t>Proactive and Informal Release Behavioural Change Final Report</w:t>
      </w:r>
      <w:r w:rsidR="005B1A9A" w:rsidRPr="00E32310">
        <w:rPr>
          <w:rFonts w:asciiTheme="minorHAnsi" w:hAnsiTheme="minorHAnsi"/>
          <w:sz w:val="18"/>
          <w:szCs w:val="18"/>
          <w:lang w:val="en-AU"/>
        </w:rPr>
        <w:t>, b</w:t>
      </w:r>
      <w:r w:rsidRPr="00E32310">
        <w:rPr>
          <w:rFonts w:asciiTheme="minorHAnsi" w:hAnsiTheme="minorHAnsi"/>
          <w:sz w:val="18"/>
          <w:szCs w:val="18"/>
          <w:lang w:val="en-AU"/>
        </w:rPr>
        <w:t>arriers to proactive and informal release are in Appendix A (</w:t>
      </w:r>
      <w:r w:rsidR="00362FF0" w:rsidRPr="00E32310">
        <w:rPr>
          <w:rFonts w:asciiTheme="minorHAnsi" w:hAnsiTheme="minorHAnsi"/>
          <w:sz w:val="18"/>
          <w:szCs w:val="18"/>
          <w:lang w:val="en-AU"/>
        </w:rPr>
        <w:t xml:space="preserve">starting on </w:t>
      </w:r>
      <w:r w:rsidRPr="00E32310">
        <w:rPr>
          <w:rFonts w:asciiTheme="minorHAnsi" w:hAnsiTheme="minorHAnsi"/>
          <w:sz w:val="18"/>
          <w:szCs w:val="18"/>
          <w:lang w:val="en-AU"/>
        </w:rPr>
        <w:t>page 23) and conditions required to maximise proactive and informal release are in Part 4 (starting on page 5</w:t>
      </w:r>
      <w:r w:rsidR="00071D72" w:rsidRPr="00E32310">
        <w:rPr>
          <w:rFonts w:asciiTheme="minorHAnsi" w:hAnsiTheme="minorHAnsi"/>
          <w:sz w:val="18"/>
          <w:szCs w:val="18"/>
          <w:lang w:val="en-AU"/>
        </w:rPr>
        <w:t>).</w:t>
      </w:r>
    </w:p>
  </w:footnote>
  <w:footnote w:id="39">
    <w:p w14:paraId="29918CFD" w14:textId="3B040263" w:rsidR="00693BF9" w:rsidRPr="007C0850" w:rsidRDefault="00693BF9" w:rsidP="00693BF9">
      <w:pPr>
        <w:pStyle w:val="FootnoteText"/>
        <w:rPr>
          <w:rFonts w:asciiTheme="minorHAnsi" w:hAnsiTheme="minorHAnsi"/>
          <w:sz w:val="18"/>
          <w:szCs w:val="18"/>
          <w:highlight w:val="yellow"/>
          <w:lang w:val="en-AU"/>
        </w:rPr>
      </w:pPr>
      <w:r w:rsidRPr="00E32310">
        <w:rPr>
          <w:rStyle w:val="FootnoteReference"/>
          <w:rFonts w:asciiTheme="minorHAnsi" w:hAnsiTheme="minorHAnsi"/>
          <w:sz w:val="18"/>
          <w:szCs w:val="18"/>
          <w:lang w:val="en-AU"/>
        </w:rPr>
        <w:footnoteRef/>
      </w:r>
      <w:r w:rsidRPr="00E32310">
        <w:rPr>
          <w:rFonts w:asciiTheme="minorHAnsi" w:hAnsiTheme="minorHAnsi"/>
          <w:sz w:val="18"/>
          <w:szCs w:val="18"/>
          <w:lang w:val="en-AU"/>
        </w:rPr>
        <w:t xml:space="preserve"> </w:t>
      </w:r>
      <w:r w:rsidR="000D2749" w:rsidRPr="00E32310">
        <w:rPr>
          <w:rFonts w:asciiTheme="minorHAnsi" w:hAnsiTheme="minorHAnsi"/>
          <w:i/>
          <w:iCs/>
          <w:sz w:val="18"/>
          <w:szCs w:val="18"/>
          <w:lang w:val="en-AU"/>
        </w:rPr>
        <w:t xml:space="preserve">Proactive and Informal Release </w:t>
      </w:r>
      <w:r w:rsidRPr="00E32310">
        <w:rPr>
          <w:rFonts w:asciiTheme="minorHAnsi" w:hAnsiTheme="minorHAnsi"/>
          <w:i/>
          <w:iCs/>
          <w:sz w:val="18"/>
          <w:szCs w:val="18"/>
          <w:lang w:val="en-AU"/>
        </w:rPr>
        <w:t>Behavioural Change Final Report</w:t>
      </w:r>
      <w:r w:rsidRPr="00E32310">
        <w:rPr>
          <w:rFonts w:asciiTheme="minorHAnsi" w:hAnsiTheme="minorHAnsi"/>
          <w:sz w:val="18"/>
          <w:szCs w:val="18"/>
          <w:lang w:val="en-AU"/>
        </w:rPr>
        <w:t xml:space="preserve">, 5 to 8. </w:t>
      </w:r>
    </w:p>
  </w:footnote>
  <w:footnote w:id="40">
    <w:p w14:paraId="7FFF2FFB" w14:textId="009112C7" w:rsidR="00DD31F8" w:rsidRPr="00E32310" w:rsidRDefault="00DD31F8">
      <w:pPr>
        <w:pStyle w:val="FootnoteText"/>
        <w:rPr>
          <w:rFonts w:asciiTheme="minorHAnsi" w:hAnsiTheme="minorHAnsi"/>
          <w:sz w:val="18"/>
          <w:szCs w:val="18"/>
          <w:lang w:val="en-AU"/>
        </w:rPr>
      </w:pPr>
      <w:r w:rsidRPr="00E32310">
        <w:rPr>
          <w:rStyle w:val="FootnoteReference"/>
          <w:rFonts w:asciiTheme="minorHAnsi" w:hAnsiTheme="minorHAnsi"/>
          <w:sz w:val="18"/>
          <w:szCs w:val="18"/>
          <w:lang w:val="en-AU"/>
        </w:rPr>
        <w:footnoteRef/>
      </w:r>
      <w:r w:rsidRPr="00E32310">
        <w:rPr>
          <w:rFonts w:asciiTheme="minorHAnsi" w:hAnsiTheme="minorHAnsi"/>
          <w:sz w:val="18"/>
          <w:szCs w:val="18"/>
          <w:lang w:val="en-AU"/>
        </w:rPr>
        <w:t xml:space="preserve"> </w:t>
      </w:r>
      <w:r w:rsidR="00E32310" w:rsidRPr="00E32310">
        <w:rPr>
          <w:rFonts w:asciiTheme="minorHAnsi" w:hAnsiTheme="minorHAnsi"/>
          <w:sz w:val="18"/>
          <w:szCs w:val="18"/>
          <w:lang w:val="en-AU"/>
        </w:rPr>
        <w:t>Ibid</w:t>
      </w:r>
      <w:r w:rsidRPr="00E32310">
        <w:rPr>
          <w:rFonts w:asciiTheme="minorHAnsi" w:hAnsiTheme="minorHAnsi"/>
          <w:sz w:val="18"/>
          <w:szCs w:val="18"/>
          <w:lang w:val="en-AU"/>
        </w:rPr>
        <w:t xml:space="preserve">, 7. </w:t>
      </w:r>
    </w:p>
  </w:footnote>
  <w:footnote w:id="41">
    <w:p w14:paraId="61F968D8" w14:textId="77777777" w:rsidR="003D3C13" w:rsidRPr="007C0850" w:rsidRDefault="003D3C13" w:rsidP="003D3C13">
      <w:pPr>
        <w:pStyle w:val="FootnoteText"/>
        <w:rPr>
          <w:rFonts w:asciiTheme="minorHAnsi" w:hAnsiTheme="minorHAnsi"/>
          <w:sz w:val="18"/>
          <w:szCs w:val="18"/>
          <w:highlight w:val="yellow"/>
          <w:lang w:val="en-AU"/>
        </w:rPr>
      </w:pPr>
      <w:r w:rsidRPr="00E32310">
        <w:rPr>
          <w:rStyle w:val="FootnoteReference"/>
          <w:rFonts w:asciiTheme="minorHAnsi" w:hAnsiTheme="minorHAnsi"/>
          <w:sz w:val="18"/>
          <w:szCs w:val="18"/>
          <w:lang w:val="en-AU"/>
        </w:rPr>
        <w:footnoteRef/>
      </w:r>
      <w:r w:rsidRPr="00E32310">
        <w:rPr>
          <w:rFonts w:asciiTheme="minorHAnsi" w:hAnsiTheme="minorHAnsi"/>
          <w:sz w:val="18"/>
          <w:szCs w:val="18"/>
          <w:lang w:val="en-AU"/>
        </w:rPr>
        <w:t xml:space="preserve"> Ibid.</w:t>
      </w:r>
    </w:p>
  </w:footnote>
  <w:footnote w:id="42">
    <w:p w14:paraId="0AC13E0B" w14:textId="77777777" w:rsidR="001C2D43" w:rsidRPr="0037133D" w:rsidRDefault="001C2D43" w:rsidP="001C2D43">
      <w:pPr>
        <w:pStyle w:val="FootnoteText"/>
        <w:rPr>
          <w:rFonts w:asciiTheme="minorHAnsi" w:hAnsiTheme="minorHAnsi"/>
          <w:sz w:val="18"/>
          <w:szCs w:val="18"/>
          <w:lang w:val="en-AU"/>
        </w:rPr>
      </w:pPr>
      <w:r w:rsidRPr="0037133D">
        <w:rPr>
          <w:rStyle w:val="FootnoteReference"/>
          <w:rFonts w:asciiTheme="minorHAnsi" w:hAnsiTheme="minorHAnsi"/>
          <w:sz w:val="18"/>
          <w:szCs w:val="18"/>
          <w:lang w:val="en-AU"/>
        </w:rPr>
        <w:footnoteRef/>
      </w:r>
      <w:r w:rsidRPr="0037133D">
        <w:rPr>
          <w:rFonts w:asciiTheme="minorHAnsi" w:hAnsiTheme="minorHAnsi"/>
          <w:sz w:val="18"/>
          <w:szCs w:val="18"/>
          <w:lang w:val="en-AU"/>
        </w:rPr>
        <w:t xml:space="preserve"> Ibid, 18.</w:t>
      </w:r>
    </w:p>
  </w:footnote>
  <w:footnote w:id="43">
    <w:p w14:paraId="4E74D769" w14:textId="7F945581" w:rsidR="00BA64A3" w:rsidRPr="007C0850" w:rsidRDefault="00BA64A3">
      <w:pPr>
        <w:pStyle w:val="FootnoteText"/>
        <w:rPr>
          <w:rFonts w:asciiTheme="minorHAnsi" w:hAnsiTheme="minorHAnsi"/>
          <w:sz w:val="18"/>
          <w:szCs w:val="18"/>
          <w:lang w:val="en-AU"/>
        </w:rPr>
      </w:pPr>
      <w:r w:rsidRPr="00213F42">
        <w:rPr>
          <w:rStyle w:val="FootnoteReference"/>
          <w:rFonts w:asciiTheme="minorHAnsi" w:hAnsiTheme="minorHAnsi"/>
          <w:sz w:val="18"/>
          <w:szCs w:val="18"/>
          <w:lang w:val="en-AU"/>
        </w:rPr>
        <w:footnoteRef/>
      </w:r>
      <w:r w:rsidRPr="00213F42">
        <w:rPr>
          <w:rFonts w:asciiTheme="minorHAnsi" w:hAnsiTheme="minorHAnsi"/>
          <w:sz w:val="18"/>
          <w:szCs w:val="18"/>
          <w:lang w:val="en-AU"/>
        </w:rPr>
        <w:t xml:space="preserve"> </w:t>
      </w:r>
      <w:r w:rsidR="0037133D" w:rsidRPr="00213F42">
        <w:rPr>
          <w:rFonts w:asciiTheme="minorHAnsi" w:hAnsiTheme="minorHAnsi"/>
          <w:sz w:val="18"/>
          <w:szCs w:val="18"/>
          <w:lang w:val="en-AU"/>
        </w:rPr>
        <w:t>Victorian Information Commissioner</w:t>
      </w:r>
      <w:r w:rsidRPr="00213F42">
        <w:rPr>
          <w:rFonts w:asciiTheme="minorHAnsi" w:hAnsiTheme="minorHAnsi"/>
          <w:sz w:val="18"/>
          <w:szCs w:val="18"/>
          <w:lang w:val="en-AU"/>
        </w:rPr>
        <w:t xml:space="preserve">, </w:t>
      </w:r>
      <w:r w:rsidRPr="00213F42">
        <w:rPr>
          <w:rFonts w:asciiTheme="minorHAnsi" w:hAnsiTheme="minorHAnsi"/>
          <w:i/>
          <w:iCs/>
          <w:sz w:val="18"/>
          <w:szCs w:val="18"/>
          <w:lang w:val="en-AU"/>
        </w:rPr>
        <w:t>Impediments to Timely FOI and Information Release: Own-motion investigation under section 61O of the Freedom of Information Act 1982 (Vic)</w:t>
      </w:r>
      <w:r w:rsidRPr="00213F42">
        <w:rPr>
          <w:rFonts w:asciiTheme="minorHAnsi" w:hAnsiTheme="minorHAnsi"/>
          <w:sz w:val="18"/>
          <w:szCs w:val="18"/>
          <w:lang w:val="en-AU"/>
        </w:rPr>
        <w:t xml:space="preserve"> (1 September 2021), 8 (the report is available here: </w:t>
      </w:r>
      <w:hyperlink r:id="rId9" w:history="1">
        <w:r w:rsidR="00916E5E" w:rsidRPr="00213F42">
          <w:rPr>
            <w:rStyle w:val="Hyperlink"/>
            <w:sz w:val="18"/>
            <w:szCs w:val="18"/>
          </w:rPr>
          <w:t>https://ovic.vic.gov.au/wp-content/uploads/2021/09/Own-Motion-Investigation-Report-Impediments-to-timely-FOI-and-information-release.pdf</w:t>
        </w:r>
      </w:hyperlink>
      <w:r w:rsidR="00916E5E" w:rsidRPr="00213F42">
        <w:rPr>
          <w:sz w:val="18"/>
          <w:szCs w:val="18"/>
        </w:rPr>
        <w:t>.</w:t>
      </w:r>
      <w:r w:rsidR="00916E5E" w:rsidRPr="007C085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BF40" w14:textId="44CBDF68" w:rsidR="00F26E86" w:rsidRDefault="00F26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74B0" w14:textId="5C4679E3" w:rsidR="00F26E86" w:rsidRDefault="00F26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28B2" w14:textId="0ECF6113" w:rsidR="000F0B1D" w:rsidRDefault="00F87861"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6704" behindDoc="0" locked="0" layoutInCell="1" allowOverlap="1" wp14:anchorId="24D24C1E" wp14:editId="32BED040">
          <wp:simplePos x="0" y="0"/>
          <wp:positionH relativeFrom="column">
            <wp:posOffset>5310505</wp:posOffset>
          </wp:positionH>
          <wp:positionV relativeFrom="paragraph">
            <wp:posOffset>-454660</wp:posOffset>
          </wp:positionV>
          <wp:extent cx="1548000" cy="10671810"/>
          <wp:effectExtent l="0" t="0" r="1905" b="0"/>
          <wp:wrapNone/>
          <wp:docPr id="8"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1067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DE452" w14:textId="77777777" w:rsidR="000F0B1D" w:rsidRDefault="00065EA0"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7728" behindDoc="1" locked="0" layoutInCell="1" allowOverlap="1" wp14:anchorId="5D47E750" wp14:editId="2A81CD84">
          <wp:simplePos x="0" y="0"/>
          <wp:positionH relativeFrom="column">
            <wp:posOffset>19050</wp:posOffset>
          </wp:positionH>
          <wp:positionV relativeFrom="paragraph">
            <wp:posOffset>2540</wp:posOffset>
          </wp:positionV>
          <wp:extent cx="1480820" cy="683895"/>
          <wp:effectExtent l="0" t="0" r="5080" b="1905"/>
          <wp:wrapThrough wrapText="bothSides">
            <wp:wrapPolygon edited="0">
              <wp:start x="1297" y="0"/>
              <wp:lineTo x="0" y="2808"/>
              <wp:lineTo x="0" y="21259"/>
              <wp:lineTo x="21489" y="21259"/>
              <wp:lineTo x="21489" y="14039"/>
              <wp:lineTo x="17784" y="11632"/>
              <wp:lineTo x="18154" y="7621"/>
              <wp:lineTo x="15190" y="6418"/>
              <wp:lineTo x="17228" y="4011"/>
              <wp:lineTo x="17969" y="1604"/>
              <wp:lineTo x="17043" y="0"/>
              <wp:lineTo x="1297"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CE55A" w14:textId="77777777" w:rsidR="000F0B1D" w:rsidRDefault="000F0B1D" w:rsidP="000F0B1D">
    <w:pPr>
      <w:pStyle w:val="Header"/>
      <w:tabs>
        <w:tab w:val="clear" w:pos="4513"/>
        <w:tab w:val="clear" w:pos="9026"/>
        <w:tab w:val="left" w:pos="6946"/>
      </w:tabs>
      <w:spacing w:after="180"/>
      <w:rPr>
        <w:color w:val="7F7F7F"/>
        <w:sz w:val="26"/>
        <w:szCs w:val="26"/>
      </w:rPr>
    </w:pPr>
  </w:p>
  <w:p w14:paraId="3B374CB7" w14:textId="77777777" w:rsidR="000F0B1D" w:rsidRPr="00EF06C1" w:rsidRDefault="000F0B1D" w:rsidP="000F0B1D">
    <w:pPr>
      <w:pStyle w:val="Header"/>
      <w:tabs>
        <w:tab w:val="clear" w:pos="4513"/>
        <w:tab w:val="clear" w:pos="9026"/>
        <w:tab w:val="left" w:pos="6946"/>
      </w:tabs>
      <w:spacing w:after="180"/>
      <w:rPr>
        <w:color w:val="7F7F7F"/>
        <w:sz w:val="26"/>
        <w:szCs w:val="26"/>
      </w:rPr>
    </w:pPr>
  </w:p>
  <w:p w14:paraId="5386E9F6" w14:textId="77777777" w:rsidR="000F0B1D" w:rsidRDefault="000F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32B"/>
    <w:multiLevelType w:val="hybridMultilevel"/>
    <w:tmpl w:val="C4D24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35994"/>
    <w:multiLevelType w:val="hybridMultilevel"/>
    <w:tmpl w:val="77846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10703"/>
    <w:multiLevelType w:val="hybridMultilevel"/>
    <w:tmpl w:val="5A36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F2E22"/>
    <w:multiLevelType w:val="hybridMultilevel"/>
    <w:tmpl w:val="2DBA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368BA"/>
    <w:multiLevelType w:val="multilevel"/>
    <w:tmpl w:val="0688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30FA7"/>
    <w:multiLevelType w:val="multilevel"/>
    <w:tmpl w:val="5B0C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2D1126"/>
    <w:multiLevelType w:val="hybridMultilevel"/>
    <w:tmpl w:val="447A6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C213A"/>
    <w:multiLevelType w:val="hybridMultilevel"/>
    <w:tmpl w:val="B344D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017BEF"/>
    <w:multiLevelType w:val="hybridMultilevel"/>
    <w:tmpl w:val="9F0A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93775"/>
    <w:multiLevelType w:val="multilevel"/>
    <w:tmpl w:val="81A4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4349E6"/>
    <w:multiLevelType w:val="hybridMultilevel"/>
    <w:tmpl w:val="8780A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25376"/>
    <w:multiLevelType w:val="multilevel"/>
    <w:tmpl w:val="B3729A46"/>
    <w:styleLink w:val="111111"/>
    <w:lvl w:ilvl="0">
      <w:start w:val="1"/>
      <w:numFmt w:val="decimal"/>
      <w:suff w:val="space"/>
      <w:lvlText w:val="%1."/>
      <w:lvlJc w:val="left"/>
      <w:pPr>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2F12FD"/>
    <w:multiLevelType w:val="multilevel"/>
    <w:tmpl w:val="0809001D"/>
    <w:numStyleLink w:val="OVICbullet"/>
  </w:abstractNum>
  <w:abstractNum w:abstractNumId="13" w15:restartNumberingAfterBreak="0">
    <w:nsid w:val="2B687E4C"/>
    <w:multiLevelType w:val="hybridMultilevel"/>
    <w:tmpl w:val="130E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374AA"/>
    <w:multiLevelType w:val="hybridMultilevel"/>
    <w:tmpl w:val="8C3A3092"/>
    <w:lvl w:ilvl="0" w:tplc="E822FA12">
      <w:start w:val="1"/>
      <w:numFmt w:val="decimal"/>
      <w:pStyle w:val="7SectionL1"/>
      <w:lvlText w:val="(%1)"/>
      <w:lvlJc w:val="left"/>
      <w:pPr>
        <w:ind w:left="720" w:hanging="360"/>
      </w:pPr>
      <w:rPr>
        <w:rFonts w:hint="default"/>
      </w:rPr>
    </w:lvl>
    <w:lvl w:ilvl="1" w:tplc="80A8199C">
      <w:start w:val="1"/>
      <w:numFmt w:val="lowerLetter"/>
      <w:lvlText w:val="(%2)"/>
      <w:lvlJc w:val="left"/>
      <w:pPr>
        <w:ind w:left="1440" w:hanging="360"/>
      </w:pPr>
      <w:rPr>
        <w:rFonts w:hint="default"/>
      </w:rPr>
    </w:lvl>
    <w:lvl w:ilvl="2" w:tplc="B4BE677A">
      <w:start w:val="1"/>
      <w:numFmt w:val="lowerRoman"/>
      <w:pStyle w:val="9SectionL3"/>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AD561E"/>
    <w:multiLevelType w:val="hybridMultilevel"/>
    <w:tmpl w:val="003E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93CED"/>
    <w:multiLevelType w:val="hybridMultilevel"/>
    <w:tmpl w:val="15049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8E0D0C"/>
    <w:multiLevelType w:val="hybridMultilevel"/>
    <w:tmpl w:val="7822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974EBC"/>
    <w:multiLevelType w:val="hybridMultilevel"/>
    <w:tmpl w:val="A078A98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2" w15:restartNumberingAfterBreak="0">
    <w:nsid w:val="437D5600"/>
    <w:multiLevelType w:val="hybridMultilevel"/>
    <w:tmpl w:val="FEF8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722CF"/>
    <w:multiLevelType w:val="hybridMultilevel"/>
    <w:tmpl w:val="5124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A2A1F"/>
    <w:multiLevelType w:val="multilevel"/>
    <w:tmpl w:val="3BA699FA"/>
    <w:numStyleLink w:val="1ai"/>
  </w:abstractNum>
  <w:abstractNum w:abstractNumId="25" w15:restartNumberingAfterBreak="0">
    <w:nsid w:val="4AA97C7B"/>
    <w:multiLevelType w:val="hybridMultilevel"/>
    <w:tmpl w:val="82B4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357869"/>
    <w:multiLevelType w:val="hybridMultilevel"/>
    <w:tmpl w:val="3404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52618"/>
    <w:multiLevelType w:val="hybridMultilevel"/>
    <w:tmpl w:val="563248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3A3C03"/>
    <w:multiLevelType w:val="hybridMultilevel"/>
    <w:tmpl w:val="DF00A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6C5116"/>
    <w:multiLevelType w:val="hybridMultilevel"/>
    <w:tmpl w:val="1C38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EF0499"/>
    <w:multiLevelType w:val="hybridMultilevel"/>
    <w:tmpl w:val="42E4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A61AE"/>
    <w:multiLevelType w:val="multilevel"/>
    <w:tmpl w:val="576C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E20634"/>
    <w:multiLevelType w:val="multilevel"/>
    <w:tmpl w:val="49BAB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3C2D60"/>
    <w:multiLevelType w:val="hybridMultilevel"/>
    <w:tmpl w:val="F5403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2F2FDD"/>
    <w:multiLevelType w:val="hybridMultilevel"/>
    <w:tmpl w:val="D2C09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DA5AE6"/>
    <w:multiLevelType w:val="multilevel"/>
    <w:tmpl w:val="0809001D"/>
    <w:styleLink w:val="OVICbullet"/>
    <w:lvl w:ilvl="0">
      <w:numFmt w:val="bullet"/>
      <w:pStyle w:val="4BulletL1"/>
      <w:lvlText w:val=""/>
      <w:lvlJc w:val="left"/>
      <w:pPr>
        <w:ind w:left="360" w:hanging="360"/>
      </w:pPr>
      <w:rPr>
        <w:rFonts w:ascii="Symbol" w:hAnsi="Symbol" w:hint="default"/>
        <w:sz w:val="15"/>
      </w:rPr>
    </w:lvl>
    <w:lvl w:ilvl="1">
      <w:start w:val="1"/>
      <w:numFmt w:val="bullet"/>
      <w:pStyle w:val="5BulletL2"/>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6E32637"/>
    <w:multiLevelType w:val="hybridMultilevel"/>
    <w:tmpl w:val="7F80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151D8"/>
    <w:multiLevelType w:val="hybridMultilevel"/>
    <w:tmpl w:val="25D6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11"/>
  </w:num>
  <w:num w:numId="4">
    <w:abstractNumId w:val="20"/>
  </w:num>
  <w:num w:numId="5">
    <w:abstractNumId w:val="16"/>
  </w:num>
  <w:num w:numId="6">
    <w:abstractNumId w:val="15"/>
  </w:num>
  <w:num w:numId="7">
    <w:abstractNumId w:val="24"/>
  </w:num>
  <w:num w:numId="8">
    <w:abstractNumId w:val="14"/>
  </w:num>
  <w:num w:numId="9">
    <w:abstractNumId w:val="30"/>
  </w:num>
  <w:num w:numId="10">
    <w:abstractNumId w:val="19"/>
  </w:num>
  <w:num w:numId="11">
    <w:abstractNumId w:val="2"/>
  </w:num>
  <w:num w:numId="12">
    <w:abstractNumId w:val="0"/>
  </w:num>
  <w:num w:numId="13">
    <w:abstractNumId w:val="21"/>
  </w:num>
  <w:num w:numId="14">
    <w:abstractNumId w:val="1"/>
  </w:num>
  <w:num w:numId="15">
    <w:abstractNumId w:val="23"/>
  </w:num>
  <w:num w:numId="16">
    <w:abstractNumId w:val="10"/>
  </w:num>
  <w:num w:numId="17">
    <w:abstractNumId w:val="37"/>
  </w:num>
  <w:num w:numId="18">
    <w:abstractNumId w:val="22"/>
  </w:num>
  <w:num w:numId="19">
    <w:abstractNumId w:val="34"/>
  </w:num>
  <w:num w:numId="20">
    <w:abstractNumId w:val="27"/>
  </w:num>
  <w:num w:numId="21">
    <w:abstractNumId w:val="26"/>
  </w:num>
  <w:num w:numId="22">
    <w:abstractNumId w:val="31"/>
  </w:num>
  <w:num w:numId="23">
    <w:abstractNumId w:val="32"/>
  </w:num>
  <w:num w:numId="24">
    <w:abstractNumId w:val="13"/>
  </w:num>
  <w:num w:numId="25">
    <w:abstractNumId w:val="25"/>
  </w:num>
  <w:num w:numId="26">
    <w:abstractNumId w:val="8"/>
  </w:num>
  <w:num w:numId="27">
    <w:abstractNumId w:val="17"/>
  </w:num>
  <w:num w:numId="28">
    <w:abstractNumId w:val="36"/>
  </w:num>
  <w:num w:numId="29">
    <w:abstractNumId w:val="29"/>
  </w:num>
  <w:num w:numId="30">
    <w:abstractNumId w:val="5"/>
  </w:num>
  <w:num w:numId="31">
    <w:abstractNumId w:val="9"/>
  </w:num>
  <w:num w:numId="32">
    <w:abstractNumId w:val="4"/>
  </w:num>
  <w:num w:numId="33">
    <w:abstractNumId w:val="7"/>
  </w:num>
  <w:num w:numId="34">
    <w:abstractNumId w:val="18"/>
  </w:num>
  <w:num w:numId="35">
    <w:abstractNumId w:val="28"/>
  </w:num>
  <w:num w:numId="36">
    <w:abstractNumId w:val="33"/>
  </w:num>
  <w:num w:numId="37">
    <w:abstractNumId w:val="6"/>
  </w:num>
  <w:num w:numId="3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51"/>
    <w:rsid w:val="000002FF"/>
    <w:rsid w:val="00000A0D"/>
    <w:rsid w:val="00002130"/>
    <w:rsid w:val="000032F9"/>
    <w:rsid w:val="000035B1"/>
    <w:rsid w:val="00003F82"/>
    <w:rsid w:val="0000420C"/>
    <w:rsid w:val="00004372"/>
    <w:rsid w:val="0000576C"/>
    <w:rsid w:val="00005C86"/>
    <w:rsid w:val="00006BC0"/>
    <w:rsid w:val="000073CA"/>
    <w:rsid w:val="00010ED9"/>
    <w:rsid w:val="000131CE"/>
    <w:rsid w:val="00013ABD"/>
    <w:rsid w:val="000141D7"/>
    <w:rsid w:val="00014D93"/>
    <w:rsid w:val="00016408"/>
    <w:rsid w:val="000203E9"/>
    <w:rsid w:val="000210BF"/>
    <w:rsid w:val="0002162F"/>
    <w:rsid w:val="000242DA"/>
    <w:rsid w:val="000247C3"/>
    <w:rsid w:val="00024959"/>
    <w:rsid w:val="00024B2A"/>
    <w:rsid w:val="00026C2D"/>
    <w:rsid w:val="00027C39"/>
    <w:rsid w:val="00032476"/>
    <w:rsid w:val="000326D4"/>
    <w:rsid w:val="0003362C"/>
    <w:rsid w:val="00033773"/>
    <w:rsid w:val="00033B3A"/>
    <w:rsid w:val="00034877"/>
    <w:rsid w:val="0003581D"/>
    <w:rsid w:val="00036233"/>
    <w:rsid w:val="000411CE"/>
    <w:rsid w:val="00041CA5"/>
    <w:rsid w:val="00043443"/>
    <w:rsid w:val="00043BC5"/>
    <w:rsid w:val="00044FBE"/>
    <w:rsid w:val="00047828"/>
    <w:rsid w:val="000479FD"/>
    <w:rsid w:val="0005010E"/>
    <w:rsid w:val="00051C70"/>
    <w:rsid w:val="0005292F"/>
    <w:rsid w:val="00056EDF"/>
    <w:rsid w:val="000603DC"/>
    <w:rsid w:val="0006368D"/>
    <w:rsid w:val="000658C7"/>
    <w:rsid w:val="00065EA0"/>
    <w:rsid w:val="00066047"/>
    <w:rsid w:val="00066437"/>
    <w:rsid w:val="00067365"/>
    <w:rsid w:val="00067ACF"/>
    <w:rsid w:val="00070249"/>
    <w:rsid w:val="00071067"/>
    <w:rsid w:val="00071A62"/>
    <w:rsid w:val="00071D72"/>
    <w:rsid w:val="00074389"/>
    <w:rsid w:val="0007485C"/>
    <w:rsid w:val="000748DB"/>
    <w:rsid w:val="00074A73"/>
    <w:rsid w:val="00077117"/>
    <w:rsid w:val="00082191"/>
    <w:rsid w:val="0008237D"/>
    <w:rsid w:val="000829E6"/>
    <w:rsid w:val="000833C9"/>
    <w:rsid w:val="00084465"/>
    <w:rsid w:val="000850AF"/>
    <w:rsid w:val="00085ED4"/>
    <w:rsid w:val="00086354"/>
    <w:rsid w:val="00086552"/>
    <w:rsid w:val="000879AF"/>
    <w:rsid w:val="00090A3B"/>
    <w:rsid w:val="000930A2"/>
    <w:rsid w:val="000937B5"/>
    <w:rsid w:val="000948A0"/>
    <w:rsid w:val="000951A1"/>
    <w:rsid w:val="00095A8A"/>
    <w:rsid w:val="00095BD1"/>
    <w:rsid w:val="00097344"/>
    <w:rsid w:val="000A15C5"/>
    <w:rsid w:val="000A1A62"/>
    <w:rsid w:val="000A230E"/>
    <w:rsid w:val="000A440F"/>
    <w:rsid w:val="000A4482"/>
    <w:rsid w:val="000A5607"/>
    <w:rsid w:val="000A586E"/>
    <w:rsid w:val="000A58B6"/>
    <w:rsid w:val="000A638E"/>
    <w:rsid w:val="000A7A05"/>
    <w:rsid w:val="000B07CD"/>
    <w:rsid w:val="000B0CE7"/>
    <w:rsid w:val="000B232F"/>
    <w:rsid w:val="000B3EA6"/>
    <w:rsid w:val="000B44CC"/>
    <w:rsid w:val="000B45CB"/>
    <w:rsid w:val="000B72F4"/>
    <w:rsid w:val="000B75F1"/>
    <w:rsid w:val="000C001A"/>
    <w:rsid w:val="000C0860"/>
    <w:rsid w:val="000C0A0C"/>
    <w:rsid w:val="000C198A"/>
    <w:rsid w:val="000C2A42"/>
    <w:rsid w:val="000C2BEF"/>
    <w:rsid w:val="000C2D2B"/>
    <w:rsid w:val="000C5C30"/>
    <w:rsid w:val="000C624A"/>
    <w:rsid w:val="000C6593"/>
    <w:rsid w:val="000C6F49"/>
    <w:rsid w:val="000C7BE6"/>
    <w:rsid w:val="000D24B4"/>
    <w:rsid w:val="000D2749"/>
    <w:rsid w:val="000D32F5"/>
    <w:rsid w:val="000D437A"/>
    <w:rsid w:val="000D5898"/>
    <w:rsid w:val="000D70AE"/>
    <w:rsid w:val="000E1080"/>
    <w:rsid w:val="000E1F81"/>
    <w:rsid w:val="000E2345"/>
    <w:rsid w:val="000E2BE8"/>
    <w:rsid w:val="000E3A7B"/>
    <w:rsid w:val="000E3DC4"/>
    <w:rsid w:val="000E5117"/>
    <w:rsid w:val="000E62AF"/>
    <w:rsid w:val="000E6E36"/>
    <w:rsid w:val="000E7835"/>
    <w:rsid w:val="000F0B1D"/>
    <w:rsid w:val="000F253B"/>
    <w:rsid w:val="000F2B5F"/>
    <w:rsid w:val="000F5825"/>
    <w:rsid w:val="000F68D0"/>
    <w:rsid w:val="000F7390"/>
    <w:rsid w:val="000F73B5"/>
    <w:rsid w:val="00101D28"/>
    <w:rsid w:val="00103030"/>
    <w:rsid w:val="001034C5"/>
    <w:rsid w:val="001044AE"/>
    <w:rsid w:val="00105FBA"/>
    <w:rsid w:val="0010637C"/>
    <w:rsid w:val="001103CA"/>
    <w:rsid w:val="00111600"/>
    <w:rsid w:val="00111F97"/>
    <w:rsid w:val="001123E1"/>
    <w:rsid w:val="001141C4"/>
    <w:rsid w:val="001145E7"/>
    <w:rsid w:val="001149F1"/>
    <w:rsid w:val="001159FB"/>
    <w:rsid w:val="001169B3"/>
    <w:rsid w:val="001172D4"/>
    <w:rsid w:val="001176A2"/>
    <w:rsid w:val="00120727"/>
    <w:rsid w:val="00121276"/>
    <w:rsid w:val="001222CB"/>
    <w:rsid w:val="0012288A"/>
    <w:rsid w:val="0012402A"/>
    <w:rsid w:val="00124E6A"/>
    <w:rsid w:val="0012631E"/>
    <w:rsid w:val="00126672"/>
    <w:rsid w:val="00126A18"/>
    <w:rsid w:val="00130D9E"/>
    <w:rsid w:val="00130F30"/>
    <w:rsid w:val="0013185E"/>
    <w:rsid w:val="001332E8"/>
    <w:rsid w:val="00134752"/>
    <w:rsid w:val="00134F31"/>
    <w:rsid w:val="00136BED"/>
    <w:rsid w:val="001370F5"/>
    <w:rsid w:val="001372B2"/>
    <w:rsid w:val="0014005A"/>
    <w:rsid w:val="001405D6"/>
    <w:rsid w:val="00142BCA"/>
    <w:rsid w:val="001471B0"/>
    <w:rsid w:val="00150B83"/>
    <w:rsid w:val="00150CAD"/>
    <w:rsid w:val="0015223E"/>
    <w:rsid w:val="001533DE"/>
    <w:rsid w:val="001548BD"/>
    <w:rsid w:val="00154E48"/>
    <w:rsid w:val="001562FA"/>
    <w:rsid w:val="0015664A"/>
    <w:rsid w:val="00162EAA"/>
    <w:rsid w:val="00163C37"/>
    <w:rsid w:val="00163E4E"/>
    <w:rsid w:val="00164037"/>
    <w:rsid w:val="001645E2"/>
    <w:rsid w:val="001664BF"/>
    <w:rsid w:val="00166D72"/>
    <w:rsid w:val="00167C0D"/>
    <w:rsid w:val="001713A5"/>
    <w:rsid w:val="00171CD4"/>
    <w:rsid w:val="0017237F"/>
    <w:rsid w:val="00173120"/>
    <w:rsid w:val="00174D67"/>
    <w:rsid w:val="00175142"/>
    <w:rsid w:val="001752D4"/>
    <w:rsid w:val="001756AE"/>
    <w:rsid w:val="001756DE"/>
    <w:rsid w:val="00175900"/>
    <w:rsid w:val="00176D9B"/>
    <w:rsid w:val="001776F2"/>
    <w:rsid w:val="00177C96"/>
    <w:rsid w:val="00181933"/>
    <w:rsid w:val="00183AA5"/>
    <w:rsid w:val="001847D3"/>
    <w:rsid w:val="0018515A"/>
    <w:rsid w:val="00185330"/>
    <w:rsid w:val="00186BBC"/>
    <w:rsid w:val="00187704"/>
    <w:rsid w:val="001923C2"/>
    <w:rsid w:val="00193D33"/>
    <w:rsid w:val="0019764C"/>
    <w:rsid w:val="001A1007"/>
    <w:rsid w:val="001A1093"/>
    <w:rsid w:val="001A1105"/>
    <w:rsid w:val="001A114F"/>
    <w:rsid w:val="001A341F"/>
    <w:rsid w:val="001A394D"/>
    <w:rsid w:val="001A3AD7"/>
    <w:rsid w:val="001A4C9F"/>
    <w:rsid w:val="001A5A01"/>
    <w:rsid w:val="001A7E16"/>
    <w:rsid w:val="001B03B2"/>
    <w:rsid w:val="001B0802"/>
    <w:rsid w:val="001B24EE"/>
    <w:rsid w:val="001B2AAF"/>
    <w:rsid w:val="001B3C72"/>
    <w:rsid w:val="001B53F0"/>
    <w:rsid w:val="001B66F3"/>
    <w:rsid w:val="001B6723"/>
    <w:rsid w:val="001B6C0C"/>
    <w:rsid w:val="001C2591"/>
    <w:rsid w:val="001C2A42"/>
    <w:rsid w:val="001C2D43"/>
    <w:rsid w:val="001C3756"/>
    <w:rsid w:val="001C3811"/>
    <w:rsid w:val="001C4CAF"/>
    <w:rsid w:val="001C5D0F"/>
    <w:rsid w:val="001C5EE3"/>
    <w:rsid w:val="001C676E"/>
    <w:rsid w:val="001C6928"/>
    <w:rsid w:val="001D1D2A"/>
    <w:rsid w:val="001D22FA"/>
    <w:rsid w:val="001D6F9A"/>
    <w:rsid w:val="001E18F7"/>
    <w:rsid w:val="001E2EFF"/>
    <w:rsid w:val="001E38DD"/>
    <w:rsid w:val="001E5AB6"/>
    <w:rsid w:val="001E718B"/>
    <w:rsid w:val="001F122F"/>
    <w:rsid w:val="001F154A"/>
    <w:rsid w:val="001F1D31"/>
    <w:rsid w:val="001F1F48"/>
    <w:rsid w:val="001F3978"/>
    <w:rsid w:val="001F48DA"/>
    <w:rsid w:val="001F7E4C"/>
    <w:rsid w:val="001F7EC7"/>
    <w:rsid w:val="001F7F54"/>
    <w:rsid w:val="00201CB9"/>
    <w:rsid w:val="00202759"/>
    <w:rsid w:val="00204FFF"/>
    <w:rsid w:val="00210180"/>
    <w:rsid w:val="00210DBF"/>
    <w:rsid w:val="002113FF"/>
    <w:rsid w:val="002114C1"/>
    <w:rsid w:val="002125E9"/>
    <w:rsid w:val="00212C48"/>
    <w:rsid w:val="00213F42"/>
    <w:rsid w:val="00216179"/>
    <w:rsid w:val="00216A15"/>
    <w:rsid w:val="00217513"/>
    <w:rsid w:val="00220B67"/>
    <w:rsid w:val="00221567"/>
    <w:rsid w:val="00222AB6"/>
    <w:rsid w:val="002231C3"/>
    <w:rsid w:val="002236BD"/>
    <w:rsid w:val="00223EF6"/>
    <w:rsid w:val="002241E8"/>
    <w:rsid w:val="002249A5"/>
    <w:rsid w:val="00225984"/>
    <w:rsid w:val="002275E0"/>
    <w:rsid w:val="002305D3"/>
    <w:rsid w:val="0023276A"/>
    <w:rsid w:val="00232DEF"/>
    <w:rsid w:val="00233F01"/>
    <w:rsid w:val="00234C6C"/>
    <w:rsid w:val="00234D13"/>
    <w:rsid w:val="00236757"/>
    <w:rsid w:val="00237510"/>
    <w:rsid w:val="002377BC"/>
    <w:rsid w:val="002412D7"/>
    <w:rsid w:val="00242B3E"/>
    <w:rsid w:val="00243FAB"/>
    <w:rsid w:val="002440F5"/>
    <w:rsid w:val="002452F5"/>
    <w:rsid w:val="00250152"/>
    <w:rsid w:val="00250A35"/>
    <w:rsid w:val="002525FD"/>
    <w:rsid w:val="002543EF"/>
    <w:rsid w:val="002555BD"/>
    <w:rsid w:val="00255C9A"/>
    <w:rsid w:val="0025615C"/>
    <w:rsid w:val="00256991"/>
    <w:rsid w:val="00256C06"/>
    <w:rsid w:val="002578B5"/>
    <w:rsid w:val="00260AA6"/>
    <w:rsid w:val="00262A93"/>
    <w:rsid w:val="00263041"/>
    <w:rsid w:val="00265E1C"/>
    <w:rsid w:val="0027115B"/>
    <w:rsid w:val="00272693"/>
    <w:rsid w:val="00272E60"/>
    <w:rsid w:val="00272F6D"/>
    <w:rsid w:val="00275C21"/>
    <w:rsid w:val="00275F15"/>
    <w:rsid w:val="00276637"/>
    <w:rsid w:val="00276ED6"/>
    <w:rsid w:val="002835B0"/>
    <w:rsid w:val="00284B0A"/>
    <w:rsid w:val="00286E69"/>
    <w:rsid w:val="00287A67"/>
    <w:rsid w:val="00290581"/>
    <w:rsid w:val="002907FD"/>
    <w:rsid w:val="00290AB6"/>
    <w:rsid w:val="002916E1"/>
    <w:rsid w:val="00294B16"/>
    <w:rsid w:val="00294BB4"/>
    <w:rsid w:val="00294C8B"/>
    <w:rsid w:val="00294DFB"/>
    <w:rsid w:val="00295E0C"/>
    <w:rsid w:val="00296022"/>
    <w:rsid w:val="00296046"/>
    <w:rsid w:val="002964DB"/>
    <w:rsid w:val="00296983"/>
    <w:rsid w:val="002A2164"/>
    <w:rsid w:val="002A352A"/>
    <w:rsid w:val="002A3B96"/>
    <w:rsid w:val="002A4284"/>
    <w:rsid w:val="002A5A6A"/>
    <w:rsid w:val="002A7822"/>
    <w:rsid w:val="002B17A3"/>
    <w:rsid w:val="002B223B"/>
    <w:rsid w:val="002B6AB0"/>
    <w:rsid w:val="002C32A1"/>
    <w:rsid w:val="002C3601"/>
    <w:rsid w:val="002C3C46"/>
    <w:rsid w:val="002D2061"/>
    <w:rsid w:val="002D2F07"/>
    <w:rsid w:val="002D35AB"/>
    <w:rsid w:val="002D3A93"/>
    <w:rsid w:val="002D3F40"/>
    <w:rsid w:val="002D4171"/>
    <w:rsid w:val="002D462C"/>
    <w:rsid w:val="002D5D1F"/>
    <w:rsid w:val="002D693E"/>
    <w:rsid w:val="002D7D76"/>
    <w:rsid w:val="002E017E"/>
    <w:rsid w:val="002E1775"/>
    <w:rsid w:val="002E1B0E"/>
    <w:rsid w:val="002E24FE"/>
    <w:rsid w:val="002F1E99"/>
    <w:rsid w:val="002F276F"/>
    <w:rsid w:val="002F3102"/>
    <w:rsid w:val="002F3554"/>
    <w:rsid w:val="002F6CD4"/>
    <w:rsid w:val="0030094D"/>
    <w:rsid w:val="0030127D"/>
    <w:rsid w:val="003021F9"/>
    <w:rsid w:val="003028E2"/>
    <w:rsid w:val="003029F3"/>
    <w:rsid w:val="00307372"/>
    <w:rsid w:val="00307456"/>
    <w:rsid w:val="003108BF"/>
    <w:rsid w:val="00311057"/>
    <w:rsid w:val="00311C34"/>
    <w:rsid w:val="00313514"/>
    <w:rsid w:val="0031578D"/>
    <w:rsid w:val="0031637E"/>
    <w:rsid w:val="00320A31"/>
    <w:rsid w:val="00321E41"/>
    <w:rsid w:val="0032515B"/>
    <w:rsid w:val="00325AAD"/>
    <w:rsid w:val="0032633C"/>
    <w:rsid w:val="00327D26"/>
    <w:rsid w:val="0033085D"/>
    <w:rsid w:val="0033347A"/>
    <w:rsid w:val="00333D69"/>
    <w:rsid w:val="0033402C"/>
    <w:rsid w:val="00334B38"/>
    <w:rsid w:val="00336FEB"/>
    <w:rsid w:val="003377F9"/>
    <w:rsid w:val="00341706"/>
    <w:rsid w:val="003439E9"/>
    <w:rsid w:val="003450C1"/>
    <w:rsid w:val="003534E4"/>
    <w:rsid w:val="00354BE3"/>
    <w:rsid w:val="00355FF4"/>
    <w:rsid w:val="0035704F"/>
    <w:rsid w:val="0035734B"/>
    <w:rsid w:val="003579BD"/>
    <w:rsid w:val="0036231A"/>
    <w:rsid w:val="00362388"/>
    <w:rsid w:val="00362CFD"/>
    <w:rsid w:val="00362FF0"/>
    <w:rsid w:val="0036305C"/>
    <w:rsid w:val="00366493"/>
    <w:rsid w:val="003669D8"/>
    <w:rsid w:val="00366B29"/>
    <w:rsid w:val="00366FFF"/>
    <w:rsid w:val="00367559"/>
    <w:rsid w:val="00370B3D"/>
    <w:rsid w:val="0037133D"/>
    <w:rsid w:val="0037202B"/>
    <w:rsid w:val="003721D1"/>
    <w:rsid w:val="00372D4C"/>
    <w:rsid w:val="00373F52"/>
    <w:rsid w:val="00374FB7"/>
    <w:rsid w:val="0037593A"/>
    <w:rsid w:val="00381EAA"/>
    <w:rsid w:val="00382086"/>
    <w:rsid w:val="00382B93"/>
    <w:rsid w:val="00382C5C"/>
    <w:rsid w:val="003831AA"/>
    <w:rsid w:val="00384BB7"/>
    <w:rsid w:val="00384F25"/>
    <w:rsid w:val="00384FFC"/>
    <w:rsid w:val="003858CA"/>
    <w:rsid w:val="003905C8"/>
    <w:rsid w:val="003914E2"/>
    <w:rsid w:val="00392010"/>
    <w:rsid w:val="003921AD"/>
    <w:rsid w:val="003952FB"/>
    <w:rsid w:val="00396D8F"/>
    <w:rsid w:val="00396EE3"/>
    <w:rsid w:val="003971B7"/>
    <w:rsid w:val="00397205"/>
    <w:rsid w:val="003977E7"/>
    <w:rsid w:val="003978DB"/>
    <w:rsid w:val="003A0519"/>
    <w:rsid w:val="003A080D"/>
    <w:rsid w:val="003A0AD5"/>
    <w:rsid w:val="003A37AF"/>
    <w:rsid w:val="003A3BD5"/>
    <w:rsid w:val="003A44AF"/>
    <w:rsid w:val="003A4B7F"/>
    <w:rsid w:val="003A5B0E"/>
    <w:rsid w:val="003A615F"/>
    <w:rsid w:val="003A697E"/>
    <w:rsid w:val="003A77FE"/>
    <w:rsid w:val="003A792B"/>
    <w:rsid w:val="003A7ADB"/>
    <w:rsid w:val="003A7E14"/>
    <w:rsid w:val="003B14BA"/>
    <w:rsid w:val="003B2059"/>
    <w:rsid w:val="003B2712"/>
    <w:rsid w:val="003B3641"/>
    <w:rsid w:val="003B4184"/>
    <w:rsid w:val="003B7742"/>
    <w:rsid w:val="003C011B"/>
    <w:rsid w:val="003C03A9"/>
    <w:rsid w:val="003C08A8"/>
    <w:rsid w:val="003C1BAD"/>
    <w:rsid w:val="003C55E0"/>
    <w:rsid w:val="003C77C9"/>
    <w:rsid w:val="003C79FA"/>
    <w:rsid w:val="003C7F17"/>
    <w:rsid w:val="003D049D"/>
    <w:rsid w:val="003D0A10"/>
    <w:rsid w:val="003D184A"/>
    <w:rsid w:val="003D1A75"/>
    <w:rsid w:val="003D3702"/>
    <w:rsid w:val="003D3C13"/>
    <w:rsid w:val="003D411B"/>
    <w:rsid w:val="003D4734"/>
    <w:rsid w:val="003D4820"/>
    <w:rsid w:val="003D584D"/>
    <w:rsid w:val="003D7787"/>
    <w:rsid w:val="003D796B"/>
    <w:rsid w:val="003E01A2"/>
    <w:rsid w:val="003E05FE"/>
    <w:rsid w:val="003E0C45"/>
    <w:rsid w:val="003E1389"/>
    <w:rsid w:val="003E3157"/>
    <w:rsid w:val="003E5448"/>
    <w:rsid w:val="003E5ADC"/>
    <w:rsid w:val="003E7A11"/>
    <w:rsid w:val="003F13A0"/>
    <w:rsid w:val="003F401A"/>
    <w:rsid w:val="003F4C04"/>
    <w:rsid w:val="003F4D88"/>
    <w:rsid w:val="00400134"/>
    <w:rsid w:val="00402514"/>
    <w:rsid w:val="00402AD1"/>
    <w:rsid w:val="00403297"/>
    <w:rsid w:val="00404026"/>
    <w:rsid w:val="00404E7B"/>
    <w:rsid w:val="00407F4B"/>
    <w:rsid w:val="0041094A"/>
    <w:rsid w:val="00410DA6"/>
    <w:rsid w:val="0041289E"/>
    <w:rsid w:val="00413231"/>
    <w:rsid w:val="004134AF"/>
    <w:rsid w:val="004136A3"/>
    <w:rsid w:val="00414238"/>
    <w:rsid w:val="00415884"/>
    <w:rsid w:val="004164D2"/>
    <w:rsid w:val="004209D1"/>
    <w:rsid w:val="00420C89"/>
    <w:rsid w:val="00422074"/>
    <w:rsid w:val="00424348"/>
    <w:rsid w:val="00424591"/>
    <w:rsid w:val="004247FC"/>
    <w:rsid w:val="00424FEC"/>
    <w:rsid w:val="00425A8E"/>
    <w:rsid w:val="00425AE3"/>
    <w:rsid w:val="00425C41"/>
    <w:rsid w:val="004269EF"/>
    <w:rsid w:val="0042721A"/>
    <w:rsid w:val="004272A0"/>
    <w:rsid w:val="004274AC"/>
    <w:rsid w:val="00431216"/>
    <w:rsid w:val="00432F3E"/>
    <w:rsid w:val="004370BE"/>
    <w:rsid w:val="00437380"/>
    <w:rsid w:val="00437EDB"/>
    <w:rsid w:val="0044084E"/>
    <w:rsid w:val="00442756"/>
    <w:rsid w:val="00442B86"/>
    <w:rsid w:val="00445A00"/>
    <w:rsid w:val="00446C53"/>
    <w:rsid w:val="004511F8"/>
    <w:rsid w:val="004515D6"/>
    <w:rsid w:val="00452739"/>
    <w:rsid w:val="00453A45"/>
    <w:rsid w:val="00455458"/>
    <w:rsid w:val="00456E55"/>
    <w:rsid w:val="00460278"/>
    <w:rsid w:val="00464F79"/>
    <w:rsid w:val="00465AF6"/>
    <w:rsid w:val="0047093A"/>
    <w:rsid w:val="004713BC"/>
    <w:rsid w:val="00471DB9"/>
    <w:rsid w:val="00472FA8"/>
    <w:rsid w:val="00473C49"/>
    <w:rsid w:val="00473D26"/>
    <w:rsid w:val="00474AC8"/>
    <w:rsid w:val="00475166"/>
    <w:rsid w:val="0047618B"/>
    <w:rsid w:val="0047794C"/>
    <w:rsid w:val="00477C42"/>
    <w:rsid w:val="00477D3A"/>
    <w:rsid w:val="00477E3C"/>
    <w:rsid w:val="004820B2"/>
    <w:rsid w:val="00482190"/>
    <w:rsid w:val="00482A99"/>
    <w:rsid w:val="00483456"/>
    <w:rsid w:val="00484342"/>
    <w:rsid w:val="0048474D"/>
    <w:rsid w:val="00484F2E"/>
    <w:rsid w:val="00486313"/>
    <w:rsid w:val="0048771C"/>
    <w:rsid w:val="00490BA8"/>
    <w:rsid w:val="00490F2E"/>
    <w:rsid w:val="00492922"/>
    <w:rsid w:val="00493545"/>
    <w:rsid w:val="00493DD5"/>
    <w:rsid w:val="0049405A"/>
    <w:rsid w:val="00495EE7"/>
    <w:rsid w:val="00496069"/>
    <w:rsid w:val="004961D7"/>
    <w:rsid w:val="0049631B"/>
    <w:rsid w:val="00496631"/>
    <w:rsid w:val="004968C6"/>
    <w:rsid w:val="004A2F38"/>
    <w:rsid w:val="004A3456"/>
    <w:rsid w:val="004A461A"/>
    <w:rsid w:val="004A4E7D"/>
    <w:rsid w:val="004A6243"/>
    <w:rsid w:val="004A70DA"/>
    <w:rsid w:val="004B0C1B"/>
    <w:rsid w:val="004B4414"/>
    <w:rsid w:val="004B5169"/>
    <w:rsid w:val="004B651E"/>
    <w:rsid w:val="004B73EA"/>
    <w:rsid w:val="004C04FC"/>
    <w:rsid w:val="004C095E"/>
    <w:rsid w:val="004C0C1C"/>
    <w:rsid w:val="004C3C44"/>
    <w:rsid w:val="004C67FF"/>
    <w:rsid w:val="004C72DD"/>
    <w:rsid w:val="004D17E5"/>
    <w:rsid w:val="004D1B98"/>
    <w:rsid w:val="004D2024"/>
    <w:rsid w:val="004D289C"/>
    <w:rsid w:val="004D3905"/>
    <w:rsid w:val="004D437A"/>
    <w:rsid w:val="004D4B0F"/>
    <w:rsid w:val="004E153A"/>
    <w:rsid w:val="004E156B"/>
    <w:rsid w:val="004E16A2"/>
    <w:rsid w:val="004E1875"/>
    <w:rsid w:val="004E590F"/>
    <w:rsid w:val="004E5A57"/>
    <w:rsid w:val="004E67BE"/>
    <w:rsid w:val="004E6A76"/>
    <w:rsid w:val="004E6F5A"/>
    <w:rsid w:val="004E7002"/>
    <w:rsid w:val="004E71D3"/>
    <w:rsid w:val="004E79C4"/>
    <w:rsid w:val="004E7D5A"/>
    <w:rsid w:val="004E7DE6"/>
    <w:rsid w:val="004F0396"/>
    <w:rsid w:val="004F0C6E"/>
    <w:rsid w:val="004F1D78"/>
    <w:rsid w:val="004F2708"/>
    <w:rsid w:val="004F2C89"/>
    <w:rsid w:val="004F40E4"/>
    <w:rsid w:val="004F4673"/>
    <w:rsid w:val="004F4ED5"/>
    <w:rsid w:val="004F559B"/>
    <w:rsid w:val="004F6B67"/>
    <w:rsid w:val="004F6DF6"/>
    <w:rsid w:val="004F76BB"/>
    <w:rsid w:val="004F7E72"/>
    <w:rsid w:val="00500D67"/>
    <w:rsid w:val="00502831"/>
    <w:rsid w:val="00502B6E"/>
    <w:rsid w:val="00502E47"/>
    <w:rsid w:val="00503123"/>
    <w:rsid w:val="005034DD"/>
    <w:rsid w:val="00503C87"/>
    <w:rsid w:val="00503EA9"/>
    <w:rsid w:val="005047B3"/>
    <w:rsid w:val="00505260"/>
    <w:rsid w:val="00505F48"/>
    <w:rsid w:val="00507006"/>
    <w:rsid w:val="00507947"/>
    <w:rsid w:val="00507D15"/>
    <w:rsid w:val="00511417"/>
    <w:rsid w:val="00512A7C"/>
    <w:rsid w:val="005134B0"/>
    <w:rsid w:val="00516ED9"/>
    <w:rsid w:val="00517AB9"/>
    <w:rsid w:val="00517C5B"/>
    <w:rsid w:val="00521E3F"/>
    <w:rsid w:val="005226D3"/>
    <w:rsid w:val="00524467"/>
    <w:rsid w:val="005248F4"/>
    <w:rsid w:val="00525F1E"/>
    <w:rsid w:val="00526B47"/>
    <w:rsid w:val="00530110"/>
    <w:rsid w:val="005305F0"/>
    <w:rsid w:val="005308A5"/>
    <w:rsid w:val="005312D7"/>
    <w:rsid w:val="00531717"/>
    <w:rsid w:val="005317B9"/>
    <w:rsid w:val="00532D59"/>
    <w:rsid w:val="005340DA"/>
    <w:rsid w:val="00534105"/>
    <w:rsid w:val="0053491B"/>
    <w:rsid w:val="0053561F"/>
    <w:rsid w:val="00535A43"/>
    <w:rsid w:val="00537E5A"/>
    <w:rsid w:val="0054070B"/>
    <w:rsid w:val="0054226E"/>
    <w:rsid w:val="00543594"/>
    <w:rsid w:val="005435D9"/>
    <w:rsid w:val="005439CD"/>
    <w:rsid w:val="005452B8"/>
    <w:rsid w:val="00545C95"/>
    <w:rsid w:val="00547063"/>
    <w:rsid w:val="0054777B"/>
    <w:rsid w:val="0055022B"/>
    <w:rsid w:val="005502F0"/>
    <w:rsid w:val="005531DC"/>
    <w:rsid w:val="005539CB"/>
    <w:rsid w:val="005539DB"/>
    <w:rsid w:val="00555BE5"/>
    <w:rsid w:val="00556F15"/>
    <w:rsid w:val="0056030F"/>
    <w:rsid w:val="00562509"/>
    <w:rsid w:val="00563B3D"/>
    <w:rsid w:val="00563DD9"/>
    <w:rsid w:val="00564895"/>
    <w:rsid w:val="00564D9F"/>
    <w:rsid w:val="00565678"/>
    <w:rsid w:val="00565AF6"/>
    <w:rsid w:val="00566B02"/>
    <w:rsid w:val="00570016"/>
    <w:rsid w:val="00570FE1"/>
    <w:rsid w:val="00572A40"/>
    <w:rsid w:val="005740E0"/>
    <w:rsid w:val="00574EE3"/>
    <w:rsid w:val="00575379"/>
    <w:rsid w:val="00575D00"/>
    <w:rsid w:val="00576AF8"/>
    <w:rsid w:val="005771E8"/>
    <w:rsid w:val="00582DD0"/>
    <w:rsid w:val="0058435D"/>
    <w:rsid w:val="005847D3"/>
    <w:rsid w:val="005864A8"/>
    <w:rsid w:val="00586746"/>
    <w:rsid w:val="00586884"/>
    <w:rsid w:val="005869BE"/>
    <w:rsid w:val="00586B32"/>
    <w:rsid w:val="00587D5C"/>
    <w:rsid w:val="00590934"/>
    <w:rsid w:val="0059200F"/>
    <w:rsid w:val="00592D13"/>
    <w:rsid w:val="00594CEF"/>
    <w:rsid w:val="0059721F"/>
    <w:rsid w:val="005A2192"/>
    <w:rsid w:val="005A21AF"/>
    <w:rsid w:val="005A2D0D"/>
    <w:rsid w:val="005A3268"/>
    <w:rsid w:val="005A3AD2"/>
    <w:rsid w:val="005A6D22"/>
    <w:rsid w:val="005A7D54"/>
    <w:rsid w:val="005A7DA4"/>
    <w:rsid w:val="005A7FEE"/>
    <w:rsid w:val="005B0143"/>
    <w:rsid w:val="005B15AF"/>
    <w:rsid w:val="005B1A9A"/>
    <w:rsid w:val="005B1B9A"/>
    <w:rsid w:val="005B1DA2"/>
    <w:rsid w:val="005B3BC6"/>
    <w:rsid w:val="005B73F9"/>
    <w:rsid w:val="005C1221"/>
    <w:rsid w:val="005C17C0"/>
    <w:rsid w:val="005C4E86"/>
    <w:rsid w:val="005C6351"/>
    <w:rsid w:val="005C6CC6"/>
    <w:rsid w:val="005C7891"/>
    <w:rsid w:val="005C7E68"/>
    <w:rsid w:val="005D11B4"/>
    <w:rsid w:val="005D487E"/>
    <w:rsid w:val="005D63BD"/>
    <w:rsid w:val="005D6908"/>
    <w:rsid w:val="005D6F6D"/>
    <w:rsid w:val="005D7315"/>
    <w:rsid w:val="005E01AB"/>
    <w:rsid w:val="005E24C9"/>
    <w:rsid w:val="005E2A75"/>
    <w:rsid w:val="005E4065"/>
    <w:rsid w:val="005E456B"/>
    <w:rsid w:val="005E5C00"/>
    <w:rsid w:val="005F0266"/>
    <w:rsid w:val="005F0749"/>
    <w:rsid w:val="005F0907"/>
    <w:rsid w:val="005F20A8"/>
    <w:rsid w:val="005F2C09"/>
    <w:rsid w:val="005F439C"/>
    <w:rsid w:val="005F5DEB"/>
    <w:rsid w:val="005F767D"/>
    <w:rsid w:val="006008B9"/>
    <w:rsid w:val="006011CB"/>
    <w:rsid w:val="006023D2"/>
    <w:rsid w:val="00602521"/>
    <w:rsid w:val="006033F8"/>
    <w:rsid w:val="006039FA"/>
    <w:rsid w:val="00603B39"/>
    <w:rsid w:val="0060475F"/>
    <w:rsid w:val="00604955"/>
    <w:rsid w:val="00604A55"/>
    <w:rsid w:val="0060556A"/>
    <w:rsid w:val="00607433"/>
    <w:rsid w:val="00610082"/>
    <w:rsid w:val="0061303B"/>
    <w:rsid w:val="006148DA"/>
    <w:rsid w:val="00614D74"/>
    <w:rsid w:val="00615858"/>
    <w:rsid w:val="0061789C"/>
    <w:rsid w:val="00620701"/>
    <w:rsid w:val="00623214"/>
    <w:rsid w:val="00623753"/>
    <w:rsid w:val="006238E7"/>
    <w:rsid w:val="00623CC5"/>
    <w:rsid w:val="00624D64"/>
    <w:rsid w:val="00627C19"/>
    <w:rsid w:val="00633E1D"/>
    <w:rsid w:val="00633E49"/>
    <w:rsid w:val="00635304"/>
    <w:rsid w:val="006369F4"/>
    <w:rsid w:val="0063753E"/>
    <w:rsid w:val="00637D83"/>
    <w:rsid w:val="006406CD"/>
    <w:rsid w:val="0064169C"/>
    <w:rsid w:val="00641BED"/>
    <w:rsid w:val="00642E17"/>
    <w:rsid w:val="00643549"/>
    <w:rsid w:val="00644BB8"/>
    <w:rsid w:val="00644E73"/>
    <w:rsid w:val="0064782B"/>
    <w:rsid w:val="00650F8C"/>
    <w:rsid w:val="00652E85"/>
    <w:rsid w:val="006539B8"/>
    <w:rsid w:val="00653ED0"/>
    <w:rsid w:val="006564C2"/>
    <w:rsid w:val="006565EB"/>
    <w:rsid w:val="006605FC"/>
    <w:rsid w:val="00660FEB"/>
    <w:rsid w:val="0066225B"/>
    <w:rsid w:val="00665322"/>
    <w:rsid w:val="0066577E"/>
    <w:rsid w:val="0067095B"/>
    <w:rsid w:val="0067100C"/>
    <w:rsid w:val="00675388"/>
    <w:rsid w:val="00675913"/>
    <w:rsid w:val="006767DE"/>
    <w:rsid w:val="00676CD1"/>
    <w:rsid w:val="00677C88"/>
    <w:rsid w:val="00680F74"/>
    <w:rsid w:val="0068172B"/>
    <w:rsid w:val="00684561"/>
    <w:rsid w:val="00687175"/>
    <w:rsid w:val="0069165A"/>
    <w:rsid w:val="00691A22"/>
    <w:rsid w:val="0069324F"/>
    <w:rsid w:val="00693AE8"/>
    <w:rsid w:val="00693BF9"/>
    <w:rsid w:val="006951CF"/>
    <w:rsid w:val="00695514"/>
    <w:rsid w:val="006965B4"/>
    <w:rsid w:val="006A0C45"/>
    <w:rsid w:val="006A4752"/>
    <w:rsid w:val="006A487E"/>
    <w:rsid w:val="006B1CF3"/>
    <w:rsid w:val="006C16B1"/>
    <w:rsid w:val="006C2483"/>
    <w:rsid w:val="006C2E8B"/>
    <w:rsid w:val="006C3018"/>
    <w:rsid w:val="006C318D"/>
    <w:rsid w:val="006C423B"/>
    <w:rsid w:val="006C52CF"/>
    <w:rsid w:val="006C5C4D"/>
    <w:rsid w:val="006C7392"/>
    <w:rsid w:val="006D0A78"/>
    <w:rsid w:val="006D21AC"/>
    <w:rsid w:val="006D4B22"/>
    <w:rsid w:val="006D6DDF"/>
    <w:rsid w:val="006E0646"/>
    <w:rsid w:val="006E0CAA"/>
    <w:rsid w:val="006E18E3"/>
    <w:rsid w:val="006E18E4"/>
    <w:rsid w:val="006E1A61"/>
    <w:rsid w:val="006E1E09"/>
    <w:rsid w:val="006E3731"/>
    <w:rsid w:val="006E37CE"/>
    <w:rsid w:val="006E3868"/>
    <w:rsid w:val="006E3E6C"/>
    <w:rsid w:val="006E5BF6"/>
    <w:rsid w:val="006E693F"/>
    <w:rsid w:val="006E6E79"/>
    <w:rsid w:val="006E78CF"/>
    <w:rsid w:val="006F0105"/>
    <w:rsid w:val="006F1E21"/>
    <w:rsid w:val="006F260C"/>
    <w:rsid w:val="006F2DD5"/>
    <w:rsid w:val="006F367A"/>
    <w:rsid w:val="006F692F"/>
    <w:rsid w:val="007000F6"/>
    <w:rsid w:val="007005BF"/>
    <w:rsid w:val="00700642"/>
    <w:rsid w:val="00700698"/>
    <w:rsid w:val="00703740"/>
    <w:rsid w:val="007055B4"/>
    <w:rsid w:val="00705D40"/>
    <w:rsid w:val="007061E1"/>
    <w:rsid w:val="00706821"/>
    <w:rsid w:val="00711663"/>
    <w:rsid w:val="007120EA"/>
    <w:rsid w:val="00713E16"/>
    <w:rsid w:val="00720148"/>
    <w:rsid w:val="007204BC"/>
    <w:rsid w:val="007206A4"/>
    <w:rsid w:val="00722ACA"/>
    <w:rsid w:val="007252F5"/>
    <w:rsid w:val="00725413"/>
    <w:rsid w:val="007255C2"/>
    <w:rsid w:val="007255F1"/>
    <w:rsid w:val="00725DC0"/>
    <w:rsid w:val="007314B5"/>
    <w:rsid w:val="007322C3"/>
    <w:rsid w:val="00732947"/>
    <w:rsid w:val="00732968"/>
    <w:rsid w:val="007330B3"/>
    <w:rsid w:val="00733F41"/>
    <w:rsid w:val="00737540"/>
    <w:rsid w:val="007410CE"/>
    <w:rsid w:val="00741382"/>
    <w:rsid w:val="007438AA"/>
    <w:rsid w:val="007448C4"/>
    <w:rsid w:val="00745B7F"/>
    <w:rsid w:val="00751223"/>
    <w:rsid w:val="00752924"/>
    <w:rsid w:val="00754165"/>
    <w:rsid w:val="00757654"/>
    <w:rsid w:val="0076005F"/>
    <w:rsid w:val="00760CDB"/>
    <w:rsid w:val="00760D33"/>
    <w:rsid w:val="00760DDC"/>
    <w:rsid w:val="0076357D"/>
    <w:rsid w:val="007654DF"/>
    <w:rsid w:val="00766152"/>
    <w:rsid w:val="00767B70"/>
    <w:rsid w:val="007703F1"/>
    <w:rsid w:val="0077148D"/>
    <w:rsid w:val="00771516"/>
    <w:rsid w:val="00772C61"/>
    <w:rsid w:val="00774067"/>
    <w:rsid w:val="00774D0F"/>
    <w:rsid w:val="00774E00"/>
    <w:rsid w:val="007764E4"/>
    <w:rsid w:val="0077724A"/>
    <w:rsid w:val="00780E68"/>
    <w:rsid w:val="00782D71"/>
    <w:rsid w:val="00782EEE"/>
    <w:rsid w:val="00782FC1"/>
    <w:rsid w:val="00784C0E"/>
    <w:rsid w:val="007879D6"/>
    <w:rsid w:val="00787CA4"/>
    <w:rsid w:val="00790F28"/>
    <w:rsid w:val="0079157B"/>
    <w:rsid w:val="00792F32"/>
    <w:rsid w:val="007935FB"/>
    <w:rsid w:val="00793E94"/>
    <w:rsid w:val="00794995"/>
    <w:rsid w:val="007A0015"/>
    <w:rsid w:val="007A00CE"/>
    <w:rsid w:val="007A02F7"/>
    <w:rsid w:val="007A04CD"/>
    <w:rsid w:val="007A15C2"/>
    <w:rsid w:val="007A1A72"/>
    <w:rsid w:val="007A22E9"/>
    <w:rsid w:val="007A4B90"/>
    <w:rsid w:val="007A5A63"/>
    <w:rsid w:val="007A5CE1"/>
    <w:rsid w:val="007A657E"/>
    <w:rsid w:val="007A686D"/>
    <w:rsid w:val="007B0963"/>
    <w:rsid w:val="007B34FF"/>
    <w:rsid w:val="007B4F1E"/>
    <w:rsid w:val="007B5F9E"/>
    <w:rsid w:val="007B6613"/>
    <w:rsid w:val="007B701B"/>
    <w:rsid w:val="007B76A9"/>
    <w:rsid w:val="007B76EE"/>
    <w:rsid w:val="007B7B58"/>
    <w:rsid w:val="007C0850"/>
    <w:rsid w:val="007C127F"/>
    <w:rsid w:val="007C1411"/>
    <w:rsid w:val="007C4C27"/>
    <w:rsid w:val="007C7B26"/>
    <w:rsid w:val="007D24E1"/>
    <w:rsid w:val="007D25B4"/>
    <w:rsid w:val="007D57CD"/>
    <w:rsid w:val="007D70C9"/>
    <w:rsid w:val="007D71D4"/>
    <w:rsid w:val="007E0617"/>
    <w:rsid w:val="007E1A03"/>
    <w:rsid w:val="007E1BD4"/>
    <w:rsid w:val="007E269B"/>
    <w:rsid w:val="007E2E78"/>
    <w:rsid w:val="007E6037"/>
    <w:rsid w:val="007E729B"/>
    <w:rsid w:val="007E7DE3"/>
    <w:rsid w:val="007F0E72"/>
    <w:rsid w:val="007F151F"/>
    <w:rsid w:val="007F21AA"/>
    <w:rsid w:val="007F2D9D"/>
    <w:rsid w:val="007F3100"/>
    <w:rsid w:val="007F35C6"/>
    <w:rsid w:val="007F3E7E"/>
    <w:rsid w:val="007F5124"/>
    <w:rsid w:val="007F63C5"/>
    <w:rsid w:val="007F6422"/>
    <w:rsid w:val="007F64B8"/>
    <w:rsid w:val="00800E30"/>
    <w:rsid w:val="00803793"/>
    <w:rsid w:val="00804AFC"/>
    <w:rsid w:val="00804F2D"/>
    <w:rsid w:val="0081022F"/>
    <w:rsid w:val="00811687"/>
    <w:rsid w:val="0081467F"/>
    <w:rsid w:val="0081584E"/>
    <w:rsid w:val="00815D94"/>
    <w:rsid w:val="0081626B"/>
    <w:rsid w:val="0081637B"/>
    <w:rsid w:val="0082064C"/>
    <w:rsid w:val="00820733"/>
    <w:rsid w:val="00820952"/>
    <w:rsid w:val="00821416"/>
    <w:rsid w:val="00821FD7"/>
    <w:rsid w:val="00824DF4"/>
    <w:rsid w:val="00825036"/>
    <w:rsid w:val="0082514D"/>
    <w:rsid w:val="00825663"/>
    <w:rsid w:val="008259AB"/>
    <w:rsid w:val="008262E6"/>
    <w:rsid w:val="0083010F"/>
    <w:rsid w:val="008303AF"/>
    <w:rsid w:val="0083260C"/>
    <w:rsid w:val="00832D62"/>
    <w:rsid w:val="0083357E"/>
    <w:rsid w:val="00833E89"/>
    <w:rsid w:val="008365C4"/>
    <w:rsid w:val="00837D7E"/>
    <w:rsid w:val="00840C21"/>
    <w:rsid w:val="00841A18"/>
    <w:rsid w:val="0084226D"/>
    <w:rsid w:val="00842F14"/>
    <w:rsid w:val="008435CC"/>
    <w:rsid w:val="0084437A"/>
    <w:rsid w:val="00844CA7"/>
    <w:rsid w:val="00851283"/>
    <w:rsid w:val="00851739"/>
    <w:rsid w:val="008518CB"/>
    <w:rsid w:val="008527F6"/>
    <w:rsid w:val="00854D71"/>
    <w:rsid w:val="008561E3"/>
    <w:rsid w:val="008574E5"/>
    <w:rsid w:val="00857A1F"/>
    <w:rsid w:val="008601D1"/>
    <w:rsid w:val="0086043A"/>
    <w:rsid w:val="00861822"/>
    <w:rsid w:val="0086307B"/>
    <w:rsid w:val="00863E22"/>
    <w:rsid w:val="008644D8"/>
    <w:rsid w:val="00864B6C"/>
    <w:rsid w:val="00864EAA"/>
    <w:rsid w:val="00865722"/>
    <w:rsid w:val="00865A82"/>
    <w:rsid w:val="00866F13"/>
    <w:rsid w:val="008677BD"/>
    <w:rsid w:val="008720EE"/>
    <w:rsid w:val="00872399"/>
    <w:rsid w:val="00873C9A"/>
    <w:rsid w:val="00874124"/>
    <w:rsid w:val="008755F6"/>
    <w:rsid w:val="00875C7A"/>
    <w:rsid w:val="00876B43"/>
    <w:rsid w:val="008804E0"/>
    <w:rsid w:val="0088062D"/>
    <w:rsid w:val="00880657"/>
    <w:rsid w:val="00881A32"/>
    <w:rsid w:val="00881EAE"/>
    <w:rsid w:val="00883D15"/>
    <w:rsid w:val="008853AD"/>
    <w:rsid w:val="008869AA"/>
    <w:rsid w:val="00892D04"/>
    <w:rsid w:val="0089388F"/>
    <w:rsid w:val="008963BB"/>
    <w:rsid w:val="00896A12"/>
    <w:rsid w:val="0089747C"/>
    <w:rsid w:val="008977F5"/>
    <w:rsid w:val="00897A9F"/>
    <w:rsid w:val="008A0577"/>
    <w:rsid w:val="008A3A34"/>
    <w:rsid w:val="008A4FA2"/>
    <w:rsid w:val="008A5484"/>
    <w:rsid w:val="008A5E81"/>
    <w:rsid w:val="008A618B"/>
    <w:rsid w:val="008A61A6"/>
    <w:rsid w:val="008A6585"/>
    <w:rsid w:val="008A71B6"/>
    <w:rsid w:val="008B0CF1"/>
    <w:rsid w:val="008B1210"/>
    <w:rsid w:val="008B1CE2"/>
    <w:rsid w:val="008B1E62"/>
    <w:rsid w:val="008B2262"/>
    <w:rsid w:val="008B28EB"/>
    <w:rsid w:val="008B4513"/>
    <w:rsid w:val="008B5684"/>
    <w:rsid w:val="008B63DD"/>
    <w:rsid w:val="008B7267"/>
    <w:rsid w:val="008C05F2"/>
    <w:rsid w:val="008C4481"/>
    <w:rsid w:val="008C4790"/>
    <w:rsid w:val="008C63C3"/>
    <w:rsid w:val="008D1A9D"/>
    <w:rsid w:val="008D30BD"/>
    <w:rsid w:val="008D3E9A"/>
    <w:rsid w:val="008D60FC"/>
    <w:rsid w:val="008E0163"/>
    <w:rsid w:val="008E293C"/>
    <w:rsid w:val="008E2A04"/>
    <w:rsid w:val="008E2D9D"/>
    <w:rsid w:val="008E5175"/>
    <w:rsid w:val="008E6BB9"/>
    <w:rsid w:val="008E76E0"/>
    <w:rsid w:val="008F1891"/>
    <w:rsid w:val="008F2630"/>
    <w:rsid w:val="008F3BD6"/>
    <w:rsid w:val="008F4248"/>
    <w:rsid w:val="008F7896"/>
    <w:rsid w:val="009011BC"/>
    <w:rsid w:val="009033E7"/>
    <w:rsid w:val="00910432"/>
    <w:rsid w:val="009106A5"/>
    <w:rsid w:val="00910B25"/>
    <w:rsid w:val="00913A4F"/>
    <w:rsid w:val="00914F8A"/>
    <w:rsid w:val="00915DCB"/>
    <w:rsid w:val="009167FD"/>
    <w:rsid w:val="00916E5E"/>
    <w:rsid w:val="009204C7"/>
    <w:rsid w:val="009204D3"/>
    <w:rsid w:val="00921039"/>
    <w:rsid w:val="00922303"/>
    <w:rsid w:val="009224AC"/>
    <w:rsid w:val="009273DD"/>
    <w:rsid w:val="009306F2"/>
    <w:rsid w:val="00931A09"/>
    <w:rsid w:val="00931BBB"/>
    <w:rsid w:val="00932170"/>
    <w:rsid w:val="00934788"/>
    <w:rsid w:val="00934D20"/>
    <w:rsid w:val="00934F8B"/>
    <w:rsid w:val="00935F8F"/>
    <w:rsid w:val="009365D4"/>
    <w:rsid w:val="009371D4"/>
    <w:rsid w:val="0094151C"/>
    <w:rsid w:val="009445D3"/>
    <w:rsid w:val="00945F3F"/>
    <w:rsid w:val="0095010D"/>
    <w:rsid w:val="00950A37"/>
    <w:rsid w:val="00950CB7"/>
    <w:rsid w:val="00951A20"/>
    <w:rsid w:val="00955576"/>
    <w:rsid w:val="0096147A"/>
    <w:rsid w:val="00963977"/>
    <w:rsid w:val="00963EE3"/>
    <w:rsid w:val="00966019"/>
    <w:rsid w:val="00966C3D"/>
    <w:rsid w:val="00966DF2"/>
    <w:rsid w:val="00970BA8"/>
    <w:rsid w:val="0097106D"/>
    <w:rsid w:val="00971E1B"/>
    <w:rsid w:val="00972B55"/>
    <w:rsid w:val="00973E63"/>
    <w:rsid w:val="00974894"/>
    <w:rsid w:val="00975400"/>
    <w:rsid w:val="00975B39"/>
    <w:rsid w:val="00976383"/>
    <w:rsid w:val="00976412"/>
    <w:rsid w:val="0097705B"/>
    <w:rsid w:val="0098044F"/>
    <w:rsid w:val="00980880"/>
    <w:rsid w:val="009817A1"/>
    <w:rsid w:val="00981D65"/>
    <w:rsid w:val="009822B6"/>
    <w:rsid w:val="009822E1"/>
    <w:rsid w:val="00982B31"/>
    <w:rsid w:val="0098343E"/>
    <w:rsid w:val="0098371B"/>
    <w:rsid w:val="009861D1"/>
    <w:rsid w:val="00986DB8"/>
    <w:rsid w:val="00987233"/>
    <w:rsid w:val="009873CE"/>
    <w:rsid w:val="00990B5F"/>
    <w:rsid w:val="00990E27"/>
    <w:rsid w:val="009912ED"/>
    <w:rsid w:val="00991588"/>
    <w:rsid w:val="0099185D"/>
    <w:rsid w:val="00992392"/>
    <w:rsid w:val="009943CD"/>
    <w:rsid w:val="009A11B9"/>
    <w:rsid w:val="009A18AD"/>
    <w:rsid w:val="009A1DFB"/>
    <w:rsid w:val="009A2284"/>
    <w:rsid w:val="009A2A42"/>
    <w:rsid w:val="009A3E73"/>
    <w:rsid w:val="009A4E43"/>
    <w:rsid w:val="009A5DAF"/>
    <w:rsid w:val="009A61ED"/>
    <w:rsid w:val="009A6A5C"/>
    <w:rsid w:val="009A7F7D"/>
    <w:rsid w:val="009B0868"/>
    <w:rsid w:val="009B09B7"/>
    <w:rsid w:val="009B2EC1"/>
    <w:rsid w:val="009B2F15"/>
    <w:rsid w:val="009B31FF"/>
    <w:rsid w:val="009B3829"/>
    <w:rsid w:val="009B3EC2"/>
    <w:rsid w:val="009B4402"/>
    <w:rsid w:val="009B4E0C"/>
    <w:rsid w:val="009C162B"/>
    <w:rsid w:val="009C68E6"/>
    <w:rsid w:val="009C75DF"/>
    <w:rsid w:val="009C7D8B"/>
    <w:rsid w:val="009D0A3C"/>
    <w:rsid w:val="009D1676"/>
    <w:rsid w:val="009D29D6"/>
    <w:rsid w:val="009D5242"/>
    <w:rsid w:val="009D5607"/>
    <w:rsid w:val="009D587E"/>
    <w:rsid w:val="009E03FB"/>
    <w:rsid w:val="009E06CE"/>
    <w:rsid w:val="009E08F2"/>
    <w:rsid w:val="009E1294"/>
    <w:rsid w:val="009E198B"/>
    <w:rsid w:val="009E37FB"/>
    <w:rsid w:val="009E48FA"/>
    <w:rsid w:val="009E4E4E"/>
    <w:rsid w:val="009E510B"/>
    <w:rsid w:val="009E7F5A"/>
    <w:rsid w:val="009F01C6"/>
    <w:rsid w:val="009F05DD"/>
    <w:rsid w:val="009F0A0D"/>
    <w:rsid w:val="009F45A3"/>
    <w:rsid w:val="009F52A7"/>
    <w:rsid w:val="009F661A"/>
    <w:rsid w:val="009F736A"/>
    <w:rsid w:val="00A01242"/>
    <w:rsid w:val="00A01D5A"/>
    <w:rsid w:val="00A02307"/>
    <w:rsid w:val="00A02490"/>
    <w:rsid w:val="00A03D65"/>
    <w:rsid w:val="00A0568D"/>
    <w:rsid w:val="00A074B2"/>
    <w:rsid w:val="00A10611"/>
    <w:rsid w:val="00A10630"/>
    <w:rsid w:val="00A10A31"/>
    <w:rsid w:val="00A11251"/>
    <w:rsid w:val="00A119C5"/>
    <w:rsid w:val="00A1280C"/>
    <w:rsid w:val="00A12E2F"/>
    <w:rsid w:val="00A12F09"/>
    <w:rsid w:val="00A13C9F"/>
    <w:rsid w:val="00A1413E"/>
    <w:rsid w:val="00A14168"/>
    <w:rsid w:val="00A15A32"/>
    <w:rsid w:val="00A15D0A"/>
    <w:rsid w:val="00A16876"/>
    <w:rsid w:val="00A21D1E"/>
    <w:rsid w:val="00A2265F"/>
    <w:rsid w:val="00A23B64"/>
    <w:rsid w:val="00A26723"/>
    <w:rsid w:val="00A30028"/>
    <w:rsid w:val="00A3051A"/>
    <w:rsid w:val="00A30D89"/>
    <w:rsid w:val="00A34A05"/>
    <w:rsid w:val="00A34BA4"/>
    <w:rsid w:val="00A35238"/>
    <w:rsid w:val="00A40F70"/>
    <w:rsid w:val="00A42828"/>
    <w:rsid w:val="00A42C3B"/>
    <w:rsid w:val="00A4312D"/>
    <w:rsid w:val="00A45729"/>
    <w:rsid w:val="00A4596E"/>
    <w:rsid w:val="00A4598E"/>
    <w:rsid w:val="00A45E9A"/>
    <w:rsid w:val="00A46897"/>
    <w:rsid w:val="00A47452"/>
    <w:rsid w:val="00A504AB"/>
    <w:rsid w:val="00A50DBF"/>
    <w:rsid w:val="00A52E4E"/>
    <w:rsid w:val="00A534DA"/>
    <w:rsid w:val="00A538E4"/>
    <w:rsid w:val="00A610A9"/>
    <w:rsid w:val="00A61ACF"/>
    <w:rsid w:val="00A61BAE"/>
    <w:rsid w:val="00A61CEE"/>
    <w:rsid w:val="00A63747"/>
    <w:rsid w:val="00A638AD"/>
    <w:rsid w:val="00A6573E"/>
    <w:rsid w:val="00A65A0A"/>
    <w:rsid w:val="00A65ADF"/>
    <w:rsid w:val="00A65B44"/>
    <w:rsid w:val="00A666A2"/>
    <w:rsid w:val="00A701C0"/>
    <w:rsid w:val="00A70CA8"/>
    <w:rsid w:val="00A741A2"/>
    <w:rsid w:val="00A7719A"/>
    <w:rsid w:val="00A77D61"/>
    <w:rsid w:val="00A806C0"/>
    <w:rsid w:val="00A80CA9"/>
    <w:rsid w:val="00A810E2"/>
    <w:rsid w:val="00A82927"/>
    <w:rsid w:val="00A84E1F"/>
    <w:rsid w:val="00A85F8D"/>
    <w:rsid w:val="00A867BF"/>
    <w:rsid w:val="00A86DB2"/>
    <w:rsid w:val="00A91CF1"/>
    <w:rsid w:val="00A92B1E"/>
    <w:rsid w:val="00A93D3A"/>
    <w:rsid w:val="00A93F0A"/>
    <w:rsid w:val="00A94BF5"/>
    <w:rsid w:val="00A97FEE"/>
    <w:rsid w:val="00AA0194"/>
    <w:rsid w:val="00AA0428"/>
    <w:rsid w:val="00AA150C"/>
    <w:rsid w:val="00AA1B3D"/>
    <w:rsid w:val="00AA2DF5"/>
    <w:rsid w:val="00AA575C"/>
    <w:rsid w:val="00AA64A1"/>
    <w:rsid w:val="00AA7067"/>
    <w:rsid w:val="00AA7DD0"/>
    <w:rsid w:val="00AB0248"/>
    <w:rsid w:val="00AB12BE"/>
    <w:rsid w:val="00AB1DC3"/>
    <w:rsid w:val="00AB2391"/>
    <w:rsid w:val="00AB4B4E"/>
    <w:rsid w:val="00AB5049"/>
    <w:rsid w:val="00AB66A4"/>
    <w:rsid w:val="00AB6776"/>
    <w:rsid w:val="00AB75F5"/>
    <w:rsid w:val="00AB78C2"/>
    <w:rsid w:val="00AC27AE"/>
    <w:rsid w:val="00AC27B6"/>
    <w:rsid w:val="00AC3691"/>
    <w:rsid w:val="00AC5B97"/>
    <w:rsid w:val="00AC5CB9"/>
    <w:rsid w:val="00AC6F0D"/>
    <w:rsid w:val="00AD1237"/>
    <w:rsid w:val="00AD2A7F"/>
    <w:rsid w:val="00AD2BA6"/>
    <w:rsid w:val="00AD4E3E"/>
    <w:rsid w:val="00AD6258"/>
    <w:rsid w:val="00AD6FE3"/>
    <w:rsid w:val="00AD75DF"/>
    <w:rsid w:val="00AE1388"/>
    <w:rsid w:val="00AE144F"/>
    <w:rsid w:val="00AE21BB"/>
    <w:rsid w:val="00AE259A"/>
    <w:rsid w:val="00AE3F49"/>
    <w:rsid w:val="00AE5457"/>
    <w:rsid w:val="00AE59D6"/>
    <w:rsid w:val="00AE5A28"/>
    <w:rsid w:val="00AF04EE"/>
    <w:rsid w:val="00AF0E59"/>
    <w:rsid w:val="00AF14FE"/>
    <w:rsid w:val="00AF1E8C"/>
    <w:rsid w:val="00AF3B2C"/>
    <w:rsid w:val="00AF4429"/>
    <w:rsid w:val="00AF4A7F"/>
    <w:rsid w:val="00AF5A8A"/>
    <w:rsid w:val="00B00ACA"/>
    <w:rsid w:val="00B01237"/>
    <w:rsid w:val="00B01DE8"/>
    <w:rsid w:val="00B032A2"/>
    <w:rsid w:val="00B0721C"/>
    <w:rsid w:val="00B11217"/>
    <w:rsid w:val="00B11520"/>
    <w:rsid w:val="00B11F55"/>
    <w:rsid w:val="00B128F7"/>
    <w:rsid w:val="00B12E0E"/>
    <w:rsid w:val="00B13058"/>
    <w:rsid w:val="00B13760"/>
    <w:rsid w:val="00B14989"/>
    <w:rsid w:val="00B14E3F"/>
    <w:rsid w:val="00B2040D"/>
    <w:rsid w:val="00B2240A"/>
    <w:rsid w:val="00B22615"/>
    <w:rsid w:val="00B23971"/>
    <w:rsid w:val="00B2424B"/>
    <w:rsid w:val="00B24FB5"/>
    <w:rsid w:val="00B25FCB"/>
    <w:rsid w:val="00B264CB"/>
    <w:rsid w:val="00B31D11"/>
    <w:rsid w:val="00B335D7"/>
    <w:rsid w:val="00B345AB"/>
    <w:rsid w:val="00B357ED"/>
    <w:rsid w:val="00B36E85"/>
    <w:rsid w:val="00B37D72"/>
    <w:rsid w:val="00B41331"/>
    <w:rsid w:val="00B41A18"/>
    <w:rsid w:val="00B41C0D"/>
    <w:rsid w:val="00B4215B"/>
    <w:rsid w:val="00B42EE6"/>
    <w:rsid w:val="00B43863"/>
    <w:rsid w:val="00B43899"/>
    <w:rsid w:val="00B44152"/>
    <w:rsid w:val="00B444C9"/>
    <w:rsid w:val="00B44702"/>
    <w:rsid w:val="00B46921"/>
    <w:rsid w:val="00B47F11"/>
    <w:rsid w:val="00B50D75"/>
    <w:rsid w:val="00B5164B"/>
    <w:rsid w:val="00B5348A"/>
    <w:rsid w:val="00B55D47"/>
    <w:rsid w:val="00B55D75"/>
    <w:rsid w:val="00B5612C"/>
    <w:rsid w:val="00B578F7"/>
    <w:rsid w:val="00B614E7"/>
    <w:rsid w:val="00B6286A"/>
    <w:rsid w:val="00B63039"/>
    <w:rsid w:val="00B63FBB"/>
    <w:rsid w:val="00B6407D"/>
    <w:rsid w:val="00B657F8"/>
    <w:rsid w:val="00B65F11"/>
    <w:rsid w:val="00B66608"/>
    <w:rsid w:val="00B6716A"/>
    <w:rsid w:val="00B67B3F"/>
    <w:rsid w:val="00B70805"/>
    <w:rsid w:val="00B70DA2"/>
    <w:rsid w:val="00B713A2"/>
    <w:rsid w:val="00B7312D"/>
    <w:rsid w:val="00B73EFD"/>
    <w:rsid w:val="00B7491E"/>
    <w:rsid w:val="00B75E6C"/>
    <w:rsid w:val="00B762EB"/>
    <w:rsid w:val="00B77945"/>
    <w:rsid w:val="00B81627"/>
    <w:rsid w:val="00B82DAB"/>
    <w:rsid w:val="00B84066"/>
    <w:rsid w:val="00B846D6"/>
    <w:rsid w:val="00B84FF8"/>
    <w:rsid w:val="00B8655F"/>
    <w:rsid w:val="00B8666F"/>
    <w:rsid w:val="00B87E04"/>
    <w:rsid w:val="00B95527"/>
    <w:rsid w:val="00B97179"/>
    <w:rsid w:val="00B976A0"/>
    <w:rsid w:val="00BA036F"/>
    <w:rsid w:val="00BA0FFA"/>
    <w:rsid w:val="00BA2CD9"/>
    <w:rsid w:val="00BA4C1E"/>
    <w:rsid w:val="00BA5979"/>
    <w:rsid w:val="00BA64A3"/>
    <w:rsid w:val="00BA7173"/>
    <w:rsid w:val="00BA7B26"/>
    <w:rsid w:val="00BA7DF6"/>
    <w:rsid w:val="00BA7E61"/>
    <w:rsid w:val="00BB24B3"/>
    <w:rsid w:val="00BB34AF"/>
    <w:rsid w:val="00BB509A"/>
    <w:rsid w:val="00BB5772"/>
    <w:rsid w:val="00BC0A12"/>
    <w:rsid w:val="00BC0D1F"/>
    <w:rsid w:val="00BC1044"/>
    <w:rsid w:val="00BC10DE"/>
    <w:rsid w:val="00BC7FC1"/>
    <w:rsid w:val="00BD0E3B"/>
    <w:rsid w:val="00BD1441"/>
    <w:rsid w:val="00BD174E"/>
    <w:rsid w:val="00BD1DFF"/>
    <w:rsid w:val="00BD2EBB"/>
    <w:rsid w:val="00BD4337"/>
    <w:rsid w:val="00BD5A25"/>
    <w:rsid w:val="00BD6473"/>
    <w:rsid w:val="00BE176C"/>
    <w:rsid w:val="00BE2203"/>
    <w:rsid w:val="00BE4AC0"/>
    <w:rsid w:val="00BE4C37"/>
    <w:rsid w:val="00BE580B"/>
    <w:rsid w:val="00BE6370"/>
    <w:rsid w:val="00BE7FCF"/>
    <w:rsid w:val="00BF008E"/>
    <w:rsid w:val="00BF0447"/>
    <w:rsid w:val="00BF0B93"/>
    <w:rsid w:val="00BF1E40"/>
    <w:rsid w:val="00BF347D"/>
    <w:rsid w:val="00BF4B9E"/>
    <w:rsid w:val="00BF4E98"/>
    <w:rsid w:val="00BF5228"/>
    <w:rsid w:val="00BF6B09"/>
    <w:rsid w:val="00C00725"/>
    <w:rsid w:val="00C0155F"/>
    <w:rsid w:val="00C01D05"/>
    <w:rsid w:val="00C02A9C"/>
    <w:rsid w:val="00C044C6"/>
    <w:rsid w:val="00C0472F"/>
    <w:rsid w:val="00C050D6"/>
    <w:rsid w:val="00C11F59"/>
    <w:rsid w:val="00C154F4"/>
    <w:rsid w:val="00C2154F"/>
    <w:rsid w:val="00C21837"/>
    <w:rsid w:val="00C21AA8"/>
    <w:rsid w:val="00C24579"/>
    <w:rsid w:val="00C24836"/>
    <w:rsid w:val="00C256F9"/>
    <w:rsid w:val="00C258D6"/>
    <w:rsid w:val="00C25A66"/>
    <w:rsid w:val="00C26152"/>
    <w:rsid w:val="00C277AE"/>
    <w:rsid w:val="00C27E37"/>
    <w:rsid w:val="00C3037D"/>
    <w:rsid w:val="00C31D72"/>
    <w:rsid w:val="00C33BEB"/>
    <w:rsid w:val="00C33CC5"/>
    <w:rsid w:val="00C33EC6"/>
    <w:rsid w:val="00C343AA"/>
    <w:rsid w:val="00C3460C"/>
    <w:rsid w:val="00C346F3"/>
    <w:rsid w:val="00C356C2"/>
    <w:rsid w:val="00C35D99"/>
    <w:rsid w:val="00C40710"/>
    <w:rsid w:val="00C4183B"/>
    <w:rsid w:val="00C41E07"/>
    <w:rsid w:val="00C425BF"/>
    <w:rsid w:val="00C42B6F"/>
    <w:rsid w:val="00C43A60"/>
    <w:rsid w:val="00C43E5E"/>
    <w:rsid w:val="00C442E4"/>
    <w:rsid w:val="00C464CB"/>
    <w:rsid w:val="00C5045F"/>
    <w:rsid w:val="00C5197E"/>
    <w:rsid w:val="00C55403"/>
    <w:rsid w:val="00C55873"/>
    <w:rsid w:val="00C5698E"/>
    <w:rsid w:val="00C5799B"/>
    <w:rsid w:val="00C646B1"/>
    <w:rsid w:val="00C71A98"/>
    <w:rsid w:val="00C71FAF"/>
    <w:rsid w:val="00C73CC0"/>
    <w:rsid w:val="00C74470"/>
    <w:rsid w:val="00C7507A"/>
    <w:rsid w:val="00C80387"/>
    <w:rsid w:val="00C805FD"/>
    <w:rsid w:val="00C826C1"/>
    <w:rsid w:val="00C828C2"/>
    <w:rsid w:val="00C83E78"/>
    <w:rsid w:val="00C83FCB"/>
    <w:rsid w:val="00C83FFD"/>
    <w:rsid w:val="00C90D47"/>
    <w:rsid w:val="00C932A2"/>
    <w:rsid w:val="00C954A2"/>
    <w:rsid w:val="00C957CE"/>
    <w:rsid w:val="00C95E95"/>
    <w:rsid w:val="00C96B17"/>
    <w:rsid w:val="00C97101"/>
    <w:rsid w:val="00CA07A8"/>
    <w:rsid w:val="00CA4155"/>
    <w:rsid w:val="00CA4974"/>
    <w:rsid w:val="00CA5A9B"/>
    <w:rsid w:val="00CA7EC4"/>
    <w:rsid w:val="00CB04BB"/>
    <w:rsid w:val="00CB0A50"/>
    <w:rsid w:val="00CB2820"/>
    <w:rsid w:val="00CB28D0"/>
    <w:rsid w:val="00CB2995"/>
    <w:rsid w:val="00CB550D"/>
    <w:rsid w:val="00CC167A"/>
    <w:rsid w:val="00CC33A3"/>
    <w:rsid w:val="00CC399E"/>
    <w:rsid w:val="00CC4BFE"/>
    <w:rsid w:val="00CC5C1C"/>
    <w:rsid w:val="00CD20DA"/>
    <w:rsid w:val="00CD5C6F"/>
    <w:rsid w:val="00CD7413"/>
    <w:rsid w:val="00CD7A8A"/>
    <w:rsid w:val="00CE0BA3"/>
    <w:rsid w:val="00CE1A96"/>
    <w:rsid w:val="00CE1B49"/>
    <w:rsid w:val="00CE2105"/>
    <w:rsid w:val="00CE2827"/>
    <w:rsid w:val="00CE2AC4"/>
    <w:rsid w:val="00CE3469"/>
    <w:rsid w:val="00CE3736"/>
    <w:rsid w:val="00CE6B24"/>
    <w:rsid w:val="00CE6E95"/>
    <w:rsid w:val="00CF11B0"/>
    <w:rsid w:val="00CF1EBB"/>
    <w:rsid w:val="00CF2CE4"/>
    <w:rsid w:val="00CF31E9"/>
    <w:rsid w:val="00CF436C"/>
    <w:rsid w:val="00CF5794"/>
    <w:rsid w:val="00CF75AD"/>
    <w:rsid w:val="00CF7A0E"/>
    <w:rsid w:val="00D023A9"/>
    <w:rsid w:val="00D02851"/>
    <w:rsid w:val="00D0532D"/>
    <w:rsid w:val="00D0687C"/>
    <w:rsid w:val="00D06E60"/>
    <w:rsid w:val="00D102C5"/>
    <w:rsid w:val="00D12784"/>
    <w:rsid w:val="00D1401A"/>
    <w:rsid w:val="00D15509"/>
    <w:rsid w:val="00D159BA"/>
    <w:rsid w:val="00D16262"/>
    <w:rsid w:val="00D162AC"/>
    <w:rsid w:val="00D171E0"/>
    <w:rsid w:val="00D21261"/>
    <w:rsid w:val="00D21F8B"/>
    <w:rsid w:val="00D2298E"/>
    <w:rsid w:val="00D247EA"/>
    <w:rsid w:val="00D24A4F"/>
    <w:rsid w:val="00D26342"/>
    <w:rsid w:val="00D26774"/>
    <w:rsid w:val="00D300E2"/>
    <w:rsid w:val="00D319CD"/>
    <w:rsid w:val="00D32F0A"/>
    <w:rsid w:val="00D343E0"/>
    <w:rsid w:val="00D34527"/>
    <w:rsid w:val="00D37F16"/>
    <w:rsid w:val="00D37F20"/>
    <w:rsid w:val="00D40303"/>
    <w:rsid w:val="00D404E2"/>
    <w:rsid w:val="00D40A18"/>
    <w:rsid w:val="00D4252E"/>
    <w:rsid w:val="00D44DFD"/>
    <w:rsid w:val="00D4512E"/>
    <w:rsid w:val="00D45528"/>
    <w:rsid w:val="00D4585D"/>
    <w:rsid w:val="00D45C14"/>
    <w:rsid w:val="00D463E7"/>
    <w:rsid w:val="00D5049D"/>
    <w:rsid w:val="00D50F8F"/>
    <w:rsid w:val="00D513F3"/>
    <w:rsid w:val="00D51E12"/>
    <w:rsid w:val="00D5364D"/>
    <w:rsid w:val="00D548DD"/>
    <w:rsid w:val="00D558A8"/>
    <w:rsid w:val="00D602F3"/>
    <w:rsid w:val="00D609C1"/>
    <w:rsid w:val="00D61B04"/>
    <w:rsid w:val="00D629EC"/>
    <w:rsid w:val="00D66188"/>
    <w:rsid w:val="00D70017"/>
    <w:rsid w:val="00D7078D"/>
    <w:rsid w:val="00D71649"/>
    <w:rsid w:val="00D76278"/>
    <w:rsid w:val="00D80307"/>
    <w:rsid w:val="00D81E40"/>
    <w:rsid w:val="00D845BE"/>
    <w:rsid w:val="00D846BB"/>
    <w:rsid w:val="00D84897"/>
    <w:rsid w:val="00D8501F"/>
    <w:rsid w:val="00D85065"/>
    <w:rsid w:val="00D8551B"/>
    <w:rsid w:val="00D86002"/>
    <w:rsid w:val="00D869B5"/>
    <w:rsid w:val="00D87055"/>
    <w:rsid w:val="00D87C10"/>
    <w:rsid w:val="00D900F8"/>
    <w:rsid w:val="00D902D4"/>
    <w:rsid w:val="00D923E9"/>
    <w:rsid w:val="00D9336A"/>
    <w:rsid w:val="00D93D1F"/>
    <w:rsid w:val="00D93E6C"/>
    <w:rsid w:val="00D957A1"/>
    <w:rsid w:val="00DA234D"/>
    <w:rsid w:val="00DA5E0B"/>
    <w:rsid w:val="00DA7281"/>
    <w:rsid w:val="00DA79A8"/>
    <w:rsid w:val="00DB01EF"/>
    <w:rsid w:val="00DB02D4"/>
    <w:rsid w:val="00DB2669"/>
    <w:rsid w:val="00DB41EB"/>
    <w:rsid w:val="00DB4CEE"/>
    <w:rsid w:val="00DB6037"/>
    <w:rsid w:val="00DC1329"/>
    <w:rsid w:val="00DC186E"/>
    <w:rsid w:val="00DC2A28"/>
    <w:rsid w:val="00DC33D0"/>
    <w:rsid w:val="00DC48DA"/>
    <w:rsid w:val="00DC6704"/>
    <w:rsid w:val="00DD31F8"/>
    <w:rsid w:val="00DD4C04"/>
    <w:rsid w:val="00DD5EE9"/>
    <w:rsid w:val="00DD668B"/>
    <w:rsid w:val="00DD6C1C"/>
    <w:rsid w:val="00DE0716"/>
    <w:rsid w:val="00DE1317"/>
    <w:rsid w:val="00DE1DF9"/>
    <w:rsid w:val="00DE33A4"/>
    <w:rsid w:val="00DE71C1"/>
    <w:rsid w:val="00DE74AE"/>
    <w:rsid w:val="00DF06FF"/>
    <w:rsid w:val="00DF12BA"/>
    <w:rsid w:val="00DF1B44"/>
    <w:rsid w:val="00DF1F47"/>
    <w:rsid w:val="00DF2CF7"/>
    <w:rsid w:val="00DF2F6E"/>
    <w:rsid w:val="00DF3203"/>
    <w:rsid w:val="00DF36A7"/>
    <w:rsid w:val="00DF3739"/>
    <w:rsid w:val="00DF4F4D"/>
    <w:rsid w:val="00DF5013"/>
    <w:rsid w:val="00DF58F2"/>
    <w:rsid w:val="00DF6CFF"/>
    <w:rsid w:val="00DF7B47"/>
    <w:rsid w:val="00E00A4A"/>
    <w:rsid w:val="00E038D8"/>
    <w:rsid w:val="00E06D68"/>
    <w:rsid w:val="00E06FBA"/>
    <w:rsid w:val="00E07747"/>
    <w:rsid w:val="00E07CC0"/>
    <w:rsid w:val="00E101A6"/>
    <w:rsid w:val="00E113C4"/>
    <w:rsid w:val="00E128B2"/>
    <w:rsid w:val="00E13A3A"/>
    <w:rsid w:val="00E16B38"/>
    <w:rsid w:val="00E17EDE"/>
    <w:rsid w:val="00E21597"/>
    <w:rsid w:val="00E218B7"/>
    <w:rsid w:val="00E21B84"/>
    <w:rsid w:val="00E22234"/>
    <w:rsid w:val="00E27EFB"/>
    <w:rsid w:val="00E30014"/>
    <w:rsid w:val="00E320C1"/>
    <w:rsid w:val="00E32310"/>
    <w:rsid w:val="00E3422A"/>
    <w:rsid w:val="00E3433E"/>
    <w:rsid w:val="00E34F18"/>
    <w:rsid w:val="00E35815"/>
    <w:rsid w:val="00E363F5"/>
    <w:rsid w:val="00E37BC2"/>
    <w:rsid w:val="00E402C2"/>
    <w:rsid w:val="00E40956"/>
    <w:rsid w:val="00E409AF"/>
    <w:rsid w:val="00E415C4"/>
    <w:rsid w:val="00E42A13"/>
    <w:rsid w:val="00E42A92"/>
    <w:rsid w:val="00E43F74"/>
    <w:rsid w:val="00E44985"/>
    <w:rsid w:val="00E44AA5"/>
    <w:rsid w:val="00E45B14"/>
    <w:rsid w:val="00E46269"/>
    <w:rsid w:val="00E470E1"/>
    <w:rsid w:val="00E5452D"/>
    <w:rsid w:val="00E5460F"/>
    <w:rsid w:val="00E55414"/>
    <w:rsid w:val="00E57877"/>
    <w:rsid w:val="00E606F1"/>
    <w:rsid w:val="00E60C3E"/>
    <w:rsid w:val="00E62997"/>
    <w:rsid w:val="00E62A13"/>
    <w:rsid w:val="00E666D1"/>
    <w:rsid w:val="00E67ED4"/>
    <w:rsid w:val="00E7183E"/>
    <w:rsid w:val="00E72DFB"/>
    <w:rsid w:val="00E73281"/>
    <w:rsid w:val="00E740CD"/>
    <w:rsid w:val="00E74B11"/>
    <w:rsid w:val="00E7581B"/>
    <w:rsid w:val="00E765CE"/>
    <w:rsid w:val="00E81277"/>
    <w:rsid w:val="00E818F5"/>
    <w:rsid w:val="00E8190E"/>
    <w:rsid w:val="00E831D1"/>
    <w:rsid w:val="00E84371"/>
    <w:rsid w:val="00E84B43"/>
    <w:rsid w:val="00E84B4D"/>
    <w:rsid w:val="00E85626"/>
    <w:rsid w:val="00E878DE"/>
    <w:rsid w:val="00E90989"/>
    <w:rsid w:val="00E90E8D"/>
    <w:rsid w:val="00E93FEA"/>
    <w:rsid w:val="00E95460"/>
    <w:rsid w:val="00E957D6"/>
    <w:rsid w:val="00EA2DD3"/>
    <w:rsid w:val="00EA2F8A"/>
    <w:rsid w:val="00EA3303"/>
    <w:rsid w:val="00EA4F70"/>
    <w:rsid w:val="00EA7213"/>
    <w:rsid w:val="00EA76F1"/>
    <w:rsid w:val="00EA7AC5"/>
    <w:rsid w:val="00EB0590"/>
    <w:rsid w:val="00EB0750"/>
    <w:rsid w:val="00EB0C51"/>
    <w:rsid w:val="00EB24F2"/>
    <w:rsid w:val="00EB2E15"/>
    <w:rsid w:val="00EB3541"/>
    <w:rsid w:val="00EB416E"/>
    <w:rsid w:val="00EB4327"/>
    <w:rsid w:val="00EB4944"/>
    <w:rsid w:val="00EB6653"/>
    <w:rsid w:val="00EC00A7"/>
    <w:rsid w:val="00EC02DC"/>
    <w:rsid w:val="00EC0A04"/>
    <w:rsid w:val="00EC1CFE"/>
    <w:rsid w:val="00EC3C8E"/>
    <w:rsid w:val="00EC3D9B"/>
    <w:rsid w:val="00EC3E67"/>
    <w:rsid w:val="00EC5B52"/>
    <w:rsid w:val="00EC5E9C"/>
    <w:rsid w:val="00EC6542"/>
    <w:rsid w:val="00EC744A"/>
    <w:rsid w:val="00ED0279"/>
    <w:rsid w:val="00ED232E"/>
    <w:rsid w:val="00ED44BF"/>
    <w:rsid w:val="00ED4B11"/>
    <w:rsid w:val="00ED558F"/>
    <w:rsid w:val="00ED6B52"/>
    <w:rsid w:val="00ED6BC6"/>
    <w:rsid w:val="00EE18B5"/>
    <w:rsid w:val="00EE2A69"/>
    <w:rsid w:val="00EE49E4"/>
    <w:rsid w:val="00EE4E81"/>
    <w:rsid w:val="00EF0350"/>
    <w:rsid w:val="00EF22FA"/>
    <w:rsid w:val="00EF2D03"/>
    <w:rsid w:val="00EF3A1C"/>
    <w:rsid w:val="00EF41AA"/>
    <w:rsid w:val="00EF48D6"/>
    <w:rsid w:val="00EF7B37"/>
    <w:rsid w:val="00F02B5A"/>
    <w:rsid w:val="00F031C6"/>
    <w:rsid w:val="00F033FE"/>
    <w:rsid w:val="00F05707"/>
    <w:rsid w:val="00F05C81"/>
    <w:rsid w:val="00F06158"/>
    <w:rsid w:val="00F06DC1"/>
    <w:rsid w:val="00F070BF"/>
    <w:rsid w:val="00F074C5"/>
    <w:rsid w:val="00F10983"/>
    <w:rsid w:val="00F10C6E"/>
    <w:rsid w:val="00F11A51"/>
    <w:rsid w:val="00F129FC"/>
    <w:rsid w:val="00F13143"/>
    <w:rsid w:val="00F13440"/>
    <w:rsid w:val="00F13C7F"/>
    <w:rsid w:val="00F14D87"/>
    <w:rsid w:val="00F161FD"/>
    <w:rsid w:val="00F1626C"/>
    <w:rsid w:val="00F167FA"/>
    <w:rsid w:val="00F176BE"/>
    <w:rsid w:val="00F17C6D"/>
    <w:rsid w:val="00F2079D"/>
    <w:rsid w:val="00F22CB2"/>
    <w:rsid w:val="00F24E2F"/>
    <w:rsid w:val="00F25CE3"/>
    <w:rsid w:val="00F265B5"/>
    <w:rsid w:val="00F26882"/>
    <w:rsid w:val="00F26E86"/>
    <w:rsid w:val="00F27519"/>
    <w:rsid w:val="00F3062D"/>
    <w:rsid w:val="00F31A82"/>
    <w:rsid w:val="00F31E03"/>
    <w:rsid w:val="00F328D4"/>
    <w:rsid w:val="00F3345B"/>
    <w:rsid w:val="00F339F2"/>
    <w:rsid w:val="00F362F7"/>
    <w:rsid w:val="00F36E3E"/>
    <w:rsid w:val="00F37524"/>
    <w:rsid w:val="00F403BA"/>
    <w:rsid w:val="00F425F1"/>
    <w:rsid w:val="00F439C6"/>
    <w:rsid w:val="00F4462F"/>
    <w:rsid w:val="00F45528"/>
    <w:rsid w:val="00F45A3C"/>
    <w:rsid w:val="00F50686"/>
    <w:rsid w:val="00F52C65"/>
    <w:rsid w:val="00F52FFD"/>
    <w:rsid w:val="00F54276"/>
    <w:rsid w:val="00F55CAB"/>
    <w:rsid w:val="00F573B9"/>
    <w:rsid w:val="00F60002"/>
    <w:rsid w:val="00F6059B"/>
    <w:rsid w:val="00F60B25"/>
    <w:rsid w:val="00F612DF"/>
    <w:rsid w:val="00F62684"/>
    <w:rsid w:val="00F641F0"/>
    <w:rsid w:val="00F65111"/>
    <w:rsid w:val="00F71F76"/>
    <w:rsid w:val="00F74E68"/>
    <w:rsid w:val="00F75F73"/>
    <w:rsid w:val="00F764C0"/>
    <w:rsid w:val="00F81952"/>
    <w:rsid w:val="00F8196B"/>
    <w:rsid w:val="00F81A6C"/>
    <w:rsid w:val="00F82323"/>
    <w:rsid w:val="00F83E5F"/>
    <w:rsid w:val="00F85272"/>
    <w:rsid w:val="00F85648"/>
    <w:rsid w:val="00F8628E"/>
    <w:rsid w:val="00F86403"/>
    <w:rsid w:val="00F873F2"/>
    <w:rsid w:val="00F87861"/>
    <w:rsid w:val="00F91C6F"/>
    <w:rsid w:val="00F937E5"/>
    <w:rsid w:val="00F947B5"/>
    <w:rsid w:val="00F96F36"/>
    <w:rsid w:val="00FA044E"/>
    <w:rsid w:val="00FA1364"/>
    <w:rsid w:val="00FA1B93"/>
    <w:rsid w:val="00FA2231"/>
    <w:rsid w:val="00FA2B5A"/>
    <w:rsid w:val="00FA3204"/>
    <w:rsid w:val="00FA5E04"/>
    <w:rsid w:val="00FA70EA"/>
    <w:rsid w:val="00FA785B"/>
    <w:rsid w:val="00FB11A2"/>
    <w:rsid w:val="00FB4736"/>
    <w:rsid w:val="00FB56BE"/>
    <w:rsid w:val="00FB5A38"/>
    <w:rsid w:val="00FB7664"/>
    <w:rsid w:val="00FC1366"/>
    <w:rsid w:val="00FC16F2"/>
    <w:rsid w:val="00FC2E79"/>
    <w:rsid w:val="00FC4109"/>
    <w:rsid w:val="00FC797D"/>
    <w:rsid w:val="00FD0126"/>
    <w:rsid w:val="00FD0C2C"/>
    <w:rsid w:val="00FD14DB"/>
    <w:rsid w:val="00FD2031"/>
    <w:rsid w:val="00FD41F4"/>
    <w:rsid w:val="00FD4A26"/>
    <w:rsid w:val="00FD6FAE"/>
    <w:rsid w:val="00FD73C5"/>
    <w:rsid w:val="00FE1A87"/>
    <w:rsid w:val="00FE1DDA"/>
    <w:rsid w:val="00FE2EE0"/>
    <w:rsid w:val="00FE33F8"/>
    <w:rsid w:val="00FE51E9"/>
    <w:rsid w:val="00FE565E"/>
    <w:rsid w:val="00FE5F93"/>
    <w:rsid w:val="00FE6697"/>
    <w:rsid w:val="00FF040B"/>
    <w:rsid w:val="00FF2E07"/>
    <w:rsid w:val="00FF36E7"/>
    <w:rsid w:val="00FF42B0"/>
    <w:rsid w:val="00FF4A92"/>
    <w:rsid w:val="00FF564D"/>
    <w:rsid w:val="00FF6936"/>
    <w:rsid w:val="00FF7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17E3B"/>
  <w15:chartTrackingRefBased/>
  <w15:docId w15:val="{340B1669-85AF-1D45-B2BE-CB3A2724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58D6"/>
    <w:rPr>
      <w:sz w:val="24"/>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eastAsia="Times New Roman"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eastAsia="Times New Roman"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eastAsia="Times New Roman" w:hAnsi="Calibri Light"/>
      <w:i/>
      <w:iCs/>
      <w:color w:val="3F3F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ody">
    <w:name w:val="3. Body"/>
    <w:basedOn w:val="BodyCopy"/>
    <w:uiPriority w:val="99"/>
    <w:rsid w:val="008262E6"/>
  </w:style>
  <w:style w:type="paragraph" w:customStyle="1" w:styleId="4BulletL1">
    <w:name w:val="4. Bullet L1"/>
    <w:basedOn w:val="Normal"/>
    <w:uiPriority w:val="99"/>
    <w:rsid w:val="00DE1DF9"/>
    <w:pPr>
      <w:widowControl w:val="0"/>
      <w:numPr>
        <w:numId w:val="2"/>
      </w:numPr>
      <w:suppressAutoHyphens/>
      <w:autoSpaceDE w:val="0"/>
      <w:autoSpaceDN w:val="0"/>
      <w:adjustRightInd w:val="0"/>
      <w:spacing w:before="120" w:after="200" w:line="264" w:lineRule="auto"/>
      <w:ind w:left="1071" w:hanging="357"/>
      <w:textAlignment w:val="center"/>
    </w:pPr>
    <w:rPr>
      <w:rFonts w:cs="National-Book"/>
      <w:color w:val="000000"/>
      <w:sz w:val="22"/>
      <w:szCs w:val="22"/>
    </w:rPr>
  </w:style>
  <w:style w:type="character" w:customStyle="1" w:styleId="Bold">
    <w:name w:val="Bold"/>
    <w:uiPriority w:val="99"/>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duction">
    <w:name w:val="Introduction"/>
    <w:basedOn w:val="3Body"/>
    <w:uiPriority w:val="99"/>
    <w:rsid w:val="00F26882"/>
    <w:pPr>
      <w:pBdr>
        <w:top w:val="single" w:sz="4" w:space="1" w:color="auto"/>
        <w:left w:val="single" w:sz="4" w:space="4" w:color="auto"/>
        <w:bottom w:val="single" w:sz="4" w:space="1" w:color="auto"/>
        <w:right w:val="single" w:sz="4" w:space="4" w:color="auto"/>
      </w:pBdr>
    </w:pPr>
  </w:style>
  <w:style w:type="paragraph" w:styleId="Header">
    <w:name w:val="header"/>
    <w:basedOn w:val="Normal"/>
    <w:link w:val="HeaderChar"/>
    <w:uiPriority w:val="99"/>
    <w:unhideWhenUsed/>
    <w:rsid w:val="00F75F73"/>
    <w:pPr>
      <w:tabs>
        <w:tab w:val="center" w:pos="4513"/>
        <w:tab w:val="right" w:pos="9026"/>
      </w:tabs>
    </w:p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rsid w:val="00B5612C"/>
    <w:pPr>
      <w:tabs>
        <w:tab w:val="center" w:pos="4513"/>
        <w:tab w:val="right" w:pos="9026"/>
      </w:tabs>
    </w:pPr>
    <w:rPr>
      <w:color w:val="430098"/>
    </w:rPr>
  </w:style>
  <w:style w:type="character" w:customStyle="1" w:styleId="FooterChar">
    <w:name w:val="Footer Char"/>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3Body"/>
    <w:rsid w:val="00B5612C"/>
    <w:pPr>
      <w:spacing w:after="60"/>
    </w:pPr>
    <w:rPr>
      <w:b/>
      <w:sz w:val="64"/>
      <w:szCs w:val="64"/>
    </w:rPr>
  </w:style>
  <w:style w:type="paragraph" w:customStyle="1" w:styleId="Category">
    <w:name w:val="Category"/>
    <w:basedOn w:val="Header"/>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896A12"/>
    <w:pPr>
      <w:widowControl/>
      <w:tabs>
        <w:tab w:val="clear" w:pos="360"/>
        <w:tab w:val="clear" w:pos="6340"/>
      </w:tabs>
      <w:autoSpaceDE/>
      <w:autoSpaceDN/>
      <w:adjustRightInd/>
      <w:spacing w:before="240" w:after="120" w:line="240" w:lineRule="auto"/>
      <w:ind w:left="0" w:firstLine="0"/>
      <w:textAlignment w:val="auto"/>
    </w:pPr>
    <w:rPr>
      <w:rFonts w:asciiTheme="minorHAnsi" w:hAnsiTheme="minorHAnsi" w:cstheme="minorHAnsi"/>
      <w:color w:val="auto"/>
      <w:sz w:val="20"/>
      <w:szCs w:val="20"/>
    </w:rPr>
  </w:style>
  <w:style w:type="paragraph" w:styleId="TOC2">
    <w:name w:val="toc 2"/>
    <w:basedOn w:val="ContentsSubsection1"/>
    <w:next w:val="Normal"/>
    <w:autoRedefine/>
    <w:uiPriority w:val="39"/>
    <w:unhideWhenUsed/>
    <w:rsid w:val="006B1CF3"/>
    <w:pPr>
      <w:widowControl/>
      <w:tabs>
        <w:tab w:val="clear" w:pos="360"/>
        <w:tab w:val="clear" w:pos="6340"/>
        <w:tab w:val="right" w:leader="dot" w:pos="9622"/>
      </w:tabs>
      <w:autoSpaceDE/>
      <w:autoSpaceDN/>
      <w:adjustRightInd/>
      <w:spacing w:before="120" w:after="200" w:line="240" w:lineRule="auto"/>
      <w:ind w:left="240"/>
      <w:textAlignment w:val="auto"/>
    </w:pPr>
    <w:rPr>
      <w:rFonts w:asciiTheme="minorHAnsi" w:hAnsiTheme="minorHAnsi" w:cstheme="minorHAnsi"/>
      <w:noProof/>
      <w:color w:val="auto"/>
      <w:sz w:val="22"/>
      <w:szCs w:val="22"/>
    </w:rPr>
  </w:style>
  <w:style w:type="paragraph" w:styleId="TOC3">
    <w:name w:val="toc 3"/>
    <w:basedOn w:val="Normal"/>
    <w:next w:val="Normal"/>
    <w:autoRedefine/>
    <w:uiPriority w:val="39"/>
    <w:unhideWhenUsed/>
    <w:rsid w:val="00896A12"/>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896A12"/>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96A12"/>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96A12"/>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96A12"/>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96A12"/>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96A12"/>
    <w:pPr>
      <w:ind w:left="1920"/>
    </w:pPr>
    <w:rPr>
      <w:rFonts w:asciiTheme="minorHAnsi" w:hAnsiTheme="minorHAnsi" w:cstheme="minorHAnsi"/>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rFonts w:ascii="Times New Roman" w:hAnsi="Times New Roman"/>
      <w:lang w:eastAsia="en-GB"/>
    </w:rPr>
  </w:style>
  <w:style w:type="paragraph" w:customStyle="1" w:styleId="DocumentSubtitle">
    <w:name w:val="Document Subtitle"/>
    <w:next w:val="Introduction"/>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3Body"/>
    <w:qFormat/>
    <w:rsid w:val="000A230E"/>
    <w:pPr>
      <w:spacing w:after="240"/>
    </w:pPr>
    <w:rPr>
      <w:lang w:val="en-AU"/>
    </w:rPr>
  </w:style>
  <w:style w:type="character" w:customStyle="1" w:styleId="Heading3Char">
    <w:name w:val="Heading 3 Char"/>
    <w:aliases w:val="Subhead2 Char"/>
    <w:link w:val="Heading3"/>
    <w:uiPriority w:val="9"/>
    <w:rsid w:val="00883D15"/>
    <w:rPr>
      <w:rFonts w:eastAsia="Times New Roman" w:cs="Calibri"/>
      <w:color w:val="BFBFBF"/>
      <w:sz w:val="28"/>
      <w:szCs w:val="28"/>
      <w:lang w:val="en-GB" w:eastAsia="en-US"/>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rsid w:val="00EB4944"/>
    <w:pPr>
      <w:keepNext w:val="0"/>
      <w:keepLines w:val="0"/>
      <w:spacing w:before="120" w:after="160" w:line="264" w:lineRule="auto"/>
    </w:pPr>
    <w:rPr>
      <w:rFonts w:ascii="Calibri" w:hAnsi="Calibri"/>
      <w:b/>
      <w:color w:val="5620A9"/>
      <w:sz w:val="22"/>
    </w:rPr>
  </w:style>
  <w:style w:type="paragraph" w:customStyle="1" w:styleId="SectionSubhead">
    <w:name w:val="Section Subhead"/>
    <w:basedOn w:val="Heading2"/>
    <w:rsid w:val="00EB4944"/>
    <w:pPr>
      <w:keepNext w:val="0"/>
      <w:keepLines w:val="0"/>
      <w:spacing w:before="120" w:after="160" w:line="264" w:lineRule="auto"/>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urfulAccent31">
    <w:name w:val="Grid Table 6 Colou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urfulAccent21">
    <w:name w:val="Grid Table 6 Colou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6"/>
      </w:numPr>
    </w:pPr>
  </w:style>
  <w:style w:type="paragraph" w:customStyle="1" w:styleId="OVICList">
    <w:name w:val="OVIC List"/>
    <w:rsid w:val="005226D3"/>
    <w:pPr>
      <w:numPr>
        <w:numId w:val="7"/>
      </w:numPr>
    </w:pPr>
    <w:rPr>
      <w:rFonts w:cs="National-Book"/>
      <w:color w:val="55565A"/>
      <w:sz w:val="22"/>
      <w:szCs w:val="22"/>
      <w:lang w:val="en-US" w:eastAsia="en-US"/>
    </w:rPr>
  </w:style>
  <w:style w:type="paragraph" w:customStyle="1" w:styleId="5BulletL2">
    <w:name w:val="5. Bullet L2"/>
    <w:basedOn w:val="4BulletL1"/>
    <w:rsid w:val="00C258D6"/>
    <w:pPr>
      <w:numPr>
        <w:ilvl w:val="1"/>
      </w:numPr>
      <w:ind w:left="1429" w:hanging="357"/>
    </w:pPr>
  </w:style>
  <w:style w:type="paragraph" w:customStyle="1" w:styleId="Casestudy">
    <w:name w:val="Case study"/>
    <w:basedOn w:val="Introduction"/>
    <w:qFormat/>
    <w:rsid w:val="005305F0"/>
    <w:pPr>
      <w:pBdr>
        <w:top w:val="none" w:sz="0" w:space="0" w:color="auto"/>
        <w:left w:val="none" w:sz="0" w:space="0" w:color="auto"/>
        <w:bottom w:val="none" w:sz="0" w:space="0" w:color="auto"/>
        <w:right w:val="none" w:sz="0" w:space="0" w:color="auto"/>
      </w:pBdr>
      <w:shd w:val="clear" w:color="auto" w:fill="F5F5F5"/>
      <w:ind w:left="714" w:right="714"/>
    </w:pPr>
  </w:style>
  <w:style w:type="paragraph" w:styleId="BalloonText">
    <w:name w:val="Balloon Text"/>
    <w:basedOn w:val="Normal"/>
    <w:link w:val="BalloonTextChar"/>
    <w:uiPriority w:val="99"/>
    <w:semiHidden/>
    <w:unhideWhenUsed/>
    <w:rsid w:val="00BC0A12"/>
    <w:rPr>
      <w:rFonts w:ascii="Times New Roman" w:hAnsi="Times New Roman"/>
      <w:sz w:val="18"/>
      <w:szCs w:val="18"/>
    </w:rPr>
  </w:style>
  <w:style w:type="character" w:customStyle="1" w:styleId="BalloonTextChar">
    <w:name w:val="Balloon Text Char"/>
    <w:link w:val="BalloonText"/>
    <w:uiPriority w:val="99"/>
    <w:semiHidden/>
    <w:rsid w:val="00BC0A12"/>
    <w:rPr>
      <w:rFonts w:ascii="Times New Roman" w:hAnsi="Times New Roman"/>
      <w:sz w:val="18"/>
      <w:szCs w:val="18"/>
    </w:rPr>
  </w:style>
  <w:style w:type="paragraph" w:customStyle="1" w:styleId="Heading-1">
    <w:name w:val="Heading-1"/>
    <w:basedOn w:val="Heading1"/>
    <w:qFormat/>
    <w:rsid w:val="008262E6"/>
    <w:pPr>
      <w:keepNext w:val="0"/>
      <w:keepLines w:val="0"/>
      <w:spacing w:before="120" w:after="200" w:line="264" w:lineRule="auto"/>
    </w:pPr>
    <w:rPr>
      <w:rFonts w:ascii="Calibri" w:hAnsi="Calibri"/>
      <w:b/>
      <w:color w:val="430098"/>
      <w:sz w:val="28"/>
    </w:rPr>
  </w:style>
  <w:style w:type="paragraph" w:customStyle="1" w:styleId="Heading-2">
    <w:name w:val="Heading-2"/>
    <w:basedOn w:val="Heading2"/>
    <w:qFormat/>
    <w:rsid w:val="006B1CF3"/>
    <w:pPr>
      <w:keepLines w:val="0"/>
      <w:spacing w:before="120" w:after="200" w:line="264" w:lineRule="auto"/>
    </w:pPr>
    <w:rPr>
      <w:rFonts w:ascii="Calibri" w:hAnsi="Calibri"/>
      <w:b/>
      <w:bCs/>
      <w:i/>
      <w:iCs/>
      <w:color w:val="430098"/>
      <w:sz w:val="24"/>
      <w:szCs w:val="28"/>
    </w:rPr>
  </w:style>
  <w:style w:type="paragraph" w:customStyle="1" w:styleId="Level3Heading">
    <w:name w:val="Level 3 Heading"/>
    <w:basedOn w:val="Heading3"/>
    <w:rsid w:val="004F4ED5"/>
    <w:pPr>
      <w:numPr>
        <w:ilvl w:val="0"/>
        <w:numId w:val="0"/>
      </w:numPr>
    </w:pPr>
    <w:rPr>
      <w:i/>
      <w:color w:val="430098"/>
      <w:sz w:val="24"/>
    </w:rPr>
  </w:style>
  <w:style w:type="paragraph" w:styleId="TOCHeading">
    <w:name w:val="TOC Heading"/>
    <w:basedOn w:val="Heading1"/>
    <w:next w:val="Normal"/>
    <w:uiPriority w:val="39"/>
    <w:unhideWhenUsed/>
    <w:rsid w:val="00896A12"/>
    <w:pPr>
      <w:spacing w:before="480" w:line="276" w:lineRule="auto"/>
      <w:outlineLvl w:val="9"/>
    </w:pPr>
    <w:rPr>
      <w:b/>
      <w:bCs/>
      <w:color w:val="2F5496"/>
      <w:sz w:val="28"/>
      <w:szCs w:val="28"/>
      <w:lang w:val="en-US"/>
    </w:rPr>
  </w:style>
  <w:style w:type="paragraph" w:styleId="EndnoteText">
    <w:name w:val="endnote text"/>
    <w:basedOn w:val="Normal"/>
    <w:link w:val="EndnoteTextChar"/>
    <w:uiPriority w:val="99"/>
    <w:semiHidden/>
    <w:unhideWhenUsed/>
    <w:rsid w:val="00CB04BB"/>
    <w:rPr>
      <w:sz w:val="20"/>
      <w:szCs w:val="20"/>
    </w:rPr>
  </w:style>
  <w:style w:type="character" w:customStyle="1" w:styleId="EndnoteTextChar">
    <w:name w:val="Endnote Text Char"/>
    <w:basedOn w:val="DefaultParagraphFont"/>
    <w:link w:val="EndnoteText"/>
    <w:uiPriority w:val="99"/>
    <w:semiHidden/>
    <w:rsid w:val="00CB04BB"/>
    <w:rPr>
      <w:lang w:eastAsia="en-US"/>
    </w:rPr>
  </w:style>
  <w:style w:type="character" w:styleId="EndnoteReference">
    <w:name w:val="endnote reference"/>
    <w:basedOn w:val="DefaultParagraphFont"/>
    <w:uiPriority w:val="99"/>
    <w:semiHidden/>
    <w:unhideWhenUsed/>
    <w:rsid w:val="00CB04BB"/>
    <w:rPr>
      <w:vertAlign w:val="superscript"/>
    </w:rPr>
  </w:style>
  <w:style w:type="paragraph" w:customStyle="1" w:styleId="7SectionL1">
    <w:name w:val="7. Section L1"/>
    <w:basedOn w:val="3Body"/>
    <w:rsid w:val="00863E22"/>
    <w:pPr>
      <w:numPr>
        <w:numId w:val="8"/>
      </w:numPr>
      <w:ind w:left="567" w:hanging="567"/>
    </w:pPr>
  </w:style>
  <w:style w:type="paragraph" w:customStyle="1" w:styleId="8SectionL2">
    <w:name w:val="8. Section L2"/>
    <w:basedOn w:val="3Body"/>
    <w:rsid w:val="00863E22"/>
    <w:pPr>
      <w:ind w:left="1077" w:hanging="510"/>
    </w:pPr>
  </w:style>
  <w:style w:type="paragraph" w:customStyle="1" w:styleId="9SectionL3">
    <w:name w:val="9. Section L3"/>
    <w:basedOn w:val="3Body"/>
    <w:rsid w:val="00863E22"/>
    <w:pPr>
      <w:numPr>
        <w:ilvl w:val="2"/>
        <w:numId w:val="8"/>
      </w:numPr>
      <w:ind w:left="1474" w:hanging="227"/>
    </w:pPr>
  </w:style>
  <w:style w:type="paragraph" w:customStyle="1" w:styleId="BodyCopy">
    <w:name w:val="Body Copy"/>
    <w:basedOn w:val="Normal"/>
    <w:uiPriority w:val="99"/>
    <w:rsid w:val="008262E6"/>
    <w:pPr>
      <w:widowControl w:val="0"/>
      <w:suppressAutoHyphens/>
      <w:autoSpaceDE w:val="0"/>
      <w:autoSpaceDN w:val="0"/>
      <w:adjustRightInd w:val="0"/>
      <w:spacing w:before="120" w:after="200" w:line="264" w:lineRule="auto"/>
      <w:textAlignment w:val="center"/>
    </w:pPr>
    <w:rPr>
      <w:rFonts w:cs="National-Book"/>
      <w:color w:val="000000" w:themeColor="text1"/>
      <w:sz w:val="22"/>
      <w:szCs w:val="22"/>
      <w:lang w:val="en-US"/>
    </w:rPr>
  </w:style>
  <w:style w:type="paragraph" w:styleId="FootnoteText">
    <w:name w:val="footnote text"/>
    <w:basedOn w:val="Normal"/>
    <w:link w:val="FootnoteTextChar"/>
    <w:uiPriority w:val="99"/>
    <w:semiHidden/>
    <w:unhideWhenUsed/>
    <w:rsid w:val="008262E6"/>
    <w:rPr>
      <w:sz w:val="20"/>
      <w:szCs w:val="20"/>
      <w:lang w:val="en-GB"/>
    </w:rPr>
  </w:style>
  <w:style w:type="character" w:customStyle="1" w:styleId="FootnoteTextChar">
    <w:name w:val="Footnote Text Char"/>
    <w:basedOn w:val="DefaultParagraphFont"/>
    <w:link w:val="FootnoteText"/>
    <w:uiPriority w:val="99"/>
    <w:semiHidden/>
    <w:rsid w:val="008262E6"/>
    <w:rPr>
      <w:lang w:val="en-GB" w:eastAsia="en-US"/>
    </w:rPr>
  </w:style>
  <w:style w:type="character" w:styleId="FootnoteReference">
    <w:name w:val="footnote reference"/>
    <w:basedOn w:val="DefaultParagraphFont"/>
    <w:uiPriority w:val="99"/>
    <w:semiHidden/>
    <w:unhideWhenUsed/>
    <w:rsid w:val="008262E6"/>
    <w:rPr>
      <w:vertAlign w:val="superscript"/>
    </w:rPr>
  </w:style>
  <w:style w:type="paragraph" w:customStyle="1" w:styleId="Heading-3">
    <w:name w:val="Heading-3"/>
    <w:basedOn w:val="Body"/>
    <w:qFormat/>
    <w:rsid w:val="006B1CF3"/>
    <w:rPr>
      <w:b/>
      <w:bCs/>
    </w:rPr>
  </w:style>
  <w:style w:type="character" w:customStyle="1" w:styleId="easy-footnote">
    <w:name w:val="easy-footnote"/>
    <w:basedOn w:val="DefaultParagraphFont"/>
    <w:rsid w:val="00FE565E"/>
  </w:style>
  <w:style w:type="character" w:styleId="Strong">
    <w:name w:val="Strong"/>
    <w:basedOn w:val="DefaultParagraphFont"/>
    <w:uiPriority w:val="22"/>
    <w:qFormat/>
    <w:rsid w:val="00E07CC0"/>
    <w:rPr>
      <w:b/>
      <w:bCs/>
    </w:rPr>
  </w:style>
  <w:style w:type="character" w:styleId="UnresolvedMention">
    <w:name w:val="Unresolved Mention"/>
    <w:basedOn w:val="DefaultParagraphFont"/>
    <w:uiPriority w:val="99"/>
    <w:semiHidden/>
    <w:unhideWhenUsed/>
    <w:rsid w:val="005A2192"/>
    <w:rPr>
      <w:color w:val="605E5C"/>
      <w:shd w:val="clear" w:color="auto" w:fill="E1DFDD"/>
    </w:rPr>
  </w:style>
  <w:style w:type="character" w:styleId="FollowedHyperlink">
    <w:name w:val="FollowedHyperlink"/>
    <w:basedOn w:val="DefaultParagraphFont"/>
    <w:uiPriority w:val="99"/>
    <w:semiHidden/>
    <w:unhideWhenUsed/>
    <w:rsid w:val="00975400"/>
    <w:rPr>
      <w:color w:val="954F72" w:themeColor="followedHyperlink"/>
      <w:u w:val="single"/>
    </w:rPr>
  </w:style>
  <w:style w:type="paragraph" w:styleId="CommentText">
    <w:name w:val="annotation text"/>
    <w:basedOn w:val="Normal"/>
    <w:link w:val="CommentTextChar"/>
    <w:uiPriority w:val="99"/>
    <w:semiHidden/>
    <w:unhideWhenUsed/>
    <w:rsid w:val="00B22615"/>
    <w:rPr>
      <w:sz w:val="20"/>
      <w:szCs w:val="20"/>
    </w:rPr>
  </w:style>
  <w:style w:type="character" w:customStyle="1" w:styleId="CommentTextChar">
    <w:name w:val="Comment Text Char"/>
    <w:basedOn w:val="DefaultParagraphFont"/>
    <w:link w:val="CommentText"/>
    <w:uiPriority w:val="99"/>
    <w:semiHidden/>
    <w:rsid w:val="00B22615"/>
    <w:rPr>
      <w:lang w:eastAsia="en-US"/>
    </w:rPr>
  </w:style>
  <w:style w:type="paragraph" w:styleId="CommentSubject">
    <w:name w:val="annotation subject"/>
    <w:basedOn w:val="CommentText"/>
    <w:next w:val="CommentText"/>
    <w:link w:val="CommentSubjectChar"/>
    <w:uiPriority w:val="99"/>
    <w:semiHidden/>
    <w:unhideWhenUsed/>
    <w:rsid w:val="00B22615"/>
    <w:rPr>
      <w:b/>
      <w:bCs/>
    </w:rPr>
  </w:style>
  <w:style w:type="character" w:customStyle="1" w:styleId="CommentSubjectChar">
    <w:name w:val="Comment Subject Char"/>
    <w:basedOn w:val="CommentTextChar"/>
    <w:link w:val="CommentSubject"/>
    <w:uiPriority w:val="99"/>
    <w:semiHidden/>
    <w:rsid w:val="00B22615"/>
    <w:rPr>
      <w:b/>
      <w:bCs/>
      <w:lang w:eastAsia="en-US"/>
    </w:rPr>
  </w:style>
  <w:style w:type="paragraph" w:styleId="ListParagraph">
    <w:name w:val="List Paragraph"/>
    <w:basedOn w:val="Normal"/>
    <w:uiPriority w:val="34"/>
    <w:qFormat/>
    <w:rsid w:val="00307456"/>
    <w:pPr>
      <w:ind w:left="720"/>
      <w:contextualSpacing/>
    </w:pPr>
  </w:style>
  <w:style w:type="paragraph" w:styleId="Revision">
    <w:name w:val="Revision"/>
    <w:hidden/>
    <w:uiPriority w:val="99"/>
    <w:semiHidden/>
    <w:rsid w:val="006A0C4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3710">
      <w:bodyDiv w:val="1"/>
      <w:marLeft w:val="0"/>
      <w:marRight w:val="0"/>
      <w:marTop w:val="0"/>
      <w:marBottom w:val="0"/>
      <w:divBdr>
        <w:top w:val="none" w:sz="0" w:space="0" w:color="auto"/>
        <w:left w:val="none" w:sz="0" w:space="0" w:color="auto"/>
        <w:bottom w:val="none" w:sz="0" w:space="0" w:color="auto"/>
        <w:right w:val="none" w:sz="0" w:space="0" w:color="auto"/>
      </w:divBdr>
    </w:div>
    <w:div w:id="55518585">
      <w:bodyDiv w:val="1"/>
      <w:marLeft w:val="0"/>
      <w:marRight w:val="0"/>
      <w:marTop w:val="0"/>
      <w:marBottom w:val="0"/>
      <w:divBdr>
        <w:top w:val="none" w:sz="0" w:space="0" w:color="auto"/>
        <w:left w:val="none" w:sz="0" w:space="0" w:color="auto"/>
        <w:bottom w:val="none" w:sz="0" w:space="0" w:color="auto"/>
        <w:right w:val="none" w:sz="0" w:space="0" w:color="auto"/>
      </w:divBdr>
    </w:div>
    <w:div w:id="101144916">
      <w:bodyDiv w:val="1"/>
      <w:marLeft w:val="0"/>
      <w:marRight w:val="0"/>
      <w:marTop w:val="0"/>
      <w:marBottom w:val="0"/>
      <w:divBdr>
        <w:top w:val="none" w:sz="0" w:space="0" w:color="auto"/>
        <w:left w:val="none" w:sz="0" w:space="0" w:color="auto"/>
        <w:bottom w:val="none" w:sz="0" w:space="0" w:color="auto"/>
        <w:right w:val="none" w:sz="0" w:space="0" w:color="auto"/>
      </w:divBdr>
    </w:div>
    <w:div w:id="103814020">
      <w:bodyDiv w:val="1"/>
      <w:marLeft w:val="0"/>
      <w:marRight w:val="0"/>
      <w:marTop w:val="0"/>
      <w:marBottom w:val="0"/>
      <w:divBdr>
        <w:top w:val="none" w:sz="0" w:space="0" w:color="auto"/>
        <w:left w:val="none" w:sz="0" w:space="0" w:color="auto"/>
        <w:bottom w:val="none" w:sz="0" w:space="0" w:color="auto"/>
        <w:right w:val="none" w:sz="0" w:space="0" w:color="auto"/>
      </w:divBdr>
      <w:divsChild>
        <w:div w:id="980229135">
          <w:marLeft w:val="547"/>
          <w:marRight w:val="0"/>
          <w:marTop w:val="0"/>
          <w:marBottom w:val="0"/>
          <w:divBdr>
            <w:top w:val="none" w:sz="0" w:space="0" w:color="auto"/>
            <w:left w:val="none" w:sz="0" w:space="0" w:color="auto"/>
            <w:bottom w:val="none" w:sz="0" w:space="0" w:color="auto"/>
            <w:right w:val="none" w:sz="0" w:space="0" w:color="auto"/>
          </w:divBdr>
        </w:div>
      </w:divsChild>
    </w:div>
    <w:div w:id="205917311">
      <w:bodyDiv w:val="1"/>
      <w:marLeft w:val="0"/>
      <w:marRight w:val="0"/>
      <w:marTop w:val="0"/>
      <w:marBottom w:val="0"/>
      <w:divBdr>
        <w:top w:val="none" w:sz="0" w:space="0" w:color="auto"/>
        <w:left w:val="none" w:sz="0" w:space="0" w:color="auto"/>
        <w:bottom w:val="none" w:sz="0" w:space="0" w:color="auto"/>
        <w:right w:val="none" w:sz="0" w:space="0" w:color="auto"/>
      </w:divBdr>
      <w:divsChild>
        <w:div w:id="430857036">
          <w:marLeft w:val="0"/>
          <w:marRight w:val="0"/>
          <w:marTop w:val="0"/>
          <w:marBottom w:val="0"/>
          <w:divBdr>
            <w:top w:val="none" w:sz="0" w:space="0" w:color="auto"/>
            <w:left w:val="none" w:sz="0" w:space="0" w:color="auto"/>
            <w:bottom w:val="none" w:sz="0" w:space="0" w:color="auto"/>
            <w:right w:val="none" w:sz="0" w:space="0" w:color="auto"/>
          </w:divBdr>
          <w:divsChild>
            <w:div w:id="987440211">
              <w:marLeft w:val="0"/>
              <w:marRight w:val="0"/>
              <w:marTop w:val="0"/>
              <w:marBottom w:val="0"/>
              <w:divBdr>
                <w:top w:val="none" w:sz="0" w:space="0" w:color="auto"/>
                <w:left w:val="none" w:sz="0" w:space="0" w:color="auto"/>
                <w:bottom w:val="none" w:sz="0" w:space="0" w:color="auto"/>
                <w:right w:val="none" w:sz="0" w:space="0" w:color="auto"/>
              </w:divBdr>
              <w:divsChild>
                <w:div w:id="1386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14798">
      <w:bodyDiv w:val="1"/>
      <w:marLeft w:val="0"/>
      <w:marRight w:val="0"/>
      <w:marTop w:val="0"/>
      <w:marBottom w:val="0"/>
      <w:divBdr>
        <w:top w:val="none" w:sz="0" w:space="0" w:color="auto"/>
        <w:left w:val="none" w:sz="0" w:space="0" w:color="auto"/>
        <w:bottom w:val="none" w:sz="0" w:space="0" w:color="auto"/>
        <w:right w:val="none" w:sz="0" w:space="0" w:color="auto"/>
      </w:divBdr>
      <w:divsChild>
        <w:div w:id="1270578178">
          <w:marLeft w:val="0"/>
          <w:marRight w:val="0"/>
          <w:marTop w:val="0"/>
          <w:marBottom w:val="0"/>
          <w:divBdr>
            <w:top w:val="none" w:sz="0" w:space="0" w:color="auto"/>
            <w:left w:val="none" w:sz="0" w:space="0" w:color="auto"/>
            <w:bottom w:val="none" w:sz="0" w:space="0" w:color="auto"/>
            <w:right w:val="none" w:sz="0" w:space="0" w:color="auto"/>
          </w:divBdr>
          <w:divsChild>
            <w:div w:id="736392422">
              <w:marLeft w:val="0"/>
              <w:marRight w:val="0"/>
              <w:marTop w:val="0"/>
              <w:marBottom w:val="0"/>
              <w:divBdr>
                <w:top w:val="none" w:sz="0" w:space="0" w:color="auto"/>
                <w:left w:val="none" w:sz="0" w:space="0" w:color="auto"/>
                <w:bottom w:val="none" w:sz="0" w:space="0" w:color="auto"/>
                <w:right w:val="none" w:sz="0" w:space="0" w:color="auto"/>
              </w:divBdr>
              <w:divsChild>
                <w:div w:id="11460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48369">
      <w:bodyDiv w:val="1"/>
      <w:marLeft w:val="0"/>
      <w:marRight w:val="0"/>
      <w:marTop w:val="0"/>
      <w:marBottom w:val="0"/>
      <w:divBdr>
        <w:top w:val="none" w:sz="0" w:space="0" w:color="auto"/>
        <w:left w:val="none" w:sz="0" w:space="0" w:color="auto"/>
        <w:bottom w:val="none" w:sz="0" w:space="0" w:color="auto"/>
        <w:right w:val="none" w:sz="0" w:space="0" w:color="auto"/>
      </w:divBdr>
    </w:div>
    <w:div w:id="270284446">
      <w:bodyDiv w:val="1"/>
      <w:marLeft w:val="0"/>
      <w:marRight w:val="0"/>
      <w:marTop w:val="0"/>
      <w:marBottom w:val="0"/>
      <w:divBdr>
        <w:top w:val="none" w:sz="0" w:space="0" w:color="auto"/>
        <w:left w:val="none" w:sz="0" w:space="0" w:color="auto"/>
        <w:bottom w:val="none" w:sz="0" w:space="0" w:color="auto"/>
        <w:right w:val="none" w:sz="0" w:space="0" w:color="auto"/>
      </w:divBdr>
      <w:divsChild>
        <w:div w:id="515535927">
          <w:marLeft w:val="0"/>
          <w:marRight w:val="0"/>
          <w:marTop w:val="0"/>
          <w:marBottom w:val="0"/>
          <w:divBdr>
            <w:top w:val="none" w:sz="0" w:space="0" w:color="auto"/>
            <w:left w:val="none" w:sz="0" w:space="0" w:color="auto"/>
            <w:bottom w:val="none" w:sz="0" w:space="0" w:color="auto"/>
            <w:right w:val="none" w:sz="0" w:space="0" w:color="auto"/>
          </w:divBdr>
          <w:divsChild>
            <w:div w:id="211042062">
              <w:marLeft w:val="0"/>
              <w:marRight w:val="0"/>
              <w:marTop w:val="0"/>
              <w:marBottom w:val="0"/>
              <w:divBdr>
                <w:top w:val="none" w:sz="0" w:space="0" w:color="auto"/>
                <w:left w:val="none" w:sz="0" w:space="0" w:color="auto"/>
                <w:bottom w:val="none" w:sz="0" w:space="0" w:color="auto"/>
                <w:right w:val="none" w:sz="0" w:space="0" w:color="auto"/>
              </w:divBdr>
              <w:divsChild>
                <w:div w:id="5439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367920531">
      <w:bodyDiv w:val="1"/>
      <w:marLeft w:val="0"/>
      <w:marRight w:val="0"/>
      <w:marTop w:val="0"/>
      <w:marBottom w:val="0"/>
      <w:divBdr>
        <w:top w:val="none" w:sz="0" w:space="0" w:color="auto"/>
        <w:left w:val="none" w:sz="0" w:space="0" w:color="auto"/>
        <w:bottom w:val="none" w:sz="0" w:space="0" w:color="auto"/>
        <w:right w:val="none" w:sz="0" w:space="0" w:color="auto"/>
      </w:divBdr>
      <w:divsChild>
        <w:div w:id="574978085">
          <w:marLeft w:val="547"/>
          <w:marRight w:val="0"/>
          <w:marTop w:val="0"/>
          <w:marBottom w:val="0"/>
          <w:divBdr>
            <w:top w:val="none" w:sz="0" w:space="0" w:color="auto"/>
            <w:left w:val="none" w:sz="0" w:space="0" w:color="auto"/>
            <w:bottom w:val="none" w:sz="0" w:space="0" w:color="auto"/>
            <w:right w:val="none" w:sz="0" w:space="0" w:color="auto"/>
          </w:divBdr>
        </w:div>
        <w:div w:id="236138967">
          <w:marLeft w:val="547"/>
          <w:marRight w:val="0"/>
          <w:marTop w:val="0"/>
          <w:marBottom w:val="0"/>
          <w:divBdr>
            <w:top w:val="none" w:sz="0" w:space="0" w:color="auto"/>
            <w:left w:val="none" w:sz="0" w:space="0" w:color="auto"/>
            <w:bottom w:val="none" w:sz="0" w:space="0" w:color="auto"/>
            <w:right w:val="none" w:sz="0" w:space="0" w:color="auto"/>
          </w:divBdr>
        </w:div>
      </w:divsChild>
    </w:div>
    <w:div w:id="391003476">
      <w:bodyDiv w:val="1"/>
      <w:marLeft w:val="0"/>
      <w:marRight w:val="0"/>
      <w:marTop w:val="0"/>
      <w:marBottom w:val="0"/>
      <w:divBdr>
        <w:top w:val="none" w:sz="0" w:space="0" w:color="auto"/>
        <w:left w:val="none" w:sz="0" w:space="0" w:color="auto"/>
        <w:bottom w:val="none" w:sz="0" w:space="0" w:color="auto"/>
        <w:right w:val="none" w:sz="0" w:space="0" w:color="auto"/>
      </w:divBdr>
    </w:div>
    <w:div w:id="439960938">
      <w:bodyDiv w:val="1"/>
      <w:marLeft w:val="0"/>
      <w:marRight w:val="0"/>
      <w:marTop w:val="0"/>
      <w:marBottom w:val="0"/>
      <w:divBdr>
        <w:top w:val="none" w:sz="0" w:space="0" w:color="auto"/>
        <w:left w:val="none" w:sz="0" w:space="0" w:color="auto"/>
        <w:bottom w:val="none" w:sz="0" w:space="0" w:color="auto"/>
        <w:right w:val="none" w:sz="0" w:space="0" w:color="auto"/>
      </w:divBdr>
    </w:div>
    <w:div w:id="450976712">
      <w:bodyDiv w:val="1"/>
      <w:marLeft w:val="0"/>
      <w:marRight w:val="0"/>
      <w:marTop w:val="0"/>
      <w:marBottom w:val="0"/>
      <w:divBdr>
        <w:top w:val="none" w:sz="0" w:space="0" w:color="auto"/>
        <w:left w:val="none" w:sz="0" w:space="0" w:color="auto"/>
        <w:bottom w:val="none" w:sz="0" w:space="0" w:color="auto"/>
        <w:right w:val="none" w:sz="0" w:space="0" w:color="auto"/>
      </w:divBdr>
      <w:divsChild>
        <w:div w:id="916863181">
          <w:marLeft w:val="547"/>
          <w:marRight w:val="0"/>
          <w:marTop w:val="0"/>
          <w:marBottom w:val="0"/>
          <w:divBdr>
            <w:top w:val="none" w:sz="0" w:space="0" w:color="auto"/>
            <w:left w:val="none" w:sz="0" w:space="0" w:color="auto"/>
            <w:bottom w:val="none" w:sz="0" w:space="0" w:color="auto"/>
            <w:right w:val="none" w:sz="0" w:space="0" w:color="auto"/>
          </w:divBdr>
        </w:div>
      </w:divsChild>
    </w:div>
    <w:div w:id="452789385">
      <w:bodyDiv w:val="1"/>
      <w:marLeft w:val="0"/>
      <w:marRight w:val="0"/>
      <w:marTop w:val="0"/>
      <w:marBottom w:val="0"/>
      <w:divBdr>
        <w:top w:val="none" w:sz="0" w:space="0" w:color="auto"/>
        <w:left w:val="none" w:sz="0" w:space="0" w:color="auto"/>
        <w:bottom w:val="none" w:sz="0" w:space="0" w:color="auto"/>
        <w:right w:val="none" w:sz="0" w:space="0" w:color="auto"/>
      </w:divBdr>
      <w:divsChild>
        <w:div w:id="1782650672">
          <w:marLeft w:val="0"/>
          <w:marRight w:val="0"/>
          <w:marTop w:val="0"/>
          <w:marBottom w:val="0"/>
          <w:divBdr>
            <w:top w:val="none" w:sz="0" w:space="0" w:color="auto"/>
            <w:left w:val="none" w:sz="0" w:space="0" w:color="auto"/>
            <w:bottom w:val="none" w:sz="0" w:space="0" w:color="auto"/>
            <w:right w:val="none" w:sz="0" w:space="0" w:color="auto"/>
          </w:divBdr>
          <w:divsChild>
            <w:div w:id="1032069515">
              <w:marLeft w:val="0"/>
              <w:marRight w:val="0"/>
              <w:marTop w:val="0"/>
              <w:marBottom w:val="0"/>
              <w:divBdr>
                <w:top w:val="none" w:sz="0" w:space="0" w:color="auto"/>
                <w:left w:val="none" w:sz="0" w:space="0" w:color="auto"/>
                <w:bottom w:val="none" w:sz="0" w:space="0" w:color="auto"/>
                <w:right w:val="none" w:sz="0" w:space="0" w:color="auto"/>
              </w:divBdr>
              <w:divsChild>
                <w:div w:id="7363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0596">
      <w:bodyDiv w:val="1"/>
      <w:marLeft w:val="0"/>
      <w:marRight w:val="0"/>
      <w:marTop w:val="0"/>
      <w:marBottom w:val="0"/>
      <w:divBdr>
        <w:top w:val="none" w:sz="0" w:space="0" w:color="auto"/>
        <w:left w:val="none" w:sz="0" w:space="0" w:color="auto"/>
        <w:bottom w:val="none" w:sz="0" w:space="0" w:color="auto"/>
        <w:right w:val="none" w:sz="0" w:space="0" w:color="auto"/>
      </w:divBdr>
    </w:div>
    <w:div w:id="518470232">
      <w:bodyDiv w:val="1"/>
      <w:marLeft w:val="0"/>
      <w:marRight w:val="0"/>
      <w:marTop w:val="0"/>
      <w:marBottom w:val="0"/>
      <w:divBdr>
        <w:top w:val="none" w:sz="0" w:space="0" w:color="auto"/>
        <w:left w:val="none" w:sz="0" w:space="0" w:color="auto"/>
        <w:bottom w:val="none" w:sz="0" w:space="0" w:color="auto"/>
        <w:right w:val="none" w:sz="0" w:space="0" w:color="auto"/>
      </w:divBdr>
      <w:divsChild>
        <w:div w:id="1735816851">
          <w:marLeft w:val="0"/>
          <w:marRight w:val="0"/>
          <w:marTop w:val="0"/>
          <w:marBottom w:val="0"/>
          <w:divBdr>
            <w:top w:val="none" w:sz="0" w:space="0" w:color="auto"/>
            <w:left w:val="none" w:sz="0" w:space="0" w:color="auto"/>
            <w:bottom w:val="none" w:sz="0" w:space="0" w:color="auto"/>
            <w:right w:val="none" w:sz="0" w:space="0" w:color="auto"/>
          </w:divBdr>
          <w:divsChild>
            <w:div w:id="1304699685">
              <w:marLeft w:val="0"/>
              <w:marRight w:val="0"/>
              <w:marTop w:val="0"/>
              <w:marBottom w:val="0"/>
              <w:divBdr>
                <w:top w:val="none" w:sz="0" w:space="0" w:color="auto"/>
                <w:left w:val="none" w:sz="0" w:space="0" w:color="auto"/>
                <w:bottom w:val="none" w:sz="0" w:space="0" w:color="auto"/>
                <w:right w:val="none" w:sz="0" w:space="0" w:color="auto"/>
              </w:divBdr>
              <w:divsChild>
                <w:div w:id="11510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5672">
      <w:bodyDiv w:val="1"/>
      <w:marLeft w:val="0"/>
      <w:marRight w:val="0"/>
      <w:marTop w:val="0"/>
      <w:marBottom w:val="0"/>
      <w:divBdr>
        <w:top w:val="none" w:sz="0" w:space="0" w:color="auto"/>
        <w:left w:val="none" w:sz="0" w:space="0" w:color="auto"/>
        <w:bottom w:val="none" w:sz="0" w:space="0" w:color="auto"/>
        <w:right w:val="none" w:sz="0" w:space="0" w:color="auto"/>
      </w:divBdr>
      <w:divsChild>
        <w:div w:id="1612545097">
          <w:marLeft w:val="547"/>
          <w:marRight w:val="0"/>
          <w:marTop w:val="0"/>
          <w:marBottom w:val="0"/>
          <w:divBdr>
            <w:top w:val="none" w:sz="0" w:space="0" w:color="auto"/>
            <w:left w:val="none" w:sz="0" w:space="0" w:color="auto"/>
            <w:bottom w:val="none" w:sz="0" w:space="0" w:color="auto"/>
            <w:right w:val="none" w:sz="0" w:space="0" w:color="auto"/>
          </w:divBdr>
        </w:div>
      </w:divsChild>
    </w:div>
    <w:div w:id="591545315">
      <w:bodyDiv w:val="1"/>
      <w:marLeft w:val="0"/>
      <w:marRight w:val="0"/>
      <w:marTop w:val="0"/>
      <w:marBottom w:val="0"/>
      <w:divBdr>
        <w:top w:val="none" w:sz="0" w:space="0" w:color="auto"/>
        <w:left w:val="none" w:sz="0" w:space="0" w:color="auto"/>
        <w:bottom w:val="none" w:sz="0" w:space="0" w:color="auto"/>
        <w:right w:val="none" w:sz="0" w:space="0" w:color="auto"/>
      </w:divBdr>
      <w:divsChild>
        <w:div w:id="1973241865">
          <w:marLeft w:val="0"/>
          <w:marRight w:val="0"/>
          <w:marTop w:val="0"/>
          <w:marBottom w:val="0"/>
          <w:divBdr>
            <w:top w:val="none" w:sz="0" w:space="0" w:color="auto"/>
            <w:left w:val="none" w:sz="0" w:space="0" w:color="auto"/>
            <w:bottom w:val="none" w:sz="0" w:space="0" w:color="auto"/>
            <w:right w:val="none" w:sz="0" w:space="0" w:color="auto"/>
          </w:divBdr>
          <w:divsChild>
            <w:div w:id="953250453">
              <w:marLeft w:val="0"/>
              <w:marRight w:val="0"/>
              <w:marTop w:val="0"/>
              <w:marBottom w:val="0"/>
              <w:divBdr>
                <w:top w:val="none" w:sz="0" w:space="0" w:color="auto"/>
                <w:left w:val="none" w:sz="0" w:space="0" w:color="auto"/>
                <w:bottom w:val="none" w:sz="0" w:space="0" w:color="auto"/>
                <w:right w:val="none" w:sz="0" w:space="0" w:color="auto"/>
              </w:divBdr>
              <w:divsChild>
                <w:div w:id="7340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7322">
      <w:bodyDiv w:val="1"/>
      <w:marLeft w:val="0"/>
      <w:marRight w:val="0"/>
      <w:marTop w:val="0"/>
      <w:marBottom w:val="0"/>
      <w:divBdr>
        <w:top w:val="none" w:sz="0" w:space="0" w:color="auto"/>
        <w:left w:val="none" w:sz="0" w:space="0" w:color="auto"/>
        <w:bottom w:val="none" w:sz="0" w:space="0" w:color="auto"/>
        <w:right w:val="none" w:sz="0" w:space="0" w:color="auto"/>
      </w:divBdr>
    </w:div>
    <w:div w:id="644088277">
      <w:bodyDiv w:val="1"/>
      <w:marLeft w:val="0"/>
      <w:marRight w:val="0"/>
      <w:marTop w:val="0"/>
      <w:marBottom w:val="0"/>
      <w:divBdr>
        <w:top w:val="none" w:sz="0" w:space="0" w:color="auto"/>
        <w:left w:val="none" w:sz="0" w:space="0" w:color="auto"/>
        <w:bottom w:val="none" w:sz="0" w:space="0" w:color="auto"/>
        <w:right w:val="none" w:sz="0" w:space="0" w:color="auto"/>
      </w:divBdr>
    </w:div>
    <w:div w:id="688486163">
      <w:bodyDiv w:val="1"/>
      <w:marLeft w:val="0"/>
      <w:marRight w:val="0"/>
      <w:marTop w:val="0"/>
      <w:marBottom w:val="0"/>
      <w:divBdr>
        <w:top w:val="none" w:sz="0" w:space="0" w:color="auto"/>
        <w:left w:val="none" w:sz="0" w:space="0" w:color="auto"/>
        <w:bottom w:val="none" w:sz="0" w:space="0" w:color="auto"/>
        <w:right w:val="none" w:sz="0" w:space="0" w:color="auto"/>
      </w:divBdr>
    </w:div>
    <w:div w:id="716513934">
      <w:bodyDiv w:val="1"/>
      <w:marLeft w:val="0"/>
      <w:marRight w:val="0"/>
      <w:marTop w:val="0"/>
      <w:marBottom w:val="0"/>
      <w:divBdr>
        <w:top w:val="none" w:sz="0" w:space="0" w:color="auto"/>
        <w:left w:val="none" w:sz="0" w:space="0" w:color="auto"/>
        <w:bottom w:val="none" w:sz="0" w:space="0" w:color="auto"/>
        <w:right w:val="none" w:sz="0" w:space="0" w:color="auto"/>
      </w:divBdr>
      <w:divsChild>
        <w:div w:id="1129665313">
          <w:marLeft w:val="0"/>
          <w:marRight w:val="0"/>
          <w:marTop w:val="0"/>
          <w:marBottom w:val="0"/>
          <w:divBdr>
            <w:top w:val="none" w:sz="0" w:space="0" w:color="auto"/>
            <w:left w:val="none" w:sz="0" w:space="0" w:color="auto"/>
            <w:bottom w:val="none" w:sz="0" w:space="0" w:color="auto"/>
            <w:right w:val="none" w:sz="0" w:space="0" w:color="auto"/>
          </w:divBdr>
          <w:divsChild>
            <w:div w:id="1597980004">
              <w:marLeft w:val="0"/>
              <w:marRight w:val="0"/>
              <w:marTop w:val="0"/>
              <w:marBottom w:val="0"/>
              <w:divBdr>
                <w:top w:val="none" w:sz="0" w:space="0" w:color="auto"/>
                <w:left w:val="none" w:sz="0" w:space="0" w:color="auto"/>
                <w:bottom w:val="none" w:sz="0" w:space="0" w:color="auto"/>
                <w:right w:val="none" w:sz="0" w:space="0" w:color="auto"/>
              </w:divBdr>
              <w:divsChild>
                <w:div w:id="10365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74436">
      <w:bodyDiv w:val="1"/>
      <w:marLeft w:val="0"/>
      <w:marRight w:val="0"/>
      <w:marTop w:val="0"/>
      <w:marBottom w:val="0"/>
      <w:divBdr>
        <w:top w:val="none" w:sz="0" w:space="0" w:color="auto"/>
        <w:left w:val="none" w:sz="0" w:space="0" w:color="auto"/>
        <w:bottom w:val="none" w:sz="0" w:space="0" w:color="auto"/>
        <w:right w:val="none" w:sz="0" w:space="0" w:color="auto"/>
      </w:divBdr>
      <w:divsChild>
        <w:div w:id="143548113">
          <w:marLeft w:val="0"/>
          <w:marRight w:val="0"/>
          <w:marTop w:val="0"/>
          <w:marBottom w:val="0"/>
          <w:divBdr>
            <w:top w:val="none" w:sz="0" w:space="0" w:color="auto"/>
            <w:left w:val="none" w:sz="0" w:space="0" w:color="auto"/>
            <w:bottom w:val="none" w:sz="0" w:space="0" w:color="auto"/>
            <w:right w:val="none" w:sz="0" w:space="0" w:color="auto"/>
          </w:divBdr>
          <w:divsChild>
            <w:div w:id="552500723">
              <w:marLeft w:val="0"/>
              <w:marRight w:val="0"/>
              <w:marTop w:val="0"/>
              <w:marBottom w:val="0"/>
              <w:divBdr>
                <w:top w:val="none" w:sz="0" w:space="0" w:color="auto"/>
                <w:left w:val="none" w:sz="0" w:space="0" w:color="auto"/>
                <w:bottom w:val="none" w:sz="0" w:space="0" w:color="auto"/>
                <w:right w:val="none" w:sz="0" w:space="0" w:color="auto"/>
              </w:divBdr>
              <w:divsChild>
                <w:div w:id="17950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285">
      <w:bodyDiv w:val="1"/>
      <w:marLeft w:val="0"/>
      <w:marRight w:val="0"/>
      <w:marTop w:val="0"/>
      <w:marBottom w:val="0"/>
      <w:divBdr>
        <w:top w:val="none" w:sz="0" w:space="0" w:color="auto"/>
        <w:left w:val="none" w:sz="0" w:space="0" w:color="auto"/>
        <w:bottom w:val="none" w:sz="0" w:space="0" w:color="auto"/>
        <w:right w:val="none" w:sz="0" w:space="0" w:color="auto"/>
      </w:divBdr>
      <w:divsChild>
        <w:div w:id="771582988">
          <w:marLeft w:val="0"/>
          <w:marRight w:val="0"/>
          <w:marTop w:val="450"/>
          <w:marBottom w:val="450"/>
          <w:divBdr>
            <w:top w:val="none" w:sz="0" w:space="0" w:color="auto"/>
            <w:left w:val="none" w:sz="0" w:space="0" w:color="auto"/>
            <w:bottom w:val="none" w:sz="0" w:space="0" w:color="auto"/>
            <w:right w:val="none" w:sz="0" w:space="0" w:color="auto"/>
          </w:divBdr>
        </w:div>
      </w:divsChild>
    </w:div>
    <w:div w:id="899291955">
      <w:bodyDiv w:val="1"/>
      <w:marLeft w:val="0"/>
      <w:marRight w:val="0"/>
      <w:marTop w:val="0"/>
      <w:marBottom w:val="0"/>
      <w:divBdr>
        <w:top w:val="none" w:sz="0" w:space="0" w:color="auto"/>
        <w:left w:val="none" w:sz="0" w:space="0" w:color="auto"/>
        <w:bottom w:val="none" w:sz="0" w:space="0" w:color="auto"/>
        <w:right w:val="none" w:sz="0" w:space="0" w:color="auto"/>
      </w:divBdr>
      <w:divsChild>
        <w:div w:id="1146780809">
          <w:marLeft w:val="0"/>
          <w:marRight w:val="0"/>
          <w:marTop w:val="0"/>
          <w:marBottom w:val="0"/>
          <w:divBdr>
            <w:top w:val="none" w:sz="0" w:space="0" w:color="auto"/>
            <w:left w:val="none" w:sz="0" w:space="0" w:color="auto"/>
            <w:bottom w:val="none" w:sz="0" w:space="0" w:color="auto"/>
            <w:right w:val="none" w:sz="0" w:space="0" w:color="auto"/>
          </w:divBdr>
          <w:divsChild>
            <w:div w:id="359821845">
              <w:marLeft w:val="0"/>
              <w:marRight w:val="0"/>
              <w:marTop w:val="0"/>
              <w:marBottom w:val="0"/>
              <w:divBdr>
                <w:top w:val="none" w:sz="0" w:space="0" w:color="auto"/>
                <w:left w:val="none" w:sz="0" w:space="0" w:color="auto"/>
                <w:bottom w:val="none" w:sz="0" w:space="0" w:color="auto"/>
                <w:right w:val="none" w:sz="0" w:space="0" w:color="auto"/>
              </w:divBdr>
              <w:divsChild>
                <w:div w:id="1442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3524">
      <w:bodyDiv w:val="1"/>
      <w:marLeft w:val="0"/>
      <w:marRight w:val="0"/>
      <w:marTop w:val="0"/>
      <w:marBottom w:val="0"/>
      <w:divBdr>
        <w:top w:val="none" w:sz="0" w:space="0" w:color="auto"/>
        <w:left w:val="none" w:sz="0" w:space="0" w:color="auto"/>
        <w:bottom w:val="none" w:sz="0" w:space="0" w:color="auto"/>
        <w:right w:val="none" w:sz="0" w:space="0" w:color="auto"/>
      </w:divBdr>
      <w:divsChild>
        <w:div w:id="150371461">
          <w:marLeft w:val="0"/>
          <w:marRight w:val="0"/>
          <w:marTop w:val="0"/>
          <w:marBottom w:val="0"/>
          <w:divBdr>
            <w:top w:val="none" w:sz="0" w:space="0" w:color="auto"/>
            <w:left w:val="none" w:sz="0" w:space="0" w:color="auto"/>
            <w:bottom w:val="none" w:sz="0" w:space="0" w:color="auto"/>
            <w:right w:val="none" w:sz="0" w:space="0" w:color="auto"/>
          </w:divBdr>
          <w:divsChild>
            <w:div w:id="927889230">
              <w:marLeft w:val="0"/>
              <w:marRight w:val="0"/>
              <w:marTop w:val="0"/>
              <w:marBottom w:val="0"/>
              <w:divBdr>
                <w:top w:val="none" w:sz="0" w:space="0" w:color="auto"/>
                <w:left w:val="none" w:sz="0" w:space="0" w:color="auto"/>
                <w:bottom w:val="none" w:sz="0" w:space="0" w:color="auto"/>
                <w:right w:val="none" w:sz="0" w:space="0" w:color="auto"/>
              </w:divBdr>
              <w:divsChild>
                <w:div w:id="20687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0250">
      <w:bodyDiv w:val="1"/>
      <w:marLeft w:val="0"/>
      <w:marRight w:val="0"/>
      <w:marTop w:val="0"/>
      <w:marBottom w:val="0"/>
      <w:divBdr>
        <w:top w:val="none" w:sz="0" w:space="0" w:color="auto"/>
        <w:left w:val="none" w:sz="0" w:space="0" w:color="auto"/>
        <w:bottom w:val="none" w:sz="0" w:space="0" w:color="auto"/>
        <w:right w:val="none" w:sz="0" w:space="0" w:color="auto"/>
      </w:divBdr>
    </w:div>
    <w:div w:id="1028605532">
      <w:bodyDiv w:val="1"/>
      <w:marLeft w:val="0"/>
      <w:marRight w:val="0"/>
      <w:marTop w:val="0"/>
      <w:marBottom w:val="0"/>
      <w:divBdr>
        <w:top w:val="none" w:sz="0" w:space="0" w:color="auto"/>
        <w:left w:val="none" w:sz="0" w:space="0" w:color="auto"/>
        <w:bottom w:val="none" w:sz="0" w:space="0" w:color="auto"/>
        <w:right w:val="none" w:sz="0" w:space="0" w:color="auto"/>
      </w:divBdr>
      <w:divsChild>
        <w:div w:id="691954813">
          <w:marLeft w:val="0"/>
          <w:marRight w:val="0"/>
          <w:marTop w:val="0"/>
          <w:marBottom w:val="0"/>
          <w:divBdr>
            <w:top w:val="none" w:sz="0" w:space="0" w:color="auto"/>
            <w:left w:val="none" w:sz="0" w:space="0" w:color="auto"/>
            <w:bottom w:val="none" w:sz="0" w:space="0" w:color="auto"/>
            <w:right w:val="none" w:sz="0" w:space="0" w:color="auto"/>
          </w:divBdr>
          <w:divsChild>
            <w:div w:id="1036394856">
              <w:marLeft w:val="0"/>
              <w:marRight w:val="0"/>
              <w:marTop w:val="0"/>
              <w:marBottom w:val="0"/>
              <w:divBdr>
                <w:top w:val="none" w:sz="0" w:space="0" w:color="auto"/>
                <w:left w:val="none" w:sz="0" w:space="0" w:color="auto"/>
                <w:bottom w:val="none" w:sz="0" w:space="0" w:color="auto"/>
                <w:right w:val="none" w:sz="0" w:space="0" w:color="auto"/>
              </w:divBdr>
              <w:divsChild>
                <w:div w:id="1349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4175">
      <w:bodyDiv w:val="1"/>
      <w:marLeft w:val="0"/>
      <w:marRight w:val="0"/>
      <w:marTop w:val="0"/>
      <w:marBottom w:val="0"/>
      <w:divBdr>
        <w:top w:val="none" w:sz="0" w:space="0" w:color="auto"/>
        <w:left w:val="none" w:sz="0" w:space="0" w:color="auto"/>
        <w:bottom w:val="none" w:sz="0" w:space="0" w:color="auto"/>
        <w:right w:val="none" w:sz="0" w:space="0" w:color="auto"/>
      </w:divBdr>
      <w:divsChild>
        <w:div w:id="1111392020">
          <w:marLeft w:val="0"/>
          <w:marRight w:val="0"/>
          <w:marTop w:val="0"/>
          <w:marBottom w:val="0"/>
          <w:divBdr>
            <w:top w:val="none" w:sz="0" w:space="0" w:color="auto"/>
            <w:left w:val="none" w:sz="0" w:space="0" w:color="auto"/>
            <w:bottom w:val="none" w:sz="0" w:space="0" w:color="auto"/>
            <w:right w:val="none" w:sz="0" w:space="0" w:color="auto"/>
          </w:divBdr>
          <w:divsChild>
            <w:div w:id="954604751">
              <w:marLeft w:val="0"/>
              <w:marRight w:val="0"/>
              <w:marTop w:val="0"/>
              <w:marBottom w:val="0"/>
              <w:divBdr>
                <w:top w:val="none" w:sz="0" w:space="0" w:color="auto"/>
                <w:left w:val="none" w:sz="0" w:space="0" w:color="auto"/>
                <w:bottom w:val="none" w:sz="0" w:space="0" w:color="auto"/>
                <w:right w:val="none" w:sz="0" w:space="0" w:color="auto"/>
              </w:divBdr>
              <w:divsChild>
                <w:div w:id="933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6103">
      <w:bodyDiv w:val="1"/>
      <w:marLeft w:val="0"/>
      <w:marRight w:val="0"/>
      <w:marTop w:val="0"/>
      <w:marBottom w:val="0"/>
      <w:divBdr>
        <w:top w:val="none" w:sz="0" w:space="0" w:color="auto"/>
        <w:left w:val="none" w:sz="0" w:space="0" w:color="auto"/>
        <w:bottom w:val="none" w:sz="0" w:space="0" w:color="auto"/>
        <w:right w:val="none" w:sz="0" w:space="0" w:color="auto"/>
      </w:divBdr>
      <w:divsChild>
        <w:div w:id="363409426">
          <w:marLeft w:val="0"/>
          <w:marRight w:val="0"/>
          <w:marTop w:val="0"/>
          <w:marBottom w:val="0"/>
          <w:divBdr>
            <w:top w:val="none" w:sz="0" w:space="0" w:color="auto"/>
            <w:left w:val="none" w:sz="0" w:space="0" w:color="auto"/>
            <w:bottom w:val="none" w:sz="0" w:space="0" w:color="auto"/>
            <w:right w:val="none" w:sz="0" w:space="0" w:color="auto"/>
          </w:divBdr>
          <w:divsChild>
            <w:div w:id="449907406">
              <w:marLeft w:val="0"/>
              <w:marRight w:val="0"/>
              <w:marTop w:val="0"/>
              <w:marBottom w:val="0"/>
              <w:divBdr>
                <w:top w:val="none" w:sz="0" w:space="0" w:color="auto"/>
                <w:left w:val="none" w:sz="0" w:space="0" w:color="auto"/>
                <w:bottom w:val="none" w:sz="0" w:space="0" w:color="auto"/>
                <w:right w:val="none" w:sz="0" w:space="0" w:color="auto"/>
              </w:divBdr>
              <w:divsChild>
                <w:div w:id="4519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8694">
      <w:bodyDiv w:val="1"/>
      <w:marLeft w:val="0"/>
      <w:marRight w:val="0"/>
      <w:marTop w:val="0"/>
      <w:marBottom w:val="0"/>
      <w:divBdr>
        <w:top w:val="none" w:sz="0" w:space="0" w:color="auto"/>
        <w:left w:val="none" w:sz="0" w:space="0" w:color="auto"/>
        <w:bottom w:val="none" w:sz="0" w:space="0" w:color="auto"/>
        <w:right w:val="none" w:sz="0" w:space="0" w:color="auto"/>
      </w:divBdr>
      <w:divsChild>
        <w:div w:id="357783053">
          <w:marLeft w:val="0"/>
          <w:marRight w:val="0"/>
          <w:marTop w:val="0"/>
          <w:marBottom w:val="0"/>
          <w:divBdr>
            <w:top w:val="none" w:sz="0" w:space="0" w:color="auto"/>
            <w:left w:val="none" w:sz="0" w:space="0" w:color="auto"/>
            <w:bottom w:val="none" w:sz="0" w:space="0" w:color="auto"/>
            <w:right w:val="none" w:sz="0" w:space="0" w:color="auto"/>
          </w:divBdr>
          <w:divsChild>
            <w:div w:id="1469519280">
              <w:marLeft w:val="0"/>
              <w:marRight w:val="0"/>
              <w:marTop w:val="0"/>
              <w:marBottom w:val="0"/>
              <w:divBdr>
                <w:top w:val="none" w:sz="0" w:space="0" w:color="auto"/>
                <w:left w:val="none" w:sz="0" w:space="0" w:color="auto"/>
                <w:bottom w:val="none" w:sz="0" w:space="0" w:color="auto"/>
                <w:right w:val="none" w:sz="0" w:space="0" w:color="auto"/>
              </w:divBdr>
              <w:divsChild>
                <w:div w:id="3741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3291">
      <w:bodyDiv w:val="1"/>
      <w:marLeft w:val="0"/>
      <w:marRight w:val="0"/>
      <w:marTop w:val="0"/>
      <w:marBottom w:val="0"/>
      <w:divBdr>
        <w:top w:val="none" w:sz="0" w:space="0" w:color="auto"/>
        <w:left w:val="none" w:sz="0" w:space="0" w:color="auto"/>
        <w:bottom w:val="none" w:sz="0" w:space="0" w:color="auto"/>
        <w:right w:val="none" w:sz="0" w:space="0" w:color="auto"/>
      </w:divBdr>
    </w:div>
    <w:div w:id="1236015258">
      <w:bodyDiv w:val="1"/>
      <w:marLeft w:val="0"/>
      <w:marRight w:val="0"/>
      <w:marTop w:val="0"/>
      <w:marBottom w:val="0"/>
      <w:divBdr>
        <w:top w:val="none" w:sz="0" w:space="0" w:color="auto"/>
        <w:left w:val="none" w:sz="0" w:space="0" w:color="auto"/>
        <w:bottom w:val="none" w:sz="0" w:space="0" w:color="auto"/>
        <w:right w:val="none" w:sz="0" w:space="0" w:color="auto"/>
      </w:divBdr>
      <w:divsChild>
        <w:div w:id="1558008890">
          <w:marLeft w:val="0"/>
          <w:marRight w:val="0"/>
          <w:marTop w:val="0"/>
          <w:marBottom w:val="0"/>
          <w:divBdr>
            <w:top w:val="none" w:sz="0" w:space="0" w:color="auto"/>
            <w:left w:val="none" w:sz="0" w:space="0" w:color="auto"/>
            <w:bottom w:val="none" w:sz="0" w:space="0" w:color="auto"/>
            <w:right w:val="none" w:sz="0" w:space="0" w:color="auto"/>
          </w:divBdr>
          <w:divsChild>
            <w:div w:id="391974869">
              <w:marLeft w:val="0"/>
              <w:marRight w:val="0"/>
              <w:marTop w:val="0"/>
              <w:marBottom w:val="0"/>
              <w:divBdr>
                <w:top w:val="none" w:sz="0" w:space="0" w:color="auto"/>
                <w:left w:val="none" w:sz="0" w:space="0" w:color="auto"/>
                <w:bottom w:val="none" w:sz="0" w:space="0" w:color="auto"/>
                <w:right w:val="none" w:sz="0" w:space="0" w:color="auto"/>
              </w:divBdr>
              <w:divsChild>
                <w:div w:id="2573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9109">
      <w:bodyDiv w:val="1"/>
      <w:marLeft w:val="0"/>
      <w:marRight w:val="0"/>
      <w:marTop w:val="0"/>
      <w:marBottom w:val="0"/>
      <w:divBdr>
        <w:top w:val="none" w:sz="0" w:space="0" w:color="auto"/>
        <w:left w:val="none" w:sz="0" w:space="0" w:color="auto"/>
        <w:bottom w:val="none" w:sz="0" w:space="0" w:color="auto"/>
        <w:right w:val="none" w:sz="0" w:space="0" w:color="auto"/>
      </w:divBdr>
    </w:div>
    <w:div w:id="1313678731">
      <w:bodyDiv w:val="1"/>
      <w:marLeft w:val="0"/>
      <w:marRight w:val="0"/>
      <w:marTop w:val="0"/>
      <w:marBottom w:val="0"/>
      <w:divBdr>
        <w:top w:val="none" w:sz="0" w:space="0" w:color="auto"/>
        <w:left w:val="none" w:sz="0" w:space="0" w:color="auto"/>
        <w:bottom w:val="none" w:sz="0" w:space="0" w:color="auto"/>
        <w:right w:val="none" w:sz="0" w:space="0" w:color="auto"/>
      </w:divBdr>
    </w:div>
    <w:div w:id="1334600280">
      <w:bodyDiv w:val="1"/>
      <w:marLeft w:val="0"/>
      <w:marRight w:val="0"/>
      <w:marTop w:val="0"/>
      <w:marBottom w:val="0"/>
      <w:divBdr>
        <w:top w:val="none" w:sz="0" w:space="0" w:color="auto"/>
        <w:left w:val="none" w:sz="0" w:space="0" w:color="auto"/>
        <w:bottom w:val="none" w:sz="0" w:space="0" w:color="auto"/>
        <w:right w:val="none" w:sz="0" w:space="0" w:color="auto"/>
      </w:divBdr>
      <w:divsChild>
        <w:div w:id="703943404">
          <w:marLeft w:val="0"/>
          <w:marRight w:val="0"/>
          <w:marTop w:val="0"/>
          <w:marBottom w:val="0"/>
          <w:divBdr>
            <w:top w:val="none" w:sz="0" w:space="0" w:color="auto"/>
            <w:left w:val="none" w:sz="0" w:space="0" w:color="auto"/>
            <w:bottom w:val="none" w:sz="0" w:space="0" w:color="auto"/>
            <w:right w:val="none" w:sz="0" w:space="0" w:color="auto"/>
          </w:divBdr>
          <w:divsChild>
            <w:div w:id="1150369787">
              <w:marLeft w:val="0"/>
              <w:marRight w:val="0"/>
              <w:marTop w:val="0"/>
              <w:marBottom w:val="0"/>
              <w:divBdr>
                <w:top w:val="none" w:sz="0" w:space="0" w:color="auto"/>
                <w:left w:val="none" w:sz="0" w:space="0" w:color="auto"/>
                <w:bottom w:val="none" w:sz="0" w:space="0" w:color="auto"/>
                <w:right w:val="none" w:sz="0" w:space="0" w:color="auto"/>
              </w:divBdr>
              <w:divsChild>
                <w:div w:id="599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2790">
      <w:bodyDiv w:val="1"/>
      <w:marLeft w:val="0"/>
      <w:marRight w:val="0"/>
      <w:marTop w:val="0"/>
      <w:marBottom w:val="0"/>
      <w:divBdr>
        <w:top w:val="none" w:sz="0" w:space="0" w:color="auto"/>
        <w:left w:val="none" w:sz="0" w:space="0" w:color="auto"/>
        <w:bottom w:val="none" w:sz="0" w:space="0" w:color="auto"/>
        <w:right w:val="none" w:sz="0" w:space="0" w:color="auto"/>
      </w:divBdr>
    </w:div>
    <w:div w:id="1418865604">
      <w:bodyDiv w:val="1"/>
      <w:marLeft w:val="0"/>
      <w:marRight w:val="0"/>
      <w:marTop w:val="0"/>
      <w:marBottom w:val="0"/>
      <w:divBdr>
        <w:top w:val="none" w:sz="0" w:space="0" w:color="auto"/>
        <w:left w:val="none" w:sz="0" w:space="0" w:color="auto"/>
        <w:bottom w:val="none" w:sz="0" w:space="0" w:color="auto"/>
        <w:right w:val="none" w:sz="0" w:space="0" w:color="auto"/>
      </w:divBdr>
    </w:div>
    <w:div w:id="1459253913">
      <w:bodyDiv w:val="1"/>
      <w:marLeft w:val="0"/>
      <w:marRight w:val="0"/>
      <w:marTop w:val="0"/>
      <w:marBottom w:val="0"/>
      <w:divBdr>
        <w:top w:val="none" w:sz="0" w:space="0" w:color="auto"/>
        <w:left w:val="none" w:sz="0" w:space="0" w:color="auto"/>
        <w:bottom w:val="none" w:sz="0" w:space="0" w:color="auto"/>
        <w:right w:val="none" w:sz="0" w:space="0" w:color="auto"/>
      </w:divBdr>
      <w:divsChild>
        <w:div w:id="2092847262">
          <w:marLeft w:val="0"/>
          <w:marRight w:val="0"/>
          <w:marTop w:val="0"/>
          <w:marBottom w:val="0"/>
          <w:divBdr>
            <w:top w:val="none" w:sz="0" w:space="0" w:color="auto"/>
            <w:left w:val="none" w:sz="0" w:space="0" w:color="auto"/>
            <w:bottom w:val="none" w:sz="0" w:space="0" w:color="auto"/>
            <w:right w:val="none" w:sz="0" w:space="0" w:color="auto"/>
          </w:divBdr>
          <w:divsChild>
            <w:div w:id="922681657">
              <w:marLeft w:val="0"/>
              <w:marRight w:val="0"/>
              <w:marTop w:val="0"/>
              <w:marBottom w:val="0"/>
              <w:divBdr>
                <w:top w:val="none" w:sz="0" w:space="0" w:color="auto"/>
                <w:left w:val="none" w:sz="0" w:space="0" w:color="auto"/>
                <w:bottom w:val="none" w:sz="0" w:space="0" w:color="auto"/>
                <w:right w:val="none" w:sz="0" w:space="0" w:color="auto"/>
              </w:divBdr>
              <w:divsChild>
                <w:div w:id="8695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28968">
      <w:bodyDiv w:val="1"/>
      <w:marLeft w:val="0"/>
      <w:marRight w:val="0"/>
      <w:marTop w:val="0"/>
      <w:marBottom w:val="0"/>
      <w:divBdr>
        <w:top w:val="none" w:sz="0" w:space="0" w:color="auto"/>
        <w:left w:val="none" w:sz="0" w:space="0" w:color="auto"/>
        <w:bottom w:val="none" w:sz="0" w:space="0" w:color="auto"/>
        <w:right w:val="none" w:sz="0" w:space="0" w:color="auto"/>
      </w:divBdr>
      <w:divsChild>
        <w:div w:id="399330545">
          <w:marLeft w:val="0"/>
          <w:marRight w:val="0"/>
          <w:marTop w:val="0"/>
          <w:marBottom w:val="0"/>
          <w:divBdr>
            <w:top w:val="none" w:sz="0" w:space="0" w:color="auto"/>
            <w:left w:val="none" w:sz="0" w:space="0" w:color="auto"/>
            <w:bottom w:val="none" w:sz="0" w:space="0" w:color="auto"/>
            <w:right w:val="none" w:sz="0" w:space="0" w:color="auto"/>
          </w:divBdr>
          <w:divsChild>
            <w:div w:id="1336570622">
              <w:marLeft w:val="0"/>
              <w:marRight w:val="0"/>
              <w:marTop w:val="0"/>
              <w:marBottom w:val="0"/>
              <w:divBdr>
                <w:top w:val="none" w:sz="0" w:space="0" w:color="auto"/>
                <w:left w:val="none" w:sz="0" w:space="0" w:color="auto"/>
                <w:bottom w:val="none" w:sz="0" w:space="0" w:color="auto"/>
                <w:right w:val="none" w:sz="0" w:space="0" w:color="auto"/>
              </w:divBdr>
              <w:divsChild>
                <w:div w:id="19197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0668">
      <w:bodyDiv w:val="1"/>
      <w:marLeft w:val="0"/>
      <w:marRight w:val="0"/>
      <w:marTop w:val="0"/>
      <w:marBottom w:val="0"/>
      <w:divBdr>
        <w:top w:val="none" w:sz="0" w:space="0" w:color="auto"/>
        <w:left w:val="none" w:sz="0" w:space="0" w:color="auto"/>
        <w:bottom w:val="none" w:sz="0" w:space="0" w:color="auto"/>
        <w:right w:val="none" w:sz="0" w:space="0" w:color="auto"/>
      </w:divBdr>
      <w:divsChild>
        <w:div w:id="1817647552">
          <w:marLeft w:val="0"/>
          <w:marRight w:val="0"/>
          <w:marTop w:val="0"/>
          <w:marBottom w:val="0"/>
          <w:divBdr>
            <w:top w:val="none" w:sz="0" w:space="0" w:color="auto"/>
            <w:left w:val="none" w:sz="0" w:space="0" w:color="auto"/>
            <w:bottom w:val="none" w:sz="0" w:space="0" w:color="auto"/>
            <w:right w:val="none" w:sz="0" w:space="0" w:color="auto"/>
          </w:divBdr>
          <w:divsChild>
            <w:div w:id="1726224188">
              <w:marLeft w:val="0"/>
              <w:marRight w:val="0"/>
              <w:marTop w:val="0"/>
              <w:marBottom w:val="0"/>
              <w:divBdr>
                <w:top w:val="none" w:sz="0" w:space="0" w:color="auto"/>
                <w:left w:val="none" w:sz="0" w:space="0" w:color="auto"/>
                <w:bottom w:val="none" w:sz="0" w:space="0" w:color="auto"/>
                <w:right w:val="none" w:sz="0" w:space="0" w:color="auto"/>
              </w:divBdr>
              <w:divsChild>
                <w:div w:id="12740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63483">
      <w:bodyDiv w:val="1"/>
      <w:marLeft w:val="0"/>
      <w:marRight w:val="0"/>
      <w:marTop w:val="0"/>
      <w:marBottom w:val="0"/>
      <w:divBdr>
        <w:top w:val="none" w:sz="0" w:space="0" w:color="auto"/>
        <w:left w:val="none" w:sz="0" w:space="0" w:color="auto"/>
        <w:bottom w:val="none" w:sz="0" w:space="0" w:color="auto"/>
        <w:right w:val="none" w:sz="0" w:space="0" w:color="auto"/>
      </w:divBdr>
      <w:divsChild>
        <w:div w:id="1069694756">
          <w:marLeft w:val="547"/>
          <w:marRight w:val="0"/>
          <w:marTop w:val="0"/>
          <w:marBottom w:val="0"/>
          <w:divBdr>
            <w:top w:val="none" w:sz="0" w:space="0" w:color="auto"/>
            <w:left w:val="none" w:sz="0" w:space="0" w:color="auto"/>
            <w:bottom w:val="none" w:sz="0" w:space="0" w:color="auto"/>
            <w:right w:val="none" w:sz="0" w:space="0" w:color="auto"/>
          </w:divBdr>
        </w:div>
      </w:divsChild>
    </w:div>
    <w:div w:id="1656713834">
      <w:bodyDiv w:val="1"/>
      <w:marLeft w:val="0"/>
      <w:marRight w:val="0"/>
      <w:marTop w:val="0"/>
      <w:marBottom w:val="0"/>
      <w:divBdr>
        <w:top w:val="none" w:sz="0" w:space="0" w:color="auto"/>
        <w:left w:val="none" w:sz="0" w:space="0" w:color="auto"/>
        <w:bottom w:val="none" w:sz="0" w:space="0" w:color="auto"/>
        <w:right w:val="none" w:sz="0" w:space="0" w:color="auto"/>
      </w:divBdr>
    </w:div>
    <w:div w:id="1676810511">
      <w:bodyDiv w:val="1"/>
      <w:marLeft w:val="0"/>
      <w:marRight w:val="0"/>
      <w:marTop w:val="0"/>
      <w:marBottom w:val="0"/>
      <w:divBdr>
        <w:top w:val="none" w:sz="0" w:space="0" w:color="auto"/>
        <w:left w:val="none" w:sz="0" w:space="0" w:color="auto"/>
        <w:bottom w:val="none" w:sz="0" w:space="0" w:color="auto"/>
        <w:right w:val="none" w:sz="0" w:space="0" w:color="auto"/>
      </w:divBdr>
      <w:divsChild>
        <w:div w:id="1043095494">
          <w:marLeft w:val="0"/>
          <w:marRight w:val="0"/>
          <w:marTop w:val="0"/>
          <w:marBottom w:val="0"/>
          <w:divBdr>
            <w:top w:val="none" w:sz="0" w:space="0" w:color="auto"/>
            <w:left w:val="none" w:sz="0" w:space="0" w:color="auto"/>
            <w:bottom w:val="none" w:sz="0" w:space="0" w:color="auto"/>
            <w:right w:val="none" w:sz="0" w:space="0" w:color="auto"/>
          </w:divBdr>
          <w:divsChild>
            <w:div w:id="944382733">
              <w:marLeft w:val="0"/>
              <w:marRight w:val="0"/>
              <w:marTop w:val="0"/>
              <w:marBottom w:val="0"/>
              <w:divBdr>
                <w:top w:val="none" w:sz="0" w:space="0" w:color="auto"/>
                <w:left w:val="none" w:sz="0" w:space="0" w:color="auto"/>
                <w:bottom w:val="none" w:sz="0" w:space="0" w:color="auto"/>
                <w:right w:val="none" w:sz="0" w:space="0" w:color="auto"/>
              </w:divBdr>
              <w:divsChild>
                <w:div w:id="10542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15480">
      <w:bodyDiv w:val="1"/>
      <w:marLeft w:val="0"/>
      <w:marRight w:val="0"/>
      <w:marTop w:val="0"/>
      <w:marBottom w:val="0"/>
      <w:divBdr>
        <w:top w:val="none" w:sz="0" w:space="0" w:color="auto"/>
        <w:left w:val="none" w:sz="0" w:space="0" w:color="auto"/>
        <w:bottom w:val="none" w:sz="0" w:space="0" w:color="auto"/>
        <w:right w:val="none" w:sz="0" w:space="0" w:color="auto"/>
      </w:divBdr>
      <w:divsChild>
        <w:div w:id="740518435">
          <w:marLeft w:val="0"/>
          <w:marRight w:val="0"/>
          <w:marTop w:val="0"/>
          <w:marBottom w:val="0"/>
          <w:divBdr>
            <w:top w:val="none" w:sz="0" w:space="0" w:color="auto"/>
            <w:left w:val="none" w:sz="0" w:space="0" w:color="auto"/>
            <w:bottom w:val="none" w:sz="0" w:space="0" w:color="auto"/>
            <w:right w:val="none" w:sz="0" w:space="0" w:color="auto"/>
          </w:divBdr>
          <w:divsChild>
            <w:div w:id="1963808512">
              <w:marLeft w:val="0"/>
              <w:marRight w:val="0"/>
              <w:marTop w:val="0"/>
              <w:marBottom w:val="0"/>
              <w:divBdr>
                <w:top w:val="none" w:sz="0" w:space="0" w:color="auto"/>
                <w:left w:val="none" w:sz="0" w:space="0" w:color="auto"/>
                <w:bottom w:val="none" w:sz="0" w:space="0" w:color="auto"/>
                <w:right w:val="none" w:sz="0" w:space="0" w:color="auto"/>
              </w:divBdr>
              <w:divsChild>
                <w:div w:id="8351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28979">
      <w:bodyDiv w:val="1"/>
      <w:marLeft w:val="0"/>
      <w:marRight w:val="0"/>
      <w:marTop w:val="0"/>
      <w:marBottom w:val="0"/>
      <w:divBdr>
        <w:top w:val="none" w:sz="0" w:space="0" w:color="auto"/>
        <w:left w:val="none" w:sz="0" w:space="0" w:color="auto"/>
        <w:bottom w:val="none" w:sz="0" w:space="0" w:color="auto"/>
        <w:right w:val="none" w:sz="0" w:space="0" w:color="auto"/>
      </w:divBdr>
    </w:div>
    <w:div w:id="1892227523">
      <w:bodyDiv w:val="1"/>
      <w:marLeft w:val="0"/>
      <w:marRight w:val="0"/>
      <w:marTop w:val="0"/>
      <w:marBottom w:val="0"/>
      <w:divBdr>
        <w:top w:val="none" w:sz="0" w:space="0" w:color="auto"/>
        <w:left w:val="none" w:sz="0" w:space="0" w:color="auto"/>
        <w:bottom w:val="none" w:sz="0" w:space="0" w:color="auto"/>
        <w:right w:val="none" w:sz="0" w:space="0" w:color="auto"/>
      </w:divBdr>
      <w:divsChild>
        <w:div w:id="1918205650">
          <w:marLeft w:val="0"/>
          <w:marRight w:val="0"/>
          <w:marTop w:val="0"/>
          <w:marBottom w:val="0"/>
          <w:divBdr>
            <w:top w:val="none" w:sz="0" w:space="0" w:color="auto"/>
            <w:left w:val="none" w:sz="0" w:space="0" w:color="auto"/>
            <w:bottom w:val="none" w:sz="0" w:space="0" w:color="auto"/>
            <w:right w:val="none" w:sz="0" w:space="0" w:color="auto"/>
          </w:divBdr>
          <w:divsChild>
            <w:div w:id="1819111575">
              <w:marLeft w:val="0"/>
              <w:marRight w:val="0"/>
              <w:marTop w:val="0"/>
              <w:marBottom w:val="0"/>
              <w:divBdr>
                <w:top w:val="none" w:sz="0" w:space="0" w:color="auto"/>
                <w:left w:val="none" w:sz="0" w:space="0" w:color="auto"/>
                <w:bottom w:val="none" w:sz="0" w:space="0" w:color="auto"/>
                <w:right w:val="none" w:sz="0" w:space="0" w:color="auto"/>
              </w:divBdr>
              <w:divsChild>
                <w:div w:id="7925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2352">
      <w:bodyDiv w:val="1"/>
      <w:marLeft w:val="0"/>
      <w:marRight w:val="0"/>
      <w:marTop w:val="0"/>
      <w:marBottom w:val="0"/>
      <w:divBdr>
        <w:top w:val="none" w:sz="0" w:space="0" w:color="auto"/>
        <w:left w:val="none" w:sz="0" w:space="0" w:color="auto"/>
        <w:bottom w:val="none" w:sz="0" w:space="0" w:color="auto"/>
        <w:right w:val="none" w:sz="0" w:space="0" w:color="auto"/>
      </w:divBdr>
    </w:div>
    <w:div w:id="1915897730">
      <w:bodyDiv w:val="1"/>
      <w:marLeft w:val="0"/>
      <w:marRight w:val="0"/>
      <w:marTop w:val="0"/>
      <w:marBottom w:val="0"/>
      <w:divBdr>
        <w:top w:val="none" w:sz="0" w:space="0" w:color="auto"/>
        <w:left w:val="none" w:sz="0" w:space="0" w:color="auto"/>
        <w:bottom w:val="none" w:sz="0" w:space="0" w:color="auto"/>
        <w:right w:val="none" w:sz="0" w:space="0" w:color="auto"/>
      </w:divBdr>
      <w:divsChild>
        <w:div w:id="1726298666">
          <w:marLeft w:val="547"/>
          <w:marRight w:val="0"/>
          <w:marTop w:val="0"/>
          <w:marBottom w:val="0"/>
          <w:divBdr>
            <w:top w:val="none" w:sz="0" w:space="0" w:color="auto"/>
            <w:left w:val="none" w:sz="0" w:space="0" w:color="auto"/>
            <w:bottom w:val="none" w:sz="0" w:space="0" w:color="auto"/>
            <w:right w:val="none" w:sz="0" w:space="0" w:color="auto"/>
          </w:divBdr>
        </w:div>
        <w:div w:id="759760873">
          <w:marLeft w:val="547"/>
          <w:marRight w:val="0"/>
          <w:marTop w:val="0"/>
          <w:marBottom w:val="0"/>
          <w:divBdr>
            <w:top w:val="none" w:sz="0" w:space="0" w:color="auto"/>
            <w:left w:val="none" w:sz="0" w:space="0" w:color="auto"/>
            <w:bottom w:val="none" w:sz="0" w:space="0" w:color="auto"/>
            <w:right w:val="none" w:sz="0" w:space="0" w:color="auto"/>
          </w:divBdr>
        </w:div>
      </w:divsChild>
    </w:div>
    <w:div w:id="1929188576">
      <w:bodyDiv w:val="1"/>
      <w:marLeft w:val="0"/>
      <w:marRight w:val="0"/>
      <w:marTop w:val="0"/>
      <w:marBottom w:val="0"/>
      <w:divBdr>
        <w:top w:val="none" w:sz="0" w:space="0" w:color="auto"/>
        <w:left w:val="none" w:sz="0" w:space="0" w:color="auto"/>
        <w:bottom w:val="none" w:sz="0" w:space="0" w:color="auto"/>
        <w:right w:val="none" w:sz="0" w:space="0" w:color="auto"/>
      </w:divBdr>
      <w:divsChild>
        <w:div w:id="1130518827">
          <w:marLeft w:val="0"/>
          <w:marRight w:val="0"/>
          <w:marTop w:val="0"/>
          <w:marBottom w:val="0"/>
          <w:divBdr>
            <w:top w:val="none" w:sz="0" w:space="0" w:color="auto"/>
            <w:left w:val="none" w:sz="0" w:space="0" w:color="auto"/>
            <w:bottom w:val="none" w:sz="0" w:space="0" w:color="auto"/>
            <w:right w:val="none" w:sz="0" w:space="0" w:color="auto"/>
          </w:divBdr>
          <w:divsChild>
            <w:div w:id="277956615">
              <w:marLeft w:val="0"/>
              <w:marRight w:val="0"/>
              <w:marTop w:val="0"/>
              <w:marBottom w:val="0"/>
              <w:divBdr>
                <w:top w:val="none" w:sz="0" w:space="0" w:color="auto"/>
                <w:left w:val="none" w:sz="0" w:space="0" w:color="auto"/>
                <w:bottom w:val="none" w:sz="0" w:space="0" w:color="auto"/>
                <w:right w:val="none" w:sz="0" w:space="0" w:color="auto"/>
              </w:divBdr>
              <w:divsChild>
                <w:div w:id="3819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4658">
      <w:bodyDiv w:val="1"/>
      <w:marLeft w:val="0"/>
      <w:marRight w:val="0"/>
      <w:marTop w:val="0"/>
      <w:marBottom w:val="0"/>
      <w:divBdr>
        <w:top w:val="none" w:sz="0" w:space="0" w:color="auto"/>
        <w:left w:val="none" w:sz="0" w:space="0" w:color="auto"/>
        <w:bottom w:val="none" w:sz="0" w:space="0" w:color="auto"/>
        <w:right w:val="none" w:sz="0" w:space="0" w:color="auto"/>
      </w:divBdr>
      <w:divsChild>
        <w:div w:id="2009285383">
          <w:marLeft w:val="0"/>
          <w:marRight w:val="0"/>
          <w:marTop w:val="0"/>
          <w:marBottom w:val="0"/>
          <w:divBdr>
            <w:top w:val="none" w:sz="0" w:space="0" w:color="auto"/>
            <w:left w:val="none" w:sz="0" w:space="0" w:color="auto"/>
            <w:bottom w:val="none" w:sz="0" w:space="0" w:color="auto"/>
            <w:right w:val="none" w:sz="0" w:space="0" w:color="auto"/>
          </w:divBdr>
          <w:divsChild>
            <w:div w:id="1170802144">
              <w:marLeft w:val="0"/>
              <w:marRight w:val="0"/>
              <w:marTop w:val="0"/>
              <w:marBottom w:val="0"/>
              <w:divBdr>
                <w:top w:val="none" w:sz="0" w:space="0" w:color="auto"/>
                <w:left w:val="none" w:sz="0" w:space="0" w:color="auto"/>
                <w:bottom w:val="none" w:sz="0" w:space="0" w:color="auto"/>
                <w:right w:val="none" w:sz="0" w:space="0" w:color="auto"/>
              </w:divBdr>
              <w:divsChild>
                <w:div w:id="215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3696">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 w:id="2040734608">
      <w:bodyDiv w:val="1"/>
      <w:marLeft w:val="0"/>
      <w:marRight w:val="0"/>
      <w:marTop w:val="0"/>
      <w:marBottom w:val="0"/>
      <w:divBdr>
        <w:top w:val="none" w:sz="0" w:space="0" w:color="auto"/>
        <w:left w:val="none" w:sz="0" w:space="0" w:color="auto"/>
        <w:bottom w:val="none" w:sz="0" w:space="0" w:color="auto"/>
        <w:right w:val="none" w:sz="0" w:space="0" w:color="auto"/>
      </w:divBdr>
      <w:divsChild>
        <w:div w:id="906693252">
          <w:marLeft w:val="0"/>
          <w:marRight w:val="0"/>
          <w:marTop w:val="0"/>
          <w:marBottom w:val="0"/>
          <w:divBdr>
            <w:top w:val="none" w:sz="0" w:space="0" w:color="auto"/>
            <w:left w:val="none" w:sz="0" w:space="0" w:color="auto"/>
            <w:bottom w:val="none" w:sz="0" w:space="0" w:color="auto"/>
            <w:right w:val="none" w:sz="0" w:space="0" w:color="auto"/>
          </w:divBdr>
          <w:divsChild>
            <w:div w:id="748504477">
              <w:marLeft w:val="0"/>
              <w:marRight w:val="0"/>
              <w:marTop w:val="0"/>
              <w:marBottom w:val="0"/>
              <w:divBdr>
                <w:top w:val="none" w:sz="0" w:space="0" w:color="auto"/>
                <w:left w:val="none" w:sz="0" w:space="0" w:color="auto"/>
                <w:bottom w:val="none" w:sz="0" w:space="0" w:color="auto"/>
                <w:right w:val="none" w:sz="0" w:space="0" w:color="auto"/>
              </w:divBdr>
              <w:divsChild>
                <w:div w:id="4650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15422">
      <w:bodyDiv w:val="1"/>
      <w:marLeft w:val="0"/>
      <w:marRight w:val="0"/>
      <w:marTop w:val="0"/>
      <w:marBottom w:val="0"/>
      <w:divBdr>
        <w:top w:val="none" w:sz="0" w:space="0" w:color="auto"/>
        <w:left w:val="none" w:sz="0" w:space="0" w:color="auto"/>
        <w:bottom w:val="none" w:sz="0" w:space="0" w:color="auto"/>
        <w:right w:val="none" w:sz="0" w:space="0" w:color="auto"/>
      </w:divBdr>
      <w:divsChild>
        <w:div w:id="608244724">
          <w:marLeft w:val="0"/>
          <w:marRight w:val="0"/>
          <w:marTop w:val="0"/>
          <w:marBottom w:val="0"/>
          <w:divBdr>
            <w:top w:val="none" w:sz="0" w:space="0" w:color="auto"/>
            <w:left w:val="none" w:sz="0" w:space="0" w:color="auto"/>
            <w:bottom w:val="none" w:sz="0" w:space="0" w:color="auto"/>
            <w:right w:val="none" w:sz="0" w:space="0" w:color="auto"/>
          </w:divBdr>
          <w:divsChild>
            <w:div w:id="667488381">
              <w:marLeft w:val="0"/>
              <w:marRight w:val="0"/>
              <w:marTop w:val="0"/>
              <w:marBottom w:val="0"/>
              <w:divBdr>
                <w:top w:val="none" w:sz="0" w:space="0" w:color="auto"/>
                <w:left w:val="none" w:sz="0" w:space="0" w:color="auto"/>
                <w:bottom w:val="none" w:sz="0" w:space="0" w:color="auto"/>
                <w:right w:val="none" w:sz="0" w:space="0" w:color="auto"/>
              </w:divBdr>
              <w:divsChild>
                <w:div w:id="15496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4640">
      <w:bodyDiv w:val="1"/>
      <w:marLeft w:val="0"/>
      <w:marRight w:val="0"/>
      <w:marTop w:val="0"/>
      <w:marBottom w:val="0"/>
      <w:divBdr>
        <w:top w:val="none" w:sz="0" w:space="0" w:color="auto"/>
        <w:left w:val="none" w:sz="0" w:space="0" w:color="auto"/>
        <w:bottom w:val="none" w:sz="0" w:space="0" w:color="auto"/>
        <w:right w:val="none" w:sz="0" w:space="0" w:color="auto"/>
      </w:divBdr>
      <w:divsChild>
        <w:div w:id="308947570">
          <w:marLeft w:val="0"/>
          <w:marRight w:val="0"/>
          <w:marTop w:val="0"/>
          <w:marBottom w:val="0"/>
          <w:divBdr>
            <w:top w:val="none" w:sz="0" w:space="0" w:color="auto"/>
            <w:left w:val="none" w:sz="0" w:space="0" w:color="auto"/>
            <w:bottom w:val="none" w:sz="0" w:space="0" w:color="auto"/>
            <w:right w:val="none" w:sz="0" w:space="0" w:color="auto"/>
          </w:divBdr>
          <w:divsChild>
            <w:div w:id="1791902088">
              <w:marLeft w:val="0"/>
              <w:marRight w:val="0"/>
              <w:marTop w:val="0"/>
              <w:marBottom w:val="0"/>
              <w:divBdr>
                <w:top w:val="none" w:sz="0" w:space="0" w:color="auto"/>
                <w:left w:val="none" w:sz="0" w:space="0" w:color="auto"/>
                <w:bottom w:val="none" w:sz="0" w:space="0" w:color="auto"/>
                <w:right w:val="none" w:sz="0" w:space="0" w:color="auto"/>
              </w:divBdr>
              <w:divsChild>
                <w:div w:id="4629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82001">
      <w:bodyDiv w:val="1"/>
      <w:marLeft w:val="0"/>
      <w:marRight w:val="0"/>
      <w:marTop w:val="0"/>
      <w:marBottom w:val="0"/>
      <w:divBdr>
        <w:top w:val="none" w:sz="0" w:space="0" w:color="auto"/>
        <w:left w:val="none" w:sz="0" w:space="0" w:color="auto"/>
        <w:bottom w:val="none" w:sz="0" w:space="0" w:color="auto"/>
        <w:right w:val="none" w:sz="0" w:space="0" w:color="auto"/>
      </w:divBdr>
      <w:divsChild>
        <w:div w:id="60785391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dn.website-editor.net/61ed7ac1402f428695fcc2386ad0577f/files/uploaded/ICIC-Statement-Proactive-publication-of-information-relating-to-the-COVID-19-pandemic-24062021.pdf" TargetMode="External"/><Relationship Id="rId3" Type="http://schemas.openxmlformats.org/officeDocument/2006/relationships/hyperlink" Target="https://ovic.vic.gov.au/state-of-freedom-of-information-in-victoria/requests-received/" TargetMode="External"/><Relationship Id="rId7" Type="http://schemas.openxmlformats.org/officeDocument/2006/relationships/hyperlink" Target="https://ovic.vic.gov.au/resource/informal-release-of-information/" TargetMode="External"/><Relationship Id="rId2" Type="http://schemas.openxmlformats.org/officeDocument/2006/relationships/hyperlink" Target="https://ovic.vic.gov.au/wp-content/uploads/2021/09/Own-Motion-Investigation-Report-Impediments-to-timely-FOI-and-information-release.pdf" TargetMode="External"/><Relationship Id="rId1" Type="http://schemas.openxmlformats.org/officeDocument/2006/relationships/hyperlink" Target="https://ovic.vic.gov.au/state-of-freedom-of-information-in-victoria/information-commissioners-foreword/" TargetMode="External"/><Relationship Id="rId6" Type="http://schemas.openxmlformats.org/officeDocument/2006/relationships/hyperlink" Target="https://ovic.vic.gov.au/resource/proactive-release-of-information/" TargetMode="External"/><Relationship Id="rId5" Type="http://schemas.openxmlformats.org/officeDocument/2006/relationships/hyperlink" Target="https://ovic.vic.gov.au/wp-content/uploads/2021/09/Own-Motion-Investigation-Report-Impediments-to-timely-FOI-and-information-release.pdf" TargetMode="External"/><Relationship Id="rId4" Type="http://schemas.openxmlformats.org/officeDocument/2006/relationships/hyperlink" Target="https://ovic.vic.gov.au/state-of-freedom-of-information-in-victoria/decision-making/" TargetMode="External"/><Relationship Id="rId9" Type="http://schemas.openxmlformats.org/officeDocument/2006/relationships/hyperlink" Target="https://ovic.vic.gov.au/wp-content/uploads/2021/09/Own-Motion-Investigation-Report-Impediments-to-timely-FOI-and-information-release.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B002-3627-AC42-B8D4-63534FEC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5138</Words>
  <Characters>29293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34363</CharactersWithSpaces>
  <SharedDoc>false</SharedDoc>
  <HLinks>
    <vt:vector size="42" baseType="variant">
      <vt:variant>
        <vt:i4>1966132</vt:i4>
      </vt:variant>
      <vt:variant>
        <vt:i4>38</vt:i4>
      </vt:variant>
      <vt:variant>
        <vt:i4>0</vt:i4>
      </vt:variant>
      <vt:variant>
        <vt:i4>5</vt:i4>
      </vt:variant>
      <vt:variant>
        <vt:lpwstr/>
      </vt:variant>
      <vt:variant>
        <vt:lpwstr>_Toc23257936</vt:lpwstr>
      </vt:variant>
      <vt:variant>
        <vt:i4>1900596</vt:i4>
      </vt:variant>
      <vt:variant>
        <vt:i4>32</vt:i4>
      </vt:variant>
      <vt:variant>
        <vt:i4>0</vt:i4>
      </vt:variant>
      <vt:variant>
        <vt:i4>5</vt:i4>
      </vt:variant>
      <vt:variant>
        <vt:lpwstr/>
      </vt:variant>
      <vt:variant>
        <vt:lpwstr>_Toc23257935</vt:lpwstr>
      </vt:variant>
      <vt:variant>
        <vt:i4>1835060</vt:i4>
      </vt:variant>
      <vt:variant>
        <vt:i4>26</vt:i4>
      </vt:variant>
      <vt:variant>
        <vt:i4>0</vt:i4>
      </vt:variant>
      <vt:variant>
        <vt:i4>5</vt:i4>
      </vt:variant>
      <vt:variant>
        <vt:lpwstr/>
      </vt:variant>
      <vt:variant>
        <vt:lpwstr>_Toc23257934</vt:lpwstr>
      </vt:variant>
      <vt:variant>
        <vt:i4>1769524</vt:i4>
      </vt:variant>
      <vt:variant>
        <vt:i4>20</vt:i4>
      </vt:variant>
      <vt:variant>
        <vt:i4>0</vt:i4>
      </vt:variant>
      <vt:variant>
        <vt:i4>5</vt:i4>
      </vt:variant>
      <vt:variant>
        <vt:lpwstr/>
      </vt:variant>
      <vt:variant>
        <vt:lpwstr>_Toc23257933</vt:lpwstr>
      </vt:variant>
      <vt:variant>
        <vt:i4>1703988</vt:i4>
      </vt:variant>
      <vt:variant>
        <vt:i4>14</vt:i4>
      </vt:variant>
      <vt:variant>
        <vt:i4>0</vt:i4>
      </vt:variant>
      <vt:variant>
        <vt:i4>5</vt:i4>
      </vt:variant>
      <vt:variant>
        <vt:lpwstr/>
      </vt:variant>
      <vt:variant>
        <vt:lpwstr>_Toc23257932</vt:lpwstr>
      </vt:variant>
      <vt:variant>
        <vt:i4>1638452</vt:i4>
      </vt:variant>
      <vt:variant>
        <vt:i4>8</vt:i4>
      </vt:variant>
      <vt:variant>
        <vt:i4>0</vt:i4>
      </vt:variant>
      <vt:variant>
        <vt:i4>5</vt:i4>
      </vt:variant>
      <vt:variant>
        <vt:lpwstr/>
      </vt:variant>
      <vt:variant>
        <vt:lpwstr>_Toc23257931</vt:lpwstr>
      </vt:variant>
      <vt:variant>
        <vt:i4>1572916</vt:i4>
      </vt:variant>
      <vt:variant>
        <vt:i4>2</vt:i4>
      </vt:variant>
      <vt:variant>
        <vt:i4>0</vt:i4>
      </vt:variant>
      <vt:variant>
        <vt:i4>5</vt:i4>
      </vt:variant>
      <vt:variant>
        <vt:lpwstr/>
      </vt:variant>
      <vt:variant>
        <vt:lpwstr>_Toc23257930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Crossman</dc:creator>
  <cp:keywords/>
  <cp:lastModifiedBy>Jessica Brackin</cp:lastModifiedBy>
  <cp:revision>2</cp:revision>
  <cp:lastPrinted>2021-09-04T22:26:00Z</cp:lastPrinted>
  <dcterms:created xsi:type="dcterms:W3CDTF">2021-09-23T01:23:00Z</dcterms:created>
  <dcterms:modified xsi:type="dcterms:W3CDTF">2021-09-23T01:23:00Z</dcterms:modified>
</cp:coreProperties>
</file>