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206FE5" w14:textId="6E31136B" w:rsidR="00FF693B" w:rsidRDefault="00FF693B" w:rsidP="009117D1">
      <w:pPr>
        <w:pStyle w:val="SectionHeading1"/>
        <w:pBdr>
          <w:top w:val="single" w:sz="4" w:space="1" w:color="auto"/>
          <w:left w:val="single" w:sz="4" w:space="1" w:color="auto"/>
          <w:bottom w:val="single" w:sz="4" w:space="1" w:color="auto"/>
          <w:right w:val="single" w:sz="4" w:space="1" w:color="auto"/>
        </w:pBdr>
      </w:pPr>
      <w:r>
        <w:t>How to use this document</w:t>
      </w:r>
    </w:p>
    <w:p w14:paraId="6AC74F5D" w14:textId="37360032" w:rsidR="0025632F" w:rsidRDefault="00DA75C5" w:rsidP="009117D1">
      <w:pPr>
        <w:pStyle w:val="Body"/>
        <w:pBdr>
          <w:top w:val="single" w:sz="4" w:space="1" w:color="auto"/>
          <w:left w:val="single" w:sz="4" w:space="1" w:color="auto"/>
          <w:bottom w:val="single" w:sz="4" w:space="1" w:color="auto"/>
          <w:right w:val="single" w:sz="4" w:space="1" w:color="auto"/>
        </w:pBdr>
      </w:pPr>
      <w:r>
        <w:t>This case study considers a common type of outsourcing arrangement: where a V</w:t>
      </w:r>
      <w:r w:rsidR="008A66B4">
        <w:t>ictorian public sector (</w:t>
      </w:r>
      <w:r w:rsidR="008A66B4" w:rsidRPr="0011553D">
        <w:rPr>
          <w:b/>
          <w:bCs/>
        </w:rPr>
        <w:t>V</w:t>
      </w:r>
      <w:r w:rsidRPr="0011553D">
        <w:rPr>
          <w:b/>
          <w:bCs/>
        </w:rPr>
        <w:t>PS</w:t>
      </w:r>
      <w:r w:rsidR="008A66B4">
        <w:t>)</w:t>
      </w:r>
      <w:r>
        <w:t xml:space="preserve"> body </w:t>
      </w:r>
      <w:r w:rsidR="00D62855">
        <w:t xml:space="preserve">wishes to </w:t>
      </w:r>
      <w:r w:rsidR="005416BA">
        <w:t>engage a commercial data analytics provider to analyse Victorian Government data</w:t>
      </w:r>
      <w:r w:rsidR="00261217">
        <w:t>. This case study</w:t>
      </w:r>
      <w:r w:rsidR="0025632F">
        <w:t xml:space="preserve"> </w:t>
      </w:r>
      <w:r w:rsidR="006D5E01">
        <w:t>assumes that the VPS body is</w:t>
      </w:r>
      <w:r w:rsidR="00AF7BD7">
        <w:t xml:space="preserve"> subject to both Parts 3 (Information Privacy)</w:t>
      </w:r>
      <w:r w:rsidR="0025632F">
        <w:t xml:space="preserve"> and </w:t>
      </w:r>
      <w:r w:rsidR="00AF7BD7">
        <w:t>4 (Protective Data Security)</w:t>
      </w:r>
      <w:r w:rsidR="0025632F">
        <w:t xml:space="preserve"> of the </w:t>
      </w:r>
      <w:r w:rsidR="0025632F">
        <w:rPr>
          <w:i/>
        </w:rPr>
        <w:t xml:space="preserve">Privacy and Data Protection Act 2014 </w:t>
      </w:r>
      <w:r w:rsidR="0025632F">
        <w:t>(Vic) (</w:t>
      </w:r>
      <w:r w:rsidR="0025632F">
        <w:rPr>
          <w:b/>
        </w:rPr>
        <w:t>PDP Act</w:t>
      </w:r>
      <w:r w:rsidR="0025632F">
        <w:t>)</w:t>
      </w:r>
      <w:r w:rsidR="0025632F" w:rsidRPr="0025632F">
        <w:t>.</w:t>
      </w:r>
    </w:p>
    <w:p w14:paraId="1C6825E0" w14:textId="7A9332E3" w:rsidR="00957130" w:rsidRDefault="00B43CDC" w:rsidP="009117D1">
      <w:pPr>
        <w:pStyle w:val="Body"/>
        <w:pBdr>
          <w:top w:val="single" w:sz="4" w:space="1" w:color="auto"/>
          <w:left w:val="single" w:sz="4" w:space="1" w:color="auto"/>
          <w:bottom w:val="single" w:sz="4" w:space="1" w:color="auto"/>
          <w:right w:val="single" w:sz="4" w:space="1" w:color="auto"/>
        </w:pBdr>
      </w:pPr>
      <w:r>
        <w:rPr>
          <w:color w:val="555559"/>
          <w:lang w:val="en-US"/>
        </w:rPr>
        <w:t xml:space="preserve">This case study </w:t>
      </w:r>
      <w:r w:rsidR="00F5242F">
        <w:rPr>
          <w:color w:val="555559"/>
          <w:lang w:val="en-US"/>
        </w:rPr>
        <w:t>is intended to</w:t>
      </w:r>
      <w:r w:rsidR="00DA75C5">
        <w:rPr>
          <w:color w:val="555559"/>
          <w:lang w:val="en-US"/>
        </w:rPr>
        <w:t xml:space="preserve"> be read in conjunction with </w:t>
      </w:r>
      <w:r w:rsidR="00DA75C5">
        <w:t xml:space="preserve">the </w:t>
      </w:r>
      <w:r w:rsidR="00DA75C5" w:rsidRPr="000F019A">
        <w:rPr>
          <w:i/>
        </w:rPr>
        <w:t xml:space="preserve">Guidelines for Outsourcing in the Victorian Public Sector - </w:t>
      </w:r>
      <w:r w:rsidR="00DA75C5">
        <w:rPr>
          <w:i/>
        </w:rPr>
        <w:t xml:space="preserve">Checklist </w:t>
      </w:r>
      <w:r w:rsidR="00DA75C5">
        <w:t xml:space="preserve">and </w:t>
      </w:r>
      <w:r w:rsidR="00DA75C5">
        <w:rPr>
          <w:i/>
        </w:rPr>
        <w:t>Accompanying Guide</w:t>
      </w:r>
      <w:r w:rsidR="009228F9">
        <w:t xml:space="preserve">, which provide more detailed </w:t>
      </w:r>
      <w:r w:rsidR="00D01D0A">
        <w:t xml:space="preserve">implementation </w:t>
      </w:r>
      <w:r w:rsidR="001A441D">
        <w:t>guidance</w:t>
      </w:r>
      <w:r w:rsidR="00957130">
        <w:t xml:space="preserve">.  You may also wish to refer to the </w:t>
      </w:r>
      <w:proofErr w:type="gramStart"/>
      <w:r w:rsidR="00957130" w:rsidRPr="00957130">
        <w:rPr>
          <w:i/>
        </w:rPr>
        <w:t>Short</w:t>
      </w:r>
      <w:proofErr w:type="gramEnd"/>
      <w:r w:rsidR="00957130" w:rsidRPr="00957130">
        <w:rPr>
          <w:i/>
        </w:rPr>
        <w:t xml:space="preserve"> form Model Terms for Contracted Service Provider</w:t>
      </w:r>
      <w:r w:rsidR="009B206F">
        <w:rPr>
          <w:i/>
        </w:rPr>
        <w:t xml:space="preserve"> agreements</w:t>
      </w:r>
      <w:r w:rsidR="00957130">
        <w:rPr>
          <w:i/>
        </w:rPr>
        <w:t>.</w:t>
      </w:r>
    </w:p>
    <w:p w14:paraId="40BE396E" w14:textId="13502A02" w:rsidR="009117D1" w:rsidRPr="00957130" w:rsidRDefault="009117D1" w:rsidP="009117D1">
      <w:pPr>
        <w:pStyle w:val="Body"/>
        <w:pBdr>
          <w:top w:val="single" w:sz="4" w:space="1" w:color="auto"/>
          <w:left w:val="single" w:sz="4" w:space="1" w:color="auto"/>
          <w:bottom w:val="single" w:sz="4" w:space="1" w:color="auto"/>
          <w:right w:val="single" w:sz="4" w:space="1" w:color="auto"/>
        </w:pBdr>
        <w:sectPr w:rsidR="009117D1" w:rsidRPr="00957130" w:rsidSect="00A96CC9">
          <w:footerReference w:type="even" r:id="rId7"/>
          <w:footerReference w:type="default" r:id="rId8"/>
          <w:headerReference w:type="first" r:id="rId9"/>
          <w:footerReference w:type="first" r:id="rId10"/>
          <w:pgSz w:w="11900" w:h="16840"/>
          <w:pgMar w:top="1134" w:right="985" w:bottom="1134" w:left="1134" w:header="964" w:footer="510" w:gutter="0"/>
          <w:cols w:space="708"/>
          <w:titlePg/>
          <w:docGrid w:linePitch="360"/>
        </w:sectPr>
      </w:pPr>
    </w:p>
    <w:p w14:paraId="29D6201E" w14:textId="48F7E785" w:rsidR="00C736EC" w:rsidRDefault="00794017" w:rsidP="00C736EC">
      <w:pPr>
        <w:pStyle w:val="SectionHeading1"/>
      </w:pPr>
      <w:r>
        <w:t>S</w:t>
      </w:r>
      <w:r w:rsidR="00A762EA">
        <w:t>cenario</w:t>
      </w:r>
    </w:p>
    <w:p w14:paraId="1D7FB9F7" w14:textId="3FD4E7C1" w:rsidR="00FB3ED6" w:rsidRDefault="003E4A8C" w:rsidP="005D258D">
      <w:pPr>
        <w:pStyle w:val="Body"/>
      </w:pPr>
      <w:r>
        <w:t xml:space="preserve">You work in </w:t>
      </w:r>
      <w:r w:rsidR="00316E22">
        <w:t xml:space="preserve">the Policy, Strategy and Performance </w:t>
      </w:r>
      <w:r w:rsidR="00973BE1">
        <w:t>branch</w:t>
      </w:r>
      <w:r w:rsidR="00316E22">
        <w:t xml:space="preserve"> of </w:t>
      </w:r>
      <w:r w:rsidR="0013053E">
        <w:t xml:space="preserve">a Victorian Government </w:t>
      </w:r>
      <w:r w:rsidR="00AB76D2">
        <w:t>body</w:t>
      </w:r>
      <w:r w:rsidR="00F96864">
        <w:t xml:space="preserve"> (your </w:t>
      </w:r>
      <w:r w:rsidR="00F96864" w:rsidRPr="00F96864">
        <w:rPr>
          <w:b/>
        </w:rPr>
        <w:t>Organisation</w:t>
      </w:r>
      <w:r w:rsidR="00F96864">
        <w:t>)</w:t>
      </w:r>
      <w:r w:rsidR="00867847">
        <w:t>.</w:t>
      </w:r>
      <w:r w:rsidR="000E0FB5">
        <w:t xml:space="preserve"> Your team </w:t>
      </w:r>
      <w:r w:rsidR="00913CE4">
        <w:t xml:space="preserve">is </w:t>
      </w:r>
      <w:r w:rsidR="000E0FB5">
        <w:t xml:space="preserve">asked </w:t>
      </w:r>
      <w:r w:rsidR="00D52EF2">
        <w:t xml:space="preserve">to </w:t>
      </w:r>
      <w:r w:rsidR="000E0FB5">
        <w:t>systematic</w:t>
      </w:r>
      <w:r w:rsidR="00913CE4">
        <w:t>ally</w:t>
      </w:r>
      <w:r w:rsidR="000E0FB5">
        <w:t xml:space="preserve"> review </w:t>
      </w:r>
      <w:proofErr w:type="spellStart"/>
      <w:r w:rsidR="00470C87">
        <w:t>the</w:t>
      </w:r>
      <w:r w:rsidR="000E0FB5">
        <w:t>service</w:t>
      </w:r>
      <w:proofErr w:type="spellEnd"/>
      <w:r w:rsidR="000E0FB5">
        <w:t xml:space="preserve"> quality </w:t>
      </w:r>
      <w:r w:rsidR="00470C87">
        <w:t>of</w:t>
      </w:r>
      <w:r w:rsidR="000E0FB5">
        <w:t xml:space="preserve"> a </w:t>
      </w:r>
      <w:r w:rsidR="00156027">
        <w:t>particular</w:t>
      </w:r>
      <w:r w:rsidR="000E0FB5">
        <w:t xml:space="preserve"> </w:t>
      </w:r>
      <w:r w:rsidR="00F90506">
        <w:t xml:space="preserve">service </w:t>
      </w:r>
      <w:r w:rsidR="00B97284">
        <w:t>that is funded by</w:t>
      </w:r>
      <w:r w:rsidR="000E0FB5">
        <w:t xml:space="preserve"> </w:t>
      </w:r>
      <w:r w:rsidR="00AB76D2">
        <w:t>your Organisation</w:t>
      </w:r>
      <w:r w:rsidR="00765CDA">
        <w:t xml:space="preserve"> (the </w:t>
      </w:r>
      <w:r w:rsidR="00765CDA" w:rsidRPr="00765CDA">
        <w:rPr>
          <w:b/>
        </w:rPr>
        <w:t>Project</w:t>
      </w:r>
      <w:r w:rsidR="00765CDA">
        <w:t>)</w:t>
      </w:r>
      <w:r w:rsidR="000E0FB5">
        <w:t xml:space="preserve">. To assist with this task, you </w:t>
      </w:r>
      <w:r w:rsidR="00470C87">
        <w:t>have</w:t>
      </w:r>
      <w:r w:rsidR="000E0FB5">
        <w:t xml:space="preserve"> access to an archive of historical performance reviews</w:t>
      </w:r>
      <w:r w:rsidR="00F90506">
        <w:t xml:space="preserve"> and evaluation reports </w:t>
      </w:r>
      <w:r w:rsidR="00991046">
        <w:t>for that service</w:t>
      </w:r>
      <w:r w:rsidR="000E0FB5">
        <w:t>.</w:t>
      </w:r>
      <w:r w:rsidR="005F2137">
        <w:t xml:space="preserve"> </w:t>
      </w:r>
      <w:r w:rsidR="00470C87">
        <w:t>T</w:t>
      </w:r>
      <w:r w:rsidR="00B95933">
        <w:t xml:space="preserve">hese documents mention </w:t>
      </w:r>
      <w:r w:rsidR="005F2137">
        <w:t xml:space="preserve">the names of various service providers and </w:t>
      </w:r>
      <w:r w:rsidR="00E26FAC">
        <w:t>staff</w:t>
      </w:r>
      <w:r w:rsidR="005F2137">
        <w:t xml:space="preserve"> </w:t>
      </w:r>
      <w:r w:rsidR="00893202">
        <w:t xml:space="preserve">who were </w:t>
      </w:r>
      <w:r w:rsidR="005F2137">
        <w:t>involved in the</w:t>
      </w:r>
      <w:r w:rsidR="00D22E14">
        <w:t xml:space="preserve"> delivery of the service</w:t>
      </w:r>
      <w:r w:rsidR="00B95933">
        <w:t>s</w:t>
      </w:r>
      <w:r w:rsidR="00D22E14">
        <w:t>.</w:t>
      </w:r>
    </w:p>
    <w:p w14:paraId="386B332E" w14:textId="53056A2A" w:rsidR="0013053E" w:rsidRDefault="00F90506" w:rsidP="005D258D">
      <w:pPr>
        <w:pStyle w:val="Body"/>
      </w:pPr>
      <w:r>
        <w:t xml:space="preserve">One of your objectives is to identify common trends and themes in the performance reviews and evaluation reports, so that these can be analysed as part of the broader assessment. </w:t>
      </w:r>
      <w:r w:rsidR="00234820">
        <w:t>This</w:t>
      </w:r>
      <w:r>
        <w:t xml:space="preserve"> analysis will primarily be used for internal reporting purposes, to assist with strategy development and service planning within </w:t>
      </w:r>
      <w:r w:rsidR="00F5225F">
        <w:t>your Organisation</w:t>
      </w:r>
      <w:r>
        <w:t xml:space="preserve">. </w:t>
      </w:r>
      <w:r w:rsidR="00F5225F">
        <w:t>Following this</w:t>
      </w:r>
      <w:r w:rsidR="00BC76F7">
        <w:t xml:space="preserve">, your team will prepare a </w:t>
      </w:r>
      <w:r w:rsidR="00F5225F">
        <w:t xml:space="preserve">final, </w:t>
      </w:r>
      <w:r w:rsidR="00BC76F7">
        <w:t xml:space="preserve">public-facing report </w:t>
      </w:r>
      <w:r w:rsidR="00F5225F">
        <w:t>to summarise</w:t>
      </w:r>
      <w:r w:rsidR="00BC76F7">
        <w:t xml:space="preserve"> the key findings of the rev</w:t>
      </w:r>
      <w:r w:rsidR="008F25E0">
        <w:t xml:space="preserve">iew and the </w:t>
      </w:r>
      <w:r w:rsidR="00D52EF2">
        <w:t>initiatives</w:t>
      </w:r>
      <w:r w:rsidR="008F25E0">
        <w:t xml:space="preserve"> that your Organisation </w:t>
      </w:r>
      <w:r w:rsidR="00BC76F7">
        <w:t xml:space="preserve">is </w:t>
      </w:r>
      <w:r w:rsidR="00CE1B17">
        <w:t>implementing in response</w:t>
      </w:r>
      <w:r w:rsidR="00BC76F7">
        <w:t>.</w:t>
      </w:r>
    </w:p>
    <w:p w14:paraId="03D732CC" w14:textId="49E6F226" w:rsidR="00CE1B17" w:rsidRDefault="00C2031F" w:rsidP="005D258D">
      <w:pPr>
        <w:pStyle w:val="Body"/>
      </w:pPr>
      <w:r>
        <w:t xml:space="preserve">The </w:t>
      </w:r>
      <w:r w:rsidR="0090435D">
        <w:t>document archive you have been provided</w:t>
      </w:r>
      <w:r>
        <w:t xml:space="preserve"> </w:t>
      </w:r>
      <w:r w:rsidR="0090435D">
        <w:t xml:space="preserve">with </w:t>
      </w:r>
      <w:r>
        <w:t xml:space="preserve">is </w:t>
      </w:r>
      <w:r w:rsidR="00B96FC9">
        <w:t xml:space="preserve">quite </w:t>
      </w:r>
      <w:r w:rsidR="006720FE">
        <w:t>sizeable</w:t>
      </w:r>
      <w:r w:rsidR="007B4CAE">
        <w:t xml:space="preserve">. This </w:t>
      </w:r>
      <w:r w:rsidR="006720FE">
        <w:t>pre</w:t>
      </w:r>
      <w:r w:rsidR="007B4CAE">
        <w:t>sents a challenge for your team, as</w:t>
      </w:r>
      <w:r w:rsidR="006720FE">
        <w:t xml:space="preserve"> </w:t>
      </w:r>
      <w:r w:rsidR="007B4CAE">
        <w:t>t</w:t>
      </w:r>
      <w:r w:rsidR="002D3219">
        <w:t xml:space="preserve">he </w:t>
      </w:r>
      <w:r w:rsidR="00EB17B6">
        <w:t>structure and format of the reports has chang</w:t>
      </w:r>
      <w:r w:rsidR="006720FE">
        <w:t>ed several times over the years</w:t>
      </w:r>
      <w:r w:rsidR="006C31B6">
        <w:t>. T</w:t>
      </w:r>
      <w:r w:rsidR="00EB17B6">
        <w:t xml:space="preserve">he reports </w:t>
      </w:r>
      <w:r w:rsidR="006C31B6">
        <w:t>also vary</w:t>
      </w:r>
      <w:r w:rsidR="006720FE">
        <w:t xml:space="preserve"> </w:t>
      </w:r>
      <w:r w:rsidR="00EB17B6">
        <w:t>in their length and level of detail.</w:t>
      </w:r>
      <w:r w:rsidR="00CE1B17">
        <w:t xml:space="preserve"> </w:t>
      </w:r>
      <w:r w:rsidR="00A0737D">
        <w:t xml:space="preserve">To expedite the analysis and help your team to meet the project timeframes, your </w:t>
      </w:r>
      <w:r w:rsidR="00224016">
        <w:t>team</w:t>
      </w:r>
      <w:r w:rsidR="00A0737D">
        <w:t xml:space="preserve"> </w:t>
      </w:r>
      <w:r w:rsidR="00224016">
        <w:t>is considering whether to engage</w:t>
      </w:r>
      <w:r w:rsidR="00A0737D">
        <w:t xml:space="preserve"> a data analytics provider </w:t>
      </w:r>
      <w:r w:rsidR="00224016">
        <w:t>who can</w:t>
      </w:r>
      <w:r w:rsidR="00A0737D">
        <w:t xml:space="preserve"> </w:t>
      </w:r>
      <w:r w:rsidR="00224016">
        <w:t>use</w:t>
      </w:r>
      <w:r w:rsidR="00A0737D">
        <w:t xml:space="preserve"> software</w:t>
      </w:r>
      <w:r w:rsidR="00224016">
        <w:t xml:space="preserve"> to automate the review process</w:t>
      </w:r>
      <w:r w:rsidR="00A24B46">
        <w:t>.</w:t>
      </w:r>
      <w:r w:rsidR="00F561D8">
        <w:t xml:space="preserve"> </w:t>
      </w:r>
    </w:p>
    <w:p w14:paraId="37DAD762" w14:textId="3BE46E00" w:rsidR="00CE1B17" w:rsidRDefault="00696CD1" w:rsidP="005D258D">
      <w:pPr>
        <w:pStyle w:val="Body"/>
      </w:pPr>
      <w:r>
        <w:t>Y</w:t>
      </w:r>
      <w:r w:rsidR="00A864AA">
        <w:t xml:space="preserve">ou identify a commercial data analytics company </w:t>
      </w:r>
      <w:r>
        <w:t xml:space="preserve">(the </w:t>
      </w:r>
      <w:r w:rsidRPr="00696CD1">
        <w:rPr>
          <w:b/>
        </w:rPr>
        <w:t>CSP</w:t>
      </w:r>
      <w:r>
        <w:t xml:space="preserve">) </w:t>
      </w:r>
      <w:r w:rsidR="00513769">
        <w:t xml:space="preserve">with </w:t>
      </w:r>
      <w:r w:rsidR="00404306">
        <w:t xml:space="preserve">the right type of analytics software for </w:t>
      </w:r>
      <w:r w:rsidR="000C2C81">
        <w:t>the</w:t>
      </w:r>
      <w:r w:rsidR="00404306">
        <w:t xml:space="preserve"> </w:t>
      </w:r>
      <w:r w:rsidR="000C2C81">
        <w:t>P</w:t>
      </w:r>
      <w:r w:rsidR="00404306">
        <w:t>roject.</w:t>
      </w:r>
      <w:r w:rsidR="00CE1B17">
        <w:t xml:space="preserve"> </w:t>
      </w:r>
      <w:r w:rsidR="005E3734">
        <w:t xml:space="preserve">You have an initial meeting with the </w:t>
      </w:r>
      <w:r w:rsidR="001E4CC5">
        <w:t>CSP</w:t>
      </w:r>
      <w:r w:rsidR="005E3734">
        <w:t xml:space="preserve">, and they indicate that they can analyse the </w:t>
      </w:r>
      <w:r w:rsidR="009E315B">
        <w:t xml:space="preserve">document archive </w:t>
      </w:r>
      <w:r w:rsidR="005E3734">
        <w:t xml:space="preserve">(the </w:t>
      </w:r>
      <w:r w:rsidR="005E3734" w:rsidRPr="005E3734">
        <w:rPr>
          <w:b/>
        </w:rPr>
        <w:t>Input Data</w:t>
      </w:r>
      <w:r w:rsidR="005E3734">
        <w:t xml:space="preserve">) and produce the following deliverables (the </w:t>
      </w:r>
      <w:r w:rsidR="005E3734" w:rsidRPr="005E3734">
        <w:rPr>
          <w:b/>
        </w:rPr>
        <w:t>Data Outputs</w:t>
      </w:r>
      <w:r w:rsidR="005E3734">
        <w:t xml:space="preserve">): </w:t>
      </w:r>
    </w:p>
    <w:p w14:paraId="6B40BC5B" w14:textId="42C2FF4A" w:rsidR="00CE1B17" w:rsidRDefault="00CE1B17" w:rsidP="00CE1B17">
      <w:pPr>
        <w:pStyle w:val="Body"/>
        <w:ind w:left="720" w:hanging="720"/>
      </w:pPr>
      <w:r>
        <w:t>(a)</w:t>
      </w:r>
      <w:r>
        <w:tab/>
      </w:r>
      <w:r w:rsidR="00893202">
        <w:t xml:space="preserve">a </w:t>
      </w:r>
      <w:r w:rsidR="0045701D">
        <w:t xml:space="preserve">searchable index </w:t>
      </w:r>
      <w:r w:rsidR="00893202">
        <w:t xml:space="preserve">that highlights </w:t>
      </w:r>
      <w:r>
        <w:t xml:space="preserve">commonly occurring </w:t>
      </w:r>
      <w:r w:rsidR="00893202">
        <w:t xml:space="preserve">keywords and phrases </w:t>
      </w:r>
      <w:r w:rsidR="00CA26AF">
        <w:t xml:space="preserve">in the </w:t>
      </w:r>
      <w:r w:rsidR="005E1B7C">
        <w:t>documents</w:t>
      </w:r>
      <w:r w:rsidR="00CA26AF">
        <w:t xml:space="preserve"> </w:t>
      </w:r>
      <w:r w:rsidR="00893202">
        <w:t xml:space="preserve">(which may include service provider </w:t>
      </w:r>
      <w:r w:rsidR="004F4319">
        <w:t>and</w:t>
      </w:r>
      <w:r w:rsidR="00893202">
        <w:t xml:space="preserve"> </w:t>
      </w:r>
      <w:r w:rsidR="00E26FAC">
        <w:t>staff</w:t>
      </w:r>
      <w:r w:rsidR="00893202">
        <w:t xml:space="preserve"> names)</w:t>
      </w:r>
      <w:r>
        <w:t>;</w:t>
      </w:r>
      <w:r w:rsidR="00893202">
        <w:t xml:space="preserve"> and </w:t>
      </w:r>
    </w:p>
    <w:p w14:paraId="52C5F877" w14:textId="35146DC9" w:rsidR="0025632F" w:rsidRDefault="00CE1B17" w:rsidP="00CE1B17">
      <w:pPr>
        <w:pStyle w:val="Body"/>
        <w:ind w:left="720" w:hanging="720"/>
        <w:rPr>
          <w:rFonts w:cs="PostGrotesk-Medium"/>
          <w:color w:val="430098"/>
          <w:sz w:val="28"/>
          <w:szCs w:val="28"/>
        </w:rPr>
      </w:pPr>
      <w:r>
        <w:t>(b)</w:t>
      </w:r>
      <w:r>
        <w:tab/>
      </w:r>
      <w:r w:rsidR="00893202">
        <w:t xml:space="preserve">statistical tables </w:t>
      </w:r>
      <w:r w:rsidR="00CA26AF">
        <w:t>of</w:t>
      </w:r>
      <w:r w:rsidR="00893202">
        <w:t xml:space="preserve"> aggregated data that can be included in </w:t>
      </w:r>
      <w:r>
        <w:t>your</w:t>
      </w:r>
      <w:r w:rsidR="00893202">
        <w:t xml:space="preserve"> final public-facing report.</w:t>
      </w:r>
      <w:r w:rsidR="0025632F">
        <w:br w:type="page"/>
      </w:r>
    </w:p>
    <w:p w14:paraId="3DEEC67A" w14:textId="094B0259" w:rsidR="00C53A14" w:rsidRDefault="00C53A14" w:rsidP="00C53A14">
      <w:pPr>
        <w:pStyle w:val="SectionHeading1"/>
        <w:jc w:val="both"/>
      </w:pPr>
      <w:r>
        <w:lastRenderedPageBreak/>
        <w:t>What are your Organisation's responsibilities</w:t>
      </w:r>
      <w:r w:rsidR="008F4CB5">
        <w:t xml:space="preserve"> in this scenario</w:t>
      </w:r>
      <w:r>
        <w:t>?</w:t>
      </w:r>
    </w:p>
    <w:p w14:paraId="7C558367" w14:textId="14CC5C88" w:rsidR="00E44980" w:rsidRDefault="00C53A14" w:rsidP="00C53A14">
      <w:pPr>
        <w:pStyle w:val="Body"/>
      </w:pPr>
      <w:r>
        <w:t xml:space="preserve">The </w:t>
      </w:r>
      <w:r w:rsidR="006C1C75">
        <w:t xml:space="preserve">Input Data consists of historical performance reviews and evaluation reports, </w:t>
      </w:r>
      <w:r w:rsidR="00E26FAC">
        <w:t xml:space="preserve">some of </w:t>
      </w:r>
      <w:r w:rsidR="006C1C75">
        <w:t xml:space="preserve">which contain the names of </w:t>
      </w:r>
      <w:r w:rsidR="00E26FAC">
        <w:t>individual staff</w:t>
      </w:r>
      <w:r w:rsidR="000A2557">
        <w:t xml:space="preserve"> members.</w:t>
      </w:r>
    </w:p>
    <w:p w14:paraId="7BC6DCD4" w14:textId="455CD9CE" w:rsidR="00C53A14" w:rsidRDefault="00DE205F" w:rsidP="00C53A14">
      <w:pPr>
        <w:pStyle w:val="Body"/>
      </w:pPr>
      <w:r>
        <w:t xml:space="preserve">While this is information about the </w:t>
      </w:r>
      <w:r w:rsidR="00E26FAC">
        <w:t xml:space="preserve">staff </w:t>
      </w:r>
      <w:r>
        <w:t xml:space="preserve">in their professional capacity, it </w:t>
      </w:r>
      <w:r w:rsidR="004C0FB9">
        <w:t xml:space="preserve">is </w:t>
      </w:r>
      <w:r>
        <w:t xml:space="preserve">still "personal information" </w:t>
      </w:r>
      <w:r w:rsidR="00513769">
        <w:t xml:space="preserve">under </w:t>
      </w:r>
      <w:r>
        <w:t>the PDP Act.</w:t>
      </w:r>
      <w:r w:rsidR="00C53A14">
        <w:t xml:space="preserve"> </w:t>
      </w:r>
      <w:r w:rsidR="00513769">
        <w:t xml:space="preserve">Consequently, </w:t>
      </w:r>
      <w:r w:rsidR="00765CDA">
        <w:t xml:space="preserve">the </w:t>
      </w:r>
      <w:r w:rsidR="00C53A14">
        <w:t>Information Privacy Principles (</w:t>
      </w:r>
      <w:r w:rsidR="00C53A14" w:rsidRPr="00A40696">
        <w:rPr>
          <w:b/>
        </w:rPr>
        <w:t>IPPs</w:t>
      </w:r>
      <w:r w:rsidR="00C53A14">
        <w:t xml:space="preserve">) </w:t>
      </w:r>
      <w:r w:rsidR="00513769">
        <w:t>apply:</w:t>
      </w:r>
    </w:p>
    <w:p w14:paraId="1C4B340C" w14:textId="161C8B94" w:rsidR="0019377F" w:rsidRPr="0019377F" w:rsidRDefault="0019377F" w:rsidP="0019377F">
      <w:pPr>
        <w:pStyle w:val="Body"/>
        <w:ind w:left="720"/>
        <w:rPr>
          <w:i/>
        </w:rPr>
      </w:pPr>
      <w:r w:rsidRPr="0019377F">
        <w:rPr>
          <w:i/>
        </w:rPr>
        <w:t xml:space="preserve">Among other things, the IPPs </w:t>
      </w:r>
      <w:r w:rsidR="003D08C8">
        <w:rPr>
          <w:i/>
        </w:rPr>
        <w:t xml:space="preserve">require </w:t>
      </w:r>
      <w:r w:rsidR="008D6C09">
        <w:rPr>
          <w:i/>
        </w:rPr>
        <w:t xml:space="preserve">your </w:t>
      </w:r>
      <w:r w:rsidR="0079563B">
        <w:rPr>
          <w:i/>
        </w:rPr>
        <w:t>Organisation</w:t>
      </w:r>
      <w:r w:rsidR="008D6C09">
        <w:rPr>
          <w:i/>
        </w:rPr>
        <w:t xml:space="preserve"> to </w:t>
      </w:r>
      <w:r w:rsidR="00765CDA">
        <w:rPr>
          <w:i/>
        </w:rPr>
        <w:t xml:space="preserve">take reasonable steps to </w:t>
      </w:r>
      <w:r w:rsidR="008505D6">
        <w:rPr>
          <w:i/>
        </w:rPr>
        <w:t xml:space="preserve">protect the Input Data </w:t>
      </w:r>
      <w:r w:rsidR="00180EF8">
        <w:rPr>
          <w:i/>
        </w:rPr>
        <w:t>against</w:t>
      </w:r>
      <w:r w:rsidR="008505D6">
        <w:rPr>
          <w:i/>
        </w:rPr>
        <w:t xml:space="preserve"> unauthorised access, modification, disclosure, misuse</w:t>
      </w:r>
      <w:r w:rsidR="00B8495B">
        <w:rPr>
          <w:i/>
        </w:rPr>
        <w:t>,</w:t>
      </w:r>
      <w:r w:rsidR="008505D6">
        <w:rPr>
          <w:i/>
        </w:rPr>
        <w:t xml:space="preserve"> or loss</w:t>
      </w:r>
      <w:r w:rsidR="00C6479A">
        <w:rPr>
          <w:i/>
        </w:rPr>
        <w:t>.</w:t>
      </w:r>
      <w:r w:rsidR="008505D6">
        <w:rPr>
          <w:i/>
        </w:rPr>
        <w:t xml:space="preserve"> </w:t>
      </w:r>
      <w:r w:rsidR="00D345DB">
        <w:rPr>
          <w:i/>
        </w:rPr>
        <w:t xml:space="preserve">This includes a requirement to protect any data that has been "de-identified" against the risk of </w:t>
      </w:r>
      <w:r w:rsidR="00EA3A30">
        <w:rPr>
          <w:i/>
        </w:rPr>
        <w:t xml:space="preserve">unauthorised </w:t>
      </w:r>
      <w:r w:rsidR="00D345DB">
        <w:rPr>
          <w:i/>
        </w:rPr>
        <w:t>re-identification</w:t>
      </w:r>
      <w:r w:rsidR="00EA3A30">
        <w:rPr>
          <w:i/>
        </w:rPr>
        <w:t xml:space="preserve"> (as </w:t>
      </w:r>
      <w:r w:rsidR="00E24B38">
        <w:rPr>
          <w:i/>
        </w:rPr>
        <w:t xml:space="preserve">re-identification would </w:t>
      </w:r>
      <w:r w:rsidR="00EE28CF">
        <w:rPr>
          <w:i/>
        </w:rPr>
        <w:t>disclose</w:t>
      </w:r>
      <w:r w:rsidR="00DC76E9">
        <w:rPr>
          <w:i/>
        </w:rPr>
        <w:t xml:space="preserve"> </w:t>
      </w:r>
      <w:r w:rsidR="00EA3A30">
        <w:rPr>
          <w:i/>
        </w:rPr>
        <w:t>the identity of the individuals)</w:t>
      </w:r>
      <w:r w:rsidR="00D345DB">
        <w:rPr>
          <w:i/>
        </w:rPr>
        <w:t>.</w:t>
      </w:r>
    </w:p>
    <w:p w14:paraId="14A77C23" w14:textId="4C37EDC4" w:rsidR="001059DA" w:rsidRDefault="006F6792" w:rsidP="00C53A14">
      <w:pPr>
        <w:pStyle w:val="Body"/>
      </w:pPr>
      <w:r>
        <w:t xml:space="preserve">The </w:t>
      </w:r>
      <w:r w:rsidR="0089596D">
        <w:t>historical performance reviews and evaluation reports that comprise the Input Data are government records that are held by</w:t>
      </w:r>
      <w:r>
        <w:t xml:space="preserve"> your Organisation. </w:t>
      </w:r>
      <w:r w:rsidR="0089596D">
        <w:t xml:space="preserve">These records are </w:t>
      </w:r>
      <w:r>
        <w:t>"public sector data", and</w:t>
      </w:r>
      <w:r w:rsidR="00C53A14">
        <w:t xml:space="preserve"> </w:t>
      </w:r>
      <w:r>
        <w:t>t</w:t>
      </w:r>
      <w:r w:rsidR="00C53A14">
        <w:t>he Victorian Protective Data Security Standards (</w:t>
      </w:r>
      <w:r w:rsidR="00C53A14" w:rsidRPr="00E26EAE">
        <w:rPr>
          <w:b/>
        </w:rPr>
        <w:t>VPDSS</w:t>
      </w:r>
      <w:r w:rsidR="00C53A14">
        <w:t xml:space="preserve">) </w:t>
      </w:r>
      <w:r w:rsidR="0000382E">
        <w:t>appl</w:t>
      </w:r>
      <w:r w:rsidR="00B8495B">
        <w:t>y</w:t>
      </w:r>
      <w:r w:rsidR="00C53A14">
        <w:t>.</w:t>
      </w:r>
      <w:r w:rsidR="00514D2B">
        <w:t xml:space="preserve"> </w:t>
      </w:r>
      <w:r w:rsidR="00F85EA3">
        <w:t xml:space="preserve">Under the VPDSS, your Organisation </w:t>
      </w:r>
      <w:r w:rsidR="00EA5468">
        <w:t xml:space="preserve">is still </w:t>
      </w:r>
      <w:r w:rsidR="00F85EA3">
        <w:t xml:space="preserve">accountable for the Input Data while </w:t>
      </w:r>
      <w:r w:rsidR="004C0FB9">
        <w:t xml:space="preserve">held by </w:t>
      </w:r>
      <w:r w:rsidR="00F85EA3">
        <w:t xml:space="preserve">the CSP.  </w:t>
      </w:r>
    </w:p>
    <w:p w14:paraId="0C41F8AB" w14:textId="18A9624E" w:rsidR="00B9145B" w:rsidRDefault="006702D1" w:rsidP="0019377F">
      <w:pPr>
        <w:pStyle w:val="Body"/>
        <w:ind w:left="720"/>
        <w:rPr>
          <w:i/>
        </w:rPr>
      </w:pPr>
      <w:r w:rsidRPr="0019377F">
        <w:rPr>
          <w:i/>
        </w:rPr>
        <w:t xml:space="preserve">Among other things, the VPDSS requires your </w:t>
      </w:r>
      <w:r w:rsidR="00CD76CF">
        <w:rPr>
          <w:i/>
        </w:rPr>
        <w:t>Organisation</w:t>
      </w:r>
      <w:r w:rsidRPr="0019377F">
        <w:rPr>
          <w:i/>
        </w:rPr>
        <w:t xml:space="preserve"> </w:t>
      </w:r>
      <w:r w:rsidR="00F2490E">
        <w:rPr>
          <w:i/>
        </w:rPr>
        <w:t xml:space="preserve">to </w:t>
      </w:r>
      <w:r w:rsidR="007070C0">
        <w:rPr>
          <w:i/>
        </w:rPr>
        <w:t xml:space="preserve">assess the security value of the </w:t>
      </w:r>
      <w:r w:rsidR="001C631E">
        <w:rPr>
          <w:i/>
        </w:rPr>
        <w:t>Input D</w:t>
      </w:r>
      <w:r w:rsidR="007070C0">
        <w:rPr>
          <w:i/>
        </w:rPr>
        <w:t xml:space="preserve">ata that is being </w:t>
      </w:r>
      <w:r w:rsidR="001C631E">
        <w:rPr>
          <w:i/>
        </w:rPr>
        <w:t>provided to the CSP</w:t>
      </w:r>
      <w:r w:rsidR="007070C0">
        <w:rPr>
          <w:i/>
        </w:rPr>
        <w:t xml:space="preserve">, and to </w:t>
      </w:r>
      <w:r w:rsidR="00014345">
        <w:rPr>
          <w:i/>
        </w:rPr>
        <w:t>take steps to secure that data in a manner that is consistent with other data of the same classification</w:t>
      </w:r>
      <w:r w:rsidR="007070C0">
        <w:rPr>
          <w:i/>
        </w:rPr>
        <w:t xml:space="preserve">. </w:t>
      </w:r>
      <w:r w:rsidR="005A4082">
        <w:rPr>
          <w:i/>
        </w:rPr>
        <w:t xml:space="preserve">Your Organisation must assess the security measures that the CSP is </w:t>
      </w:r>
      <w:proofErr w:type="gramStart"/>
      <w:r w:rsidR="005A4082">
        <w:rPr>
          <w:i/>
        </w:rPr>
        <w:t>offering, and</w:t>
      </w:r>
      <w:proofErr w:type="gramEnd"/>
      <w:r w:rsidR="005A4082">
        <w:rPr>
          <w:i/>
        </w:rPr>
        <w:t xml:space="preserve"> consider whether these </w:t>
      </w:r>
      <w:r w:rsidR="0028233B">
        <w:rPr>
          <w:i/>
        </w:rPr>
        <w:t>meet</w:t>
      </w:r>
      <w:r w:rsidR="005A4082">
        <w:rPr>
          <w:i/>
        </w:rPr>
        <w:t xml:space="preserve"> the requisite standard. </w:t>
      </w:r>
    </w:p>
    <w:p w14:paraId="184A8AE3" w14:textId="7B3E0326" w:rsidR="007070C0" w:rsidRDefault="007070C0" w:rsidP="0019377F">
      <w:pPr>
        <w:pStyle w:val="Body"/>
        <w:ind w:left="720"/>
        <w:rPr>
          <w:i/>
        </w:rPr>
      </w:pPr>
      <w:r>
        <w:rPr>
          <w:i/>
        </w:rPr>
        <w:t xml:space="preserve">If the </w:t>
      </w:r>
      <w:r w:rsidR="00A25DFF">
        <w:rPr>
          <w:i/>
        </w:rPr>
        <w:t>Input</w:t>
      </w:r>
      <w:r w:rsidR="00F40D52">
        <w:rPr>
          <w:i/>
        </w:rPr>
        <w:t xml:space="preserve"> </w:t>
      </w:r>
      <w:r w:rsidR="00A25DFF">
        <w:rPr>
          <w:i/>
        </w:rPr>
        <w:t>D</w:t>
      </w:r>
      <w:r>
        <w:rPr>
          <w:i/>
        </w:rPr>
        <w:t xml:space="preserve">ata is assessed to have a </w:t>
      </w:r>
      <w:r w:rsidRPr="007070C0">
        <w:rPr>
          <w:i/>
        </w:rPr>
        <w:t>BIL of level 2 (</w:t>
      </w:r>
      <w:r w:rsidR="00B8495B">
        <w:rPr>
          <w:i/>
        </w:rPr>
        <w:t>“</w:t>
      </w:r>
      <w:r w:rsidRPr="007070C0">
        <w:rPr>
          <w:i/>
        </w:rPr>
        <w:t>Limited</w:t>
      </w:r>
      <w:r w:rsidR="00B8495B">
        <w:rPr>
          <w:i/>
        </w:rPr>
        <w:t>”</w:t>
      </w:r>
      <w:r w:rsidRPr="007070C0">
        <w:rPr>
          <w:i/>
        </w:rPr>
        <w:t>) or higher</w:t>
      </w:r>
      <w:r>
        <w:rPr>
          <w:i/>
        </w:rPr>
        <w:t xml:space="preserve"> under the VPDSS </w:t>
      </w:r>
      <w:r w:rsidR="00014345">
        <w:rPr>
          <w:i/>
        </w:rPr>
        <w:t xml:space="preserve">classification </w:t>
      </w:r>
      <w:r>
        <w:rPr>
          <w:i/>
        </w:rPr>
        <w:t xml:space="preserve">system, </w:t>
      </w:r>
      <w:r w:rsidR="00014345">
        <w:rPr>
          <w:i/>
        </w:rPr>
        <w:t xml:space="preserve">your </w:t>
      </w:r>
      <w:r w:rsidR="00B17E33">
        <w:rPr>
          <w:i/>
        </w:rPr>
        <w:t>Organisation</w:t>
      </w:r>
      <w:r w:rsidR="00014345">
        <w:rPr>
          <w:i/>
        </w:rPr>
        <w:t xml:space="preserve"> </w:t>
      </w:r>
      <w:r w:rsidR="005A4082">
        <w:rPr>
          <w:i/>
        </w:rPr>
        <w:t xml:space="preserve">is also responsible for </w:t>
      </w:r>
      <w:r w:rsidR="00014345">
        <w:rPr>
          <w:i/>
        </w:rPr>
        <w:t>notify</w:t>
      </w:r>
      <w:r w:rsidR="005A4082">
        <w:rPr>
          <w:i/>
        </w:rPr>
        <w:t>ing</w:t>
      </w:r>
      <w:r w:rsidR="00014345">
        <w:rPr>
          <w:i/>
        </w:rPr>
        <w:t xml:space="preserve"> OVIC of any data breach affecting that data.</w:t>
      </w:r>
    </w:p>
    <w:p w14:paraId="06B8C4E1" w14:textId="34A9AFD9" w:rsidR="000D72DC" w:rsidRDefault="0000382E" w:rsidP="00C53A14">
      <w:pPr>
        <w:pStyle w:val="Body"/>
      </w:pPr>
      <w:r>
        <w:t xml:space="preserve">Complying </w:t>
      </w:r>
      <w:r w:rsidR="00586621">
        <w:t>with the IPPs and VPDSS require</w:t>
      </w:r>
      <w:r>
        <w:t>s</w:t>
      </w:r>
      <w:r w:rsidR="00586621">
        <w:t xml:space="preserve"> a co-ordinated effort from </w:t>
      </w:r>
      <w:r>
        <w:t xml:space="preserve">many </w:t>
      </w:r>
      <w:r w:rsidR="00586621">
        <w:t>different stakeholders</w:t>
      </w:r>
      <w:r w:rsidR="00211AE9">
        <w:t xml:space="preserve"> </w:t>
      </w:r>
      <w:r>
        <w:t xml:space="preserve">in </w:t>
      </w:r>
      <w:r w:rsidR="00211AE9">
        <w:t xml:space="preserve">your </w:t>
      </w:r>
      <w:r w:rsidR="000D72DC">
        <w:t>Organisation</w:t>
      </w:r>
      <w:r>
        <w:t xml:space="preserve"> including </w:t>
      </w:r>
      <w:r w:rsidR="001268BB">
        <w:t>the information security teams (to assess the CSP's security offering</w:t>
      </w:r>
      <w:r w:rsidR="0098647C">
        <w:t xml:space="preserve"> and monitor on-going security risks), legal and procurement (to ensure that appropriate contractual obligations are imposed on the CSP)</w:t>
      </w:r>
      <w:r w:rsidR="00B8495B">
        <w:t>,</w:t>
      </w:r>
      <w:r w:rsidR="0098647C">
        <w:t xml:space="preserve"> and records management (to advise on how </w:t>
      </w:r>
      <w:r w:rsidR="00623B54">
        <w:t>your Organisation should store and manage the data</w:t>
      </w:r>
      <w:r w:rsidR="00D27035">
        <w:t xml:space="preserve"> once it is received back from the CSP).</w:t>
      </w:r>
    </w:p>
    <w:p w14:paraId="10E196E0" w14:textId="352D059B" w:rsidR="0065537E" w:rsidRDefault="002E320B" w:rsidP="00C53A14">
      <w:pPr>
        <w:pStyle w:val="Body"/>
      </w:pPr>
      <w:r>
        <w:t xml:space="preserve">These stakeholders can assist you to conduct the necessary due diligence on the CSP. </w:t>
      </w:r>
      <w:r w:rsidR="00EE767C">
        <w:t xml:space="preserve">If the CSP is not able to meet </w:t>
      </w:r>
      <w:r w:rsidR="0004444F">
        <w:t xml:space="preserve">the standards required by the VPDSS, you may need to consider using an alternative provider.  </w:t>
      </w:r>
    </w:p>
    <w:p w14:paraId="0B5BE697" w14:textId="4FC945C0" w:rsidR="002E320B" w:rsidRDefault="0004444F" w:rsidP="00C53A14">
      <w:pPr>
        <w:pStyle w:val="Body"/>
      </w:pPr>
      <w:r>
        <w:t xml:space="preserve">There may be </w:t>
      </w:r>
      <w:r w:rsidR="00FE1245">
        <w:t xml:space="preserve">alternative </w:t>
      </w:r>
      <w:r>
        <w:t xml:space="preserve">options that you can consider within </w:t>
      </w:r>
      <w:r w:rsidR="0065537E">
        <w:t xml:space="preserve">the </w:t>
      </w:r>
      <w:r>
        <w:t xml:space="preserve">Victorian public service. Many Victorian Government departments </w:t>
      </w:r>
      <w:r w:rsidR="0065537E">
        <w:t xml:space="preserve">now </w:t>
      </w:r>
      <w:r>
        <w:t xml:space="preserve">have </w:t>
      </w:r>
      <w:r w:rsidR="00E522E0">
        <w:t xml:space="preserve">their own </w:t>
      </w:r>
      <w:r>
        <w:t xml:space="preserve">in-house data analytics </w:t>
      </w:r>
      <w:r w:rsidR="002120FE">
        <w:t>teams</w:t>
      </w:r>
      <w:r w:rsidR="0065537E">
        <w:t>, such as the Centre for Victorian Data Linkage (</w:t>
      </w:r>
      <w:r w:rsidR="0065537E" w:rsidRPr="0065537E">
        <w:rPr>
          <w:b/>
        </w:rPr>
        <w:t>CVDL</w:t>
      </w:r>
      <w:r w:rsidR="0065537E">
        <w:t>) within the Department of Health and Human Services (</w:t>
      </w:r>
      <w:r w:rsidR="0065537E" w:rsidRPr="0065537E">
        <w:rPr>
          <w:b/>
        </w:rPr>
        <w:t>DHHS</w:t>
      </w:r>
      <w:r w:rsidR="0065537E">
        <w:t>)</w:t>
      </w:r>
      <w:r w:rsidR="003B3FDE">
        <w:t xml:space="preserve">. </w:t>
      </w:r>
      <w:r w:rsidR="00E522E0">
        <w:t>T</w:t>
      </w:r>
      <w:r w:rsidR="002120FE">
        <w:t>he Victorian Centre for Data Insights (</w:t>
      </w:r>
      <w:r w:rsidR="002120FE" w:rsidRPr="0006606B">
        <w:rPr>
          <w:b/>
        </w:rPr>
        <w:t>VCDI</w:t>
      </w:r>
      <w:r w:rsidR="002120FE">
        <w:t xml:space="preserve">) </w:t>
      </w:r>
      <w:r w:rsidR="0065537E">
        <w:t xml:space="preserve">has also been established to support the Victorian public service in delivering data projects. VCDI's team of data and policy specialists are </w:t>
      </w:r>
      <w:r w:rsidR="00D9444B">
        <w:t>available</w:t>
      </w:r>
      <w:r w:rsidR="0065537E">
        <w:t xml:space="preserve"> to </w:t>
      </w:r>
      <w:r w:rsidR="0065537E" w:rsidRPr="0065537E">
        <w:t xml:space="preserve">partner with Victorian public service organisations to conduct projects that </w:t>
      </w:r>
      <w:r w:rsidR="004F587C">
        <w:t xml:space="preserve">require </w:t>
      </w:r>
      <w:r w:rsidR="009E7CB7">
        <w:t xml:space="preserve">data </w:t>
      </w:r>
      <w:r w:rsidR="0065537E" w:rsidRPr="0065537E">
        <w:t>analytics</w:t>
      </w:r>
      <w:r w:rsidR="004F587C">
        <w:t xml:space="preserve"> </w:t>
      </w:r>
      <w:r w:rsidR="00314E2D">
        <w:t>tools and expertise</w:t>
      </w:r>
      <w:r w:rsidR="0065537E" w:rsidRPr="0065537E">
        <w:t>.</w:t>
      </w:r>
    </w:p>
    <w:p w14:paraId="18A847CE" w14:textId="7D960137" w:rsidR="009A2291" w:rsidRDefault="0000382E" w:rsidP="00C53A14">
      <w:pPr>
        <w:pStyle w:val="Body"/>
      </w:pPr>
      <w:r>
        <w:t xml:space="preserve">Breaching </w:t>
      </w:r>
      <w:r w:rsidR="0042291C">
        <w:t xml:space="preserve">privacy and data security controls </w:t>
      </w:r>
      <w:r w:rsidR="003B3FDE">
        <w:t xml:space="preserve">for data analytics projects </w:t>
      </w:r>
      <w:r w:rsidR="0042291C">
        <w:t xml:space="preserve">can have serious consequences.  </w:t>
      </w:r>
      <w:r w:rsidR="00B25610">
        <w:t xml:space="preserve">Data analytics projects often involve large-scale data sets </w:t>
      </w:r>
      <w:r>
        <w:t xml:space="preserve">with </w:t>
      </w:r>
      <w:r w:rsidR="00B25610">
        <w:t xml:space="preserve">detailed and sensitive information.  </w:t>
      </w:r>
      <w:r>
        <w:t>U</w:t>
      </w:r>
      <w:r w:rsidR="00B25610">
        <w:t xml:space="preserve">nauthorised release of this information </w:t>
      </w:r>
      <w:r>
        <w:t xml:space="preserve">by </w:t>
      </w:r>
      <w:r w:rsidR="00B25610">
        <w:t>data breach, or through re-identification of Data Outputs</w:t>
      </w:r>
      <w:r w:rsidR="00473A2F">
        <w:t xml:space="preserve"> made </w:t>
      </w:r>
      <w:r w:rsidR="00D52EF2">
        <w:t>publicly</w:t>
      </w:r>
      <w:r w:rsidR="00473A2F">
        <w:t xml:space="preserve"> available</w:t>
      </w:r>
      <w:r>
        <w:t>,</w:t>
      </w:r>
      <w:r w:rsidR="00B25610">
        <w:t xml:space="preserve"> can cause serious reputational damage, negatively impact stakeholder relationships</w:t>
      </w:r>
      <w:r w:rsidR="00B8495B">
        <w:t>,</w:t>
      </w:r>
      <w:r w:rsidR="00B25610">
        <w:t xml:space="preserve"> and put affected individuals at risk of harm.</w:t>
      </w:r>
    </w:p>
    <w:p w14:paraId="2148AE29" w14:textId="4BC5ED39" w:rsidR="00E54716" w:rsidRDefault="00B24B68" w:rsidP="0000382E">
      <w:pPr>
        <w:pStyle w:val="SectionHeading1"/>
        <w:keepNext/>
        <w:jc w:val="both"/>
      </w:pPr>
      <w:r>
        <w:lastRenderedPageBreak/>
        <w:t>Key</w:t>
      </w:r>
      <w:r w:rsidR="006E0054">
        <w:t xml:space="preserve"> </w:t>
      </w:r>
      <w:r w:rsidR="00604FC8">
        <w:t xml:space="preserve">privacy and data security </w:t>
      </w:r>
      <w:r w:rsidR="008112D1">
        <w:t>risks in this scenario</w:t>
      </w:r>
    </w:p>
    <w:p w14:paraId="35B85576" w14:textId="33BAA863" w:rsidR="00142B61" w:rsidRPr="00EE260C" w:rsidRDefault="008112D1" w:rsidP="0000382E">
      <w:pPr>
        <w:pStyle w:val="Body"/>
        <w:keepNext/>
        <w:rPr>
          <w:b/>
        </w:rPr>
      </w:pPr>
      <w:r>
        <w:rPr>
          <w:b/>
        </w:rPr>
        <w:t>Overview</w:t>
      </w:r>
    </w:p>
    <w:p w14:paraId="32D749AE" w14:textId="4F9D0922" w:rsidR="00F64502" w:rsidRDefault="001B6518" w:rsidP="0000382E">
      <w:pPr>
        <w:pStyle w:val="Body"/>
        <w:keepNext/>
      </w:pPr>
      <w:r>
        <w:t>Discussed below</w:t>
      </w:r>
      <w:r w:rsidR="00B30D3D">
        <w:t xml:space="preserve"> are </w:t>
      </w:r>
      <w:r w:rsidR="00107811">
        <w:t xml:space="preserve">five </w:t>
      </w:r>
      <w:r w:rsidR="00B30D3D">
        <w:t xml:space="preserve">common privacy and data security risks that </w:t>
      </w:r>
      <w:r w:rsidR="00481DBA">
        <w:t xml:space="preserve">should be considered </w:t>
      </w:r>
      <w:r w:rsidR="00D6506B">
        <w:t>in this scenario</w:t>
      </w:r>
      <w:r w:rsidR="00E67D9A">
        <w:t>.</w:t>
      </w:r>
      <w:r w:rsidR="0000382E">
        <w:t xml:space="preserve"> The case study suggests </w:t>
      </w:r>
      <w:r w:rsidR="000A507C">
        <w:t xml:space="preserve">mitigation strategies </w:t>
      </w:r>
      <w:r w:rsidR="0000382E">
        <w:t xml:space="preserve">during the (i) </w:t>
      </w:r>
      <w:r w:rsidR="006F7B18">
        <w:t>pre-contract (due diligence / requirements gathering)</w:t>
      </w:r>
      <w:r w:rsidR="0000382E">
        <w:t xml:space="preserve">; (ii) </w:t>
      </w:r>
      <w:r w:rsidR="006F7B18">
        <w:t>contracting</w:t>
      </w:r>
      <w:r w:rsidR="0000382E">
        <w:t xml:space="preserve">; (iii) </w:t>
      </w:r>
      <w:r w:rsidR="006F7B18">
        <w:t>and operational phase</w:t>
      </w:r>
      <w:r w:rsidR="0000382E">
        <w:t>s</w:t>
      </w:r>
      <w:r w:rsidR="00ED4B60">
        <w:t xml:space="preserve">.  </w:t>
      </w:r>
    </w:p>
    <w:p w14:paraId="255FC29E" w14:textId="7EB99675" w:rsidR="008022B3" w:rsidRPr="00EE260C" w:rsidRDefault="00442053" w:rsidP="008022B3">
      <w:pPr>
        <w:pStyle w:val="Body"/>
        <w:rPr>
          <w:b/>
        </w:rPr>
      </w:pPr>
      <w:r>
        <w:rPr>
          <w:b/>
        </w:rPr>
        <w:t xml:space="preserve">Risk 1: </w:t>
      </w:r>
      <w:r w:rsidR="00C34FCE">
        <w:rPr>
          <w:b/>
        </w:rPr>
        <w:t xml:space="preserve">Can the </w:t>
      </w:r>
      <w:r w:rsidR="00AF0B03">
        <w:rPr>
          <w:b/>
        </w:rPr>
        <w:t xml:space="preserve">Project </w:t>
      </w:r>
      <w:r w:rsidR="00C34FCE">
        <w:rPr>
          <w:b/>
        </w:rPr>
        <w:t xml:space="preserve">use </w:t>
      </w:r>
      <w:r w:rsidR="00D52EF2">
        <w:rPr>
          <w:b/>
        </w:rPr>
        <w:t xml:space="preserve">information </w:t>
      </w:r>
      <w:r w:rsidR="00C34FCE">
        <w:rPr>
          <w:b/>
        </w:rPr>
        <w:t xml:space="preserve">under </w:t>
      </w:r>
      <w:r w:rsidR="00117E0E">
        <w:rPr>
          <w:b/>
        </w:rPr>
        <w:t>the PDP Act</w:t>
      </w:r>
      <w:r w:rsidR="00C34FCE">
        <w:rPr>
          <w:b/>
        </w:rPr>
        <w:t xml:space="preserve"> or your Organisation’s enabling legislation</w:t>
      </w:r>
      <w:r w:rsidR="009771F1">
        <w:rPr>
          <w:b/>
        </w:rPr>
        <w:t>?</w:t>
      </w:r>
    </w:p>
    <w:p w14:paraId="4F2B8481" w14:textId="74D6C18D" w:rsidR="00F50518" w:rsidRPr="00F50518" w:rsidRDefault="00F50518" w:rsidP="002142EF">
      <w:pPr>
        <w:pStyle w:val="Body"/>
        <w:rPr>
          <w:b/>
          <w:i/>
        </w:rPr>
      </w:pPr>
      <w:r w:rsidRPr="00F50518">
        <w:rPr>
          <w:b/>
          <w:i/>
        </w:rPr>
        <w:t>Description of risk</w:t>
      </w:r>
    </w:p>
    <w:p w14:paraId="472DC4CE" w14:textId="5F52DCD6" w:rsidR="004606A0" w:rsidRDefault="00A644F0" w:rsidP="002142EF">
      <w:pPr>
        <w:pStyle w:val="Body"/>
      </w:pPr>
      <w:r>
        <w:t xml:space="preserve">The PDP Act </w:t>
      </w:r>
      <w:r w:rsidR="00D4079C">
        <w:t xml:space="preserve">regulates </w:t>
      </w:r>
      <w:r>
        <w:t xml:space="preserve">the use of </w:t>
      </w:r>
      <w:r w:rsidR="00D4079C">
        <w:t xml:space="preserve">personal </w:t>
      </w:r>
      <w:r>
        <w:t xml:space="preserve">information </w:t>
      </w:r>
      <w:r w:rsidR="00D4079C">
        <w:t xml:space="preserve">- </w:t>
      </w:r>
      <w:r w:rsidR="008436E3">
        <w:t xml:space="preserve">where persons </w:t>
      </w:r>
      <w:r>
        <w:t>are named</w:t>
      </w:r>
      <w:r w:rsidR="003A03E6">
        <w:t>,</w:t>
      </w:r>
      <w:r>
        <w:t xml:space="preserve"> or </w:t>
      </w:r>
      <w:r w:rsidR="008436E3">
        <w:t>where</w:t>
      </w:r>
      <w:r w:rsidR="003A03E6">
        <w:t xml:space="preserve"> </w:t>
      </w:r>
      <w:r w:rsidR="008C43A2">
        <w:t>their identity is otherwise apparent or can be reasonably ascertained</w:t>
      </w:r>
      <w:r>
        <w:t xml:space="preserve">. </w:t>
      </w:r>
      <w:r w:rsidR="004606A0">
        <w:t>In this scenario, the Input Data contains the names of staff members in performance reviews and evaluation reports. While these individuals may not be the primary focus of the reports, the</w:t>
      </w:r>
      <w:r w:rsidR="008A5B43">
        <w:t>ir personal</w:t>
      </w:r>
      <w:r w:rsidR="004606A0">
        <w:t xml:space="preserve"> information </w:t>
      </w:r>
      <w:r w:rsidR="00D4079C">
        <w:t xml:space="preserve">is still </w:t>
      </w:r>
      <w:r w:rsidR="008A5B43">
        <w:t>contained in the reports</w:t>
      </w:r>
      <w:r w:rsidR="00D4079C">
        <w:t>.</w:t>
      </w:r>
    </w:p>
    <w:p w14:paraId="3D86A0D9" w14:textId="08EEE1C6" w:rsidR="0089555E" w:rsidRDefault="00C34FCE" w:rsidP="002142EF">
      <w:pPr>
        <w:pStyle w:val="Body"/>
      </w:pPr>
      <w:r>
        <w:t xml:space="preserve">It is likely that your Organisation’s enabling legislation contains a secrecy or confidentiality provision that restricts you from using some or all of this information. </w:t>
      </w:r>
      <w:r w:rsidR="004606A0">
        <w:t xml:space="preserve">The PDP Act </w:t>
      </w:r>
      <w:r>
        <w:t xml:space="preserve">also </w:t>
      </w:r>
      <w:r w:rsidR="00D4079C">
        <w:t xml:space="preserve">regulates when </w:t>
      </w:r>
      <w:r w:rsidR="004606A0">
        <w:t xml:space="preserve">personal information can be used. </w:t>
      </w:r>
      <w:r w:rsidR="001162EC">
        <w:t xml:space="preserve">Your Organisation's Privacy Officer can help you to </w:t>
      </w:r>
      <w:r w:rsidR="008B4F85">
        <w:t>assess</w:t>
      </w:r>
      <w:r w:rsidR="001162EC">
        <w:t xml:space="preserve"> whether your Project </w:t>
      </w:r>
      <w:r>
        <w:t xml:space="preserve">is a </w:t>
      </w:r>
      <w:r w:rsidR="001162EC">
        <w:t xml:space="preserve">permitted </w:t>
      </w:r>
      <w:proofErr w:type="spellStart"/>
      <w:r w:rsidR="001162EC">
        <w:t>purpose</w:t>
      </w:r>
      <w:r>
        <w:t>under</w:t>
      </w:r>
      <w:proofErr w:type="spellEnd"/>
      <w:r>
        <w:t xml:space="preserve"> the PDP Act</w:t>
      </w:r>
      <w:r w:rsidR="00F657F1">
        <w:t xml:space="preserve">, or whether </w:t>
      </w:r>
      <w:r w:rsidR="00D4079C">
        <w:t xml:space="preserve">you can rely on </w:t>
      </w:r>
      <w:r w:rsidR="00ED4368">
        <w:t xml:space="preserve">relevant </w:t>
      </w:r>
      <w:r w:rsidR="0053769D">
        <w:t>authorisations under your Organisation's enabling legislation</w:t>
      </w:r>
      <w:r w:rsidR="00D4079C">
        <w:t>.</w:t>
      </w:r>
    </w:p>
    <w:p w14:paraId="3F10B3E9" w14:textId="4F582F36" w:rsidR="0040339B" w:rsidRDefault="00D52EF2" w:rsidP="00C22716">
      <w:pPr>
        <w:pStyle w:val="Body"/>
      </w:pPr>
      <w:r>
        <w:t>Alternatively</w:t>
      </w:r>
      <w:r w:rsidR="00D4079C">
        <w:t xml:space="preserve">, the </w:t>
      </w:r>
      <w:r w:rsidR="00E44CE6">
        <w:t>Input D</w:t>
      </w:r>
      <w:r w:rsidR="009D3216">
        <w:t xml:space="preserve">ata </w:t>
      </w:r>
      <w:r w:rsidR="00D4079C">
        <w:t xml:space="preserve">could be “de-identified” </w:t>
      </w:r>
      <w:r w:rsidR="009D3216">
        <w:t>before it is provided to the C</w:t>
      </w:r>
      <w:r w:rsidR="00B467D6">
        <w:t>SP.</w:t>
      </w:r>
      <w:r w:rsidR="00DA027C">
        <w:t xml:space="preserve"> If </w:t>
      </w:r>
      <w:r w:rsidR="001B3E15">
        <w:t xml:space="preserve">the </w:t>
      </w:r>
      <w:r w:rsidR="00E44CE6">
        <w:t>Input D</w:t>
      </w:r>
      <w:r w:rsidR="00DA027C">
        <w:t xml:space="preserve">ata is properly "de-identified", </w:t>
      </w:r>
      <w:r w:rsidR="00230CC1">
        <w:t xml:space="preserve">it </w:t>
      </w:r>
      <w:r w:rsidR="001E7B83">
        <w:t xml:space="preserve">will not be subject to the </w:t>
      </w:r>
      <w:r w:rsidR="00287D51">
        <w:t>"</w:t>
      </w:r>
      <w:r w:rsidR="001E7B83">
        <w:t>permitted purpose</w:t>
      </w:r>
      <w:r w:rsidR="00287D51">
        <w:t>"</w:t>
      </w:r>
      <w:r w:rsidR="001E7B83">
        <w:t xml:space="preserve"> requirements of the PDP Act.  </w:t>
      </w:r>
      <w:r w:rsidR="00230CC1">
        <w:t xml:space="preserve">However, de-identification is a </w:t>
      </w:r>
      <w:r w:rsidR="00D4079C">
        <w:t xml:space="preserve">difficult and </w:t>
      </w:r>
      <w:r w:rsidR="00230CC1">
        <w:t xml:space="preserve">technical </w:t>
      </w:r>
      <w:r w:rsidR="00D4079C">
        <w:t xml:space="preserve">process that </w:t>
      </w:r>
      <w:r w:rsidR="00230CC1">
        <w:t>generally require</w:t>
      </w:r>
      <w:r w:rsidR="00D4079C">
        <w:t>s</w:t>
      </w:r>
      <w:r w:rsidR="00230CC1">
        <w:t xml:space="preserve"> more than just removing the names of </w:t>
      </w:r>
      <w:r w:rsidR="0040339B">
        <w:t>the individuals from the data.</w:t>
      </w:r>
    </w:p>
    <w:p w14:paraId="463413A3" w14:textId="051812FF" w:rsidR="00A73B5A" w:rsidRDefault="00230CC1" w:rsidP="00C22716">
      <w:pPr>
        <w:pStyle w:val="Body"/>
      </w:pPr>
      <w:r>
        <w:t>If you wish to co</w:t>
      </w:r>
      <w:r w:rsidR="0040339B">
        <w:t>nduct your</w:t>
      </w:r>
      <w:r>
        <w:t xml:space="preserve"> </w:t>
      </w:r>
      <w:r w:rsidR="0040339B">
        <w:t>P</w:t>
      </w:r>
      <w:r>
        <w:t xml:space="preserve">roject on a "de-identified" basis, you should </w:t>
      </w:r>
      <w:r w:rsidR="00BE5100">
        <w:t xml:space="preserve">consider </w:t>
      </w:r>
      <w:r w:rsidR="00EA0346">
        <w:t>partnering</w:t>
      </w:r>
      <w:r w:rsidR="00BE5100">
        <w:t xml:space="preserve"> with expert data analytics bodies such as VCDI</w:t>
      </w:r>
      <w:r w:rsidR="008E0687">
        <w:t xml:space="preserve">. These experts can </w:t>
      </w:r>
      <w:r w:rsidR="00790303">
        <w:t>work with</w:t>
      </w:r>
      <w:r w:rsidR="008E0687">
        <w:t xml:space="preserve"> you</w:t>
      </w:r>
      <w:r w:rsidR="00BE5100">
        <w:t xml:space="preserve"> to ensure that the correct de-identification techniques are </w:t>
      </w:r>
      <w:r w:rsidR="00EE42D4">
        <w:t>used</w:t>
      </w:r>
      <w:r w:rsidR="008E0687">
        <w:t xml:space="preserve">, based </w:t>
      </w:r>
      <w:r w:rsidR="00BE5100">
        <w:t xml:space="preserve">on the nature of your data and </w:t>
      </w:r>
      <w:r w:rsidR="008E0687">
        <w:t xml:space="preserve">the </w:t>
      </w:r>
      <w:r w:rsidR="006B78C8">
        <w:t>requirements</w:t>
      </w:r>
      <w:r w:rsidR="008E0687">
        <w:t xml:space="preserve"> of </w:t>
      </w:r>
      <w:r w:rsidR="00BE5100">
        <w:t>your project.</w:t>
      </w:r>
    </w:p>
    <w:p w14:paraId="78EF5E51" w14:textId="31AFF418" w:rsidR="00E33C4E" w:rsidRDefault="00FC623F" w:rsidP="00C22716">
      <w:pPr>
        <w:pStyle w:val="Body"/>
      </w:pPr>
      <w:r w:rsidRPr="001158AF">
        <w:t>(</w:t>
      </w:r>
      <w:r w:rsidR="00C05DCC" w:rsidRPr="00117E0E">
        <w:rPr>
          <w:i/>
        </w:rPr>
        <w:t xml:space="preserve">Key </w:t>
      </w:r>
      <w:r w:rsidR="00E33C4E" w:rsidRPr="00117E0E">
        <w:rPr>
          <w:i/>
        </w:rPr>
        <w:t>PDP</w:t>
      </w:r>
      <w:r w:rsidR="00794853" w:rsidRPr="00117E0E">
        <w:rPr>
          <w:i/>
        </w:rPr>
        <w:t xml:space="preserve"> </w:t>
      </w:r>
      <w:r w:rsidR="00E33C4E" w:rsidRPr="00117E0E">
        <w:rPr>
          <w:i/>
        </w:rPr>
        <w:t>A</w:t>
      </w:r>
      <w:r w:rsidR="00794853" w:rsidRPr="00117E0E">
        <w:rPr>
          <w:i/>
        </w:rPr>
        <w:t>ct</w:t>
      </w:r>
      <w:r w:rsidR="00E33C4E" w:rsidRPr="00117E0E">
        <w:rPr>
          <w:i/>
        </w:rPr>
        <w:t xml:space="preserve"> references: </w:t>
      </w:r>
      <w:r w:rsidRPr="00117E0E">
        <w:rPr>
          <w:i/>
        </w:rPr>
        <w:t xml:space="preserve">IPP </w:t>
      </w:r>
      <w:r w:rsidR="00117E0E">
        <w:rPr>
          <w:i/>
        </w:rPr>
        <w:t>2</w:t>
      </w:r>
      <w:r w:rsidR="003B6D28">
        <w:rPr>
          <w:i/>
        </w:rPr>
        <w:t xml:space="preserve"> and 4</w:t>
      </w:r>
      <w:r w:rsidRPr="001158AF">
        <w:t>)</w:t>
      </w:r>
    </w:p>
    <w:p w14:paraId="4C08956F" w14:textId="7954132A" w:rsidR="00F50518" w:rsidRPr="00F50518" w:rsidRDefault="00BD10CF" w:rsidP="002142EF">
      <w:pPr>
        <w:pStyle w:val="Body"/>
        <w:rPr>
          <w:b/>
          <w:i/>
        </w:rPr>
      </w:pPr>
      <w:r>
        <w:rPr>
          <w:b/>
          <w:i/>
        </w:rPr>
        <w:t>M</w:t>
      </w:r>
      <w:r w:rsidR="00F50518" w:rsidRPr="00F50518">
        <w:rPr>
          <w:b/>
          <w:i/>
        </w:rPr>
        <w:t>itigation strategies:</w:t>
      </w:r>
    </w:p>
    <w:tbl>
      <w:tblPr>
        <w:tblStyle w:val="PlainTable11"/>
        <w:tblW w:w="9751"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EAE5E2"/>
        <w:tblLook w:val="04A0" w:firstRow="1" w:lastRow="0" w:firstColumn="1" w:lastColumn="0" w:noHBand="0" w:noVBand="1"/>
      </w:tblPr>
      <w:tblGrid>
        <w:gridCol w:w="1530"/>
        <w:gridCol w:w="8221"/>
      </w:tblGrid>
      <w:tr w:rsidR="00FC54E1" w:rsidRPr="000855EF" w14:paraId="7F949E47" w14:textId="77777777" w:rsidTr="00D4079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30" w:type="dxa"/>
            <w:shd w:val="clear" w:color="auto" w:fill="3E018E"/>
          </w:tcPr>
          <w:p w14:paraId="34EE162C" w14:textId="17F09FD1" w:rsidR="00FC54E1" w:rsidRPr="000855EF" w:rsidRDefault="00FC54E1" w:rsidP="007B007F">
            <w:pPr>
              <w:pStyle w:val="Body"/>
              <w:spacing w:before="120" w:after="120"/>
              <w:rPr>
                <w:b w:val="0"/>
                <w:bCs w:val="0"/>
                <w:color w:val="FFFFFF" w:themeColor="background1"/>
              </w:rPr>
            </w:pPr>
            <w:r>
              <w:rPr>
                <w:color w:val="FFFFFF" w:themeColor="background1"/>
              </w:rPr>
              <w:t>Stage</w:t>
            </w:r>
          </w:p>
        </w:tc>
        <w:tc>
          <w:tcPr>
            <w:tcW w:w="8221" w:type="dxa"/>
            <w:shd w:val="clear" w:color="auto" w:fill="3E018E"/>
          </w:tcPr>
          <w:p w14:paraId="2CD55B72" w14:textId="75C48076" w:rsidR="00FC54E1" w:rsidRPr="000855EF" w:rsidRDefault="00FC54E1" w:rsidP="007B007F">
            <w:pPr>
              <w:pStyle w:val="Body"/>
              <w:spacing w:before="120" w:after="120"/>
              <w:cnfStyle w:val="100000000000" w:firstRow="1" w:lastRow="0" w:firstColumn="0" w:lastColumn="0" w:oddVBand="0" w:evenVBand="0" w:oddHBand="0" w:evenHBand="0" w:firstRowFirstColumn="0" w:firstRowLastColumn="0" w:lastRowFirstColumn="0" w:lastRowLastColumn="0"/>
              <w:rPr>
                <w:b w:val="0"/>
                <w:bCs w:val="0"/>
                <w:color w:val="FFFFFF" w:themeColor="background1"/>
              </w:rPr>
            </w:pPr>
            <w:r>
              <w:rPr>
                <w:color w:val="FFFFFF" w:themeColor="background1"/>
              </w:rPr>
              <w:t>Actions</w:t>
            </w:r>
          </w:p>
        </w:tc>
      </w:tr>
      <w:tr w:rsidR="00FC54E1" w:rsidRPr="00D16793" w14:paraId="6E1939D6" w14:textId="77777777" w:rsidTr="00D736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shd w:val="clear" w:color="auto" w:fill="EAE5E2"/>
          </w:tcPr>
          <w:p w14:paraId="03890B93" w14:textId="7DE50D93" w:rsidR="00FC54E1" w:rsidRPr="00D16793" w:rsidRDefault="00FC54E1" w:rsidP="006F7B18">
            <w:pPr>
              <w:pStyle w:val="Body"/>
              <w:spacing w:before="120" w:after="120"/>
            </w:pPr>
            <w:r>
              <w:t>Pre-contract</w:t>
            </w:r>
          </w:p>
        </w:tc>
        <w:tc>
          <w:tcPr>
            <w:tcW w:w="8221" w:type="dxa"/>
            <w:shd w:val="clear" w:color="auto" w:fill="EAE5E2"/>
          </w:tcPr>
          <w:p w14:paraId="285C9ABF" w14:textId="079D7517" w:rsidR="005E4404" w:rsidRDefault="00357038" w:rsidP="00D247F3">
            <w:pPr>
              <w:pStyle w:val="Body"/>
              <w:numPr>
                <w:ilvl w:val="0"/>
                <w:numId w:val="21"/>
              </w:numPr>
              <w:spacing w:before="120" w:after="120"/>
              <w:ind w:left="455"/>
              <w:cnfStyle w:val="000000100000" w:firstRow="0" w:lastRow="0" w:firstColumn="0" w:lastColumn="0" w:oddVBand="0" w:evenVBand="0" w:oddHBand="1" w:evenHBand="0" w:firstRowFirstColumn="0" w:firstRowLastColumn="0" w:lastRowFirstColumn="0" w:lastRowLastColumn="0"/>
            </w:pPr>
            <w:r>
              <w:t xml:space="preserve">Liaise with your Organisation's Privacy Officer to discuss </w:t>
            </w:r>
            <w:r w:rsidR="00A25E83">
              <w:t xml:space="preserve">if </w:t>
            </w:r>
            <w:r>
              <w:t xml:space="preserve">the Project </w:t>
            </w:r>
            <w:r w:rsidR="00A25E83">
              <w:t xml:space="preserve">is a </w:t>
            </w:r>
            <w:r>
              <w:t xml:space="preserve">"permitted purpose" </w:t>
            </w:r>
            <w:r w:rsidR="00A25E83">
              <w:t xml:space="preserve">under the </w:t>
            </w:r>
            <w:r>
              <w:t>PDP Act</w:t>
            </w:r>
            <w:r w:rsidR="00AD5DB7">
              <w:t xml:space="preserve"> (which may include de-identifying the data</w:t>
            </w:r>
            <w:proofErr w:type="gramStart"/>
            <w:r w:rsidR="00AD5DB7">
              <w:t>)</w:t>
            </w:r>
            <w:r w:rsidR="00BF6D05">
              <w:t>;</w:t>
            </w:r>
            <w:proofErr w:type="gramEnd"/>
          </w:p>
          <w:p w14:paraId="5FF1C27C" w14:textId="3EA1AC87" w:rsidR="00C34FCE" w:rsidRDefault="00C34FCE" w:rsidP="00D247F3">
            <w:pPr>
              <w:pStyle w:val="Body"/>
              <w:numPr>
                <w:ilvl w:val="0"/>
                <w:numId w:val="21"/>
              </w:numPr>
              <w:spacing w:before="120" w:after="120"/>
              <w:ind w:left="455"/>
              <w:cnfStyle w:val="000000100000" w:firstRow="0" w:lastRow="0" w:firstColumn="0" w:lastColumn="0" w:oddVBand="0" w:evenVBand="0" w:oddHBand="1" w:evenHBand="0" w:firstRowFirstColumn="0" w:firstRowLastColumn="0" w:lastRowFirstColumn="0" w:lastRowLastColumn="0"/>
            </w:pPr>
            <w:r>
              <w:t xml:space="preserve">Discuss with your legal or governance team about what information </w:t>
            </w:r>
            <w:r w:rsidR="006D270B">
              <w:t xml:space="preserve">can be used for the Project based on any secrecy of </w:t>
            </w:r>
            <w:proofErr w:type="spellStart"/>
            <w:r w:rsidR="006D270B">
              <w:t>confientiatlity</w:t>
            </w:r>
            <w:proofErr w:type="spellEnd"/>
            <w:r w:rsidR="006D270B">
              <w:t xml:space="preserve"> </w:t>
            </w:r>
            <w:proofErr w:type="gramStart"/>
            <w:r w:rsidR="006D270B">
              <w:t>provisions</w:t>
            </w:r>
            <w:r w:rsidR="00BF6D05">
              <w:t>;</w:t>
            </w:r>
            <w:proofErr w:type="gramEnd"/>
          </w:p>
          <w:p w14:paraId="1B41AD50" w14:textId="5B648138" w:rsidR="0059502E" w:rsidRDefault="00A25E83" w:rsidP="006344E9">
            <w:pPr>
              <w:pStyle w:val="Body"/>
              <w:numPr>
                <w:ilvl w:val="0"/>
                <w:numId w:val="21"/>
              </w:numPr>
              <w:spacing w:before="120" w:after="120"/>
              <w:ind w:left="455"/>
              <w:cnfStyle w:val="000000100000" w:firstRow="0" w:lastRow="0" w:firstColumn="0" w:lastColumn="0" w:oddVBand="0" w:evenVBand="0" w:oddHBand="1" w:evenHBand="0" w:firstRowFirstColumn="0" w:firstRowLastColumn="0" w:lastRowFirstColumn="0" w:lastRowLastColumn="0"/>
            </w:pPr>
            <w:r>
              <w:t xml:space="preserve">Identify who owns the data in your organisation and seek their approval to use and share the archive with </w:t>
            </w:r>
            <w:r w:rsidR="006344E9">
              <w:t>external parties, such as the CSP</w:t>
            </w:r>
            <w:r w:rsidR="00BF6D05">
              <w:t>; and</w:t>
            </w:r>
            <w:r w:rsidR="006344E9">
              <w:t xml:space="preserve">  </w:t>
            </w:r>
          </w:p>
          <w:p w14:paraId="3B8DAA98" w14:textId="5700FB46" w:rsidR="00224875" w:rsidRPr="00D16793" w:rsidRDefault="003F1232" w:rsidP="007B5771">
            <w:pPr>
              <w:pStyle w:val="Body"/>
              <w:numPr>
                <w:ilvl w:val="0"/>
                <w:numId w:val="21"/>
              </w:numPr>
              <w:spacing w:before="120" w:after="120"/>
              <w:ind w:left="455"/>
              <w:cnfStyle w:val="000000100000" w:firstRow="0" w:lastRow="0" w:firstColumn="0" w:lastColumn="0" w:oddVBand="0" w:evenVBand="0" w:oddHBand="1" w:evenHBand="0" w:firstRowFirstColumn="0" w:firstRowLastColumn="0" w:lastRowFirstColumn="0" w:lastRowLastColumn="0"/>
            </w:pPr>
            <w:r>
              <w:t xml:space="preserve">If </w:t>
            </w:r>
            <w:r w:rsidR="00A25E83">
              <w:t>de-identifying the data</w:t>
            </w:r>
            <w:r>
              <w:t>, seek assistance from data analytics expert</w:t>
            </w:r>
            <w:r w:rsidR="00A25E83">
              <w:t>s</w:t>
            </w:r>
            <w:r>
              <w:t xml:space="preserve"> (such as VCDI).</w:t>
            </w:r>
          </w:p>
        </w:tc>
      </w:tr>
      <w:tr w:rsidR="00FC54E1" w:rsidRPr="00D16793" w14:paraId="6D0CDFB5" w14:textId="77777777" w:rsidTr="00D73603">
        <w:tc>
          <w:tcPr>
            <w:cnfStyle w:val="001000000000" w:firstRow="0" w:lastRow="0" w:firstColumn="1" w:lastColumn="0" w:oddVBand="0" w:evenVBand="0" w:oddHBand="0" w:evenHBand="0" w:firstRowFirstColumn="0" w:firstRowLastColumn="0" w:lastRowFirstColumn="0" w:lastRowLastColumn="0"/>
            <w:tcW w:w="1530" w:type="dxa"/>
            <w:shd w:val="clear" w:color="auto" w:fill="EAE5E2"/>
          </w:tcPr>
          <w:p w14:paraId="58CCBBA1" w14:textId="74A11197" w:rsidR="00FC54E1" w:rsidRPr="00D16793" w:rsidRDefault="00FC54E1" w:rsidP="007B007F">
            <w:pPr>
              <w:pStyle w:val="Body"/>
              <w:spacing w:before="120" w:after="120"/>
            </w:pPr>
            <w:r>
              <w:t>Contract terms</w:t>
            </w:r>
          </w:p>
        </w:tc>
        <w:tc>
          <w:tcPr>
            <w:tcW w:w="8221" w:type="dxa"/>
            <w:shd w:val="clear" w:color="auto" w:fill="EAE5E2"/>
          </w:tcPr>
          <w:p w14:paraId="7449034A" w14:textId="39BE3ACE" w:rsidR="00224875" w:rsidRDefault="00A25E83" w:rsidP="00224875">
            <w:pPr>
              <w:pStyle w:val="Body"/>
              <w:numPr>
                <w:ilvl w:val="0"/>
                <w:numId w:val="21"/>
              </w:numPr>
              <w:spacing w:before="120" w:after="120"/>
              <w:ind w:left="455"/>
              <w:cnfStyle w:val="000000000000" w:firstRow="0" w:lastRow="0" w:firstColumn="0" w:lastColumn="0" w:oddVBand="0" w:evenVBand="0" w:oddHBand="0" w:evenHBand="0" w:firstRowFirstColumn="0" w:firstRowLastColumn="0" w:lastRowFirstColumn="0" w:lastRowLastColumn="0"/>
            </w:pPr>
            <w:r>
              <w:t xml:space="preserve">State </w:t>
            </w:r>
            <w:r w:rsidR="00224875">
              <w:t xml:space="preserve">that the CSP </w:t>
            </w:r>
            <w:r>
              <w:t xml:space="preserve">can only </w:t>
            </w:r>
            <w:r w:rsidR="00224875">
              <w:t xml:space="preserve">use the Input Data </w:t>
            </w:r>
            <w:r>
              <w:t xml:space="preserve">to perform </w:t>
            </w:r>
            <w:r w:rsidR="00224875">
              <w:t>the Project and produc</w:t>
            </w:r>
            <w:r w:rsidR="00C216D9">
              <w:t>e</w:t>
            </w:r>
            <w:r w:rsidR="00224875">
              <w:t xml:space="preserve"> the agreed Data Outputs, </w:t>
            </w:r>
            <w:r w:rsidR="00C216D9">
              <w:t xml:space="preserve">and that the Input Data and Data Outputs cannot be used for any other </w:t>
            </w:r>
            <w:proofErr w:type="gramStart"/>
            <w:r w:rsidR="00C216D9">
              <w:t>purpose</w:t>
            </w:r>
            <w:r w:rsidR="00BF6D05">
              <w:t>;</w:t>
            </w:r>
            <w:proofErr w:type="gramEnd"/>
          </w:p>
          <w:p w14:paraId="17372160" w14:textId="51E2B52B" w:rsidR="0090319A" w:rsidRDefault="00C216D9" w:rsidP="00224875">
            <w:pPr>
              <w:pStyle w:val="Body"/>
              <w:numPr>
                <w:ilvl w:val="0"/>
                <w:numId w:val="21"/>
              </w:numPr>
              <w:spacing w:before="120" w:after="120"/>
              <w:ind w:left="455"/>
              <w:cnfStyle w:val="000000000000" w:firstRow="0" w:lastRow="0" w:firstColumn="0" w:lastColumn="0" w:oddVBand="0" w:evenVBand="0" w:oddHBand="0" w:evenHBand="0" w:firstRowFirstColumn="0" w:firstRowLastColumn="0" w:lastRowFirstColumn="0" w:lastRowLastColumn="0"/>
            </w:pPr>
            <w:r>
              <w:t>State that t</w:t>
            </w:r>
            <w:r w:rsidR="0090319A">
              <w:t xml:space="preserve">he CSP </w:t>
            </w:r>
            <w:r w:rsidR="00A25E83">
              <w:t xml:space="preserve">cannot </w:t>
            </w:r>
            <w:r w:rsidR="0090319A">
              <w:t xml:space="preserve">combine the Input Data with any other datasets without </w:t>
            </w:r>
            <w:r w:rsidR="0090319A">
              <w:lastRenderedPageBreak/>
              <w:t xml:space="preserve">your Organisation's </w:t>
            </w:r>
            <w:proofErr w:type="gramStart"/>
            <w:r w:rsidR="0090319A">
              <w:t>consent</w:t>
            </w:r>
            <w:r w:rsidR="00BF6D05">
              <w:t>;</w:t>
            </w:r>
            <w:proofErr w:type="gramEnd"/>
          </w:p>
          <w:p w14:paraId="4982D61A" w14:textId="014D25A4" w:rsidR="004E1491" w:rsidRDefault="00224875" w:rsidP="00224875">
            <w:pPr>
              <w:pStyle w:val="Body"/>
              <w:numPr>
                <w:ilvl w:val="0"/>
                <w:numId w:val="21"/>
              </w:numPr>
              <w:spacing w:before="120" w:after="120"/>
              <w:ind w:left="455"/>
              <w:cnfStyle w:val="000000000000" w:firstRow="0" w:lastRow="0" w:firstColumn="0" w:lastColumn="0" w:oddVBand="0" w:evenVBand="0" w:oddHBand="0" w:evenHBand="0" w:firstRowFirstColumn="0" w:firstRowLastColumn="0" w:lastRowFirstColumn="0" w:lastRowLastColumn="0"/>
            </w:pPr>
            <w:r>
              <w:t xml:space="preserve">The CSP </w:t>
            </w:r>
            <w:r w:rsidR="00A25E83">
              <w:t xml:space="preserve">must destroy (providing proof if requested) or </w:t>
            </w:r>
            <w:r>
              <w:t>return all copies of Input Data and Output Data to your Organisation</w:t>
            </w:r>
            <w:r w:rsidR="00BF6D05">
              <w:t>; and</w:t>
            </w:r>
          </w:p>
          <w:p w14:paraId="4146F71D" w14:textId="5A6F0D4F" w:rsidR="007E417E" w:rsidRPr="00D16793" w:rsidRDefault="007E417E" w:rsidP="007E417E">
            <w:pPr>
              <w:pStyle w:val="Body"/>
              <w:numPr>
                <w:ilvl w:val="0"/>
                <w:numId w:val="21"/>
              </w:numPr>
              <w:spacing w:before="120" w:after="120"/>
              <w:ind w:left="455"/>
              <w:cnfStyle w:val="000000000000" w:firstRow="0" w:lastRow="0" w:firstColumn="0" w:lastColumn="0" w:oddVBand="0" w:evenVBand="0" w:oddHBand="0" w:evenHBand="0" w:firstRowFirstColumn="0" w:firstRowLastColumn="0" w:lastRowFirstColumn="0" w:lastRowLastColumn="0"/>
            </w:pPr>
            <w:r>
              <w:t xml:space="preserve">The CSP </w:t>
            </w:r>
            <w:r w:rsidR="00A25E83">
              <w:t xml:space="preserve">cannot share </w:t>
            </w:r>
            <w:r>
              <w:t>the Input Data with any third parties</w:t>
            </w:r>
            <w:r w:rsidR="00A25E83">
              <w:t xml:space="preserve"> without your consent.</w:t>
            </w:r>
          </w:p>
        </w:tc>
      </w:tr>
      <w:tr w:rsidR="00FC54E1" w:rsidRPr="00D16793" w14:paraId="1009E981" w14:textId="77777777" w:rsidTr="00D736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shd w:val="clear" w:color="auto" w:fill="EAE5E2"/>
          </w:tcPr>
          <w:p w14:paraId="21E0C34E" w14:textId="190276A7" w:rsidR="00FC54E1" w:rsidRDefault="00FC54E1" w:rsidP="007B007F">
            <w:pPr>
              <w:pStyle w:val="Body"/>
              <w:spacing w:before="120" w:after="120"/>
            </w:pPr>
            <w:r>
              <w:lastRenderedPageBreak/>
              <w:t>Operational phase</w:t>
            </w:r>
          </w:p>
        </w:tc>
        <w:tc>
          <w:tcPr>
            <w:tcW w:w="8221" w:type="dxa"/>
            <w:shd w:val="clear" w:color="auto" w:fill="EAE5E2"/>
          </w:tcPr>
          <w:p w14:paraId="07BCEC47" w14:textId="07A9B117" w:rsidR="00825AF7" w:rsidRDefault="000D64CC" w:rsidP="007D6CD8">
            <w:pPr>
              <w:pStyle w:val="Body"/>
              <w:numPr>
                <w:ilvl w:val="0"/>
                <w:numId w:val="21"/>
              </w:numPr>
              <w:spacing w:before="120" w:after="120"/>
              <w:ind w:left="455"/>
              <w:cnfStyle w:val="000000100000" w:firstRow="0" w:lastRow="0" w:firstColumn="0" w:lastColumn="0" w:oddVBand="0" w:evenVBand="0" w:oddHBand="1" w:evenHBand="0" w:firstRowFirstColumn="0" w:firstRowLastColumn="0" w:lastRowFirstColumn="0" w:lastRowLastColumn="0"/>
            </w:pPr>
            <w:r>
              <w:t>Guard</w:t>
            </w:r>
            <w:r w:rsidR="00E70A70">
              <w:t xml:space="preserve"> against "mission creep"</w:t>
            </w:r>
            <w:r w:rsidR="00E43A87">
              <w:t xml:space="preserve"> </w:t>
            </w:r>
            <w:r w:rsidR="00E70A70">
              <w:t>by m</w:t>
            </w:r>
            <w:r w:rsidR="00825AF7">
              <w:t>onitor</w:t>
            </w:r>
            <w:r w:rsidR="00E70A70">
              <w:t>ing</w:t>
            </w:r>
            <w:r w:rsidR="00825AF7">
              <w:t xml:space="preserve"> the scope of the Project and ensur</w:t>
            </w:r>
            <w:r w:rsidR="00E70A70">
              <w:t>ing</w:t>
            </w:r>
            <w:r w:rsidR="00825AF7">
              <w:t xml:space="preserve"> that any material changes </w:t>
            </w:r>
            <w:r w:rsidR="00976768">
              <w:t>(</w:t>
            </w:r>
            <w:proofErr w:type="gramStart"/>
            <w:r w:rsidR="00976768">
              <w:t>e.g.</w:t>
            </w:r>
            <w:proofErr w:type="gramEnd"/>
            <w:r w:rsidR="00976768">
              <w:t xml:space="preserve"> additional Input Data or new Data Outputs</w:t>
            </w:r>
            <w:r w:rsidR="00825AF7">
              <w:t xml:space="preserve">) </w:t>
            </w:r>
            <w:r w:rsidR="00E70A70">
              <w:t>go through</w:t>
            </w:r>
            <w:r w:rsidR="00976768">
              <w:t xml:space="preserve"> an appropriate change management process</w:t>
            </w:r>
            <w:r w:rsidR="00BF6D05">
              <w:t>; and</w:t>
            </w:r>
          </w:p>
          <w:p w14:paraId="46B15ACE" w14:textId="785316BB" w:rsidR="00C7759E" w:rsidRPr="00D16793" w:rsidRDefault="000D3EDE" w:rsidP="007D6CD8">
            <w:pPr>
              <w:pStyle w:val="Body"/>
              <w:numPr>
                <w:ilvl w:val="0"/>
                <w:numId w:val="21"/>
              </w:numPr>
              <w:spacing w:before="120" w:after="120"/>
              <w:ind w:left="455"/>
              <w:cnfStyle w:val="000000100000" w:firstRow="0" w:lastRow="0" w:firstColumn="0" w:lastColumn="0" w:oddVBand="0" w:evenVBand="0" w:oddHBand="1" w:evenHBand="0" w:firstRowFirstColumn="0" w:firstRowLastColumn="0" w:lastRowFirstColumn="0" w:lastRowLastColumn="0"/>
            </w:pPr>
            <w:r>
              <w:t xml:space="preserve">At the end of the contract, ask the CSP to confirm that it (and </w:t>
            </w:r>
            <w:r w:rsidR="00A25E83">
              <w:t xml:space="preserve">its </w:t>
            </w:r>
            <w:r>
              <w:t xml:space="preserve">subcontractors) </w:t>
            </w:r>
            <w:r w:rsidR="00A25E83">
              <w:t xml:space="preserve">either </w:t>
            </w:r>
            <w:r>
              <w:t>returned</w:t>
            </w:r>
            <w:r w:rsidR="00A25E83">
              <w:t xml:space="preserve"> or destroyed</w:t>
            </w:r>
            <w:r>
              <w:t xml:space="preserve"> all copies of the </w:t>
            </w:r>
            <w:r w:rsidR="007D6CD8">
              <w:t>Input Data and Output Data</w:t>
            </w:r>
            <w:r>
              <w:t>.</w:t>
            </w:r>
          </w:p>
        </w:tc>
      </w:tr>
    </w:tbl>
    <w:p w14:paraId="050BDE2F" w14:textId="1C9E2BBC" w:rsidR="00071C1B" w:rsidRDefault="00071C1B" w:rsidP="00C93EBB">
      <w:pPr>
        <w:pStyle w:val="Body"/>
        <w:rPr>
          <w:b/>
        </w:rPr>
      </w:pPr>
    </w:p>
    <w:p w14:paraId="613F533B" w14:textId="78586825" w:rsidR="00657139" w:rsidRPr="00EE260C" w:rsidRDefault="00657139" w:rsidP="00657139">
      <w:pPr>
        <w:pStyle w:val="Body"/>
        <w:rPr>
          <w:b/>
        </w:rPr>
      </w:pPr>
      <w:r>
        <w:rPr>
          <w:b/>
        </w:rPr>
        <w:t xml:space="preserve">Risk 2: </w:t>
      </w:r>
      <w:r w:rsidR="0047487A">
        <w:rPr>
          <w:b/>
        </w:rPr>
        <w:t>The CSP's facilities may not meet Victorian Government data security standards</w:t>
      </w:r>
    </w:p>
    <w:p w14:paraId="5568F771" w14:textId="77777777" w:rsidR="00657139" w:rsidRPr="00F50518" w:rsidRDefault="00657139" w:rsidP="00657139">
      <w:pPr>
        <w:pStyle w:val="Body"/>
        <w:rPr>
          <w:b/>
          <w:i/>
        </w:rPr>
      </w:pPr>
      <w:r w:rsidRPr="00F50518">
        <w:rPr>
          <w:b/>
          <w:i/>
        </w:rPr>
        <w:t>Description of risk</w:t>
      </w:r>
    </w:p>
    <w:p w14:paraId="36E9914E" w14:textId="13FB6ECA" w:rsidR="00657139" w:rsidRDefault="006033C3" w:rsidP="00657139">
      <w:pPr>
        <w:pStyle w:val="Body"/>
      </w:pPr>
      <w:r>
        <w:t xml:space="preserve">Your Organisation </w:t>
      </w:r>
      <w:r w:rsidR="00055723">
        <w:t xml:space="preserve">remains </w:t>
      </w:r>
      <w:r>
        <w:t>accountable for the Input Data while</w:t>
      </w:r>
      <w:r w:rsidR="00C216D9">
        <w:t xml:space="preserve"> it is</w:t>
      </w:r>
      <w:r>
        <w:t xml:space="preserve"> </w:t>
      </w:r>
      <w:r w:rsidR="00055723">
        <w:t xml:space="preserve">held by </w:t>
      </w:r>
      <w:r>
        <w:t xml:space="preserve">the CSP. </w:t>
      </w:r>
      <w:r w:rsidRPr="006033C3">
        <w:t xml:space="preserve">The VPDSS requires your Organisation to assess the security value of the </w:t>
      </w:r>
      <w:r>
        <w:t xml:space="preserve">Input </w:t>
      </w:r>
      <w:proofErr w:type="gramStart"/>
      <w:r>
        <w:t>Data</w:t>
      </w:r>
      <w:r w:rsidRPr="006033C3">
        <w:t>, and</w:t>
      </w:r>
      <w:proofErr w:type="gramEnd"/>
      <w:r w:rsidRPr="006033C3">
        <w:t xml:space="preserve"> </w:t>
      </w:r>
      <w:r w:rsidR="00624403">
        <w:t xml:space="preserve">ensure </w:t>
      </w:r>
      <w:r w:rsidRPr="006033C3">
        <w:t xml:space="preserve">security controls </w:t>
      </w:r>
      <w:r w:rsidR="00624403">
        <w:t xml:space="preserve">at </w:t>
      </w:r>
      <w:r w:rsidRPr="006033C3">
        <w:t xml:space="preserve">a similar level of security to other Victorian Government data of the same classification.  </w:t>
      </w:r>
    </w:p>
    <w:p w14:paraId="7C146220" w14:textId="3ED2DD2A" w:rsidR="00FE5896" w:rsidRDefault="00FE5896" w:rsidP="00FE5896">
      <w:pPr>
        <w:pStyle w:val="Body"/>
      </w:pPr>
      <w:r>
        <w:t xml:space="preserve">The security value of Victorian Government data is assessed according to the potential negative outcomes that would arise if the data </w:t>
      </w:r>
      <w:proofErr w:type="gramStart"/>
      <w:r>
        <w:t>is</w:t>
      </w:r>
      <w:proofErr w:type="gramEnd"/>
      <w:r>
        <w:t xml:space="preserve"> compromised / misused, corrupted, or lost / unavailable. Under the VPDSS, the security value of data is described in terms of </w:t>
      </w:r>
      <w:r w:rsidRPr="00C62392">
        <w:t>Business Impact Levels (</w:t>
      </w:r>
      <w:r w:rsidRPr="00B03556">
        <w:rPr>
          <w:b/>
        </w:rPr>
        <w:t>BILs</w:t>
      </w:r>
      <w:r w:rsidRPr="00C62392">
        <w:t>).</w:t>
      </w:r>
      <w:r>
        <w:t xml:space="preserve"> Your Organisation's information security team can help you determine the BIL rating of the Website data.</w:t>
      </w:r>
    </w:p>
    <w:p w14:paraId="57420DD1" w14:textId="3A7B7507" w:rsidR="00061068" w:rsidRDefault="006033C3" w:rsidP="00657139">
      <w:pPr>
        <w:pStyle w:val="Body"/>
      </w:pPr>
      <w:r>
        <w:t>Your Organisation should have a standard set of requirements for the CSP's facilities</w:t>
      </w:r>
      <w:r w:rsidR="00C7028A">
        <w:t xml:space="preserve"> and IT infrastructure</w:t>
      </w:r>
      <w:r>
        <w:t xml:space="preserve">, based on the BIL rating for the data. </w:t>
      </w:r>
      <w:r w:rsidR="00061068">
        <w:t>Your</w:t>
      </w:r>
      <w:r>
        <w:t xml:space="preserve"> Organisation can </w:t>
      </w:r>
      <w:r w:rsidR="00061068">
        <w:t xml:space="preserve">also </w:t>
      </w:r>
      <w:r>
        <w:t>contact OVIC</w:t>
      </w:r>
      <w:r w:rsidR="00624403">
        <w:t xml:space="preserve"> or </w:t>
      </w:r>
      <w:r w:rsidR="0068536F">
        <w:t>VCDI</w:t>
      </w:r>
      <w:r>
        <w:t xml:space="preserve"> for further assistance</w:t>
      </w:r>
      <w:r w:rsidR="00624403">
        <w:t xml:space="preserve"> </w:t>
      </w:r>
      <w:r w:rsidR="00061068">
        <w:t xml:space="preserve">on </w:t>
      </w:r>
      <w:r w:rsidR="00C21A6D">
        <w:t>the</w:t>
      </w:r>
      <w:r w:rsidR="00061068">
        <w:t xml:space="preserve"> </w:t>
      </w:r>
      <w:r w:rsidR="00582102">
        <w:t xml:space="preserve">types of data security features you should expect to find in a </w:t>
      </w:r>
      <w:r w:rsidR="00440EB0">
        <w:t>secure</w:t>
      </w:r>
      <w:r w:rsidR="00582102">
        <w:t xml:space="preserve"> data analytics </w:t>
      </w:r>
      <w:r w:rsidR="001C3748">
        <w:t>facility</w:t>
      </w:r>
      <w:r w:rsidR="000C46B6">
        <w:t>.</w:t>
      </w:r>
    </w:p>
    <w:p w14:paraId="39781C5A" w14:textId="523D92D5" w:rsidR="00657139" w:rsidRDefault="00657139" w:rsidP="00657139">
      <w:pPr>
        <w:pStyle w:val="Body"/>
      </w:pPr>
      <w:r w:rsidRPr="006033C3">
        <w:t>(</w:t>
      </w:r>
      <w:r w:rsidRPr="006033C3">
        <w:rPr>
          <w:i/>
        </w:rPr>
        <w:t xml:space="preserve">Key PDP Act references: IPP </w:t>
      </w:r>
      <w:r w:rsidR="006033C3" w:rsidRPr="006033C3">
        <w:rPr>
          <w:i/>
        </w:rPr>
        <w:t>4.1</w:t>
      </w:r>
      <w:r w:rsidRPr="006033C3">
        <w:rPr>
          <w:i/>
        </w:rPr>
        <w:t xml:space="preserve">; VPDSS </w:t>
      </w:r>
      <w:r w:rsidR="006033C3" w:rsidRPr="006033C3">
        <w:rPr>
          <w:i/>
        </w:rPr>
        <w:t xml:space="preserve">2, </w:t>
      </w:r>
      <w:r w:rsidR="000D506C">
        <w:rPr>
          <w:i/>
        </w:rPr>
        <w:t xml:space="preserve">4, </w:t>
      </w:r>
      <w:r w:rsidR="006033C3" w:rsidRPr="006033C3">
        <w:rPr>
          <w:i/>
        </w:rPr>
        <w:t>8</w:t>
      </w:r>
      <w:r w:rsidR="000D506C">
        <w:rPr>
          <w:i/>
        </w:rPr>
        <w:t xml:space="preserve">, 10, </w:t>
      </w:r>
      <w:r w:rsidR="006033C3" w:rsidRPr="006033C3">
        <w:rPr>
          <w:i/>
        </w:rPr>
        <w:t>11</w:t>
      </w:r>
      <w:r w:rsidR="000D506C">
        <w:rPr>
          <w:i/>
        </w:rPr>
        <w:t xml:space="preserve"> and 12</w:t>
      </w:r>
      <w:r w:rsidRPr="006033C3">
        <w:t>)</w:t>
      </w:r>
    </w:p>
    <w:p w14:paraId="4FE47951" w14:textId="19688B6C" w:rsidR="00657139" w:rsidRPr="00F50518" w:rsidRDefault="00657139" w:rsidP="00657139">
      <w:pPr>
        <w:pStyle w:val="Body"/>
        <w:rPr>
          <w:b/>
          <w:i/>
        </w:rPr>
      </w:pPr>
      <w:r>
        <w:rPr>
          <w:b/>
          <w:i/>
        </w:rPr>
        <w:t>M</w:t>
      </w:r>
      <w:r w:rsidRPr="00F50518">
        <w:rPr>
          <w:b/>
          <w:i/>
        </w:rPr>
        <w:t>itigation strategies:</w:t>
      </w:r>
    </w:p>
    <w:tbl>
      <w:tblPr>
        <w:tblStyle w:val="PlainTable11"/>
        <w:tblW w:w="9751"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EAE5E2"/>
        <w:tblLook w:val="04A0" w:firstRow="1" w:lastRow="0" w:firstColumn="1" w:lastColumn="0" w:noHBand="0" w:noVBand="1"/>
      </w:tblPr>
      <w:tblGrid>
        <w:gridCol w:w="1530"/>
        <w:gridCol w:w="8221"/>
      </w:tblGrid>
      <w:tr w:rsidR="00657139" w:rsidRPr="000855EF" w14:paraId="58DF4756" w14:textId="77777777" w:rsidTr="0074578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30" w:type="dxa"/>
            <w:shd w:val="clear" w:color="auto" w:fill="3E018E"/>
          </w:tcPr>
          <w:p w14:paraId="0B0F035A" w14:textId="77777777" w:rsidR="00657139" w:rsidRPr="000855EF" w:rsidRDefault="00657139" w:rsidP="00EA00D3">
            <w:pPr>
              <w:pStyle w:val="Body"/>
              <w:spacing w:before="120" w:after="120"/>
              <w:rPr>
                <w:b w:val="0"/>
                <w:bCs w:val="0"/>
                <w:color w:val="FFFFFF" w:themeColor="background1"/>
              </w:rPr>
            </w:pPr>
            <w:r>
              <w:rPr>
                <w:color w:val="FFFFFF" w:themeColor="background1"/>
              </w:rPr>
              <w:t>Stage</w:t>
            </w:r>
          </w:p>
        </w:tc>
        <w:tc>
          <w:tcPr>
            <w:tcW w:w="8221" w:type="dxa"/>
            <w:shd w:val="clear" w:color="auto" w:fill="3E018E"/>
          </w:tcPr>
          <w:p w14:paraId="5A004EE3" w14:textId="77777777" w:rsidR="00657139" w:rsidRPr="000855EF" w:rsidRDefault="00657139" w:rsidP="00EA00D3">
            <w:pPr>
              <w:pStyle w:val="Body"/>
              <w:spacing w:before="120" w:after="120"/>
              <w:cnfStyle w:val="100000000000" w:firstRow="1" w:lastRow="0" w:firstColumn="0" w:lastColumn="0" w:oddVBand="0" w:evenVBand="0" w:oddHBand="0" w:evenHBand="0" w:firstRowFirstColumn="0" w:firstRowLastColumn="0" w:lastRowFirstColumn="0" w:lastRowLastColumn="0"/>
              <w:rPr>
                <w:b w:val="0"/>
                <w:bCs w:val="0"/>
                <w:color w:val="FFFFFF" w:themeColor="background1"/>
              </w:rPr>
            </w:pPr>
            <w:r>
              <w:rPr>
                <w:color w:val="FFFFFF" w:themeColor="background1"/>
              </w:rPr>
              <w:t>Actions</w:t>
            </w:r>
          </w:p>
        </w:tc>
      </w:tr>
      <w:tr w:rsidR="00657139" w:rsidRPr="00D16793" w14:paraId="7D67C49F" w14:textId="77777777" w:rsidTr="00EA00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shd w:val="clear" w:color="auto" w:fill="EAE5E2"/>
          </w:tcPr>
          <w:p w14:paraId="08C0852A" w14:textId="77777777" w:rsidR="00657139" w:rsidRPr="00D16793" w:rsidRDefault="00657139" w:rsidP="00EA00D3">
            <w:pPr>
              <w:pStyle w:val="Body"/>
              <w:spacing w:before="120" w:after="120"/>
            </w:pPr>
            <w:r>
              <w:t>Pre-contract</w:t>
            </w:r>
          </w:p>
        </w:tc>
        <w:tc>
          <w:tcPr>
            <w:tcW w:w="8221" w:type="dxa"/>
            <w:shd w:val="clear" w:color="auto" w:fill="EAE5E2"/>
          </w:tcPr>
          <w:p w14:paraId="7CB26501" w14:textId="2D456AC1" w:rsidR="00657139" w:rsidRDefault="00844D2F" w:rsidP="00844D2F">
            <w:pPr>
              <w:pStyle w:val="Body"/>
              <w:numPr>
                <w:ilvl w:val="0"/>
                <w:numId w:val="21"/>
              </w:numPr>
              <w:spacing w:before="120" w:after="120"/>
              <w:ind w:left="455"/>
              <w:cnfStyle w:val="000000100000" w:firstRow="0" w:lastRow="0" w:firstColumn="0" w:lastColumn="0" w:oddVBand="0" w:evenVBand="0" w:oddHBand="1" w:evenHBand="0" w:firstRowFirstColumn="0" w:firstRowLastColumn="0" w:lastRowFirstColumn="0" w:lastRowLastColumn="0"/>
            </w:pPr>
            <w:r>
              <w:t xml:space="preserve">Liaise with your Organisation's information security team to confirm the security value (BIL) of the Input Data that will be provided to the CSP for the </w:t>
            </w:r>
            <w:proofErr w:type="gramStart"/>
            <w:r>
              <w:t>Project</w:t>
            </w:r>
            <w:r w:rsidR="00BF6D05">
              <w:t>;</w:t>
            </w:r>
            <w:proofErr w:type="gramEnd"/>
          </w:p>
          <w:p w14:paraId="3D568450" w14:textId="5B1D4674" w:rsidR="00844D2F" w:rsidRDefault="00600B6A" w:rsidP="00600B6A">
            <w:pPr>
              <w:pStyle w:val="Body"/>
              <w:numPr>
                <w:ilvl w:val="0"/>
                <w:numId w:val="21"/>
              </w:numPr>
              <w:spacing w:before="120" w:after="120"/>
              <w:ind w:left="455"/>
              <w:cnfStyle w:val="000000100000" w:firstRow="0" w:lastRow="0" w:firstColumn="0" w:lastColumn="0" w:oddVBand="0" w:evenVBand="0" w:oddHBand="1" w:evenHBand="0" w:firstRowFirstColumn="0" w:firstRowLastColumn="0" w:lastRowFirstColumn="0" w:lastRowLastColumn="0"/>
            </w:pPr>
            <w:r>
              <w:t xml:space="preserve">Analyse the </w:t>
            </w:r>
            <w:r w:rsidR="00844D2F">
              <w:t>CSP</w:t>
            </w:r>
            <w:r>
              <w:t>’s</w:t>
            </w:r>
            <w:r w:rsidR="00844D2F">
              <w:t xml:space="preserve"> information security </w:t>
            </w:r>
            <w:r>
              <w:t>capability</w:t>
            </w:r>
            <w:r w:rsidR="00C216D9">
              <w:t xml:space="preserve"> by</w:t>
            </w:r>
            <w:r>
              <w:t xml:space="preserve"> working </w:t>
            </w:r>
            <w:r w:rsidR="00844D2F">
              <w:t xml:space="preserve">with your Organisation's information security team to assess </w:t>
            </w:r>
            <w:r>
              <w:t xml:space="preserve">if it </w:t>
            </w:r>
            <w:r w:rsidR="00844D2F">
              <w:t>meets the relevant BIL rating</w:t>
            </w:r>
            <w:r w:rsidR="00BF6D05">
              <w:t>; and</w:t>
            </w:r>
          </w:p>
          <w:p w14:paraId="5CC14458" w14:textId="0D24AFE7" w:rsidR="000E07DF" w:rsidRPr="00D16793" w:rsidRDefault="00600B6A" w:rsidP="00501680">
            <w:pPr>
              <w:pStyle w:val="Body"/>
              <w:numPr>
                <w:ilvl w:val="0"/>
                <w:numId w:val="21"/>
              </w:numPr>
              <w:spacing w:before="120" w:after="120"/>
              <w:ind w:left="455"/>
              <w:cnfStyle w:val="000000100000" w:firstRow="0" w:lastRow="0" w:firstColumn="0" w:lastColumn="0" w:oddVBand="0" w:evenVBand="0" w:oddHBand="1" w:evenHBand="0" w:firstRowFirstColumn="0" w:firstRowLastColumn="0" w:lastRowFirstColumn="0" w:lastRowLastColumn="0"/>
            </w:pPr>
            <w:r>
              <w:t xml:space="preserve">Ensure there is a secure method for transferring data between your Organisation and the CSP. For example, consider </w:t>
            </w:r>
            <w:r w:rsidRPr="00B422E9">
              <w:t>us</w:t>
            </w:r>
            <w:r>
              <w:t>ing</w:t>
            </w:r>
            <w:r w:rsidRPr="00B422E9">
              <w:t xml:space="preserve"> Transport Layer Security (</w:t>
            </w:r>
            <w:r w:rsidRPr="0011553D">
              <w:rPr>
                <w:b/>
                <w:bCs/>
              </w:rPr>
              <w:t>TLS</w:t>
            </w:r>
            <w:r w:rsidRPr="00B422E9">
              <w:t>) or Virtual Private Networks (</w:t>
            </w:r>
            <w:r w:rsidRPr="0011553D">
              <w:rPr>
                <w:b/>
                <w:bCs/>
              </w:rPr>
              <w:t>VPN</w:t>
            </w:r>
            <w:r w:rsidRPr="00B422E9">
              <w:t xml:space="preserve">) </w:t>
            </w:r>
            <w:r w:rsidR="00C216D9">
              <w:t xml:space="preserve">with </w:t>
            </w:r>
            <w:r w:rsidRPr="00B422E9">
              <w:t>protected access</w:t>
            </w:r>
            <w:r>
              <w:t>.</w:t>
            </w:r>
          </w:p>
        </w:tc>
      </w:tr>
      <w:tr w:rsidR="00657139" w:rsidRPr="00D16793" w14:paraId="273E0AF8" w14:textId="77777777" w:rsidTr="00EA00D3">
        <w:tc>
          <w:tcPr>
            <w:cnfStyle w:val="001000000000" w:firstRow="0" w:lastRow="0" w:firstColumn="1" w:lastColumn="0" w:oddVBand="0" w:evenVBand="0" w:oddHBand="0" w:evenHBand="0" w:firstRowFirstColumn="0" w:firstRowLastColumn="0" w:lastRowFirstColumn="0" w:lastRowLastColumn="0"/>
            <w:tcW w:w="1530" w:type="dxa"/>
            <w:shd w:val="clear" w:color="auto" w:fill="EAE5E2"/>
          </w:tcPr>
          <w:p w14:paraId="10EF141B" w14:textId="77777777" w:rsidR="00657139" w:rsidRPr="00D16793" w:rsidRDefault="00657139" w:rsidP="00EA00D3">
            <w:pPr>
              <w:pStyle w:val="Body"/>
              <w:spacing w:before="120" w:after="120"/>
            </w:pPr>
            <w:r>
              <w:t>Contract terms</w:t>
            </w:r>
          </w:p>
        </w:tc>
        <w:tc>
          <w:tcPr>
            <w:tcW w:w="8221" w:type="dxa"/>
            <w:shd w:val="clear" w:color="auto" w:fill="EAE5E2"/>
          </w:tcPr>
          <w:p w14:paraId="192DAE32" w14:textId="537CE9A3" w:rsidR="00600B6A" w:rsidRDefault="00600B6A" w:rsidP="00600B6A">
            <w:pPr>
              <w:pStyle w:val="Body"/>
              <w:numPr>
                <w:ilvl w:val="0"/>
                <w:numId w:val="21"/>
              </w:numPr>
              <w:spacing w:before="120" w:after="120"/>
              <w:ind w:left="455"/>
              <w:cnfStyle w:val="000000000000" w:firstRow="0" w:lastRow="0" w:firstColumn="0" w:lastColumn="0" w:oddVBand="0" w:evenVBand="0" w:oddHBand="0" w:evenHBand="0" w:firstRowFirstColumn="0" w:firstRowLastColumn="0" w:lastRowFirstColumn="0" w:lastRowLastColumn="0"/>
            </w:pPr>
            <w:r>
              <w:t xml:space="preserve">The CSP should apply the specific security controls, industry standards and other security requirements that are agreed during the due diligence </w:t>
            </w:r>
            <w:proofErr w:type="gramStart"/>
            <w:r>
              <w:t>process</w:t>
            </w:r>
            <w:r w:rsidR="00BF6D05">
              <w:t>;</w:t>
            </w:r>
            <w:proofErr w:type="gramEnd"/>
          </w:p>
          <w:p w14:paraId="5074BA53" w14:textId="7A1BFF4F" w:rsidR="009120AB" w:rsidRDefault="009120AB" w:rsidP="00600B6A">
            <w:pPr>
              <w:pStyle w:val="Body"/>
              <w:keepNext/>
              <w:keepLines/>
              <w:numPr>
                <w:ilvl w:val="0"/>
                <w:numId w:val="21"/>
              </w:numPr>
              <w:spacing w:before="120" w:after="120"/>
              <w:ind w:left="453" w:hanging="357"/>
              <w:cnfStyle w:val="000000000000" w:firstRow="0" w:lastRow="0" w:firstColumn="0" w:lastColumn="0" w:oddVBand="0" w:evenVBand="0" w:oddHBand="0" w:evenHBand="0" w:firstRowFirstColumn="0" w:firstRowLastColumn="0" w:lastRowFirstColumn="0" w:lastRowLastColumn="0"/>
            </w:pPr>
            <w:r>
              <w:lastRenderedPageBreak/>
              <w:t xml:space="preserve">If the Input Data is highly sensitive, consider seeking individual confidentiality undertakings from the CSP data analysts </w:t>
            </w:r>
            <w:r w:rsidR="001174A6">
              <w:t>performing the work</w:t>
            </w:r>
            <w:r w:rsidR="00BF6D05">
              <w:t>; and</w:t>
            </w:r>
          </w:p>
          <w:p w14:paraId="3EE30B87" w14:textId="0E31CF65" w:rsidR="000C2DC1" w:rsidRPr="00D16793" w:rsidRDefault="000C2DC1" w:rsidP="00172105">
            <w:pPr>
              <w:pStyle w:val="Body"/>
              <w:numPr>
                <w:ilvl w:val="0"/>
                <w:numId w:val="21"/>
              </w:numPr>
              <w:spacing w:before="120" w:after="120"/>
              <w:ind w:left="455"/>
              <w:cnfStyle w:val="000000000000" w:firstRow="0" w:lastRow="0" w:firstColumn="0" w:lastColumn="0" w:oddVBand="0" w:evenVBand="0" w:oddHBand="0" w:evenHBand="0" w:firstRowFirstColumn="0" w:firstRowLastColumn="0" w:lastRowFirstColumn="0" w:lastRowLastColumn="0"/>
            </w:pPr>
            <w:r>
              <w:t xml:space="preserve">The CSP </w:t>
            </w:r>
            <w:r w:rsidR="00044B38">
              <w:t xml:space="preserve">must </w:t>
            </w:r>
            <w:r>
              <w:t>provide appropriate information security assurance during the contract term (e.g. certification and/or audits).</w:t>
            </w:r>
          </w:p>
        </w:tc>
      </w:tr>
      <w:tr w:rsidR="00657139" w:rsidRPr="00D16793" w14:paraId="0CB8E6E3" w14:textId="77777777" w:rsidTr="00EA00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shd w:val="clear" w:color="auto" w:fill="EAE5E2"/>
          </w:tcPr>
          <w:p w14:paraId="1237862B" w14:textId="77777777" w:rsidR="00657139" w:rsidRDefault="00657139" w:rsidP="00EA00D3">
            <w:pPr>
              <w:pStyle w:val="Body"/>
              <w:spacing w:before="120" w:after="120"/>
            </w:pPr>
            <w:r>
              <w:lastRenderedPageBreak/>
              <w:t>Operational phase</w:t>
            </w:r>
          </w:p>
        </w:tc>
        <w:tc>
          <w:tcPr>
            <w:tcW w:w="8221" w:type="dxa"/>
            <w:shd w:val="clear" w:color="auto" w:fill="EAE5E2"/>
          </w:tcPr>
          <w:p w14:paraId="4BD575DB" w14:textId="1F1E6586" w:rsidR="00657139" w:rsidRDefault="00AA5C0A" w:rsidP="00EA00D3">
            <w:pPr>
              <w:pStyle w:val="Body"/>
              <w:numPr>
                <w:ilvl w:val="0"/>
                <w:numId w:val="21"/>
              </w:numPr>
              <w:spacing w:before="120" w:after="120"/>
              <w:ind w:left="455"/>
              <w:cnfStyle w:val="000000100000" w:firstRow="0" w:lastRow="0" w:firstColumn="0" w:lastColumn="0" w:oddVBand="0" w:evenVBand="0" w:oddHBand="1" w:evenHBand="0" w:firstRowFirstColumn="0" w:firstRowLastColumn="0" w:lastRowFirstColumn="0" w:lastRowLastColumn="0"/>
            </w:pPr>
            <w:r>
              <w:t xml:space="preserve">Ensure that the CSP is added to your </w:t>
            </w:r>
            <w:r w:rsidR="00D9515F">
              <w:t xml:space="preserve">register of </w:t>
            </w:r>
            <w:r w:rsidR="00D52EF2">
              <w:t>third-party</w:t>
            </w:r>
            <w:r w:rsidR="00D9515F">
              <w:t xml:space="preserve"> data </w:t>
            </w:r>
            <w:r w:rsidR="0002303E">
              <w:t>arrangements</w:t>
            </w:r>
            <w:r w:rsidR="00BF6D05">
              <w:t>; and</w:t>
            </w:r>
          </w:p>
          <w:p w14:paraId="7722CA54" w14:textId="6B617CB8" w:rsidR="00D9515F" w:rsidRPr="00D16793" w:rsidRDefault="00D9515F" w:rsidP="00EA00D3">
            <w:pPr>
              <w:pStyle w:val="Body"/>
              <w:numPr>
                <w:ilvl w:val="0"/>
                <w:numId w:val="21"/>
              </w:numPr>
              <w:spacing w:before="120" w:after="120"/>
              <w:ind w:left="455"/>
              <w:cnfStyle w:val="000000100000" w:firstRow="0" w:lastRow="0" w:firstColumn="0" w:lastColumn="0" w:oddVBand="0" w:evenVBand="0" w:oddHBand="1" w:evenHBand="0" w:firstRowFirstColumn="0" w:firstRowLastColumn="0" w:lastRowFirstColumn="0" w:lastRowLastColumn="0"/>
            </w:pPr>
            <w:r>
              <w:t>Monitor the CSP</w:t>
            </w:r>
            <w:r w:rsidR="00C216D9">
              <w:t>’</w:t>
            </w:r>
            <w:r>
              <w:t>s compliance with the agreed data security requirements using the assurance mechanisms in the contract (</w:t>
            </w:r>
            <w:proofErr w:type="gramStart"/>
            <w:r>
              <w:t>e.g.</w:t>
            </w:r>
            <w:proofErr w:type="gramEnd"/>
            <w:r>
              <w:t xml:space="preserve"> certification / audit processes).</w:t>
            </w:r>
          </w:p>
        </w:tc>
      </w:tr>
    </w:tbl>
    <w:p w14:paraId="359F5398" w14:textId="77777777" w:rsidR="00657139" w:rsidRDefault="00657139" w:rsidP="00657139">
      <w:pPr>
        <w:pStyle w:val="Body"/>
        <w:rPr>
          <w:b/>
        </w:rPr>
      </w:pPr>
    </w:p>
    <w:p w14:paraId="246402A0" w14:textId="0075F790" w:rsidR="00657139" w:rsidRPr="00EE260C" w:rsidRDefault="00657139" w:rsidP="00657139">
      <w:pPr>
        <w:pStyle w:val="Body"/>
        <w:rPr>
          <w:b/>
        </w:rPr>
      </w:pPr>
      <w:r>
        <w:rPr>
          <w:b/>
        </w:rPr>
        <w:t xml:space="preserve">Risk 3: </w:t>
      </w:r>
      <w:r w:rsidR="00597DBD">
        <w:rPr>
          <w:b/>
        </w:rPr>
        <w:t xml:space="preserve">The Project may not be </w:t>
      </w:r>
      <w:r w:rsidR="00C87680">
        <w:rPr>
          <w:b/>
        </w:rPr>
        <w:t xml:space="preserve">using </w:t>
      </w:r>
      <w:r w:rsidR="00B50ED1">
        <w:rPr>
          <w:b/>
        </w:rPr>
        <w:t xml:space="preserve">best practice </w:t>
      </w:r>
      <w:r w:rsidR="00617DF7">
        <w:rPr>
          <w:b/>
        </w:rPr>
        <w:t>data handling techniques</w:t>
      </w:r>
    </w:p>
    <w:p w14:paraId="2BC58486" w14:textId="77777777" w:rsidR="00657139" w:rsidRPr="00F50518" w:rsidRDefault="00657139" w:rsidP="00657139">
      <w:pPr>
        <w:pStyle w:val="Body"/>
        <w:rPr>
          <w:b/>
          <w:i/>
        </w:rPr>
      </w:pPr>
      <w:r w:rsidRPr="00F50518">
        <w:rPr>
          <w:b/>
          <w:i/>
        </w:rPr>
        <w:t>Description of risk</w:t>
      </w:r>
    </w:p>
    <w:p w14:paraId="5379DEB2" w14:textId="6C2987D7" w:rsidR="00657139" w:rsidRDefault="00A82FF0" w:rsidP="00657139">
      <w:pPr>
        <w:pStyle w:val="Body"/>
      </w:pPr>
      <w:r>
        <w:t xml:space="preserve">The PDP Act requires your Organisation to take </w:t>
      </w:r>
      <w:r w:rsidR="00C216D9">
        <w:t>“</w:t>
      </w:r>
      <w:r>
        <w:t>reasonable steps</w:t>
      </w:r>
      <w:r w:rsidR="00C216D9">
        <w:t>”</w:t>
      </w:r>
      <w:r>
        <w:t xml:space="preserve"> to protect </w:t>
      </w:r>
      <w:r w:rsidR="00C4249F">
        <w:t xml:space="preserve">the Input Data against </w:t>
      </w:r>
      <w:r w:rsidR="009267B2">
        <w:t>unauthorised disclosure</w:t>
      </w:r>
      <w:r w:rsidR="007545C5">
        <w:t xml:space="preserve">, </w:t>
      </w:r>
      <w:r w:rsidR="00B364ED">
        <w:t xml:space="preserve">and to </w:t>
      </w:r>
      <w:r w:rsidR="00BA217D">
        <w:t>ensure the accuracy, completeness</w:t>
      </w:r>
      <w:r w:rsidR="00C216D9">
        <w:t>,</w:t>
      </w:r>
      <w:r w:rsidR="00BA217D">
        <w:t xml:space="preserve"> and currency of the Data Outputs produced using the Input Data.</w:t>
      </w:r>
      <w:r w:rsidR="00DD1411">
        <w:t xml:space="preserve"> These "reasonable steps" requirements are designed to operate flexibly, </w:t>
      </w:r>
      <w:r w:rsidR="00F24E9D">
        <w:t xml:space="preserve">so that they can </w:t>
      </w:r>
      <w:r w:rsidR="00CF3164">
        <w:t>keep up with new developments and best practices in the data analytics industry.</w:t>
      </w:r>
    </w:p>
    <w:p w14:paraId="60A05D14" w14:textId="1A961619" w:rsidR="00BA217D" w:rsidRDefault="00356A4C" w:rsidP="00657139">
      <w:pPr>
        <w:pStyle w:val="Body"/>
      </w:pPr>
      <w:r>
        <w:t>G</w:t>
      </w:r>
      <w:r w:rsidR="00560326">
        <w:t xml:space="preserve">overnment data analytics experts </w:t>
      </w:r>
      <w:r>
        <w:t xml:space="preserve">use </w:t>
      </w:r>
      <w:r w:rsidR="00560326">
        <w:t xml:space="preserve">a range of </w:t>
      </w:r>
      <w:r>
        <w:t xml:space="preserve">techniques, </w:t>
      </w:r>
      <w:r w:rsidR="00560326">
        <w:t>tools</w:t>
      </w:r>
      <w:r w:rsidR="00C216D9">
        <w:t>,</w:t>
      </w:r>
      <w:r w:rsidR="00560326">
        <w:t xml:space="preserve"> and frameworks </w:t>
      </w:r>
      <w:r w:rsidR="00A10E42">
        <w:t xml:space="preserve">to improve the safety and quality of data </w:t>
      </w:r>
      <w:r w:rsidR="00FA7564">
        <w:t xml:space="preserve">analytics </w:t>
      </w:r>
      <w:r w:rsidR="00A10E42">
        <w:t xml:space="preserve">projects. </w:t>
      </w:r>
      <w:r>
        <w:t>For example</w:t>
      </w:r>
      <w:r w:rsidR="00A10E42">
        <w:t xml:space="preserve">, </w:t>
      </w:r>
      <w:r w:rsidR="00515DB8">
        <w:t>the Five Safes Framework</w:t>
      </w:r>
      <w:r w:rsidR="00DF4F91">
        <w:rPr>
          <w:rStyle w:val="FootnoteReference"/>
        </w:rPr>
        <w:footnoteReference w:id="1"/>
      </w:r>
      <w:r w:rsidR="00515DB8">
        <w:t xml:space="preserve"> </w:t>
      </w:r>
      <w:r>
        <w:t xml:space="preserve">provides a model for assessing and managing </w:t>
      </w:r>
      <w:r w:rsidRPr="00356A4C">
        <w:t>the risks associated with</w:t>
      </w:r>
      <w:r>
        <w:t xml:space="preserve"> data sharing and access. The Five Safes Framework </w:t>
      </w:r>
      <w:r w:rsidR="005A4BCF">
        <w:t xml:space="preserve">is commonly used in data analytics projects that involve </w:t>
      </w:r>
      <w:r w:rsidR="005665AE">
        <w:t>confidential or sensitive data.</w:t>
      </w:r>
    </w:p>
    <w:p w14:paraId="6C620FC9" w14:textId="0ADA7FD9" w:rsidR="00C87680" w:rsidRDefault="004A1515" w:rsidP="00657139">
      <w:pPr>
        <w:pStyle w:val="Body"/>
      </w:pPr>
      <w:r>
        <w:t xml:space="preserve">Applying </w:t>
      </w:r>
      <w:r w:rsidR="00C87680">
        <w:t xml:space="preserve">safe </w:t>
      </w:r>
      <w:r w:rsidR="004F71F8">
        <w:t>data handling techniques</w:t>
      </w:r>
      <w:r w:rsidR="005665AE">
        <w:t xml:space="preserve"> depend</w:t>
      </w:r>
      <w:r w:rsidR="00C12137">
        <w:t>s</w:t>
      </w:r>
      <w:r w:rsidR="005665AE">
        <w:t xml:space="preserve"> on the sensitivity of the data and the </w:t>
      </w:r>
      <w:r w:rsidR="005665AE" w:rsidRPr="005665AE">
        <w:t>potential impact of a breach or security failure</w:t>
      </w:r>
      <w:r w:rsidR="005665AE">
        <w:t xml:space="preserve">. If the Input Data has a high BIL rating, consider using </w:t>
      </w:r>
      <w:r w:rsidR="006F57D6">
        <w:t>one or more of these best practice frameworks</w:t>
      </w:r>
      <w:r w:rsidR="00C12137">
        <w:t xml:space="preserve"> or contacting </w:t>
      </w:r>
      <w:r w:rsidR="00617645">
        <w:t>data analytics expert</w:t>
      </w:r>
      <w:r w:rsidR="00C12137">
        <w:t>s</w:t>
      </w:r>
      <w:r w:rsidR="00617645">
        <w:t xml:space="preserve">, </w:t>
      </w:r>
      <w:r w:rsidR="00C12137">
        <w:t xml:space="preserve">like </w:t>
      </w:r>
      <w:r w:rsidR="00A75DAD">
        <w:t>VCDI, for advice.</w:t>
      </w:r>
    </w:p>
    <w:p w14:paraId="05614096" w14:textId="6E94D110" w:rsidR="00657139" w:rsidRDefault="00657139" w:rsidP="00657139">
      <w:pPr>
        <w:pStyle w:val="Body"/>
      </w:pPr>
      <w:r w:rsidRPr="00891DB5">
        <w:t>(</w:t>
      </w:r>
      <w:r w:rsidRPr="00891DB5">
        <w:rPr>
          <w:i/>
        </w:rPr>
        <w:t xml:space="preserve">Key PDP Act references: IPP </w:t>
      </w:r>
      <w:r w:rsidR="00A128BF" w:rsidRPr="00891DB5">
        <w:rPr>
          <w:i/>
        </w:rPr>
        <w:t xml:space="preserve">2.1, </w:t>
      </w:r>
      <w:r w:rsidR="004034B4" w:rsidRPr="00891DB5">
        <w:rPr>
          <w:i/>
        </w:rPr>
        <w:t>3</w:t>
      </w:r>
      <w:r w:rsidR="00891DB5" w:rsidRPr="00891DB5">
        <w:rPr>
          <w:i/>
        </w:rPr>
        <w:t xml:space="preserve"> and</w:t>
      </w:r>
      <w:r w:rsidR="004F457C" w:rsidRPr="00891DB5">
        <w:rPr>
          <w:i/>
        </w:rPr>
        <w:t xml:space="preserve"> 4</w:t>
      </w:r>
      <w:r w:rsidRPr="00891DB5">
        <w:rPr>
          <w:i/>
        </w:rPr>
        <w:t xml:space="preserve">; VPDSS </w:t>
      </w:r>
      <w:r w:rsidR="000D506C" w:rsidRPr="00891DB5">
        <w:rPr>
          <w:i/>
        </w:rPr>
        <w:t xml:space="preserve">4, </w:t>
      </w:r>
      <w:r w:rsidR="003B025F" w:rsidRPr="00891DB5">
        <w:rPr>
          <w:i/>
        </w:rPr>
        <w:t xml:space="preserve">5, </w:t>
      </w:r>
      <w:r w:rsidR="000D506C" w:rsidRPr="00891DB5">
        <w:rPr>
          <w:i/>
        </w:rPr>
        <w:t>10, 11 and 12</w:t>
      </w:r>
      <w:r w:rsidRPr="00891DB5">
        <w:t>)</w:t>
      </w:r>
    </w:p>
    <w:p w14:paraId="7EF77FDF" w14:textId="77777777" w:rsidR="00657139" w:rsidRPr="00F50518" w:rsidRDefault="00657139" w:rsidP="00657139">
      <w:pPr>
        <w:pStyle w:val="Body"/>
        <w:rPr>
          <w:b/>
          <w:i/>
        </w:rPr>
      </w:pPr>
      <w:r>
        <w:rPr>
          <w:b/>
          <w:i/>
        </w:rPr>
        <w:t>M</w:t>
      </w:r>
      <w:r w:rsidRPr="00F50518">
        <w:rPr>
          <w:b/>
          <w:i/>
        </w:rPr>
        <w:t>itigation strategies:</w:t>
      </w:r>
    </w:p>
    <w:tbl>
      <w:tblPr>
        <w:tblStyle w:val="PlainTable11"/>
        <w:tblW w:w="9751"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EAE5E2"/>
        <w:tblLook w:val="04A0" w:firstRow="1" w:lastRow="0" w:firstColumn="1" w:lastColumn="0" w:noHBand="0" w:noVBand="1"/>
      </w:tblPr>
      <w:tblGrid>
        <w:gridCol w:w="1530"/>
        <w:gridCol w:w="8221"/>
      </w:tblGrid>
      <w:tr w:rsidR="00657139" w:rsidRPr="000855EF" w14:paraId="7695E1D9" w14:textId="77777777" w:rsidTr="00EA00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shd w:val="clear" w:color="auto" w:fill="3E018E"/>
          </w:tcPr>
          <w:p w14:paraId="77F195DB" w14:textId="77777777" w:rsidR="00657139" w:rsidRPr="000855EF" w:rsidRDefault="00657139" w:rsidP="00EA00D3">
            <w:pPr>
              <w:pStyle w:val="Body"/>
              <w:spacing w:before="120" w:after="120"/>
              <w:rPr>
                <w:b w:val="0"/>
                <w:bCs w:val="0"/>
                <w:color w:val="FFFFFF" w:themeColor="background1"/>
              </w:rPr>
            </w:pPr>
            <w:r>
              <w:rPr>
                <w:color w:val="FFFFFF" w:themeColor="background1"/>
              </w:rPr>
              <w:t>Stage</w:t>
            </w:r>
          </w:p>
        </w:tc>
        <w:tc>
          <w:tcPr>
            <w:tcW w:w="8221" w:type="dxa"/>
            <w:shd w:val="clear" w:color="auto" w:fill="3E018E"/>
          </w:tcPr>
          <w:p w14:paraId="0A0ED88A" w14:textId="77777777" w:rsidR="00657139" w:rsidRPr="000855EF" w:rsidRDefault="00657139" w:rsidP="00EA00D3">
            <w:pPr>
              <w:pStyle w:val="Body"/>
              <w:spacing w:before="120" w:after="120"/>
              <w:cnfStyle w:val="100000000000" w:firstRow="1" w:lastRow="0" w:firstColumn="0" w:lastColumn="0" w:oddVBand="0" w:evenVBand="0" w:oddHBand="0" w:evenHBand="0" w:firstRowFirstColumn="0" w:firstRowLastColumn="0" w:lastRowFirstColumn="0" w:lastRowLastColumn="0"/>
              <w:rPr>
                <w:b w:val="0"/>
                <w:bCs w:val="0"/>
                <w:color w:val="FFFFFF" w:themeColor="background1"/>
              </w:rPr>
            </w:pPr>
            <w:r>
              <w:rPr>
                <w:color w:val="FFFFFF" w:themeColor="background1"/>
              </w:rPr>
              <w:t>Actions</w:t>
            </w:r>
          </w:p>
        </w:tc>
      </w:tr>
      <w:tr w:rsidR="00657139" w:rsidRPr="00D16793" w14:paraId="4F7AD207" w14:textId="77777777" w:rsidTr="00EA00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shd w:val="clear" w:color="auto" w:fill="EAE5E2"/>
          </w:tcPr>
          <w:p w14:paraId="6F06391E" w14:textId="77777777" w:rsidR="00657139" w:rsidRPr="00D16793" w:rsidRDefault="00657139" w:rsidP="00EA00D3">
            <w:pPr>
              <w:pStyle w:val="Body"/>
              <w:spacing w:before="120" w:after="120"/>
            </w:pPr>
            <w:r>
              <w:t>Pre-contract</w:t>
            </w:r>
          </w:p>
        </w:tc>
        <w:tc>
          <w:tcPr>
            <w:tcW w:w="8221" w:type="dxa"/>
            <w:shd w:val="clear" w:color="auto" w:fill="EAE5E2"/>
          </w:tcPr>
          <w:p w14:paraId="5CCA1454" w14:textId="288D929F" w:rsidR="00F4753A" w:rsidRPr="00D16793" w:rsidRDefault="00AE0DFD" w:rsidP="00C12137">
            <w:pPr>
              <w:pStyle w:val="Body"/>
              <w:numPr>
                <w:ilvl w:val="0"/>
                <w:numId w:val="21"/>
              </w:numPr>
              <w:spacing w:before="120" w:after="120"/>
              <w:ind w:left="455"/>
              <w:cnfStyle w:val="000000100000" w:firstRow="0" w:lastRow="0" w:firstColumn="0" w:lastColumn="0" w:oddVBand="0" w:evenVBand="0" w:oddHBand="1" w:evenHBand="0" w:firstRowFirstColumn="0" w:firstRowLastColumn="0" w:lastRowFirstColumn="0" w:lastRowLastColumn="0"/>
            </w:pPr>
            <w:r>
              <w:t>Consider the volume, sensitivity and BIL rating of the Input Data you are providing to the CSP</w:t>
            </w:r>
            <w:r w:rsidR="00C12137">
              <w:t xml:space="preserve"> and if you should work </w:t>
            </w:r>
            <w:r w:rsidR="00035CFC">
              <w:t xml:space="preserve">with </w:t>
            </w:r>
            <w:r w:rsidR="00B50ED1">
              <w:t xml:space="preserve">a data analytics expert to </w:t>
            </w:r>
            <w:r w:rsidR="00CF5E15">
              <w:t>determine</w:t>
            </w:r>
            <w:r w:rsidR="00B50ED1">
              <w:t xml:space="preserve"> whether a best practice framework </w:t>
            </w:r>
            <w:r w:rsidR="004D28C7">
              <w:t xml:space="preserve">(such as Five Safes) </w:t>
            </w:r>
            <w:r w:rsidR="00E6178F">
              <w:t>should be applied</w:t>
            </w:r>
            <w:r w:rsidR="00B50ED1">
              <w:t>.</w:t>
            </w:r>
          </w:p>
        </w:tc>
      </w:tr>
      <w:tr w:rsidR="00657139" w:rsidRPr="00D16793" w14:paraId="4586E9AC" w14:textId="77777777" w:rsidTr="00EA00D3">
        <w:tc>
          <w:tcPr>
            <w:cnfStyle w:val="001000000000" w:firstRow="0" w:lastRow="0" w:firstColumn="1" w:lastColumn="0" w:oddVBand="0" w:evenVBand="0" w:oddHBand="0" w:evenHBand="0" w:firstRowFirstColumn="0" w:firstRowLastColumn="0" w:lastRowFirstColumn="0" w:lastRowLastColumn="0"/>
            <w:tcW w:w="1530" w:type="dxa"/>
            <w:shd w:val="clear" w:color="auto" w:fill="EAE5E2"/>
          </w:tcPr>
          <w:p w14:paraId="35D82585" w14:textId="77777777" w:rsidR="00657139" w:rsidRPr="00D16793" w:rsidRDefault="00657139" w:rsidP="00EA00D3">
            <w:pPr>
              <w:pStyle w:val="Body"/>
              <w:spacing w:before="120" w:after="120"/>
            </w:pPr>
            <w:r>
              <w:t>Contract terms</w:t>
            </w:r>
          </w:p>
        </w:tc>
        <w:tc>
          <w:tcPr>
            <w:tcW w:w="8221" w:type="dxa"/>
            <w:shd w:val="clear" w:color="auto" w:fill="EAE5E2"/>
          </w:tcPr>
          <w:p w14:paraId="40242407" w14:textId="1F8B61EB" w:rsidR="00657139" w:rsidRPr="00D16793" w:rsidRDefault="0063062E" w:rsidP="0063062E">
            <w:pPr>
              <w:pStyle w:val="Body"/>
              <w:numPr>
                <w:ilvl w:val="0"/>
                <w:numId w:val="21"/>
              </w:numPr>
              <w:spacing w:before="120" w:after="120"/>
              <w:ind w:left="455"/>
              <w:cnfStyle w:val="000000000000" w:firstRow="0" w:lastRow="0" w:firstColumn="0" w:lastColumn="0" w:oddVBand="0" w:evenVBand="0" w:oddHBand="0" w:evenHBand="0" w:firstRowFirstColumn="0" w:firstRowLastColumn="0" w:lastRowFirstColumn="0" w:lastRowLastColumn="0"/>
            </w:pPr>
            <w:r>
              <w:t>The CSP should contractually commit to implementing any agreed actions arising out of your discussion with them.</w:t>
            </w:r>
          </w:p>
        </w:tc>
      </w:tr>
      <w:tr w:rsidR="00657139" w:rsidRPr="00D16793" w14:paraId="3CB8D24C" w14:textId="77777777" w:rsidTr="00EA00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shd w:val="clear" w:color="auto" w:fill="EAE5E2"/>
          </w:tcPr>
          <w:p w14:paraId="63BF501C" w14:textId="77777777" w:rsidR="00657139" w:rsidRDefault="00657139" w:rsidP="00EA00D3">
            <w:pPr>
              <w:pStyle w:val="Body"/>
              <w:spacing w:before="120" w:after="120"/>
            </w:pPr>
            <w:r>
              <w:t>Operational phase</w:t>
            </w:r>
          </w:p>
        </w:tc>
        <w:tc>
          <w:tcPr>
            <w:tcW w:w="8221" w:type="dxa"/>
            <w:shd w:val="clear" w:color="auto" w:fill="EAE5E2"/>
          </w:tcPr>
          <w:p w14:paraId="28F1DC60" w14:textId="7B67553C" w:rsidR="00522057" w:rsidRDefault="007F6DF8" w:rsidP="00EA00D3">
            <w:pPr>
              <w:pStyle w:val="Body"/>
              <w:numPr>
                <w:ilvl w:val="0"/>
                <w:numId w:val="21"/>
              </w:numPr>
              <w:spacing w:before="120" w:after="120"/>
              <w:ind w:left="455"/>
              <w:cnfStyle w:val="000000100000" w:firstRow="0" w:lastRow="0" w:firstColumn="0" w:lastColumn="0" w:oddVBand="0" w:evenVBand="0" w:oddHBand="1" w:evenHBand="0" w:firstRowFirstColumn="0" w:firstRowLastColumn="0" w:lastRowFirstColumn="0" w:lastRowLastColumn="0"/>
            </w:pPr>
            <w:r>
              <w:t>Monitor the CSP's compliance with the agreed actions using the assurance mechanisms in the contract (</w:t>
            </w:r>
            <w:proofErr w:type="gramStart"/>
            <w:r>
              <w:t>e.g.</w:t>
            </w:r>
            <w:proofErr w:type="gramEnd"/>
            <w:r>
              <w:t xml:space="preserve"> project steering meetings / audit processes)</w:t>
            </w:r>
            <w:r w:rsidR="00BF6D05">
              <w:t>; and</w:t>
            </w:r>
          </w:p>
          <w:p w14:paraId="3D714034" w14:textId="7E1DB4D0" w:rsidR="00657139" w:rsidRPr="00D16793" w:rsidRDefault="006239B5" w:rsidP="006239B5">
            <w:pPr>
              <w:pStyle w:val="Body"/>
              <w:numPr>
                <w:ilvl w:val="0"/>
                <w:numId w:val="21"/>
              </w:numPr>
              <w:spacing w:before="120" w:after="120"/>
              <w:ind w:left="455"/>
              <w:cnfStyle w:val="000000100000" w:firstRow="0" w:lastRow="0" w:firstColumn="0" w:lastColumn="0" w:oddVBand="0" w:evenVBand="0" w:oddHBand="1" w:evenHBand="0" w:firstRowFirstColumn="0" w:firstRowLastColumn="0" w:lastRowFirstColumn="0" w:lastRowLastColumn="0"/>
            </w:pPr>
            <w:r>
              <w:lastRenderedPageBreak/>
              <w:t>C</w:t>
            </w:r>
            <w:r w:rsidR="001B069C">
              <w:t xml:space="preserve">heck the quality of the </w:t>
            </w:r>
            <w:r>
              <w:t>D</w:t>
            </w:r>
            <w:r w:rsidR="001B069C">
              <w:t xml:space="preserve">ata </w:t>
            </w:r>
            <w:r>
              <w:t xml:space="preserve">Outputs that you receive from the CSP, to ensure that </w:t>
            </w:r>
            <w:r w:rsidR="00A2039B">
              <w:t xml:space="preserve">they are accurate and </w:t>
            </w:r>
            <w:r>
              <w:t xml:space="preserve">complete before you put them to operational use.  </w:t>
            </w:r>
          </w:p>
        </w:tc>
      </w:tr>
    </w:tbl>
    <w:p w14:paraId="5C7F8D7E" w14:textId="13207AAA" w:rsidR="00657139" w:rsidRDefault="00657139" w:rsidP="00ED4B60">
      <w:pPr>
        <w:pStyle w:val="SectionHeading1"/>
        <w:jc w:val="both"/>
      </w:pPr>
    </w:p>
    <w:p w14:paraId="2A478F09" w14:textId="5EBA9705" w:rsidR="00657139" w:rsidRPr="00EE260C" w:rsidRDefault="00657139" w:rsidP="00657139">
      <w:pPr>
        <w:pStyle w:val="Body"/>
        <w:rPr>
          <w:b/>
        </w:rPr>
      </w:pPr>
      <w:r>
        <w:rPr>
          <w:b/>
        </w:rPr>
        <w:t xml:space="preserve">Risk 4: </w:t>
      </w:r>
      <w:r w:rsidR="0047487A" w:rsidRPr="0047487A">
        <w:rPr>
          <w:b/>
        </w:rPr>
        <w:t xml:space="preserve">The </w:t>
      </w:r>
      <w:r w:rsidR="0047487A">
        <w:rPr>
          <w:b/>
        </w:rPr>
        <w:t>CSP</w:t>
      </w:r>
      <w:r w:rsidR="0047487A" w:rsidRPr="0047487A">
        <w:rPr>
          <w:b/>
        </w:rPr>
        <w:t xml:space="preserve"> may not be adequately prepared </w:t>
      </w:r>
      <w:r w:rsidR="0047487A">
        <w:rPr>
          <w:b/>
        </w:rPr>
        <w:t>for</w:t>
      </w:r>
      <w:r w:rsidR="0047487A" w:rsidRPr="0047487A">
        <w:rPr>
          <w:b/>
        </w:rPr>
        <w:t xml:space="preserve"> a data breach</w:t>
      </w:r>
    </w:p>
    <w:p w14:paraId="16471507" w14:textId="77777777" w:rsidR="00657139" w:rsidRPr="00F50518" w:rsidRDefault="00657139" w:rsidP="00657139">
      <w:pPr>
        <w:pStyle w:val="Body"/>
        <w:rPr>
          <w:b/>
          <w:i/>
        </w:rPr>
      </w:pPr>
      <w:r w:rsidRPr="00F50518">
        <w:rPr>
          <w:b/>
          <w:i/>
        </w:rPr>
        <w:t>Description of risk</w:t>
      </w:r>
    </w:p>
    <w:p w14:paraId="1DEC20FC" w14:textId="463DE1D9" w:rsidR="00F96764" w:rsidRDefault="00F96764" w:rsidP="00F96764">
      <w:pPr>
        <w:pStyle w:val="Body"/>
      </w:pPr>
      <w:r>
        <w:t xml:space="preserve">Under the VPDSS, your Organisation is required to notify OVIC of any data breach involving public sector data with a BIL of </w:t>
      </w:r>
      <w:r w:rsidRPr="007B007F">
        <w:t>level 2 ("Limited") or higher</w:t>
      </w:r>
      <w:r>
        <w:t xml:space="preserve">. </w:t>
      </w:r>
      <w:r w:rsidR="004A1515">
        <w:t>D</w:t>
      </w:r>
      <w:r>
        <w:t>ata has a BIL of level 2 if the data breach would cause even "</w:t>
      </w:r>
      <w:r w:rsidR="00471D65">
        <w:rPr>
          <w:b/>
          <w:i/>
        </w:rPr>
        <w:t>limited</w:t>
      </w:r>
      <w:r w:rsidRPr="007B007F">
        <w:rPr>
          <w:i/>
        </w:rPr>
        <w:t xml:space="preserve"> harm/damage to government operations, organisations or individuals</w:t>
      </w:r>
      <w:r>
        <w:t>"</w:t>
      </w:r>
      <w:r>
        <w:rPr>
          <w:rStyle w:val="FootnoteReference"/>
        </w:rPr>
        <w:footnoteReference w:id="2"/>
      </w:r>
      <w:r>
        <w:t>.</w:t>
      </w:r>
    </w:p>
    <w:p w14:paraId="3FFE6F55" w14:textId="69823B96" w:rsidR="00657139" w:rsidRDefault="004A1515" w:rsidP="00F96764">
      <w:pPr>
        <w:pStyle w:val="Body"/>
      </w:pPr>
      <w:r>
        <w:t xml:space="preserve">While </w:t>
      </w:r>
      <w:r w:rsidR="00AD1DF2">
        <w:t xml:space="preserve">the CSP </w:t>
      </w:r>
      <w:r>
        <w:t xml:space="preserve">holds </w:t>
      </w:r>
      <w:r w:rsidR="00AD1DF2">
        <w:t xml:space="preserve">the Input Data </w:t>
      </w:r>
      <w:r w:rsidR="00CE0AEA">
        <w:t xml:space="preserve">and </w:t>
      </w:r>
      <w:r w:rsidR="00AD1DF2">
        <w:t>conducts the analysis</w:t>
      </w:r>
      <w:r w:rsidR="00F96764">
        <w:t xml:space="preserve">, you </w:t>
      </w:r>
      <w:r>
        <w:t xml:space="preserve">must </w:t>
      </w:r>
      <w:r w:rsidR="00F96764">
        <w:t>ensure that the CSP has adequate measures in place to prepare for, detect</w:t>
      </w:r>
      <w:r w:rsidR="00CE0AEA">
        <w:t>,</w:t>
      </w:r>
      <w:r w:rsidR="00F96764">
        <w:t xml:space="preserve"> and prevent data breaches. The CSP should be ready to respond if a data breach does </w:t>
      </w:r>
      <w:proofErr w:type="gramStart"/>
      <w:r w:rsidR="00F96764">
        <w:t>occur, and</w:t>
      </w:r>
      <w:proofErr w:type="gramEnd"/>
      <w:r w:rsidR="00F96764">
        <w:t xml:space="preserve"> should use reasonable technical and operational measures to mitigate the impact of any such data breach. Your Organisation should assess the CSP's level of data breach readiness as part of your information security due diligence</w:t>
      </w:r>
      <w:r>
        <w:t xml:space="preserve"> and procurement</w:t>
      </w:r>
      <w:r w:rsidR="00F96764">
        <w:t xml:space="preserve">.  </w:t>
      </w:r>
    </w:p>
    <w:p w14:paraId="1F01D5CA" w14:textId="382B6522" w:rsidR="00657139" w:rsidRDefault="00657139" w:rsidP="00657139">
      <w:pPr>
        <w:pStyle w:val="Body"/>
      </w:pPr>
      <w:r w:rsidRPr="001158AF">
        <w:t>(</w:t>
      </w:r>
      <w:r w:rsidR="00E966CA" w:rsidRPr="00B03C8A">
        <w:rPr>
          <w:i/>
        </w:rPr>
        <w:t>Key PDP Act references: IPP 4.1; VPDSS 6</w:t>
      </w:r>
      <w:r w:rsidR="00E966CA">
        <w:rPr>
          <w:i/>
        </w:rPr>
        <w:t>, 9 and 11</w:t>
      </w:r>
      <w:r w:rsidRPr="001158AF">
        <w:t>)</w:t>
      </w:r>
    </w:p>
    <w:p w14:paraId="24736BEB" w14:textId="77777777" w:rsidR="00657139" w:rsidRPr="00F50518" w:rsidRDefault="00657139" w:rsidP="00657139">
      <w:pPr>
        <w:pStyle w:val="Body"/>
        <w:rPr>
          <w:b/>
          <w:i/>
        </w:rPr>
      </w:pPr>
      <w:r>
        <w:rPr>
          <w:b/>
          <w:i/>
        </w:rPr>
        <w:t>M</w:t>
      </w:r>
      <w:r w:rsidRPr="00F50518">
        <w:rPr>
          <w:b/>
          <w:i/>
        </w:rPr>
        <w:t>itigation strategies:</w:t>
      </w:r>
    </w:p>
    <w:tbl>
      <w:tblPr>
        <w:tblStyle w:val="PlainTable11"/>
        <w:tblW w:w="9751"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EAE5E2"/>
        <w:tblLook w:val="04A0" w:firstRow="1" w:lastRow="0" w:firstColumn="1" w:lastColumn="0" w:noHBand="0" w:noVBand="1"/>
      </w:tblPr>
      <w:tblGrid>
        <w:gridCol w:w="1530"/>
        <w:gridCol w:w="8221"/>
      </w:tblGrid>
      <w:tr w:rsidR="00657139" w:rsidRPr="000855EF" w14:paraId="25CD5DEA" w14:textId="77777777" w:rsidTr="00EA00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shd w:val="clear" w:color="auto" w:fill="3E018E"/>
          </w:tcPr>
          <w:p w14:paraId="7AFFDF6C" w14:textId="77777777" w:rsidR="00657139" w:rsidRPr="000855EF" w:rsidRDefault="00657139" w:rsidP="00EA00D3">
            <w:pPr>
              <w:pStyle w:val="Body"/>
              <w:spacing w:before="120" w:after="120"/>
              <w:rPr>
                <w:b w:val="0"/>
                <w:bCs w:val="0"/>
                <w:color w:val="FFFFFF" w:themeColor="background1"/>
              </w:rPr>
            </w:pPr>
            <w:r>
              <w:rPr>
                <w:color w:val="FFFFFF" w:themeColor="background1"/>
              </w:rPr>
              <w:t>Stage</w:t>
            </w:r>
          </w:p>
        </w:tc>
        <w:tc>
          <w:tcPr>
            <w:tcW w:w="8221" w:type="dxa"/>
            <w:shd w:val="clear" w:color="auto" w:fill="3E018E"/>
          </w:tcPr>
          <w:p w14:paraId="452B3642" w14:textId="77777777" w:rsidR="00657139" w:rsidRPr="000855EF" w:rsidRDefault="00657139" w:rsidP="00EA00D3">
            <w:pPr>
              <w:pStyle w:val="Body"/>
              <w:spacing w:before="120" w:after="120"/>
              <w:cnfStyle w:val="100000000000" w:firstRow="1" w:lastRow="0" w:firstColumn="0" w:lastColumn="0" w:oddVBand="0" w:evenVBand="0" w:oddHBand="0" w:evenHBand="0" w:firstRowFirstColumn="0" w:firstRowLastColumn="0" w:lastRowFirstColumn="0" w:lastRowLastColumn="0"/>
              <w:rPr>
                <w:b w:val="0"/>
                <w:bCs w:val="0"/>
                <w:color w:val="FFFFFF" w:themeColor="background1"/>
              </w:rPr>
            </w:pPr>
            <w:r>
              <w:rPr>
                <w:color w:val="FFFFFF" w:themeColor="background1"/>
              </w:rPr>
              <w:t>Actions</w:t>
            </w:r>
          </w:p>
        </w:tc>
      </w:tr>
      <w:tr w:rsidR="00657139" w:rsidRPr="00D16793" w14:paraId="5887145C" w14:textId="77777777" w:rsidTr="00EA00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shd w:val="clear" w:color="auto" w:fill="EAE5E2"/>
          </w:tcPr>
          <w:p w14:paraId="5298AEFA" w14:textId="77777777" w:rsidR="00657139" w:rsidRPr="00D16793" w:rsidRDefault="00657139" w:rsidP="00EA00D3">
            <w:pPr>
              <w:pStyle w:val="Body"/>
              <w:spacing w:before="120" w:after="120"/>
            </w:pPr>
            <w:r>
              <w:t>Pre-contract</w:t>
            </w:r>
          </w:p>
        </w:tc>
        <w:tc>
          <w:tcPr>
            <w:tcW w:w="8221" w:type="dxa"/>
            <w:shd w:val="clear" w:color="auto" w:fill="EAE5E2"/>
          </w:tcPr>
          <w:p w14:paraId="467D85E9" w14:textId="47D3C694" w:rsidR="00657139" w:rsidRPr="00D16793" w:rsidRDefault="004A1515" w:rsidP="004A1515">
            <w:pPr>
              <w:pStyle w:val="Body"/>
              <w:numPr>
                <w:ilvl w:val="0"/>
                <w:numId w:val="21"/>
              </w:numPr>
              <w:spacing w:before="120" w:after="120"/>
              <w:ind w:left="455"/>
              <w:cnfStyle w:val="000000100000" w:firstRow="0" w:lastRow="0" w:firstColumn="0" w:lastColumn="0" w:oddVBand="0" w:evenVBand="0" w:oddHBand="1" w:evenHBand="0" w:firstRowFirstColumn="0" w:firstRowLastColumn="0" w:lastRowFirstColumn="0" w:lastRowLastColumn="0"/>
            </w:pPr>
            <w:r>
              <w:t>Assess the CSP's data breach readiness w</w:t>
            </w:r>
            <w:r w:rsidR="00EB11A0">
              <w:t>ith your IT and information security team</w:t>
            </w:r>
            <w:r w:rsidR="000B572C">
              <w:t>s</w:t>
            </w:r>
            <w:r>
              <w:t xml:space="preserve"> including </w:t>
            </w:r>
            <w:r w:rsidR="00EB11A0">
              <w:t xml:space="preserve">whether the CSP </w:t>
            </w:r>
            <w:r>
              <w:t xml:space="preserve">uses </w:t>
            </w:r>
            <w:r w:rsidR="00EB11A0">
              <w:t>appropriate technical measures to mitigate the impact of a potential breach (</w:t>
            </w:r>
            <w:r>
              <w:t>for example,</w:t>
            </w:r>
            <w:r w:rsidR="00EB11A0">
              <w:t xml:space="preserve"> encrypting data in transit and at rest, and using appropriate data / application segregation techniques).</w:t>
            </w:r>
          </w:p>
        </w:tc>
      </w:tr>
      <w:tr w:rsidR="00657139" w:rsidRPr="00D16793" w14:paraId="6D54D3FA" w14:textId="77777777" w:rsidTr="00EA00D3">
        <w:tc>
          <w:tcPr>
            <w:cnfStyle w:val="001000000000" w:firstRow="0" w:lastRow="0" w:firstColumn="1" w:lastColumn="0" w:oddVBand="0" w:evenVBand="0" w:oddHBand="0" w:evenHBand="0" w:firstRowFirstColumn="0" w:firstRowLastColumn="0" w:lastRowFirstColumn="0" w:lastRowLastColumn="0"/>
            <w:tcW w:w="1530" w:type="dxa"/>
            <w:shd w:val="clear" w:color="auto" w:fill="EAE5E2"/>
          </w:tcPr>
          <w:p w14:paraId="5124E9A8" w14:textId="77777777" w:rsidR="00657139" w:rsidRPr="00D16793" w:rsidRDefault="00657139" w:rsidP="00EA00D3">
            <w:pPr>
              <w:pStyle w:val="Body"/>
              <w:spacing w:before="120" w:after="120"/>
            </w:pPr>
            <w:r>
              <w:t>Contract terms</w:t>
            </w:r>
          </w:p>
        </w:tc>
        <w:tc>
          <w:tcPr>
            <w:tcW w:w="8221" w:type="dxa"/>
            <w:shd w:val="clear" w:color="auto" w:fill="EAE5E2"/>
          </w:tcPr>
          <w:p w14:paraId="27691FE1" w14:textId="4434E832" w:rsidR="00EB11A0" w:rsidRDefault="00EB11A0" w:rsidP="00EB11A0">
            <w:pPr>
              <w:pStyle w:val="Body"/>
              <w:numPr>
                <w:ilvl w:val="0"/>
                <w:numId w:val="21"/>
              </w:numPr>
              <w:spacing w:before="120" w:after="120"/>
              <w:ind w:left="455"/>
              <w:cnfStyle w:val="000000000000" w:firstRow="0" w:lastRow="0" w:firstColumn="0" w:lastColumn="0" w:oddVBand="0" w:evenVBand="0" w:oddHBand="0" w:evenHBand="0" w:firstRowFirstColumn="0" w:firstRowLastColumn="0" w:lastRowFirstColumn="0" w:lastRowLastColumn="0"/>
            </w:pPr>
            <w:r>
              <w:t xml:space="preserve">The CSP </w:t>
            </w:r>
            <w:r w:rsidR="004A1515">
              <w:t xml:space="preserve">must </w:t>
            </w:r>
            <w:r>
              <w:t>implement</w:t>
            </w:r>
            <w:r w:rsidRPr="007163D0">
              <w:t xml:space="preserve"> suitable practices, procedures and technological measures to</w:t>
            </w:r>
            <w:r>
              <w:t xml:space="preserve"> </w:t>
            </w:r>
            <w:r w:rsidRPr="007163D0">
              <w:t>detect, prevent</w:t>
            </w:r>
            <w:r w:rsidR="00625363">
              <w:t>,</w:t>
            </w:r>
            <w:r w:rsidRPr="007163D0">
              <w:t xml:space="preserve"> and mitigate </w:t>
            </w:r>
            <w:r>
              <w:t xml:space="preserve">security </w:t>
            </w:r>
            <w:proofErr w:type="gramStart"/>
            <w:r>
              <w:t>incidents</w:t>
            </w:r>
            <w:r w:rsidR="00BF6D05">
              <w:t>;</w:t>
            </w:r>
            <w:proofErr w:type="gramEnd"/>
          </w:p>
          <w:p w14:paraId="06F8D4A8" w14:textId="3CBCA5EC" w:rsidR="00EB11A0" w:rsidRDefault="00EB11A0" w:rsidP="00EB11A0">
            <w:pPr>
              <w:pStyle w:val="Body"/>
              <w:numPr>
                <w:ilvl w:val="0"/>
                <w:numId w:val="21"/>
              </w:numPr>
              <w:spacing w:before="120" w:after="120"/>
              <w:ind w:left="455"/>
              <w:cnfStyle w:val="000000000000" w:firstRow="0" w:lastRow="0" w:firstColumn="0" w:lastColumn="0" w:oddVBand="0" w:evenVBand="0" w:oddHBand="0" w:evenHBand="0" w:firstRowFirstColumn="0" w:firstRowLastColumn="0" w:lastRowFirstColumn="0" w:lastRowLastColumn="0"/>
            </w:pPr>
            <w:r>
              <w:t xml:space="preserve">The CSP </w:t>
            </w:r>
            <w:r w:rsidR="004A1515">
              <w:t xml:space="preserve">must </w:t>
            </w:r>
            <w:r>
              <w:t>notify you of suspected or confirmed data breaches, and comply with your Organisation's incident response policies</w:t>
            </w:r>
            <w:r w:rsidR="00BF6D05">
              <w:t>; and</w:t>
            </w:r>
          </w:p>
          <w:p w14:paraId="1024C2E0" w14:textId="0B8D89BA" w:rsidR="00657139" w:rsidRPr="00D16793" w:rsidRDefault="00EB11A0" w:rsidP="00EB11A0">
            <w:pPr>
              <w:pStyle w:val="Body"/>
              <w:numPr>
                <w:ilvl w:val="0"/>
                <w:numId w:val="21"/>
              </w:numPr>
              <w:spacing w:before="120" w:after="120"/>
              <w:ind w:left="455"/>
              <w:cnfStyle w:val="000000000000" w:firstRow="0" w:lastRow="0" w:firstColumn="0" w:lastColumn="0" w:oddVBand="0" w:evenVBand="0" w:oddHBand="0" w:evenHBand="0" w:firstRowFirstColumn="0" w:firstRowLastColumn="0" w:lastRowFirstColumn="0" w:lastRowLastColumn="0"/>
            </w:pPr>
            <w:r>
              <w:t xml:space="preserve">The CSP </w:t>
            </w:r>
            <w:r w:rsidR="004A1515">
              <w:t xml:space="preserve">must </w:t>
            </w:r>
            <w:r>
              <w:t>investigate and remediate all data breaches, and co-operate with your Organisation on the data breach response (including any regulatory notifications).</w:t>
            </w:r>
          </w:p>
        </w:tc>
      </w:tr>
      <w:tr w:rsidR="00657139" w:rsidRPr="00D16793" w14:paraId="55AD9F09" w14:textId="77777777" w:rsidTr="00EA00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shd w:val="clear" w:color="auto" w:fill="EAE5E2"/>
          </w:tcPr>
          <w:p w14:paraId="6A551E65" w14:textId="77777777" w:rsidR="00657139" w:rsidRDefault="00657139" w:rsidP="00EA00D3">
            <w:pPr>
              <w:pStyle w:val="Body"/>
              <w:spacing w:before="120" w:after="120"/>
            </w:pPr>
            <w:r>
              <w:t>Operational phase</w:t>
            </w:r>
          </w:p>
        </w:tc>
        <w:tc>
          <w:tcPr>
            <w:tcW w:w="8221" w:type="dxa"/>
            <w:shd w:val="clear" w:color="auto" w:fill="EAE5E2"/>
          </w:tcPr>
          <w:p w14:paraId="66D694CC" w14:textId="2C362DD2" w:rsidR="00EB11A0" w:rsidRDefault="00EB11A0" w:rsidP="00EB11A0">
            <w:pPr>
              <w:pStyle w:val="Body"/>
              <w:numPr>
                <w:ilvl w:val="0"/>
                <w:numId w:val="21"/>
              </w:numPr>
              <w:spacing w:before="120" w:after="120"/>
              <w:ind w:left="455"/>
              <w:cnfStyle w:val="000000100000" w:firstRow="0" w:lastRow="0" w:firstColumn="0" w:lastColumn="0" w:oddVBand="0" w:evenVBand="0" w:oddHBand="1" w:evenHBand="0" w:firstRowFirstColumn="0" w:firstRowLastColumn="0" w:lastRowFirstColumn="0" w:lastRowLastColumn="0"/>
            </w:pPr>
            <w:r>
              <w:t>Monitor and periodically audit the CSP's compliance with the data security using the assurance mechanisms in the contract (</w:t>
            </w:r>
            <w:proofErr w:type="gramStart"/>
            <w:r>
              <w:t>e.g.</w:t>
            </w:r>
            <w:proofErr w:type="gramEnd"/>
            <w:r>
              <w:t xml:space="preserve"> certification / audit / stress test)</w:t>
            </w:r>
            <w:r w:rsidR="00BF6D05">
              <w:t>; and</w:t>
            </w:r>
          </w:p>
          <w:p w14:paraId="5E7BFD34" w14:textId="511734BE" w:rsidR="00657139" w:rsidRPr="00D16793" w:rsidRDefault="00EB11A0" w:rsidP="00EB11A0">
            <w:pPr>
              <w:pStyle w:val="Body"/>
              <w:numPr>
                <w:ilvl w:val="0"/>
                <w:numId w:val="21"/>
              </w:numPr>
              <w:spacing w:before="120" w:after="120"/>
              <w:ind w:left="455"/>
              <w:cnfStyle w:val="000000100000" w:firstRow="0" w:lastRow="0" w:firstColumn="0" w:lastColumn="0" w:oddVBand="0" w:evenVBand="0" w:oddHBand="1" w:evenHBand="0" w:firstRowFirstColumn="0" w:firstRowLastColumn="0" w:lastRowFirstColumn="0" w:lastRowLastColumn="0"/>
            </w:pPr>
            <w:r>
              <w:t>Ensure that your team is aware of your Organisation's data breach response plan and the relevant contacts in your Organisation's IT and information security teams.</w:t>
            </w:r>
          </w:p>
        </w:tc>
      </w:tr>
    </w:tbl>
    <w:p w14:paraId="600E93C3" w14:textId="28487718" w:rsidR="00657139" w:rsidRDefault="00657139" w:rsidP="00ED4B60">
      <w:pPr>
        <w:pStyle w:val="SectionHeading1"/>
        <w:jc w:val="both"/>
      </w:pPr>
    </w:p>
    <w:p w14:paraId="49371AA9" w14:textId="7740CAEC" w:rsidR="00657139" w:rsidRPr="00EE260C" w:rsidRDefault="00657139" w:rsidP="00CE4996">
      <w:pPr>
        <w:pStyle w:val="Body"/>
        <w:keepNext/>
        <w:rPr>
          <w:b/>
        </w:rPr>
      </w:pPr>
      <w:r>
        <w:rPr>
          <w:b/>
        </w:rPr>
        <w:lastRenderedPageBreak/>
        <w:t xml:space="preserve">Risk 5: </w:t>
      </w:r>
      <w:r w:rsidR="008042A5">
        <w:rPr>
          <w:b/>
        </w:rPr>
        <w:t xml:space="preserve">The </w:t>
      </w:r>
      <w:r w:rsidR="00EA23E6" w:rsidRPr="00EA23E6">
        <w:rPr>
          <w:b/>
        </w:rPr>
        <w:t xml:space="preserve">Data </w:t>
      </w:r>
      <w:r w:rsidR="00EA23E6">
        <w:rPr>
          <w:b/>
        </w:rPr>
        <w:t>O</w:t>
      </w:r>
      <w:r w:rsidR="00EA23E6" w:rsidRPr="00EA23E6">
        <w:rPr>
          <w:b/>
        </w:rPr>
        <w:t xml:space="preserve">utputs may </w:t>
      </w:r>
      <w:r w:rsidR="00EA23E6">
        <w:rPr>
          <w:b/>
        </w:rPr>
        <w:t xml:space="preserve">not be properly </w:t>
      </w:r>
      <w:r w:rsidR="00BA55EF">
        <w:rPr>
          <w:b/>
        </w:rPr>
        <w:t>d</w:t>
      </w:r>
      <w:r w:rsidR="00EA23E6">
        <w:rPr>
          <w:b/>
        </w:rPr>
        <w:t>e-identified</w:t>
      </w:r>
    </w:p>
    <w:p w14:paraId="6206B184" w14:textId="77777777" w:rsidR="00657139" w:rsidRPr="00F50518" w:rsidRDefault="00657139" w:rsidP="00CE4996">
      <w:pPr>
        <w:pStyle w:val="Body"/>
        <w:keepNext/>
        <w:rPr>
          <w:b/>
          <w:i/>
        </w:rPr>
      </w:pPr>
      <w:r w:rsidRPr="00F50518">
        <w:rPr>
          <w:b/>
          <w:i/>
        </w:rPr>
        <w:t>Description of risk</w:t>
      </w:r>
    </w:p>
    <w:p w14:paraId="4AECB189" w14:textId="5A3EB93F" w:rsidR="005B1BF8" w:rsidRDefault="00AD1DF2" w:rsidP="00292327">
      <w:pPr>
        <w:pStyle w:val="Body"/>
      </w:pPr>
      <w:r>
        <w:t xml:space="preserve">In this scenario, </w:t>
      </w:r>
      <w:r w:rsidR="000C2F9C">
        <w:t>the Data Outputs</w:t>
      </w:r>
      <w:r w:rsidR="005D7421">
        <w:t xml:space="preserve"> </w:t>
      </w:r>
      <w:r w:rsidR="000C2F9C">
        <w:t xml:space="preserve">include statistical tables </w:t>
      </w:r>
      <w:r w:rsidR="007D0C3D">
        <w:t xml:space="preserve">(derived from the Input Data) </w:t>
      </w:r>
      <w:r w:rsidR="000C2F9C">
        <w:t>that your team intends to include in th</w:t>
      </w:r>
      <w:r w:rsidR="00251EAA">
        <w:t>e final, public-facing report.</w:t>
      </w:r>
      <w:r w:rsidR="00BE4E1B">
        <w:t xml:space="preserve"> </w:t>
      </w:r>
      <w:r w:rsidR="00292327">
        <w:t xml:space="preserve">Where </w:t>
      </w:r>
      <w:r w:rsidR="00D31442">
        <w:t xml:space="preserve">statistical tables are derived from personal information, there is </w:t>
      </w:r>
      <w:r w:rsidR="00F939C0">
        <w:t xml:space="preserve">a potential </w:t>
      </w:r>
      <w:r w:rsidR="00292327">
        <w:t>r</w:t>
      </w:r>
      <w:r w:rsidR="00D31442">
        <w:t xml:space="preserve">isk that the </w:t>
      </w:r>
      <w:r w:rsidR="00FC7673">
        <w:t>data</w:t>
      </w:r>
      <w:r w:rsidR="00D31442">
        <w:t xml:space="preserve"> in the tables could be </w:t>
      </w:r>
      <w:proofErr w:type="gramStart"/>
      <w:r w:rsidR="00D31442">
        <w:t>reverse-engineered</w:t>
      </w:r>
      <w:proofErr w:type="gramEnd"/>
      <w:r w:rsidR="00D31442">
        <w:t xml:space="preserve"> to </w:t>
      </w:r>
      <w:r w:rsidR="005B1BF8">
        <w:t>"</w:t>
      </w:r>
      <w:r w:rsidR="00D31442">
        <w:t>re-identify</w:t>
      </w:r>
      <w:r w:rsidR="005B1BF8">
        <w:t>"</w:t>
      </w:r>
      <w:r w:rsidR="00D31442">
        <w:t xml:space="preserve"> the relevant staff members.  </w:t>
      </w:r>
    </w:p>
    <w:p w14:paraId="35D4F2EA" w14:textId="35889806" w:rsidR="00657139" w:rsidRDefault="00D31442" w:rsidP="00BA6EE6">
      <w:pPr>
        <w:pStyle w:val="Body"/>
      </w:pPr>
      <w:r>
        <w:t xml:space="preserve">Recent advances in data science and technology have made it easier to re-identify </w:t>
      </w:r>
      <w:r w:rsidR="005B1BF8">
        <w:t>individuals</w:t>
      </w:r>
      <w:r w:rsidR="00743959">
        <w:t xml:space="preserve">, </w:t>
      </w:r>
      <w:r w:rsidR="002E5CCF">
        <w:t xml:space="preserve">particularly unit level data, </w:t>
      </w:r>
      <w:r w:rsidR="00743959">
        <w:t xml:space="preserve">even where there is only a </w:t>
      </w:r>
      <w:r w:rsidR="005B1BF8">
        <w:t xml:space="preserve">limited amount of starting data. </w:t>
      </w:r>
      <w:r w:rsidR="002E5CCF">
        <w:t>Consequently</w:t>
      </w:r>
      <w:r w:rsidR="005B1BF8">
        <w:t xml:space="preserve">, any statistics or data that </w:t>
      </w:r>
      <w:r w:rsidR="00707CE6">
        <w:t>you intend to make</w:t>
      </w:r>
      <w:r w:rsidR="005B1BF8">
        <w:t xml:space="preserve"> </w:t>
      </w:r>
      <w:r w:rsidR="00D52EF2">
        <w:t>publicly</w:t>
      </w:r>
      <w:r w:rsidR="005B1BF8">
        <w:t xml:space="preserve"> available should go through a </w:t>
      </w:r>
      <w:r w:rsidR="005B1BF8" w:rsidRPr="005B1BF8">
        <w:t>robust de-identification process</w:t>
      </w:r>
      <w:r w:rsidR="005B1BF8">
        <w:t xml:space="preserve"> to </w:t>
      </w:r>
      <w:r w:rsidR="0074557A">
        <w:t xml:space="preserve">ensure that individuals cannot </w:t>
      </w:r>
      <w:r w:rsidR="004431B6">
        <w:t xml:space="preserve">reasonably </w:t>
      </w:r>
      <w:r w:rsidR="0074557A">
        <w:t>be re-identified.</w:t>
      </w:r>
    </w:p>
    <w:p w14:paraId="5D97F724" w14:textId="543CE3A3" w:rsidR="00251EAA" w:rsidRDefault="00DA69C6" w:rsidP="00BA6EE6">
      <w:pPr>
        <w:pStyle w:val="Body"/>
      </w:pPr>
      <w:r>
        <w:t xml:space="preserve">Assessing and managing re-identification risk is a highly technical </w:t>
      </w:r>
      <w:r w:rsidR="00837115">
        <w:t>matter</w:t>
      </w:r>
      <w:r>
        <w:t xml:space="preserve">. </w:t>
      </w:r>
      <w:r w:rsidR="002E5CCF">
        <w:t>OVIC or a</w:t>
      </w:r>
      <w:r>
        <w:t xml:space="preserve"> Victorian Government data analytics expert, such as VCDI, can provide </w:t>
      </w:r>
      <w:r w:rsidR="00EE3B3B">
        <w:t xml:space="preserve">further </w:t>
      </w:r>
      <w:r>
        <w:t xml:space="preserve">advice </w:t>
      </w:r>
      <w:r w:rsidR="00706BB5">
        <w:t xml:space="preserve">about how you </w:t>
      </w:r>
      <w:r w:rsidR="00FC7673">
        <w:t xml:space="preserve">can </w:t>
      </w:r>
      <w:r w:rsidR="00EE5A94">
        <w:t>manage this risk.</w:t>
      </w:r>
    </w:p>
    <w:p w14:paraId="4577CC4E" w14:textId="570A48AF" w:rsidR="00657139" w:rsidRDefault="00657139" w:rsidP="00657139">
      <w:pPr>
        <w:pStyle w:val="Body"/>
      </w:pPr>
      <w:r w:rsidRPr="00384445">
        <w:t>(</w:t>
      </w:r>
      <w:r w:rsidRPr="00384445">
        <w:rPr>
          <w:i/>
        </w:rPr>
        <w:t xml:space="preserve">Key PDP Act references: IPP </w:t>
      </w:r>
      <w:r w:rsidR="00384445" w:rsidRPr="00384445">
        <w:rPr>
          <w:i/>
        </w:rPr>
        <w:t>2.1 and 4.1</w:t>
      </w:r>
      <w:r w:rsidRPr="00384445">
        <w:rPr>
          <w:i/>
        </w:rPr>
        <w:t xml:space="preserve">; VPDSS </w:t>
      </w:r>
      <w:r w:rsidR="00384445" w:rsidRPr="00384445">
        <w:rPr>
          <w:i/>
        </w:rPr>
        <w:t>2 and 3</w:t>
      </w:r>
      <w:r w:rsidRPr="00384445">
        <w:t>)</w:t>
      </w:r>
    </w:p>
    <w:p w14:paraId="1FE5A940" w14:textId="3E50E447" w:rsidR="00657139" w:rsidRPr="00F50518" w:rsidRDefault="00657139" w:rsidP="00657139">
      <w:pPr>
        <w:pStyle w:val="Body"/>
        <w:rPr>
          <w:b/>
          <w:i/>
        </w:rPr>
      </w:pPr>
      <w:r>
        <w:rPr>
          <w:b/>
          <w:i/>
        </w:rPr>
        <w:t>M</w:t>
      </w:r>
      <w:r w:rsidRPr="00F50518">
        <w:rPr>
          <w:b/>
          <w:i/>
        </w:rPr>
        <w:t>itigation strategies:</w:t>
      </w:r>
    </w:p>
    <w:tbl>
      <w:tblPr>
        <w:tblStyle w:val="PlainTable11"/>
        <w:tblW w:w="9751"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EAE5E2"/>
        <w:tblLook w:val="04A0" w:firstRow="1" w:lastRow="0" w:firstColumn="1" w:lastColumn="0" w:noHBand="0" w:noVBand="1"/>
      </w:tblPr>
      <w:tblGrid>
        <w:gridCol w:w="1530"/>
        <w:gridCol w:w="8221"/>
      </w:tblGrid>
      <w:tr w:rsidR="00657139" w:rsidRPr="000855EF" w14:paraId="79CC7ACA" w14:textId="77777777" w:rsidTr="00EA00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shd w:val="clear" w:color="auto" w:fill="3E018E"/>
          </w:tcPr>
          <w:p w14:paraId="489AB8B8" w14:textId="77777777" w:rsidR="00657139" w:rsidRPr="000855EF" w:rsidRDefault="00657139" w:rsidP="00EA00D3">
            <w:pPr>
              <w:pStyle w:val="Body"/>
              <w:spacing w:before="120" w:after="120"/>
              <w:rPr>
                <w:b w:val="0"/>
                <w:bCs w:val="0"/>
                <w:color w:val="FFFFFF" w:themeColor="background1"/>
              </w:rPr>
            </w:pPr>
            <w:r>
              <w:rPr>
                <w:color w:val="FFFFFF" w:themeColor="background1"/>
              </w:rPr>
              <w:t>Stage</w:t>
            </w:r>
          </w:p>
        </w:tc>
        <w:tc>
          <w:tcPr>
            <w:tcW w:w="8221" w:type="dxa"/>
            <w:shd w:val="clear" w:color="auto" w:fill="3E018E"/>
          </w:tcPr>
          <w:p w14:paraId="72AD34B8" w14:textId="77777777" w:rsidR="00657139" w:rsidRPr="000855EF" w:rsidRDefault="00657139" w:rsidP="00EA00D3">
            <w:pPr>
              <w:pStyle w:val="Body"/>
              <w:spacing w:before="120" w:after="120"/>
              <w:cnfStyle w:val="100000000000" w:firstRow="1" w:lastRow="0" w:firstColumn="0" w:lastColumn="0" w:oddVBand="0" w:evenVBand="0" w:oddHBand="0" w:evenHBand="0" w:firstRowFirstColumn="0" w:firstRowLastColumn="0" w:lastRowFirstColumn="0" w:lastRowLastColumn="0"/>
              <w:rPr>
                <w:b w:val="0"/>
                <w:bCs w:val="0"/>
                <w:color w:val="FFFFFF" w:themeColor="background1"/>
              </w:rPr>
            </w:pPr>
            <w:r>
              <w:rPr>
                <w:color w:val="FFFFFF" w:themeColor="background1"/>
              </w:rPr>
              <w:t>Actions</w:t>
            </w:r>
          </w:p>
        </w:tc>
      </w:tr>
      <w:tr w:rsidR="00657139" w:rsidRPr="00D16793" w14:paraId="3641E2BC" w14:textId="77777777" w:rsidTr="00EA00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shd w:val="clear" w:color="auto" w:fill="EAE5E2"/>
          </w:tcPr>
          <w:p w14:paraId="348F92A4" w14:textId="77777777" w:rsidR="00657139" w:rsidRPr="00D16793" w:rsidRDefault="00657139" w:rsidP="00EA00D3">
            <w:pPr>
              <w:pStyle w:val="Body"/>
              <w:spacing w:before="120" w:after="120"/>
            </w:pPr>
            <w:r>
              <w:t>Pre-contract</w:t>
            </w:r>
          </w:p>
        </w:tc>
        <w:tc>
          <w:tcPr>
            <w:tcW w:w="8221" w:type="dxa"/>
            <w:shd w:val="clear" w:color="auto" w:fill="EAE5E2"/>
          </w:tcPr>
          <w:p w14:paraId="1D90B3F5" w14:textId="3EF5CCAA" w:rsidR="00251EAA" w:rsidRDefault="00251EAA" w:rsidP="00EA00D3">
            <w:pPr>
              <w:pStyle w:val="Body"/>
              <w:numPr>
                <w:ilvl w:val="0"/>
                <w:numId w:val="21"/>
              </w:numPr>
              <w:spacing w:before="120" w:after="120"/>
              <w:ind w:left="455"/>
              <w:cnfStyle w:val="000000100000" w:firstRow="0" w:lastRow="0" w:firstColumn="0" w:lastColumn="0" w:oddVBand="0" w:evenVBand="0" w:oddHBand="1" w:evenHBand="0" w:firstRowFirstColumn="0" w:firstRowLastColumn="0" w:lastRowFirstColumn="0" w:lastRowLastColumn="0"/>
            </w:pPr>
            <w:r>
              <w:t xml:space="preserve">If any of the statistical tables are derived from personal information, consider whether it is necessary to publish </w:t>
            </w:r>
            <w:r w:rsidR="006E4B98">
              <w:t>those</w:t>
            </w:r>
            <w:r>
              <w:t xml:space="preserve"> tables in the final </w:t>
            </w:r>
            <w:proofErr w:type="gramStart"/>
            <w:r>
              <w:t>report</w:t>
            </w:r>
            <w:r w:rsidR="00BF6D05">
              <w:t>;</w:t>
            </w:r>
            <w:proofErr w:type="gramEnd"/>
          </w:p>
          <w:p w14:paraId="752C3E8B" w14:textId="442BC48C" w:rsidR="00657139" w:rsidRDefault="002E30A2" w:rsidP="00EA00D3">
            <w:pPr>
              <w:pStyle w:val="Body"/>
              <w:numPr>
                <w:ilvl w:val="0"/>
                <w:numId w:val="21"/>
              </w:numPr>
              <w:spacing w:before="120" w:after="120"/>
              <w:ind w:left="455"/>
              <w:cnfStyle w:val="000000100000" w:firstRow="0" w:lastRow="0" w:firstColumn="0" w:lastColumn="0" w:oddVBand="0" w:evenVBand="0" w:oddHBand="1" w:evenHBand="0" w:firstRowFirstColumn="0" w:firstRowLastColumn="0" w:lastRowFirstColumn="0" w:lastRowLastColumn="0"/>
            </w:pPr>
            <w:r>
              <w:t>If you wish to publish the tables, d</w:t>
            </w:r>
            <w:r w:rsidR="007E417E">
              <w:t xml:space="preserve">etermine who is responsible for ensuring that the </w:t>
            </w:r>
            <w:r w:rsidR="008168EF">
              <w:t>statistical tables</w:t>
            </w:r>
            <w:r w:rsidR="00B87CEE">
              <w:t xml:space="preserve"> </w:t>
            </w:r>
            <w:r w:rsidR="008168EF">
              <w:t>will be</w:t>
            </w:r>
            <w:r w:rsidR="00B87CEE">
              <w:t xml:space="preserve"> de-identified to an appropriate </w:t>
            </w:r>
            <w:proofErr w:type="gramStart"/>
            <w:r w:rsidR="00B87CEE">
              <w:t>standard</w:t>
            </w:r>
            <w:r w:rsidR="00BF6D05">
              <w:t>;</w:t>
            </w:r>
            <w:proofErr w:type="gramEnd"/>
            <w:r w:rsidR="00B87CEE">
              <w:t xml:space="preserve"> </w:t>
            </w:r>
          </w:p>
          <w:p w14:paraId="19ACB3C5" w14:textId="5E1FF969" w:rsidR="00FC3E14" w:rsidRDefault="00FC3E14" w:rsidP="00AB7767">
            <w:pPr>
              <w:pStyle w:val="Body"/>
              <w:numPr>
                <w:ilvl w:val="0"/>
                <w:numId w:val="21"/>
              </w:numPr>
              <w:spacing w:before="120" w:after="120"/>
              <w:ind w:left="455"/>
              <w:cnfStyle w:val="000000100000" w:firstRow="0" w:lastRow="0" w:firstColumn="0" w:lastColumn="0" w:oddVBand="0" w:evenVBand="0" w:oddHBand="1" w:evenHBand="0" w:firstRowFirstColumn="0" w:firstRowLastColumn="0" w:lastRowFirstColumn="0" w:lastRowLastColumn="0"/>
            </w:pPr>
            <w:r>
              <w:t>If the CSP does not commit to performing the de-identification work, liaise with a Victorian Government data analytics expert (such as VCDI)</w:t>
            </w:r>
            <w:r w:rsidR="00BF6D05">
              <w:t>; and</w:t>
            </w:r>
          </w:p>
          <w:p w14:paraId="02F96FC7" w14:textId="068A96A8" w:rsidR="00A20BF0" w:rsidRPr="00D16793" w:rsidRDefault="00C55AED" w:rsidP="00A20BF0">
            <w:pPr>
              <w:pStyle w:val="Body"/>
              <w:numPr>
                <w:ilvl w:val="0"/>
                <w:numId w:val="21"/>
              </w:numPr>
              <w:spacing w:before="120" w:after="120"/>
              <w:ind w:left="455"/>
              <w:cnfStyle w:val="000000100000" w:firstRow="0" w:lastRow="0" w:firstColumn="0" w:lastColumn="0" w:oddVBand="0" w:evenVBand="0" w:oddHBand="1" w:evenHBand="0" w:firstRowFirstColumn="0" w:firstRowLastColumn="0" w:lastRowFirstColumn="0" w:lastRowLastColumn="0"/>
            </w:pPr>
            <w:r>
              <w:t xml:space="preserve">Ensure that </w:t>
            </w:r>
            <w:r w:rsidR="00AB7767">
              <w:t>the</w:t>
            </w:r>
            <w:r w:rsidR="00B87CEE">
              <w:t xml:space="preserve"> </w:t>
            </w:r>
            <w:r>
              <w:t xml:space="preserve">de-identification </w:t>
            </w:r>
            <w:r w:rsidR="00B87CEE">
              <w:t>process is conducted using</w:t>
            </w:r>
            <w:r>
              <w:t xml:space="preserve"> a structured </w:t>
            </w:r>
            <w:r w:rsidRPr="00C55AED">
              <w:t>de-identification decision making framework (such as CSIRO Data 61's De-identification Decision-Making Framework</w:t>
            </w:r>
            <w:r w:rsidR="00B87CEE">
              <w:rPr>
                <w:rStyle w:val="FootnoteReference"/>
              </w:rPr>
              <w:footnoteReference w:id="3"/>
            </w:r>
            <w:r w:rsidRPr="00C55AED">
              <w:t>)</w:t>
            </w:r>
            <w:r w:rsidR="00FC3E14">
              <w:t>.</w:t>
            </w:r>
          </w:p>
        </w:tc>
      </w:tr>
      <w:tr w:rsidR="00657139" w:rsidRPr="00D16793" w14:paraId="774782B6" w14:textId="77777777" w:rsidTr="00EA00D3">
        <w:tc>
          <w:tcPr>
            <w:cnfStyle w:val="001000000000" w:firstRow="0" w:lastRow="0" w:firstColumn="1" w:lastColumn="0" w:oddVBand="0" w:evenVBand="0" w:oddHBand="0" w:evenHBand="0" w:firstRowFirstColumn="0" w:firstRowLastColumn="0" w:lastRowFirstColumn="0" w:lastRowLastColumn="0"/>
            <w:tcW w:w="1530" w:type="dxa"/>
            <w:shd w:val="clear" w:color="auto" w:fill="EAE5E2"/>
          </w:tcPr>
          <w:p w14:paraId="18A41E0B" w14:textId="77777777" w:rsidR="00657139" w:rsidRPr="00D16793" w:rsidRDefault="00657139" w:rsidP="00EA00D3">
            <w:pPr>
              <w:pStyle w:val="Body"/>
              <w:spacing w:before="120" w:after="120"/>
            </w:pPr>
            <w:r>
              <w:t>Contract terms</w:t>
            </w:r>
          </w:p>
        </w:tc>
        <w:tc>
          <w:tcPr>
            <w:tcW w:w="8221" w:type="dxa"/>
            <w:shd w:val="clear" w:color="auto" w:fill="EAE5E2"/>
          </w:tcPr>
          <w:p w14:paraId="6B214B02" w14:textId="05787730" w:rsidR="00C55AED" w:rsidRPr="00D16793" w:rsidRDefault="00C55AED" w:rsidP="00A20BF0">
            <w:pPr>
              <w:pStyle w:val="Body"/>
              <w:numPr>
                <w:ilvl w:val="0"/>
                <w:numId w:val="21"/>
              </w:numPr>
              <w:spacing w:before="120" w:after="120"/>
              <w:ind w:left="455"/>
              <w:cnfStyle w:val="000000000000" w:firstRow="0" w:lastRow="0" w:firstColumn="0" w:lastColumn="0" w:oddVBand="0" w:evenVBand="0" w:oddHBand="0" w:evenHBand="0" w:firstRowFirstColumn="0" w:firstRowLastColumn="0" w:lastRowFirstColumn="0" w:lastRowLastColumn="0"/>
            </w:pPr>
            <w:r>
              <w:t xml:space="preserve">If the CSP </w:t>
            </w:r>
            <w:r w:rsidR="00A20BF0">
              <w:t xml:space="preserve">performs </w:t>
            </w:r>
            <w:r>
              <w:t>de-identification, specify the relevant de-identification standards, techniques and methodology that must be used.</w:t>
            </w:r>
          </w:p>
        </w:tc>
      </w:tr>
      <w:tr w:rsidR="00657139" w:rsidRPr="00D16793" w14:paraId="77673E2D" w14:textId="77777777" w:rsidTr="00EA00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shd w:val="clear" w:color="auto" w:fill="EAE5E2"/>
          </w:tcPr>
          <w:p w14:paraId="0D6E6B0B" w14:textId="77777777" w:rsidR="00657139" w:rsidRDefault="00657139" w:rsidP="00EA00D3">
            <w:pPr>
              <w:pStyle w:val="Body"/>
              <w:spacing w:before="120" w:after="120"/>
            </w:pPr>
            <w:r>
              <w:t>Operational phase</w:t>
            </w:r>
          </w:p>
        </w:tc>
        <w:tc>
          <w:tcPr>
            <w:tcW w:w="8221" w:type="dxa"/>
            <w:shd w:val="clear" w:color="auto" w:fill="EAE5E2"/>
          </w:tcPr>
          <w:p w14:paraId="180B127D" w14:textId="0BB02716" w:rsidR="00C55AED" w:rsidRDefault="00A71498" w:rsidP="003319BA">
            <w:pPr>
              <w:pStyle w:val="Body"/>
              <w:numPr>
                <w:ilvl w:val="0"/>
                <w:numId w:val="21"/>
              </w:numPr>
              <w:spacing w:before="120" w:after="120"/>
              <w:ind w:left="455"/>
              <w:cnfStyle w:val="000000100000" w:firstRow="0" w:lastRow="0" w:firstColumn="0" w:lastColumn="0" w:oddVBand="0" w:evenVBand="0" w:oddHBand="1" w:evenHBand="0" w:firstRowFirstColumn="0" w:firstRowLastColumn="0" w:lastRowFirstColumn="0" w:lastRowLastColumn="0"/>
            </w:pPr>
            <w:r>
              <w:t xml:space="preserve">Make a record of the </w:t>
            </w:r>
            <w:r w:rsidR="00354F53">
              <w:t>steps taken to de-identify the statistical tables</w:t>
            </w:r>
            <w:r w:rsidR="00887C94">
              <w:t xml:space="preserve"> before publishing them </w:t>
            </w:r>
            <w:r w:rsidR="00354F53">
              <w:t xml:space="preserve">in the final public-facing </w:t>
            </w:r>
            <w:proofErr w:type="gramStart"/>
            <w:r w:rsidR="00354F53">
              <w:t>report</w:t>
            </w:r>
            <w:r w:rsidR="00BF6D05">
              <w:t>;</w:t>
            </w:r>
            <w:proofErr w:type="gramEnd"/>
          </w:p>
          <w:p w14:paraId="68D7AF82" w14:textId="7FD826B8" w:rsidR="00781F50" w:rsidRDefault="00A20BF0" w:rsidP="00781F50">
            <w:pPr>
              <w:pStyle w:val="Body"/>
              <w:numPr>
                <w:ilvl w:val="0"/>
                <w:numId w:val="21"/>
              </w:numPr>
              <w:spacing w:before="120" w:after="120"/>
              <w:ind w:left="455"/>
              <w:cnfStyle w:val="000000100000" w:firstRow="0" w:lastRow="0" w:firstColumn="0" w:lastColumn="0" w:oddVBand="0" w:evenVBand="0" w:oddHBand="1" w:evenHBand="0" w:firstRowFirstColumn="0" w:firstRowLastColumn="0" w:lastRowFirstColumn="0" w:lastRowLastColumn="0"/>
            </w:pPr>
            <w:r>
              <w:t>C</w:t>
            </w:r>
            <w:r w:rsidR="00781F50">
              <w:t>heck that you have complied with your Organisation's data release and publication policies</w:t>
            </w:r>
            <w:r>
              <w:t xml:space="preserve"> including the appropriate data custodian approvals</w:t>
            </w:r>
            <w:r w:rsidR="00BF6D05">
              <w:t>; and</w:t>
            </w:r>
          </w:p>
          <w:p w14:paraId="600D4043" w14:textId="0DC25751" w:rsidR="00A20BF0" w:rsidRPr="00D16793" w:rsidRDefault="00A20BF0" w:rsidP="00781F50">
            <w:pPr>
              <w:pStyle w:val="Body"/>
              <w:numPr>
                <w:ilvl w:val="0"/>
                <w:numId w:val="21"/>
              </w:numPr>
              <w:spacing w:before="120" w:after="120"/>
              <w:ind w:left="455"/>
              <w:cnfStyle w:val="000000100000" w:firstRow="0" w:lastRow="0" w:firstColumn="0" w:lastColumn="0" w:oddVBand="0" w:evenVBand="0" w:oddHBand="1" w:evenHBand="0" w:firstRowFirstColumn="0" w:firstRowLastColumn="0" w:lastRowFirstColumn="0" w:lastRowLastColumn="0"/>
            </w:pPr>
            <w:r>
              <w:t>Consider having the de-identification work reviewed by an independent data analytics expert (such as VCDI or CSIRO Data 61).</w:t>
            </w:r>
          </w:p>
        </w:tc>
      </w:tr>
    </w:tbl>
    <w:p w14:paraId="4E064E13" w14:textId="77777777" w:rsidR="00BF6D05" w:rsidRDefault="00F229F5" w:rsidP="00ED4B60">
      <w:pPr>
        <w:pStyle w:val="SectionHeading1"/>
        <w:jc w:val="both"/>
      </w:pPr>
      <w:r>
        <w:br/>
      </w:r>
    </w:p>
    <w:p w14:paraId="62A0FDDF" w14:textId="77777777" w:rsidR="00BF6D05" w:rsidRDefault="00BF6D05">
      <w:pPr>
        <w:rPr>
          <w:rFonts w:cs="PostGrotesk-Medium"/>
          <w:color w:val="430098"/>
          <w:sz w:val="28"/>
          <w:szCs w:val="28"/>
        </w:rPr>
      </w:pPr>
      <w:r>
        <w:br w:type="page"/>
      </w:r>
    </w:p>
    <w:p w14:paraId="2DB29FD8" w14:textId="62EE14CE" w:rsidR="00ED4B60" w:rsidRDefault="00BA3B71" w:rsidP="00ED4B60">
      <w:pPr>
        <w:pStyle w:val="SectionHeading1"/>
        <w:jc w:val="both"/>
      </w:pPr>
      <w:r w:rsidRPr="00B25610">
        <w:lastRenderedPageBreak/>
        <w:t>Conclusion</w:t>
      </w:r>
    </w:p>
    <w:p w14:paraId="3C224928" w14:textId="711C1CC2" w:rsidR="00E8541F" w:rsidRPr="00B856D5" w:rsidRDefault="00B856D5" w:rsidP="00CE41EE">
      <w:pPr>
        <w:pStyle w:val="Body"/>
      </w:pPr>
      <w:r>
        <w:t xml:space="preserve">The </w:t>
      </w:r>
      <w:r w:rsidR="00FD54AB">
        <w:t>strategies</w:t>
      </w:r>
      <w:r>
        <w:t xml:space="preserve"> above are </w:t>
      </w:r>
      <w:r w:rsidR="005E198E">
        <w:t>intended to provide</w:t>
      </w:r>
      <w:r>
        <w:t xml:space="preserve"> a starting point for </w:t>
      </w:r>
      <w:r w:rsidR="009B519D">
        <w:t>priva</w:t>
      </w:r>
      <w:r w:rsidR="00FD37EB">
        <w:t>cy and data security planning</w:t>
      </w:r>
      <w:r w:rsidR="00FC54E1">
        <w:t>, and are not exhaustive</w:t>
      </w:r>
      <w:r w:rsidR="00942F36">
        <w:t>.</w:t>
      </w:r>
      <w:r w:rsidR="008346CC">
        <w:t xml:space="preserve"> </w:t>
      </w:r>
      <w:r w:rsidR="00FD37EB">
        <w:t>Privacy and data security controls should be consi</w:t>
      </w:r>
      <w:r w:rsidR="00AE21F4">
        <w:t xml:space="preserve">dered on a case-by-case basis, with the </w:t>
      </w:r>
      <w:r w:rsidR="00BA3B71">
        <w:t xml:space="preserve">aim of </w:t>
      </w:r>
      <w:r w:rsidR="00E3120D">
        <w:t>ensuring that the outsourcing arrangement meets the following general objectives</w:t>
      </w:r>
      <w:r w:rsidR="003D6FCD">
        <w:t>:</w:t>
      </w:r>
    </w:p>
    <w:p w14:paraId="71D9A0C1" w14:textId="040D1EA6" w:rsidR="00CE41EE" w:rsidRPr="00A40696" w:rsidRDefault="0006703B" w:rsidP="00CE41EE">
      <w:pPr>
        <w:pStyle w:val="Body"/>
        <w:rPr>
          <w:b/>
        </w:rPr>
      </w:pPr>
      <w:r>
        <w:rPr>
          <w:b/>
        </w:rPr>
        <w:t xml:space="preserve">Objectives - </w:t>
      </w:r>
      <w:r w:rsidR="00CE41EE">
        <w:rPr>
          <w:b/>
        </w:rPr>
        <w:t>Privacy</w:t>
      </w:r>
      <w:r w:rsidR="00442053">
        <w:rPr>
          <w:b/>
        </w:rPr>
        <w:t xml:space="preserve"> compliance</w:t>
      </w:r>
    </w:p>
    <w:p w14:paraId="449A4BC6" w14:textId="225255BC" w:rsidR="00CE41EE" w:rsidRDefault="00CE41EE" w:rsidP="008D52B4">
      <w:pPr>
        <w:pStyle w:val="Body"/>
        <w:numPr>
          <w:ilvl w:val="0"/>
          <w:numId w:val="17"/>
        </w:numPr>
        <w:ind w:left="426"/>
      </w:pPr>
      <w:r w:rsidRPr="00CA2909">
        <w:t>The CSP</w:t>
      </w:r>
      <w:r>
        <w:t xml:space="preserve"> agree</w:t>
      </w:r>
      <w:r w:rsidR="00FB1D97">
        <w:t>s</w:t>
      </w:r>
      <w:r>
        <w:t xml:space="preserve"> (and ha</w:t>
      </w:r>
      <w:r w:rsidR="00FB1D97">
        <w:t>s</w:t>
      </w:r>
      <w:r>
        <w:t xml:space="preserve"> the necessary know-how and operational capacity) </w:t>
      </w:r>
      <w:r w:rsidR="00D865C0">
        <w:t xml:space="preserve">to </w:t>
      </w:r>
      <w:r w:rsidR="00FB1D97">
        <w:t xml:space="preserve">manage the </w:t>
      </w:r>
      <w:r w:rsidR="00C74FB8">
        <w:t xml:space="preserve">Input Data </w:t>
      </w:r>
      <w:r w:rsidR="00D95B8D">
        <w:t xml:space="preserve">and Data Outputs </w:t>
      </w:r>
      <w:r>
        <w:t xml:space="preserve">in a manner that is consistent with the requirements of the IPPs - </w:t>
      </w:r>
      <w:r w:rsidR="00BB44D4">
        <w:t xml:space="preserve">for example, the IPP 4.2 requirement to avoid retaining </w:t>
      </w:r>
      <w:r w:rsidR="009E60C0">
        <w:t>the Input Data (or Data Outputs)</w:t>
      </w:r>
      <w:r w:rsidR="00BB44D4">
        <w:t xml:space="preserve"> for longer than is needed</w:t>
      </w:r>
      <w:r w:rsidR="00BF6D05">
        <w:t>; and</w:t>
      </w:r>
    </w:p>
    <w:p w14:paraId="6E59D04E" w14:textId="419C6965" w:rsidR="00CE41EE" w:rsidRDefault="00B67C42" w:rsidP="00CE41EE">
      <w:pPr>
        <w:pStyle w:val="Body"/>
        <w:numPr>
          <w:ilvl w:val="0"/>
          <w:numId w:val="17"/>
        </w:numPr>
        <w:ind w:left="426"/>
      </w:pPr>
      <w:r w:rsidRPr="00032B1D">
        <w:t xml:space="preserve">Your Organisation has </w:t>
      </w:r>
      <w:r w:rsidR="00032B1D">
        <w:t xml:space="preserve">taken the necessary steps to ensure that the </w:t>
      </w:r>
      <w:r w:rsidR="00C74FB8">
        <w:t xml:space="preserve">Data Outputs </w:t>
      </w:r>
      <w:r w:rsidR="00032B1D">
        <w:t>can be used by your Organisation for the intended purposes without breaching</w:t>
      </w:r>
      <w:r w:rsidR="00C74FB8">
        <w:t xml:space="preserve"> the PDP Act - for example, by ensuring that any data that you include in the final public-facing report has been properly de-identified to </w:t>
      </w:r>
      <w:r w:rsidR="00C22ABF">
        <w:t>a</w:t>
      </w:r>
      <w:r w:rsidR="00C74FB8">
        <w:t xml:space="preserve"> standard </w:t>
      </w:r>
      <w:r w:rsidR="00C22ABF">
        <w:t>that is appropriate for publication</w:t>
      </w:r>
      <w:r w:rsidR="00032B1D">
        <w:t>.</w:t>
      </w:r>
    </w:p>
    <w:p w14:paraId="06993753" w14:textId="24230224" w:rsidR="00CE41EE" w:rsidRDefault="00CE41EE" w:rsidP="00CE41EE">
      <w:pPr>
        <w:pStyle w:val="Body"/>
      </w:pPr>
      <w:r>
        <w:t xml:space="preserve">For further information, see "Step 4 - IPP planning and due diligence" in the </w:t>
      </w:r>
      <w:r w:rsidRPr="000F019A">
        <w:rPr>
          <w:i/>
        </w:rPr>
        <w:t xml:space="preserve">Guidelines for Outsourcing in the Victorian Public Sector - </w:t>
      </w:r>
      <w:r>
        <w:rPr>
          <w:i/>
        </w:rPr>
        <w:t xml:space="preserve">Checklist </w:t>
      </w:r>
      <w:r>
        <w:t xml:space="preserve">and </w:t>
      </w:r>
      <w:r>
        <w:rPr>
          <w:i/>
        </w:rPr>
        <w:t>Accompanying Guide</w:t>
      </w:r>
      <w:r w:rsidR="006F49CF">
        <w:t>.</w:t>
      </w:r>
      <w:r w:rsidR="0029290E">
        <w:t xml:space="preserve">  </w:t>
      </w:r>
    </w:p>
    <w:p w14:paraId="6E15F5FE" w14:textId="1B8FF5A1" w:rsidR="00D71935" w:rsidRDefault="00D71935" w:rsidP="00CE41EE">
      <w:pPr>
        <w:pStyle w:val="Body"/>
      </w:pPr>
      <w:r>
        <w:t>Your Organisation may also wish to consider conducting a Privacy Impact Assessment, which provides a structure</w:t>
      </w:r>
      <w:r w:rsidR="005A52C2">
        <w:t>d</w:t>
      </w:r>
      <w:r>
        <w:t xml:space="preserve"> process for systematically considering and addressing the requirements of the IPPs.</w:t>
      </w:r>
    </w:p>
    <w:p w14:paraId="3EEC2FB6" w14:textId="7196A716" w:rsidR="00CE41EE" w:rsidRPr="00A40696" w:rsidRDefault="0006703B" w:rsidP="00CE41EE">
      <w:pPr>
        <w:pStyle w:val="Body"/>
        <w:keepNext/>
        <w:rPr>
          <w:b/>
        </w:rPr>
      </w:pPr>
      <w:r>
        <w:rPr>
          <w:b/>
        </w:rPr>
        <w:t xml:space="preserve">Objectives - </w:t>
      </w:r>
      <w:r w:rsidR="00CE41EE">
        <w:rPr>
          <w:b/>
        </w:rPr>
        <w:t>Data security</w:t>
      </w:r>
      <w:r w:rsidR="00442053">
        <w:rPr>
          <w:b/>
        </w:rPr>
        <w:t xml:space="preserve"> compliance</w:t>
      </w:r>
    </w:p>
    <w:p w14:paraId="43620AFA" w14:textId="4BAFCE8F" w:rsidR="00CE41EE" w:rsidRDefault="00CE41EE" w:rsidP="00CE41EE">
      <w:pPr>
        <w:pStyle w:val="Body"/>
        <w:numPr>
          <w:ilvl w:val="0"/>
          <w:numId w:val="17"/>
        </w:numPr>
        <w:ind w:left="426"/>
      </w:pPr>
      <w:r w:rsidRPr="00CA2909">
        <w:t>The CSP</w:t>
      </w:r>
      <w:r w:rsidR="005D70EB">
        <w:t>s agree</w:t>
      </w:r>
      <w:r>
        <w:t xml:space="preserve"> (and ha</w:t>
      </w:r>
      <w:r w:rsidR="005D70EB">
        <w:t>ve</w:t>
      </w:r>
      <w:r>
        <w:t xml:space="preserve"> the necessary know-how and operational capacity) to </w:t>
      </w:r>
      <w:r w:rsidR="00B67C42">
        <w:t xml:space="preserve">manage the </w:t>
      </w:r>
      <w:r w:rsidR="00D95B8D">
        <w:t xml:space="preserve">Input Data and Data Outputs </w:t>
      </w:r>
      <w:r>
        <w:t xml:space="preserve">in a manner that complies with the requirements of the </w:t>
      </w:r>
      <w:proofErr w:type="gramStart"/>
      <w:r>
        <w:t>VPDSS</w:t>
      </w:r>
      <w:r w:rsidR="00BF6D05">
        <w:t>;</w:t>
      </w:r>
      <w:proofErr w:type="gramEnd"/>
    </w:p>
    <w:p w14:paraId="234BE746" w14:textId="200B36DD" w:rsidR="00CE41EE" w:rsidRDefault="00CE41EE" w:rsidP="00CE41EE">
      <w:pPr>
        <w:pStyle w:val="Body"/>
        <w:numPr>
          <w:ilvl w:val="0"/>
          <w:numId w:val="17"/>
        </w:numPr>
        <w:ind w:left="426"/>
      </w:pPr>
      <w:r>
        <w:t xml:space="preserve">Your </w:t>
      </w:r>
      <w:r w:rsidR="00B17E33">
        <w:t>Organisation</w:t>
      </w:r>
      <w:r>
        <w:t xml:space="preserve"> has addressed the requirements of VPDSS 8 (Third Party Arrangements), including:</w:t>
      </w:r>
    </w:p>
    <w:p w14:paraId="753DAC31" w14:textId="02032F2F" w:rsidR="00685F5D" w:rsidRDefault="00685F5D" w:rsidP="00685F5D">
      <w:pPr>
        <w:pStyle w:val="Body"/>
        <w:numPr>
          <w:ilvl w:val="1"/>
          <w:numId w:val="16"/>
        </w:numPr>
        <w:ind w:left="851"/>
      </w:pPr>
      <w:r>
        <w:t xml:space="preserve">your </w:t>
      </w:r>
      <w:r w:rsidR="00B17E33">
        <w:t>Organisation</w:t>
      </w:r>
      <w:r>
        <w:t xml:space="preserve"> has </w:t>
      </w:r>
      <w:r w:rsidRPr="00685F5D">
        <w:t>undertake</w:t>
      </w:r>
      <w:r>
        <w:t>n</w:t>
      </w:r>
      <w:r w:rsidRPr="00685F5D">
        <w:t xml:space="preserve"> an information security risk assessment of the CSP's service offering and address</w:t>
      </w:r>
      <w:r w:rsidR="00F772D6">
        <w:t>ed</w:t>
      </w:r>
      <w:r w:rsidRPr="00685F5D">
        <w:t xml:space="preserve"> any residual risks prior to finalising the arrangement</w:t>
      </w:r>
      <w:r w:rsidR="0090365F">
        <w:t xml:space="preserve"> - see VPDSS 8 element E8.030</w:t>
      </w:r>
      <w:r>
        <w:t>;</w:t>
      </w:r>
    </w:p>
    <w:p w14:paraId="4DD83DA6" w14:textId="6C727106" w:rsidR="008E7A10" w:rsidRPr="008E7A10" w:rsidRDefault="008E7A10" w:rsidP="008E7A10">
      <w:pPr>
        <w:pStyle w:val="Body"/>
        <w:numPr>
          <w:ilvl w:val="1"/>
          <w:numId w:val="16"/>
        </w:numPr>
        <w:ind w:left="851"/>
      </w:pPr>
      <w:r>
        <w:t xml:space="preserve">your </w:t>
      </w:r>
      <w:r w:rsidR="00B17E33">
        <w:t>Organisation</w:t>
      </w:r>
      <w:r>
        <w:t xml:space="preserve"> has </w:t>
      </w:r>
      <w:r w:rsidR="00475076">
        <w:t>documented its information release management requirements</w:t>
      </w:r>
      <w:r>
        <w:t xml:space="preserve"> - see VPDSS 8 element </w:t>
      </w:r>
      <w:r w:rsidR="00B67C42">
        <w:t>E8.0</w:t>
      </w:r>
      <w:r w:rsidR="00475076">
        <w:t>70</w:t>
      </w:r>
      <w:r w:rsidR="00B67C42">
        <w:t>;</w:t>
      </w:r>
      <w:r w:rsidR="00685F5D">
        <w:t xml:space="preserve"> and</w:t>
      </w:r>
    </w:p>
    <w:p w14:paraId="54386214" w14:textId="329425CF" w:rsidR="00CE41EE" w:rsidRDefault="00CE41EE" w:rsidP="00CE41EE">
      <w:pPr>
        <w:pStyle w:val="Body"/>
        <w:numPr>
          <w:ilvl w:val="1"/>
          <w:numId w:val="16"/>
        </w:numPr>
        <w:ind w:left="851"/>
      </w:pPr>
      <w:r>
        <w:t xml:space="preserve">your </w:t>
      </w:r>
      <w:r w:rsidR="00B17E33">
        <w:t>Organisation</w:t>
      </w:r>
      <w:r>
        <w:t xml:space="preserve"> has arranged </w:t>
      </w:r>
      <w:r w:rsidRPr="00F25863">
        <w:t xml:space="preserve">appropriate </w:t>
      </w:r>
      <w:r>
        <w:t>"wrap up" / disengagement arrangements</w:t>
      </w:r>
      <w:r w:rsidRPr="00F25863">
        <w:t xml:space="preserve"> upon completion or termination</w:t>
      </w:r>
      <w:r>
        <w:t xml:space="preserve"> of the CSP's engagement - see VPDSS 8 element </w:t>
      </w:r>
      <w:r>
        <w:rPr>
          <w:rFonts w:cstheme="minorHAnsi"/>
        </w:rPr>
        <w:t>E8.090</w:t>
      </w:r>
      <w:r w:rsidR="00BF6D05">
        <w:rPr>
          <w:rFonts w:cstheme="minorHAnsi"/>
        </w:rPr>
        <w:t>; and</w:t>
      </w:r>
    </w:p>
    <w:p w14:paraId="1C955191" w14:textId="43EE16B7" w:rsidR="002039C8" w:rsidRDefault="00D327DF" w:rsidP="00A669A2">
      <w:pPr>
        <w:pStyle w:val="Body"/>
        <w:numPr>
          <w:ilvl w:val="0"/>
          <w:numId w:val="17"/>
        </w:numPr>
        <w:ind w:left="426"/>
      </w:pPr>
      <w:r w:rsidRPr="00032B1D">
        <w:t xml:space="preserve">Your Organisation has </w:t>
      </w:r>
      <w:r>
        <w:t>taken the neces</w:t>
      </w:r>
      <w:r w:rsidR="00C97B58">
        <w:t xml:space="preserve">sary steps to ensure that the Data Outputs </w:t>
      </w:r>
      <w:r w:rsidR="00483FD9">
        <w:t>will</w:t>
      </w:r>
      <w:r>
        <w:t xml:space="preserve"> be managed in accordance with the requirements of the VPDSS once </w:t>
      </w:r>
      <w:r w:rsidR="0048109E">
        <w:t xml:space="preserve">you </w:t>
      </w:r>
      <w:r w:rsidR="00475076">
        <w:t>receive</w:t>
      </w:r>
      <w:r w:rsidR="0048109E">
        <w:t xml:space="preserve"> them</w:t>
      </w:r>
      <w:r w:rsidR="007607E2">
        <w:t xml:space="preserve"> from the CSP.</w:t>
      </w:r>
    </w:p>
    <w:p w14:paraId="5C134958" w14:textId="56F1FD75" w:rsidR="008D5022" w:rsidRDefault="00CE41EE" w:rsidP="002039C8">
      <w:pPr>
        <w:pStyle w:val="Body"/>
        <w:ind w:left="66"/>
      </w:pPr>
      <w:r>
        <w:t xml:space="preserve">For further information, see "Step 3 - VPDSF planning and due diligence" in the </w:t>
      </w:r>
      <w:r w:rsidRPr="000F019A">
        <w:rPr>
          <w:i/>
        </w:rPr>
        <w:t xml:space="preserve">Guidelines for Outsourcing in the Victorian Public Sector - </w:t>
      </w:r>
      <w:r>
        <w:rPr>
          <w:i/>
        </w:rPr>
        <w:t xml:space="preserve">Checklist </w:t>
      </w:r>
      <w:r>
        <w:t xml:space="preserve">and </w:t>
      </w:r>
      <w:r>
        <w:rPr>
          <w:i/>
        </w:rPr>
        <w:t>Accompanying Guide</w:t>
      </w:r>
      <w:r w:rsidR="006F49CF">
        <w:t>.</w:t>
      </w:r>
    </w:p>
    <w:p w14:paraId="052B3AEE" w14:textId="77777777" w:rsidR="00C736EC" w:rsidRPr="0086734F" w:rsidRDefault="00C736EC" w:rsidP="00C736EC">
      <w:pPr>
        <w:pStyle w:val="FurtherInfo"/>
        <w:outlineLvl w:val="0"/>
      </w:pPr>
      <w:r w:rsidRPr="0086734F">
        <w:t>Further Infor</w:t>
      </w:r>
      <w:r w:rsidRPr="00372C3E">
        <w:t>mat</w:t>
      </w:r>
      <w:r w:rsidRPr="0086734F">
        <w:t>ion</w:t>
      </w:r>
    </w:p>
    <w:p w14:paraId="6680740E" w14:textId="77777777" w:rsidR="00C736EC" w:rsidRDefault="00C736EC" w:rsidP="00C736EC">
      <w:pPr>
        <w:pStyle w:val="BasicParagraph"/>
        <w:pBdr>
          <w:top w:val="single" w:sz="4" w:space="6" w:color="430098"/>
        </w:pBdr>
        <w:spacing w:after="170"/>
        <w:rPr>
          <w:rFonts w:ascii="PostGrotesk-Medium" w:hAnsi="PostGrotesk-Medium" w:cs="PostGrotesk-Medium"/>
          <w:color w:val="00A5B5"/>
        </w:rPr>
        <w:sectPr w:rsidR="00C736EC" w:rsidSect="00E45B00">
          <w:headerReference w:type="even" r:id="rId11"/>
          <w:headerReference w:type="default" r:id="rId12"/>
          <w:footerReference w:type="default" r:id="rId13"/>
          <w:headerReference w:type="first" r:id="rId14"/>
          <w:footerReference w:type="first" r:id="rId15"/>
          <w:type w:val="continuous"/>
          <w:pgSz w:w="11900" w:h="16840"/>
          <w:pgMar w:top="1134" w:right="1134" w:bottom="1134" w:left="1134" w:header="1134" w:footer="709" w:gutter="0"/>
          <w:cols w:space="720"/>
          <w:titlePg/>
          <w:docGrid w:linePitch="360"/>
        </w:sectPr>
      </w:pPr>
    </w:p>
    <w:p w14:paraId="68F134BF" w14:textId="77777777" w:rsidR="00C736EC" w:rsidRPr="00780584" w:rsidRDefault="00C736EC" w:rsidP="00C736EC">
      <w:pPr>
        <w:widowControl w:val="0"/>
        <w:suppressAutoHyphens/>
        <w:autoSpaceDE w:val="0"/>
        <w:autoSpaceDN w:val="0"/>
        <w:adjustRightInd w:val="0"/>
        <w:spacing w:after="120" w:line="288" w:lineRule="auto"/>
        <w:textAlignment w:val="center"/>
        <w:outlineLvl w:val="0"/>
        <w:rPr>
          <w:rFonts w:cs="PostGrotesk-Medium"/>
          <w:b/>
          <w:color w:val="55565A"/>
        </w:rPr>
      </w:pPr>
      <w:r w:rsidRPr="00780584">
        <w:rPr>
          <w:rFonts w:cs="PostGrotesk-Medium"/>
          <w:b/>
          <w:color w:val="55565A"/>
        </w:rPr>
        <w:t>Contact Us</w:t>
      </w:r>
    </w:p>
    <w:p w14:paraId="66582670" w14:textId="52D07AA4" w:rsidR="00C736EC" w:rsidRDefault="00C736EC" w:rsidP="00667C4F">
      <w:pPr>
        <w:widowControl w:val="0"/>
        <w:tabs>
          <w:tab w:val="left" w:pos="284"/>
          <w:tab w:val="left" w:pos="709"/>
        </w:tabs>
        <w:suppressAutoHyphens/>
        <w:autoSpaceDE w:val="0"/>
        <w:autoSpaceDN w:val="0"/>
        <w:adjustRightInd w:val="0"/>
        <w:spacing w:after="240"/>
        <w:textAlignment w:val="center"/>
        <w:rPr>
          <w:rFonts w:cs="PostGrotesk-Book"/>
          <w:color w:val="55565A"/>
          <w:sz w:val="22"/>
          <w:szCs w:val="22"/>
        </w:rPr>
      </w:pPr>
      <w:r w:rsidRPr="00780584">
        <w:rPr>
          <w:rFonts w:cs="PostGrotesk-Book"/>
          <w:b/>
          <w:color w:val="430098"/>
          <w:sz w:val="22"/>
          <w:szCs w:val="22"/>
        </w:rPr>
        <w:t>t:</w:t>
      </w:r>
      <w:r w:rsidRPr="00780584">
        <w:rPr>
          <w:rFonts w:cs="PostGrotesk-Book"/>
          <w:color w:val="55565A"/>
          <w:sz w:val="22"/>
          <w:szCs w:val="22"/>
        </w:rPr>
        <w:tab/>
        <w:t xml:space="preserve">1300 00 6842 </w:t>
      </w:r>
      <w:r w:rsidRPr="00780584">
        <w:rPr>
          <w:rFonts w:cs="PostGrotesk-Book"/>
          <w:color w:val="55565A"/>
          <w:sz w:val="22"/>
          <w:szCs w:val="22"/>
        </w:rPr>
        <w:br/>
      </w:r>
      <w:r w:rsidRPr="00780584">
        <w:rPr>
          <w:rFonts w:cs="PostGrotesk-Book"/>
          <w:b/>
          <w:color w:val="430098"/>
          <w:sz w:val="22"/>
          <w:szCs w:val="22"/>
        </w:rPr>
        <w:t>e:</w:t>
      </w:r>
      <w:r w:rsidRPr="00780584">
        <w:rPr>
          <w:rFonts w:cs="PostGrotesk-Book"/>
          <w:color w:val="55565A"/>
          <w:sz w:val="22"/>
          <w:szCs w:val="22"/>
        </w:rPr>
        <w:tab/>
        <w:t>enquiries@ovic.vic.gov.au</w:t>
      </w:r>
      <w:r w:rsidRPr="00780584">
        <w:rPr>
          <w:rFonts w:cs="PostGrotesk-Book"/>
          <w:color w:val="55565A"/>
          <w:sz w:val="22"/>
          <w:szCs w:val="22"/>
        </w:rPr>
        <w:br/>
      </w:r>
      <w:r w:rsidRPr="00780584">
        <w:rPr>
          <w:rFonts w:cs="PostGrotesk-Book"/>
          <w:b/>
          <w:color w:val="430098"/>
          <w:sz w:val="22"/>
          <w:szCs w:val="22"/>
        </w:rPr>
        <w:t>w:</w:t>
      </w:r>
      <w:r w:rsidRPr="00780584">
        <w:rPr>
          <w:rFonts w:cs="PostGrotesk-Book"/>
          <w:color w:val="55565A"/>
          <w:sz w:val="22"/>
          <w:szCs w:val="22"/>
        </w:rPr>
        <w:tab/>
        <w:t>ovic.vic.gov.au</w:t>
      </w:r>
      <w:r>
        <w:rPr>
          <w:rFonts w:cs="PostGrotesk-Book"/>
          <w:color w:val="55565A"/>
          <w:sz w:val="22"/>
          <w:szCs w:val="22"/>
        </w:rPr>
        <w:br w:type="column"/>
      </w:r>
      <w:r w:rsidR="0095645E" w:rsidRPr="00580554">
        <w:rPr>
          <w:rFonts w:cs="PostGrotesk-Book"/>
          <w:b/>
          <w:color w:val="55565A"/>
        </w:rPr>
        <w:lastRenderedPageBreak/>
        <w:t>Disclaimer</w:t>
      </w:r>
    </w:p>
    <w:p w14:paraId="2790360C" w14:textId="4772FF16" w:rsidR="00C736EC" w:rsidRPr="0095645E" w:rsidRDefault="0095645E" w:rsidP="0095645E">
      <w:pPr>
        <w:widowControl w:val="0"/>
        <w:tabs>
          <w:tab w:val="left" w:pos="284"/>
          <w:tab w:val="left" w:pos="709"/>
        </w:tabs>
        <w:suppressAutoHyphens/>
        <w:autoSpaceDE w:val="0"/>
        <w:autoSpaceDN w:val="0"/>
        <w:adjustRightInd w:val="0"/>
        <w:spacing w:after="240"/>
        <w:textAlignment w:val="center"/>
        <w:rPr>
          <w:rFonts w:cs="PostGrotesk-Book"/>
          <w:color w:val="55565A"/>
          <w:sz w:val="18"/>
          <w:szCs w:val="22"/>
        </w:rPr>
        <w:sectPr w:rsidR="00C736EC" w:rsidRPr="0095645E" w:rsidSect="00C736EC">
          <w:headerReference w:type="even" r:id="rId16"/>
          <w:headerReference w:type="default" r:id="rId17"/>
          <w:headerReference w:type="first" r:id="rId18"/>
          <w:footerReference w:type="first" r:id="rId19"/>
          <w:type w:val="continuous"/>
          <w:pgSz w:w="11900" w:h="16840"/>
          <w:pgMar w:top="1134" w:right="1134" w:bottom="1134" w:left="1134" w:header="1134" w:footer="510" w:gutter="0"/>
          <w:cols w:num="2" w:space="720"/>
          <w:titlePg/>
          <w:docGrid w:linePitch="360"/>
        </w:sectPr>
      </w:pPr>
      <w:r w:rsidRPr="00C15B02">
        <w:rPr>
          <w:rFonts w:cs="PostGrotesk-Medium"/>
          <w:color w:val="55565A"/>
          <w:sz w:val="16"/>
          <w:szCs w:val="16"/>
        </w:rPr>
        <w:t xml:space="preserve">This fact sheet does not constitute legal advice and should not be </w:t>
      </w:r>
      <w:r w:rsidRPr="00C15B02">
        <w:rPr>
          <w:rFonts w:cs="PostGrotesk-Medium"/>
          <w:color w:val="55565A"/>
          <w:sz w:val="16"/>
          <w:szCs w:val="16"/>
        </w:rPr>
        <w:t>used as a substitute for applying the provisions of the Privacy and Data Protection Act 2014, or any other legal r</w:t>
      </w:r>
      <w:r>
        <w:rPr>
          <w:rFonts w:cs="PostGrotesk-Medium"/>
          <w:color w:val="55565A"/>
          <w:sz w:val="16"/>
          <w:szCs w:val="16"/>
        </w:rPr>
        <w:t>equirement, to individual cases.</w:t>
      </w:r>
    </w:p>
    <w:p w14:paraId="0212B9B7" w14:textId="5B07BC52" w:rsidR="00C15B02" w:rsidRPr="00C15B02" w:rsidRDefault="00C15B02" w:rsidP="0095645E">
      <w:pPr>
        <w:pStyle w:val="SectionHeading1"/>
        <w:spacing w:after="0"/>
        <w:outlineLvl w:val="0"/>
        <w:rPr>
          <w:color w:val="55565A"/>
          <w:sz w:val="16"/>
          <w:szCs w:val="16"/>
        </w:rPr>
      </w:pPr>
    </w:p>
    <w:sectPr w:rsidR="00C15B02" w:rsidRPr="00C15B02" w:rsidSect="009236D4">
      <w:type w:val="continuous"/>
      <w:pgSz w:w="11900" w:h="16840"/>
      <w:pgMar w:top="1134" w:right="1134" w:bottom="1134" w:left="1134" w:header="1134" w:footer="5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0202D6" w14:textId="77777777" w:rsidR="00AB107F" w:rsidRDefault="00AB107F" w:rsidP="00B53C78">
      <w:r>
        <w:separator/>
      </w:r>
    </w:p>
  </w:endnote>
  <w:endnote w:type="continuationSeparator" w:id="0">
    <w:p w14:paraId="71CE7203" w14:textId="77777777" w:rsidR="00AB107F" w:rsidRDefault="00AB107F" w:rsidP="00B53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altName w:val="Times New Roman"/>
    <w:charset w:val="00"/>
    <w:family w:val="auto"/>
    <w:pitch w:val="variable"/>
    <w:sig w:usb0="00000001" w:usb1="00000001" w:usb2="00000000" w:usb3="00000000" w:csb0="0000019F" w:csb1="00000000"/>
  </w:font>
  <w:font w:name="PostGrotesk-Book">
    <w:altName w:val="Times New Roman"/>
    <w:charset w:val="00"/>
    <w:family w:val="auto"/>
    <w:pitch w:val="variable"/>
    <w:sig w:usb0="00000001" w:usb1="500160FB" w:usb2="00000000" w:usb3="00000000" w:csb0="0000009B" w:csb1="00000000"/>
  </w:font>
  <w:font w:name="PostGrotesk-Medium">
    <w:altName w:val="Times New Roman"/>
    <w:charset w:val="00"/>
    <w:family w:val="auto"/>
    <w:pitch w:val="variable"/>
    <w:sig w:usb0="00000001" w:usb1="5001607B" w:usb2="00000000" w:usb3="00000000" w:csb0="00000193"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0" w:name="_iDocIDField8c19674d-1691-492c-b7ba-231a"/>
  <w:p w14:paraId="5FE04AB4" w14:textId="77777777" w:rsidR="008436E3" w:rsidRDefault="008436E3">
    <w:pPr>
      <w:pStyle w:val="DocID"/>
    </w:pPr>
    <w:r>
      <w:fldChar w:fldCharType="begin"/>
    </w:r>
    <w:r>
      <w:instrText xml:space="preserve">  DOCPROPERTY "CUS_DocIDChunk0" </w:instrText>
    </w:r>
    <w:r>
      <w:fldChar w:fldCharType="separate"/>
    </w:r>
    <w:r>
      <w:rPr>
        <w:noProof/>
      </w:rPr>
      <w:t>Doc ID 744435873/v2</w:t>
    </w:r>
    <w:r>
      <w:fldChar w:fldCharType="end"/>
    </w:r>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255E0" w14:textId="77777777" w:rsidR="008436E3" w:rsidRPr="005A1C9B" w:rsidRDefault="008436E3" w:rsidP="005A1C9B">
    <w:pPr>
      <w:pStyle w:val="Footer"/>
      <w:jc w:val="right"/>
      <w:rPr>
        <w:sz w:val="22"/>
      </w:rPr>
    </w:pPr>
    <w:r w:rsidRPr="00F4301B">
      <w:rPr>
        <w:rFonts w:cs="Arial"/>
        <w:sz w:val="20"/>
      </w:rPr>
      <w:t xml:space="preserve">Freedom of Information </w:t>
    </w:r>
    <w:r w:rsidRPr="00F4301B">
      <w:rPr>
        <w:rFonts w:cs="Arial"/>
        <w:color w:val="E5007D"/>
        <w:sz w:val="20"/>
      </w:rPr>
      <w:t>|</w:t>
    </w:r>
    <w:r w:rsidRPr="00F4301B">
      <w:rPr>
        <w:rFonts w:cs="Arial"/>
        <w:sz w:val="20"/>
      </w:rPr>
      <w:t xml:space="preserve"> Privacy </w:t>
    </w:r>
    <w:r w:rsidRPr="00F4301B">
      <w:rPr>
        <w:rFonts w:cs="Arial"/>
        <w:color w:val="E5007D"/>
        <w:sz w:val="20"/>
      </w:rPr>
      <w:t>|</w:t>
    </w:r>
    <w:r w:rsidRPr="00F4301B">
      <w:rPr>
        <w:rFonts w:cs="Arial"/>
        <w:sz w:val="20"/>
      </w:rPr>
      <w:t xml:space="preserve"> Data Protection</w:t>
    </w:r>
  </w:p>
  <w:bookmarkStart w:id="1" w:name="_iDocIDFielda1a7455e-40ce-48da-9f02-b9f1"/>
  <w:p w14:paraId="1DD54E77" w14:textId="77777777" w:rsidR="008436E3" w:rsidRDefault="008436E3">
    <w:pPr>
      <w:pStyle w:val="DocID"/>
    </w:pPr>
    <w:r>
      <w:fldChar w:fldCharType="begin"/>
    </w:r>
    <w:r>
      <w:instrText xml:space="preserve">  DOCPROPERTY "CUS_DocIDChunk0" </w:instrText>
    </w:r>
    <w:r>
      <w:fldChar w:fldCharType="separate"/>
    </w:r>
    <w:r>
      <w:rPr>
        <w:noProof/>
      </w:rPr>
      <w:t>Doc ID 744435873/v2</w:t>
    </w:r>
    <w:r>
      <w:fldChar w:fldCharType="end"/>
    </w:r>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97C41" w14:textId="77777777" w:rsidR="008436E3" w:rsidRDefault="008436E3" w:rsidP="00970EC9">
    <w:pPr>
      <w:pStyle w:val="Footer"/>
      <w:spacing w:before="120"/>
      <w:jc w:val="right"/>
    </w:pPr>
    <w:r w:rsidRPr="009C5614">
      <w:rPr>
        <w:rFonts w:cs="Arial"/>
        <w:sz w:val="20"/>
      </w:rPr>
      <w:t xml:space="preserve">Freedom of Information </w:t>
    </w:r>
    <w:r w:rsidRPr="009C5614">
      <w:rPr>
        <w:rFonts w:cs="Arial"/>
        <w:color w:val="E5007D"/>
        <w:sz w:val="20"/>
      </w:rPr>
      <w:t>|</w:t>
    </w:r>
    <w:r w:rsidRPr="009C5614">
      <w:rPr>
        <w:rFonts w:cs="Arial"/>
        <w:sz w:val="20"/>
      </w:rPr>
      <w:t xml:space="preserve"> Privacy </w:t>
    </w:r>
    <w:r w:rsidRPr="009C5614">
      <w:rPr>
        <w:rFonts w:cs="Arial"/>
        <w:color w:val="E5007D"/>
        <w:sz w:val="20"/>
      </w:rPr>
      <w:t>|</w:t>
    </w:r>
    <w:r w:rsidRPr="009C5614">
      <w:rPr>
        <w:rFonts w:cs="Arial"/>
        <w:sz w:val="20"/>
      </w:rPr>
      <w:t xml:space="preserve"> Data Protection</w:t>
    </w:r>
  </w:p>
  <w:bookmarkStart w:id="2" w:name="_iDocIDFieldbd0692d9-dac6-4ea9-abde-795d"/>
  <w:p w14:paraId="09A08E2D" w14:textId="77777777" w:rsidR="008436E3" w:rsidRDefault="008436E3">
    <w:pPr>
      <w:pStyle w:val="DocID"/>
    </w:pPr>
    <w:r>
      <w:fldChar w:fldCharType="begin"/>
    </w:r>
    <w:r>
      <w:instrText xml:space="preserve">  DOCPROPERTY "CUS_DocIDChunk0" </w:instrText>
    </w:r>
    <w:r>
      <w:fldChar w:fldCharType="separate"/>
    </w:r>
    <w:r>
      <w:rPr>
        <w:noProof/>
      </w:rPr>
      <w:t>Doc ID 744435873/v2</w:t>
    </w:r>
    <w:r>
      <w:fldChar w:fldCharType="end"/>
    </w:r>
    <w:bookmarkEnd w:id="2"/>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7B22B" w14:textId="77777777" w:rsidR="008436E3" w:rsidRDefault="008436E3" w:rsidP="00F85782">
    <w:pPr>
      <w:pStyle w:val="Footer"/>
      <w:spacing w:before="120"/>
    </w:pPr>
    <w:r>
      <w:rPr>
        <w:noProof/>
        <w:lang w:val="en-AU" w:eastAsia="zh-CN"/>
      </w:rPr>
      <w:drawing>
        <wp:inline distT="0" distB="0" distL="0" distR="0" wp14:anchorId="780CEC75" wp14:editId="22D829A9">
          <wp:extent cx="3339465" cy="1790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9465" cy="179070"/>
                  </a:xfrm>
                  <a:prstGeom prst="rect">
                    <a:avLst/>
                  </a:prstGeom>
                  <a:noFill/>
                  <a:ln>
                    <a:noFill/>
                  </a:ln>
                </pic:spPr>
              </pic:pic>
            </a:graphicData>
          </a:graphic>
        </wp:inline>
      </w:drawing>
    </w:r>
  </w:p>
  <w:bookmarkStart w:id="3" w:name="_iDocIDField6c83a003-6a51-4b29-b05c-5da6"/>
  <w:p w14:paraId="5E9AE9EC" w14:textId="77777777" w:rsidR="008436E3" w:rsidRDefault="008436E3">
    <w:pPr>
      <w:pStyle w:val="DocID"/>
    </w:pPr>
    <w:r>
      <w:fldChar w:fldCharType="begin"/>
    </w:r>
    <w:r>
      <w:instrText xml:space="preserve">  DOCPROPERTY "CUS_DocIDChunk0" </w:instrText>
    </w:r>
    <w:r>
      <w:fldChar w:fldCharType="separate"/>
    </w:r>
    <w:r>
      <w:rPr>
        <w:noProof/>
      </w:rPr>
      <w:t>Doc ID 744435873/v2</w:t>
    </w:r>
    <w:r>
      <w:fldChar w:fldCharType="end"/>
    </w:r>
    <w:bookmarkEnd w:id="3"/>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6BD91" w14:textId="77777777" w:rsidR="008436E3" w:rsidRDefault="008436E3" w:rsidP="00DB5728">
    <w:pPr>
      <w:pStyle w:val="Footer"/>
      <w:spacing w:before="120"/>
    </w:pPr>
    <w:r>
      <w:rPr>
        <w:noProof/>
        <w:lang w:val="en-AU" w:eastAsia="zh-CN"/>
      </w:rPr>
      <w:drawing>
        <wp:inline distT="0" distB="0" distL="0" distR="0" wp14:anchorId="5F03F669" wp14:editId="3611043E">
          <wp:extent cx="3339465" cy="17907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9465" cy="179070"/>
                  </a:xfrm>
                  <a:prstGeom prst="rect">
                    <a:avLst/>
                  </a:prstGeom>
                  <a:noFill/>
                  <a:ln>
                    <a:noFill/>
                  </a:ln>
                </pic:spPr>
              </pic:pic>
            </a:graphicData>
          </a:graphic>
        </wp:inline>
      </w:drawing>
    </w:r>
  </w:p>
  <w:bookmarkStart w:id="4" w:name="_iDocIDField69df3fce-1c3a-4505-bd12-b66f"/>
  <w:p w14:paraId="18E3320E" w14:textId="77777777" w:rsidR="008436E3" w:rsidRDefault="008436E3">
    <w:pPr>
      <w:pStyle w:val="DocID"/>
    </w:pPr>
    <w:r>
      <w:fldChar w:fldCharType="begin"/>
    </w:r>
    <w:r>
      <w:instrText xml:space="preserve">  DOCPROPERTY "CUS_DocIDChunk0" </w:instrText>
    </w:r>
    <w:r>
      <w:fldChar w:fldCharType="separate"/>
    </w:r>
    <w:r>
      <w:rPr>
        <w:noProof/>
      </w:rPr>
      <w:t>Doc ID 744435873/v2</w:t>
    </w:r>
    <w:r>
      <w:fldChar w:fldCharType="end"/>
    </w:r>
    <w:bookmarkEnd w:id="4"/>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097C4C" w14:textId="77777777" w:rsidR="008436E3" w:rsidRDefault="008436E3" w:rsidP="00214D32">
    <w:pPr>
      <w:pStyle w:val="Footer"/>
      <w:spacing w:before="240"/>
    </w:pPr>
    <w:r w:rsidRPr="00B60B75">
      <w:t xml:space="preserve">Freedom of Information </w:t>
    </w:r>
    <w:r w:rsidRPr="006A02A9">
      <w:rPr>
        <w:color w:val="E5007D"/>
      </w:rPr>
      <w:t>|</w:t>
    </w:r>
    <w:r w:rsidRPr="00B60B75">
      <w:t xml:space="preserve"> Privacy </w:t>
    </w:r>
    <w:r w:rsidRPr="006A02A9">
      <w:rPr>
        <w:color w:val="E5007D"/>
      </w:rPr>
      <w:t>|</w:t>
    </w:r>
    <w:r w:rsidRPr="00B60B75">
      <w:t xml:space="preserve"> </w:t>
    </w:r>
    <w:r w:rsidRPr="00BD07DC">
      <w:t>Data Protection</w:t>
    </w:r>
  </w:p>
  <w:bookmarkStart w:id="5" w:name="_iDocIDField4dd19023-eba6-4bc0-8545-c69b"/>
  <w:p w14:paraId="08F26254" w14:textId="77777777" w:rsidR="008436E3" w:rsidRDefault="008436E3">
    <w:pPr>
      <w:pStyle w:val="DocID"/>
    </w:pPr>
    <w:r>
      <w:fldChar w:fldCharType="begin"/>
    </w:r>
    <w:r>
      <w:instrText xml:space="preserve">  DOCPROPERTY "CUS_DocIDChunk0" </w:instrText>
    </w:r>
    <w:r>
      <w:fldChar w:fldCharType="separate"/>
    </w:r>
    <w:r>
      <w:rPr>
        <w:noProof/>
      </w:rPr>
      <w:t>Doc ID 744435873/v2</w:t>
    </w:r>
    <w:r>
      <w:fldChar w:fldCharType="end"/>
    </w:r>
    <w:bookmarkEnd w:id="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17FDE8" w14:textId="77777777" w:rsidR="00AB107F" w:rsidRDefault="00AB107F" w:rsidP="00B53C78">
      <w:r>
        <w:separator/>
      </w:r>
    </w:p>
  </w:footnote>
  <w:footnote w:type="continuationSeparator" w:id="0">
    <w:p w14:paraId="58E1A1F3" w14:textId="77777777" w:rsidR="00AB107F" w:rsidRDefault="00AB107F" w:rsidP="00B53C78">
      <w:r>
        <w:continuationSeparator/>
      </w:r>
    </w:p>
  </w:footnote>
  <w:footnote w:id="1">
    <w:p w14:paraId="7D7EE8B7" w14:textId="18D0149C" w:rsidR="00DF4F91" w:rsidRPr="00DF4F91" w:rsidRDefault="00DF4F91">
      <w:pPr>
        <w:pStyle w:val="FootnoteText"/>
      </w:pPr>
      <w:r>
        <w:rPr>
          <w:rStyle w:val="FootnoteReference"/>
        </w:rPr>
        <w:footnoteRef/>
      </w:r>
      <w:r>
        <w:t xml:space="preserve"> </w:t>
      </w:r>
      <w:r w:rsidRPr="00DF4F91">
        <w:rPr>
          <w:sz w:val="16"/>
          <w:szCs w:val="16"/>
          <w:lang w:val="en-US"/>
        </w:rPr>
        <w:t>See, e.g., Australian Institute of Health and Welfa</w:t>
      </w:r>
      <w:r>
        <w:rPr>
          <w:sz w:val="16"/>
          <w:szCs w:val="16"/>
          <w:lang w:val="en-US"/>
        </w:rPr>
        <w:t>re, ‘The Five Safes Framework’ (</w:t>
      </w:r>
      <w:hyperlink r:id="rId1" w:history="1">
        <w:r w:rsidRPr="00E778A8">
          <w:rPr>
            <w:rStyle w:val="Hyperlink"/>
            <w:sz w:val="16"/>
            <w:szCs w:val="16"/>
            <w:lang w:val="en-US"/>
          </w:rPr>
          <w:t>https://www.aihw.gov.au/about-our-data/data-governance/the-five-safes-framework</w:t>
        </w:r>
      </w:hyperlink>
      <w:r>
        <w:rPr>
          <w:sz w:val="16"/>
          <w:szCs w:val="16"/>
          <w:lang w:val="en-US"/>
        </w:rPr>
        <w:t>) and</w:t>
      </w:r>
      <w:r w:rsidRPr="00DF4F91">
        <w:rPr>
          <w:sz w:val="16"/>
          <w:szCs w:val="16"/>
          <w:lang w:val="en-US"/>
        </w:rPr>
        <w:t xml:space="preserve"> Australian Bureau of Statistics, ‘Managing the Risks of Disclosure: the Five Safes Framework’</w:t>
      </w:r>
      <w:r>
        <w:rPr>
          <w:sz w:val="16"/>
          <w:szCs w:val="16"/>
          <w:lang w:val="en-US"/>
        </w:rPr>
        <w:t xml:space="preserve"> (</w:t>
      </w:r>
      <w:hyperlink r:id="rId2" w:history="1">
        <w:r w:rsidRPr="00E778A8">
          <w:rPr>
            <w:rStyle w:val="Hyperlink"/>
            <w:sz w:val="16"/>
            <w:szCs w:val="16"/>
            <w:lang w:val="en-US"/>
          </w:rPr>
          <w:t>http://www.abs.gov.au/ausstats/abs@.nsf/Latestproducts/1160.0Main%20Features4Aug%202017</w:t>
        </w:r>
      </w:hyperlink>
      <w:r>
        <w:rPr>
          <w:sz w:val="16"/>
          <w:szCs w:val="16"/>
          <w:lang w:val="en-US"/>
        </w:rPr>
        <w:t>)</w:t>
      </w:r>
      <w:r w:rsidRPr="00DF4F91">
        <w:rPr>
          <w:sz w:val="16"/>
          <w:szCs w:val="16"/>
          <w:lang w:val="en-US"/>
        </w:rPr>
        <w:t>.</w:t>
      </w:r>
    </w:p>
  </w:footnote>
  <w:footnote w:id="2">
    <w:p w14:paraId="30DA9BC3" w14:textId="77777777" w:rsidR="00F96764" w:rsidRDefault="00F96764" w:rsidP="00F96764">
      <w:pPr>
        <w:pStyle w:val="FootnoteText"/>
      </w:pPr>
      <w:r>
        <w:rPr>
          <w:rStyle w:val="FootnoteReference"/>
        </w:rPr>
        <w:footnoteRef/>
      </w:r>
      <w:r>
        <w:t xml:space="preserve"> </w:t>
      </w:r>
      <w:r w:rsidRPr="00817A87">
        <w:rPr>
          <w:sz w:val="16"/>
          <w:szCs w:val="16"/>
          <w:lang w:val="en-US"/>
        </w:rPr>
        <w:t xml:space="preserve">Refer to the </w:t>
      </w:r>
      <w:r>
        <w:rPr>
          <w:sz w:val="16"/>
          <w:szCs w:val="16"/>
          <w:lang w:val="en-US"/>
        </w:rPr>
        <w:t xml:space="preserve">current </w:t>
      </w:r>
      <w:r w:rsidRPr="00817A87">
        <w:rPr>
          <w:sz w:val="16"/>
          <w:szCs w:val="16"/>
          <w:lang w:val="en-US"/>
        </w:rPr>
        <w:t xml:space="preserve">VPDSF BIL table on the OVIC website </w:t>
      </w:r>
      <w:hyperlink r:id="rId3" w:history="1">
        <w:r w:rsidRPr="00A34EF3">
          <w:rPr>
            <w:rStyle w:val="Hyperlink"/>
            <w:sz w:val="16"/>
            <w:szCs w:val="16"/>
            <w:lang w:val="en-US"/>
          </w:rPr>
          <w:t>https://ovic.vic.gov.au/data-protection/for-agencies/vpdsf-resources/</w:t>
        </w:r>
      </w:hyperlink>
      <w:r>
        <w:rPr>
          <w:sz w:val="16"/>
          <w:szCs w:val="16"/>
          <w:lang w:val="en-US"/>
        </w:rPr>
        <w:t xml:space="preserve"> </w:t>
      </w:r>
      <w:r w:rsidRPr="00817A87">
        <w:rPr>
          <w:sz w:val="16"/>
          <w:szCs w:val="16"/>
          <w:lang w:val="en-US"/>
        </w:rPr>
        <w:t>for further information.</w:t>
      </w:r>
    </w:p>
  </w:footnote>
  <w:footnote w:id="3">
    <w:p w14:paraId="1627BD53" w14:textId="30FAC257" w:rsidR="00B87CEE" w:rsidRPr="00B87CEE" w:rsidRDefault="00B87CEE">
      <w:pPr>
        <w:pStyle w:val="FootnoteText"/>
        <w:rPr>
          <w:lang w:val="en-US"/>
        </w:rPr>
      </w:pPr>
      <w:r>
        <w:rPr>
          <w:rStyle w:val="FootnoteReference"/>
        </w:rPr>
        <w:footnoteRef/>
      </w:r>
      <w:r>
        <w:t xml:space="preserve"> </w:t>
      </w:r>
      <w:r w:rsidRPr="00B87CEE">
        <w:rPr>
          <w:sz w:val="16"/>
          <w:szCs w:val="16"/>
          <w:lang w:val="en-US"/>
        </w:rPr>
        <w:t>See</w:t>
      </w:r>
      <w:r w:rsidR="00990742">
        <w:rPr>
          <w:sz w:val="16"/>
          <w:szCs w:val="16"/>
          <w:lang w:val="en-US"/>
        </w:rPr>
        <w:t>:</w:t>
      </w:r>
      <w:r w:rsidRPr="00B87CEE">
        <w:rPr>
          <w:sz w:val="16"/>
          <w:szCs w:val="16"/>
          <w:lang w:val="en-US"/>
        </w:rPr>
        <w:t xml:space="preserve"> </w:t>
      </w:r>
      <w:hyperlink r:id="rId4" w:history="1">
        <w:r w:rsidRPr="00B87CEE">
          <w:rPr>
            <w:rStyle w:val="Hyperlink"/>
            <w:sz w:val="16"/>
            <w:szCs w:val="16"/>
            <w:lang w:val="en-US"/>
          </w:rPr>
          <w:t>https://www.oaic.gov.au/privacy/guidance-and-advice/de-identification-decision-making-framework/</w:t>
        </w:r>
      </w:hyperlink>
      <w:r>
        <w:rPr>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1B7FD" w14:textId="6019CCFE" w:rsidR="007B007F" w:rsidRPr="00D70A8A" w:rsidRDefault="007B007F" w:rsidP="00C736EC">
    <w:pPr>
      <w:pStyle w:val="Header"/>
      <w:tabs>
        <w:tab w:val="clear" w:pos="4513"/>
        <w:tab w:val="clear" w:pos="9026"/>
        <w:tab w:val="left" w:pos="6946"/>
      </w:tabs>
      <w:spacing w:after="180"/>
      <w:rPr>
        <w:color w:val="7F7F7F"/>
        <w:sz w:val="26"/>
        <w:szCs w:val="26"/>
      </w:rPr>
    </w:pPr>
    <w:r>
      <w:rPr>
        <w:noProof/>
        <w:color w:val="7F7F7F"/>
        <w:sz w:val="28"/>
        <w:szCs w:val="28"/>
        <w:lang w:val="en-AU" w:eastAsia="zh-CN"/>
      </w:rPr>
      <w:drawing>
        <wp:anchor distT="0" distB="0" distL="114300" distR="114300" simplePos="0" relativeHeight="251658240" behindDoc="1" locked="0" layoutInCell="1" allowOverlap="1" wp14:anchorId="4540DB13" wp14:editId="64214FD3">
          <wp:simplePos x="0" y="0"/>
          <wp:positionH relativeFrom="column">
            <wp:posOffset>6350</wp:posOffset>
          </wp:positionH>
          <wp:positionV relativeFrom="paragraph">
            <wp:posOffset>-47625</wp:posOffset>
          </wp:positionV>
          <wp:extent cx="1565910" cy="720090"/>
          <wp:effectExtent l="0" t="0" r="0" b="3810"/>
          <wp:wrapThrough wrapText="bothSides">
            <wp:wrapPolygon edited="0">
              <wp:start x="0" y="0"/>
              <wp:lineTo x="0" y="21143"/>
              <wp:lineTo x="21285" y="21143"/>
              <wp:lineTo x="21285"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591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7C5F">
      <w:rPr>
        <w:color w:val="7F7F7F"/>
        <w:sz w:val="28"/>
        <w:szCs w:val="28"/>
      </w:rPr>
      <w:tab/>
    </w:r>
    <w:r w:rsidRPr="00D70A8A">
      <w:rPr>
        <w:color w:val="555559"/>
        <w:sz w:val="26"/>
        <w:szCs w:val="26"/>
      </w:rPr>
      <w:t>INFORMATION FOR</w:t>
    </w:r>
    <w:r w:rsidRPr="00D70A8A">
      <w:rPr>
        <w:color w:val="7F7F7F"/>
        <w:sz w:val="26"/>
        <w:szCs w:val="26"/>
      </w:rPr>
      <w:br/>
    </w:r>
    <w:r w:rsidRPr="00D70A8A">
      <w:rPr>
        <w:color w:val="7F7F7F"/>
        <w:sz w:val="26"/>
        <w:szCs w:val="26"/>
      </w:rPr>
      <w:tab/>
    </w:r>
    <w:r>
      <w:rPr>
        <w:color w:val="430098"/>
        <w:sz w:val="26"/>
        <w:szCs w:val="26"/>
      </w:rPr>
      <w:t>AGENCIES and BODIES</w:t>
    </w:r>
  </w:p>
  <w:p w14:paraId="3F1C104B" w14:textId="77777777" w:rsidR="007B007F" w:rsidRPr="00B37C5F" w:rsidRDefault="007B007F" w:rsidP="00C736EC">
    <w:pPr>
      <w:pStyle w:val="Header"/>
      <w:tabs>
        <w:tab w:val="clear" w:pos="4513"/>
        <w:tab w:val="left" w:pos="6946"/>
      </w:tabs>
      <w:spacing w:after="60"/>
      <w:rPr>
        <w:color w:val="7F7F7F"/>
        <w:sz w:val="20"/>
        <w:szCs w:val="20"/>
      </w:rPr>
    </w:pPr>
    <w:r w:rsidRPr="00B37C5F">
      <w:rPr>
        <w:color w:val="7F7F7F"/>
        <w:sz w:val="20"/>
        <w:szCs w:val="20"/>
      </w:rPr>
      <w:tab/>
    </w:r>
    <w:r w:rsidRPr="00B37C5F">
      <w:rPr>
        <w:color w:val="7F7F7F"/>
        <w:sz w:val="20"/>
        <w:szCs w:val="20"/>
      </w:rPr>
      <w:tab/>
    </w:r>
    <w:r w:rsidRPr="00064688">
      <w:rPr>
        <w:color w:val="555559"/>
        <w:sz w:val="20"/>
        <w:szCs w:val="20"/>
      </w:rPr>
      <w:t>1300 00 6842 | ovic.</w:t>
    </w:r>
    <w:r>
      <w:rPr>
        <w:color w:val="555559"/>
        <w:sz w:val="20"/>
        <w:szCs w:val="20"/>
      </w:rPr>
      <w:t>vic.gov</w:t>
    </w:r>
    <w:r w:rsidRPr="00064688">
      <w:rPr>
        <w:color w:val="555559"/>
        <w:sz w:val="20"/>
        <w:szCs w:val="20"/>
      </w:rPr>
      <w:t>.au</w:t>
    </w:r>
  </w:p>
  <w:p w14:paraId="32A9ED9B" w14:textId="77777777" w:rsidR="007B007F" w:rsidRPr="00B37C5F" w:rsidRDefault="007B007F" w:rsidP="00C736EC">
    <w:pPr>
      <w:pStyle w:val="Header"/>
      <w:tabs>
        <w:tab w:val="clear" w:pos="4513"/>
        <w:tab w:val="clear" w:pos="9026"/>
        <w:tab w:val="left" w:pos="6946"/>
      </w:tabs>
      <w:spacing w:after="180"/>
      <w:rPr>
        <w:color w:val="7F7F7F"/>
        <w:sz w:val="20"/>
        <w:szCs w:val="20"/>
      </w:rPr>
    </w:pPr>
    <w:r>
      <w:rPr>
        <w:noProof/>
        <w:lang w:val="en-AU" w:eastAsia="zh-CN"/>
      </w:rPr>
      <w:drawing>
        <wp:anchor distT="0" distB="0" distL="114300" distR="114300" simplePos="0" relativeHeight="251657216" behindDoc="0" locked="0" layoutInCell="1" allowOverlap="1" wp14:anchorId="6D004F61" wp14:editId="3FF23480">
          <wp:simplePos x="0" y="0"/>
          <wp:positionH relativeFrom="column">
            <wp:posOffset>-20955</wp:posOffset>
          </wp:positionH>
          <wp:positionV relativeFrom="paragraph">
            <wp:posOffset>172085</wp:posOffset>
          </wp:positionV>
          <wp:extent cx="6119495" cy="70485"/>
          <wp:effectExtent l="0" t="0" r="0" b="571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19495" cy="704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0D1D6A" w14:textId="24B79D40" w:rsidR="007B007F" w:rsidRPr="002F0938" w:rsidRDefault="007B007F" w:rsidP="00A96CC9">
    <w:pPr>
      <w:pStyle w:val="DocumentTitle"/>
      <w:spacing w:before="475"/>
      <w:rPr>
        <w:sz w:val="36"/>
        <w:szCs w:val="36"/>
      </w:rPr>
    </w:pPr>
    <w:r>
      <w:rPr>
        <w:sz w:val="36"/>
        <w:szCs w:val="36"/>
      </w:rPr>
      <w:t>O</w:t>
    </w:r>
    <w:r w:rsidRPr="00A96CC9">
      <w:rPr>
        <w:sz w:val="36"/>
        <w:szCs w:val="36"/>
      </w:rPr>
      <w:t>utsourcing in the</w:t>
    </w:r>
    <w:r>
      <w:rPr>
        <w:sz w:val="36"/>
        <w:szCs w:val="36"/>
      </w:rPr>
      <w:t xml:space="preserve"> </w:t>
    </w:r>
    <w:r w:rsidRPr="00A96CC9">
      <w:rPr>
        <w:sz w:val="36"/>
        <w:szCs w:val="36"/>
      </w:rPr>
      <w:t>Victorian public sector</w:t>
    </w:r>
  </w:p>
  <w:p w14:paraId="5E2E37A2" w14:textId="697EFA20" w:rsidR="007B007F" w:rsidRPr="00F87792" w:rsidRDefault="0011553D" w:rsidP="00C736EC">
    <w:pPr>
      <w:pStyle w:val="Header"/>
      <w:tabs>
        <w:tab w:val="left" w:pos="6946"/>
      </w:tabs>
      <w:spacing w:after="120"/>
      <w:rPr>
        <w:rFonts w:ascii="Arial" w:hAnsi="Arial" w:cs="Arial"/>
        <w:color w:val="555559"/>
        <w:sz w:val="30"/>
        <w:szCs w:val="30"/>
      </w:rPr>
    </w:pPr>
    <w:r w:rsidRPr="0011553D">
      <w:rPr>
        <w:rFonts w:ascii="Arial" w:hAnsi="Arial" w:cs="Arial"/>
        <w:b/>
        <w:color w:val="555559"/>
        <w:sz w:val="30"/>
        <w:szCs w:val="30"/>
      </w:rPr>
      <w:t>Analysing Victorian Government data</w:t>
    </w:r>
    <w:r>
      <w:rPr>
        <w:rFonts w:ascii="Arial" w:hAnsi="Arial" w:cs="Arial"/>
        <w:b/>
        <w:color w:val="555559"/>
        <w:sz w:val="30"/>
        <w:szCs w:val="30"/>
      </w:rPr>
      <w:br/>
    </w:r>
    <w:r w:rsidR="007B007F" w:rsidRPr="00173DEF">
      <w:rPr>
        <w:rFonts w:ascii="Arial" w:hAnsi="Arial" w:cs="Arial"/>
        <w:b/>
        <w:color w:val="555559"/>
        <w:sz w:val="30"/>
        <w:szCs w:val="30"/>
      </w:rPr>
      <w:t xml:space="preserve">Case Study </w:t>
    </w:r>
    <w:r>
      <w:rPr>
        <w:rFonts w:ascii="Arial" w:hAnsi="Arial" w:cs="Arial"/>
        <w:b/>
        <w:color w:val="555559"/>
        <w:sz w:val="30"/>
        <w:szCs w:val="30"/>
      </w:rPr>
      <w:t>3</w:t>
    </w:r>
    <w:r w:rsidR="007B007F" w:rsidRPr="00173DEF">
      <w:rPr>
        <w:rFonts w:ascii="Arial" w:hAnsi="Arial" w:cs="Arial"/>
        <w:b/>
        <w:color w:val="555559"/>
        <w:sz w:val="30"/>
        <w:szCs w:val="30"/>
      </w:rPr>
      <w:t xml:space="preserve"> - </w:t>
    </w:r>
    <w:r w:rsidRPr="0011553D">
      <w:rPr>
        <w:rFonts w:ascii="Arial" w:hAnsi="Arial" w:cs="Arial"/>
        <w:bCs/>
        <w:color w:val="555559"/>
        <w:sz w:val="30"/>
        <w:szCs w:val="30"/>
      </w:rPr>
      <w:t>Using a commercial data analytics provider</w:t>
    </w:r>
    <w:r>
      <w:rPr>
        <w:rFonts w:ascii="Arial" w:hAnsi="Arial" w:cs="Arial"/>
        <w:b/>
        <w:color w:val="555559"/>
        <w:sz w:val="30"/>
        <w:szCs w:val="30"/>
      </w:rPr>
      <w:t xml:space="preserve"> </w:t>
    </w:r>
    <w:r w:rsidR="007B007F">
      <w:rPr>
        <w:rFonts w:ascii="Arial" w:hAnsi="Arial" w:cs="Arial"/>
        <w:color w:val="555559"/>
        <w:sz w:val="30"/>
        <w:szCs w:val="30"/>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1F747" w14:textId="0FC9D432" w:rsidR="007B007F" w:rsidRDefault="007B00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DC503" w14:textId="4CDE3B55" w:rsidR="007B007F" w:rsidRDefault="007B007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7C1AB" w14:textId="7D6466D4" w:rsidR="007B007F" w:rsidRPr="00D70A8A" w:rsidRDefault="007B007F" w:rsidP="007B007F">
    <w:pPr>
      <w:pStyle w:val="Header"/>
      <w:tabs>
        <w:tab w:val="clear" w:pos="4513"/>
        <w:tab w:val="clear" w:pos="9026"/>
        <w:tab w:val="left" w:pos="6946"/>
      </w:tabs>
      <w:spacing w:after="180"/>
      <w:rPr>
        <w:color w:val="7F7F7F"/>
        <w:sz w:val="26"/>
        <w:szCs w:val="26"/>
      </w:rPr>
    </w:pPr>
    <w:r>
      <w:rPr>
        <w:noProof/>
        <w:color w:val="7F7F7F"/>
        <w:sz w:val="28"/>
        <w:szCs w:val="28"/>
        <w:lang w:val="en-AU" w:eastAsia="zh-CN"/>
      </w:rPr>
      <w:drawing>
        <wp:anchor distT="0" distB="0" distL="114300" distR="114300" simplePos="0" relativeHeight="251661312" behindDoc="1" locked="0" layoutInCell="1" allowOverlap="1" wp14:anchorId="02F0E635" wp14:editId="6EBC410A">
          <wp:simplePos x="0" y="0"/>
          <wp:positionH relativeFrom="column">
            <wp:posOffset>6350</wp:posOffset>
          </wp:positionH>
          <wp:positionV relativeFrom="paragraph">
            <wp:posOffset>-104140</wp:posOffset>
          </wp:positionV>
          <wp:extent cx="1649095" cy="758190"/>
          <wp:effectExtent l="0" t="0" r="8255" b="3810"/>
          <wp:wrapThrough wrapText="bothSides">
            <wp:wrapPolygon edited="0">
              <wp:start x="0" y="0"/>
              <wp:lineTo x="0" y="21166"/>
              <wp:lineTo x="21459" y="21166"/>
              <wp:lineTo x="21459"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9095" cy="7581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388B">
      <w:rPr>
        <w:color w:val="7F7F7F"/>
        <w:sz w:val="28"/>
        <w:szCs w:val="28"/>
      </w:rPr>
      <w:tab/>
    </w:r>
    <w:r w:rsidRPr="00D70A8A">
      <w:rPr>
        <w:color w:val="555559"/>
        <w:sz w:val="26"/>
        <w:szCs w:val="26"/>
      </w:rPr>
      <w:t>INFORMATION FOR</w:t>
    </w:r>
    <w:r w:rsidRPr="00D70A8A">
      <w:rPr>
        <w:color w:val="7F7F7F"/>
        <w:sz w:val="26"/>
        <w:szCs w:val="26"/>
      </w:rPr>
      <w:br/>
    </w:r>
    <w:r w:rsidRPr="00D70A8A">
      <w:rPr>
        <w:color w:val="7F7F7F"/>
        <w:sz w:val="26"/>
        <w:szCs w:val="26"/>
      </w:rPr>
      <w:tab/>
    </w:r>
    <w:r w:rsidRPr="00D70A8A">
      <w:rPr>
        <w:color w:val="430098"/>
        <w:sz w:val="26"/>
        <w:szCs w:val="26"/>
      </w:rPr>
      <w:t>THE PUBLIC/AGENCIES</w:t>
    </w:r>
  </w:p>
  <w:p w14:paraId="206DB7C8" w14:textId="77777777" w:rsidR="007B007F" w:rsidRPr="00B37C5F" w:rsidRDefault="007B007F" w:rsidP="007B007F">
    <w:pPr>
      <w:pStyle w:val="Header"/>
      <w:tabs>
        <w:tab w:val="clear" w:pos="4513"/>
        <w:tab w:val="left" w:pos="6946"/>
      </w:tabs>
      <w:spacing w:after="60"/>
      <w:rPr>
        <w:color w:val="7F7F7F"/>
        <w:sz w:val="20"/>
        <w:szCs w:val="20"/>
      </w:rPr>
    </w:pPr>
    <w:r w:rsidRPr="00B37C5F">
      <w:rPr>
        <w:color w:val="7F7F7F"/>
        <w:sz w:val="20"/>
        <w:szCs w:val="20"/>
      </w:rPr>
      <w:tab/>
    </w:r>
    <w:r w:rsidRPr="00B37C5F">
      <w:rPr>
        <w:color w:val="7F7F7F"/>
        <w:sz w:val="20"/>
        <w:szCs w:val="20"/>
      </w:rPr>
      <w:tab/>
    </w:r>
    <w:r w:rsidRPr="00064688">
      <w:rPr>
        <w:color w:val="555559"/>
        <w:sz w:val="20"/>
        <w:szCs w:val="20"/>
      </w:rPr>
      <w:t>1300 00 6842 | ovic.</w:t>
    </w:r>
    <w:r>
      <w:rPr>
        <w:color w:val="555559"/>
        <w:sz w:val="20"/>
        <w:szCs w:val="20"/>
      </w:rPr>
      <w:t>vic.gov</w:t>
    </w:r>
    <w:r w:rsidRPr="00064688">
      <w:rPr>
        <w:color w:val="555559"/>
        <w:sz w:val="20"/>
        <w:szCs w:val="20"/>
      </w:rPr>
      <w:t>.au</w:t>
    </w:r>
  </w:p>
  <w:p w14:paraId="2C303479" w14:textId="77777777" w:rsidR="007B007F" w:rsidRPr="0070388B" w:rsidRDefault="007B007F" w:rsidP="007B007F">
    <w:pPr>
      <w:pStyle w:val="Header"/>
      <w:tabs>
        <w:tab w:val="clear" w:pos="4513"/>
        <w:tab w:val="clear" w:pos="9026"/>
        <w:tab w:val="left" w:pos="6946"/>
      </w:tabs>
      <w:spacing w:before="120"/>
      <w:rPr>
        <w:color w:val="7F7F7F"/>
        <w:sz w:val="20"/>
        <w:szCs w:val="20"/>
      </w:rPr>
    </w:pPr>
    <w:r>
      <w:rPr>
        <w:noProof/>
        <w:color w:val="7F7F7F"/>
        <w:sz w:val="20"/>
        <w:szCs w:val="20"/>
        <w:lang w:val="en-AU" w:eastAsia="zh-CN"/>
      </w:rPr>
      <w:drawing>
        <wp:anchor distT="0" distB="0" distL="114300" distR="114300" simplePos="0" relativeHeight="251660288" behindDoc="0" locked="0" layoutInCell="1" allowOverlap="1" wp14:anchorId="471808E8" wp14:editId="001A88D2">
          <wp:simplePos x="0" y="0"/>
          <wp:positionH relativeFrom="column">
            <wp:posOffset>-20955</wp:posOffset>
          </wp:positionH>
          <wp:positionV relativeFrom="paragraph">
            <wp:posOffset>172085</wp:posOffset>
          </wp:positionV>
          <wp:extent cx="6119495" cy="70485"/>
          <wp:effectExtent l="0" t="0" r="0" b="5715"/>
          <wp:wrapThrough wrapText="bothSides">
            <wp:wrapPolygon edited="0">
              <wp:start x="0" y="0"/>
              <wp:lineTo x="0" y="17514"/>
              <wp:lineTo x="21517" y="17514"/>
              <wp:lineTo x="21517"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19495" cy="704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59BE01" w14:textId="77777777" w:rsidR="007B007F" w:rsidRPr="002F0938" w:rsidRDefault="007B007F" w:rsidP="007B007F">
    <w:pPr>
      <w:pStyle w:val="DocumentTitle"/>
      <w:spacing w:before="475"/>
      <w:rPr>
        <w:sz w:val="36"/>
        <w:szCs w:val="36"/>
      </w:rPr>
    </w:pPr>
    <w:r w:rsidRPr="002F0938">
      <w:rPr>
        <w:sz w:val="36"/>
        <w:szCs w:val="36"/>
      </w:rPr>
      <w:t>Document Title</w:t>
    </w:r>
  </w:p>
  <w:p w14:paraId="1DDB011C" w14:textId="77777777" w:rsidR="007B007F" w:rsidRPr="002F0938" w:rsidRDefault="007B007F" w:rsidP="007B007F">
    <w:pPr>
      <w:pStyle w:val="Header"/>
      <w:tabs>
        <w:tab w:val="left" w:pos="6946"/>
      </w:tabs>
      <w:spacing w:after="120"/>
      <w:rPr>
        <w:rFonts w:ascii="Arial" w:hAnsi="Arial" w:cs="Arial"/>
        <w:color w:val="555559"/>
        <w:sz w:val="30"/>
        <w:szCs w:val="30"/>
      </w:rPr>
    </w:pPr>
    <w:r w:rsidRPr="002F0938">
      <w:rPr>
        <w:rFonts w:ascii="Arial" w:hAnsi="Arial" w:cs="Arial"/>
        <w:color w:val="555559"/>
        <w:sz w:val="30"/>
        <w:szCs w:val="30"/>
      </w:rPr>
      <w:t>Document Subtitle</w:t>
    </w:r>
  </w:p>
  <w:p w14:paraId="75C6535B" w14:textId="77777777" w:rsidR="007B007F" w:rsidRDefault="007B007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53999" w14:textId="342A2E55" w:rsidR="007B007F" w:rsidRDefault="007B007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D456E" w14:textId="51403736" w:rsidR="007B007F" w:rsidRDefault="007B007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238765" w14:textId="04971C6D" w:rsidR="007B007F" w:rsidRPr="00B37C5F" w:rsidRDefault="007B007F" w:rsidP="00BD07DC">
    <w:pPr>
      <w:pStyle w:val="Header"/>
      <w:tabs>
        <w:tab w:val="clear" w:pos="4513"/>
        <w:tab w:val="clear" w:pos="9026"/>
        <w:tab w:val="left" w:pos="6946"/>
      </w:tabs>
      <w:spacing w:after="180"/>
      <w:rPr>
        <w:color w:val="7F7F7F"/>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C44C3"/>
    <w:multiLevelType w:val="hybridMultilevel"/>
    <w:tmpl w:val="611CFA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4426B6"/>
    <w:multiLevelType w:val="hybridMultilevel"/>
    <w:tmpl w:val="78B2C3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0DC0C01"/>
    <w:multiLevelType w:val="hybridMultilevel"/>
    <w:tmpl w:val="8D463B6C"/>
    <w:lvl w:ilvl="0" w:tplc="08090001">
      <w:start w:val="1"/>
      <w:numFmt w:val="bullet"/>
      <w:lvlText w:val=""/>
      <w:lvlJc w:val="left"/>
      <w:pPr>
        <w:ind w:left="767" w:hanging="360"/>
      </w:pPr>
      <w:rPr>
        <w:rFonts w:ascii="Symbol" w:hAnsi="Symbol"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3" w15:restartNumberingAfterBreak="0">
    <w:nsid w:val="1163407B"/>
    <w:multiLevelType w:val="hybridMultilevel"/>
    <w:tmpl w:val="1F508794"/>
    <w:lvl w:ilvl="0" w:tplc="20804512">
      <w:start w:val="130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4E5818"/>
    <w:multiLevelType w:val="hybridMultilevel"/>
    <w:tmpl w:val="AB6E38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1527B59"/>
    <w:multiLevelType w:val="hybridMultilevel"/>
    <w:tmpl w:val="F296154E"/>
    <w:lvl w:ilvl="0" w:tplc="66A40ECC">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4E92FA3"/>
    <w:multiLevelType w:val="hybridMultilevel"/>
    <w:tmpl w:val="955EDB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BA63C29"/>
    <w:multiLevelType w:val="hybridMultilevel"/>
    <w:tmpl w:val="655858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E8270C7"/>
    <w:multiLevelType w:val="hybridMultilevel"/>
    <w:tmpl w:val="81C264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5571561"/>
    <w:multiLevelType w:val="hybridMultilevel"/>
    <w:tmpl w:val="DA6E4A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82F340A"/>
    <w:multiLevelType w:val="hybridMultilevel"/>
    <w:tmpl w:val="519C5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D483971"/>
    <w:multiLevelType w:val="hybridMultilevel"/>
    <w:tmpl w:val="A546D7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D9842F1"/>
    <w:multiLevelType w:val="hybridMultilevel"/>
    <w:tmpl w:val="BCA8E9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186667E"/>
    <w:multiLevelType w:val="hybridMultilevel"/>
    <w:tmpl w:val="34D2B5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1C60ABB"/>
    <w:multiLevelType w:val="hybridMultilevel"/>
    <w:tmpl w:val="9C109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99252C"/>
    <w:multiLevelType w:val="hybridMultilevel"/>
    <w:tmpl w:val="6F72C12C"/>
    <w:lvl w:ilvl="0" w:tplc="447252F0">
      <w:start w:val="1"/>
      <w:numFmt w:val="bullet"/>
      <w:pStyle w:val="ColourfulListAccent11"/>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EB7B69"/>
    <w:multiLevelType w:val="hybridMultilevel"/>
    <w:tmpl w:val="99B432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8856D6D"/>
    <w:multiLevelType w:val="hybridMultilevel"/>
    <w:tmpl w:val="9056BF6A"/>
    <w:lvl w:ilvl="0" w:tplc="66A40ECC">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0994303"/>
    <w:multiLevelType w:val="hybridMultilevel"/>
    <w:tmpl w:val="FDE49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F5681E"/>
    <w:multiLevelType w:val="hybridMultilevel"/>
    <w:tmpl w:val="2C4243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3B85574"/>
    <w:multiLevelType w:val="hybridMultilevel"/>
    <w:tmpl w:val="FE7A4CD6"/>
    <w:lvl w:ilvl="0" w:tplc="66A40ECC">
      <w:numFmt w:val="bullet"/>
      <w:lvlText w:val=""/>
      <w:lvlJc w:val="left"/>
      <w:pPr>
        <w:ind w:left="360" w:hanging="360"/>
      </w:pPr>
      <w:rPr>
        <w:rFonts w:ascii="Symbol" w:eastAsia="Calibri" w:hAnsi="Symbol" w:cs="Times New Roman"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795A49A9"/>
    <w:multiLevelType w:val="hybridMultilevel"/>
    <w:tmpl w:val="1EFAE3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4"/>
  </w:num>
  <w:num w:numId="2">
    <w:abstractNumId w:val="15"/>
  </w:num>
  <w:num w:numId="3">
    <w:abstractNumId w:val="5"/>
  </w:num>
  <w:num w:numId="4">
    <w:abstractNumId w:val="20"/>
  </w:num>
  <w:num w:numId="5">
    <w:abstractNumId w:val="17"/>
  </w:num>
  <w:num w:numId="6">
    <w:abstractNumId w:val="18"/>
  </w:num>
  <w:num w:numId="7">
    <w:abstractNumId w:val="2"/>
  </w:num>
  <w:num w:numId="8">
    <w:abstractNumId w:val="3"/>
  </w:num>
  <w:num w:numId="9">
    <w:abstractNumId w:val="9"/>
  </w:num>
  <w:num w:numId="10">
    <w:abstractNumId w:val="21"/>
  </w:num>
  <w:num w:numId="11">
    <w:abstractNumId w:val="4"/>
  </w:num>
  <w:num w:numId="12">
    <w:abstractNumId w:val="1"/>
  </w:num>
  <w:num w:numId="13">
    <w:abstractNumId w:val="11"/>
  </w:num>
  <w:num w:numId="14">
    <w:abstractNumId w:val="0"/>
  </w:num>
  <w:num w:numId="15">
    <w:abstractNumId w:val="12"/>
  </w:num>
  <w:num w:numId="16">
    <w:abstractNumId w:val="19"/>
  </w:num>
  <w:num w:numId="17">
    <w:abstractNumId w:val="13"/>
  </w:num>
  <w:num w:numId="18">
    <w:abstractNumId w:val="16"/>
  </w:num>
  <w:num w:numId="19">
    <w:abstractNumId w:val="10"/>
  </w:num>
  <w:num w:numId="20">
    <w:abstractNumId w:val="7"/>
  </w:num>
  <w:num w:numId="21">
    <w:abstractNumId w:val="8"/>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trackRevisions/>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793"/>
    <w:rsid w:val="0000365B"/>
    <w:rsid w:val="0000382E"/>
    <w:rsid w:val="00004EF5"/>
    <w:rsid w:val="00006514"/>
    <w:rsid w:val="0000669B"/>
    <w:rsid w:val="0000691C"/>
    <w:rsid w:val="00007193"/>
    <w:rsid w:val="00010EB6"/>
    <w:rsid w:val="00011FDD"/>
    <w:rsid w:val="00012529"/>
    <w:rsid w:val="000134FC"/>
    <w:rsid w:val="00014345"/>
    <w:rsid w:val="00015E5F"/>
    <w:rsid w:val="00020236"/>
    <w:rsid w:val="0002137B"/>
    <w:rsid w:val="0002303E"/>
    <w:rsid w:val="0002364C"/>
    <w:rsid w:val="00023689"/>
    <w:rsid w:val="0002420E"/>
    <w:rsid w:val="000251DC"/>
    <w:rsid w:val="000307ED"/>
    <w:rsid w:val="00032194"/>
    <w:rsid w:val="00032B1D"/>
    <w:rsid w:val="000332CC"/>
    <w:rsid w:val="0003336B"/>
    <w:rsid w:val="00034A06"/>
    <w:rsid w:val="00035CFC"/>
    <w:rsid w:val="0004013A"/>
    <w:rsid w:val="00041450"/>
    <w:rsid w:val="00042F23"/>
    <w:rsid w:val="00043902"/>
    <w:rsid w:val="0004393D"/>
    <w:rsid w:val="00043F6D"/>
    <w:rsid w:val="0004444F"/>
    <w:rsid w:val="00044B38"/>
    <w:rsid w:val="00045085"/>
    <w:rsid w:val="00047198"/>
    <w:rsid w:val="0005387D"/>
    <w:rsid w:val="000551DF"/>
    <w:rsid w:val="00055723"/>
    <w:rsid w:val="00056E18"/>
    <w:rsid w:val="00061068"/>
    <w:rsid w:val="00061268"/>
    <w:rsid w:val="00061A61"/>
    <w:rsid w:val="00063864"/>
    <w:rsid w:val="00063DE9"/>
    <w:rsid w:val="00064688"/>
    <w:rsid w:val="00064C39"/>
    <w:rsid w:val="00065198"/>
    <w:rsid w:val="0006606B"/>
    <w:rsid w:val="00066BA6"/>
    <w:rsid w:val="0006703B"/>
    <w:rsid w:val="00067150"/>
    <w:rsid w:val="000677DA"/>
    <w:rsid w:val="00067A42"/>
    <w:rsid w:val="00070812"/>
    <w:rsid w:val="000710A7"/>
    <w:rsid w:val="00071C1B"/>
    <w:rsid w:val="00071CC5"/>
    <w:rsid w:val="00072B5C"/>
    <w:rsid w:val="000732CF"/>
    <w:rsid w:val="00073A00"/>
    <w:rsid w:val="00077763"/>
    <w:rsid w:val="00077961"/>
    <w:rsid w:val="00077ACB"/>
    <w:rsid w:val="00080920"/>
    <w:rsid w:val="00080DD0"/>
    <w:rsid w:val="00080F4C"/>
    <w:rsid w:val="000825C0"/>
    <w:rsid w:val="00082F0F"/>
    <w:rsid w:val="0008363E"/>
    <w:rsid w:val="00084364"/>
    <w:rsid w:val="000852DD"/>
    <w:rsid w:val="000855EF"/>
    <w:rsid w:val="00086BCD"/>
    <w:rsid w:val="000872CE"/>
    <w:rsid w:val="00087377"/>
    <w:rsid w:val="00090842"/>
    <w:rsid w:val="00091CB4"/>
    <w:rsid w:val="00093289"/>
    <w:rsid w:val="00093D2A"/>
    <w:rsid w:val="00094087"/>
    <w:rsid w:val="000941E5"/>
    <w:rsid w:val="00095262"/>
    <w:rsid w:val="0009584C"/>
    <w:rsid w:val="00097168"/>
    <w:rsid w:val="000A2557"/>
    <w:rsid w:val="000A2B98"/>
    <w:rsid w:val="000A3788"/>
    <w:rsid w:val="000A4D8C"/>
    <w:rsid w:val="000A4D8E"/>
    <w:rsid w:val="000A507C"/>
    <w:rsid w:val="000A5F96"/>
    <w:rsid w:val="000A6B91"/>
    <w:rsid w:val="000A7908"/>
    <w:rsid w:val="000B183E"/>
    <w:rsid w:val="000B2AB8"/>
    <w:rsid w:val="000B39CF"/>
    <w:rsid w:val="000B4DDD"/>
    <w:rsid w:val="000B52F2"/>
    <w:rsid w:val="000B572C"/>
    <w:rsid w:val="000B57B3"/>
    <w:rsid w:val="000B60A8"/>
    <w:rsid w:val="000B63C5"/>
    <w:rsid w:val="000C0F20"/>
    <w:rsid w:val="000C1BF0"/>
    <w:rsid w:val="000C232A"/>
    <w:rsid w:val="000C24BD"/>
    <w:rsid w:val="000C2C81"/>
    <w:rsid w:val="000C2DC1"/>
    <w:rsid w:val="000C2E87"/>
    <w:rsid w:val="000C2F9C"/>
    <w:rsid w:val="000C31E0"/>
    <w:rsid w:val="000C46B6"/>
    <w:rsid w:val="000C5096"/>
    <w:rsid w:val="000C6049"/>
    <w:rsid w:val="000D0C41"/>
    <w:rsid w:val="000D241F"/>
    <w:rsid w:val="000D2954"/>
    <w:rsid w:val="000D2AE5"/>
    <w:rsid w:val="000D3EDE"/>
    <w:rsid w:val="000D3EE0"/>
    <w:rsid w:val="000D4409"/>
    <w:rsid w:val="000D473E"/>
    <w:rsid w:val="000D4B1B"/>
    <w:rsid w:val="000D506C"/>
    <w:rsid w:val="000D5120"/>
    <w:rsid w:val="000D5FDE"/>
    <w:rsid w:val="000D63B9"/>
    <w:rsid w:val="000D6440"/>
    <w:rsid w:val="000D64CC"/>
    <w:rsid w:val="000D65F8"/>
    <w:rsid w:val="000D72DC"/>
    <w:rsid w:val="000E0083"/>
    <w:rsid w:val="000E07DF"/>
    <w:rsid w:val="000E08EB"/>
    <w:rsid w:val="000E0DED"/>
    <w:rsid w:val="000E0FB5"/>
    <w:rsid w:val="000E14BB"/>
    <w:rsid w:val="000E27D0"/>
    <w:rsid w:val="000E3522"/>
    <w:rsid w:val="000E43A6"/>
    <w:rsid w:val="000E618A"/>
    <w:rsid w:val="000E6BDD"/>
    <w:rsid w:val="000E7255"/>
    <w:rsid w:val="000E7A46"/>
    <w:rsid w:val="000E7C20"/>
    <w:rsid w:val="000E7F3A"/>
    <w:rsid w:val="000E7FAE"/>
    <w:rsid w:val="000F019A"/>
    <w:rsid w:val="000F02A1"/>
    <w:rsid w:val="000F18B5"/>
    <w:rsid w:val="000F3A12"/>
    <w:rsid w:val="000F473E"/>
    <w:rsid w:val="000F5E0F"/>
    <w:rsid w:val="000F6CB6"/>
    <w:rsid w:val="000F6CCC"/>
    <w:rsid w:val="000F77C8"/>
    <w:rsid w:val="001007E3"/>
    <w:rsid w:val="00101408"/>
    <w:rsid w:val="00102340"/>
    <w:rsid w:val="00103E49"/>
    <w:rsid w:val="001046DF"/>
    <w:rsid w:val="001059DA"/>
    <w:rsid w:val="00105BA0"/>
    <w:rsid w:val="0010646E"/>
    <w:rsid w:val="00107811"/>
    <w:rsid w:val="00107D98"/>
    <w:rsid w:val="00111744"/>
    <w:rsid w:val="001126B8"/>
    <w:rsid w:val="00113BB5"/>
    <w:rsid w:val="00114642"/>
    <w:rsid w:val="00114D2D"/>
    <w:rsid w:val="00114DC0"/>
    <w:rsid w:val="00114E74"/>
    <w:rsid w:val="0011553D"/>
    <w:rsid w:val="001158AF"/>
    <w:rsid w:val="001159CB"/>
    <w:rsid w:val="001161AF"/>
    <w:rsid w:val="001162EC"/>
    <w:rsid w:val="0011688D"/>
    <w:rsid w:val="001174A6"/>
    <w:rsid w:val="00117E0E"/>
    <w:rsid w:val="00121647"/>
    <w:rsid w:val="00121B1E"/>
    <w:rsid w:val="00121B7A"/>
    <w:rsid w:val="00122338"/>
    <w:rsid w:val="001223EF"/>
    <w:rsid w:val="00125245"/>
    <w:rsid w:val="001261AA"/>
    <w:rsid w:val="0012659A"/>
    <w:rsid w:val="001268BB"/>
    <w:rsid w:val="00130140"/>
    <w:rsid w:val="0013053E"/>
    <w:rsid w:val="00130853"/>
    <w:rsid w:val="00130A7E"/>
    <w:rsid w:val="001342CC"/>
    <w:rsid w:val="00134A67"/>
    <w:rsid w:val="00136F74"/>
    <w:rsid w:val="00137029"/>
    <w:rsid w:val="001373CB"/>
    <w:rsid w:val="001413A7"/>
    <w:rsid w:val="00142B4E"/>
    <w:rsid w:val="00142B61"/>
    <w:rsid w:val="00143629"/>
    <w:rsid w:val="00143EE2"/>
    <w:rsid w:val="001447DA"/>
    <w:rsid w:val="00146A93"/>
    <w:rsid w:val="00146D19"/>
    <w:rsid w:val="00151C61"/>
    <w:rsid w:val="00152120"/>
    <w:rsid w:val="00152CE1"/>
    <w:rsid w:val="00152E05"/>
    <w:rsid w:val="001555CA"/>
    <w:rsid w:val="00156027"/>
    <w:rsid w:val="0015699A"/>
    <w:rsid w:val="0015783F"/>
    <w:rsid w:val="001620F5"/>
    <w:rsid w:val="00164A42"/>
    <w:rsid w:val="00164F99"/>
    <w:rsid w:val="001662E0"/>
    <w:rsid w:val="00166521"/>
    <w:rsid w:val="00171F15"/>
    <w:rsid w:val="00172105"/>
    <w:rsid w:val="00173DEF"/>
    <w:rsid w:val="00174A4D"/>
    <w:rsid w:val="001754A6"/>
    <w:rsid w:val="0017621E"/>
    <w:rsid w:val="00176B1A"/>
    <w:rsid w:val="00176D5C"/>
    <w:rsid w:val="00176F1A"/>
    <w:rsid w:val="0017700C"/>
    <w:rsid w:val="00177E21"/>
    <w:rsid w:val="00180911"/>
    <w:rsid w:val="00180C76"/>
    <w:rsid w:val="00180EF8"/>
    <w:rsid w:val="0018113A"/>
    <w:rsid w:val="00181BD4"/>
    <w:rsid w:val="00181CB7"/>
    <w:rsid w:val="001831E0"/>
    <w:rsid w:val="00183B5B"/>
    <w:rsid w:val="00185FD4"/>
    <w:rsid w:val="00186DB4"/>
    <w:rsid w:val="00187079"/>
    <w:rsid w:val="001877B1"/>
    <w:rsid w:val="001878ED"/>
    <w:rsid w:val="001903CD"/>
    <w:rsid w:val="0019066D"/>
    <w:rsid w:val="0019072A"/>
    <w:rsid w:val="001920FD"/>
    <w:rsid w:val="0019316D"/>
    <w:rsid w:val="001931A5"/>
    <w:rsid w:val="001933C7"/>
    <w:rsid w:val="0019377F"/>
    <w:rsid w:val="00193A0B"/>
    <w:rsid w:val="00193C20"/>
    <w:rsid w:val="00197C8C"/>
    <w:rsid w:val="001A0B94"/>
    <w:rsid w:val="001A0F14"/>
    <w:rsid w:val="001A1FC5"/>
    <w:rsid w:val="001A2213"/>
    <w:rsid w:val="001A441D"/>
    <w:rsid w:val="001A4A15"/>
    <w:rsid w:val="001A4DD0"/>
    <w:rsid w:val="001A549F"/>
    <w:rsid w:val="001A5F5B"/>
    <w:rsid w:val="001A6220"/>
    <w:rsid w:val="001A6866"/>
    <w:rsid w:val="001A78F2"/>
    <w:rsid w:val="001A7DE5"/>
    <w:rsid w:val="001B0447"/>
    <w:rsid w:val="001B069C"/>
    <w:rsid w:val="001B0922"/>
    <w:rsid w:val="001B0994"/>
    <w:rsid w:val="001B112D"/>
    <w:rsid w:val="001B1752"/>
    <w:rsid w:val="001B31A0"/>
    <w:rsid w:val="001B3E15"/>
    <w:rsid w:val="001B4968"/>
    <w:rsid w:val="001B6518"/>
    <w:rsid w:val="001B7EEC"/>
    <w:rsid w:val="001C0066"/>
    <w:rsid w:val="001C0872"/>
    <w:rsid w:val="001C0D3C"/>
    <w:rsid w:val="001C174E"/>
    <w:rsid w:val="001C1CCD"/>
    <w:rsid w:val="001C2D39"/>
    <w:rsid w:val="001C3748"/>
    <w:rsid w:val="001C3E5F"/>
    <w:rsid w:val="001C4EDF"/>
    <w:rsid w:val="001C631E"/>
    <w:rsid w:val="001D1FE7"/>
    <w:rsid w:val="001D2836"/>
    <w:rsid w:val="001D2D7E"/>
    <w:rsid w:val="001D5C67"/>
    <w:rsid w:val="001D73E8"/>
    <w:rsid w:val="001E2C8B"/>
    <w:rsid w:val="001E3402"/>
    <w:rsid w:val="001E3FD7"/>
    <w:rsid w:val="001E4CC5"/>
    <w:rsid w:val="001E6135"/>
    <w:rsid w:val="001E646B"/>
    <w:rsid w:val="001E7B83"/>
    <w:rsid w:val="001F0C71"/>
    <w:rsid w:val="001F1718"/>
    <w:rsid w:val="001F2175"/>
    <w:rsid w:val="001F2BA0"/>
    <w:rsid w:val="001F4F8A"/>
    <w:rsid w:val="001F59B9"/>
    <w:rsid w:val="001F5AE0"/>
    <w:rsid w:val="001F617B"/>
    <w:rsid w:val="001F7110"/>
    <w:rsid w:val="001F79D5"/>
    <w:rsid w:val="00200FDF"/>
    <w:rsid w:val="00201968"/>
    <w:rsid w:val="002039C8"/>
    <w:rsid w:val="00204525"/>
    <w:rsid w:val="00204D32"/>
    <w:rsid w:val="002057D6"/>
    <w:rsid w:val="00205BBD"/>
    <w:rsid w:val="00205E66"/>
    <w:rsid w:val="00206FBC"/>
    <w:rsid w:val="00207D78"/>
    <w:rsid w:val="00207FFE"/>
    <w:rsid w:val="0021087B"/>
    <w:rsid w:val="00210E06"/>
    <w:rsid w:val="00211AE9"/>
    <w:rsid w:val="002120FE"/>
    <w:rsid w:val="002132C1"/>
    <w:rsid w:val="00213632"/>
    <w:rsid w:val="00213E76"/>
    <w:rsid w:val="002142EF"/>
    <w:rsid w:val="00214F63"/>
    <w:rsid w:val="00217666"/>
    <w:rsid w:val="00217A0E"/>
    <w:rsid w:val="00217AD4"/>
    <w:rsid w:val="002205D8"/>
    <w:rsid w:val="00222A54"/>
    <w:rsid w:val="002236C2"/>
    <w:rsid w:val="00224016"/>
    <w:rsid w:val="00224875"/>
    <w:rsid w:val="00224D34"/>
    <w:rsid w:val="0022555A"/>
    <w:rsid w:val="002267B3"/>
    <w:rsid w:val="002276D2"/>
    <w:rsid w:val="002276D6"/>
    <w:rsid w:val="0022783F"/>
    <w:rsid w:val="00227FAA"/>
    <w:rsid w:val="00230CC1"/>
    <w:rsid w:val="002323D0"/>
    <w:rsid w:val="00232EC8"/>
    <w:rsid w:val="00233E08"/>
    <w:rsid w:val="00234820"/>
    <w:rsid w:val="002348D8"/>
    <w:rsid w:val="002358F1"/>
    <w:rsid w:val="00235F6E"/>
    <w:rsid w:val="002363E2"/>
    <w:rsid w:val="00237262"/>
    <w:rsid w:val="002421CC"/>
    <w:rsid w:val="002437C4"/>
    <w:rsid w:val="0024388C"/>
    <w:rsid w:val="0024478A"/>
    <w:rsid w:val="00245EAD"/>
    <w:rsid w:val="00246772"/>
    <w:rsid w:val="0024694C"/>
    <w:rsid w:val="002501F6"/>
    <w:rsid w:val="00250537"/>
    <w:rsid w:val="00250715"/>
    <w:rsid w:val="00250EDC"/>
    <w:rsid w:val="00251094"/>
    <w:rsid w:val="00251286"/>
    <w:rsid w:val="00251EAA"/>
    <w:rsid w:val="0025211B"/>
    <w:rsid w:val="0025217E"/>
    <w:rsid w:val="0025285C"/>
    <w:rsid w:val="00252F5E"/>
    <w:rsid w:val="00253219"/>
    <w:rsid w:val="002533D1"/>
    <w:rsid w:val="00253B3A"/>
    <w:rsid w:val="00254338"/>
    <w:rsid w:val="002546BA"/>
    <w:rsid w:val="0025632F"/>
    <w:rsid w:val="0025660F"/>
    <w:rsid w:val="0025793F"/>
    <w:rsid w:val="00260A74"/>
    <w:rsid w:val="00261217"/>
    <w:rsid w:val="00261337"/>
    <w:rsid w:val="0026196C"/>
    <w:rsid w:val="00261CAA"/>
    <w:rsid w:val="002623AB"/>
    <w:rsid w:val="00262ADA"/>
    <w:rsid w:val="002638DD"/>
    <w:rsid w:val="00266B16"/>
    <w:rsid w:val="002713B0"/>
    <w:rsid w:val="00271D9A"/>
    <w:rsid w:val="00272FA0"/>
    <w:rsid w:val="00273C1B"/>
    <w:rsid w:val="00273D4D"/>
    <w:rsid w:val="0027515B"/>
    <w:rsid w:val="002802DC"/>
    <w:rsid w:val="00280DAB"/>
    <w:rsid w:val="002820C5"/>
    <w:rsid w:val="0028233B"/>
    <w:rsid w:val="0028268E"/>
    <w:rsid w:val="00286B02"/>
    <w:rsid w:val="00287C62"/>
    <w:rsid w:val="00287D51"/>
    <w:rsid w:val="00291DA8"/>
    <w:rsid w:val="00292327"/>
    <w:rsid w:val="002925FE"/>
    <w:rsid w:val="0029290E"/>
    <w:rsid w:val="0029298D"/>
    <w:rsid w:val="00293C97"/>
    <w:rsid w:val="00295DFF"/>
    <w:rsid w:val="0029628D"/>
    <w:rsid w:val="00296E58"/>
    <w:rsid w:val="002A070B"/>
    <w:rsid w:val="002A0C2B"/>
    <w:rsid w:val="002A1338"/>
    <w:rsid w:val="002A19C3"/>
    <w:rsid w:val="002A1DC3"/>
    <w:rsid w:val="002A2EA9"/>
    <w:rsid w:val="002A3C0D"/>
    <w:rsid w:val="002A4025"/>
    <w:rsid w:val="002A48A0"/>
    <w:rsid w:val="002A5FE3"/>
    <w:rsid w:val="002A6091"/>
    <w:rsid w:val="002A6174"/>
    <w:rsid w:val="002A7B19"/>
    <w:rsid w:val="002A7FD3"/>
    <w:rsid w:val="002B2211"/>
    <w:rsid w:val="002B35EE"/>
    <w:rsid w:val="002B36DE"/>
    <w:rsid w:val="002B4967"/>
    <w:rsid w:val="002B597A"/>
    <w:rsid w:val="002B65B1"/>
    <w:rsid w:val="002B7163"/>
    <w:rsid w:val="002C0C98"/>
    <w:rsid w:val="002C1DDA"/>
    <w:rsid w:val="002C2E89"/>
    <w:rsid w:val="002C3764"/>
    <w:rsid w:val="002C3AD1"/>
    <w:rsid w:val="002C3FB2"/>
    <w:rsid w:val="002C5E66"/>
    <w:rsid w:val="002C64DA"/>
    <w:rsid w:val="002D0146"/>
    <w:rsid w:val="002D0880"/>
    <w:rsid w:val="002D129B"/>
    <w:rsid w:val="002D1A6A"/>
    <w:rsid w:val="002D1CD4"/>
    <w:rsid w:val="002D2733"/>
    <w:rsid w:val="002D3219"/>
    <w:rsid w:val="002D4410"/>
    <w:rsid w:val="002D4F31"/>
    <w:rsid w:val="002D5D55"/>
    <w:rsid w:val="002D6725"/>
    <w:rsid w:val="002D71F4"/>
    <w:rsid w:val="002D72F6"/>
    <w:rsid w:val="002E0212"/>
    <w:rsid w:val="002E30A2"/>
    <w:rsid w:val="002E320B"/>
    <w:rsid w:val="002E3233"/>
    <w:rsid w:val="002E3296"/>
    <w:rsid w:val="002E385D"/>
    <w:rsid w:val="002E3CB9"/>
    <w:rsid w:val="002E4382"/>
    <w:rsid w:val="002E5A2D"/>
    <w:rsid w:val="002E5CCF"/>
    <w:rsid w:val="002E7EF0"/>
    <w:rsid w:val="002F209B"/>
    <w:rsid w:val="002F24D4"/>
    <w:rsid w:val="002F2572"/>
    <w:rsid w:val="002F2EDA"/>
    <w:rsid w:val="002F3376"/>
    <w:rsid w:val="002F3BB3"/>
    <w:rsid w:val="002F4842"/>
    <w:rsid w:val="002F5093"/>
    <w:rsid w:val="002F7186"/>
    <w:rsid w:val="003031D8"/>
    <w:rsid w:val="003059A7"/>
    <w:rsid w:val="00305D40"/>
    <w:rsid w:val="003068BA"/>
    <w:rsid w:val="00306CFD"/>
    <w:rsid w:val="0030709B"/>
    <w:rsid w:val="00307E10"/>
    <w:rsid w:val="003127B4"/>
    <w:rsid w:val="003129C6"/>
    <w:rsid w:val="00314E2D"/>
    <w:rsid w:val="003162C4"/>
    <w:rsid w:val="00316E22"/>
    <w:rsid w:val="00322784"/>
    <w:rsid w:val="003246EF"/>
    <w:rsid w:val="00324742"/>
    <w:rsid w:val="00325712"/>
    <w:rsid w:val="00325BA3"/>
    <w:rsid w:val="00326D5F"/>
    <w:rsid w:val="003274BF"/>
    <w:rsid w:val="0033045C"/>
    <w:rsid w:val="00331472"/>
    <w:rsid w:val="003319BA"/>
    <w:rsid w:val="00331E11"/>
    <w:rsid w:val="00332EF2"/>
    <w:rsid w:val="003332AB"/>
    <w:rsid w:val="003332E3"/>
    <w:rsid w:val="003339BD"/>
    <w:rsid w:val="003355C2"/>
    <w:rsid w:val="00336383"/>
    <w:rsid w:val="003367CF"/>
    <w:rsid w:val="00337927"/>
    <w:rsid w:val="00342FB3"/>
    <w:rsid w:val="00343525"/>
    <w:rsid w:val="00344D1C"/>
    <w:rsid w:val="003457C2"/>
    <w:rsid w:val="00345B14"/>
    <w:rsid w:val="003462B6"/>
    <w:rsid w:val="0034697C"/>
    <w:rsid w:val="00346B6A"/>
    <w:rsid w:val="00350561"/>
    <w:rsid w:val="00350C0F"/>
    <w:rsid w:val="00350C65"/>
    <w:rsid w:val="00350C83"/>
    <w:rsid w:val="00351641"/>
    <w:rsid w:val="00351A45"/>
    <w:rsid w:val="00353C6F"/>
    <w:rsid w:val="00354F53"/>
    <w:rsid w:val="00356A4C"/>
    <w:rsid w:val="00357038"/>
    <w:rsid w:val="0035717A"/>
    <w:rsid w:val="00357659"/>
    <w:rsid w:val="003607B8"/>
    <w:rsid w:val="0036085D"/>
    <w:rsid w:val="00360C63"/>
    <w:rsid w:val="00361ED6"/>
    <w:rsid w:val="00361FA9"/>
    <w:rsid w:val="003621A7"/>
    <w:rsid w:val="00365F5A"/>
    <w:rsid w:val="00366FF2"/>
    <w:rsid w:val="003700BA"/>
    <w:rsid w:val="00370F3D"/>
    <w:rsid w:val="00371F31"/>
    <w:rsid w:val="00372C3E"/>
    <w:rsid w:val="003747D8"/>
    <w:rsid w:val="00375D66"/>
    <w:rsid w:val="0037673D"/>
    <w:rsid w:val="00380DA1"/>
    <w:rsid w:val="00380FF6"/>
    <w:rsid w:val="00383E48"/>
    <w:rsid w:val="00383ED2"/>
    <w:rsid w:val="00384445"/>
    <w:rsid w:val="00384777"/>
    <w:rsid w:val="00385059"/>
    <w:rsid w:val="00385C40"/>
    <w:rsid w:val="00386248"/>
    <w:rsid w:val="00391CA2"/>
    <w:rsid w:val="00391F63"/>
    <w:rsid w:val="00395504"/>
    <w:rsid w:val="003960F5"/>
    <w:rsid w:val="00396AFB"/>
    <w:rsid w:val="00397A18"/>
    <w:rsid w:val="00397BE5"/>
    <w:rsid w:val="003A03E6"/>
    <w:rsid w:val="003A108E"/>
    <w:rsid w:val="003A1099"/>
    <w:rsid w:val="003A24BB"/>
    <w:rsid w:val="003A2E4C"/>
    <w:rsid w:val="003A5D8D"/>
    <w:rsid w:val="003A6165"/>
    <w:rsid w:val="003A6F8E"/>
    <w:rsid w:val="003A7085"/>
    <w:rsid w:val="003A7407"/>
    <w:rsid w:val="003B025F"/>
    <w:rsid w:val="003B1D3A"/>
    <w:rsid w:val="003B244F"/>
    <w:rsid w:val="003B2691"/>
    <w:rsid w:val="003B33BE"/>
    <w:rsid w:val="003B3FDE"/>
    <w:rsid w:val="003B45A2"/>
    <w:rsid w:val="003B4BDC"/>
    <w:rsid w:val="003B523D"/>
    <w:rsid w:val="003B5821"/>
    <w:rsid w:val="003B6D28"/>
    <w:rsid w:val="003B7167"/>
    <w:rsid w:val="003C0426"/>
    <w:rsid w:val="003C1B8E"/>
    <w:rsid w:val="003C3852"/>
    <w:rsid w:val="003C3C7C"/>
    <w:rsid w:val="003C4720"/>
    <w:rsid w:val="003C4C16"/>
    <w:rsid w:val="003C5A97"/>
    <w:rsid w:val="003C5CF3"/>
    <w:rsid w:val="003C5F93"/>
    <w:rsid w:val="003C7335"/>
    <w:rsid w:val="003C78C4"/>
    <w:rsid w:val="003D08C8"/>
    <w:rsid w:val="003D0F50"/>
    <w:rsid w:val="003D1A77"/>
    <w:rsid w:val="003D23E8"/>
    <w:rsid w:val="003D3E32"/>
    <w:rsid w:val="003D492B"/>
    <w:rsid w:val="003D4AB8"/>
    <w:rsid w:val="003D54AA"/>
    <w:rsid w:val="003D566F"/>
    <w:rsid w:val="003D6FCD"/>
    <w:rsid w:val="003D737E"/>
    <w:rsid w:val="003E0741"/>
    <w:rsid w:val="003E12EB"/>
    <w:rsid w:val="003E21FD"/>
    <w:rsid w:val="003E2ECC"/>
    <w:rsid w:val="003E3A0A"/>
    <w:rsid w:val="003E4A8C"/>
    <w:rsid w:val="003E4AB8"/>
    <w:rsid w:val="003E63BA"/>
    <w:rsid w:val="003E65D9"/>
    <w:rsid w:val="003E76B9"/>
    <w:rsid w:val="003F096C"/>
    <w:rsid w:val="003F1232"/>
    <w:rsid w:val="003F288F"/>
    <w:rsid w:val="003F336D"/>
    <w:rsid w:val="003F3847"/>
    <w:rsid w:val="003F43A7"/>
    <w:rsid w:val="003F4DC3"/>
    <w:rsid w:val="003F555F"/>
    <w:rsid w:val="003F668D"/>
    <w:rsid w:val="004013C8"/>
    <w:rsid w:val="0040339B"/>
    <w:rsid w:val="004034B4"/>
    <w:rsid w:val="00403797"/>
    <w:rsid w:val="00404306"/>
    <w:rsid w:val="004048E7"/>
    <w:rsid w:val="004051A3"/>
    <w:rsid w:val="00406422"/>
    <w:rsid w:val="004078E8"/>
    <w:rsid w:val="00412D1E"/>
    <w:rsid w:val="00412FCC"/>
    <w:rsid w:val="00414732"/>
    <w:rsid w:val="00415258"/>
    <w:rsid w:val="00417F2F"/>
    <w:rsid w:val="0042001C"/>
    <w:rsid w:val="0042028C"/>
    <w:rsid w:val="00421A58"/>
    <w:rsid w:val="00422539"/>
    <w:rsid w:val="0042291C"/>
    <w:rsid w:val="004235A8"/>
    <w:rsid w:val="004237FE"/>
    <w:rsid w:val="00424559"/>
    <w:rsid w:val="00425281"/>
    <w:rsid w:val="00425B9D"/>
    <w:rsid w:val="00425D4A"/>
    <w:rsid w:val="0043006E"/>
    <w:rsid w:val="00431B6C"/>
    <w:rsid w:val="00431FAD"/>
    <w:rsid w:val="00432CC7"/>
    <w:rsid w:val="00432D02"/>
    <w:rsid w:val="00432DBB"/>
    <w:rsid w:val="004333A7"/>
    <w:rsid w:val="00440EB0"/>
    <w:rsid w:val="00442053"/>
    <w:rsid w:val="004428C6"/>
    <w:rsid w:val="004431B6"/>
    <w:rsid w:val="00443561"/>
    <w:rsid w:val="00444694"/>
    <w:rsid w:val="00445D33"/>
    <w:rsid w:val="00445D73"/>
    <w:rsid w:val="00446CFA"/>
    <w:rsid w:val="00447AEA"/>
    <w:rsid w:val="00447B51"/>
    <w:rsid w:val="004503FB"/>
    <w:rsid w:val="004510E5"/>
    <w:rsid w:val="0045194F"/>
    <w:rsid w:val="00452C20"/>
    <w:rsid w:val="0045302C"/>
    <w:rsid w:val="004545B8"/>
    <w:rsid w:val="00455586"/>
    <w:rsid w:val="00456F52"/>
    <w:rsid w:val="0045701D"/>
    <w:rsid w:val="00457389"/>
    <w:rsid w:val="00457990"/>
    <w:rsid w:val="00457C36"/>
    <w:rsid w:val="004606A0"/>
    <w:rsid w:val="00461EEB"/>
    <w:rsid w:val="004654DD"/>
    <w:rsid w:val="0046573A"/>
    <w:rsid w:val="004669FF"/>
    <w:rsid w:val="00467B53"/>
    <w:rsid w:val="00470017"/>
    <w:rsid w:val="00470C87"/>
    <w:rsid w:val="00470D7A"/>
    <w:rsid w:val="00471D65"/>
    <w:rsid w:val="00473A2F"/>
    <w:rsid w:val="0047487A"/>
    <w:rsid w:val="00475076"/>
    <w:rsid w:val="0047594D"/>
    <w:rsid w:val="00480F94"/>
    <w:rsid w:val="0048109E"/>
    <w:rsid w:val="00481203"/>
    <w:rsid w:val="00481DBA"/>
    <w:rsid w:val="004833F4"/>
    <w:rsid w:val="00483FD9"/>
    <w:rsid w:val="004856B0"/>
    <w:rsid w:val="00485BB2"/>
    <w:rsid w:val="004872AA"/>
    <w:rsid w:val="004876CC"/>
    <w:rsid w:val="00487FD9"/>
    <w:rsid w:val="004900A4"/>
    <w:rsid w:val="00490308"/>
    <w:rsid w:val="0049070C"/>
    <w:rsid w:val="004924CF"/>
    <w:rsid w:val="00492A6E"/>
    <w:rsid w:val="00493F8E"/>
    <w:rsid w:val="00494057"/>
    <w:rsid w:val="004940D8"/>
    <w:rsid w:val="004960AF"/>
    <w:rsid w:val="004966E5"/>
    <w:rsid w:val="00496F40"/>
    <w:rsid w:val="00497C4F"/>
    <w:rsid w:val="00497FEC"/>
    <w:rsid w:val="004A1515"/>
    <w:rsid w:val="004A2DA0"/>
    <w:rsid w:val="004A3BF2"/>
    <w:rsid w:val="004A4DBC"/>
    <w:rsid w:val="004A6D96"/>
    <w:rsid w:val="004A7D1B"/>
    <w:rsid w:val="004B2505"/>
    <w:rsid w:val="004B2F5A"/>
    <w:rsid w:val="004B4DD0"/>
    <w:rsid w:val="004B725A"/>
    <w:rsid w:val="004B7A46"/>
    <w:rsid w:val="004C0FB9"/>
    <w:rsid w:val="004C2310"/>
    <w:rsid w:val="004C2DF7"/>
    <w:rsid w:val="004C54EB"/>
    <w:rsid w:val="004C55FC"/>
    <w:rsid w:val="004C766A"/>
    <w:rsid w:val="004D02CC"/>
    <w:rsid w:val="004D048B"/>
    <w:rsid w:val="004D0678"/>
    <w:rsid w:val="004D28C7"/>
    <w:rsid w:val="004D3B41"/>
    <w:rsid w:val="004D6E67"/>
    <w:rsid w:val="004D7A8B"/>
    <w:rsid w:val="004E0972"/>
    <w:rsid w:val="004E0BF8"/>
    <w:rsid w:val="004E144F"/>
    <w:rsid w:val="004E1491"/>
    <w:rsid w:val="004E2C25"/>
    <w:rsid w:val="004E2D51"/>
    <w:rsid w:val="004E490D"/>
    <w:rsid w:val="004E6706"/>
    <w:rsid w:val="004E6D76"/>
    <w:rsid w:val="004F28C7"/>
    <w:rsid w:val="004F316A"/>
    <w:rsid w:val="004F36C9"/>
    <w:rsid w:val="004F3E39"/>
    <w:rsid w:val="004F4319"/>
    <w:rsid w:val="004F457C"/>
    <w:rsid w:val="004F587C"/>
    <w:rsid w:val="004F6F4B"/>
    <w:rsid w:val="004F71F8"/>
    <w:rsid w:val="00501680"/>
    <w:rsid w:val="005017E4"/>
    <w:rsid w:val="005035EA"/>
    <w:rsid w:val="00504D44"/>
    <w:rsid w:val="0050528F"/>
    <w:rsid w:val="00505C32"/>
    <w:rsid w:val="0050633E"/>
    <w:rsid w:val="00511726"/>
    <w:rsid w:val="00511BDC"/>
    <w:rsid w:val="00512419"/>
    <w:rsid w:val="00512CF9"/>
    <w:rsid w:val="00513769"/>
    <w:rsid w:val="00514237"/>
    <w:rsid w:val="005149A7"/>
    <w:rsid w:val="00514D2B"/>
    <w:rsid w:val="00515016"/>
    <w:rsid w:val="00515DB8"/>
    <w:rsid w:val="0051671C"/>
    <w:rsid w:val="00516A99"/>
    <w:rsid w:val="00517A4A"/>
    <w:rsid w:val="00520605"/>
    <w:rsid w:val="00520F8A"/>
    <w:rsid w:val="00521791"/>
    <w:rsid w:val="00522057"/>
    <w:rsid w:val="005229CF"/>
    <w:rsid w:val="005230BF"/>
    <w:rsid w:val="00524455"/>
    <w:rsid w:val="0052584D"/>
    <w:rsid w:val="005261DA"/>
    <w:rsid w:val="0052797C"/>
    <w:rsid w:val="0053007E"/>
    <w:rsid w:val="005318E8"/>
    <w:rsid w:val="0053467C"/>
    <w:rsid w:val="005346C6"/>
    <w:rsid w:val="0053487D"/>
    <w:rsid w:val="00534C00"/>
    <w:rsid w:val="0053538A"/>
    <w:rsid w:val="00535764"/>
    <w:rsid w:val="00536204"/>
    <w:rsid w:val="0053769D"/>
    <w:rsid w:val="00537D4B"/>
    <w:rsid w:val="00540ABA"/>
    <w:rsid w:val="005414BD"/>
    <w:rsid w:val="005415EE"/>
    <w:rsid w:val="005416BA"/>
    <w:rsid w:val="00542426"/>
    <w:rsid w:val="005445B0"/>
    <w:rsid w:val="00544AE3"/>
    <w:rsid w:val="00547143"/>
    <w:rsid w:val="00547369"/>
    <w:rsid w:val="00547602"/>
    <w:rsid w:val="00550216"/>
    <w:rsid w:val="0055429D"/>
    <w:rsid w:val="00554D8F"/>
    <w:rsid w:val="005553AD"/>
    <w:rsid w:val="00555602"/>
    <w:rsid w:val="005577FD"/>
    <w:rsid w:val="0055790B"/>
    <w:rsid w:val="00557A7A"/>
    <w:rsid w:val="00560233"/>
    <w:rsid w:val="00560326"/>
    <w:rsid w:val="00561DFD"/>
    <w:rsid w:val="00561F69"/>
    <w:rsid w:val="00562F1E"/>
    <w:rsid w:val="00563157"/>
    <w:rsid w:val="005646BD"/>
    <w:rsid w:val="00565847"/>
    <w:rsid w:val="005665AE"/>
    <w:rsid w:val="00570584"/>
    <w:rsid w:val="0057067F"/>
    <w:rsid w:val="0057109F"/>
    <w:rsid w:val="005738D5"/>
    <w:rsid w:val="00573CC2"/>
    <w:rsid w:val="0057405C"/>
    <w:rsid w:val="00574094"/>
    <w:rsid w:val="005743D1"/>
    <w:rsid w:val="005754B5"/>
    <w:rsid w:val="005758FE"/>
    <w:rsid w:val="0057702B"/>
    <w:rsid w:val="00577F10"/>
    <w:rsid w:val="00580554"/>
    <w:rsid w:val="00582102"/>
    <w:rsid w:val="005821A8"/>
    <w:rsid w:val="005859AE"/>
    <w:rsid w:val="00586621"/>
    <w:rsid w:val="005870C5"/>
    <w:rsid w:val="00590F1A"/>
    <w:rsid w:val="00591880"/>
    <w:rsid w:val="00591A76"/>
    <w:rsid w:val="00593BCD"/>
    <w:rsid w:val="00594DB0"/>
    <w:rsid w:val="0059502E"/>
    <w:rsid w:val="00595061"/>
    <w:rsid w:val="0059567A"/>
    <w:rsid w:val="00595E30"/>
    <w:rsid w:val="00595ED2"/>
    <w:rsid w:val="0059640B"/>
    <w:rsid w:val="00596EE8"/>
    <w:rsid w:val="00597DBD"/>
    <w:rsid w:val="005A18A3"/>
    <w:rsid w:val="005A1980"/>
    <w:rsid w:val="005A1DEC"/>
    <w:rsid w:val="005A23F8"/>
    <w:rsid w:val="005A2DC3"/>
    <w:rsid w:val="005A3D8B"/>
    <w:rsid w:val="005A4082"/>
    <w:rsid w:val="005A4BCF"/>
    <w:rsid w:val="005A4C83"/>
    <w:rsid w:val="005A4E05"/>
    <w:rsid w:val="005A52C2"/>
    <w:rsid w:val="005A581C"/>
    <w:rsid w:val="005A73B2"/>
    <w:rsid w:val="005A7D4B"/>
    <w:rsid w:val="005B1BF8"/>
    <w:rsid w:val="005B3E46"/>
    <w:rsid w:val="005B4581"/>
    <w:rsid w:val="005B65E8"/>
    <w:rsid w:val="005B78A2"/>
    <w:rsid w:val="005B7D5C"/>
    <w:rsid w:val="005C3E35"/>
    <w:rsid w:val="005C5A3F"/>
    <w:rsid w:val="005C6BC6"/>
    <w:rsid w:val="005D0DD8"/>
    <w:rsid w:val="005D20DD"/>
    <w:rsid w:val="005D2440"/>
    <w:rsid w:val="005D258D"/>
    <w:rsid w:val="005D41D0"/>
    <w:rsid w:val="005D62C0"/>
    <w:rsid w:val="005D6880"/>
    <w:rsid w:val="005D70EB"/>
    <w:rsid w:val="005D7169"/>
    <w:rsid w:val="005D7421"/>
    <w:rsid w:val="005E1511"/>
    <w:rsid w:val="005E198E"/>
    <w:rsid w:val="005E1B7C"/>
    <w:rsid w:val="005E3734"/>
    <w:rsid w:val="005E42D0"/>
    <w:rsid w:val="005E4404"/>
    <w:rsid w:val="005E46EE"/>
    <w:rsid w:val="005E5498"/>
    <w:rsid w:val="005E5864"/>
    <w:rsid w:val="005F0D19"/>
    <w:rsid w:val="005F1DCD"/>
    <w:rsid w:val="005F2137"/>
    <w:rsid w:val="005F3997"/>
    <w:rsid w:val="005F4A64"/>
    <w:rsid w:val="005F6281"/>
    <w:rsid w:val="005F7070"/>
    <w:rsid w:val="005F772D"/>
    <w:rsid w:val="00600226"/>
    <w:rsid w:val="00600B6A"/>
    <w:rsid w:val="006018B8"/>
    <w:rsid w:val="00602122"/>
    <w:rsid w:val="006033C3"/>
    <w:rsid w:val="006046B3"/>
    <w:rsid w:val="00604EB1"/>
    <w:rsid w:val="00604FC8"/>
    <w:rsid w:val="006078D4"/>
    <w:rsid w:val="00610BB9"/>
    <w:rsid w:val="00611127"/>
    <w:rsid w:val="006116CB"/>
    <w:rsid w:val="006126D4"/>
    <w:rsid w:val="00612B05"/>
    <w:rsid w:val="006138F0"/>
    <w:rsid w:val="00615100"/>
    <w:rsid w:val="0061581B"/>
    <w:rsid w:val="00615AB1"/>
    <w:rsid w:val="00616208"/>
    <w:rsid w:val="00617645"/>
    <w:rsid w:val="00617DF7"/>
    <w:rsid w:val="00617EC2"/>
    <w:rsid w:val="00622998"/>
    <w:rsid w:val="00623142"/>
    <w:rsid w:val="006232BE"/>
    <w:rsid w:val="006239B5"/>
    <w:rsid w:val="00623A03"/>
    <w:rsid w:val="00623B54"/>
    <w:rsid w:val="00624403"/>
    <w:rsid w:val="00625363"/>
    <w:rsid w:val="00625CF4"/>
    <w:rsid w:val="006264BD"/>
    <w:rsid w:val="00626D82"/>
    <w:rsid w:val="00626FD6"/>
    <w:rsid w:val="0062738B"/>
    <w:rsid w:val="00627643"/>
    <w:rsid w:val="00627699"/>
    <w:rsid w:val="0063062E"/>
    <w:rsid w:val="00631034"/>
    <w:rsid w:val="0063223F"/>
    <w:rsid w:val="0063224E"/>
    <w:rsid w:val="00632758"/>
    <w:rsid w:val="006340B3"/>
    <w:rsid w:val="006344E9"/>
    <w:rsid w:val="00635E9F"/>
    <w:rsid w:val="0063640C"/>
    <w:rsid w:val="00640BFA"/>
    <w:rsid w:val="00641C75"/>
    <w:rsid w:val="0064203B"/>
    <w:rsid w:val="00643928"/>
    <w:rsid w:val="006443A5"/>
    <w:rsid w:val="00644B6D"/>
    <w:rsid w:val="00644C64"/>
    <w:rsid w:val="00644CF4"/>
    <w:rsid w:val="00647A04"/>
    <w:rsid w:val="00650A7E"/>
    <w:rsid w:val="006521AC"/>
    <w:rsid w:val="0065537E"/>
    <w:rsid w:val="00656865"/>
    <w:rsid w:val="00656FE1"/>
    <w:rsid w:val="00657139"/>
    <w:rsid w:val="006601DF"/>
    <w:rsid w:val="006617BF"/>
    <w:rsid w:val="00661A58"/>
    <w:rsid w:val="006628D6"/>
    <w:rsid w:val="00662F94"/>
    <w:rsid w:val="00667C4F"/>
    <w:rsid w:val="006702D1"/>
    <w:rsid w:val="006713D1"/>
    <w:rsid w:val="006720FE"/>
    <w:rsid w:val="00672C83"/>
    <w:rsid w:val="00673E09"/>
    <w:rsid w:val="00674261"/>
    <w:rsid w:val="00674EC9"/>
    <w:rsid w:val="006756F3"/>
    <w:rsid w:val="00675C7A"/>
    <w:rsid w:val="00676BF8"/>
    <w:rsid w:val="0068027B"/>
    <w:rsid w:val="00682A8B"/>
    <w:rsid w:val="006844D2"/>
    <w:rsid w:val="00684EDB"/>
    <w:rsid w:val="00684FDB"/>
    <w:rsid w:val="0068536F"/>
    <w:rsid w:val="006857F5"/>
    <w:rsid w:val="00685D05"/>
    <w:rsid w:val="00685F5D"/>
    <w:rsid w:val="00686895"/>
    <w:rsid w:val="00687C7A"/>
    <w:rsid w:val="00687D3A"/>
    <w:rsid w:val="00690514"/>
    <w:rsid w:val="00690779"/>
    <w:rsid w:val="00691F60"/>
    <w:rsid w:val="006923EB"/>
    <w:rsid w:val="00692A16"/>
    <w:rsid w:val="00693AC2"/>
    <w:rsid w:val="006942EC"/>
    <w:rsid w:val="00694E5F"/>
    <w:rsid w:val="00695237"/>
    <w:rsid w:val="006957CF"/>
    <w:rsid w:val="00696A13"/>
    <w:rsid w:val="00696CD1"/>
    <w:rsid w:val="006975D3"/>
    <w:rsid w:val="00697CDE"/>
    <w:rsid w:val="006A0961"/>
    <w:rsid w:val="006A0EA8"/>
    <w:rsid w:val="006A3ACE"/>
    <w:rsid w:val="006A4930"/>
    <w:rsid w:val="006A5965"/>
    <w:rsid w:val="006A65AD"/>
    <w:rsid w:val="006A68D3"/>
    <w:rsid w:val="006A718B"/>
    <w:rsid w:val="006B11E3"/>
    <w:rsid w:val="006B191C"/>
    <w:rsid w:val="006B1C0F"/>
    <w:rsid w:val="006B3148"/>
    <w:rsid w:val="006B559A"/>
    <w:rsid w:val="006B5A8C"/>
    <w:rsid w:val="006B6160"/>
    <w:rsid w:val="006B6C32"/>
    <w:rsid w:val="006B78C8"/>
    <w:rsid w:val="006C05B2"/>
    <w:rsid w:val="006C06D9"/>
    <w:rsid w:val="006C14B5"/>
    <w:rsid w:val="006C1563"/>
    <w:rsid w:val="006C1C75"/>
    <w:rsid w:val="006C20FC"/>
    <w:rsid w:val="006C2A5A"/>
    <w:rsid w:val="006C2D21"/>
    <w:rsid w:val="006C31B6"/>
    <w:rsid w:val="006C6640"/>
    <w:rsid w:val="006C6B04"/>
    <w:rsid w:val="006C6BDB"/>
    <w:rsid w:val="006C784B"/>
    <w:rsid w:val="006D0CC3"/>
    <w:rsid w:val="006D270B"/>
    <w:rsid w:val="006D3598"/>
    <w:rsid w:val="006D38B6"/>
    <w:rsid w:val="006D42AE"/>
    <w:rsid w:val="006D4BF1"/>
    <w:rsid w:val="006D5E01"/>
    <w:rsid w:val="006D60FD"/>
    <w:rsid w:val="006D764D"/>
    <w:rsid w:val="006E0054"/>
    <w:rsid w:val="006E0497"/>
    <w:rsid w:val="006E06F8"/>
    <w:rsid w:val="006E102C"/>
    <w:rsid w:val="006E11A4"/>
    <w:rsid w:val="006E4330"/>
    <w:rsid w:val="006E4B98"/>
    <w:rsid w:val="006E5F0A"/>
    <w:rsid w:val="006E6FB4"/>
    <w:rsid w:val="006E7548"/>
    <w:rsid w:val="006E7F8E"/>
    <w:rsid w:val="006F1BB3"/>
    <w:rsid w:val="006F24C1"/>
    <w:rsid w:val="006F2CDE"/>
    <w:rsid w:val="006F4321"/>
    <w:rsid w:val="006F49CF"/>
    <w:rsid w:val="006F49F5"/>
    <w:rsid w:val="006F4AF2"/>
    <w:rsid w:val="006F57D6"/>
    <w:rsid w:val="006F6792"/>
    <w:rsid w:val="006F7751"/>
    <w:rsid w:val="006F7B18"/>
    <w:rsid w:val="007002D7"/>
    <w:rsid w:val="007007BC"/>
    <w:rsid w:val="00700D5F"/>
    <w:rsid w:val="00702B3D"/>
    <w:rsid w:val="007030DA"/>
    <w:rsid w:val="007044CD"/>
    <w:rsid w:val="00705646"/>
    <w:rsid w:val="00706BB5"/>
    <w:rsid w:val="007070C0"/>
    <w:rsid w:val="00707778"/>
    <w:rsid w:val="00707CE6"/>
    <w:rsid w:val="007119B9"/>
    <w:rsid w:val="007120B9"/>
    <w:rsid w:val="007152A3"/>
    <w:rsid w:val="007163D0"/>
    <w:rsid w:val="00717A7D"/>
    <w:rsid w:val="00720F2F"/>
    <w:rsid w:val="0072107B"/>
    <w:rsid w:val="0072213E"/>
    <w:rsid w:val="007226FD"/>
    <w:rsid w:val="00722D7D"/>
    <w:rsid w:val="00723ACA"/>
    <w:rsid w:val="00723C79"/>
    <w:rsid w:val="007249C9"/>
    <w:rsid w:val="00724A3D"/>
    <w:rsid w:val="0072567C"/>
    <w:rsid w:val="0072583F"/>
    <w:rsid w:val="00731966"/>
    <w:rsid w:val="00731C31"/>
    <w:rsid w:val="00731EBC"/>
    <w:rsid w:val="007336CD"/>
    <w:rsid w:val="007345A8"/>
    <w:rsid w:val="007359B8"/>
    <w:rsid w:val="007365AA"/>
    <w:rsid w:val="007408F7"/>
    <w:rsid w:val="00743093"/>
    <w:rsid w:val="00743959"/>
    <w:rsid w:val="007446D1"/>
    <w:rsid w:val="0074557A"/>
    <w:rsid w:val="0074578C"/>
    <w:rsid w:val="00746525"/>
    <w:rsid w:val="00747073"/>
    <w:rsid w:val="007477A6"/>
    <w:rsid w:val="0075048F"/>
    <w:rsid w:val="0075161E"/>
    <w:rsid w:val="0075225E"/>
    <w:rsid w:val="00752F6E"/>
    <w:rsid w:val="00754450"/>
    <w:rsid w:val="007545C5"/>
    <w:rsid w:val="00754A55"/>
    <w:rsid w:val="00754CAE"/>
    <w:rsid w:val="007551AF"/>
    <w:rsid w:val="0075603F"/>
    <w:rsid w:val="00760494"/>
    <w:rsid w:val="007607E2"/>
    <w:rsid w:val="00760A50"/>
    <w:rsid w:val="00760DDC"/>
    <w:rsid w:val="0076213F"/>
    <w:rsid w:val="007626B1"/>
    <w:rsid w:val="00762E77"/>
    <w:rsid w:val="00765158"/>
    <w:rsid w:val="00765CDA"/>
    <w:rsid w:val="00765D15"/>
    <w:rsid w:val="00766F49"/>
    <w:rsid w:val="00767C11"/>
    <w:rsid w:val="00771948"/>
    <w:rsid w:val="0077195F"/>
    <w:rsid w:val="00772A64"/>
    <w:rsid w:val="0077399F"/>
    <w:rsid w:val="00773DBC"/>
    <w:rsid w:val="00774B48"/>
    <w:rsid w:val="00775C20"/>
    <w:rsid w:val="00780536"/>
    <w:rsid w:val="00780B1A"/>
    <w:rsid w:val="00781AF2"/>
    <w:rsid w:val="00781F50"/>
    <w:rsid w:val="007823D1"/>
    <w:rsid w:val="00782D08"/>
    <w:rsid w:val="007840C3"/>
    <w:rsid w:val="00787493"/>
    <w:rsid w:val="00787667"/>
    <w:rsid w:val="00790303"/>
    <w:rsid w:val="00792414"/>
    <w:rsid w:val="00792AF4"/>
    <w:rsid w:val="0079353E"/>
    <w:rsid w:val="00794017"/>
    <w:rsid w:val="007944BD"/>
    <w:rsid w:val="00794853"/>
    <w:rsid w:val="0079498A"/>
    <w:rsid w:val="00794A6A"/>
    <w:rsid w:val="0079563B"/>
    <w:rsid w:val="007976B5"/>
    <w:rsid w:val="0079774B"/>
    <w:rsid w:val="007A0F60"/>
    <w:rsid w:val="007A11E5"/>
    <w:rsid w:val="007A27B3"/>
    <w:rsid w:val="007A331E"/>
    <w:rsid w:val="007A3757"/>
    <w:rsid w:val="007A5EA5"/>
    <w:rsid w:val="007A6964"/>
    <w:rsid w:val="007A74A0"/>
    <w:rsid w:val="007B007F"/>
    <w:rsid w:val="007B0CD3"/>
    <w:rsid w:val="007B11B6"/>
    <w:rsid w:val="007B268F"/>
    <w:rsid w:val="007B4CAE"/>
    <w:rsid w:val="007B5771"/>
    <w:rsid w:val="007B5A79"/>
    <w:rsid w:val="007B6953"/>
    <w:rsid w:val="007B7672"/>
    <w:rsid w:val="007B7CB2"/>
    <w:rsid w:val="007C1314"/>
    <w:rsid w:val="007C1DD1"/>
    <w:rsid w:val="007C41DD"/>
    <w:rsid w:val="007C43A0"/>
    <w:rsid w:val="007C6458"/>
    <w:rsid w:val="007C6E39"/>
    <w:rsid w:val="007D0C3D"/>
    <w:rsid w:val="007D1326"/>
    <w:rsid w:val="007D24A8"/>
    <w:rsid w:val="007D2923"/>
    <w:rsid w:val="007D29FA"/>
    <w:rsid w:val="007D2EF7"/>
    <w:rsid w:val="007D5BE9"/>
    <w:rsid w:val="007D6240"/>
    <w:rsid w:val="007D675D"/>
    <w:rsid w:val="007D6CD8"/>
    <w:rsid w:val="007D7553"/>
    <w:rsid w:val="007D76F5"/>
    <w:rsid w:val="007E0943"/>
    <w:rsid w:val="007E1504"/>
    <w:rsid w:val="007E1D1F"/>
    <w:rsid w:val="007E23D6"/>
    <w:rsid w:val="007E38FD"/>
    <w:rsid w:val="007E417E"/>
    <w:rsid w:val="007E555E"/>
    <w:rsid w:val="007E6762"/>
    <w:rsid w:val="007E7B31"/>
    <w:rsid w:val="007E7FF1"/>
    <w:rsid w:val="007F189B"/>
    <w:rsid w:val="007F3C5E"/>
    <w:rsid w:val="007F4DED"/>
    <w:rsid w:val="007F5ACD"/>
    <w:rsid w:val="007F6007"/>
    <w:rsid w:val="007F6DF8"/>
    <w:rsid w:val="007F747E"/>
    <w:rsid w:val="00801FE8"/>
    <w:rsid w:val="008022B3"/>
    <w:rsid w:val="008022E8"/>
    <w:rsid w:val="0080256A"/>
    <w:rsid w:val="008042A5"/>
    <w:rsid w:val="00807F1E"/>
    <w:rsid w:val="008112D1"/>
    <w:rsid w:val="008127BC"/>
    <w:rsid w:val="0081303B"/>
    <w:rsid w:val="00813A98"/>
    <w:rsid w:val="00816232"/>
    <w:rsid w:val="008164B4"/>
    <w:rsid w:val="008168EF"/>
    <w:rsid w:val="00820292"/>
    <w:rsid w:val="0082092C"/>
    <w:rsid w:val="0082254E"/>
    <w:rsid w:val="00822B3D"/>
    <w:rsid w:val="00822B60"/>
    <w:rsid w:val="0082321A"/>
    <w:rsid w:val="008250E3"/>
    <w:rsid w:val="00825AF7"/>
    <w:rsid w:val="008260CB"/>
    <w:rsid w:val="008265FA"/>
    <w:rsid w:val="008268D6"/>
    <w:rsid w:val="00827027"/>
    <w:rsid w:val="0082742B"/>
    <w:rsid w:val="00830E15"/>
    <w:rsid w:val="0083158F"/>
    <w:rsid w:val="008317B9"/>
    <w:rsid w:val="00833E04"/>
    <w:rsid w:val="008346CC"/>
    <w:rsid w:val="00834A58"/>
    <w:rsid w:val="008352CD"/>
    <w:rsid w:val="008354AE"/>
    <w:rsid w:val="00836B4C"/>
    <w:rsid w:val="00836C62"/>
    <w:rsid w:val="00836CEE"/>
    <w:rsid w:val="00837115"/>
    <w:rsid w:val="0083774F"/>
    <w:rsid w:val="00837B64"/>
    <w:rsid w:val="008430FD"/>
    <w:rsid w:val="008436E3"/>
    <w:rsid w:val="00844D2F"/>
    <w:rsid w:val="00846525"/>
    <w:rsid w:val="00846658"/>
    <w:rsid w:val="00846D51"/>
    <w:rsid w:val="008473C1"/>
    <w:rsid w:val="00847915"/>
    <w:rsid w:val="00847B46"/>
    <w:rsid w:val="008501F9"/>
    <w:rsid w:val="008505D6"/>
    <w:rsid w:val="00850CE1"/>
    <w:rsid w:val="00851436"/>
    <w:rsid w:val="00851792"/>
    <w:rsid w:val="00851E25"/>
    <w:rsid w:val="008520BA"/>
    <w:rsid w:val="008521AE"/>
    <w:rsid w:val="00852F9E"/>
    <w:rsid w:val="008536E9"/>
    <w:rsid w:val="00856F1D"/>
    <w:rsid w:val="00857659"/>
    <w:rsid w:val="0086028B"/>
    <w:rsid w:val="00860533"/>
    <w:rsid w:val="00863040"/>
    <w:rsid w:val="0086328F"/>
    <w:rsid w:val="00865716"/>
    <w:rsid w:val="00865968"/>
    <w:rsid w:val="0086734F"/>
    <w:rsid w:val="00867847"/>
    <w:rsid w:val="00870FF3"/>
    <w:rsid w:val="008724C4"/>
    <w:rsid w:val="00872BC7"/>
    <w:rsid w:val="00873576"/>
    <w:rsid w:val="008738CB"/>
    <w:rsid w:val="00874710"/>
    <w:rsid w:val="00874785"/>
    <w:rsid w:val="00874CC3"/>
    <w:rsid w:val="00874EAE"/>
    <w:rsid w:val="008767F8"/>
    <w:rsid w:val="00876AFB"/>
    <w:rsid w:val="0088004B"/>
    <w:rsid w:val="00880D4B"/>
    <w:rsid w:val="00880ECA"/>
    <w:rsid w:val="00881D94"/>
    <w:rsid w:val="00881EDE"/>
    <w:rsid w:val="008820E0"/>
    <w:rsid w:val="00882F72"/>
    <w:rsid w:val="0088376F"/>
    <w:rsid w:val="00883B0A"/>
    <w:rsid w:val="00884F51"/>
    <w:rsid w:val="008856A1"/>
    <w:rsid w:val="00886013"/>
    <w:rsid w:val="008865E0"/>
    <w:rsid w:val="00886CB9"/>
    <w:rsid w:val="00887C94"/>
    <w:rsid w:val="00887CAA"/>
    <w:rsid w:val="00887EA7"/>
    <w:rsid w:val="00891CD5"/>
    <w:rsid w:val="00891DB5"/>
    <w:rsid w:val="00891F7E"/>
    <w:rsid w:val="00892208"/>
    <w:rsid w:val="00893202"/>
    <w:rsid w:val="00893A3D"/>
    <w:rsid w:val="0089555E"/>
    <w:rsid w:val="00895878"/>
    <w:rsid w:val="0089596D"/>
    <w:rsid w:val="00895FF4"/>
    <w:rsid w:val="00897AD7"/>
    <w:rsid w:val="008A0DD8"/>
    <w:rsid w:val="008A1835"/>
    <w:rsid w:val="008A2339"/>
    <w:rsid w:val="008A4BBC"/>
    <w:rsid w:val="008A52B7"/>
    <w:rsid w:val="008A5598"/>
    <w:rsid w:val="008A5B43"/>
    <w:rsid w:val="008A66B4"/>
    <w:rsid w:val="008A7EA6"/>
    <w:rsid w:val="008B0015"/>
    <w:rsid w:val="008B1D97"/>
    <w:rsid w:val="008B20E1"/>
    <w:rsid w:val="008B2281"/>
    <w:rsid w:val="008B4992"/>
    <w:rsid w:val="008B4C3F"/>
    <w:rsid w:val="008B4F85"/>
    <w:rsid w:val="008B5965"/>
    <w:rsid w:val="008B5D39"/>
    <w:rsid w:val="008B68B4"/>
    <w:rsid w:val="008B7923"/>
    <w:rsid w:val="008B7DD1"/>
    <w:rsid w:val="008C141C"/>
    <w:rsid w:val="008C193E"/>
    <w:rsid w:val="008C1FA5"/>
    <w:rsid w:val="008C208F"/>
    <w:rsid w:val="008C20DF"/>
    <w:rsid w:val="008C3E5F"/>
    <w:rsid w:val="008C40A4"/>
    <w:rsid w:val="008C43A2"/>
    <w:rsid w:val="008C60B4"/>
    <w:rsid w:val="008C7B00"/>
    <w:rsid w:val="008D1055"/>
    <w:rsid w:val="008D14EF"/>
    <w:rsid w:val="008D19C9"/>
    <w:rsid w:val="008D3AFE"/>
    <w:rsid w:val="008D3DEE"/>
    <w:rsid w:val="008D45C8"/>
    <w:rsid w:val="008D5022"/>
    <w:rsid w:val="008D52B4"/>
    <w:rsid w:val="008D5E5D"/>
    <w:rsid w:val="008D6C09"/>
    <w:rsid w:val="008D79C9"/>
    <w:rsid w:val="008E0687"/>
    <w:rsid w:val="008E071F"/>
    <w:rsid w:val="008E07C0"/>
    <w:rsid w:val="008E0FDE"/>
    <w:rsid w:val="008E288E"/>
    <w:rsid w:val="008E3CF7"/>
    <w:rsid w:val="008E3E31"/>
    <w:rsid w:val="008E6A68"/>
    <w:rsid w:val="008E7A10"/>
    <w:rsid w:val="008F04B1"/>
    <w:rsid w:val="008F106C"/>
    <w:rsid w:val="008F1C26"/>
    <w:rsid w:val="008F25E0"/>
    <w:rsid w:val="008F2B6A"/>
    <w:rsid w:val="008F2F0A"/>
    <w:rsid w:val="008F4CB5"/>
    <w:rsid w:val="008F6224"/>
    <w:rsid w:val="008F68E1"/>
    <w:rsid w:val="008F6F39"/>
    <w:rsid w:val="008F7392"/>
    <w:rsid w:val="00900465"/>
    <w:rsid w:val="00901A22"/>
    <w:rsid w:val="009030D1"/>
    <w:rsid w:val="0090319A"/>
    <w:rsid w:val="0090365F"/>
    <w:rsid w:val="00903EFA"/>
    <w:rsid w:val="0090435D"/>
    <w:rsid w:val="00905885"/>
    <w:rsid w:val="0090601E"/>
    <w:rsid w:val="00907709"/>
    <w:rsid w:val="009117D1"/>
    <w:rsid w:val="00911807"/>
    <w:rsid w:val="009120AB"/>
    <w:rsid w:val="009136F3"/>
    <w:rsid w:val="00913CE4"/>
    <w:rsid w:val="00913E06"/>
    <w:rsid w:val="00915090"/>
    <w:rsid w:val="009161E0"/>
    <w:rsid w:val="009174A8"/>
    <w:rsid w:val="00921CA2"/>
    <w:rsid w:val="009228F9"/>
    <w:rsid w:val="00922D1D"/>
    <w:rsid w:val="009236D4"/>
    <w:rsid w:val="00924B4D"/>
    <w:rsid w:val="00924D8C"/>
    <w:rsid w:val="009267B2"/>
    <w:rsid w:val="00926A12"/>
    <w:rsid w:val="00926B67"/>
    <w:rsid w:val="009274EF"/>
    <w:rsid w:val="009276FC"/>
    <w:rsid w:val="00933871"/>
    <w:rsid w:val="009351D3"/>
    <w:rsid w:val="009367F1"/>
    <w:rsid w:val="00937AAC"/>
    <w:rsid w:val="0094049E"/>
    <w:rsid w:val="00940D78"/>
    <w:rsid w:val="00940F43"/>
    <w:rsid w:val="00942F36"/>
    <w:rsid w:val="00943543"/>
    <w:rsid w:val="009445F4"/>
    <w:rsid w:val="009455A9"/>
    <w:rsid w:val="009529E4"/>
    <w:rsid w:val="009538E7"/>
    <w:rsid w:val="0095528F"/>
    <w:rsid w:val="0095645E"/>
    <w:rsid w:val="009568C9"/>
    <w:rsid w:val="00956E8F"/>
    <w:rsid w:val="00957130"/>
    <w:rsid w:val="0095778F"/>
    <w:rsid w:val="009605EC"/>
    <w:rsid w:val="00963407"/>
    <w:rsid w:val="009634E7"/>
    <w:rsid w:val="009646FD"/>
    <w:rsid w:val="00964B35"/>
    <w:rsid w:val="00966DC1"/>
    <w:rsid w:val="009701E2"/>
    <w:rsid w:val="00970952"/>
    <w:rsid w:val="00970FB5"/>
    <w:rsid w:val="0097274B"/>
    <w:rsid w:val="00972BC5"/>
    <w:rsid w:val="00972DB5"/>
    <w:rsid w:val="00973BE1"/>
    <w:rsid w:val="00973C89"/>
    <w:rsid w:val="0097529F"/>
    <w:rsid w:val="00975A14"/>
    <w:rsid w:val="00976626"/>
    <w:rsid w:val="00976768"/>
    <w:rsid w:val="009771F1"/>
    <w:rsid w:val="009803FA"/>
    <w:rsid w:val="009809E9"/>
    <w:rsid w:val="00982976"/>
    <w:rsid w:val="00983913"/>
    <w:rsid w:val="009841FF"/>
    <w:rsid w:val="00984FCB"/>
    <w:rsid w:val="009856F6"/>
    <w:rsid w:val="0098616B"/>
    <w:rsid w:val="0098647C"/>
    <w:rsid w:val="009866C6"/>
    <w:rsid w:val="0098789F"/>
    <w:rsid w:val="00987EE9"/>
    <w:rsid w:val="00990742"/>
    <w:rsid w:val="00990DAB"/>
    <w:rsid w:val="00991046"/>
    <w:rsid w:val="0099196B"/>
    <w:rsid w:val="009919C1"/>
    <w:rsid w:val="00992783"/>
    <w:rsid w:val="0099387A"/>
    <w:rsid w:val="00995100"/>
    <w:rsid w:val="00995DA1"/>
    <w:rsid w:val="00996367"/>
    <w:rsid w:val="009972CD"/>
    <w:rsid w:val="009A096F"/>
    <w:rsid w:val="009A1576"/>
    <w:rsid w:val="009A2291"/>
    <w:rsid w:val="009A3952"/>
    <w:rsid w:val="009A4975"/>
    <w:rsid w:val="009A5176"/>
    <w:rsid w:val="009A66C1"/>
    <w:rsid w:val="009B07F7"/>
    <w:rsid w:val="009B08EE"/>
    <w:rsid w:val="009B107A"/>
    <w:rsid w:val="009B206F"/>
    <w:rsid w:val="009B24FF"/>
    <w:rsid w:val="009B2D47"/>
    <w:rsid w:val="009B32E9"/>
    <w:rsid w:val="009B4657"/>
    <w:rsid w:val="009B4B7C"/>
    <w:rsid w:val="009B519D"/>
    <w:rsid w:val="009B5893"/>
    <w:rsid w:val="009B5A74"/>
    <w:rsid w:val="009B5AC4"/>
    <w:rsid w:val="009B5C24"/>
    <w:rsid w:val="009B6F97"/>
    <w:rsid w:val="009B7049"/>
    <w:rsid w:val="009B790C"/>
    <w:rsid w:val="009C0BB6"/>
    <w:rsid w:val="009C0D07"/>
    <w:rsid w:val="009C15AF"/>
    <w:rsid w:val="009C24DB"/>
    <w:rsid w:val="009C25C1"/>
    <w:rsid w:val="009C265E"/>
    <w:rsid w:val="009C2A54"/>
    <w:rsid w:val="009C2E7F"/>
    <w:rsid w:val="009C5614"/>
    <w:rsid w:val="009C7CE5"/>
    <w:rsid w:val="009D05D9"/>
    <w:rsid w:val="009D05FC"/>
    <w:rsid w:val="009D23E7"/>
    <w:rsid w:val="009D254C"/>
    <w:rsid w:val="009D3216"/>
    <w:rsid w:val="009D3D06"/>
    <w:rsid w:val="009D47C7"/>
    <w:rsid w:val="009D4D5A"/>
    <w:rsid w:val="009D5C5F"/>
    <w:rsid w:val="009D61CE"/>
    <w:rsid w:val="009D6891"/>
    <w:rsid w:val="009D7D8C"/>
    <w:rsid w:val="009E12EB"/>
    <w:rsid w:val="009E178E"/>
    <w:rsid w:val="009E315B"/>
    <w:rsid w:val="009E4C45"/>
    <w:rsid w:val="009E502C"/>
    <w:rsid w:val="009E60C0"/>
    <w:rsid w:val="009E6196"/>
    <w:rsid w:val="009E7CB7"/>
    <w:rsid w:val="009F04ED"/>
    <w:rsid w:val="009F0CC8"/>
    <w:rsid w:val="009F2C8E"/>
    <w:rsid w:val="009F44F5"/>
    <w:rsid w:val="009F4967"/>
    <w:rsid w:val="009F4C0C"/>
    <w:rsid w:val="009F571C"/>
    <w:rsid w:val="009F7F96"/>
    <w:rsid w:val="00A0081F"/>
    <w:rsid w:val="00A035CF"/>
    <w:rsid w:val="00A03772"/>
    <w:rsid w:val="00A04476"/>
    <w:rsid w:val="00A04B5F"/>
    <w:rsid w:val="00A0737D"/>
    <w:rsid w:val="00A07D89"/>
    <w:rsid w:val="00A10D89"/>
    <w:rsid w:val="00A10E42"/>
    <w:rsid w:val="00A128BF"/>
    <w:rsid w:val="00A12CE2"/>
    <w:rsid w:val="00A13DE6"/>
    <w:rsid w:val="00A153DD"/>
    <w:rsid w:val="00A1550A"/>
    <w:rsid w:val="00A15871"/>
    <w:rsid w:val="00A15AAE"/>
    <w:rsid w:val="00A16CA0"/>
    <w:rsid w:val="00A17406"/>
    <w:rsid w:val="00A20084"/>
    <w:rsid w:val="00A2039B"/>
    <w:rsid w:val="00A207FB"/>
    <w:rsid w:val="00A20BF0"/>
    <w:rsid w:val="00A210CF"/>
    <w:rsid w:val="00A21FFD"/>
    <w:rsid w:val="00A235DC"/>
    <w:rsid w:val="00A24475"/>
    <w:rsid w:val="00A249CF"/>
    <w:rsid w:val="00A24B46"/>
    <w:rsid w:val="00A24FA8"/>
    <w:rsid w:val="00A25207"/>
    <w:rsid w:val="00A25DFF"/>
    <w:rsid w:val="00A25E83"/>
    <w:rsid w:val="00A26530"/>
    <w:rsid w:val="00A27643"/>
    <w:rsid w:val="00A30447"/>
    <w:rsid w:val="00A3078D"/>
    <w:rsid w:val="00A30EE5"/>
    <w:rsid w:val="00A30F3A"/>
    <w:rsid w:val="00A31F61"/>
    <w:rsid w:val="00A33D6F"/>
    <w:rsid w:val="00A353DF"/>
    <w:rsid w:val="00A359A7"/>
    <w:rsid w:val="00A37067"/>
    <w:rsid w:val="00A40696"/>
    <w:rsid w:val="00A42A63"/>
    <w:rsid w:val="00A43520"/>
    <w:rsid w:val="00A442A8"/>
    <w:rsid w:val="00A4463C"/>
    <w:rsid w:val="00A453E3"/>
    <w:rsid w:val="00A455F1"/>
    <w:rsid w:val="00A470F4"/>
    <w:rsid w:val="00A4716A"/>
    <w:rsid w:val="00A529F7"/>
    <w:rsid w:val="00A53DE8"/>
    <w:rsid w:val="00A54113"/>
    <w:rsid w:val="00A54863"/>
    <w:rsid w:val="00A567AE"/>
    <w:rsid w:val="00A5782E"/>
    <w:rsid w:val="00A603BE"/>
    <w:rsid w:val="00A618AF"/>
    <w:rsid w:val="00A62C0F"/>
    <w:rsid w:val="00A63FF8"/>
    <w:rsid w:val="00A644F0"/>
    <w:rsid w:val="00A64EA9"/>
    <w:rsid w:val="00A65202"/>
    <w:rsid w:val="00A65FED"/>
    <w:rsid w:val="00A661AC"/>
    <w:rsid w:val="00A66324"/>
    <w:rsid w:val="00A669A2"/>
    <w:rsid w:val="00A674BC"/>
    <w:rsid w:val="00A702D8"/>
    <w:rsid w:val="00A71498"/>
    <w:rsid w:val="00A7204A"/>
    <w:rsid w:val="00A73B5A"/>
    <w:rsid w:val="00A74155"/>
    <w:rsid w:val="00A75635"/>
    <w:rsid w:val="00A75DAD"/>
    <w:rsid w:val="00A762EA"/>
    <w:rsid w:val="00A801BF"/>
    <w:rsid w:val="00A80A37"/>
    <w:rsid w:val="00A824F1"/>
    <w:rsid w:val="00A82FF0"/>
    <w:rsid w:val="00A83381"/>
    <w:rsid w:val="00A83676"/>
    <w:rsid w:val="00A846E5"/>
    <w:rsid w:val="00A84AD6"/>
    <w:rsid w:val="00A84DE4"/>
    <w:rsid w:val="00A864AA"/>
    <w:rsid w:val="00A902D1"/>
    <w:rsid w:val="00A90B94"/>
    <w:rsid w:val="00A914EF"/>
    <w:rsid w:val="00A917DA"/>
    <w:rsid w:val="00A9363D"/>
    <w:rsid w:val="00A936E1"/>
    <w:rsid w:val="00A93C47"/>
    <w:rsid w:val="00A93E4B"/>
    <w:rsid w:val="00A95A92"/>
    <w:rsid w:val="00A965C3"/>
    <w:rsid w:val="00A96B16"/>
    <w:rsid w:val="00A96B4E"/>
    <w:rsid w:val="00A96CC9"/>
    <w:rsid w:val="00A96D45"/>
    <w:rsid w:val="00A97288"/>
    <w:rsid w:val="00A974B0"/>
    <w:rsid w:val="00A9786A"/>
    <w:rsid w:val="00AA1198"/>
    <w:rsid w:val="00AA2338"/>
    <w:rsid w:val="00AA2478"/>
    <w:rsid w:val="00AA2AA4"/>
    <w:rsid w:val="00AA30DF"/>
    <w:rsid w:val="00AA3780"/>
    <w:rsid w:val="00AA3E0F"/>
    <w:rsid w:val="00AA5C0A"/>
    <w:rsid w:val="00AA6033"/>
    <w:rsid w:val="00AA6246"/>
    <w:rsid w:val="00AA6520"/>
    <w:rsid w:val="00AA66D2"/>
    <w:rsid w:val="00AB0154"/>
    <w:rsid w:val="00AB018B"/>
    <w:rsid w:val="00AB0AF1"/>
    <w:rsid w:val="00AB107F"/>
    <w:rsid w:val="00AB1AB7"/>
    <w:rsid w:val="00AB2E68"/>
    <w:rsid w:val="00AB6114"/>
    <w:rsid w:val="00AB6F76"/>
    <w:rsid w:val="00AB6FDB"/>
    <w:rsid w:val="00AB76D2"/>
    <w:rsid w:val="00AB7767"/>
    <w:rsid w:val="00AC042C"/>
    <w:rsid w:val="00AC05DF"/>
    <w:rsid w:val="00AC1B3D"/>
    <w:rsid w:val="00AC2A68"/>
    <w:rsid w:val="00AC2CB5"/>
    <w:rsid w:val="00AC3628"/>
    <w:rsid w:val="00AC42E9"/>
    <w:rsid w:val="00AC57C0"/>
    <w:rsid w:val="00AC6176"/>
    <w:rsid w:val="00AC7754"/>
    <w:rsid w:val="00AC7799"/>
    <w:rsid w:val="00AD1DF2"/>
    <w:rsid w:val="00AD20D6"/>
    <w:rsid w:val="00AD2B7D"/>
    <w:rsid w:val="00AD49DB"/>
    <w:rsid w:val="00AD5297"/>
    <w:rsid w:val="00AD5DB7"/>
    <w:rsid w:val="00AE07B6"/>
    <w:rsid w:val="00AE0DFD"/>
    <w:rsid w:val="00AE13A1"/>
    <w:rsid w:val="00AE1AAB"/>
    <w:rsid w:val="00AE21F4"/>
    <w:rsid w:val="00AE2233"/>
    <w:rsid w:val="00AE3C6E"/>
    <w:rsid w:val="00AE47E3"/>
    <w:rsid w:val="00AE52C6"/>
    <w:rsid w:val="00AE54CB"/>
    <w:rsid w:val="00AE5E08"/>
    <w:rsid w:val="00AF0B03"/>
    <w:rsid w:val="00AF13FC"/>
    <w:rsid w:val="00AF207C"/>
    <w:rsid w:val="00AF2CBE"/>
    <w:rsid w:val="00AF42DA"/>
    <w:rsid w:val="00AF638E"/>
    <w:rsid w:val="00AF6C4D"/>
    <w:rsid w:val="00AF7BD7"/>
    <w:rsid w:val="00B00509"/>
    <w:rsid w:val="00B0114F"/>
    <w:rsid w:val="00B018C8"/>
    <w:rsid w:val="00B02F2C"/>
    <w:rsid w:val="00B03556"/>
    <w:rsid w:val="00B03C8A"/>
    <w:rsid w:val="00B043B3"/>
    <w:rsid w:val="00B052C8"/>
    <w:rsid w:val="00B067F0"/>
    <w:rsid w:val="00B07608"/>
    <w:rsid w:val="00B1004D"/>
    <w:rsid w:val="00B10953"/>
    <w:rsid w:val="00B11FF1"/>
    <w:rsid w:val="00B12786"/>
    <w:rsid w:val="00B137D0"/>
    <w:rsid w:val="00B13D38"/>
    <w:rsid w:val="00B14380"/>
    <w:rsid w:val="00B14B33"/>
    <w:rsid w:val="00B14FDD"/>
    <w:rsid w:val="00B175C8"/>
    <w:rsid w:val="00B177DA"/>
    <w:rsid w:val="00B17E33"/>
    <w:rsid w:val="00B2011B"/>
    <w:rsid w:val="00B20F55"/>
    <w:rsid w:val="00B21093"/>
    <w:rsid w:val="00B22C99"/>
    <w:rsid w:val="00B2359D"/>
    <w:rsid w:val="00B24974"/>
    <w:rsid w:val="00B24B68"/>
    <w:rsid w:val="00B25610"/>
    <w:rsid w:val="00B26450"/>
    <w:rsid w:val="00B26966"/>
    <w:rsid w:val="00B276DC"/>
    <w:rsid w:val="00B3095C"/>
    <w:rsid w:val="00B30D3D"/>
    <w:rsid w:val="00B33081"/>
    <w:rsid w:val="00B361F4"/>
    <w:rsid w:val="00B364ED"/>
    <w:rsid w:val="00B37C5F"/>
    <w:rsid w:val="00B37F93"/>
    <w:rsid w:val="00B42246"/>
    <w:rsid w:val="00B42F51"/>
    <w:rsid w:val="00B43CDC"/>
    <w:rsid w:val="00B44296"/>
    <w:rsid w:val="00B44926"/>
    <w:rsid w:val="00B467D6"/>
    <w:rsid w:val="00B46B85"/>
    <w:rsid w:val="00B46DED"/>
    <w:rsid w:val="00B471D4"/>
    <w:rsid w:val="00B47AE8"/>
    <w:rsid w:val="00B501A0"/>
    <w:rsid w:val="00B50ED1"/>
    <w:rsid w:val="00B52298"/>
    <w:rsid w:val="00B52ABC"/>
    <w:rsid w:val="00B53C78"/>
    <w:rsid w:val="00B541FD"/>
    <w:rsid w:val="00B55678"/>
    <w:rsid w:val="00B55736"/>
    <w:rsid w:val="00B6067E"/>
    <w:rsid w:val="00B608AA"/>
    <w:rsid w:val="00B61FBC"/>
    <w:rsid w:val="00B62C91"/>
    <w:rsid w:val="00B63067"/>
    <w:rsid w:val="00B6361E"/>
    <w:rsid w:val="00B637A1"/>
    <w:rsid w:val="00B64F04"/>
    <w:rsid w:val="00B6580B"/>
    <w:rsid w:val="00B65B2D"/>
    <w:rsid w:val="00B67934"/>
    <w:rsid w:val="00B67C42"/>
    <w:rsid w:val="00B7014E"/>
    <w:rsid w:val="00B706DA"/>
    <w:rsid w:val="00B708E2"/>
    <w:rsid w:val="00B70D4E"/>
    <w:rsid w:val="00B7148D"/>
    <w:rsid w:val="00B7161A"/>
    <w:rsid w:val="00B7196E"/>
    <w:rsid w:val="00B725DD"/>
    <w:rsid w:val="00B747CB"/>
    <w:rsid w:val="00B74ECE"/>
    <w:rsid w:val="00B75352"/>
    <w:rsid w:val="00B76C7D"/>
    <w:rsid w:val="00B76E14"/>
    <w:rsid w:val="00B770E8"/>
    <w:rsid w:val="00B77576"/>
    <w:rsid w:val="00B81A6F"/>
    <w:rsid w:val="00B81F70"/>
    <w:rsid w:val="00B83C7D"/>
    <w:rsid w:val="00B83D14"/>
    <w:rsid w:val="00B8408E"/>
    <w:rsid w:val="00B8495B"/>
    <w:rsid w:val="00B8538A"/>
    <w:rsid w:val="00B856D5"/>
    <w:rsid w:val="00B87CEE"/>
    <w:rsid w:val="00B908D2"/>
    <w:rsid w:val="00B9145B"/>
    <w:rsid w:val="00B91704"/>
    <w:rsid w:val="00B929D5"/>
    <w:rsid w:val="00B92E51"/>
    <w:rsid w:val="00B93DEC"/>
    <w:rsid w:val="00B942D4"/>
    <w:rsid w:val="00B94D50"/>
    <w:rsid w:val="00B95644"/>
    <w:rsid w:val="00B95831"/>
    <w:rsid w:val="00B95838"/>
    <w:rsid w:val="00B95933"/>
    <w:rsid w:val="00B96757"/>
    <w:rsid w:val="00B96AD5"/>
    <w:rsid w:val="00B96D69"/>
    <w:rsid w:val="00B96FC9"/>
    <w:rsid w:val="00B97284"/>
    <w:rsid w:val="00B97776"/>
    <w:rsid w:val="00B97B88"/>
    <w:rsid w:val="00BA217D"/>
    <w:rsid w:val="00BA2D58"/>
    <w:rsid w:val="00BA3B71"/>
    <w:rsid w:val="00BA4F52"/>
    <w:rsid w:val="00BA5065"/>
    <w:rsid w:val="00BA515F"/>
    <w:rsid w:val="00BA518A"/>
    <w:rsid w:val="00BA55EF"/>
    <w:rsid w:val="00BA6EE6"/>
    <w:rsid w:val="00BA7F39"/>
    <w:rsid w:val="00BB0E88"/>
    <w:rsid w:val="00BB10AE"/>
    <w:rsid w:val="00BB3543"/>
    <w:rsid w:val="00BB44D4"/>
    <w:rsid w:val="00BB557E"/>
    <w:rsid w:val="00BB6EFD"/>
    <w:rsid w:val="00BB74E2"/>
    <w:rsid w:val="00BB753A"/>
    <w:rsid w:val="00BB767D"/>
    <w:rsid w:val="00BC001D"/>
    <w:rsid w:val="00BC5834"/>
    <w:rsid w:val="00BC6C7D"/>
    <w:rsid w:val="00BC76F7"/>
    <w:rsid w:val="00BD01DB"/>
    <w:rsid w:val="00BD061D"/>
    <w:rsid w:val="00BD07DC"/>
    <w:rsid w:val="00BD0D5A"/>
    <w:rsid w:val="00BD10CF"/>
    <w:rsid w:val="00BD18EF"/>
    <w:rsid w:val="00BD1E61"/>
    <w:rsid w:val="00BD280C"/>
    <w:rsid w:val="00BD2E92"/>
    <w:rsid w:val="00BD5667"/>
    <w:rsid w:val="00BD592E"/>
    <w:rsid w:val="00BD676E"/>
    <w:rsid w:val="00BD7440"/>
    <w:rsid w:val="00BD74DB"/>
    <w:rsid w:val="00BE0950"/>
    <w:rsid w:val="00BE14AB"/>
    <w:rsid w:val="00BE44D0"/>
    <w:rsid w:val="00BE4E1B"/>
    <w:rsid w:val="00BE5100"/>
    <w:rsid w:val="00BF0975"/>
    <w:rsid w:val="00BF1180"/>
    <w:rsid w:val="00BF1621"/>
    <w:rsid w:val="00BF257D"/>
    <w:rsid w:val="00BF3130"/>
    <w:rsid w:val="00BF385B"/>
    <w:rsid w:val="00BF3945"/>
    <w:rsid w:val="00BF4FE4"/>
    <w:rsid w:val="00BF6D05"/>
    <w:rsid w:val="00BF7002"/>
    <w:rsid w:val="00BF78FF"/>
    <w:rsid w:val="00C00628"/>
    <w:rsid w:val="00C026FD"/>
    <w:rsid w:val="00C049EC"/>
    <w:rsid w:val="00C04A1B"/>
    <w:rsid w:val="00C04C6A"/>
    <w:rsid w:val="00C057BD"/>
    <w:rsid w:val="00C05DCC"/>
    <w:rsid w:val="00C06444"/>
    <w:rsid w:val="00C0789C"/>
    <w:rsid w:val="00C12137"/>
    <w:rsid w:val="00C126AE"/>
    <w:rsid w:val="00C137A2"/>
    <w:rsid w:val="00C14020"/>
    <w:rsid w:val="00C14913"/>
    <w:rsid w:val="00C15B02"/>
    <w:rsid w:val="00C15C7A"/>
    <w:rsid w:val="00C16C26"/>
    <w:rsid w:val="00C1724F"/>
    <w:rsid w:val="00C178B3"/>
    <w:rsid w:val="00C2031F"/>
    <w:rsid w:val="00C210B4"/>
    <w:rsid w:val="00C2122D"/>
    <w:rsid w:val="00C216D9"/>
    <w:rsid w:val="00C21A6D"/>
    <w:rsid w:val="00C21DB8"/>
    <w:rsid w:val="00C22716"/>
    <w:rsid w:val="00C22938"/>
    <w:rsid w:val="00C22A01"/>
    <w:rsid w:val="00C22ABF"/>
    <w:rsid w:val="00C2498D"/>
    <w:rsid w:val="00C27FD3"/>
    <w:rsid w:val="00C3019A"/>
    <w:rsid w:val="00C31BCD"/>
    <w:rsid w:val="00C31E19"/>
    <w:rsid w:val="00C3277B"/>
    <w:rsid w:val="00C3347D"/>
    <w:rsid w:val="00C339BF"/>
    <w:rsid w:val="00C34FCE"/>
    <w:rsid w:val="00C34FDB"/>
    <w:rsid w:val="00C36ED4"/>
    <w:rsid w:val="00C41764"/>
    <w:rsid w:val="00C41BF5"/>
    <w:rsid w:val="00C4249F"/>
    <w:rsid w:val="00C43A5E"/>
    <w:rsid w:val="00C44699"/>
    <w:rsid w:val="00C44EF6"/>
    <w:rsid w:val="00C46BAB"/>
    <w:rsid w:val="00C47849"/>
    <w:rsid w:val="00C478AB"/>
    <w:rsid w:val="00C50158"/>
    <w:rsid w:val="00C50730"/>
    <w:rsid w:val="00C511CF"/>
    <w:rsid w:val="00C52DB0"/>
    <w:rsid w:val="00C53A14"/>
    <w:rsid w:val="00C53DF6"/>
    <w:rsid w:val="00C55AED"/>
    <w:rsid w:val="00C568B6"/>
    <w:rsid w:val="00C571C8"/>
    <w:rsid w:val="00C573CD"/>
    <w:rsid w:val="00C60384"/>
    <w:rsid w:val="00C60B89"/>
    <w:rsid w:val="00C63EF7"/>
    <w:rsid w:val="00C64039"/>
    <w:rsid w:val="00C6479A"/>
    <w:rsid w:val="00C65534"/>
    <w:rsid w:val="00C660BA"/>
    <w:rsid w:val="00C7028A"/>
    <w:rsid w:val="00C70965"/>
    <w:rsid w:val="00C72B52"/>
    <w:rsid w:val="00C736EC"/>
    <w:rsid w:val="00C743AC"/>
    <w:rsid w:val="00C74FB8"/>
    <w:rsid w:val="00C750BE"/>
    <w:rsid w:val="00C75298"/>
    <w:rsid w:val="00C7571C"/>
    <w:rsid w:val="00C75EA6"/>
    <w:rsid w:val="00C76EC7"/>
    <w:rsid w:val="00C76FE5"/>
    <w:rsid w:val="00C7759E"/>
    <w:rsid w:val="00C776AB"/>
    <w:rsid w:val="00C77BCD"/>
    <w:rsid w:val="00C825EE"/>
    <w:rsid w:val="00C82ACC"/>
    <w:rsid w:val="00C83343"/>
    <w:rsid w:val="00C83D9C"/>
    <w:rsid w:val="00C87680"/>
    <w:rsid w:val="00C87EA0"/>
    <w:rsid w:val="00C91DAB"/>
    <w:rsid w:val="00C92739"/>
    <w:rsid w:val="00C92C04"/>
    <w:rsid w:val="00C93512"/>
    <w:rsid w:val="00C938D5"/>
    <w:rsid w:val="00C93B7E"/>
    <w:rsid w:val="00C93EBB"/>
    <w:rsid w:val="00C943B8"/>
    <w:rsid w:val="00C94432"/>
    <w:rsid w:val="00C96030"/>
    <w:rsid w:val="00C96E75"/>
    <w:rsid w:val="00C97B58"/>
    <w:rsid w:val="00CA01A9"/>
    <w:rsid w:val="00CA1FDB"/>
    <w:rsid w:val="00CA2590"/>
    <w:rsid w:val="00CA26AF"/>
    <w:rsid w:val="00CA2909"/>
    <w:rsid w:val="00CA2A9C"/>
    <w:rsid w:val="00CA2B0F"/>
    <w:rsid w:val="00CA4611"/>
    <w:rsid w:val="00CA493A"/>
    <w:rsid w:val="00CA4DB4"/>
    <w:rsid w:val="00CA7B1F"/>
    <w:rsid w:val="00CA7FFE"/>
    <w:rsid w:val="00CB13B5"/>
    <w:rsid w:val="00CB1FCA"/>
    <w:rsid w:val="00CB285E"/>
    <w:rsid w:val="00CB4AAF"/>
    <w:rsid w:val="00CB4E01"/>
    <w:rsid w:val="00CB5A34"/>
    <w:rsid w:val="00CB5AAC"/>
    <w:rsid w:val="00CB5FB0"/>
    <w:rsid w:val="00CB6361"/>
    <w:rsid w:val="00CB79D7"/>
    <w:rsid w:val="00CC00FF"/>
    <w:rsid w:val="00CC0FD5"/>
    <w:rsid w:val="00CC2245"/>
    <w:rsid w:val="00CC2EE4"/>
    <w:rsid w:val="00CC31B8"/>
    <w:rsid w:val="00CC3494"/>
    <w:rsid w:val="00CC4653"/>
    <w:rsid w:val="00CC48BF"/>
    <w:rsid w:val="00CC4A4B"/>
    <w:rsid w:val="00CC5B0D"/>
    <w:rsid w:val="00CC603F"/>
    <w:rsid w:val="00CC707E"/>
    <w:rsid w:val="00CC75EB"/>
    <w:rsid w:val="00CC7854"/>
    <w:rsid w:val="00CD098E"/>
    <w:rsid w:val="00CD0F64"/>
    <w:rsid w:val="00CD2247"/>
    <w:rsid w:val="00CD2828"/>
    <w:rsid w:val="00CD30AB"/>
    <w:rsid w:val="00CD3F00"/>
    <w:rsid w:val="00CD50A1"/>
    <w:rsid w:val="00CD63C1"/>
    <w:rsid w:val="00CD76CF"/>
    <w:rsid w:val="00CE0446"/>
    <w:rsid w:val="00CE0AEA"/>
    <w:rsid w:val="00CE1B17"/>
    <w:rsid w:val="00CE242D"/>
    <w:rsid w:val="00CE33F5"/>
    <w:rsid w:val="00CE41EE"/>
    <w:rsid w:val="00CE4996"/>
    <w:rsid w:val="00CE4B37"/>
    <w:rsid w:val="00CE6571"/>
    <w:rsid w:val="00CE67C0"/>
    <w:rsid w:val="00CE697B"/>
    <w:rsid w:val="00CE7458"/>
    <w:rsid w:val="00CF1D5F"/>
    <w:rsid w:val="00CF2775"/>
    <w:rsid w:val="00CF3117"/>
    <w:rsid w:val="00CF3164"/>
    <w:rsid w:val="00CF38D6"/>
    <w:rsid w:val="00CF455D"/>
    <w:rsid w:val="00CF4B1D"/>
    <w:rsid w:val="00CF5E15"/>
    <w:rsid w:val="00CF660E"/>
    <w:rsid w:val="00CF76A3"/>
    <w:rsid w:val="00D002C0"/>
    <w:rsid w:val="00D0033D"/>
    <w:rsid w:val="00D016F8"/>
    <w:rsid w:val="00D01D0A"/>
    <w:rsid w:val="00D03D53"/>
    <w:rsid w:val="00D04C1F"/>
    <w:rsid w:val="00D06919"/>
    <w:rsid w:val="00D13C3D"/>
    <w:rsid w:val="00D16793"/>
    <w:rsid w:val="00D167AC"/>
    <w:rsid w:val="00D16B18"/>
    <w:rsid w:val="00D1798E"/>
    <w:rsid w:val="00D17BF4"/>
    <w:rsid w:val="00D209F8"/>
    <w:rsid w:val="00D22E14"/>
    <w:rsid w:val="00D2374D"/>
    <w:rsid w:val="00D23E46"/>
    <w:rsid w:val="00D247F3"/>
    <w:rsid w:val="00D25902"/>
    <w:rsid w:val="00D25DA2"/>
    <w:rsid w:val="00D2628A"/>
    <w:rsid w:val="00D267EC"/>
    <w:rsid w:val="00D27035"/>
    <w:rsid w:val="00D27884"/>
    <w:rsid w:val="00D30C6B"/>
    <w:rsid w:val="00D30D41"/>
    <w:rsid w:val="00D312C4"/>
    <w:rsid w:val="00D31442"/>
    <w:rsid w:val="00D31595"/>
    <w:rsid w:val="00D327DF"/>
    <w:rsid w:val="00D32B31"/>
    <w:rsid w:val="00D32D00"/>
    <w:rsid w:val="00D345DB"/>
    <w:rsid w:val="00D35DED"/>
    <w:rsid w:val="00D36D86"/>
    <w:rsid w:val="00D4079C"/>
    <w:rsid w:val="00D41DE0"/>
    <w:rsid w:val="00D42769"/>
    <w:rsid w:val="00D44947"/>
    <w:rsid w:val="00D44F31"/>
    <w:rsid w:val="00D452BA"/>
    <w:rsid w:val="00D45A37"/>
    <w:rsid w:val="00D463B5"/>
    <w:rsid w:val="00D51F4F"/>
    <w:rsid w:val="00D52391"/>
    <w:rsid w:val="00D52EF2"/>
    <w:rsid w:val="00D53722"/>
    <w:rsid w:val="00D53762"/>
    <w:rsid w:val="00D54282"/>
    <w:rsid w:val="00D54362"/>
    <w:rsid w:val="00D5513D"/>
    <w:rsid w:val="00D556F2"/>
    <w:rsid w:val="00D56003"/>
    <w:rsid w:val="00D56958"/>
    <w:rsid w:val="00D56CF7"/>
    <w:rsid w:val="00D57A27"/>
    <w:rsid w:val="00D57A65"/>
    <w:rsid w:val="00D6196C"/>
    <w:rsid w:val="00D62551"/>
    <w:rsid w:val="00D625A4"/>
    <w:rsid w:val="00D62855"/>
    <w:rsid w:val="00D62923"/>
    <w:rsid w:val="00D63CBA"/>
    <w:rsid w:val="00D643EC"/>
    <w:rsid w:val="00D6506B"/>
    <w:rsid w:val="00D65E6E"/>
    <w:rsid w:val="00D669EE"/>
    <w:rsid w:val="00D66B24"/>
    <w:rsid w:val="00D66F00"/>
    <w:rsid w:val="00D672AC"/>
    <w:rsid w:val="00D67C31"/>
    <w:rsid w:val="00D67FCC"/>
    <w:rsid w:val="00D70116"/>
    <w:rsid w:val="00D7086E"/>
    <w:rsid w:val="00D70CDC"/>
    <w:rsid w:val="00D71142"/>
    <w:rsid w:val="00D71935"/>
    <w:rsid w:val="00D723C1"/>
    <w:rsid w:val="00D73329"/>
    <w:rsid w:val="00D73603"/>
    <w:rsid w:val="00D743FE"/>
    <w:rsid w:val="00D75F99"/>
    <w:rsid w:val="00D77651"/>
    <w:rsid w:val="00D80281"/>
    <w:rsid w:val="00D81A12"/>
    <w:rsid w:val="00D81D47"/>
    <w:rsid w:val="00D8349B"/>
    <w:rsid w:val="00D863AD"/>
    <w:rsid w:val="00D865C0"/>
    <w:rsid w:val="00D914A1"/>
    <w:rsid w:val="00D91EA0"/>
    <w:rsid w:val="00D925DD"/>
    <w:rsid w:val="00D9444B"/>
    <w:rsid w:val="00D9479D"/>
    <w:rsid w:val="00D9515F"/>
    <w:rsid w:val="00D9541D"/>
    <w:rsid w:val="00D95B8D"/>
    <w:rsid w:val="00D96438"/>
    <w:rsid w:val="00D9695F"/>
    <w:rsid w:val="00D96FA5"/>
    <w:rsid w:val="00DA027C"/>
    <w:rsid w:val="00DA17D1"/>
    <w:rsid w:val="00DA1AED"/>
    <w:rsid w:val="00DA1F3E"/>
    <w:rsid w:val="00DA234D"/>
    <w:rsid w:val="00DA2832"/>
    <w:rsid w:val="00DA30E6"/>
    <w:rsid w:val="00DA4ACF"/>
    <w:rsid w:val="00DA5718"/>
    <w:rsid w:val="00DA69C6"/>
    <w:rsid w:val="00DA75C5"/>
    <w:rsid w:val="00DA7993"/>
    <w:rsid w:val="00DB08AC"/>
    <w:rsid w:val="00DB13A1"/>
    <w:rsid w:val="00DB14F4"/>
    <w:rsid w:val="00DB1F50"/>
    <w:rsid w:val="00DB2D6E"/>
    <w:rsid w:val="00DB2E99"/>
    <w:rsid w:val="00DB3183"/>
    <w:rsid w:val="00DB497B"/>
    <w:rsid w:val="00DB5038"/>
    <w:rsid w:val="00DB5370"/>
    <w:rsid w:val="00DB55DB"/>
    <w:rsid w:val="00DB5B9A"/>
    <w:rsid w:val="00DB5DD3"/>
    <w:rsid w:val="00DB723C"/>
    <w:rsid w:val="00DB7C3F"/>
    <w:rsid w:val="00DC0611"/>
    <w:rsid w:val="00DC17C2"/>
    <w:rsid w:val="00DC2449"/>
    <w:rsid w:val="00DC30FD"/>
    <w:rsid w:val="00DC390D"/>
    <w:rsid w:val="00DC41E1"/>
    <w:rsid w:val="00DC6F5B"/>
    <w:rsid w:val="00DC76E9"/>
    <w:rsid w:val="00DC7D9C"/>
    <w:rsid w:val="00DD0363"/>
    <w:rsid w:val="00DD0D5D"/>
    <w:rsid w:val="00DD1411"/>
    <w:rsid w:val="00DD2166"/>
    <w:rsid w:val="00DD29F8"/>
    <w:rsid w:val="00DD2C00"/>
    <w:rsid w:val="00DD357E"/>
    <w:rsid w:val="00DD35F2"/>
    <w:rsid w:val="00DD5467"/>
    <w:rsid w:val="00DD60CA"/>
    <w:rsid w:val="00DD6A55"/>
    <w:rsid w:val="00DD6B02"/>
    <w:rsid w:val="00DD7A93"/>
    <w:rsid w:val="00DE131E"/>
    <w:rsid w:val="00DE205F"/>
    <w:rsid w:val="00DE2C07"/>
    <w:rsid w:val="00DE4318"/>
    <w:rsid w:val="00DE4A10"/>
    <w:rsid w:val="00DE4CA7"/>
    <w:rsid w:val="00DE4FD1"/>
    <w:rsid w:val="00DE61FE"/>
    <w:rsid w:val="00DE719B"/>
    <w:rsid w:val="00DE7334"/>
    <w:rsid w:val="00DE780B"/>
    <w:rsid w:val="00DF0B56"/>
    <w:rsid w:val="00DF13F3"/>
    <w:rsid w:val="00DF1A15"/>
    <w:rsid w:val="00DF26FC"/>
    <w:rsid w:val="00DF4F91"/>
    <w:rsid w:val="00DF54B0"/>
    <w:rsid w:val="00DF5566"/>
    <w:rsid w:val="00DF563E"/>
    <w:rsid w:val="00DF5805"/>
    <w:rsid w:val="00DF6751"/>
    <w:rsid w:val="00DF6CF2"/>
    <w:rsid w:val="00E020CD"/>
    <w:rsid w:val="00E02515"/>
    <w:rsid w:val="00E03659"/>
    <w:rsid w:val="00E043C9"/>
    <w:rsid w:val="00E04664"/>
    <w:rsid w:val="00E048AA"/>
    <w:rsid w:val="00E06CB1"/>
    <w:rsid w:val="00E07F60"/>
    <w:rsid w:val="00E12860"/>
    <w:rsid w:val="00E12F7C"/>
    <w:rsid w:val="00E1379C"/>
    <w:rsid w:val="00E168A9"/>
    <w:rsid w:val="00E21D9A"/>
    <w:rsid w:val="00E23E27"/>
    <w:rsid w:val="00E245E6"/>
    <w:rsid w:val="00E24769"/>
    <w:rsid w:val="00E24972"/>
    <w:rsid w:val="00E24B38"/>
    <w:rsid w:val="00E256CA"/>
    <w:rsid w:val="00E26EAE"/>
    <w:rsid w:val="00E26FAC"/>
    <w:rsid w:val="00E310F9"/>
    <w:rsid w:val="00E311F4"/>
    <w:rsid w:val="00E3120D"/>
    <w:rsid w:val="00E338EA"/>
    <w:rsid w:val="00E33C4E"/>
    <w:rsid w:val="00E403DB"/>
    <w:rsid w:val="00E40504"/>
    <w:rsid w:val="00E41547"/>
    <w:rsid w:val="00E41721"/>
    <w:rsid w:val="00E42039"/>
    <w:rsid w:val="00E4290F"/>
    <w:rsid w:val="00E43331"/>
    <w:rsid w:val="00E43A87"/>
    <w:rsid w:val="00E44092"/>
    <w:rsid w:val="00E444EA"/>
    <w:rsid w:val="00E44980"/>
    <w:rsid w:val="00E44CE6"/>
    <w:rsid w:val="00E44E5F"/>
    <w:rsid w:val="00E45B00"/>
    <w:rsid w:val="00E4752D"/>
    <w:rsid w:val="00E50BB1"/>
    <w:rsid w:val="00E50EDD"/>
    <w:rsid w:val="00E51C1B"/>
    <w:rsid w:val="00E51FAE"/>
    <w:rsid w:val="00E522E0"/>
    <w:rsid w:val="00E524C2"/>
    <w:rsid w:val="00E52801"/>
    <w:rsid w:val="00E53F20"/>
    <w:rsid w:val="00E54657"/>
    <w:rsid w:val="00E54716"/>
    <w:rsid w:val="00E550EE"/>
    <w:rsid w:val="00E5613D"/>
    <w:rsid w:val="00E56773"/>
    <w:rsid w:val="00E6010F"/>
    <w:rsid w:val="00E601CC"/>
    <w:rsid w:val="00E6178F"/>
    <w:rsid w:val="00E61AAE"/>
    <w:rsid w:val="00E61AE9"/>
    <w:rsid w:val="00E624B0"/>
    <w:rsid w:val="00E62D7E"/>
    <w:rsid w:val="00E64358"/>
    <w:rsid w:val="00E65CB0"/>
    <w:rsid w:val="00E65E82"/>
    <w:rsid w:val="00E6645E"/>
    <w:rsid w:val="00E66651"/>
    <w:rsid w:val="00E66ADE"/>
    <w:rsid w:val="00E67D9A"/>
    <w:rsid w:val="00E70286"/>
    <w:rsid w:val="00E70A70"/>
    <w:rsid w:val="00E73A0E"/>
    <w:rsid w:val="00E74F85"/>
    <w:rsid w:val="00E7543F"/>
    <w:rsid w:val="00E7550E"/>
    <w:rsid w:val="00E765A3"/>
    <w:rsid w:val="00E8054C"/>
    <w:rsid w:val="00E805FB"/>
    <w:rsid w:val="00E82DDB"/>
    <w:rsid w:val="00E83597"/>
    <w:rsid w:val="00E8541F"/>
    <w:rsid w:val="00E86504"/>
    <w:rsid w:val="00E87BD1"/>
    <w:rsid w:val="00E90DF2"/>
    <w:rsid w:val="00E91435"/>
    <w:rsid w:val="00E91DBD"/>
    <w:rsid w:val="00E91E7B"/>
    <w:rsid w:val="00E92718"/>
    <w:rsid w:val="00E92920"/>
    <w:rsid w:val="00E92C8E"/>
    <w:rsid w:val="00E9647B"/>
    <w:rsid w:val="00E966CA"/>
    <w:rsid w:val="00E968AA"/>
    <w:rsid w:val="00E97BC0"/>
    <w:rsid w:val="00EA0346"/>
    <w:rsid w:val="00EA0630"/>
    <w:rsid w:val="00EA06F7"/>
    <w:rsid w:val="00EA09E7"/>
    <w:rsid w:val="00EA23E6"/>
    <w:rsid w:val="00EA2567"/>
    <w:rsid w:val="00EA38B9"/>
    <w:rsid w:val="00EA3A30"/>
    <w:rsid w:val="00EA50D5"/>
    <w:rsid w:val="00EA5468"/>
    <w:rsid w:val="00EA5E40"/>
    <w:rsid w:val="00EA69E1"/>
    <w:rsid w:val="00EA6BF1"/>
    <w:rsid w:val="00EA78F2"/>
    <w:rsid w:val="00EA7C39"/>
    <w:rsid w:val="00EB11A0"/>
    <w:rsid w:val="00EB17B6"/>
    <w:rsid w:val="00EB218B"/>
    <w:rsid w:val="00EB41A1"/>
    <w:rsid w:val="00EB4D62"/>
    <w:rsid w:val="00EB5073"/>
    <w:rsid w:val="00EB6311"/>
    <w:rsid w:val="00EB6BDA"/>
    <w:rsid w:val="00EC0A0A"/>
    <w:rsid w:val="00EC1A63"/>
    <w:rsid w:val="00EC1F25"/>
    <w:rsid w:val="00EC2385"/>
    <w:rsid w:val="00EC3D88"/>
    <w:rsid w:val="00EC6FA7"/>
    <w:rsid w:val="00ED077E"/>
    <w:rsid w:val="00ED27AE"/>
    <w:rsid w:val="00ED2C27"/>
    <w:rsid w:val="00ED3839"/>
    <w:rsid w:val="00ED3AA0"/>
    <w:rsid w:val="00ED4245"/>
    <w:rsid w:val="00ED4368"/>
    <w:rsid w:val="00ED4B60"/>
    <w:rsid w:val="00ED5912"/>
    <w:rsid w:val="00ED66E9"/>
    <w:rsid w:val="00ED6760"/>
    <w:rsid w:val="00ED779E"/>
    <w:rsid w:val="00ED7EF6"/>
    <w:rsid w:val="00EE019C"/>
    <w:rsid w:val="00EE0C7F"/>
    <w:rsid w:val="00EE1076"/>
    <w:rsid w:val="00EE1463"/>
    <w:rsid w:val="00EE260C"/>
    <w:rsid w:val="00EE28CF"/>
    <w:rsid w:val="00EE2F8B"/>
    <w:rsid w:val="00EE3B3B"/>
    <w:rsid w:val="00EE42D4"/>
    <w:rsid w:val="00EE49C2"/>
    <w:rsid w:val="00EE4FF0"/>
    <w:rsid w:val="00EE58BB"/>
    <w:rsid w:val="00EE5A94"/>
    <w:rsid w:val="00EE6672"/>
    <w:rsid w:val="00EE7339"/>
    <w:rsid w:val="00EE742E"/>
    <w:rsid w:val="00EE767C"/>
    <w:rsid w:val="00EE7FA8"/>
    <w:rsid w:val="00EF06C1"/>
    <w:rsid w:val="00EF086F"/>
    <w:rsid w:val="00EF0E6B"/>
    <w:rsid w:val="00EF10F6"/>
    <w:rsid w:val="00EF2DC7"/>
    <w:rsid w:val="00EF4B81"/>
    <w:rsid w:val="00EF58CD"/>
    <w:rsid w:val="00EF63D4"/>
    <w:rsid w:val="00EF65B2"/>
    <w:rsid w:val="00EF673A"/>
    <w:rsid w:val="00EF6E61"/>
    <w:rsid w:val="00EF72C2"/>
    <w:rsid w:val="00F00C3E"/>
    <w:rsid w:val="00F030F5"/>
    <w:rsid w:val="00F032EC"/>
    <w:rsid w:val="00F03949"/>
    <w:rsid w:val="00F0686E"/>
    <w:rsid w:val="00F07EE6"/>
    <w:rsid w:val="00F10617"/>
    <w:rsid w:val="00F12CE5"/>
    <w:rsid w:val="00F17917"/>
    <w:rsid w:val="00F2008A"/>
    <w:rsid w:val="00F2043D"/>
    <w:rsid w:val="00F21C63"/>
    <w:rsid w:val="00F229F5"/>
    <w:rsid w:val="00F235C2"/>
    <w:rsid w:val="00F2490E"/>
    <w:rsid w:val="00F24B56"/>
    <w:rsid w:val="00F24E9D"/>
    <w:rsid w:val="00F2550D"/>
    <w:rsid w:val="00F25863"/>
    <w:rsid w:val="00F25EBE"/>
    <w:rsid w:val="00F26EAF"/>
    <w:rsid w:val="00F27B73"/>
    <w:rsid w:val="00F30280"/>
    <w:rsid w:val="00F30945"/>
    <w:rsid w:val="00F30B14"/>
    <w:rsid w:val="00F33DB2"/>
    <w:rsid w:val="00F36C34"/>
    <w:rsid w:val="00F37237"/>
    <w:rsid w:val="00F40041"/>
    <w:rsid w:val="00F40925"/>
    <w:rsid w:val="00F40D52"/>
    <w:rsid w:val="00F412CC"/>
    <w:rsid w:val="00F41B69"/>
    <w:rsid w:val="00F42248"/>
    <w:rsid w:val="00F425C2"/>
    <w:rsid w:val="00F42805"/>
    <w:rsid w:val="00F4301B"/>
    <w:rsid w:val="00F446F2"/>
    <w:rsid w:val="00F449A3"/>
    <w:rsid w:val="00F4753A"/>
    <w:rsid w:val="00F47B1D"/>
    <w:rsid w:val="00F50518"/>
    <w:rsid w:val="00F51D50"/>
    <w:rsid w:val="00F5225F"/>
    <w:rsid w:val="00F5242F"/>
    <w:rsid w:val="00F52B2A"/>
    <w:rsid w:val="00F52D45"/>
    <w:rsid w:val="00F53082"/>
    <w:rsid w:val="00F53B43"/>
    <w:rsid w:val="00F561D8"/>
    <w:rsid w:val="00F566CC"/>
    <w:rsid w:val="00F56E6C"/>
    <w:rsid w:val="00F570E1"/>
    <w:rsid w:val="00F608B3"/>
    <w:rsid w:val="00F61107"/>
    <w:rsid w:val="00F62146"/>
    <w:rsid w:val="00F624E4"/>
    <w:rsid w:val="00F632D6"/>
    <w:rsid w:val="00F64502"/>
    <w:rsid w:val="00F657F1"/>
    <w:rsid w:val="00F66194"/>
    <w:rsid w:val="00F701C9"/>
    <w:rsid w:val="00F7085E"/>
    <w:rsid w:val="00F715B9"/>
    <w:rsid w:val="00F74C6F"/>
    <w:rsid w:val="00F772D6"/>
    <w:rsid w:val="00F7768C"/>
    <w:rsid w:val="00F80440"/>
    <w:rsid w:val="00F8052F"/>
    <w:rsid w:val="00F8095F"/>
    <w:rsid w:val="00F81442"/>
    <w:rsid w:val="00F81A1A"/>
    <w:rsid w:val="00F826E0"/>
    <w:rsid w:val="00F829FB"/>
    <w:rsid w:val="00F8398E"/>
    <w:rsid w:val="00F83B01"/>
    <w:rsid w:val="00F84801"/>
    <w:rsid w:val="00F849BC"/>
    <w:rsid w:val="00F85546"/>
    <w:rsid w:val="00F85EA3"/>
    <w:rsid w:val="00F862C2"/>
    <w:rsid w:val="00F87792"/>
    <w:rsid w:val="00F90506"/>
    <w:rsid w:val="00F90AF5"/>
    <w:rsid w:val="00F91371"/>
    <w:rsid w:val="00F91E34"/>
    <w:rsid w:val="00F92244"/>
    <w:rsid w:val="00F92665"/>
    <w:rsid w:val="00F939C0"/>
    <w:rsid w:val="00F93ACD"/>
    <w:rsid w:val="00F96764"/>
    <w:rsid w:val="00F96864"/>
    <w:rsid w:val="00F97AFC"/>
    <w:rsid w:val="00FA1B89"/>
    <w:rsid w:val="00FA2CD8"/>
    <w:rsid w:val="00FA3361"/>
    <w:rsid w:val="00FA4B9A"/>
    <w:rsid w:val="00FA4CC2"/>
    <w:rsid w:val="00FA6034"/>
    <w:rsid w:val="00FA6576"/>
    <w:rsid w:val="00FA7564"/>
    <w:rsid w:val="00FB0867"/>
    <w:rsid w:val="00FB1D97"/>
    <w:rsid w:val="00FB2C0E"/>
    <w:rsid w:val="00FB3A80"/>
    <w:rsid w:val="00FB3ED6"/>
    <w:rsid w:val="00FB7C13"/>
    <w:rsid w:val="00FC0B9A"/>
    <w:rsid w:val="00FC0E85"/>
    <w:rsid w:val="00FC1DB9"/>
    <w:rsid w:val="00FC3540"/>
    <w:rsid w:val="00FC38E9"/>
    <w:rsid w:val="00FC3C02"/>
    <w:rsid w:val="00FC3E14"/>
    <w:rsid w:val="00FC3E8E"/>
    <w:rsid w:val="00FC4031"/>
    <w:rsid w:val="00FC4EAD"/>
    <w:rsid w:val="00FC54E1"/>
    <w:rsid w:val="00FC5B83"/>
    <w:rsid w:val="00FC6124"/>
    <w:rsid w:val="00FC623F"/>
    <w:rsid w:val="00FC65D4"/>
    <w:rsid w:val="00FC7673"/>
    <w:rsid w:val="00FC77D2"/>
    <w:rsid w:val="00FD0B4B"/>
    <w:rsid w:val="00FD1FFE"/>
    <w:rsid w:val="00FD37EB"/>
    <w:rsid w:val="00FD4445"/>
    <w:rsid w:val="00FD4678"/>
    <w:rsid w:val="00FD484C"/>
    <w:rsid w:val="00FD54AB"/>
    <w:rsid w:val="00FD5B26"/>
    <w:rsid w:val="00FD764A"/>
    <w:rsid w:val="00FD7739"/>
    <w:rsid w:val="00FE0F78"/>
    <w:rsid w:val="00FE1245"/>
    <w:rsid w:val="00FE4478"/>
    <w:rsid w:val="00FE50B1"/>
    <w:rsid w:val="00FE5896"/>
    <w:rsid w:val="00FE6F35"/>
    <w:rsid w:val="00FF02FF"/>
    <w:rsid w:val="00FF0359"/>
    <w:rsid w:val="00FF10DC"/>
    <w:rsid w:val="00FF4F6E"/>
    <w:rsid w:val="00FF5B98"/>
    <w:rsid w:val="00FF693B"/>
    <w:rsid w:val="00FF765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064042F"/>
  <w14:defaultImageDpi w14:val="330"/>
  <w15:docId w15:val="{BD013E3D-EF70-C849-8ED9-ECE67897D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3C78"/>
    <w:pPr>
      <w:tabs>
        <w:tab w:val="center" w:pos="4513"/>
        <w:tab w:val="right" w:pos="9026"/>
      </w:tabs>
    </w:pPr>
  </w:style>
  <w:style w:type="character" w:customStyle="1" w:styleId="HeaderChar">
    <w:name w:val="Header Char"/>
    <w:basedOn w:val="DefaultParagraphFont"/>
    <w:link w:val="Header"/>
    <w:uiPriority w:val="99"/>
    <w:rsid w:val="00B53C78"/>
  </w:style>
  <w:style w:type="paragraph" w:styleId="Footer">
    <w:name w:val="footer"/>
    <w:basedOn w:val="Normal"/>
    <w:link w:val="FooterChar"/>
    <w:uiPriority w:val="99"/>
    <w:unhideWhenUsed/>
    <w:rsid w:val="00BD07DC"/>
    <w:pPr>
      <w:tabs>
        <w:tab w:val="center" w:pos="4513"/>
        <w:tab w:val="right" w:pos="9026"/>
      </w:tabs>
    </w:pPr>
    <w:rPr>
      <w:color w:val="430098"/>
    </w:rPr>
  </w:style>
  <w:style w:type="character" w:customStyle="1" w:styleId="FooterChar">
    <w:name w:val="Footer Char"/>
    <w:link w:val="Footer"/>
    <w:uiPriority w:val="99"/>
    <w:rsid w:val="00BD07DC"/>
    <w:rPr>
      <w:color w:val="430098"/>
    </w:rPr>
  </w:style>
  <w:style w:type="paragraph" w:customStyle="1" w:styleId="BasicParagraph">
    <w:name w:val="[Basic Paragraph]"/>
    <w:basedOn w:val="Normal"/>
    <w:uiPriority w:val="99"/>
    <w:rsid w:val="00F36C34"/>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Body">
    <w:name w:val="Body"/>
    <w:basedOn w:val="BasicParagraph"/>
    <w:qFormat/>
    <w:rsid w:val="008B7923"/>
    <w:pPr>
      <w:suppressAutoHyphens/>
      <w:spacing w:after="240" w:line="240" w:lineRule="auto"/>
    </w:pPr>
    <w:rPr>
      <w:rFonts w:ascii="Calibri" w:hAnsi="Calibri" w:cs="PostGrotesk-Book"/>
      <w:color w:val="55565A"/>
      <w:sz w:val="22"/>
      <w:szCs w:val="22"/>
    </w:rPr>
  </w:style>
  <w:style w:type="paragraph" w:customStyle="1" w:styleId="SectionHeading1">
    <w:name w:val="Section Heading 1"/>
    <w:basedOn w:val="BasicParagraph"/>
    <w:qFormat/>
    <w:rsid w:val="008B7923"/>
    <w:pPr>
      <w:suppressAutoHyphens/>
      <w:spacing w:after="120"/>
    </w:pPr>
    <w:rPr>
      <w:rFonts w:ascii="Calibri" w:hAnsi="Calibri" w:cs="PostGrotesk-Medium"/>
      <w:color w:val="430098"/>
      <w:sz w:val="28"/>
      <w:szCs w:val="28"/>
    </w:rPr>
  </w:style>
  <w:style w:type="paragraph" w:customStyle="1" w:styleId="SectionHeading2">
    <w:name w:val="Section Heading 2"/>
    <w:basedOn w:val="BasicParagraph"/>
    <w:qFormat/>
    <w:rsid w:val="00372C3E"/>
    <w:pPr>
      <w:suppressAutoHyphens/>
      <w:spacing w:after="120"/>
    </w:pPr>
    <w:rPr>
      <w:rFonts w:ascii="Calibri" w:hAnsi="Calibri" w:cs="PostGrotesk-Medium"/>
      <w:b/>
      <w:color w:val="55565A"/>
    </w:rPr>
  </w:style>
  <w:style w:type="paragraph" w:customStyle="1" w:styleId="ColourfulListAccent11">
    <w:name w:val="Colourful List – Accent 11"/>
    <w:basedOn w:val="Body"/>
    <w:uiPriority w:val="34"/>
    <w:qFormat/>
    <w:rsid w:val="00064688"/>
    <w:pPr>
      <w:numPr>
        <w:numId w:val="2"/>
      </w:numPr>
      <w:spacing w:after="0"/>
      <w:ind w:left="284" w:hanging="284"/>
    </w:pPr>
  </w:style>
  <w:style w:type="paragraph" w:customStyle="1" w:styleId="Introduction">
    <w:name w:val="Introduction"/>
    <w:qFormat/>
    <w:rsid w:val="00B177DA"/>
    <w:pPr>
      <w:suppressAutoHyphens/>
      <w:spacing w:after="360"/>
      <w:ind w:right="1835"/>
    </w:pPr>
    <w:rPr>
      <w:rFonts w:cs="PostGrotesk-Book"/>
      <w:color w:val="7F7F7F"/>
      <w:sz w:val="28"/>
      <w:szCs w:val="28"/>
      <w:lang w:val="en-GB" w:eastAsia="en-US"/>
    </w:rPr>
  </w:style>
  <w:style w:type="paragraph" w:customStyle="1" w:styleId="Linebreak11pt">
    <w:name w:val="Line break 11pt"/>
    <w:basedOn w:val="BasicParagraph"/>
    <w:qFormat/>
    <w:rsid w:val="008B7923"/>
    <w:pPr>
      <w:suppressAutoHyphens/>
    </w:pPr>
    <w:rPr>
      <w:rFonts w:ascii="Calibri" w:hAnsi="Calibri" w:cs="PostGrotesk-Medium"/>
      <w:color w:val="55565A"/>
      <w:sz w:val="22"/>
      <w:szCs w:val="22"/>
    </w:rPr>
  </w:style>
  <w:style w:type="paragraph" w:customStyle="1" w:styleId="Disclaimer">
    <w:name w:val="Disclaimer"/>
    <w:basedOn w:val="Normal"/>
    <w:qFormat/>
    <w:rsid w:val="00064688"/>
    <w:pPr>
      <w:ind w:right="-7"/>
    </w:pPr>
    <w:rPr>
      <w:rFonts w:cs="PostGrotesk-Book"/>
      <w:color w:val="555559"/>
      <w:sz w:val="18"/>
      <w:szCs w:val="18"/>
    </w:rPr>
  </w:style>
  <w:style w:type="paragraph" w:customStyle="1" w:styleId="IntroductoryText">
    <w:name w:val="Introductory Text"/>
    <w:qFormat/>
    <w:rsid w:val="00863040"/>
    <w:pPr>
      <w:suppressAutoHyphens/>
      <w:spacing w:after="360"/>
      <w:ind w:right="1835"/>
    </w:pPr>
    <w:rPr>
      <w:rFonts w:cs="PostGrotesk-Book"/>
      <w:color w:val="555559"/>
      <w:sz w:val="28"/>
      <w:szCs w:val="28"/>
      <w:lang w:val="en-GB" w:eastAsia="en-US"/>
    </w:rPr>
  </w:style>
  <w:style w:type="paragraph" w:customStyle="1" w:styleId="DocumentTitle">
    <w:name w:val="Document Title"/>
    <w:basedOn w:val="Header"/>
    <w:link w:val="DocumentTitleChar"/>
    <w:qFormat/>
    <w:rsid w:val="00863040"/>
    <w:pPr>
      <w:tabs>
        <w:tab w:val="clear" w:pos="9026"/>
        <w:tab w:val="left" w:pos="6946"/>
      </w:tabs>
      <w:spacing w:before="840" w:after="120"/>
    </w:pPr>
    <w:rPr>
      <w:rFonts w:ascii="Arial" w:hAnsi="Arial" w:cs="Arial"/>
      <w:b/>
      <w:color w:val="430098"/>
      <w:sz w:val="40"/>
      <w:szCs w:val="40"/>
    </w:rPr>
  </w:style>
  <w:style w:type="paragraph" w:customStyle="1" w:styleId="DocumentSubtitle">
    <w:name w:val="Document Subtitle"/>
    <w:basedOn w:val="Header"/>
    <w:qFormat/>
    <w:rsid w:val="00863040"/>
    <w:pPr>
      <w:tabs>
        <w:tab w:val="left" w:pos="6946"/>
      </w:tabs>
      <w:spacing w:after="240"/>
    </w:pPr>
    <w:rPr>
      <w:rFonts w:ascii="Arial" w:hAnsi="Arial" w:cs="Arial"/>
      <w:color w:val="555559"/>
      <w:sz w:val="32"/>
      <w:szCs w:val="32"/>
    </w:rPr>
  </w:style>
  <w:style w:type="table" w:customStyle="1" w:styleId="PlainTable11">
    <w:name w:val="Plain Table 11"/>
    <w:basedOn w:val="TableNormal"/>
    <w:uiPriority w:val="41"/>
    <w:rsid w:val="008B7923"/>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TableHeading">
    <w:name w:val="Table Heading"/>
    <w:qFormat/>
    <w:rsid w:val="008B7923"/>
    <w:rPr>
      <w:rFonts w:cs="PostGrotesk-Book"/>
      <w:b/>
      <w:bCs/>
      <w:color w:val="55565A"/>
      <w:sz w:val="22"/>
      <w:szCs w:val="22"/>
      <w:lang w:val="en-GB" w:eastAsia="en-US"/>
    </w:rPr>
  </w:style>
  <w:style w:type="paragraph" w:customStyle="1" w:styleId="TableBody">
    <w:name w:val="Table Body"/>
    <w:qFormat/>
    <w:rsid w:val="008B7923"/>
    <w:rPr>
      <w:bCs/>
      <w:color w:val="55565A"/>
      <w:sz w:val="22"/>
      <w:szCs w:val="22"/>
      <w:lang w:val="en-GB" w:eastAsia="en-US"/>
    </w:rPr>
  </w:style>
  <w:style w:type="paragraph" w:customStyle="1" w:styleId="FurtherInfo">
    <w:name w:val="Further Info"/>
    <w:qFormat/>
    <w:rsid w:val="00372C3E"/>
    <w:pPr>
      <w:pBdr>
        <w:top w:val="single" w:sz="4" w:space="6" w:color="430098"/>
      </w:pBdr>
      <w:spacing w:before="480" w:after="200"/>
    </w:pPr>
    <w:rPr>
      <w:rFonts w:cs="PostGrotesk-Medium"/>
      <w:color w:val="430098"/>
      <w:sz w:val="28"/>
      <w:szCs w:val="28"/>
      <w:lang w:val="en-GB" w:eastAsia="en-US"/>
    </w:rPr>
  </w:style>
  <w:style w:type="paragraph" w:styleId="ListParagraph">
    <w:name w:val="List Paragraph"/>
    <w:basedOn w:val="Normal"/>
    <w:uiPriority w:val="34"/>
    <w:qFormat/>
    <w:rsid w:val="000677DA"/>
    <w:pPr>
      <w:spacing w:after="200" w:line="276" w:lineRule="auto"/>
      <w:ind w:left="720"/>
      <w:contextualSpacing/>
    </w:pPr>
    <w:rPr>
      <w:sz w:val="22"/>
      <w:szCs w:val="22"/>
      <w:lang w:val="en-AU"/>
    </w:rPr>
  </w:style>
  <w:style w:type="table" w:styleId="TableGrid">
    <w:name w:val="Table Grid"/>
    <w:basedOn w:val="TableNormal"/>
    <w:uiPriority w:val="39"/>
    <w:unhideWhenUsed/>
    <w:rsid w:val="00D167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4">
    <w:name w:val="Grid Table 1 Light Accent 4"/>
    <w:basedOn w:val="TableNormal"/>
    <w:uiPriority w:val="46"/>
    <w:rsid w:val="00D16793"/>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character" w:styleId="Hyperlink">
    <w:name w:val="Hyperlink"/>
    <w:uiPriority w:val="99"/>
    <w:rsid w:val="0061581B"/>
    <w:rPr>
      <w:color w:val="430098"/>
      <w:w w:val="100"/>
      <w:u w:val="single" w:color="430098"/>
    </w:rPr>
  </w:style>
  <w:style w:type="paragraph" w:styleId="FootnoteText">
    <w:name w:val="footnote text"/>
    <w:basedOn w:val="Normal"/>
    <w:link w:val="FootnoteTextChar"/>
    <w:uiPriority w:val="99"/>
    <w:semiHidden/>
    <w:unhideWhenUsed/>
    <w:rsid w:val="0061581B"/>
    <w:rPr>
      <w:rFonts w:asciiTheme="minorHAnsi" w:eastAsia="Times New Roman" w:hAnsiTheme="minorHAnsi"/>
      <w:sz w:val="20"/>
      <w:szCs w:val="20"/>
      <w:lang w:val="en-AU"/>
    </w:rPr>
  </w:style>
  <w:style w:type="character" w:customStyle="1" w:styleId="FootnoteTextChar">
    <w:name w:val="Footnote Text Char"/>
    <w:basedOn w:val="DefaultParagraphFont"/>
    <w:link w:val="FootnoteText"/>
    <w:uiPriority w:val="99"/>
    <w:semiHidden/>
    <w:rsid w:val="0061581B"/>
    <w:rPr>
      <w:rFonts w:asciiTheme="minorHAnsi" w:eastAsia="Times New Roman" w:hAnsiTheme="minorHAnsi"/>
      <w:lang w:eastAsia="en-US"/>
    </w:rPr>
  </w:style>
  <w:style w:type="character" w:styleId="FootnoteReference">
    <w:name w:val="footnote reference"/>
    <w:basedOn w:val="DefaultParagraphFont"/>
    <w:uiPriority w:val="99"/>
    <w:semiHidden/>
    <w:unhideWhenUsed/>
    <w:rsid w:val="0061581B"/>
    <w:rPr>
      <w:vertAlign w:val="superscript"/>
    </w:rPr>
  </w:style>
  <w:style w:type="paragraph" w:styleId="BalloonText">
    <w:name w:val="Balloon Text"/>
    <w:basedOn w:val="Normal"/>
    <w:link w:val="BalloonTextChar"/>
    <w:uiPriority w:val="99"/>
    <w:semiHidden/>
    <w:unhideWhenUsed/>
    <w:rsid w:val="00882F72"/>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882F72"/>
    <w:rPr>
      <w:rFonts w:ascii="Times New Roman" w:hAnsi="Times New Roman"/>
      <w:sz w:val="18"/>
      <w:szCs w:val="18"/>
      <w:lang w:val="en-GB" w:eastAsia="en-US"/>
    </w:rPr>
  </w:style>
  <w:style w:type="character" w:styleId="CommentReference">
    <w:name w:val="annotation reference"/>
    <w:basedOn w:val="DefaultParagraphFont"/>
    <w:uiPriority w:val="99"/>
    <w:semiHidden/>
    <w:unhideWhenUsed/>
    <w:rsid w:val="00882F72"/>
    <w:rPr>
      <w:sz w:val="16"/>
      <w:szCs w:val="16"/>
    </w:rPr>
  </w:style>
  <w:style w:type="paragraph" w:styleId="CommentText">
    <w:name w:val="annotation text"/>
    <w:basedOn w:val="Normal"/>
    <w:link w:val="CommentTextChar"/>
    <w:uiPriority w:val="99"/>
    <w:unhideWhenUsed/>
    <w:rsid w:val="00882F72"/>
    <w:rPr>
      <w:sz w:val="20"/>
      <w:szCs w:val="20"/>
    </w:rPr>
  </w:style>
  <w:style w:type="character" w:customStyle="1" w:styleId="CommentTextChar">
    <w:name w:val="Comment Text Char"/>
    <w:basedOn w:val="DefaultParagraphFont"/>
    <w:link w:val="CommentText"/>
    <w:uiPriority w:val="99"/>
    <w:rsid w:val="00882F72"/>
    <w:rPr>
      <w:lang w:val="en-GB" w:eastAsia="en-US"/>
    </w:rPr>
  </w:style>
  <w:style w:type="paragraph" w:styleId="CommentSubject">
    <w:name w:val="annotation subject"/>
    <w:basedOn w:val="CommentText"/>
    <w:next w:val="CommentText"/>
    <w:link w:val="CommentSubjectChar"/>
    <w:uiPriority w:val="99"/>
    <w:semiHidden/>
    <w:unhideWhenUsed/>
    <w:rsid w:val="00882F72"/>
    <w:rPr>
      <w:b/>
      <w:bCs/>
    </w:rPr>
  </w:style>
  <w:style w:type="character" w:customStyle="1" w:styleId="CommentSubjectChar">
    <w:name w:val="Comment Subject Char"/>
    <w:basedOn w:val="CommentTextChar"/>
    <w:link w:val="CommentSubject"/>
    <w:uiPriority w:val="99"/>
    <w:semiHidden/>
    <w:rsid w:val="00882F72"/>
    <w:rPr>
      <w:b/>
      <w:bCs/>
      <w:lang w:val="en-GB" w:eastAsia="en-US"/>
    </w:rPr>
  </w:style>
  <w:style w:type="paragraph" w:styleId="Revision">
    <w:name w:val="Revision"/>
    <w:hidden/>
    <w:uiPriority w:val="71"/>
    <w:semiHidden/>
    <w:rsid w:val="00AC3628"/>
    <w:rPr>
      <w:sz w:val="24"/>
      <w:szCs w:val="24"/>
      <w:lang w:val="en-GB" w:eastAsia="en-US"/>
    </w:rPr>
  </w:style>
  <w:style w:type="character" w:customStyle="1" w:styleId="UnresolvedMention1">
    <w:name w:val="Unresolved Mention1"/>
    <w:basedOn w:val="DefaultParagraphFont"/>
    <w:uiPriority w:val="99"/>
    <w:semiHidden/>
    <w:unhideWhenUsed/>
    <w:rsid w:val="00887EA7"/>
    <w:rPr>
      <w:color w:val="605E5C"/>
      <w:shd w:val="clear" w:color="auto" w:fill="E1DFDD"/>
    </w:rPr>
  </w:style>
  <w:style w:type="character" w:styleId="FollowedHyperlink">
    <w:name w:val="FollowedHyperlink"/>
    <w:basedOn w:val="DefaultParagraphFont"/>
    <w:uiPriority w:val="99"/>
    <w:semiHidden/>
    <w:unhideWhenUsed/>
    <w:rsid w:val="00D5513D"/>
    <w:rPr>
      <w:color w:val="800080" w:themeColor="followedHyperlink"/>
      <w:u w:val="single"/>
    </w:rPr>
  </w:style>
  <w:style w:type="paragraph" w:customStyle="1" w:styleId="DocID">
    <w:name w:val="DocID"/>
    <w:basedOn w:val="Footer"/>
    <w:next w:val="Footer"/>
    <w:link w:val="DocIDChar"/>
    <w:rsid w:val="00D42769"/>
    <w:pPr>
      <w:tabs>
        <w:tab w:val="clear" w:pos="4513"/>
        <w:tab w:val="clear" w:pos="9026"/>
      </w:tabs>
      <w:spacing w:before="60" w:after="60"/>
    </w:pPr>
    <w:rPr>
      <w:rFonts w:ascii="Arial" w:eastAsia="Times New Roman" w:hAnsi="Arial" w:cs="Arial"/>
      <w:color w:val="auto"/>
      <w:sz w:val="14"/>
      <w:szCs w:val="20"/>
      <w:lang w:val="en-AU" w:eastAsia="zh-CN"/>
    </w:rPr>
  </w:style>
  <w:style w:type="character" w:customStyle="1" w:styleId="DocumentTitleChar">
    <w:name w:val="Document Title Char"/>
    <w:basedOn w:val="HeaderChar"/>
    <w:link w:val="DocumentTitle"/>
    <w:rsid w:val="00D42769"/>
    <w:rPr>
      <w:rFonts w:ascii="Arial" w:hAnsi="Arial" w:cs="Arial"/>
      <w:b/>
      <w:color w:val="430098"/>
      <w:sz w:val="40"/>
      <w:szCs w:val="40"/>
      <w:lang w:val="en-GB" w:eastAsia="en-US"/>
    </w:rPr>
  </w:style>
  <w:style w:type="character" w:customStyle="1" w:styleId="DocIDChar">
    <w:name w:val="DocID Char"/>
    <w:basedOn w:val="DocumentTitleChar"/>
    <w:link w:val="DocID"/>
    <w:rsid w:val="00D42769"/>
    <w:rPr>
      <w:rFonts w:ascii="Arial" w:eastAsia="Times New Roman" w:hAnsi="Arial" w:cs="Arial"/>
      <w:b w:val="0"/>
      <w:color w:val="430098"/>
      <w:sz w:val="14"/>
      <w:szCs w:val="40"/>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63544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4.xml"/><Relationship Id="rId18"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3.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s://ovic.vic.gov.au/data-protection/for-agencies/vpdsf-resources/" TargetMode="External"/><Relationship Id="rId2" Type="http://schemas.openxmlformats.org/officeDocument/2006/relationships/hyperlink" Target="http://www.abs.gov.au/ausstats/abs@.nsf/Latestproducts/1160.0Main%20Features4Aug%202017" TargetMode="External"/><Relationship Id="rId1" Type="http://schemas.openxmlformats.org/officeDocument/2006/relationships/hyperlink" Target="https://www.aihw.gov.au/about-our-data/data-governance/the-five-safes-framework" TargetMode="External"/><Relationship Id="rId4" Type="http://schemas.openxmlformats.org/officeDocument/2006/relationships/hyperlink" Target="https://www.oaic.gov.au/privacy/guidance-and-advice/de-identification-decision-making-framewor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3218</Words>
  <Characters>18349</Characters>
  <Application>Microsoft Office Word</Application>
  <DocSecurity>4</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keywords/>
  <cp:lastModifiedBy>Jessica Brackin</cp:lastModifiedBy>
  <cp:revision>2</cp:revision>
  <dcterms:created xsi:type="dcterms:W3CDTF">2021-07-14T05:15:00Z</dcterms:created>
  <dcterms:modified xsi:type="dcterms:W3CDTF">2021-07-14T05:15:00Z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Doc ID 744435873/v2</vt:lpwstr>
  </property>
  <property fmtid="{D5CDD505-2E9C-101B-9397-08002B2CF9AE}" pid="3" name="CUS_DocIDChunk0">
    <vt:lpwstr>Doc ID 744435873/v2</vt:lpwstr>
  </property>
  <property fmtid="{D5CDD505-2E9C-101B-9397-08002B2CF9AE}" pid="4" name="CUS_DocIDActiveBits">
    <vt:lpwstr>98304</vt:lpwstr>
  </property>
  <property fmtid="{D5CDD505-2E9C-101B-9397-08002B2CF9AE}" pid="5" name="CUS_DocIDLocation">
    <vt:lpwstr>EVERY_PAGE</vt:lpwstr>
  </property>
</Properties>
</file>