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4B3C" w14:textId="641EBC2A" w:rsidR="00B6612F" w:rsidRDefault="00FC2972" w:rsidP="008812BB">
      <w:pPr>
        <w:pStyle w:val="Body"/>
        <w:rPr>
          <w:lang w:val="en-AU"/>
        </w:rPr>
      </w:pPr>
      <w:r>
        <w:rPr>
          <w:lang w:val="en-AU"/>
        </w:rPr>
        <w:t>VCAT</w:t>
      </w:r>
      <w:r w:rsidR="00B6612F">
        <w:rPr>
          <w:lang w:val="en-AU"/>
        </w:rPr>
        <w:t xml:space="preserve"> summarily dismissed </w:t>
      </w:r>
      <w:r w:rsidR="00DF03C1">
        <w:rPr>
          <w:lang w:val="en-AU"/>
        </w:rPr>
        <w:t>this complaint brought under the</w:t>
      </w:r>
      <w:r w:rsidR="00DF03C1" w:rsidRPr="00DF03C1">
        <w:rPr>
          <w:i/>
          <w:iCs/>
          <w:lang w:val="en-AU"/>
        </w:rPr>
        <w:t xml:space="preserve"> </w:t>
      </w:r>
      <w:r w:rsidR="00DF03C1" w:rsidRPr="00F83B90">
        <w:rPr>
          <w:i/>
          <w:iCs/>
          <w:lang w:val="en-AU"/>
        </w:rPr>
        <w:t xml:space="preserve">Health Records Act 2001 </w:t>
      </w:r>
      <w:r w:rsidR="00DF03C1" w:rsidRPr="00F83B90">
        <w:rPr>
          <w:lang w:val="en-AU"/>
        </w:rPr>
        <w:t>(Vic) (</w:t>
      </w:r>
      <w:r w:rsidR="00DF03C1" w:rsidRPr="00F83B90">
        <w:rPr>
          <w:b/>
          <w:bCs/>
          <w:lang w:val="en-AU"/>
        </w:rPr>
        <w:t>HR</w:t>
      </w:r>
      <w:r w:rsidR="00DF03C1">
        <w:rPr>
          <w:b/>
          <w:bCs/>
          <w:lang w:val="en-AU"/>
        </w:rPr>
        <w:t xml:space="preserve"> </w:t>
      </w:r>
      <w:r w:rsidR="00DF03C1" w:rsidRPr="00F83B90">
        <w:rPr>
          <w:b/>
          <w:bCs/>
          <w:lang w:val="en-AU"/>
        </w:rPr>
        <w:t>A</w:t>
      </w:r>
      <w:r w:rsidR="00DF03C1">
        <w:rPr>
          <w:b/>
          <w:bCs/>
          <w:lang w:val="en-AU"/>
        </w:rPr>
        <w:t>ct</w:t>
      </w:r>
      <w:r w:rsidR="00DF03C1" w:rsidRPr="00F83B90">
        <w:rPr>
          <w:lang w:val="en-AU"/>
        </w:rPr>
        <w:t>)</w:t>
      </w:r>
      <w:r w:rsidR="00B6612F">
        <w:rPr>
          <w:lang w:val="en-AU"/>
        </w:rPr>
        <w:t xml:space="preserve"> </w:t>
      </w:r>
      <w:r w:rsidR="009554CF">
        <w:rPr>
          <w:lang w:val="en-AU"/>
        </w:rPr>
        <w:t xml:space="preserve">as an abuse of process </w:t>
      </w:r>
      <w:r w:rsidR="00B6612F">
        <w:rPr>
          <w:lang w:val="en-AU"/>
        </w:rPr>
        <w:t xml:space="preserve">because the Complainant had </w:t>
      </w:r>
      <w:r w:rsidR="00DF03C1">
        <w:rPr>
          <w:lang w:val="en-AU"/>
        </w:rPr>
        <w:t>previously</w:t>
      </w:r>
      <w:r w:rsidR="00B6612F">
        <w:rPr>
          <w:lang w:val="en-AU"/>
        </w:rPr>
        <w:t xml:space="preserve"> </w:t>
      </w:r>
      <w:r w:rsidR="00DF03C1">
        <w:rPr>
          <w:lang w:val="en-AU"/>
        </w:rPr>
        <w:t>pursued</w:t>
      </w:r>
      <w:r w:rsidR="00B6612F">
        <w:rPr>
          <w:lang w:val="en-AU"/>
        </w:rPr>
        <w:t xml:space="preserve"> a complaint about the same circumstances under the</w:t>
      </w:r>
      <w:r w:rsidR="00DF03C1" w:rsidRPr="00DF03C1">
        <w:rPr>
          <w:i/>
          <w:iCs/>
          <w:lang w:val="en-AU"/>
        </w:rPr>
        <w:t xml:space="preserve"> </w:t>
      </w:r>
      <w:r w:rsidR="00DF03C1" w:rsidRPr="00F83B90">
        <w:rPr>
          <w:i/>
          <w:iCs/>
          <w:lang w:val="en-AU"/>
        </w:rPr>
        <w:t>Privacy and Data Protection Act 2014</w:t>
      </w:r>
      <w:r w:rsidR="00DF03C1" w:rsidRPr="00F83B90">
        <w:rPr>
          <w:lang w:val="en-AU"/>
        </w:rPr>
        <w:t xml:space="preserve"> (Vic)</w:t>
      </w:r>
      <w:r w:rsidR="00B6612F">
        <w:rPr>
          <w:lang w:val="en-AU"/>
        </w:rPr>
        <w:t xml:space="preserve"> </w:t>
      </w:r>
      <w:r w:rsidR="002302E0">
        <w:rPr>
          <w:lang w:val="en-AU"/>
        </w:rPr>
        <w:t>(</w:t>
      </w:r>
      <w:r w:rsidR="00B6612F" w:rsidRPr="0007055B">
        <w:rPr>
          <w:b/>
          <w:bCs/>
          <w:lang w:val="en-AU"/>
        </w:rPr>
        <w:t>PDP Act</w:t>
      </w:r>
      <w:r w:rsidR="002302E0">
        <w:rPr>
          <w:lang w:val="en-AU"/>
        </w:rPr>
        <w:t>)</w:t>
      </w:r>
      <w:r w:rsidR="00DF03C1">
        <w:rPr>
          <w:lang w:val="en-AU"/>
        </w:rPr>
        <w:t xml:space="preserve"> before VCAT. </w:t>
      </w:r>
    </w:p>
    <w:p w14:paraId="36D343CD" w14:textId="29C9D39D" w:rsidR="001F40CB" w:rsidRDefault="009A120D" w:rsidP="001F40CB">
      <w:pPr>
        <w:pStyle w:val="Heading2"/>
        <w:shd w:val="clear" w:color="auto" w:fill="FFFFFF"/>
        <w:spacing w:before="120" w:beforeAutospacing="0" w:after="240" w:afterAutospacing="0"/>
        <w:rPr>
          <w:rFonts w:asciiTheme="minorHAnsi" w:hAnsiTheme="minorHAnsi" w:cstheme="minorHAnsi"/>
          <w:color w:val="430098"/>
          <w:sz w:val="28"/>
          <w:szCs w:val="28"/>
        </w:rPr>
      </w:pPr>
      <w:r w:rsidRPr="00A24424">
        <w:rPr>
          <w:rFonts w:asciiTheme="minorHAnsi" w:hAnsiTheme="minorHAnsi" w:cstheme="minorHAnsi"/>
          <w:color w:val="430098"/>
          <w:sz w:val="28"/>
          <w:szCs w:val="28"/>
        </w:rPr>
        <w:t>Background</w:t>
      </w:r>
    </w:p>
    <w:p w14:paraId="7CF3F7FB" w14:textId="77777777" w:rsidR="00DF03C1" w:rsidRDefault="00B6612F" w:rsidP="00B6612F">
      <w:pPr>
        <w:pStyle w:val="Body"/>
      </w:pPr>
      <w:r>
        <w:t>The Complainant was an employee of the Respondent</w:t>
      </w:r>
      <w:r w:rsidR="000D06A9">
        <w:t xml:space="preserve"> who was dismissed following a workplace investigation relating to his use of his work computer.</w:t>
      </w:r>
      <w:r w:rsidR="00E86AB9">
        <w:t xml:space="preserve"> </w:t>
      </w:r>
    </w:p>
    <w:p w14:paraId="1D440561" w14:textId="64410771" w:rsidR="000D06A9" w:rsidRDefault="00E86AB9" w:rsidP="00B6612F">
      <w:pPr>
        <w:pStyle w:val="Body"/>
      </w:pPr>
      <w:r>
        <w:t>He</w:t>
      </w:r>
      <w:r w:rsidR="000D06A9">
        <w:t xml:space="preserve"> made a complaint </w:t>
      </w:r>
      <w:r>
        <w:t xml:space="preserve">to OVIC </w:t>
      </w:r>
      <w:r w:rsidR="000D06A9">
        <w:t>about the handling of his personal information</w:t>
      </w:r>
      <w:r w:rsidR="0088704C">
        <w:t xml:space="preserve"> (</w:t>
      </w:r>
      <w:r w:rsidR="0088704C" w:rsidRPr="0007055B">
        <w:rPr>
          <w:b/>
          <w:bCs/>
        </w:rPr>
        <w:t>PDP</w:t>
      </w:r>
      <w:r w:rsidR="0088704C">
        <w:rPr>
          <w:b/>
          <w:bCs/>
        </w:rPr>
        <w:t xml:space="preserve"> Act</w:t>
      </w:r>
      <w:r w:rsidR="0088704C" w:rsidRPr="0007055B">
        <w:rPr>
          <w:b/>
          <w:bCs/>
        </w:rPr>
        <w:t xml:space="preserve"> complaint</w:t>
      </w:r>
      <w:r w:rsidR="0088704C">
        <w:t>)</w:t>
      </w:r>
      <w:r w:rsidR="000D06A9">
        <w:t xml:space="preserve"> as part of the investigation and the matter was not resolved.</w:t>
      </w:r>
      <w:r w:rsidR="00DF03C1">
        <w:t xml:space="preserve"> </w:t>
      </w:r>
      <w:r w:rsidR="000D06A9">
        <w:t xml:space="preserve">The complaint was referred to VCAT and VCAT decided that there had been </w:t>
      </w:r>
      <w:hyperlink r:id="rId8" w:history="1">
        <w:r w:rsidR="000D06A9" w:rsidRPr="000D06A9">
          <w:rPr>
            <w:rStyle w:val="Hyperlink"/>
          </w:rPr>
          <w:t>no interference with the Complainant’s privacy under the PDP Act.</w:t>
        </w:r>
      </w:hyperlink>
      <w:r>
        <w:t xml:space="preserve"> </w:t>
      </w:r>
    </w:p>
    <w:p w14:paraId="3EC7E6E8" w14:textId="075E28EC" w:rsidR="00B6612F" w:rsidRPr="0007055B" w:rsidRDefault="000D06A9" w:rsidP="0007055B">
      <w:pPr>
        <w:pStyle w:val="Body"/>
      </w:pPr>
      <w:r>
        <w:t xml:space="preserve">The Complainant then made a complaint under the HRA </w:t>
      </w:r>
      <w:r w:rsidR="0010134D">
        <w:t>to the Health Complaints Commissioner (</w:t>
      </w:r>
      <w:r w:rsidR="0010134D" w:rsidRPr="0007055B">
        <w:rPr>
          <w:b/>
          <w:bCs/>
        </w:rPr>
        <w:t>HCC</w:t>
      </w:r>
      <w:r w:rsidR="0010134D">
        <w:t xml:space="preserve">) </w:t>
      </w:r>
      <w:r w:rsidRPr="0088704C">
        <w:t>about</w:t>
      </w:r>
      <w:r>
        <w:t xml:space="preserve"> the handling of his health information</w:t>
      </w:r>
      <w:r w:rsidR="0088704C">
        <w:t xml:space="preserve"> (</w:t>
      </w:r>
      <w:r w:rsidR="0088704C" w:rsidRPr="0007055B">
        <w:rPr>
          <w:b/>
          <w:bCs/>
        </w:rPr>
        <w:t>HR Act complaint</w:t>
      </w:r>
      <w:r w:rsidR="0088704C">
        <w:t>)</w:t>
      </w:r>
      <w:r>
        <w:t xml:space="preserve"> in the same circumstances. </w:t>
      </w:r>
      <w:r w:rsidR="0010134D">
        <w:t>The HCC declined to entertain the complaint because the subject matter had already been dealt with under the PDP Act. The Complainant had the matter referred to VCAT</w:t>
      </w:r>
      <w:r w:rsidR="00E86AB9">
        <w:t>.</w:t>
      </w:r>
    </w:p>
    <w:p w14:paraId="782FC5C5" w14:textId="5812268E" w:rsidR="005758B2" w:rsidRDefault="005758B2" w:rsidP="005758B2">
      <w:pPr>
        <w:pStyle w:val="Heading2"/>
        <w:shd w:val="clear" w:color="auto" w:fill="FFFFFF"/>
        <w:spacing w:before="120" w:beforeAutospacing="0" w:after="240" w:afterAutospacing="0"/>
        <w:rPr>
          <w:rFonts w:asciiTheme="minorHAnsi" w:hAnsiTheme="minorHAnsi" w:cstheme="minorHAnsi"/>
          <w:color w:val="430098"/>
          <w:sz w:val="28"/>
          <w:szCs w:val="28"/>
        </w:rPr>
      </w:pPr>
      <w:bookmarkStart w:id="0" w:name="_Hlk75510433"/>
      <w:r>
        <w:rPr>
          <w:rFonts w:asciiTheme="minorHAnsi" w:hAnsiTheme="minorHAnsi" w:cstheme="minorHAnsi"/>
          <w:color w:val="430098"/>
          <w:sz w:val="28"/>
          <w:szCs w:val="28"/>
        </w:rPr>
        <w:t>VCAT’s decision</w:t>
      </w:r>
    </w:p>
    <w:bookmarkEnd w:id="0"/>
    <w:p w14:paraId="4574BC89" w14:textId="470BA82D" w:rsidR="0088704C" w:rsidRDefault="0088704C" w:rsidP="0010134D">
      <w:pPr>
        <w:spacing w:after="160" w:line="259" w:lineRule="auto"/>
        <w:rPr>
          <w:rFonts w:asciiTheme="minorHAnsi" w:eastAsiaTheme="minorHAnsi" w:hAnsiTheme="minorHAnsi" w:cstheme="minorBidi"/>
          <w:color w:val="55565A"/>
          <w:sz w:val="22"/>
          <w:szCs w:val="22"/>
          <w:lang w:val="en-AU"/>
        </w:rPr>
      </w:pPr>
      <w:r>
        <w:rPr>
          <w:rFonts w:asciiTheme="minorHAnsi" w:eastAsiaTheme="minorHAnsi" w:hAnsiTheme="minorHAnsi" w:cstheme="minorBidi"/>
          <w:color w:val="55565A"/>
          <w:sz w:val="22"/>
          <w:szCs w:val="22"/>
          <w:lang w:val="en-AU"/>
        </w:rPr>
        <w:t xml:space="preserve">VCAT </w:t>
      </w:r>
      <w:r w:rsidR="006B61C6">
        <w:rPr>
          <w:rFonts w:asciiTheme="minorHAnsi" w:eastAsiaTheme="minorHAnsi" w:hAnsiTheme="minorHAnsi" w:cstheme="minorBidi"/>
          <w:color w:val="55565A"/>
          <w:sz w:val="22"/>
          <w:szCs w:val="22"/>
          <w:lang w:val="en-AU"/>
        </w:rPr>
        <w:t xml:space="preserve">found the </w:t>
      </w:r>
      <w:proofErr w:type="spellStart"/>
      <w:r w:rsidRPr="00491984">
        <w:rPr>
          <w:rFonts w:asciiTheme="minorHAnsi" w:eastAsiaTheme="minorHAnsi" w:hAnsiTheme="minorHAnsi" w:cstheme="minorBidi"/>
          <w:b/>
          <w:bCs/>
          <w:i/>
          <w:iCs/>
          <w:color w:val="55565A"/>
          <w:sz w:val="22"/>
          <w:szCs w:val="22"/>
          <w:lang w:val="en-AU"/>
        </w:rPr>
        <w:t>Anshun</w:t>
      </w:r>
      <w:proofErr w:type="spellEnd"/>
      <w:r w:rsidRPr="00491984">
        <w:rPr>
          <w:rFonts w:asciiTheme="minorHAnsi" w:eastAsiaTheme="minorHAnsi" w:hAnsiTheme="minorHAnsi" w:cstheme="minorBidi"/>
          <w:b/>
          <w:bCs/>
          <w:i/>
          <w:iCs/>
          <w:color w:val="55565A"/>
          <w:sz w:val="22"/>
          <w:szCs w:val="22"/>
          <w:lang w:val="en-AU"/>
        </w:rPr>
        <w:t xml:space="preserve"> </w:t>
      </w:r>
      <w:r w:rsidRPr="00491984">
        <w:rPr>
          <w:rFonts w:asciiTheme="minorHAnsi" w:eastAsiaTheme="minorHAnsi" w:hAnsiTheme="minorHAnsi" w:cstheme="minorBidi"/>
          <w:b/>
          <w:bCs/>
          <w:color w:val="55565A"/>
          <w:sz w:val="22"/>
          <w:szCs w:val="22"/>
          <w:lang w:val="en-AU"/>
        </w:rPr>
        <w:t>principle</w:t>
      </w:r>
      <w:r>
        <w:rPr>
          <w:rFonts w:asciiTheme="minorHAnsi" w:eastAsiaTheme="minorHAnsi" w:hAnsiTheme="minorHAnsi" w:cstheme="minorBidi"/>
          <w:b/>
          <w:bCs/>
          <w:color w:val="55565A"/>
          <w:sz w:val="22"/>
          <w:szCs w:val="22"/>
          <w:lang w:val="en-AU"/>
        </w:rPr>
        <w:t xml:space="preserve"> </w:t>
      </w:r>
      <w:r w:rsidRPr="0007055B">
        <w:rPr>
          <w:rFonts w:asciiTheme="minorHAnsi" w:eastAsiaTheme="minorHAnsi" w:hAnsiTheme="minorHAnsi" w:cstheme="minorBidi"/>
          <w:color w:val="55565A"/>
          <w:sz w:val="22"/>
          <w:szCs w:val="22"/>
          <w:lang w:val="en-AU"/>
        </w:rPr>
        <w:t>applied</w:t>
      </w:r>
      <w:r>
        <w:rPr>
          <w:rFonts w:asciiTheme="minorHAnsi" w:eastAsiaTheme="minorHAnsi" w:hAnsiTheme="minorHAnsi" w:cstheme="minorBidi"/>
          <w:color w:val="55565A"/>
          <w:sz w:val="22"/>
          <w:szCs w:val="22"/>
          <w:lang w:val="en-AU"/>
        </w:rPr>
        <w:t xml:space="preserve"> in the circumstances – under this principle </w:t>
      </w:r>
      <w:r w:rsidRPr="006462F8">
        <w:rPr>
          <w:rFonts w:asciiTheme="minorHAnsi" w:eastAsiaTheme="minorHAnsi" w:hAnsiTheme="minorHAnsi" w:cstheme="minorBidi"/>
          <w:color w:val="55565A"/>
          <w:sz w:val="22"/>
          <w:szCs w:val="22"/>
          <w:lang w:val="en-AU"/>
        </w:rPr>
        <w:t>a party is prevented from making a new legal claim, when that claim should have been pursued in an earlier legal proceeding.</w:t>
      </w:r>
      <w:r w:rsidRPr="006462F8">
        <w:rPr>
          <w:rFonts w:asciiTheme="minorHAnsi" w:eastAsiaTheme="minorHAnsi" w:hAnsiTheme="minorHAnsi" w:cstheme="minorBidi"/>
          <w:color w:val="55565A"/>
          <w:sz w:val="22"/>
          <w:szCs w:val="22"/>
          <w:vertAlign w:val="superscript"/>
          <w:lang w:val="en-AU"/>
        </w:rPr>
        <w:footnoteReference w:id="1"/>
      </w:r>
    </w:p>
    <w:p w14:paraId="65D62E93" w14:textId="39ABF67A" w:rsidR="0088704C" w:rsidRDefault="0088704C" w:rsidP="0010134D">
      <w:pPr>
        <w:spacing w:after="160" w:line="259" w:lineRule="auto"/>
        <w:rPr>
          <w:rFonts w:asciiTheme="minorHAnsi" w:eastAsiaTheme="minorHAnsi" w:hAnsiTheme="minorHAnsi" w:cstheme="minorBidi"/>
          <w:color w:val="55565A"/>
          <w:sz w:val="22"/>
          <w:szCs w:val="22"/>
          <w:lang w:val="en-AU"/>
        </w:rPr>
      </w:pPr>
      <w:r>
        <w:rPr>
          <w:rFonts w:asciiTheme="minorHAnsi" w:eastAsiaTheme="minorHAnsi" w:hAnsiTheme="minorHAnsi" w:cstheme="minorBidi"/>
          <w:color w:val="55565A"/>
          <w:sz w:val="22"/>
          <w:szCs w:val="22"/>
          <w:lang w:val="en-AU"/>
        </w:rPr>
        <w:t>VCAT was of the view that if the Complainant wanted to pursue his HR Act complaint, he should have done so during his previous VACT hearing relating to his PDP Act complaint</w:t>
      </w:r>
      <w:r w:rsidR="006B61C6">
        <w:rPr>
          <w:rFonts w:asciiTheme="minorHAnsi" w:eastAsiaTheme="minorHAnsi" w:hAnsiTheme="minorHAnsi" w:cstheme="minorBidi"/>
          <w:color w:val="55565A"/>
          <w:sz w:val="22"/>
          <w:szCs w:val="22"/>
          <w:lang w:val="en-AU"/>
        </w:rPr>
        <w:t xml:space="preserve">. It deemed that there was no barrier preventing him from doing so, noting </w:t>
      </w:r>
      <w:proofErr w:type="gramStart"/>
      <w:r w:rsidR="006B61C6">
        <w:rPr>
          <w:rFonts w:asciiTheme="minorHAnsi" w:eastAsiaTheme="minorHAnsi" w:hAnsiTheme="minorHAnsi" w:cstheme="minorBidi"/>
          <w:color w:val="55565A"/>
          <w:sz w:val="22"/>
          <w:szCs w:val="22"/>
          <w:lang w:val="en-AU"/>
        </w:rPr>
        <w:t>that :</w:t>
      </w:r>
      <w:proofErr w:type="gramEnd"/>
      <w:r w:rsidR="006B61C6">
        <w:rPr>
          <w:rFonts w:asciiTheme="minorHAnsi" w:eastAsiaTheme="minorHAnsi" w:hAnsiTheme="minorHAnsi" w:cstheme="minorBidi"/>
          <w:color w:val="55565A"/>
          <w:sz w:val="22"/>
          <w:szCs w:val="22"/>
          <w:lang w:val="en-AU"/>
        </w:rPr>
        <w:t xml:space="preserve"> </w:t>
      </w:r>
    </w:p>
    <w:p w14:paraId="15F00458" w14:textId="77777777" w:rsidR="006B61C6" w:rsidRDefault="006B61C6" w:rsidP="006B61C6">
      <w:pPr>
        <w:pStyle w:val="ListParagraph"/>
        <w:numPr>
          <w:ilvl w:val="0"/>
          <w:numId w:val="14"/>
        </w:numPr>
        <w:spacing w:after="240" w:line="259" w:lineRule="auto"/>
        <w:ind w:right="-7"/>
        <w:rPr>
          <w:rFonts w:asciiTheme="minorHAnsi" w:eastAsiaTheme="minorHAnsi" w:hAnsiTheme="minorHAnsi" w:cstheme="minorBidi"/>
          <w:color w:val="55565A"/>
          <w:sz w:val="22"/>
          <w:szCs w:val="22"/>
          <w:lang w:val="en-AU"/>
        </w:rPr>
      </w:pPr>
      <w:r w:rsidRPr="00730DA8">
        <w:rPr>
          <w:rFonts w:asciiTheme="minorHAnsi" w:eastAsiaTheme="minorHAnsi" w:hAnsiTheme="minorHAnsi" w:cstheme="minorBidi"/>
          <w:color w:val="55565A"/>
          <w:sz w:val="22"/>
          <w:szCs w:val="22"/>
          <w:lang w:val="en-AU"/>
        </w:rPr>
        <w:t xml:space="preserve">Despite personal and health information being governed by separate Acts, the issues raised in the Complainant’s PDP Act and HR Act complaints were the same. </w:t>
      </w:r>
    </w:p>
    <w:p w14:paraId="33E36801" w14:textId="77777777" w:rsidR="006B61C6" w:rsidRDefault="006B61C6" w:rsidP="006B61C6">
      <w:pPr>
        <w:pStyle w:val="ListParagraph"/>
        <w:spacing w:after="240" w:line="259" w:lineRule="auto"/>
        <w:ind w:right="-7"/>
        <w:rPr>
          <w:rFonts w:asciiTheme="minorHAnsi" w:eastAsiaTheme="minorHAnsi" w:hAnsiTheme="minorHAnsi" w:cstheme="minorBidi"/>
          <w:color w:val="55565A"/>
          <w:sz w:val="22"/>
          <w:szCs w:val="22"/>
          <w:lang w:val="en-AU"/>
        </w:rPr>
      </w:pPr>
    </w:p>
    <w:p w14:paraId="167C8C85" w14:textId="0B1ACFC4" w:rsidR="006B61C6" w:rsidRPr="0007055B" w:rsidRDefault="006B61C6" w:rsidP="0007055B">
      <w:pPr>
        <w:pStyle w:val="ListParagraph"/>
        <w:numPr>
          <w:ilvl w:val="0"/>
          <w:numId w:val="14"/>
        </w:numPr>
        <w:spacing w:after="160" w:line="259" w:lineRule="auto"/>
        <w:ind w:right="134"/>
        <w:rPr>
          <w:rFonts w:asciiTheme="minorHAnsi" w:eastAsiaTheme="minorHAnsi" w:hAnsiTheme="minorHAnsi" w:cstheme="minorBidi"/>
          <w:color w:val="55565A"/>
          <w:sz w:val="22"/>
          <w:szCs w:val="22"/>
          <w:lang w:val="en-AU"/>
        </w:rPr>
      </w:pPr>
      <w:r w:rsidRPr="00730DA8">
        <w:rPr>
          <w:rFonts w:asciiTheme="minorHAnsi" w:eastAsiaTheme="minorHAnsi" w:hAnsiTheme="minorHAnsi" w:cstheme="minorBidi"/>
          <w:color w:val="55565A"/>
          <w:sz w:val="22"/>
          <w:szCs w:val="22"/>
          <w:lang w:val="en-AU"/>
        </w:rPr>
        <w:t>The relevant HPPs and Information Privacy Principles (</w:t>
      </w:r>
      <w:r w:rsidRPr="00730DA8">
        <w:rPr>
          <w:rFonts w:asciiTheme="minorHAnsi" w:eastAsiaTheme="minorHAnsi" w:hAnsiTheme="minorHAnsi" w:cstheme="minorBidi"/>
          <w:b/>
          <w:bCs/>
          <w:color w:val="55565A"/>
          <w:sz w:val="22"/>
          <w:szCs w:val="22"/>
          <w:lang w:val="en-AU"/>
        </w:rPr>
        <w:t>IPPs</w:t>
      </w:r>
      <w:r w:rsidRPr="00730DA8">
        <w:rPr>
          <w:rFonts w:asciiTheme="minorHAnsi" w:eastAsiaTheme="minorHAnsi" w:hAnsiTheme="minorHAnsi" w:cstheme="minorBidi"/>
          <w:color w:val="55565A"/>
          <w:sz w:val="22"/>
          <w:szCs w:val="22"/>
          <w:lang w:val="en-AU"/>
        </w:rPr>
        <w:t xml:space="preserve">) while not identical, are nonetheless substantially similar as they share the same objectives of privacy protection and control of data. </w:t>
      </w:r>
    </w:p>
    <w:p w14:paraId="646F4CC0" w14:textId="08BB8B88" w:rsidR="004E6002" w:rsidRPr="000D00BD" w:rsidRDefault="0088704C" w:rsidP="0007055B">
      <w:pPr>
        <w:spacing w:after="160" w:line="259" w:lineRule="auto"/>
        <w:contextualSpacing/>
        <w:rPr>
          <w:rFonts w:asciiTheme="minorHAnsi" w:eastAsiaTheme="minorHAnsi" w:hAnsiTheme="minorHAnsi" w:cstheme="minorBidi"/>
          <w:color w:val="55565A"/>
          <w:sz w:val="22"/>
          <w:szCs w:val="22"/>
          <w:lang w:val="en-AU"/>
        </w:rPr>
      </w:pPr>
      <w:r>
        <w:rPr>
          <w:rFonts w:asciiTheme="minorHAnsi" w:eastAsiaTheme="minorHAnsi" w:hAnsiTheme="minorHAnsi" w:cstheme="minorBidi"/>
          <w:color w:val="55565A"/>
          <w:sz w:val="22"/>
          <w:szCs w:val="22"/>
          <w:lang w:val="en-AU"/>
        </w:rPr>
        <w:t xml:space="preserve">VCAT </w:t>
      </w:r>
      <w:r w:rsidR="00FD0F40">
        <w:rPr>
          <w:rFonts w:asciiTheme="minorHAnsi" w:eastAsiaTheme="minorHAnsi" w:hAnsiTheme="minorHAnsi" w:cstheme="minorBidi"/>
          <w:color w:val="55565A"/>
          <w:sz w:val="22"/>
          <w:szCs w:val="22"/>
          <w:lang w:val="en-AU"/>
        </w:rPr>
        <w:t>concluded</w:t>
      </w:r>
      <w:r>
        <w:rPr>
          <w:rFonts w:asciiTheme="minorHAnsi" w:eastAsiaTheme="minorHAnsi" w:hAnsiTheme="minorHAnsi" w:cstheme="minorBidi"/>
          <w:color w:val="55565A"/>
          <w:sz w:val="22"/>
          <w:szCs w:val="22"/>
          <w:lang w:val="en-AU"/>
        </w:rPr>
        <w:t xml:space="preserve"> that the Complainant was effectively trying a re-run of his previous hearing to get a different finding on the same facts. It summarily dismissed the complaint as an abuse of process.</w:t>
      </w:r>
    </w:p>
    <w:p w14:paraId="3F1899F9" w14:textId="3238EBF5" w:rsidR="000D00BD" w:rsidRPr="000D00BD" w:rsidRDefault="002F74E7" w:rsidP="000D00BD">
      <w:pPr>
        <w:pStyle w:val="Heading2"/>
        <w:shd w:val="clear" w:color="auto" w:fill="FFFFFF"/>
        <w:spacing w:before="120" w:beforeAutospacing="0" w:after="240" w:afterAutospacing="0"/>
        <w:rPr>
          <w:rFonts w:asciiTheme="minorHAnsi" w:hAnsiTheme="minorHAnsi" w:cstheme="minorHAnsi"/>
          <w:color w:val="430098"/>
          <w:sz w:val="28"/>
          <w:szCs w:val="28"/>
        </w:rPr>
      </w:pPr>
      <w:r>
        <w:rPr>
          <w:rFonts w:asciiTheme="minorHAnsi" w:hAnsiTheme="minorHAnsi" w:cstheme="minorHAnsi"/>
          <w:color w:val="430098"/>
          <w:sz w:val="28"/>
          <w:szCs w:val="28"/>
        </w:rPr>
        <w:t>Lessons</w:t>
      </w:r>
    </w:p>
    <w:p w14:paraId="1382CC15" w14:textId="43671A4E" w:rsidR="002F74E7" w:rsidRDefault="002F74E7" w:rsidP="008C59F3">
      <w:pPr>
        <w:pStyle w:val="Body"/>
        <w:rPr>
          <w:lang w:val="en-AU"/>
        </w:rPr>
      </w:pPr>
      <w:r>
        <w:rPr>
          <w:lang w:val="en-AU"/>
        </w:rPr>
        <w:t xml:space="preserve">This decision provides some lessons for individuals who wish to make a complaint </w:t>
      </w:r>
      <w:r w:rsidRPr="00F65CDC">
        <w:rPr>
          <w:lang w:val="en-AU"/>
        </w:rPr>
        <w:t>involv</w:t>
      </w:r>
      <w:r>
        <w:rPr>
          <w:lang w:val="en-AU"/>
        </w:rPr>
        <w:t>ing</w:t>
      </w:r>
      <w:r w:rsidRPr="00F65CDC">
        <w:rPr>
          <w:lang w:val="en-AU"/>
        </w:rPr>
        <w:t xml:space="preserve"> both health and personal information arising from the same set of facts.</w:t>
      </w:r>
      <w:r>
        <w:rPr>
          <w:lang w:val="en-AU"/>
        </w:rPr>
        <w:t xml:space="preserve"> That is:</w:t>
      </w:r>
    </w:p>
    <w:p w14:paraId="63134A1A" w14:textId="161A1B77" w:rsidR="002F74E7" w:rsidRDefault="002F74E7" w:rsidP="002F74E7">
      <w:pPr>
        <w:pStyle w:val="Body"/>
        <w:numPr>
          <w:ilvl w:val="0"/>
          <w:numId w:val="15"/>
        </w:numPr>
        <w:rPr>
          <w:lang w:val="en-AU"/>
        </w:rPr>
      </w:pPr>
      <w:r>
        <w:rPr>
          <w:lang w:val="en-AU"/>
        </w:rPr>
        <w:t>Individuals cannot ‘forum shop’ – where they have pursued their complaint under either the PDP Act or the HR Act, they may be prevented from pursuing a later complaint under the other Act.</w:t>
      </w:r>
    </w:p>
    <w:p w14:paraId="068530FE" w14:textId="453C13D0" w:rsidR="002F74E7" w:rsidRDefault="002F74E7" w:rsidP="002F74E7">
      <w:pPr>
        <w:pStyle w:val="Body"/>
        <w:numPr>
          <w:ilvl w:val="0"/>
          <w:numId w:val="15"/>
        </w:numPr>
        <w:rPr>
          <w:lang w:val="en-AU"/>
        </w:rPr>
      </w:pPr>
      <w:r>
        <w:rPr>
          <w:lang w:val="en-AU"/>
        </w:rPr>
        <w:t>If an individual wants to pursue a complaint under both the</w:t>
      </w:r>
      <w:r w:rsidRPr="002F74E7">
        <w:rPr>
          <w:lang w:val="en-AU"/>
        </w:rPr>
        <w:t xml:space="preserve"> </w:t>
      </w:r>
      <w:r w:rsidRPr="00F65CDC">
        <w:rPr>
          <w:lang w:val="en-AU"/>
        </w:rPr>
        <w:t>PDP Act and HR Act</w:t>
      </w:r>
      <w:r>
        <w:rPr>
          <w:lang w:val="en-AU"/>
        </w:rPr>
        <w:t xml:space="preserve"> at VCAT, they should do this at the same time.</w:t>
      </w:r>
    </w:p>
    <w:p w14:paraId="0DABA412" w14:textId="3EB52DFB" w:rsidR="002F74E7" w:rsidRDefault="002F74E7" w:rsidP="0007055B">
      <w:pPr>
        <w:pStyle w:val="Body"/>
        <w:ind w:left="720"/>
        <w:rPr>
          <w:lang w:val="en-AU"/>
        </w:rPr>
      </w:pPr>
    </w:p>
    <w:p w14:paraId="3C28758F"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732B514"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sectPr w:rsidR="007B041D" w:rsidRPr="00BA681B" w:rsidSect="007B041D">
          <w:footerReference w:type="default" r:id="rId9"/>
          <w:headerReference w:type="first" r:id="rId10"/>
          <w:pgSz w:w="11900" w:h="16840"/>
          <w:pgMar w:top="896" w:right="1134" w:bottom="709" w:left="1134" w:header="510" w:footer="510" w:gutter="0"/>
          <w:cols w:space="720"/>
          <w:titlePg/>
          <w:docGrid w:linePitch="360"/>
        </w:sectPr>
      </w:pPr>
    </w:p>
    <w:p w14:paraId="09795C11" w14:textId="1B763179" w:rsidR="00D01435" w:rsidRDefault="007B041D" w:rsidP="00D42B9B">
      <w:pPr>
        <w:pStyle w:val="Disclaimer"/>
        <w:spacing w:before="120" w:after="240"/>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D01435" w:rsidSect="00BA008A">
      <w:headerReference w:type="first" r:id="rId11"/>
      <w:footerReference w:type="first" r:id="rId12"/>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1F77" w14:textId="77777777" w:rsidR="00194C5E" w:rsidRDefault="00194C5E" w:rsidP="007B041D">
      <w:r>
        <w:separator/>
      </w:r>
    </w:p>
  </w:endnote>
  <w:endnote w:type="continuationSeparator" w:id="0">
    <w:p w14:paraId="0AAF3E91" w14:textId="77777777" w:rsidR="00194C5E" w:rsidRDefault="00194C5E" w:rsidP="007B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C4E" w14:textId="77777777" w:rsidR="00E26F8B" w:rsidRPr="003B6B6A" w:rsidRDefault="00FF03F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D790" w14:textId="77777777" w:rsidR="00E26F8B" w:rsidRDefault="00FF03F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F50B" w14:textId="77777777" w:rsidR="00194C5E" w:rsidRDefault="00194C5E" w:rsidP="007B041D">
      <w:r>
        <w:separator/>
      </w:r>
    </w:p>
  </w:footnote>
  <w:footnote w:type="continuationSeparator" w:id="0">
    <w:p w14:paraId="183F00D9" w14:textId="77777777" w:rsidR="00194C5E" w:rsidRDefault="00194C5E" w:rsidP="007B041D">
      <w:r>
        <w:continuationSeparator/>
      </w:r>
    </w:p>
  </w:footnote>
  <w:footnote w:id="1">
    <w:p w14:paraId="73425BCC" w14:textId="77777777" w:rsidR="0088704C" w:rsidRPr="00CA1EDF" w:rsidRDefault="0088704C" w:rsidP="0088704C">
      <w:pPr>
        <w:pStyle w:val="FootnoteText"/>
      </w:pPr>
      <w:r>
        <w:rPr>
          <w:rStyle w:val="FootnoteReference"/>
        </w:rPr>
        <w:footnoteRef/>
      </w:r>
      <w:r>
        <w:t xml:space="preserve"> </w:t>
      </w:r>
      <w:r>
        <w:rPr>
          <w:i/>
          <w:iCs/>
        </w:rPr>
        <w:t xml:space="preserve">Port of Melbourne Authority v </w:t>
      </w:r>
      <w:proofErr w:type="spellStart"/>
      <w:r>
        <w:rPr>
          <w:i/>
          <w:iCs/>
        </w:rPr>
        <w:t>Anshun</w:t>
      </w:r>
      <w:proofErr w:type="spellEnd"/>
      <w:r>
        <w:rPr>
          <w:i/>
          <w:iCs/>
        </w:rPr>
        <w:t xml:space="preserve"> Pty Ltd </w:t>
      </w:r>
      <w:r>
        <w:t>1981 HCA 45, 147 CLR 589.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953" w14:textId="77777777" w:rsidR="00E26F8B" w:rsidRPr="00D70A8A" w:rsidRDefault="00FF03F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CF0D396" wp14:editId="2DF1FB8F">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6A42DB6" w14:textId="77777777" w:rsidR="00E26F8B" w:rsidRDefault="00FF03F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374C5D2A" wp14:editId="079EE14A">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737A82FE" w14:textId="7CE9158B" w:rsidR="00E26F8B" w:rsidRPr="00956C57" w:rsidRDefault="00B30233" w:rsidP="00362F36">
    <w:pPr>
      <w:pStyle w:val="DocumentTitle"/>
      <w:spacing w:before="0"/>
      <w:rPr>
        <w:color w:val="555559"/>
        <w:sz w:val="30"/>
        <w:szCs w:val="30"/>
      </w:rPr>
    </w:pPr>
    <w:proofErr w:type="spellStart"/>
    <w:r w:rsidRPr="00A24424">
      <w:rPr>
        <w:rFonts w:ascii="Calibri" w:hAnsi="Calibri"/>
        <w:bCs/>
        <w:i/>
        <w:iCs/>
        <w:sz w:val="36"/>
        <w:szCs w:val="36"/>
        <w:lang w:val="en"/>
      </w:rPr>
      <w:t>Kerig</w:t>
    </w:r>
    <w:proofErr w:type="spellEnd"/>
    <w:r w:rsidRPr="00A24424">
      <w:rPr>
        <w:rFonts w:ascii="Calibri" w:hAnsi="Calibri"/>
        <w:bCs/>
        <w:i/>
        <w:iCs/>
        <w:sz w:val="36"/>
        <w:szCs w:val="36"/>
        <w:lang w:val="en"/>
      </w:rPr>
      <w:t xml:space="preserve"> v Victoria University</w:t>
    </w:r>
    <w:r w:rsidR="007A31EC">
      <w:rPr>
        <w:rFonts w:ascii="Calibri" w:hAnsi="Calibri"/>
        <w:bCs/>
        <w:i/>
        <w:iCs/>
        <w:sz w:val="36"/>
        <w:szCs w:val="36"/>
        <w:lang w:val="en"/>
      </w:rPr>
      <w:t xml:space="preserve"> </w:t>
    </w:r>
    <w:r w:rsidR="007A31EC">
      <w:rPr>
        <w:rFonts w:ascii="Calibri" w:hAnsi="Calibri"/>
        <w:bCs/>
        <w:sz w:val="36"/>
        <w:szCs w:val="36"/>
        <w:lang w:val="en"/>
      </w:rPr>
      <w:t>(Human Rights)</w:t>
    </w:r>
    <w:r>
      <w:rPr>
        <w:rFonts w:ascii="Calibri" w:hAnsi="Calibri"/>
        <w:bCs/>
        <w:sz w:val="36"/>
        <w:szCs w:val="36"/>
        <w:lang w:val="en"/>
      </w:rPr>
      <w:t xml:space="preserve"> [202</w:t>
    </w:r>
    <w:r w:rsidR="007A31EC">
      <w:rPr>
        <w:rFonts w:ascii="Calibri" w:hAnsi="Calibri"/>
        <w:bCs/>
        <w:sz w:val="36"/>
        <w:szCs w:val="36"/>
        <w:lang w:val="en"/>
      </w:rPr>
      <w:t>1</w:t>
    </w:r>
    <w:r>
      <w:rPr>
        <w:rFonts w:ascii="Calibri" w:hAnsi="Calibri"/>
        <w:bCs/>
        <w:sz w:val="36"/>
        <w:szCs w:val="36"/>
        <w:lang w:val="en"/>
      </w:rPr>
      <w:t xml:space="preserve">] VCAT </w:t>
    </w:r>
    <w:r w:rsidR="007A31EC">
      <w:rPr>
        <w:rFonts w:ascii="Calibri" w:hAnsi="Calibri"/>
        <w:bCs/>
        <w:sz w:val="36"/>
        <w:szCs w:val="36"/>
        <w:lang w:val="en"/>
      </w:rPr>
      <w:t>532</w:t>
    </w:r>
    <w:r>
      <w:rPr>
        <w:rFonts w:ascii="Calibri" w:hAnsi="Calibri"/>
        <w:bCs/>
        <w:sz w:val="36"/>
        <w:szCs w:val="36"/>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CDE" w14:textId="77777777" w:rsidR="00E26F8B" w:rsidRPr="0070388B" w:rsidRDefault="00084790"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870"/>
    <w:multiLevelType w:val="hybridMultilevel"/>
    <w:tmpl w:val="ECAC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F50AF"/>
    <w:multiLevelType w:val="hybridMultilevel"/>
    <w:tmpl w:val="06CA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57B83"/>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D37E3"/>
    <w:multiLevelType w:val="multilevel"/>
    <w:tmpl w:val="877AC8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65AAE"/>
    <w:multiLevelType w:val="hybridMultilevel"/>
    <w:tmpl w:val="153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22AE0"/>
    <w:multiLevelType w:val="hybridMultilevel"/>
    <w:tmpl w:val="1602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1B1F73"/>
    <w:multiLevelType w:val="hybridMultilevel"/>
    <w:tmpl w:val="48E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217AC"/>
    <w:multiLevelType w:val="hybridMultilevel"/>
    <w:tmpl w:val="9FB2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684009"/>
    <w:multiLevelType w:val="hybridMultilevel"/>
    <w:tmpl w:val="BDBA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B295B"/>
    <w:multiLevelType w:val="hybridMultilevel"/>
    <w:tmpl w:val="7AC0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215F75"/>
    <w:multiLevelType w:val="hybridMultilevel"/>
    <w:tmpl w:val="A852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604432"/>
    <w:multiLevelType w:val="hybridMultilevel"/>
    <w:tmpl w:val="A97C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34030E"/>
    <w:multiLevelType w:val="hybridMultilevel"/>
    <w:tmpl w:val="ACEE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B4C37"/>
    <w:multiLevelType w:val="hybridMultilevel"/>
    <w:tmpl w:val="282A55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4"/>
  </w:num>
  <w:num w:numId="7">
    <w:abstractNumId w:val="9"/>
  </w:num>
  <w:num w:numId="8">
    <w:abstractNumId w:val="7"/>
  </w:num>
  <w:num w:numId="9">
    <w:abstractNumId w:val="8"/>
  </w:num>
  <w:num w:numId="10">
    <w:abstractNumId w:val="12"/>
  </w:num>
  <w:num w:numId="11">
    <w:abstractNumId w:val="10"/>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D"/>
    <w:rsid w:val="00014AC7"/>
    <w:rsid w:val="00014DE4"/>
    <w:rsid w:val="00015642"/>
    <w:rsid w:val="000212BE"/>
    <w:rsid w:val="00040135"/>
    <w:rsid w:val="000509DA"/>
    <w:rsid w:val="00050A70"/>
    <w:rsid w:val="00050FC0"/>
    <w:rsid w:val="0007055B"/>
    <w:rsid w:val="00073623"/>
    <w:rsid w:val="0008085C"/>
    <w:rsid w:val="0008115F"/>
    <w:rsid w:val="00084790"/>
    <w:rsid w:val="00096E2E"/>
    <w:rsid w:val="000B2AE6"/>
    <w:rsid w:val="000B3EE0"/>
    <w:rsid w:val="000C2919"/>
    <w:rsid w:val="000D00BD"/>
    <w:rsid w:val="000D06A9"/>
    <w:rsid w:val="000E38EE"/>
    <w:rsid w:val="0010134D"/>
    <w:rsid w:val="00112790"/>
    <w:rsid w:val="00156EFA"/>
    <w:rsid w:val="00167ED4"/>
    <w:rsid w:val="00185393"/>
    <w:rsid w:val="00185AE1"/>
    <w:rsid w:val="001901B5"/>
    <w:rsid w:val="00194190"/>
    <w:rsid w:val="00194C5E"/>
    <w:rsid w:val="001A5CF8"/>
    <w:rsid w:val="001C4E1C"/>
    <w:rsid w:val="001D1078"/>
    <w:rsid w:val="001F0FDC"/>
    <w:rsid w:val="001F40CB"/>
    <w:rsid w:val="00221EAE"/>
    <w:rsid w:val="0022258F"/>
    <w:rsid w:val="00225EA8"/>
    <w:rsid w:val="002302E0"/>
    <w:rsid w:val="002357EA"/>
    <w:rsid w:val="002373BD"/>
    <w:rsid w:val="00242AFE"/>
    <w:rsid w:val="002538A8"/>
    <w:rsid w:val="00253BDD"/>
    <w:rsid w:val="0025647B"/>
    <w:rsid w:val="00261681"/>
    <w:rsid w:val="0026470F"/>
    <w:rsid w:val="0029603A"/>
    <w:rsid w:val="002C3B5E"/>
    <w:rsid w:val="002D7D26"/>
    <w:rsid w:val="002E0552"/>
    <w:rsid w:val="002F55FF"/>
    <w:rsid w:val="002F74E7"/>
    <w:rsid w:val="00312949"/>
    <w:rsid w:val="00332C5A"/>
    <w:rsid w:val="00333EF6"/>
    <w:rsid w:val="00337951"/>
    <w:rsid w:val="00373A20"/>
    <w:rsid w:val="00376440"/>
    <w:rsid w:val="00392A90"/>
    <w:rsid w:val="003A111E"/>
    <w:rsid w:val="003B194A"/>
    <w:rsid w:val="003B7B16"/>
    <w:rsid w:val="003C10C6"/>
    <w:rsid w:val="003F09B7"/>
    <w:rsid w:val="0040786A"/>
    <w:rsid w:val="00410165"/>
    <w:rsid w:val="004149A3"/>
    <w:rsid w:val="004731FC"/>
    <w:rsid w:val="00491487"/>
    <w:rsid w:val="004B7F48"/>
    <w:rsid w:val="004D3E42"/>
    <w:rsid w:val="004D663A"/>
    <w:rsid w:val="004E6002"/>
    <w:rsid w:val="00507A8F"/>
    <w:rsid w:val="00512635"/>
    <w:rsid w:val="00516932"/>
    <w:rsid w:val="0052435B"/>
    <w:rsid w:val="00524709"/>
    <w:rsid w:val="00560F7F"/>
    <w:rsid w:val="00564324"/>
    <w:rsid w:val="005758B2"/>
    <w:rsid w:val="005915F9"/>
    <w:rsid w:val="005C617F"/>
    <w:rsid w:val="005D4B6C"/>
    <w:rsid w:val="005D5939"/>
    <w:rsid w:val="00616ACF"/>
    <w:rsid w:val="006462F8"/>
    <w:rsid w:val="00656902"/>
    <w:rsid w:val="00671CA5"/>
    <w:rsid w:val="006875BC"/>
    <w:rsid w:val="0069256F"/>
    <w:rsid w:val="00696C2B"/>
    <w:rsid w:val="006B61C6"/>
    <w:rsid w:val="006C7EE2"/>
    <w:rsid w:val="007117D7"/>
    <w:rsid w:val="00730DA8"/>
    <w:rsid w:val="007316FC"/>
    <w:rsid w:val="00732027"/>
    <w:rsid w:val="00737135"/>
    <w:rsid w:val="00740C78"/>
    <w:rsid w:val="007462EE"/>
    <w:rsid w:val="00760AE2"/>
    <w:rsid w:val="00794372"/>
    <w:rsid w:val="007A31EC"/>
    <w:rsid w:val="007B041D"/>
    <w:rsid w:val="007B455E"/>
    <w:rsid w:val="007B5A16"/>
    <w:rsid w:val="007B5D31"/>
    <w:rsid w:val="007B67C9"/>
    <w:rsid w:val="007C7107"/>
    <w:rsid w:val="007D05AA"/>
    <w:rsid w:val="007D742B"/>
    <w:rsid w:val="007E67AC"/>
    <w:rsid w:val="007F4F9A"/>
    <w:rsid w:val="007F647F"/>
    <w:rsid w:val="00804D1B"/>
    <w:rsid w:val="0081687B"/>
    <w:rsid w:val="008176D7"/>
    <w:rsid w:val="00843C1C"/>
    <w:rsid w:val="00871911"/>
    <w:rsid w:val="008812BB"/>
    <w:rsid w:val="008814B8"/>
    <w:rsid w:val="0088704C"/>
    <w:rsid w:val="00891406"/>
    <w:rsid w:val="0089348D"/>
    <w:rsid w:val="008972BB"/>
    <w:rsid w:val="008A5357"/>
    <w:rsid w:val="008B3FD0"/>
    <w:rsid w:val="008C0586"/>
    <w:rsid w:val="008C59F3"/>
    <w:rsid w:val="008E1F3A"/>
    <w:rsid w:val="008F4544"/>
    <w:rsid w:val="00906C58"/>
    <w:rsid w:val="00911CD7"/>
    <w:rsid w:val="00914BC1"/>
    <w:rsid w:val="009170B8"/>
    <w:rsid w:val="0093257C"/>
    <w:rsid w:val="009414FF"/>
    <w:rsid w:val="00942B19"/>
    <w:rsid w:val="009554CF"/>
    <w:rsid w:val="00957554"/>
    <w:rsid w:val="00984327"/>
    <w:rsid w:val="009A120D"/>
    <w:rsid w:val="009A231F"/>
    <w:rsid w:val="009A2607"/>
    <w:rsid w:val="009A4E39"/>
    <w:rsid w:val="009A73B8"/>
    <w:rsid w:val="00A11663"/>
    <w:rsid w:val="00A24424"/>
    <w:rsid w:val="00A25522"/>
    <w:rsid w:val="00A34891"/>
    <w:rsid w:val="00A44B24"/>
    <w:rsid w:val="00A95436"/>
    <w:rsid w:val="00AA34F8"/>
    <w:rsid w:val="00AB46F2"/>
    <w:rsid w:val="00AD2293"/>
    <w:rsid w:val="00AD540D"/>
    <w:rsid w:val="00AD7530"/>
    <w:rsid w:val="00B126EA"/>
    <w:rsid w:val="00B16877"/>
    <w:rsid w:val="00B16EB6"/>
    <w:rsid w:val="00B2070F"/>
    <w:rsid w:val="00B224A3"/>
    <w:rsid w:val="00B30233"/>
    <w:rsid w:val="00B3659F"/>
    <w:rsid w:val="00B4176B"/>
    <w:rsid w:val="00B4560F"/>
    <w:rsid w:val="00B62B2D"/>
    <w:rsid w:val="00B6612F"/>
    <w:rsid w:val="00B82908"/>
    <w:rsid w:val="00B87C02"/>
    <w:rsid w:val="00B905B9"/>
    <w:rsid w:val="00BA22FF"/>
    <w:rsid w:val="00BB0CEE"/>
    <w:rsid w:val="00BB7F0F"/>
    <w:rsid w:val="00BE0C45"/>
    <w:rsid w:val="00C026CB"/>
    <w:rsid w:val="00C03DC4"/>
    <w:rsid w:val="00C32F27"/>
    <w:rsid w:val="00C67251"/>
    <w:rsid w:val="00CB3E0A"/>
    <w:rsid w:val="00CC76AB"/>
    <w:rsid w:val="00CC7F40"/>
    <w:rsid w:val="00CD3B71"/>
    <w:rsid w:val="00CD59DA"/>
    <w:rsid w:val="00CE1668"/>
    <w:rsid w:val="00CE5447"/>
    <w:rsid w:val="00D01435"/>
    <w:rsid w:val="00D121E8"/>
    <w:rsid w:val="00D201BD"/>
    <w:rsid w:val="00D271F9"/>
    <w:rsid w:val="00D273E3"/>
    <w:rsid w:val="00D42B9B"/>
    <w:rsid w:val="00D4615B"/>
    <w:rsid w:val="00D51883"/>
    <w:rsid w:val="00D540F9"/>
    <w:rsid w:val="00D575AC"/>
    <w:rsid w:val="00D66D78"/>
    <w:rsid w:val="00D74404"/>
    <w:rsid w:val="00D74C48"/>
    <w:rsid w:val="00D755EA"/>
    <w:rsid w:val="00DA178E"/>
    <w:rsid w:val="00DC34BC"/>
    <w:rsid w:val="00DE5EBF"/>
    <w:rsid w:val="00DF03C1"/>
    <w:rsid w:val="00E01C1C"/>
    <w:rsid w:val="00E5596C"/>
    <w:rsid w:val="00E5725C"/>
    <w:rsid w:val="00E62E29"/>
    <w:rsid w:val="00E64FD4"/>
    <w:rsid w:val="00E729D9"/>
    <w:rsid w:val="00E8390E"/>
    <w:rsid w:val="00E86AB9"/>
    <w:rsid w:val="00E874B0"/>
    <w:rsid w:val="00EC0EE4"/>
    <w:rsid w:val="00F57055"/>
    <w:rsid w:val="00F65CDC"/>
    <w:rsid w:val="00F820D4"/>
    <w:rsid w:val="00F83B90"/>
    <w:rsid w:val="00F867BB"/>
    <w:rsid w:val="00F91321"/>
    <w:rsid w:val="00FB761F"/>
    <w:rsid w:val="00FC2972"/>
    <w:rsid w:val="00FD0F40"/>
    <w:rsid w:val="00FD2C40"/>
    <w:rsid w:val="00FE6AB7"/>
    <w:rsid w:val="00FE745E"/>
    <w:rsid w:val="00FF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3BCB"/>
  <w15:chartTrackingRefBased/>
  <w15:docId w15:val="{DFC9F88A-57D0-4AED-AA07-A60CD78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1D"/>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7B041D"/>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7B041D"/>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7B041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B041D"/>
    <w:pPr>
      <w:tabs>
        <w:tab w:val="center" w:pos="4513"/>
        <w:tab w:val="right" w:pos="9026"/>
      </w:tabs>
    </w:pPr>
  </w:style>
  <w:style w:type="character" w:customStyle="1" w:styleId="HeaderChar">
    <w:name w:val="Header Char"/>
    <w:basedOn w:val="DefaultParagraphFont"/>
    <w:link w:val="Header"/>
    <w:uiPriority w:val="99"/>
    <w:rsid w:val="007B041D"/>
    <w:rPr>
      <w:rFonts w:ascii="Calibri" w:eastAsia="Calibri" w:hAnsi="Calibri" w:cs="Times New Roman"/>
      <w:sz w:val="24"/>
      <w:szCs w:val="24"/>
      <w:lang w:val="en-GB"/>
    </w:rPr>
  </w:style>
  <w:style w:type="paragraph" w:styleId="Footer">
    <w:name w:val="footer"/>
    <w:basedOn w:val="Normal"/>
    <w:link w:val="FooterChar"/>
    <w:uiPriority w:val="99"/>
    <w:unhideWhenUsed/>
    <w:rsid w:val="007B041D"/>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7B041D"/>
    <w:rPr>
      <w:rFonts w:ascii="Calibri" w:eastAsia="Calibri" w:hAnsi="Calibri" w:cs="Times New Roman"/>
      <w:color w:val="430098"/>
      <w:sz w:val="24"/>
      <w:szCs w:val="24"/>
      <w:lang w:val="en-GB"/>
    </w:rPr>
  </w:style>
  <w:style w:type="paragraph" w:customStyle="1" w:styleId="Body">
    <w:name w:val="Body"/>
    <w:basedOn w:val="Normal"/>
    <w:qFormat/>
    <w:rsid w:val="007B041D"/>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Disclaimer">
    <w:name w:val="Disclaimer"/>
    <w:basedOn w:val="Normal"/>
    <w:qFormat/>
    <w:rsid w:val="007B041D"/>
    <w:pPr>
      <w:ind w:right="-7"/>
    </w:pPr>
    <w:rPr>
      <w:rFonts w:cs="PostGrotesk-Book"/>
      <w:color w:val="55565A"/>
      <w:sz w:val="18"/>
      <w:szCs w:val="18"/>
    </w:rPr>
  </w:style>
  <w:style w:type="paragraph" w:customStyle="1" w:styleId="DocumentTitle">
    <w:name w:val="Document Title"/>
    <w:basedOn w:val="Header"/>
    <w:qFormat/>
    <w:rsid w:val="007B041D"/>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7B041D"/>
    <w:rPr>
      <w:color w:val="0000FF"/>
      <w:u w:val="single"/>
    </w:rPr>
  </w:style>
  <w:style w:type="paragraph" w:styleId="NormalWeb">
    <w:name w:val="Normal (Web)"/>
    <w:basedOn w:val="Normal"/>
    <w:uiPriority w:val="99"/>
    <w:unhideWhenUsed/>
    <w:rsid w:val="007B041D"/>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7B041D"/>
    <w:rPr>
      <w:b/>
      <w:bCs/>
    </w:rPr>
  </w:style>
  <w:style w:type="character" w:styleId="CommentReference">
    <w:name w:val="annotation reference"/>
    <w:basedOn w:val="DefaultParagraphFont"/>
    <w:uiPriority w:val="99"/>
    <w:semiHidden/>
    <w:unhideWhenUsed/>
    <w:rsid w:val="00FD2C40"/>
    <w:rPr>
      <w:sz w:val="16"/>
      <w:szCs w:val="16"/>
    </w:rPr>
  </w:style>
  <w:style w:type="paragraph" w:styleId="CommentText">
    <w:name w:val="annotation text"/>
    <w:basedOn w:val="Normal"/>
    <w:link w:val="CommentTextChar"/>
    <w:uiPriority w:val="99"/>
    <w:semiHidden/>
    <w:unhideWhenUsed/>
    <w:rsid w:val="00FD2C40"/>
    <w:rPr>
      <w:sz w:val="20"/>
      <w:szCs w:val="20"/>
    </w:rPr>
  </w:style>
  <w:style w:type="character" w:customStyle="1" w:styleId="CommentTextChar">
    <w:name w:val="Comment Text Char"/>
    <w:basedOn w:val="DefaultParagraphFont"/>
    <w:link w:val="CommentText"/>
    <w:uiPriority w:val="99"/>
    <w:semiHidden/>
    <w:rsid w:val="00FD2C4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2C40"/>
    <w:rPr>
      <w:b/>
      <w:bCs/>
    </w:rPr>
  </w:style>
  <w:style w:type="character" w:customStyle="1" w:styleId="CommentSubjectChar">
    <w:name w:val="Comment Subject Char"/>
    <w:basedOn w:val="CommentTextChar"/>
    <w:link w:val="CommentSubject"/>
    <w:uiPriority w:val="99"/>
    <w:semiHidden/>
    <w:rsid w:val="00FD2C40"/>
    <w:rPr>
      <w:rFonts w:ascii="Calibri" w:eastAsia="Calibri" w:hAnsi="Calibri" w:cs="Times New Roman"/>
      <w:b/>
      <w:bCs/>
      <w:sz w:val="20"/>
      <w:szCs w:val="20"/>
      <w:lang w:val="en-GB"/>
    </w:rPr>
  </w:style>
  <w:style w:type="paragraph" w:styleId="Revision">
    <w:name w:val="Revision"/>
    <w:hidden/>
    <w:uiPriority w:val="99"/>
    <w:semiHidden/>
    <w:rsid w:val="00FD2C40"/>
    <w:pPr>
      <w:spacing w:after="0" w:line="240" w:lineRule="auto"/>
    </w:pPr>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D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40"/>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957554"/>
    <w:rPr>
      <w:color w:val="954F72" w:themeColor="followedHyperlink"/>
      <w:u w:val="single"/>
    </w:rPr>
  </w:style>
  <w:style w:type="character" w:styleId="UnresolvedMention">
    <w:name w:val="Unresolved Mention"/>
    <w:basedOn w:val="DefaultParagraphFont"/>
    <w:uiPriority w:val="99"/>
    <w:semiHidden/>
    <w:unhideWhenUsed/>
    <w:rsid w:val="008E1F3A"/>
    <w:rPr>
      <w:color w:val="605E5C"/>
      <w:shd w:val="clear" w:color="auto" w:fill="E1DFDD"/>
    </w:rPr>
  </w:style>
  <w:style w:type="paragraph" w:styleId="FootnoteText">
    <w:name w:val="footnote text"/>
    <w:basedOn w:val="Normal"/>
    <w:link w:val="FootnoteTextChar"/>
    <w:uiPriority w:val="99"/>
    <w:semiHidden/>
    <w:unhideWhenUsed/>
    <w:rsid w:val="00242AFE"/>
    <w:rPr>
      <w:sz w:val="20"/>
      <w:szCs w:val="20"/>
    </w:rPr>
  </w:style>
  <w:style w:type="character" w:customStyle="1" w:styleId="FootnoteTextChar">
    <w:name w:val="Footnote Text Char"/>
    <w:basedOn w:val="DefaultParagraphFont"/>
    <w:link w:val="FootnoteText"/>
    <w:uiPriority w:val="99"/>
    <w:semiHidden/>
    <w:rsid w:val="00242AF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42AFE"/>
    <w:rPr>
      <w:vertAlign w:val="superscript"/>
    </w:rPr>
  </w:style>
  <w:style w:type="paragraph" w:styleId="ListParagraph">
    <w:name w:val="List Paragraph"/>
    <w:basedOn w:val="Normal"/>
    <w:uiPriority w:val="34"/>
    <w:qFormat/>
    <w:rsid w:val="0073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4464">
      <w:bodyDiv w:val="1"/>
      <w:marLeft w:val="0"/>
      <w:marRight w:val="0"/>
      <w:marTop w:val="0"/>
      <w:marBottom w:val="0"/>
      <w:divBdr>
        <w:top w:val="none" w:sz="0" w:space="0" w:color="auto"/>
        <w:left w:val="none" w:sz="0" w:space="0" w:color="auto"/>
        <w:bottom w:val="none" w:sz="0" w:space="0" w:color="auto"/>
        <w:right w:val="none" w:sz="0" w:space="0" w:color="auto"/>
      </w:divBdr>
    </w:div>
    <w:div w:id="16899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case-note/kerig-v-victoria-university-2020-vcat-4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E0BA-E1E1-421E-AF29-134A3B1C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Cathro</dc:creator>
  <cp:keywords/>
  <dc:description/>
  <cp:lastModifiedBy>Jessica Brackin</cp:lastModifiedBy>
  <cp:revision>2</cp:revision>
  <dcterms:created xsi:type="dcterms:W3CDTF">2021-07-23T01:28:00Z</dcterms:created>
  <dcterms:modified xsi:type="dcterms:W3CDTF">2021-07-23T01:28:00Z</dcterms:modified>
</cp:coreProperties>
</file>