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EE7A9" w14:textId="3425B367" w:rsidR="000C6ABA" w:rsidRDefault="000C6ABA" w:rsidP="00BC600C">
      <w:pPr>
        <w:pStyle w:val="BodyText"/>
        <w:rPr>
          <w:lang w:val="en-GB"/>
        </w:rPr>
      </w:pPr>
    </w:p>
    <w:p w14:paraId="435A9230" w14:textId="77777777" w:rsidR="00A63F01" w:rsidRDefault="00A63F01" w:rsidP="00BC600C">
      <w:pPr>
        <w:pStyle w:val="BodyText"/>
        <w:rPr>
          <w:lang w:val="en-GB"/>
        </w:rPr>
      </w:pPr>
    </w:p>
    <w:p w14:paraId="0DDFA9AC" w14:textId="77777777" w:rsidR="00F82A78" w:rsidRPr="00F82A78" w:rsidRDefault="00F82A78" w:rsidP="00F82A78">
      <w:pPr>
        <w:rPr>
          <w:lang w:val="en-GB"/>
        </w:rPr>
      </w:pPr>
    </w:p>
    <w:p w14:paraId="48714153" w14:textId="77777777" w:rsidR="00F82A78" w:rsidRPr="00F82A78" w:rsidRDefault="00F82A78" w:rsidP="00F82A78">
      <w:pPr>
        <w:rPr>
          <w:lang w:val="en-GB"/>
        </w:rPr>
      </w:pPr>
    </w:p>
    <w:p w14:paraId="323E0325" w14:textId="77777777" w:rsidR="00F82A78" w:rsidRPr="00F82A78" w:rsidRDefault="00F82A78" w:rsidP="00F82A78">
      <w:pPr>
        <w:rPr>
          <w:lang w:val="en-GB"/>
        </w:rPr>
      </w:pPr>
    </w:p>
    <w:p w14:paraId="1FF432A3" w14:textId="77777777" w:rsidR="00F82A78" w:rsidRPr="00F82A78" w:rsidRDefault="00F82A78" w:rsidP="00F82A78">
      <w:pPr>
        <w:rPr>
          <w:lang w:val="en-GB"/>
        </w:rPr>
      </w:pPr>
    </w:p>
    <w:p w14:paraId="2B2B35E4" w14:textId="77777777" w:rsidR="00F82A78" w:rsidRPr="00F82A78" w:rsidRDefault="00F82A78" w:rsidP="00F82A78">
      <w:pPr>
        <w:rPr>
          <w:lang w:val="en-GB"/>
        </w:rPr>
      </w:pPr>
    </w:p>
    <w:p w14:paraId="4BFD4180" w14:textId="77777777" w:rsidR="00F82A78" w:rsidRPr="00F82A78" w:rsidRDefault="00F82A78" w:rsidP="00F82A78">
      <w:pPr>
        <w:rPr>
          <w:lang w:val="en-GB"/>
        </w:rPr>
      </w:pPr>
    </w:p>
    <w:p w14:paraId="584351F7" w14:textId="77777777" w:rsidR="00F82A78" w:rsidRPr="00F82A78" w:rsidRDefault="00F82A78" w:rsidP="00F82A78">
      <w:pPr>
        <w:rPr>
          <w:lang w:val="en-GB"/>
        </w:rPr>
      </w:pPr>
    </w:p>
    <w:p w14:paraId="55D1A560" w14:textId="77777777" w:rsidR="00F82A78" w:rsidRPr="00F82A78" w:rsidRDefault="00F82A78" w:rsidP="00F82A78">
      <w:pPr>
        <w:rPr>
          <w:lang w:val="en-GB"/>
        </w:rPr>
      </w:pPr>
    </w:p>
    <w:p w14:paraId="463D6AAA" w14:textId="77777777" w:rsidR="00F82A78" w:rsidRPr="00F82A78" w:rsidRDefault="00F82A78" w:rsidP="00F82A78">
      <w:pPr>
        <w:rPr>
          <w:lang w:val="en-GB"/>
        </w:rPr>
      </w:pPr>
    </w:p>
    <w:p w14:paraId="3C0FDDED" w14:textId="77777777" w:rsidR="00F82A78" w:rsidRPr="00F82A78" w:rsidRDefault="00F82A78" w:rsidP="00F82A78">
      <w:pPr>
        <w:rPr>
          <w:lang w:val="en-GB"/>
        </w:rPr>
      </w:pPr>
    </w:p>
    <w:p w14:paraId="6B7E933C" w14:textId="77777777" w:rsidR="00F82A78" w:rsidRPr="00F82A78" w:rsidRDefault="00F82A78" w:rsidP="00F82A78">
      <w:pPr>
        <w:rPr>
          <w:lang w:val="en-GB"/>
        </w:rPr>
      </w:pPr>
    </w:p>
    <w:p w14:paraId="3B89C40A" w14:textId="77777777" w:rsidR="00F82A78" w:rsidRPr="00F82A78" w:rsidRDefault="00F82A78" w:rsidP="00F82A78">
      <w:pPr>
        <w:rPr>
          <w:lang w:val="en-GB"/>
        </w:rPr>
      </w:pPr>
    </w:p>
    <w:p w14:paraId="42D45C55" w14:textId="77777777" w:rsidR="00F82A78" w:rsidRPr="00F82A78" w:rsidRDefault="00F82A78" w:rsidP="00F82A78">
      <w:pPr>
        <w:rPr>
          <w:lang w:val="en-GB"/>
        </w:rPr>
      </w:pPr>
    </w:p>
    <w:p w14:paraId="792C3443" w14:textId="77777777" w:rsidR="00F82A78" w:rsidRDefault="00F82A78" w:rsidP="00EE6882">
      <w:pPr>
        <w:tabs>
          <w:tab w:val="left" w:pos="764"/>
        </w:tabs>
        <w:rPr>
          <w:rFonts w:cs="National-Book"/>
          <w:color w:val="000000"/>
          <w:sz w:val="22"/>
          <w:szCs w:val="22"/>
          <w:lang w:val="en-GB"/>
        </w:rPr>
      </w:pPr>
    </w:p>
    <w:p w14:paraId="71376F1A" w14:textId="77777777" w:rsidR="001F70BA" w:rsidRPr="001F70BA" w:rsidRDefault="001F70BA" w:rsidP="002750FF">
      <w:pPr>
        <w:pStyle w:val="DocumentTitle"/>
        <w:rPr>
          <w:rFonts w:cs="National-Book"/>
          <w:sz w:val="22"/>
          <w:szCs w:val="22"/>
          <w:lang w:val="en-GB"/>
        </w:rPr>
      </w:pPr>
    </w:p>
    <w:p w14:paraId="158C20F2" w14:textId="5F444015" w:rsidR="001F70BA" w:rsidRDefault="001F70BA" w:rsidP="00B205CE">
      <w:pPr>
        <w:tabs>
          <w:tab w:val="left" w:pos="6120"/>
          <w:tab w:val="left" w:pos="7050"/>
        </w:tabs>
        <w:rPr>
          <w:rFonts w:cs="National-Book"/>
          <w:color w:val="000000"/>
          <w:sz w:val="22"/>
          <w:szCs w:val="22"/>
          <w:lang w:val="en-GB"/>
        </w:rPr>
      </w:pPr>
      <w:r>
        <w:rPr>
          <w:rFonts w:cs="National-Book"/>
          <w:color w:val="000000"/>
          <w:sz w:val="22"/>
          <w:szCs w:val="22"/>
          <w:lang w:val="en-GB"/>
        </w:rPr>
        <w:tab/>
      </w:r>
      <w:r w:rsidR="00AD25BD">
        <w:rPr>
          <w:rFonts w:cs="National-Book"/>
          <w:color w:val="000000"/>
          <w:sz w:val="22"/>
          <w:szCs w:val="22"/>
          <w:lang w:val="en-GB"/>
        </w:rPr>
        <w:tab/>
      </w:r>
    </w:p>
    <w:p w14:paraId="3B39C83B" w14:textId="77777777" w:rsidR="001F70BA" w:rsidRDefault="001F70BA" w:rsidP="006A4D3E">
      <w:pPr>
        <w:tabs>
          <w:tab w:val="left" w:pos="2385"/>
          <w:tab w:val="left" w:pos="6120"/>
        </w:tabs>
        <w:rPr>
          <w:rFonts w:cs="National-Book"/>
          <w:sz w:val="22"/>
          <w:szCs w:val="22"/>
          <w:lang w:val="en-GB"/>
        </w:rPr>
      </w:pPr>
      <w:r>
        <w:rPr>
          <w:rFonts w:cs="National-Book"/>
          <w:sz w:val="22"/>
          <w:szCs w:val="22"/>
          <w:lang w:val="en-GB"/>
        </w:rPr>
        <w:tab/>
      </w:r>
      <w:r w:rsidR="006A4D3E">
        <w:rPr>
          <w:rFonts w:cs="National-Book"/>
          <w:sz w:val="22"/>
          <w:szCs w:val="22"/>
          <w:lang w:val="en-GB"/>
        </w:rPr>
        <w:tab/>
      </w:r>
    </w:p>
    <w:p w14:paraId="0E590DA4" w14:textId="6B4CF5F8" w:rsidR="00B205CE" w:rsidRDefault="00B205CE" w:rsidP="00B205CE">
      <w:pPr>
        <w:tabs>
          <w:tab w:val="left" w:pos="2385"/>
        </w:tabs>
        <w:rPr>
          <w:rFonts w:cs="National-Book"/>
          <w:sz w:val="22"/>
          <w:szCs w:val="22"/>
          <w:lang w:val="en-GB"/>
        </w:rPr>
      </w:pPr>
      <w:r>
        <w:rPr>
          <w:rFonts w:cs="National-Book"/>
          <w:sz w:val="22"/>
          <w:szCs w:val="22"/>
          <w:lang w:val="en-GB"/>
        </w:rPr>
        <w:tab/>
      </w:r>
    </w:p>
    <w:p w14:paraId="6543962F" w14:textId="6CC20BD6" w:rsidR="00B205CE" w:rsidRPr="00B205CE" w:rsidRDefault="00B205CE" w:rsidP="00B205CE">
      <w:pPr>
        <w:tabs>
          <w:tab w:val="left" w:pos="2565"/>
        </w:tabs>
        <w:rPr>
          <w:rFonts w:cs="National-Book"/>
          <w:sz w:val="22"/>
          <w:szCs w:val="22"/>
          <w:lang w:val="en-GB"/>
        </w:rPr>
        <w:sectPr w:rsidR="00B205CE" w:rsidRPr="00B205CE" w:rsidSect="00966D30">
          <w:footerReference w:type="even" r:id="rId8"/>
          <w:footerReference w:type="default" r:id="rId9"/>
          <w:headerReference w:type="first" r:id="rId10"/>
          <w:footerReference w:type="first" r:id="rId11"/>
          <w:pgSz w:w="11906" w:h="16838"/>
          <w:pgMar w:top="1134" w:right="1134" w:bottom="1134" w:left="1134" w:header="720" w:footer="510" w:gutter="0"/>
          <w:cols w:space="720"/>
          <w:noEndnote/>
          <w:titlePg/>
          <w:docGrid w:linePitch="326"/>
        </w:sectPr>
      </w:pPr>
      <w:r>
        <w:rPr>
          <w:rFonts w:cs="National-Book"/>
          <w:sz w:val="22"/>
          <w:szCs w:val="22"/>
          <w:lang w:val="en-GB"/>
        </w:rPr>
        <w:tab/>
      </w:r>
    </w:p>
    <w:p w14:paraId="00C7C6A2" w14:textId="77777777" w:rsidR="001277DC" w:rsidRDefault="001277DC" w:rsidP="001277DC">
      <w:r>
        <w:rPr>
          <w:noProof/>
        </w:rPr>
        <w:lastRenderedPageBreak/>
        <w:drawing>
          <wp:inline distT="0" distB="0" distL="0" distR="0" wp14:anchorId="4E15C3A1" wp14:editId="33FEE2DD">
            <wp:extent cx="772272" cy="25742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ttle ovic black.eps"/>
                    <pic:cNvPicPr/>
                  </pic:nvPicPr>
                  <pic:blipFill>
                    <a:blip r:embed="rId12"/>
                    <a:stretch>
                      <a:fillRect/>
                    </a:stretch>
                  </pic:blipFill>
                  <pic:spPr>
                    <a:xfrm>
                      <a:off x="0" y="0"/>
                      <a:ext cx="794926" cy="264975"/>
                    </a:xfrm>
                    <a:prstGeom prst="rect">
                      <a:avLst/>
                    </a:prstGeom>
                  </pic:spPr>
                </pic:pic>
              </a:graphicData>
            </a:graphic>
          </wp:inline>
        </w:drawing>
      </w:r>
    </w:p>
    <w:p w14:paraId="0B1BDA2B" w14:textId="77777777" w:rsidR="001277DC" w:rsidRDefault="001277DC" w:rsidP="001277DC"/>
    <w:p w14:paraId="468D68A2" w14:textId="77777777" w:rsidR="001277DC" w:rsidRDefault="001277DC" w:rsidP="001277DC">
      <w:pPr>
        <w:rPr>
          <w:sz w:val="22"/>
          <w:szCs w:val="22"/>
        </w:rPr>
      </w:pPr>
      <w:r>
        <w:rPr>
          <w:sz w:val="22"/>
          <w:szCs w:val="22"/>
        </w:rPr>
        <w:t>Authorised by the Victorian Information Commissioner</w:t>
      </w:r>
    </w:p>
    <w:p w14:paraId="39F3D8FE" w14:textId="77777777" w:rsidR="001277DC" w:rsidRDefault="001277DC" w:rsidP="001277DC">
      <w:pPr>
        <w:rPr>
          <w:sz w:val="22"/>
          <w:szCs w:val="22"/>
        </w:rPr>
      </w:pPr>
    </w:p>
    <w:p w14:paraId="5AD86B07" w14:textId="77777777" w:rsidR="001277DC" w:rsidRDefault="001277DC" w:rsidP="001277DC">
      <w:pPr>
        <w:rPr>
          <w:sz w:val="22"/>
          <w:szCs w:val="22"/>
        </w:rPr>
      </w:pPr>
      <w:r>
        <w:rPr>
          <w:sz w:val="22"/>
          <w:szCs w:val="22"/>
        </w:rPr>
        <w:t>Published by the Office of the Victorian Information Commissioner</w:t>
      </w:r>
    </w:p>
    <w:p w14:paraId="3B8ED4D1" w14:textId="77777777" w:rsidR="001277DC" w:rsidRDefault="001277DC" w:rsidP="001277DC">
      <w:pPr>
        <w:rPr>
          <w:sz w:val="22"/>
          <w:szCs w:val="22"/>
        </w:rPr>
      </w:pPr>
      <w:r>
        <w:rPr>
          <w:sz w:val="22"/>
          <w:szCs w:val="22"/>
        </w:rPr>
        <w:t>PO Box 24274</w:t>
      </w:r>
    </w:p>
    <w:p w14:paraId="718737A1" w14:textId="77777777" w:rsidR="001277DC" w:rsidRDefault="001277DC" w:rsidP="001277DC">
      <w:pPr>
        <w:rPr>
          <w:sz w:val="22"/>
          <w:szCs w:val="22"/>
        </w:rPr>
      </w:pPr>
      <w:r>
        <w:rPr>
          <w:sz w:val="22"/>
          <w:szCs w:val="22"/>
        </w:rPr>
        <w:t>Melbourne, Victoria, 3001</w:t>
      </w:r>
    </w:p>
    <w:p w14:paraId="6B6E164B" w14:textId="77777777" w:rsidR="001277DC" w:rsidRDefault="001277DC" w:rsidP="001277DC">
      <w:pPr>
        <w:rPr>
          <w:sz w:val="22"/>
          <w:szCs w:val="22"/>
        </w:rPr>
      </w:pPr>
    </w:p>
    <w:p w14:paraId="795A305B" w14:textId="77777777" w:rsidR="001277DC" w:rsidRDefault="001277DC" w:rsidP="001277DC">
      <w:pPr>
        <w:rPr>
          <w:sz w:val="22"/>
          <w:szCs w:val="22"/>
        </w:rPr>
      </w:pPr>
      <w:r>
        <w:rPr>
          <w:sz w:val="22"/>
          <w:szCs w:val="22"/>
        </w:rPr>
        <w:t>t: 1300 006 842</w:t>
      </w:r>
    </w:p>
    <w:p w14:paraId="13FE0FAB" w14:textId="77777777" w:rsidR="001277DC" w:rsidRDefault="001277DC" w:rsidP="001277DC">
      <w:pPr>
        <w:rPr>
          <w:sz w:val="22"/>
          <w:szCs w:val="22"/>
        </w:rPr>
      </w:pPr>
      <w:r>
        <w:rPr>
          <w:sz w:val="22"/>
          <w:szCs w:val="22"/>
        </w:rPr>
        <w:t xml:space="preserve">e: </w:t>
      </w:r>
      <w:hyperlink r:id="rId13" w:history="1">
        <w:r>
          <w:rPr>
            <w:rStyle w:val="Hyperlink"/>
            <w:sz w:val="22"/>
            <w:szCs w:val="22"/>
          </w:rPr>
          <w:t>enquiries@ovic.vic.gov.au</w:t>
        </w:r>
      </w:hyperlink>
    </w:p>
    <w:p w14:paraId="14ABC94C" w14:textId="77777777" w:rsidR="001277DC" w:rsidRDefault="001277DC" w:rsidP="001277DC">
      <w:pPr>
        <w:rPr>
          <w:sz w:val="22"/>
          <w:szCs w:val="22"/>
        </w:rPr>
      </w:pPr>
      <w:r>
        <w:rPr>
          <w:sz w:val="22"/>
          <w:szCs w:val="22"/>
        </w:rPr>
        <w:t>w: ovic.vic.gov.au</w:t>
      </w:r>
    </w:p>
    <w:p w14:paraId="1D56289A" w14:textId="77777777" w:rsidR="001277DC" w:rsidRDefault="001277DC" w:rsidP="001277DC">
      <w:pPr>
        <w:rPr>
          <w:sz w:val="22"/>
          <w:szCs w:val="22"/>
        </w:rPr>
      </w:pPr>
      <w:r>
        <w:rPr>
          <w:sz w:val="22"/>
          <w:szCs w:val="22"/>
        </w:rPr>
        <w:t xml:space="preserve">   </w:t>
      </w:r>
    </w:p>
    <w:p w14:paraId="0D605412" w14:textId="77777777" w:rsidR="001277DC" w:rsidRDefault="001277DC" w:rsidP="001277DC">
      <w:pPr>
        <w:rPr>
          <w:sz w:val="22"/>
          <w:szCs w:val="22"/>
        </w:rPr>
      </w:pPr>
      <w:r>
        <w:rPr>
          <w:noProof/>
          <w:sz w:val="22"/>
          <w:szCs w:val="22"/>
        </w:rPr>
        <w:drawing>
          <wp:inline distT="0" distB="0" distL="0" distR="0" wp14:anchorId="5451F6ED" wp14:editId="677AB63D">
            <wp:extent cx="898498" cy="31930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eps"/>
                    <pic:cNvPicPr/>
                  </pic:nvPicPr>
                  <pic:blipFill>
                    <a:blip r:embed="rId14"/>
                    <a:stretch>
                      <a:fillRect/>
                    </a:stretch>
                  </pic:blipFill>
                  <pic:spPr>
                    <a:xfrm>
                      <a:off x="0" y="0"/>
                      <a:ext cx="917166" cy="325935"/>
                    </a:xfrm>
                    <a:prstGeom prst="rect">
                      <a:avLst/>
                    </a:prstGeom>
                  </pic:spPr>
                </pic:pic>
              </a:graphicData>
            </a:graphic>
          </wp:inline>
        </w:drawing>
      </w:r>
    </w:p>
    <w:p w14:paraId="4385EBE3" w14:textId="77777777" w:rsidR="001277DC" w:rsidRDefault="001277DC" w:rsidP="001277DC">
      <w:pPr>
        <w:rPr>
          <w:sz w:val="22"/>
          <w:szCs w:val="22"/>
        </w:rPr>
      </w:pPr>
    </w:p>
    <w:p w14:paraId="03B749E5" w14:textId="7A7023DB" w:rsidR="001277DC" w:rsidRDefault="001277DC" w:rsidP="001277DC">
      <w:pPr>
        <w:rPr>
          <w:sz w:val="22"/>
          <w:szCs w:val="22"/>
        </w:rPr>
      </w:pPr>
      <w:r>
        <w:rPr>
          <w:sz w:val="22"/>
          <w:szCs w:val="22"/>
        </w:rPr>
        <w:t>© State of Victoria 20</w:t>
      </w:r>
      <w:r>
        <w:rPr>
          <w:sz w:val="22"/>
          <w:szCs w:val="22"/>
        </w:rPr>
        <w:t>21</w:t>
      </w:r>
      <w:r>
        <w:rPr>
          <w:sz w:val="22"/>
          <w:szCs w:val="22"/>
        </w:rPr>
        <w:t xml:space="preserve"> (Office of the Victorian Information Commissioner)</w:t>
      </w:r>
    </w:p>
    <w:p w14:paraId="299A9548" w14:textId="77777777" w:rsidR="001277DC" w:rsidRDefault="001277DC" w:rsidP="001277DC">
      <w:pPr>
        <w:rPr>
          <w:sz w:val="22"/>
          <w:szCs w:val="22"/>
        </w:rPr>
      </w:pPr>
    </w:p>
    <w:p w14:paraId="2A5DC2C0" w14:textId="77777777" w:rsidR="001277DC" w:rsidRDefault="001277DC" w:rsidP="001277DC">
      <w:pPr>
        <w:rPr>
          <w:sz w:val="22"/>
          <w:szCs w:val="22"/>
        </w:rPr>
      </w:pPr>
      <w:r>
        <w:rPr>
          <w:sz w:val="22"/>
          <w:szCs w:val="22"/>
        </w:rPr>
        <w:t>This work is copyright. All material published in this book is licensed under a Creative Commons – Attribution 4.0 International (CC BY) licence. The licence does not apply to any images or branding.</w:t>
      </w:r>
    </w:p>
    <w:p w14:paraId="6A050030" w14:textId="77777777" w:rsidR="001277DC" w:rsidRDefault="001277DC" w:rsidP="001277DC">
      <w:pPr>
        <w:rPr>
          <w:sz w:val="22"/>
          <w:szCs w:val="22"/>
        </w:rPr>
      </w:pPr>
    </w:p>
    <w:p w14:paraId="5CE5135E" w14:textId="77777777" w:rsidR="001277DC" w:rsidRPr="005144AD" w:rsidRDefault="001277DC" w:rsidP="001277DC">
      <w:pPr>
        <w:rPr>
          <w:b/>
          <w:bCs/>
          <w:sz w:val="22"/>
          <w:szCs w:val="22"/>
        </w:rPr>
      </w:pPr>
      <w:r w:rsidRPr="005144AD">
        <w:rPr>
          <w:b/>
          <w:bCs/>
          <w:sz w:val="22"/>
          <w:szCs w:val="22"/>
        </w:rPr>
        <w:t>Disclaimer</w:t>
      </w:r>
    </w:p>
    <w:p w14:paraId="5B24E67F" w14:textId="77777777" w:rsidR="001277DC" w:rsidRDefault="001277DC" w:rsidP="001277DC">
      <w:pPr>
        <w:rPr>
          <w:sz w:val="22"/>
          <w:szCs w:val="22"/>
        </w:rPr>
      </w:pPr>
      <w:r>
        <w:rPr>
          <w:sz w:val="22"/>
          <w:szCs w:val="22"/>
        </w:rPr>
        <w:t>This publication may be of assistance to you, but the Office of the Victorian Information Commissioner and its employees do not guarantee that the publication is without flaw of any kind or is wholly appropriate for your particular purposes and therefore disclaims all liability for any error, loss or other consequence that may arise from you relying on any information in this publication.</w:t>
      </w:r>
    </w:p>
    <w:p w14:paraId="31AB7ED0" w14:textId="77777777" w:rsidR="001277DC" w:rsidRDefault="001277DC" w:rsidP="001277DC">
      <w:pPr>
        <w:rPr>
          <w:sz w:val="22"/>
          <w:szCs w:val="22"/>
        </w:rPr>
      </w:pPr>
    </w:p>
    <w:p w14:paraId="1B2CC1E3" w14:textId="77777777" w:rsidR="001277DC" w:rsidRPr="005144AD" w:rsidRDefault="001277DC" w:rsidP="001277DC">
      <w:pPr>
        <w:rPr>
          <w:b/>
          <w:bCs/>
          <w:sz w:val="22"/>
          <w:szCs w:val="22"/>
        </w:rPr>
      </w:pPr>
      <w:r w:rsidRPr="005144AD">
        <w:rPr>
          <w:b/>
          <w:bCs/>
          <w:sz w:val="22"/>
          <w:szCs w:val="22"/>
        </w:rPr>
        <w:t>Date of publication</w:t>
      </w:r>
    </w:p>
    <w:p w14:paraId="1F16F084" w14:textId="28550004" w:rsidR="001277DC" w:rsidRDefault="001277DC" w:rsidP="001277DC">
      <w:r>
        <w:rPr>
          <w:sz w:val="22"/>
          <w:szCs w:val="22"/>
        </w:rPr>
        <w:t>June 2021</w:t>
      </w:r>
    </w:p>
    <w:p w14:paraId="00AE10FE" w14:textId="77777777" w:rsidR="00AA4CAA" w:rsidRDefault="00AA4CAA">
      <w:pPr>
        <w:rPr>
          <w:rFonts w:ascii="Calibri Light" w:eastAsia="Times New Roman" w:hAnsi="Calibri Light"/>
          <w:sz w:val="36"/>
          <w:szCs w:val="32"/>
        </w:rPr>
      </w:pPr>
      <w:r>
        <w:br w:type="page"/>
      </w:r>
    </w:p>
    <w:p w14:paraId="3261938A" w14:textId="065186D3" w:rsidR="006F231D" w:rsidRPr="000D10B1" w:rsidRDefault="000D10B1" w:rsidP="0023739D">
      <w:pPr>
        <w:pStyle w:val="Level1Heading"/>
        <w:tabs>
          <w:tab w:val="left" w:pos="4110"/>
          <w:tab w:val="left" w:pos="5685"/>
        </w:tabs>
      </w:pPr>
      <w:bookmarkStart w:id="0" w:name="_Toc75517844"/>
      <w:r>
        <w:lastRenderedPageBreak/>
        <w:t>Table of contents</w:t>
      </w:r>
      <w:bookmarkEnd w:id="0"/>
      <w:r w:rsidR="00ED0E3C">
        <w:tab/>
      </w:r>
      <w:r w:rsidR="0023739D">
        <w:tab/>
      </w:r>
    </w:p>
    <w:sdt>
      <w:sdtPr>
        <w:id w:val="1679926522"/>
        <w:docPartObj>
          <w:docPartGallery w:val="Table of Contents"/>
          <w:docPartUnique/>
        </w:docPartObj>
      </w:sdtPr>
      <w:sdtEndPr>
        <w:rPr>
          <w:b/>
          <w:bCs/>
          <w:noProof/>
        </w:rPr>
      </w:sdtEndPr>
      <w:sdtContent>
        <w:p w14:paraId="380BB922" w14:textId="3821599A" w:rsidR="000D10B1" w:rsidRPr="000D10B1" w:rsidRDefault="000D10B1" w:rsidP="000D10B1"/>
        <w:p w14:paraId="5B09F2C5" w14:textId="0AA60E85" w:rsidR="00C202B8" w:rsidRDefault="00AB61C6">
          <w:pPr>
            <w:pStyle w:val="TOC1"/>
            <w:rPr>
              <w:rFonts w:asciiTheme="minorHAnsi" w:eastAsiaTheme="minorEastAsia" w:hAnsiTheme="minorHAnsi" w:cstheme="minorBidi"/>
              <w:b w:val="0"/>
              <w:bCs w:val="0"/>
              <w:i w:val="0"/>
              <w:iCs w:val="0"/>
              <w:noProof/>
              <w:sz w:val="22"/>
              <w:szCs w:val="22"/>
              <w:lang w:eastAsia="en-AU"/>
            </w:rPr>
          </w:pPr>
          <w:r w:rsidRPr="000F7A08">
            <w:fldChar w:fldCharType="begin"/>
          </w:r>
          <w:r w:rsidRPr="000F7A08">
            <w:instrText xml:space="preserve"> TOC \o "1-3" \h \z \u </w:instrText>
          </w:r>
          <w:r w:rsidRPr="000F7A08">
            <w:fldChar w:fldCharType="separate"/>
          </w:r>
          <w:hyperlink w:anchor="_Toc75517844" w:history="1">
            <w:r w:rsidR="00C202B8" w:rsidRPr="00144A55">
              <w:rPr>
                <w:rStyle w:val="Hyperlink"/>
                <w:noProof/>
              </w:rPr>
              <w:t>Table of contents</w:t>
            </w:r>
            <w:r w:rsidR="00C202B8">
              <w:rPr>
                <w:noProof/>
                <w:webHidden/>
              </w:rPr>
              <w:tab/>
            </w:r>
            <w:r w:rsidR="00C202B8">
              <w:rPr>
                <w:noProof/>
                <w:webHidden/>
              </w:rPr>
              <w:fldChar w:fldCharType="begin"/>
            </w:r>
            <w:r w:rsidR="00C202B8">
              <w:rPr>
                <w:noProof/>
                <w:webHidden/>
              </w:rPr>
              <w:instrText xml:space="preserve"> PAGEREF _Toc75517844 \h </w:instrText>
            </w:r>
            <w:r w:rsidR="00C202B8">
              <w:rPr>
                <w:noProof/>
                <w:webHidden/>
              </w:rPr>
            </w:r>
            <w:r w:rsidR="00C202B8">
              <w:rPr>
                <w:noProof/>
                <w:webHidden/>
              </w:rPr>
              <w:fldChar w:fldCharType="separate"/>
            </w:r>
            <w:r w:rsidR="00C202B8">
              <w:rPr>
                <w:noProof/>
                <w:webHidden/>
              </w:rPr>
              <w:t>3</w:t>
            </w:r>
            <w:r w:rsidR="00C202B8">
              <w:rPr>
                <w:noProof/>
                <w:webHidden/>
              </w:rPr>
              <w:fldChar w:fldCharType="end"/>
            </w:r>
          </w:hyperlink>
        </w:p>
        <w:p w14:paraId="27B362E2" w14:textId="09C918A3" w:rsidR="00C202B8" w:rsidRDefault="00C202B8">
          <w:pPr>
            <w:pStyle w:val="TOC1"/>
            <w:rPr>
              <w:rFonts w:asciiTheme="minorHAnsi" w:eastAsiaTheme="minorEastAsia" w:hAnsiTheme="minorHAnsi" w:cstheme="minorBidi"/>
              <w:b w:val="0"/>
              <w:bCs w:val="0"/>
              <w:i w:val="0"/>
              <w:iCs w:val="0"/>
              <w:noProof/>
              <w:sz w:val="22"/>
              <w:szCs w:val="22"/>
              <w:lang w:eastAsia="en-AU"/>
            </w:rPr>
          </w:pPr>
          <w:hyperlink w:anchor="_Toc75517845" w:history="1">
            <w:r w:rsidRPr="00144A55">
              <w:rPr>
                <w:rStyle w:val="Hyperlink"/>
                <w:noProof/>
              </w:rPr>
              <w:t>Foreword</w:t>
            </w:r>
            <w:r>
              <w:rPr>
                <w:noProof/>
                <w:webHidden/>
              </w:rPr>
              <w:tab/>
            </w:r>
            <w:r>
              <w:rPr>
                <w:noProof/>
                <w:webHidden/>
              </w:rPr>
              <w:fldChar w:fldCharType="begin"/>
            </w:r>
            <w:r>
              <w:rPr>
                <w:noProof/>
                <w:webHidden/>
              </w:rPr>
              <w:instrText xml:space="preserve"> PAGEREF _Toc75517845 \h </w:instrText>
            </w:r>
            <w:r>
              <w:rPr>
                <w:noProof/>
                <w:webHidden/>
              </w:rPr>
            </w:r>
            <w:r>
              <w:rPr>
                <w:noProof/>
                <w:webHidden/>
              </w:rPr>
              <w:fldChar w:fldCharType="separate"/>
            </w:r>
            <w:r>
              <w:rPr>
                <w:noProof/>
                <w:webHidden/>
              </w:rPr>
              <w:t>4</w:t>
            </w:r>
            <w:r>
              <w:rPr>
                <w:noProof/>
                <w:webHidden/>
              </w:rPr>
              <w:fldChar w:fldCharType="end"/>
            </w:r>
          </w:hyperlink>
        </w:p>
        <w:p w14:paraId="27E5407C" w14:textId="4AC554E7" w:rsidR="00C202B8" w:rsidRDefault="00C202B8">
          <w:pPr>
            <w:pStyle w:val="TOC1"/>
            <w:rPr>
              <w:rFonts w:asciiTheme="minorHAnsi" w:eastAsiaTheme="minorEastAsia" w:hAnsiTheme="minorHAnsi" w:cstheme="minorBidi"/>
              <w:b w:val="0"/>
              <w:bCs w:val="0"/>
              <w:i w:val="0"/>
              <w:iCs w:val="0"/>
              <w:noProof/>
              <w:sz w:val="22"/>
              <w:szCs w:val="22"/>
              <w:lang w:eastAsia="en-AU"/>
            </w:rPr>
          </w:pPr>
          <w:hyperlink w:anchor="_Toc75517846" w:history="1">
            <w:r w:rsidRPr="00144A55">
              <w:rPr>
                <w:rStyle w:val="Hyperlink"/>
                <w:noProof/>
              </w:rPr>
              <w:t>Executive summary</w:t>
            </w:r>
            <w:r>
              <w:rPr>
                <w:noProof/>
                <w:webHidden/>
              </w:rPr>
              <w:tab/>
            </w:r>
            <w:r>
              <w:rPr>
                <w:noProof/>
                <w:webHidden/>
              </w:rPr>
              <w:fldChar w:fldCharType="begin"/>
            </w:r>
            <w:r>
              <w:rPr>
                <w:noProof/>
                <w:webHidden/>
              </w:rPr>
              <w:instrText xml:space="preserve"> PAGEREF _Toc75517846 \h </w:instrText>
            </w:r>
            <w:r>
              <w:rPr>
                <w:noProof/>
                <w:webHidden/>
              </w:rPr>
            </w:r>
            <w:r>
              <w:rPr>
                <w:noProof/>
                <w:webHidden/>
              </w:rPr>
              <w:fldChar w:fldCharType="separate"/>
            </w:r>
            <w:r>
              <w:rPr>
                <w:noProof/>
                <w:webHidden/>
              </w:rPr>
              <w:t>5</w:t>
            </w:r>
            <w:r>
              <w:rPr>
                <w:noProof/>
                <w:webHidden/>
              </w:rPr>
              <w:fldChar w:fldCharType="end"/>
            </w:r>
          </w:hyperlink>
        </w:p>
        <w:p w14:paraId="20E79A5C" w14:textId="0C92F36F" w:rsidR="00C202B8" w:rsidRDefault="00C202B8">
          <w:pPr>
            <w:pStyle w:val="TOC1"/>
            <w:rPr>
              <w:rFonts w:asciiTheme="minorHAnsi" w:eastAsiaTheme="minorEastAsia" w:hAnsiTheme="minorHAnsi" w:cstheme="minorBidi"/>
              <w:b w:val="0"/>
              <w:bCs w:val="0"/>
              <w:i w:val="0"/>
              <w:iCs w:val="0"/>
              <w:noProof/>
              <w:sz w:val="22"/>
              <w:szCs w:val="22"/>
              <w:lang w:eastAsia="en-AU"/>
            </w:rPr>
          </w:pPr>
          <w:hyperlink w:anchor="_Toc75517847" w:history="1">
            <w:r w:rsidRPr="00144A55">
              <w:rPr>
                <w:rStyle w:val="Hyperlink"/>
                <w:noProof/>
              </w:rPr>
              <w:t>Introduction</w:t>
            </w:r>
            <w:r>
              <w:rPr>
                <w:noProof/>
                <w:webHidden/>
              </w:rPr>
              <w:tab/>
            </w:r>
            <w:r>
              <w:rPr>
                <w:noProof/>
                <w:webHidden/>
              </w:rPr>
              <w:fldChar w:fldCharType="begin"/>
            </w:r>
            <w:r>
              <w:rPr>
                <w:noProof/>
                <w:webHidden/>
              </w:rPr>
              <w:instrText xml:space="preserve"> PAGEREF _Toc75517847 \h </w:instrText>
            </w:r>
            <w:r>
              <w:rPr>
                <w:noProof/>
                <w:webHidden/>
              </w:rPr>
            </w:r>
            <w:r>
              <w:rPr>
                <w:noProof/>
                <w:webHidden/>
              </w:rPr>
              <w:fldChar w:fldCharType="separate"/>
            </w:r>
            <w:r>
              <w:rPr>
                <w:noProof/>
                <w:webHidden/>
              </w:rPr>
              <w:t>6</w:t>
            </w:r>
            <w:r>
              <w:rPr>
                <w:noProof/>
                <w:webHidden/>
              </w:rPr>
              <w:fldChar w:fldCharType="end"/>
            </w:r>
          </w:hyperlink>
        </w:p>
        <w:p w14:paraId="70196F92" w14:textId="5B7706AA" w:rsidR="00C202B8" w:rsidRDefault="00C202B8">
          <w:pPr>
            <w:pStyle w:val="TOC2"/>
            <w:tabs>
              <w:tab w:val="right" w:leader="dot" w:pos="8778"/>
            </w:tabs>
            <w:rPr>
              <w:rFonts w:asciiTheme="minorHAnsi" w:eastAsiaTheme="minorEastAsia" w:hAnsiTheme="minorHAnsi" w:cstheme="minorBidi"/>
              <w:b w:val="0"/>
              <w:bCs w:val="0"/>
              <w:noProof/>
              <w:lang w:eastAsia="en-AU"/>
            </w:rPr>
          </w:pPr>
          <w:hyperlink w:anchor="_Toc75517848" w:history="1">
            <w:r w:rsidRPr="00144A55">
              <w:rPr>
                <w:rStyle w:val="Hyperlink"/>
                <w:noProof/>
              </w:rPr>
              <w:t>Background</w:t>
            </w:r>
            <w:r>
              <w:rPr>
                <w:noProof/>
                <w:webHidden/>
              </w:rPr>
              <w:tab/>
            </w:r>
            <w:r>
              <w:rPr>
                <w:noProof/>
                <w:webHidden/>
              </w:rPr>
              <w:fldChar w:fldCharType="begin"/>
            </w:r>
            <w:r>
              <w:rPr>
                <w:noProof/>
                <w:webHidden/>
              </w:rPr>
              <w:instrText xml:space="preserve"> PAGEREF _Toc75517848 \h </w:instrText>
            </w:r>
            <w:r>
              <w:rPr>
                <w:noProof/>
                <w:webHidden/>
              </w:rPr>
            </w:r>
            <w:r>
              <w:rPr>
                <w:noProof/>
                <w:webHidden/>
              </w:rPr>
              <w:fldChar w:fldCharType="separate"/>
            </w:r>
            <w:r>
              <w:rPr>
                <w:noProof/>
                <w:webHidden/>
              </w:rPr>
              <w:t>6</w:t>
            </w:r>
            <w:r>
              <w:rPr>
                <w:noProof/>
                <w:webHidden/>
              </w:rPr>
              <w:fldChar w:fldCharType="end"/>
            </w:r>
          </w:hyperlink>
        </w:p>
        <w:p w14:paraId="1ADA1E11" w14:textId="0835A3B9"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49" w:history="1">
            <w:r w:rsidRPr="00144A55">
              <w:rPr>
                <w:rStyle w:val="Hyperlink"/>
                <w:noProof/>
              </w:rPr>
              <w:t>The requirement to secure personal information under IPP 4</w:t>
            </w:r>
            <w:r>
              <w:rPr>
                <w:noProof/>
                <w:webHidden/>
              </w:rPr>
              <w:tab/>
            </w:r>
            <w:r>
              <w:rPr>
                <w:noProof/>
                <w:webHidden/>
              </w:rPr>
              <w:fldChar w:fldCharType="begin"/>
            </w:r>
            <w:r>
              <w:rPr>
                <w:noProof/>
                <w:webHidden/>
              </w:rPr>
              <w:instrText xml:space="preserve"> PAGEREF _Toc75517849 \h </w:instrText>
            </w:r>
            <w:r>
              <w:rPr>
                <w:noProof/>
                <w:webHidden/>
              </w:rPr>
            </w:r>
            <w:r>
              <w:rPr>
                <w:noProof/>
                <w:webHidden/>
              </w:rPr>
              <w:fldChar w:fldCharType="separate"/>
            </w:r>
            <w:r>
              <w:rPr>
                <w:noProof/>
                <w:webHidden/>
              </w:rPr>
              <w:t>6</w:t>
            </w:r>
            <w:r>
              <w:rPr>
                <w:noProof/>
                <w:webHidden/>
              </w:rPr>
              <w:fldChar w:fldCharType="end"/>
            </w:r>
          </w:hyperlink>
        </w:p>
        <w:p w14:paraId="3CC0268D" w14:textId="189BFD15" w:rsidR="00C202B8" w:rsidRDefault="00C202B8">
          <w:pPr>
            <w:pStyle w:val="TOC2"/>
            <w:tabs>
              <w:tab w:val="right" w:leader="dot" w:pos="8778"/>
            </w:tabs>
            <w:rPr>
              <w:rFonts w:asciiTheme="minorHAnsi" w:eastAsiaTheme="minorEastAsia" w:hAnsiTheme="minorHAnsi" w:cstheme="minorBidi"/>
              <w:b w:val="0"/>
              <w:bCs w:val="0"/>
              <w:noProof/>
              <w:lang w:eastAsia="en-AU"/>
            </w:rPr>
          </w:pPr>
          <w:hyperlink w:anchor="_Toc75517850" w:history="1">
            <w:r w:rsidRPr="00144A55">
              <w:rPr>
                <w:rStyle w:val="Hyperlink"/>
                <w:noProof/>
              </w:rPr>
              <w:t>OVIC’s examination</w:t>
            </w:r>
            <w:r>
              <w:rPr>
                <w:noProof/>
                <w:webHidden/>
              </w:rPr>
              <w:tab/>
            </w:r>
            <w:r>
              <w:rPr>
                <w:noProof/>
                <w:webHidden/>
              </w:rPr>
              <w:fldChar w:fldCharType="begin"/>
            </w:r>
            <w:r>
              <w:rPr>
                <w:noProof/>
                <w:webHidden/>
              </w:rPr>
              <w:instrText xml:space="preserve"> PAGEREF _Toc75517850 \h </w:instrText>
            </w:r>
            <w:r>
              <w:rPr>
                <w:noProof/>
                <w:webHidden/>
              </w:rPr>
            </w:r>
            <w:r>
              <w:rPr>
                <w:noProof/>
                <w:webHidden/>
              </w:rPr>
              <w:fldChar w:fldCharType="separate"/>
            </w:r>
            <w:r>
              <w:rPr>
                <w:noProof/>
                <w:webHidden/>
              </w:rPr>
              <w:t>7</w:t>
            </w:r>
            <w:r>
              <w:rPr>
                <w:noProof/>
                <w:webHidden/>
              </w:rPr>
              <w:fldChar w:fldCharType="end"/>
            </w:r>
          </w:hyperlink>
        </w:p>
        <w:p w14:paraId="3293C7CA" w14:textId="63CF3F06"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51" w:history="1">
            <w:r w:rsidRPr="00144A55">
              <w:rPr>
                <w:rStyle w:val="Hyperlink"/>
                <w:noProof/>
              </w:rPr>
              <w:t>Reasons for examining Victorian universities</w:t>
            </w:r>
            <w:r>
              <w:rPr>
                <w:noProof/>
                <w:webHidden/>
              </w:rPr>
              <w:tab/>
            </w:r>
            <w:r>
              <w:rPr>
                <w:noProof/>
                <w:webHidden/>
              </w:rPr>
              <w:fldChar w:fldCharType="begin"/>
            </w:r>
            <w:r>
              <w:rPr>
                <w:noProof/>
                <w:webHidden/>
              </w:rPr>
              <w:instrText xml:space="preserve"> PAGEREF _Toc75517851 \h </w:instrText>
            </w:r>
            <w:r>
              <w:rPr>
                <w:noProof/>
                <w:webHidden/>
              </w:rPr>
            </w:r>
            <w:r>
              <w:rPr>
                <w:noProof/>
                <w:webHidden/>
              </w:rPr>
              <w:fldChar w:fldCharType="separate"/>
            </w:r>
            <w:r>
              <w:rPr>
                <w:noProof/>
                <w:webHidden/>
              </w:rPr>
              <w:t>7</w:t>
            </w:r>
            <w:r>
              <w:rPr>
                <w:noProof/>
                <w:webHidden/>
              </w:rPr>
              <w:fldChar w:fldCharType="end"/>
            </w:r>
          </w:hyperlink>
        </w:p>
        <w:p w14:paraId="6A645EAE" w14:textId="16C541E1"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52" w:history="1">
            <w:r w:rsidRPr="00144A55">
              <w:rPr>
                <w:rStyle w:val="Hyperlink"/>
                <w:noProof/>
              </w:rPr>
              <w:t>Scope of the examination</w:t>
            </w:r>
            <w:r>
              <w:rPr>
                <w:noProof/>
                <w:webHidden/>
              </w:rPr>
              <w:tab/>
            </w:r>
            <w:r>
              <w:rPr>
                <w:noProof/>
                <w:webHidden/>
              </w:rPr>
              <w:fldChar w:fldCharType="begin"/>
            </w:r>
            <w:r>
              <w:rPr>
                <w:noProof/>
                <w:webHidden/>
              </w:rPr>
              <w:instrText xml:space="preserve"> PAGEREF _Toc75517852 \h </w:instrText>
            </w:r>
            <w:r>
              <w:rPr>
                <w:noProof/>
                <w:webHidden/>
              </w:rPr>
            </w:r>
            <w:r>
              <w:rPr>
                <w:noProof/>
                <w:webHidden/>
              </w:rPr>
              <w:fldChar w:fldCharType="separate"/>
            </w:r>
            <w:r>
              <w:rPr>
                <w:noProof/>
                <w:webHidden/>
              </w:rPr>
              <w:t>8</w:t>
            </w:r>
            <w:r>
              <w:rPr>
                <w:noProof/>
                <w:webHidden/>
              </w:rPr>
              <w:fldChar w:fldCharType="end"/>
            </w:r>
          </w:hyperlink>
        </w:p>
        <w:p w14:paraId="2791324C" w14:textId="691BF03F"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53" w:history="1">
            <w:r w:rsidRPr="00144A55">
              <w:rPr>
                <w:rStyle w:val="Hyperlink"/>
                <w:noProof/>
              </w:rPr>
              <w:t>How the examination was conducted</w:t>
            </w:r>
            <w:r>
              <w:rPr>
                <w:noProof/>
                <w:webHidden/>
              </w:rPr>
              <w:tab/>
            </w:r>
            <w:r>
              <w:rPr>
                <w:noProof/>
                <w:webHidden/>
              </w:rPr>
              <w:fldChar w:fldCharType="begin"/>
            </w:r>
            <w:r>
              <w:rPr>
                <w:noProof/>
                <w:webHidden/>
              </w:rPr>
              <w:instrText xml:space="preserve"> PAGEREF _Toc75517853 \h </w:instrText>
            </w:r>
            <w:r>
              <w:rPr>
                <w:noProof/>
                <w:webHidden/>
              </w:rPr>
            </w:r>
            <w:r>
              <w:rPr>
                <w:noProof/>
                <w:webHidden/>
              </w:rPr>
              <w:fldChar w:fldCharType="separate"/>
            </w:r>
            <w:r>
              <w:rPr>
                <w:noProof/>
                <w:webHidden/>
              </w:rPr>
              <w:t>8</w:t>
            </w:r>
            <w:r>
              <w:rPr>
                <w:noProof/>
                <w:webHidden/>
              </w:rPr>
              <w:fldChar w:fldCharType="end"/>
            </w:r>
          </w:hyperlink>
        </w:p>
        <w:p w14:paraId="08435578" w14:textId="421C58B5"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54" w:history="1">
            <w:r w:rsidRPr="00144A55">
              <w:rPr>
                <w:rStyle w:val="Hyperlink"/>
                <w:noProof/>
              </w:rPr>
              <w:t>Examination report</w:t>
            </w:r>
            <w:r>
              <w:rPr>
                <w:noProof/>
                <w:webHidden/>
              </w:rPr>
              <w:tab/>
            </w:r>
            <w:r>
              <w:rPr>
                <w:noProof/>
                <w:webHidden/>
              </w:rPr>
              <w:fldChar w:fldCharType="begin"/>
            </w:r>
            <w:r>
              <w:rPr>
                <w:noProof/>
                <w:webHidden/>
              </w:rPr>
              <w:instrText xml:space="preserve"> PAGEREF _Toc75517854 \h </w:instrText>
            </w:r>
            <w:r>
              <w:rPr>
                <w:noProof/>
                <w:webHidden/>
              </w:rPr>
            </w:r>
            <w:r>
              <w:rPr>
                <w:noProof/>
                <w:webHidden/>
              </w:rPr>
              <w:fldChar w:fldCharType="separate"/>
            </w:r>
            <w:r>
              <w:rPr>
                <w:noProof/>
                <w:webHidden/>
              </w:rPr>
              <w:t>8</w:t>
            </w:r>
            <w:r>
              <w:rPr>
                <w:noProof/>
                <w:webHidden/>
              </w:rPr>
              <w:fldChar w:fldCharType="end"/>
            </w:r>
          </w:hyperlink>
        </w:p>
        <w:p w14:paraId="1A32977D" w14:textId="10A5A813" w:rsidR="00C202B8" w:rsidRDefault="00C202B8">
          <w:pPr>
            <w:pStyle w:val="TOC1"/>
            <w:rPr>
              <w:rFonts w:asciiTheme="minorHAnsi" w:eastAsiaTheme="minorEastAsia" w:hAnsiTheme="minorHAnsi" w:cstheme="minorBidi"/>
              <w:b w:val="0"/>
              <w:bCs w:val="0"/>
              <w:i w:val="0"/>
              <w:iCs w:val="0"/>
              <w:noProof/>
              <w:sz w:val="22"/>
              <w:szCs w:val="22"/>
              <w:lang w:eastAsia="en-AU"/>
            </w:rPr>
          </w:pPr>
          <w:hyperlink w:anchor="_Toc75517855" w:history="1">
            <w:r w:rsidRPr="00144A55">
              <w:rPr>
                <w:rStyle w:val="Hyperlink"/>
                <w:noProof/>
              </w:rPr>
              <w:t>What we found – summary</w:t>
            </w:r>
            <w:r>
              <w:rPr>
                <w:noProof/>
                <w:webHidden/>
              </w:rPr>
              <w:tab/>
            </w:r>
            <w:r>
              <w:rPr>
                <w:noProof/>
                <w:webHidden/>
              </w:rPr>
              <w:fldChar w:fldCharType="begin"/>
            </w:r>
            <w:r>
              <w:rPr>
                <w:noProof/>
                <w:webHidden/>
              </w:rPr>
              <w:instrText xml:space="preserve"> PAGEREF _Toc75517855 \h </w:instrText>
            </w:r>
            <w:r>
              <w:rPr>
                <w:noProof/>
                <w:webHidden/>
              </w:rPr>
            </w:r>
            <w:r>
              <w:rPr>
                <w:noProof/>
                <w:webHidden/>
              </w:rPr>
              <w:fldChar w:fldCharType="separate"/>
            </w:r>
            <w:r>
              <w:rPr>
                <w:noProof/>
                <w:webHidden/>
              </w:rPr>
              <w:t>9</w:t>
            </w:r>
            <w:r>
              <w:rPr>
                <w:noProof/>
                <w:webHidden/>
              </w:rPr>
              <w:fldChar w:fldCharType="end"/>
            </w:r>
          </w:hyperlink>
        </w:p>
        <w:p w14:paraId="21EA6769" w14:textId="048D64F3" w:rsidR="00C202B8" w:rsidRDefault="00C202B8">
          <w:pPr>
            <w:pStyle w:val="TOC1"/>
            <w:rPr>
              <w:rFonts w:asciiTheme="minorHAnsi" w:eastAsiaTheme="minorEastAsia" w:hAnsiTheme="minorHAnsi" w:cstheme="minorBidi"/>
              <w:b w:val="0"/>
              <w:bCs w:val="0"/>
              <w:i w:val="0"/>
              <w:iCs w:val="0"/>
              <w:noProof/>
              <w:sz w:val="22"/>
              <w:szCs w:val="22"/>
              <w:lang w:eastAsia="en-AU"/>
            </w:rPr>
          </w:pPr>
          <w:hyperlink w:anchor="_Toc75517856" w:history="1">
            <w:r w:rsidRPr="00144A55">
              <w:rPr>
                <w:rStyle w:val="Hyperlink"/>
                <w:noProof/>
              </w:rPr>
              <w:t>What we found – in detail</w:t>
            </w:r>
            <w:r>
              <w:rPr>
                <w:noProof/>
                <w:webHidden/>
              </w:rPr>
              <w:tab/>
            </w:r>
            <w:r>
              <w:rPr>
                <w:noProof/>
                <w:webHidden/>
              </w:rPr>
              <w:fldChar w:fldCharType="begin"/>
            </w:r>
            <w:r>
              <w:rPr>
                <w:noProof/>
                <w:webHidden/>
              </w:rPr>
              <w:instrText xml:space="preserve"> PAGEREF _Toc75517856 \h </w:instrText>
            </w:r>
            <w:r>
              <w:rPr>
                <w:noProof/>
                <w:webHidden/>
              </w:rPr>
            </w:r>
            <w:r>
              <w:rPr>
                <w:noProof/>
                <w:webHidden/>
              </w:rPr>
              <w:fldChar w:fldCharType="separate"/>
            </w:r>
            <w:r>
              <w:rPr>
                <w:noProof/>
                <w:webHidden/>
              </w:rPr>
              <w:t>11</w:t>
            </w:r>
            <w:r>
              <w:rPr>
                <w:noProof/>
                <w:webHidden/>
              </w:rPr>
              <w:fldChar w:fldCharType="end"/>
            </w:r>
          </w:hyperlink>
        </w:p>
        <w:p w14:paraId="388DE82F" w14:textId="2AF54134" w:rsidR="00C202B8" w:rsidRDefault="00C202B8">
          <w:pPr>
            <w:pStyle w:val="TOC2"/>
            <w:tabs>
              <w:tab w:val="right" w:leader="dot" w:pos="8778"/>
            </w:tabs>
            <w:rPr>
              <w:rFonts w:asciiTheme="minorHAnsi" w:eastAsiaTheme="minorEastAsia" w:hAnsiTheme="minorHAnsi" w:cstheme="minorBidi"/>
              <w:b w:val="0"/>
              <w:bCs w:val="0"/>
              <w:noProof/>
              <w:lang w:eastAsia="en-AU"/>
            </w:rPr>
          </w:pPr>
          <w:hyperlink w:anchor="_Toc75517857" w:history="1">
            <w:r w:rsidRPr="00144A55">
              <w:rPr>
                <w:rStyle w:val="Hyperlink"/>
                <w:noProof/>
              </w:rPr>
              <w:t>PART 1 – Approaches to identifying personal information held across an organisation</w:t>
            </w:r>
            <w:r>
              <w:rPr>
                <w:noProof/>
                <w:webHidden/>
              </w:rPr>
              <w:tab/>
            </w:r>
            <w:r>
              <w:rPr>
                <w:noProof/>
                <w:webHidden/>
              </w:rPr>
              <w:fldChar w:fldCharType="begin"/>
            </w:r>
            <w:r>
              <w:rPr>
                <w:noProof/>
                <w:webHidden/>
              </w:rPr>
              <w:instrText xml:space="preserve"> PAGEREF _Toc75517857 \h </w:instrText>
            </w:r>
            <w:r>
              <w:rPr>
                <w:noProof/>
                <w:webHidden/>
              </w:rPr>
            </w:r>
            <w:r>
              <w:rPr>
                <w:noProof/>
                <w:webHidden/>
              </w:rPr>
              <w:fldChar w:fldCharType="separate"/>
            </w:r>
            <w:r>
              <w:rPr>
                <w:noProof/>
                <w:webHidden/>
              </w:rPr>
              <w:t>11</w:t>
            </w:r>
            <w:r>
              <w:rPr>
                <w:noProof/>
                <w:webHidden/>
              </w:rPr>
              <w:fldChar w:fldCharType="end"/>
            </w:r>
          </w:hyperlink>
        </w:p>
        <w:p w14:paraId="37112007" w14:textId="67B951C8"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58" w:history="1">
            <w:r w:rsidRPr="00144A55">
              <w:rPr>
                <w:rStyle w:val="Hyperlink"/>
                <w:noProof/>
              </w:rPr>
              <w:t>Why should organisations maintain oversight of the personal information they hold?</w:t>
            </w:r>
            <w:r>
              <w:rPr>
                <w:noProof/>
                <w:webHidden/>
              </w:rPr>
              <w:tab/>
            </w:r>
            <w:r>
              <w:rPr>
                <w:noProof/>
                <w:webHidden/>
              </w:rPr>
              <w:fldChar w:fldCharType="begin"/>
            </w:r>
            <w:r>
              <w:rPr>
                <w:noProof/>
                <w:webHidden/>
              </w:rPr>
              <w:instrText xml:space="preserve"> PAGEREF _Toc75517858 \h </w:instrText>
            </w:r>
            <w:r>
              <w:rPr>
                <w:noProof/>
                <w:webHidden/>
              </w:rPr>
            </w:r>
            <w:r>
              <w:rPr>
                <w:noProof/>
                <w:webHidden/>
              </w:rPr>
              <w:fldChar w:fldCharType="separate"/>
            </w:r>
            <w:r>
              <w:rPr>
                <w:noProof/>
                <w:webHidden/>
              </w:rPr>
              <w:t>11</w:t>
            </w:r>
            <w:r>
              <w:rPr>
                <w:noProof/>
                <w:webHidden/>
              </w:rPr>
              <w:fldChar w:fldCharType="end"/>
            </w:r>
          </w:hyperlink>
        </w:p>
        <w:p w14:paraId="270674ED" w14:textId="7492DDA7"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59" w:history="1">
            <w:r w:rsidRPr="00144A55">
              <w:rPr>
                <w:rStyle w:val="Hyperlink"/>
                <w:noProof/>
              </w:rPr>
              <w:t>Information Asset Registers</w:t>
            </w:r>
            <w:r>
              <w:rPr>
                <w:noProof/>
                <w:webHidden/>
              </w:rPr>
              <w:tab/>
            </w:r>
            <w:r>
              <w:rPr>
                <w:noProof/>
                <w:webHidden/>
              </w:rPr>
              <w:fldChar w:fldCharType="begin"/>
            </w:r>
            <w:r>
              <w:rPr>
                <w:noProof/>
                <w:webHidden/>
              </w:rPr>
              <w:instrText xml:space="preserve"> PAGEREF _Toc75517859 \h </w:instrText>
            </w:r>
            <w:r>
              <w:rPr>
                <w:noProof/>
                <w:webHidden/>
              </w:rPr>
            </w:r>
            <w:r>
              <w:rPr>
                <w:noProof/>
                <w:webHidden/>
              </w:rPr>
              <w:fldChar w:fldCharType="separate"/>
            </w:r>
            <w:r>
              <w:rPr>
                <w:noProof/>
                <w:webHidden/>
              </w:rPr>
              <w:t>11</w:t>
            </w:r>
            <w:r>
              <w:rPr>
                <w:noProof/>
                <w:webHidden/>
              </w:rPr>
              <w:fldChar w:fldCharType="end"/>
            </w:r>
          </w:hyperlink>
        </w:p>
        <w:p w14:paraId="3DC06D68" w14:textId="35620EE5"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60" w:history="1">
            <w:r w:rsidRPr="00144A55">
              <w:rPr>
                <w:rStyle w:val="Hyperlink"/>
                <w:noProof/>
              </w:rPr>
              <w:t>Examination findings</w:t>
            </w:r>
            <w:r>
              <w:rPr>
                <w:noProof/>
                <w:webHidden/>
              </w:rPr>
              <w:tab/>
            </w:r>
            <w:r>
              <w:rPr>
                <w:noProof/>
                <w:webHidden/>
              </w:rPr>
              <w:fldChar w:fldCharType="begin"/>
            </w:r>
            <w:r>
              <w:rPr>
                <w:noProof/>
                <w:webHidden/>
              </w:rPr>
              <w:instrText xml:space="preserve"> PAGEREF _Toc75517860 \h </w:instrText>
            </w:r>
            <w:r>
              <w:rPr>
                <w:noProof/>
                <w:webHidden/>
              </w:rPr>
            </w:r>
            <w:r>
              <w:rPr>
                <w:noProof/>
                <w:webHidden/>
              </w:rPr>
              <w:fldChar w:fldCharType="separate"/>
            </w:r>
            <w:r>
              <w:rPr>
                <w:noProof/>
                <w:webHidden/>
              </w:rPr>
              <w:t>12</w:t>
            </w:r>
            <w:r>
              <w:rPr>
                <w:noProof/>
                <w:webHidden/>
              </w:rPr>
              <w:fldChar w:fldCharType="end"/>
            </w:r>
          </w:hyperlink>
        </w:p>
        <w:p w14:paraId="1A32094C" w14:textId="63F34003"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61" w:history="1">
            <w:r w:rsidRPr="00144A55">
              <w:rPr>
                <w:rStyle w:val="Hyperlink"/>
                <w:noProof/>
              </w:rPr>
              <w:t>Do universities identify the personal information they hold?</w:t>
            </w:r>
            <w:r>
              <w:rPr>
                <w:noProof/>
                <w:webHidden/>
              </w:rPr>
              <w:tab/>
            </w:r>
            <w:r>
              <w:rPr>
                <w:noProof/>
                <w:webHidden/>
              </w:rPr>
              <w:fldChar w:fldCharType="begin"/>
            </w:r>
            <w:r>
              <w:rPr>
                <w:noProof/>
                <w:webHidden/>
              </w:rPr>
              <w:instrText xml:space="preserve"> PAGEREF _Toc75517861 \h </w:instrText>
            </w:r>
            <w:r>
              <w:rPr>
                <w:noProof/>
                <w:webHidden/>
              </w:rPr>
            </w:r>
            <w:r>
              <w:rPr>
                <w:noProof/>
                <w:webHidden/>
              </w:rPr>
              <w:fldChar w:fldCharType="separate"/>
            </w:r>
            <w:r>
              <w:rPr>
                <w:noProof/>
                <w:webHidden/>
              </w:rPr>
              <w:t>12</w:t>
            </w:r>
            <w:r>
              <w:rPr>
                <w:noProof/>
                <w:webHidden/>
              </w:rPr>
              <w:fldChar w:fldCharType="end"/>
            </w:r>
          </w:hyperlink>
        </w:p>
        <w:p w14:paraId="0C9B6C46" w14:textId="1CD7ADD5"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62" w:history="1">
            <w:r w:rsidRPr="00144A55">
              <w:rPr>
                <w:rStyle w:val="Hyperlink"/>
                <w:noProof/>
              </w:rPr>
              <w:t>Other methods of identifying where and when personal information is collected and held</w:t>
            </w:r>
            <w:r>
              <w:rPr>
                <w:noProof/>
                <w:webHidden/>
              </w:rPr>
              <w:tab/>
            </w:r>
            <w:r>
              <w:rPr>
                <w:noProof/>
                <w:webHidden/>
              </w:rPr>
              <w:fldChar w:fldCharType="begin"/>
            </w:r>
            <w:r>
              <w:rPr>
                <w:noProof/>
                <w:webHidden/>
              </w:rPr>
              <w:instrText xml:space="preserve"> PAGEREF _Toc75517862 \h </w:instrText>
            </w:r>
            <w:r>
              <w:rPr>
                <w:noProof/>
                <w:webHidden/>
              </w:rPr>
            </w:r>
            <w:r>
              <w:rPr>
                <w:noProof/>
                <w:webHidden/>
              </w:rPr>
              <w:fldChar w:fldCharType="separate"/>
            </w:r>
            <w:r>
              <w:rPr>
                <w:noProof/>
                <w:webHidden/>
              </w:rPr>
              <w:t>12</w:t>
            </w:r>
            <w:r>
              <w:rPr>
                <w:noProof/>
                <w:webHidden/>
              </w:rPr>
              <w:fldChar w:fldCharType="end"/>
            </w:r>
          </w:hyperlink>
        </w:p>
        <w:p w14:paraId="41956DBB" w14:textId="3EC2761A"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63" w:history="1">
            <w:r w:rsidRPr="00144A55">
              <w:rPr>
                <w:rStyle w:val="Hyperlink"/>
                <w:noProof/>
              </w:rPr>
              <w:t>Observations</w:t>
            </w:r>
            <w:r>
              <w:rPr>
                <w:noProof/>
                <w:webHidden/>
              </w:rPr>
              <w:tab/>
            </w:r>
            <w:r>
              <w:rPr>
                <w:noProof/>
                <w:webHidden/>
              </w:rPr>
              <w:fldChar w:fldCharType="begin"/>
            </w:r>
            <w:r>
              <w:rPr>
                <w:noProof/>
                <w:webHidden/>
              </w:rPr>
              <w:instrText xml:space="preserve"> PAGEREF _Toc75517863 \h </w:instrText>
            </w:r>
            <w:r>
              <w:rPr>
                <w:noProof/>
                <w:webHidden/>
              </w:rPr>
            </w:r>
            <w:r>
              <w:rPr>
                <w:noProof/>
                <w:webHidden/>
              </w:rPr>
              <w:fldChar w:fldCharType="separate"/>
            </w:r>
            <w:r>
              <w:rPr>
                <w:noProof/>
                <w:webHidden/>
              </w:rPr>
              <w:t>13</w:t>
            </w:r>
            <w:r>
              <w:rPr>
                <w:noProof/>
                <w:webHidden/>
              </w:rPr>
              <w:fldChar w:fldCharType="end"/>
            </w:r>
          </w:hyperlink>
        </w:p>
        <w:p w14:paraId="1C9F7088" w14:textId="7B13BC11" w:rsidR="00C202B8" w:rsidRDefault="00C202B8">
          <w:pPr>
            <w:pStyle w:val="TOC2"/>
            <w:tabs>
              <w:tab w:val="right" w:leader="dot" w:pos="8778"/>
            </w:tabs>
            <w:rPr>
              <w:rFonts w:asciiTheme="minorHAnsi" w:eastAsiaTheme="minorEastAsia" w:hAnsiTheme="minorHAnsi" w:cstheme="minorBidi"/>
              <w:b w:val="0"/>
              <w:bCs w:val="0"/>
              <w:noProof/>
              <w:lang w:eastAsia="en-AU"/>
            </w:rPr>
          </w:pPr>
          <w:hyperlink w:anchor="_Toc75517864" w:history="1">
            <w:r w:rsidRPr="00144A55">
              <w:rPr>
                <w:rStyle w:val="Hyperlink"/>
                <w:noProof/>
              </w:rPr>
              <w:t>PART 2 – Identifying the security value, or assessing the sensitivity of, personal information</w:t>
            </w:r>
            <w:r>
              <w:rPr>
                <w:noProof/>
                <w:webHidden/>
              </w:rPr>
              <w:tab/>
            </w:r>
            <w:r>
              <w:rPr>
                <w:noProof/>
                <w:webHidden/>
              </w:rPr>
              <w:fldChar w:fldCharType="begin"/>
            </w:r>
            <w:r>
              <w:rPr>
                <w:noProof/>
                <w:webHidden/>
              </w:rPr>
              <w:instrText xml:space="preserve"> PAGEREF _Toc75517864 \h </w:instrText>
            </w:r>
            <w:r>
              <w:rPr>
                <w:noProof/>
                <w:webHidden/>
              </w:rPr>
            </w:r>
            <w:r>
              <w:rPr>
                <w:noProof/>
                <w:webHidden/>
              </w:rPr>
              <w:fldChar w:fldCharType="separate"/>
            </w:r>
            <w:r>
              <w:rPr>
                <w:noProof/>
                <w:webHidden/>
              </w:rPr>
              <w:t>14</w:t>
            </w:r>
            <w:r>
              <w:rPr>
                <w:noProof/>
                <w:webHidden/>
              </w:rPr>
              <w:fldChar w:fldCharType="end"/>
            </w:r>
          </w:hyperlink>
        </w:p>
        <w:p w14:paraId="2BACE3D4" w14:textId="7F19C503"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65" w:history="1">
            <w:r w:rsidRPr="00144A55">
              <w:rPr>
                <w:rStyle w:val="Hyperlink"/>
                <w:noProof/>
              </w:rPr>
              <w:t>Identifying the sensitivity of personal information</w:t>
            </w:r>
            <w:r>
              <w:rPr>
                <w:noProof/>
                <w:webHidden/>
              </w:rPr>
              <w:tab/>
            </w:r>
            <w:r>
              <w:rPr>
                <w:noProof/>
                <w:webHidden/>
              </w:rPr>
              <w:fldChar w:fldCharType="begin"/>
            </w:r>
            <w:r>
              <w:rPr>
                <w:noProof/>
                <w:webHidden/>
              </w:rPr>
              <w:instrText xml:space="preserve"> PAGEREF _Toc75517865 \h </w:instrText>
            </w:r>
            <w:r>
              <w:rPr>
                <w:noProof/>
                <w:webHidden/>
              </w:rPr>
            </w:r>
            <w:r>
              <w:rPr>
                <w:noProof/>
                <w:webHidden/>
              </w:rPr>
              <w:fldChar w:fldCharType="separate"/>
            </w:r>
            <w:r>
              <w:rPr>
                <w:noProof/>
                <w:webHidden/>
              </w:rPr>
              <w:t>14</w:t>
            </w:r>
            <w:r>
              <w:rPr>
                <w:noProof/>
                <w:webHidden/>
              </w:rPr>
              <w:fldChar w:fldCharType="end"/>
            </w:r>
          </w:hyperlink>
        </w:p>
        <w:p w14:paraId="22AD0E5D" w14:textId="696D8E43"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66" w:history="1">
            <w:r w:rsidRPr="00144A55">
              <w:rPr>
                <w:rStyle w:val="Hyperlink"/>
                <w:noProof/>
              </w:rPr>
              <w:t>Identifying the value of public sector information</w:t>
            </w:r>
            <w:r>
              <w:rPr>
                <w:noProof/>
                <w:webHidden/>
              </w:rPr>
              <w:tab/>
            </w:r>
            <w:r>
              <w:rPr>
                <w:noProof/>
                <w:webHidden/>
              </w:rPr>
              <w:fldChar w:fldCharType="begin"/>
            </w:r>
            <w:r>
              <w:rPr>
                <w:noProof/>
                <w:webHidden/>
              </w:rPr>
              <w:instrText xml:space="preserve"> PAGEREF _Toc75517866 \h </w:instrText>
            </w:r>
            <w:r>
              <w:rPr>
                <w:noProof/>
                <w:webHidden/>
              </w:rPr>
            </w:r>
            <w:r>
              <w:rPr>
                <w:noProof/>
                <w:webHidden/>
              </w:rPr>
              <w:fldChar w:fldCharType="separate"/>
            </w:r>
            <w:r>
              <w:rPr>
                <w:noProof/>
                <w:webHidden/>
              </w:rPr>
              <w:t>14</w:t>
            </w:r>
            <w:r>
              <w:rPr>
                <w:noProof/>
                <w:webHidden/>
              </w:rPr>
              <w:fldChar w:fldCharType="end"/>
            </w:r>
          </w:hyperlink>
        </w:p>
        <w:p w14:paraId="640CD129" w14:textId="058DBDA6"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67" w:history="1">
            <w:r w:rsidRPr="00144A55">
              <w:rPr>
                <w:rStyle w:val="Hyperlink"/>
                <w:noProof/>
              </w:rPr>
              <w:t>Examination findings</w:t>
            </w:r>
            <w:r>
              <w:rPr>
                <w:noProof/>
                <w:webHidden/>
              </w:rPr>
              <w:tab/>
            </w:r>
            <w:r>
              <w:rPr>
                <w:noProof/>
                <w:webHidden/>
              </w:rPr>
              <w:fldChar w:fldCharType="begin"/>
            </w:r>
            <w:r>
              <w:rPr>
                <w:noProof/>
                <w:webHidden/>
              </w:rPr>
              <w:instrText xml:space="preserve"> PAGEREF _Toc75517867 \h </w:instrText>
            </w:r>
            <w:r>
              <w:rPr>
                <w:noProof/>
                <w:webHidden/>
              </w:rPr>
            </w:r>
            <w:r>
              <w:rPr>
                <w:noProof/>
                <w:webHidden/>
              </w:rPr>
              <w:fldChar w:fldCharType="separate"/>
            </w:r>
            <w:r>
              <w:rPr>
                <w:noProof/>
                <w:webHidden/>
              </w:rPr>
              <w:t>14</w:t>
            </w:r>
            <w:r>
              <w:rPr>
                <w:noProof/>
                <w:webHidden/>
              </w:rPr>
              <w:fldChar w:fldCharType="end"/>
            </w:r>
          </w:hyperlink>
        </w:p>
        <w:p w14:paraId="5AC107C1" w14:textId="69BEF352"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68" w:history="1">
            <w:r w:rsidRPr="00144A55">
              <w:rPr>
                <w:rStyle w:val="Hyperlink"/>
                <w:noProof/>
              </w:rPr>
              <w:t>Observations</w:t>
            </w:r>
            <w:r>
              <w:rPr>
                <w:noProof/>
                <w:webHidden/>
              </w:rPr>
              <w:tab/>
            </w:r>
            <w:r>
              <w:rPr>
                <w:noProof/>
                <w:webHidden/>
              </w:rPr>
              <w:fldChar w:fldCharType="begin"/>
            </w:r>
            <w:r>
              <w:rPr>
                <w:noProof/>
                <w:webHidden/>
              </w:rPr>
              <w:instrText xml:space="preserve"> PAGEREF _Toc75517868 \h </w:instrText>
            </w:r>
            <w:r>
              <w:rPr>
                <w:noProof/>
                <w:webHidden/>
              </w:rPr>
            </w:r>
            <w:r>
              <w:rPr>
                <w:noProof/>
                <w:webHidden/>
              </w:rPr>
              <w:fldChar w:fldCharType="separate"/>
            </w:r>
            <w:r>
              <w:rPr>
                <w:noProof/>
                <w:webHidden/>
              </w:rPr>
              <w:t>16</w:t>
            </w:r>
            <w:r>
              <w:rPr>
                <w:noProof/>
                <w:webHidden/>
              </w:rPr>
              <w:fldChar w:fldCharType="end"/>
            </w:r>
          </w:hyperlink>
        </w:p>
        <w:p w14:paraId="3A536C9A" w14:textId="2004E34E"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69" w:history="1">
            <w:r w:rsidRPr="00144A55">
              <w:rPr>
                <w:rStyle w:val="Hyperlink"/>
                <w:noProof/>
              </w:rPr>
              <w:t>Recommendations</w:t>
            </w:r>
            <w:r>
              <w:rPr>
                <w:noProof/>
                <w:webHidden/>
              </w:rPr>
              <w:tab/>
            </w:r>
            <w:r>
              <w:rPr>
                <w:noProof/>
                <w:webHidden/>
              </w:rPr>
              <w:fldChar w:fldCharType="begin"/>
            </w:r>
            <w:r>
              <w:rPr>
                <w:noProof/>
                <w:webHidden/>
              </w:rPr>
              <w:instrText xml:space="preserve"> PAGEREF _Toc75517869 \h </w:instrText>
            </w:r>
            <w:r>
              <w:rPr>
                <w:noProof/>
                <w:webHidden/>
              </w:rPr>
            </w:r>
            <w:r>
              <w:rPr>
                <w:noProof/>
                <w:webHidden/>
              </w:rPr>
              <w:fldChar w:fldCharType="separate"/>
            </w:r>
            <w:r>
              <w:rPr>
                <w:noProof/>
                <w:webHidden/>
              </w:rPr>
              <w:t>16</w:t>
            </w:r>
            <w:r>
              <w:rPr>
                <w:noProof/>
                <w:webHidden/>
              </w:rPr>
              <w:fldChar w:fldCharType="end"/>
            </w:r>
          </w:hyperlink>
        </w:p>
        <w:p w14:paraId="2D7A2298" w14:textId="42B85F64" w:rsidR="00C202B8" w:rsidRDefault="00C202B8">
          <w:pPr>
            <w:pStyle w:val="TOC2"/>
            <w:tabs>
              <w:tab w:val="right" w:leader="dot" w:pos="8778"/>
            </w:tabs>
            <w:rPr>
              <w:rFonts w:asciiTheme="minorHAnsi" w:eastAsiaTheme="minorEastAsia" w:hAnsiTheme="minorHAnsi" w:cstheme="minorBidi"/>
              <w:b w:val="0"/>
              <w:bCs w:val="0"/>
              <w:noProof/>
              <w:lang w:eastAsia="en-AU"/>
            </w:rPr>
          </w:pPr>
          <w:hyperlink w:anchor="_Toc75517870" w:history="1">
            <w:r w:rsidRPr="00144A55">
              <w:rPr>
                <w:rStyle w:val="Hyperlink"/>
                <w:noProof/>
              </w:rPr>
              <w:t>PART 3 – Identifying and managing security risks to personal information</w:t>
            </w:r>
            <w:r>
              <w:rPr>
                <w:noProof/>
                <w:webHidden/>
              </w:rPr>
              <w:tab/>
            </w:r>
            <w:r>
              <w:rPr>
                <w:noProof/>
                <w:webHidden/>
              </w:rPr>
              <w:fldChar w:fldCharType="begin"/>
            </w:r>
            <w:r>
              <w:rPr>
                <w:noProof/>
                <w:webHidden/>
              </w:rPr>
              <w:instrText xml:space="preserve"> PAGEREF _Toc75517870 \h </w:instrText>
            </w:r>
            <w:r>
              <w:rPr>
                <w:noProof/>
                <w:webHidden/>
              </w:rPr>
            </w:r>
            <w:r>
              <w:rPr>
                <w:noProof/>
                <w:webHidden/>
              </w:rPr>
              <w:fldChar w:fldCharType="separate"/>
            </w:r>
            <w:r>
              <w:rPr>
                <w:noProof/>
                <w:webHidden/>
              </w:rPr>
              <w:t>17</w:t>
            </w:r>
            <w:r>
              <w:rPr>
                <w:noProof/>
                <w:webHidden/>
              </w:rPr>
              <w:fldChar w:fldCharType="end"/>
            </w:r>
          </w:hyperlink>
        </w:p>
        <w:p w14:paraId="418DE21B" w14:textId="30AFFDF1"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71" w:history="1">
            <w:r w:rsidRPr="00144A55">
              <w:rPr>
                <w:rStyle w:val="Hyperlink"/>
                <w:noProof/>
              </w:rPr>
              <w:t>Examination findings</w:t>
            </w:r>
            <w:r>
              <w:rPr>
                <w:noProof/>
                <w:webHidden/>
              </w:rPr>
              <w:tab/>
            </w:r>
            <w:r>
              <w:rPr>
                <w:noProof/>
                <w:webHidden/>
              </w:rPr>
              <w:fldChar w:fldCharType="begin"/>
            </w:r>
            <w:r>
              <w:rPr>
                <w:noProof/>
                <w:webHidden/>
              </w:rPr>
              <w:instrText xml:space="preserve"> PAGEREF _Toc75517871 \h </w:instrText>
            </w:r>
            <w:r>
              <w:rPr>
                <w:noProof/>
                <w:webHidden/>
              </w:rPr>
            </w:r>
            <w:r>
              <w:rPr>
                <w:noProof/>
                <w:webHidden/>
              </w:rPr>
              <w:fldChar w:fldCharType="separate"/>
            </w:r>
            <w:r>
              <w:rPr>
                <w:noProof/>
                <w:webHidden/>
              </w:rPr>
              <w:t>18</w:t>
            </w:r>
            <w:r>
              <w:rPr>
                <w:noProof/>
                <w:webHidden/>
              </w:rPr>
              <w:fldChar w:fldCharType="end"/>
            </w:r>
          </w:hyperlink>
        </w:p>
        <w:p w14:paraId="7B280B2F" w14:textId="2F7D5AE0"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72" w:history="1">
            <w:r w:rsidRPr="00144A55">
              <w:rPr>
                <w:rStyle w:val="Hyperlink"/>
                <w:noProof/>
              </w:rPr>
              <w:t>Did the universities have procedures for protecting high risk and sensitive personal information?</w:t>
            </w:r>
            <w:r>
              <w:rPr>
                <w:noProof/>
                <w:webHidden/>
              </w:rPr>
              <w:tab/>
            </w:r>
            <w:r>
              <w:rPr>
                <w:noProof/>
                <w:webHidden/>
              </w:rPr>
              <w:fldChar w:fldCharType="begin"/>
            </w:r>
            <w:r>
              <w:rPr>
                <w:noProof/>
                <w:webHidden/>
              </w:rPr>
              <w:instrText xml:space="preserve"> PAGEREF _Toc75517872 \h </w:instrText>
            </w:r>
            <w:r>
              <w:rPr>
                <w:noProof/>
                <w:webHidden/>
              </w:rPr>
            </w:r>
            <w:r>
              <w:rPr>
                <w:noProof/>
                <w:webHidden/>
              </w:rPr>
              <w:fldChar w:fldCharType="separate"/>
            </w:r>
            <w:r>
              <w:rPr>
                <w:noProof/>
                <w:webHidden/>
              </w:rPr>
              <w:t>19</w:t>
            </w:r>
            <w:r>
              <w:rPr>
                <w:noProof/>
                <w:webHidden/>
              </w:rPr>
              <w:fldChar w:fldCharType="end"/>
            </w:r>
          </w:hyperlink>
        </w:p>
        <w:p w14:paraId="4A42010F" w14:textId="4F6D40A2"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73" w:history="1">
            <w:r w:rsidRPr="00144A55">
              <w:rPr>
                <w:rStyle w:val="Hyperlink"/>
                <w:noProof/>
              </w:rPr>
              <w:t>Observations</w:t>
            </w:r>
            <w:r>
              <w:rPr>
                <w:noProof/>
                <w:webHidden/>
              </w:rPr>
              <w:tab/>
            </w:r>
            <w:r>
              <w:rPr>
                <w:noProof/>
                <w:webHidden/>
              </w:rPr>
              <w:fldChar w:fldCharType="begin"/>
            </w:r>
            <w:r>
              <w:rPr>
                <w:noProof/>
                <w:webHidden/>
              </w:rPr>
              <w:instrText xml:space="preserve"> PAGEREF _Toc75517873 \h </w:instrText>
            </w:r>
            <w:r>
              <w:rPr>
                <w:noProof/>
                <w:webHidden/>
              </w:rPr>
            </w:r>
            <w:r>
              <w:rPr>
                <w:noProof/>
                <w:webHidden/>
              </w:rPr>
              <w:fldChar w:fldCharType="separate"/>
            </w:r>
            <w:r>
              <w:rPr>
                <w:noProof/>
                <w:webHidden/>
              </w:rPr>
              <w:t>20</w:t>
            </w:r>
            <w:r>
              <w:rPr>
                <w:noProof/>
                <w:webHidden/>
              </w:rPr>
              <w:fldChar w:fldCharType="end"/>
            </w:r>
          </w:hyperlink>
        </w:p>
        <w:p w14:paraId="612F875F" w14:textId="342952DF" w:rsidR="00C202B8" w:rsidRDefault="00C202B8">
          <w:pPr>
            <w:pStyle w:val="TOC2"/>
            <w:tabs>
              <w:tab w:val="right" w:leader="dot" w:pos="8778"/>
            </w:tabs>
            <w:rPr>
              <w:rFonts w:asciiTheme="minorHAnsi" w:eastAsiaTheme="minorEastAsia" w:hAnsiTheme="minorHAnsi" w:cstheme="minorBidi"/>
              <w:b w:val="0"/>
              <w:bCs w:val="0"/>
              <w:noProof/>
              <w:lang w:eastAsia="en-AU"/>
            </w:rPr>
          </w:pPr>
          <w:hyperlink w:anchor="_Toc75517874" w:history="1">
            <w:r w:rsidRPr="00144A55">
              <w:rPr>
                <w:rStyle w:val="Hyperlink"/>
                <w:noProof/>
              </w:rPr>
              <w:t>PART 4 – Policies and procedures that support compliance with IPP 4</w:t>
            </w:r>
            <w:r>
              <w:rPr>
                <w:noProof/>
                <w:webHidden/>
              </w:rPr>
              <w:tab/>
            </w:r>
            <w:r>
              <w:rPr>
                <w:noProof/>
                <w:webHidden/>
              </w:rPr>
              <w:fldChar w:fldCharType="begin"/>
            </w:r>
            <w:r>
              <w:rPr>
                <w:noProof/>
                <w:webHidden/>
              </w:rPr>
              <w:instrText xml:space="preserve"> PAGEREF _Toc75517874 \h </w:instrText>
            </w:r>
            <w:r>
              <w:rPr>
                <w:noProof/>
                <w:webHidden/>
              </w:rPr>
            </w:r>
            <w:r>
              <w:rPr>
                <w:noProof/>
                <w:webHidden/>
              </w:rPr>
              <w:fldChar w:fldCharType="separate"/>
            </w:r>
            <w:r>
              <w:rPr>
                <w:noProof/>
                <w:webHidden/>
              </w:rPr>
              <w:t>21</w:t>
            </w:r>
            <w:r>
              <w:rPr>
                <w:noProof/>
                <w:webHidden/>
              </w:rPr>
              <w:fldChar w:fldCharType="end"/>
            </w:r>
          </w:hyperlink>
        </w:p>
        <w:p w14:paraId="77692911" w14:textId="79FEDEF1"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75" w:history="1">
            <w:r w:rsidRPr="00144A55">
              <w:rPr>
                <w:rStyle w:val="Hyperlink"/>
                <w:noProof/>
              </w:rPr>
              <w:t>Examination findings</w:t>
            </w:r>
            <w:r>
              <w:rPr>
                <w:noProof/>
                <w:webHidden/>
              </w:rPr>
              <w:tab/>
            </w:r>
            <w:r>
              <w:rPr>
                <w:noProof/>
                <w:webHidden/>
              </w:rPr>
              <w:fldChar w:fldCharType="begin"/>
            </w:r>
            <w:r>
              <w:rPr>
                <w:noProof/>
                <w:webHidden/>
              </w:rPr>
              <w:instrText xml:space="preserve"> PAGEREF _Toc75517875 \h </w:instrText>
            </w:r>
            <w:r>
              <w:rPr>
                <w:noProof/>
                <w:webHidden/>
              </w:rPr>
            </w:r>
            <w:r>
              <w:rPr>
                <w:noProof/>
                <w:webHidden/>
              </w:rPr>
              <w:fldChar w:fldCharType="separate"/>
            </w:r>
            <w:r>
              <w:rPr>
                <w:noProof/>
                <w:webHidden/>
              </w:rPr>
              <w:t>21</w:t>
            </w:r>
            <w:r>
              <w:rPr>
                <w:noProof/>
                <w:webHidden/>
              </w:rPr>
              <w:fldChar w:fldCharType="end"/>
            </w:r>
          </w:hyperlink>
        </w:p>
        <w:p w14:paraId="18595E0D" w14:textId="0D7816F7"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76" w:history="1">
            <w:r w:rsidRPr="00144A55">
              <w:rPr>
                <w:rStyle w:val="Hyperlink"/>
                <w:noProof/>
              </w:rPr>
              <w:t>Observations</w:t>
            </w:r>
            <w:r>
              <w:rPr>
                <w:noProof/>
                <w:webHidden/>
              </w:rPr>
              <w:tab/>
            </w:r>
            <w:r>
              <w:rPr>
                <w:noProof/>
                <w:webHidden/>
              </w:rPr>
              <w:fldChar w:fldCharType="begin"/>
            </w:r>
            <w:r>
              <w:rPr>
                <w:noProof/>
                <w:webHidden/>
              </w:rPr>
              <w:instrText xml:space="preserve"> PAGEREF _Toc75517876 \h </w:instrText>
            </w:r>
            <w:r>
              <w:rPr>
                <w:noProof/>
                <w:webHidden/>
              </w:rPr>
            </w:r>
            <w:r>
              <w:rPr>
                <w:noProof/>
                <w:webHidden/>
              </w:rPr>
              <w:fldChar w:fldCharType="separate"/>
            </w:r>
            <w:r>
              <w:rPr>
                <w:noProof/>
                <w:webHidden/>
              </w:rPr>
              <w:t>28</w:t>
            </w:r>
            <w:r>
              <w:rPr>
                <w:noProof/>
                <w:webHidden/>
              </w:rPr>
              <w:fldChar w:fldCharType="end"/>
            </w:r>
          </w:hyperlink>
        </w:p>
        <w:p w14:paraId="3779C95A" w14:textId="349E229E"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77" w:history="1">
            <w:r w:rsidRPr="00144A55">
              <w:rPr>
                <w:rStyle w:val="Hyperlink"/>
                <w:noProof/>
              </w:rPr>
              <w:t>Recommendations</w:t>
            </w:r>
            <w:r>
              <w:rPr>
                <w:noProof/>
                <w:webHidden/>
              </w:rPr>
              <w:tab/>
            </w:r>
            <w:r>
              <w:rPr>
                <w:noProof/>
                <w:webHidden/>
              </w:rPr>
              <w:fldChar w:fldCharType="begin"/>
            </w:r>
            <w:r>
              <w:rPr>
                <w:noProof/>
                <w:webHidden/>
              </w:rPr>
              <w:instrText xml:space="preserve"> PAGEREF _Toc75517877 \h </w:instrText>
            </w:r>
            <w:r>
              <w:rPr>
                <w:noProof/>
                <w:webHidden/>
              </w:rPr>
            </w:r>
            <w:r>
              <w:rPr>
                <w:noProof/>
                <w:webHidden/>
              </w:rPr>
              <w:fldChar w:fldCharType="separate"/>
            </w:r>
            <w:r>
              <w:rPr>
                <w:noProof/>
                <w:webHidden/>
              </w:rPr>
              <w:t>28</w:t>
            </w:r>
            <w:r>
              <w:rPr>
                <w:noProof/>
                <w:webHidden/>
              </w:rPr>
              <w:fldChar w:fldCharType="end"/>
            </w:r>
          </w:hyperlink>
        </w:p>
        <w:p w14:paraId="562E571D" w14:textId="354DCC75" w:rsidR="00C202B8" w:rsidRDefault="00C202B8">
          <w:pPr>
            <w:pStyle w:val="TOC2"/>
            <w:tabs>
              <w:tab w:val="right" w:leader="dot" w:pos="8778"/>
            </w:tabs>
            <w:rPr>
              <w:rFonts w:asciiTheme="minorHAnsi" w:eastAsiaTheme="minorEastAsia" w:hAnsiTheme="minorHAnsi" w:cstheme="minorBidi"/>
              <w:b w:val="0"/>
              <w:bCs w:val="0"/>
              <w:noProof/>
              <w:lang w:eastAsia="en-AU"/>
            </w:rPr>
          </w:pPr>
          <w:hyperlink w:anchor="_Toc75517878" w:history="1">
            <w:r w:rsidRPr="00144A55">
              <w:rPr>
                <w:rStyle w:val="Hyperlink"/>
                <w:noProof/>
              </w:rPr>
              <w:t>PART 5 – Plans for improving information security</w:t>
            </w:r>
            <w:r>
              <w:rPr>
                <w:noProof/>
                <w:webHidden/>
              </w:rPr>
              <w:tab/>
            </w:r>
            <w:r>
              <w:rPr>
                <w:noProof/>
                <w:webHidden/>
              </w:rPr>
              <w:fldChar w:fldCharType="begin"/>
            </w:r>
            <w:r>
              <w:rPr>
                <w:noProof/>
                <w:webHidden/>
              </w:rPr>
              <w:instrText xml:space="preserve"> PAGEREF _Toc75517878 \h </w:instrText>
            </w:r>
            <w:r>
              <w:rPr>
                <w:noProof/>
                <w:webHidden/>
              </w:rPr>
            </w:r>
            <w:r>
              <w:rPr>
                <w:noProof/>
                <w:webHidden/>
              </w:rPr>
              <w:fldChar w:fldCharType="separate"/>
            </w:r>
            <w:r>
              <w:rPr>
                <w:noProof/>
                <w:webHidden/>
              </w:rPr>
              <w:t>29</w:t>
            </w:r>
            <w:r>
              <w:rPr>
                <w:noProof/>
                <w:webHidden/>
              </w:rPr>
              <w:fldChar w:fldCharType="end"/>
            </w:r>
          </w:hyperlink>
        </w:p>
        <w:p w14:paraId="4AD0D012" w14:textId="2B80D355"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79" w:history="1">
            <w:r w:rsidRPr="00144A55">
              <w:rPr>
                <w:rStyle w:val="Hyperlink"/>
                <w:noProof/>
              </w:rPr>
              <w:t>Examination findings</w:t>
            </w:r>
            <w:r>
              <w:rPr>
                <w:noProof/>
                <w:webHidden/>
              </w:rPr>
              <w:tab/>
            </w:r>
            <w:r>
              <w:rPr>
                <w:noProof/>
                <w:webHidden/>
              </w:rPr>
              <w:fldChar w:fldCharType="begin"/>
            </w:r>
            <w:r>
              <w:rPr>
                <w:noProof/>
                <w:webHidden/>
              </w:rPr>
              <w:instrText xml:space="preserve"> PAGEREF _Toc75517879 \h </w:instrText>
            </w:r>
            <w:r>
              <w:rPr>
                <w:noProof/>
                <w:webHidden/>
              </w:rPr>
            </w:r>
            <w:r>
              <w:rPr>
                <w:noProof/>
                <w:webHidden/>
              </w:rPr>
              <w:fldChar w:fldCharType="separate"/>
            </w:r>
            <w:r>
              <w:rPr>
                <w:noProof/>
                <w:webHidden/>
              </w:rPr>
              <w:t>29</w:t>
            </w:r>
            <w:r>
              <w:rPr>
                <w:noProof/>
                <w:webHidden/>
              </w:rPr>
              <w:fldChar w:fldCharType="end"/>
            </w:r>
          </w:hyperlink>
        </w:p>
        <w:p w14:paraId="47CB28E4" w14:textId="12DBE5D4" w:rsidR="00C202B8" w:rsidRDefault="00C202B8">
          <w:pPr>
            <w:pStyle w:val="TOC3"/>
            <w:tabs>
              <w:tab w:val="right" w:leader="dot" w:pos="8778"/>
            </w:tabs>
            <w:rPr>
              <w:rFonts w:asciiTheme="minorHAnsi" w:eastAsiaTheme="minorEastAsia" w:hAnsiTheme="minorHAnsi" w:cstheme="minorBidi"/>
              <w:noProof/>
              <w:sz w:val="22"/>
              <w:szCs w:val="22"/>
              <w:lang w:eastAsia="en-AU"/>
            </w:rPr>
          </w:pPr>
          <w:hyperlink w:anchor="_Toc75517880" w:history="1">
            <w:r w:rsidRPr="00144A55">
              <w:rPr>
                <w:rStyle w:val="Hyperlink"/>
                <w:noProof/>
              </w:rPr>
              <w:t>Observations</w:t>
            </w:r>
            <w:r>
              <w:rPr>
                <w:noProof/>
                <w:webHidden/>
              </w:rPr>
              <w:tab/>
            </w:r>
            <w:r>
              <w:rPr>
                <w:noProof/>
                <w:webHidden/>
              </w:rPr>
              <w:fldChar w:fldCharType="begin"/>
            </w:r>
            <w:r>
              <w:rPr>
                <w:noProof/>
                <w:webHidden/>
              </w:rPr>
              <w:instrText xml:space="preserve"> PAGEREF _Toc75517880 \h </w:instrText>
            </w:r>
            <w:r>
              <w:rPr>
                <w:noProof/>
                <w:webHidden/>
              </w:rPr>
            </w:r>
            <w:r>
              <w:rPr>
                <w:noProof/>
                <w:webHidden/>
              </w:rPr>
              <w:fldChar w:fldCharType="separate"/>
            </w:r>
            <w:r>
              <w:rPr>
                <w:noProof/>
                <w:webHidden/>
              </w:rPr>
              <w:t>31</w:t>
            </w:r>
            <w:r>
              <w:rPr>
                <w:noProof/>
                <w:webHidden/>
              </w:rPr>
              <w:fldChar w:fldCharType="end"/>
            </w:r>
          </w:hyperlink>
        </w:p>
        <w:p w14:paraId="53CCE520" w14:textId="57EC9150" w:rsidR="00EB5680" w:rsidRPr="00EE6882" w:rsidRDefault="00AB61C6" w:rsidP="00EE6882">
          <w:pPr>
            <w:rPr>
              <w:b/>
              <w:bCs/>
              <w:noProof/>
            </w:rPr>
          </w:pPr>
          <w:r w:rsidRPr="000F7A08">
            <w:rPr>
              <w:b/>
              <w:bCs/>
              <w:noProof/>
            </w:rPr>
            <w:fldChar w:fldCharType="end"/>
          </w:r>
        </w:p>
      </w:sdtContent>
    </w:sdt>
    <w:p w14:paraId="1B0991A5" w14:textId="4600CDBD" w:rsidR="00A90641" w:rsidRPr="008421E8" w:rsidRDefault="00A90641" w:rsidP="008421E8">
      <w:pPr>
        <w:rPr>
          <w:b/>
          <w:bCs/>
          <w:color w:val="000000"/>
          <w:sz w:val="22"/>
          <w:lang w:eastAsia="en-GB"/>
        </w:rPr>
      </w:pPr>
    </w:p>
    <w:p w14:paraId="781E2824" w14:textId="77777777" w:rsidR="00A541FB" w:rsidRDefault="00A541FB">
      <w:pPr>
        <w:rPr>
          <w:rFonts w:ascii="Calibri Light" w:eastAsia="Times New Roman" w:hAnsi="Calibri Light"/>
          <w:sz w:val="36"/>
          <w:szCs w:val="32"/>
        </w:rPr>
      </w:pPr>
      <w:r>
        <w:br w:type="page"/>
      </w:r>
    </w:p>
    <w:p w14:paraId="6C628277" w14:textId="26FAC361" w:rsidR="00A541FB" w:rsidRPr="003615CC" w:rsidRDefault="00A541FB" w:rsidP="001277DC">
      <w:pPr>
        <w:pStyle w:val="Level1Heading"/>
        <w:spacing w:after="240"/>
        <w:sectPr w:rsidR="00A541FB" w:rsidRPr="003615CC" w:rsidSect="00DF5B8B">
          <w:type w:val="continuous"/>
          <w:pgSz w:w="11900" w:h="16840"/>
          <w:pgMar w:top="1276" w:right="1552" w:bottom="1276" w:left="1560" w:header="708" w:footer="580" w:gutter="0"/>
          <w:cols w:space="708"/>
          <w:docGrid w:linePitch="360"/>
        </w:sectPr>
      </w:pPr>
      <w:bookmarkStart w:id="1" w:name="_Toc75517845"/>
      <w:r>
        <w:lastRenderedPageBreak/>
        <w:t>Forewor</w:t>
      </w:r>
      <w:r w:rsidR="000622AC">
        <w:t>d</w:t>
      </w:r>
      <w:bookmarkEnd w:id="1"/>
    </w:p>
    <w:p w14:paraId="5072FFBC" w14:textId="1F237E87" w:rsidR="005032E0" w:rsidRPr="005032E0" w:rsidRDefault="005032E0" w:rsidP="005032E0">
      <w:pPr>
        <w:spacing w:after="240"/>
        <w:rPr>
          <w:sz w:val="22"/>
          <w:szCs w:val="22"/>
        </w:rPr>
      </w:pPr>
      <w:r w:rsidRPr="005032E0">
        <w:rPr>
          <w:sz w:val="22"/>
          <w:szCs w:val="22"/>
        </w:rPr>
        <w:t>The protection of information by u</w:t>
      </w:r>
      <w:r w:rsidRPr="005032E0">
        <w:rPr>
          <w:sz w:val="22"/>
          <w:szCs w:val="22"/>
        </w:rPr>
        <w:t xml:space="preserve">niversities </w:t>
      </w:r>
      <w:r w:rsidRPr="005032E0">
        <w:rPr>
          <w:sz w:val="22"/>
          <w:szCs w:val="22"/>
        </w:rPr>
        <w:t xml:space="preserve">has come under focus in recent years as a number of Australian universities have been subject to cyber security attacks. These attacks highlight the risks posed by data breaches and the potential impact on thousands of students, </w:t>
      </w:r>
      <w:proofErr w:type="gramStart"/>
      <w:r w:rsidRPr="005032E0">
        <w:rPr>
          <w:sz w:val="22"/>
          <w:szCs w:val="22"/>
        </w:rPr>
        <w:t>staff</w:t>
      </w:r>
      <w:proofErr w:type="gramEnd"/>
      <w:r w:rsidRPr="005032E0">
        <w:rPr>
          <w:sz w:val="22"/>
          <w:szCs w:val="22"/>
        </w:rPr>
        <w:t xml:space="preserve"> and research participants. That led the Privacy and Data Protection Deputy Commissioner to conduct this examination into the policies and procedures that Victorian universities have implemented to protect the personal information that they hold from loss and misuse.  </w:t>
      </w:r>
    </w:p>
    <w:p w14:paraId="60C97CA1" w14:textId="2CAEF825" w:rsidR="005032E0" w:rsidRPr="005032E0" w:rsidRDefault="005032E0" w:rsidP="005032E0">
      <w:pPr>
        <w:spacing w:after="240"/>
        <w:rPr>
          <w:sz w:val="22"/>
          <w:szCs w:val="22"/>
        </w:rPr>
      </w:pPr>
      <w:r w:rsidRPr="005032E0">
        <w:rPr>
          <w:sz w:val="22"/>
          <w:szCs w:val="22"/>
        </w:rPr>
        <w:t xml:space="preserve">The report shows that Victorian universities have in place a wide range of policies and procedures to identify and secure the personal information they hold. There are, however, areas for improvement identified in this report and I encourage universities to consider these as they review and update their personal information policies. </w:t>
      </w:r>
    </w:p>
    <w:p w14:paraId="376855EE" w14:textId="4F726AFF" w:rsidR="005032E0" w:rsidRPr="005032E0" w:rsidRDefault="005032E0" w:rsidP="005032E0">
      <w:pPr>
        <w:spacing w:after="240"/>
        <w:rPr>
          <w:sz w:val="22"/>
          <w:szCs w:val="22"/>
        </w:rPr>
      </w:pPr>
      <w:r w:rsidRPr="005032E0">
        <w:rPr>
          <w:sz w:val="22"/>
          <w:szCs w:val="22"/>
        </w:rPr>
        <w:t>Victorian public sector organisations can take a variety of steps to protect personal information from loss or misuse, and for this reason comparing the results of one university against another should be approached with caution. The examination was undertaken with a view to examining the completeness of universities’ policy frameworks, not with a view to creating a leader board of progress.</w:t>
      </w:r>
    </w:p>
    <w:p w14:paraId="20AE9BA6" w14:textId="737FA461" w:rsidR="005032E0" w:rsidRPr="005032E0" w:rsidRDefault="005032E0" w:rsidP="005032E0">
      <w:pPr>
        <w:spacing w:after="240"/>
        <w:rPr>
          <w:sz w:val="22"/>
          <w:szCs w:val="22"/>
        </w:rPr>
      </w:pPr>
      <w:r w:rsidRPr="005032E0">
        <w:rPr>
          <w:sz w:val="22"/>
          <w:szCs w:val="22"/>
        </w:rPr>
        <w:t>The report shows that Victorian universities are taking cyber security seriously. Most Victorian universities are taking steps, such as internal and external audits and assessments, to obtain an accurate picture of their capability and threat landscape with respect to information security. However, more work needs to be done in several areas.</w:t>
      </w:r>
    </w:p>
    <w:p w14:paraId="48EA2851" w14:textId="212B6717" w:rsidR="005032E0" w:rsidRDefault="005032E0" w:rsidP="005032E0">
      <w:pPr>
        <w:spacing w:after="240"/>
        <w:rPr>
          <w:sz w:val="22"/>
          <w:szCs w:val="22"/>
        </w:rPr>
      </w:pPr>
      <w:r w:rsidRPr="005032E0">
        <w:rPr>
          <w:sz w:val="22"/>
          <w:szCs w:val="22"/>
        </w:rPr>
        <w:t>Thank you to the universities for providing responses to our request for documentation. OVIC appreciated receiving detailed and thorough responses from most of the universities participating in the examination. My office looks forward to continued engagement with them.</w:t>
      </w:r>
    </w:p>
    <w:p w14:paraId="191EAEE1" w14:textId="1B713098" w:rsidR="005032E0" w:rsidRDefault="005032E0" w:rsidP="005032E0">
      <w:pPr>
        <w:rPr>
          <w:sz w:val="22"/>
          <w:szCs w:val="22"/>
        </w:rPr>
      </w:pPr>
    </w:p>
    <w:p w14:paraId="606201D8" w14:textId="2AEDB860" w:rsidR="005032E0" w:rsidRDefault="005032E0" w:rsidP="005032E0">
      <w:pPr>
        <w:rPr>
          <w:sz w:val="22"/>
          <w:szCs w:val="22"/>
        </w:rPr>
      </w:pPr>
    </w:p>
    <w:p w14:paraId="7CC70CD8" w14:textId="77777777" w:rsidR="005032E0" w:rsidRPr="005032E0" w:rsidRDefault="005032E0" w:rsidP="005032E0">
      <w:pPr>
        <w:rPr>
          <w:sz w:val="22"/>
          <w:szCs w:val="22"/>
        </w:rPr>
      </w:pPr>
    </w:p>
    <w:p w14:paraId="13B6706E" w14:textId="77777777" w:rsidR="005032E0" w:rsidRPr="005032E0" w:rsidRDefault="005032E0" w:rsidP="005032E0">
      <w:pPr>
        <w:spacing w:line="256" w:lineRule="auto"/>
        <w:rPr>
          <w:sz w:val="22"/>
          <w:szCs w:val="22"/>
        </w:rPr>
      </w:pPr>
      <w:r w:rsidRPr="005032E0">
        <w:rPr>
          <w:sz w:val="22"/>
          <w:szCs w:val="22"/>
        </w:rPr>
        <w:t>Sven Bluemmel</w:t>
      </w:r>
    </w:p>
    <w:p w14:paraId="5903D672" w14:textId="77777777" w:rsidR="005032E0" w:rsidRPr="005032E0" w:rsidRDefault="005032E0" w:rsidP="005032E0">
      <w:pPr>
        <w:spacing w:after="240"/>
        <w:rPr>
          <w:sz w:val="22"/>
          <w:szCs w:val="22"/>
        </w:rPr>
      </w:pPr>
      <w:r w:rsidRPr="005032E0">
        <w:rPr>
          <w:sz w:val="22"/>
          <w:szCs w:val="22"/>
        </w:rPr>
        <w:t>Information Commissioner</w:t>
      </w:r>
    </w:p>
    <w:p w14:paraId="0346ACE2" w14:textId="1A87BA22" w:rsidR="005032E0" w:rsidRPr="005032E0" w:rsidRDefault="005032E0" w:rsidP="005032E0">
      <w:pPr>
        <w:spacing w:line="256" w:lineRule="auto"/>
        <w:rPr>
          <w:sz w:val="22"/>
          <w:szCs w:val="22"/>
        </w:rPr>
      </w:pPr>
      <w:r>
        <w:rPr>
          <w:sz w:val="22"/>
          <w:szCs w:val="22"/>
        </w:rPr>
        <w:t>29 June 2021</w:t>
      </w:r>
    </w:p>
    <w:p w14:paraId="170DD413" w14:textId="77777777" w:rsidR="00A541FB" w:rsidRDefault="00A541FB">
      <w:pPr>
        <w:rPr>
          <w:rFonts w:ascii="Calibri Light" w:eastAsia="Times New Roman" w:hAnsi="Calibri Light"/>
          <w:sz w:val="36"/>
          <w:szCs w:val="32"/>
        </w:rPr>
      </w:pPr>
      <w:r>
        <w:br w:type="page"/>
      </w:r>
    </w:p>
    <w:p w14:paraId="5EB6BD06" w14:textId="5753E974" w:rsidR="003615CC" w:rsidRPr="003615CC" w:rsidRDefault="00216C47" w:rsidP="001277DC">
      <w:pPr>
        <w:pStyle w:val="Level1Heading"/>
        <w:spacing w:after="240"/>
        <w:sectPr w:rsidR="003615CC" w:rsidRPr="003615CC" w:rsidSect="00DF5B8B">
          <w:type w:val="continuous"/>
          <w:pgSz w:w="11900" w:h="16840"/>
          <w:pgMar w:top="1276" w:right="1552" w:bottom="1276" w:left="1560" w:header="708" w:footer="580" w:gutter="0"/>
          <w:cols w:space="708"/>
          <w:docGrid w:linePitch="360"/>
        </w:sectPr>
      </w:pPr>
      <w:bookmarkStart w:id="2" w:name="_Toc75517846"/>
      <w:r>
        <w:lastRenderedPageBreak/>
        <w:t>Executive summary</w:t>
      </w:r>
      <w:bookmarkEnd w:id="2"/>
    </w:p>
    <w:p w14:paraId="066E11C0" w14:textId="73B2C507" w:rsidR="0098317D" w:rsidRPr="00D953CA" w:rsidRDefault="00DF5B8B" w:rsidP="00D953CA">
      <w:pPr>
        <w:spacing w:after="240"/>
        <w:rPr>
          <w:sz w:val="22"/>
          <w:szCs w:val="22"/>
        </w:rPr>
      </w:pPr>
      <w:r w:rsidRPr="005A4FB1">
        <w:rPr>
          <w:sz w:val="22"/>
          <w:szCs w:val="22"/>
        </w:rPr>
        <w:t xml:space="preserve">OVIC conducted the examination to inform itself and the public </w:t>
      </w:r>
      <w:r w:rsidRPr="005A4FB1">
        <w:rPr>
          <w:rFonts w:cstheme="minorHAnsi"/>
          <w:bCs/>
          <w:sz w:val="22"/>
          <w:szCs w:val="22"/>
        </w:rPr>
        <w:t>about how universities protect personal information.</w:t>
      </w:r>
      <w:r w:rsidRPr="005A4FB1">
        <w:rPr>
          <w:sz w:val="22"/>
          <w:szCs w:val="22"/>
        </w:rPr>
        <w:t xml:space="preserve"> </w:t>
      </w:r>
      <w:r w:rsidRPr="00D953CA">
        <w:rPr>
          <w:sz w:val="22"/>
          <w:szCs w:val="22"/>
        </w:rPr>
        <w:t>OVIC found</w:t>
      </w:r>
      <w:r w:rsidR="00216C47">
        <w:rPr>
          <w:sz w:val="22"/>
          <w:szCs w:val="22"/>
        </w:rPr>
        <w:t xml:space="preserve"> that a</w:t>
      </w:r>
      <w:r w:rsidR="00497586" w:rsidRPr="00D953CA">
        <w:rPr>
          <w:sz w:val="22"/>
          <w:szCs w:val="22"/>
        </w:rPr>
        <w:t>ll Victorian universities</w:t>
      </w:r>
      <w:r w:rsidR="0098317D" w:rsidRPr="00D953CA">
        <w:rPr>
          <w:sz w:val="22"/>
          <w:szCs w:val="22"/>
        </w:rPr>
        <w:t>:</w:t>
      </w:r>
    </w:p>
    <w:p w14:paraId="25F1607B" w14:textId="5FEF5EF0" w:rsidR="00DF5B8B" w:rsidRDefault="00216C47" w:rsidP="00610A2E">
      <w:pPr>
        <w:pStyle w:val="ListParagraph"/>
        <w:numPr>
          <w:ilvl w:val="0"/>
          <w:numId w:val="13"/>
        </w:numPr>
        <w:ind w:left="357" w:hanging="357"/>
        <w:contextualSpacing w:val="0"/>
      </w:pPr>
      <w:r>
        <w:t>h</w:t>
      </w:r>
      <w:r w:rsidR="00DF5B8B">
        <w:t>ave a data breach response plan that includes the steps</w:t>
      </w:r>
      <w:r w:rsidR="003615CC">
        <w:t xml:space="preserve"> contain, assess, notify and </w:t>
      </w:r>
      <w:proofErr w:type="gramStart"/>
      <w:r w:rsidR="003615CC">
        <w:t>review</w:t>
      </w:r>
      <w:proofErr w:type="gramEnd"/>
    </w:p>
    <w:p w14:paraId="417FE61D" w14:textId="6BBE6FD4" w:rsidR="00497586" w:rsidRDefault="00216C47" w:rsidP="00610A2E">
      <w:pPr>
        <w:pStyle w:val="ListParagraph"/>
        <w:numPr>
          <w:ilvl w:val="0"/>
          <w:numId w:val="13"/>
        </w:numPr>
        <w:ind w:left="357" w:hanging="357"/>
        <w:contextualSpacing w:val="0"/>
      </w:pPr>
      <w:r>
        <w:t>c</w:t>
      </w:r>
      <w:r w:rsidR="00497586">
        <w:t>o</w:t>
      </w:r>
      <w:r w:rsidR="00DF5B8B">
        <w:t>nduct Privacy Impact Assessments (</w:t>
      </w:r>
      <w:r w:rsidR="00DF5B8B" w:rsidRPr="00B36DE0">
        <w:rPr>
          <w:b/>
          <w:bCs/>
        </w:rPr>
        <w:t>PIAs</w:t>
      </w:r>
      <w:r w:rsidR="00DF5B8B">
        <w:t xml:space="preserve">) for new projects involving personal information. </w:t>
      </w:r>
      <w:r w:rsidR="002E7B4A">
        <w:t>Several universities</w:t>
      </w:r>
      <w:r w:rsidR="00DF5B8B">
        <w:t xml:space="preserve"> reported that they are working to embed PIAs into security and procurement processes to promote a high completion </w:t>
      </w:r>
      <w:proofErr w:type="gramStart"/>
      <w:r w:rsidR="00DF5B8B">
        <w:t>rate</w:t>
      </w:r>
      <w:proofErr w:type="gramEnd"/>
    </w:p>
    <w:p w14:paraId="44FB6110" w14:textId="559D59DA" w:rsidR="00E1277E" w:rsidRPr="006137FB" w:rsidRDefault="00216C47" w:rsidP="00610A2E">
      <w:pPr>
        <w:pStyle w:val="ListParagraph"/>
        <w:numPr>
          <w:ilvl w:val="0"/>
          <w:numId w:val="13"/>
        </w:numPr>
        <w:ind w:left="357" w:hanging="357"/>
        <w:contextualSpacing w:val="0"/>
      </w:pPr>
      <w:r>
        <w:t>c</w:t>
      </w:r>
      <w:r w:rsidR="00DF5B8B">
        <w:t>onduct privacy and data security online training for staff</w:t>
      </w:r>
    </w:p>
    <w:p w14:paraId="337D687A" w14:textId="640BA081" w:rsidR="00995B4C" w:rsidRDefault="00995B4C" w:rsidP="00610A2E">
      <w:pPr>
        <w:pStyle w:val="ListParagraph"/>
        <w:numPr>
          <w:ilvl w:val="0"/>
          <w:numId w:val="13"/>
        </w:numPr>
        <w:ind w:left="357" w:hanging="357"/>
        <w:contextualSpacing w:val="0"/>
      </w:pPr>
      <w:r>
        <w:t xml:space="preserve">have prioritised ICT and cyber security risks. </w:t>
      </w:r>
    </w:p>
    <w:p w14:paraId="0D988B70" w14:textId="393F2A3F" w:rsidR="008D7CAC" w:rsidRPr="00D953CA" w:rsidRDefault="00216C47" w:rsidP="00D953CA">
      <w:pPr>
        <w:spacing w:after="240"/>
        <w:rPr>
          <w:sz w:val="22"/>
          <w:szCs w:val="22"/>
        </w:rPr>
      </w:pPr>
      <w:r>
        <w:rPr>
          <w:sz w:val="22"/>
          <w:szCs w:val="22"/>
        </w:rPr>
        <w:t>We</w:t>
      </w:r>
      <w:r w:rsidRPr="00B967F5">
        <w:rPr>
          <w:sz w:val="22"/>
          <w:szCs w:val="22"/>
        </w:rPr>
        <w:t xml:space="preserve"> </w:t>
      </w:r>
      <w:r>
        <w:rPr>
          <w:sz w:val="22"/>
          <w:szCs w:val="22"/>
        </w:rPr>
        <w:t>observed that</w:t>
      </w:r>
      <w:r w:rsidRPr="00B967F5">
        <w:rPr>
          <w:sz w:val="22"/>
          <w:szCs w:val="22"/>
        </w:rPr>
        <w:t>:</w:t>
      </w:r>
    </w:p>
    <w:p w14:paraId="60CAA596" w14:textId="73F01CF3" w:rsidR="003615CC" w:rsidRDefault="00216C47" w:rsidP="00610A2E">
      <w:pPr>
        <w:pStyle w:val="ListParagraph"/>
        <w:numPr>
          <w:ilvl w:val="0"/>
          <w:numId w:val="13"/>
        </w:numPr>
        <w:ind w:left="357" w:hanging="357"/>
        <w:contextualSpacing w:val="0"/>
      </w:pPr>
      <w:r>
        <w:t>u</w:t>
      </w:r>
      <w:r w:rsidR="008D7CAC">
        <w:t xml:space="preserve">niversities </w:t>
      </w:r>
      <w:r>
        <w:t xml:space="preserve">were </w:t>
      </w:r>
      <w:r w:rsidR="008D7CAC">
        <w:t>less focussed on managing risks to personal information in</w:t>
      </w:r>
      <w:r>
        <w:t>volving</w:t>
      </w:r>
      <w:r w:rsidR="008D7CAC">
        <w:t xml:space="preserve"> physical and personnel </w:t>
      </w:r>
      <w:proofErr w:type="gramStart"/>
      <w:r w:rsidR="008D7CAC">
        <w:t>security</w:t>
      </w:r>
      <w:proofErr w:type="gramEnd"/>
    </w:p>
    <w:p w14:paraId="0A39A992" w14:textId="027F38BE" w:rsidR="005A4FB1" w:rsidRPr="00784FE9" w:rsidRDefault="00216C47" w:rsidP="00610A2E">
      <w:pPr>
        <w:pStyle w:val="ListParagraph"/>
        <w:numPr>
          <w:ilvl w:val="0"/>
          <w:numId w:val="13"/>
        </w:numPr>
        <w:ind w:left="357" w:hanging="357"/>
        <w:contextualSpacing w:val="0"/>
      </w:pPr>
      <w:r>
        <w:t>m</w:t>
      </w:r>
      <w:r w:rsidR="00E56A22" w:rsidRPr="00784FE9">
        <w:t xml:space="preserve">any </w:t>
      </w:r>
      <w:r w:rsidR="00C61B72" w:rsidRPr="00784FE9">
        <w:t>u</w:t>
      </w:r>
      <w:r w:rsidR="008D7CAC" w:rsidRPr="00784FE9">
        <w:t xml:space="preserve">niversities do not have clear policies and procedures to guide staff to destroy personal information when it is no longer </w:t>
      </w:r>
      <w:proofErr w:type="gramStart"/>
      <w:r w:rsidR="008D7CAC" w:rsidRPr="00784FE9">
        <w:t>needed</w:t>
      </w:r>
      <w:proofErr w:type="gramEnd"/>
      <w:r w:rsidR="008D7CAC" w:rsidRPr="00784FE9">
        <w:t xml:space="preserve"> </w:t>
      </w:r>
    </w:p>
    <w:p w14:paraId="73409341" w14:textId="426476D1" w:rsidR="00B54139" w:rsidRPr="00273219" w:rsidRDefault="00216C47" w:rsidP="00610A2E">
      <w:pPr>
        <w:pStyle w:val="ListParagraph"/>
        <w:numPr>
          <w:ilvl w:val="0"/>
          <w:numId w:val="13"/>
        </w:numPr>
        <w:ind w:left="357" w:hanging="357"/>
        <w:contextualSpacing w:val="0"/>
      </w:pPr>
      <w:r>
        <w:t>m</w:t>
      </w:r>
      <w:r w:rsidR="00E56A22" w:rsidRPr="00784FE9">
        <w:t xml:space="preserve">ost universities do </w:t>
      </w:r>
      <w:r w:rsidR="00E56A22" w:rsidRPr="00273219">
        <w:t>not have written guidance about sharing personal information with third parties.</w:t>
      </w:r>
      <w:r w:rsidR="0017048A" w:rsidRPr="00273219">
        <w:t xml:space="preserve"> </w:t>
      </w:r>
    </w:p>
    <w:p w14:paraId="4C6EC786" w14:textId="10E28ABB" w:rsidR="00216C47" w:rsidRPr="00273219" w:rsidRDefault="00995B4C" w:rsidP="00D953CA">
      <w:pPr>
        <w:spacing w:after="240"/>
        <w:rPr>
          <w:sz w:val="22"/>
          <w:szCs w:val="22"/>
        </w:rPr>
      </w:pPr>
      <w:r w:rsidRPr="00273219">
        <w:rPr>
          <w:sz w:val="22"/>
          <w:szCs w:val="22"/>
        </w:rPr>
        <w:t xml:space="preserve">OVIC makes several </w:t>
      </w:r>
      <w:r w:rsidR="00216C47" w:rsidRPr="00273219">
        <w:rPr>
          <w:sz w:val="22"/>
          <w:szCs w:val="22"/>
        </w:rPr>
        <w:t>recommend</w:t>
      </w:r>
      <w:r w:rsidRPr="00273219">
        <w:rPr>
          <w:sz w:val="22"/>
          <w:szCs w:val="22"/>
        </w:rPr>
        <w:t xml:space="preserve">ations for universities, </w:t>
      </w:r>
      <w:r w:rsidR="00E82334">
        <w:rPr>
          <w:sz w:val="22"/>
          <w:szCs w:val="22"/>
        </w:rPr>
        <w:t xml:space="preserve">detailed </w:t>
      </w:r>
      <w:r w:rsidRPr="00273219">
        <w:rPr>
          <w:sz w:val="22"/>
          <w:szCs w:val="22"/>
        </w:rPr>
        <w:t xml:space="preserve">below. </w:t>
      </w:r>
      <w:bookmarkStart w:id="3" w:name="_Hlk75167370"/>
      <w:r w:rsidRPr="00273219">
        <w:rPr>
          <w:sz w:val="22"/>
          <w:szCs w:val="22"/>
        </w:rPr>
        <w:t>The area</w:t>
      </w:r>
      <w:r w:rsidR="00273219">
        <w:rPr>
          <w:sz w:val="22"/>
          <w:szCs w:val="22"/>
        </w:rPr>
        <w:t>s</w:t>
      </w:r>
      <w:r w:rsidRPr="00273219">
        <w:rPr>
          <w:sz w:val="22"/>
          <w:szCs w:val="22"/>
        </w:rPr>
        <w:t xml:space="preserve"> </w:t>
      </w:r>
      <w:r w:rsidR="00E82334">
        <w:rPr>
          <w:sz w:val="22"/>
          <w:szCs w:val="22"/>
        </w:rPr>
        <w:t xml:space="preserve">that require </w:t>
      </w:r>
      <w:r w:rsidRPr="00273219">
        <w:rPr>
          <w:sz w:val="22"/>
          <w:szCs w:val="22"/>
        </w:rPr>
        <w:t xml:space="preserve">attention </w:t>
      </w:r>
      <w:r w:rsidR="00E82334">
        <w:rPr>
          <w:sz w:val="22"/>
          <w:szCs w:val="22"/>
        </w:rPr>
        <w:t>a</w:t>
      </w:r>
      <w:r w:rsidR="00273219">
        <w:rPr>
          <w:sz w:val="22"/>
          <w:szCs w:val="22"/>
        </w:rPr>
        <w:t>re</w:t>
      </w:r>
      <w:r w:rsidRPr="00273219">
        <w:rPr>
          <w:sz w:val="22"/>
          <w:szCs w:val="22"/>
        </w:rPr>
        <w:t xml:space="preserve"> policies and procedures</w:t>
      </w:r>
      <w:r w:rsidR="00F51F3A">
        <w:rPr>
          <w:sz w:val="22"/>
          <w:szCs w:val="22"/>
        </w:rPr>
        <w:t xml:space="preserve"> for</w:t>
      </w:r>
      <w:r w:rsidR="00216C47" w:rsidRPr="00273219">
        <w:rPr>
          <w:sz w:val="22"/>
          <w:szCs w:val="22"/>
        </w:rPr>
        <w:t>:</w:t>
      </w:r>
      <w:bookmarkEnd w:id="3"/>
    </w:p>
    <w:p w14:paraId="2E8ED844" w14:textId="5DF0E12D" w:rsidR="00F51F3A" w:rsidRDefault="00F51F3A" w:rsidP="00610A2E">
      <w:pPr>
        <w:pStyle w:val="ListParagraph"/>
        <w:numPr>
          <w:ilvl w:val="0"/>
          <w:numId w:val="13"/>
        </w:numPr>
        <w:ind w:left="357" w:hanging="357"/>
        <w:contextualSpacing w:val="0"/>
      </w:pPr>
      <w:r>
        <w:t xml:space="preserve">considering the nature of personal information and applying protective markings to communicate the nature of </w:t>
      </w:r>
      <w:proofErr w:type="gramStart"/>
      <w:r>
        <w:t>information</w:t>
      </w:r>
      <w:proofErr w:type="gramEnd"/>
      <w:r>
        <w:t xml:space="preserve"> </w:t>
      </w:r>
    </w:p>
    <w:p w14:paraId="390B7A60" w14:textId="77777777" w:rsidR="00F51F3A" w:rsidRDefault="00F51F3A" w:rsidP="00610A2E">
      <w:pPr>
        <w:pStyle w:val="ListParagraph"/>
        <w:numPr>
          <w:ilvl w:val="0"/>
          <w:numId w:val="13"/>
        </w:numPr>
        <w:ind w:left="357" w:hanging="357"/>
        <w:contextualSpacing w:val="0"/>
      </w:pPr>
      <w:r>
        <w:t xml:space="preserve">destroying personal information when it is no longer </w:t>
      </w:r>
      <w:proofErr w:type="gramStart"/>
      <w:r>
        <w:t>needed</w:t>
      </w:r>
      <w:proofErr w:type="gramEnd"/>
    </w:p>
    <w:p w14:paraId="08628E45" w14:textId="7CFB72DB" w:rsidR="00F51F3A" w:rsidRDefault="00F51F3A" w:rsidP="00610A2E">
      <w:pPr>
        <w:pStyle w:val="ListParagraph"/>
        <w:numPr>
          <w:ilvl w:val="0"/>
          <w:numId w:val="13"/>
        </w:numPr>
        <w:ind w:left="357" w:hanging="357"/>
        <w:contextualSpacing w:val="0"/>
      </w:pPr>
      <w:r>
        <w:t xml:space="preserve">considering notifying OVIC of a data breach </w:t>
      </w:r>
    </w:p>
    <w:p w14:paraId="47F894EE" w14:textId="77777777" w:rsidR="00F51F3A" w:rsidRDefault="00F51F3A" w:rsidP="00610A2E">
      <w:pPr>
        <w:pStyle w:val="ListParagraph"/>
        <w:numPr>
          <w:ilvl w:val="0"/>
          <w:numId w:val="13"/>
        </w:numPr>
        <w:ind w:left="357" w:hanging="357"/>
        <w:contextualSpacing w:val="0"/>
      </w:pPr>
      <w:r>
        <w:t xml:space="preserve">sharing personal information with third parties and engaging contracted service providers that handle personal information on their </w:t>
      </w:r>
      <w:proofErr w:type="gramStart"/>
      <w:r>
        <w:t>behalf</w:t>
      </w:r>
      <w:proofErr w:type="gramEnd"/>
    </w:p>
    <w:p w14:paraId="26763A37" w14:textId="77777777" w:rsidR="00F51F3A" w:rsidRDefault="00F51F3A" w:rsidP="00610A2E">
      <w:pPr>
        <w:pStyle w:val="ListParagraph"/>
        <w:numPr>
          <w:ilvl w:val="0"/>
          <w:numId w:val="13"/>
        </w:numPr>
        <w:ind w:left="357" w:hanging="357"/>
        <w:contextualSpacing w:val="0"/>
      </w:pPr>
      <w:r>
        <w:t xml:space="preserve">privacy and information security training to all personnel with access to personal information, including contractors. </w:t>
      </w:r>
    </w:p>
    <w:p w14:paraId="5E9B3709" w14:textId="276AF467" w:rsidR="003615CC" w:rsidRDefault="003615CC" w:rsidP="00DF5B8B">
      <w:pPr>
        <w:sectPr w:rsidR="003615CC" w:rsidSect="006C7C9D">
          <w:type w:val="continuous"/>
          <w:pgSz w:w="11900" w:h="16840"/>
          <w:pgMar w:top="1276" w:right="1552" w:bottom="1276" w:left="1560" w:header="708" w:footer="580" w:gutter="0"/>
          <w:cols w:space="708"/>
          <w:docGrid w:linePitch="360"/>
        </w:sectPr>
      </w:pPr>
    </w:p>
    <w:p w14:paraId="1A227C5B" w14:textId="7FE1A137" w:rsidR="00E1277E" w:rsidRDefault="00E1277E" w:rsidP="00DF5B8B">
      <w:pPr>
        <w:sectPr w:rsidR="00E1277E" w:rsidSect="00E1277E">
          <w:type w:val="continuous"/>
          <w:pgSz w:w="11900" w:h="16840"/>
          <w:pgMar w:top="1276" w:right="1552" w:bottom="1276" w:left="1560" w:header="708" w:footer="580" w:gutter="0"/>
          <w:cols w:space="708"/>
          <w:docGrid w:linePitch="360"/>
        </w:sectPr>
      </w:pPr>
    </w:p>
    <w:p w14:paraId="1B4E7998" w14:textId="6EDA87BB" w:rsidR="006A6E28" w:rsidRDefault="00840FA7" w:rsidP="00D26B7E">
      <w:pPr>
        <w:pStyle w:val="TOCHeading"/>
        <w:spacing w:before="0" w:after="120"/>
      </w:pPr>
      <w:bookmarkStart w:id="4" w:name="_Toc75517847"/>
      <w:r>
        <w:lastRenderedPageBreak/>
        <w:t>Introduction</w:t>
      </w:r>
      <w:bookmarkEnd w:id="4"/>
      <w:r>
        <w:t xml:space="preserve"> </w:t>
      </w:r>
    </w:p>
    <w:p w14:paraId="664EA26A" w14:textId="77777777" w:rsidR="00840FA7" w:rsidRDefault="00840FA7" w:rsidP="00D26B7E">
      <w:pPr>
        <w:pStyle w:val="Level2Heading"/>
        <w:spacing w:before="160" w:after="120"/>
      </w:pPr>
      <w:bookmarkStart w:id="5" w:name="_Toc7181000"/>
      <w:bookmarkStart w:id="6" w:name="_Toc75517848"/>
      <w:r>
        <w:t>Background</w:t>
      </w:r>
      <w:bookmarkEnd w:id="6"/>
      <w:r>
        <w:t xml:space="preserve"> </w:t>
      </w:r>
    </w:p>
    <w:p w14:paraId="79C23C68" w14:textId="78C2DB17" w:rsidR="00A90641" w:rsidRDefault="002308F6" w:rsidP="00A90641">
      <w:pPr>
        <w:pStyle w:val="BodyText1"/>
        <w:numPr>
          <w:ilvl w:val="0"/>
          <w:numId w:val="9"/>
        </w:numPr>
      </w:pPr>
      <w:r>
        <w:t>The Victorian public university sector comprises eight universities. The</w:t>
      </w:r>
      <w:r w:rsidR="0098317D">
        <w:t xml:space="preserve"> primary role of the</w:t>
      </w:r>
      <w:r>
        <w:t xml:space="preserve"> universities </w:t>
      </w:r>
      <w:r w:rsidR="0098317D">
        <w:t xml:space="preserve">is to </w:t>
      </w:r>
      <w:r>
        <w:t xml:space="preserve">provide higher education and conduct research. </w:t>
      </w:r>
      <w:r w:rsidR="00A90641">
        <w:t xml:space="preserve">In </w:t>
      </w:r>
      <w:r w:rsidR="00C67400">
        <w:t xml:space="preserve">the course of </w:t>
      </w:r>
      <w:r>
        <w:t xml:space="preserve">educating and researching, </w:t>
      </w:r>
      <w:r w:rsidR="00A90641">
        <w:t xml:space="preserve">universities collect and handle a vast amount of personal information about individuals, from information about students, </w:t>
      </w:r>
      <w:r w:rsidR="006A1155">
        <w:t>staff,</w:t>
      </w:r>
      <w:r w:rsidR="00A90641">
        <w:t xml:space="preserve"> or research participants. </w:t>
      </w:r>
      <w:r w:rsidR="0098317D">
        <w:t>In</w:t>
      </w:r>
      <w:r>
        <w:t xml:space="preserve"> 2019 there were over 300,000 students enrolled in Victorian universit</w:t>
      </w:r>
      <w:r w:rsidR="0098317D">
        <w:t>ies</w:t>
      </w:r>
      <w:r>
        <w:t>.</w:t>
      </w:r>
      <w:r>
        <w:rPr>
          <w:rStyle w:val="FootnoteReference"/>
        </w:rPr>
        <w:footnoteReference w:id="1"/>
      </w:r>
      <w:r>
        <w:t xml:space="preserve"> </w:t>
      </w:r>
    </w:p>
    <w:p w14:paraId="1C79DDD6" w14:textId="756EAC76" w:rsidR="00512828" w:rsidRDefault="002415F6" w:rsidP="00512828">
      <w:pPr>
        <w:pStyle w:val="BodyText1"/>
        <w:numPr>
          <w:ilvl w:val="0"/>
          <w:numId w:val="9"/>
        </w:numPr>
      </w:pPr>
      <w:r>
        <w:t>In Victoria,</w:t>
      </w:r>
      <w:r w:rsidR="00C67400">
        <w:t xml:space="preserve"> </w:t>
      </w:r>
      <w:r w:rsidR="00AA10F6">
        <w:t xml:space="preserve">most </w:t>
      </w:r>
      <w:r w:rsidR="00C67400">
        <w:t xml:space="preserve">universities are </w:t>
      </w:r>
      <w:r w:rsidR="00512828">
        <w:t xml:space="preserve">required to comply with Part 3 of the </w:t>
      </w:r>
      <w:r w:rsidR="00512828" w:rsidRPr="002415F6">
        <w:rPr>
          <w:i/>
          <w:iCs/>
        </w:rPr>
        <w:t>Privacy and Data Protection Act 2014</w:t>
      </w:r>
      <w:r>
        <w:t xml:space="preserve"> (Vic)</w:t>
      </w:r>
      <w:r w:rsidR="00512828">
        <w:t xml:space="preserve"> (</w:t>
      </w:r>
      <w:r w:rsidR="00512828" w:rsidRPr="00512828">
        <w:rPr>
          <w:b/>
          <w:bCs/>
        </w:rPr>
        <w:t>PDP Act</w:t>
      </w:r>
      <w:r w:rsidR="00512828">
        <w:t>)</w:t>
      </w:r>
      <w:r w:rsidR="00AA10F6">
        <w:t>,</w:t>
      </w:r>
      <w:r w:rsidR="00512828">
        <w:t xml:space="preserve"> which provides for the responsible handling of personal information by public sector organisations. </w:t>
      </w:r>
    </w:p>
    <w:p w14:paraId="3F8BA8DA" w14:textId="38B57523" w:rsidR="00512828" w:rsidRDefault="00512828" w:rsidP="00512828">
      <w:pPr>
        <w:pStyle w:val="BodyText1"/>
        <w:numPr>
          <w:ilvl w:val="0"/>
          <w:numId w:val="9"/>
        </w:numPr>
      </w:pPr>
      <w:r>
        <w:t xml:space="preserve">The eight universities </w:t>
      </w:r>
      <w:r w:rsidR="002308F6">
        <w:t xml:space="preserve">in Victoria </w:t>
      </w:r>
      <w:r>
        <w:t xml:space="preserve">subject </w:t>
      </w:r>
      <w:r w:rsidRPr="000F4386">
        <w:t xml:space="preserve">to </w:t>
      </w:r>
      <w:r w:rsidR="00E72B3D">
        <w:t xml:space="preserve">Part 3 of </w:t>
      </w:r>
      <w:r w:rsidRPr="000F4386">
        <w:t xml:space="preserve">the </w:t>
      </w:r>
      <w:r w:rsidR="000F4386" w:rsidRPr="000F4386">
        <w:t>PDP Act</w:t>
      </w:r>
      <w:r w:rsidR="002308F6">
        <w:rPr>
          <w:rStyle w:val="FootnoteReference"/>
        </w:rPr>
        <w:footnoteReference w:id="2"/>
      </w:r>
      <w:r w:rsidR="002308F6">
        <w:t xml:space="preserve"> </w:t>
      </w:r>
      <w:r w:rsidR="0098317D">
        <w:t>are</w:t>
      </w:r>
      <w:r w:rsidR="000F4386" w:rsidRPr="000F4386">
        <w:t>:</w:t>
      </w:r>
    </w:p>
    <w:p w14:paraId="2BA32AF2" w14:textId="77777777" w:rsidR="00DF5B8B" w:rsidRDefault="00DF5B8B" w:rsidP="00913FD0">
      <w:pPr>
        <w:pStyle w:val="BodyText1"/>
        <w:numPr>
          <w:ilvl w:val="0"/>
          <w:numId w:val="10"/>
        </w:numPr>
        <w:sectPr w:rsidR="00DF5B8B" w:rsidSect="00910045">
          <w:type w:val="continuous"/>
          <w:pgSz w:w="11900" w:h="16840"/>
          <w:pgMar w:top="1276" w:right="1552" w:bottom="1276" w:left="1560" w:header="708" w:footer="580" w:gutter="0"/>
          <w:cols w:space="708"/>
          <w:docGrid w:linePitch="360"/>
        </w:sectPr>
      </w:pPr>
    </w:p>
    <w:p w14:paraId="6BD9993F" w14:textId="2B2C2DB2" w:rsidR="00512828" w:rsidRDefault="002308F6" w:rsidP="00913FD0">
      <w:pPr>
        <w:pStyle w:val="BodyText1"/>
        <w:numPr>
          <w:ilvl w:val="0"/>
          <w:numId w:val="10"/>
        </w:numPr>
      </w:pPr>
      <w:r>
        <w:t xml:space="preserve">The </w:t>
      </w:r>
      <w:r w:rsidR="00512828">
        <w:t xml:space="preserve">University of Melbourne </w:t>
      </w:r>
      <w:r w:rsidR="00784FE9">
        <w:t>(</w:t>
      </w:r>
      <w:r w:rsidR="00784FE9">
        <w:rPr>
          <w:b/>
          <w:bCs/>
        </w:rPr>
        <w:t>UoM</w:t>
      </w:r>
      <w:r w:rsidR="00784FE9">
        <w:t>)</w:t>
      </w:r>
    </w:p>
    <w:p w14:paraId="15D8EEDD" w14:textId="4D3DBEC4" w:rsidR="00512828" w:rsidRDefault="00512828" w:rsidP="00913FD0">
      <w:pPr>
        <w:pStyle w:val="BodyText1"/>
        <w:numPr>
          <w:ilvl w:val="0"/>
          <w:numId w:val="10"/>
        </w:numPr>
      </w:pPr>
      <w:r>
        <w:t xml:space="preserve">Monash University </w:t>
      </w:r>
      <w:r w:rsidR="00784FE9">
        <w:t>(</w:t>
      </w:r>
      <w:r w:rsidR="00784FE9">
        <w:rPr>
          <w:b/>
          <w:bCs/>
        </w:rPr>
        <w:t>Monash</w:t>
      </w:r>
      <w:r w:rsidR="00784FE9">
        <w:t>)</w:t>
      </w:r>
    </w:p>
    <w:p w14:paraId="3E505A32" w14:textId="712D9CB0" w:rsidR="00512828" w:rsidRDefault="00512828" w:rsidP="00913FD0">
      <w:pPr>
        <w:pStyle w:val="BodyText1"/>
        <w:numPr>
          <w:ilvl w:val="0"/>
          <w:numId w:val="10"/>
        </w:numPr>
      </w:pPr>
      <w:r>
        <w:t>La Trobe University</w:t>
      </w:r>
      <w:r w:rsidR="00784FE9">
        <w:t xml:space="preserve"> (</w:t>
      </w:r>
      <w:r w:rsidR="00784FE9">
        <w:rPr>
          <w:b/>
          <w:bCs/>
        </w:rPr>
        <w:t>LTU</w:t>
      </w:r>
      <w:r w:rsidR="00784FE9">
        <w:t>)</w:t>
      </w:r>
    </w:p>
    <w:p w14:paraId="2BA0F5B3" w14:textId="6CF7AE5E" w:rsidR="00512828" w:rsidRDefault="00512828" w:rsidP="00913FD0">
      <w:pPr>
        <w:pStyle w:val="BodyText1"/>
        <w:numPr>
          <w:ilvl w:val="0"/>
          <w:numId w:val="10"/>
        </w:numPr>
      </w:pPr>
      <w:r>
        <w:t>Deakin University</w:t>
      </w:r>
      <w:r w:rsidR="00784FE9">
        <w:t xml:space="preserve"> (</w:t>
      </w:r>
      <w:r w:rsidR="00784FE9">
        <w:rPr>
          <w:b/>
          <w:bCs/>
        </w:rPr>
        <w:t>Deakin</w:t>
      </w:r>
      <w:r w:rsidR="00784FE9">
        <w:t>)</w:t>
      </w:r>
    </w:p>
    <w:p w14:paraId="58FE9D15" w14:textId="39DDB08E" w:rsidR="00512828" w:rsidRDefault="00512828" w:rsidP="00913FD0">
      <w:pPr>
        <w:pStyle w:val="BodyText1"/>
        <w:numPr>
          <w:ilvl w:val="0"/>
          <w:numId w:val="10"/>
        </w:numPr>
      </w:pPr>
      <w:r>
        <w:t>Victoria University</w:t>
      </w:r>
      <w:r w:rsidR="00784FE9">
        <w:t xml:space="preserve"> (</w:t>
      </w:r>
      <w:r w:rsidR="00784FE9">
        <w:rPr>
          <w:b/>
          <w:bCs/>
        </w:rPr>
        <w:t>VU</w:t>
      </w:r>
      <w:r w:rsidR="00784FE9">
        <w:t>)</w:t>
      </w:r>
    </w:p>
    <w:p w14:paraId="3ADD0C4A" w14:textId="772C5ACB" w:rsidR="00512828" w:rsidRDefault="00512828" w:rsidP="00913FD0">
      <w:pPr>
        <w:pStyle w:val="BodyText1"/>
        <w:numPr>
          <w:ilvl w:val="0"/>
          <w:numId w:val="10"/>
        </w:numPr>
      </w:pPr>
      <w:r>
        <w:t xml:space="preserve">RMIT University </w:t>
      </w:r>
      <w:r w:rsidR="00784FE9">
        <w:t>(</w:t>
      </w:r>
      <w:r w:rsidR="00784FE9">
        <w:rPr>
          <w:b/>
          <w:bCs/>
        </w:rPr>
        <w:t>RMIT</w:t>
      </w:r>
      <w:r w:rsidR="00784FE9">
        <w:t>)</w:t>
      </w:r>
    </w:p>
    <w:p w14:paraId="4D2D4EAB" w14:textId="3410EF20" w:rsidR="00512828" w:rsidRDefault="00512828" w:rsidP="00913FD0">
      <w:pPr>
        <w:pStyle w:val="BodyText1"/>
        <w:numPr>
          <w:ilvl w:val="0"/>
          <w:numId w:val="10"/>
        </w:numPr>
      </w:pPr>
      <w:r>
        <w:t xml:space="preserve">Swinburne University of Technology </w:t>
      </w:r>
      <w:r w:rsidR="00784FE9">
        <w:t>(</w:t>
      </w:r>
      <w:r w:rsidR="00784FE9">
        <w:rPr>
          <w:b/>
          <w:bCs/>
        </w:rPr>
        <w:t>Swinburne</w:t>
      </w:r>
      <w:r w:rsidR="00784FE9">
        <w:t>)</w:t>
      </w:r>
    </w:p>
    <w:p w14:paraId="5E2FE384" w14:textId="08B274F2" w:rsidR="00512828" w:rsidRDefault="00512828" w:rsidP="00913FD0">
      <w:pPr>
        <w:pStyle w:val="BodyText1"/>
        <w:numPr>
          <w:ilvl w:val="0"/>
          <w:numId w:val="10"/>
        </w:numPr>
      </w:pPr>
      <w:r>
        <w:t>Federation University</w:t>
      </w:r>
      <w:r w:rsidR="002308F6">
        <w:t xml:space="preserve"> of Australia</w:t>
      </w:r>
      <w:r w:rsidR="00784FE9">
        <w:t xml:space="preserve"> (</w:t>
      </w:r>
      <w:r w:rsidR="00784FE9">
        <w:rPr>
          <w:b/>
          <w:bCs/>
        </w:rPr>
        <w:t>Federation</w:t>
      </w:r>
      <w:r w:rsidR="00784FE9">
        <w:t>)</w:t>
      </w:r>
      <w:r>
        <w:t xml:space="preserve"> </w:t>
      </w:r>
    </w:p>
    <w:p w14:paraId="513FF0E5" w14:textId="77777777" w:rsidR="00DF5B8B" w:rsidRDefault="00DF5B8B" w:rsidP="0023739D">
      <w:pPr>
        <w:pStyle w:val="BodyText1"/>
        <w:numPr>
          <w:ilvl w:val="0"/>
          <w:numId w:val="9"/>
        </w:numPr>
        <w:sectPr w:rsidR="00DF5B8B" w:rsidSect="00DF5B8B">
          <w:type w:val="continuous"/>
          <w:pgSz w:w="11900" w:h="16840"/>
          <w:pgMar w:top="1276" w:right="1552" w:bottom="1276" w:left="1560" w:header="708" w:footer="580" w:gutter="0"/>
          <w:cols w:num="2" w:space="708"/>
          <w:docGrid w:linePitch="360"/>
        </w:sectPr>
      </w:pPr>
    </w:p>
    <w:p w14:paraId="51828C48" w14:textId="220A7917" w:rsidR="00A90641" w:rsidRDefault="00A90641" w:rsidP="0023739D">
      <w:pPr>
        <w:pStyle w:val="BodyText1"/>
        <w:numPr>
          <w:ilvl w:val="0"/>
          <w:numId w:val="9"/>
        </w:numPr>
      </w:pPr>
      <w:r>
        <w:t xml:space="preserve">This report </w:t>
      </w:r>
      <w:r w:rsidR="00512828">
        <w:t>outlines the findings from an examination of the</w:t>
      </w:r>
      <w:r w:rsidR="00131EAE">
        <w:t>se</w:t>
      </w:r>
      <w:r w:rsidR="00512828">
        <w:t xml:space="preserve"> universities</w:t>
      </w:r>
      <w:r w:rsidR="001D106E">
        <w:t>’</w:t>
      </w:r>
      <w:r w:rsidR="00512828">
        <w:t xml:space="preserve"> privacy and information security policies. </w:t>
      </w:r>
      <w:r w:rsidR="008757C8">
        <w:t>OVIC</w:t>
      </w:r>
      <w:r w:rsidR="00131EAE">
        <w:t xml:space="preserve"> conducted a survey of the universities to collect relevant policy and procedure documents, and</w:t>
      </w:r>
      <w:r w:rsidR="008757C8">
        <w:t xml:space="preserve"> assessed the</w:t>
      </w:r>
      <w:r w:rsidR="00131EAE">
        <w:t>se</w:t>
      </w:r>
      <w:r w:rsidR="008757C8">
        <w:t xml:space="preserve"> against IPP 4, which requires public sector organisations to </w:t>
      </w:r>
      <w:r w:rsidR="00131EAE">
        <w:t>take reasonable steps to protect the</w:t>
      </w:r>
      <w:r w:rsidR="008757C8">
        <w:t xml:space="preserve"> personal information they hold.  </w:t>
      </w:r>
    </w:p>
    <w:p w14:paraId="3E855D19" w14:textId="3A4964CB" w:rsidR="00B72292" w:rsidRPr="00D7454E" w:rsidRDefault="002415F6" w:rsidP="00D7454E">
      <w:pPr>
        <w:pStyle w:val="Level3Heading"/>
        <w:spacing w:before="120" w:line="360" w:lineRule="auto"/>
        <w:rPr>
          <w:szCs w:val="24"/>
        </w:rPr>
      </w:pPr>
      <w:bookmarkStart w:id="7" w:name="_Toc75517849"/>
      <w:r w:rsidRPr="00D7454E">
        <w:rPr>
          <w:szCs w:val="24"/>
        </w:rPr>
        <w:t xml:space="preserve">The requirement to secure personal information under IPP </w:t>
      </w:r>
      <w:proofErr w:type="gramStart"/>
      <w:r w:rsidRPr="00D7454E">
        <w:rPr>
          <w:szCs w:val="24"/>
        </w:rPr>
        <w:t>4</w:t>
      </w:r>
      <w:bookmarkEnd w:id="7"/>
      <w:proofErr w:type="gramEnd"/>
    </w:p>
    <w:p w14:paraId="7290180D" w14:textId="3F96C3B2" w:rsidR="002415F6" w:rsidRDefault="002415F6" w:rsidP="00B72292">
      <w:pPr>
        <w:pStyle w:val="BodyText1"/>
        <w:numPr>
          <w:ilvl w:val="0"/>
          <w:numId w:val="9"/>
        </w:numPr>
      </w:pPr>
      <w:r w:rsidRPr="002415F6">
        <w:t>Personal information is defined in section 3 of the PDP Act</w:t>
      </w:r>
      <w:r w:rsidR="00AA10F6">
        <w:t xml:space="preserve">, when an organisation </w:t>
      </w:r>
      <w:r>
        <w:t>captures</w:t>
      </w:r>
      <w:r w:rsidRPr="002415F6">
        <w:t xml:space="preserve"> information about an individual who is identified or whose identity is reasonably ascertainable.</w:t>
      </w:r>
    </w:p>
    <w:p w14:paraId="143D9427" w14:textId="6C37F4E8" w:rsidR="001D106E" w:rsidRDefault="001D106E" w:rsidP="001D106E">
      <w:pPr>
        <w:pStyle w:val="BodyText1"/>
        <w:numPr>
          <w:ilvl w:val="0"/>
          <w:numId w:val="9"/>
        </w:numPr>
      </w:pPr>
      <w:r>
        <w:t xml:space="preserve">Where a </w:t>
      </w:r>
      <w:r w:rsidR="00AA10F6">
        <w:t xml:space="preserve">Victorian </w:t>
      </w:r>
      <w:r>
        <w:t xml:space="preserve">university collects, holds, </w:t>
      </w:r>
      <w:proofErr w:type="gramStart"/>
      <w:r>
        <w:t>uses</w:t>
      </w:r>
      <w:proofErr w:type="gramEnd"/>
      <w:r>
        <w:t xml:space="preserve"> or discloses personal information, it must comply with the 10 Information Privacy Principles (</w:t>
      </w:r>
      <w:r w:rsidRPr="00512828">
        <w:rPr>
          <w:b/>
          <w:bCs/>
        </w:rPr>
        <w:t>IPPs</w:t>
      </w:r>
      <w:r>
        <w:t xml:space="preserve">) listed in Schedule 1 of the PDP Act. The IPPs set out the minimum standard for how the Victorian public sector should handle personal information, from the time it is first collected until it is disposed of when no longer required. </w:t>
      </w:r>
    </w:p>
    <w:p w14:paraId="1D516080" w14:textId="2CAC8C53" w:rsidR="00B72292" w:rsidRDefault="00B72292" w:rsidP="00610A2E">
      <w:pPr>
        <w:pStyle w:val="BodyText1"/>
        <w:numPr>
          <w:ilvl w:val="0"/>
          <w:numId w:val="9"/>
        </w:numPr>
      </w:pPr>
      <w:r>
        <w:t>IPP 4 contains two distinct obligations:</w:t>
      </w:r>
    </w:p>
    <w:p w14:paraId="6BDFCF3F" w14:textId="0EC81275" w:rsidR="00B72292" w:rsidRPr="00C6726F" w:rsidRDefault="00B72292" w:rsidP="00B83B18">
      <w:pPr>
        <w:pStyle w:val="BodyText1"/>
        <w:numPr>
          <w:ilvl w:val="0"/>
          <w:numId w:val="0"/>
        </w:numPr>
        <w:ind w:left="720"/>
      </w:pPr>
      <w:r w:rsidRPr="00B83B18">
        <w:rPr>
          <w:b/>
          <w:bCs/>
        </w:rPr>
        <w:t>IPP 4.1</w:t>
      </w:r>
      <w:r w:rsidRPr="00C6726F">
        <w:t xml:space="preserve"> – An organisation must take reasonable steps to protect the personal information it holds from misuse and loss and from unauthorised access, </w:t>
      </w:r>
      <w:proofErr w:type="gramStart"/>
      <w:r w:rsidRPr="00C6726F">
        <w:t>modification</w:t>
      </w:r>
      <w:proofErr w:type="gramEnd"/>
      <w:r w:rsidRPr="00C6726F">
        <w:t xml:space="preserve"> or disclosure.</w:t>
      </w:r>
    </w:p>
    <w:p w14:paraId="6070D523" w14:textId="18D4C538" w:rsidR="00B72292" w:rsidRDefault="00B72292" w:rsidP="00B83B18">
      <w:pPr>
        <w:pStyle w:val="BodyText1"/>
        <w:numPr>
          <w:ilvl w:val="0"/>
          <w:numId w:val="0"/>
        </w:numPr>
        <w:ind w:left="720"/>
      </w:pPr>
      <w:r w:rsidRPr="00B83B18">
        <w:rPr>
          <w:b/>
          <w:bCs/>
        </w:rPr>
        <w:lastRenderedPageBreak/>
        <w:t>IPP 4.2</w:t>
      </w:r>
      <w:r w:rsidRPr="00C6726F">
        <w:t xml:space="preserve"> –</w:t>
      </w:r>
      <w:r>
        <w:t xml:space="preserve"> An organisation must take reasonable steps to destroy or permanently de-identify personal information if it is no longer needed for any purpose.</w:t>
      </w:r>
    </w:p>
    <w:p w14:paraId="7F9F95FA" w14:textId="15DE5EB4" w:rsidR="00EA213A" w:rsidRDefault="004C367F" w:rsidP="00EA213A">
      <w:pPr>
        <w:pStyle w:val="BodyText1"/>
        <w:numPr>
          <w:ilvl w:val="0"/>
          <w:numId w:val="9"/>
        </w:numPr>
      </w:pPr>
      <w:r>
        <w:t xml:space="preserve">IPP 4.1 is underpinned by a risk-based approach </w:t>
      </w:r>
      <w:r w:rsidR="00432402">
        <w:t>to protecting personal information</w:t>
      </w:r>
      <w:r w:rsidR="00EA213A">
        <w:t xml:space="preserve">. </w:t>
      </w:r>
      <w:r w:rsidR="00AA10F6">
        <w:t>R</w:t>
      </w:r>
      <w:r w:rsidR="00EA213A">
        <w:t xml:space="preserve">isk-based </w:t>
      </w:r>
      <w:r>
        <w:t>means taking</w:t>
      </w:r>
      <w:r w:rsidR="00432402">
        <w:t xml:space="preserve"> reasonable and proportionate steps in response to identified data security risks. </w:t>
      </w:r>
      <w:r w:rsidR="00B72292">
        <w:t xml:space="preserve">Security risks can exist across different areas, such as governance, information, personnel, ICT, and physical security. </w:t>
      </w:r>
    </w:p>
    <w:p w14:paraId="1F1C7728" w14:textId="77777777" w:rsidR="00840FA7" w:rsidRDefault="00840FA7" w:rsidP="00C724A9">
      <w:pPr>
        <w:pStyle w:val="Level2Heading"/>
      </w:pPr>
      <w:bookmarkStart w:id="8" w:name="_Toc75517850"/>
      <w:r>
        <w:t>OVIC’s examination</w:t>
      </w:r>
      <w:bookmarkEnd w:id="8"/>
      <w:r>
        <w:t xml:space="preserve"> </w:t>
      </w:r>
    </w:p>
    <w:p w14:paraId="4FC667D3" w14:textId="77777777" w:rsidR="004E1E90" w:rsidRPr="00D7454E" w:rsidRDefault="004E1E90" w:rsidP="004E1E90">
      <w:pPr>
        <w:pStyle w:val="Level3Heading"/>
        <w:spacing w:before="120" w:line="360" w:lineRule="auto"/>
        <w:rPr>
          <w:szCs w:val="24"/>
        </w:rPr>
      </w:pPr>
      <w:bookmarkStart w:id="9" w:name="_Toc75517851"/>
      <w:r w:rsidRPr="00D7454E">
        <w:rPr>
          <w:szCs w:val="24"/>
        </w:rPr>
        <w:t xml:space="preserve">Reasons for examining Victorian </w:t>
      </w:r>
      <w:proofErr w:type="gramStart"/>
      <w:r w:rsidRPr="00D7454E">
        <w:rPr>
          <w:szCs w:val="24"/>
        </w:rPr>
        <w:t>universities</w:t>
      </w:r>
      <w:bookmarkEnd w:id="9"/>
      <w:proofErr w:type="gramEnd"/>
      <w:r w:rsidRPr="00D7454E">
        <w:rPr>
          <w:szCs w:val="24"/>
        </w:rPr>
        <w:t xml:space="preserve"> </w:t>
      </w:r>
    </w:p>
    <w:p w14:paraId="0989DA81" w14:textId="77777777" w:rsidR="004E1E90" w:rsidRDefault="004E1E90" w:rsidP="004E1E90">
      <w:pPr>
        <w:pStyle w:val="BodyText1"/>
        <w:numPr>
          <w:ilvl w:val="0"/>
          <w:numId w:val="9"/>
        </w:numPr>
      </w:pPr>
      <w:r>
        <w:t>OVIC chose to examine the data security practices of universities because:</w:t>
      </w:r>
    </w:p>
    <w:p w14:paraId="089039F8" w14:textId="66A70C03" w:rsidR="004E1E90" w:rsidRPr="005E7CE9" w:rsidRDefault="004E1E90" w:rsidP="00610A2E">
      <w:pPr>
        <w:pStyle w:val="BodyText1"/>
        <w:numPr>
          <w:ilvl w:val="1"/>
          <w:numId w:val="9"/>
        </w:numPr>
        <w:ind w:left="811" w:hanging="357"/>
      </w:pPr>
      <w:r>
        <w:t xml:space="preserve">Universities hold the personal information of many thousands of Victorians, including sensitive personal information and other </w:t>
      </w:r>
      <w:r w:rsidRPr="005E7CE9">
        <w:t>types of personal information that could harm individuals</w:t>
      </w:r>
      <w:r w:rsidR="00AA10F6">
        <w:t xml:space="preserve"> if misused or</w:t>
      </w:r>
      <w:r w:rsidRPr="005E7CE9">
        <w:t xml:space="preserve"> in the event of a data breach.</w:t>
      </w:r>
    </w:p>
    <w:p w14:paraId="200C8DED" w14:textId="77777777" w:rsidR="004E1E90" w:rsidRPr="00CA0089" w:rsidRDefault="004E1E90" w:rsidP="00610A2E">
      <w:pPr>
        <w:pStyle w:val="BodyText1"/>
        <w:numPr>
          <w:ilvl w:val="1"/>
          <w:numId w:val="9"/>
        </w:numPr>
        <w:ind w:left="811" w:hanging="357"/>
      </w:pPr>
      <w:r w:rsidRPr="005E7CE9">
        <w:t xml:space="preserve">‘The protection of personal information in </w:t>
      </w:r>
      <w:r w:rsidRPr="00CA0089">
        <w:t>the Victorian higher education sector’ is one of OVIC’s regulatory priorities for 2020-2021.</w:t>
      </w:r>
    </w:p>
    <w:p w14:paraId="1CAD84BB" w14:textId="3184BA04" w:rsidR="004E1E90" w:rsidRPr="00CA0089" w:rsidRDefault="004E1E90" w:rsidP="00610A2E">
      <w:pPr>
        <w:pStyle w:val="BodyText1"/>
        <w:numPr>
          <w:ilvl w:val="1"/>
          <w:numId w:val="9"/>
        </w:numPr>
        <w:ind w:left="811" w:hanging="357"/>
      </w:pPr>
      <w:r>
        <w:t>A number of h</w:t>
      </w:r>
      <w:r w:rsidRPr="00CA0089">
        <w:t xml:space="preserve">igh-profile security breaches at </w:t>
      </w:r>
      <w:r>
        <w:t xml:space="preserve">Australian </w:t>
      </w:r>
      <w:r w:rsidRPr="00CA0089">
        <w:t>universities</w:t>
      </w:r>
      <w:r>
        <w:t xml:space="preserve"> have occurred in recent years</w:t>
      </w:r>
      <w:r w:rsidR="00AA10F6">
        <w:t>,</w:t>
      </w:r>
      <w:r>
        <w:t xml:space="preserve"> and the threat of cyber security attacks against the higher education sector is thought to be increasing.</w:t>
      </w:r>
      <w:r>
        <w:rPr>
          <w:rStyle w:val="FootnoteReference"/>
        </w:rPr>
        <w:footnoteReference w:id="3"/>
      </w:r>
    </w:p>
    <w:p w14:paraId="47C9C649" w14:textId="5919D269" w:rsidR="004E1E90" w:rsidRPr="007B2454" w:rsidRDefault="004E1E90" w:rsidP="00610A2E">
      <w:pPr>
        <w:pStyle w:val="BodyText1"/>
        <w:numPr>
          <w:ilvl w:val="1"/>
          <w:numId w:val="9"/>
        </w:numPr>
        <w:ind w:left="811" w:hanging="357"/>
      </w:pPr>
      <w:r w:rsidRPr="007B2454">
        <w:t>The Victorian Protective Data Security Framework (</w:t>
      </w:r>
      <w:r w:rsidRPr="007B2454">
        <w:rPr>
          <w:b/>
          <w:bCs/>
        </w:rPr>
        <w:t>VPDSF</w:t>
      </w:r>
      <w:r w:rsidRPr="007B2454">
        <w:t xml:space="preserve">) and accompanying Victorian Protective Data Security </w:t>
      </w:r>
      <w:r w:rsidRPr="007B2454">
        <w:rPr>
          <w:rFonts w:asciiTheme="minorHAnsi" w:hAnsiTheme="minorHAnsi" w:cstheme="minorHAnsi"/>
          <w:color w:val="auto"/>
        </w:rPr>
        <w:t>Standards (</w:t>
      </w:r>
      <w:r w:rsidRPr="007B2454">
        <w:rPr>
          <w:rFonts w:asciiTheme="minorHAnsi" w:hAnsiTheme="minorHAnsi" w:cstheme="minorHAnsi"/>
          <w:b/>
          <w:bCs/>
          <w:color w:val="auto"/>
        </w:rPr>
        <w:t>the Standards</w:t>
      </w:r>
      <w:r w:rsidRPr="007B2454">
        <w:rPr>
          <w:rFonts w:asciiTheme="minorHAnsi" w:hAnsiTheme="minorHAnsi" w:cstheme="minorHAnsi"/>
          <w:color w:val="auto"/>
        </w:rPr>
        <w:t xml:space="preserve">), issued under Part 4 of the PDP Act </w:t>
      </w:r>
      <w:r w:rsidRPr="007B2454">
        <w:rPr>
          <w:rFonts w:asciiTheme="minorHAnsi" w:hAnsiTheme="minorHAnsi" w:cstheme="minorHAnsi"/>
          <w:color w:val="auto"/>
          <w:shd w:val="clear" w:color="auto" w:fill="FFFFFF"/>
        </w:rPr>
        <w:t xml:space="preserve">provide direction to Victorian public sector organisations on their data security obligations. Under the VPDSF organisations are required to submit a Protective Data Security Plan </w:t>
      </w:r>
      <w:r w:rsidR="00AA10F6" w:rsidRPr="007B2454">
        <w:rPr>
          <w:rFonts w:asciiTheme="minorHAnsi" w:hAnsiTheme="minorHAnsi" w:cstheme="minorHAnsi"/>
          <w:color w:val="auto"/>
          <w:shd w:val="clear" w:color="auto" w:fill="FFFFFF"/>
        </w:rPr>
        <w:t>t</w:t>
      </w:r>
      <w:r w:rsidR="00AA10F6">
        <w:rPr>
          <w:rFonts w:asciiTheme="minorHAnsi" w:hAnsiTheme="minorHAnsi" w:cstheme="minorHAnsi"/>
          <w:color w:val="auto"/>
          <w:shd w:val="clear" w:color="auto" w:fill="FFFFFF"/>
        </w:rPr>
        <w:t>o</w:t>
      </w:r>
      <w:r w:rsidR="00AA10F6" w:rsidRPr="007B2454">
        <w:rPr>
          <w:rFonts w:asciiTheme="minorHAnsi" w:hAnsiTheme="minorHAnsi" w:cstheme="minorHAnsi"/>
          <w:color w:val="auto"/>
          <w:shd w:val="clear" w:color="auto" w:fill="FFFFFF"/>
        </w:rPr>
        <w:t xml:space="preserve"> </w:t>
      </w:r>
      <w:r w:rsidR="00AA10F6">
        <w:rPr>
          <w:rFonts w:asciiTheme="minorHAnsi" w:hAnsiTheme="minorHAnsi" w:cstheme="minorHAnsi"/>
          <w:color w:val="auto"/>
          <w:shd w:val="clear" w:color="auto" w:fill="FFFFFF"/>
        </w:rPr>
        <w:t xml:space="preserve">assist them to develop better security, and to </w:t>
      </w:r>
      <w:r w:rsidRPr="007B2454">
        <w:rPr>
          <w:rFonts w:asciiTheme="minorHAnsi" w:hAnsiTheme="minorHAnsi" w:cstheme="minorHAnsi"/>
          <w:color w:val="auto"/>
          <w:shd w:val="clear" w:color="auto" w:fill="FFFFFF"/>
        </w:rPr>
        <w:t>advise OVIC of the implementation status of the Standards</w:t>
      </w:r>
      <w:r w:rsidRPr="007B2454">
        <w:rPr>
          <w:rFonts w:asciiTheme="minorHAnsi" w:hAnsiTheme="minorHAnsi" w:cstheme="minorHAnsi"/>
          <w:color w:val="auto"/>
        </w:rPr>
        <w:t xml:space="preserve"> </w:t>
      </w:r>
      <w:r w:rsidRPr="007B2454">
        <w:rPr>
          <w:rFonts w:asciiTheme="minorHAnsi" w:hAnsiTheme="minorHAnsi" w:cstheme="minorHAnsi"/>
          <w:color w:val="auto"/>
          <w:shd w:val="clear" w:color="auto" w:fill="FFFFFF"/>
        </w:rPr>
        <w:t xml:space="preserve">and their </w:t>
      </w:r>
      <w:r>
        <w:rPr>
          <w:rFonts w:asciiTheme="minorHAnsi" w:hAnsiTheme="minorHAnsi" w:cstheme="minorHAnsi"/>
          <w:color w:val="auto"/>
          <w:shd w:val="clear" w:color="auto" w:fill="FFFFFF"/>
        </w:rPr>
        <w:t xml:space="preserve">organisation’s </w:t>
      </w:r>
      <w:r w:rsidRPr="007B2454">
        <w:rPr>
          <w:rFonts w:asciiTheme="minorHAnsi" w:hAnsiTheme="minorHAnsi" w:cstheme="minorHAnsi"/>
          <w:color w:val="auto"/>
          <w:shd w:val="clear" w:color="auto" w:fill="FFFFFF"/>
        </w:rPr>
        <w:t>maturity level</w:t>
      </w:r>
      <w:r w:rsidRPr="007B2454">
        <w:rPr>
          <w:rFonts w:asciiTheme="minorHAnsi" w:hAnsiTheme="minorHAnsi" w:cstheme="minorHAnsi"/>
          <w:color w:val="auto"/>
        </w:rPr>
        <w:t>. T</w:t>
      </w:r>
      <w:r w:rsidRPr="007B2454">
        <w:t xml:space="preserve">he VPDSF does not </w:t>
      </w:r>
      <w:r>
        <w:t xml:space="preserve">generally </w:t>
      </w:r>
      <w:r w:rsidRPr="007B2454">
        <w:t xml:space="preserve">apply to </w:t>
      </w:r>
      <w:r w:rsidRPr="007B2454">
        <w:rPr>
          <w:rFonts w:asciiTheme="minorHAnsi" w:hAnsiTheme="minorHAnsi" w:cstheme="minorHAnsi"/>
          <w:color w:val="auto"/>
        </w:rPr>
        <w:t>Victorian u</w:t>
      </w:r>
      <w:r w:rsidRPr="007B2454">
        <w:t>niversities</w:t>
      </w:r>
      <w:r w:rsidR="00AA10F6">
        <w:t>,</w:t>
      </w:r>
      <w:r w:rsidRPr="007B2454">
        <w:t xml:space="preserve"> so OVIC does not receive regular reporting about the status of </w:t>
      </w:r>
      <w:r>
        <w:t xml:space="preserve">universities’ </w:t>
      </w:r>
      <w:r w:rsidRPr="007B2454">
        <w:t xml:space="preserve">security maturity </w:t>
      </w:r>
      <w:r>
        <w:t>as it does</w:t>
      </w:r>
      <w:r w:rsidRPr="007B2454">
        <w:t xml:space="preserve"> for other VPS organisations that are covered by Part 4 (Data Protection) of the PDP Act.</w:t>
      </w:r>
      <w:r>
        <w:rPr>
          <w:rStyle w:val="FootnoteReference"/>
        </w:rPr>
        <w:footnoteReference w:id="4"/>
      </w:r>
      <w:r w:rsidRPr="007B2454">
        <w:t xml:space="preserve"> </w:t>
      </w:r>
    </w:p>
    <w:p w14:paraId="22C8BBE2" w14:textId="73230627" w:rsidR="004E1E90" w:rsidRDefault="004E1E90" w:rsidP="00610A2E">
      <w:pPr>
        <w:pStyle w:val="BodyText1"/>
        <w:numPr>
          <w:ilvl w:val="1"/>
          <w:numId w:val="9"/>
        </w:numPr>
        <w:ind w:left="811" w:hanging="357"/>
      </w:pPr>
      <w:r>
        <w:t xml:space="preserve">Universities are complex organisations with many different but interlinked business areas, involving teaching, </w:t>
      </w:r>
      <w:proofErr w:type="gramStart"/>
      <w:r>
        <w:t>research</w:t>
      </w:r>
      <w:proofErr w:type="gramEnd"/>
      <w:r>
        <w:t xml:space="preserve"> and other functions. It can be challenging for a university to implement effective data governance, especially where the business units operate separately (for example, where they use different technology and systems). </w:t>
      </w:r>
    </w:p>
    <w:p w14:paraId="37C3D3FD" w14:textId="5438B8F5" w:rsidR="00B72292" w:rsidRPr="00D7454E" w:rsidRDefault="00B72292" w:rsidP="0023739D">
      <w:pPr>
        <w:pStyle w:val="Level3Heading"/>
        <w:spacing w:before="120" w:line="360" w:lineRule="auto"/>
        <w:rPr>
          <w:szCs w:val="24"/>
        </w:rPr>
      </w:pPr>
      <w:bookmarkStart w:id="10" w:name="_Toc75517852"/>
      <w:r w:rsidRPr="00D7454E">
        <w:rPr>
          <w:szCs w:val="24"/>
        </w:rPr>
        <w:lastRenderedPageBreak/>
        <w:t>Scope of the examination</w:t>
      </w:r>
      <w:bookmarkEnd w:id="10"/>
    </w:p>
    <w:p w14:paraId="21957301" w14:textId="31805C31" w:rsidR="006A1155" w:rsidRDefault="00BC4AA9" w:rsidP="00B72292">
      <w:pPr>
        <w:pStyle w:val="BodyText1"/>
        <w:numPr>
          <w:ilvl w:val="0"/>
          <w:numId w:val="9"/>
        </w:numPr>
      </w:pPr>
      <w:r>
        <w:t xml:space="preserve">OVIC </w:t>
      </w:r>
      <w:r w:rsidR="001D106E">
        <w:t>examined</w:t>
      </w:r>
      <w:r w:rsidR="004C367F">
        <w:t xml:space="preserve"> Victorian universities</w:t>
      </w:r>
      <w:r w:rsidR="00131EAE">
        <w:t>’</w:t>
      </w:r>
      <w:r w:rsidR="006A1155">
        <w:t>:</w:t>
      </w:r>
    </w:p>
    <w:p w14:paraId="2103B1BF" w14:textId="44A00C0A" w:rsidR="001D106E" w:rsidRDefault="001D106E" w:rsidP="00610A2E">
      <w:pPr>
        <w:pStyle w:val="BodyText1"/>
        <w:numPr>
          <w:ilvl w:val="1"/>
          <w:numId w:val="9"/>
        </w:numPr>
        <w:ind w:left="811" w:hanging="357"/>
      </w:pPr>
      <w:r>
        <w:t>privacy and information security policies and procedures</w:t>
      </w:r>
    </w:p>
    <w:p w14:paraId="43FE94B6" w14:textId="5A5C7B6E" w:rsidR="006A1155" w:rsidRDefault="004C367F" w:rsidP="00610A2E">
      <w:pPr>
        <w:pStyle w:val="BodyText1"/>
        <w:numPr>
          <w:ilvl w:val="1"/>
          <w:numId w:val="9"/>
        </w:numPr>
        <w:ind w:left="811" w:hanging="357"/>
      </w:pPr>
      <w:r>
        <w:t>methods of</w:t>
      </w:r>
      <w:r w:rsidR="001D106E">
        <w:t xml:space="preserve"> </w:t>
      </w:r>
      <w:r w:rsidR="006A1155">
        <w:t>identify</w:t>
      </w:r>
      <w:r>
        <w:t>ing</w:t>
      </w:r>
      <w:r w:rsidR="006A1155">
        <w:t xml:space="preserve"> and record</w:t>
      </w:r>
      <w:r>
        <w:t>ing</w:t>
      </w:r>
      <w:r w:rsidR="006A1155">
        <w:t xml:space="preserve"> holdings of personal </w:t>
      </w:r>
      <w:proofErr w:type="gramStart"/>
      <w:r w:rsidR="006A1155">
        <w:t>information</w:t>
      </w:r>
      <w:proofErr w:type="gramEnd"/>
      <w:r w:rsidR="006A1155">
        <w:t xml:space="preserve"> </w:t>
      </w:r>
    </w:p>
    <w:p w14:paraId="03F13A94" w14:textId="1E71273A" w:rsidR="00BC4AA9" w:rsidRDefault="004C367F" w:rsidP="00610A2E">
      <w:pPr>
        <w:pStyle w:val="BodyText1"/>
        <w:numPr>
          <w:ilvl w:val="1"/>
          <w:numId w:val="9"/>
        </w:numPr>
        <w:ind w:left="811" w:hanging="357"/>
      </w:pPr>
      <w:r>
        <w:t>a</w:t>
      </w:r>
      <w:r w:rsidR="00F33DEC">
        <w:t>pproach</w:t>
      </w:r>
      <w:r>
        <w:t>es</w:t>
      </w:r>
      <w:r w:rsidR="00F33DEC">
        <w:t xml:space="preserve"> to </w:t>
      </w:r>
      <w:r w:rsidR="006A1155">
        <w:t>assess</w:t>
      </w:r>
      <w:r w:rsidR="00F33DEC">
        <w:t>ing</w:t>
      </w:r>
      <w:r w:rsidR="006A1155">
        <w:t xml:space="preserve"> the security value or nature of personal </w:t>
      </w:r>
      <w:proofErr w:type="gramStart"/>
      <w:r w:rsidR="00F33DEC">
        <w:t>information</w:t>
      </w:r>
      <w:proofErr w:type="gramEnd"/>
      <w:r w:rsidR="006A1155">
        <w:t xml:space="preserve"> </w:t>
      </w:r>
    </w:p>
    <w:p w14:paraId="338DF30F" w14:textId="3DA75E17" w:rsidR="006A1155" w:rsidRDefault="004C367F" w:rsidP="00610A2E">
      <w:pPr>
        <w:pStyle w:val="BodyText1"/>
        <w:numPr>
          <w:ilvl w:val="1"/>
          <w:numId w:val="9"/>
        </w:numPr>
        <w:ind w:left="811" w:hanging="357"/>
      </w:pPr>
      <w:r>
        <w:t>approaches</w:t>
      </w:r>
      <w:r w:rsidR="00F33DEC">
        <w:t xml:space="preserve"> to risk management with respect to personal information security risks.</w:t>
      </w:r>
      <w:r w:rsidR="006A1155">
        <w:t xml:space="preserve"> </w:t>
      </w:r>
    </w:p>
    <w:p w14:paraId="486F7DA2" w14:textId="027E6117" w:rsidR="0023739D" w:rsidRDefault="0023739D" w:rsidP="00EA213A">
      <w:pPr>
        <w:pStyle w:val="BodyText1"/>
        <w:numPr>
          <w:ilvl w:val="0"/>
          <w:numId w:val="9"/>
        </w:numPr>
      </w:pPr>
      <w:r>
        <w:t xml:space="preserve">In this </w:t>
      </w:r>
      <w:r w:rsidRPr="00B72292">
        <w:t xml:space="preserve">examination, OVIC </w:t>
      </w:r>
      <w:r>
        <w:t xml:space="preserve">reviewed </w:t>
      </w:r>
      <w:r w:rsidR="00021EFF">
        <w:t xml:space="preserve">the </w:t>
      </w:r>
      <w:r>
        <w:t>universities</w:t>
      </w:r>
      <w:r w:rsidR="00F37141">
        <w:t>’</w:t>
      </w:r>
      <w:r>
        <w:t xml:space="preserve"> risk assessment policies but did not review any risk assessment outcomes</w:t>
      </w:r>
      <w:r w:rsidR="004C367F">
        <w:t xml:space="preserve"> or evaluate the security controls adopted by universities for any particular data sets</w:t>
      </w:r>
      <w:r>
        <w:t xml:space="preserve">. Further, it was outside the scope of this examination </w:t>
      </w:r>
      <w:r w:rsidRPr="00B72292">
        <w:t>to verify whether a university adhered to its own policy or procedure</w:t>
      </w:r>
      <w:r>
        <w:t>.</w:t>
      </w:r>
      <w:r w:rsidRPr="00B72292">
        <w:t xml:space="preserve"> </w:t>
      </w:r>
    </w:p>
    <w:p w14:paraId="4D94E466" w14:textId="77777777" w:rsidR="006A1155" w:rsidRPr="00EA213A" w:rsidRDefault="006A1155" w:rsidP="00EA213A">
      <w:pPr>
        <w:pStyle w:val="Level3Heading"/>
        <w:spacing w:before="120" w:line="360" w:lineRule="auto"/>
        <w:rPr>
          <w:b/>
          <w:bCs/>
          <w:sz w:val="26"/>
          <w:szCs w:val="30"/>
        </w:rPr>
      </w:pPr>
      <w:bookmarkStart w:id="11" w:name="_Toc75517853"/>
      <w:r w:rsidRPr="00D7454E">
        <w:rPr>
          <w:szCs w:val="24"/>
        </w:rPr>
        <w:t>How the examination was conducted</w:t>
      </w:r>
      <w:bookmarkEnd w:id="11"/>
      <w:r w:rsidRPr="00EA213A">
        <w:rPr>
          <w:b/>
          <w:bCs/>
          <w:sz w:val="26"/>
          <w:szCs w:val="30"/>
        </w:rPr>
        <w:t xml:space="preserve"> </w:t>
      </w:r>
    </w:p>
    <w:p w14:paraId="29CE8CFA" w14:textId="17B22717" w:rsidR="006A1155" w:rsidRDefault="006A1155" w:rsidP="006A1155">
      <w:pPr>
        <w:pStyle w:val="BodyText1"/>
        <w:numPr>
          <w:ilvl w:val="0"/>
          <w:numId w:val="9"/>
        </w:numPr>
      </w:pPr>
      <w:r>
        <w:t xml:space="preserve">In October 2020, the Privacy and Data Protection </w:t>
      </w:r>
      <w:r w:rsidR="008421E8">
        <w:t xml:space="preserve">Deputy </w:t>
      </w:r>
      <w:r>
        <w:t xml:space="preserve">Commissioner wrote to the Vice Chancellors of the </w:t>
      </w:r>
      <w:r w:rsidR="004C367F">
        <w:t xml:space="preserve">Victorian </w:t>
      </w:r>
      <w:r>
        <w:t xml:space="preserve">universities to commence the examination and request </w:t>
      </w:r>
      <w:r w:rsidR="004C367F">
        <w:t>information</w:t>
      </w:r>
      <w:r>
        <w:t xml:space="preserve">. </w:t>
      </w:r>
    </w:p>
    <w:p w14:paraId="66BE8587" w14:textId="02D3CFAE" w:rsidR="00484676" w:rsidRDefault="00484676" w:rsidP="00B72292">
      <w:pPr>
        <w:pStyle w:val="BodyText1"/>
        <w:numPr>
          <w:ilvl w:val="0"/>
          <w:numId w:val="9"/>
        </w:numPr>
      </w:pPr>
      <w:r>
        <w:t>Th</w:t>
      </w:r>
      <w:r w:rsidR="006A1155">
        <w:t>e</w:t>
      </w:r>
      <w:r>
        <w:t xml:space="preserve"> information </w:t>
      </w:r>
      <w:r w:rsidR="006A1155">
        <w:t xml:space="preserve">reviewed </w:t>
      </w:r>
      <w:r w:rsidR="00CA7FBE">
        <w:t>as part of the examination</w:t>
      </w:r>
      <w:r w:rsidR="006A1155">
        <w:t xml:space="preserve"> </w:t>
      </w:r>
      <w:r>
        <w:t xml:space="preserve">was either provided by the universities in response to OVIC’s request or was available through the universities’ websites. </w:t>
      </w:r>
    </w:p>
    <w:p w14:paraId="51736FB6" w14:textId="652B01EB" w:rsidR="003A6155" w:rsidRDefault="00B72292" w:rsidP="00CA7FBE">
      <w:pPr>
        <w:pStyle w:val="BodyText1"/>
        <w:numPr>
          <w:ilvl w:val="0"/>
          <w:numId w:val="9"/>
        </w:numPr>
      </w:pPr>
      <w:r w:rsidRPr="00B72292">
        <w:t xml:space="preserve">OVIC </w:t>
      </w:r>
      <w:r w:rsidR="00021EFF">
        <w:t xml:space="preserve">developed and </w:t>
      </w:r>
      <w:r w:rsidR="003A6155">
        <w:rPr>
          <w:rFonts w:cs="Arial"/>
          <w:bCs/>
          <w:szCs w:val="21"/>
        </w:rPr>
        <w:t xml:space="preserve">applied a framework to assess the information and policy documents </w:t>
      </w:r>
      <w:r w:rsidR="006F7BAC">
        <w:rPr>
          <w:rFonts w:cs="Arial"/>
          <w:bCs/>
          <w:szCs w:val="21"/>
        </w:rPr>
        <w:t>regarding their</w:t>
      </w:r>
      <w:r w:rsidR="003A6155">
        <w:rPr>
          <w:rFonts w:cs="Arial"/>
          <w:bCs/>
          <w:szCs w:val="21"/>
        </w:rPr>
        <w:t xml:space="preserve"> support </w:t>
      </w:r>
      <w:r w:rsidR="006F7BAC">
        <w:rPr>
          <w:rFonts w:cs="Arial"/>
          <w:bCs/>
          <w:szCs w:val="21"/>
        </w:rPr>
        <w:t xml:space="preserve">for </w:t>
      </w:r>
      <w:r w:rsidR="003A6155">
        <w:rPr>
          <w:rFonts w:cs="Arial"/>
          <w:bCs/>
          <w:szCs w:val="21"/>
        </w:rPr>
        <w:t xml:space="preserve">compliance </w:t>
      </w:r>
      <w:r w:rsidR="003A6155">
        <w:t>with IPP 4.</w:t>
      </w:r>
    </w:p>
    <w:p w14:paraId="43B93025" w14:textId="56452C44" w:rsidR="00D015BB" w:rsidRPr="00D7454E" w:rsidRDefault="00EA213A" w:rsidP="00D7454E">
      <w:pPr>
        <w:pStyle w:val="Level3Heading"/>
        <w:spacing w:before="120" w:line="360" w:lineRule="auto"/>
        <w:rPr>
          <w:szCs w:val="24"/>
        </w:rPr>
      </w:pPr>
      <w:bookmarkStart w:id="12" w:name="_Toc75517854"/>
      <w:r w:rsidRPr="00D7454E">
        <w:rPr>
          <w:szCs w:val="24"/>
        </w:rPr>
        <w:t>Examination report</w:t>
      </w:r>
      <w:bookmarkEnd w:id="12"/>
    </w:p>
    <w:p w14:paraId="680B1A88" w14:textId="77777777" w:rsidR="003A6155" w:rsidRDefault="00432402" w:rsidP="00432402">
      <w:pPr>
        <w:pStyle w:val="BodyText1"/>
        <w:numPr>
          <w:ilvl w:val="0"/>
          <w:numId w:val="9"/>
        </w:numPr>
      </w:pPr>
      <w:r>
        <w:t>As well as exploring the findings of the examination, this report contains lessons for improving the protection of personal information through policies</w:t>
      </w:r>
      <w:r w:rsidR="003A6155">
        <w:t xml:space="preserve"> and</w:t>
      </w:r>
      <w:r>
        <w:t xml:space="preserve"> procedures. </w:t>
      </w:r>
    </w:p>
    <w:p w14:paraId="0EE7E903" w14:textId="5C262C71" w:rsidR="0059637B" w:rsidRPr="0059637B" w:rsidRDefault="00432402" w:rsidP="0059637B">
      <w:pPr>
        <w:pStyle w:val="BodyText1"/>
        <w:numPr>
          <w:ilvl w:val="0"/>
          <w:numId w:val="9"/>
        </w:numPr>
      </w:pPr>
      <w:r>
        <w:t xml:space="preserve">The lessons contained in this report are relevant to all Victorian public sector </w:t>
      </w:r>
      <w:r w:rsidR="008421E8">
        <w:t>organisations and</w:t>
      </w:r>
      <w:r>
        <w:t xml:space="preserve"> will be particularly useful for organisations that </w:t>
      </w:r>
      <w:r w:rsidR="00B814F3">
        <w:t xml:space="preserve">engage or employ </w:t>
      </w:r>
      <w:r>
        <w:t xml:space="preserve">a large number of personnel or hold personal information across different business areas. </w:t>
      </w:r>
    </w:p>
    <w:bookmarkEnd w:id="5"/>
    <w:p w14:paraId="0791F2C0" w14:textId="77777777" w:rsidR="009B02FD" w:rsidRDefault="009B02FD" w:rsidP="0008353E">
      <w:pPr>
        <w:rPr>
          <w:rFonts w:cs="National-Book"/>
          <w:color w:val="000000"/>
          <w:sz w:val="22"/>
          <w:szCs w:val="22"/>
        </w:rPr>
      </w:pPr>
    </w:p>
    <w:p w14:paraId="03D75E86" w14:textId="669DE981" w:rsidR="00052F6E" w:rsidRDefault="00052F6E" w:rsidP="00052F6E">
      <w:pPr>
        <w:pStyle w:val="Level1Heading"/>
        <w:spacing w:after="240"/>
      </w:pPr>
      <w:bookmarkStart w:id="13" w:name="_Toc75517855"/>
      <w:r>
        <w:lastRenderedPageBreak/>
        <w:t xml:space="preserve">What we found – </w:t>
      </w:r>
      <w:r w:rsidR="003C2367">
        <w:t>summary</w:t>
      </w:r>
      <w:bookmarkEnd w:id="13"/>
      <w:r>
        <w:t xml:space="preserve"> </w:t>
      </w:r>
    </w:p>
    <w:p w14:paraId="015478C1" w14:textId="4A5AF672" w:rsidR="00803D11" w:rsidRDefault="00803D11" w:rsidP="00734A3C">
      <w:pPr>
        <w:pStyle w:val="BodyText1"/>
        <w:numPr>
          <w:ilvl w:val="0"/>
          <w:numId w:val="9"/>
        </w:numPr>
      </w:pPr>
      <w:r>
        <w:t xml:space="preserve">The charts </w:t>
      </w:r>
      <w:r w:rsidR="00F8196D">
        <w:t xml:space="preserve">in this </w:t>
      </w:r>
      <w:r w:rsidR="00333A13">
        <w:t xml:space="preserve">section show whether each </w:t>
      </w:r>
      <w:r w:rsidR="00F8196D">
        <w:t xml:space="preserve">university has </w:t>
      </w:r>
      <w:r w:rsidR="00333A13" w:rsidRPr="00E14EBD">
        <w:rPr>
          <w:rFonts w:asciiTheme="minorHAnsi" w:hAnsiTheme="minorHAnsi" w:cstheme="minorHAnsi"/>
        </w:rPr>
        <w:t xml:space="preserve">a documented policy, </w:t>
      </w:r>
      <w:proofErr w:type="gramStart"/>
      <w:r w:rsidR="00333A13" w:rsidRPr="00E14EBD">
        <w:rPr>
          <w:rFonts w:asciiTheme="minorHAnsi" w:hAnsiTheme="minorHAnsi" w:cstheme="minorHAnsi"/>
        </w:rPr>
        <w:t>procedure</w:t>
      </w:r>
      <w:proofErr w:type="gramEnd"/>
      <w:r w:rsidR="00333A13" w:rsidRPr="00E14EBD">
        <w:rPr>
          <w:rFonts w:asciiTheme="minorHAnsi" w:hAnsiTheme="minorHAnsi" w:cstheme="minorHAnsi"/>
        </w:rPr>
        <w:t xml:space="preserve"> or mechanism </w:t>
      </w:r>
      <w:r w:rsidR="00333A13">
        <w:t xml:space="preserve">to </w:t>
      </w:r>
      <w:r w:rsidR="00F8196D">
        <w:t>support compliance with IPP 4</w:t>
      </w:r>
      <w:r w:rsidR="00333A13">
        <w:t xml:space="preserve"> in the following areas</w:t>
      </w:r>
      <w:r w:rsidR="005B2F8E">
        <w:t>:</w:t>
      </w:r>
    </w:p>
    <w:p w14:paraId="5D21842E" w14:textId="77777777" w:rsidR="00E1277E" w:rsidRPr="00E1277E" w:rsidRDefault="00333A13" w:rsidP="00610A2E">
      <w:pPr>
        <w:pStyle w:val="Body"/>
        <w:numPr>
          <w:ilvl w:val="0"/>
          <w:numId w:val="14"/>
        </w:numPr>
        <w:ind w:left="811" w:hanging="357"/>
      </w:pPr>
      <w:r>
        <w:rPr>
          <w:rFonts w:cs="PostGrotesk-Book"/>
          <w:szCs w:val="22"/>
        </w:rPr>
        <w:t>Identifying</w:t>
      </w:r>
      <w:r w:rsidR="005B2F8E" w:rsidRPr="00B12039">
        <w:rPr>
          <w:rFonts w:cs="PostGrotesk-Book"/>
          <w:szCs w:val="22"/>
        </w:rPr>
        <w:t xml:space="preserve"> </w:t>
      </w:r>
      <w:r w:rsidR="00E1277E">
        <w:rPr>
          <w:rFonts w:cs="PostGrotesk-Book"/>
          <w:szCs w:val="22"/>
        </w:rPr>
        <w:t xml:space="preserve">and documenting personal information holdings </w:t>
      </w:r>
    </w:p>
    <w:p w14:paraId="00B0167B" w14:textId="18F802EA" w:rsidR="005B2F8E" w:rsidRPr="005B2F8E" w:rsidRDefault="00E1277E" w:rsidP="00610A2E">
      <w:pPr>
        <w:pStyle w:val="Body"/>
        <w:numPr>
          <w:ilvl w:val="0"/>
          <w:numId w:val="14"/>
        </w:numPr>
        <w:ind w:left="811" w:hanging="357"/>
      </w:pPr>
      <w:r>
        <w:rPr>
          <w:rFonts w:cs="PostGrotesk-Book"/>
          <w:szCs w:val="22"/>
        </w:rPr>
        <w:t xml:space="preserve">Identifying </w:t>
      </w:r>
      <w:r w:rsidR="005B2F8E" w:rsidRPr="00B12039">
        <w:rPr>
          <w:rFonts w:cs="PostGrotesk-Book"/>
          <w:szCs w:val="22"/>
        </w:rPr>
        <w:t>the value or sensitivity of personal information holdings</w:t>
      </w:r>
    </w:p>
    <w:p w14:paraId="4BDFD374" w14:textId="463E9A13" w:rsidR="005B2F8E" w:rsidRPr="00C462C9" w:rsidRDefault="00333A13" w:rsidP="00610A2E">
      <w:pPr>
        <w:pStyle w:val="Body"/>
        <w:numPr>
          <w:ilvl w:val="0"/>
          <w:numId w:val="14"/>
        </w:numPr>
        <w:ind w:left="811" w:hanging="357"/>
        <w:rPr>
          <w:rFonts w:cs="PostGrotesk-Book"/>
          <w:szCs w:val="22"/>
        </w:rPr>
      </w:pPr>
      <w:r>
        <w:rPr>
          <w:rFonts w:cs="PostGrotesk-Book"/>
          <w:szCs w:val="22"/>
        </w:rPr>
        <w:t>I</w:t>
      </w:r>
      <w:r w:rsidRPr="00B12039">
        <w:rPr>
          <w:rFonts w:cs="PostGrotesk-Book"/>
          <w:szCs w:val="22"/>
        </w:rPr>
        <w:t xml:space="preserve">dentifying </w:t>
      </w:r>
      <w:r w:rsidR="00E1277E">
        <w:rPr>
          <w:rFonts w:cs="PostGrotesk-Book"/>
          <w:szCs w:val="22"/>
        </w:rPr>
        <w:t>security</w:t>
      </w:r>
      <w:r w:rsidRPr="00B12039">
        <w:rPr>
          <w:rFonts w:cs="PostGrotesk-Book"/>
          <w:szCs w:val="22"/>
        </w:rPr>
        <w:t xml:space="preserve"> risks to personal information security</w:t>
      </w:r>
    </w:p>
    <w:p w14:paraId="214EE2CC" w14:textId="510A615E" w:rsidR="00333A13" w:rsidRPr="00C462C9" w:rsidRDefault="00E1277E" w:rsidP="00610A2E">
      <w:pPr>
        <w:pStyle w:val="Body"/>
        <w:numPr>
          <w:ilvl w:val="0"/>
          <w:numId w:val="14"/>
        </w:numPr>
        <w:ind w:left="811" w:hanging="357"/>
        <w:rPr>
          <w:rFonts w:cs="PostGrotesk-Book"/>
          <w:szCs w:val="22"/>
        </w:rPr>
      </w:pPr>
      <w:r>
        <w:rPr>
          <w:rFonts w:cs="PostGrotesk-Book"/>
          <w:szCs w:val="22"/>
        </w:rPr>
        <w:t xml:space="preserve">Managing and implementing measures to address </w:t>
      </w:r>
      <w:proofErr w:type="gramStart"/>
      <w:r w:rsidR="00333A13" w:rsidRPr="00C462C9">
        <w:rPr>
          <w:rFonts w:cs="PostGrotesk-Book"/>
          <w:szCs w:val="22"/>
        </w:rPr>
        <w:t>risks</w:t>
      </w:r>
      <w:proofErr w:type="gramEnd"/>
    </w:p>
    <w:p w14:paraId="29BA2F9A" w14:textId="541026BD" w:rsidR="00333A13" w:rsidRPr="00C462C9" w:rsidRDefault="00333A13" w:rsidP="00610A2E">
      <w:pPr>
        <w:pStyle w:val="Body"/>
        <w:numPr>
          <w:ilvl w:val="0"/>
          <w:numId w:val="14"/>
        </w:numPr>
        <w:ind w:left="811" w:hanging="357"/>
        <w:rPr>
          <w:rFonts w:cs="PostGrotesk-Book"/>
          <w:szCs w:val="22"/>
        </w:rPr>
      </w:pPr>
      <w:r w:rsidRPr="00C462C9">
        <w:rPr>
          <w:rFonts w:cs="PostGrotesk-Book"/>
          <w:szCs w:val="22"/>
        </w:rPr>
        <w:t xml:space="preserve">Destroying or permanently de-identifying personal information  </w:t>
      </w:r>
    </w:p>
    <w:p w14:paraId="4EB557B7" w14:textId="5A50F77E" w:rsidR="00333A13" w:rsidRPr="00C462C9" w:rsidRDefault="00333A13" w:rsidP="00610A2E">
      <w:pPr>
        <w:pStyle w:val="Body"/>
        <w:numPr>
          <w:ilvl w:val="0"/>
          <w:numId w:val="14"/>
        </w:numPr>
        <w:ind w:left="811" w:hanging="357"/>
        <w:rPr>
          <w:rFonts w:cs="PostGrotesk-Book"/>
          <w:szCs w:val="22"/>
        </w:rPr>
      </w:pPr>
      <w:r w:rsidRPr="00C462C9">
        <w:rPr>
          <w:rFonts w:cs="PostGrotesk-Book"/>
          <w:szCs w:val="22"/>
        </w:rPr>
        <w:t xml:space="preserve">Sharing </w:t>
      </w:r>
      <w:r w:rsidR="00EA69DA">
        <w:rPr>
          <w:rFonts w:cs="PostGrotesk-Book"/>
          <w:szCs w:val="22"/>
        </w:rPr>
        <w:t xml:space="preserve">personal </w:t>
      </w:r>
      <w:r w:rsidRPr="00C462C9">
        <w:rPr>
          <w:rFonts w:cs="PostGrotesk-Book"/>
          <w:szCs w:val="22"/>
        </w:rPr>
        <w:t>information with third parties</w:t>
      </w:r>
    </w:p>
    <w:p w14:paraId="7CB0CE8E" w14:textId="77777777" w:rsidR="00E1277E" w:rsidRDefault="00333A13" w:rsidP="00610A2E">
      <w:pPr>
        <w:pStyle w:val="Body"/>
        <w:numPr>
          <w:ilvl w:val="0"/>
          <w:numId w:val="14"/>
        </w:numPr>
        <w:ind w:left="811" w:hanging="357"/>
        <w:rPr>
          <w:rFonts w:cs="PostGrotesk-Book"/>
          <w:szCs w:val="22"/>
        </w:rPr>
      </w:pPr>
      <w:r w:rsidRPr="00C462C9">
        <w:rPr>
          <w:rFonts w:cs="PostGrotesk-Book"/>
          <w:szCs w:val="22"/>
        </w:rPr>
        <w:t xml:space="preserve">Engaging contracted service providers for services that involve handling personal information on behalf of the </w:t>
      </w:r>
      <w:proofErr w:type="gramStart"/>
      <w:r w:rsidRPr="00C462C9">
        <w:rPr>
          <w:rFonts w:cs="PostGrotesk-Book"/>
          <w:szCs w:val="22"/>
        </w:rPr>
        <w:t>university</w:t>
      </w:r>
      <w:proofErr w:type="gramEnd"/>
      <w:r w:rsidR="00E1277E" w:rsidRPr="00E1277E">
        <w:rPr>
          <w:rFonts w:cs="PostGrotesk-Book"/>
          <w:szCs w:val="22"/>
        </w:rPr>
        <w:t xml:space="preserve"> </w:t>
      </w:r>
    </w:p>
    <w:p w14:paraId="3FB8353C" w14:textId="64326746" w:rsidR="00E1277E" w:rsidRPr="00C462C9" w:rsidRDefault="00E1277E" w:rsidP="00610A2E">
      <w:pPr>
        <w:pStyle w:val="Body"/>
        <w:numPr>
          <w:ilvl w:val="0"/>
          <w:numId w:val="14"/>
        </w:numPr>
        <w:ind w:left="811" w:hanging="357"/>
        <w:rPr>
          <w:rFonts w:cs="PostGrotesk-Book"/>
          <w:szCs w:val="22"/>
        </w:rPr>
      </w:pPr>
      <w:r>
        <w:rPr>
          <w:rFonts w:cs="PostGrotesk-Book"/>
          <w:szCs w:val="22"/>
        </w:rPr>
        <w:t>Responding to d</w:t>
      </w:r>
      <w:r w:rsidRPr="00C462C9">
        <w:rPr>
          <w:rFonts w:cs="PostGrotesk-Book"/>
          <w:szCs w:val="22"/>
        </w:rPr>
        <w:t>ata breaches</w:t>
      </w:r>
    </w:p>
    <w:p w14:paraId="48035DA2" w14:textId="13ABF7F3" w:rsidR="00333A13" w:rsidRPr="00C462C9" w:rsidRDefault="00E1277E" w:rsidP="00610A2E">
      <w:pPr>
        <w:pStyle w:val="Body"/>
        <w:numPr>
          <w:ilvl w:val="0"/>
          <w:numId w:val="14"/>
        </w:numPr>
        <w:ind w:left="811" w:hanging="357"/>
        <w:rPr>
          <w:rFonts w:cs="PostGrotesk-Book"/>
          <w:szCs w:val="22"/>
        </w:rPr>
      </w:pPr>
      <w:r>
        <w:rPr>
          <w:rFonts w:cs="PostGrotesk-Book"/>
          <w:szCs w:val="22"/>
        </w:rPr>
        <w:t>Delivering p</w:t>
      </w:r>
      <w:r w:rsidRPr="00C462C9">
        <w:rPr>
          <w:rFonts w:cs="PostGrotesk-Book"/>
          <w:szCs w:val="22"/>
        </w:rPr>
        <w:t>rivacy</w:t>
      </w:r>
      <w:r>
        <w:t xml:space="preserve"> and information security training</w:t>
      </w:r>
    </w:p>
    <w:p w14:paraId="05199612" w14:textId="3A5C671E" w:rsidR="006F4954" w:rsidRDefault="00803D11" w:rsidP="00734A3C">
      <w:pPr>
        <w:pStyle w:val="BodyText1"/>
        <w:numPr>
          <w:ilvl w:val="0"/>
          <w:numId w:val="9"/>
        </w:numPr>
      </w:pPr>
      <w:r>
        <w:t xml:space="preserve">OVIC acknowledges that the universities </w:t>
      </w:r>
      <w:r w:rsidR="006F7BAC">
        <w:t xml:space="preserve">surveyed </w:t>
      </w:r>
      <w:r>
        <w:t xml:space="preserve">have different levels of </w:t>
      </w:r>
      <w:r w:rsidR="00131EAE">
        <w:t>resourcing</w:t>
      </w:r>
      <w:r>
        <w:t xml:space="preserve">, </w:t>
      </w:r>
      <w:r w:rsidR="00131EAE">
        <w:t>scales of operation, and governance arrangements</w:t>
      </w:r>
      <w:r>
        <w:t xml:space="preserve">. The features of each university will impact on the </w:t>
      </w:r>
      <w:r w:rsidR="00F8196D">
        <w:t>risks to personal information security</w:t>
      </w:r>
      <w:r w:rsidR="00B814F3">
        <w:t>, as well as</w:t>
      </w:r>
      <w:r w:rsidR="00F8196D">
        <w:t xml:space="preserve"> the </w:t>
      </w:r>
      <w:r>
        <w:t xml:space="preserve">resources </w:t>
      </w:r>
      <w:r w:rsidR="00B814F3">
        <w:t xml:space="preserve">and capability </w:t>
      </w:r>
      <w:r w:rsidR="00F8196D">
        <w:t>available to address those risks</w:t>
      </w:r>
      <w:r>
        <w:t xml:space="preserve">. </w:t>
      </w:r>
    </w:p>
    <w:p w14:paraId="1621508A" w14:textId="1067F099" w:rsidR="00BE1C11" w:rsidRDefault="00604562" w:rsidP="00FF5330">
      <w:pPr>
        <w:pStyle w:val="BodyText1"/>
        <w:numPr>
          <w:ilvl w:val="0"/>
          <w:numId w:val="9"/>
        </w:numPr>
      </w:pPr>
      <w:r>
        <w:t>Where a university has not</w:t>
      </w:r>
      <w:r w:rsidRPr="00006FF1">
        <w:t xml:space="preserve"> achieve</w:t>
      </w:r>
      <w:r>
        <w:t>d</w:t>
      </w:r>
      <w:r w:rsidRPr="00006FF1">
        <w:t xml:space="preserve"> a ‘yes’ rating </w:t>
      </w:r>
      <w:r>
        <w:t>this</w:t>
      </w:r>
      <w:r w:rsidRPr="00006FF1">
        <w:t xml:space="preserve"> does not mean OVIC is of the view that the university has failed to comply with IPP 4. Rather, OVIC has identified an area of risk that a university should assess whether it has taken ‘reasonable steps’ to address.</w:t>
      </w:r>
      <w:r w:rsidR="003C2367">
        <w:t xml:space="preserve"> U</w:t>
      </w:r>
      <w:r w:rsidR="004B1F6A">
        <w:t>niversities may be protecting personal information in other ways</w:t>
      </w:r>
      <w:r w:rsidR="003C2367">
        <w:t xml:space="preserve"> than through the sort of </w:t>
      </w:r>
      <w:r w:rsidR="004B1F6A">
        <w:t>policies and procedur</w:t>
      </w:r>
      <w:r w:rsidR="003C2367">
        <w:t>es</w:t>
      </w:r>
      <w:r w:rsidR="004B1F6A">
        <w:t xml:space="preserve"> </w:t>
      </w:r>
      <w:r w:rsidR="003C2367">
        <w:t>that OVIC examined</w:t>
      </w:r>
      <w:r w:rsidR="004B1F6A">
        <w:t>.</w:t>
      </w:r>
    </w:p>
    <w:p w14:paraId="37516D3F" w14:textId="7817CE7D" w:rsidR="00BE1C11" w:rsidRPr="00006FF1" w:rsidRDefault="00BE1C11" w:rsidP="00734A3C">
      <w:pPr>
        <w:pStyle w:val="BodyText1"/>
        <w:numPr>
          <w:ilvl w:val="0"/>
          <w:numId w:val="9"/>
        </w:numPr>
      </w:pPr>
      <w:r>
        <w:t>In response to OVIC’s assessment of each universities’ policy and procedure documents, many universities advised that they are developing additional resources to address gaps identified by OVIC’s assessment or as part of a universities’ auditing processes.</w:t>
      </w:r>
    </w:p>
    <w:p w14:paraId="6CB397E4" w14:textId="6FEAE3CA" w:rsidR="00333A13" w:rsidRDefault="00B814F3" w:rsidP="00734A3C">
      <w:pPr>
        <w:pStyle w:val="BodyText1"/>
        <w:numPr>
          <w:ilvl w:val="0"/>
          <w:numId w:val="9"/>
        </w:numPr>
      </w:pPr>
      <w:r>
        <w:t xml:space="preserve">The following </w:t>
      </w:r>
      <w:r w:rsidR="00604562">
        <w:t>key is applicable to the charts in this report</w:t>
      </w:r>
      <w:r w:rsidR="00BE1C11">
        <w:t xml:space="preserve"> and the table below</w:t>
      </w:r>
      <w:r w:rsidR="00333A13">
        <w:t xml:space="preserve">: </w:t>
      </w:r>
    </w:p>
    <w:p w14:paraId="1164D91D" w14:textId="7FEA29C0" w:rsidR="00333A13" w:rsidRPr="00734A3C" w:rsidRDefault="00604562" w:rsidP="00734A3C">
      <w:pPr>
        <w:pStyle w:val="BodyText1"/>
        <w:numPr>
          <w:ilvl w:val="0"/>
          <w:numId w:val="0"/>
        </w:numPr>
        <w:ind w:left="454"/>
      </w:pPr>
      <w:r w:rsidRPr="00734A3C">
        <w:rPr>
          <w:b/>
          <w:bCs/>
        </w:rPr>
        <w:t>Yes</w:t>
      </w:r>
      <w:r w:rsidR="00333A13" w:rsidRPr="00734A3C">
        <w:t xml:space="preserve"> – The university has a documented policy, procedure or mechanism that addresses OVIC’s question.</w:t>
      </w:r>
    </w:p>
    <w:p w14:paraId="0C9C0708" w14:textId="64A87566" w:rsidR="00333A13" w:rsidRPr="00734A3C" w:rsidRDefault="00333A13" w:rsidP="00734A3C">
      <w:pPr>
        <w:pStyle w:val="BodyText1"/>
        <w:numPr>
          <w:ilvl w:val="0"/>
          <w:numId w:val="0"/>
        </w:numPr>
        <w:ind w:left="454"/>
      </w:pPr>
      <w:r w:rsidRPr="00734A3C">
        <w:rPr>
          <w:b/>
          <w:bCs/>
        </w:rPr>
        <w:t>N</w:t>
      </w:r>
      <w:r w:rsidR="00604562" w:rsidRPr="00734A3C">
        <w:rPr>
          <w:b/>
          <w:bCs/>
        </w:rPr>
        <w:t>o</w:t>
      </w:r>
      <w:r w:rsidRPr="00734A3C">
        <w:rPr>
          <w:b/>
          <w:bCs/>
        </w:rPr>
        <w:t xml:space="preserve"> </w:t>
      </w:r>
      <w:r w:rsidRPr="00734A3C">
        <w:t xml:space="preserve">– The university has not demonstrated that it has a policy, procedure or mechanism that addresses OVIC’s question. </w:t>
      </w:r>
    </w:p>
    <w:p w14:paraId="26A74B4C" w14:textId="44219757" w:rsidR="00333A13" w:rsidRPr="00333A13" w:rsidRDefault="00333A13" w:rsidP="00734A3C">
      <w:pPr>
        <w:pStyle w:val="BodyText1"/>
        <w:numPr>
          <w:ilvl w:val="0"/>
          <w:numId w:val="0"/>
        </w:numPr>
        <w:ind w:left="454"/>
      </w:pPr>
      <w:r w:rsidRPr="00734A3C">
        <w:rPr>
          <w:b/>
          <w:bCs/>
        </w:rPr>
        <w:t>P</w:t>
      </w:r>
      <w:r w:rsidR="00604562" w:rsidRPr="00734A3C">
        <w:rPr>
          <w:b/>
          <w:bCs/>
        </w:rPr>
        <w:t>artial</w:t>
      </w:r>
      <w:r w:rsidRPr="00734A3C">
        <w:t xml:space="preserve"> – The university:</w:t>
      </w:r>
    </w:p>
    <w:p w14:paraId="56F631B2" w14:textId="77777777" w:rsidR="00734A3C" w:rsidRPr="00734A3C" w:rsidRDefault="00734A3C" w:rsidP="00734A3C">
      <w:pPr>
        <w:pStyle w:val="BodyText1"/>
        <w:numPr>
          <w:ilvl w:val="1"/>
          <w:numId w:val="9"/>
        </w:numPr>
      </w:pPr>
      <w:r>
        <w:t>h</w:t>
      </w:r>
      <w:r w:rsidR="00333A13" w:rsidRPr="00734A3C">
        <w:rPr>
          <w:rFonts w:eastAsia="Times New Roman" w:cs="Calibri"/>
          <w:lang w:eastAsia="en-AU"/>
        </w:rPr>
        <w:t xml:space="preserve">as a documented policy, procedure or mechanism that partially addresses OVIC’s question; or </w:t>
      </w:r>
    </w:p>
    <w:p w14:paraId="3D10148B" w14:textId="77777777" w:rsidR="00734A3C" w:rsidRPr="00734A3C" w:rsidRDefault="00333A13" w:rsidP="00734A3C">
      <w:pPr>
        <w:pStyle w:val="BodyText1"/>
        <w:numPr>
          <w:ilvl w:val="1"/>
          <w:numId w:val="9"/>
        </w:numPr>
      </w:pPr>
      <w:r w:rsidRPr="00734A3C">
        <w:rPr>
          <w:rFonts w:eastAsia="Times New Roman" w:cs="Calibri"/>
          <w:lang w:eastAsia="en-AU"/>
        </w:rPr>
        <w:t>has described a policy, procedure or mechanism that addresses OVIC's question, but this is not documented; or</w:t>
      </w:r>
    </w:p>
    <w:p w14:paraId="45616F4A" w14:textId="40A6AA0F" w:rsidR="00FC1F54" w:rsidRPr="002F50A9" w:rsidRDefault="00333A13" w:rsidP="002F50A9">
      <w:pPr>
        <w:pStyle w:val="BodyText1"/>
        <w:numPr>
          <w:ilvl w:val="1"/>
          <w:numId w:val="9"/>
        </w:numPr>
      </w:pPr>
      <w:r w:rsidRPr="00734A3C">
        <w:rPr>
          <w:rFonts w:eastAsia="Times New Roman" w:cs="Calibri"/>
          <w:lang w:eastAsia="en-AU"/>
        </w:rPr>
        <w:t xml:space="preserve">the university was taking steps to address OVIC’s question (e.g., a relevant policy was under development) at the time the examination commenced. </w:t>
      </w:r>
    </w:p>
    <w:p w14:paraId="6BEA9D75" w14:textId="77777777" w:rsidR="00D26304" w:rsidRDefault="00D26304" w:rsidP="00604562">
      <w:pPr>
        <w:tabs>
          <w:tab w:val="left" w:pos="7371"/>
        </w:tabs>
        <w:spacing w:before="240" w:after="120"/>
        <w:rPr>
          <w:rFonts w:cstheme="minorHAnsi"/>
        </w:rPr>
        <w:sectPr w:rsidR="00D26304" w:rsidSect="00910045">
          <w:type w:val="continuous"/>
          <w:pgSz w:w="11900" w:h="16840"/>
          <w:pgMar w:top="1276" w:right="1552" w:bottom="1276" w:left="1560" w:header="708" w:footer="580" w:gutter="0"/>
          <w:cols w:space="708"/>
          <w:docGrid w:linePitch="360"/>
        </w:sectPr>
      </w:pPr>
    </w:p>
    <w:tbl>
      <w:tblPr>
        <w:tblStyle w:val="TableGrid1"/>
        <w:tblpPr w:leftFromText="180" w:rightFromText="180" w:horzAnchor="margin" w:tblpXSpec="center" w:tblpY="-514"/>
        <w:tblW w:w="15832" w:type="dxa"/>
        <w:tblLook w:val="04A0" w:firstRow="1" w:lastRow="0" w:firstColumn="1" w:lastColumn="0" w:noHBand="0" w:noVBand="1"/>
      </w:tblPr>
      <w:tblGrid>
        <w:gridCol w:w="1422"/>
        <w:gridCol w:w="1435"/>
        <w:gridCol w:w="1430"/>
        <w:gridCol w:w="1436"/>
        <w:gridCol w:w="1472"/>
        <w:gridCol w:w="1435"/>
        <w:gridCol w:w="1428"/>
        <w:gridCol w:w="1430"/>
        <w:gridCol w:w="1476"/>
        <w:gridCol w:w="1433"/>
        <w:gridCol w:w="1435"/>
      </w:tblGrid>
      <w:tr w:rsidR="00995B4C" w:rsidRPr="00D26304" w14:paraId="5C780541" w14:textId="77777777" w:rsidTr="00010621">
        <w:trPr>
          <w:trHeight w:val="497"/>
        </w:trPr>
        <w:tc>
          <w:tcPr>
            <w:tcW w:w="1422" w:type="dxa"/>
            <w:vMerge w:val="restart"/>
            <w:tcBorders>
              <w:top w:val="nil"/>
              <w:left w:val="nil"/>
              <w:bottom w:val="nil"/>
            </w:tcBorders>
          </w:tcPr>
          <w:p w14:paraId="184365A8" w14:textId="77777777" w:rsidR="00995B4C" w:rsidRDefault="00995B4C" w:rsidP="00CB58B8">
            <w:pPr>
              <w:jc w:val="center"/>
              <w:rPr>
                <w:b/>
                <w:bCs/>
                <w:color w:val="FFFFFF" w:themeColor="background1"/>
                <w:sz w:val="22"/>
                <w:szCs w:val="22"/>
              </w:rPr>
            </w:pPr>
            <w:bookmarkStart w:id="14" w:name="_Hlk73004154"/>
            <w:r w:rsidRPr="00511AE9">
              <w:rPr>
                <w:b/>
                <w:bCs/>
                <w:color w:val="FFFFFF" w:themeColor="background1"/>
                <w:sz w:val="22"/>
                <w:szCs w:val="22"/>
              </w:rPr>
              <w:lastRenderedPageBreak/>
              <w:t>University:</w:t>
            </w:r>
          </w:p>
          <w:p w14:paraId="435E3A37" w14:textId="77777777" w:rsidR="00010621" w:rsidRPr="00010621" w:rsidRDefault="00010621" w:rsidP="00010621">
            <w:pPr>
              <w:rPr>
                <w:sz w:val="22"/>
                <w:szCs w:val="22"/>
              </w:rPr>
            </w:pPr>
          </w:p>
          <w:p w14:paraId="4D2A44B0" w14:textId="77777777" w:rsidR="00010621" w:rsidRPr="00010621" w:rsidRDefault="00010621" w:rsidP="00010621">
            <w:pPr>
              <w:rPr>
                <w:sz w:val="22"/>
                <w:szCs w:val="22"/>
              </w:rPr>
            </w:pPr>
          </w:p>
          <w:p w14:paraId="51777AA3" w14:textId="77777777" w:rsidR="00010621" w:rsidRPr="00010621" w:rsidRDefault="00010621" w:rsidP="00010621">
            <w:pPr>
              <w:rPr>
                <w:sz w:val="22"/>
                <w:szCs w:val="22"/>
              </w:rPr>
            </w:pPr>
          </w:p>
          <w:p w14:paraId="3254FC23" w14:textId="77777777" w:rsidR="00010621" w:rsidRDefault="00010621" w:rsidP="00010621">
            <w:pPr>
              <w:rPr>
                <w:b/>
                <w:bCs/>
                <w:color w:val="FFFFFF" w:themeColor="background1"/>
                <w:sz w:val="22"/>
                <w:szCs w:val="22"/>
              </w:rPr>
            </w:pPr>
          </w:p>
          <w:p w14:paraId="2FEBE9DA" w14:textId="6FA89B26" w:rsidR="00010621" w:rsidRPr="00010621" w:rsidRDefault="00010621" w:rsidP="00010621">
            <w:pPr>
              <w:jc w:val="center"/>
              <w:rPr>
                <w:sz w:val="22"/>
                <w:szCs w:val="22"/>
              </w:rPr>
            </w:pPr>
          </w:p>
        </w:tc>
        <w:tc>
          <w:tcPr>
            <w:tcW w:w="14410" w:type="dxa"/>
            <w:gridSpan w:val="10"/>
            <w:shd w:val="clear" w:color="auto" w:fill="410096"/>
            <w:vAlign w:val="center"/>
          </w:tcPr>
          <w:p w14:paraId="08771BF4" w14:textId="3208504F" w:rsidR="00995B4C" w:rsidRPr="00D26304" w:rsidRDefault="00995B4C" w:rsidP="00384253">
            <w:pPr>
              <w:jc w:val="center"/>
              <w:rPr>
                <w:b/>
                <w:bCs/>
                <w:sz w:val="22"/>
                <w:szCs w:val="22"/>
              </w:rPr>
            </w:pPr>
            <w:r w:rsidRPr="00511AE9">
              <w:rPr>
                <w:b/>
                <w:bCs/>
                <w:color w:val="FFFFFF" w:themeColor="background1"/>
                <w:sz w:val="22"/>
                <w:szCs w:val="22"/>
              </w:rPr>
              <w:t>Did the university have a p</w:t>
            </w:r>
            <w:r>
              <w:rPr>
                <w:b/>
                <w:bCs/>
                <w:color w:val="FFFFFF" w:themeColor="background1"/>
                <w:sz w:val="22"/>
                <w:szCs w:val="22"/>
              </w:rPr>
              <w:t>olicy</w:t>
            </w:r>
            <w:r w:rsidRPr="00511AE9">
              <w:rPr>
                <w:b/>
                <w:bCs/>
                <w:color w:val="FFFFFF" w:themeColor="background1"/>
                <w:sz w:val="22"/>
                <w:szCs w:val="22"/>
              </w:rPr>
              <w:t>, procedure, or mechanism for:</w:t>
            </w:r>
          </w:p>
        </w:tc>
      </w:tr>
      <w:tr w:rsidR="00995B4C" w:rsidRPr="00D26304" w14:paraId="3BACA3F1" w14:textId="77777777" w:rsidTr="00010621">
        <w:trPr>
          <w:trHeight w:val="974"/>
        </w:trPr>
        <w:tc>
          <w:tcPr>
            <w:tcW w:w="1422" w:type="dxa"/>
            <w:vMerge/>
            <w:tcBorders>
              <w:left w:val="nil"/>
              <w:bottom w:val="nil"/>
            </w:tcBorders>
            <w:shd w:val="clear" w:color="auto" w:fill="410096"/>
            <w:vAlign w:val="center"/>
          </w:tcPr>
          <w:p w14:paraId="036E6F80" w14:textId="684D0FD0" w:rsidR="00995B4C" w:rsidRPr="00511AE9" w:rsidRDefault="00995B4C" w:rsidP="00384253">
            <w:pPr>
              <w:jc w:val="center"/>
              <w:rPr>
                <w:b/>
                <w:bCs/>
                <w:color w:val="FFFFFF" w:themeColor="background1"/>
                <w:sz w:val="22"/>
                <w:szCs w:val="22"/>
              </w:rPr>
            </w:pPr>
          </w:p>
        </w:tc>
        <w:tc>
          <w:tcPr>
            <w:tcW w:w="1435" w:type="dxa"/>
            <w:shd w:val="clear" w:color="auto" w:fill="E9E5E2"/>
            <w:vAlign w:val="center"/>
          </w:tcPr>
          <w:p w14:paraId="3EB82FA8" w14:textId="77777777" w:rsidR="00995B4C" w:rsidRPr="00995B4C" w:rsidRDefault="00995B4C" w:rsidP="003C2367">
            <w:pPr>
              <w:rPr>
                <w:color w:val="000000" w:themeColor="text1"/>
                <w:sz w:val="16"/>
                <w:szCs w:val="16"/>
              </w:rPr>
            </w:pPr>
            <w:r w:rsidRPr="00995B4C">
              <w:rPr>
                <w:color w:val="000000" w:themeColor="text1"/>
                <w:sz w:val="16"/>
                <w:szCs w:val="16"/>
              </w:rPr>
              <w:t>Identifying and documenting its personal information holdings?</w:t>
            </w:r>
          </w:p>
        </w:tc>
        <w:tc>
          <w:tcPr>
            <w:tcW w:w="1430" w:type="dxa"/>
            <w:shd w:val="clear" w:color="auto" w:fill="E9E5E2"/>
            <w:vAlign w:val="center"/>
          </w:tcPr>
          <w:p w14:paraId="3B0915AD" w14:textId="77777777" w:rsidR="00995B4C" w:rsidRPr="00995B4C" w:rsidRDefault="00995B4C" w:rsidP="003C2367">
            <w:pPr>
              <w:rPr>
                <w:color w:val="000000" w:themeColor="text1"/>
                <w:sz w:val="16"/>
                <w:szCs w:val="16"/>
              </w:rPr>
            </w:pPr>
            <w:r w:rsidRPr="00995B4C">
              <w:rPr>
                <w:color w:val="000000" w:themeColor="text1"/>
                <w:sz w:val="16"/>
                <w:szCs w:val="16"/>
              </w:rPr>
              <w:t>Identifying the value or sensitivity of its personal information holdings?</w:t>
            </w:r>
          </w:p>
        </w:tc>
        <w:tc>
          <w:tcPr>
            <w:tcW w:w="1436" w:type="dxa"/>
            <w:shd w:val="clear" w:color="auto" w:fill="E9E5E2"/>
            <w:vAlign w:val="center"/>
          </w:tcPr>
          <w:p w14:paraId="669158EC" w14:textId="77777777" w:rsidR="00995B4C" w:rsidRPr="00995B4C" w:rsidRDefault="00995B4C" w:rsidP="003C2367">
            <w:pPr>
              <w:rPr>
                <w:color w:val="000000" w:themeColor="text1"/>
                <w:sz w:val="16"/>
                <w:szCs w:val="16"/>
              </w:rPr>
            </w:pPr>
            <w:r w:rsidRPr="00995B4C">
              <w:rPr>
                <w:color w:val="000000" w:themeColor="text1"/>
                <w:sz w:val="16"/>
                <w:szCs w:val="16"/>
              </w:rPr>
              <w:t>Identifying security risks to personal information?</w:t>
            </w:r>
          </w:p>
        </w:tc>
        <w:tc>
          <w:tcPr>
            <w:tcW w:w="1472" w:type="dxa"/>
            <w:shd w:val="clear" w:color="auto" w:fill="E9E5E2"/>
            <w:vAlign w:val="center"/>
          </w:tcPr>
          <w:p w14:paraId="710D5615" w14:textId="77777777" w:rsidR="00995B4C" w:rsidRPr="00995B4C" w:rsidRDefault="00995B4C" w:rsidP="003C2367">
            <w:pPr>
              <w:rPr>
                <w:color w:val="000000" w:themeColor="text1"/>
                <w:sz w:val="16"/>
                <w:szCs w:val="16"/>
              </w:rPr>
            </w:pPr>
            <w:r w:rsidRPr="00995B4C">
              <w:rPr>
                <w:color w:val="000000" w:themeColor="text1"/>
                <w:sz w:val="16"/>
                <w:szCs w:val="16"/>
              </w:rPr>
              <w:t>Managing and implementing measures to address risks?</w:t>
            </w:r>
          </w:p>
        </w:tc>
        <w:tc>
          <w:tcPr>
            <w:tcW w:w="1435" w:type="dxa"/>
            <w:shd w:val="clear" w:color="auto" w:fill="E9E5E2"/>
            <w:vAlign w:val="center"/>
          </w:tcPr>
          <w:p w14:paraId="27AC699A" w14:textId="77777777" w:rsidR="00995B4C" w:rsidRPr="00995B4C" w:rsidRDefault="00995B4C" w:rsidP="003C2367">
            <w:pPr>
              <w:rPr>
                <w:color w:val="000000" w:themeColor="text1"/>
                <w:sz w:val="16"/>
                <w:szCs w:val="16"/>
              </w:rPr>
            </w:pPr>
            <w:r w:rsidRPr="00995B4C">
              <w:rPr>
                <w:color w:val="000000" w:themeColor="text1"/>
                <w:sz w:val="16"/>
                <w:szCs w:val="16"/>
              </w:rPr>
              <w:t>Addressing when and how personal information holdings should be destroyed or permanently de-identified?</w:t>
            </w:r>
          </w:p>
        </w:tc>
        <w:tc>
          <w:tcPr>
            <w:tcW w:w="1428" w:type="dxa"/>
            <w:shd w:val="clear" w:color="auto" w:fill="E9E5E2"/>
            <w:vAlign w:val="center"/>
          </w:tcPr>
          <w:p w14:paraId="1C5C0A18" w14:textId="77777777" w:rsidR="00995B4C" w:rsidRPr="00995B4C" w:rsidRDefault="00995B4C" w:rsidP="003C2367">
            <w:pPr>
              <w:rPr>
                <w:color w:val="000000" w:themeColor="text1"/>
                <w:sz w:val="16"/>
                <w:szCs w:val="16"/>
              </w:rPr>
            </w:pPr>
            <w:r w:rsidRPr="00995B4C">
              <w:rPr>
                <w:color w:val="000000" w:themeColor="text1"/>
                <w:sz w:val="16"/>
                <w:szCs w:val="16"/>
              </w:rPr>
              <w:t>Responding to a data breach with the key steps of contain, assess, notify, and review?</w:t>
            </w:r>
          </w:p>
        </w:tc>
        <w:tc>
          <w:tcPr>
            <w:tcW w:w="1430" w:type="dxa"/>
            <w:shd w:val="clear" w:color="auto" w:fill="E9E5E2"/>
            <w:vAlign w:val="center"/>
          </w:tcPr>
          <w:p w14:paraId="11FC09B2" w14:textId="77777777" w:rsidR="00995B4C" w:rsidRPr="00995B4C" w:rsidRDefault="00995B4C" w:rsidP="003C2367">
            <w:pPr>
              <w:rPr>
                <w:color w:val="000000" w:themeColor="text1"/>
                <w:sz w:val="16"/>
                <w:szCs w:val="16"/>
              </w:rPr>
            </w:pPr>
            <w:r w:rsidRPr="00995B4C">
              <w:rPr>
                <w:color w:val="000000" w:themeColor="text1"/>
                <w:sz w:val="16"/>
                <w:szCs w:val="16"/>
              </w:rPr>
              <w:t>Considering personal information security risks when considering whether to engage a contracted service provider?</w:t>
            </w:r>
          </w:p>
        </w:tc>
        <w:tc>
          <w:tcPr>
            <w:tcW w:w="1476" w:type="dxa"/>
            <w:shd w:val="clear" w:color="auto" w:fill="E9E5E2"/>
            <w:vAlign w:val="center"/>
          </w:tcPr>
          <w:p w14:paraId="0D0CB660" w14:textId="77777777" w:rsidR="00995B4C" w:rsidRPr="00995B4C" w:rsidRDefault="00995B4C" w:rsidP="003C2367">
            <w:pPr>
              <w:rPr>
                <w:color w:val="000000" w:themeColor="text1"/>
                <w:sz w:val="16"/>
                <w:szCs w:val="16"/>
              </w:rPr>
            </w:pPr>
            <w:r w:rsidRPr="00995B4C">
              <w:rPr>
                <w:color w:val="000000" w:themeColor="text1"/>
                <w:sz w:val="16"/>
                <w:szCs w:val="16"/>
              </w:rPr>
              <w:t>Implementing contractual mechanisms to ensure personal information is protected?</w:t>
            </w:r>
          </w:p>
        </w:tc>
        <w:tc>
          <w:tcPr>
            <w:tcW w:w="1433" w:type="dxa"/>
            <w:shd w:val="clear" w:color="auto" w:fill="E9E5E2"/>
            <w:vAlign w:val="center"/>
          </w:tcPr>
          <w:p w14:paraId="3BBD4A01" w14:textId="77777777" w:rsidR="00995B4C" w:rsidRPr="00995B4C" w:rsidRDefault="00995B4C" w:rsidP="003C2367">
            <w:pPr>
              <w:rPr>
                <w:color w:val="000000" w:themeColor="text1"/>
                <w:sz w:val="16"/>
                <w:szCs w:val="16"/>
              </w:rPr>
            </w:pPr>
            <w:r w:rsidRPr="00995B4C">
              <w:rPr>
                <w:color w:val="000000" w:themeColor="text1"/>
                <w:sz w:val="16"/>
                <w:szCs w:val="16"/>
              </w:rPr>
              <w:t>Determining when and how it is appropriate to share personal information with third parties?</w:t>
            </w:r>
          </w:p>
        </w:tc>
        <w:tc>
          <w:tcPr>
            <w:tcW w:w="1435" w:type="dxa"/>
            <w:shd w:val="clear" w:color="auto" w:fill="E9E5E2"/>
            <w:vAlign w:val="center"/>
          </w:tcPr>
          <w:p w14:paraId="67CCECFD" w14:textId="77777777" w:rsidR="00995B4C" w:rsidRPr="00995B4C" w:rsidRDefault="00995B4C" w:rsidP="003C2367">
            <w:pPr>
              <w:rPr>
                <w:color w:val="000000" w:themeColor="text1"/>
                <w:sz w:val="16"/>
                <w:szCs w:val="16"/>
              </w:rPr>
            </w:pPr>
            <w:r w:rsidRPr="00995B4C">
              <w:rPr>
                <w:color w:val="000000" w:themeColor="text1"/>
                <w:sz w:val="16"/>
                <w:szCs w:val="16"/>
              </w:rPr>
              <w:t>Conducting personnel training on privacy and information security?</w:t>
            </w:r>
          </w:p>
        </w:tc>
      </w:tr>
      <w:tr w:rsidR="00D26B7E" w:rsidRPr="00D26304" w14:paraId="5B6D0FC1" w14:textId="77777777" w:rsidTr="00010621">
        <w:trPr>
          <w:trHeight w:val="567"/>
        </w:trPr>
        <w:tc>
          <w:tcPr>
            <w:tcW w:w="1422" w:type="dxa"/>
            <w:tcBorders>
              <w:top w:val="nil"/>
            </w:tcBorders>
            <w:shd w:val="clear" w:color="auto" w:fill="410096"/>
            <w:vAlign w:val="center"/>
          </w:tcPr>
          <w:p w14:paraId="691A1BF5" w14:textId="77777777" w:rsidR="00D26B7E" w:rsidRPr="00511AE9" w:rsidRDefault="00D26B7E" w:rsidP="00384253">
            <w:pPr>
              <w:jc w:val="center"/>
              <w:rPr>
                <w:b/>
                <w:bCs/>
                <w:color w:val="FFFFFF" w:themeColor="background1"/>
                <w:sz w:val="22"/>
                <w:szCs w:val="22"/>
              </w:rPr>
            </w:pPr>
            <w:r w:rsidRPr="00511AE9">
              <w:rPr>
                <w:b/>
                <w:bCs/>
                <w:color w:val="FFFFFF" w:themeColor="background1"/>
                <w:sz w:val="22"/>
                <w:szCs w:val="22"/>
              </w:rPr>
              <w:t>UoM</w:t>
            </w:r>
          </w:p>
        </w:tc>
        <w:tc>
          <w:tcPr>
            <w:tcW w:w="1435" w:type="dxa"/>
            <w:shd w:val="clear" w:color="auto" w:fill="auto"/>
            <w:vAlign w:val="center"/>
          </w:tcPr>
          <w:p w14:paraId="29AF63D1" w14:textId="77777777" w:rsidR="00D26B7E" w:rsidRPr="00D26304" w:rsidRDefault="00D26B7E" w:rsidP="00384253">
            <w:pPr>
              <w:jc w:val="center"/>
              <w:rPr>
                <w:sz w:val="20"/>
                <w:szCs w:val="20"/>
              </w:rPr>
            </w:pPr>
            <w:r w:rsidRPr="00D26304">
              <w:rPr>
                <w:sz w:val="20"/>
                <w:szCs w:val="20"/>
              </w:rPr>
              <w:t>Partial</w:t>
            </w:r>
          </w:p>
        </w:tc>
        <w:tc>
          <w:tcPr>
            <w:tcW w:w="1430" w:type="dxa"/>
            <w:shd w:val="clear" w:color="auto" w:fill="auto"/>
            <w:vAlign w:val="center"/>
          </w:tcPr>
          <w:p w14:paraId="48950C49" w14:textId="77777777" w:rsidR="00D26B7E" w:rsidRPr="00D26304" w:rsidRDefault="00D26B7E" w:rsidP="00384253">
            <w:pPr>
              <w:jc w:val="center"/>
              <w:rPr>
                <w:sz w:val="20"/>
                <w:szCs w:val="20"/>
              </w:rPr>
            </w:pPr>
            <w:r w:rsidRPr="00D26304">
              <w:rPr>
                <w:sz w:val="20"/>
                <w:szCs w:val="20"/>
              </w:rPr>
              <w:t>Yes</w:t>
            </w:r>
          </w:p>
        </w:tc>
        <w:tc>
          <w:tcPr>
            <w:tcW w:w="1436" w:type="dxa"/>
            <w:shd w:val="clear" w:color="auto" w:fill="auto"/>
            <w:vAlign w:val="center"/>
          </w:tcPr>
          <w:p w14:paraId="190531AD" w14:textId="77777777" w:rsidR="00D26B7E" w:rsidRPr="00D26304" w:rsidRDefault="00D26B7E" w:rsidP="00384253">
            <w:pPr>
              <w:jc w:val="center"/>
              <w:rPr>
                <w:sz w:val="20"/>
                <w:szCs w:val="20"/>
              </w:rPr>
            </w:pPr>
            <w:r w:rsidRPr="00D26304">
              <w:rPr>
                <w:sz w:val="20"/>
                <w:szCs w:val="20"/>
              </w:rPr>
              <w:t>Yes</w:t>
            </w:r>
          </w:p>
        </w:tc>
        <w:tc>
          <w:tcPr>
            <w:tcW w:w="1472" w:type="dxa"/>
            <w:shd w:val="clear" w:color="auto" w:fill="auto"/>
            <w:vAlign w:val="center"/>
          </w:tcPr>
          <w:p w14:paraId="774F7590" w14:textId="77777777" w:rsidR="00D26B7E" w:rsidRPr="00D26304" w:rsidRDefault="00D26B7E" w:rsidP="00384253">
            <w:pPr>
              <w:jc w:val="center"/>
              <w:rPr>
                <w:sz w:val="20"/>
                <w:szCs w:val="20"/>
              </w:rPr>
            </w:pPr>
            <w:r w:rsidRPr="00D26304">
              <w:rPr>
                <w:sz w:val="20"/>
                <w:szCs w:val="20"/>
              </w:rPr>
              <w:t>Yes</w:t>
            </w:r>
          </w:p>
        </w:tc>
        <w:tc>
          <w:tcPr>
            <w:tcW w:w="1435" w:type="dxa"/>
            <w:shd w:val="clear" w:color="auto" w:fill="auto"/>
            <w:vAlign w:val="center"/>
          </w:tcPr>
          <w:p w14:paraId="3E5E0C99" w14:textId="77777777" w:rsidR="00D26B7E" w:rsidRPr="00D26304" w:rsidRDefault="00D26B7E" w:rsidP="00384253">
            <w:pPr>
              <w:jc w:val="center"/>
              <w:rPr>
                <w:sz w:val="20"/>
                <w:szCs w:val="20"/>
              </w:rPr>
            </w:pPr>
            <w:r w:rsidRPr="00D26304">
              <w:rPr>
                <w:sz w:val="20"/>
                <w:szCs w:val="20"/>
              </w:rPr>
              <w:t>Yes</w:t>
            </w:r>
          </w:p>
        </w:tc>
        <w:tc>
          <w:tcPr>
            <w:tcW w:w="1428" w:type="dxa"/>
            <w:shd w:val="clear" w:color="auto" w:fill="auto"/>
            <w:vAlign w:val="center"/>
          </w:tcPr>
          <w:p w14:paraId="39162A04" w14:textId="77777777" w:rsidR="00D26B7E" w:rsidRPr="00D26304" w:rsidRDefault="00D26B7E" w:rsidP="00384253">
            <w:pPr>
              <w:jc w:val="center"/>
              <w:rPr>
                <w:sz w:val="20"/>
                <w:szCs w:val="20"/>
              </w:rPr>
            </w:pPr>
            <w:r w:rsidRPr="00D26304">
              <w:rPr>
                <w:sz w:val="20"/>
                <w:szCs w:val="20"/>
              </w:rPr>
              <w:t>Yes</w:t>
            </w:r>
          </w:p>
        </w:tc>
        <w:tc>
          <w:tcPr>
            <w:tcW w:w="1430" w:type="dxa"/>
            <w:shd w:val="clear" w:color="auto" w:fill="auto"/>
            <w:vAlign w:val="center"/>
          </w:tcPr>
          <w:p w14:paraId="2256AC87" w14:textId="77777777" w:rsidR="00D26B7E" w:rsidRPr="00D26304" w:rsidRDefault="00D26B7E" w:rsidP="00384253">
            <w:pPr>
              <w:jc w:val="center"/>
              <w:rPr>
                <w:sz w:val="20"/>
                <w:szCs w:val="20"/>
              </w:rPr>
            </w:pPr>
            <w:r w:rsidRPr="00D26304">
              <w:rPr>
                <w:sz w:val="20"/>
                <w:szCs w:val="20"/>
              </w:rPr>
              <w:t>Yes</w:t>
            </w:r>
          </w:p>
        </w:tc>
        <w:tc>
          <w:tcPr>
            <w:tcW w:w="1476" w:type="dxa"/>
            <w:shd w:val="clear" w:color="auto" w:fill="auto"/>
            <w:vAlign w:val="center"/>
          </w:tcPr>
          <w:p w14:paraId="72257F0C" w14:textId="77777777" w:rsidR="00D26B7E" w:rsidRPr="00D26304" w:rsidRDefault="00D26B7E" w:rsidP="00384253">
            <w:pPr>
              <w:jc w:val="center"/>
              <w:rPr>
                <w:sz w:val="20"/>
                <w:szCs w:val="20"/>
              </w:rPr>
            </w:pPr>
            <w:r w:rsidRPr="00D26304">
              <w:rPr>
                <w:sz w:val="20"/>
                <w:szCs w:val="20"/>
              </w:rPr>
              <w:t>Yes</w:t>
            </w:r>
          </w:p>
        </w:tc>
        <w:tc>
          <w:tcPr>
            <w:tcW w:w="1433" w:type="dxa"/>
            <w:shd w:val="clear" w:color="auto" w:fill="auto"/>
            <w:vAlign w:val="center"/>
          </w:tcPr>
          <w:p w14:paraId="2387DE8E" w14:textId="77777777" w:rsidR="00D26B7E" w:rsidRPr="00D26304" w:rsidRDefault="00D26B7E" w:rsidP="00384253">
            <w:pPr>
              <w:jc w:val="center"/>
              <w:rPr>
                <w:sz w:val="20"/>
                <w:szCs w:val="20"/>
              </w:rPr>
            </w:pPr>
            <w:r w:rsidRPr="00D26304">
              <w:rPr>
                <w:sz w:val="20"/>
                <w:szCs w:val="20"/>
              </w:rPr>
              <w:t>Partial</w:t>
            </w:r>
          </w:p>
        </w:tc>
        <w:tc>
          <w:tcPr>
            <w:tcW w:w="1435" w:type="dxa"/>
            <w:shd w:val="clear" w:color="auto" w:fill="auto"/>
            <w:vAlign w:val="center"/>
          </w:tcPr>
          <w:p w14:paraId="2E71B658" w14:textId="77777777" w:rsidR="00D26B7E" w:rsidRPr="00D26304" w:rsidRDefault="00D26B7E" w:rsidP="00384253">
            <w:pPr>
              <w:jc w:val="center"/>
              <w:rPr>
                <w:sz w:val="20"/>
                <w:szCs w:val="20"/>
              </w:rPr>
            </w:pPr>
            <w:r w:rsidRPr="00D26304">
              <w:rPr>
                <w:sz w:val="20"/>
                <w:szCs w:val="20"/>
              </w:rPr>
              <w:t>Yes</w:t>
            </w:r>
          </w:p>
        </w:tc>
      </w:tr>
      <w:tr w:rsidR="00D26B7E" w:rsidRPr="00D26304" w14:paraId="19BD72CE" w14:textId="77777777" w:rsidTr="00995B4C">
        <w:trPr>
          <w:trHeight w:val="567"/>
        </w:trPr>
        <w:tc>
          <w:tcPr>
            <w:tcW w:w="1422" w:type="dxa"/>
            <w:tcBorders>
              <w:bottom w:val="single" w:sz="4" w:space="0" w:color="auto"/>
            </w:tcBorders>
            <w:shd w:val="clear" w:color="auto" w:fill="410096"/>
            <w:vAlign w:val="center"/>
          </w:tcPr>
          <w:p w14:paraId="02024B64" w14:textId="76EC9A35" w:rsidR="00D26B7E" w:rsidRPr="00511AE9" w:rsidRDefault="00D26B7E" w:rsidP="00384253">
            <w:pPr>
              <w:jc w:val="center"/>
              <w:rPr>
                <w:b/>
                <w:bCs/>
                <w:color w:val="FFFFFF" w:themeColor="background1"/>
                <w:sz w:val="22"/>
                <w:szCs w:val="22"/>
              </w:rPr>
            </w:pPr>
            <w:r w:rsidRPr="00511AE9">
              <w:rPr>
                <w:b/>
                <w:bCs/>
                <w:color w:val="FFFFFF" w:themeColor="background1"/>
                <w:sz w:val="22"/>
                <w:szCs w:val="22"/>
              </w:rPr>
              <w:t>LTU</w:t>
            </w:r>
            <w:r w:rsidR="0002401A">
              <w:rPr>
                <w:rStyle w:val="FootnoteReference"/>
                <w:b/>
                <w:bCs/>
                <w:color w:val="FFFFFF" w:themeColor="background1"/>
                <w:sz w:val="22"/>
                <w:szCs w:val="22"/>
              </w:rPr>
              <w:footnoteReference w:id="5"/>
            </w:r>
          </w:p>
        </w:tc>
        <w:tc>
          <w:tcPr>
            <w:tcW w:w="1435" w:type="dxa"/>
            <w:shd w:val="clear" w:color="auto" w:fill="auto"/>
            <w:vAlign w:val="center"/>
          </w:tcPr>
          <w:p w14:paraId="2D12DA80" w14:textId="77777777" w:rsidR="00D26B7E" w:rsidRPr="00D26304" w:rsidRDefault="00D26B7E" w:rsidP="00384253">
            <w:pPr>
              <w:jc w:val="center"/>
              <w:rPr>
                <w:sz w:val="20"/>
                <w:szCs w:val="20"/>
              </w:rPr>
            </w:pPr>
            <w:r w:rsidRPr="00D26304">
              <w:rPr>
                <w:sz w:val="20"/>
                <w:szCs w:val="20"/>
              </w:rPr>
              <w:t>Yes</w:t>
            </w:r>
          </w:p>
        </w:tc>
        <w:tc>
          <w:tcPr>
            <w:tcW w:w="1430" w:type="dxa"/>
            <w:shd w:val="clear" w:color="auto" w:fill="auto"/>
            <w:vAlign w:val="center"/>
          </w:tcPr>
          <w:p w14:paraId="4755298F" w14:textId="77777777" w:rsidR="00D26B7E" w:rsidRPr="00D26304" w:rsidRDefault="00D26B7E" w:rsidP="00384253">
            <w:pPr>
              <w:jc w:val="center"/>
              <w:rPr>
                <w:sz w:val="20"/>
                <w:szCs w:val="20"/>
              </w:rPr>
            </w:pPr>
            <w:r w:rsidRPr="00D26304">
              <w:rPr>
                <w:sz w:val="20"/>
                <w:szCs w:val="20"/>
              </w:rPr>
              <w:t>Partial</w:t>
            </w:r>
          </w:p>
        </w:tc>
        <w:tc>
          <w:tcPr>
            <w:tcW w:w="1436" w:type="dxa"/>
            <w:shd w:val="clear" w:color="auto" w:fill="auto"/>
            <w:vAlign w:val="center"/>
          </w:tcPr>
          <w:p w14:paraId="29282140" w14:textId="77777777" w:rsidR="00D26B7E" w:rsidRPr="00D26304" w:rsidRDefault="00D26B7E" w:rsidP="00384253">
            <w:pPr>
              <w:jc w:val="center"/>
              <w:rPr>
                <w:sz w:val="20"/>
                <w:szCs w:val="20"/>
              </w:rPr>
            </w:pPr>
            <w:r w:rsidRPr="00D26304">
              <w:rPr>
                <w:sz w:val="20"/>
                <w:szCs w:val="20"/>
              </w:rPr>
              <w:t>Partial</w:t>
            </w:r>
          </w:p>
        </w:tc>
        <w:tc>
          <w:tcPr>
            <w:tcW w:w="1472" w:type="dxa"/>
            <w:shd w:val="clear" w:color="auto" w:fill="auto"/>
            <w:vAlign w:val="center"/>
          </w:tcPr>
          <w:p w14:paraId="039066FA" w14:textId="77777777" w:rsidR="00D26B7E" w:rsidRPr="00D26304" w:rsidRDefault="00D26B7E" w:rsidP="00384253">
            <w:pPr>
              <w:jc w:val="center"/>
              <w:rPr>
                <w:sz w:val="20"/>
                <w:szCs w:val="20"/>
              </w:rPr>
            </w:pPr>
            <w:r w:rsidRPr="00D26304">
              <w:rPr>
                <w:sz w:val="20"/>
                <w:szCs w:val="20"/>
              </w:rPr>
              <w:t>Partial</w:t>
            </w:r>
          </w:p>
        </w:tc>
        <w:tc>
          <w:tcPr>
            <w:tcW w:w="1435" w:type="dxa"/>
            <w:shd w:val="clear" w:color="auto" w:fill="auto"/>
            <w:vAlign w:val="center"/>
          </w:tcPr>
          <w:p w14:paraId="55CB2650" w14:textId="77777777" w:rsidR="00D26B7E" w:rsidRPr="00D26304" w:rsidRDefault="00D26B7E" w:rsidP="00384253">
            <w:pPr>
              <w:jc w:val="center"/>
              <w:rPr>
                <w:sz w:val="20"/>
                <w:szCs w:val="20"/>
              </w:rPr>
            </w:pPr>
            <w:r w:rsidRPr="00D26304">
              <w:rPr>
                <w:sz w:val="20"/>
                <w:szCs w:val="20"/>
              </w:rPr>
              <w:t>Partial</w:t>
            </w:r>
          </w:p>
        </w:tc>
        <w:tc>
          <w:tcPr>
            <w:tcW w:w="1428" w:type="dxa"/>
            <w:shd w:val="clear" w:color="auto" w:fill="auto"/>
            <w:vAlign w:val="center"/>
          </w:tcPr>
          <w:p w14:paraId="6D89AC51" w14:textId="77777777" w:rsidR="00D26B7E" w:rsidRPr="00D26304" w:rsidRDefault="00D26B7E" w:rsidP="00384253">
            <w:pPr>
              <w:jc w:val="center"/>
              <w:rPr>
                <w:sz w:val="20"/>
                <w:szCs w:val="20"/>
              </w:rPr>
            </w:pPr>
            <w:r w:rsidRPr="00D26304">
              <w:rPr>
                <w:sz w:val="20"/>
                <w:szCs w:val="20"/>
              </w:rPr>
              <w:t>Yes</w:t>
            </w:r>
          </w:p>
        </w:tc>
        <w:tc>
          <w:tcPr>
            <w:tcW w:w="1430" w:type="dxa"/>
            <w:shd w:val="clear" w:color="auto" w:fill="auto"/>
            <w:vAlign w:val="center"/>
          </w:tcPr>
          <w:p w14:paraId="55A496C9" w14:textId="77777777" w:rsidR="00D26B7E" w:rsidRPr="00D26304" w:rsidRDefault="00D26B7E" w:rsidP="00384253">
            <w:pPr>
              <w:jc w:val="center"/>
              <w:rPr>
                <w:sz w:val="20"/>
                <w:szCs w:val="20"/>
              </w:rPr>
            </w:pPr>
            <w:r w:rsidRPr="00D26304">
              <w:rPr>
                <w:sz w:val="20"/>
                <w:szCs w:val="20"/>
              </w:rPr>
              <w:t>Partial</w:t>
            </w:r>
          </w:p>
        </w:tc>
        <w:tc>
          <w:tcPr>
            <w:tcW w:w="1476" w:type="dxa"/>
            <w:shd w:val="clear" w:color="auto" w:fill="auto"/>
            <w:vAlign w:val="center"/>
          </w:tcPr>
          <w:p w14:paraId="2639847F" w14:textId="77777777" w:rsidR="00D26B7E" w:rsidRPr="00D26304" w:rsidRDefault="00D26B7E" w:rsidP="00384253">
            <w:pPr>
              <w:jc w:val="center"/>
              <w:rPr>
                <w:sz w:val="20"/>
                <w:szCs w:val="20"/>
              </w:rPr>
            </w:pPr>
            <w:r w:rsidRPr="00D26304">
              <w:rPr>
                <w:sz w:val="20"/>
                <w:szCs w:val="20"/>
              </w:rPr>
              <w:t>Yes</w:t>
            </w:r>
          </w:p>
        </w:tc>
        <w:tc>
          <w:tcPr>
            <w:tcW w:w="1433" w:type="dxa"/>
            <w:shd w:val="clear" w:color="auto" w:fill="auto"/>
            <w:vAlign w:val="center"/>
          </w:tcPr>
          <w:p w14:paraId="079CD00F" w14:textId="77777777" w:rsidR="00D26B7E" w:rsidRPr="00D26304" w:rsidRDefault="00D26B7E" w:rsidP="00384253">
            <w:pPr>
              <w:jc w:val="center"/>
              <w:rPr>
                <w:sz w:val="20"/>
                <w:szCs w:val="20"/>
              </w:rPr>
            </w:pPr>
            <w:r w:rsidRPr="00D26304">
              <w:rPr>
                <w:sz w:val="20"/>
                <w:szCs w:val="20"/>
              </w:rPr>
              <w:t>Partial</w:t>
            </w:r>
          </w:p>
        </w:tc>
        <w:tc>
          <w:tcPr>
            <w:tcW w:w="1435" w:type="dxa"/>
            <w:shd w:val="clear" w:color="auto" w:fill="auto"/>
            <w:vAlign w:val="center"/>
          </w:tcPr>
          <w:p w14:paraId="25E693B6" w14:textId="77777777" w:rsidR="00D26B7E" w:rsidRPr="00D26304" w:rsidRDefault="00D26B7E" w:rsidP="00384253">
            <w:pPr>
              <w:jc w:val="center"/>
              <w:rPr>
                <w:sz w:val="20"/>
                <w:szCs w:val="20"/>
              </w:rPr>
            </w:pPr>
            <w:r w:rsidRPr="00D26304">
              <w:rPr>
                <w:sz w:val="20"/>
                <w:szCs w:val="20"/>
              </w:rPr>
              <w:t>Yes</w:t>
            </w:r>
          </w:p>
        </w:tc>
      </w:tr>
      <w:tr w:rsidR="00D26B7E" w:rsidRPr="00D26304" w14:paraId="24FDA8DC" w14:textId="77777777" w:rsidTr="00995B4C">
        <w:trPr>
          <w:trHeight w:val="567"/>
        </w:trPr>
        <w:tc>
          <w:tcPr>
            <w:tcW w:w="1422" w:type="dxa"/>
            <w:tcBorders>
              <w:top w:val="single" w:sz="4" w:space="0" w:color="auto"/>
              <w:left w:val="single" w:sz="4" w:space="0" w:color="auto"/>
              <w:bottom w:val="single" w:sz="4" w:space="0" w:color="auto"/>
              <w:right w:val="single" w:sz="4" w:space="0" w:color="auto"/>
            </w:tcBorders>
            <w:shd w:val="clear" w:color="auto" w:fill="410096"/>
            <w:vAlign w:val="center"/>
          </w:tcPr>
          <w:p w14:paraId="13E9F978" w14:textId="77777777" w:rsidR="00D26B7E" w:rsidRPr="00511AE9" w:rsidRDefault="00D26B7E" w:rsidP="00384253">
            <w:pPr>
              <w:jc w:val="center"/>
              <w:rPr>
                <w:b/>
                <w:bCs/>
                <w:color w:val="FFFFFF" w:themeColor="background1"/>
                <w:sz w:val="22"/>
                <w:szCs w:val="22"/>
              </w:rPr>
            </w:pPr>
            <w:r w:rsidRPr="00511AE9">
              <w:rPr>
                <w:b/>
                <w:bCs/>
                <w:color w:val="FFFFFF" w:themeColor="background1"/>
                <w:sz w:val="22"/>
                <w:szCs w:val="22"/>
              </w:rPr>
              <w:t>Deakin</w:t>
            </w:r>
          </w:p>
        </w:tc>
        <w:tc>
          <w:tcPr>
            <w:tcW w:w="1435" w:type="dxa"/>
            <w:tcBorders>
              <w:left w:val="single" w:sz="4" w:space="0" w:color="auto"/>
            </w:tcBorders>
            <w:shd w:val="clear" w:color="auto" w:fill="auto"/>
            <w:vAlign w:val="center"/>
          </w:tcPr>
          <w:p w14:paraId="12141FA7" w14:textId="77777777" w:rsidR="00D26B7E" w:rsidRPr="00D26304" w:rsidRDefault="00D26B7E" w:rsidP="00384253">
            <w:pPr>
              <w:jc w:val="center"/>
              <w:rPr>
                <w:sz w:val="20"/>
                <w:szCs w:val="20"/>
              </w:rPr>
            </w:pPr>
            <w:r w:rsidRPr="00D26304">
              <w:rPr>
                <w:sz w:val="20"/>
                <w:szCs w:val="20"/>
              </w:rPr>
              <w:t>Partial</w:t>
            </w:r>
          </w:p>
        </w:tc>
        <w:tc>
          <w:tcPr>
            <w:tcW w:w="1430" w:type="dxa"/>
            <w:shd w:val="clear" w:color="auto" w:fill="auto"/>
            <w:vAlign w:val="center"/>
          </w:tcPr>
          <w:p w14:paraId="290EFFD8" w14:textId="77777777" w:rsidR="00D26B7E" w:rsidRPr="00D26304" w:rsidRDefault="00D26B7E" w:rsidP="00384253">
            <w:pPr>
              <w:jc w:val="center"/>
              <w:rPr>
                <w:sz w:val="20"/>
                <w:szCs w:val="20"/>
              </w:rPr>
            </w:pPr>
            <w:r w:rsidRPr="00D26304">
              <w:rPr>
                <w:sz w:val="20"/>
                <w:szCs w:val="20"/>
              </w:rPr>
              <w:t>Yes</w:t>
            </w:r>
          </w:p>
        </w:tc>
        <w:tc>
          <w:tcPr>
            <w:tcW w:w="1436" w:type="dxa"/>
            <w:shd w:val="clear" w:color="auto" w:fill="auto"/>
            <w:vAlign w:val="center"/>
          </w:tcPr>
          <w:p w14:paraId="3F79C175" w14:textId="77777777" w:rsidR="00D26B7E" w:rsidRPr="00D26304" w:rsidRDefault="00D26B7E" w:rsidP="00384253">
            <w:pPr>
              <w:jc w:val="center"/>
              <w:rPr>
                <w:sz w:val="20"/>
                <w:szCs w:val="20"/>
              </w:rPr>
            </w:pPr>
            <w:r w:rsidRPr="00D26304">
              <w:rPr>
                <w:sz w:val="20"/>
                <w:szCs w:val="20"/>
              </w:rPr>
              <w:t>Yes</w:t>
            </w:r>
          </w:p>
        </w:tc>
        <w:tc>
          <w:tcPr>
            <w:tcW w:w="1472" w:type="dxa"/>
            <w:shd w:val="clear" w:color="auto" w:fill="auto"/>
            <w:vAlign w:val="center"/>
          </w:tcPr>
          <w:p w14:paraId="3CFF83FD" w14:textId="77777777" w:rsidR="00D26B7E" w:rsidRPr="00D26304" w:rsidRDefault="00D26B7E" w:rsidP="00384253">
            <w:pPr>
              <w:jc w:val="center"/>
              <w:rPr>
                <w:sz w:val="20"/>
                <w:szCs w:val="20"/>
              </w:rPr>
            </w:pPr>
            <w:r w:rsidRPr="00D26304">
              <w:rPr>
                <w:sz w:val="20"/>
                <w:szCs w:val="20"/>
              </w:rPr>
              <w:t>Yes</w:t>
            </w:r>
          </w:p>
        </w:tc>
        <w:tc>
          <w:tcPr>
            <w:tcW w:w="1435" w:type="dxa"/>
            <w:shd w:val="clear" w:color="auto" w:fill="auto"/>
            <w:vAlign w:val="center"/>
          </w:tcPr>
          <w:p w14:paraId="31775CA0" w14:textId="77777777" w:rsidR="00D26B7E" w:rsidRPr="00D26304" w:rsidRDefault="00D26B7E" w:rsidP="00384253">
            <w:pPr>
              <w:jc w:val="center"/>
              <w:rPr>
                <w:sz w:val="20"/>
                <w:szCs w:val="20"/>
              </w:rPr>
            </w:pPr>
            <w:r w:rsidRPr="00D26304">
              <w:rPr>
                <w:sz w:val="20"/>
                <w:szCs w:val="20"/>
              </w:rPr>
              <w:t>Yes</w:t>
            </w:r>
          </w:p>
        </w:tc>
        <w:tc>
          <w:tcPr>
            <w:tcW w:w="1428" w:type="dxa"/>
            <w:shd w:val="clear" w:color="auto" w:fill="auto"/>
            <w:vAlign w:val="center"/>
          </w:tcPr>
          <w:p w14:paraId="4B292630" w14:textId="77777777" w:rsidR="00D26B7E" w:rsidRPr="00D26304" w:rsidRDefault="00D26B7E" w:rsidP="00384253">
            <w:pPr>
              <w:jc w:val="center"/>
              <w:rPr>
                <w:sz w:val="20"/>
                <w:szCs w:val="20"/>
              </w:rPr>
            </w:pPr>
            <w:r w:rsidRPr="00D26304">
              <w:rPr>
                <w:sz w:val="20"/>
                <w:szCs w:val="20"/>
              </w:rPr>
              <w:t>Yes</w:t>
            </w:r>
          </w:p>
        </w:tc>
        <w:tc>
          <w:tcPr>
            <w:tcW w:w="1430" w:type="dxa"/>
            <w:shd w:val="clear" w:color="auto" w:fill="auto"/>
            <w:vAlign w:val="center"/>
          </w:tcPr>
          <w:p w14:paraId="04AAE4E5" w14:textId="77777777" w:rsidR="00D26B7E" w:rsidRPr="00D26304" w:rsidRDefault="00D26B7E" w:rsidP="00384253">
            <w:pPr>
              <w:jc w:val="center"/>
              <w:rPr>
                <w:sz w:val="20"/>
                <w:szCs w:val="20"/>
              </w:rPr>
            </w:pPr>
            <w:r w:rsidRPr="00D26304">
              <w:rPr>
                <w:sz w:val="20"/>
                <w:szCs w:val="20"/>
              </w:rPr>
              <w:t>Yes</w:t>
            </w:r>
          </w:p>
        </w:tc>
        <w:tc>
          <w:tcPr>
            <w:tcW w:w="1476" w:type="dxa"/>
            <w:shd w:val="clear" w:color="auto" w:fill="auto"/>
            <w:vAlign w:val="center"/>
          </w:tcPr>
          <w:p w14:paraId="2B1BD66C" w14:textId="77777777" w:rsidR="00D26B7E" w:rsidRPr="00D26304" w:rsidRDefault="00D26B7E" w:rsidP="00384253">
            <w:pPr>
              <w:jc w:val="center"/>
              <w:rPr>
                <w:sz w:val="20"/>
                <w:szCs w:val="20"/>
              </w:rPr>
            </w:pPr>
            <w:r w:rsidRPr="00D26304">
              <w:rPr>
                <w:sz w:val="20"/>
                <w:szCs w:val="20"/>
              </w:rPr>
              <w:t>Yes</w:t>
            </w:r>
          </w:p>
        </w:tc>
        <w:tc>
          <w:tcPr>
            <w:tcW w:w="1433" w:type="dxa"/>
            <w:shd w:val="clear" w:color="auto" w:fill="auto"/>
            <w:vAlign w:val="center"/>
          </w:tcPr>
          <w:p w14:paraId="65FDADAC" w14:textId="77777777" w:rsidR="00D26B7E" w:rsidRPr="00D26304" w:rsidRDefault="00D26B7E" w:rsidP="00384253">
            <w:pPr>
              <w:jc w:val="center"/>
              <w:rPr>
                <w:sz w:val="20"/>
                <w:szCs w:val="20"/>
              </w:rPr>
            </w:pPr>
            <w:r w:rsidRPr="00D26304">
              <w:rPr>
                <w:sz w:val="20"/>
                <w:szCs w:val="20"/>
              </w:rPr>
              <w:t>Yes</w:t>
            </w:r>
          </w:p>
        </w:tc>
        <w:tc>
          <w:tcPr>
            <w:tcW w:w="1435" w:type="dxa"/>
            <w:shd w:val="clear" w:color="auto" w:fill="auto"/>
            <w:vAlign w:val="center"/>
          </w:tcPr>
          <w:p w14:paraId="4FFC816A" w14:textId="77777777" w:rsidR="00D26B7E" w:rsidRPr="00D26304" w:rsidRDefault="00D26B7E" w:rsidP="00384253">
            <w:pPr>
              <w:jc w:val="center"/>
              <w:rPr>
                <w:sz w:val="20"/>
                <w:szCs w:val="20"/>
              </w:rPr>
            </w:pPr>
            <w:r w:rsidRPr="00D26304">
              <w:rPr>
                <w:sz w:val="20"/>
                <w:szCs w:val="20"/>
              </w:rPr>
              <w:t>Yes</w:t>
            </w:r>
          </w:p>
        </w:tc>
      </w:tr>
      <w:tr w:rsidR="00D26B7E" w:rsidRPr="00D26304" w14:paraId="3792287F" w14:textId="77777777" w:rsidTr="00995B4C">
        <w:trPr>
          <w:trHeight w:val="567"/>
        </w:trPr>
        <w:tc>
          <w:tcPr>
            <w:tcW w:w="1422" w:type="dxa"/>
            <w:tcBorders>
              <w:top w:val="single" w:sz="4" w:space="0" w:color="auto"/>
              <w:left w:val="single" w:sz="4" w:space="0" w:color="auto"/>
              <w:bottom w:val="single" w:sz="4" w:space="0" w:color="auto"/>
              <w:right w:val="single" w:sz="4" w:space="0" w:color="auto"/>
            </w:tcBorders>
            <w:shd w:val="clear" w:color="auto" w:fill="410096"/>
            <w:vAlign w:val="center"/>
          </w:tcPr>
          <w:p w14:paraId="3243C23C" w14:textId="77777777" w:rsidR="00D26B7E" w:rsidRPr="00511AE9" w:rsidRDefault="00D26B7E" w:rsidP="00384253">
            <w:pPr>
              <w:jc w:val="center"/>
              <w:rPr>
                <w:b/>
                <w:bCs/>
                <w:color w:val="FFFFFF" w:themeColor="background1"/>
                <w:sz w:val="22"/>
                <w:szCs w:val="22"/>
              </w:rPr>
            </w:pPr>
            <w:r w:rsidRPr="00511AE9">
              <w:rPr>
                <w:b/>
                <w:bCs/>
                <w:color w:val="FFFFFF" w:themeColor="background1"/>
                <w:sz w:val="22"/>
                <w:szCs w:val="22"/>
              </w:rPr>
              <w:t>Federation</w:t>
            </w:r>
          </w:p>
        </w:tc>
        <w:tc>
          <w:tcPr>
            <w:tcW w:w="1435" w:type="dxa"/>
            <w:tcBorders>
              <w:left w:val="single" w:sz="4" w:space="0" w:color="auto"/>
            </w:tcBorders>
            <w:shd w:val="clear" w:color="auto" w:fill="auto"/>
            <w:vAlign w:val="center"/>
          </w:tcPr>
          <w:p w14:paraId="6C7F481E" w14:textId="77777777" w:rsidR="00D26B7E" w:rsidRPr="00D26304" w:rsidRDefault="00D26B7E" w:rsidP="00384253">
            <w:pPr>
              <w:jc w:val="center"/>
              <w:rPr>
                <w:sz w:val="20"/>
                <w:szCs w:val="20"/>
              </w:rPr>
            </w:pPr>
            <w:r w:rsidRPr="00D26304">
              <w:rPr>
                <w:sz w:val="20"/>
                <w:szCs w:val="20"/>
              </w:rPr>
              <w:t>Partial</w:t>
            </w:r>
          </w:p>
        </w:tc>
        <w:tc>
          <w:tcPr>
            <w:tcW w:w="1430" w:type="dxa"/>
            <w:shd w:val="clear" w:color="auto" w:fill="auto"/>
            <w:vAlign w:val="center"/>
          </w:tcPr>
          <w:p w14:paraId="69FE9C4F" w14:textId="77777777" w:rsidR="00D26B7E" w:rsidRPr="00D26304" w:rsidRDefault="00D26B7E" w:rsidP="00384253">
            <w:pPr>
              <w:jc w:val="center"/>
              <w:rPr>
                <w:sz w:val="20"/>
                <w:szCs w:val="20"/>
              </w:rPr>
            </w:pPr>
            <w:r w:rsidRPr="00D26304">
              <w:rPr>
                <w:sz w:val="20"/>
                <w:szCs w:val="20"/>
              </w:rPr>
              <w:t>Yes</w:t>
            </w:r>
          </w:p>
        </w:tc>
        <w:tc>
          <w:tcPr>
            <w:tcW w:w="1436" w:type="dxa"/>
            <w:shd w:val="clear" w:color="auto" w:fill="auto"/>
            <w:vAlign w:val="center"/>
          </w:tcPr>
          <w:p w14:paraId="67BF74D0" w14:textId="77777777" w:rsidR="00D26B7E" w:rsidRPr="00D26304" w:rsidRDefault="00D26B7E" w:rsidP="00384253">
            <w:pPr>
              <w:jc w:val="center"/>
              <w:rPr>
                <w:sz w:val="20"/>
                <w:szCs w:val="20"/>
              </w:rPr>
            </w:pPr>
            <w:r w:rsidRPr="00D26304">
              <w:rPr>
                <w:sz w:val="20"/>
                <w:szCs w:val="20"/>
              </w:rPr>
              <w:t>Partial</w:t>
            </w:r>
          </w:p>
        </w:tc>
        <w:tc>
          <w:tcPr>
            <w:tcW w:w="1472" w:type="dxa"/>
            <w:shd w:val="clear" w:color="auto" w:fill="auto"/>
            <w:vAlign w:val="center"/>
          </w:tcPr>
          <w:p w14:paraId="36F141E7" w14:textId="77777777" w:rsidR="00D26B7E" w:rsidRPr="00D26304" w:rsidRDefault="00D26B7E" w:rsidP="00384253">
            <w:pPr>
              <w:jc w:val="center"/>
              <w:rPr>
                <w:sz w:val="20"/>
                <w:szCs w:val="20"/>
              </w:rPr>
            </w:pPr>
            <w:r w:rsidRPr="00D26304">
              <w:rPr>
                <w:sz w:val="20"/>
                <w:szCs w:val="20"/>
              </w:rPr>
              <w:t>Partial</w:t>
            </w:r>
          </w:p>
        </w:tc>
        <w:tc>
          <w:tcPr>
            <w:tcW w:w="1435" w:type="dxa"/>
            <w:shd w:val="clear" w:color="auto" w:fill="auto"/>
            <w:vAlign w:val="center"/>
          </w:tcPr>
          <w:p w14:paraId="607A1BCC" w14:textId="77777777" w:rsidR="00D26B7E" w:rsidRPr="00D26304" w:rsidRDefault="00D26B7E" w:rsidP="00384253">
            <w:pPr>
              <w:jc w:val="center"/>
              <w:rPr>
                <w:sz w:val="20"/>
                <w:szCs w:val="20"/>
              </w:rPr>
            </w:pPr>
            <w:r w:rsidRPr="00D26304">
              <w:rPr>
                <w:sz w:val="20"/>
                <w:szCs w:val="20"/>
              </w:rPr>
              <w:t>No</w:t>
            </w:r>
          </w:p>
        </w:tc>
        <w:tc>
          <w:tcPr>
            <w:tcW w:w="1428" w:type="dxa"/>
            <w:shd w:val="clear" w:color="auto" w:fill="auto"/>
            <w:vAlign w:val="center"/>
          </w:tcPr>
          <w:p w14:paraId="47895BFE" w14:textId="77777777" w:rsidR="00D26B7E" w:rsidRPr="00D26304" w:rsidRDefault="00D26B7E" w:rsidP="00384253">
            <w:pPr>
              <w:jc w:val="center"/>
              <w:rPr>
                <w:sz w:val="20"/>
                <w:szCs w:val="20"/>
              </w:rPr>
            </w:pPr>
            <w:r w:rsidRPr="00D26304">
              <w:rPr>
                <w:sz w:val="20"/>
                <w:szCs w:val="20"/>
              </w:rPr>
              <w:t>Yes</w:t>
            </w:r>
          </w:p>
        </w:tc>
        <w:tc>
          <w:tcPr>
            <w:tcW w:w="1430" w:type="dxa"/>
            <w:shd w:val="clear" w:color="auto" w:fill="auto"/>
            <w:vAlign w:val="center"/>
          </w:tcPr>
          <w:p w14:paraId="7B9AF4EA" w14:textId="77777777" w:rsidR="00D26B7E" w:rsidRPr="00D26304" w:rsidRDefault="00D26B7E" w:rsidP="00384253">
            <w:pPr>
              <w:jc w:val="center"/>
              <w:rPr>
                <w:sz w:val="20"/>
                <w:szCs w:val="20"/>
              </w:rPr>
            </w:pPr>
            <w:r w:rsidRPr="00D26304">
              <w:rPr>
                <w:sz w:val="20"/>
                <w:szCs w:val="20"/>
              </w:rPr>
              <w:t>No</w:t>
            </w:r>
          </w:p>
        </w:tc>
        <w:tc>
          <w:tcPr>
            <w:tcW w:w="1476" w:type="dxa"/>
            <w:shd w:val="clear" w:color="auto" w:fill="auto"/>
            <w:vAlign w:val="center"/>
          </w:tcPr>
          <w:p w14:paraId="02B2A674" w14:textId="77777777" w:rsidR="00D26B7E" w:rsidRPr="00D26304" w:rsidRDefault="00D26B7E" w:rsidP="00384253">
            <w:pPr>
              <w:jc w:val="center"/>
              <w:rPr>
                <w:sz w:val="20"/>
                <w:szCs w:val="20"/>
              </w:rPr>
            </w:pPr>
            <w:r w:rsidRPr="00D26304">
              <w:rPr>
                <w:sz w:val="20"/>
                <w:szCs w:val="20"/>
              </w:rPr>
              <w:t>Yes</w:t>
            </w:r>
          </w:p>
        </w:tc>
        <w:tc>
          <w:tcPr>
            <w:tcW w:w="1433" w:type="dxa"/>
            <w:shd w:val="clear" w:color="auto" w:fill="auto"/>
            <w:vAlign w:val="center"/>
          </w:tcPr>
          <w:p w14:paraId="1AA863EB" w14:textId="77777777" w:rsidR="00D26B7E" w:rsidRPr="00D26304" w:rsidRDefault="00D26B7E" w:rsidP="00384253">
            <w:pPr>
              <w:jc w:val="center"/>
              <w:rPr>
                <w:sz w:val="20"/>
                <w:szCs w:val="20"/>
              </w:rPr>
            </w:pPr>
            <w:r w:rsidRPr="00D26304">
              <w:rPr>
                <w:sz w:val="20"/>
                <w:szCs w:val="20"/>
              </w:rPr>
              <w:t>Yes</w:t>
            </w:r>
          </w:p>
        </w:tc>
        <w:tc>
          <w:tcPr>
            <w:tcW w:w="1435" w:type="dxa"/>
            <w:shd w:val="clear" w:color="auto" w:fill="auto"/>
            <w:vAlign w:val="center"/>
          </w:tcPr>
          <w:p w14:paraId="490DF58E" w14:textId="77777777" w:rsidR="00D26B7E" w:rsidRPr="00D26304" w:rsidRDefault="00D26B7E" w:rsidP="00384253">
            <w:pPr>
              <w:jc w:val="center"/>
              <w:rPr>
                <w:sz w:val="20"/>
                <w:szCs w:val="20"/>
              </w:rPr>
            </w:pPr>
            <w:r w:rsidRPr="00D26304">
              <w:rPr>
                <w:sz w:val="20"/>
                <w:szCs w:val="20"/>
              </w:rPr>
              <w:t>Yes</w:t>
            </w:r>
          </w:p>
        </w:tc>
      </w:tr>
      <w:tr w:rsidR="00D26B7E" w:rsidRPr="00D26304" w14:paraId="4C28BA5C" w14:textId="77777777" w:rsidTr="00995B4C">
        <w:trPr>
          <w:trHeight w:val="567"/>
        </w:trPr>
        <w:tc>
          <w:tcPr>
            <w:tcW w:w="1422" w:type="dxa"/>
            <w:tcBorders>
              <w:top w:val="single" w:sz="4" w:space="0" w:color="auto"/>
              <w:left w:val="single" w:sz="4" w:space="0" w:color="auto"/>
              <w:bottom w:val="single" w:sz="4" w:space="0" w:color="auto"/>
              <w:right w:val="single" w:sz="4" w:space="0" w:color="auto"/>
            </w:tcBorders>
            <w:shd w:val="clear" w:color="auto" w:fill="410096"/>
            <w:vAlign w:val="center"/>
          </w:tcPr>
          <w:p w14:paraId="7D2856CA" w14:textId="77777777" w:rsidR="00D26B7E" w:rsidRPr="00511AE9" w:rsidRDefault="00D26B7E" w:rsidP="00384253">
            <w:pPr>
              <w:jc w:val="center"/>
              <w:rPr>
                <w:b/>
                <w:bCs/>
                <w:color w:val="FFFFFF" w:themeColor="background1"/>
                <w:sz w:val="22"/>
                <w:szCs w:val="22"/>
              </w:rPr>
            </w:pPr>
            <w:r w:rsidRPr="00511AE9">
              <w:rPr>
                <w:b/>
                <w:bCs/>
                <w:color w:val="FFFFFF" w:themeColor="background1"/>
                <w:sz w:val="22"/>
                <w:szCs w:val="22"/>
              </w:rPr>
              <w:t>RMIT</w:t>
            </w:r>
          </w:p>
        </w:tc>
        <w:tc>
          <w:tcPr>
            <w:tcW w:w="1435" w:type="dxa"/>
            <w:tcBorders>
              <w:left w:val="single" w:sz="4" w:space="0" w:color="auto"/>
            </w:tcBorders>
            <w:shd w:val="clear" w:color="auto" w:fill="auto"/>
            <w:vAlign w:val="center"/>
          </w:tcPr>
          <w:p w14:paraId="0F968E9A" w14:textId="77777777" w:rsidR="00D26B7E" w:rsidRPr="00D26304" w:rsidRDefault="00D26B7E" w:rsidP="00384253">
            <w:pPr>
              <w:jc w:val="center"/>
              <w:rPr>
                <w:sz w:val="20"/>
                <w:szCs w:val="20"/>
              </w:rPr>
            </w:pPr>
            <w:r w:rsidRPr="00D26304">
              <w:rPr>
                <w:sz w:val="20"/>
                <w:szCs w:val="20"/>
              </w:rPr>
              <w:t>Yes</w:t>
            </w:r>
          </w:p>
        </w:tc>
        <w:tc>
          <w:tcPr>
            <w:tcW w:w="1430" w:type="dxa"/>
            <w:shd w:val="clear" w:color="auto" w:fill="auto"/>
            <w:vAlign w:val="center"/>
          </w:tcPr>
          <w:p w14:paraId="1DE9704E" w14:textId="77777777" w:rsidR="00D26B7E" w:rsidRPr="00D26304" w:rsidRDefault="00D26B7E" w:rsidP="00384253">
            <w:pPr>
              <w:jc w:val="center"/>
              <w:rPr>
                <w:sz w:val="20"/>
                <w:szCs w:val="20"/>
              </w:rPr>
            </w:pPr>
            <w:r w:rsidRPr="00D26304">
              <w:rPr>
                <w:sz w:val="20"/>
                <w:szCs w:val="20"/>
              </w:rPr>
              <w:t>Yes</w:t>
            </w:r>
          </w:p>
        </w:tc>
        <w:tc>
          <w:tcPr>
            <w:tcW w:w="1436" w:type="dxa"/>
            <w:shd w:val="clear" w:color="auto" w:fill="auto"/>
            <w:vAlign w:val="center"/>
          </w:tcPr>
          <w:p w14:paraId="1F862952" w14:textId="77777777" w:rsidR="00D26B7E" w:rsidRPr="00D26304" w:rsidRDefault="00D26B7E" w:rsidP="00384253">
            <w:pPr>
              <w:jc w:val="center"/>
              <w:rPr>
                <w:sz w:val="20"/>
                <w:szCs w:val="20"/>
              </w:rPr>
            </w:pPr>
            <w:r w:rsidRPr="00D26304">
              <w:rPr>
                <w:sz w:val="20"/>
                <w:szCs w:val="20"/>
              </w:rPr>
              <w:t>Yes</w:t>
            </w:r>
          </w:p>
        </w:tc>
        <w:tc>
          <w:tcPr>
            <w:tcW w:w="1472" w:type="dxa"/>
            <w:shd w:val="clear" w:color="auto" w:fill="auto"/>
            <w:vAlign w:val="center"/>
          </w:tcPr>
          <w:p w14:paraId="78EBDF1D" w14:textId="77777777" w:rsidR="00D26B7E" w:rsidRPr="00D26304" w:rsidRDefault="00D26B7E" w:rsidP="00384253">
            <w:pPr>
              <w:jc w:val="center"/>
              <w:rPr>
                <w:sz w:val="20"/>
                <w:szCs w:val="20"/>
              </w:rPr>
            </w:pPr>
            <w:r w:rsidRPr="00D26304">
              <w:rPr>
                <w:sz w:val="20"/>
                <w:szCs w:val="20"/>
              </w:rPr>
              <w:t>Partial</w:t>
            </w:r>
          </w:p>
        </w:tc>
        <w:tc>
          <w:tcPr>
            <w:tcW w:w="1435" w:type="dxa"/>
            <w:shd w:val="clear" w:color="auto" w:fill="auto"/>
            <w:vAlign w:val="center"/>
          </w:tcPr>
          <w:p w14:paraId="0BDB61CF" w14:textId="77777777" w:rsidR="00D26B7E" w:rsidRPr="00D26304" w:rsidRDefault="00D26B7E" w:rsidP="00384253">
            <w:pPr>
              <w:jc w:val="center"/>
              <w:rPr>
                <w:sz w:val="20"/>
                <w:szCs w:val="20"/>
              </w:rPr>
            </w:pPr>
            <w:r w:rsidRPr="00D26304">
              <w:rPr>
                <w:sz w:val="20"/>
                <w:szCs w:val="20"/>
              </w:rPr>
              <w:t>Partial</w:t>
            </w:r>
          </w:p>
        </w:tc>
        <w:tc>
          <w:tcPr>
            <w:tcW w:w="1428" w:type="dxa"/>
            <w:shd w:val="clear" w:color="auto" w:fill="auto"/>
            <w:vAlign w:val="center"/>
          </w:tcPr>
          <w:p w14:paraId="7A4408DA" w14:textId="77777777" w:rsidR="00D26B7E" w:rsidRPr="00D26304" w:rsidRDefault="00D26B7E" w:rsidP="00384253">
            <w:pPr>
              <w:jc w:val="center"/>
              <w:rPr>
                <w:sz w:val="20"/>
                <w:szCs w:val="20"/>
              </w:rPr>
            </w:pPr>
            <w:r w:rsidRPr="00D26304">
              <w:rPr>
                <w:sz w:val="20"/>
                <w:szCs w:val="20"/>
              </w:rPr>
              <w:t>Yes</w:t>
            </w:r>
          </w:p>
        </w:tc>
        <w:tc>
          <w:tcPr>
            <w:tcW w:w="1430" w:type="dxa"/>
            <w:shd w:val="clear" w:color="auto" w:fill="auto"/>
            <w:vAlign w:val="center"/>
          </w:tcPr>
          <w:p w14:paraId="1F149E6A" w14:textId="77777777" w:rsidR="00D26B7E" w:rsidRPr="00D26304" w:rsidRDefault="00D26B7E" w:rsidP="00384253">
            <w:pPr>
              <w:jc w:val="center"/>
              <w:rPr>
                <w:sz w:val="20"/>
                <w:szCs w:val="20"/>
              </w:rPr>
            </w:pPr>
            <w:r w:rsidRPr="00D26304">
              <w:rPr>
                <w:sz w:val="20"/>
                <w:szCs w:val="20"/>
              </w:rPr>
              <w:t>Yes</w:t>
            </w:r>
          </w:p>
        </w:tc>
        <w:tc>
          <w:tcPr>
            <w:tcW w:w="1476" w:type="dxa"/>
            <w:shd w:val="clear" w:color="auto" w:fill="auto"/>
            <w:vAlign w:val="center"/>
          </w:tcPr>
          <w:p w14:paraId="750E0EDD" w14:textId="77777777" w:rsidR="00D26B7E" w:rsidRPr="00D26304" w:rsidRDefault="00D26B7E" w:rsidP="00384253">
            <w:pPr>
              <w:jc w:val="center"/>
              <w:rPr>
                <w:sz w:val="20"/>
                <w:szCs w:val="20"/>
              </w:rPr>
            </w:pPr>
            <w:r w:rsidRPr="00D26304">
              <w:rPr>
                <w:sz w:val="20"/>
                <w:szCs w:val="20"/>
              </w:rPr>
              <w:t>Partial</w:t>
            </w:r>
          </w:p>
        </w:tc>
        <w:tc>
          <w:tcPr>
            <w:tcW w:w="1433" w:type="dxa"/>
            <w:shd w:val="clear" w:color="auto" w:fill="auto"/>
            <w:vAlign w:val="center"/>
          </w:tcPr>
          <w:p w14:paraId="375D23A1" w14:textId="77777777" w:rsidR="00D26B7E" w:rsidRPr="00D26304" w:rsidRDefault="00D26B7E" w:rsidP="00384253">
            <w:pPr>
              <w:jc w:val="center"/>
              <w:rPr>
                <w:sz w:val="20"/>
                <w:szCs w:val="20"/>
              </w:rPr>
            </w:pPr>
            <w:r w:rsidRPr="00D26304">
              <w:rPr>
                <w:sz w:val="20"/>
                <w:szCs w:val="20"/>
              </w:rPr>
              <w:t>No</w:t>
            </w:r>
          </w:p>
        </w:tc>
        <w:tc>
          <w:tcPr>
            <w:tcW w:w="1435" w:type="dxa"/>
            <w:shd w:val="clear" w:color="auto" w:fill="auto"/>
            <w:vAlign w:val="center"/>
          </w:tcPr>
          <w:p w14:paraId="0B2CAE55" w14:textId="77777777" w:rsidR="00D26B7E" w:rsidRPr="00D26304" w:rsidRDefault="00D26B7E" w:rsidP="00384253">
            <w:pPr>
              <w:jc w:val="center"/>
              <w:rPr>
                <w:sz w:val="20"/>
                <w:szCs w:val="20"/>
              </w:rPr>
            </w:pPr>
            <w:r w:rsidRPr="00D26304">
              <w:rPr>
                <w:sz w:val="20"/>
                <w:szCs w:val="20"/>
              </w:rPr>
              <w:t>Yes</w:t>
            </w:r>
          </w:p>
        </w:tc>
      </w:tr>
      <w:tr w:rsidR="00D26B7E" w:rsidRPr="00D26304" w14:paraId="058006BA" w14:textId="77777777" w:rsidTr="00995B4C">
        <w:trPr>
          <w:trHeight w:val="567"/>
        </w:trPr>
        <w:tc>
          <w:tcPr>
            <w:tcW w:w="1422" w:type="dxa"/>
            <w:tcBorders>
              <w:top w:val="single" w:sz="4" w:space="0" w:color="auto"/>
              <w:left w:val="single" w:sz="4" w:space="0" w:color="auto"/>
              <w:bottom w:val="single" w:sz="4" w:space="0" w:color="auto"/>
              <w:right w:val="single" w:sz="4" w:space="0" w:color="auto"/>
            </w:tcBorders>
            <w:shd w:val="clear" w:color="auto" w:fill="410096"/>
            <w:vAlign w:val="center"/>
          </w:tcPr>
          <w:p w14:paraId="51824033" w14:textId="77777777" w:rsidR="00D26B7E" w:rsidRPr="00511AE9" w:rsidRDefault="00D26B7E" w:rsidP="00384253">
            <w:pPr>
              <w:jc w:val="center"/>
              <w:rPr>
                <w:b/>
                <w:bCs/>
                <w:color w:val="FFFFFF" w:themeColor="background1"/>
                <w:sz w:val="22"/>
                <w:szCs w:val="22"/>
              </w:rPr>
            </w:pPr>
            <w:r w:rsidRPr="00511AE9">
              <w:rPr>
                <w:b/>
                <w:bCs/>
                <w:color w:val="FFFFFF" w:themeColor="background1"/>
                <w:sz w:val="22"/>
                <w:szCs w:val="22"/>
              </w:rPr>
              <w:t>Monash</w:t>
            </w:r>
          </w:p>
        </w:tc>
        <w:tc>
          <w:tcPr>
            <w:tcW w:w="1435" w:type="dxa"/>
            <w:tcBorders>
              <w:left w:val="single" w:sz="4" w:space="0" w:color="auto"/>
            </w:tcBorders>
            <w:shd w:val="clear" w:color="auto" w:fill="auto"/>
            <w:vAlign w:val="center"/>
          </w:tcPr>
          <w:p w14:paraId="0CE5CA22" w14:textId="77777777" w:rsidR="00D26B7E" w:rsidRPr="00D26304" w:rsidRDefault="00D26B7E" w:rsidP="00384253">
            <w:pPr>
              <w:jc w:val="center"/>
              <w:rPr>
                <w:sz w:val="20"/>
                <w:szCs w:val="20"/>
              </w:rPr>
            </w:pPr>
            <w:r w:rsidRPr="00D26304">
              <w:rPr>
                <w:sz w:val="20"/>
                <w:szCs w:val="20"/>
              </w:rPr>
              <w:t>Yes</w:t>
            </w:r>
          </w:p>
        </w:tc>
        <w:tc>
          <w:tcPr>
            <w:tcW w:w="1430" w:type="dxa"/>
            <w:shd w:val="clear" w:color="auto" w:fill="auto"/>
            <w:vAlign w:val="center"/>
          </w:tcPr>
          <w:p w14:paraId="66883984" w14:textId="77777777" w:rsidR="00D26B7E" w:rsidRPr="00D26304" w:rsidRDefault="00D26B7E" w:rsidP="00384253">
            <w:pPr>
              <w:jc w:val="center"/>
              <w:rPr>
                <w:sz w:val="20"/>
                <w:szCs w:val="20"/>
              </w:rPr>
            </w:pPr>
            <w:r w:rsidRPr="00D26304">
              <w:rPr>
                <w:sz w:val="20"/>
                <w:szCs w:val="20"/>
              </w:rPr>
              <w:t>Yes</w:t>
            </w:r>
          </w:p>
        </w:tc>
        <w:tc>
          <w:tcPr>
            <w:tcW w:w="1436" w:type="dxa"/>
            <w:shd w:val="clear" w:color="auto" w:fill="auto"/>
            <w:vAlign w:val="center"/>
          </w:tcPr>
          <w:p w14:paraId="13135B84" w14:textId="77777777" w:rsidR="00D26B7E" w:rsidRPr="00D26304" w:rsidRDefault="00D26B7E" w:rsidP="00384253">
            <w:pPr>
              <w:jc w:val="center"/>
              <w:rPr>
                <w:sz w:val="20"/>
                <w:szCs w:val="20"/>
              </w:rPr>
            </w:pPr>
            <w:r w:rsidRPr="00D26304">
              <w:rPr>
                <w:sz w:val="20"/>
                <w:szCs w:val="20"/>
              </w:rPr>
              <w:t>Yes</w:t>
            </w:r>
          </w:p>
        </w:tc>
        <w:tc>
          <w:tcPr>
            <w:tcW w:w="1472" w:type="dxa"/>
            <w:shd w:val="clear" w:color="auto" w:fill="auto"/>
            <w:vAlign w:val="center"/>
          </w:tcPr>
          <w:p w14:paraId="68AA9345" w14:textId="77777777" w:rsidR="00D26B7E" w:rsidRPr="00D26304" w:rsidRDefault="00D26B7E" w:rsidP="00384253">
            <w:pPr>
              <w:jc w:val="center"/>
              <w:rPr>
                <w:sz w:val="20"/>
                <w:szCs w:val="20"/>
              </w:rPr>
            </w:pPr>
            <w:r w:rsidRPr="00D26304">
              <w:rPr>
                <w:sz w:val="20"/>
                <w:szCs w:val="20"/>
              </w:rPr>
              <w:t>Yes</w:t>
            </w:r>
          </w:p>
        </w:tc>
        <w:tc>
          <w:tcPr>
            <w:tcW w:w="1435" w:type="dxa"/>
            <w:shd w:val="clear" w:color="auto" w:fill="auto"/>
            <w:vAlign w:val="center"/>
          </w:tcPr>
          <w:p w14:paraId="72E0A05F" w14:textId="77777777" w:rsidR="00D26B7E" w:rsidRPr="00D26304" w:rsidRDefault="00D26B7E" w:rsidP="00384253">
            <w:pPr>
              <w:jc w:val="center"/>
              <w:rPr>
                <w:sz w:val="20"/>
                <w:szCs w:val="20"/>
              </w:rPr>
            </w:pPr>
            <w:r w:rsidRPr="00D26304">
              <w:rPr>
                <w:sz w:val="20"/>
                <w:szCs w:val="20"/>
              </w:rPr>
              <w:t>Yes</w:t>
            </w:r>
          </w:p>
        </w:tc>
        <w:tc>
          <w:tcPr>
            <w:tcW w:w="1428" w:type="dxa"/>
            <w:shd w:val="clear" w:color="auto" w:fill="auto"/>
            <w:vAlign w:val="center"/>
          </w:tcPr>
          <w:p w14:paraId="2E754257" w14:textId="77777777" w:rsidR="00D26B7E" w:rsidRPr="00D26304" w:rsidRDefault="00D26B7E" w:rsidP="00384253">
            <w:pPr>
              <w:jc w:val="center"/>
              <w:rPr>
                <w:sz w:val="20"/>
                <w:szCs w:val="20"/>
              </w:rPr>
            </w:pPr>
            <w:r w:rsidRPr="00D26304">
              <w:rPr>
                <w:sz w:val="20"/>
                <w:szCs w:val="20"/>
              </w:rPr>
              <w:t>Yes</w:t>
            </w:r>
          </w:p>
        </w:tc>
        <w:tc>
          <w:tcPr>
            <w:tcW w:w="1430" w:type="dxa"/>
            <w:shd w:val="clear" w:color="auto" w:fill="auto"/>
            <w:vAlign w:val="center"/>
          </w:tcPr>
          <w:p w14:paraId="637ED7C0" w14:textId="77777777" w:rsidR="00D26B7E" w:rsidRPr="00D26304" w:rsidRDefault="00D26B7E" w:rsidP="00384253">
            <w:pPr>
              <w:jc w:val="center"/>
              <w:rPr>
                <w:sz w:val="20"/>
                <w:szCs w:val="20"/>
              </w:rPr>
            </w:pPr>
            <w:r w:rsidRPr="00D26304">
              <w:rPr>
                <w:sz w:val="20"/>
                <w:szCs w:val="20"/>
              </w:rPr>
              <w:t>Yes</w:t>
            </w:r>
          </w:p>
        </w:tc>
        <w:tc>
          <w:tcPr>
            <w:tcW w:w="1476" w:type="dxa"/>
            <w:shd w:val="clear" w:color="auto" w:fill="auto"/>
            <w:vAlign w:val="center"/>
          </w:tcPr>
          <w:p w14:paraId="1427B9EB" w14:textId="77777777" w:rsidR="00D26B7E" w:rsidRPr="00D26304" w:rsidRDefault="00D26B7E" w:rsidP="00384253">
            <w:pPr>
              <w:jc w:val="center"/>
              <w:rPr>
                <w:sz w:val="20"/>
                <w:szCs w:val="20"/>
              </w:rPr>
            </w:pPr>
            <w:r w:rsidRPr="00D26304">
              <w:rPr>
                <w:sz w:val="20"/>
                <w:szCs w:val="20"/>
              </w:rPr>
              <w:t>Yes</w:t>
            </w:r>
          </w:p>
        </w:tc>
        <w:tc>
          <w:tcPr>
            <w:tcW w:w="1433" w:type="dxa"/>
            <w:shd w:val="clear" w:color="auto" w:fill="auto"/>
            <w:vAlign w:val="center"/>
          </w:tcPr>
          <w:p w14:paraId="531425B1" w14:textId="77777777" w:rsidR="00D26B7E" w:rsidRPr="00D26304" w:rsidRDefault="00D26B7E" w:rsidP="00384253">
            <w:pPr>
              <w:jc w:val="center"/>
              <w:rPr>
                <w:sz w:val="20"/>
                <w:szCs w:val="20"/>
              </w:rPr>
            </w:pPr>
            <w:r w:rsidRPr="00D26304">
              <w:rPr>
                <w:sz w:val="20"/>
                <w:szCs w:val="20"/>
              </w:rPr>
              <w:t>Yes</w:t>
            </w:r>
          </w:p>
        </w:tc>
        <w:tc>
          <w:tcPr>
            <w:tcW w:w="1435" w:type="dxa"/>
            <w:shd w:val="clear" w:color="auto" w:fill="auto"/>
            <w:vAlign w:val="center"/>
          </w:tcPr>
          <w:p w14:paraId="46F6CF6B" w14:textId="77777777" w:rsidR="00D26B7E" w:rsidRPr="00D26304" w:rsidRDefault="00D26B7E" w:rsidP="00384253">
            <w:pPr>
              <w:jc w:val="center"/>
              <w:rPr>
                <w:sz w:val="20"/>
                <w:szCs w:val="20"/>
              </w:rPr>
            </w:pPr>
            <w:r w:rsidRPr="00D26304">
              <w:rPr>
                <w:sz w:val="20"/>
                <w:szCs w:val="20"/>
              </w:rPr>
              <w:t>Yes</w:t>
            </w:r>
          </w:p>
        </w:tc>
      </w:tr>
      <w:tr w:rsidR="00D26B7E" w:rsidRPr="00D26304" w14:paraId="38235DEC" w14:textId="77777777" w:rsidTr="00995B4C">
        <w:trPr>
          <w:trHeight w:val="567"/>
        </w:trPr>
        <w:tc>
          <w:tcPr>
            <w:tcW w:w="1422" w:type="dxa"/>
            <w:tcBorders>
              <w:top w:val="single" w:sz="4" w:space="0" w:color="auto"/>
              <w:left w:val="single" w:sz="4" w:space="0" w:color="auto"/>
              <w:bottom w:val="single" w:sz="4" w:space="0" w:color="auto"/>
              <w:right w:val="single" w:sz="4" w:space="0" w:color="auto"/>
            </w:tcBorders>
            <w:shd w:val="clear" w:color="auto" w:fill="410096"/>
            <w:vAlign w:val="center"/>
          </w:tcPr>
          <w:p w14:paraId="1B8ED2A8" w14:textId="77777777" w:rsidR="00D26B7E" w:rsidRPr="00511AE9" w:rsidRDefault="00D26B7E" w:rsidP="00384253">
            <w:pPr>
              <w:jc w:val="center"/>
              <w:rPr>
                <w:b/>
                <w:bCs/>
                <w:color w:val="FFFFFF" w:themeColor="background1"/>
                <w:sz w:val="22"/>
                <w:szCs w:val="22"/>
              </w:rPr>
            </w:pPr>
            <w:r w:rsidRPr="00511AE9">
              <w:rPr>
                <w:b/>
                <w:bCs/>
                <w:color w:val="FFFFFF" w:themeColor="background1"/>
                <w:sz w:val="22"/>
                <w:szCs w:val="22"/>
              </w:rPr>
              <w:t>Swinburne</w:t>
            </w:r>
          </w:p>
        </w:tc>
        <w:tc>
          <w:tcPr>
            <w:tcW w:w="1435" w:type="dxa"/>
            <w:tcBorders>
              <w:left w:val="single" w:sz="4" w:space="0" w:color="auto"/>
            </w:tcBorders>
            <w:shd w:val="clear" w:color="auto" w:fill="auto"/>
            <w:vAlign w:val="center"/>
          </w:tcPr>
          <w:p w14:paraId="51343CA4" w14:textId="77777777" w:rsidR="00D26B7E" w:rsidRPr="00D26304" w:rsidRDefault="00D26B7E" w:rsidP="00384253">
            <w:pPr>
              <w:jc w:val="center"/>
              <w:rPr>
                <w:sz w:val="20"/>
                <w:szCs w:val="20"/>
              </w:rPr>
            </w:pPr>
            <w:r w:rsidRPr="00D26304">
              <w:rPr>
                <w:sz w:val="20"/>
                <w:szCs w:val="20"/>
              </w:rPr>
              <w:t>No</w:t>
            </w:r>
          </w:p>
        </w:tc>
        <w:tc>
          <w:tcPr>
            <w:tcW w:w="1430" w:type="dxa"/>
            <w:shd w:val="clear" w:color="auto" w:fill="auto"/>
            <w:vAlign w:val="center"/>
          </w:tcPr>
          <w:p w14:paraId="5C072F9A" w14:textId="77777777" w:rsidR="00D26B7E" w:rsidRPr="00D26304" w:rsidRDefault="00D26B7E" w:rsidP="00384253">
            <w:pPr>
              <w:jc w:val="center"/>
              <w:rPr>
                <w:sz w:val="20"/>
                <w:szCs w:val="20"/>
              </w:rPr>
            </w:pPr>
            <w:r w:rsidRPr="00D26304">
              <w:rPr>
                <w:sz w:val="20"/>
                <w:szCs w:val="20"/>
              </w:rPr>
              <w:t>Partial</w:t>
            </w:r>
          </w:p>
        </w:tc>
        <w:tc>
          <w:tcPr>
            <w:tcW w:w="1436" w:type="dxa"/>
            <w:shd w:val="clear" w:color="auto" w:fill="auto"/>
            <w:vAlign w:val="center"/>
          </w:tcPr>
          <w:p w14:paraId="1ABA007D" w14:textId="77777777" w:rsidR="00D26B7E" w:rsidRPr="00D26304" w:rsidRDefault="00D26B7E" w:rsidP="00384253">
            <w:pPr>
              <w:jc w:val="center"/>
              <w:rPr>
                <w:sz w:val="20"/>
                <w:szCs w:val="20"/>
              </w:rPr>
            </w:pPr>
            <w:r w:rsidRPr="00D26304">
              <w:rPr>
                <w:sz w:val="20"/>
                <w:szCs w:val="20"/>
              </w:rPr>
              <w:t>No</w:t>
            </w:r>
          </w:p>
        </w:tc>
        <w:tc>
          <w:tcPr>
            <w:tcW w:w="1472" w:type="dxa"/>
            <w:shd w:val="clear" w:color="auto" w:fill="auto"/>
            <w:vAlign w:val="center"/>
          </w:tcPr>
          <w:p w14:paraId="6CB17135" w14:textId="77777777" w:rsidR="00D26B7E" w:rsidRPr="00D26304" w:rsidRDefault="00D26B7E" w:rsidP="00384253">
            <w:pPr>
              <w:jc w:val="center"/>
              <w:rPr>
                <w:sz w:val="20"/>
                <w:szCs w:val="20"/>
              </w:rPr>
            </w:pPr>
            <w:r w:rsidRPr="00D26304">
              <w:rPr>
                <w:sz w:val="20"/>
                <w:szCs w:val="20"/>
              </w:rPr>
              <w:t>Yes</w:t>
            </w:r>
          </w:p>
        </w:tc>
        <w:tc>
          <w:tcPr>
            <w:tcW w:w="1435" w:type="dxa"/>
            <w:shd w:val="clear" w:color="auto" w:fill="auto"/>
            <w:vAlign w:val="center"/>
          </w:tcPr>
          <w:p w14:paraId="6E50E820" w14:textId="77777777" w:rsidR="00D26B7E" w:rsidRPr="00D26304" w:rsidRDefault="00D26B7E" w:rsidP="00384253">
            <w:pPr>
              <w:jc w:val="center"/>
              <w:rPr>
                <w:sz w:val="20"/>
                <w:szCs w:val="20"/>
              </w:rPr>
            </w:pPr>
            <w:r w:rsidRPr="00D26304">
              <w:rPr>
                <w:sz w:val="20"/>
                <w:szCs w:val="20"/>
              </w:rPr>
              <w:t>Yes</w:t>
            </w:r>
          </w:p>
        </w:tc>
        <w:tc>
          <w:tcPr>
            <w:tcW w:w="1428" w:type="dxa"/>
            <w:shd w:val="clear" w:color="auto" w:fill="auto"/>
            <w:vAlign w:val="center"/>
          </w:tcPr>
          <w:p w14:paraId="30E606CB" w14:textId="77777777" w:rsidR="00D26B7E" w:rsidRPr="00D26304" w:rsidRDefault="00D26B7E" w:rsidP="00384253">
            <w:pPr>
              <w:jc w:val="center"/>
              <w:rPr>
                <w:sz w:val="20"/>
                <w:szCs w:val="20"/>
              </w:rPr>
            </w:pPr>
            <w:r w:rsidRPr="00D26304">
              <w:rPr>
                <w:sz w:val="20"/>
                <w:szCs w:val="20"/>
              </w:rPr>
              <w:t>Yes</w:t>
            </w:r>
          </w:p>
        </w:tc>
        <w:tc>
          <w:tcPr>
            <w:tcW w:w="1430" w:type="dxa"/>
            <w:shd w:val="clear" w:color="auto" w:fill="auto"/>
            <w:vAlign w:val="center"/>
          </w:tcPr>
          <w:p w14:paraId="039F5445" w14:textId="77777777" w:rsidR="00D26B7E" w:rsidRPr="00D26304" w:rsidRDefault="00D26B7E" w:rsidP="00384253">
            <w:pPr>
              <w:jc w:val="center"/>
              <w:rPr>
                <w:sz w:val="20"/>
                <w:szCs w:val="20"/>
              </w:rPr>
            </w:pPr>
            <w:r w:rsidRPr="00D26304">
              <w:rPr>
                <w:sz w:val="20"/>
                <w:szCs w:val="20"/>
              </w:rPr>
              <w:t>No</w:t>
            </w:r>
          </w:p>
        </w:tc>
        <w:tc>
          <w:tcPr>
            <w:tcW w:w="1476" w:type="dxa"/>
            <w:shd w:val="clear" w:color="auto" w:fill="auto"/>
            <w:vAlign w:val="center"/>
          </w:tcPr>
          <w:p w14:paraId="1270893A" w14:textId="77777777" w:rsidR="00D26B7E" w:rsidRPr="00D26304" w:rsidRDefault="00D26B7E" w:rsidP="00384253">
            <w:pPr>
              <w:jc w:val="center"/>
              <w:rPr>
                <w:sz w:val="20"/>
                <w:szCs w:val="20"/>
              </w:rPr>
            </w:pPr>
            <w:r w:rsidRPr="00D26304">
              <w:rPr>
                <w:sz w:val="20"/>
                <w:szCs w:val="20"/>
              </w:rPr>
              <w:t>Yes</w:t>
            </w:r>
          </w:p>
        </w:tc>
        <w:tc>
          <w:tcPr>
            <w:tcW w:w="1433" w:type="dxa"/>
            <w:shd w:val="clear" w:color="auto" w:fill="auto"/>
            <w:vAlign w:val="center"/>
          </w:tcPr>
          <w:p w14:paraId="024D255B" w14:textId="77777777" w:rsidR="00D26B7E" w:rsidRPr="00D26304" w:rsidRDefault="00D26B7E" w:rsidP="00384253">
            <w:pPr>
              <w:jc w:val="center"/>
              <w:rPr>
                <w:sz w:val="20"/>
                <w:szCs w:val="20"/>
              </w:rPr>
            </w:pPr>
            <w:r w:rsidRPr="00D26304">
              <w:rPr>
                <w:sz w:val="20"/>
                <w:szCs w:val="20"/>
              </w:rPr>
              <w:t>Partial</w:t>
            </w:r>
          </w:p>
        </w:tc>
        <w:tc>
          <w:tcPr>
            <w:tcW w:w="1435" w:type="dxa"/>
            <w:shd w:val="clear" w:color="auto" w:fill="auto"/>
            <w:vAlign w:val="center"/>
          </w:tcPr>
          <w:p w14:paraId="649EB8C6" w14:textId="77777777" w:rsidR="00D26B7E" w:rsidRPr="00D26304" w:rsidRDefault="00D26B7E" w:rsidP="00384253">
            <w:pPr>
              <w:jc w:val="center"/>
              <w:rPr>
                <w:sz w:val="20"/>
                <w:szCs w:val="20"/>
              </w:rPr>
            </w:pPr>
            <w:r w:rsidRPr="00D26304">
              <w:rPr>
                <w:sz w:val="20"/>
                <w:szCs w:val="20"/>
              </w:rPr>
              <w:t>Yes</w:t>
            </w:r>
          </w:p>
        </w:tc>
      </w:tr>
      <w:tr w:rsidR="00D26B7E" w:rsidRPr="00D26304" w14:paraId="47FCF8FC" w14:textId="77777777" w:rsidTr="00995B4C">
        <w:trPr>
          <w:trHeight w:val="567"/>
        </w:trPr>
        <w:tc>
          <w:tcPr>
            <w:tcW w:w="1422" w:type="dxa"/>
            <w:tcBorders>
              <w:top w:val="single" w:sz="4" w:space="0" w:color="auto"/>
              <w:left w:val="single" w:sz="4" w:space="0" w:color="auto"/>
              <w:bottom w:val="single" w:sz="4" w:space="0" w:color="auto"/>
              <w:right w:val="single" w:sz="4" w:space="0" w:color="auto"/>
            </w:tcBorders>
            <w:shd w:val="clear" w:color="auto" w:fill="410096"/>
            <w:vAlign w:val="center"/>
          </w:tcPr>
          <w:p w14:paraId="3FD6F6FC" w14:textId="77777777" w:rsidR="00D26B7E" w:rsidRPr="00511AE9" w:rsidRDefault="00D26B7E" w:rsidP="00384253">
            <w:pPr>
              <w:jc w:val="center"/>
              <w:rPr>
                <w:b/>
                <w:bCs/>
                <w:color w:val="FFFFFF" w:themeColor="background1"/>
                <w:sz w:val="22"/>
                <w:szCs w:val="22"/>
              </w:rPr>
            </w:pPr>
            <w:r w:rsidRPr="00511AE9">
              <w:rPr>
                <w:b/>
                <w:bCs/>
                <w:color w:val="FFFFFF" w:themeColor="background1"/>
                <w:sz w:val="22"/>
                <w:szCs w:val="22"/>
              </w:rPr>
              <w:t>VU</w:t>
            </w:r>
          </w:p>
        </w:tc>
        <w:tc>
          <w:tcPr>
            <w:tcW w:w="1435" w:type="dxa"/>
            <w:tcBorders>
              <w:left w:val="single" w:sz="4" w:space="0" w:color="auto"/>
            </w:tcBorders>
            <w:shd w:val="clear" w:color="auto" w:fill="auto"/>
            <w:vAlign w:val="center"/>
          </w:tcPr>
          <w:p w14:paraId="34CDE9A1" w14:textId="77777777" w:rsidR="00D26B7E" w:rsidRPr="00D26304" w:rsidRDefault="00D26B7E" w:rsidP="00384253">
            <w:pPr>
              <w:jc w:val="center"/>
              <w:rPr>
                <w:sz w:val="20"/>
                <w:szCs w:val="20"/>
              </w:rPr>
            </w:pPr>
            <w:r w:rsidRPr="00D26304">
              <w:rPr>
                <w:sz w:val="20"/>
                <w:szCs w:val="20"/>
              </w:rPr>
              <w:t>Partial</w:t>
            </w:r>
          </w:p>
        </w:tc>
        <w:tc>
          <w:tcPr>
            <w:tcW w:w="1430" w:type="dxa"/>
            <w:shd w:val="clear" w:color="auto" w:fill="auto"/>
            <w:vAlign w:val="center"/>
          </w:tcPr>
          <w:p w14:paraId="5A889549" w14:textId="77777777" w:rsidR="00D26B7E" w:rsidRPr="00D26304" w:rsidRDefault="00D26B7E" w:rsidP="00384253">
            <w:pPr>
              <w:jc w:val="center"/>
              <w:rPr>
                <w:sz w:val="20"/>
                <w:szCs w:val="20"/>
              </w:rPr>
            </w:pPr>
            <w:r w:rsidRPr="00D26304">
              <w:rPr>
                <w:sz w:val="20"/>
                <w:szCs w:val="20"/>
              </w:rPr>
              <w:t>Yes</w:t>
            </w:r>
          </w:p>
        </w:tc>
        <w:tc>
          <w:tcPr>
            <w:tcW w:w="1436" w:type="dxa"/>
            <w:shd w:val="clear" w:color="auto" w:fill="auto"/>
            <w:vAlign w:val="center"/>
          </w:tcPr>
          <w:p w14:paraId="44D3FC84" w14:textId="77777777" w:rsidR="00D26B7E" w:rsidRPr="00D26304" w:rsidRDefault="00D26B7E" w:rsidP="00384253">
            <w:pPr>
              <w:jc w:val="center"/>
              <w:rPr>
                <w:sz w:val="20"/>
                <w:szCs w:val="20"/>
              </w:rPr>
            </w:pPr>
            <w:r w:rsidRPr="00D26304">
              <w:rPr>
                <w:sz w:val="20"/>
                <w:szCs w:val="20"/>
              </w:rPr>
              <w:t>Yes</w:t>
            </w:r>
          </w:p>
        </w:tc>
        <w:tc>
          <w:tcPr>
            <w:tcW w:w="1472" w:type="dxa"/>
            <w:shd w:val="clear" w:color="auto" w:fill="auto"/>
            <w:vAlign w:val="center"/>
          </w:tcPr>
          <w:p w14:paraId="138B3C7B" w14:textId="77777777" w:rsidR="00D26B7E" w:rsidRPr="00D26304" w:rsidRDefault="00D26B7E" w:rsidP="00384253">
            <w:pPr>
              <w:jc w:val="center"/>
              <w:rPr>
                <w:sz w:val="20"/>
                <w:szCs w:val="20"/>
              </w:rPr>
            </w:pPr>
            <w:r w:rsidRPr="00D26304">
              <w:rPr>
                <w:sz w:val="20"/>
                <w:szCs w:val="20"/>
              </w:rPr>
              <w:t>Yes</w:t>
            </w:r>
          </w:p>
        </w:tc>
        <w:tc>
          <w:tcPr>
            <w:tcW w:w="1435" w:type="dxa"/>
            <w:shd w:val="clear" w:color="auto" w:fill="auto"/>
            <w:vAlign w:val="center"/>
          </w:tcPr>
          <w:p w14:paraId="5F9BFD12" w14:textId="77777777" w:rsidR="00D26B7E" w:rsidRPr="00D26304" w:rsidRDefault="00D26B7E" w:rsidP="00384253">
            <w:pPr>
              <w:jc w:val="center"/>
              <w:rPr>
                <w:sz w:val="20"/>
                <w:szCs w:val="20"/>
              </w:rPr>
            </w:pPr>
            <w:r w:rsidRPr="00D26304">
              <w:rPr>
                <w:sz w:val="20"/>
                <w:szCs w:val="20"/>
              </w:rPr>
              <w:t>Yes</w:t>
            </w:r>
          </w:p>
        </w:tc>
        <w:tc>
          <w:tcPr>
            <w:tcW w:w="1428" w:type="dxa"/>
            <w:shd w:val="clear" w:color="auto" w:fill="auto"/>
            <w:vAlign w:val="center"/>
          </w:tcPr>
          <w:p w14:paraId="7E4872D4" w14:textId="77777777" w:rsidR="00D26B7E" w:rsidRPr="00D26304" w:rsidRDefault="00D26B7E" w:rsidP="00384253">
            <w:pPr>
              <w:jc w:val="center"/>
              <w:rPr>
                <w:sz w:val="20"/>
                <w:szCs w:val="20"/>
              </w:rPr>
            </w:pPr>
            <w:r w:rsidRPr="00D26304">
              <w:rPr>
                <w:sz w:val="20"/>
                <w:szCs w:val="20"/>
              </w:rPr>
              <w:t>Yes</w:t>
            </w:r>
          </w:p>
        </w:tc>
        <w:tc>
          <w:tcPr>
            <w:tcW w:w="1430" w:type="dxa"/>
            <w:shd w:val="clear" w:color="auto" w:fill="auto"/>
            <w:vAlign w:val="center"/>
          </w:tcPr>
          <w:p w14:paraId="3C6A204F" w14:textId="77777777" w:rsidR="00D26B7E" w:rsidRPr="00D26304" w:rsidRDefault="00D26B7E" w:rsidP="00384253">
            <w:pPr>
              <w:jc w:val="center"/>
              <w:rPr>
                <w:sz w:val="20"/>
                <w:szCs w:val="20"/>
              </w:rPr>
            </w:pPr>
            <w:r w:rsidRPr="00D26304">
              <w:rPr>
                <w:sz w:val="20"/>
                <w:szCs w:val="20"/>
              </w:rPr>
              <w:t>Yes</w:t>
            </w:r>
          </w:p>
        </w:tc>
        <w:tc>
          <w:tcPr>
            <w:tcW w:w="1476" w:type="dxa"/>
            <w:shd w:val="clear" w:color="auto" w:fill="auto"/>
            <w:vAlign w:val="center"/>
          </w:tcPr>
          <w:p w14:paraId="4E6642C0" w14:textId="77777777" w:rsidR="00D26B7E" w:rsidRPr="00D26304" w:rsidRDefault="00D26B7E" w:rsidP="00384253">
            <w:pPr>
              <w:jc w:val="center"/>
              <w:rPr>
                <w:sz w:val="20"/>
                <w:szCs w:val="20"/>
              </w:rPr>
            </w:pPr>
            <w:r>
              <w:rPr>
                <w:sz w:val="20"/>
                <w:szCs w:val="20"/>
              </w:rPr>
              <w:t>Y</w:t>
            </w:r>
            <w:r w:rsidRPr="00D26304">
              <w:rPr>
                <w:sz w:val="20"/>
                <w:szCs w:val="20"/>
              </w:rPr>
              <w:t>es</w:t>
            </w:r>
          </w:p>
        </w:tc>
        <w:tc>
          <w:tcPr>
            <w:tcW w:w="1433" w:type="dxa"/>
            <w:shd w:val="clear" w:color="auto" w:fill="auto"/>
            <w:vAlign w:val="center"/>
          </w:tcPr>
          <w:p w14:paraId="441BA79A" w14:textId="77777777" w:rsidR="00D26B7E" w:rsidRPr="00D26304" w:rsidRDefault="00D26B7E" w:rsidP="00384253">
            <w:pPr>
              <w:jc w:val="center"/>
              <w:rPr>
                <w:sz w:val="20"/>
                <w:szCs w:val="20"/>
              </w:rPr>
            </w:pPr>
            <w:r w:rsidRPr="00D26304">
              <w:rPr>
                <w:sz w:val="20"/>
                <w:szCs w:val="20"/>
              </w:rPr>
              <w:t>Yes</w:t>
            </w:r>
          </w:p>
        </w:tc>
        <w:tc>
          <w:tcPr>
            <w:tcW w:w="1435" w:type="dxa"/>
            <w:shd w:val="clear" w:color="auto" w:fill="auto"/>
            <w:vAlign w:val="center"/>
          </w:tcPr>
          <w:p w14:paraId="73F98F57" w14:textId="77777777" w:rsidR="00D26B7E" w:rsidRPr="00D26304" w:rsidRDefault="00D26B7E" w:rsidP="00384253">
            <w:pPr>
              <w:jc w:val="center"/>
              <w:rPr>
                <w:sz w:val="20"/>
                <w:szCs w:val="20"/>
              </w:rPr>
            </w:pPr>
            <w:r w:rsidRPr="00D26304">
              <w:rPr>
                <w:sz w:val="20"/>
                <w:szCs w:val="20"/>
              </w:rPr>
              <w:t>Yes</w:t>
            </w:r>
          </w:p>
        </w:tc>
      </w:tr>
      <w:bookmarkEnd w:id="14"/>
    </w:tbl>
    <w:p w14:paraId="1292E82D" w14:textId="77777777" w:rsidR="00D26304" w:rsidRDefault="00D26304">
      <w:pPr>
        <w:rPr>
          <w:rFonts w:ascii="Calibri Light" w:eastAsia="Times New Roman" w:hAnsi="Calibri Light"/>
          <w:sz w:val="36"/>
          <w:szCs w:val="32"/>
        </w:rPr>
      </w:pPr>
      <w:r>
        <w:br w:type="page"/>
      </w:r>
    </w:p>
    <w:p w14:paraId="6D9A097E" w14:textId="77777777" w:rsidR="00D26304" w:rsidRDefault="00D26304" w:rsidP="00840FA7">
      <w:pPr>
        <w:pStyle w:val="Level1Heading"/>
        <w:spacing w:after="240"/>
        <w:sectPr w:rsidR="00D26304" w:rsidSect="00D26304">
          <w:pgSz w:w="16840" w:h="11900" w:orient="landscape"/>
          <w:pgMar w:top="1560" w:right="1276" w:bottom="1552" w:left="1276" w:header="708" w:footer="580" w:gutter="0"/>
          <w:cols w:space="708"/>
          <w:docGrid w:linePitch="360"/>
        </w:sectPr>
      </w:pPr>
    </w:p>
    <w:p w14:paraId="2CF57922" w14:textId="09C1DF23" w:rsidR="00840FA7" w:rsidRDefault="00840FA7" w:rsidP="00840FA7">
      <w:pPr>
        <w:pStyle w:val="Level1Heading"/>
        <w:spacing w:after="240"/>
      </w:pPr>
      <w:bookmarkStart w:id="15" w:name="_Toc75517856"/>
      <w:r>
        <w:lastRenderedPageBreak/>
        <w:t>What we found – in detail</w:t>
      </w:r>
      <w:bookmarkEnd w:id="15"/>
      <w:r>
        <w:t xml:space="preserve"> </w:t>
      </w:r>
    </w:p>
    <w:p w14:paraId="28B029E0" w14:textId="223E5B77" w:rsidR="000800D3" w:rsidRPr="00E3459E" w:rsidRDefault="009602D8" w:rsidP="00E3459E">
      <w:pPr>
        <w:pStyle w:val="Level2Heading"/>
        <w:spacing w:before="160" w:after="120"/>
      </w:pPr>
      <w:bookmarkStart w:id="16" w:name="_Toc75517857"/>
      <w:r w:rsidRPr="00E3459E">
        <w:t>PART 1</w:t>
      </w:r>
      <w:r w:rsidR="00DE18C7" w:rsidRPr="00E3459E">
        <w:t xml:space="preserve"> – </w:t>
      </w:r>
      <w:r w:rsidR="00F32925" w:rsidRPr="00E3459E">
        <w:t xml:space="preserve">Approaches to identifying personal information held across an </w:t>
      </w:r>
      <w:proofErr w:type="gramStart"/>
      <w:r w:rsidR="00F32925" w:rsidRPr="00E3459E">
        <w:t>organisation</w:t>
      </w:r>
      <w:bookmarkEnd w:id="16"/>
      <w:proofErr w:type="gramEnd"/>
    </w:p>
    <w:p w14:paraId="1E9B5C96" w14:textId="2E8F3752" w:rsidR="00F32925" w:rsidRDefault="00F32925" w:rsidP="00975B08">
      <w:pPr>
        <w:pStyle w:val="BodyText1"/>
        <w:numPr>
          <w:ilvl w:val="0"/>
          <w:numId w:val="9"/>
        </w:numPr>
      </w:pPr>
      <w:r>
        <w:t xml:space="preserve">OVIC </w:t>
      </w:r>
      <w:r w:rsidR="00D30F04">
        <w:t>examined</w:t>
      </w:r>
      <w:r>
        <w:t xml:space="preserve"> how privacy staff at each of the Victorian universities maintain awareness of the personal information their university holds. Universities are typically large organisations that consist of </w:t>
      </w:r>
      <w:r w:rsidR="00DF1874">
        <w:t xml:space="preserve">distinct areas (such as faculties, </w:t>
      </w:r>
      <w:proofErr w:type="gramStart"/>
      <w:r w:rsidR="00DF1874">
        <w:t>institutes</w:t>
      </w:r>
      <w:proofErr w:type="gramEnd"/>
      <w:r w:rsidR="00DF1874">
        <w:t xml:space="preserve"> and business areas) carrying out various operations</w:t>
      </w:r>
      <w:r>
        <w:t xml:space="preserve">.  </w:t>
      </w:r>
    </w:p>
    <w:p w14:paraId="68898C52" w14:textId="61CEA809" w:rsidR="00F72923" w:rsidRDefault="00F32925" w:rsidP="00975B08">
      <w:pPr>
        <w:pStyle w:val="BodyText1"/>
        <w:numPr>
          <w:ilvl w:val="0"/>
          <w:numId w:val="9"/>
        </w:numPr>
      </w:pPr>
      <w:r>
        <w:t xml:space="preserve">OVIC asked the universities whether they maintain a </w:t>
      </w:r>
      <w:r w:rsidR="009602D8">
        <w:t>central</w:t>
      </w:r>
      <w:r>
        <w:t xml:space="preserve"> record of their personal information holdings, to support their management and protection of this information. </w:t>
      </w:r>
    </w:p>
    <w:p w14:paraId="7166DA57" w14:textId="45EF1F28" w:rsidR="00EA49FF" w:rsidRPr="00D7454E" w:rsidRDefault="00F32925" w:rsidP="00D7454E">
      <w:pPr>
        <w:pStyle w:val="Level3Heading"/>
        <w:spacing w:before="120" w:line="360" w:lineRule="auto"/>
        <w:rPr>
          <w:szCs w:val="24"/>
        </w:rPr>
      </w:pPr>
      <w:bookmarkStart w:id="17" w:name="_Toc75517858"/>
      <w:r w:rsidRPr="00D7454E">
        <w:rPr>
          <w:szCs w:val="24"/>
        </w:rPr>
        <w:t xml:space="preserve">Why should organisations maintain </w:t>
      </w:r>
      <w:r w:rsidR="002B780F" w:rsidRPr="00D7454E">
        <w:rPr>
          <w:szCs w:val="24"/>
        </w:rPr>
        <w:t xml:space="preserve">oversight </w:t>
      </w:r>
      <w:r w:rsidRPr="00D7454E">
        <w:rPr>
          <w:szCs w:val="24"/>
        </w:rPr>
        <w:t>of the personal information they hold?</w:t>
      </w:r>
      <w:bookmarkEnd w:id="17"/>
      <w:r w:rsidRPr="00D7454E">
        <w:rPr>
          <w:szCs w:val="24"/>
        </w:rPr>
        <w:t xml:space="preserve"> </w:t>
      </w:r>
    </w:p>
    <w:p w14:paraId="13D0D9C2" w14:textId="520A4D25" w:rsidR="00F32925" w:rsidRDefault="00F32925" w:rsidP="00975B08">
      <w:pPr>
        <w:pStyle w:val="BodyText1"/>
        <w:numPr>
          <w:ilvl w:val="0"/>
          <w:numId w:val="9"/>
        </w:numPr>
      </w:pPr>
      <w:r>
        <w:t xml:space="preserve">Privacy officers and data governance teams of Victorian public sector organisations should maintain </w:t>
      </w:r>
      <w:r w:rsidR="00FC1F54">
        <w:t>oversight</w:t>
      </w:r>
      <w:r>
        <w:t xml:space="preserve"> of the amount and categories of personal information held by their organisation. The information may be stored in various locations such as in physical records and within electronic business systems.</w:t>
      </w:r>
    </w:p>
    <w:p w14:paraId="736721F0" w14:textId="15E8FE4E" w:rsidR="000800D3" w:rsidRDefault="00F03232" w:rsidP="00975B08">
      <w:pPr>
        <w:pStyle w:val="BodyText1"/>
        <w:numPr>
          <w:ilvl w:val="0"/>
          <w:numId w:val="9"/>
        </w:numPr>
      </w:pPr>
      <w:r>
        <w:t>Oversight</w:t>
      </w:r>
      <w:r w:rsidR="00F32925">
        <w:t xml:space="preserve"> enables </w:t>
      </w:r>
      <w:r>
        <w:t xml:space="preserve">privacy officers and data governance teams </w:t>
      </w:r>
      <w:r w:rsidR="00F32925">
        <w:t xml:space="preserve">to provide informed advice to business units about the steps that should be taken to protect personal information. It also supports the </w:t>
      </w:r>
      <w:r w:rsidR="002B780F">
        <w:t xml:space="preserve">development and </w:t>
      </w:r>
      <w:r w:rsidR="00F32925">
        <w:t xml:space="preserve">implementation of effective policies and procedures. For example, an ICT security policy can be developed that appropriately reflects the sensitivity of information held in those ICT systems.  </w:t>
      </w:r>
    </w:p>
    <w:p w14:paraId="7AEDF5A8" w14:textId="77777777" w:rsidR="006458C0" w:rsidRPr="00D7454E" w:rsidRDefault="006458C0" w:rsidP="00D7454E">
      <w:pPr>
        <w:pStyle w:val="Level3Heading"/>
        <w:spacing w:before="120" w:line="360" w:lineRule="auto"/>
        <w:rPr>
          <w:szCs w:val="24"/>
        </w:rPr>
      </w:pPr>
      <w:bookmarkStart w:id="18" w:name="_Toc75517859"/>
      <w:r w:rsidRPr="00D7454E">
        <w:rPr>
          <w:szCs w:val="24"/>
        </w:rPr>
        <w:t>Information Asset Registers</w:t>
      </w:r>
      <w:bookmarkEnd w:id="18"/>
    </w:p>
    <w:p w14:paraId="15F630C9" w14:textId="5B83C6F9" w:rsidR="006458C0" w:rsidRDefault="006458C0" w:rsidP="006458C0">
      <w:pPr>
        <w:pStyle w:val="BodyText1"/>
        <w:numPr>
          <w:ilvl w:val="0"/>
          <w:numId w:val="9"/>
        </w:numPr>
      </w:pPr>
      <w:r w:rsidRPr="005F1E7F">
        <w:t>An Information Asset Register (</w:t>
      </w:r>
      <w:r w:rsidRPr="005F1E7F">
        <w:rPr>
          <w:b/>
          <w:bCs/>
        </w:rPr>
        <w:t>IAR</w:t>
      </w:r>
      <w:r w:rsidRPr="005F1E7F">
        <w:t>) is a register that records an organisation</w:t>
      </w:r>
      <w:r w:rsidR="000E4E71">
        <w:t>’</w:t>
      </w:r>
      <w:r w:rsidRPr="005F1E7F">
        <w:t xml:space="preserve">s information </w:t>
      </w:r>
      <w:r w:rsidR="002B780F">
        <w:t xml:space="preserve">holdings or </w:t>
      </w:r>
      <w:r w:rsidRPr="005F1E7F">
        <w:t xml:space="preserve">assets. Information assets are bodies of information that have value to an organisation, and do not just include personal information. Organisations can flag assets in an IAR that contain personal information. </w:t>
      </w:r>
    </w:p>
    <w:p w14:paraId="20BA4126" w14:textId="23508753" w:rsidR="006458C0" w:rsidRDefault="006458C0" w:rsidP="006458C0">
      <w:pPr>
        <w:pStyle w:val="BodyText1"/>
        <w:numPr>
          <w:ilvl w:val="0"/>
          <w:numId w:val="9"/>
        </w:numPr>
      </w:pPr>
      <w:r>
        <w:t>An IAR</w:t>
      </w:r>
      <w:r w:rsidRPr="005F1E7F">
        <w:t xml:space="preserve"> allows organisations to maintain a</w:t>
      </w:r>
      <w:r w:rsidR="002B780F">
        <w:t xml:space="preserve">n </w:t>
      </w:r>
      <w:r w:rsidRPr="005F1E7F">
        <w:t xml:space="preserve">understanding of </w:t>
      </w:r>
      <w:r w:rsidR="002B780F">
        <w:t xml:space="preserve">types of </w:t>
      </w:r>
      <w:r w:rsidRPr="005F1E7F">
        <w:t xml:space="preserve">personal information </w:t>
      </w:r>
      <w:r>
        <w:t>they</w:t>
      </w:r>
      <w:r w:rsidRPr="005F1E7F">
        <w:t xml:space="preserve"> hold, and where it is held (in both physical and electronic locations). </w:t>
      </w:r>
    </w:p>
    <w:p w14:paraId="407062A2" w14:textId="4B8488DC" w:rsidR="004A55E3" w:rsidRDefault="004A55E3" w:rsidP="006458C0">
      <w:pPr>
        <w:pStyle w:val="BodyText1"/>
        <w:numPr>
          <w:ilvl w:val="0"/>
          <w:numId w:val="9"/>
        </w:numPr>
      </w:pPr>
      <w:r>
        <w:t>Organisations do not need to develop an IAR to comply with IPP 4.1</w:t>
      </w:r>
      <w:r w:rsidR="000E4E71">
        <w:t>.</w:t>
      </w:r>
      <w:r w:rsidR="00B76E1E">
        <w:t xml:space="preserve"> </w:t>
      </w:r>
      <w:r w:rsidR="000E4E71">
        <w:t>H</w:t>
      </w:r>
      <w:r w:rsidR="00B76E1E">
        <w:t>owever</w:t>
      </w:r>
      <w:r w:rsidR="000E4E71">
        <w:t>,</w:t>
      </w:r>
      <w:r w:rsidR="00B76E1E">
        <w:t xml:space="preserve"> IARs </w:t>
      </w:r>
      <w:r w:rsidR="000E4E71">
        <w:t>are</w:t>
      </w:r>
      <w:r>
        <w:t xml:space="preserve"> a useful tool t</w:t>
      </w:r>
      <w:r w:rsidR="00B76E1E">
        <w:t>hat</w:t>
      </w:r>
      <w:r>
        <w:t xml:space="preserve"> support</w:t>
      </w:r>
      <w:r w:rsidR="00B76E1E">
        <w:t>s</w:t>
      </w:r>
      <w:r>
        <w:t xml:space="preserve"> the protection of personal information</w:t>
      </w:r>
      <w:r w:rsidR="000E4E71">
        <w:t xml:space="preserve"> by assisting organisations catalogue the personal information they hold</w:t>
      </w:r>
      <w:r>
        <w:t xml:space="preserve">. </w:t>
      </w:r>
    </w:p>
    <w:p w14:paraId="25F28A76" w14:textId="15C98CB3" w:rsidR="00A22E47" w:rsidRPr="00D7454E" w:rsidRDefault="009602D8" w:rsidP="00D7454E">
      <w:pPr>
        <w:pStyle w:val="Level3Heading"/>
        <w:spacing w:before="120" w:line="360" w:lineRule="auto"/>
        <w:rPr>
          <w:szCs w:val="24"/>
        </w:rPr>
      </w:pPr>
      <w:bookmarkStart w:id="19" w:name="_Toc75517860"/>
      <w:r w:rsidRPr="00D7454E">
        <w:rPr>
          <w:szCs w:val="24"/>
        </w:rPr>
        <w:lastRenderedPageBreak/>
        <w:t>Examination</w:t>
      </w:r>
      <w:r w:rsidR="005F1E7F" w:rsidRPr="00D7454E">
        <w:rPr>
          <w:szCs w:val="24"/>
        </w:rPr>
        <w:t xml:space="preserve"> findings</w:t>
      </w:r>
      <w:bookmarkEnd w:id="19"/>
      <w:r w:rsidR="005F1E7F" w:rsidRPr="00D7454E">
        <w:rPr>
          <w:szCs w:val="24"/>
        </w:rPr>
        <w:t xml:space="preserve"> </w:t>
      </w:r>
    </w:p>
    <w:p w14:paraId="5E1F4137" w14:textId="516ED284" w:rsidR="00FA2A30" w:rsidRPr="00B962CF" w:rsidRDefault="007E66E5" w:rsidP="008421E8">
      <w:pPr>
        <w:pStyle w:val="Body"/>
        <w:keepNext/>
        <w:rPr>
          <w:i/>
          <w:iCs/>
          <w:lang w:val="en-GB"/>
        </w:rPr>
      </w:pPr>
      <w:r w:rsidRPr="00B962CF">
        <w:rPr>
          <w:i/>
          <w:iCs/>
          <w:lang w:val="en-GB"/>
        </w:rPr>
        <w:t xml:space="preserve">Chart 1 – Illustration of methods described by universities for identifying personal information </w:t>
      </w:r>
      <w:proofErr w:type="gramStart"/>
      <w:r w:rsidRPr="00B962CF">
        <w:rPr>
          <w:i/>
          <w:iCs/>
          <w:lang w:val="en-GB"/>
        </w:rPr>
        <w:t>holdings</w:t>
      </w:r>
      <w:proofErr w:type="gramEnd"/>
      <w:r w:rsidR="005F1E7F" w:rsidRPr="00B962CF">
        <w:rPr>
          <w:i/>
          <w:iCs/>
          <w:lang w:val="en-GB"/>
        </w:rPr>
        <w:tab/>
      </w:r>
    </w:p>
    <w:p w14:paraId="34C63540" w14:textId="405D4F05" w:rsidR="00FA3014" w:rsidRPr="00880EBB" w:rsidRDefault="005F1E7F" w:rsidP="00880EBB">
      <w:pPr>
        <w:pStyle w:val="Level3Heading"/>
        <w:rPr>
          <w:szCs w:val="22"/>
        </w:rPr>
      </w:pPr>
      <w:r w:rsidRPr="007C57EA">
        <w:rPr>
          <w:noProof/>
          <w:shd w:val="clear" w:color="auto" w:fill="00B3FF"/>
        </w:rPr>
        <w:drawing>
          <wp:anchor distT="0" distB="0" distL="114300" distR="114300" simplePos="0" relativeHeight="251658240" behindDoc="1" locked="0" layoutInCell="1" allowOverlap="1" wp14:anchorId="2279B210" wp14:editId="5795BCB3">
            <wp:simplePos x="0" y="0"/>
            <wp:positionH relativeFrom="column">
              <wp:posOffset>0</wp:posOffset>
            </wp:positionH>
            <wp:positionV relativeFrom="paragraph">
              <wp:posOffset>-1905</wp:posOffset>
            </wp:positionV>
            <wp:extent cx="5438775" cy="3133725"/>
            <wp:effectExtent l="0" t="0" r="0" b="0"/>
            <wp:wrapTight wrapText="bothSides">
              <wp:wrapPolygon edited="0">
                <wp:start x="0" y="0"/>
                <wp:lineTo x="0" y="21403"/>
                <wp:lineTo x="21487" y="21403"/>
                <wp:lineTo x="21487"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bookmarkStart w:id="20" w:name="_Toc75517861"/>
      <w:r w:rsidR="00FA3014" w:rsidRPr="00D7454E">
        <w:t>Do universities identify the personal information they hold?</w:t>
      </w:r>
      <w:bookmarkEnd w:id="20"/>
    </w:p>
    <w:p w14:paraId="2EDE64FD" w14:textId="77777777" w:rsidR="0023739D" w:rsidRDefault="0023739D" w:rsidP="00975B08">
      <w:pPr>
        <w:pStyle w:val="BodyText1"/>
        <w:numPr>
          <w:ilvl w:val="0"/>
          <w:numId w:val="9"/>
        </w:numPr>
      </w:pPr>
      <w:r>
        <w:t>OVIC found that:</w:t>
      </w:r>
    </w:p>
    <w:p w14:paraId="1DBF4D4A" w14:textId="0467131F" w:rsidR="005F1E7F" w:rsidRDefault="007E66E5" w:rsidP="00610A2E">
      <w:pPr>
        <w:pStyle w:val="BodyText1"/>
        <w:numPr>
          <w:ilvl w:val="1"/>
          <w:numId w:val="9"/>
        </w:numPr>
        <w:ind w:left="811" w:hanging="357"/>
      </w:pPr>
      <w:r w:rsidRPr="007E66E5">
        <w:rPr>
          <w:b/>
          <w:bCs/>
        </w:rPr>
        <w:t>T</w:t>
      </w:r>
      <w:r w:rsidR="005F1E7F" w:rsidRPr="005F1E7F">
        <w:rPr>
          <w:b/>
          <w:bCs/>
        </w:rPr>
        <w:t>wo</w:t>
      </w:r>
      <w:r w:rsidR="005F1E7F">
        <w:t xml:space="preserve"> universities currently record holdings of personal information in an Information Asset Register </w:t>
      </w:r>
      <w:r>
        <w:t>(</w:t>
      </w:r>
      <w:r w:rsidRPr="007E66E5">
        <w:rPr>
          <w:b/>
          <w:bCs/>
        </w:rPr>
        <w:t>IAR</w:t>
      </w:r>
      <w:r>
        <w:t xml:space="preserve">) </w:t>
      </w:r>
      <w:r w:rsidR="005F1E7F">
        <w:t>(or similar centralised register)</w:t>
      </w:r>
      <w:r w:rsidR="006458C0">
        <w:t>.</w:t>
      </w:r>
      <w:r w:rsidR="005F1E7F">
        <w:t xml:space="preserve">  </w:t>
      </w:r>
    </w:p>
    <w:p w14:paraId="17103DC1" w14:textId="241508E7" w:rsidR="005F1E7F" w:rsidRDefault="0023739D" w:rsidP="00610A2E">
      <w:pPr>
        <w:pStyle w:val="BodyText1"/>
        <w:numPr>
          <w:ilvl w:val="1"/>
          <w:numId w:val="9"/>
        </w:numPr>
        <w:ind w:left="811" w:hanging="357"/>
      </w:pPr>
      <w:r w:rsidRPr="0008353E">
        <w:rPr>
          <w:b/>
          <w:bCs/>
        </w:rPr>
        <w:t>T</w:t>
      </w:r>
      <w:r w:rsidR="005F1E7F" w:rsidRPr="0008353E">
        <w:rPr>
          <w:b/>
          <w:bCs/>
        </w:rPr>
        <w:t xml:space="preserve">hree </w:t>
      </w:r>
      <w:r w:rsidR="005F1E7F">
        <w:t xml:space="preserve">universities </w:t>
      </w:r>
      <w:r w:rsidR="0008353E">
        <w:t>plan to develop an IAR this year</w:t>
      </w:r>
      <w:r w:rsidR="005F1E7F">
        <w:t xml:space="preserve"> or are currently developing an IAR. </w:t>
      </w:r>
    </w:p>
    <w:p w14:paraId="56F9AFA0" w14:textId="32948C03" w:rsidR="0008353E" w:rsidRDefault="0008353E" w:rsidP="00610A2E">
      <w:pPr>
        <w:pStyle w:val="BodyText1"/>
        <w:numPr>
          <w:ilvl w:val="1"/>
          <w:numId w:val="9"/>
        </w:numPr>
        <w:ind w:left="811" w:hanging="357"/>
      </w:pPr>
      <w:r w:rsidRPr="0008353E">
        <w:rPr>
          <w:b/>
          <w:bCs/>
        </w:rPr>
        <w:t>Three</w:t>
      </w:r>
      <w:r>
        <w:t xml:space="preserve"> universities do not have and do not plan to develop an IAR.</w:t>
      </w:r>
    </w:p>
    <w:p w14:paraId="68A556AA" w14:textId="3C65F528" w:rsidR="005F1E7F" w:rsidRDefault="00F43981" w:rsidP="0008353E">
      <w:pPr>
        <w:pStyle w:val="BodyText1"/>
        <w:numPr>
          <w:ilvl w:val="0"/>
          <w:numId w:val="9"/>
        </w:numPr>
      </w:pPr>
      <w:r>
        <w:rPr>
          <w:b/>
          <w:bCs/>
        </w:rPr>
        <w:t>Four</w:t>
      </w:r>
      <w:r w:rsidR="0008353E">
        <w:t xml:space="preserve"> universities said that although they did not have an IAR, the</w:t>
      </w:r>
      <w:r w:rsidR="00B76E1E">
        <w:t>y</w:t>
      </w:r>
      <w:r w:rsidR="0008353E">
        <w:t xml:space="preserve"> maintained awareness of their personal information holdings in key business systems</w:t>
      </w:r>
      <w:r w:rsidR="005F1E7F">
        <w:t>, such as through completing a Privacy Impact Assessment (</w:t>
      </w:r>
      <w:r w:rsidR="005F1E7F" w:rsidRPr="0008353E">
        <w:rPr>
          <w:b/>
          <w:bCs/>
        </w:rPr>
        <w:t>PIA</w:t>
      </w:r>
      <w:r w:rsidR="005F1E7F">
        <w:t xml:space="preserve">) for these systems or through completing architecture maps. </w:t>
      </w:r>
    </w:p>
    <w:p w14:paraId="31AF5CA7" w14:textId="77777777" w:rsidR="006458C0" w:rsidRDefault="006458C0" w:rsidP="006458C0">
      <w:pPr>
        <w:pStyle w:val="BodyText1"/>
        <w:numPr>
          <w:ilvl w:val="0"/>
          <w:numId w:val="9"/>
        </w:numPr>
      </w:pPr>
      <w:r w:rsidRPr="006458C0">
        <w:rPr>
          <w:b/>
          <w:bCs/>
        </w:rPr>
        <w:t>One</w:t>
      </w:r>
      <w:r w:rsidRPr="005F1E7F">
        <w:t xml:space="preserve"> universit</w:t>
      </w:r>
      <w:r>
        <w:t>y</w:t>
      </w:r>
      <w:r w:rsidRPr="005F1E7F">
        <w:t xml:space="preserve"> explained that it undertakes Record Assessments to accurately identify information to record in its IAR. The assessments are performed on business systems to identify datasets that contain personal and/or sensitive information, which can then be incorporated into the university’s IAR.</w:t>
      </w:r>
    </w:p>
    <w:p w14:paraId="36F35B88" w14:textId="4CCC8E87" w:rsidR="005F1E7F" w:rsidRPr="00D7454E" w:rsidRDefault="005F1E7F" w:rsidP="00D7454E">
      <w:pPr>
        <w:pStyle w:val="Level3Heading"/>
        <w:spacing w:before="120" w:line="360" w:lineRule="auto"/>
        <w:rPr>
          <w:szCs w:val="24"/>
        </w:rPr>
      </w:pPr>
      <w:bookmarkStart w:id="21" w:name="_Toc75517862"/>
      <w:r w:rsidRPr="00D7454E">
        <w:rPr>
          <w:szCs w:val="24"/>
        </w:rPr>
        <w:t xml:space="preserve">Other methods of identifying where and when personal information is </w:t>
      </w:r>
      <w:r w:rsidR="00C16E93" w:rsidRPr="00D7454E">
        <w:rPr>
          <w:szCs w:val="24"/>
        </w:rPr>
        <w:t xml:space="preserve">collected and </w:t>
      </w:r>
      <w:proofErr w:type="gramStart"/>
      <w:r w:rsidR="00C16E93" w:rsidRPr="00D7454E">
        <w:rPr>
          <w:szCs w:val="24"/>
        </w:rPr>
        <w:t>held</w:t>
      </w:r>
      <w:bookmarkEnd w:id="21"/>
      <w:proofErr w:type="gramEnd"/>
    </w:p>
    <w:p w14:paraId="281C9274" w14:textId="746FC751" w:rsidR="005F1E7F" w:rsidRDefault="00F43981" w:rsidP="00975B08">
      <w:pPr>
        <w:pStyle w:val="BodyText1"/>
        <w:numPr>
          <w:ilvl w:val="0"/>
          <w:numId w:val="9"/>
        </w:numPr>
      </w:pPr>
      <w:r>
        <w:rPr>
          <w:b/>
          <w:bCs/>
        </w:rPr>
        <w:t>Five</w:t>
      </w:r>
      <w:r w:rsidR="005F1E7F">
        <w:t xml:space="preserve"> universities complete</w:t>
      </w:r>
      <w:r w:rsidR="008421E8">
        <w:t>d</w:t>
      </w:r>
      <w:r w:rsidR="005F1E7F">
        <w:t xml:space="preserve"> </w:t>
      </w:r>
      <w:r w:rsidR="00053452">
        <w:t xml:space="preserve">a </w:t>
      </w:r>
      <w:r w:rsidR="005F1E7F">
        <w:t xml:space="preserve">PIA or other risk assessment for new projects that enable those universities to identify when personal information may be collected and held. </w:t>
      </w:r>
    </w:p>
    <w:p w14:paraId="07535946" w14:textId="7577CB11" w:rsidR="00FA3014" w:rsidRPr="00D7454E" w:rsidRDefault="00696858" w:rsidP="00D7454E">
      <w:pPr>
        <w:pStyle w:val="Level3Heading"/>
        <w:spacing w:before="120" w:line="360" w:lineRule="auto"/>
        <w:rPr>
          <w:szCs w:val="24"/>
        </w:rPr>
      </w:pPr>
      <w:bookmarkStart w:id="22" w:name="_Toc75517863"/>
      <w:r w:rsidRPr="00D7454E">
        <w:rPr>
          <w:szCs w:val="24"/>
        </w:rPr>
        <w:lastRenderedPageBreak/>
        <w:t>Observations</w:t>
      </w:r>
      <w:bookmarkEnd w:id="22"/>
      <w:r w:rsidRPr="00D7454E">
        <w:rPr>
          <w:szCs w:val="24"/>
        </w:rPr>
        <w:t xml:space="preserve"> </w:t>
      </w:r>
    </w:p>
    <w:p w14:paraId="4101F123" w14:textId="4B73B54A" w:rsidR="00B76E1E" w:rsidRDefault="005F1E7F" w:rsidP="004A55E3">
      <w:pPr>
        <w:pStyle w:val="BodyText1"/>
        <w:numPr>
          <w:ilvl w:val="0"/>
          <w:numId w:val="9"/>
        </w:numPr>
      </w:pPr>
      <w:r>
        <w:t xml:space="preserve">It </w:t>
      </w:r>
      <w:r w:rsidR="00B76E1E">
        <w:t>is not</w:t>
      </w:r>
      <w:r>
        <w:t xml:space="preserve"> </w:t>
      </w:r>
      <w:r w:rsidR="00B76E1E">
        <w:t>compulsory</w:t>
      </w:r>
      <w:r>
        <w:t xml:space="preserve"> for </w:t>
      </w:r>
      <w:r w:rsidR="00B76E1E">
        <w:t xml:space="preserve">Victorian universities </w:t>
      </w:r>
      <w:r>
        <w:t>to develop an IAR to ensure it implements reasonable steps to protect the personal information it holds, as required by IPP 4.1.</w:t>
      </w:r>
      <w:r w:rsidR="00B76E1E">
        <w:rPr>
          <w:rStyle w:val="FootnoteReference"/>
        </w:rPr>
        <w:footnoteReference w:id="6"/>
      </w:r>
      <w:r>
        <w:t xml:space="preserve"> </w:t>
      </w:r>
      <w:r w:rsidR="00B76E1E">
        <w:t>However, i</w:t>
      </w:r>
      <w:r w:rsidR="004A55E3" w:rsidRPr="005F1E7F">
        <w:t xml:space="preserve">t is important that </w:t>
      </w:r>
      <w:r w:rsidR="004D487B">
        <w:t>Victorian universities and other organisations subject to IPP 4.1 have a comprehensive</w:t>
      </w:r>
      <w:r w:rsidR="004A55E3" w:rsidRPr="005F1E7F">
        <w:t xml:space="preserve"> understanding of the personal information </w:t>
      </w:r>
      <w:r w:rsidR="004D487B">
        <w:t xml:space="preserve">they </w:t>
      </w:r>
      <w:r w:rsidR="004A55E3" w:rsidRPr="005F1E7F">
        <w:t xml:space="preserve">hold. </w:t>
      </w:r>
      <w:r w:rsidR="004D487B">
        <w:t>This is be</w:t>
      </w:r>
      <w:r w:rsidR="004D487B" w:rsidRPr="004D487B">
        <w:t xml:space="preserve">cause it is difficult for any organisation to protect information that it </w:t>
      </w:r>
      <w:r w:rsidR="00756448" w:rsidRPr="004D487B">
        <w:t>does not</w:t>
      </w:r>
      <w:r w:rsidR="004D487B" w:rsidRPr="004D487B">
        <w:t xml:space="preserve"> know it holds. </w:t>
      </w:r>
      <w:r w:rsidR="00B76E1E">
        <w:t xml:space="preserve">  </w:t>
      </w:r>
    </w:p>
    <w:p w14:paraId="312BE34A" w14:textId="77777777" w:rsidR="004D487B" w:rsidRPr="00745A0C" w:rsidRDefault="004D487B" w:rsidP="004D487B">
      <w:pPr>
        <w:pStyle w:val="BodyText1"/>
        <w:numPr>
          <w:ilvl w:val="0"/>
          <w:numId w:val="9"/>
        </w:numPr>
      </w:pPr>
      <w:r>
        <w:t xml:space="preserve">The benefits for organisations that develop a centrally held recording of personal </w:t>
      </w:r>
      <w:r w:rsidRPr="00745A0C">
        <w:t>information holdings (such as in an IAR) include:</w:t>
      </w:r>
    </w:p>
    <w:p w14:paraId="7BBB6432" w14:textId="77777777" w:rsidR="004D487B" w:rsidRPr="00745A0C" w:rsidRDefault="004D487B" w:rsidP="00CB2283">
      <w:pPr>
        <w:pStyle w:val="BodyText1"/>
        <w:numPr>
          <w:ilvl w:val="1"/>
          <w:numId w:val="9"/>
        </w:numPr>
        <w:ind w:left="811" w:hanging="357"/>
      </w:pPr>
      <w:r w:rsidRPr="00745A0C">
        <w:t xml:space="preserve">central oversight </w:t>
      </w:r>
    </w:p>
    <w:p w14:paraId="5EFFDBF5" w14:textId="2CFE8233" w:rsidR="004D487B" w:rsidRPr="00745A0C" w:rsidRDefault="00053452" w:rsidP="00CB2283">
      <w:pPr>
        <w:pStyle w:val="BodyText1"/>
        <w:numPr>
          <w:ilvl w:val="1"/>
          <w:numId w:val="9"/>
        </w:numPr>
        <w:ind w:left="811" w:hanging="357"/>
      </w:pPr>
      <w:r>
        <w:t xml:space="preserve">an </w:t>
      </w:r>
      <w:r w:rsidR="004D487B">
        <w:t>accessible and easy to</w:t>
      </w:r>
      <w:r w:rsidR="004D487B" w:rsidRPr="00745A0C">
        <w:t xml:space="preserve"> refer to</w:t>
      </w:r>
      <w:r>
        <w:t xml:space="preserve"> resource for ongoing risk assessment</w:t>
      </w:r>
      <w:r w:rsidR="004D487B" w:rsidRPr="00745A0C">
        <w:t xml:space="preserve">.  </w:t>
      </w:r>
    </w:p>
    <w:p w14:paraId="1634CA5F" w14:textId="610B995B" w:rsidR="005F1E7F" w:rsidRDefault="005F1E7F" w:rsidP="00975B08">
      <w:pPr>
        <w:pStyle w:val="BodyText1"/>
        <w:numPr>
          <w:ilvl w:val="0"/>
          <w:numId w:val="9"/>
        </w:numPr>
      </w:pPr>
      <w:r>
        <w:t xml:space="preserve">Organisations may place the responsibility to identify and manage personal information on </w:t>
      </w:r>
      <w:r w:rsidR="004D487B">
        <w:t>its</w:t>
      </w:r>
      <w:r>
        <w:t xml:space="preserve"> business units, rather than employing a central strategy to manage and protect personal information</w:t>
      </w:r>
      <w:r w:rsidR="004D487B">
        <w:t xml:space="preserve"> at an enterprise </w:t>
      </w:r>
      <w:r w:rsidR="004D487B" w:rsidRPr="00756448">
        <w:t>level</w:t>
      </w:r>
      <w:r w:rsidRPr="00756448">
        <w:t>.</w:t>
      </w:r>
      <w:r w:rsidR="004D487B" w:rsidRPr="00756448">
        <w:t xml:space="preserve"> For this strategy to be effective, </w:t>
      </w:r>
      <w:r w:rsidR="00756448" w:rsidRPr="00756448">
        <w:t xml:space="preserve">thorough </w:t>
      </w:r>
      <w:r w:rsidR="004D487B" w:rsidRPr="00756448">
        <w:t xml:space="preserve">policies, procedures and training </w:t>
      </w:r>
      <w:r w:rsidR="00756448" w:rsidRPr="00756448">
        <w:t xml:space="preserve">will </w:t>
      </w:r>
      <w:r w:rsidR="000B75F7">
        <w:t xml:space="preserve">likely </w:t>
      </w:r>
      <w:r w:rsidR="00756448" w:rsidRPr="00756448">
        <w:t xml:space="preserve">be needed. </w:t>
      </w:r>
      <w:r w:rsidR="00756448">
        <w:t xml:space="preserve">It is also important that staff know who to contact for privacy and information security advice. </w:t>
      </w:r>
      <w:r w:rsidR="00E74939">
        <w:t xml:space="preserve">In a decentralised model, staff responsible for projects that span multiple locations, business units or faculties (for e.g., a project to implement a new ICT system), may </w:t>
      </w:r>
      <w:r w:rsidR="002050AD">
        <w:t>find it more difficult to identify and manage personal information security risks.</w:t>
      </w:r>
    </w:p>
    <w:p w14:paraId="20E6A9E5" w14:textId="5C66D8DA" w:rsidR="005F1E7F" w:rsidRDefault="004A55E3" w:rsidP="00756448">
      <w:pPr>
        <w:pStyle w:val="BodyText1"/>
        <w:numPr>
          <w:ilvl w:val="0"/>
          <w:numId w:val="9"/>
        </w:numPr>
      </w:pPr>
      <w:r>
        <w:t>PIAs and Information Security Risk Assessments (</w:t>
      </w:r>
      <w:r w:rsidRPr="0029504E">
        <w:rPr>
          <w:b/>
          <w:bCs/>
        </w:rPr>
        <w:t>ISRA</w:t>
      </w:r>
      <w:r w:rsidR="00D9123F">
        <w:rPr>
          <w:b/>
          <w:bCs/>
        </w:rPr>
        <w:t>s</w:t>
      </w:r>
      <w:r>
        <w:t xml:space="preserve">) can support </w:t>
      </w:r>
      <w:r w:rsidR="004D487B">
        <w:t>the identification of personal information holdings</w:t>
      </w:r>
      <w:r>
        <w:t xml:space="preserve">. </w:t>
      </w:r>
      <w:r w:rsidR="004D487B">
        <w:t xml:space="preserve">Organisations that rely on PIAs as their primary method </w:t>
      </w:r>
      <w:r w:rsidR="00756448">
        <w:t>may</w:t>
      </w:r>
      <w:r>
        <w:t xml:space="preserve"> only </w:t>
      </w:r>
      <w:r w:rsidR="00756448">
        <w:t>be identifying their holdings of recently collected personal information</w:t>
      </w:r>
      <w:r w:rsidR="002050AD">
        <w:t>, as they are most likely completed in response to a new project</w:t>
      </w:r>
      <w:r w:rsidR="00756448">
        <w:t>. This may leave privacy teams</w:t>
      </w:r>
      <w:r w:rsidR="002050AD">
        <w:t xml:space="preserve"> and</w:t>
      </w:r>
      <w:r w:rsidR="00756448">
        <w:t xml:space="preserve"> wider staff,</w:t>
      </w:r>
      <w:r>
        <w:t xml:space="preserve"> unaware of the </w:t>
      </w:r>
      <w:r w:rsidR="002050AD">
        <w:t xml:space="preserve">historical or legacy </w:t>
      </w:r>
      <w:r>
        <w:t xml:space="preserve">information </w:t>
      </w:r>
      <w:r w:rsidR="002050AD">
        <w:t xml:space="preserve">held by the </w:t>
      </w:r>
      <w:r w:rsidR="00756448">
        <w:t>organisation</w:t>
      </w:r>
      <w:r>
        <w:t xml:space="preserve">. The effectiveness of </w:t>
      </w:r>
      <w:r w:rsidR="00756448">
        <w:t>PIAs and risk assessments in informing an organisation about the personal information it holds</w:t>
      </w:r>
      <w:r>
        <w:t xml:space="preserve"> depends on how long it has been carrying out PIAs and if there is another strategy in place to identify personal information held in existing systems, such as by completing Record Assessments.</w:t>
      </w:r>
      <w:r w:rsidR="005F1E7F">
        <w:t xml:space="preserve"> </w:t>
      </w:r>
    </w:p>
    <w:p w14:paraId="36D48D2A" w14:textId="53C342E9" w:rsidR="00A22E47" w:rsidRDefault="00A22E47">
      <w:pPr>
        <w:rPr>
          <w:rFonts w:cs="National-Book"/>
          <w:color w:val="000000"/>
          <w:sz w:val="22"/>
          <w:szCs w:val="22"/>
        </w:rPr>
      </w:pPr>
      <w:r>
        <w:br w:type="page"/>
      </w:r>
    </w:p>
    <w:p w14:paraId="39DFCE43" w14:textId="38AF6FBB" w:rsidR="00A92E7D" w:rsidRPr="00E3459E" w:rsidRDefault="00C03516" w:rsidP="00E3459E">
      <w:pPr>
        <w:pStyle w:val="Level2Heading"/>
        <w:spacing w:before="160" w:after="120"/>
      </w:pPr>
      <w:bookmarkStart w:id="23" w:name="_Toc75517864"/>
      <w:r w:rsidRPr="00E3459E">
        <w:lastRenderedPageBreak/>
        <w:t>PART 2</w:t>
      </w:r>
      <w:r w:rsidR="00DE18C7" w:rsidRPr="00E3459E">
        <w:t xml:space="preserve"> – </w:t>
      </w:r>
      <w:r w:rsidR="005E7D0E" w:rsidRPr="00E3459E">
        <w:t>I</w:t>
      </w:r>
      <w:r w:rsidR="005F1E7F" w:rsidRPr="00E3459E">
        <w:t xml:space="preserve">dentifying the security value, or assessing the </w:t>
      </w:r>
      <w:r w:rsidR="0023326A" w:rsidRPr="00E3459E">
        <w:t xml:space="preserve">sensitivity </w:t>
      </w:r>
      <w:r w:rsidR="005F1E7F" w:rsidRPr="00E3459E">
        <w:t xml:space="preserve">of, personal </w:t>
      </w:r>
      <w:proofErr w:type="gramStart"/>
      <w:r w:rsidR="005F1E7F" w:rsidRPr="00E3459E">
        <w:t>information</w:t>
      </w:r>
      <w:bookmarkEnd w:id="23"/>
      <w:proofErr w:type="gramEnd"/>
    </w:p>
    <w:p w14:paraId="393B3480" w14:textId="0C18E829" w:rsidR="001E29BC" w:rsidRPr="00D7454E" w:rsidRDefault="001E29BC" w:rsidP="00D7454E">
      <w:pPr>
        <w:pStyle w:val="Level3Heading"/>
        <w:spacing w:before="120" w:line="360" w:lineRule="auto"/>
        <w:rPr>
          <w:szCs w:val="24"/>
        </w:rPr>
      </w:pPr>
      <w:bookmarkStart w:id="24" w:name="_Toc75517865"/>
      <w:r w:rsidRPr="00D7454E">
        <w:rPr>
          <w:szCs w:val="24"/>
        </w:rPr>
        <w:t>Identifying the sensitivity of personal information</w:t>
      </w:r>
      <w:bookmarkEnd w:id="24"/>
    </w:p>
    <w:p w14:paraId="048258C4" w14:textId="616927A8" w:rsidR="0001086B" w:rsidRPr="0001086B" w:rsidRDefault="00F4367F" w:rsidP="00701854">
      <w:pPr>
        <w:pStyle w:val="BodyText1"/>
        <w:numPr>
          <w:ilvl w:val="0"/>
          <w:numId w:val="9"/>
        </w:numPr>
        <w:rPr>
          <w:b/>
          <w:bCs/>
        </w:rPr>
      </w:pPr>
      <w:r>
        <w:t xml:space="preserve">Assessing the nature of personal information involves determining if the personal information is sensitive information, as defined in Schedule 1 of the PDP Act, or if the disclosure of the information, because of its nature, may cause a higher degree of harm to an individual. </w:t>
      </w:r>
      <w:r w:rsidR="00B358DB">
        <w:t xml:space="preserve">This is an important part of understanding the value of the personal information. </w:t>
      </w:r>
      <w:r w:rsidR="0017768C" w:rsidRPr="0017768C">
        <w:t>For example</w:t>
      </w:r>
      <w:r w:rsidR="0001086B">
        <w:t>:</w:t>
      </w:r>
    </w:p>
    <w:p w14:paraId="492D460B" w14:textId="4C6A55E6" w:rsidR="0001086B" w:rsidRPr="0001086B" w:rsidRDefault="0001086B" w:rsidP="00CB2283">
      <w:pPr>
        <w:pStyle w:val="BodyText1"/>
        <w:numPr>
          <w:ilvl w:val="1"/>
          <w:numId w:val="9"/>
        </w:numPr>
        <w:ind w:left="811" w:hanging="357"/>
        <w:rPr>
          <w:b/>
          <w:bCs/>
        </w:rPr>
      </w:pPr>
      <w:r>
        <w:t>s</w:t>
      </w:r>
      <w:r w:rsidR="0017768C" w:rsidRPr="0017768C">
        <w:t xml:space="preserve">ensitive information such as </w:t>
      </w:r>
      <w:r w:rsidR="00140849">
        <w:t xml:space="preserve">a person’s </w:t>
      </w:r>
      <w:r w:rsidR="0017768C" w:rsidRPr="0017768C">
        <w:t>racial or ethnic origin can be used to discriminate</w:t>
      </w:r>
      <w:r w:rsidR="002050AD">
        <w:t>, or</w:t>
      </w:r>
    </w:p>
    <w:p w14:paraId="7F6EC753" w14:textId="1CAB05A5" w:rsidR="005F1E7F" w:rsidRPr="0023326A" w:rsidRDefault="00140849" w:rsidP="00CB2283">
      <w:pPr>
        <w:pStyle w:val="BodyText1"/>
        <w:numPr>
          <w:ilvl w:val="1"/>
          <w:numId w:val="9"/>
        </w:numPr>
        <w:ind w:left="811" w:hanging="357"/>
        <w:rPr>
          <w:b/>
          <w:bCs/>
        </w:rPr>
      </w:pPr>
      <w:r w:rsidRPr="00140849">
        <w:t xml:space="preserve">financial information </w:t>
      </w:r>
      <w:r w:rsidR="0001086B">
        <w:t>can be used in</w:t>
      </w:r>
      <w:r w:rsidRPr="00140849">
        <w:t xml:space="preserve"> identity fraud or </w:t>
      </w:r>
      <w:r w:rsidR="0001086B">
        <w:t xml:space="preserve">to cause </w:t>
      </w:r>
      <w:r w:rsidRPr="00140849">
        <w:t>financial harm.</w:t>
      </w:r>
    </w:p>
    <w:p w14:paraId="26386ED5" w14:textId="1912E741" w:rsidR="0023326A" w:rsidRPr="0017768C" w:rsidRDefault="0023326A" w:rsidP="00701854">
      <w:pPr>
        <w:pStyle w:val="BodyText1"/>
        <w:numPr>
          <w:ilvl w:val="0"/>
          <w:numId w:val="9"/>
        </w:numPr>
      </w:pPr>
      <w:r w:rsidRPr="0017768C">
        <w:t xml:space="preserve">By being aware of the </w:t>
      </w:r>
      <w:r w:rsidR="000E4E71">
        <w:t>value</w:t>
      </w:r>
      <w:r w:rsidR="000E4E71" w:rsidRPr="0017768C">
        <w:t xml:space="preserve"> </w:t>
      </w:r>
      <w:r w:rsidRPr="0017768C">
        <w:t xml:space="preserve">of </w:t>
      </w:r>
      <w:r w:rsidR="00040088">
        <w:t xml:space="preserve">personal </w:t>
      </w:r>
      <w:r w:rsidRPr="0017768C">
        <w:t xml:space="preserve">information, organisations are best placed to take ‘reasonable steps’ to protect </w:t>
      </w:r>
      <w:r w:rsidR="00140849">
        <w:t xml:space="preserve">it. </w:t>
      </w:r>
      <w:r w:rsidR="002268BA">
        <w:t>How sensitive personal information may be generally aligns to the level of harm</w:t>
      </w:r>
      <w:r w:rsidR="00076AFA">
        <w:t xml:space="preserve"> to</w:t>
      </w:r>
      <w:r w:rsidR="002268BA">
        <w:t xml:space="preserve"> an individual </w:t>
      </w:r>
      <w:r w:rsidR="00076AFA">
        <w:t xml:space="preserve">that </w:t>
      </w:r>
      <w:r w:rsidR="002268BA">
        <w:t xml:space="preserve">may be caused if the information was compromised. The level of security </w:t>
      </w:r>
      <w:r w:rsidR="00040088">
        <w:t xml:space="preserve">applied to records of personal information or data sets containing personal information </w:t>
      </w:r>
      <w:r w:rsidR="002268BA">
        <w:t>should reflect the sensitivity</w:t>
      </w:r>
      <w:r w:rsidR="00040088">
        <w:t xml:space="preserve"> of the information</w:t>
      </w:r>
      <w:r w:rsidR="002268BA">
        <w:t xml:space="preserve">.  </w:t>
      </w:r>
      <w:r w:rsidR="00140849" w:rsidRPr="0017768C">
        <w:t xml:space="preserve"> </w:t>
      </w:r>
    </w:p>
    <w:p w14:paraId="71B5D4E1" w14:textId="54D3791C" w:rsidR="00E94464" w:rsidRPr="00D7454E" w:rsidRDefault="00C16E93" w:rsidP="00D7454E">
      <w:pPr>
        <w:pStyle w:val="Level3Heading"/>
        <w:spacing w:before="120" w:line="360" w:lineRule="auto"/>
        <w:rPr>
          <w:szCs w:val="24"/>
        </w:rPr>
      </w:pPr>
      <w:bookmarkStart w:id="25" w:name="_Toc75517866"/>
      <w:r w:rsidRPr="00D7454E">
        <w:rPr>
          <w:szCs w:val="24"/>
        </w:rPr>
        <w:t>I</w:t>
      </w:r>
      <w:r w:rsidR="005F1E7F" w:rsidRPr="00D7454E">
        <w:rPr>
          <w:szCs w:val="24"/>
        </w:rPr>
        <w:t>dentifying the value of public sector information</w:t>
      </w:r>
      <w:bookmarkEnd w:id="25"/>
      <w:r w:rsidR="00E94464" w:rsidRPr="00D7454E">
        <w:rPr>
          <w:szCs w:val="24"/>
        </w:rPr>
        <w:t xml:space="preserve"> </w:t>
      </w:r>
    </w:p>
    <w:p w14:paraId="67F5301B" w14:textId="4F7577C5" w:rsidR="005F1E7F" w:rsidRDefault="00D03C1B" w:rsidP="00975B08">
      <w:pPr>
        <w:pStyle w:val="BodyText1"/>
        <w:numPr>
          <w:ilvl w:val="0"/>
          <w:numId w:val="9"/>
        </w:numPr>
      </w:pPr>
      <w:r>
        <w:t>I</w:t>
      </w:r>
      <w:r w:rsidR="00040088">
        <w:t xml:space="preserve">dentifying the value </w:t>
      </w:r>
      <w:r w:rsidR="00C24D6C">
        <w:t>of</w:t>
      </w:r>
      <w:r w:rsidR="00040088">
        <w:t xml:space="preserve"> information </w:t>
      </w:r>
      <w:r w:rsidR="00300417">
        <w:t xml:space="preserve">is a security </w:t>
      </w:r>
      <w:r w:rsidR="00C24D6C">
        <w:t>practice</w:t>
      </w:r>
      <w:r w:rsidR="00300417">
        <w:t xml:space="preserve"> that </w:t>
      </w:r>
      <w:r w:rsidR="00040088">
        <w:t xml:space="preserve">applies to all information an organisation holds </w:t>
      </w:r>
      <w:r w:rsidR="00300417">
        <w:t>(</w:t>
      </w:r>
      <w:r w:rsidR="00040088">
        <w:t xml:space="preserve">including </w:t>
      </w:r>
      <w:r w:rsidR="00300417">
        <w:t xml:space="preserve">but not limited to </w:t>
      </w:r>
      <w:r w:rsidR="00040088">
        <w:t>personal information</w:t>
      </w:r>
      <w:r w:rsidR="00300417">
        <w:t>)</w:t>
      </w:r>
      <w:r w:rsidR="00040088">
        <w:t>.</w:t>
      </w:r>
      <w:r w:rsidR="005F1E7F">
        <w:t xml:space="preserve"> Through assessing the security value of information, organisations can </w:t>
      </w:r>
      <w:r w:rsidR="002050AD">
        <w:t xml:space="preserve">identify and </w:t>
      </w:r>
      <w:r w:rsidR="005F1E7F">
        <w:t xml:space="preserve">apply appropriate measures to secure information that are proportional to the harm that could occur if the information were compromised. </w:t>
      </w:r>
    </w:p>
    <w:p w14:paraId="686CF9A0" w14:textId="480FA864" w:rsidR="005F1E7F" w:rsidRDefault="005F1E7F" w:rsidP="00975B08">
      <w:pPr>
        <w:pStyle w:val="BodyText1"/>
        <w:numPr>
          <w:ilvl w:val="0"/>
          <w:numId w:val="9"/>
        </w:numPr>
      </w:pPr>
      <w:r>
        <w:t>For Victorian public sector organisations, assessing the security value of information involves determining</w:t>
      </w:r>
      <w:r w:rsidR="00040088">
        <w:t xml:space="preserve"> the</w:t>
      </w:r>
      <w:r>
        <w:t xml:space="preserve"> </w:t>
      </w:r>
      <w:r w:rsidRPr="00CF4E72">
        <w:t xml:space="preserve">impacts to government operations, </w:t>
      </w:r>
      <w:proofErr w:type="gramStart"/>
      <w:r w:rsidRPr="00CF4E72">
        <w:t>organisations</w:t>
      </w:r>
      <w:proofErr w:type="gramEnd"/>
      <w:r w:rsidRPr="00CF4E72">
        <w:t xml:space="preserve"> or individuals, if there were a compromise of the confidentiality, integrity and/or availability of public sector information</w:t>
      </w:r>
      <w:r>
        <w:t>.</w:t>
      </w:r>
    </w:p>
    <w:p w14:paraId="09648001" w14:textId="025AFD0F" w:rsidR="005F1E7F" w:rsidRDefault="00040088" w:rsidP="00975B08">
      <w:pPr>
        <w:pStyle w:val="BodyText1"/>
        <w:numPr>
          <w:ilvl w:val="0"/>
          <w:numId w:val="9"/>
        </w:numPr>
      </w:pPr>
      <w:r>
        <w:t xml:space="preserve">Like </w:t>
      </w:r>
      <w:r w:rsidR="00300417">
        <w:t xml:space="preserve">the concept of </w:t>
      </w:r>
      <w:r>
        <w:t xml:space="preserve">assessing the sensitivity of </w:t>
      </w:r>
      <w:r w:rsidR="00300417">
        <w:t xml:space="preserve">personal </w:t>
      </w:r>
      <w:r>
        <w:t xml:space="preserve">information, assessing the security value of </w:t>
      </w:r>
      <w:r w:rsidR="00300417">
        <w:t xml:space="preserve">public sector </w:t>
      </w:r>
      <w:r>
        <w:t xml:space="preserve">information can assist </w:t>
      </w:r>
      <w:r w:rsidR="00300417">
        <w:t xml:space="preserve">VPS </w:t>
      </w:r>
      <w:r>
        <w:t>organisations to implement appropriate security measures in</w:t>
      </w:r>
      <w:r w:rsidR="005F1E7F">
        <w:t xml:space="preserve"> consideration of the potential harm to the individual if the</w:t>
      </w:r>
      <w:r w:rsidR="00300417">
        <w:t>ir</w:t>
      </w:r>
      <w:r w:rsidR="005F1E7F">
        <w:t xml:space="preserve"> information was lost or misused. </w:t>
      </w:r>
    </w:p>
    <w:p w14:paraId="4E5666E3" w14:textId="01EF248F" w:rsidR="00876AC5" w:rsidRPr="00D7454E" w:rsidRDefault="00701854" w:rsidP="00C03516">
      <w:pPr>
        <w:pStyle w:val="Level3Heading"/>
        <w:spacing w:before="120" w:line="360" w:lineRule="auto"/>
        <w:rPr>
          <w:szCs w:val="24"/>
        </w:rPr>
      </w:pPr>
      <w:bookmarkStart w:id="26" w:name="_Toc75517867"/>
      <w:r w:rsidRPr="00D7454E">
        <w:rPr>
          <w:szCs w:val="24"/>
        </w:rPr>
        <w:t xml:space="preserve">Examination </w:t>
      </w:r>
      <w:r w:rsidR="005F1E7F" w:rsidRPr="00D7454E">
        <w:rPr>
          <w:szCs w:val="24"/>
        </w:rPr>
        <w:t>findings</w:t>
      </w:r>
      <w:bookmarkEnd w:id="26"/>
    </w:p>
    <w:p w14:paraId="3D07328C" w14:textId="62FFABA7" w:rsidR="00C03516" w:rsidRPr="00D7454E" w:rsidRDefault="00C03516" w:rsidP="00D7454E">
      <w:pPr>
        <w:pStyle w:val="Level4heading"/>
        <w:rPr>
          <w:color w:val="auto"/>
        </w:rPr>
      </w:pPr>
      <w:r w:rsidRPr="00D7454E">
        <w:rPr>
          <w:color w:val="auto"/>
        </w:rPr>
        <w:t xml:space="preserve">Do Victorian universities assess the sensitivity or the value of the personal information they hold? </w:t>
      </w:r>
    </w:p>
    <w:p w14:paraId="2015F5DC" w14:textId="7FFC7E90" w:rsidR="00D03C1B" w:rsidRDefault="005F1E7F" w:rsidP="00D03C1B">
      <w:pPr>
        <w:pStyle w:val="BodyText1"/>
        <w:numPr>
          <w:ilvl w:val="0"/>
          <w:numId w:val="9"/>
        </w:numPr>
      </w:pPr>
      <w:bookmarkStart w:id="27" w:name="_Hlk64968636"/>
      <w:r w:rsidRPr="00D03C1B">
        <w:rPr>
          <w:b/>
          <w:bCs/>
        </w:rPr>
        <w:t xml:space="preserve">Four </w:t>
      </w:r>
      <w:r>
        <w:t xml:space="preserve">universities </w:t>
      </w:r>
      <w:r w:rsidR="009F66E3">
        <w:t>showed they have</w:t>
      </w:r>
      <w:r>
        <w:t xml:space="preserve"> information management and classification frameworks. </w:t>
      </w:r>
      <w:bookmarkEnd w:id="27"/>
      <w:r w:rsidR="00D03C1B">
        <w:t xml:space="preserve">These documents generally set out how the universities assess the </w:t>
      </w:r>
      <w:r w:rsidR="00D03C1B" w:rsidRPr="004A55E3">
        <w:t>security value</w:t>
      </w:r>
      <w:r w:rsidR="00D03C1B">
        <w:t xml:space="preserve"> of information.</w:t>
      </w:r>
    </w:p>
    <w:p w14:paraId="67D57780" w14:textId="3E554D31" w:rsidR="005F1E7F" w:rsidRDefault="005F1E7F" w:rsidP="00D03C1B">
      <w:pPr>
        <w:pStyle w:val="BodyText1"/>
        <w:numPr>
          <w:ilvl w:val="0"/>
          <w:numId w:val="9"/>
        </w:numPr>
      </w:pPr>
      <w:r>
        <w:t xml:space="preserve">Of the four, </w:t>
      </w:r>
      <w:r w:rsidRPr="00D03C1B">
        <w:rPr>
          <w:b/>
          <w:bCs/>
        </w:rPr>
        <w:t xml:space="preserve">two </w:t>
      </w:r>
      <w:r>
        <w:t>universities</w:t>
      </w:r>
      <w:r w:rsidR="00C24D6C">
        <w:t>’</w:t>
      </w:r>
      <w:r>
        <w:t xml:space="preserve"> processes </w:t>
      </w:r>
      <w:r w:rsidR="009F66E3">
        <w:t xml:space="preserve">for assessing information specifically </w:t>
      </w:r>
      <w:r>
        <w:t xml:space="preserve">required </w:t>
      </w:r>
      <w:r w:rsidR="00C24D6C">
        <w:t xml:space="preserve">the user </w:t>
      </w:r>
      <w:r>
        <w:t xml:space="preserve">to consider if the information assets or data sets contained </w:t>
      </w:r>
      <w:r w:rsidRPr="00C24D6C">
        <w:t>personal information</w:t>
      </w:r>
      <w:r w:rsidR="00D03C1B">
        <w:t>.</w:t>
      </w:r>
      <w:r>
        <w:t xml:space="preserve">  </w:t>
      </w:r>
    </w:p>
    <w:p w14:paraId="0F4A12B7" w14:textId="77777777" w:rsidR="003C2367" w:rsidRDefault="00AB32C7" w:rsidP="00D7454E">
      <w:pPr>
        <w:pStyle w:val="Level4heading"/>
        <w:rPr>
          <w:color w:val="auto"/>
        </w:rPr>
      </w:pPr>
      <w:r w:rsidRPr="00D7454E">
        <w:rPr>
          <w:color w:val="auto"/>
        </w:rPr>
        <w:lastRenderedPageBreak/>
        <w:t>How do Victorian universities assess the sensitivity or the value of the personal information they hold?</w:t>
      </w:r>
    </w:p>
    <w:p w14:paraId="7DD1FD84" w14:textId="7152E3EB" w:rsidR="00AB32C7" w:rsidRPr="003C2367" w:rsidRDefault="003C2367" w:rsidP="003C2367">
      <w:pPr>
        <w:spacing w:before="240" w:after="240"/>
        <w:rPr>
          <w:rFonts w:eastAsia="Times New Roman" w:cstheme="minorHAnsi"/>
          <w:i/>
          <w:iCs/>
          <w:sz w:val="22"/>
          <w:szCs w:val="22"/>
          <w:lang w:val="en-GB"/>
        </w:rPr>
      </w:pPr>
      <w:r w:rsidRPr="00EE3B8C">
        <w:rPr>
          <w:rFonts w:eastAsia="Times New Roman" w:cstheme="minorHAnsi"/>
          <w:i/>
          <w:iCs/>
          <w:sz w:val="22"/>
          <w:szCs w:val="22"/>
          <w:lang w:val="en-GB"/>
        </w:rPr>
        <w:t>Chart 2 -</w:t>
      </w:r>
      <w:r w:rsidRPr="009602D8">
        <w:rPr>
          <w:rFonts w:eastAsia="Times New Roman" w:cstheme="minorHAnsi"/>
          <w:i/>
          <w:iCs/>
          <w:sz w:val="22"/>
          <w:szCs w:val="26"/>
          <w:lang w:val="en-GB"/>
        </w:rPr>
        <w:t xml:space="preserve"> </w:t>
      </w:r>
      <w:r w:rsidRPr="009602D8">
        <w:rPr>
          <w:rFonts w:eastAsia="Times New Roman" w:cstheme="minorHAnsi"/>
          <w:i/>
          <w:iCs/>
          <w:sz w:val="22"/>
          <w:szCs w:val="22"/>
        </w:rPr>
        <w:t xml:space="preserve">Methods described by universities for assessing personal </w:t>
      </w:r>
      <w:proofErr w:type="gramStart"/>
      <w:r w:rsidRPr="009602D8">
        <w:rPr>
          <w:rFonts w:eastAsia="Times New Roman" w:cstheme="minorHAnsi"/>
          <w:i/>
          <w:iCs/>
          <w:sz w:val="22"/>
          <w:szCs w:val="22"/>
        </w:rPr>
        <w:t>information</w:t>
      </w:r>
      <w:proofErr w:type="gramEnd"/>
    </w:p>
    <w:p w14:paraId="5B3FC4D0" w14:textId="28D41729" w:rsidR="00EC4CF1" w:rsidRPr="00076AFA" w:rsidRDefault="003C2367" w:rsidP="00076AFA">
      <w:pPr>
        <w:spacing w:before="240" w:after="240"/>
        <w:rPr>
          <w:rFonts w:eastAsia="Times New Roman" w:cstheme="minorHAnsi"/>
          <w:i/>
          <w:iCs/>
          <w:sz w:val="22"/>
          <w:szCs w:val="22"/>
          <w:lang w:val="en-GB"/>
        </w:rPr>
      </w:pPr>
      <w:r w:rsidRPr="00EE3B8C">
        <w:rPr>
          <w:noProof/>
          <w:szCs w:val="22"/>
        </w:rPr>
        <w:drawing>
          <wp:inline distT="0" distB="0" distL="0" distR="0" wp14:anchorId="5E3D114F" wp14:editId="7E5AC472">
            <wp:extent cx="5610225" cy="3122295"/>
            <wp:effectExtent l="0" t="0" r="0" b="19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CFFADB" w14:textId="7373E36B" w:rsidR="003A77B2" w:rsidRPr="00784FE9" w:rsidRDefault="003A77B2" w:rsidP="00D7454E">
      <w:pPr>
        <w:pStyle w:val="Level4heading"/>
        <w:rPr>
          <w:b/>
          <w:bCs/>
        </w:rPr>
      </w:pPr>
      <w:r w:rsidRPr="00D7454E">
        <w:rPr>
          <w:color w:val="auto"/>
        </w:rPr>
        <w:t xml:space="preserve">Approaches to assessing personal </w:t>
      </w:r>
      <w:proofErr w:type="gramStart"/>
      <w:r w:rsidRPr="00D7454E">
        <w:rPr>
          <w:color w:val="auto"/>
        </w:rPr>
        <w:t>information</w:t>
      </w:r>
      <w:proofErr w:type="gramEnd"/>
    </w:p>
    <w:p w14:paraId="47DB7E8B" w14:textId="3763EDED" w:rsidR="004A55E3" w:rsidRDefault="004A55E3" w:rsidP="004A55E3">
      <w:pPr>
        <w:pStyle w:val="BodyText1"/>
        <w:numPr>
          <w:ilvl w:val="0"/>
          <w:numId w:val="9"/>
        </w:numPr>
      </w:pPr>
      <w:r>
        <w:t>Column 1 in the table above includes responses rated ‘partial’. In one case, a university explained that it is developing a Data Governance Policy and Framework. Another university has a process for undertaking PIAs that involves assessing the personal information in accordance with the university’s Information Security Policy, which contains data classifications. This response was rated ‘partial’ to reflect that the universit</w:t>
      </w:r>
      <w:r w:rsidR="00D03C1B">
        <w:t>y did not have a</w:t>
      </w:r>
      <w:r>
        <w:t xml:space="preserve"> </w:t>
      </w:r>
      <w:r w:rsidR="00D03C1B">
        <w:t xml:space="preserve">documented approach for </w:t>
      </w:r>
      <w:r>
        <w:t>assessing personal information</w:t>
      </w:r>
      <w:r w:rsidR="006D337C">
        <w:t xml:space="preserve"> that applies </w:t>
      </w:r>
      <w:r w:rsidR="00D03C1B">
        <w:t xml:space="preserve">more broadly </w:t>
      </w:r>
      <w:r w:rsidR="006D337C">
        <w:t>outside of the PIA process</w:t>
      </w:r>
      <w:r>
        <w:t xml:space="preserve">. </w:t>
      </w:r>
    </w:p>
    <w:p w14:paraId="79BDACDD" w14:textId="0F8531B9" w:rsidR="009F66E3" w:rsidRPr="00D7454E" w:rsidRDefault="009F66E3" w:rsidP="00D7454E">
      <w:pPr>
        <w:pStyle w:val="Level4heading"/>
        <w:rPr>
          <w:color w:val="auto"/>
        </w:rPr>
      </w:pPr>
      <w:r w:rsidRPr="00D7454E">
        <w:rPr>
          <w:color w:val="auto"/>
        </w:rPr>
        <w:t xml:space="preserve">Applying markers to information to </w:t>
      </w:r>
      <w:r w:rsidR="004A55E3" w:rsidRPr="00D7454E">
        <w:rPr>
          <w:color w:val="auto"/>
        </w:rPr>
        <w:t>communicate</w:t>
      </w:r>
      <w:r w:rsidRPr="00D7454E">
        <w:rPr>
          <w:color w:val="auto"/>
        </w:rPr>
        <w:t xml:space="preserve"> </w:t>
      </w:r>
      <w:r w:rsidR="004A55E3" w:rsidRPr="00D7454E">
        <w:rPr>
          <w:color w:val="auto"/>
        </w:rPr>
        <w:t>the information’s v</w:t>
      </w:r>
      <w:r w:rsidRPr="00D7454E">
        <w:rPr>
          <w:color w:val="auto"/>
        </w:rPr>
        <w:t>alue</w:t>
      </w:r>
      <w:r w:rsidR="004A55E3" w:rsidRPr="00D7454E">
        <w:rPr>
          <w:color w:val="auto"/>
        </w:rPr>
        <w:t xml:space="preserve"> or </w:t>
      </w:r>
      <w:proofErr w:type="gramStart"/>
      <w:r w:rsidRPr="00D7454E">
        <w:rPr>
          <w:color w:val="auto"/>
        </w:rPr>
        <w:t>sensitivity</w:t>
      </w:r>
      <w:proofErr w:type="gramEnd"/>
    </w:p>
    <w:p w14:paraId="4F14E961" w14:textId="7E85D7A6" w:rsidR="00076AFA" w:rsidRDefault="005F1E7F" w:rsidP="00076AFA">
      <w:pPr>
        <w:pStyle w:val="BodyText1"/>
        <w:numPr>
          <w:ilvl w:val="0"/>
          <w:numId w:val="9"/>
        </w:numPr>
      </w:pPr>
      <w:r w:rsidRPr="00D3387B">
        <w:t xml:space="preserve">OVIC found that following assessment, </w:t>
      </w:r>
      <w:r w:rsidR="001864B7">
        <w:rPr>
          <w:b/>
          <w:bCs/>
        </w:rPr>
        <w:t>four</w:t>
      </w:r>
      <w:r w:rsidRPr="00D3387B">
        <w:t xml:space="preserve"> of the </w:t>
      </w:r>
      <w:r w:rsidR="005E7D0E">
        <w:t>frameworks</w:t>
      </w:r>
      <w:r w:rsidR="001864B7">
        <w:t>/procedure documents</w:t>
      </w:r>
      <w:r w:rsidRPr="00D3387B">
        <w:t xml:space="preserve"> required staff to apply a </w:t>
      </w:r>
      <w:r w:rsidR="00273219">
        <w:t xml:space="preserve">protective </w:t>
      </w:r>
      <w:r w:rsidRPr="00D3387B">
        <w:t>mark</w:t>
      </w:r>
      <w:r w:rsidR="00273219">
        <w:t>ing</w:t>
      </w:r>
      <w:r w:rsidRPr="00D3387B">
        <w:t xml:space="preserve"> to information </w:t>
      </w:r>
      <w:r w:rsidR="005E7D0E">
        <w:t xml:space="preserve">(for </w:t>
      </w:r>
      <w:r w:rsidR="00C16E93">
        <w:t>example</w:t>
      </w:r>
      <w:r w:rsidR="005E7D0E">
        <w:t xml:space="preserve">, documents, emails) </w:t>
      </w:r>
      <w:r w:rsidRPr="00D3387B">
        <w:t>that governs how th</w:t>
      </w:r>
      <w:r w:rsidR="005E7D0E">
        <w:t>at</w:t>
      </w:r>
      <w:r w:rsidRPr="00D3387B">
        <w:t xml:space="preserve"> information needs to be handled. </w:t>
      </w:r>
      <w:r>
        <w:t>For example</w:t>
      </w:r>
      <w:r w:rsidRPr="00D3387B">
        <w:t>, one university classifies data into four categories</w:t>
      </w:r>
      <w:r w:rsidR="00076AFA">
        <w:t>:</w:t>
      </w:r>
    </w:p>
    <w:p w14:paraId="00DFD855" w14:textId="77777777" w:rsidR="00076AFA" w:rsidRPr="00076AFA" w:rsidRDefault="005F1E7F" w:rsidP="00CB2283">
      <w:pPr>
        <w:pStyle w:val="BodyText1"/>
        <w:numPr>
          <w:ilvl w:val="1"/>
          <w:numId w:val="9"/>
        </w:numPr>
        <w:ind w:left="811" w:hanging="357"/>
      </w:pPr>
      <w:r w:rsidRPr="00076AFA">
        <w:rPr>
          <w:rFonts w:asciiTheme="minorHAnsi" w:hAnsiTheme="minorHAnsi" w:cstheme="minorHAnsi"/>
        </w:rPr>
        <w:t>strictly confidential</w:t>
      </w:r>
    </w:p>
    <w:p w14:paraId="6FFA79E9" w14:textId="77777777" w:rsidR="00076AFA" w:rsidRPr="00CB2283" w:rsidRDefault="005F1E7F" w:rsidP="00CB2283">
      <w:pPr>
        <w:pStyle w:val="BodyText1"/>
        <w:numPr>
          <w:ilvl w:val="1"/>
          <w:numId w:val="9"/>
        </w:numPr>
        <w:ind w:left="811" w:hanging="357"/>
        <w:rPr>
          <w:rFonts w:asciiTheme="minorHAnsi" w:hAnsiTheme="minorHAnsi" w:cstheme="minorHAnsi"/>
        </w:rPr>
      </w:pPr>
      <w:r w:rsidRPr="00076AFA">
        <w:rPr>
          <w:rFonts w:asciiTheme="minorHAnsi" w:hAnsiTheme="minorHAnsi" w:cstheme="minorHAnsi"/>
        </w:rPr>
        <w:t xml:space="preserve">restricted to </w:t>
      </w:r>
      <w:proofErr w:type="gramStart"/>
      <w:r w:rsidRPr="00076AFA">
        <w:rPr>
          <w:rFonts w:asciiTheme="minorHAnsi" w:hAnsiTheme="minorHAnsi" w:cstheme="minorHAnsi"/>
        </w:rPr>
        <w:t>staff</w:t>
      </w:r>
      <w:proofErr w:type="gramEnd"/>
    </w:p>
    <w:p w14:paraId="6F979C02" w14:textId="77777777" w:rsidR="00076AFA" w:rsidRPr="00CB2283" w:rsidRDefault="005F1E7F" w:rsidP="00CB2283">
      <w:pPr>
        <w:pStyle w:val="BodyText1"/>
        <w:numPr>
          <w:ilvl w:val="1"/>
          <w:numId w:val="9"/>
        </w:numPr>
        <w:ind w:left="811" w:hanging="357"/>
        <w:rPr>
          <w:rFonts w:asciiTheme="minorHAnsi" w:hAnsiTheme="minorHAnsi" w:cstheme="minorHAnsi"/>
        </w:rPr>
      </w:pPr>
      <w:r w:rsidRPr="00076AFA">
        <w:rPr>
          <w:rFonts w:asciiTheme="minorHAnsi" w:hAnsiTheme="minorHAnsi" w:cstheme="minorHAnsi"/>
        </w:rPr>
        <w:t xml:space="preserve">restricted to staff and </w:t>
      </w:r>
      <w:proofErr w:type="gramStart"/>
      <w:r w:rsidRPr="00076AFA">
        <w:rPr>
          <w:rFonts w:asciiTheme="minorHAnsi" w:hAnsiTheme="minorHAnsi" w:cstheme="minorHAnsi"/>
        </w:rPr>
        <w:t>students</w:t>
      </w:r>
      <w:proofErr w:type="gramEnd"/>
    </w:p>
    <w:p w14:paraId="7CEB3CA5" w14:textId="77777777" w:rsidR="00076AFA" w:rsidRPr="00076AFA" w:rsidRDefault="005F1E7F" w:rsidP="00CB2283">
      <w:pPr>
        <w:pStyle w:val="BodyText1"/>
        <w:numPr>
          <w:ilvl w:val="1"/>
          <w:numId w:val="9"/>
        </w:numPr>
        <w:ind w:left="811" w:hanging="357"/>
      </w:pPr>
      <w:r w:rsidRPr="00076AFA">
        <w:rPr>
          <w:rFonts w:asciiTheme="minorHAnsi" w:hAnsiTheme="minorHAnsi" w:cstheme="minorHAnsi"/>
        </w:rPr>
        <w:t xml:space="preserve">public. </w:t>
      </w:r>
    </w:p>
    <w:p w14:paraId="0DD03A3E" w14:textId="28A8D12F" w:rsidR="005F1E7F" w:rsidRDefault="003A77B2" w:rsidP="00076AFA">
      <w:pPr>
        <w:pStyle w:val="BodyText1"/>
        <w:numPr>
          <w:ilvl w:val="0"/>
          <w:numId w:val="9"/>
        </w:numPr>
      </w:pPr>
      <w:r w:rsidRPr="00CB2283">
        <w:t>Of</w:t>
      </w:r>
      <w:r>
        <w:rPr>
          <w:rFonts w:asciiTheme="minorHAnsi" w:hAnsiTheme="minorHAnsi" w:cstheme="minorHAnsi"/>
        </w:rPr>
        <w:t xml:space="preserve"> the </w:t>
      </w:r>
      <w:r>
        <w:rPr>
          <w:rFonts w:asciiTheme="minorHAnsi" w:hAnsiTheme="minorHAnsi" w:cstheme="minorHAnsi"/>
          <w:b/>
          <w:bCs/>
        </w:rPr>
        <w:t xml:space="preserve">four </w:t>
      </w:r>
      <w:r>
        <w:rPr>
          <w:rFonts w:asciiTheme="minorHAnsi" w:hAnsiTheme="minorHAnsi" w:cstheme="minorHAnsi"/>
        </w:rPr>
        <w:t xml:space="preserve">universities that had a documented approach to </w:t>
      </w:r>
      <w:r w:rsidRPr="00804DA3">
        <w:rPr>
          <w:rFonts w:asciiTheme="minorHAnsi" w:hAnsiTheme="minorHAnsi" w:cstheme="minorHAnsi"/>
        </w:rPr>
        <w:t xml:space="preserve">labelling or marking personal information, </w:t>
      </w:r>
      <w:r w:rsidRPr="00804DA3">
        <w:rPr>
          <w:rFonts w:asciiTheme="minorHAnsi" w:hAnsiTheme="minorHAnsi" w:cstheme="minorHAnsi"/>
          <w:b/>
          <w:bCs/>
        </w:rPr>
        <w:t>t</w:t>
      </w:r>
      <w:r w:rsidR="001864B7" w:rsidRPr="00804DA3">
        <w:rPr>
          <w:rFonts w:asciiTheme="minorHAnsi" w:hAnsiTheme="minorHAnsi" w:cstheme="minorHAnsi"/>
          <w:b/>
          <w:bCs/>
        </w:rPr>
        <w:t>hree</w:t>
      </w:r>
      <w:r w:rsidR="005F1E7F" w:rsidRPr="00804DA3">
        <w:rPr>
          <w:rFonts w:asciiTheme="minorHAnsi" w:hAnsiTheme="minorHAnsi" w:cstheme="minorHAnsi"/>
          <w:b/>
          <w:bCs/>
        </w:rPr>
        <w:t xml:space="preserve"> </w:t>
      </w:r>
      <w:r w:rsidR="005F1E7F" w:rsidRPr="00804DA3">
        <w:rPr>
          <w:rFonts w:asciiTheme="minorHAnsi" w:hAnsiTheme="minorHAnsi" w:cstheme="minorHAnsi"/>
        </w:rPr>
        <w:t xml:space="preserve">universities classify information according to the impact of a compromise to </w:t>
      </w:r>
      <w:r w:rsidR="005F1E7F" w:rsidRPr="00804DA3">
        <w:t>the confidentiality, integrity and/or availability of information.</w:t>
      </w:r>
    </w:p>
    <w:p w14:paraId="7906EE66" w14:textId="11E2E0C3" w:rsidR="009F66E3" w:rsidRPr="009602D8" w:rsidRDefault="009F66E3" w:rsidP="00D7454E">
      <w:pPr>
        <w:pStyle w:val="Level4heading"/>
        <w:rPr>
          <w:b/>
          <w:bCs/>
        </w:rPr>
      </w:pPr>
      <w:r w:rsidRPr="00D7454E">
        <w:rPr>
          <w:color w:val="auto"/>
        </w:rPr>
        <w:lastRenderedPageBreak/>
        <w:t>Assessing the nature</w:t>
      </w:r>
      <w:r w:rsidR="004A55E3" w:rsidRPr="00D7454E">
        <w:rPr>
          <w:color w:val="auto"/>
        </w:rPr>
        <w:t xml:space="preserve"> or </w:t>
      </w:r>
      <w:r w:rsidRPr="00D7454E">
        <w:rPr>
          <w:color w:val="auto"/>
        </w:rPr>
        <w:t>sensitivity of information through Privacy Impact Assessments</w:t>
      </w:r>
    </w:p>
    <w:p w14:paraId="023359B3" w14:textId="61CD5EAE" w:rsidR="006F16C1" w:rsidRDefault="006F16C1" w:rsidP="004A55E3">
      <w:pPr>
        <w:pStyle w:val="BodyText1"/>
        <w:numPr>
          <w:ilvl w:val="0"/>
          <w:numId w:val="9"/>
        </w:numPr>
      </w:pPr>
      <w:r>
        <w:rPr>
          <w:b/>
          <w:bCs/>
        </w:rPr>
        <w:t>Five</w:t>
      </w:r>
      <w:r>
        <w:t xml:space="preserve"> </w:t>
      </w:r>
      <w:r w:rsidR="005F1E7F">
        <w:t>universities</w:t>
      </w:r>
      <w:r w:rsidR="00F37141">
        <w:t>’</w:t>
      </w:r>
      <w:r w:rsidR="005F1E7F">
        <w:t xml:space="preserve"> responses explained that when they </w:t>
      </w:r>
      <w:r w:rsidR="00181A0D">
        <w:t>conduct</w:t>
      </w:r>
      <w:r w:rsidR="005F1E7F">
        <w:t xml:space="preserve"> a PIA for a new project or initiative, they consider the nature of the personal information involved. </w:t>
      </w:r>
    </w:p>
    <w:p w14:paraId="5A768B5B" w14:textId="1EB62470" w:rsidR="009F66E3" w:rsidRPr="0091252E" w:rsidRDefault="006F16C1" w:rsidP="004A55E3">
      <w:pPr>
        <w:pStyle w:val="BodyText1"/>
        <w:numPr>
          <w:ilvl w:val="0"/>
          <w:numId w:val="9"/>
        </w:numPr>
      </w:pPr>
      <w:r>
        <w:rPr>
          <w:b/>
          <w:bCs/>
        </w:rPr>
        <w:t>Of the five, t</w:t>
      </w:r>
      <w:r w:rsidR="001864B7">
        <w:rPr>
          <w:b/>
          <w:bCs/>
        </w:rPr>
        <w:t>wo</w:t>
      </w:r>
      <w:r w:rsidR="0091252E">
        <w:t xml:space="preserve"> universities said they assessed the value of personal information through PIA processes but did not have a separate process to assess security value. </w:t>
      </w:r>
    </w:p>
    <w:p w14:paraId="52AFEBB7" w14:textId="16288B95" w:rsidR="005F1E7F" w:rsidRPr="00D7454E" w:rsidRDefault="00696858" w:rsidP="00C03516">
      <w:pPr>
        <w:pStyle w:val="Level3Heading"/>
        <w:spacing w:before="120" w:line="360" w:lineRule="auto"/>
        <w:rPr>
          <w:szCs w:val="24"/>
        </w:rPr>
      </w:pPr>
      <w:bookmarkStart w:id="28" w:name="_Toc75517868"/>
      <w:r w:rsidRPr="00D7454E">
        <w:rPr>
          <w:szCs w:val="24"/>
        </w:rPr>
        <w:t>Observations</w:t>
      </w:r>
      <w:bookmarkEnd w:id="28"/>
    </w:p>
    <w:p w14:paraId="0CD3DB57" w14:textId="77777777" w:rsidR="004A55E3" w:rsidRPr="004A55E3" w:rsidRDefault="004A55E3" w:rsidP="0091252E">
      <w:pPr>
        <w:pStyle w:val="BodyText1"/>
        <w:numPr>
          <w:ilvl w:val="0"/>
          <w:numId w:val="9"/>
        </w:numPr>
      </w:pPr>
      <w:r>
        <w:t xml:space="preserve">Where the PIA process may be effective in valuing newly collected personal information, its application is restricted where it is not used to assess the value or sensitivity of </w:t>
      </w:r>
      <w:r w:rsidRPr="0091252E">
        <w:rPr>
          <w:rFonts w:asciiTheme="minorHAnsi" w:hAnsiTheme="minorHAnsi" w:cstheme="minorHAnsi"/>
        </w:rPr>
        <w:t>existing personal information held by the university.</w:t>
      </w:r>
    </w:p>
    <w:p w14:paraId="37A2E8B5" w14:textId="7DA51BCF" w:rsidR="00AA5225" w:rsidRDefault="0091252E" w:rsidP="00AA5225">
      <w:pPr>
        <w:pStyle w:val="BodyText1"/>
        <w:numPr>
          <w:ilvl w:val="0"/>
          <w:numId w:val="9"/>
        </w:numPr>
      </w:pPr>
      <w:r>
        <w:t xml:space="preserve">Having a documented approach to assessing the value of information supports staff to identify </w:t>
      </w:r>
      <w:r w:rsidR="00076AFA">
        <w:t>its</w:t>
      </w:r>
      <w:r>
        <w:t xml:space="preserve"> </w:t>
      </w:r>
      <w:r w:rsidR="00076AFA">
        <w:t>value</w:t>
      </w:r>
      <w:r>
        <w:t xml:space="preserve"> </w:t>
      </w:r>
      <w:r w:rsidRPr="006D337C">
        <w:rPr>
          <w:color w:val="auto"/>
        </w:rPr>
        <w:t>consistently</w:t>
      </w:r>
      <w:r w:rsidRPr="005F1E7F">
        <w:rPr>
          <w:b/>
          <w:bCs/>
        </w:rPr>
        <w:t xml:space="preserve"> </w:t>
      </w:r>
      <w:r>
        <w:t>and apply reasonable measures to protect the information</w:t>
      </w:r>
      <w:r w:rsidRPr="005F1E7F">
        <w:rPr>
          <w:b/>
          <w:bCs/>
        </w:rPr>
        <w:t xml:space="preserve">. </w:t>
      </w:r>
      <w:r>
        <w:t xml:space="preserve"> </w:t>
      </w:r>
    </w:p>
    <w:p w14:paraId="4228CBB6" w14:textId="261AEF47" w:rsidR="00AA5225" w:rsidRPr="00784FE9" w:rsidRDefault="00AA5225" w:rsidP="00784FE9">
      <w:pPr>
        <w:pStyle w:val="Level3Heading"/>
        <w:spacing w:before="120" w:line="360" w:lineRule="auto"/>
        <w:rPr>
          <w:b/>
          <w:bCs/>
          <w:sz w:val="26"/>
          <w:szCs w:val="30"/>
        </w:rPr>
      </w:pPr>
      <w:bookmarkStart w:id="29" w:name="_Toc75517869"/>
      <w:r w:rsidRPr="00D7454E">
        <w:rPr>
          <w:szCs w:val="24"/>
        </w:rPr>
        <w:t>Recommendations</w:t>
      </w:r>
      <w:bookmarkEnd w:id="29"/>
      <w:r w:rsidRPr="00D7454E">
        <w:rPr>
          <w:szCs w:val="24"/>
        </w:rPr>
        <w:t xml:space="preserve"> </w:t>
      </w:r>
    </w:p>
    <w:p w14:paraId="13C11D09" w14:textId="1A8CC5F8" w:rsidR="007909A8" w:rsidRPr="007909A8" w:rsidRDefault="00F4367F" w:rsidP="00C03516">
      <w:pPr>
        <w:pStyle w:val="BodyText1"/>
        <w:numPr>
          <w:ilvl w:val="0"/>
          <w:numId w:val="9"/>
        </w:numPr>
        <w:rPr>
          <w:i/>
          <w:iCs/>
        </w:rPr>
      </w:pPr>
      <w:bookmarkStart w:id="30" w:name="_Hlk75166395"/>
      <w:r>
        <w:t xml:space="preserve">OVIC recommends </w:t>
      </w:r>
      <w:r w:rsidR="00F44674">
        <w:t>universities</w:t>
      </w:r>
      <w:r>
        <w:t xml:space="preserve"> consider</w:t>
      </w:r>
      <w:r w:rsidR="00273219">
        <w:t xml:space="preserve"> developing</w:t>
      </w:r>
      <w:r w:rsidR="00B63493">
        <w:t>, where they have not already done so</w:t>
      </w:r>
      <w:r w:rsidR="007909A8">
        <w:t>:</w:t>
      </w:r>
    </w:p>
    <w:p w14:paraId="7AB98E5A" w14:textId="25A32B2E" w:rsidR="00C03516" w:rsidRPr="0065680B" w:rsidRDefault="00F4367F" w:rsidP="00CB2283">
      <w:pPr>
        <w:pStyle w:val="BodyText1"/>
        <w:numPr>
          <w:ilvl w:val="1"/>
          <w:numId w:val="9"/>
        </w:numPr>
        <w:ind w:left="811" w:hanging="357"/>
        <w:rPr>
          <w:i/>
          <w:iCs/>
        </w:rPr>
      </w:pPr>
      <w:r>
        <w:t xml:space="preserve">policies to support </w:t>
      </w:r>
      <w:r w:rsidR="00076AFA">
        <w:t>staff</w:t>
      </w:r>
      <w:r>
        <w:t xml:space="preserve"> to consider the nature of personal information </w:t>
      </w:r>
      <w:r w:rsidR="006D337C">
        <w:t>to</w:t>
      </w:r>
      <w:r>
        <w:t xml:space="preserve"> </w:t>
      </w:r>
      <w:r w:rsidR="006D337C">
        <w:t>support o</w:t>
      </w:r>
      <w:r>
        <w:t xml:space="preserve">rganisations </w:t>
      </w:r>
      <w:r w:rsidR="00076AFA">
        <w:t>in ensuring</w:t>
      </w:r>
      <w:r w:rsidR="006D337C">
        <w:t xml:space="preserve"> they apply </w:t>
      </w:r>
      <w:r>
        <w:t xml:space="preserve">appropriate protections to personal information. </w:t>
      </w:r>
    </w:p>
    <w:p w14:paraId="5B00D009" w14:textId="5434B19E" w:rsidR="0065680B" w:rsidRPr="00BD7701" w:rsidRDefault="0065680B" w:rsidP="00CB2283">
      <w:pPr>
        <w:pStyle w:val="BodyText1"/>
        <w:numPr>
          <w:ilvl w:val="1"/>
          <w:numId w:val="9"/>
        </w:numPr>
        <w:ind w:left="811" w:hanging="357"/>
        <w:rPr>
          <w:i/>
          <w:iCs/>
        </w:rPr>
      </w:pPr>
      <w:r>
        <w:t>a</w:t>
      </w:r>
      <w:r w:rsidR="007E3045">
        <w:t xml:space="preserve"> </w:t>
      </w:r>
      <w:r w:rsidR="00273219">
        <w:t xml:space="preserve">mechanism </w:t>
      </w:r>
      <w:r>
        <w:t xml:space="preserve">to </w:t>
      </w:r>
      <w:r w:rsidR="00273219">
        <w:t xml:space="preserve">apply protective </w:t>
      </w:r>
      <w:r>
        <w:t>mark</w:t>
      </w:r>
      <w:r w:rsidR="00273219">
        <w:t>ings to</w:t>
      </w:r>
      <w:r>
        <w:t xml:space="preserve"> information (for e.g., emails or documents) in a way that </w:t>
      </w:r>
      <w:r w:rsidR="007E3045">
        <w:t xml:space="preserve">consistently </w:t>
      </w:r>
      <w:r>
        <w:t xml:space="preserve">communicates the security value or nature of the information. </w:t>
      </w:r>
    </w:p>
    <w:bookmarkEnd w:id="30"/>
    <w:p w14:paraId="1607D89B" w14:textId="1DD0F23D" w:rsidR="00A4242D" w:rsidRDefault="00A4242D">
      <w:pPr>
        <w:rPr>
          <w:rFonts w:ascii="Calibri Light" w:eastAsia="Times New Roman" w:hAnsi="Calibri Light" w:cs="Calibri"/>
          <w:szCs w:val="28"/>
          <w:lang w:val="en-GB"/>
        </w:rPr>
      </w:pPr>
      <w:r>
        <w:rPr>
          <w:rFonts w:ascii="Calibri Light" w:eastAsia="Times New Roman" w:hAnsi="Calibri Light" w:cs="Calibri"/>
          <w:szCs w:val="28"/>
          <w:lang w:val="en-GB"/>
        </w:rPr>
        <w:br w:type="page"/>
      </w:r>
    </w:p>
    <w:p w14:paraId="22C55C43" w14:textId="7A3961D7" w:rsidR="00A92E7D" w:rsidRPr="00E3459E" w:rsidRDefault="00B962CF" w:rsidP="00E3459E">
      <w:pPr>
        <w:pStyle w:val="Level2Heading"/>
        <w:spacing w:before="160" w:after="120"/>
      </w:pPr>
      <w:bookmarkStart w:id="31" w:name="_Toc75517870"/>
      <w:r w:rsidRPr="00E3459E">
        <w:lastRenderedPageBreak/>
        <w:t>P</w:t>
      </w:r>
      <w:r w:rsidR="00DB6EA2" w:rsidRPr="00E3459E">
        <w:t>ART</w:t>
      </w:r>
      <w:r w:rsidRPr="00E3459E">
        <w:t xml:space="preserve"> 3</w:t>
      </w:r>
      <w:r w:rsidR="00DE18C7" w:rsidRPr="00E3459E">
        <w:t xml:space="preserve"> – </w:t>
      </w:r>
      <w:r w:rsidR="00840472" w:rsidRPr="00E3459E">
        <w:t>I</w:t>
      </w:r>
      <w:r w:rsidR="005F1E7F" w:rsidRPr="00E3459E">
        <w:t xml:space="preserve">dentifying and managing security risks to personal </w:t>
      </w:r>
      <w:proofErr w:type="gramStart"/>
      <w:r w:rsidR="005F1E7F" w:rsidRPr="00E3459E">
        <w:t>information</w:t>
      </w:r>
      <w:bookmarkEnd w:id="31"/>
      <w:proofErr w:type="gramEnd"/>
      <w:r w:rsidR="005F1E7F" w:rsidRPr="00E3459E">
        <w:t xml:space="preserve"> </w:t>
      </w:r>
    </w:p>
    <w:p w14:paraId="68E98913" w14:textId="401DDC50" w:rsidR="00EF39F1" w:rsidRDefault="00EF39F1" w:rsidP="00975B08">
      <w:pPr>
        <w:pStyle w:val="BodyText1"/>
        <w:numPr>
          <w:ilvl w:val="0"/>
          <w:numId w:val="9"/>
        </w:numPr>
      </w:pPr>
      <w:r>
        <w:t>As explained earlier in this report, o</w:t>
      </w:r>
      <w:r w:rsidR="005F1E7F">
        <w:t xml:space="preserve">rganisations </w:t>
      </w:r>
      <w:r w:rsidR="006D337C">
        <w:t>should</w:t>
      </w:r>
      <w:r w:rsidR="005F1E7F">
        <w:t xml:space="preserve"> consider </w:t>
      </w:r>
      <w:r w:rsidR="004977D5">
        <w:t xml:space="preserve">data security </w:t>
      </w:r>
      <w:r w:rsidR="005F1E7F">
        <w:t xml:space="preserve">risks, and </w:t>
      </w:r>
      <w:r w:rsidR="007E3045">
        <w:t>take reasonable steps (</w:t>
      </w:r>
      <w:proofErr w:type="gramStart"/>
      <w:r w:rsidR="007E3045">
        <w:t>i.e.</w:t>
      </w:r>
      <w:proofErr w:type="gramEnd"/>
      <w:r w:rsidR="007E3045">
        <w:t xml:space="preserve"> </w:t>
      </w:r>
      <w:r w:rsidR="005F1E7F">
        <w:t>implement controls</w:t>
      </w:r>
      <w:r w:rsidR="004977D5">
        <w:t xml:space="preserve">) </w:t>
      </w:r>
      <w:r w:rsidR="005F1E7F">
        <w:t xml:space="preserve">to address </w:t>
      </w:r>
      <w:r>
        <w:t xml:space="preserve">those </w:t>
      </w:r>
      <w:r w:rsidR="004977D5">
        <w:t>risks</w:t>
      </w:r>
      <w:r w:rsidR="005F1E7F">
        <w:t xml:space="preserve"> across</w:t>
      </w:r>
      <w:r>
        <w:t>:</w:t>
      </w:r>
    </w:p>
    <w:p w14:paraId="064FFD5E" w14:textId="77777777" w:rsidR="00EF39F1" w:rsidRDefault="005F1E7F" w:rsidP="00CB2283">
      <w:pPr>
        <w:pStyle w:val="BodyText1"/>
        <w:numPr>
          <w:ilvl w:val="1"/>
          <w:numId w:val="9"/>
        </w:numPr>
        <w:ind w:left="811" w:hanging="357"/>
      </w:pPr>
      <w:r w:rsidRPr="00D81C2F">
        <w:t>governance</w:t>
      </w:r>
    </w:p>
    <w:p w14:paraId="63CC1911" w14:textId="77777777" w:rsidR="00EF39F1" w:rsidRDefault="005F1E7F" w:rsidP="00CB2283">
      <w:pPr>
        <w:pStyle w:val="BodyText1"/>
        <w:numPr>
          <w:ilvl w:val="1"/>
          <w:numId w:val="9"/>
        </w:numPr>
        <w:ind w:left="811" w:hanging="357"/>
      </w:pPr>
      <w:r w:rsidRPr="00D81C2F">
        <w:t>information</w:t>
      </w:r>
      <w:r w:rsidR="00EF39F1">
        <w:t xml:space="preserve"> security </w:t>
      </w:r>
    </w:p>
    <w:p w14:paraId="103BBA27" w14:textId="77777777" w:rsidR="00EF39F1" w:rsidRDefault="00EF39F1" w:rsidP="00CB2283">
      <w:pPr>
        <w:pStyle w:val="BodyText1"/>
        <w:numPr>
          <w:ilvl w:val="1"/>
          <w:numId w:val="9"/>
        </w:numPr>
        <w:ind w:left="811" w:hanging="357"/>
      </w:pPr>
      <w:r>
        <w:t>p</w:t>
      </w:r>
      <w:r w:rsidR="005F1E7F" w:rsidRPr="00D81C2F">
        <w:t>ersonnel</w:t>
      </w:r>
      <w:r>
        <w:t xml:space="preserve"> security</w:t>
      </w:r>
    </w:p>
    <w:p w14:paraId="22C896B7" w14:textId="77777777" w:rsidR="00EF39F1" w:rsidRDefault="005F1E7F" w:rsidP="00CB2283">
      <w:pPr>
        <w:pStyle w:val="BodyText1"/>
        <w:numPr>
          <w:ilvl w:val="1"/>
          <w:numId w:val="9"/>
        </w:numPr>
        <w:ind w:left="811" w:hanging="357"/>
      </w:pPr>
      <w:r w:rsidRPr="00D81C2F">
        <w:t>ICT</w:t>
      </w:r>
      <w:r w:rsidR="00EF39F1">
        <w:t xml:space="preserve"> security </w:t>
      </w:r>
    </w:p>
    <w:p w14:paraId="28858663" w14:textId="4F82FE34" w:rsidR="004977D5" w:rsidRDefault="005F1E7F" w:rsidP="00CB2283">
      <w:pPr>
        <w:pStyle w:val="BodyText1"/>
        <w:numPr>
          <w:ilvl w:val="1"/>
          <w:numId w:val="9"/>
        </w:numPr>
        <w:ind w:left="811" w:hanging="357"/>
      </w:pPr>
      <w:r w:rsidRPr="00D81C2F">
        <w:t>physical</w:t>
      </w:r>
      <w:r w:rsidR="00EF39F1">
        <w:t xml:space="preserve"> security. </w:t>
      </w:r>
    </w:p>
    <w:p w14:paraId="4A3EAD8B" w14:textId="7F3E5C44" w:rsidR="00A9531A" w:rsidRPr="00EF39F1" w:rsidRDefault="00EF39F1" w:rsidP="00A9531A">
      <w:pPr>
        <w:pStyle w:val="BodyText1"/>
        <w:numPr>
          <w:ilvl w:val="0"/>
          <w:numId w:val="9"/>
        </w:numPr>
        <w:rPr>
          <w:color w:val="FF0000"/>
        </w:rPr>
      </w:pPr>
      <w:r>
        <w:t xml:space="preserve">In addition, organisations </w:t>
      </w:r>
      <w:r w:rsidR="006D337C">
        <w:t>should</w:t>
      </w:r>
      <w:r>
        <w:t xml:space="preserve"> be aware that r</w:t>
      </w:r>
      <w:r w:rsidR="00A9531A" w:rsidRPr="00B5241F">
        <w:t>i</w:t>
      </w:r>
      <w:r w:rsidR="00A9531A">
        <w:t>sks in information security can change throughout the information lifecycle. The diagram</w:t>
      </w:r>
      <w:r w:rsidR="009A26A8">
        <w:t xml:space="preserve"> below</w:t>
      </w:r>
      <w:r w:rsidR="00A9531A">
        <w:t xml:space="preserve"> illustrates </w:t>
      </w:r>
      <w:r w:rsidR="00833E6F">
        <w:t xml:space="preserve">how the IPPs fit into </w:t>
      </w:r>
      <w:r w:rsidR="00A9531A">
        <w:t xml:space="preserve">the lifecycle of information, beginning with collection. </w:t>
      </w:r>
    </w:p>
    <w:p w14:paraId="61949C63" w14:textId="77777777" w:rsidR="00A9531A" w:rsidRDefault="00A9531A" w:rsidP="00A9531A">
      <w:pPr>
        <w:pStyle w:val="BodyText1"/>
        <w:numPr>
          <w:ilvl w:val="0"/>
          <w:numId w:val="0"/>
        </w:numPr>
        <w:ind w:left="720"/>
      </w:pPr>
      <w:r>
        <w:rPr>
          <w:noProof/>
        </w:rPr>
        <w:drawing>
          <wp:inline distT="0" distB="0" distL="0" distR="0" wp14:anchorId="5AC13B76" wp14:editId="4212F934">
            <wp:extent cx="4648200" cy="44251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02285" cy="4476649"/>
                    </a:xfrm>
                    <a:prstGeom prst="rect">
                      <a:avLst/>
                    </a:prstGeom>
                  </pic:spPr>
                </pic:pic>
              </a:graphicData>
            </a:graphic>
          </wp:inline>
        </w:drawing>
      </w:r>
    </w:p>
    <w:p w14:paraId="511CB284" w14:textId="1666A7FF" w:rsidR="00EF39F1" w:rsidRPr="00E32C3C" w:rsidRDefault="00EF39F1" w:rsidP="00EF39F1">
      <w:pPr>
        <w:pStyle w:val="BodyText1"/>
        <w:numPr>
          <w:ilvl w:val="0"/>
          <w:numId w:val="9"/>
        </w:numPr>
        <w:rPr>
          <w:color w:val="FF0000"/>
        </w:rPr>
      </w:pPr>
      <w:r>
        <w:t xml:space="preserve">Having a comprehensive process or policy in place that sets out how an organisation identifies and manages information security risks assists the organisation to </w:t>
      </w:r>
      <w:r w:rsidR="00ED6102">
        <w:t>protect personal information</w:t>
      </w:r>
      <w:r>
        <w:t xml:space="preserve"> consistently and ensure </w:t>
      </w:r>
      <w:r w:rsidR="009A26A8">
        <w:t xml:space="preserve">it </w:t>
      </w:r>
      <w:r>
        <w:t>consider</w:t>
      </w:r>
      <w:r w:rsidR="009A26A8">
        <w:t>s</w:t>
      </w:r>
      <w:r>
        <w:t xml:space="preserve"> all the risk areas. </w:t>
      </w:r>
    </w:p>
    <w:p w14:paraId="5F3D7F01" w14:textId="53AB3714" w:rsidR="005F1E7F" w:rsidRPr="00D7454E" w:rsidRDefault="00CA3174" w:rsidP="00CA3174">
      <w:pPr>
        <w:pStyle w:val="Level3Heading"/>
        <w:spacing w:before="120" w:line="360" w:lineRule="auto"/>
        <w:rPr>
          <w:szCs w:val="24"/>
        </w:rPr>
      </w:pPr>
      <w:bookmarkStart w:id="32" w:name="_Toc75517871"/>
      <w:r w:rsidRPr="00D7454E">
        <w:rPr>
          <w:szCs w:val="24"/>
        </w:rPr>
        <w:lastRenderedPageBreak/>
        <w:t>Examination</w:t>
      </w:r>
      <w:r w:rsidR="0016206F" w:rsidRPr="00D7454E">
        <w:rPr>
          <w:szCs w:val="24"/>
        </w:rPr>
        <w:t xml:space="preserve"> findings</w:t>
      </w:r>
      <w:bookmarkEnd w:id="32"/>
      <w:r w:rsidR="0016206F" w:rsidRPr="00D7454E">
        <w:rPr>
          <w:szCs w:val="24"/>
        </w:rPr>
        <w:t xml:space="preserve"> </w:t>
      </w:r>
    </w:p>
    <w:p w14:paraId="4EB93274" w14:textId="47E50FEB" w:rsidR="005F1E7F" w:rsidRDefault="005F1E7F" w:rsidP="00975B08">
      <w:pPr>
        <w:pStyle w:val="BodyText1"/>
        <w:numPr>
          <w:ilvl w:val="0"/>
          <w:numId w:val="9"/>
        </w:numPr>
      </w:pPr>
      <w:r>
        <w:t xml:space="preserve">OVIC asked the universities to </w:t>
      </w:r>
      <w:r w:rsidRPr="002B7C1D">
        <w:t xml:space="preserve">describe </w:t>
      </w:r>
      <w:r w:rsidRPr="00CA3174">
        <w:t>how</w:t>
      </w:r>
      <w:r w:rsidRPr="002B7C1D">
        <w:t xml:space="preserve"> </w:t>
      </w:r>
      <w:r>
        <w:t>they assess</w:t>
      </w:r>
      <w:r w:rsidRPr="002B7C1D">
        <w:t xml:space="preserve"> security risks to </w:t>
      </w:r>
      <w:r>
        <w:t>their</w:t>
      </w:r>
      <w:r w:rsidRPr="002B7C1D">
        <w:t xml:space="preserve"> personal information holdings</w:t>
      </w:r>
      <w:r>
        <w:t xml:space="preserve"> </w:t>
      </w:r>
      <w:r w:rsidRPr="00CA3174">
        <w:t>and</w:t>
      </w:r>
      <w:r>
        <w:t xml:space="preserve"> </w:t>
      </w:r>
      <w:r w:rsidRPr="002B7C1D">
        <w:t>the</w:t>
      </w:r>
      <w:r>
        <w:t>ir</w:t>
      </w:r>
      <w:r w:rsidRPr="002B7C1D">
        <w:t xml:space="preserve"> process </w:t>
      </w:r>
      <w:r>
        <w:t>for</w:t>
      </w:r>
      <w:r w:rsidRPr="002B7C1D">
        <w:t xml:space="preserve"> identif</w:t>
      </w:r>
      <w:r>
        <w:t>ying</w:t>
      </w:r>
      <w:r w:rsidRPr="002B7C1D">
        <w:t xml:space="preserve"> appropriate security measures to apply in response to </w:t>
      </w:r>
      <w:r>
        <w:t>identified</w:t>
      </w:r>
      <w:r w:rsidRPr="002B7C1D">
        <w:t xml:space="preserve"> risks</w:t>
      </w:r>
      <w:r>
        <w:t>.</w:t>
      </w:r>
    </w:p>
    <w:p w14:paraId="4C10BF86" w14:textId="71419DFA" w:rsidR="005F1E7F" w:rsidRDefault="005F1E7F" w:rsidP="00975B08">
      <w:pPr>
        <w:pStyle w:val="BodyText1"/>
        <w:numPr>
          <w:ilvl w:val="0"/>
          <w:numId w:val="9"/>
        </w:numPr>
      </w:pPr>
      <w:r>
        <w:t xml:space="preserve">OVIC found </w:t>
      </w:r>
      <w:r w:rsidR="00527EF7">
        <w:t>that</w:t>
      </w:r>
      <w:r w:rsidR="00EF39F1">
        <w:t>:</w:t>
      </w:r>
      <w:r>
        <w:t xml:space="preserve"> </w:t>
      </w:r>
    </w:p>
    <w:p w14:paraId="4D66476A" w14:textId="7D004109" w:rsidR="005F1E7F" w:rsidRDefault="005F1E7F" w:rsidP="00CB2283">
      <w:pPr>
        <w:pStyle w:val="BodyText1"/>
        <w:numPr>
          <w:ilvl w:val="1"/>
          <w:numId w:val="9"/>
        </w:numPr>
        <w:ind w:left="811" w:hanging="357"/>
      </w:pPr>
      <w:r>
        <w:rPr>
          <w:b/>
          <w:bCs/>
        </w:rPr>
        <w:t xml:space="preserve">Six </w:t>
      </w:r>
      <w:r>
        <w:t xml:space="preserve">universities had </w:t>
      </w:r>
      <w:r w:rsidR="00CA3174">
        <w:t>enterprise level</w:t>
      </w:r>
      <w:r>
        <w:t xml:space="preserve"> Risk Management Frameworks or </w:t>
      </w:r>
      <w:r w:rsidR="00ED6102">
        <w:t>p</w:t>
      </w:r>
      <w:r>
        <w:t>rocess</w:t>
      </w:r>
      <w:r w:rsidR="00ED6102">
        <w:t>es</w:t>
      </w:r>
      <w:r>
        <w:t>. These kinds of documents were overarching and do not refer to specific kinds of risks. The documents often included a Risk Matrix</w:t>
      </w:r>
      <w:r w:rsidR="0008353E">
        <w:t xml:space="preserve"> to rate risks by considering different impacts</w:t>
      </w:r>
      <w:r>
        <w:t xml:space="preserve">. </w:t>
      </w:r>
    </w:p>
    <w:p w14:paraId="6EDE4614" w14:textId="529FDE14" w:rsidR="005F1E7F" w:rsidRPr="005F1E7F" w:rsidRDefault="005F1E7F" w:rsidP="00CB2283">
      <w:pPr>
        <w:pStyle w:val="BodyText1"/>
        <w:numPr>
          <w:ilvl w:val="1"/>
          <w:numId w:val="9"/>
        </w:numPr>
        <w:ind w:left="811" w:hanging="357"/>
      </w:pPr>
      <w:r w:rsidRPr="005F1E7F">
        <w:rPr>
          <w:b/>
          <w:bCs/>
        </w:rPr>
        <w:t xml:space="preserve">Two </w:t>
      </w:r>
      <w:r>
        <w:t>universities</w:t>
      </w:r>
      <w:r w:rsidR="004A55E3">
        <w:t xml:space="preserve"> </w:t>
      </w:r>
      <w:r>
        <w:t xml:space="preserve">had </w:t>
      </w:r>
      <w:r w:rsidR="00ED6102">
        <w:rPr>
          <w:rFonts w:asciiTheme="minorHAnsi" w:hAnsiTheme="minorHAnsi" w:cstheme="minorHAnsi"/>
        </w:rPr>
        <w:t>ICT security policies</w:t>
      </w:r>
      <w:r w:rsidRPr="005F1E7F">
        <w:rPr>
          <w:rFonts w:asciiTheme="minorHAnsi" w:hAnsiTheme="minorHAnsi" w:cstheme="minorHAnsi"/>
        </w:rPr>
        <w:t xml:space="preserve"> that sets out a framework for management of risks with respect to ICT based personal information.</w:t>
      </w:r>
    </w:p>
    <w:p w14:paraId="3825D2EB" w14:textId="5A1778F6" w:rsidR="005F1E7F" w:rsidRPr="002B7C1D" w:rsidRDefault="005F1E7F" w:rsidP="00CB2283">
      <w:pPr>
        <w:pStyle w:val="BodyText1"/>
        <w:numPr>
          <w:ilvl w:val="1"/>
          <w:numId w:val="9"/>
        </w:numPr>
        <w:ind w:left="811" w:hanging="357"/>
      </w:pPr>
      <w:r w:rsidRPr="005F1E7F">
        <w:rPr>
          <w:b/>
          <w:bCs/>
        </w:rPr>
        <w:t>Four</w:t>
      </w:r>
      <w:r w:rsidRPr="00D85345">
        <w:t xml:space="preserve"> </w:t>
      </w:r>
      <w:r>
        <w:t xml:space="preserve">universities </w:t>
      </w:r>
      <w:r w:rsidR="00ED6102">
        <w:t>explained that they</w:t>
      </w:r>
      <w:r>
        <w:t xml:space="preserve"> </w:t>
      </w:r>
      <w:r w:rsidR="00ED6102">
        <w:t>performed</w:t>
      </w:r>
      <w:r>
        <w:t xml:space="preserve"> risk assessments for new projects (mostly IT related projects). </w:t>
      </w:r>
    </w:p>
    <w:p w14:paraId="1DBAAFB2" w14:textId="540A9A07" w:rsidR="005F1E7F" w:rsidRPr="00ED6102" w:rsidRDefault="00ED6102" w:rsidP="00975B08">
      <w:pPr>
        <w:pStyle w:val="BodyText1"/>
        <w:numPr>
          <w:ilvl w:val="0"/>
          <w:numId w:val="9"/>
        </w:numPr>
        <w:rPr>
          <w:rFonts w:cs="Times New Roman"/>
        </w:rPr>
      </w:pPr>
      <w:r>
        <w:t>OVIC found that t</w:t>
      </w:r>
      <w:r w:rsidR="005F1E7F">
        <w:t>he universities generally displayed a s</w:t>
      </w:r>
      <w:r w:rsidR="005F1E7F" w:rsidRPr="0054681C">
        <w:t>trong</w:t>
      </w:r>
      <w:r w:rsidR="007E3045">
        <w:t>er</w:t>
      </w:r>
      <w:r w:rsidR="005F1E7F" w:rsidRPr="0054681C">
        <w:t xml:space="preserve"> focus </w:t>
      </w:r>
      <w:r w:rsidR="005F1E7F">
        <w:rPr>
          <w:rFonts w:asciiTheme="minorHAnsi" w:hAnsiTheme="minorHAnsi" w:cstheme="minorHAnsi"/>
        </w:rPr>
        <w:t>on identifying cyber</w:t>
      </w:r>
      <w:r w:rsidR="004B0CE4">
        <w:rPr>
          <w:rFonts w:asciiTheme="minorHAnsi" w:hAnsiTheme="minorHAnsi" w:cstheme="minorHAnsi"/>
        </w:rPr>
        <w:t xml:space="preserve"> and </w:t>
      </w:r>
      <w:r w:rsidR="005F1E7F">
        <w:rPr>
          <w:rFonts w:asciiTheme="minorHAnsi" w:hAnsiTheme="minorHAnsi" w:cstheme="minorHAnsi"/>
        </w:rPr>
        <w:t>ICT information security risks</w:t>
      </w:r>
      <w:r w:rsidR="007E3045">
        <w:rPr>
          <w:rFonts w:asciiTheme="minorHAnsi" w:hAnsiTheme="minorHAnsi" w:cstheme="minorHAnsi"/>
        </w:rPr>
        <w:t xml:space="preserve"> above the consideration of risks for the other security domains</w:t>
      </w:r>
      <w:r w:rsidR="005F1E7F">
        <w:rPr>
          <w:rFonts w:asciiTheme="minorHAnsi" w:hAnsiTheme="minorHAnsi" w:cstheme="minorHAnsi"/>
        </w:rPr>
        <w:t xml:space="preserve">. </w:t>
      </w:r>
    </w:p>
    <w:p w14:paraId="0A86B39A" w14:textId="3B930047" w:rsidR="00ED6102" w:rsidRPr="00B962CF" w:rsidRDefault="00ED6102" w:rsidP="00ED6102">
      <w:pPr>
        <w:pStyle w:val="BodyText1"/>
        <w:numPr>
          <w:ilvl w:val="0"/>
          <w:numId w:val="0"/>
        </w:numPr>
        <w:rPr>
          <w:rFonts w:cs="Times New Roman"/>
          <w:i/>
          <w:iCs/>
        </w:rPr>
      </w:pPr>
      <w:r w:rsidRPr="00FC03A8">
        <w:rPr>
          <w:i/>
          <w:iCs/>
        </w:rPr>
        <w:t>Chart 3 –</w:t>
      </w:r>
      <w:r w:rsidRPr="00B962CF">
        <w:rPr>
          <w:i/>
          <w:iCs/>
        </w:rPr>
        <w:t xml:space="preserve"> Approaches to identifying security risks to personal </w:t>
      </w:r>
      <w:proofErr w:type="gramStart"/>
      <w:r w:rsidRPr="00B962CF">
        <w:rPr>
          <w:i/>
          <w:iCs/>
        </w:rPr>
        <w:t>information</w:t>
      </w:r>
      <w:proofErr w:type="gramEnd"/>
    </w:p>
    <w:p w14:paraId="6792A4A5" w14:textId="43BB67BA" w:rsidR="00975B08" w:rsidRDefault="005F1E7F" w:rsidP="00E8718C">
      <w:pPr>
        <w:pStyle w:val="BodyText1"/>
        <w:numPr>
          <w:ilvl w:val="0"/>
          <w:numId w:val="0"/>
        </w:numPr>
        <w:rPr>
          <w:rFonts w:cs="Times New Roman"/>
        </w:rPr>
      </w:pPr>
      <w:r w:rsidRPr="00F37F41">
        <w:rPr>
          <w:noProof/>
          <w:color w:val="FFFFFF" w:themeColor="background1"/>
        </w:rPr>
        <w:drawing>
          <wp:inline distT="0" distB="0" distL="0" distR="0" wp14:anchorId="697CC156" wp14:editId="7BBEC9E1">
            <wp:extent cx="5162550" cy="29337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7871880" w14:textId="0C789C71" w:rsidR="007B7674" w:rsidRPr="003C2367" w:rsidRDefault="007B7674" w:rsidP="003C2367">
      <w:pPr>
        <w:pStyle w:val="BodyText1"/>
        <w:numPr>
          <w:ilvl w:val="0"/>
          <w:numId w:val="9"/>
        </w:numPr>
        <w:rPr>
          <w:rFonts w:asciiTheme="minorHAnsi" w:hAnsiTheme="minorHAnsi" w:cstheme="minorHAnsi"/>
        </w:rPr>
      </w:pPr>
      <w:r w:rsidRPr="003C2367">
        <w:rPr>
          <w:rFonts w:asciiTheme="minorHAnsi" w:hAnsiTheme="minorHAnsi" w:cstheme="minorHAnsi"/>
        </w:rPr>
        <w:t xml:space="preserve">Column 2 and 3 of the above </w:t>
      </w:r>
      <w:proofErr w:type="gramStart"/>
      <w:r w:rsidRPr="003C2367">
        <w:rPr>
          <w:rFonts w:asciiTheme="minorHAnsi" w:hAnsiTheme="minorHAnsi" w:cstheme="minorHAnsi"/>
        </w:rPr>
        <w:t>chart</w:t>
      </w:r>
      <w:proofErr w:type="gramEnd"/>
      <w:r w:rsidRPr="003C2367">
        <w:rPr>
          <w:rFonts w:asciiTheme="minorHAnsi" w:hAnsiTheme="minorHAnsi" w:cstheme="minorHAnsi"/>
        </w:rPr>
        <w:t xml:space="preserve"> only </w:t>
      </w:r>
      <w:r w:rsidR="003C2367">
        <w:rPr>
          <w:rFonts w:asciiTheme="minorHAnsi" w:hAnsiTheme="minorHAnsi" w:cstheme="minorHAnsi"/>
        </w:rPr>
        <w:t xml:space="preserve">has </w:t>
      </w:r>
      <w:r w:rsidR="00273219">
        <w:rPr>
          <w:rFonts w:asciiTheme="minorHAnsi" w:hAnsiTheme="minorHAnsi" w:cstheme="minorHAnsi"/>
        </w:rPr>
        <w:t xml:space="preserve">7 universities in total, because it </w:t>
      </w:r>
      <w:r w:rsidRPr="003C2367">
        <w:rPr>
          <w:rFonts w:asciiTheme="minorHAnsi" w:hAnsiTheme="minorHAnsi" w:cstheme="minorHAnsi"/>
        </w:rPr>
        <w:t xml:space="preserve">includes </w:t>
      </w:r>
      <w:r w:rsidR="00273219">
        <w:rPr>
          <w:rFonts w:asciiTheme="minorHAnsi" w:hAnsiTheme="minorHAnsi" w:cstheme="minorHAnsi"/>
        </w:rPr>
        <w:t xml:space="preserve">only </w:t>
      </w:r>
      <w:r w:rsidRPr="003C2367">
        <w:rPr>
          <w:rFonts w:asciiTheme="minorHAnsi" w:hAnsiTheme="minorHAnsi" w:cstheme="minorHAnsi"/>
        </w:rPr>
        <w:t xml:space="preserve">the universities that received a ‘yes’ rating from OVIC in response to the question ‘Did the university have a procedure to assess security risks to information?’ </w:t>
      </w:r>
    </w:p>
    <w:p w14:paraId="50709082" w14:textId="754CABA7" w:rsidR="00576DA7" w:rsidRDefault="00576DA7" w:rsidP="00EA4D0A">
      <w:pPr>
        <w:pStyle w:val="BodyText1"/>
        <w:numPr>
          <w:ilvl w:val="0"/>
          <w:numId w:val="9"/>
        </w:numPr>
        <w:rPr>
          <w:rFonts w:asciiTheme="minorHAnsi" w:hAnsiTheme="minorHAnsi" w:cstheme="minorHAnsi"/>
        </w:rPr>
      </w:pPr>
      <w:r>
        <w:rPr>
          <w:rFonts w:asciiTheme="minorHAnsi" w:hAnsiTheme="minorHAnsi" w:cstheme="minorHAnsi"/>
        </w:rPr>
        <w:t xml:space="preserve">OVIC found that the staff </w:t>
      </w:r>
      <w:r w:rsidR="00975B08" w:rsidRPr="00EA4D0A">
        <w:rPr>
          <w:rFonts w:asciiTheme="minorHAnsi" w:hAnsiTheme="minorHAnsi" w:cstheme="minorHAnsi"/>
        </w:rPr>
        <w:t xml:space="preserve">responsible for </w:t>
      </w:r>
      <w:r w:rsidR="00EA4D0A">
        <w:rPr>
          <w:rFonts w:asciiTheme="minorHAnsi" w:hAnsiTheme="minorHAnsi" w:cstheme="minorHAnsi"/>
        </w:rPr>
        <w:t xml:space="preserve">identifying and </w:t>
      </w:r>
      <w:r w:rsidR="00975B08" w:rsidRPr="00EA4D0A">
        <w:rPr>
          <w:rFonts w:asciiTheme="minorHAnsi" w:hAnsiTheme="minorHAnsi" w:cstheme="minorHAnsi"/>
        </w:rPr>
        <w:t>applying security measures</w:t>
      </w:r>
      <w:r w:rsidR="00EA4D0A">
        <w:rPr>
          <w:rFonts w:asciiTheme="minorHAnsi" w:hAnsiTheme="minorHAnsi" w:cstheme="minorHAnsi"/>
        </w:rPr>
        <w:t xml:space="preserve"> to protect</w:t>
      </w:r>
      <w:r w:rsidR="00975B08" w:rsidRPr="00EA4D0A">
        <w:rPr>
          <w:rFonts w:asciiTheme="minorHAnsi" w:hAnsiTheme="minorHAnsi" w:cstheme="minorHAnsi"/>
        </w:rPr>
        <w:t xml:space="preserve"> </w:t>
      </w:r>
      <w:r w:rsidR="00EA4D0A">
        <w:rPr>
          <w:rFonts w:asciiTheme="minorHAnsi" w:hAnsiTheme="minorHAnsi" w:cstheme="minorHAnsi"/>
        </w:rPr>
        <w:t xml:space="preserve">information </w:t>
      </w:r>
      <w:r>
        <w:rPr>
          <w:rFonts w:asciiTheme="minorHAnsi" w:hAnsiTheme="minorHAnsi" w:cstheme="minorHAnsi"/>
        </w:rPr>
        <w:t xml:space="preserve">at universities </w:t>
      </w:r>
      <w:r w:rsidRPr="00E8718C">
        <w:rPr>
          <w:rFonts w:asciiTheme="minorHAnsi" w:hAnsiTheme="minorHAnsi" w:cstheme="minorHAnsi"/>
        </w:rPr>
        <w:t>most</w:t>
      </w:r>
      <w:r>
        <w:rPr>
          <w:rFonts w:asciiTheme="minorHAnsi" w:hAnsiTheme="minorHAnsi" w:cstheme="minorHAnsi"/>
        </w:rPr>
        <w:t xml:space="preserve"> often belonged to</w:t>
      </w:r>
      <w:r w:rsidR="00975B08" w:rsidRPr="00EA4D0A">
        <w:rPr>
          <w:rFonts w:asciiTheme="minorHAnsi" w:hAnsiTheme="minorHAnsi" w:cstheme="minorHAnsi"/>
        </w:rPr>
        <w:t xml:space="preserve"> IT/cyber/’eSolutions’ teams.</w:t>
      </w:r>
      <w:r>
        <w:rPr>
          <w:rFonts w:asciiTheme="minorHAnsi" w:hAnsiTheme="minorHAnsi" w:cstheme="minorHAnsi"/>
        </w:rPr>
        <w:t xml:space="preserve"> </w:t>
      </w:r>
      <w:r w:rsidR="004A55E3" w:rsidRPr="004A55E3">
        <w:rPr>
          <w:rFonts w:asciiTheme="minorHAnsi" w:hAnsiTheme="minorHAnsi" w:cstheme="minorHAnsi"/>
          <w:b/>
          <w:bCs/>
        </w:rPr>
        <w:t>O</w:t>
      </w:r>
      <w:r w:rsidR="00EA4D0A" w:rsidRPr="00EA4D0A">
        <w:rPr>
          <w:rFonts w:asciiTheme="minorHAnsi" w:hAnsiTheme="minorHAnsi" w:cstheme="minorHAnsi"/>
          <w:b/>
          <w:bCs/>
        </w:rPr>
        <w:t>ne</w:t>
      </w:r>
      <w:r w:rsidR="00EA4D0A">
        <w:rPr>
          <w:rFonts w:asciiTheme="minorHAnsi" w:hAnsiTheme="minorHAnsi" w:cstheme="minorHAnsi"/>
        </w:rPr>
        <w:t xml:space="preserve"> university </w:t>
      </w:r>
      <w:r w:rsidR="007E3045">
        <w:rPr>
          <w:rFonts w:asciiTheme="minorHAnsi" w:hAnsiTheme="minorHAnsi" w:cstheme="minorHAnsi"/>
        </w:rPr>
        <w:t xml:space="preserve">had established a specific unit </w:t>
      </w:r>
      <w:r w:rsidR="00EA4D0A" w:rsidRPr="00EA4D0A">
        <w:rPr>
          <w:rFonts w:asciiTheme="minorHAnsi" w:hAnsiTheme="minorHAnsi" w:cstheme="minorHAnsi"/>
        </w:rPr>
        <w:t xml:space="preserve">that </w:t>
      </w:r>
      <w:r w:rsidR="00975B08" w:rsidRPr="00EA4D0A">
        <w:rPr>
          <w:rFonts w:asciiTheme="minorHAnsi" w:hAnsiTheme="minorHAnsi" w:cstheme="minorHAnsi"/>
        </w:rPr>
        <w:t xml:space="preserve">is responsible for managing hard copy information security risks. </w:t>
      </w:r>
    </w:p>
    <w:p w14:paraId="07ED8BDC" w14:textId="193266AB" w:rsidR="00EA4D0A" w:rsidRPr="00EA4D0A" w:rsidRDefault="006B1186" w:rsidP="00975B08">
      <w:pPr>
        <w:pStyle w:val="BodyText1"/>
        <w:numPr>
          <w:ilvl w:val="0"/>
          <w:numId w:val="9"/>
        </w:numPr>
        <w:rPr>
          <w:rFonts w:asciiTheme="minorHAnsi" w:hAnsiTheme="minorHAnsi" w:cstheme="minorHAnsi"/>
        </w:rPr>
      </w:pPr>
      <w:r>
        <w:rPr>
          <w:rFonts w:asciiTheme="minorHAnsi" w:hAnsiTheme="minorHAnsi" w:cstheme="minorHAnsi"/>
        </w:rPr>
        <w:t xml:space="preserve">Some </w:t>
      </w:r>
      <w:r w:rsidR="00576DA7">
        <w:rPr>
          <w:rFonts w:asciiTheme="minorHAnsi" w:hAnsiTheme="minorHAnsi" w:cstheme="minorHAnsi"/>
        </w:rPr>
        <w:t>universities</w:t>
      </w:r>
      <w:r>
        <w:rPr>
          <w:rFonts w:asciiTheme="minorHAnsi" w:hAnsiTheme="minorHAnsi" w:cstheme="minorHAnsi"/>
        </w:rPr>
        <w:t>’</w:t>
      </w:r>
      <w:r w:rsidR="00576DA7">
        <w:rPr>
          <w:rFonts w:asciiTheme="minorHAnsi" w:hAnsiTheme="minorHAnsi" w:cstheme="minorHAnsi"/>
        </w:rPr>
        <w:t xml:space="preserve"> descriptions of security measures applied to protect personal information included the following activities</w:t>
      </w:r>
      <w:r w:rsidR="00EA4D0A" w:rsidRPr="00EA4D0A">
        <w:rPr>
          <w:rFonts w:asciiTheme="minorHAnsi" w:hAnsiTheme="minorHAnsi" w:cstheme="minorHAnsi"/>
        </w:rPr>
        <w:t>:</w:t>
      </w:r>
    </w:p>
    <w:p w14:paraId="0FA0E374" w14:textId="77777777" w:rsidR="00EA4D0A" w:rsidRPr="00EA4D0A" w:rsidRDefault="00975B08" w:rsidP="00CB2283">
      <w:pPr>
        <w:pStyle w:val="BodyText1"/>
        <w:numPr>
          <w:ilvl w:val="1"/>
          <w:numId w:val="9"/>
        </w:numPr>
        <w:ind w:left="811" w:hanging="357"/>
        <w:rPr>
          <w:rFonts w:asciiTheme="minorHAnsi" w:hAnsiTheme="minorHAnsi" w:cstheme="minorHAnsi"/>
        </w:rPr>
      </w:pPr>
      <w:r w:rsidRPr="00EA4D0A">
        <w:rPr>
          <w:rFonts w:asciiTheme="minorHAnsi" w:hAnsiTheme="minorHAnsi" w:cstheme="minorHAnsi"/>
        </w:rPr>
        <w:lastRenderedPageBreak/>
        <w:t>cyber due diligence for service providers</w:t>
      </w:r>
    </w:p>
    <w:p w14:paraId="74E17C5B" w14:textId="097DD97C" w:rsidR="00576DA7" w:rsidRDefault="00E8718C" w:rsidP="00CB2283">
      <w:pPr>
        <w:pStyle w:val="BodyText1"/>
        <w:numPr>
          <w:ilvl w:val="1"/>
          <w:numId w:val="9"/>
        </w:numPr>
        <w:ind w:left="811" w:hanging="357"/>
        <w:rPr>
          <w:rFonts w:asciiTheme="minorHAnsi" w:hAnsiTheme="minorHAnsi" w:cstheme="minorHAnsi"/>
        </w:rPr>
      </w:pPr>
      <w:r>
        <w:rPr>
          <w:rFonts w:asciiTheme="minorHAnsi" w:hAnsiTheme="minorHAnsi" w:cstheme="minorHAnsi"/>
        </w:rPr>
        <w:t xml:space="preserve">complete </w:t>
      </w:r>
      <w:r w:rsidR="00EA4D0A" w:rsidRPr="00EA4D0A">
        <w:rPr>
          <w:rFonts w:asciiTheme="minorHAnsi" w:hAnsiTheme="minorHAnsi" w:cstheme="minorHAnsi"/>
        </w:rPr>
        <w:t xml:space="preserve">a </w:t>
      </w:r>
      <w:r w:rsidR="00975B08" w:rsidRPr="00EA4D0A">
        <w:rPr>
          <w:rFonts w:asciiTheme="minorHAnsi" w:hAnsiTheme="minorHAnsi" w:cstheme="minorHAnsi"/>
        </w:rPr>
        <w:t xml:space="preserve">checklist for security measures for IT procurement. </w:t>
      </w:r>
    </w:p>
    <w:p w14:paraId="179AD917" w14:textId="7B47AEE2" w:rsidR="00975B08" w:rsidRDefault="00011F54" w:rsidP="00576DA7">
      <w:pPr>
        <w:pStyle w:val="BodyText1"/>
        <w:numPr>
          <w:ilvl w:val="0"/>
          <w:numId w:val="9"/>
        </w:numPr>
        <w:rPr>
          <w:rFonts w:asciiTheme="minorHAnsi" w:hAnsiTheme="minorHAnsi" w:cstheme="minorHAnsi"/>
        </w:rPr>
      </w:pPr>
      <w:r>
        <w:rPr>
          <w:rFonts w:asciiTheme="minorHAnsi" w:hAnsiTheme="minorHAnsi" w:cstheme="minorHAnsi"/>
        </w:rPr>
        <w:t xml:space="preserve">In the universities’ responses to OVIC asking how they identify security controls to protect personal information, most of the universities did not explain how they consider and select personnel and physical security controls. This means that </w:t>
      </w:r>
      <w:r w:rsidR="009A26A8">
        <w:rPr>
          <w:rFonts w:asciiTheme="minorHAnsi" w:hAnsiTheme="minorHAnsi" w:cstheme="minorHAnsi"/>
        </w:rPr>
        <w:t xml:space="preserve">the examination </w:t>
      </w:r>
      <w:r>
        <w:rPr>
          <w:rFonts w:asciiTheme="minorHAnsi" w:hAnsiTheme="minorHAnsi" w:cstheme="minorHAnsi"/>
        </w:rPr>
        <w:t>could not verify that Victorian universities are generally considering security controls across all of the security areas (governance, information, personnel, ICT and physical).</w:t>
      </w:r>
    </w:p>
    <w:p w14:paraId="3095587A" w14:textId="1A66CFCE" w:rsidR="00772392" w:rsidRPr="00772392" w:rsidRDefault="00772392" w:rsidP="00576DA7">
      <w:pPr>
        <w:pStyle w:val="BodyText1"/>
        <w:numPr>
          <w:ilvl w:val="0"/>
          <w:numId w:val="9"/>
        </w:numPr>
        <w:rPr>
          <w:rFonts w:asciiTheme="minorHAnsi" w:hAnsiTheme="minorHAnsi" w:cstheme="minorHAnsi"/>
        </w:rPr>
      </w:pPr>
      <w:r w:rsidRPr="00772392">
        <w:t>Overall, the universities did not present to OVIC a holistic approach to securing personal information as they displayed a heavy focus on ICT/</w:t>
      </w:r>
      <w:r w:rsidR="00D01E7B">
        <w:t>c</w:t>
      </w:r>
      <w:r w:rsidRPr="00772392">
        <w:t>yber as the key driver of risk. This means that they may not be considering other important risks factors, such as personnel and physical security.</w:t>
      </w:r>
    </w:p>
    <w:p w14:paraId="21FDF408" w14:textId="71BE289D" w:rsidR="000D7F55" w:rsidRPr="00D7454E" w:rsidRDefault="00CA3174" w:rsidP="00D7454E">
      <w:pPr>
        <w:pStyle w:val="Level3Heading"/>
        <w:spacing w:before="120" w:line="360" w:lineRule="auto"/>
        <w:rPr>
          <w:szCs w:val="24"/>
        </w:rPr>
      </w:pPr>
      <w:bookmarkStart w:id="33" w:name="_Toc75517872"/>
      <w:r w:rsidRPr="00D7454E">
        <w:rPr>
          <w:szCs w:val="24"/>
        </w:rPr>
        <w:t>Did the universities have procedures for p</w:t>
      </w:r>
      <w:r w:rsidR="00975B08" w:rsidRPr="00D7454E">
        <w:rPr>
          <w:szCs w:val="24"/>
        </w:rPr>
        <w:t>rotecting high risk and sensitive personal information</w:t>
      </w:r>
      <w:r w:rsidR="002F253F" w:rsidRPr="00D7454E">
        <w:rPr>
          <w:szCs w:val="24"/>
        </w:rPr>
        <w:t>?</w:t>
      </w:r>
      <w:bookmarkEnd w:id="33"/>
      <w:r w:rsidR="00975B08" w:rsidRPr="00D7454E">
        <w:rPr>
          <w:szCs w:val="24"/>
        </w:rPr>
        <w:t xml:space="preserve"> </w:t>
      </w:r>
    </w:p>
    <w:p w14:paraId="5F2E0009" w14:textId="335F51ED" w:rsidR="00095E4E" w:rsidRDefault="00EA44AF" w:rsidP="00CB2283">
      <w:pPr>
        <w:pStyle w:val="BodyText1"/>
        <w:numPr>
          <w:ilvl w:val="0"/>
          <w:numId w:val="9"/>
        </w:numPr>
        <w:rPr>
          <w:lang w:val="en-GB"/>
        </w:rPr>
      </w:pPr>
      <w:r>
        <w:rPr>
          <w:lang w:val="en-GB"/>
        </w:rPr>
        <w:t>Universities</w:t>
      </w:r>
      <w:r w:rsidR="00F37141">
        <w:rPr>
          <w:lang w:val="en-GB"/>
        </w:rPr>
        <w:t>’</w:t>
      </w:r>
      <w:r>
        <w:rPr>
          <w:lang w:val="en-GB"/>
        </w:rPr>
        <w:t xml:space="preserve"> a</w:t>
      </w:r>
      <w:r w:rsidR="00264268">
        <w:rPr>
          <w:lang w:val="en-GB"/>
        </w:rPr>
        <w:t xml:space="preserve">pproaches </w:t>
      </w:r>
      <w:r>
        <w:rPr>
          <w:lang w:val="en-GB"/>
        </w:rPr>
        <w:t xml:space="preserve">to protecting high risk and sensitive personal information mostly focused on </w:t>
      </w:r>
      <w:r w:rsidRPr="00CB2283">
        <w:t>identifying</w:t>
      </w:r>
      <w:r>
        <w:rPr>
          <w:lang w:val="en-GB"/>
        </w:rPr>
        <w:t xml:space="preserve"> this information and applying a data classification or </w:t>
      </w:r>
      <w:proofErr w:type="gramStart"/>
      <w:r>
        <w:rPr>
          <w:lang w:val="en-GB"/>
        </w:rPr>
        <w:t>label, or</w:t>
      </w:r>
      <w:proofErr w:type="gramEnd"/>
      <w:r>
        <w:rPr>
          <w:lang w:val="en-GB"/>
        </w:rPr>
        <w:t xml:space="preserve"> marking this information in a university’s IAR.</w:t>
      </w:r>
      <w:r w:rsidR="00772392">
        <w:rPr>
          <w:lang w:val="en-GB"/>
        </w:rPr>
        <w:t xml:space="preserve"> </w:t>
      </w:r>
    </w:p>
    <w:p w14:paraId="13974CB9" w14:textId="6C4C65F1" w:rsidR="00EA44AF" w:rsidRDefault="00EA44AF" w:rsidP="00CB2283">
      <w:pPr>
        <w:pStyle w:val="BodyText1"/>
        <w:numPr>
          <w:ilvl w:val="0"/>
          <w:numId w:val="9"/>
        </w:numPr>
        <w:rPr>
          <w:lang w:val="en-GB"/>
        </w:rPr>
      </w:pPr>
      <w:r>
        <w:rPr>
          <w:lang w:val="en-GB"/>
        </w:rPr>
        <w:t xml:space="preserve">Some universities </w:t>
      </w:r>
      <w:r w:rsidRPr="00CB2283">
        <w:t>provided</w:t>
      </w:r>
      <w:r>
        <w:rPr>
          <w:lang w:val="en-GB"/>
        </w:rPr>
        <w:t xml:space="preserve"> details about procedures for handling high risk or sensitive information that covered specific circumstances (for e.g., handling of sensitive HR records). </w:t>
      </w:r>
      <w:r w:rsidR="00045ED5">
        <w:rPr>
          <w:lang w:val="en-GB"/>
        </w:rPr>
        <w:t>These circumstances included:</w:t>
      </w:r>
    </w:p>
    <w:p w14:paraId="28224B29" w14:textId="77777777" w:rsidR="00EA44AF" w:rsidRDefault="00EA44AF" w:rsidP="00CB2283">
      <w:pPr>
        <w:pStyle w:val="BodyText"/>
        <w:numPr>
          <w:ilvl w:val="1"/>
          <w:numId w:val="9"/>
        </w:numPr>
        <w:ind w:left="811" w:hanging="357"/>
        <w:rPr>
          <w:lang w:val="en-GB"/>
        </w:rPr>
      </w:pPr>
      <w:r>
        <w:rPr>
          <w:lang w:val="en-GB"/>
        </w:rPr>
        <w:t xml:space="preserve">Specific training for staff, depending on the information they handle in their role. </w:t>
      </w:r>
    </w:p>
    <w:p w14:paraId="46AA2B27" w14:textId="5313EB21" w:rsidR="00EA44AF" w:rsidRDefault="00EA44AF" w:rsidP="00CB2283">
      <w:pPr>
        <w:pStyle w:val="BodyText"/>
        <w:numPr>
          <w:ilvl w:val="1"/>
          <w:numId w:val="9"/>
        </w:numPr>
        <w:ind w:left="811" w:hanging="357"/>
        <w:rPr>
          <w:lang w:val="en-GB"/>
        </w:rPr>
      </w:pPr>
      <w:r>
        <w:rPr>
          <w:lang w:val="en-GB"/>
        </w:rPr>
        <w:t>Classification frameworks</w:t>
      </w:r>
      <w:r w:rsidR="00045ED5">
        <w:rPr>
          <w:lang w:val="en-GB"/>
        </w:rPr>
        <w:t xml:space="preserve"> to</w:t>
      </w:r>
      <w:r>
        <w:rPr>
          <w:lang w:val="en-GB"/>
        </w:rPr>
        <w:t xml:space="preserve"> provide direction to staff on handling information in accordance with the information’s classification. </w:t>
      </w:r>
    </w:p>
    <w:p w14:paraId="65175B20" w14:textId="60E17411" w:rsidR="00264268" w:rsidRDefault="00264268" w:rsidP="00CB2283">
      <w:pPr>
        <w:pStyle w:val="BodyText"/>
        <w:numPr>
          <w:ilvl w:val="1"/>
          <w:numId w:val="9"/>
        </w:numPr>
        <w:ind w:left="811" w:hanging="357"/>
        <w:rPr>
          <w:lang w:val="en-GB"/>
        </w:rPr>
      </w:pPr>
      <w:r>
        <w:rPr>
          <w:lang w:val="en-GB"/>
        </w:rPr>
        <w:t>One university provided a checklist for engaging contractors</w:t>
      </w:r>
      <w:r w:rsidR="00EA44AF">
        <w:rPr>
          <w:lang w:val="en-GB"/>
        </w:rPr>
        <w:t xml:space="preserve"> that required ‘</w:t>
      </w:r>
      <w:r w:rsidR="00EA44AF" w:rsidRPr="00EA44AF">
        <w:rPr>
          <w:lang w:val="en-GB"/>
        </w:rPr>
        <w:t>background checks of its staff commensurate with their level of access to systems and data they may have and maintain security clearances where required for staff with access to highly sensitive data</w:t>
      </w:r>
      <w:r w:rsidR="00EA44AF">
        <w:rPr>
          <w:lang w:val="en-GB"/>
        </w:rPr>
        <w:t>.’</w:t>
      </w:r>
    </w:p>
    <w:p w14:paraId="7E60B6EF" w14:textId="04A35F71" w:rsidR="000D2A56" w:rsidRPr="000D2A56" w:rsidRDefault="000D2A56" w:rsidP="008421E8">
      <w:pPr>
        <w:pStyle w:val="BodyText1"/>
        <w:keepNext/>
        <w:numPr>
          <w:ilvl w:val="0"/>
          <w:numId w:val="0"/>
        </w:numPr>
        <w:ind w:left="357" w:hanging="357"/>
        <w:rPr>
          <w:rFonts w:cs="Times New Roman"/>
          <w:i/>
          <w:iCs/>
        </w:rPr>
      </w:pPr>
      <w:r w:rsidRPr="00FC03A8">
        <w:rPr>
          <w:i/>
          <w:iCs/>
        </w:rPr>
        <w:lastRenderedPageBreak/>
        <w:t xml:space="preserve">Chart </w:t>
      </w:r>
      <w:r>
        <w:rPr>
          <w:i/>
          <w:iCs/>
        </w:rPr>
        <w:t>4</w:t>
      </w:r>
      <w:r w:rsidRPr="00FC03A8">
        <w:rPr>
          <w:i/>
          <w:iCs/>
        </w:rPr>
        <w:t xml:space="preserve"> –</w:t>
      </w:r>
      <w:r w:rsidRPr="00B962CF">
        <w:rPr>
          <w:i/>
          <w:iCs/>
        </w:rPr>
        <w:t xml:space="preserve"> Approaches to </w:t>
      </w:r>
      <w:r>
        <w:rPr>
          <w:i/>
          <w:iCs/>
        </w:rPr>
        <w:t xml:space="preserve">protecting high risk and sensitive personal </w:t>
      </w:r>
      <w:proofErr w:type="gramStart"/>
      <w:r>
        <w:rPr>
          <w:i/>
          <w:iCs/>
        </w:rPr>
        <w:t>information</w:t>
      </w:r>
      <w:proofErr w:type="gramEnd"/>
      <w:r>
        <w:rPr>
          <w:i/>
          <w:iCs/>
        </w:rPr>
        <w:t xml:space="preserve"> </w:t>
      </w:r>
    </w:p>
    <w:p w14:paraId="7282F0F3" w14:textId="44411A29" w:rsidR="002E7B4A" w:rsidRDefault="000D2A56" w:rsidP="002E7B4A">
      <w:pPr>
        <w:pStyle w:val="BodyText"/>
        <w:rPr>
          <w:lang w:val="en-GB"/>
        </w:rPr>
      </w:pPr>
      <w:r>
        <w:rPr>
          <w:noProof/>
          <w:lang w:val="en-GB"/>
        </w:rPr>
        <w:drawing>
          <wp:inline distT="0" distB="0" distL="0" distR="0" wp14:anchorId="10956772" wp14:editId="022A1E77">
            <wp:extent cx="3545456"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B0484B6" w14:textId="72D35455" w:rsidR="00050266" w:rsidRPr="00D7454E" w:rsidRDefault="00696858" w:rsidP="00050266">
      <w:pPr>
        <w:pStyle w:val="Level3Heading"/>
        <w:spacing w:before="120" w:line="360" w:lineRule="auto"/>
        <w:rPr>
          <w:szCs w:val="24"/>
        </w:rPr>
      </w:pPr>
      <w:bookmarkStart w:id="34" w:name="_Toc75517873"/>
      <w:r w:rsidRPr="00D7454E">
        <w:rPr>
          <w:szCs w:val="24"/>
        </w:rPr>
        <w:t>Observations</w:t>
      </w:r>
      <w:bookmarkEnd w:id="34"/>
    </w:p>
    <w:p w14:paraId="0BD45F3E" w14:textId="77777777" w:rsidR="004A55E3" w:rsidRPr="00CB2283" w:rsidRDefault="004A55E3" w:rsidP="004A55E3">
      <w:pPr>
        <w:pStyle w:val="BodyText1"/>
        <w:numPr>
          <w:ilvl w:val="0"/>
          <w:numId w:val="9"/>
        </w:numPr>
        <w:rPr>
          <w:lang w:val="en-GB"/>
        </w:rPr>
      </w:pPr>
      <w:r w:rsidRPr="00CB2283">
        <w:rPr>
          <w:lang w:val="en-GB"/>
        </w:rPr>
        <w:t xml:space="preserve">The universities generally showed a strong focus on cyber security, which may be prioritised above other security areas such as personnel and physical security. </w:t>
      </w:r>
    </w:p>
    <w:p w14:paraId="19B325FF" w14:textId="2AF7E204" w:rsidR="004A55E3" w:rsidRPr="00CB2283" w:rsidRDefault="004A55E3" w:rsidP="006B5735">
      <w:pPr>
        <w:pStyle w:val="BodyText1"/>
        <w:numPr>
          <w:ilvl w:val="0"/>
          <w:numId w:val="9"/>
        </w:numPr>
        <w:rPr>
          <w:lang w:val="en-GB"/>
        </w:rPr>
      </w:pPr>
      <w:r w:rsidRPr="00CB2283">
        <w:rPr>
          <w:lang w:val="en-GB"/>
        </w:rPr>
        <w:t xml:space="preserve">OVIC considers that it is best practice for high level frameworks to be integrated with specific procedures to address risks </w:t>
      </w:r>
      <w:r w:rsidR="006B5735" w:rsidRPr="00CB2283">
        <w:rPr>
          <w:lang w:val="en-GB"/>
        </w:rPr>
        <w:t xml:space="preserve">to personal information </w:t>
      </w:r>
      <w:r w:rsidRPr="00CB2283">
        <w:rPr>
          <w:lang w:val="en-GB"/>
        </w:rPr>
        <w:t xml:space="preserve">across </w:t>
      </w:r>
      <w:r w:rsidR="006B5735" w:rsidRPr="00CB2283">
        <w:rPr>
          <w:lang w:val="en-GB"/>
        </w:rPr>
        <w:t xml:space="preserve">governance, information, personnel, ICT, and physical security. </w:t>
      </w:r>
    </w:p>
    <w:p w14:paraId="0B9F3A63" w14:textId="20B6791B" w:rsidR="00975B08" w:rsidRPr="00CB2283" w:rsidRDefault="00E118C0" w:rsidP="00975B08">
      <w:pPr>
        <w:pStyle w:val="BodyText1"/>
        <w:numPr>
          <w:ilvl w:val="0"/>
          <w:numId w:val="9"/>
        </w:numPr>
        <w:rPr>
          <w:lang w:val="en-GB"/>
        </w:rPr>
      </w:pPr>
      <w:r w:rsidRPr="00CB2283">
        <w:rPr>
          <w:lang w:val="en-GB"/>
        </w:rPr>
        <w:t>As</w:t>
      </w:r>
      <w:r w:rsidR="00975B08" w:rsidRPr="00CB2283">
        <w:rPr>
          <w:lang w:val="en-GB"/>
        </w:rPr>
        <w:t xml:space="preserve"> risks change (for e</w:t>
      </w:r>
      <w:r w:rsidR="00696858" w:rsidRPr="00CB2283">
        <w:rPr>
          <w:lang w:val="en-GB"/>
        </w:rPr>
        <w:t>.g.</w:t>
      </w:r>
      <w:r w:rsidR="00EA4D0A" w:rsidRPr="00CB2283">
        <w:rPr>
          <w:lang w:val="en-GB"/>
        </w:rPr>
        <w:t>,</w:t>
      </w:r>
      <w:r w:rsidR="00975B08" w:rsidRPr="00CB2283">
        <w:rPr>
          <w:lang w:val="en-GB"/>
        </w:rPr>
        <w:t xml:space="preserve"> when an organisations information handling practices </w:t>
      </w:r>
      <w:r w:rsidR="00DF2CBC" w:rsidRPr="00CB2283">
        <w:rPr>
          <w:lang w:val="en-GB"/>
        </w:rPr>
        <w:t>change) organisations</w:t>
      </w:r>
      <w:r w:rsidR="00975B08" w:rsidRPr="00CB2283">
        <w:rPr>
          <w:lang w:val="en-GB"/>
        </w:rPr>
        <w:t xml:space="preserve"> need to ensure that risk assessments are reviewed </w:t>
      </w:r>
      <w:r w:rsidR="00045ED5" w:rsidRPr="00CB2283">
        <w:rPr>
          <w:lang w:val="en-GB"/>
        </w:rPr>
        <w:t>frequently to</w:t>
      </w:r>
      <w:r w:rsidR="00975B08" w:rsidRPr="00CB2283">
        <w:rPr>
          <w:lang w:val="en-GB"/>
        </w:rPr>
        <w:t xml:space="preserve"> </w:t>
      </w:r>
      <w:r w:rsidR="006B5735" w:rsidRPr="00CB2283">
        <w:rPr>
          <w:lang w:val="en-GB"/>
        </w:rPr>
        <w:t xml:space="preserve">enable staff </w:t>
      </w:r>
      <w:r w:rsidR="00975B08" w:rsidRPr="00CB2283">
        <w:rPr>
          <w:lang w:val="en-GB"/>
        </w:rPr>
        <w:t>to identify new risks.</w:t>
      </w:r>
      <w:r w:rsidR="00045ED5" w:rsidRPr="00CB2283">
        <w:rPr>
          <w:lang w:val="en-GB"/>
        </w:rPr>
        <w:t xml:space="preserve"> Risks should be managed through the universities’ existing risk management framework, with risks being reviewed at regular intervals or whenever an incident occurs, whichever is sooner.</w:t>
      </w:r>
    </w:p>
    <w:p w14:paraId="1B7080F4" w14:textId="080D1EB9" w:rsidR="00045ED5" w:rsidRPr="00EA4D0A" w:rsidRDefault="00045ED5" w:rsidP="00045ED5">
      <w:pPr>
        <w:pStyle w:val="BodyText1"/>
        <w:numPr>
          <w:ilvl w:val="0"/>
          <w:numId w:val="9"/>
        </w:numPr>
      </w:pPr>
      <w:r w:rsidRPr="00CB2283">
        <w:rPr>
          <w:lang w:val="en-GB"/>
        </w:rPr>
        <w:t xml:space="preserve">Identifying sensitive and </w:t>
      </w:r>
      <w:r w:rsidR="00D01E7B" w:rsidRPr="00CB2283">
        <w:rPr>
          <w:lang w:val="en-GB"/>
        </w:rPr>
        <w:t>high-risk</w:t>
      </w:r>
      <w:r w:rsidRPr="00CB2283">
        <w:rPr>
          <w:lang w:val="en-GB"/>
        </w:rPr>
        <w:t xml:space="preserve"> information is a significant part of the work needed, but it is also critical</w:t>
      </w:r>
      <w:r>
        <w:t xml:space="preserve"> for organisations to have appropriate policies and procedures to manage the protection of information, and </w:t>
      </w:r>
      <w:r w:rsidR="009A26A8">
        <w:t xml:space="preserve">for </w:t>
      </w:r>
      <w:r>
        <w:t xml:space="preserve">staff </w:t>
      </w:r>
      <w:r w:rsidR="009A26A8">
        <w:t xml:space="preserve">to be </w:t>
      </w:r>
      <w:r>
        <w:t>appropriately trained and aware of organisation expectations.</w:t>
      </w:r>
    </w:p>
    <w:p w14:paraId="1375F1DD" w14:textId="3B3216BE" w:rsidR="002563B6" w:rsidRPr="00284E08" w:rsidRDefault="002563B6" w:rsidP="006B5735">
      <w:pPr>
        <w:pStyle w:val="BodyText1"/>
        <w:numPr>
          <w:ilvl w:val="0"/>
          <w:numId w:val="0"/>
        </w:numPr>
      </w:pPr>
      <w:r>
        <w:br w:type="page"/>
      </w:r>
    </w:p>
    <w:p w14:paraId="060E9642" w14:textId="232FAA39" w:rsidR="00F34F9F" w:rsidRPr="00E3459E" w:rsidRDefault="002F253F" w:rsidP="00E3459E">
      <w:pPr>
        <w:pStyle w:val="Level2Heading"/>
        <w:spacing w:before="160" w:after="120"/>
      </w:pPr>
      <w:bookmarkStart w:id="35" w:name="_Toc75517874"/>
      <w:r w:rsidRPr="00E3459E">
        <w:lastRenderedPageBreak/>
        <w:t>P</w:t>
      </w:r>
      <w:r w:rsidR="00DB6EA2" w:rsidRPr="00E3459E">
        <w:t xml:space="preserve">ART </w:t>
      </w:r>
      <w:r w:rsidRPr="00E3459E">
        <w:t>4</w:t>
      </w:r>
      <w:r w:rsidR="00DE18C7" w:rsidRPr="00E3459E">
        <w:t xml:space="preserve"> – </w:t>
      </w:r>
      <w:r w:rsidR="00975B08" w:rsidRPr="00E3459E">
        <w:t xml:space="preserve">Policies and procedures that support compliance with IPP </w:t>
      </w:r>
      <w:proofErr w:type="gramStart"/>
      <w:r w:rsidR="00975B08" w:rsidRPr="00E3459E">
        <w:t>4</w:t>
      </w:r>
      <w:bookmarkEnd w:id="35"/>
      <w:proofErr w:type="gramEnd"/>
    </w:p>
    <w:p w14:paraId="0F9D48E0" w14:textId="20B06C91" w:rsidR="00975B08" w:rsidRDefault="000B6FBF" w:rsidP="000B6FBF">
      <w:pPr>
        <w:pStyle w:val="BodyText1"/>
        <w:numPr>
          <w:ilvl w:val="0"/>
          <w:numId w:val="9"/>
        </w:numPr>
      </w:pPr>
      <w:r>
        <w:t>T</w:t>
      </w:r>
      <w:r w:rsidR="0083556C">
        <w:t>horough and appropriate policies and procedures support the protection of</w:t>
      </w:r>
      <w:r w:rsidR="00975B08">
        <w:t xml:space="preserve"> personal </w:t>
      </w:r>
      <w:r w:rsidR="00975B08" w:rsidRPr="00CB2283">
        <w:rPr>
          <w:lang w:val="en-GB"/>
        </w:rPr>
        <w:t>information</w:t>
      </w:r>
      <w:r w:rsidR="00975B08">
        <w:t xml:space="preserve">. </w:t>
      </w:r>
      <w:r w:rsidR="006B62C4">
        <w:t xml:space="preserve">Documentation (such as </w:t>
      </w:r>
      <w:r w:rsidR="0083556C">
        <w:t>polic</w:t>
      </w:r>
      <w:r>
        <w:t>ies</w:t>
      </w:r>
      <w:r w:rsidR="0083556C">
        <w:t>, procedure</w:t>
      </w:r>
      <w:r>
        <w:t>s</w:t>
      </w:r>
      <w:r w:rsidR="0083556C">
        <w:t>, standards, quick reference guide</w:t>
      </w:r>
      <w:r>
        <w:t>s</w:t>
      </w:r>
      <w:r w:rsidR="0083556C">
        <w:t xml:space="preserve">) </w:t>
      </w:r>
      <w:r>
        <w:t xml:space="preserve">can </w:t>
      </w:r>
      <w:r w:rsidR="0083556C">
        <w:t>communicate</w:t>
      </w:r>
      <w:r>
        <w:t xml:space="preserve"> </w:t>
      </w:r>
      <w:r w:rsidR="0083556C">
        <w:t xml:space="preserve">to personnel how the organisation expects </w:t>
      </w:r>
      <w:r w:rsidR="006B62C4">
        <w:t>information to be handled</w:t>
      </w:r>
      <w:r w:rsidR="00BA3795">
        <w:t xml:space="preserve">. </w:t>
      </w:r>
      <w:r>
        <w:t>Policies and procedures can prevent the impr</w:t>
      </w:r>
      <w:r w:rsidR="0083556C">
        <w:t>oper handling</w:t>
      </w:r>
      <w:r w:rsidR="001404C4">
        <w:t xml:space="preserve"> or </w:t>
      </w:r>
      <w:r w:rsidR="00D779F6">
        <w:t xml:space="preserve">disclosure </w:t>
      </w:r>
      <w:r w:rsidR="0083556C">
        <w:t>of</w:t>
      </w:r>
      <w:r w:rsidR="001404C4">
        <w:t xml:space="preserve"> personal</w:t>
      </w:r>
      <w:r w:rsidR="0083556C">
        <w:t xml:space="preserve"> information</w:t>
      </w:r>
      <w:r>
        <w:t xml:space="preserve"> in various circumstances</w:t>
      </w:r>
      <w:r w:rsidR="00BA3795">
        <w:t xml:space="preserve">. </w:t>
      </w:r>
    </w:p>
    <w:p w14:paraId="270CE8A9" w14:textId="3A20A75B" w:rsidR="00975B08" w:rsidRDefault="00840472" w:rsidP="00975B08">
      <w:pPr>
        <w:pStyle w:val="BodyText1"/>
        <w:numPr>
          <w:ilvl w:val="0"/>
          <w:numId w:val="9"/>
        </w:numPr>
      </w:pPr>
      <w:r>
        <w:t xml:space="preserve">In addition to the documentation examined in the preceding sections of this report, </w:t>
      </w:r>
      <w:r w:rsidR="00975B08">
        <w:t xml:space="preserve">OVIC </w:t>
      </w:r>
      <w:r w:rsidR="000B6FBF" w:rsidRPr="00CB2283">
        <w:rPr>
          <w:lang w:val="en-GB"/>
        </w:rPr>
        <w:t>examined</w:t>
      </w:r>
      <w:r w:rsidR="000B6FBF">
        <w:t xml:space="preserve"> documentation </w:t>
      </w:r>
      <w:r w:rsidR="00993364">
        <w:t xml:space="preserve">covering </w:t>
      </w:r>
      <w:r w:rsidR="000B6FBF">
        <w:t>the following areas</w:t>
      </w:r>
      <w:r w:rsidR="00975B08">
        <w:t>:</w:t>
      </w:r>
    </w:p>
    <w:p w14:paraId="4E291B05" w14:textId="46BF8CA5" w:rsidR="00975B08" w:rsidRDefault="00975B08" w:rsidP="00CB2283">
      <w:pPr>
        <w:pStyle w:val="BodyText1"/>
        <w:numPr>
          <w:ilvl w:val="1"/>
          <w:numId w:val="9"/>
        </w:numPr>
        <w:ind w:left="811" w:hanging="357"/>
      </w:pPr>
      <w:r>
        <w:t>Destruction</w:t>
      </w:r>
      <w:r w:rsidR="00993364">
        <w:t xml:space="preserve"> and </w:t>
      </w:r>
      <w:r>
        <w:t>permanent de-identification</w:t>
      </w:r>
      <w:r w:rsidR="00D779F6">
        <w:t xml:space="preserve"> of personal information</w:t>
      </w:r>
    </w:p>
    <w:p w14:paraId="23DD6511" w14:textId="4CD20D4E" w:rsidR="00975B08" w:rsidRDefault="00975B08" w:rsidP="00CB2283">
      <w:pPr>
        <w:pStyle w:val="BodyText1"/>
        <w:numPr>
          <w:ilvl w:val="1"/>
          <w:numId w:val="9"/>
        </w:numPr>
        <w:ind w:left="811" w:hanging="357"/>
      </w:pPr>
      <w:r>
        <w:t xml:space="preserve">Data breach response </w:t>
      </w:r>
    </w:p>
    <w:p w14:paraId="3272692E" w14:textId="7018AD36" w:rsidR="00975B08" w:rsidRDefault="000B6FBF" w:rsidP="00CB2283">
      <w:pPr>
        <w:pStyle w:val="BodyText1"/>
        <w:numPr>
          <w:ilvl w:val="1"/>
          <w:numId w:val="9"/>
        </w:numPr>
        <w:ind w:left="811" w:hanging="357"/>
      </w:pPr>
      <w:r>
        <w:t>E</w:t>
      </w:r>
      <w:r w:rsidR="00D779F6">
        <w:t>ngaging c</w:t>
      </w:r>
      <w:r w:rsidR="0083556C">
        <w:t>ontracted service providers (</w:t>
      </w:r>
      <w:r w:rsidR="0083556C" w:rsidRPr="0083556C">
        <w:rPr>
          <w:b/>
          <w:bCs/>
        </w:rPr>
        <w:t>CSP</w:t>
      </w:r>
      <w:r w:rsidR="00975B08" w:rsidRPr="0083556C">
        <w:rPr>
          <w:b/>
          <w:bCs/>
        </w:rPr>
        <w:t>s</w:t>
      </w:r>
      <w:r w:rsidR="0083556C">
        <w:t>)</w:t>
      </w:r>
      <w:r w:rsidR="00975B08">
        <w:t xml:space="preserve"> and </w:t>
      </w:r>
      <w:r w:rsidR="0083556C">
        <w:t xml:space="preserve">other </w:t>
      </w:r>
      <w:r w:rsidR="00975B08">
        <w:t xml:space="preserve">third parties </w:t>
      </w:r>
      <w:r w:rsidR="00D779F6">
        <w:t xml:space="preserve">that may receive or hold personal information on behalf of a </w:t>
      </w:r>
      <w:proofErr w:type="gramStart"/>
      <w:r w:rsidR="00D779F6">
        <w:t>university</w:t>
      </w:r>
      <w:proofErr w:type="gramEnd"/>
    </w:p>
    <w:p w14:paraId="4345E289" w14:textId="11BE3515" w:rsidR="00975B08" w:rsidRDefault="00975B08" w:rsidP="00CB2283">
      <w:pPr>
        <w:pStyle w:val="BodyText1"/>
        <w:numPr>
          <w:ilvl w:val="1"/>
          <w:numId w:val="9"/>
        </w:numPr>
        <w:ind w:left="811" w:hanging="357"/>
      </w:pPr>
      <w:r>
        <w:t>Training</w:t>
      </w:r>
      <w:r w:rsidR="0083556C">
        <w:t xml:space="preserve"> </w:t>
      </w:r>
      <w:r w:rsidR="00D779F6">
        <w:t>for university personnel about privacy and data protection</w:t>
      </w:r>
    </w:p>
    <w:p w14:paraId="7050A015" w14:textId="12D11395" w:rsidR="002F253F" w:rsidRPr="00D7454E" w:rsidRDefault="002F253F" w:rsidP="002F253F">
      <w:pPr>
        <w:pStyle w:val="Level3Heading"/>
        <w:spacing w:before="120" w:line="360" w:lineRule="auto"/>
        <w:rPr>
          <w:szCs w:val="24"/>
        </w:rPr>
      </w:pPr>
      <w:bookmarkStart w:id="36" w:name="_Toc75517875"/>
      <w:r w:rsidRPr="00D7454E">
        <w:rPr>
          <w:szCs w:val="24"/>
        </w:rPr>
        <w:t>Examination findings</w:t>
      </w:r>
      <w:bookmarkEnd w:id="36"/>
      <w:r w:rsidRPr="00D7454E">
        <w:rPr>
          <w:szCs w:val="24"/>
        </w:rPr>
        <w:t xml:space="preserve"> </w:t>
      </w:r>
    </w:p>
    <w:p w14:paraId="096A007B" w14:textId="506198EF" w:rsidR="00CA0B83" w:rsidRPr="00D7454E" w:rsidRDefault="00CA0B83" w:rsidP="00D7454E">
      <w:pPr>
        <w:pStyle w:val="Level4heading"/>
        <w:rPr>
          <w:color w:val="auto"/>
        </w:rPr>
      </w:pPr>
      <w:r w:rsidRPr="00D7454E">
        <w:rPr>
          <w:color w:val="auto"/>
        </w:rPr>
        <w:t xml:space="preserve">Prevalence of policies and procedures that support data </w:t>
      </w:r>
      <w:proofErr w:type="gramStart"/>
      <w:r w:rsidRPr="00D7454E">
        <w:rPr>
          <w:color w:val="auto"/>
        </w:rPr>
        <w:t>security</w:t>
      </w:r>
      <w:proofErr w:type="gramEnd"/>
      <w:r w:rsidRPr="00D7454E">
        <w:rPr>
          <w:color w:val="auto"/>
        </w:rPr>
        <w:t xml:space="preserve"> </w:t>
      </w:r>
    </w:p>
    <w:p w14:paraId="1EE067DC" w14:textId="7A60542E" w:rsidR="00975B08" w:rsidRPr="00E118C0" w:rsidRDefault="00E118C0" w:rsidP="00975B08">
      <w:pPr>
        <w:pStyle w:val="BodyText1"/>
        <w:numPr>
          <w:ilvl w:val="0"/>
          <w:numId w:val="9"/>
        </w:numPr>
      </w:pPr>
      <w:r w:rsidRPr="00E118C0">
        <w:t>The</w:t>
      </w:r>
      <w:r w:rsidR="0048641F">
        <w:t xml:space="preserve"> </w:t>
      </w:r>
      <w:r w:rsidRPr="00E118C0">
        <w:t xml:space="preserve">table </w:t>
      </w:r>
      <w:r w:rsidR="0048641F">
        <w:t xml:space="preserve">below </w:t>
      </w:r>
      <w:r w:rsidRPr="00CB2283">
        <w:rPr>
          <w:lang w:val="en-GB"/>
        </w:rPr>
        <w:t>represents</w:t>
      </w:r>
      <w:r w:rsidRPr="00E118C0">
        <w:t xml:space="preserve"> the </w:t>
      </w:r>
      <w:r w:rsidR="00AF7F1D">
        <w:t xml:space="preserve">prevalence of </w:t>
      </w:r>
      <w:r w:rsidRPr="00E118C0">
        <w:t xml:space="preserve">different policies and procedures that support data security. </w:t>
      </w:r>
    </w:p>
    <w:tbl>
      <w:tblPr>
        <w:tblStyle w:val="TableGrid"/>
        <w:tblW w:w="9214" w:type="dxa"/>
        <w:tblInd w:w="-5" w:type="dxa"/>
        <w:tblLook w:val="04A0" w:firstRow="1" w:lastRow="0" w:firstColumn="1" w:lastColumn="0" w:noHBand="0" w:noVBand="1"/>
      </w:tblPr>
      <w:tblGrid>
        <w:gridCol w:w="1883"/>
        <w:gridCol w:w="2795"/>
        <w:gridCol w:w="1559"/>
        <w:gridCol w:w="2977"/>
      </w:tblGrid>
      <w:tr w:rsidR="00BE05E3" w14:paraId="04950E0B" w14:textId="77777777" w:rsidTr="00C750DF">
        <w:tc>
          <w:tcPr>
            <w:tcW w:w="1883" w:type="dxa"/>
            <w:tcBorders>
              <w:bottom w:val="single" w:sz="4" w:space="0" w:color="auto"/>
            </w:tcBorders>
            <w:shd w:val="clear" w:color="auto" w:fill="E9E5E2"/>
          </w:tcPr>
          <w:p w14:paraId="77642DEC" w14:textId="2508FD90" w:rsidR="00E118C0" w:rsidRPr="00CB6A0C" w:rsidRDefault="00E118C0" w:rsidP="00E118C0">
            <w:pPr>
              <w:pStyle w:val="BodyText1"/>
              <w:numPr>
                <w:ilvl w:val="0"/>
                <w:numId w:val="0"/>
              </w:numPr>
              <w:spacing w:after="0"/>
              <w:rPr>
                <w:b/>
                <w:bCs/>
                <w:sz w:val="20"/>
                <w:szCs w:val="20"/>
              </w:rPr>
            </w:pPr>
            <w:r w:rsidRPr="00CB6A0C">
              <w:rPr>
                <w:b/>
                <w:bCs/>
                <w:sz w:val="20"/>
                <w:szCs w:val="20"/>
              </w:rPr>
              <w:t>Document</w:t>
            </w:r>
          </w:p>
        </w:tc>
        <w:tc>
          <w:tcPr>
            <w:tcW w:w="2795" w:type="dxa"/>
            <w:shd w:val="clear" w:color="auto" w:fill="E9E5E2"/>
          </w:tcPr>
          <w:p w14:paraId="5942B330" w14:textId="5D2F9F7D" w:rsidR="00E118C0" w:rsidRPr="00CB6A0C" w:rsidRDefault="00E118C0" w:rsidP="00E118C0">
            <w:pPr>
              <w:pStyle w:val="BodyText1"/>
              <w:numPr>
                <w:ilvl w:val="0"/>
                <w:numId w:val="0"/>
              </w:numPr>
              <w:spacing w:after="0"/>
              <w:rPr>
                <w:b/>
                <w:bCs/>
                <w:sz w:val="20"/>
                <w:szCs w:val="20"/>
              </w:rPr>
            </w:pPr>
            <w:r w:rsidRPr="00CB6A0C">
              <w:rPr>
                <w:b/>
                <w:bCs/>
                <w:sz w:val="20"/>
                <w:szCs w:val="20"/>
              </w:rPr>
              <w:t xml:space="preserve">Purpose of document </w:t>
            </w:r>
          </w:p>
        </w:tc>
        <w:tc>
          <w:tcPr>
            <w:tcW w:w="1559" w:type="dxa"/>
            <w:shd w:val="clear" w:color="auto" w:fill="E9E5E2"/>
          </w:tcPr>
          <w:p w14:paraId="6EE12D66" w14:textId="675F3558" w:rsidR="00E118C0" w:rsidRPr="00CB6A0C" w:rsidRDefault="00E118C0" w:rsidP="00E118C0">
            <w:pPr>
              <w:pStyle w:val="BodyText1"/>
              <w:numPr>
                <w:ilvl w:val="0"/>
                <w:numId w:val="0"/>
              </w:numPr>
              <w:spacing w:after="0"/>
              <w:rPr>
                <w:b/>
                <w:bCs/>
                <w:sz w:val="20"/>
                <w:szCs w:val="20"/>
              </w:rPr>
            </w:pPr>
            <w:r w:rsidRPr="00CB6A0C">
              <w:rPr>
                <w:b/>
                <w:bCs/>
                <w:sz w:val="20"/>
                <w:szCs w:val="20"/>
              </w:rPr>
              <w:t xml:space="preserve">Prevalence </w:t>
            </w:r>
          </w:p>
        </w:tc>
        <w:tc>
          <w:tcPr>
            <w:tcW w:w="2977" w:type="dxa"/>
            <w:shd w:val="clear" w:color="auto" w:fill="E9E5E2"/>
          </w:tcPr>
          <w:p w14:paraId="4F9790A6" w14:textId="4A8E6E66" w:rsidR="000E50CA" w:rsidRPr="00CB6A0C" w:rsidRDefault="000E50CA" w:rsidP="0071534B">
            <w:pPr>
              <w:pStyle w:val="BodyText1"/>
              <w:numPr>
                <w:ilvl w:val="0"/>
                <w:numId w:val="0"/>
              </w:numPr>
              <w:rPr>
                <w:b/>
                <w:bCs/>
                <w:sz w:val="20"/>
                <w:szCs w:val="20"/>
              </w:rPr>
            </w:pPr>
            <w:r w:rsidRPr="00CB6A0C">
              <w:rPr>
                <w:b/>
                <w:bCs/>
                <w:sz w:val="20"/>
                <w:szCs w:val="20"/>
              </w:rPr>
              <w:t>Observations</w:t>
            </w:r>
          </w:p>
        </w:tc>
      </w:tr>
      <w:tr w:rsidR="0066463C" w14:paraId="0DB51C66" w14:textId="77777777" w:rsidTr="00C750DF">
        <w:tc>
          <w:tcPr>
            <w:tcW w:w="1883" w:type="dxa"/>
            <w:tcBorders>
              <w:bottom w:val="single" w:sz="4" w:space="0" w:color="auto"/>
            </w:tcBorders>
            <w:shd w:val="clear" w:color="auto" w:fill="410096"/>
          </w:tcPr>
          <w:p w14:paraId="65487863" w14:textId="631A77ED" w:rsidR="0066463C" w:rsidRPr="00C750DF" w:rsidRDefault="0066463C" w:rsidP="00E118C0">
            <w:pPr>
              <w:pStyle w:val="BodyText1"/>
              <w:numPr>
                <w:ilvl w:val="0"/>
                <w:numId w:val="0"/>
              </w:numPr>
              <w:spacing w:after="0"/>
              <w:rPr>
                <w:b/>
                <w:bCs/>
                <w:color w:val="FFFFFF" w:themeColor="background1"/>
              </w:rPr>
            </w:pPr>
            <w:r w:rsidRPr="00C750DF">
              <w:rPr>
                <w:b/>
                <w:bCs/>
                <w:color w:val="FFFFFF" w:themeColor="background1"/>
              </w:rPr>
              <w:t>Privacy policy</w:t>
            </w:r>
            <w:r w:rsidR="00B34FC6" w:rsidRPr="00C750DF">
              <w:rPr>
                <w:b/>
                <w:bCs/>
                <w:color w:val="FFFFFF" w:themeColor="background1"/>
              </w:rPr>
              <w:t>/ procedure</w:t>
            </w:r>
          </w:p>
        </w:tc>
        <w:tc>
          <w:tcPr>
            <w:tcW w:w="2795" w:type="dxa"/>
            <w:vMerge w:val="restart"/>
            <w:shd w:val="clear" w:color="auto" w:fill="auto"/>
          </w:tcPr>
          <w:p w14:paraId="283F573E" w14:textId="07A05419" w:rsidR="0066463C" w:rsidRPr="00CB6A0C" w:rsidRDefault="0066463C" w:rsidP="00592CEA">
            <w:pPr>
              <w:pStyle w:val="BodyText1"/>
              <w:numPr>
                <w:ilvl w:val="0"/>
                <w:numId w:val="0"/>
              </w:numPr>
              <w:spacing w:after="0"/>
              <w:rPr>
                <w:sz w:val="20"/>
                <w:szCs w:val="20"/>
              </w:rPr>
            </w:pPr>
            <w:r w:rsidRPr="00CB6A0C">
              <w:rPr>
                <w:sz w:val="20"/>
                <w:szCs w:val="20"/>
              </w:rPr>
              <w:t xml:space="preserve">Contains statements about how an organisation manages personal information, as required by IPP 5. Organisations should demonstrate in a privacy policy, </w:t>
            </w:r>
            <w:proofErr w:type="gramStart"/>
            <w:r w:rsidRPr="00CB6A0C">
              <w:rPr>
                <w:sz w:val="20"/>
                <w:szCs w:val="20"/>
              </w:rPr>
              <w:t>procedure</w:t>
            </w:r>
            <w:proofErr w:type="gramEnd"/>
            <w:r w:rsidRPr="00CB6A0C">
              <w:rPr>
                <w:sz w:val="20"/>
                <w:szCs w:val="20"/>
              </w:rPr>
              <w:t xml:space="preserve"> or collection statement how the organisation securely stores personal information. </w:t>
            </w:r>
          </w:p>
        </w:tc>
        <w:tc>
          <w:tcPr>
            <w:tcW w:w="1559" w:type="dxa"/>
            <w:shd w:val="clear" w:color="auto" w:fill="auto"/>
          </w:tcPr>
          <w:p w14:paraId="2102A0DE" w14:textId="3D939CBF" w:rsidR="0066463C" w:rsidRPr="00CB6A0C" w:rsidRDefault="0066463C" w:rsidP="00E118C0">
            <w:pPr>
              <w:pStyle w:val="BodyText1"/>
              <w:numPr>
                <w:ilvl w:val="0"/>
                <w:numId w:val="0"/>
              </w:numPr>
              <w:spacing w:after="0"/>
              <w:rPr>
                <w:b/>
                <w:bCs/>
                <w:sz w:val="20"/>
                <w:szCs w:val="20"/>
              </w:rPr>
            </w:pPr>
            <w:r w:rsidRPr="00CB6A0C">
              <w:rPr>
                <w:b/>
                <w:bCs/>
                <w:sz w:val="20"/>
                <w:szCs w:val="20"/>
              </w:rPr>
              <w:t xml:space="preserve">All </w:t>
            </w:r>
            <w:r w:rsidRPr="00CB6A0C">
              <w:rPr>
                <w:sz w:val="20"/>
                <w:szCs w:val="20"/>
              </w:rPr>
              <w:t>available online</w:t>
            </w:r>
          </w:p>
        </w:tc>
        <w:tc>
          <w:tcPr>
            <w:tcW w:w="2977" w:type="dxa"/>
            <w:vMerge w:val="restart"/>
            <w:shd w:val="clear" w:color="auto" w:fill="auto"/>
          </w:tcPr>
          <w:p w14:paraId="6A3333E1" w14:textId="4AD4DC76" w:rsidR="0066463C" w:rsidRPr="00CB6A0C" w:rsidRDefault="0066463C" w:rsidP="006A6E93">
            <w:pPr>
              <w:pStyle w:val="BodyText1"/>
              <w:numPr>
                <w:ilvl w:val="0"/>
                <w:numId w:val="0"/>
              </w:numPr>
              <w:spacing w:after="0"/>
              <w:rPr>
                <w:b/>
                <w:bCs/>
                <w:sz w:val="20"/>
                <w:szCs w:val="20"/>
              </w:rPr>
            </w:pPr>
            <w:r w:rsidRPr="00CB6A0C">
              <w:rPr>
                <w:b/>
                <w:bCs/>
                <w:sz w:val="20"/>
                <w:szCs w:val="20"/>
              </w:rPr>
              <w:t>Review schedules</w:t>
            </w:r>
            <w:r w:rsidR="006A6E93" w:rsidRPr="00CB6A0C">
              <w:rPr>
                <w:b/>
                <w:bCs/>
                <w:sz w:val="20"/>
                <w:szCs w:val="20"/>
              </w:rPr>
              <w:t xml:space="preserve"> for privacy policies/procedures</w:t>
            </w:r>
          </w:p>
          <w:p w14:paraId="6EA72EA7" w14:textId="03552C77" w:rsidR="0066463C" w:rsidRPr="00CB6A0C" w:rsidRDefault="0066463C" w:rsidP="00913FD0">
            <w:pPr>
              <w:pStyle w:val="BodyText1"/>
              <w:numPr>
                <w:ilvl w:val="0"/>
                <w:numId w:val="11"/>
              </w:numPr>
              <w:spacing w:after="0"/>
              <w:rPr>
                <w:sz w:val="20"/>
                <w:szCs w:val="20"/>
              </w:rPr>
            </w:pPr>
            <w:r w:rsidRPr="00CB6A0C">
              <w:rPr>
                <w:b/>
                <w:bCs/>
                <w:sz w:val="20"/>
                <w:szCs w:val="20"/>
              </w:rPr>
              <w:t xml:space="preserve">Five </w:t>
            </w:r>
            <w:r w:rsidRPr="00CB6A0C">
              <w:rPr>
                <w:sz w:val="20"/>
                <w:szCs w:val="20"/>
              </w:rPr>
              <w:t xml:space="preserve">universities update their </w:t>
            </w:r>
            <w:r w:rsidR="00B34FC6" w:rsidRPr="00CB6A0C">
              <w:rPr>
                <w:sz w:val="20"/>
                <w:szCs w:val="20"/>
              </w:rPr>
              <w:t xml:space="preserve">privacy </w:t>
            </w:r>
            <w:r w:rsidRPr="00CB6A0C">
              <w:rPr>
                <w:sz w:val="20"/>
                <w:szCs w:val="20"/>
              </w:rPr>
              <w:t xml:space="preserve">policies every 2-3 years. </w:t>
            </w:r>
          </w:p>
          <w:p w14:paraId="408525AC" w14:textId="24B88BC3" w:rsidR="0066463C" w:rsidRPr="00CB6A0C" w:rsidRDefault="0066463C" w:rsidP="00913FD0">
            <w:pPr>
              <w:pStyle w:val="BodyText1"/>
              <w:numPr>
                <w:ilvl w:val="0"/>
                <w:numId w:val="11"/>
              </w:numPr>
              <w:spacing w:before="0" w:after="0"/>
              <w:rPr>
                <w:sz w:val="20"/>
                <w:szCs w:val="20"/>
              </w:rPr>
            </w:pPr>
            <w:r w:rsidRPr="00CB6A0C">
              <w:rPr>
                <w:b/>
                <w:bCs/>
                <w:sz w:val="20"/>
                <w:szCs w:val="20"/>
              </w:rPr>
              <w:t>Two</w:t>
            </w:r>
            <w:r w:rsidRPr="00CB6A0C">
              <w:rPr>
                <w:sz w:val="20"/>
                <w:szCs w:val="20"/>
              </w:rPr>
              <w:t xml:space="preserve"> universities update their </w:t>
            </w:r>
            <w:r w:rsidR="00B34FC6" w:rsidRPr="00CB6A0C">
              <w:rPr>
                <w:sz w:val="20"/>
                <w:szCs w:val="20"/>
              </w:rPr>
              <w:t xml:space="preserve">privacy </w:t>
            </w:r>
            <w:r w:rsidRPr="00CB6A0C">
              <w:rPr>
                <w:sz w:val="20"/>
                <w:szCs w:val="20"/>
              </w:rPr>
              <w:t>policies every 5 years.</w:t>
            </w:r>
          </w:p>
          <w:p w14:paraId="4AFC2E37" w14:textId="322728B0" w:rsidR="0066463C" w:rsidRPr="00CB6A0C" w:rsidRDefault="0066463C" w:rsidP="00913FD0">
            <w:pPr>
              <w:pStyle w:val="BodyText1"/>
              <w:numPr>
                <w:ilvl w:val="0"/>
                <w:numId w:val="11"/>
              </w:numPr>
              <w:spacing w:before="0" w:after="0"/>
              <w:rPr>
                <w:sz w:val="20"/>
                <w:szCs w:val="20"/>
              </w:rPr>
            </w:pPr>
            <w:r w:rsidRPr="00CB6A0C">
              <w:rPr>
                <w:b/>
                <w:bCs/>
                <w:sz w:val="20"/>
                <w:szCs w:val="20"/>
              </w:rPr>
              <w:t>One</w:t>
            </w:r>
            <w:r w:rsidRPr="00CB6A0C">
              <w:rPr>
                <w:sz w:val="20"/>
                <w:szCs w:val="20"/>
              </w:rPr>
              <w:t xml:space="preserve"> university was updating their privacy guidelines in Nov 2020 after it was introduced in 2014.</w:t>
            </w:r>
          </w:p>
          <w:p w14:paraId="3AC97068" w14:textId="77777777" w:rsidR="0066463C" w:rsidRPr="00CB6A0C" w:rsidRDefault="0066463C" w:rsidP="00A53EF9">
            <w:pPr>
              <w:pStyle w:val="BodyText1"/>
              <w:numPr>
                <w:ilvl w:val="0"/>
                <w:numId w:val="0"/>
              </w:numPr>
              <w:spacing w:before="0" w:after="0"/>
              <w:ind w:left="360"/>
              <w:rPr>
                <w:sz w:val="20"/>
                <w:szCs w:val="20"/>
              </w:rPr>
            </w:pPr>
          </w:p>
          <w:p w14:paraId="400980E4" w14:textId="77777777" w:rsidR="0066463C" w:rsidRPr="00CB6A0C" w:rsidRDefault="0066463C" w:rsidP="00A53EF9">
            <w:pPr>
              <w:pStyle w:val="BodyText1"/>
              <w:numPr>
                <w:ilvl w:val="0"/>
                <w:numId w:val="0"/>
              </w:numPr>
              <w:spacing w:before="0" w:after="0"/>
              <w:ind w:left="360" w:hanging="360"/>
              <w:rPr>
                <w:b/>
                <w:bCs/>
                <w:sz w:val="20"/>
                <w:szCs w:val="20"/>
              </w:rPr>
            </w:pPr>
            <w:r w:rsidRPr="00CB6A0C">
              <w:rPr>
                <w:b/>
                <w:bCs/>
                <w:sz w:val="20"/>
                <w:szCs w:val="20"/>
              </w:rPr>
              <w:t>Security excerpts</w:t>
            </w:r>
          </w:p>
          <w:p w14:paraId="7A5A6271" w14:textId="77777777" w:rsidR="00F93410" w:rsidRPr="00CB6A0C" w:rsidRDefault="00F93410" w:rsidP="00913FD0">
            <w:pPr>
              <w:pStyle w:val="BodyText1"/>
              <w:numPr>
                <w:ilvl w:val="0"/>
                <w:numId w:val="11"/>
              </w:numPr>
              <w:spacing w:after="0"/>
              <w:rPr>
                <w:b/>
                <w:bCs/>
                <w:sz w:val="20"/>
                <w:szCs w:val="20"/>
              </w:rPr>
            </w:pPr>
            <w:r w:rsidRPr="00CB6A0C">
              <w:rPr>
                <w:b/>
                <w:bCs/>
                <w:sz w:val="20"/>
                <w:szCs w:val="20"/>
              </w:rPr>
              <w:t xml:space="preserve">Most </w:t>
            </w:r>
            <w:r w:rsidRPr="00CB6A0C">
              <w:rPr>
                <w:sz w:val="20"/>
                <w:szCs w:val="20"/>
              </w:rPr>
              <w:t xml:space="preserve">policies stated that the university will take reasonable steps to protect personal information from misuse, loss, unauthorised access, </w:t>
            </w:r>
            <w:proofErr w:type="gramStart"/>
            <w:r w:rsidRPr="00CB6A0C">
              <w:rPr>
                <w:sz w:val="20"/>
                <w:szCs w:val="20"/>
              </w:rPr>
              <w:t>modification</w:t>
            </w:r>
            <w:proofErr w:type="gramEnd"/>
            <w:r w:rsidRPr="00CB6A0C">
              <w:rPr>
                <w:sz w:val="20"/>
                <w:szCs w:val="20"/>
              </w:rPr>
              <w:t xml:space="preserve"> or disclosure. </w:t>
            </w:r>
          </w:p>
          <w:p w14:paraId="67F6BF63" w14:textId="40A5B8E5" w:rsidR="00F93410" w:rsidRPr="00CB6A0C" w:rsidRDefault="00F93410" w:rsidP="00913FD0">
            <w:pPr>
              <w:pStyle w:val="BodyText1"/>
              <w:numPr>
                <w:ilvl w:val="0"/>
                <w:numId w:val="11"/>
              </w:numPr>
              <w:spacing w:after="0"/>
              <w:rPr>
                <w:b/>
                <w:bCs/>
                <w:sz w:val="20"/>
                <w:szCs w:val="20"/>
              </w:rPr>
            </w:pPr>
            <w:r w:rsidRPr="00CB6A0C">
              <w:rPr>
                <w:b/>
                <w:bCs/>
                <w:sz w:val="20"/>
                <w:szCs w:val="20"/>
              </w:rPr>
              <w:t>Some</w:t>
            </w:r>
            <w:r w:rsidRPr="00CB6A0C">
              <w:rPr>
                <w:sz w:val="20"/>
                <w:szCs w:val="20"/>
              </w:rPr>
              <w:t xml:space="preserve"> universities referred readers to processes (</w:t>
            </w:r>
            <w:r w:rsidR="00993364" w:rsidRPr="00CB6A0C">
              <w:rPr>
                <w:sz w:val="20"/>
                <w:szCs w:val="20"/>
              </w:rPr>
              <w:t>e.g.,</w:t>
            </w:r>
            <w:r w:rsidRPr="00CB6A0C">
              <w:rPr>
                <w:sz w:val="20"/>
                <w:szCs w:val="20"/>
              </w:rPr>
              <w:t xml:space="preserve"> </w:t>
            </w:r>
            <w:r w:rsidRPr="00CB6A0C">
              <w:rPr>
                <w:sz w:val="20"/>
                <w:szCs w:val="20"/>
              </w:rPr>
              <w:lastRenderedPageBreak/>
              <w:t xml:space="preserve">Information Security Policy) that set out security requirements. </w:t>
            </w:r>
          </w:p>
          <w:p w14:paraId="7CE23917" w14:textId="57092EA9" w:rsidR="006A6E93" w:rsidRPr="00CB6A0C" w:rsidRDefault="00F93410" w:rsidP="00913FD0">
            <w:pPr>
              <w:pStyle w:val="BodyText1"/>
              <w:numPr>
                <w:ilvl w:val="0"/>
                <w:numId w:val="11"/>
              </w:numPr>
              <w:spacing w:after="0"/>
              <w:rPr>
                <w:b/>
                <w:bCs/>
                <w:sz w:val="20"/>
                <w:szCs w:val="20"/>
              </w:rPr>
            </w:pPr>
            <w:r w:rsidRPr="00CB6A0C">
              <w:rPr>
                <w:b/>
                <w:bCs/>
                <w:sz w:val="20"/>
                <w:szCs w:val="20"/>
              </w:rPr>
              <w:t xml:space="preserve">One </w:t>
            </w:r>
            <w:r w:rsidRPr="00CB6A0C">
              <w:rPr>
                <w:sz w:val="20"/>
                <w:szCs w:val="20"/>
              </w:rPr>
              <w:t xml:space="preserve">policy outlined some of the physical and electronic safeguards in place to protect personal information. </w:t>
            </w:r>
          </w:p>
        </w:tc>
      </w:tr>
      <w:tr w:rsidR="0066463C" w14:paraId="68B1AD95" w14:textId="77777777" w:rsidTr="00C750DF">
        <w:tc>
          <w:tcPr>
            <w:tcW w:w="1883" w:type="dxa"/>
            <w:tcBorders>
              <w:top w:val="single" w:sz="4" w:space="0" w:color="auto"/>
            </w:tcBorders>
            <w:shd w:val="clear" w:color="auto" w:fill="410096"/>
          </w:tcPr>
          <w:p w14:paraId="168ACE4F" w14:textId="39F95238" w:rsidR="0066463C" w:rsidRPr="00C750DF" w:rsidRDefault="0066463C" w:rsidP="00E118C0">
            <w:pPr>
              <w:pStyle w:val="BodyText1"/>
              <w:numPr>
                <w:ilvl w:val="0"/>
                <w:numId w:val="0"/>
              </w:numPr>
              <w:spacing w:after="0"/>
              <w:rPr>
                <w:b/>
                <w:bCs/>
                <w:color w:val="FFFFFF" w:themeColor="background1"/>
              </w:rPr>
            </w:pPr>
            <w:r w:rsidRPr="00C750DF">
              <w:rPr>
                <w:b/>
                <w:bCs/>
                <w:color w:val="FFFFFF" w:themeColor="background1"/>
              </w:rPr>
              <w:t>Privacy/Collection statement</w:t>
            </w:r>
          </w:p>
        </w:tc>
        <w:tc>
          <w:tcPr>
            <w:tcW w:w="2795" w:type="dxa"/>
            <w:vMerge/>
            <w:shd w:val="clear" w:color="auto" w:fill="auto"/>
          </w:tcPr>
          <w:p w14:paraId="66197258" w14:textId="77777777" w:rsidR="0066463C" w:rsidRPr="00CB6A0C" w:rsidRDefault="0066463C" w:rsidP="00E118C0">
            <w:pPr>
              <w:pStyle w:val="BodyText1"/>
              <w:numPr>
                <w:ilvl w:val="0"/>
                <w:numId w:val="0"/>
              </w:numPr>
              <w:spacing w:after="0"/>
              <w:rPr>
                <w:sz w:val="20"/>
                <w:szCs w:val="20"/>
              </w:rPr>
            </w:pPr>
          </w:p>
        </w:tc>
        <w:tc>
          <w:tcPr>
            <w:tcW w:w="1559" w:type="dxa"/>
            <w:shd w:val="clear" w:color="auto" w:fill="auto"/>
          </w:tcPr>
          <w:p w14:paraId="794480A8" w14:textId="3286081C" w:rsidR="0066463C" w:rsidRPr="00CB6A0C" w:rsidRDefault="006A6E93" w:rsidP="00E118C0">
            <w:pPr>
              <w:pStyle w:val="BodyText1"/>
              <w:numPr>
                <w:ilvl w:val="0"/>
                <w:numId w:val="0"/>
              </w:numPr>
              <w:spacing w:after="0"/>
              <w:rPr>
                <w:sz w:val="20"/>
                <w:szCs w:val="20"/>
              </w:rPr>
            </w:pPr>
            <w:r w:rsidRPr="00CB6A0C">
              <w:rPr>
                <w:b/>
                <w:bCs/>
                <w:sz w:val="20"/>
                <w:szCs w:val="20"/>
              </w:rPr>
              <w:t xml:space="preserve">All </w:t>
            </w:r>
            <w:r w:rsidRPr="00CB6A0C">
              <w:rPr>
                <w:sz w:val="20"/>
                <w:szCs w:val="20"/>
              </w:rPr>
              <w:t>universities said they have various collection statements, for example, for staff, students, public.</w:t>
            </w:r>
          </w:p>
        </w:tc>
        <w:tc>
          <w:tcPr>
            <w:tcW w:w="2977" w:type="dxa"/>
            <w:vMerge/>
            <w:shd w:val="clear" w:color="auto" w:fill="auto"/>
          </w:tcPr>
          <w:p w14:paraId="540897BA" w14:textId="77777777" w:rsidR="0066463C" w:rsidRPr="00CB6A0C" w:rsidRDefault="0066463C" w:rsidP="00E118C0">
            <w:pPr>
              <w:pStyle w:val="BodyText1"/>
              <w:numPr>
                <w:ilvl w:val="0"/>
                <w:numId w:val="0"/>
              </w:numPr>
              <w:spacing w:after="0"/>
              <w:rPr>
                <w:sz w:val="20"/>
                <w:szCs w:val="20"/>
              </w:rPr>
            </w:pPr>
          </w:p>
        </w:tc>
      </w:tr>
      <w:tr w:rsidR="00BE05E3" w14:paraId="415546C7" w14:textId="77777777" w:rsidTr="00C750DF">
        <w:tc>
          <w:tcPr>
            <w:tcW w:w="1883" w:type="dxa"/>
            <w:shd w:val="clear" w:color="auto" w:fill="410096"/>
          </w:tcPr>
          <w:p w14:paraId="035D265E" w14:textId="7F74BE69" w:rsidR="00E118C0" w:rsidRPr="00C750DF" w:rsidRDefault="00A46DA1" w:rsidP="00E118C0">
            <w:pPr>
              <w:pStyle w:val="BodyText1"/>
              <w:numPr>
                <w:ilvl w:val="0"/>
                <w:numId w:val="0"/>
              </w:numPr>
              <w:spacing w:after="0"/>
              <w:rPr>
                <w:b/>
                <w:bCs/>
                <w:color w:val="FFFFFF" w:themeColor="background1"/>
              </w:rPr>
            </w:pPr>
            <w:r w:rsidRPr="00C750DF">
              <w:rPr>
                <w:b/>
                <w:bCs/>
                <w:color w:val="FFFFFF" w:themeColor="background1"/>
              </w:rPr>
              <w:t xml:space="preserve">Data breach response </w:t>
            </w:r>
            <w:r w:rsidR="00446EDF" w:rsidRPr="00C750DF">
              <w:rPr>
                <w:b/>
                <w:bCs/>
                <w:color w:val="FFFFFF" w:themeColor="background1"/>
              </w:rPr>
              <w:t>plans</w:t>
            </w:r>
          </w:p>
        </w:tc>
        <w:tc>
          <w:tcPr>
            <w:tcW w:w="2795" w:type="dxa"/>
            <w:shd w:val="clear" w:color="auto" w:fill="auto"/>
          </w:tcPr>
          <w:p w14:paraId="27959394" w14:textId="7D23B04E" w:rsidR="00E118C0" w:rsidRPr="00CB6A0C" w:rsidRDefault="00A46DA1" w:rsidP="00E118C0">
            <w:pPr>
              <w:pStyle w:val="BodyText1"/>
              <w:numPr>
                <w:ilvl w:val="0"/>
                <w:numId w:val="0"/>
              </w:numPr>
              <w:spacing w:after="0"/>
              <w:rPr>
                <w:sz w:val="20"/>
                <w:szCs w:val="20"/>
              </w:rPr>
            </w:pPr>
            <w:r w:rsidRPr="00CB6A0C">
              <w:rPr>
                <w:sz w:val="20"/>
                <w:szCs w:val="20"/>
              </w:rPr>
              <w:t xml:space="preserve">A data breach response plan assists organisations to respond to the privacy implications of a data breach </w:t>
            </w:r>
            <w:r w:rsidR="0071534B" w:rsidRPr="00CB6A0C">
              <w:rPr>
                <w:sz w:val="20"/>
                <w:szCs w:val="20"/>
              </w:rPr>
              <w:t>and minimise</w:t>
            </w:r>
            <w:r w:rsidRPr="00CB6A0C">
              <w:rPr>
                <w:sz w:val="20"/>
                <w:szCs w:val="20"/>
              </w:rPr>
              <w:t xml:space="preserve"> the harm to </w:t>
            </w:r>
            <w:r w:rsidR="0071534B" w:rsidRPr="00CB6A0C">
              <w:rPr>
                <w:sz w:val="20"/>
                <w:szCs w:val="20"/>
              </w:rPr>
              <w:t>affected individuals.</w:t>
            </w:r>
          </w:p>
        </w:tc>
        <w:tc>
          <w:tcPr>
            <w:tcW w:w="1559" w:type="dxa"/>
            <w:shd w:val="clear" w:color="auto" w:fill="auto"/>
          </w:tcPr>
          <w:p w14:paraId="304B6DC8" w14:textId="203FF937" w:rsidR="00E118C0" w:rsidRPr="00CB6A0C" w:rsidRDefault="00917C17" w:rsidP="00E118C0">
            <w:pPr>
              <w:pStyle w:val="BodyText1"/>
              <w:numPr>
                <w:ilvl w:val="0"/>
                <w:numId w:val="0"/>
              </w:numPr>
              <w:spacing w:after="0"/>
              <w:rPr>
                <w:sz w:val="20"/>
                <w:szCs w:val="20"/>
              </w:rPr>
            </w:pPr>
            <w:r w:rsidRPr="00CB6A0C">
              <w:rPr>
                <w:b/>
                <w:bCs/>
                <w:sz w:val="20"/>
                <w:szCs w:val="20"/>
              </w:rPr>
              <w:t xml:space="preserve">All </w:t>
            </w:r>
            <w:r w:rsidRPr="00CB6A0C">
              <w:rPr>
                <w:sz w:val="20"/>
                <w:szCs w:val="20"/>
              </w:rPr>
              <w:t xml:space="preserve">had a relevant policy that assisted staff to respond to a data breach.  </w:t>
            </w:r>
          </w:p>
        </w:tc>
        <w:tc>
          <w:tcPr>
            <w:tcW w:w="2977" w:type="dxa"/>
            <w:shd w:val="clear" w:color="auto" w:fill="auto"/>
          </w:tcPr>
          <w:p w14:paraId="58BF6367" w14:textId="77777777" w:rsidR="00E118C0" w:rsidRPr="00CB6A0C" w:rsidRDefault="00E118C0" w:rsidP="00E118C0">
            <w:pPr>
              <w:pStyle w:val="BodyText1"/>
              <w:numPr>
                <w:ilvl w:val="0"/>
                <w:numId w:val="0"/>
              </w:numPr>
              <w:spacing w:after="0"/>
              <w:rPr>
                <w:sz w:val="20"/>
                <w:szCs w:val="20"/>
              </w:rPr>
            </w:pPr>
          </w:p>
        </w:tc>
      </w:tr>
      <w:tr w:rsidR="00BE05E3" w14:paraId="7E15A6F7" w14:textId="77777777" w:rsidTr="00C750DF">
        <w:tc>
          <w:tcPr>
            <w:tcW w:w="1883" w:type="dxa"/>
            <w:shd w:val="clear" w:color="auto" w:fill="410096"/>
          </w:tcPr>
          <w:p w14:paraId="7F890A65" w14:textId="1EF94CD6" w:rsidR="00E118C0" w:rsidRPr="00C750DF" w:rsidRDefault="00A46DA1" w:rsidP="00E118C0">
            <w:pPr>
              <w:pStyle w:val="BodyText1"/>
              <w:numPr>
                <w:ilvl w:val="0"/>
                <w:numId w:val="0"/>
              </w:numPr>
              <w:spacing w:after="0"/>
              <w:rPr>
                <w:b/>
                <w:bCs/>
                <w:color w:val="FFFFFF" w:themeColor="background1"/>
              </w:rPr>
            </w:pPr>
            <w:r w:rsidRPr="00C750DF">
              <w:rPr>
                <w:b/>
                <w:bCs/>
                <w:color w:val="FFFFFF" w:themeColor="background1"/>
              </w:rPr>
              <w:t>General critical incident response policy/procedure</w:t>
            </w:r>
          </w:p>
        </w:tc>
        <w:tc>
          <w:tcPr>
            <w:tcW w:w="2795" w:type="dxa"/>
            <w:shd w:val="clear" w:color="auto" w:fill="auto"/>
          </w:tcPr>
          <w:p w14:paraId="4760B72F" w14:textId="6301B204" w:rsidR="00E118C0" w:rsidRPr="00CB6A0C" w:rsidRDefault="00A46DA1" w:rsidP="00E118C0">
            <w:pPr>
              <w:pStyle w:val="BodyText1"/>
              <w:numPr>
                <w:ilvl w:val="0"/>
                <w:numId w:val="0"/>
              </w:numPr>
              <w:spacing w:after="0"/>
              <w:rPr>
                <w:sz w:val="20"/>
                <w:szCs w:val="20"/>
              </w:rPr>
            </w:pPr>
            <w:r w:rsidRPr="00CB6A0C">
              <w:rPr>
                <w:sz w:val="20"/>
                <w:szCs w:val="20"/>
              </w:rPr>
              <w:t xml:space="preserve">Critical incident response </w:t>
            </w:r>
            <w:r w:rsidR="00446EDF" w:rsidRPr="00CB6A0C">
              <w:rPr>
                <w:sz w:val="20"/>
                <w:szCs w:val="20"/>
              </w:rPr>
              <w:t>documents</w:t>
            </w:r>
            <w:r w:rsidRPr="00CB6A0C">
              <w:rPr>
                <w:sz w:val="20"/>
                <w:szCs w:val="20"/>
              </w:rPr>
              <w:t xml:space="preserve"> may set out </w:t>
            </w:r>
            <w:r w:rsidR="00840518" w:rsidRPr="00CB6A0C">
              <w:rPr>
                <w:sz w:val="20"/>
                <w:szCs w:val="20"/>
              </w:rPr>
              <w:t>an</w:t>
            </w:r>
            <w:r w:rsidRPr="00CB6A0C">
              <w:rPr>
                <w:sz w:val="20"/>
                <w:szCs w:val="20"/>
              </w:rPr>
              <w:t xml:space="preserve"> organisation</w:t>
            </w:r>
            <w:r w:rsidR="00840518" w:rsidRPr="00CB6A0C">
              <w:rPr>
                <w:sz w:val="20"/>
                <w:szCs w:val="20"/>
              </w:rPr>
              <w:t>’</w:t>
            </w:r>
            <w:r w:rsidRPr="00CB6A0C">
              <w:rPr>
                <w:sz w:val="20"/>
                <w:szCs w:val="20"/>
              </w:rPr>
              <w:t xml:space="preserve">s approach to responding to a number of incidents, including data breaches or refer users to the organisation’s data breach response plan.  </w:t>
            </w:r>
          </w:p>
        </w:tc>
        <w:tc>
          <w:tcPr>
            <w:tcW w:w="1559" w:type="dxa"/>
            <w:shd w:val="clear" w:color="auto" w:fill="auto"/>
          </w:tcPr>
          <w:p w14:paraId="64604E87" w14:textId="1E5A3DF6" w:rsidR="00E118C0" w:rsidRPr="00CB6A0C" w:rsidRDefault="00EA30F8" w:rsidP="00E118C0">
            <w:pPr>
              <w:pStyle w:val="BodyText1"/>
              <w:numPr>
                <w:ilvl w:val="0"/>
                <w:numId w:val="0"/>
              </w:numPr>
              <w:spacing w:after="0"/>
              <w:rPr>
                <w:sz w:val="20"/>
                <w:szCs w:val="20"/>
              </w:rPr>
            </w:pPr>
            <w:r w:rsidRPr="00CB6A0C">
              <w:rPr>
                <w:b/>
                <w:bCs/>
                <w:sz w:val="20"/>
                <w:szCs w:val="20"/>
              </w:rPr>
              <w:t xml:space="preserve">All </w:t>
            </w:r>
            <w:r w:rsidRPr="00CB6A0C">
              <w:rPr>
                <w:sz w:val="20"/>
                <w:szCs w:val="20"/>
              </w:rPr>
              <w:t>had incident management or business resilience policies or systems.</w:t>
            </w:r>
          </w:p>
        </w:tc>
        <w:tc>
          <w:tcPr>
            <w:tcW w:w="2977" w:type="dxa"/>
            <w:shd w:val="clear" w:color="auto" w:fill="auto"/>
          </w:tcPr>
          <w:p w14:paraId="5DB183AF" w14:textId="77777777" w:rsidR="00E118C0" w:rsidRPr="00CB6A0C" w:rsidRDefault="00E118C0" w:rsidP="00E118C0">
            <w:pPr>
              <w:pStyle w:val="BodyText1"/>
              <w:numPr>
                <w:ilvl w:val="0"/>
                <w:numId w:val="0"/>
              </w:numPr>
              <w:spacing w:after="0"/>
              <w:rPr>
                <w:sz w:val="20"/>
                <w:szCs w:val="20"/>
              </w:rPr>
            </w:pPr>
          </w:p>
        </w:tc>
      </w:tr>
      <w:tr w:rsidR="00BE05E3" w14:paraId="3C3C8B71" w14:textId="77777777" w:rsidTr="00C750DF">
        <w:tc>
          <w:tcPr>
            <w:tcW w:w="1883" w:type="dxa"/>
            <w:shd w:val="clear" w:color="auto" w:fill="410096"/>
          </w:tcPr>
          <w:p w14:paraId="1FB33C22" w14:textId="10CB5CE5" w:rsidR="00E118C0" w:rsidRPr="00C750DF" w:rsidRDefault="000E50CA" w:rsidP="00E118C0">
            <w:pPr>
              <w:pStyle w:val="BodyText1"/>
              <w:numPr>
                <w:ilvl w:val="0"/>
                <w:numId w:val="0"/>
              </w:numPr>
              <w:spacing w:after="0"/>
              <w:rPr>
                <w:b/>
                <w:bCs/>
                <w:color w:val="FFFFFF" w:themeColor="background1"/>
              </w:rPr>
            </w:pPr>
            <w:bookmarkStart w:id="37" w:name="_Hlk68079208"/>
            <w:r w:rsidRPr="00C750DF">
              <w:rPr>
                <w:b/>
                <w:bCs/>
                <w:color w:val="FFFFFF" w:themeColor="background1"/>
              </w:rPr>
              <w:t>Information security policy</w:t>
            </w:r>
            <w:bookmarkEnd w:id="37"/>
          </w:p>
        </w:tc>
        <w:tc>
          <w:tcPr>
            <w:tcW w:w="2795" w:type="dxa"/>
            <w:shd w:val="clear" w:color="auto" w:fill="auto"/>
          </w:tcPr>
          <w:p w14:paraId="3A169521" w14:textId="55BEEDF2" w:rsidR="00E118C0" w:rsidRPr="00CB6A0C" w:rsidRDefault="004515E3" w:rsidP="00E118C0">
            <w:pPr>
              <w:pStyle w:val="BodyText1"/>
              <w:numPr>
                <w:ilvl w:val="0"/>
                <w:numId w:val="0"/>
              </w:numPr>
              <w:spacing w:after="0"/>
              <w:rPr>
                <w:sz w:val="20"/>
                <w:szCs w:val="20"/>
              </w:rPr>
            </w:pPr>
            <w:r w:rsidRPr="00CB6A0C">
              <w:rPr>
                <w:sz w:val="20"/>
                <w:szCs w:val="20"/>
              </w:rPr>
              <w:t xml:space="preserve">Sets out how an organisation maintains the security of their information, for example by setting out requirements for personnel to adhere to. </w:t>
            </w:r>
          </w:p>
        </w:tc>
        <w:tc>
          <w:tcPr>
            <w:tcW w:w="1559" w:type="dxa"/>
            <w:shd w:val="clear" w:color="auto" w:fill="auto"/>
          </w:tcPr>
          <w:p w14:paraId="3EA40A86" w14:textId="0C8A43AE" w:rsidR="00E118C0" w:rsidRPr="00CB6A0C" w:rsidRDefault="000B02F4" w:rsidP="00E118C0">
            <w:pPr>
              <w:pStyle w:val="BodyText1"/>
              <w:numPr>
                <w:ilvl w:val="0"/>
                <w:numId w:val="0"/>
              </w:numPr>
              <w:spacing w:after="0"/>
              <w:rPr>
                <w:sz w:val="20"/>
                <w:szCs w:val="20"/>
              </w:rPr>
            </w:pPr>
            <w:r w:rsidRPr="00CB6A0C">
              <w:rPr>
                <w:b/>
                <w:bCs/>
                <w:sz w:val="20"/>
                <w:szCs w:val="20"/>
              </w:rPr>
              <w:t>Five</w:t>
            </w:r>
            <w:r w:rsidR="006B62C4" w:rsidRPr="00CB6A0C">
              <w:rPr>
                <w:b/>
                <w:bCs/>
                <w:sz w:val="20"/>
                <w:szCs w:val="20"/>
              </w:rPr>
              <w:t xml:space="preserve"> </w:t>
            </w:r>
            <w:r w:rsidR="006B62C4" w:rsidRPr="00CB6A0C">
              <w:rPr>
                <w:sz w:val="20"/>
                <w:szCs w:val="20"/>
              </w:rPr>
              <w:t xml:space="preserve">universities have an Information Security Policy. </w:t>
            </w:r>
          </w:p>
          <w:p w14:paraId="0F63F659" w14:textId="2BC22191" w:rsidR="006B62C4" w:rsidRPr="00CB6A0C" w:rsidRDefault="000B02F4" w:rsidP="00E118C0">
            <w:pPr>
              <w:pStyle w:val="BodyText1"/>
              <w:numPr>
                <w:ilvl w:val="0"/>
                <w:numId w:val="0"/>
              </w:numPr>
              <w:spacing w:after="0"/>
              <w:rPr>
                <w:sz w:val="20"/>
                <w:szCs w:val="20"/>
              </w:rPr>
            </w:pPr>
            <w:r w:rsidRPr="00CB6A0C">
              <w:rPr>
                <w:b/>
                <w:bCs/>
                <w:sz w:val="20"/>
                <w:szCs w:val="20"/>
              </w:rPr>
              <w:t>Three</w:t>
            </w:r>
            <w:r w:rsidRPr="00CB6A0C">
              <w:rPr>
                <w:sz w:val="20"/>
                <w:szCs w:val="20"/>
              </w:rPr>
              <w:t xml:space="preserve"> </w:t>
            </w:r>
            <w:r w:rsidR="006B62C4" w:rsidRPr="00CB6A0C">
              <w:rPr>
                <w:sz w:val="20"/>
                <w:szCs w:val="20"/>
              </w:rPr>
              <w:t xml:space="preserve">have an Electronic Information Security Policy or </w:t>
            </w:r>
            <w:r w:rsidRPr="00CB6A0C">
              <w:rPr>
                <w:sz w:val="20"/>
                <w:szCs w:val="20"/>
              </w:rPr>
              <w:t>ICT/IT</w:t>
            </w:r>
            <w:r w:rsidR="006B62C4" w:rsidRPr="00CB6A0C">
              <w:rPr>
                <w:sz w:val="20"/>
                <w:szCs w:val="20"/>
              </w:rPr>
              <w:t xml:space="preserve"> Security Policy.</w:t>
            </w:r>
          </w:p>
        </w:tc>
        <w:tc>
          <w:tcPr>
            <w:tcW w:w="2977" w:type="dxa"/>
            <w:shd w:val="clear" w:color="auto" w:fill="auto"/>
          </w:tcPr>
          <w:p w14:paraId="08EE6244" w14:textId="1A8264AE" w:rsidR="00E118C0" w:rsidRPr="00CB6A0C" w:rsidRDefault="00E75460" w:rsidP="00E118C0">
            <w:pPr>
              <w:pStyle w:val="BodyText1"/>
              <w:numPr>
                <w:ilvl w:val="0"/>
                <w:numId w:val="0"/>
              </w:numPr>
              <w:spacing w:after="0"/>
              <w:rPr>
                <w:sz w:val="20"/>
                <w:szCs w:val="20"/>
              </w:rPr>
            </w:pPr>
            <w:r w:rsidRPr="00CB6A0C">
              <w:rPr>
                <w:sz w:val="20"/>
                <w:szCs w:val="20"/>
              </w:rPr>
              <w:t>With regard to the three universities’ focus on electronic information policies, it</w:t>
            </w:r>
            <w:r w:rsidR="00BE05E3" w:rsidRPr="00CB6A0C">
              <w:rPr>
                <w:sz w:val="20"/>
                <w:szCs w:val="20"/>
              </w:rPr>
              <w:t xml:space="preserve"> is not known if </w:t>
            </w:r>
            <w:r w:rsidRPr="00CB6A0C">
              <w:rPr>
                <w:sz w:val="20"/>
                <w:szCs w:val="20"/>
              </w:rPr>
              <w:t>the</w:t>
            </w:r>
            <w:r w:rsidR="00BE05E3" w:rsidRPr="00CB6A0C">
              <w:rPr>
                <w:sz w:val="20"/>
                <w:szCs w:val="20"/>
              </w:rPr>
              <w:t xml:space="preserve"> universities have a separate document that sets out how hard copy information is secured.  </w:t>
            </w:r>
          </w:p>
        </w:tc>
      </w:tr>
      <w:tr w:rsidR="00A14BFE" w14:paraId="6E1B68E0" w14:textId="77777777" w:rsidTr="00C750DF">
        <w:tc>
          <w:tcPr>
            <w:tcW w:w="1883" w:type="dxa"/>
            <w:shd w:val="clear" w:color="auto" w:fill="410096"/>
          </w:tcPr>
          <w:p w14:paraId="3651B244" w14:textId="7F21DEAF" w:rsidR="00A14BFE" w:rsidRPr="00C750DF" w:rsidRDefault="00A14BFE" w:rsidP="00E118C0">
            <w:pPr>
              <w:pStyle w:val="BodyText1"/>
              <w:numPr>
                <w:ilvl w:val="0"/>
                <w:numId w:val="0"/>
              </w:numPr>
              <w:spacing w:after="0"/>
              <w:rPr>
                <w:b/>
                <w:bCs/>
                <w:color w:val="FFFFFF" w:themeColor="background1"/>
              </w:rPr>
            </w:pPr>
            <w:r w:rsidRPr="00C750DF">
              <w:rPr>
                <w:b/>
                <w:bCs/>
                <w:color w:val="FFFFFF" w:themeColor="background1"/>
              </w:rPr>
              <w:t>Information security procedures</w:t>
            </w:r>
          </w:p>
        </w:tc>
        <w:tc>
          <w:tcPr>
            <w:tcW w:w="2795" w:type="dxa"/>
            <w:shd w:val="clear" w:color="auto" w:fill="auto"/>
          </w:tcPr>
          <w:p w14:paraId="7730AE18" w14:textId="1E50E682" w:rsidR="00A14BFE" w:rsidRPr="00CB6A0C" w:rsidRDefault="00F33E9F" w:rsidP="00E118C0">
            <w:pPr>
              <w:pStyle w:val="BodyText1"/>
              <w:numPr>
                <w:ilvl w:val="0"/>
                <w:numId w:val="0"/>
              </w:numPr>
              <w:spacing w:after="0"/>
              <w:rPr>
                <w:sz w:val="20"/>
                <w:szCs w:val="20"/>
              </w:rPr>
            </w:pPr>
            <w:r w:rsidRPr="00CB6A0C">
              <w:rPr>
                <w:sz w:val="20"/>
                <w:szCs w:val="20"/>
              </w:rPr>
              <w:t xml:space="preserve">Procedures may set out how information security is maintained in specific circumstances, for example, when personnel use university devices. </w:t>
            </w:r>
          </w:p>
        </w:tc>
        <w:tc>
          <w:tcPr>
            <w:tcW w:w="1559" w:type="dxa"/>
            <w:shd w:val="clear" w:color="auto" w:fill="auto"/>
          </w:tcPr>
          <w:p w14:paraId="2193D54B" w14:textId="67EC6B04" w:rsidR="00A14BFE" w:rsidRPr="00CB6A0C" w:rsidRDefault="00F93410" w:rsidP="00E118C0">
            <w:pPr>
              <w:pStyle w:val="BodyText1"/>
              <w:numPr>
                <w:ilvl w:val="0"/>
                <w:numId w:val="0"/>
              </w:numPr>
              <w:spacing w:after="0"/>
              <w:rPr>
                <w:sz w:val="20"/>
                <w:szCs w:val="20"/>
              </w:rPr>
            </w:pPr>
            <w:r w:rsidRPr="00CB6A0C">
              <w:rPr>
                <w:b/>
                <w:bCs/>
                <w:sz w:val="20"/>
                <w:szCs w:val="20"/>
              </w:rPr>
              <w:t xml:space="preserve">All </w:t>
            </w:r>
            <w:r w:rsidRPr="00CB6A0C">
              <w:rPr>
                <w:sz w:val="20"/>
                <w:szCs w:val="20"/>
              </w:rPr>
              <w:t xml:space="preserve">universities provided information about/copies of various information security procedures. </w:t>
            </w:r>
          </w:p>
        </w:tc>
        <w:tc>
          <w:tcPr>
            <w:tcW w:w="2977" w:type="dxa"/>
            <w:shd w:val="clear" w:color="auto" w:fill="auto"/>
          </w:tcPr>
          <w:p w14:paraId="0C025632" w14:textId="77777777" w:rsidR="00A14BFE" w:rsidRPr="00CB6A0C" w:rsidRDefault="00F93410" w:rsidP="00E118C0">
            <w:pPr>
              <w:pStyle w:val="BodyText1"/>
              <w:numPr>
                <w:ilvl w:val="0"/>
                <w:numId w:val="0"/>
              </w:numPr>
              <w:spacing w:after="0"/>
              <w:rPr>
                <w:sz w:val="20"/>
                <w:szCs w:val="20"/>
              </w:rPr>
            </w:pPr>
            <w:r w:rsidRPr="00CB6A0C">
              <w:rPr>
                <w:sz w:val="20"/>
                <w:szCs w:val="20"/>
              </w:rPr>
              <w:t xml:space="preserve">Information security procedures included: </w:t>
            </w:r>
          </w:p>
          <w:p w14:paraId="3B2C34F8" w14:textId="77777777" w:rsidR="00F93410" w:rsidRPr="00CB6A0C" w:rsidRDefault="00F93410" w:rsidP="00913FD0">
            <w:pPr>
              <w:pStyle w:val="BodyText1"/>
              <w:numPr>
                <w:ilvl w:val="0"/>
                <w:numId w:val="12"/>
              </w:numPr>
              <w:spacing w:after="0"/>
              <w:rPr>
                <w:sz w:val="20"/>
                <w:szCs w:val="20"/>
              </w:rPr>
            </w:pPr>
            <w:r w:rsidRPr="00CB6A0C">
              <w:rPr>
                <w:sz w:val="20"/>
                <w:szCs w:val="20"/>
              </w:rPr>
              <w:t>Acceptable use standard</w:t>
            </w:r>
          </w:p>
          <w:p w14:paraId="0A4415E9" w14:textId="77777777" w:rsidR="00F93410" w:rsidRPr="00CB6A0C" w:rsidRDefault="00F93410" w:rsidP="00913FD0">
            <w:pPr>
              <w:pStyle w:val="BodyText1"/>
              <w:numPr>
                <w:ilvl w:val="0"/>
                <w:numId w:val="12"/>
              </w:numPr>
              <w:spacing w:after="0"/>
              <w:rPr>
                <w:sz w:val="20"/>
                <w:szCs w:val="20"/>
              </w:rPr>
            </w:pPr>
            <w:r w:rsidRPr="00CB6A0C">
              <w:rPr>
                <w:sz w:val="20"/>
                <w:szCs w:val="20"/>
              </w:rPr>
              <w:t>User device standard</w:t>
            </w:r>
          </w:p>
          <w:p w14:paraId="1E3EF250" w14:textId="77777777" w:rsidR="00F93410" w:rsidRPr="00CB6A0C" w:rsidRDefault="00F93410" w:rsidP="00913FD0">
            <w:pPr>
              <w:pStyle w:val="BodyText1"/>
              <w:numPr>
                <w:ilvl w:val="0"/>
                <w:numId w:val="12"/>
              </w:numPr>
              <w:spacing w:after="0"/>
              <w:rPr>
                <w:sz w:val="20"/>
                <w:szCs w:val="20"/>
              </w:rPr>
            </w:pPr>
            <w:r w:rsidRPr="00CB6A0C">
              <w:rPr>
                <w:sz w:val="20"/>
                <w:szCs w:val="20"/>
              </w:rPr>
              <w:t xml:space="preserve">Information classification procedures </w:t>
            </w:r>
          </w:p>
          <w:p w14:paraId="3F6A5A6A" w14:textId="060299F4" w:rsidR="00F93410" w:rsidRPr="00CB6A0C" w:rsidRDefault="00F93410" w:rsidP="00913FD0">
            <w:pPr>
              <w:pStyle w:val="BodyText1"/>
              <w:numPr>
                <w:ilvl w:val="0"/>
                <w:numId w:val="12"/>
              </w:numPr>
              <w:spacing w:after="0"/>
              <w:rPr>
                <w:sz w:val="20"/>
                <w:szCs w:val="20"/>
              </w:rPr>
            </w:pPr>
            <w:r w:rsidRPr="00CB6A0C">
              <w:rPr>
                <w:sz w:val="20"/>
                <w:szCs w:val="20"/>
              </w:rPr>
              <w:t>Management of Special Category Information Instruction</w:t>
            </w:r>
          </w:p>
        </w:tc>
      </w:tr>
      <w:tr w:rsidR="00BE05E3" w14:paraId="43D04250" w14:textId="77777777" w:rsidTr="00C750DF">
        <w:tc>
          <w:tcPr>
            <w:tcW w:w="1883" w:type="dxa"/>
            <w:shd w:val="clear" w:color="auto" w:fill="410096"/>
          </w:tcPr>
          <w:p w14:paraId="46E55898" w14:textId="0B5A20F1" w:rsidR="000E50CA" w:rsidRPr="00C750DF" w:rsidRDefault="00A14BFE" w:rsidP="00E118C0">
            <w:pPr>
              <w:pStyle w:val="BodyText1"/>
              <w:numPr>
                <w:ilvl w:val="0"/>
                <w:numId w:val="0"/>
              </w:numPr>
              <w:spacing w:after="0"/>
              <w:rPr>
                <w:b/>
                <w:bCs/>
                <w:color w:val="FFFFFF" w:themeColor="background1"/>
              </w:rPr>
            </w:pPr>
            <w:r w:rsidRPr="00C750DF">
              <w:rPr>
                <w:b/>
                <w:bCs/>
                <w:color w:val="FFFFFF" w:themeColor="background1"/>
              </w:rPr>
              <w:t>Risk management policies</w:t>
            </w:r>
          </w:p>
        </w:tc>
        <w:tc>
          <w:tcPr>
            <w:tcW w:w="2795" w:type="dxa"/>
            <w:shd w:val="clear" w:color="auto" w:fill="auto"/>
          </w:tcPr>
          <w:p w14:paraId="6784A7E5" w14:textId="382B30D1" w:rsidR="000E50CA" w:rsidRPr="00CB6A0C" w:rsidRDefault="00137B0C" w:rsidP="00E118C0">
            <w:pPr>
              <w:pStyle w:val="BodyText1"/>
              <w:numPr>
                <w:ilvl w:val="0"/>
                <w:numId w:val="0"/>
              </w:numPr>
              <w:spacing w:after="0"/>
              <w:rPr>
                <w:sz w:val="20"/>
                <w:szCs w:val="20"/>
              </w:rPr>
            </w:pPr>
            <w:r w:rsidRPr="00CB6A0C">
              <w:rPr>
                <w:sz w:val="20"/>
                <w:szCs w:val="20"/>
              </w:rPr>
              <w:t xml:space="preserve">Sets out the organisations approach to risk management, for example, by setting Risk Appetite Statements (tolerance levels for risk). The approach may cover data security risks. </w:t>
            </w:r>
          </w:p>
        </w:tc>
        <w:tc>
          <w:tcPr>
            <w:tcW w:w="1559" w:type="dxa"/>
            <w:shd w:val="clear" w:color="auto" w:fill="auto"/>
          </w:tcPr>
          <w:p w14:paraId="6729D7FA" w14:textId="4EF3D197" w:rsidR="000E50CA" w:rsidRPr="00CB6A0C" w:rsidRDefault="00137B0C" w:rsidP="00E118C0">
            <w:pPr>
              <w:pStyle w:val="BodyText1"/>
              <w:numPr>
                <w:ilvl w:val="0"/>
                <w:numId w:val="0"/>
              </w:numPr>
              <w:spacing w:after="0"/>
              <w:rPr>
                <w:b/>
                <w:bCs/>
                <w:sz w:val="20"/>
                <w:szCs w:val="20"/>
              </w:rPr>
            </w:pPr>
            <w:r w:rsidRPr="00CB6A0C">
              <w:rPr>
                <w:b/>
                <w:bCs/>
                <w:sz w:val="20"/>
                <w:szCs w:val="20"/>
              </w:rPr>
              <w:t>All</w:t>
            </w:r>
          </w:p>
        </w:tc>
        <w:tc>
          <w:tcPr>
            <w:tcW w:w="2977" w:type="dxa"/>
            <w:shd w:val="clear" w:color="auto" w:fill="auto"/>
          </w:tcPr>
          <w:p w14:paraId="4B4F7F37" w14:textId="7BE052CC" w:rsidR="000E50CA" w:rsidRPr="00CB6A0C" w:rsidRDefault="00137B0C" w:rsidP="00E118C0">
            <w:pPr>
              <w:pStyle w:val="BodyText1"/>
              <w:numPr>
                <w:ilvl w:val="0"/>
                <w:numId w:val="0"/>
              </w:numPr>
              <w:spacing w:after="0"/>
              <w:rPr>
                <w:sz w:val="20"/>
                <w:szCs w:val="20"/>
              </w:rPr>
            </w:pPr>
            <w:r w:rsidRPr="00CB6A0C">
              <w:rPr>
                <w:sz w:val="20"/>
                <w:szCs w:val="20"/>
              </w:rPr>
              <w:t xml:space="preserve">Risk management policies are generally reviewed more regularly by the universities. At least </w:t>
            </w:r>
            <w:r w:rsidRPr="00CB6A0C">
              <w:rPr>
                <w:b/>
                <w:bCs/>
                <w:sz w:val="20"/>
                <w:szCs w:val="20"/>
              </w:rPr>
              <w:t xml:space="preserve">three </w:t>
            </w:r>
            <w:r w:rsidR="00E75460" w:rsidRPr="00CB6A0C">
              <w:rPr>
                <w:sz w:val="20"/>
                <w:szCs w:val="20"/>
              </w:rPr>
              <w:t xml:space="preserve">universities’ </w:t>
            </w:r>
            <w:r w:rsidRPr="00CB6A0C">
              <w:rPr>
                <w:sz w:val="20"/>
                <w:szCs w:val="20"/>
              </w:rPr>
              <w:t xml:space="preserve">policies have a </w:t>
            </w:r>
            <w:r w:rsidR="006A6E93" w:rsidRPr="00CB6A0C">
              <w:rPr>
                <w:sz w:val="20"/>
                <w:szCs w:val="20"/>
              </w:rPr>
              <w:t>one-year</w:t>
            </w:r>
            <w:r w:rsidRPr="00CB6A0C">
              <w:rPr>
                <w:sz w:val="20"/>
                <w:szCs w:val="20"/>
              </w:rPr>
              <w:t xml:space="preserve"> review period.  </w:t>
            </w:r>
          </w:p>
        </w:tc>
      </w:tr>
      <w:tr w:rsidR="00BE05E3" w14:paraId="7067E987" w14:textId="77777777" w:rsidTr="00C750DF">
        <w:tc>
          <w:tcPr>
            <w:tcW w:w="1883" w:type="dxa"/>
            <w:shd w:val="clear" w:color="auto" w:fill="410096"/>
          </w:tcPr>
          <w:p w14:paraId="627AD21D" w14:textId="51E39340" w:rsidR="000E50CA" w:rsidRPr="00C750DF" w:rsidRDefault="000E50CA" w:rsidP="00E118C0">
            <w:pPr>
              <w:pStyle w:val="BodyText1"/>
              <w:numPr>
                <w:ilvl w:val="0"/>
                <w:numId w:val="0"/>
              </w:numPr>
              <w:spacing w:after="0"/>
              <w:rPr>
                <w:b/>
                <w:bCs/>
                <w:color w:val="FFFFFF" w:themeColor="background1"/>
              </w:rPr>
            </w:pPr>
            <w:r w:rsidRPr="00C750DF">
              <w:rPr>
                <w:b/>
                <w:bCs/>
                <w:color w:val="FFFFFF" w:themeColor="background1"/>
              </w:rPr>
              <w:lastRenderedPageBreak/>
              <w:t>Records management policy/procedure</w:t>
            </w:r>
          </w:p>
        </w:tc>
        <w:tc>
          <w:tcPr>
            <w:tcW w:w="2795" w:type="dxa"/>
            <w:shd w:val="clear" w:color="auto" w:fill="auto"/>
          </w:tcPr>
          <w:p w14:paraId="1CDB8E22" w14:textId="5F1AC20A" w:rsidR="000E50CA" w:rsidRPr="00CB6A0C" w:rsidRDefault="00F33E9F" w:rsidP="00E118C0">
            <w:pPr>
              <w:pStyle w:val="BodyText1"/>
              <w:numPr>
                <w:ilvl w:val="0"/>
                <w:numId w:val="0"/>
              </w:numPr>
              <w:spacing w:after="0"/>
              <w:rPr>
                <w:sz w:val="20"/>
                <w:szCs w:val="20"/>
              </w:rPr>
            </w:pPr>
            <w:r w:rsidRPr="00CB6A0C">
              <w:rPr>
                <w:sz w:val="20"/>
                <w:szCs w:val="20"/>
              </w:rPr>
              <w:t xml:space="preserve">Assists organisations to manage information in consideration of the information lifecycle and destroy information when it is no longer needed. </w:t>
            </w:r>
          </w:p>
        </w:tc>
        <w:tc>
          <w:tcPr>
            <w:tcW w:w="1559" w:type="dxa"/>
            <w:shd w:val="clear" w:color="auto" w:fill="auto"/>
          </w:tcPr>
          <w:p w14:paraId="2DE881E6" w14:textId="431FEACA" w:rsidR="000E50CA" w:rsidRPr="00CB6A0C" w:rsidRDefault="00686817" w:rsidP="00E118C0">
            <w:pPr>
              <w:pStyle w:val="BodyText1"/>
              <w:numPr>
                <w:ilvl w:val="0"/>
                <w:numId w:val="0"/>
              </w:numPr>
              <w:spacing w:after="0"/>
              <w:rPr>
                <w:b/>
                <w:bCs/>
                <w:sz w:val="20"/>
                <w:szCs w:val="20"/>
              </w:rPr>
            </w:pPr>
            <w:r w:rsidRPr="00CB6A0C">
              <w:rPr>
                <w:b/>
                <w:bCs/>
                <w:sz w:val="20"/>
                <w:szCs w:val="20"/>
              </w:rPr>
              <w:t xml:space="preserve">All </w:t>
            </w:r>
          </w:p>
        </w:tc>
        <w:tc>
          <w:tcPr>
            <w:tcW w:w="2977" w:type="dxa"/>
            <w:shd w:val="clear" w:color="auto" w:fill="auto"/>
          </w:tcPr>
          <w:p w14:paraId="4BCC1C56" w14:textId="6C0F60B3" w:rsidR="000E50CA" w:rsidRPr="00CB6A0C" w:rsidRDefault="0066463C" w:rsidP="00E118C0">
            <w:pPr>
              <w:pStyle w:val="BodyText1"/>
              <w:numPr>
                <w:ilvl w:val="0"/>
                <w:numId w:val="0"/>
              </w:numPr>
              <w:spacing w:after="0"/>
              <w:rPr>
                <w:sz w:val="20"/>
                <w:szCs w:val="20"/>
              </w:rPr>
            </w:pPr>
            <w:r w:rsidRPr="00CB6A0C">
              <w:rPr>
                <w:b/>
                <w:bCs/>
                <w:sz w:val="20"/>
                <w:szCs w:val="20"/>
              </w:rPr>
              <w:t xml:space="preserve">Three </w:t>
            </w:r>
            <w:r w:rsidRPr="00CB6A0C">
              <w:rPr>
                <w:sz w:val="20"/>
                <w:szCs w:val="20"/>
              </w:rPr>
              <w:t xml:space="preserve">universities were reviewing their records management documents as </w:t>
            </w:r>
            <w:proofErr w:type="gramStart"/>
            <w:r w:rsidRPr="00CB6A0C">
              <w:rPr>
                <w:sz w:val="20"/>
                <w:szCs w:val="20"/>
              </w:rPr>
              <w:t>at</w:t>
            </w:r>
            <w:proofErr w:type="gramEnd"/>
            <w:r w:rsidRPr="00CB6A0C">
              <w:rPr>
                <w:sz w:val="20"/>
                <w:szCs w:val="20"/>
              </w:rPr>
              <w:t xml:space="preserve"> November 2020. </w:t>
            </w:r>
          </w:p>
        </w:tc>
      </w:tr>
    </w:tbl>
    <w:p w14:paraId="173607FC" w14:textId="77777777" w:rsidR="00A53EF9" w:rsidRDefault="00A53EF9" w:rsidP="00A53EF9">
      <w:pPr>
        <w:pStyle w:val="Body"/>
        <w:spacing w:after="0"/>
        <w:rPr>
          <w:lang w:val="en-GB"/>
        </w:rPr>
      </w:pPr>
    </w:p>
    <w:p w14:paraId="5B506E20" w14:textId="77777777" w:rsidR="000B6FBF" w:rsidRPr="00D7454E" w:rsidRDefault="000B6FBF" w:rsidP="00D7454E">
      <w:pPr>
        <w:pStyle w:val="Level4heading"/>
        <w:rPr>
          <w:color w:val="auto"/>
        </w:rPr>
      </w:pPr>
      <w:r w:rsidRPr="00D7454E">
        <w:rPr>
          <w:color w:val="auto"/>
        </w:rPr>
        <w:t>Did the universities have up to date policies and procedures?</w:t>
      </w:r>
    </w:p>
    <w:p w14:paraId="13821EE9" w14:textId="352E98F7" w:rsidR="00C455AF" w:rsidRPr="00C455AF" w:rsidRDefault="001525AD" w:rsidP="00D7454E">
      <w:pPr>
        <w:pStyle w:val="BodyText1"/>
        <w:numPr>
          <w:ilvl w:val="0"/>
          <w:numId w:val="9"/>
        </w:numPr>
      </w:pPr>
      <w:r w:rsidRPr="00C455AF">
        <w:t xml:space="preserve">Overall, </w:t>
      </w:r>
      <w:r w:rsidRPr="00CB2283">
        <w:rPr>
          <w:lang w:val="en-GB"/>
        </w:rPr>
        <w:t>OVIC</w:t>
      </w:r>
      <w:r w:rsidRPr="00C455AF">
        <w:t xml:space="preserve"> found </w:t>
      </w:r>
      <w:r w:rsidR="009912DD" w:rsidRPr="00C455AF">
        <w:t>73</w:t>
      </w:r>
      <w:r w:rsidR="00CA13CC" w:rsidRPr="00C455AF">
        <w:t xml:space="preserve">% of all </w:t>
      </w:r>
      <w:r w:rsidRPr="00C455AF">
        <w:t xml:space="preserve">policies and procedures </w:t>
      </w:r>
      <w:r w:rsidR="00772EF9" w:rsidRPr="00C455AF">
        <w:t xml:space="preserve">across all </w:t>
      </w:r>
      <w:r w:rsidR="00C455AF" w:rsidRPr="00C455AF">
        <w:t>the u</w:t>
      </w:r>
      <w:r w:rsidR="00772EF9" w:rsidRPr="00C455AF">
        <w:t>niversities</w:t>
      </w:r>
      <w:r w:rsidR="00CA13CC" w:rsidRPr="00C455AF">
        <w:t xml:space="preserve"> </w:t>
      </w:r>
      <w:r w:rsidRPr="00C455AF">
        <w:t>were current, having been produced in the last 1-</w:t>
      </w:r>
      <w:r w:rsidR="00CA13CC" w:rsidRPr="00C455AF">
        <w:t>5</w:t>
      </w:r>
      <w:r w:rsidRPr="00C455AF">
        <w:t xml:space="preserve"> years, and reviewed in line with the universities’ review schedule.</w:t>
      </w:r>
      <w:r w:rsidR="00497732" w:rsidRPr="00C455AF">
        <w:t xml:space="preserve"> The remaining </w:t>
      </w:r>
      <w:r w:rsidR="009912DD" w:rsidRPr="00C455AF">
        <w:t>27</w:t>
      </w:r>
      <w:r w:rsidR="00497732" w:rsidRPr="00C455AF">
        <w:t xml:space="preserve">% were either not currently in place, </w:t>
      </w:r>
      <w:r w:rsidR="0048641F">
        <w:t xml:space="preserve">were </w:t>
      </w:r>
      <w:r w:rsidR="00497732" w:rsidRPr="00C455AF">
        <w:t>under review</w:t>
      </w:r>
      <w:r w:rsidR="0048641F">
        <w:t>,</w:t>
      </w:r>
      <w:r w:rsidR="00497732" w:rsidRPr="00C455AF">
        <w:t xml:space="preserve"> or </w:t>
      </w:r>
      <w:r w:rsidR="00A252C9">
        <w:t>OVIC could not</w:t>
      </w:r>
      <w:r w:rsidR="00497732" w:rsidRPr="00C455AF">
        <w:t xml:space="preserve"> </w:t>
      </w:r>
      <w:r w:rsidR="00A252C9">
        <w:t>establish</w:t>
      </w:r>
      <w:r w:rsidR="00497732" w:rsidRPr="00C455AF">
        <w:t xml:space="preserve"> review </w:t>
      </w:r>
      <w:r w:rsidR="00A252C9">
        <w:t>dates or timeframes</w:t>
      </w:r>
      <w:r w:rsidR="00497732" w:rsidRPr="00C455AF">
        <w:t>.</w:t>
      </w:r>
    </w:p>
    <w:p w14:paraId="6FD58E08" w14:textId="1ECEF6FC" w:rsidR="00E118C0" w:rsidRPr="00D7454E" w:rsidRDefault="003B67E9" w:rsidP="00D7454E">
      <w:pPr>
        <w:pStyle w:val="Level4heading"/>
        <w:rPr>
          <w:color w:val="auto"/>
        </w:rPr>
      </w:pPr>
      <w:r w:rsidRPr="00D7454E">
        <w:rPr>
          <w:color w:val="auto"/>
        </w:rPr>
        <w:t>Staff accountability for policies and procedures</w:t>
      </w:r>
    </w:p>
    <w:p w14:paraId="0B30D17F" w14:textId="15356156" w:rsidR="003B67E9" w:rsidRDefault="003B67E9" w:rsidP="00975B08">
      <w:pPr>
        <w:pStyle w:val="BodyText1"/>
        <w:numPr>
          <w:ilvl w:val="0"/>
          <w:numId w:val="9"/>
        </w:numPr>
      </w:pPr>
      <w:r>
        <w:t xml:space="preserve">OVIC found that key accountabilities for </w:t>
      </w:r>
      <w:r w:rsidRPr="000B02F4">
        <w:t>the universities</w:t>
      </w:r>
      <w:r w:rsidR="00F37141">
        <w:t>’</w:t>
      </w:r>
      <w:r w:rsidRPr="000B02F4">
        <w:t xml:space="preserve"> policies and procedures w</w:t>
      </w:r>
      <w:r w:rsidR="00993364" w:rsidRPr="000B02F4">
        <w:t>ere</w:t>
      </w:r>
      <w:r w:rsidRPr="000B02F4">
        <w:t xml:space="preserve"> generally set out in the document. For example, the obligation to require staff to comply with a policy, to update a policy</w:t>
      </w:r>
      <w:r w:rsidR="000B02F4" w:rsidRPr="000B02F4">
        <w:t>, to be a contact point for questions about the policy</w:t>
      </w:r>
      <w:r w:rsidRPr="000B02F4">
        <w:t xml:space="preserve"> etc.</w:t>
      </w:r>
    </w:p>
    <w:p w14:paraId="14D21244" w14:textId="68B3250A" w:rsidR="00BF09D0" w:rsidRDefault="003B67E9" w:rsidP="00BF09D0">
      <w:pPr>
        <w:pStyle w:val="BodyText1"/>
        <w:numPr>
          <w:ilvl w:val="0"/>
          <w:numId w:val="9"/>
        </w:numPr>
      </w:pPr>
      <w:r w:rsidRPr="000B02F4">
        <w:t>Some</w:t>
      </w:r>
      <w:r>
        <w:t xml:space="preserve"> universities provided a diagram that represented the roles responsible for information security and privacy, and the reporting structure for these roles. </w:t>
      </w:r>
    </w:p>
    <w:p w14:paraId="26037FB9" w14:textId="5760AAD3" w:rsidR="00BF09D0" w:rsidRDefault="00BF09D0" w:rsidP="00BF09D0">
      <w:pPr>
        <w:pStyle w:val="BodyText1"/>
        <w:numPr>
          <w:ilvl w:val="0"/>
          <w:numId w:val="9"/>
        </w:numPr>
      </w:pPr>
      <w:r>
        <w:t xml:space="preserve">The table </w:t>
      </w:r>
      <w:r w:rsidR="0048641F">
        <w:t xml:space="preserve">below </w:t>
      </w:r>
      <w:r w:rsidR="00637162">
        <w:t>is</w:t>
      </w:r>
      <w:r>
        <w:t xml:space="preserve"> an example of a table taken from one </w:t>
      </w:r>
      <w:r w:rsidR="003F69AA">
        <w:t>u</w:t>
      </w:r>
      <w:r>
        <w:t>niversities’ Privacy Policy</w:t>
      </w:r>
      <w:r w:rsidR="00637162">
        <w:t xml:space="preserve">, </w:t>
      </w:r>
      <w:r>
        <w:t xml:space="preserve">describing the roles and responsibilities of </w:t>
      </w:r>
      <w:r w:rsidRPr="0063343C">
        <w:t xml:space="preserve">individuals </w:t>
      </w:r>
      <w:r w:rsidR="006F4AA1" w:rsidRPr="0063343C">
        <w:t>working</w:t>
      </w:r>
      <w:r w:rsidRPr="0063343C">
        <w:t xml:space="preserve"> in privacy and data protection.</w:t>
      </w:r>
      <w:r w:rsidRPr="00BF09D0">
        <w:rPr>
          <w:noProof/>
        </w:rPr>
        <w:t xml:space="preserve"> </w:t>
      </w:r>
    </w:p>
    <w:p w14:paraId="3BA0F10F" w14:textId="6660AE16" w:rsidR="00BF09D0" w:rsidRDefault="00BF09D0" w:rsidP="0063343C">
      <w:pPr>
        <w:pStyle w:val="BodyText1"/>
        <w:numPr>
          <w:ilvl w:val="0"/>
          <w:numId w:val="0"/>
        </w:numPr>
        <w:ind w:left="454"/>
      </w:pPr>
      <w:r>
        <w:rPr>
          <w:noProof/>
        </w:rPr>
        <w:drawing>
          <wp:inline distT="0" distB="0" distL="0" distR="0" wp14:anchorId="7E11AD5A" wp14:editId="3228E833">
            <wp:extent cx="5580380" cy="14598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80380" cy="1459865"/>
                    </a:xfrm>
                    <a:prstGeom prst="rect">
                      <a:avLst/>
                    </a:prstGeom>
                  </pic:spPr>
                </pic:pic>
              </a:graphicData>
            </a:graphic>
          </wp:inline>
        </w:drawing>
      </w:r>
    </w:p>
    <w:p w14:paraId="0368CB32" w14:textId="5C8A52A8" w:rsidR="00BF09D0" w:rsidRDefault="00BF09D0" w:rsidP="00637162">
      <w:pPr>
        <w:pStyle w:val="BodyText1"/>
        <w:numPr>
          <w:ilvl w:val="0"/>
          <w:numId w:val="9"/>
        </w:numPr>
      </w:pPr>
      <w:r>
        <w:t xml:space="preserve">Similarly, </w:t>
      </w:r>
      <w:r w:rsidR="006A4AA0">
        <w:t>a different university provided the table</w:t>
      </w:r>
      <w:r w:rsidR="001224C2">
        <w:t xml:space="preserve"> below</w:t>
      </w:r>
      <w:r w:rsidR="006A4AA0">
        <w:t xml:space="preserve"> </w:t>
      </w:r>
      <w:r w:rsidR="00637162">
        <w:t>taken f</w:t>
      </w:r>
      <w:r w:rsidR="0063343C">
        <w:t>ro</w:t>
      </w:r>
      <w:r w:rsidR="00637162">
        <w:t xml:space="preserve">m their Records Management, Disposal of </w:t>
      </w:r>
      <w:r w:rsidR="003F69AA">
        <w:t>R</w:t>
      </w:r>
      <w:r w:rsidR="00637162">
        <w:t>ecords procedure policy.</w:t>
      </w:r>
    </w:p>
    <w:p w14:paraId="2C930E28" w14:textId="12FC4723" w:rsidR="00E365E6" w:rsidRDefault="00E365E6" w:rsidP="00E365E6">
      <w:pPr>
        <w:pStyle w:val="BodyText1"/>
        <w:numPr>
          <w:ilvl w:val="0"/>
          <w:numId w:val="0"/>
        </w:numPr>
        <w:ind w:left="454"/>
      </w:pPr>
      <w:r>
        <w:rPr>
          <w:noProof/>
        </w:rPr>
        <w:drawing>
          <wp:inline distT="0" distB="0" distL="0" distR="0" wp14:anchorId="24DE1F74" wp14:editId="440EDF3C">
            <wp:extent cx="5580380" cy="127825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80380" cy="1278255"/>
                    </a:xfrm>
                    <a:prstGeom prst="rect">
                      <a:avLst/>
                    </a:prstGeom>
                  </pic:spPr>
                </pic:pic>
              </a:graphicData>
            </a:graphic>
          </wp:inline>
        </w:drawing>
      </w:r>
    </w:p>
    <w:p w14:paraId="0C3AFE61" w14:textId="4191F13D" w:rsidR="00637162" w:rsidRDefault="006F4AA1" w:rsidP="00637162">
      <w:pPr>
        <w:pStyle w:val="BodyText1"/>
        <w:numPr>
          <w:ilvl w:val="0"/>
          <w:numId w:val="9"/>
        </w:numPr>
      </w:pPr>
      <w:r>
        <w:t xml:space="preserve">Alternatively, the diagram </w:t>
      </w:r>
      <w:r w:rsidR="001224C2">
        <w:t xml:space="preserve">below </w:t>
      </w:r>
      <w:r>
        <w:t xml:space="preserve">represents </w:t>
      </w:r>
      <w:r w:rsidR="003F69AA">
        <w:t xml:space="preserve">an </w:t>
      </w:r>
      <w:r>
        <w:t xml:space="preserve">Accountability Structure for one university’s Information Security policies and procedures. </w:t>
      </w:r>
    </w:p>
    <w:p w14:paraId="61FCD19B" w14:textId="77C19602" w:rsidR="00E365E6" w:rsidRDefault="00575E17" w:rsidP="0063343C">
      <w:pPr>
        <w:pStyle w:val="BodyText1"/>
        <w:numPr>
          <w:ilvl w:val="0"/>
          <w:numId w:val="0"/>
        </w:numPr>
        <w:ind w:left="454"/>
      </w:pPr>
      <w:r>
        <w:rPr>
          <w:noProof/>
        </w:rPr>
        <w:lastRenderedPageBreak/>
        <w:drawing>
          <wp:inline distT="0" distB="0" distL="0" distR="0" wp14:anchorId="47A6EFEA" wp14:editId="7CB1F78F">
            <wp:extent cx="3943847" cy="2285833"/>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0357"/>
                    <a:stretch/>
                  </pic:blipFill>
                  <pic:spPr bwMode="auto">
                    <a:xfrm>
                      <a:off x="0" y="0"/>
                      <a:ext cx="3955083" cy="2292345"/>
                    </a:xfrm>
                    <a:prstGeom prst="rect">
                      <a:avLst/>
                    </a:prstGeom>
                    <a:ln>
                      <a:noFill/>
                    </a:ln>
                    <a:extLst>
                      <a:ext uri="{53640926-AAD7-44D8-BBD7-CCE9431645EC}">
                        <a14:shadowObscured xmlns:a14="http://schemas.microsoft.com/office/drawing/2010/main"/>
                      </a:ext>
                    </a:extLst>
                  </pic:spPr>
                </pic:pic>
              </a:graphicData>
            </a:graphic>
          </wp:inline>
        </w:drawing>
      </w:r>
    </w:p>
    <w:p w14:paraId="6A7240C9" w14:textId="1CAC8BEB" w:rsidR="0016206F" w:rsidRPr="00D7454E" w:rsidRDefault="00975B08" w:rsidP="00D7454E">
      <w:pPr>
        <w:pStyle w:val="Level4heading"/>
        <w:rPr>
          <w:color w:val="auto"/>
        </w:rPr>
      </w:pPr>
      <w:r w:rsidRPr="00D7454E">
        <w:rPr>
          <w:color w:val="auto"/>
        </w:rPr>
        <w:t>Destruction</w:t>
      </w:r>
      <w:r w:rsidR="00CB396D" w:rsidRPr="00D7454E">
        <w:rPr>
          <w:color w:val="auto"/>
        </w:rPr>
        <w:t xml:space="preserve"> and </w:t>
      </w:r>
      <w:r w:rsidRPr="00D7454E">
        <w:rPr>
          <w:color w:val="auto"/>
        </w:rPr>
        <w:t>permanent de-identification</w:t>
      </w:r>
      <w:r w:rsidR="000E50CA" w:rsidRPr="00D7454E">
        <w:rPr>
          <w:color w:val="auto"/>
        </w:rPr>
        <w:t xml:space="preserve"> of personal information </w:t>
      </w:r>
    </w:p>
    <w:p w14:paraId="2125A93E" w14:textId="2CC700AD" w:rsidR="00CB396D" w:rsidRDefault="00CB396D" w:rsidP="00060A38">
      <w:pPr>
        <w:pStyle w:val="BodyText1"/>
        <w:numPr>
          <w:ilvl w:val="0"/>
          <w:numId w:val="9"/>
        </w:numPr>
      </w:pPr>
      <w:r>
        <w:t xml:space="preserve">IPP 4.2 requires </w:t>
      </w:r>
      <w:r w:rsidRPr="00CB396D">
        <w:t>organisations to take reasonable steps to destroy or permanently de-identify personal information if it is no longer needed for any purpose</w:t>
      </w:r>
      <w:r>
        <w:t>.</w:t>
      </w:r>
      <w:r w:rsidR="00FF2047">
        <w:t xml:space="preserve"> </w:t>
      </w:r>
    </w:p>
    <w:p w14:paraId="73258530" w14:textId="791DEBAA" w:rsidR="00993364" w:rsidRPr="00060A38" w:rsidRDefault="00993364" w:rsidP="00993364">
      <w:pPr>
        <w:pStyle w:val="BodyText1"/>
        <w:numPr>
          <w:ilvl w:val="0"/>
          <w:numId w:val="9"/>
        </w:numPr>
      </w:pPr>
      <w:r>
        <w:rPr>
          <w:rFonts w:cs="PostGrotesk-Book"/>
          <w:color w:val="auto"/>
        </w:rPr>
        <w:t xml:space="preserve">Victorian universities are required to comply with record-keeping obligations under the </w:t>
      </w:r>
      <w:r w:rsidRPr="00AB4655">
        <w:rPr>
          <w:rFonts w:cs="PostGrotesk-Book"/>
          <w:i/>
          <w:iCs/>
          <w:color w:val="auto"/>
        </w:rPr>
        <w:t xml:space="preserve">Public Records Act 1973 </w:t>
      </w:r>
      <w:r w:rsidRPr="00734A3C">
        <w:rPr>
          <w:rFonts w:cs="PostGrotesk-Book"/>
          <w:color w:val="auto"/>
        </w:rPr>
        <w:t>(Vic).</w:t>
      </w:r>
      <w:r>
        <w:rPr>
          <w:rFonts w:cs="PostGrotesk-Book"/>
          <w:color w:val="auto"/>
        </w:rPr>
        <w:t xml:space="preserve"> Retention and Disposal Authorities (</w:t>
      </w:r>
      <w:r w:rsidRPr="00993364">
        <w:rPr>
          <w:rFonts w:cs="PostGrotesk-Book"/>
          <w:b/>
          <w:bCs/>
          <w:color w:val="auto"/>
        </w:rPr>
        <w:t>RDAs</w:t>
      </w:r>
      <w:r>
        <w:rPr>
          <w:rFonts w:cs="PostGrotesk-Book"/>
          <w:color w:val="auto"/>
        </w:rPr>
        <w:t>) set by the Public Records Office Victoria (</w:t>
      </w:r>
      <w:r w:rsidRPr="00993364">
        <w:rPr>
          <w:rFonts w:cs="PostGrotesk-Book"/>
          <w:b/>
          <w:bCs/>
          <w:color w:val="auto"/>
        </w:rPr>
        <w:t>PROV</w:t>
      </w:r>
      <w:r>
        <w:rPr>
          <w:rFonts w:cs="PostGrotesk-Book"/>
          <w:color w:val="auto"/>
        </w:rPr>
        <w:t>)</w:t>
      </w:r>
      <w:r w:rsidR="00C455AF">
        <w:rPr>
          <w:rFonts w:cs="PostGrotesk-Book"/>
          <w:color w:val="auto"/>
        </w:rPr>
        <w:t xml:space="preserve">, establish how long specific types of information must be retained for, and </w:t>
      </w:r>
      <w:r>
        <w:rPr>
          <w:rFonts w:cs="PostGrotesk-Book"/>
          <w:color w:val="auto"/>
        </w:rPr>
        <w:t xml:space="preserve">when records can be destroyed. </w:t>
      </w:r>
      <w:r w:rsidRPr="003E5F80">
        <w:rPr>
          <w:color w:val="auto"/>
        </w:rPr>
        <w:t>With respect to personal information</w:t>
      </w:r>
      <w:r>
        <w:rPr>
          <w:color w:val="auto"/>
        </w:rPr>
        <w:t xml:space="preserve">, </w:t>
      </w:r>
      <w:r>
        <w:rPr>
          <w:rFonts w:cs="PostGrotesk-Book"/>
          <w:color w:val="auto"/>
        </w:rPr>
        <w:t>after</w:t>
      </w:r>
      <w:r w:rsidRPr="003E5F80">
        <w:rPr>
          <w:color w:val="auto"/>
        </w:rPr>
        <w:t xml:space="preserve"> minimum retention periods </w:t>
      </w:r>
      <w:r>
        <w:rPr>
          <w:color w:val="auto"/>
        </w:rPr>
        <w:t xml:space="preserve">have expired and </w:t>
      </w:r>
      <w:r w:rsidRPr="003E5F80">
        <w:rPr>
          <w:color w:val="auto"/>
        </w:rPr>
        <w:t>the info</w:t>
      </w:r>
      <w:r>
        <w:rPr>
          <w:color w:val="auto"/>
        </w:rPr>
        <w:t>rmation</w:t>
      </w:r>
      <w:r w:rsidRPr="003E5F80">
        <w:rPr>
          <w:color w:val="auto"/>
        </w:rPr>
        <w:t xml:space="preserve"> is not needed for another purpose </w:t>
      </w:r>
      <w:r>
        <w:rPr>
          <w:color w:val="auto"/>
        </w:rPr>
        <w:t xml:space="preserve">VPS </w:t>
      </w:r>
      <w:r w:rsidRPr="003E5F80">
        <w:rPr>
          <w:color w:val="auto"/>
        </w:rPr>
        <w:t xml:space="preserve">organisations </w:t>
      </w:r>
      <w:r>
        <w:rPr>
          <w:color w:val="auto"/>
        </w:rPr>
        <w:t xml:space="preserve">are required </w:t>
      </w:r>
      <w:r w:rsidRPr="003E5F80">
        <w:rPr>
          <w:color w:val="auto"/>
        </w:rPr>
        <w:t>to take reasonable steps to destroy or de-identify the</w:t>
      </w:r>
      <w:r>
        <w:rPr>
          <w:color w:val="auto"/>
        </w:rPr>
        <w:t xml:space="preserve"> personal</w:t>
      </w:r>
      <w:r w:rsidRPr="003E5F80">
        <w:rPr>
          <w:color w:val="auto"/>
        </w:rPr>
        <w:t xml:space="preserve"> info</w:t>
      </w:r>
      <w:r>
        <w:rPr>
          <w:color w:val="auto"/>
        </w:rPr>
        <w:t>rmation</w:t>
      </w:r>
      <w:r w:rsidRPr="003E5F80">
        <w:rPr>
          <w:color w:val="auto"/>
        </w:rPr>
        <w:t>.</w:t>
      </w:r>
      <w:r w:rsidRPr="003E5F80">
        <w:rPr>
          <w:rFonts w:cs="PostGrotesk-Book"/>
          <w:color w:val="auto"/>
        </w:rPr>
        <w:t xml:space="preserve"> </w:t>
      </w:r>
    </w:p>
    <w:p w14:paraId="1FEAACFE" w14:textId="77777777" w:rsidR="009166E9" w:rsidRDefault="006E43C8" w:rsidP="009166E9">
      <w:pPr>
        <w:pStyle w:val="BodyText1"/>
        <w:numPr>
          <w:ilvl w:val="0"/>
          <w:numId w:val="9"/>
        </w:numPr>
      </w:pPr>
      <w:r w:rsidRPr="00CB2283">
        <w:rPr>
          <w:rFonts w:cs="PostGrotesk-Book"/>
          <w:color w:val="auto"/>
        </w:rPr>
        <w:t>OVIC</w:t>
      </w:r>
      <w:r>
        <w:t xml:space="preserve"> found</w:t>
      </w:r>
      <w:r w:rsidR="009166E9">
        <w:t xml:space="preserve"> that</w:t>
      </w:r>
      <w:r w:rsidR="009166E9">
        <w:rPr>
          <w:b/>
          <w:bCs/>
        </w:rPr>
        <w:t xml:space="preserve"> a</w:t>
      </w:r>
      <w:r w:rsidR="008F78F2" w:rsidRPr="009166E9">
        <w:rPr>
          <w:b/>
          <w:bCs/>
        </w:rPr>
        <w:t>ll</w:t>
      </w:r>
      <w:r w:rsidR="009E6F5F" w:rsidRPr="009166E9">
        <w:rPr>
          <w:b/>
          <w:bCs/>
        </w:rPr>
        <w:t xml:space="preserve"> </w:t>
      </w:r>
      <w:r w:rsidR="009E6F5F">
        <w:t xml:space="preserve">universities </w:t>
      </w:r>
      <w:r w:rsidR="00060A38">
        <w:t xml:space="preserve">provided or had publicly </w:t>
      </w:r>
      <w:r w:rsidR="00060A38" w:rsidRPr="00CB396D">
        <w:t>available records management</w:t>
      </w:r>
      <w:r w:rsidR="00060A38">
        <w:t xml:space="preserve"> policies. </w:t>
      </w:r>
      <w:r w:rsidR="009166E9">
        <w:t xml:space="preserve">The focus of most of records management policies or record disposal procedures was on retaining information in accordance with RDAs issued by PROV. </w:t>
      </w:r>
    </w:p>
    <w:p w14:paraId="77ED9BDF" w14:textId="3455E422" w:rsidR="009166E9" w:rsidRPr="009166E9" w:rsidRDefault="00ED3DD9" w:rsidP="009166E9">
      <w:pPr>
        <w:pStyle w:val="BodyText1"/>
        <w:numPr>
          <w:ilvl w:val="1"/>
          <w:numId w:val="9"/>
        </w:numPr>
      </w:pPr>
      <w:r>
        <w:rPr>
          <w:b/>
          <w:bCs/>
        </w:rPr>
        <w:t>Three</w:t>
      </w:r>
      <w:r w:rsidR="009166E9" w:rsidRPr="009166E9">
        <w:rPr>
          <w:b/>
          <w:bCs/>
        </w:rPr>
        <w:t xml:space="preserve"> </w:t>
      </w:r>
      <w:r w:rsidR="001C5CB9">
        <w:t xml:space="preserve">universities’ </w:t>
      </w:r>
      <w:r w:rsidR="009166E9" w:rsidRPr="009166E9">
        <w:t>policies/procedures</w:t>
      </w:r>
      <w:r w:rsidR="009166E9" w:rsidRPr="009166E9">
        <w:rPr>
          <w:b/>
          <w:bCs/>
        </w:rPr>
        <w:t xml:space="preserve"> </w:t>
      </w:r>
      <w:r w:rsidR="00913E08" w:rsidRPr="009166E9">
        <w:rPr>
          <w:rFonts w:cs="PostGrotesk-Book"/>
        </w:rPr>
        <w:t>provide</w:t>
      </w:r>
      <w:r w:rsidR="009166E9" w:rsidRPr="009166E9">
        <w:rPr>
          <w:rFonts w:cs="PostGrotesk-Book"/>
        </w:rPr>
        <w:t xml:space="preserve"> for disposal </w:t>
      </w:r>
      <w:r w:rsidR="009166E9">
        <w:rPr>
          <w:rFonts w:cs="PostGrotesk-Book"/>
        </w:rPr>
        <w:t xml:space="preserve">of information </w:t>
      </w:r>
      <w:r w:rsidR="009166E9" w:rsidRPr="009166E9">
        <w:rPr>
          <w:rFonts w:cs="PostGrotesk-Book"/>
        </w:rPr>
        <w:t>when there is not a requirement</w:t>
      </w:r>
      <w:r w:rsidR="00C70365">
        <w:rPr>
          <w:rFonts w:cs="PostGrotesk-Book"/>
        </w:rPr>
        <w:t>, such as under the university’s Retention and Disposal Authority,</w:t>
      </w:r>
      <w:r w:rsidR="009166E9" w:rsidRPr="009166E9">
        <w:rPr>
          <w:rFonts w:cs="PostGrotesk-Book"/>
        </w:rPr>
        <w:t xml:space="preserve"> to keep the information.</w:t>
      </w:r>
      <w:r>
        <w:rPr>
          <w:rStyle w:val="FootnoteReference"/>
          <w:rFonts w:cs="PostGrotesk-Book"/>
        </w:rPr>
        <w:footnoteReference w:id="7"/>
      </w:r>
    </w:p>
    <w:p w14:paraId="01312DB3" w14:textId="0BE6D61E" w:rsidR="009166E9" w:rsidRPr="003D2991" w:rsidRDefault="00913E08" w:rsidP="009166E9">
      <w:pPr>
        <w:pStyle w:val="BodyText1"/>
        <w:numPr>
          <w:ilvl w:val="1"/>
          <w:numId w:val="9"/>
        </w:numPr>
      </w:pPr>
      <w:r>
        <w:rPr>
          <w:b/>
          <w:bCs/>
        </w:rPr>
        <w:t>One</w:t>
      </w:r>
      <w:r w:rsidR="009166E9">
        <w:rPr>
          <w:b/>
          <w:bCs/>
        </w:rPr>
        <w:t xml:space="preserve"> </w:t>
      </w:r>
      <w:r w:rsidR="001C5CB9">
        <w:t>university’s policy</w:t>
      </w:r>
      <w:r w:rsidR="009166E9">
        <w:t xml:space="preserve"> </w:t>
      </w:r>
      <w:r>
        <w:t>refers specifically</w:t>
      </w:r>
      <w:r w:rsidR="009166E9">
        <w:t xml:space="preserve"> to personal information </w:t>
      </w:r>
      <w:r>
        <w:t>and states that personal information must be ‘</w:t>
      </w:r>
      <w:r w:rsidRPr="00CA009C">
        <w:rPr>
          <w:rFonts w:cs="PostGrotesk-Book"/>
        </w:rPr>
        <w:t>disposed of in line with the requirements of relevant legislation (including, but not limited to the Information Privacy Act, Freedom of Information Act and Public Records Act)</w:t>
      </w:r>
      <w:r>
        <w:rPr>
          <w:rFonts w:cs="PostGrotesk-Book"/>
        </w:rPr>
        <w:t>’</w:t>
      </w:r>
      <w:r w:rsidR="009166E9" w:rsidRPr="009E6F5F">
        <w:t>.</w:t>
      </w:r>
      <w:r w:rsidR="009166E9">
        <w:t xml:space="preserve"> </w:t>
      </w:r>
    </w:p>
    <w:p w14:paraId="56B2E9FE" w14:textId="139AE3A5" w:rsidR="009166E9" w:rsidRPr="003D2991" w:rsidRDefault="009166E9" w:rsidP="009166E9">
      <w:pPr>
        <w:pStyle w:val="BodyText1"/>
        <w:numPr>
          <w:ilvl w:val="1"/>
          <w:numId w:val="9"/>
        </w:numPr>
      </w:pPr>
      <w:r>
        <w:rPr>
          <w:b/>
          <w:bCs/>
        </w:rPr>
        <w:t xml:space="preserve">No </w:t>
      </w:r>
      <w:r>
        <w:t xml:space="preserve">policies or procedures contained instructions for staff about </w:t>
      </w:r>
      <w:r w:rsidR="008C7FBE">
        <w:t xml:space="preserve">the </w:t>
      </w:r>
      <w:r w:rsidR="001C5CB9">
        <w:t xml:space="preserve">measures </w:t>
      </w:r>
      <w:r w:rsidR="008C7FBE">
        <w:t>that are</w:t>
      </w:r>
      <w:r w:rsidR="001C5CB9">
        <w:t xml:space="preserve"> appropriate, and organisationally approved</w:t>
      </w:r>
      <w:r>
        <w:t>, where</w:t>
      </w:r>
      <w:r w:rsidRPr="00060A38">
        <w:t xml:space="preserve"> </w:t>
      </w:r>
      <w:r>
        <w:t xml:space="preserve">it is </w:t>
      </w:r>
      <w:r w:rsidRPr="00060A38">
        <w:t>no longer needed</w:t>
      </w:r>
      <w:r>
        <w:t xml:space="preserve">. </w:t>
      </w:r>
    </w:p>
    <w:p w14:paraId="4078DA9B" w14:textId="4D314101" w:rsidR="003D2991" w:rsidRDefault="00913E08" w:rsidP="003D2991">
      <w:pPr>
        <w:pStyle w:val="BodyText1"/>
        <w:numPr>
          <w:ilvl w:val="0"/>
          <w:numId w:val="9"/>
        </w:numPr>
      </w:pPr>
      <w:r>
        <w:rPr>
          <w:b/>
          <w:bCs/>
        </w:rPr>
        <w:t>Two</w:t>
      </w:r>
      <w:r w:rsidR="003D2991">
        <w:t xml:space="preserve"> of the universities policies permitted destruction of information by one area of the university to ensure that PROV requirements are adhered to. </w:t>
      </w:r>
      <w:r w:rsidRPr="00913E08">
        <w:t>In contrast,</w:t>
      </w:r>
      <w:r>
        <w:rPr>
          <w:b/>
          <w:bCs/>
        </w:rPr>
        <w:t xml:space="preserve"> o</w:t>
      </w:r>
      <w:r w:rsidR="003D2991" w:rsidRPr="00987618">
        <w:rPr>
          <w:b/>
          <w:bCs/>
        </w:rPr>
        <w:t>ne</w:t>
      </w:r>
      <w:r w:rsidR="003D2991">
        <w:t xml:space="preserve"> university has </w:t>
      </w:r>
      <w:r w:rsidR="003D2991">
        <w:lastRenderedPageBreak/>
        <w:t xml:space="preserve">a Records Disposal Toolkit that </w:t>
      </w:r>
      <w:r w:rsidR="001D6CB4">
        <w:t xml:space="preserve">aimed to </w:t>
      </w:r>
      <w:r w:rsidR="003D2991">
        <w:t>support staff to delete personal information where it is appropriate themselves.</w:t>
      </w:r>
      <w:r w:rsidR="003D2991">
        <w:rPr>
          <w:rStyle w:val="FootnoteReference"/>
        </w:rPr>
        <w:footnoteReference w:id="8"/>
      </w:r>
      <w:r w:rsidR="003D2991">
        <w:t xml:space="preserve"> </w:t>
      </w:r>
    </w:p>
    <w:p w14:paraId="3CBB5ABC" w14:textId="0E031409" w:rsidR="001404C4" w:rsidRPr="003F69AA" w:rsidRDefault="00913E08" w:rsidP="00060A38">
      <w:pPr>
        <w:pStyle w:val="BodyText1"/>
        <w:numPr>
          <w:ilvl w:val="0"/>
          <w:numId w:val="9"/>
        </w:numPr>
        <w:rPr>
          <w:color w:val="auto"/>
        </w:rPr>
      </w:pPr>
      <w:r>
        <w:rPr>
          <w:b/>
          <w:bCs/>
        </w:rPr>
        <w:t>Three</w:t>
      </w:r>
      <w:r w:rsidR="009E6F5F">
        <w:t xml:space="preserve"> universities</w:t>
      </w:r>
      <w:r w:rsidR="00F37141">
        <w:t>’</w:t>
      </w:r>
      <w:r w:rsidR="009E6F5F">
        <w:t xml:space="preserve"> </w:t>
      </w:r>
      <w:r w:rsidR="009E6F5F" w:rsidRPr="006E43C8">
        <w:t>privacy policies</w:t>
      </w:r>
      <w:r w:rsidR="009E6F5F">
        <w:t xml:space="preserve"> referred to destruction or permanent de-identification of personal information</w:t>
      </w:r>
      <w:r w:rsidR="008C7FBE">
        <w:t xml:space="preserve"> </w:t>
      </w:r>
      <w:r w:rsidR="001D6CB4">
        <w:t>(rather or in addition to universities’ records management policies)</w:t>
      </w:r>
      <w:r w:rsidR="009E6F5F">
        <w:t xml:space="preserve">. </w:t>
      </w:r>
      <w:r w:rsidR="00BB5BDC">
        <w:t>Where a reference to destruction or permanent de-identification was included, generally the privacy policies said that the university would not keep the information when it was not needed for any purpose.</w:t>
      </w:r>
      <w:r w:rsidR="009E6F5F">
        <w:t xml:space="preserve"> </w:t>
      </w:r>
    </w:p>
    <w:p w14:paraId="045A50C2" w14:textId="2C92ABAE" w:rsidR="001D6CB4" w:rsidRPr="001D6CB4" w:rsidRDefault="001D6CB4" w:rsidP="001D6CB4">
      <w:pPr>
        <w:pStyle w:val="BodyText1"/>
        <w:numPr>
          <w:ilvl w:val="0"/>
          <w:numId w:val="9"/>
        </w:numPr>
        <w:rPr>
          <w:color w:val="auto"/>
        </w:rPr>
      </w:pPr>
      <w:r>
        <w:t xml:space="preserve">Overall, </w:t>
      </w:r>
      <w:r w:rsidR="003F69AA">
        <w:t>where universities do not</w:t>
      </w:r>
      <w:r>
        <w:t xml:space="preserve"> adequately identify</w:t>
      </w:r>
      <w:r w:rsidR="003F69AA">
        <w:t xml:space="preserve"> </w:t>
      </w:r>
      <w:r>
        <w:t xml:space="preserve">and record the purpose of </w:t>
      </w:r>
      <w:r w:rsidR="003F69AA">
        <w:t xml:space="preserve">maintaining </w:t>
      </w:r>
      <w:r>
        <w:t>information holdings</w:t>
      </w:r>
      <w:r w:rsidR="003F69AA">
        <w:t xml:space="preserve"> there is a risk that</w:t>
      </w:r>
      <w:r>
        <w:t xml:space="preserve"> universities</w:t>
      </w:r>
      <w:r w:rsidR="003F69AA">
        <w:t xml:space="preserve"> </w:t>
      </w:r>
      <w:r>
        <w:t>keep information for longer than is necessary</w:t>
      </w:r>
      <w:r w:rsidR="003F69AA">
        <w:t xml:space="preserve">. </w:t>
      </w:r>
      <w:r w:rsidR="001140B1">
        <w:t xml:space="preserve">This increases the </w:t>
      </w:r>
      <w:r>
        <w:t xml:space="preserve">security </w:t>
      </w:r>
      <w:r w:rsidR="001140B1">
        <w:t>to</w:t>
      </w:r>
      <w:r>
        <w:t xml:space="preserve"> information</w:t>
      </w:r>
      <w:r w:rsidR="001140B1">
        <w:t xml:space="preserve"> that is kept for longer than necessary</w:t>
      </w:r>
      <w:r>
        <w:t xml:space="preserve">.  Failure to identify and record the ‘need’ for information also poses risks of that information being used for a secondary purpose, in breach of IPP 2 (further discussion of IPP 2 at paragraph </w:t>
      </w:r>
      <w:r w:rsidRPr="008C7FBE">
        <w:t>86</w:t>
      </w:r>
      <w:r>
        <w:t>).</w:t>
      </w:r>
    </w:p>
    <w:p w14:paraId="246080DE" w14:textId="0D5173A9" w:rsidR="007A6596" w:rsidRPr="00D7454E" w:rsidRDefault="00975B08" w:rsidP="00D7454E">
      <w:pPr>
        <w:pStyle w:val="Level4heading"/>
        <w:rPr>
          <w:color w:val="auto"/>
        </w:rPr>
      </w:pPr>
      <w:r w:rsidRPr="00D7454E">
        <w:rPr>
          <w:color w:val="auto"/>
        </w:rPr>
        <w:t>Data breach response</w:t>
      </w:r>
    </w:p>
    <w:p w14:paraId="0960D381" w14:textId="2148932F" w:rsidR="0074595C" w:rsidRDefault="0074595C" w:rsidP="0074595C">
      <w:pPr>
        <w:pStyle w:val="BodyText1"/>
        <w:numPr>
          <w:ilvl w:val="0"/>
          <w:numId w:val="9"/>
        </w:numPr>
      </w:pPr>
      <w:r>
        <w:t xml:space="preserve">OVIC </w:t>
      </w:r>
      <w:r w:rsidR="002859D1">
        <w:t>found that</w:t>
      </w:r>
      <w:r>
        <w:t xml:space="preserve"> </w:t>
      </w:r>
      <w:r w:rsidRPr="002859D1">
        <w:rPr>
          <w:b/>
          <w:bCs/>
        </w:rPr>
        <w:t>all</w:t>
      </w:r>
      <w:r>
        <w:t xml:space="preserve"> universities have a data breach response plan that covers</w:t>
      </w:r>
      <w:r w:rsidR="002859D1">
        <w:t xml:space="preserve"> the following key steps</w:t>
      </w:r>
      <w:r>
        <w:t>:</w:t>
      </w:r>
    </w:p>
    <w:p w14:paraId="629EA1C6" w14:textId="5F3AC22E" w:rsidR="0074595C" w:rsidRDefault="0074595C" w:rsidP="00CB2283">
      <w:pPr>
        <w:pStyle w:val="BodyText1"/>
        <w:numPr>
          <w:ilvl w:val="1"/>
          <w:numId w:val="9"/>
        </w:numPr>
        <w:ind w:left="811" w:hanging="357"/>
      </w:pPr>
      <w:r>
        <w:t xml:space="preserve">containment of a </w:t>
      </w:r>
      <w:r w:rsidR="002859D1">
        <w:t xml:space="preserve">data </w:t>
      </w:r>
      <w:r>
        <w:t xml:space="preserve">breach and preliminary assessment </w:t>
      </w:r>
    </w:p>
    <w:p w14:paraId="7AB125AF" w14:textId="2819FBC2" w:rsidR="0074595C" w:rsidRDefault="0074595C" w:rsidP="00CB2283">
      <w:pPr>
        <w:pStyle w:val="BodyText1"/>
        <w:numPr>
          <w:ilvl w:val="1"/>
          <w:numId w:val="9"/>
        </w:numPr>
        <w:ind w:left="811" w:hanging="357"/>
      </w:pPr>
      <w:r>
        <w:t xml:space="preserve">evaluating the risks associated </w:t>
      </w:r>
      <w:r w:rsidR="002859D1">
        <w:t>a data</w:t>
      </w:r>
      <w:r>
        <w:t xml:space="preserve"> </w:t>
      </w:r>
      <w:proofErr w:type="gramStart"/>
      <w:r>
        <w:t>breach</w:t>
      </w:r>
      <w:proofErr w:type="gramEnd"/>
    </w:p>
    <w:p w14:paraId="78FF94F8" w14:textId="69AF3658" w:rsidR="0074595C" w:rsidRDefault="0074595C" w:rsidP="00CB2283">
      <w:pPr>
        <w:pStyle w:val="BodyText1"/>
        <w:numPr>
          <w:ilvl w:val="1"/>
          <w:numId w:val="9"/>
        </w:numPr>
        <w:ind w:left="811" w:hanging="357"/>
      </w:pPr>
      <w:r>
        <w:t>notification (internal notification and to external parties)</w:t>
      </w:r>
    </w:p>
    <w:p w14:paraId="0002EB9A" w14:textId="77777777" w:rsidR="0074595C" w:rsidRDefault="0074595C" w:rsidP="00CB2283">
      <w:pPr>
        <w:pStyle w:val="BodyText1"/>
        <w:numPr>
          <w:ilvl w:val="1"/>
          <w:numId w:val="9"/>
        </w:numPr>
        <w:ind w:left="811" w:hanging="357"/>
      </w:pPr>
      <w:r>
        <w:t xml:space="preserve">review of the data breach to prevent future </w:t>
      </w:r>
      <w:proofErr w:type="gramStart"/>
      <w:r>
        <w:t>breaches</w:t>
      </w:r>
      <w:proofErr w:type="gramEnd"/>
    </w:p>
    <w:p w14:paraId="7EDC94BB" w14:textId="77777777" w:rsidR="00823B1B" w:rsidRPr="00823B1B" w:rsidRDefault="0074595C" w:rsidP="002859D1">
      <w:pPr>
        <w:pStyle w:val="BodyText1"/>
        <w:numPr>
          <w:ilvl w:val="0"/>
          <w:numId w:val="9"/>
        </w:numPr>
      </w:pPr>
      <w:r w:rsidRPr="00823B1B">
        <w:t>S</w:t>
      </w:r>
      <w:r w:rsidR="00823B1B" w:rsidRPr="00823B1B">
        <w:t>ever</w:t>
      </w:r>
      <w:r w:rsidR="00823B1B">
        <w:t>al</w:t>
      </w:r>
      <w:r>
        <w:t xml:space="preserve"> universities</w:t>
      </w:r>
      <w:r w:rsidR="00823B1B">
        <w:t>’</w:t>
      </w:r>
      <w:r>
        <w:t xml:space="preserve"> policies set out </w:t>
      </w:r>
      <w:r w:rsidR="00823B1B">
        <w:t>the process</w:t>
      </w:r>
      <w:r>
        <w:t xml:space="preserve"> for responding to a data breach in </w:t>
      </w:r>
      <w:r w:rsidR="00823B1B">
        <w:t>additional</w:t>
      </w:r>
      <w:r>
        <w:t xml:space="preserve"> detail </w:t>
      </w:r>
      <w:r w:rsidR="00823B1B">
        <w:t>to</w:t>
      </w:r>
      <w:r>
        <w:t xml:space="preserve"> </w:t>
      </w:r>
      <w:r w:rsidR="00823B1B">
        <w:t>OVIC’s recommended key steps</w:t>
      </w:r>
      <w:r w:rsidR="00823B1B" w:rsidRPr="00823B1B">
        <w:t>, such as by:</w:t>
      </w:r>
    </w:p>
    <w:p w14:paraId="7240790E" w14:textId="0C29DD1C" w:rsidR="00823B1B" w:rsidRPr="00823B1B" w:rsidRDefault="00823B1B" w:rsidP="00FA72BD">
      <w:pPr>
        <w:pStyle w:val="BodyText1"/>
        <w:numPr>
          <w:ilvl w:val="1"/>
          <w:numId w:val="9"/>
        </w:numPr>
        <w:ind w:left="811" w:hanging="357"/>
      </w:pPr>
      <w:r w:rsidRPr="00FA72BD">
        <w:t>Including a Privacy Breach Matrix that differentiates levels of risk (minor, moderate, major, and extreme) resulting from a data breach</w:t>
      </w:r>
      <w:r w:rsidR="004C15E5" w:rsidRPr="00FA72BD">
        <w:t>.</w:t>
      </w:r>
    </w:p>
    <w:p w14:paraId="70B60E02" w14:textId="69879DE0" w:rsidR="00823B1B" w:rsidRPr="004C15E5" w:rsidRDefault="004C15E5" w:rsidP="00FA72BD">
      <w:pPr>
        <w:pStyle w:val="BodyText1"/>
        <w:numPr>
          <w:ilvl w:val="1"/>
          <w:numId w:val="9"/>
        </w:numPr>
        <w:ind w:left="811" w:hanging="357"/>
      </w:pPr>
      <w:r w:rsidRPr="00FA72BD">
        <w:t>Describing different kinds of potential incidents to increase staff awareness of what constitutes a data breach.</w:t>
      </w:r>
    </w:p>
    <w:p w14:paraId="12C086F3" w14:textId="5EDE8810" w:rsidR="004C15E5" w:rsidRPr="00823B1B" w:rsidRDefault="004C15E5" w:rsidP="00FA72BD">
      <w:pPr>
        <w:pStyle w:val="BodyText1"/>
        <w:numPr>
          <w:ilvl w:val="1"/>
          <w:numId w:val="9"/>
        </w:numPr>
        <w:ind w:left="811" w:hanging="357"/>
      </w:pPr>
      <w:r w:rsidRPr="00FA72BD">
        <w:t>Setting</w:t>
      </w:r>
      <w:r>
        <w:rPr>
          <w:rFonts w:asciiTheme="minorHAnsi" w:hAnsiTheme="minorHAnsi" w:cstheme="minorHAnsi"/>
        </w:rPr>
        <w:t xml:space="preserve"> out the circumstances in which notification to external parties should occur, such as to OVIC and other parties, including law enforcement. </w:t>
      </w:r>
    </w:p>
    <w:p w14:paraId="601FA0E6" w14:textId="2DA60684" w:rsidR="002859D1" w:rsidRPr="00D7454E" w:rsidRDefault="002859D1" w:rsidP="00D7454E">
      <w:pPr>
        <w:pStyle w:val="Level4heading"/>
        <w:rPr>
          <w:color w:val="auto"/>
        </w:rPr>
      </w:pPr>
      <w:r w:rsidRPr="00D7454E">
        <w:rPr>
          <w:color w:val="auto"/>
        </w:rPr>
        <w:t>Internal reporting</w:t>
      </w:r>
      <w:r w:rsidR="00A46DA1" w:rsidRPr="00D7454E">
        <w:rPr>
          <w:color w:val="auto"/>
        </w:rPr>
        <w:t xml:space="preserve"> and escalation of data breaches</w:t>
      </w:r>
    </w:p>
    <w:p w14:paraId="38714C17" w14:textId="30F7A12C" w:rsidR="0074595C" w:rsidRPr="00D94C36" w:rsidRDefault="0074595C" w:rsidP="00003B4F">
      <w:pPr>
        <w:pStyle w:val="BodyText1"/>
        <w:numPr>
          <w:ilvl w:val="0"/>
          <w:numId w:val="9"/>
        </w:numPr>
      </w:pPr>
      <w:r w:rsidRPr="004C15E5">
        <w:rPr>
          <w:b/>
          <w:bCs/>
        </w:rPr>
        <w:t>One</w:t>
      </w:r>
      <w:r>
        <w:t xml:space="preserve"> </w:t>
      </w:r>
      <w:r w:rsidR="001404C4">
        <w:t xml:space="preserve">university’s response plan stated that </w:t>
      </w:r>
      <w:r>
        <w:t xml:space="preserve">an incident should be discussed first with the </w:t>
      </w:r>
      <w:r w:rsidR="00394EF3">
        <w:t>individual’s</w:t>
      </w:r>
      <w:r>
        <w:t xml:space="preserve"> manager</w:t>
      </w:r>
      <w:r w:rsidR="00810FAE">
        <w:t xml:space="preserve">. </w:t>
      </w:r>
      <w:r w:rsidR="00D94C36">
        <w:rPr>
          <w:b/>
          <w:bCs/>
        </w:rPr>
        <w:t>Seven</w:t>
      </w:r>
      <w:r w:rsidR="00810FAE">
        <w:t xml:space="preserve"> universities</w:t>
      </w:r>
      <w:r w:rsidR="00F37141">
        <w:t>’</w:t>
      </w:r>
      <w:r w:rsidR="00810FAE">
        <w:t xml:space="preserve"> documents referred users </w:t>
      </w:r>
      <w:r w:rsidR="00D94C36">
        <w:t xml:space="preserve">to contact their university’s </w:t>
      </w:r>
      <w:r w:rsidR="00810FAE">
        <w:t>Privacy Officer</w:t>
      </w:r>
      <w:r w:rsidR="004C15E5">
        <w:t xml:space="preserve"> (or another staff member with privacy responsibilities)</w:t>
      </w:r>
      <w:r w:rsidR="00D94C36">
        <w:t xml:space="preserve"> </w:t>
      </w:r>
      <w:r w:rsidR="00D94C36" w:rsidRPr="00D94C36">
        <w:t>immediately or as soon as possible</w:t>
      </w:r>
      <w:r w:rsidR="00810FAE" w:rsidRPr="00D94C36">
        <w:t xml:space="preserve">. </w:t>
      </w:r>
      <w:r w:rsidRPr="00D94C36">
        <w:t xml:space="preserve"> </w:t>
      </w:r>
    </w:p>
    <w:p w14:paraId="778BB5E9" w14:textId="4BD36BC2" w:rsidR="002859D1" w:rsidRPr="00D7454E" w:rsidRDefault="002859D1" w:rsidP="00D7454E">
      <w:pPr>
        <w:pStyle w:val="Level4heading"/>
        <w:rPr>
          <w:color w:val="auto"/>
        </w:rPr>
      </w:pPr>
      <w:r w:rsidRPr="00D7454E">
        <w:rPr>
          <w:color w:val="auto"/>
        </w:rPr>
        <w:t>Notification</w:t>
      </w:r>
      <w:r w:rsidR="00A46DA1" w:rsidRPr="00D7454E">
        <w:rPr>
          <w:color w:val="auto"/>
        </w:rPr>
        <w:t xml:space="preserve"> to OVIC and affected </w:t>
      </w:r>
      <w:proofErr w:type="gramStart"/>
      <w:r w:rsidR="00A46DA1" w:rsidRPr="00D7454E">
        <w:rPr>
          <w:color w:val="auto"/>
        </w:rPr>
        <w:t>individuals</w:t>
      </w:r>
      <w:proofErr w:type="gramEnd"/>
      <w:r w:rsidR="00A46DA1" w:rsidRPr="00D7454E">
        <w:rPr>
          <w:color w:val="auto"/>
        </w:rPr>
        <w:t xml:space="preserve"> </w:t>
      </w:r>
    </w:p>
    <w:p w14:paraId="30CE46B9" w14:textId="7498AEFD" w:rsidR="00810FAE" w:rsidRPr="00D94C36" w:rsidRDefault="00D94C36" w:rsidP="00D94C36">
      <w:pPr>
        <w:pStyle w:val="BodyText1"/>
        <w:numPr>
          <w:ilvl w:val="0"/>
          <w:numId w:val="9"/>
        </w:numPr>
        <w:rPr>
          <w:b/>
          <w:bCs/>
        </w:rPr>
      </w:pPr>
      <w:r w:rsidRPr="00D94C36">
        <w:t>While all data breach response procedures contained the ‘notification’ step, OVIC found that two documents</w:t>
      </w:r>
      <w:r>
        <w:t xml:space="preserve"> did not specify OVIC, either referring users to consider notification to the </w:t>
      </w:r>
      <w:r>
        <w:lastRenderedPageBreak/>
        <w:t xml:space="preserve">Office of the Australian Information Commissioner or to the </w:t>
      </w:r>
      <w:r w:rsidR="001D6CB4">
        <w:t>‘</w:t>
      </w:r>
      <w:r>
        <w:t>relevant regulatory agency</w:t>
      </w:r>
      <w:r w:rsidR="001D6CB4">
        <w:t>’, without providing further information or context</w:t>
      </w:r>
      <w:r>
        <w:t xml:space="preserve">. </w:t>
      </w:r>
      <w:r w:rsidRPr="00D94C36">
        <w:t xml:space="preserve"> </w:t>
      </w:r>
    </w:p>
    <w:p w14:paraId="6D874674" w14:textId="1FF5B931" w:rsidR="00975B08" w:rsidRPr="00D7454E" w:rsidRDefault="00975B08" w:rsidP="00D7454E">
      <w:pPr>
        <w:pStyle w:val="Level4heading"/>
        <w:rPr>
          <w:color w:val="auto"/>
        </w:rPr>
      </w:pPr>
      <w:r w:rsidRPr="00D7454E">
        <w:rPr>
          <w:color w:val="auto"/>
        </w:rPr>
        <w:t>C</w:t>
      </w:r>
      <w:r w:rsidR="00CD4F19" w:rsidRPr="00D7454E">
        <w:rPr>
          <w:color w:val="auto"/>
        </w:rPr>
        <w:t>ontracted Service Providers</w:t>
      </w:r>
      <w:r w:rsidRPr="00D7454E">
        <w:rPr>
          <w:color w:val="auto"/>
        </w:rPr>
        <w:t xml:space="preserve"> and third parties</w:t>
      </w:r>
    </w:p>
    <w:p w14:paraId="224B4723" w14:textId="77928B14" w:rsidR="00D03FDD" w:rsidRDefault="00FE7273" w:rsidP="00FA72BD">
      <w:pPr>
        <w:pStyle w:val="BodyText1"/>
        <w:numPr>
          <w:ilvl w:val="0"/>
          <w:numId w:val="9"/>
        </w:numPr>
        <w:rPr>
          <w:lang w:val="en-GB"/>
        </w:rPr>
      </w:pPr>
      <w:r>
        <w:rPr>
          <w:lang w:val="en-GB"/>
        </w:rPr>
        <w:t>U</w:t>
      </w:r>
      <w:r w:rsidR="00D03FDD">
        <w:rPr>
          <w:lang w:val="en-GB"/>
        </w:rPr>
        <w:t xml:space="preserve">niversities </w:t>
      </w:r>
      <w:r w:rsidR="00892A5D">
        <w:rPr>
          <w:lang w:val="en-GB"/>
        </w:rPr>
        <w:t xml:space="preserve">may share personal information </w:t>
      </w:r>
      <w:r w:rsidR="00D03FDD">
        <w:rPr>
          <w:lang w:val="en-GB"/>
        </w:rPr>
        <w:t xml:space="preserve">with third parties. In doing so, universities need to </w:t>
      </w:r>
      <w:r w:rsidR="00D03FDD" w:rsidRPr="00FA72BD">
        <w:t>adhere</w:t>
      </w:r>
      <w:r w:rsidR="00D03FDD">
        <w:rPr>
          <w:lang w:val="en-GB"/>
        </w:rPr>
        <w:t xml:space="preserve"> to IPP 2. IPP 2.1 </w:t>
      </w:r>
      <w:r w:rsidR="00D03FDD" w:rsidRPr="00D03FDD">
        <w:rPr>
          <w:lang w:val="en-GB"/>
        </w:rPr>
        <w:t xml:space="preserve">permits </w:t>
      </w:r>
      <w:r w:rsidR="00D03FDD">
        <w:rPr>
          <w:lang w:val="en-GB"/>
        </w:rPr>
        <w:t xml:space="preserve">the </w:t>
      </w:r>
      <w:r w:rsidR="00D03FDD" w:rsidRPr="00D03FDD">
        <w:rPr>
          <w:lang w:val="en-GB"/>
        </w:rPr>
        <w:t xml:space="preserve">use and disclosure </w:t>
      </w:r>
      <w:r w:rsidR="00D03FDD">
        <w:rPr>
          <w:lang w:val="en-GB"/>
        </w:rPr>
        <w:t xml:space="preserve">of personal information </w:t>
      </w:r>
      <w:r w:rsidR="00D03FDD" w:rsidRPr="00D03FDD">
        <w:rPr>
          <w:lang w:val="en-GB"/>
        </w:rPr>
        <w:t>for the primary purpose for which</w:t>
      </w:r>
      <w:r w:rsidR="00D03FDD">
        <w:rPr>
          <w:lang w:val="en-GB"/>
        </w:rPr>
        <w:t xml:space="preserve"> it </w:t>
      </w:r>
      <w:r w:rsidR="00D03FDD" w:rsidRPr="00D03FDD">
        <w:rPr>
          <w:lang w:val="en-GB"/>
        </w:rPr>
        <w:t>was collected.</w:t>
      </w:r>
      <w:r w:rsidR="00D03FDD">
        <w:rPr>
          <w:lang w:val="en-GB"/>
        </w:rPr>
        <w:t xml:space="preserve"> </w:t>
      </w:r>
      <w:r w:rsidR="00D03FDD" w:rsidRPr="00D03FDD">
        <w:rPr>
          <w:lang w:val="en-GB"/>
        </w:rPr>
        <w:t xml:space="preserve">Under IPP 2.1(a), an organisation can use and disclose personal information for a related secondary </w:t>
      </w:r>
      <w:proofErr w:type="gramStart"/>
      <w:r w:rsidR="00D03FDD" w:rsidRPr="00D03FDD">
        <w:rPr>
          <w:lang w:val="en-GB"/>
        </w:rPr>
        <w:t>purpose, if</w:t>
      </w:r>
      <w:proofErr w:type="gramEnd"/>
      <w:r w:rsidR="00D03FDD" w:rsidRPr="00D03FDD">
        <w:rPr>
          <w:lang w:val="en-GB"/>
        </w:rPr>
        <w:t xml:space="preserve"> the individual the information is about would reasonably expect the organisation to do so</w:t>
      </w:r>
      <w:r w:rsidR="00D03FDD">
        <w:rPr>
          <w:lang w:val="en-GB"/>
        </w:rPr>
        <w:t>.</w:t>
      </w:r>
    </w:p>
    <w:p w14:paraId="44E92E80" w14:textId="0E483836" w:rsidR="00E8321B" w:rsidRDefault="00D03FDD" w:rsidP="00FA72BD">
      <w:pPr>
        <w:pStyle w:val="BodyText1"/>
        <w:numPr>
          <w:ilvl w:val="0"/>
          <w:numId w:val="9"/>
        </w:numPr>
        <w:rPr>
          <w:lang w:val="en-GB"/>
        </w:rPr>
      </w:pPr>
      <w:r>
        <w:rPr>
          <w:lang w:val="en-GB"/>
        </w:rPr>
        <w:t xml:space="preserve">Universities may have information sharing agreements, for example, to enable them to collaborate with </w:t>
      </w:r>
      <w:r w:rsidRPr="00FA72BD">
        <w:t>other</w:t>
      </w:r>
      <w:r>
        <w:rPr>
          <w:lang w:val="en-GB"/>
        </w:rPr>
        <w:t xml:space="preserve"> researchers or ed</w:t>
      </w:r>
      <w:r w:rsidR="00CD4F19">
        <w:rPr>
          <w:lang w:val="en-GB"/>
        </w:rPr>
        <w:t xml:space="preserve">ucational institutions. </w:t>
      </w:r>
      <w:r>
        <w:rPr>
          <w:lang w:val="en-GB"/>
        </w:rPr>
        <w:t xml:space="preserve"> </w:t>
      </w:r>
    </w:p>
    <w:p w14:paraId="34D755E9" w14:textId="163E9F25" w:rsidR="00E52CF0" w:rsidRPr="00E52CF0" w:rsidRDefault="00CD4F19" w:rsidP="00FA72BD">
      <w:pPr>
        <w:pStyle w:val="BodyText1"/>
        <w:numPr>
          <w:ilvl w:val="0"/>
          <w:numId w:val="9"/>
        </w:numPr>
        <w:rPr>
          <w:lang w:val="en-GB"/>
        </w:rPr>
      </w:pPr>
      <w:r>
        <w:rPr>
          <w:lang w:val="en-GB"/>
        </w:rPr>
        <w:t xml:space="preserve">As well as considering whether IPP 2 permits disclosure of the information, universities </w:t>
      </w:r>
      <w:r w:rsidR="00E52CF0">
        <w:rPr>
          <w:lang w:val="en-GB"/>
        </w:rPr>
        <w:t>should</w:t>
      </w:r>
      <w:r>
        <w:rPr>
          <w:lang w:val="en-GB"/>
        </w:rPr>
        <w:t xml:space="preserve"> </w:t>
      </w:r>
      <w:r w:rsidRPr="00FA72BD">
        <w:t>determine</w:t>
      </w:r>
      <w:r>
        <w:rPr>
          <w:lang w:val="en-GB"/>
        </w:rPr>
        <w:t xml:space="preserve"> if </w:t>
      </w:r>
      <w:r w:rsidR="001D6CB4">
        <w:rPr>
          <w:lang w:val="en-GB"/>
        </w:rPr>
        <w:t>sharing information</w:t>
      </w:r>
      <w:r>
        <w:rPr>
          <w:lang w:val="en-GB"/>
        </w:rPr>
        <w:t xml:space="preserve"> presents information security risks that the university needs to take reasonable steps to address. </w:t>
      </w:r>
    </w:p>
    <w:p w14:paraId="65464836" w14:textId="325A7B5A" w:rsidR="00050266" w:rsidRPr="00FA72BD" w:rsidRDefault="00E52CF0" w:rsidP="00FA72BD">
      <w:pPr>
        <w:pStyle w:val="BodyText1"/>
        <w:numPr>
          <w:ilvl w:val="0"/>
          <w:numId w:val="9"/>
        </w:numPr>
        <w:rPr>
          <w:lang w:val="en-GB"/>
        </w:rPr>
      </w:pPr>
      <w:r w:rsidRPr="00E52CF0">
        <w:rPr>
          <w:lang w:val="en-GB"/>
        </w:rPr>
        <w:t>OVIC found</w:t>
      </w:r>
      <w:r w:rsidR="001D6CB4">
        <w:rPr>
          <w:lang w:val="en-GB"/>
        </w:rPr>
        <w:t xml:space="preserve"> </w:t>
      </w:r>
      <w:r w:rsidR="001D6CB4" w:rsidRPr="00FA72BD">
        <w:t>that</w:t>
      </w:r>
      <w:r w:rsidRPr="00E52CF0">
        <w:rPr>
          <w:lang w:val="en-GB"/>
        </w:rPr>
        <w:t>:</w:t>
      </w:r>
    </w:p>
    <w:p w14:paraId="135FE54C" w14:textId="6E0E9668" w:rsidR="00294187" w:rsidRPr="00E52CF0" w:rsidRDefault="00294187" w:rsidP="00FA72BD">
      <w:pPr>
        <w:pStyle w:val="ListParagraph"/>
        <w:numPr>
          <w:ilvl w:val="1"/>
          <w:numId w:val="9"/>
        </w:numPr>
        <w:ind w:left="811" w:hanging="357"/>
        <w:rPr>
          <w:rFonts w:ascii="Calibri" w:eastAsia="Calibri" w:hAnsi="Calibri" w:cs="National-Book"/>
          <w:color w:val="000000"/>
          <w:lang w:val="en-GB"/>
        </w:rPr>
      </w:pPr>
      <w:r>
        <w:rPr>
          <w:b/>
          <w:bCs/>
          <w:lang w:val="en-GB"/>
        </w:rPr>
        <w:t xml:space="preserve">One </w:t>
      </w:r>
      <w:r w:rsidRPr="00E52CF0">
        <w:rPr>
          <w:lang w:val="en-GB"/>
        </w:rPr>
        <w:t>university</w:t>
      </w:r>
      <w:r w:rsidR="001130A1">
        <w:rPr>
          <w:lang w:val="en-GB"/>
        </w:rPr>
        <w:t xml:space="preserve"> </w:t>
      </w:r>
      <w:r w:rsidR="00E52CF0">
        <w:rPr>
          <w:lang w:val="en-GB"/>
        </w:rPr>
        <w:t>said it had a</w:t>
      </w:r>
      <w:r>
        <w:rPr>
          <w:lang w:val="en-GB"/>
        </w:rPr>
        <w:t xml:space="preserve"> </w:t>
      </w:r>
      <w:r w:rsidR="00BA4FCE" w:rsidRPr="00A57CE8">
        <w:rPr>
          <w:lang w:val="en-GB"/>
        </w:rPr>
        <w:t>procedure for deciding when and how it is appropriate to share personal information with third parties</w:t>
      </w:r>
      <w:r>
        <w:rPr>
          <w:lang w:val="en-GB"/>
        </w:rPr>
        <w:t xml:space="preserve"> in the form of s</w:t>
      </w:r>
      <w:r w:rsidR="00CD4F19" w:rsidRPr="00294187">
        <w:rPr>
          <w:lang w:val="en-GB"/>
        </w:rPr>
        <w:t xml:space="preserve">pecific guidelines </w:t>
      </w:r>
      <w:r w:rsidR="00CD4F19" w:rsidRPr="00294187">
        <w:rPr>
          <w:rFonts w:cs="National-Book"/>
          <w:color w:val="000000"/>
          <w:lang w:val="en-GB"/>
        </w:rPr>
        <w:t xml:space="preserve">for </w:t>
      </w:r>
      <w:r w:rsidR="00E52CF0">
        <w:rPr>
          <w:rFonts w:cs="National-Book"/>
          <w:color w:val="000000"/>
          <w:lang w:val="en-GB"/>
        </w:rPr>
        <w:t>disclosure</w:t>
      </w:r>
      <w:r w:rsidR="00CD4F19" w:rsidRPr="00294187">
        <w:rPr>
          <w:rFonts w:cs="National-Book"/>
          <w:color w:val="000000"/>
          <w:lang w:val="en-GB"/>
        </w:rPr>
        <w:t xml:space="preserve"> to external agencies, such as law enforcement, in the context of student or staff welfare and safety and security matters.</w:t>
      </w:r>
    </w:p>
    <w:p w14:paraId="7F4BAEE0" w14:textId="422C252E" w:rsidR="00CD4F19" w:rsidRPr="00E52CF0" w:rsidRDefault="00ED5C8F" w:rsidP="00FA72BD">
      <w:pPr>
        <w:pStyle w:val="BodyText"/>
        <w:numPr>
          <w:ilvl w:val="1"/>
          <w:numId w:val="9"/>
        </w:numPr>
        <w:ind w:left="811" w:hanging="357"/>
        <w:rPr>
          <w:lang w:val="en-GB"/>
        </w:rPr>
      </w:pPr>
      <w:r>
        <w:rPr>
          <w:b/>
          <w:bCs/>
          <w:lang w:val="en-GB"/>
        </w:rPr>
        <w:t>Two</w:t>
      </w:r>
      <w:r w:rsidR="00294187">
        <w:rPr>
          <w:lang w:val="en-GB"/>
        </w:rPr>
        <w:t xml:space="preserve"> universities use PIAs to determine if sharing of personal information is appropriate. </w:t>
      </w:r>
    </w:p>
    <w:p w14:paraId="5AD555DD" w14:textId="18F8D29E" w:rsidR="00BA4FCE" w:rsidRPr="00217A27" w:rsidRDefault="00294187" w:rsidP="00FA72BD">
      <w:pPr>
        <w:pStyle w:val="BodyText1"/>
        <w:numPr>
          <w:ilvl w:val="0"/>
          <w:numId w:val="9"/>
        </w:numPr>
        <w:rPr>
          <w:lang w:val="en-GB"/>
        </w:rPr>
      </w:pPr>
      <w:r w:rsidRPr="00217A27">
        <w:rPr>
          <w:lang w:val="en-GB"/>
        </w:rPr>
        <w:t>Many universities referred to their privacy policies or collection statements that set out the circumstances in which personal information is shared.</w:t>
      </w:r>
      <w:r w:rsidR="00217A27">
        <w:rPr>
          <w:lang w:val="en-GB"/>
        </w:rPr>
        <w:t xml:space="preserve"> </w:t>
      </w:r>
      <w:r w:rsidR="007974B4">
        <w:rPr>
          <w:lang w:val="en-GB"/>
        </w:rPr>
        <w:t xml:space="preserve">While </w:t>
      </w:r>
      <w:r w:rsidR="007974B4" w:rsidRPr="007974B4">
        <w:rPr>
          <w:b/>
          <w:bCs/>
          <w:lang w:val="en-GB"/>
        </w:rPr>
        <w:t>a</w:t>
      </w:r>
      <w:r w:rsidR="00217A27">
        <w:rPr>
          <w:b/>
          <w:bCs/>
          <w:lang w:val="en-GB"/>
        </w:rPr>
        <w:t xml:space="preserve">ll </w:t>
      </w:r>
      <w:r w:rsidR="00217A27">
        <w:rPr>
          <w:lang w:val="en-GB"/>
        </w:rPr>
        <w:t>universities described in collection statements or privacy procedures</w:t>
      </w:r>
      <w:r w:rsidR="007974B4">
        <w:rPr>
          <w:lang w:val="en-GB"/>
        </w:rPr>
        <w:t xml:space="preserve"> how information may be disclosed, the lists of circumstances were </w:t>
      </w:r>
      <w:r w:rsidR="00217A27">
        <w:rPr>
          <w:lang w:val="en-GB"/>
        </w:rPr>
        <w:t xml:space="preserve">non exhaustive.  </w:t>
      </w:r>
    </w:p>
    <w:p w14:paraId="52A33416" w14:textId="6C3C240D" w:rsidR="00BA4FCE" w:rsidRDefault="00ED5C8F" w:rsidP="00FA72BD">
      <w:pPr>
        <w:pStyle w:val="BodyText1"/>
        <w:numPr>
          <w:ilvl w:val="0"/>
          <w:numId w:val="9"/>
        </w:numPr>
        <w:rPr>
          <w:lang w:val="en-GB"/>
        </w:rPr>
      </w:pPr>
      <w:r>
        <w:rPr>
          <w:b/>
          <w:bCs/>
          <w:lang w:val="en-GB"/>
        </w:rPr>
        <w:t xml:space="preserve">Three </w:t>
      </w:r>
      <w:r>
        <w:rPr>
          <w:lang w:val="en-GB"/>
        </w:rPr>
        <w:t xml:space="preserve">universities provided information about the contractual arrangements the university generally binds a </w:t>
      </w:r>
      <w:r w:rsidR="00BA4FCE">
        <w:rPr>
          <w:lang w:val="en-GB"/>
        </w:rPr>
        <w:t>receiving party to</w:t>
      </w:r>
      <w:r>
        <w:rPr>
          <w:lang w:val="en-GB"/>
        </w:rPr>
        <w:t>. OVIC received:</w:t>
      </w:r>
      <w:r w:rsidR="00BA4FCE">
        <w:rPr>
          <w:lang w:val="en-GB"/>
        </w:rPr>
        <w:t xml:space="preserve"> </w:t>
      </w:r>
    </w:p>
    <w:p w14:paraId="0EF82DB1" w14:textId="4A591401" w:rsidR="00BA4FCE" w:rsidRPr="00997CFF" w:rsidRDefault="00ED5C8F" w:rsidP="00FA72BD">
      <w:pPr>
        <w:pStyle w:val="BodyText1"/>
        <w:numPr>
          <w:ilvl w:val="1"/>
          <w:numId w:val="9"/>
        </w:numPr>
        <w:ind w:left="811" w:hanging="357"/>
        <w:rPr>
          <w:lang w:val="en-GB"/>
        </w:rPr>
      </w:pPr>
      <w:r>
        <w:rPr>
          <w:lang w:val="en-GB"/>
        </w:rPr>
        <w:t>A</w:t>
      </w:r>
      <w:r w:rsidR="00BA4FCE">
        <w:rPr>
          <w:lang w:val="en-GB"/>
        </w:rPr>
        <w:t xml:space="preserve"> template clause for information sharing arrangements it </w:t>
      </w:r>
      <w:r w:rsidR="00B00784">
        <w:rPr>
          <w:lang w:val="en-GB"/>
        </w:rPr>
        <w:t>enters</w:t>
      </w:r>
      <w:r w:rsidR="00BA4FCE">
        <w:rPr>
          <w:lang w:val="en-GB"/>
        </w:rPr>
        <w:t xml:space="preserve"> with research collaborators. Th</w:t>
      </w:r>
      <w:r>
        <w:rPr>
          <w:lang w:val="en-GB"/>
        </w:rPr>
        <w:t>is</w:t>
      </w:r>
      <w:r w:rsidR="00BA4FCE">
        <w:rPr>
          <w:lang w:val="en-GB"/>
        </w:rPr>
        <w:t xml:space="preserve"> clause </w:t>
      </w:r>
      <w:r w:rsidR="00BA4FCE" w:rsidRPr="00FA72BD">
        <w:rPr>
          <w:rFonts w:asciiTheme="minorHAnsi" w:hAnsiTheme="minorHAnsi" w:cstheme="minorBidi"/>
          <w:lang w:val="en-GB"/>
        </w:rPr>
        <w:t>says</w:t>
      </w:r>
      <w:r w:rsidR="00BA4FCE" w:rsidRPr="00CA009C">
        <w:rPr>
          <w:rFonts w:asciiTheme="minorHAnsi" w:hAnsiTheme="minorHAnsi" w:cstheme="minorHAnsi"/>
        </w:rPr>
        <w:t xml:space="preserve"> that where a party provides the other with personal information, it needs to make the other party aware of legal obligations around use, </w:t>
      </w:r>
      <w:r w:rsidR="00B00784" w:rsidRPr="00CA009C">
        <w:rPr>
          <w:rFonts w:asciiTheme="minorHAnsi" w:hAnsiTheme="minorHAnsi" w:cstheme="minorHAnsi"/>
        </w:rPr>
        <w:t>storage,</w:t>
      </w:r>
      <w:r w:rsidR="00BA4FCE" w:rsidRPr="00CA009C">
        <w:rPr>
          <w:rFonts w:asciiTheme="minorHAnsi" w:hAnsiTheme="minorHAnsi" w:cstheme="minorHAnsi"/>
        </w:rPr>
        <w:t xml:space="preserve"> and disclosure of the personal information</w:t>
      </w:r>
      <w:r w:rsidR="00BA4FCE">
        <w:rPr>
          <w:rFonts w:asciiTheme="minorHAnsi" w:hAnsiTheme="minorHAnsi" w:cstheme="minorHAnsi"/>
        </w:rPr>
        <w:t xml:space="preserve">, and comply with those ‘legal and contractual </w:t>
      </w:r>
      <w:r w:rsidR="00A57CE8">
        <w:rPr>
          <w:rFonts w:asciiTheme="minorHAnsi" w:hAnsiTheme="minorHAnsi" w:cstheme="minorHAnsi"/>
        </w:rPr>
        <w:t>obligations</w:t>
      </w:r>
      <w:r w:rsidR="00BA4FCE" w:rsidRPr="00CA009C">
        <w:rPr>
          <w:rFonts w:asciiTheme="minorHAnsi" w:hAnsiTheme="minorHAnsi" w:cstheme="minorHAnsi"/>
        </w:rPr>
        <w:t>.</w:t>
      </w:r>
      <w:r w:rsidR="00A57CE8">
        <w:rPr>
          <w:rFonts w:asciiTheme="minorHAnsi" w:hAnsiTheme="minorHAnsi" w:cstheme="minorHAnsi"/>
        </w:rPr>
        <w:t>’</w:t>
      </w:r>
    </w:p>
    <w:p w14:paraId="7D0643D2" w14:textId="38489823" w:rsidR="00997CFF" w:rsidRPr="001130A1" w:rsidRDefault="00ED5C8F" w:rsidP="00FA72BD">
      <w:pPr>
        <w:pStyle w:val="BodyText1"/>
        <w:numPr>
          <w:ilvl w:val="1"/>
          <w:numId w:val="9"/>
        </w:numPr>
        <w:ind w:left="811" w:hanging="357"/>
        <w:rPr>
          <w:lang w:val="en-GB"/>
        </w:rPr>
      </w:pPr>
      <w:r>
        <w:rPr>
          <w:rFonts w:asciiTheme="minorHAnsi" w:hAnsiTheme="minorHAnsi" w:cstheme="minorHAnsi"/>
        </w:rPr>
        <w:t>A</w:t>
      </w:r>
      <w:r w:rsidR="00997CFF">
        <w:rPr>
          <w:rFonts w:asciiTheme="minorHAnsi" w:hAnsiTheme="minorHAnsi" w:cstheme="minorHAnsi"/>
        </w:rPr>
        <w:t xml:space="preserve"> </w:t>
      </w:r>
      <w:r w:rsidR="00997CFF" w:rsidRPr="00FA72BD">
        <w:rPr>
          <w:rFonts w:asciiTheme="minorHAnsi" w:hAnsiTheme="minorHAnsi" w:cstheme="minorBidi"/>
          <w:lang w:val="en-GB"/>
        </w:rPr>
        <w:t>template</w:t>
      </w:r>
      <w:r w:rsidR="00997CFF">
        <w:rPr>
          <w:rFonts w:asciiTheme="minorHAnsi" w:hAnsiTheme="minorHAnsi" w:cstheme="minorHAnsi"/>
        </w:rPr>
        <w:t xml:space="preserve"> Memorandum of Understanding used for preliminary discussions. The</w:t>
      </w:r>
      <w:r>
        <w:rPr>
          <w:rFonts w:asciiTheme="minorHAnsi" w:hAnsiTheme="minorHAnsi" w:cstheme="minorHAnsi"/>
        </w:rPr>
        <w:t xml:space="preserve"> university</w:t>
      </w:r>
      <w:r w:rsidR="00997CFF">
        <w:rPr>
          <w:rFonts w:asciiTheme="minorHAnsi" w:hAnsiTheme="minorHAnsi" w:cstheme="minorHAnsi"/>
        </w:rPr>
        <w:t xml:space="preserve"> explained that a formal contract is required before any work is commenced with a third party. </w:t>
      </w:r>
    </w:p>
    <w:p w14:paraId="17F874E8" w14:textId="3F1A25A1" w:rsidR="001130A1" w:rsidRDefault="00ED5C8F" w:rsidP="00FA72BD">
      <w:pPr>
        <w:pStyle w:val="BodyText1"/>
        <w:numPr>
          <w:ilvl w:val="1"/>
          <w:numId w:val="9"/>
        </w:numPr>
        <w:ind w:left="811" w:hanging="357"/>
        <w:rPr>
          <w:lang w:val="en-GB"/>
        </w:rPr>
      </w:pPr>
      <w:r>
        <w:rPr>
          <w:rFonts w:asciiTheme="minorHAnsi" w:hAnsiTheme="minorHAnsi" w:cstheme="minorHAnsi"/>
        </w:rPr>
        <w:t>A template</w:t>
      </w:r>
      <w:r w:rsidR="001130A1">
        <w:rPr>
          <w:rFonts w:asciiTheme="minorHAnsi" w:hAnsiTheme="minorHAnsi" w:cstheme="minorHAnsi"/>
        </w:rPr>
        <w:t xml:space="preserve"> course provider agreement</w:t>
      </w:r>
      <w:r>
        <w:rPr>
          <w:rFonts w:asciiTheme="minorHAnsi" w:hAnsiTheme="minorHAnsi" w:cstheme="minorHAnsi"/>
        </w:rPr>
        <w:t xml:space="preserve"> that binds the provider to the PDP </w:t>
      </w:r>
      <w:r w:rsidRPr="00FA72BD">
        <w:rPr>
          <w:lang w:val="en-GB"/>
        </w:rPr>
        <w:t>Act</w:t>
      </w:r>
      <w:r w:rsidR="001130A1">
        <w:rPr>
          <w:rFonts w:asciiTheme="minorHAnsi" w:hAnsiTheme="minorHAnsi" w:cstheme="minorHAnsi"/>
        </w:rPr>
        <w:t xml:space="preserve">. </w:t>
      </w:r>
    </w:p>
    <w:p w14:paraId="571F3D78" w14:textId="70CE5F03" w:rsidR="00BA4FCE" w:rsidRDefault="00ED5C8F" w:rsidP="00FA72BD">
      <w:pPr>
        <w:pStyle w:val="BodyText1"/>
        <w:numPr>
          <w:ilvl w:val="0"/>
          <w:numId w:val="9"/>
        </w:numPr>
        <w:rPr>
          <w:lang w:val="en-GB"/>
        </w:rPr>
      </w:pPr>
      <w:r>
        <w:rPr>
          <w:lang w:val="en-GB"/>
        </w:rPr>
        <w:t xml:space="preserve">In addition, </w:t>
      </w:r>
      <w:r w:rsidR="00383B4B">
        <w:rPr>
          <w:b/>
          <w:bCs/>
          <w:lang w:val="en-GB"/>
        </w:rPr>
        <w:t>four</w:t>
      </w:r>
      <w:r>
        <w:rPr>
          <w:lang w:val="en-GB"/>
        </w:rPr>
        <w:t xml:space="preserve"> u</w:t>
      </w:r>
      <w:r w:rsidR="00BA4FCE">
        <w:rPr>
          <w:lang w:val="en-GB"/>
        </w:rPr>
        <w:t xml:space="preserve">niversities </w:t>
      </w:r>
      <w:r w:rsidR="00B4485A">
        <w:rPr>
          <w:lang w:val="en-GB"/>
        </w:rPr>
        <w:t xml:space="preserve">said that staff need to obtain their legal </w:t>
      </w:r>
      <w:r w:rsidR="00B00784">
        <w:rPr>
          <w:lang w:val="en-GB"/>
        </w:rPr>
        <w:t>teams’</w:t>
      </w:r>
      <w:r w:rsidR="00B4485A">
        <w:rPr>
          <w:lang w:val="en-GB"/>
        </w:rPr>
        <w:t xml:space="preserve"> approval for</w:t>
      </w:r>
      <w:r w:rsidR="00BA4FCE">
        <w:rPr>
          <w:lang w:val="en-GB"/>
        </w:rPr>
        <w:t xml:space="preserve"> sharing</w:t>
      </w:r>
      <w:r w:rsidR="001D6CB4">
        <w:rPr>
          <w:lang w:val="en-GB"/>
        </w:rPr>
        <w:t xml:space="preserve"> information</w:t>
      </w:r>
      <w:r w:rsidR="00BA4FCE">
        <w:rPr>
          <w:lang w:val="en-GB"/>
        </w:rPr>
        <w:t xml:space="preserve">. </w:t>
      </w:r>
      <w:r w:rsidR="00383B4B">
        <w:rPr>
          <w:b/>
          <w:bCs/>
          <w:lang w:val="en-GB"/>
        </w:rPr>
        <w:t xml:space="preserve">Two </w:t>
      </w:r>
      <w:r w:rsidR="00383B4B">
        <w:rPr>
          <w:lang w:val="en-GB"/>
        </w:rPr>
        <w:t>of the four universities showed that this requirement was set out in a policy document (such as a Contract Management Policy).</w:t>
      </w:r>
      <w:r w:rsidR="00E52CF0">
        <w:rPr>
          <w:lang w:val="en-GB"/>
        </w:rPr>
        <w:t xml:space="preserve"> </w:t>
      </w:r>
    </w:p>
    <w:p w14:paraId="69C690A9" w14:textId="14F9D057" w:rsidR="00E8321B" w:rsidRPr="00D7454E" w:rsidRDefault="00E8321B" w:rsidP="00D7454E">
      <w:pPr>
        <w:pStyle w:val="Level4heading"/>
        <w:rPr>
          <w:color w:val="auto"/>
        </w:rPr>
      </w:pPr>
      <w:r w:rsidRPr="00D7454E">
        <w:rPr>
          <w:color w:val="auto"/>
        </w:rPr>
        <w:lastRenderedPageBreak/>
        <w:t xml:space="preserve">Engaging contracted service providers that handle personal </w:t>
      </w:r>
      <w:proofErr w:type="gramStart"/>
      <w:r w:rsidRPr="00D7454E">
        <w:rPr>
          <w:color w:val="auto"/>
        </w:rPr>
        <w:t>information</w:t>
      </w:r>
      <w:proofErr w:type="gramEnd"/>
      <w:r w:rsidRPr="00D7454E">
        <w:rPr>
          <w:color w:val="auto"/>
        </w:rPr>
        <w:t xml:space="preserve">  </w:t>
      </w:r>
    </w:p>
    <w:p w14:paraId="72F5D8D7" w14:textId="7A55DD3F" w:rsidR="00C634D9" w:rsidRPr="00C634D9" w:rsidRDefault="00C634D9" w:rsidP="00FA72BD">
      <w:pPr>
        <w:pStyle w:val="BodyText1"/>
        <w:numPr>
          <w:ilvl w:val="0"/>
          <w:numId w:val="9"/>
        </w:numPr>
        <w:rPr>
          <w:lang w:val="en-GB"/>
        </w:rPr>
      </w:pPr>
      <w:r w:rsidRPr="00C634D9">
        <w:rPr>
          <w:lang w:val="en-GB"/>
        </w:rPr>
        <w:t xml:space="preserve">Universities, like many VPS organisations, </w:t>
      </w:r>
      <w:r w:rsidR="00E52CF0">
        <w:rPr>
          <w:lang w:val="en-GB"/>
        </w:rPr>
        <w:t xml:space="preserve">may </w:t>
      </w:r>
      <w:r w:rsidRPr="00C634D9">
        <w:rPr>
          <w:lang w:val="en-GB"/>
        </w:rPr>
        <w:t xml:space="preserve">frequently </w:t>
      </w:r>
      <w:proofErr w:type="gramStart"/>
      <w:r w:rsidRPr="00C634D9">
        <w:rPr>
          <w:lang w:val="en-GB"/>
        </w:rPr>
        <w:t>enter into</w:t>
      </w:r>
      <w:proofErr w:type="gramEnd"/>
      <w:r w:rsidRPr="00C634D9">
        <w:rPr>
          <w:lang w:val="en-GB"/>
        </w:rPr>
        <w:t xml:space="preserve"> outsourcing arrangements with third parties. Where these arrangements involve the contracted service provider (</w:t>
      </w:r>
      <w:r w:rsidRPr="00C634D9">
        <w:rPr>
          <w:b/>
          <w:bCs/>
          <w:lang w:val="en-GB"/>
        </w:rPr>
        <w:t>CSP</w:t>
      </w:r>
      <w:r w:rsidRPr="00C634D9">
        <w:rPr>
          <w:lang w:val="en-GB"/>
        </w:rPr>
        <w:t xml:space="preserve">) collecting or holding personal information on behalf of the VPS organisation, </w:t>
      </w:r>
      <w:r w:rsidRPr="00C634D9">
        <w:t>the default position</w:t>
      </w:r>
      <w:r w:rsidR="00E52CF0">
        <w:t xml:space="preserve"> under the PDP Act</w:t>
      </w:r>
      <w:r w:rsidRPr="00C634D9">
        <w:t xml:space="preserve"> is that the outsourcing party is liable for any privacy breaches that may occur in relation to services provided under the outsourcing arrangement, even if those breaches are the result of the acts or practices of the CSP</w:t>
      </w:r>
      <w:r w:rsidRPr="00C634D9">
        <w:rPr>
          <w:lang w:val="en-GB"/>
        </w:rPr>
        <w:t xml:space="preserve">. </w:t>
      </w:r>
    </w:p>
    <w:p w14:paraId="16EA630B" w14:textId="2FD10CFF" w:rsidR="00C634D9" w:rsidRDefault="00C634D9" w:rsidP="00FA72BD">
      <w:pPr>
        <w:pStyle w:val="BodyText1"/>
        <w:numPr>
          <w:ilvl w:val="0"/>
          <w:numId w:val="9"/>
        </w:numPr>
        <w:rPr>
          <w:lang w:val="en-GB"/>
        </w:rPr>
      </w:pPr>
      <w:r w:rsidRPr="00C634D9">
        <w:rPr>
          <w:lang w:val="en-GB"/>
        </w:rPr>
        <w:t xml:space="preserve">OVIC </w:t>
      </w:r>
      <w:r w:rsidR="00E52CF0">
        <w:rPr>
          <w:lang w:val="en-GB"/>
        </w:rPr>
        <w:t>examined</w:t>
      </w:r>
      <w:r w:rsidR="00E627F3">
        <w:rPr>
          <w:lang w:val="en-GB"/>
        </w:rPr>
        <w:t>:</w:t>
      </w:r>
    </w:p>
    <w:p w14:paraId="6CAB2D3E" w14:textId="6266DAE6" w:rsidR="00E627F3" w:rsidRDefault="00E52CF0" w:rsidP="00FA72BD">
      <w:pPr>
        <w:pStyle w:val="BodyText"/>
        <w:numPr>
          <w:ilvl w:val="1"/>
          <w:numId w:val="9"/>
        </w:numPr>
        <w:ind w:left="811" w:hanging="357"/>
        <w:rPr>
          <w:lang w:val="en-GB"/>
        </w:rPr>
      </w:pPr>
      <w:r>
        <w:rPr>
          <w:lang w:val="en-GB"/>
        </w:rPr>
        <w:t>Whether u</w:t>
      </w:r>
      <w:r w:rsidR="00E627F3">
        <w:rPr>
          <w:lang w:val="en-GB"/>
        </w:rPr>
        <w:t xml:space="preserve">niversities commonly bind CSPs to the IPPs under contract. </w:t>
      </w:r>
    </w:p>
    <w:p w14:paraId="3EB84306" w14:textId="61DE8D71" w:rsidR="00E627F3" w:rsidRPr="00623BA8" w:rsidRDefault="00E52CF0" w:rsidP="00FA72BD">
      <w:pPr>
        <w:pStyle w:val="BodyText"/>
        <w:numPr>
          <w:ilvl w:val="1"/>
          <w:numId w:val="9"/>
        </w:numPr>
        <w:ind w:left="811" w:hanging="357"/>
        <w:rPr>
          <w:lang w:val="en-GB"/>
        </w:rPr>
      </w:pPr>
      <w:r>
        <w:rPr>
          <w:lang w:val="en-GB"/>
        </w:rPr>
        <w:t>Whether u</w:t>
      </w:r>
      <w:r w:rsidR="00E627F3">
        <w:rPr>
          <w:lang w:val="en-GB"/>
        </w:rPr>
        <w:t xml:space="preserve">niversities undertake any further steps to ensure personal information held by CSPs on </w:t>
      </w:r>
      <w:r w:rsidR="00E627F3" w:rsidRPr="00623BA8">
        <w:rPr>
          <w:lang w:val="en-GB"/>
        </w:rPr>
        <w:t xml:space="preserve">their behalf is adequately protected. </w:t>
      </w:r>
    </w:p>
    <w:p w14:paraId="28978715" w14:textId="7FF19FBE" w:rsidR="00623BA8" w:rsidRPr="00623BA8" w:rsidRDefault="00623BA8" w:rsidP="00FA72BD">
      <w:pPr>
        <w:pStyle w:val="BodyText1"/>
        <w:numPr>
          <w:ilvl w:val="0"/>
          <w:numId w:val="9"/>
        </w:numPr>
        <w:rPr>
          <w:lang w:val="en-GB"/>
        </w:rPr>
      </w:pPr>
      <w:r w:rsidRPr="00623BA8">
        <w:rPr>
          <w:b/>
          <w:bCs/>
          <w:lang w:val="en-GB"/>
        </w:rPr>
        <w:t>Seven</w:t>
      </w:r>
      <w:r w:rsidR="00FC1E84" w:rsidRPr="00623BA8">
        <w:rPr>
          <w:lang w:val="en-GB"/>
        </w:rPr>
        <w:t xml:space="preserve"> universities shared template clauses or contracts with OVIC that required CSPs to comply with the PDP Act or the IPPs. </w:t>
      </w:r>
      <w:r w:rsidR="00E52CF0">
        <w:rPr>
          <w:b/>
          <w:bCs/>
          <w:lang w:val="en-GB"/>
        </w:rPr>
        <w:t>One</w:t>
      </w:r>
      <w:r w:rsidRPr="00623BA8">
        <w:rPr>
          <w:lang w:val="en-GB"/>
        </w:rPr>
        <w:t xml:space="preserve"> university provided a contract that would require a </w:t>
      </w:r>
      <w:r w:rsidRPr="00623BA8">
        <w:rPr>
          <w:rFonts w:asciiTheme="minorHAnsi" w:hAnsiTheme="minorHAnsi" w:cstheme="minorHAnsi"/>
        </w:rPr>
        <w:t xml:space="preserve">CSP to comply with </w:t>
      </w:r>
      <w:proofErr w:type="gramStart"/>
      <w:r w:rsidRPr="00623BA8">
        <w:rPr>
          <w:rFonts w:asciiTheme="minorHAnsi" w:hAnsiTheme="minorHAnsi" w:cstheme="minorHAnsi"/>
        </w:rPr>
        <w:t>a number of</w:t>
      </w:r>
      <w:proofErr w:type="gramEnd"/>
      <w:r w:rsidRPr="00623BA8">
        <w:rPr>
          <w:rFonts w:asciiTheme="minorHAnsi" w:hAnsiTheme="minorHAnsi" w:cstheme="minorHAnsi"/>
        </w:rPr>
        <w:t xml:space="preserve"> the IPPs, but not </w:t>
      </w:r>
      <w:r w:rsidRPr="00FA72BD">
        <w:rPr>
          <w:lang w:val="en-GB"/>
        </w:rPr>
        <w:t>all</w:t>
      </w:r>
      <w:r w:rsidRPr="00623BA8">
        <w:rPr>
          <w:rFonts w:asciiTheme="minorHAnsi" w:hAnsiTheme="minorHAnsi" w:cstheme="minorHAnsi"/>
        </w:rPr>
        <w:t xml:space="preserve"> of them</w:t>
      </w:r>
      <w:r w:rsidR="00E52CF0">
        <w:rPr>
          <w:rFonts w:asciiTheme="minorHAnsi" w:hAnsiTheme="minorHAnsi" w:cstheme="minorHAnsi"/>
        </w:rPr>
        <w:t xml:space="preserve"> (</w:t>
      </w:r>
      <w:r w:rsidR="00B57A2A">
        <w:rPr>
          <w:rFonts w:asciiTheme="minorHAnsi" w:hAnsiTheme="minorHAnsi" w:cstheme="minorHAnsi"/>
        </w:rPr>
        <w:t>such as IPPs 1, 3, 5, 8</w:t>
      </w:r>
      <w:r w:rsidR="00E52CF0">
        <w:rPr>
          <w:rFonts w:asciiTheme="minorHAnsi" w:hAnsiTheme="minorHAnsi" w:cstheme="minorHAnsi"/>
        </w:rPr>
        <w:t>)</w:t>
      </w:r>
      <w:r w:rsidRPr="00623BA8">
        <w:rPr>
          <w:rFonts w:asciiTheme="minorHAnsi" w:hAnsiTheme="minorHAnsi" w:cstheme="minorHAnsi"/>
        </w:rPr>
        <w:t>.</w:t>
      </w:r>
      <w:r w:rsidR="001D6CB4">
        <w:rPr>
          <w:rStyle w:val="FootnoteReference"/>
          <w:rFonts w:asciiTheme="minorHAnsi" w:hAnsiTheme="minorHAnsi" w:cstheme="minorHAnsi"/>
        </w:rPr>
        <w:footnoteReference w:id="9"/>
      </w:r>
      <w:r>
        <w:rPr>
          <w:rFonts w:asciiTheme="minorHAnsi" w:hAnsiTheme="minorHAnsi" w:cstheme="minorHAnsi"/>
        </w:rPr>
        <w:t xml:space="preserve"> </w:t>
      </w:r>
    </w:p>
    <w:p w14:paraId="07C4600B" w14:textId="05860EB1" w:rsidR="00E627F3" w:rsidRPr="00623BA8" w:rsidRDefault="00FC1E84" w:rsidP="00FA72BD">
      <w:pPr>
        <w:pStyle w:val="BodyText1"/>
        <w:numPr>
          <w:ilvl w:val="0"/>
          <w:numId w:val="9"/>
        </w:numPr>
        <w:rPr>
          <w:lang w:val="en-GB"/>
        </w:rPr>
      </w:pPr>
      <w:r w:rsidRPr="00623BA8">
        <w:rPr>
          <w:lang w:val="en-GB"/>
        </w:rPr>
        <w:t xml:space="preserve">Some standard form contracts also included clauses requiring </w:t>
      </w:r>
      <w:r w:rsidR="008C7FBE">
        <w:rPr>
          <w:rFonts w:asciiTheme="minorHAnsi" w:hAnsiTheme="minorHAnsi" w:cstheme="minorHAnsi"/>
        </w:rPr>
        <w:t>“</w:t>
      </w:r>
      <w:r w:rsidRPr="00623BA8">
        <w:rPr>
          <w:rFonts w:asciiTheme="minorHAnsi" w:hAnsiTheme="minorHAnsi" w:cstheme="minorHAnsi"/>
        </w:rPr>
        <w:t xml:space="preserve">organisational and technical security measures to protect that Personal Information from misuse, loss, unauthorised access, modification and </w:t>
      </w:r>
      <w:r w:rsidR="001D6CB4" w:rsidRPr="00623BA8">
        <w:rPr>
          <w:rFonts w:asciiTheme="minorHAnsi" w:hAnsiTheme="minorHAnsi" w:cstheme="minorHAnsi"/>
        </w:rPr>
        <w:t>disclosure</w:t>
      </w:r>
      <w:r w:rsidR="001D6CB4">
        <w:rPr>
          <w:rFonts w:asciiTheme="minorHAnsi" w:hAnsiTheme="minorHAnsi" w:cstheme="minorHAnsi"/>
        </w:rPr>
        <w:t>”</w:t>
      </w:r>
      <w:r w:rsidR="001D6CB4" w:rsidRPr="00623BA8">
        <w:rPr>
          <w:rFonts w:asciiTheme="minorHAnsi" w:hAnsiTheme="minorHAnsi" w:cstheme="minorHAnsi"/>
        </w:rPr>
        <w:t xml:space="preserve"> </w:t>
      </w:r>
      <w:r w:rsidR="00623BA8" w:rsidRPr="00623BA8">
        <w:rPr>
          <w:rFonts w:asciiTheme="minorHAnsi" w:hAnsiTheme="minorHAnsi" w:cstheme="minorHAnsi"/>
        </w:rPr>
        <w:t xml:space="preserve">and for information to be deleted on termination of the contract. </w:t>
      </w:r>
      <w:r w:rsidRPr="00623BA8">
        <w:rPr>
          <w:rFonts w:asciiTheme="minorHAnsi" w:hAnsiTheme="minorHAnsi" w:cstheme="minorHAnsi"/>
        </w:rPr>
        <w:t xml:space="preserve"> </w:t>
      </w:r>
    </w:p>
    <w:p w14:paraId="0AF2AF74" w14:textId="7999F39D" w:rsidR="00816BDF" w:rsidRDefault="00E627F3" w:rsidP="00FA72BD">
      <w:pPr>
        <w:pStyle w:val="BodyText1"/>
        <w:numPr>
          <w:ilvl w:val="0"/>
          <w:numId w:val="9"/>
        </w:numPr>
        <w:rPr>
          <w:lang w:val="en-GB"/>
        </w:rPr>
      </w:pPr>
      <w:r>
        <w:rPr>
          <w:b/>
          <w:bCs/>
          <w:lang w:val="en-GB"/>
        </w:rPr>
        <w:t>Five</w:t>
      </w:r>
      <w:r w:rsidR="00EE6992">
        <w:rPr>
          <w:lang w:val="en-GB"/>
        </w:rPr>
        <w:t xml:space="preserve"> universities </w:t>
      </w:r>
      <w:r w:rsidR="00816BDF">
        <w:rPr>
          <w:lang w:val="en-GB"/>
        </w:rPr>
        <w:t>had a process for considering personal information security risks when considering whether to engage a CSP</w:t>
      </w:r>
      <w:r>
        <w:rPr>
          <w:lang w:val="en-GB"/>
        </w:rPr>
        <w:t>.</w:t>
      </w:r>
      <w:r w:rsidR="006F2055">
        <w:rPr>
          <w:lang w:val="en-GB"/>
        </w:rPr>
        <w:t xml:space="preserve"> The processes consisted of:</w:t>
      </w:r>
    </w:p>
    <w:p w14:paraId="29D78F66" w14:textId="71D7C2E5" w:rsidR="00816BDF" w:rsidRDefault="006F2055" w:rsidP="00FA72BD">
      <w:pPr>
        <w:pStyle w:val="BodyText"/>
        <w:numPr>
          <w:ilvl w:val="1"/>
          <w:numId w:val="9"/>
        </w:numPr>
        <w:ind w:left="811" w:hanging="357"/>
        <w:rPr>
          <w:lang w:val="en-GB"/>
        </w:rPr>
      </w:pPr>
      <w:r>
        <w:rPr>
          <w:lang w:val="en-GB"/>
        </w:rPr>
        <w:t>Conducting PIAs</w:t>
      </w:r>
      <w:r w:rsidR="00816BDF">
        <w:rPr>
          <w:lang w:val="en-GB"/>
        </w:rPr>
        <w:t>.</w:t>
      </w:r>
      <w:r>
        <w:rPr>
          <w:lang w:val="en-GB"/>
        </w:rPr>
        <w:t xml:space="preserve"> Some universities noted work carried out to embed PIA processes into project management frameworks and </w:t>
      </w:r>
      <w:r w:rsidR="00816BDF">
        <w:rPr>
          <w:lang w:val="en-GB"/>
        </w:rPr>
        <w:t xml:space="preserve">operational processes connected to new initiatives. </w:t>
      </w:r>
    </w:p>
    <w:p w14:paraId="23F6186A" w14:textId="5B977EFD" w:rsidR="00EE6992" w:rsidRDefault="006F2055" w:rsidP="00FA72BD">
      <w:pPr>
        <w:pStyle w:val="BodyText"/>
        <w:numPr>
          <w:ilvl w:val="1"/>
          <w:numId w:val="9"/>
        </w:numPr>
        <w:ind w:left="811" w:hanging="357"/>
        <w:rPr>
          <w:lang w:val="en-GB"/>
        </w:rPr>
      </w:pPr>
      <w:r>
        <w:rPr>
          <w:lang w:val="en-GB"/>
        </w:rPr>
        <w:t xml:space="preserve">Procurement questionnaires and vendor security assessments. </w:t>
      </w:r>
    </w:p>
    <w:p w14:paraId="214A3B2F" w14:textId="3F2A0425" w:rsidR="00975B08" w:rsidRPr="00D7454E" w:rsidRDefault="00E8321B" w:rsidP="00D7454E">
      <w:pPr>
        <w:pStyle w:val="Level4heading"/>
        <w:rPr>
          <w:color w:val="auto"/>
        </w:rPr>
      </w:pPr>
      <w:r w:rsidRPr="00D7454E">
        <w:rPr>
          <w:color w:val="auto"/>
        </w:rPr>
        <w:t>Privacy and information security t</w:t>
      </w:r>
      <w:r w:rsidR="00975B08" w:rsidRPr="00D7454E">
        <w:rPr>
          <w:color w:val="auto"/>
        </w:rPr>
        <w:t>raining</w:t>
      </w:r>
    </w:p>
    <w:p w14:paraId="1CBD6F3E" w14:textId="77777777" w:rsidR="00E5099A" w:rsidRDefault="002A2F46" w:rsidP="00FA72BD">
      <w:pPr>
        <w:pStyle w:val="BodyText1"/>
        <w:numPr>
          <w:ilvl w:val="0"/>
          <w:numId w:val="9"/>
        </w:numPr>
        <w:rPr>
          <w:lang w:val="en-GB"/>
        </w:rPr>
      </w:pPr>
      <w:r w:rsidRPr="00E52CF0">
        <w:rPr>
          <w:lang w:val="en-GB"/>
        </w:rPr>
        <w:t>OVIC found</w:t>
      </w:r>
      <w:r w:rsidR="00E5099A">
        <w:rPr>
          <w:lang w:val="en-GB"/>
        </w:rPr>
        <w:t>:</w:t>
      </w:r>
    </w:p>
    <w:p w14:paraId="5D5DCBE5" w14:textId="77777777" w:rsidR="00E5099A" w:rsidRDefault="00E5099A" w:rsidP="00FA72BD">
      <w:pPr>
        <w:pStyle w:val="BodyText"/>
        <w:numPr>
          <w:ilvl w:val="1"/>
          <w:numId w:val="9"/>
        </w:numPr>
        <w:ind w:left="811" w:hanging="357"/>
        <w:rPr>
          <w:lang w:val="en-GB"/>
        </w:rPr>
      </w:pPr>
      <w:r>
        <w:rPr>
          <w:b/>
          <w:bCs/>
          <w:lang w:val="en-GB"/>
        </w:rPr>
        <w:t>A</w:t>
      </w:r>
      <w:r w:rsidR="00E80688" w:rsidRPr="00E5099A">
        <w:rPr>
          <w:b/>
          <w:bCs/>
          <w:lang w:val="en-GB"/>
        </w:rPr>
        <w:t>ll</w:t>
      </w:r>
      <w:r w:rsidR="00E80688" w:rsidRPr="00E5099A">
        <w:rPr>
          <w:lang w:val="en-GB"/>
        </w:rPr>
        <w:t xml:space="preserve"> universities conduct training on privacy and information security</w:t>
      </w:r>
      <w:r w:rsidR="00E52CF0" w:rsidRPr="00E5099A">
        <w:rPr>
          <w:lang w:val="en-GB"/>
        </w:rPr>
        <w:t xml:space="preserve"> in the form of online modules</w:t>
      </w:r>
      <w:r>
        <w:rPr>
          <w:lang w:val="en-GB"/>
        </w:rPr>
        <w:t xml:space="preserve"> </w:t>
      </w:r>
      <w:r w:rsidR="00052ABD" w:rsidRPr="00E5099A">
        <w:rPr>
          <w:lang w:val="en-GB"/>
        </w:rPr>
        <w:t xml:space="preserve">such as ‘Managing Information &amp; Cybersecurity training’, ‘Privacy and Data Awareness training’. </w:t>
      </w:r>
    </w:p>
    <w:p w14:paraId="3CCB5D26" w14:textId="5E78DA5B" w:rsidR="00E80688" w:rsidRPr="00E5099A" w:rsidRDefault="00052ABD" w:rsidP="00FA72BD">
      <w:pPr>
        <w:pStyle w:val="BodyText"/>
        <w:numPr>
          <w:ilvl w:val="1"/>
          <w:numId w:val="9"/>
        </w:numPr>
        <w:ind w:left="811" w:hanging="357"/>
        <w:rPr>
          <w:lang w:val="en-GB"/>
        </w:rPr>
      </w:pPr>
      <w:r w:rsidRPr="00E5099A">
        <w:rPr>
          <w:lang w:val="en-GB"/>
        </w:rPr>
        <w:t xml:space="preserve">In addition, </w:t>
      </w:r>
      <w:r w:rsidR="0084487B" w:rsidRPr="00E5099A">
        <w:rPr>
          <w:b/>
          <w:bCs/>
          <w:lang w:val="en-GB"/>
        </w:rPr>
        <w:t>two</w:t>
      </w:r>
      <w:r w:rsidRPr="00E5099A">
        <w:rPr>
          <w:b/>
          <w:bCs/>
          <w:lang w:val="en-GB"/>
        </w:rPr>
        <w:t xml:space="preserve"> </w:t>
      </w:r>
      <w:r w:rsidRPr="00E5099A">
        <w:rPr>
          <w:lang w:val="en-GB"/>
        </w:rPr>
        <w:t xml:space="preserve">universities </w:t>
      </w:r>
      <w:r w:rsidR="0084487B" w:rsidRPr="00E5099A">
        <w:rPr>
          <w:lang w:val="en-GB"/>
        </w:rPr>
        <w:t xml:space="preserve">provide in person training in some circumstances, such as on request or for </w:t>
      </w:r>
      <w:r w:rsidR="00B7738B" w:rsidRPr="00E5099A">
        <w:rPr>
          <w:lang w:val="en-GB"/>
        </w:rPr>
        <w:t>high-risk</w:t>
      </w:r>
      <w:r w:rsidR="0084487B" w:rsidRPr="00E5099A">
        <w:rPr>
          <w:lang w:val="en-GB"/>
        </w:rPr>
        <w:t xml:space="preserve"> areas. </w:t>
      </w:r>
      <w:r w:rsidRPr="00E5099A">
        <w:rPr>
          <w:lang w:val="en-GB"/>
        </w:rPr>
        <w:t xml:space="preserve"> </w:t>
      </w:r>
      <w:r w:rsidR="00E80688" w:rsidRPr="00E5099A">
        <w:rPr>
          <w:lang w:val="en-GB"/>
        </w:rPr>
        <w:t xml:space="preserve"> </w:t>
      </w:r>
    </w:p>
    <w:p w14:paraId="24824D7B" w14:textId="02EE448B" w:rsidR="00E80688" w:rsidRDefault="0084487B" w:rsidP="00FA72BD">
      <w:pPr>
        <w:pStyle w:val="BodyText1"/>
        <w:numPr>
          <w:ilvl w:val="0"/>
          <w:numId w:val="9"/>
        </w:numPr>
        <w:rPr>
          <w:lang w:val="en-GB"/>
        </w:rPr>
      </w:pPr>
      <w:r>
        <w:rPr>
          <w:lang w:val="en-GB"/>
        </w:rPr>
        <w:t>Generally training is delivered to university staff during staff induction. It is not known if other personnel</w:t>
      </w:r>
      <w:r w:rsidR="00604C3F">
        <w:rPr>
          <w:lang w:val="en-GB"/>
        </w:rPr>
        <w:t xml:space="preserve">, such as contractors, </w:t>
      </w:r>
      <w:r>
        <w:rPr>
          <w:lang w:val="en-GB"/>
        </w:rPr>
        <w:t>receive training</w:t>
      </w:r>
      <w:r w:rsidR="00E5099A">
        <w:rPr>
          <w:lang w:val="en-GB"/>
        </w:rPr>
        <w:t>.</w:t>
      </w:r>
      <w:r>
        <w:rPr>
          <w:lang w:val="en-GB"/>
        </w:rPr>
        <w:t xml:space="preserve"> </w:t>
      </w:r>
    </w:p>
    <w:p w14:paraId="3E45D6C0" w14:textId="60B83492" w:rsidR="00E80688" w:rsidRDefault="0084487B" w:rsidP="00FA72BD">
      <w:pPr>
        <w:pStyle w:val="BodyText1"/>
        <w:numPr>
          <w:ilvl w:val="0"/>
          <w:numId w:val="9"/>
        </w:numPr>
        <w:rPr>
          <w:lang w:val="en-GB"/>
        </w:rPr>
      </w:pPr>
      <w:r>
        <w:rPr>
          <w:b/>
          <w:bCs/>
          <w:lang w:val="en-GB"/>
        </w:rPr>
        <w:t xml:space="preserve">Two </w:t>
      </w:r>
      <w:r>
        <w:rPr>
          <w:lang w:val="en-GB"/>
        </w:rPr>
        <w:t>universities require staff to undertake r</w:t>
      </w:r>
      <w:r w:rsidR="00E80688">
        <w:rPr>
          <w:lang w:val="en-GB"/>
        </w:rPr>
        <w:t xml:space="preserve">efresher </w:t>
      </w:r>
      <w:r>
        <w:rPr>
          <w:lang w:val="en-GB"/>
        </w:rPr>
        <w:t xml:space="preserve">training, every 2-3 years. </w:t>
      </w:r>
      <w:r w:rsidR="00E80688">
        <w:rPr>
          <w:lang w:val="en-GB"/>
        </w:rPr>
        <w:t xml:space="preserve"> </w:t>
      </w:r>
    </w:p>
    <w:p w14:paraId="3D4D369B" w14:textId="00CECCD9" w:rsidR="00E80688" w:rsidRDefault="000571C2" w:rsidP="00FA72BD">
      <w:pPr>
        <w:pStyle w:val="BodyText1"/>
        <w:numPr>
          <w:ilvl w:val="0"/>
          <w:numId w:val="9"/>
        </w:numPr>
        <w:rPr>
          <w:lang w:val="en-GB"/>
        </w:rPr>
      </w:pPr>
      <w:r>
        <w:rPr>
          <w:lang w:val="en-GB"/>
        </w:rPr>
        <w:lastRenderedPageBreak/>
        <w:t xml:space="preserve">Some other </w:t>
      </w:r>
      <w:r w:rsidR="00E80688">
        <w:rPr>
          <w:lang w:val="en-GB"/>
        </w:rPr>
        <w:t xml:space="preserve">awareness raising activities </w:t>
      </w:r>
      <w:r>
        <w:rPr>
          <w:lang w:val="en-GB"/>
        </w:rPr>
        <w:t xml:space="preserve">were outlined by universities, such as ‘Knowledge Base Articles’ available online, activities for </w:t>
      </w:r>
      <w:r w:rsidRPr="00CD4395">
        <w:rPr>
          <w:rFonts w:asciiTheme="minorHAnsi" w:hAnsiTheme="minorHAnsi" w:cstheme="minorHAnsi"/>
        </w:rPr>
        <w:t>P</w:t>
      </w:r>
      <w:r>
        <w:rPr>
          <w:rFonts w:asciiTheme="minorHAnsi" w:hAnsiTheme="minorHAnsi" w:cstheme="minorHAnsi"/>
        </w:rPr>
        <w:t>rivacy Awareness Week</w:t>
      </w:r>
      <w:r w:rsidRPr="00CD4395">
        <w:rPr>
          <w:rFonts w:asciiTheme="minorHAnsi" w:hAnsiTheme="minorHAnsi" w:cstheme="minorHAnsi"/>
        </w:rPr>
        <w:t xml:space="preserve">, roadshows with tailored presentations, </w:t>
      </w:r>
      <w:r w:rsidR="00604C3F">
        <w:rPr>
          <w:rFonts w:asciiTheme="minorHAnsi" w:hAnsiTheme="minorHAnsi" w:cstheme="minorHAnsi"/>
        </w:rPr>
        <w:t xml:space="preserve">targeted </w:t>
      </w:r>
      <w:r w:rsidRPr="00CD4395">
        <w:rPr>
          <w:rFonts w:asciiTheme="minorHAnsi" w:hAnsiTheme="minorHAnsi" w:cstheme="minorHAnsi"/>
        </w:rPr>
        <w:t xml:space="preserve">workshops, </w:t>
      </w:r>
      <w:r w:rsidR="00604C3F">
        <w:rPr>
          <w:rFonts w:asciiTheme="minorHAnsi" w:hAnsiTheme="minorHAnsi" w:cstheme="minorHAnsi"/>
        </w:rPr>
        <w:t xml:space="preserve">or proactive knowledge </w:t>
      </w:r>
      <w:r w:rsidRPr="00CD4395">
        <w:rPr>
          <w:rFonts w:asciiTheme="minorHAnsi" w:hAnsiTheme="minorHAnsi" w:cstheme="minorHAnsi"/>
        </w:rPr>
        <w:t>campaigns</w:t>
      </w:r>
      <w:r>
        <w:rPr>
          <w:rFonts w:asciiTheme="minorHAnsi" w:hAnsiTheme="minorHAnsi" w:cstheme="minorHAnsi"/>
        </w:rPr>
        <w:t>.</w:t>
      </w:r>
      <w:r w:rsidR="00E80688">
        <w:rPr>
          <w:lang w:val="en-GB"/>
        </w:rPr>
        <w:t xml:space="preserve"> </w:t>
      </w:r>
    </w:p>
    <w:p w14:paraId="3DFFD65B" w14:textId="77B6CD25" w:rsidR="0023739D" w:rsidRPr="00C03516" w:rsidRDefault="001140B1" w:rsidP="0023739D">
      <w:pPr>
        <w:pStyle w:val="Level3Heading"/>
        <w:spacing w:before="120" w:line="360" w:lineRule="auto"/>
        <w:rPr>
          <w:b/>
          <w:bCs/>
          <w:sz w:val="26"/>
          <w:szCs w:val="30"/>
        </w:rPr>
      </w:pPr>
      <w:bookmarkStart w:id="38" w:name="_Toc75517876"/>
      <w:r w:rsidRPr="00D7454E">
        <w:rPr>
          <w:szCs w:val="24"/>
        </w:rPr>
        <w:t>Observations</w:t>
      </w:r>
      <w:bookmarkEnd w:id="38"/>
    </w:p>
    <w:p w14:paraId="412C7036" w14:textId="6A86397E" w:rsidR="004E4395" w:rsidRDefault="00622F72" w:rsidP="00FA72BD">
      <w:pPr>
        <w:pStyle w:val="BodyText1"/>
        <w:numPr>
          <w:ilvl w:val="0"/>
          <w:numId w:val="9"/>
        </w:numPr>
        <w:rPr>
          <w:lang w:val="en-GB"/>
        </w:rPr>
      </w:pPr>
      <w:r>
        <w:rPr>
          <w:lang w:val="en-GB"/>
        </w:rPr>
        <w:t xml:space="preserve">OVIC’s findings in Part 4 of this report are an evaluation of the universities’ policies and procedures that support compliance with IPP 4. </w:t>
      </w:r>
      <w:r w:rsidR="00CF4C1B">
        <w:rPr>
          <w:lang w:val="en-GB"/>
        </w:rPr>
        <w:t>In developing a framework to assess the universities policies and procedure documents, we considered what is best practice for:</w:t>
      </w:r>
    </w:p>
    <w:p w14:paraId="3A588405" w14:textId="419FE200" w:rsidR="00CF4C1B" w:rsidRDefault="00CF4C1B" w:rsidP="00FA72BD">
      <w:pPr>
        <w:pStyle w:val="BodyText"/>
        <w:numPr>
          <w:ilvl w:val="1"/>
          <w:numId w:val="9"/>
        </w:numPr>
        <w:ind w:left="811" w:hanging="357"/>
        <w:rPr>
          <w:lang w:val="en-GB"/>
        </w:rPr>
      </w:pPr>
      <w:r w:rsidRPr="00CF4C1B">
        <w:rPr>
          <w:b/>
          <w:bCs/>
          <w:lang w:val="en-GB"/>
        </w:rPr>
        <w:t xml:space="preserve">Updating policies and procedures </w:t>
      </w:r>
      <w:r>
        <w:rPr>
          <w:lang w:val="en-GB"/>
        </w:rPr>
        <w:t xml:space="preserve">– documents are reviewed and updated regularly and </w:t>
      </w:r>
      <w:r w:rsidRPr="00B12039">
        <w:rPr>
          <w:rFonts w:cs="PostGrotesk-Book"/>
        </w:rPr>
        <w:t>according to the review period specified by the university</w:t>
      </w:r>
      <w:r>
        <w:rPr>
          <w:rFonts w:cs="PostGrotesk-Book"/>
        </w:rPr>
        <w:t>.</w:t>
      </w:r>
    </w:p>
    <w:p w14:paraId="671D7756" w14:textId="234E78D1" w:rsidR="00CF4C1B" w:rsidRDefault="00CF4C1B" w:rsidP="00FA72BD">
      <w:pPr>
        <w:pStyle w:val="BodyText"/>
        <w:numPr>
          <w:ilvl w:val="1"/>
          <w:numId w:val="9"/>
        </w:numPr>
        <w:ind w:left="811" w:hanging="357"/>
        <w:rPr>
          <w:lang w:val="en-GB"/>
        </w:rPr>
      </w:pPr>
      <w:r w:rsidRPr="00CF4C1B">
        <w:rPr>
          <w:b/>
          <w:bCs/>
          <w:lang w:val="en-GB"/>
        </w:rPr>
        <w:t>Staff accountability</w:t>
      </w:r>
      <w:r>
        <w:rPr>
          <w:lang w:val="en-GB"/>
        </w:rPr>
        <w:t xml:space="preserve"> – clearly defined with key areas of </w:t>
      </w:r>
      <w:r>
        <w:rPr>
          <w:rFonts w:cs="PostGrotesk-Book"/>
        </w:rPr>
        <w:t xml:space="preserve">responsibility are assigned and documented. </w:t>
      </w:r>
    </w:p>
    <w:p w14:paraId="42CB47B0" w14:textId="42CA110B" w:rsidR="00CF4C1B" w:rsidRDefault="00CF4C1B" w:rsidP="00FA72BD">
      <w:pPr>
        <w:pStyle w:val="BodyText"/>
        <w:numPr>
          <w:ilvl w:val="1"/>
          <w:numId w:val="9"/>
        </w:numPr>
        <w:ind w:left="811" w:hanging="357"/>
        <w:rPr>
          <w:lang w:val="en-GB"/>
        </w:rPr>
      </w:pPr>
      <w:r w:rsidRPr="00CF4C1B">
        <w:rPr>
          <w:b/>
          <w:bCs/>
          <w:lang w:val="en-GB"/>
        </w:rPr>
        <w:t>Destruction of personal information</w:t>
      </w:r>
      <w:r>
        <w:rPr>
          <w:lang w:val="en-GB"/>
        </w:rPr>
        <w:t xml:space="preserve"> </w:t>
      </w:r>
      <w:r w:rsidR="00143A9E">
        <w:rPr>
          <w:lang w:val="en-GB"/>
        </w:rPr>
        <w:t>–</w:t>
      </w:r>
      <w:r>
        <w:rPr>
          <w:lang w:val="en-GB"/>
        </w:rPr>
        <w:t xml:space="preserve"> </w:t>
      </w:r>
      <w:r w:rsidR="00CF1527" w:rsidRPr="00CF1527">
        <w:rPr>
          <w:lang w:val="en-GB"/>
        </w:rPr>
        <w:t xml:space="preserve">direct readers to consider the purpose of holding the personal information and set out requirements for personnel to consider whether personal information that has been held for a </w:t>
      </w:r>
      <w:r w:rsidR="00CF1527">
        <w:rPr>
          <w:lang w:val="en-GB"/>
        </w:rPr>
        <w:t>specified</w:t>
      </w:r>
      <w:r w:rsidR="00CF1527" w:rsidRPr="00CF1527">
        <w:rPr>
          <w:lang w:val="en-GB"/>
        </w:rPr>
        <w:t xml:space="preserve"> </w:t>
      </w:r>
      <w:r w:rsidR="00143A9E" w:rsidRPr="00CF1527">
        <w:rPr>
          <w:lang w:val="en-GB"/>
        </w:rPr>
        <w:t>period</w:t>
      </w:r>
      <w:r w:rsidR="00CF1527" w:rsidRPr="00CF1527">
        <w:rPr>
          <w:lang w:val="en-GB"/>
        </w:rPr>
        <w:t xml:space="preserve"> should be destroyed or permanently de-identified</w:t>
      </w:r>
      <w:r w:rsidR="00CF1527">
        <w:rPr>
          <w:lang w:val="en-GB"/>
        </w:rPr>
        <w:t>.</w:t>
      </w:r>
    </w:p>
    <w:p w14:paraId="3AE9E742" w14:textId="4220EDD8" w:rsidR="00CF4C1B" w:rsidRPr="00CF1527" w:rsidRDefault="00CF4C1B" w:rsidP="00FA72BD">
      <w:pPr>
        <w:pStyle w:val="BodyText"/>
        <w:numPr>
          <w:ilvl w:val="1"/>
          <w:numId w:val="9"/>
        </w:numPr>
        <w:ind w:left="811" w:hanging="357"/>
        <w:rPr>
          <w:b/>
          <w:bCs/>
          <w:lang w:val="en-GB"/>
        </w:rPr>
      </w:pPr>
      <w:r w:rsidRPr="00CF1527">
        <w:rPr>
          <w:b/>
          <w:bCs/>
          <w:lang w:val="en-GB"/>
        </w:rPr>
        <w:t xml:space="preserve">Data breach response plans </w:t>
      </w:r>
      <w:r w:rsidR="00143A9E" w:rsidRPr="00143A9E">
        <w:rPr>
          <w:lang w:val="en-GB"/>
        </w:rPr>
        <w:t>–</w:t>
      </w:r>
      <w:r w:rsidR="00143A9E">
        <w:rPr>
          <w:b/>
          <w:bCs/>
          <w:lang w:val="en-GB"/>
        </w:rPr>
        <w:t xml:space="preserve"> </w:t>
      </w:r>
      <w:r w:rsidR="00143A9E">
        <w:rPr>
          <w:lang w:val="en-GB"/>
        </w:rPr>
        <w:t xml:space="preserve">response plan covers the key steps and applies to both digital and physical data breaches. </w:t>
      </w:r>
    </w:p>
    <w:p w14:paraId="6831561D" w14:textId="462FE882" w:rsidR="00CF4C1B" w:rsidRPr="00CF1527" w:rsidRDefault="00CF4C1B" w:rsidP="00FA72BD">
      <w:pPr>
        <w:pStyle w:val="BodyText"/>
        <w:numPr>
          <w:ilvl w:val="1"/>
          <w:numId w:val="9"/>
        </w:numPr>
        <w:ind w:left="811" w:hanging="357"/>
        <w:rPr>
          <w:b/>
          <w:bCs/>
          <w:lang w:val="en-GB"/>
        </w:rPr>
      </w:pPr>
      <w:r w:rsidRPr="00CF1527">
        <w:rPr>
          <w:b/>
          <w:bCs/>
          <w:lang w:val="en-GB"/>
        </w:rPr>
        <w:t>Sharing personal information with third parties</w:t>
      </w:r>
      <w:r w:rsidR="00143A9E">
        <w:rPr>
          <w:b/>
          <w:bCs/>
          <w:lang w:val="en-GB"/>
        </w:rPr>
        <w:t xml:space="preserve"> </w:t>
      </w:r>
      <w:r w:rsidR="00143A9E">
        <w:rPr>
          <w:lang w:val="en-GB"/>
        </w:rPr>
        <w:t xml:space="preserve">– policy or procedure sets out when personal information can be shared with third parties and how personal information is protected in those circumstances. </w:t>
      </w:r>
    </w:p>
    <w:p w14:paraId="26C5F179" w14:textId="04E6033C" w:rsidR="00CF4C1B" w:rsidRPr="00CF1527" w:rsidRDefault="00CF4C1B" w:rsidP="00FA72BD">
      <w:pPr>
        <w:pStyle w:val="BodyText"/>
        <w:numPr>
          <w:ilvl w:val="1"/>
          <w:numId w:val="9"/>
        </w:numPr>
        <w:ind w:left="811" w:hanging="357"/>
        <w:rPr>
          <w:b/>
          <w:bCs/>
          <w:lang w:val="en-GB"/>
        </w:rPr>
      </w:pPr>
      <w:r w:rsidRPr="00CF1527">
        <w:rPr>
          <w:b/>
          <w:bCs/>
          <w:lang w:val="en-GB"/>
        </w:rPr>
        <w:t xml:space="preserve">Engaging CSPs that handle personal information </w:t>
      </w:r>
      <w:r w:rsidR="002022D8">
        <w:rPr>
          <w:lang w:val="en-GB"/>
        </w:rPr>
        <w:t xml:space="preserve">– third parties are accounted for in risk assessment processes and contracts are used to require compliance with the PDP Act. </w:t>
      </w:r>
    </w:p>
    <w:p w14:paraId="219E4C6B" w14:textId="166497AA" w:rsidR="001140B1" w:rsidRDefault="00CF4C1B" w:rsidP="00FA72BD">
      <w:pPr>
        <w:pStyle w:val="BodyText"/>
        <w:numPr>
          <w:ilvl w:val="1"/>
          <w:numId w:val="9"/>
        </w:numPr>
        <w:ind w:left="811" w:hanging="357"/>
        <w:rPr>
          <w:b/>
          <w:bCs/>
          <w:lang w:val="en-GB"/>
        </w:rPr>
      </w:pPr>
      <w:r w:rsidRPr="00CF1527">
        <w:rPr>
          <w:b/>
          <w:bCs/>
          <w:lang w:val="en-GB"/>
        </w:rPr>
        <w:t xml:space="preserve">Privacy and information security training </w:t>
      </w:r>
      <w:r w:rsidR="002022D8" w:rsidRPr="002022D8">
        <w:rPr>
          <w:lang w:val="en-GB"/>
        </w:rPr>
        <w:t>–</w:t>
      </w:r>
      <w:r w:rsidR="002022D8">
        <w:rPr>
          <w:b/>
          <w:bCs/>
          <w:lang w:val="en-GB"/>
        </w:rPr>
        <w:t xml:space="preserve"> </w:t>
      </w:r>
      <w:r w:rsidR="002022D8">
        <w:rPr>
          <w:lang w:val="en-GB"/>
        </w:rPr>
        <w:t>training is delivered to all university personnel that has access to or handles personal information on behalf of the university.</w:t>
      </w:r>
    </w:p>
    <w:p w14:paraId="2C1B2229" w14:textId="27FA4AB9" w:rsidR="001140B1" w:rsidRPr="00D7454E" w:rsidRDefault="001140B1" w:rsidP="008C7FBE">
      <w:pPr>
        <w:pStyle w:val="Level3Heading"/>
        <w:spacing w:before="120" w:line="360" w:lineRule="auto"/>
        <w:rPr>
          <w:szCs w:val="24"/>
        </w:rPr>
      </w:pPr>
      <w:bookmarkStart w:id="39" w:name="_Toc75517877"/>
      <w:r w:rsidRPr="00D7454E">
        <w:rPr>
          <w:szCs w:val="24"/>
        </w:rPr>
        <w:t>Recommendations</w:t>
      </w:r>
      <w:bookmarkEnd w:id="39"/>
    </w:p>
    <w:p w14:paraId="70395B9D" w14:textId="4E3913E8" w:rsidR="003D2991" w:rsidRDefault="003D2991" w:rsidP="00FA72BD">
      <w:pPr>
        <w:pStyle w:val="BodyText1"/>
        <w:numPr>
          <w:ilvl w:val="0"/>
          <w:numId w:val="9"/>
        </w:numPr>
        <w:rPr>
          <w:lang w:val="en-GB"/>
        </w:rPr>
      </w:pPr>
      <w:bookmarkStart w:id="40" w:name="_Hlk75166416"/>
      <w:r w:rsidRPr="003D2991">
        <w:rPr>
          <w:lang w:val="en-GB"/>
        </w:rPr>
        <w:t>OVIC recommends Victorian universities consider</w:t>
      </w:r>
      <w:r w:rsidR="00E91B91">
        <w:rPr>
          <w:lang w:val="en-GB"/>
        </w:rPr>
        <w:t>, where they have not already done so</w:t>
      </w:r>
      <w:r w:rsidRPr="003D2991">
        <w:rPr>
          <w:lang w:val="en-GB"/>
        </w:rPr>
        <w:t xml:space="preserve">: </w:t>
      </w:r>
    </w:p>
    <w:p w14:paraId="0259CC83" w14:textId="0328464D" w:rsidR="003D2991" w:rsidRPr="003D2991" w:rsidRDefault="00273219" w:rsidP="00FA72BD">
      <w:pPr>
        <w:pStyle w:val="BodyText"/>
        <w:numPr>
          <w:ilvl w:val="1"/>
          <w:numId w:val="9"/>
        </w:numPr>
        <w:ind w:left="811" w:hanging="357"/>
        <w:rPr>
          <w:lang w:val="en-GB"/>
        </w:rPr>
      </w:pPr>
      <w:r>
        <w:rPr>
          <w:lang w:val="en-GB"/>
        </w:rPr>
        <w:t>i</w:t>
      </w:r>
      <w:r w:rsidR="003D2991">
        <w:rPr>
          <w:lang w:val="en-GB"/>
        </w:rPr>
        <w:t xml:space="preserve">mplementing policies that </w:t>
      </w:r>
      <w:r w:rsidR="003D2991" w:rsidRPr="003E5F80">
        <w:rPr>
          <w:rFonts w:cs="PostGrotesk-Book"/>
        </w:rPr>
        <w:t>clearly set out expectations on staff regarding destruction of personal information.</w:t>
      </w:r>
      <w:r w:rsidR="003D2991">
        <w:rPr>
          <w:rFonts w:cs="PostGrotesk-Book"/>
        </w:rPr>
        <w:t xml:space="preserve"> </w:t>
      </w:r>
      <w:r w:rsidR="003D2991">
        <w:t xml:space="preserve"> </w:t>
      </w:r>
    </w:p>
    <w:p w14:paraId="7CA85AE1" w14:textId="5FF7B263" w:rsidR="003D2991" w:rsidRPr="00EB54DB" w:rsidRDefault="00273219" w:rsidP="00FA72BD">
      <w:pPr>
        <w:pStyle w:val="BodyText"/>
        <w:numPr>
          <w:ilvl w:val="1"/>
          <w:numId w:val="9"/>
        </w:numPr>
        <w:ind w:left="811" w:hanging="357"/>
        <w:rPr>
          <w:lang w:val="en-GB"/>
        </w:rPr>
      </w:pPr>
      <w:r>
        <w:rPr>
          <w:lang w:val="en-GB"/>
        </w:rPr>
        <w:t>i</w:t>
      </w:r>
      <w:r w:rsidR="00EB54DB">
        <w:rPr>
          <w:lang w:val="en-GB"/>
        </w:rPr>
        <w:t xml:space="preserve">ncluding in data breach response plans a step that requires staff to </w:t>
      </w:r>
      <w:r w:rsidR="00EB54DB">
        <w:t>consider whether notification to OVIC is appropriate</w:t>
      </w:r>
      <w:r>
        <w:t>.</w:t>
      </w:r>
    </w:p>
    <w:p w14:paraId="58880345" w14:textId="77777777" w:rsidR="004D68A3" w:rsidRDefault="00273219" w:rsidP="00FA72BD">
      <w:pPr>
        <w:pStyle w:val="BodyText"/>
        <w:numPr>
          <w:ilvl w:val="1"/>
          <w:numId w:val="9"/>
        </w:numPr>
        <w:ind w:left="811" w:hanging="357"/>
        <w:rPr>
          <w:lang w:val="en-GB"/>
        </w:rPr>
      </w:pPr>
      <w:r>
        <w:t>d</w:t>
      </w:r>
      <w:r w:rsidR="00EB54DB">
        <w:t xml:space="preserve">ocumenting </w:t>
      </w:r>
      <w:r w:rsidR="00EB54DB">
        <w:rPr>
          <w:lang w:val="en-GB"/>
        </w:rPr>
        <w:t xml:space="preserve">their approach and requirements </w:t>
      </w:r>
      <w:r>
        <w:rPr>
          <w:lang w:val="en-GB"/>
        </w:rPr>
        <w:t>when</w:t>
      </w:r>
      <w:r w:rsidR="00EB54DB">
        <w:rPr>
          <w:lang w:val="en-GB"/>
        </w:rPr>
        <w:t xml:space="preserve"> sharing</w:t>
      </w:r>
      <w:r>
        <w:rPr>
          <w:lang w:val="en-GB"/>
        </w:rPr>
        <w:t xml:space="preserve"> personal information with third parties</w:t>
      </w:r>
      <w:r w:rsidR="00EB54DB">
        <w:rPr>
          <w:lang w:val="en-GB"/>
        </w:rPr>
        <w:t xml:space="preserve">. </w:t>
      </w:r>
    </w:p>
    <w:p w14:paraId="080DEB2E" w14:textId="74F262F4" w:rsidR="00EB54DB" w:rsidRPr="003D2991" w:rsidRDefault="00273219" w:rsidP="00FA72BD">
      <w:pPr>
        <w:pStyle w:val="BodyText"/>
        <w:numPr>
          <w:ilvl w:val="1"/>
          <w:numId w:val="9"/>
        </w:numPr>
        <w:ind w:left="811" w:hanging="357"/>
        <w:rPr>
          <w:lang w:val="en-GB"/>
        </w:rPr>
      </w:pPr>
      <w:r>
        <w:rPr>
          <w:lang w:val="en-GB"/>
        </w:rPr>
        <w:t>making</w:t>
      </w:r>
      <w:r w:rsidR="00EB54DB">
        <w:rPr>
          <w:lang w:val="en-GB"/>
        </w:rPr>
        <w:t xml:space="preserve"> privacy and information security training </w:t>
      </w:r>
      <w:r>
        <w:rPr>
          <w:lang w:val="en-GB"/>
        </w:rPr>
        <w:t xml:space="preserve">available </w:t>
      </w:r>
      <w:r w:rsidR="00EB54DB">
        <w:rPr>
          <w:lang w:val="en-GB"/>
        </w:rPr>
        <w:t xml:space="preserve">to all personnel that </w:t>
      </w:r>
      <w:r w:rsidR="00E11425">
        <w:rPr>
          <w:lang w:val="en-GB"/>
        </w:rPr>
        <w:t xml:space="preserve">have </w:t>
      </w:r>
      <w:r w:rsidR="00EB54DB">
        <w:rPr>
          <w:lang w:val="en-GB"/>
        </w:rPr>
        <w:t xml:space="preserve">access to personal information held by the university, </w:t>
      </w:r>
      <w:r>
        <w:rPr>
          <w:lang w:val="en-GB"/>
        </w:rPr>
        <w:t>including</w:t>
      </w:r>
      <w:r w:rsidR="00EB54DB">
        <w:rPr>
          <w:lang w:val="en-GB"/>
        </w:rPr>
        <w:t xml:space="preserve"> contractors.</w:t>
      </w:r>
    </w:p>
    <w:bookmarkEnd w:id="40"/>
    <w:p w14:paraId="38318CC7" w14:textId="4045CEE8" w:rsidR="00524717" w:rsidRDefault="00524717">
      <w:pPr>
        <w:rPr>
          <w:rFonts w:cs="National-Book"/>
          <w:color w:val="000000"/>
          <w:sz w:val="22"/>
          <w:szCs w:val="22"/>
        </w:rPr>
      </w:pPr>
      <w:r>
        <w:br w:type="page"/>
      </w:r>
    </w:p>
    <w:p w14:paraId="1E03926C" w14:textId="5B76D2A8" w:rsidR="00F34F9F" w:rsidRPr="00E3459E" w:rsidRDefault="009E536A" w:rsidP="00E3459E">
      <w:pPr>
        <w:pStyle w:val="Level2Heading"/>
        <w:spacing w:before="160" w:after="120"/>
      </w:pPr>
      <w:bookmarkStart w:id="41" w:name="_Toc75517878"/>
      <w:r w:rsidRPr="00E3459E">
        <w:lastRenderedPageBreak/>
        <w:t>P</w:t>
      </w:r>
      <w:r w:rsidR="00DB6EA2" w:rsidRPr="00E3459E">
        <w:t xml:space="preserve">ART </w:t>
      </w:r>
      <w:r w:rsidRPr="00E3459E">
        <w:t>5</w:t>
      </w:r>
      <w:r w:rsidR="00DE18C7" w:rsidRPr="00E3459E">
        <w:t xml:space="preserve"> – </w:t>
      </w:r>
      <w:r w:rsidR="00975B08" w:rsidRPr="00E3459E">
        <w:t xml:space="preserve">Plans for improving </w:t>
      </w:r>
      <w:r w:rsidR="000571C2" w:rsidRPr="00E3459E">
        <w:t xml:space="preserve">information </w:t>
      </w:r>
      <w:proofErr w:type="gramStart"/>
      <w:r w:rsidR="000571C2" w:rsidRPr="00E3459E">
        <w:t>security</w:t>
      </w:r>
      <w:bookmarkEnd w:id="41"/>
      <w:proofErr w:type="gramEnd"/>
      <w:r w:rsidR="000571C2" w:rsidRPr="00E3459E">
        <w:t xml:space="preserve"> </w:t>
      </w:r>
    </w:p>
    <w:p w14:paraId="06BC3B9A" w14:textId="69061662" w:rsidR="00E5099A" w:rsidRPr="00FA72BD" w:rsidRDefault="00E5099A" w:rsidP="00E5099A">
      <w:pPr>
        <w:pStyle w:val="BodyText1"/>
        <w:numPr>
          <w:ilvl w:val="0"/>
          <w:numId w:val="9"/>
        </w:numPr>
        <w:rPr>
          <w:lang w:val="en-GB"/>
        </w:rPr>
      </w:pPr>
      <w:r>
        <w:rPr>
          <w:rFonts w:eastAsia="Times New Roman"/>
          <w:lang w:eastAsia="en-GB"/>
        </w:rPr>
        <w:t>OVIC asked the universities how they ensure continuous improvement of its personal information security. The universities</w:t>
      </w:r>
      <w:r w:rsidR="00F37141">
        <w:rPr>
          <w:rFonts w:eastAsia="Times New Roman"/>
          <w:lang w:eastAsia="en-GB"/>
        </w:rPr>
        <w:t>’</w:t>
      </w:r>
      <w:r>
        <w:rPr>
          <w:rFonts w:eastAsia="Times New Roman"/>
          <w:lang w:eastAsia="en-GB"/>
        </w:rPr>
        <w:t xml:space="preserve"> responses detailed a variety of ways in which they plan to enhance their </w:t>
      </w:r>
      <w:r w:rsidRPr="00FA72BD">
        <w:rPr>
          <w:lang w:val="en-GB"/>
        </w:rPr>
        <w:t xml:space="preserve">security capability. </w:t>
      </w:r>
    </w:p>
    <w:p w14:paraId="6638A860" w14:textId="036ABDDF" w:rsidR="00CD33F8" w:rsidRPr="00FA72BD" w:rsidRDefault="005A1E78" w:rsidP="000E4E87">
      <w:pPr>
        <w:pStyle w:val="BodyText1"/>
        <w:numPr>
          <w:ilvl w:val="0"/>
          <w:numId w:val="9"/>
        </w:numPr>
        <w:rPr>
          <w:lang w:val="en-GB"/>
        </w:rPr>
      </w:pPr>
      <w:r w:rsidRPr="00FA72BD">
        <w:rPr>
          <w:lang w:val="en-GB"/>
        </w:rPr>
        <w:t>Broadly, Victorian universities appear to be focused on</w:t>
      </w:r>
      <w:r w:rsidR="00725EDA" w:rsidRPr="00FA72BD">
        <w:rPr>
          <w:lang w:val="en-GB"/>
        </w:rPr>
        <w:t xml:space="preserve"> emerging cyber security risks</w:t>
      </w:r>
      <w:r w:rsidR="00022519" w:rsidRPr="00FA72BD">
        <w:rPr>
          <w:lang w:val="en-GB"/>
        </w:rPr>
        <w:t xml:space="preserve"> and improving cyber security defences</w:t>
      </w:r>
      <w:r w:rsidR="00725EDA" w:rsidRPr="00FA72BD">
        <w:rPr>
          <w:lang w:val="en-GB"/>
        </w:rPr>
        <w:t xml:space="preserve">. </w:t>
      </w:r>
      <w:r w:rsidRPr="00FA72BD">
        <w:rPr>
          <w:lang w:val="en-GB"/>
        </w:rPr>
        <w:t xml:space="preserve">This </w:t>
      </w:r>
      <w:r w:rsidR="00022519" w:rsidRPr="00FA72BD">
        <w:rPr>
          <w:lang w:val="en-GB"/>
        </w:rPr>
        <w:t>focus aligns with a number of media</w:t>
      </w:r>
      <w:r w:rsidR="007D3BF1" w:rsidRPr="00FA72BD">
        <w:rPr>
          <w:lang w:val="en-GB"/>
        </w:rPr>
        <w:t>/research</w:t>
      </w:r>
      <w:r w:rsidR="00022519" w:rsidRPr="00FA72BD">
        <w:rPr>
          <w:lang w:val="en-GB"/>
        </w:rPr>
        <w:t xml:space="preserve"> articles that explore the increase in phishing and </w:t>
      </w:r>
      <w:r w:rsidR="008353E7" w:rsidRPr="00FA72BD">
        <w:rPr>
          <w:lang w:val="en-GB"/>
        </w:rPr>
        <w:t xml:space="preserve">other </w:t>
      </w:r>
      <w:r w:rsidR="00022519" w:rsidRPr="00FA72BD">
        <w:rPr>
          <w:lang w:val="en-GB"/>
        </w:rPr>
        <w:t xml:space="preserve">cyber security attacks on universities in Australia </w:t>
      </w:r>
      <w:r w:rsidR="008353E7" w:rsidRPr="00FA72BD">
        <w:rPr>
          <w:lang w:val="en-GB"/>
        </w:rPr>
        <w:t xml:space="preserve">over </w:t>
      </w:r>
      <w:r w:rsidR="00022519" w:rsidRPr="00FA72BD">
        <w:rPr>
          <w:lang w:val="en-GB"/>
        </w:rPr>
        <w:t>recent years.</w:t>
      </w:r>
      <w:r w:rsidR="006B1186" w:rsidRPr="00FA72BD">
        <w:rPr>
          <w:lang w:val="en-GB"/>
        </w:rPr>
        <w:t xml:space="preserve"> </w:t>
      </w:r>
    </w:p>
    <w:p w14:paraId="141E7C40" w14:textId="28C540F2" w:rsidR="00481A73" w:rsidRDefault="00C67CC0" w:rsidP="000E4E87">
      <w:pPr>
        <w:pStyle w:val="BodyText1"/>
        <w:numPr>
          <w:ilvl w:val="0"/>
          <w:numId w:val="9"/>
        </w:numPr>
        <w:rPr>
          <w:rFonts w:eastAsia="Times New Roman"/>
          <w:lang w:eastAsia="en-GB"/>
        </w:rPr>
      </w:pPr>
      <w:r w:rsidRPr="00FA72BD">
        <w:rPr>
          <w:lang w:val="en-GB"/>
        </w:rPr>
        <w:t xml:space="preserve">A 2020 research article into Australian </w:t>
      </w:r>
      <w:r w:rsidR="00C778FB" w:rsidRPr="00FA72BD">
        <w:rPr>
          <w:lang w:val="en-GB"/>
        </w:rPr>
        <w:t>u</w:t>
      </w:r>
      <w:r w:rsidRPr="00FA72BD">
        <w:rPr>
          <w:lang w:val="en-GB"/>
        </w:rPr>
        <w:t>niversities reported</w:t>
      </w:r>
      <w:r w:rsidR="007D3BF1" w:rsidRPr="00FA72BD">
        <w:rPr>
          <w:lang w:val="en-GB"/>
        </w:rPr>
        <w:t xml:space="preserve"> th</w:t>
      </w:r>
      <w:r w:rsidR="0063343C" w:rsidRPr="00FA72BD">
        <w:rPr>
          <w:lang w:val="en-GB"/>
        </w:rPr>
        <w:t>at</w:t>
      </w:r>
      <w:r w:rsidRPr="00FA72BD">
        <w:rPr>
          <w:lang w:val="en-GB"/>
        </w:rPr>
        <w:t xml:space="preserve"> </w:t>
      </w:r>
      <w:r w:rsidR="0063343C" w:rsidRPr="00FA72BD">
        <w:rPr>
          <w:lang w:val="en-GB"/>
        </w:rPr>
        <w:t xml:space="preserve">universities </w:t>
      </w:r>
      <w:r w:rsidRPr="00FA72BD">
        <w:rPr>
          <w:lang w:val="en-GB"/>
        </w:rPr>
        <w:t>are becoming an increasingly attractive target for cybercriminals.</w:t>
      </w:r>
      <w:r w:rsidRPr="00FA72BD">
        <w:rPr>
          <w:lang w:val="en-GB"/>
        </w:rPr>
        <w:footnoteReference w:id="10"/>
      </w:r>
      <w:r w:rsidRPr="00FA72BD">
        <w:rPr>
          <w:lang w:val="en-GB"/>
        </w:rPr>
        <w:t xml:space="preserve"> In particular, Australian National University’s data security was at the core of a cyberattack, in which personal data (bank numbers, tax details, </w:t>
      </w:r>
      <w:r w:rsidR="007D3BF1" w:rsidRPr="00FA72BD">
        <w:rPr>
          <w:lang w:val="en-GB"/>
        </w:rPr>
        <w:t>academic</w:t>
      </w:r>
      <w:r>
        <w:rPr>
          <w:rFonts w:eastAsia="Times New Roman"/>
          <w:lang w:eastAsia="en-GB"/>
        </w:rPr>
        <w:t xml:space="preserve"> records and passport details) held by the university w</w:t>
      </w:r>
      <w:r w:rsidR="0063343C">
        <w:rPr>
          <w:rFonts w:eastAsia="Times New Roman"/>
          <w:lang w:eastAsia="en-GB"/>
        </w:rPr>
        <w:t>as</w:t>
      </w:r>
      <w:r>
        <w:rPr>
          <w:rFonts w:eastAsia="Times New Roman"/>
          <w:lang w:eastAsia="en-GB"/>
        </w:rPr>
        <w:t xml:space="preserve"> </w:t>
      </w:r>
      <w:r w:rsidR="007D3BF1">
        <w:rPr>
          <w:rFonts w:eastAsia="Times New Roman"/>
          <w:lang w:eastAsia="en-GB"/>
        </w:rPr>
        <w:t xml:space="preserve">acquired. </w:t>
      </w:r>
      <w:r w:rsidR="007D3BF1">
        <w:rPr>
          <w:rStyle w:val="FootnoteReference"/>
          <w:rFonts w:eastAsia="Times New Roman"/>
          <w:lang w:eastAsia="en-GB"/>
        </w:rPr>
        <w:footnoteReference w:id="11"/>
      </w:r>
      <w:r w:rsidR="0012543E">
        <w:rPr>
          <w:rFonts w:eastAsia="Times New Roman"/>
          <w:lang w:eastAsia="en-GB"/>
        </w:rPr>
        <w:t xml:space="preserve"> Officials believe there is growing concern </w:t>
      </w:r>
      <w:r w:rsidR="0063343C">
        <w:rPr>
          <w:rFonts w:eastAsia="Times New Roman"/>
          <w:lang w:eastAsia="en-GB"/>
        </w:rPr>
        <w:t>that</w:t>
      </w:r>
      <w:r w:rsidR="007D3BF1">
        <w:rPr>
          <w:rFonts w:eastAsia="Times New Roman"/>
          <w:lang w:eastAsia="en-GB"/>
        </w:rPr>
        <w:t xml:space="preserve"> personal information </w:t>
      </w:r>
      <w:r w:rsidR="0012543E">
        <w:rPr>
          <w:rFonts w:eastAsia="Times New Roman"/>
          <w:lang w:eastAsia="en-GB"/>
        </w:rPr>
        <w:t xml:space="preserve">that is </w:t>
      </w:r>
      <w:r w:rsidR="007D3BF1">
        <w:rPr>
          <w:rFonts w:eastAsia="Times New Roman"/>
          <w:lang w:eastAsia="en-GB"/>
        </w:rPr>
        <w:t xml:space="preserve">stolen </w:t>
      </w:r>
      <w:r w:rsidR="0012543E">
        <w:rPr>
          <w:rFonts w:eastAsia="Times New Roman"/>
          <w:lang w:eastAsia="en-GB"/>
        </w:rPr>
        <w:t>is</w:t>
      </w:r>
      <w:r w:rsidR="007D3BF1">
        <w:rPr>
          <w:rFonts w:eastAsia="Times New Roman"/>
          <w:lang w:eastAsia="en-GB"/>
        </w:rPr>
        <w:t xml:space="preserve"> sold to foreign states.</w:t>
      </w:r>
      <w:r w:rsidR="00AA0088">
        <w:rPr>
          <w:rFonts w:eastAsia="Times New Roman"/>
          <w:lang w:eastAsia="en-GB"/>
        </w:rPr>
        <w:t xml:space="preserve"> </w:t>
      </w:r>
      <w:r w:rsidR="0012543E">
        <w:rPr>
          <w:rFonts w:eastAsia="Times New Roman"/>
          <w:lang w:eastAsia="en-GB"/>
        </w:rPr>
        <w:t>Cybersecurity</w:t>
      </w:r>
      <w:r w:rsidR="00AA0088">
        <w:rPr>
          <w:rFonts w:eastAsia="Times New Roman"/>
          <w:lang w:eastAsia="en-GB"/>
        </w:rPr>
        <w:t xml:space="preserve"> attack</w:t>
      </w:r>
      <w:r w:rsidR="0012543E">
        <w:rPr>
          <w:rFonts w:eastAsia="Times New Roman"/>
          <w:lang w:eastAsia="en-GB"/>
        </w:rPr>
        <w:t xml:space="preserve">s have the potential to harm individuals and impact on Australian </w:t>
      </w:r>
      <w:r w:rsidR="0063343C">
        <w:rPr>
          <w:rFonts w:eastAsia="Times New Roman"/>
          <w:lang w:eastAsia="en-GB"/>
        </w:rPr>
        <w:t>u</w:t>
      </w:r>
      <w:r w:rsidR="00AA0088">
        <w:rPr>
          <w:rFonts w:eastAsia="Times New Roman"/>
          <w:lang w:eastAsia="en-GB"/>
        </w:rPr>
        <w:t>niversit</w:t>
      </w:r>
      <w:r w:rsidR="0012543E">
        <w:rPr>
          <w:rFonts w:eastAsia="Times New Roman"/>
          <w:lang w:eastAsia="en-GB"/>
        </w:rPr>
        <w:t>ie</w:t>
      </w:r>
      <w:r w:rsidR="00DA58C2">
        <w:rPr>
          <w:rFonts w:eastAsia="Times New Roman"/>
          <w:lang w:eastAsia="en-GB"/>
        </w:rPr>
        <w:t>s</w:t>
      </w:r>
      <w:r w:rsidR="0012543E">
        <w:rPr>
          <w:rFonts w:eastAsia="Times New Roman"/>
          <w:lang w:eastAsia="en-GB"/>
        </w:rPr>
        <w:t>’</w:t>
      </w:r>
      <w:r w:rsidR="00DA58C2">
        <w:rPr>
          <w:rFonts w:eastAsia="Times New Roman"/>
          <w:lang w:eastAsia="en-GB"/>
        </w:rPr>
        <w:t xml:space="preserve"> </w:t>
      </w:r>
      <w:r w:rsidR="00AA0088">
        <w:rPr>
          <w:rFonts w:eastAsia="Times New Roman"/>
          <w:lang w:eastAsia="en-GB"/>
        </w:rPr>
        <w:t>established relationships with stakeholders.</w:t>
      </w:r>
      <w:r w:rsidR="00F2604A">
        <w:rPr>
          <w:rStyle w:val="FootnoteReference"/>
          <w:rFonts w:eastAsia="Times New Roman"/>
          <w:lang w:eastAsia="en-GB"/>
        </w:rPr>
        <w:footnoteReference w:id="12"/>
      </w:r>
    </w:p>
    <w:p w14:paraId="5920615B" w14:textId="77777777" w:rsidR="00B7347C" w:rsidRPr="00D7454E" w:rsidRDefault="00B7347C" w:rsidP="00B7347C">
      <w:pPr>
        <w:pStyle w:val="Level3Heading"/>
        <w:spacing w:before="120" w:line="360" w:lineRule="auto"/>
        <w:rPr>
          <w:szCs w:val="24"/>
        </w:rPr>
      </w:pPr>
      <w:bookmarkStart w:id="42" w:name="_Toc75517879"/>
      <w:r w:rsidRPr="00D7454E">
        <w:rPr>
          <w:szCs w:val="24"/>
        </w:rPr>
        <w:t>Examination findings</w:t>
      </w:r>
      <w:bookmarkEnd w:id="42"/>
      <w:r w:rsidRPr="00D7454E">
        <w:rPr>
          <w:szCs w:val="24"/>
        </w:rPr>
        <w:t xml:space="preserve"> </w:t>
      </w:r>
    </w:p>
    <w:p w14:paraId="5A0DFFBF" w14:textId="1E99693E" w:rsidR="00676551" w:rsidRPr="00D7454E" w:rsidRDefault="00676551" w:rsidP="00D7454E">
      <w:pPr>
        <w:pStyle w:val="Level4heading"/>
        <w:rPr>
          <w:color w:val="auto"/>
        </w:rPr>
      </w:pPr>
      <w:r w:rsidRPr="00D7454E">
        <w:rPr>
          <w:color w:val="auto"/>
          <w:lang w:val="en-GB"/>
        </w:rPr>
        <w:t xml:space="preserve">Audits and reviews </w:t>
      </w:r>
    </w:p>
    <w:p w14:paraId="33A6F6D3" w14:textId="2C2EB835" w:rsidR="008353E7" w:rsidRDefault="009D6BFA" w:rsidP="000E4E87">
      <w:pPr>
        <w:pStyle w:val="BodyText1"/>
        <w:numPr>
          <w:ilvl w:val="0"/>
          <w:numId w:val="9"/>
        </w:numPr>
        <w:rPr>
          <w:rFonts w:eastAsia="Times New Roman"/>
          <w:lang w:eastAsia="en-GB"/>
        </w:rPr>
      </w:pPr>
      <w:r>
        <w:rPr>
          <w:rFonts w:eastAsia="Times New Roman"/>
          <w:b/>
          <w:bCs/>
          <w:lang w:eastAsia="en-GB"/>
        </w:rPr>
        <w:t>Six</w:t>
      </w:r>
      <w:r w:rsidR="00725EDA">
        <w:rPr>
          <w:rFonts w:eastAsia="Times New Roman"/>
          <w:lang w:eastAsia="en-GB"/>
        </w:rPr>
        <w:t xml:space="preserve"> universities reported that they had recently </w:t>
      </w:r>
      <w:r w:rsidR="00725EDA" w:rsidRPr="00FA72BD">
        <w:rPr>
          <w:lang w:val="en-GB"/>
        </w:rPr>
        <w:t>undergone</w:t>
      </w:r>
      <w:r w:rsidR="00725EDA">
        <w:rPr>
          <w:rFonts w:eastAsia="Times New Roman"/>
          <w:lang w:eastAsia="en-GB"/>
        </w:rPr>
        <w:t xml:space="preserve"> or were undergoing audits </w:t>
      </w:r>
      <w:r w:rsidR="008353E7">
        <w:rPr>
          <w:rFonts w:eastAsia="Times New Roman"/>
          <w:lang w:eastAsia="en-GB"/>
        </w:rPr>
        <w:t xml:space="preserve">or assessments </w:t>
      </w:r>
      <w:r w:rsidR="00725EDA">
        <w:rPr>
          <w:rFonts w:eastAsia="Times New Roman"/>
          <w:lang w:eastAsia="en-GB"/>
        </w:rPr>
        <w:t xml:space="preserve">on several areas </w:t>
      </w:r>
      <w:r w:rsidR="008353E7">
        <w:rPr>
          <w:rFonts w:eastAsia="Times New Roman"/>
          <w:lang w:eastAsia="en-GB"/>
        </w:rPr>
        <w:t xml:space="preserve">(such as policies, systems) </w:t>
      </w:r>
      <w:r w:rsidR="00725EDA">
        <w:rPr>
          <w:rFonts w:eastAsia="Times New Roman"/>
          <w:lang w:eastAsia="en-GB"/>
        </w:rPr>
        <w:t>that relate to personal information security</w:t>
      </w:r>
      <w:r w:rsidR="004C05C5">
        <w:rPr>
          <w:rFonts w:eastAsia="Times New Roman"/>
          <w:lang w:eastAsia="en-GB"/>
        </w:rPr>
        <w:t>. The focus of the audits included:</w:t>
      </w:r>
    </w:p>
    <w:p w14:paraId="271F4AEF" w14:textId="32EF7B0E" w:rsidR="008353E7" w:rsidRDefault="004C05C5" w:rsidP="00FA72BD">
      <w:pPr>
        <w:pStyle w:val="BodyText1"/>
        <w:numPr>
          <w:ilvl w:val="1"/>
          <w:numId w:val="9"/>
        </w:numPr>
        <w:ind w:left="811" w:hanging="357"/>
        <w:rPr>
          <w:rFonts w:eastAsia="Times New Roman"/>
          <w:lang w:eastAsia="en-GB"/>
        </w:rPr>
      </w:pPr>
      <w:r>
        <w:rPr>
          <w:rFonts w:eastAsia="Times New Roman"/>
          <w:lang w:eastAsia="en-GB"/>
        </w:rPr>
        <w:t>P</w:t>
      </w:r>
      <w:r w:rsidR="00E42974">
        <w:rPr>
          <w:rFonts w:eastAsia="Times New Roman"/>
          <w:lang w:eastAsia="en-GB"/>
        </w:rPr>
        <w:t xml:space="preserve">rivacy policies and procedures. </w:t>
      </w:r>
    </w:p>
    <w:p w14:paraId="6ADFEE70" w14:textId="4000E717" w:rsidR="00E42974" w:rsidRDefault="004C05C5" w:rsidP="00FA72BD">
      <w:pPr>
        <w:pStyle w:val="BodyText1"/>
        <w:numPr>
          <w:ilvl w:val="1"/>
          <w:numId w:val="9"/>
        </w:numPr>
        <w:ind w:left="811" w:hanging="357"/>
        <w:rPr>
          <w:rFonts w:eastAsia="Times New Roman"/>
          <w:lang w:eastAsia="en-GB"/>
        </w:rPr>
      </w:pPr>
      <w:r>
        <w:rPr>
          <w:rFonts w:eastAsia="Times New Roman"/>
          <w:lang w:eastAsia="en-GB"/>
        </w:rPr>
        <w:t>The</w:t>
      </w:r>
      <w:r w:rsidR="00E42974">
        <w:rPr>
          <w:rFonts w:eastAsia="Times New Roman"/>
          <w:lang w:eastAsia="en-GB"/>
        </w:rPr>
        <w:t xml:space="preserve"> elements of the Victorian Protective Data Security Framework (which OVIC oversees under Part 4 of the PDP Act) and its application to the university.</w:t>
      </w:r>
    </w:p>
    <w:p w14:paraId="72A17353" w14:textId="2446A320" w:rsidR="00676551" w:rsidRPr="00676551" w:rsidRDefault="004C05C5" w:rsidP="00FA72BD">
      <w:pPr>
        <w:pStyle w:val="BodyText1"/>
        <w:numPr>
          <w:ilvl w:val="1"/>
          <w:numId w:val="9"/>
        </w:numPr>
        <w:ind w:left="811" w:hanging="357"/>
        <w:rPr>
          <w:rFonts w:eastAsia="Times New Roman"/>
          <w:lang w:eastAsia="en-GB"/>
        </w:rPr>
      </w:pPr>
      <w:r>
        <w:rPr>
          <w:rFonts w:eastAsia="Times New Roman"/>
          <w:lang w:eastAsia="en-GB"/>
        </w:rPr>
        <w:t>Reviews of</w:t>
      </w:r>
      <w:r w:rsidR="00676551" w:rsidRPr="00676551">
        <w:rPr>
          <w:rFonts w:eastAsia="Times New Roman"/>
          <w:lang w:eastAsia="en-GB"/>
        </w:rPr>
        <w:t xml:space="preserve"> cybersecurity, information technology, and physical security</w:t>
      </w:r>
      <w:r>
        <w:rPr>
          <w:rFonts w:eastAsia="Times New Roman"/>
          <w:lang w:eastAsia="en-GB"/>
        </w:rPr>
        <w:t xml:space="preserve"> – </w:t>
      </w:r>
      <w:r w:rsidR="00676551" w:rsidRPr="00676551">
        <w:rPr>
          <w:rFonts w:eastAsia="Times New Roman"/>
          <w:lang w:eastAsia="en-GB"/>
        </w:rPr>
        <w:t>focus</w:t>
      </w:r>
      <w:r>
        <w:rPr>
          <w:rFonts w:eastAsia="Times New Roman"/>
          <w:lang w:eastAsia="en-GB"/>
        </w:rPr>
        <w:t xml:space="preserve">ing </w:t>
      </w:r>
      <w:r w:rsidR="00676551" w:rsidRPr="00676551">
        <w:rPr>
          <w:rFonts w:eastAsia="Times New Roman"/>
          <w:lang w:eastAsia="en-GB"/>
        </w:rPr>
        <w:t xml:space="preserve">on access, permissions, and the integration of the risk management framework into localised processes within </w:t>
      </w:r>
      <w:r>
        <w:rPr>
          <w:rFonts w:eastAsia="Times New Roman"/>
          <w:lang w:eastAsia="en-GB"/>
        </w:rPr>
        <w:t>the university</w:t>
      </w:r>
      <w:r w:rsidR="00676551" w:rsidRPr="00676551">
        <w:rPr>
          <w:rFonts w:eastAsia="Times New Roman"/>
          <w:lang w:eastAsia="en-GB"/>
        </w:rPr>
        <w:t xml:space="preserve">. </w:t>
      </w:r>
    </w:p>
    <w:p w14:paraId="73B8E9D9" w14:textId="25354446" w:rsidR="00E42974" w:rsidRDefault="004C05C5" w:rsidP="00FA72BD">
      <w:pPr>
        <w:pStyle w:val="BodyText1"/>
        <w:numPr>
          <w:ilvl w:val="1"/>
          <w:numId w:val="9"/>
        </w:numPr>
        <w:ind w:left="811" w:hanging="357"/>
        <w:rPr>
          <w:rFonts w:eastAsia="Times New Roman"/>
          <w:lang w:eastAsia="en-GB"/>
        </w:rPr>
      </w:pPr>
      <w:r>
        <w:rPr>
          <w:rFonts w:cs="PostGrotesk-Book"/>
        </w:rPr>
        <w:t>S</w:t>
      </w:r>
      <w:r w:rsidR="00E42974" w:rsidRPr="00580A64">
        <w:rPr>
          <w:rFonts w:cs="PostGrotesk-Book"/>
        </w:rPr>
        <w:t>ecurity controls to ensure controls align with ISO 27001</w:t>
      </w:r>
      <w:r w:rsidR="00E42974">
        <w:rPr>
          <w:rFonts w:cs="PostGrotesk-Book"/>
        </w:rPr>
        <w:t xml:space="preserve"> (ISO 27001 is an international standard for managing information security.) </w:t>
      </w:r>
    </w:p>
    <w:p w14:paraId="62CD0621" w14:textId="2824FC5E" w:rsidR="00E42974" w:rsidRDefault="00A2122E" w:rsidP="000E4E87">
      <w:pPr>
        <w:pStyle w:val="BodyText1"/>
        <w:numPr>
          <w:ilvl w:val="0"/>
          <w:numId w:val="9"/>
        </w:numPr>
        <w:rPr>
          <w:rFonts w:eastAsia="Times New Roman"/>
          <w:lang w:eastAsia="en-GB"/>
        </w:rPr>
      </w:pPr>
      <w:r>
        <w:rPr>
          <w:rFonts w:eastAsia="Times New Roman"/>
          <w:b/>
          <w:bCs/>
          <w:lang w:eastAsia="en-GB"/>
        </w:rPr>
        <w:t>Three</w:t>
      </w:r>
      <w:r w:rsidR="00E42974">
        <w:rPr>
          <w:rFonts w:eastAsia="Times New Roman"/>
          <w:lang w:eastAsia="en-GB"/>
        </w:rPr>
        <w:t xml:space="preserve"> universities </w:t>
      </w:r>
      <w:r w:rsidR="00050266">
        <w:rPr>
          <w:rFonts w:eastAsia="Times New Roman"/>
          <w:lang w:eastAsia="en-GB"/>
        </w:rPr>
        <w:t xml:space="preserve">reported </w:t>
      </w:r>
      <w:r w:rsidR="00050266" w:rsidRPr="00FA72BD">
        <w:rPr>
          <w:lang w:val="en-GB"/>
        </w:rPr>
        <w:t>that</w:t>
      </w:r>
      <w:r w:rsidR="00E42974">
        <w:rPr>
          <w:rFonts w:eastAsia="Times New Roman"/>
          <w:lang w:eastAsia="en-GB"/>
        </w:rPr>
        <w:t xml:space="preserve"> they had responded or were currently responding</w:t>
      </w:r>
      <w:r w:rsidR="00050266">
        <w:rPr>
          <w:rFonts w:eastAsia="Times New Roman"/>
          <w:lang w:eastAsia="en-GB"/>
        </w:rPr>
        <w:t xml:space="preserve"> (as </w:t>
      </w:r>
      <w:proofErr w:type="gramStart"/>
      <w:r w:rsidR="00050266">
        <w:rPr>
          <w:rFonts w:eastAsia="Times New Roman"/>
          <w:lang w:eastAsia="en-GB"/>
        </w:rPr>
        <w:t>at</w:t>
      </w:r>
      <w:proofErr w:type="gramEnd"/>
      <w:r w:rsidR="00050266">
        <w:rPr>
          <w:rFonts w:eastAsia="Times New Roman"/>
          <w:lang w:eastAsia="en-GB"/>
        </w:rPr>
        <w:t xml:space="preserve"> November 2020)</w:t>
      </w:r>
      <w:r w:rsidR="00E42974">
        <w:rPr>
          <w:rFonts w:eastAsia="Times New Roman"/>
          <w:lang w:eastAsia="en-GB"/>
        </w:rPr>
        <w:t xml:space="preserve"> to the results of the</w:t>
      </w:r>
      <w:r w:rsidR="0052720E">
        <w:rPr>
          <w:rFonts w:eastAsia="Times New Roman"/>
          <w:lang w:eastAsia="en-GB"/>
        </w:rPr>
        <w:t>ir</w:t>
      </w:r>
      <w:r w:rsidR="00E42974">
        <w:rPr>
          <w:rFonts w:eastAsia="Times New Roman"/>
          <w:lang w:eastAsia="en-GB"/>
        </w:rPr>
        <w:t xml:space="preserve"> audit</w:t>
      </w:r>
      <w:r w:rsidR="0052720E">
        <w:rPr>
          <w:rFonts w:eastAsia="Times New Roman"/>
          <w:lang w:eastAsia="en-GB"/>
        </w:rPr>
        <w:t>s</w:t>
      </w:r>
      <w:r w:rsidR="00E42974">
        <w:rPr>
          <w:rFonts w:eastAsia="Times New Roman"/>
          <w:lang w:eastAsia="en-GB"/>
        </w:rPr>
        <w:t xml:space="preserve">. </w:t>
      </w:r>
      <w:r w:rsidR="00050266">
        <w:rPr>
          <w:rFonts w:eastAsia="Times New Roman"/>
          <w:lang w:eastAsia="en-GB"/>
        </w:rPr>
        <w:t>Universities</w:t>
      </w:r>
      <w:r w:rsidR="0052720E">
        <w:rPr>
          <w:rFonts w:eastAsia="Times New Roman"/>
          <w:lang w:eastAsia="en-GB"/>
        </w:rPr>
        <w:t xml:space="preserve"> r</w:t>
      </w:r>
      <w:r w:rsidR="00E42974">
        <w:rPr>
          <w:rFonts w:eastAsia="Times New Roman"/>
          <w:lang w:eastAsia="en-GB"/>
        </w:rPr>
        <w:t xml:space="preserve">esponses </w:t>
      </w:r>
      <w:r w:rsidR="00050266">
        <w:rPr>
          <w:rFonts w:eastAsia="Times New Roman"/>
          <w:lang w:eastAsia="en-GB"/>
        </w:rPr>
        <w:t xml:space="preserve">to the results </w:t>
      </w:r>
      <w:r w:rsidR="00E42974">
        <w:rPr>
          <w:rFonts w:eastAsia="Times New Roman"/>
          <w:lang w:eastAsia="en-GB"/>
        </w:rPr>
        <w:t>included:</w:t>
      </w:r>
    </w:p>
    <w:p w14:paraId="022C8929" w14:textId="40AFD835" w:rsidR="00E42974" w:rsidRDefault="008C2DED" w:rsidP="00FA72BD">
      <w:pPr>
        <w:pStyle w:val="BodyText1"/>
        <w:numPr>
          <w:ilvl w:val="1"/>
          <w:numId w:val="9"/>
        </w:numPr>
        <w:ind w:left="811" w:hanging="357"/>
        <w:rPr>
          <w:rFonts w:eastAsia="Times New Roman"/>
          <w:lang w:eastAsia="en-GB"/>
        </w:rPr>
      </w:pPr>
      <w:r>
        <w:rPr>
          <w:rFonts w:eastAsia="Times New Roman"/>
          <w:lang w:eastAsia="en-GB"/>
        </w:rPr>
        <w:t xml:space="preserve">Implementing recommendations to improve </w:t>
      </w:r>
      <w:r w:rsidR="00763D32">
        <w:rPr>
          <w:rFonts w:eastAsia="Times New Roman"/>
          <w:lang w:eastAsia="en-GB"/>
        </w:rPr>
        <w:t>information security</w:t>
      </w:r>
      <w:r>
        <w:rPr>
          <w:rFonts w:eastAsia="Times New Roman"/>
          <w:lang w:eastAsia="en-GB"/>
        </w:rPr>
        <w:t xml:space="preserve"> </w:t>
      </w:r>
      <w:proofErr w:type="gramStart"/>
      <w:r w:rsidR="0052720E">
        <w:rPr>
          <w:rFonts w:eastAsia="Times New Roman"/>
          <w:lang w:eastAsia="en-GB"/>
        </w:rPr>
        <w:t>t</w:t>
      </w:r>
      <w:r w:rsidR="00E42974">
        <w:rPr>
          <w:rFonts w:eastAsia="Times New Roman"/>
          <w:lang w:eastAsia="en-GB"/>
        </w:rPr>
        <w:t>raining</w:t>
      </w:r>
      <w:proofErr w:type="gramEnd"/>
    </w:p>
    <w:p w14:paraId="35B70B46" w14:textId="68CE0B56" w:rsidR="00E42974" w:rsidRDefault="00E42974" w:rsidP="00FA72BD">
      <w:pPr>
        <w:pStyle w:val="BodyText1"/>
        <w:numPr>
          <w:ilvl w:val="1"/>
          <w:numId w:val="9"/>
        </w:numPr>
        <w:ind w:left="811" w:hanging="357"/>
        <w:rPr>
          <w:rFonts w:eastAsia="Times New Roman"/>
          <w:lang w:eastAsia="en-GB"/>
        </w:rPr>
      </w:pPr>
      <w:r>
        <w:rPr>
          <w:rFonts w:eastAsia="Times New Roman"/>
          <w:lang w:eastAsia="en-GB"/>
        </w:rPr>
        <w:t>Development of a university wide data governance strategy and project, which included a 2020 cyber security strategy.</w:t>
      </w:r>
    </w:p>
    <w:p w14:paraId="42CB62E7" w14:textId="66593D80" w:rsidR="00C2192E" w:rsidRPr="00D7454E" w:rsidRDefault="00C2192E" w:rsidP="00D7454E">
      <w:pPr>
        <w:pStyle w:val="Level4heading"/>
        <w:rPr>
          <w:color w:val="auto"/>
          <w:lang w:val="en-GB"/>
        </w:rPr>
      </w:pPr>
      <w:r w:rsidRPr="00D7454E">
        <w:rPr>
          <w:color w:val="auto"/>
          <w:lang w:val="en-GB"/>
        </w:rPr>
        <w:lastRenderedPageBreak/>
        <w:t xml:space="preserve">Plans for </w:t>
      </w:r>
      <w:r w:rsidR="00050266" w:rsidRPr="00D7454E">
        <w:rPr>
          <w:color w:val="auto"/>
          <w:lang w:val="en-GB"/>
        </w:rPr>
        <w:t xml:space="preserve">improvement in the short </w:t>
      </w:r>
      <w:proofErr w:type="gramStart"/>
      <w:r w:rsidR="00050266" w:rsidRPr="00D7454E">
        <w:rPr>
          <w:color w:val="auto"/>
          <w:lang w:val="en-GB"/>
        </w:rPr>
        <w:t>term</w:t>
      </w:r>
      <w:proofErr w:type="gramEnd"/>
    </w:p>
    <w:p w14:paraId="430063D7" w14:textId="6BF936C6" w:rsidR="002D213C" w:rsidRDefault="00A63512" w:rsidP="002D213C">
      <w:pPr>
        <w:pStyle w:val="BodyText1"/>
        <w:numPr>
          <w:ilvl w:val="0"/>
          <w:numId w:val="9"/>
        </w:numPr>
        <w:rPr>
          <w:rFonts w:eastAsia="Times New Roman"/>
          <w:lang w:eastAsia="en-GB"/>
        </w:rPr>
      </w:pPr>
      <w:r>
        <w:rPr>
          <w:rFonts w:eastAsia="Times New Roman"/>
          <w:lang w:eastAsia="en-GB"/>
        </w:rPr>
        <w:t>OVIC received information about universities</w:t>
      </w:r>
      <w:r w:rsidR="00F37141">
        <w:rPr>
          <w:rFonts w:eastAsia="Times New Roman"/>
          <w:lang w:eastAsia="en-GB"/>
        </w:rPr>
        <w:t>’</w:t>
      </w:r>
      <w:r>
        <w:rPr>
          <w:rFonts w:eastAsia="Times New Roman"/>
          <w:lang w:eastAsia="en-GB"/>
        </w:rPr>
        <w:t xml:space="preserve"> </w:t>
      </w:r>
      <w:r w:rsidR="00676551" w:rsidRPr="002D213C">
        <w:rPr>
          <w:rFonts w:eastAsia="Times New Roman"/>
          <w:lang w:eastAsia="en-GB"/>
        </w:rPr>
        <w:t>p</w:t>
      </w:r>
      <w:r w:rsidR="00CD33F8" w:rsidRPr="002D213C">
        <w:rPr>
          <w:rFonts w:eastAsia="Times New Roman"/>
          <w:lang w:eastAsia="en-GB"/>
        </w:rPr>
        <w:t>lan</w:t>
      </w:r>
      <w:r w:rsidR="00676551" w:rsidRPr="002D213C">
        <w:rPr>
          <w:rFonts w:eastAsia="Times New Roman"/>
          <w:lang w:eastAsia="en-GB"/>
        </w:rPr>
        <w:t>s</w:t>
      </w:r>
      <w:r w:rsidR="00CD33F8" w:rsidRPr="002D213C">
        <w:rPr>
          <w:rFonts w:eastAsia="Times New Roman"/>
          <w:lang w:eastAsia="en-GB"/>
        </w:rPr>
        <w:t xml:space="preserve"> </w:t>
      </w:r>
      <w:r w:rsidR="00CD33F8">
        <w:rPr>
          <w:rFonts w:eastAsia="Times New Roman"/>
          <w:lang w:eastAsia="en-GB"/>
        </w:rPr>
        <w:t xml:space="preserve">to address identified risks </w:t>
      </w:r>
      <w:r w:rsidR="00676551">
        <w:rPr>
          <w:rFonts w:eastAsia="Times New Roman"/>
          <w:lang w:eastAsia="en-GB"/>
        </w:rPr>
        <w:t>and</w:t>
      </w:r>
      <w:r w:rsidR="00CD33F8" w:rsidRPr="00676551">
        <w:rPr>
          <w:rFonts w:eastAsia="Times New Roman"/>
          <w:lang w:eastAsia="en-GB"/>
        </w:rPr>
        <w:t xml:space="preserve"> mature processes</w:t>
      </w:r>
      <w:r w:rsidR="002D213C">
        <w:rPr>
          <w:rFonts w:eastAsia="Times New Roman"/>
          <w:lang w:eastAsia="en-GB"/>
        </w:rPr>
        <w:t xml:space="preserve">. These </w:t>
      </w:r>
      <w:r w:rsidR="002D213C" w:rsidRPr="00FA72BD">
        <w:rPr>
          <w:lang w:val="en-GB"/>
        </w:rPr>
        <w:t>plans</w:t>
      </w:r>
      <w:r w:rsidR="00676551">
        <w:rPr>
          <w:rFonts w:eastAsia="Times New Roman"/>
          <w:lang w:eastAsia="en-GB"/>
        </w:rPr>
        <w:t xml:space="preserve"> </w:t>
      </w:r>
      <w:r w:rsidR="002D213C">
        <w:rPr>
          <w:rFonts w:eastAsia="Times New Roman"/>
          <w:lang w:eastAsia="en-GB"/>
        </w:rPr>
        <w:t>generally</w:t>
      </w:r>
      <w:r w:rsidR="00C2192E">
        <w:rPr>
          <w:rFonts w:eastAsia="Times New Roman"/>
          <w:lang w:eastAsia="en-GB"/>
        </w:rPr>
        <w:t xml:space="preserve"> showed a </w:t>
      </w:r>
      <w:r w:rsidR="00676551">
        <w:rPr>
          <w:rFonts w:eastAsia="Times New Roman"/>
          <w:lang w:eastAsia="en-GB"/>
        </w:rPr>
        <w:t>focus on cyber security</w:t>
      </w:r>
      <w:r w:rsidR="00DC196F">
        <w:rPr>
          <w:rFonts w:eastAsia="Times New Roman"/>
          <w:lang w:eastAsia="en-GB"/>
        </w:rPr>
        <w:t>, such as plans to implement multi-factor authentication</w:t>
      </w:r>
      <w:r w:rsidR="00C2192E">
        <w:rPr>
          <w:rFonts w:eastAsia="Times New Roman"/>
          <w:lang w:eastAsia="en-GB"/>
        </w:rPr>
        <w:t xml:space="preserve">. </w:t>
      </w:r>
    </w:p>
    <w:p w14:paraId="342A83DF" w14:textId="4BCC0386" w:rsidR="002D213C" w:rsidRPr="002D213C" w:rsidRDefault="00EF2753" w:rsidP="00FA72BD">
      <w:pPr>
        <w:pStyle w:val="BodyText1"/>
        <w:numPr>
          <w:ilvl w:val="1"/>
          <w:numId w:val="9"/>
        </w:numPr>
        <w:ind w:left="811" w:hanging="357"/>
        <w:rPr>
          <w:rFonts w:eastAsia="Times New Roman"/>
          <w:lang w:eastAsia="en-GB"/>
        </w:rPr>
      </w:pPr>
      <w:r w:rsidRPr="008C7FBE">
        <w:rPr>
          <w:rFonts w:eastAsia="Times New Roman"/>
          <w:lang w:eastAsia="en-GB"/>
        </w:rPr>
        <w:t>One</w:t>
      </w:r>
      <w:r w:rsidR="00676551" w:rsidRPr="002D213C">
        <w:rPr>
          <w:rFonts w:eastAsia="Times New Roman"/>
          <w:b/>
          <w:bCs/>
          <w:lang w:eastAsia="en-GB"/>
        </w:rPr>
        <w:t xml:space="preserve"> </w:t>
      </w:r>
      <w:r w:rsidR="00676551" w:rsidRPr="002D213C">
        <w:rPr>
          <w:rFonts w:eastAsia="Times New Roman"/>
          <w:lang w:eastAsia="en-GB"/>
        </w:rPr>
        <w:t>university</w:t>
      </w:r>
      <w:r w:rsidR="002D213C">
        <w:rPr>
          <w:rFonts w:eastAsia="Times New Roman"/>
          <w:lang w:eastAsia="en-GB"/>
        </w:rPr>
        <w:t>’s plans for improvement related to processes for</w:t>
      </w:r>
      <w:r w:rsidR="00676551" w:rsidRPr="002D213C">
        <w:rPr>
          <w:rFonts w:eastAsia="Times New Roman"/>
          <w:lang w:eastAsia="en-GB"/>
        </w:rPr>
        <w:t xml:space="preserve"> procuring IT solutions/equipment. </w:t>
      </w:r>
      <w:r w:rsidR="00C2192E" w:rsidRPr="002D213C">
        <w:rPr>
          <w:rFonts w:eastAsia="Times New Roman"/>
          <w:lang w:eastAsia="en-GB"/>
        </w:rPr>
        <w:t>This</w:t>
      </w:r>
      <w:r w:rsidR="00676551" w:rsidRPr="002D213C">
        <w:rPr>
          <w:rFonts w:eastAsia="Times New Roman"/>
          <w:lang w:eastAsia="en-GB"/>
        </w:rPr>
        <w:t xml:space="preserve"> university explained that it plans to </w:t>
      </w:r>
      <w:r w:rsidR="00676551" w:rsidRPr="002D213C">
        <w:rPr>
          <w:rFonts w:cstheme="minorHAnsi"/>
        </w:rPr>
        <w:t>further embed Privacy Impact Assessment (</w:t>
      </w:r>
      <w:r w:rsidR="00676551" w:rsidRPr="002D213C">
        <w:rPr>
          <w:rFonts w:cstheme="minorHAnsi"/>
          <w:b/>
          <w:bCs/>
        </w:rPr>
        <w:t>PIA</w:t>
      </w:r>
      <w:r w:rsidR="00676551" w:rsidRPr="002D213C">
        <w:rPr>
          <w:rFonts w:cstheme="minorHAnsi"/>
        </w:rPr>
        <w:t>) process into procurement processes.</w:t>
      </w:r>
      <w:r w:rsidR="00B167AE" w:rsidRPr="00B167AE">
        <w:t xml:space="preserve"> </w:t>
      </w:r>
    </w:p>
    <w:p w14:paraId="66B9E514" w14:textId="77777777" w:rsidR="00614F28" w:rsidRPr="00614F28" w:rsidRDefault="00EF2753" w:rsidP="00FA72BD">
      <w:pPr>
        <w:pStyle w:val="BodyText1"/>
        <w:numPr>
          <w:ilvl w:val="1"/>
          <w:numId w:val="9"/>
        </w:numPr>
        <w:ind w:left="811" w:hanging="357"/>
        <w:rPr>
          <w:rFonts w:eastAsia="Times New Roman"/>
          <w:lang w:eastAsia="en-GB"/>
        </w:rPr>
      </w:pPr>
      <w:r w:rsidRPr="00FA72BD">
        <w:rPr>
          <w:rFonts w:eastAsia="Times New Roman"/>
          <w:lang w:eastAsia="en-GB"/>
        </w:rPr>
        <w:t>Another</w:t>
      </w:r>
      <w:r w:rsidRPr="002D213C">
        <w:rPr>
          <w:rFonts w:cstheme="minorHAnsi"/>
        </w:rPr>
        <w:t xml:space="preserve"> university</w:t>
      </w:r>
      <w:r w:rsidR="00B167AE" w:rsidRPr="002D213C">
        <w:rPr>
          <w:rFonts w:cstheme="minorHAnsi"/>
        </w:rPr>
        <w:t xml:space="preserve"> said its cyber team and </w:t>
      </w:r>
      <w:r w:rsidRPr="002D213C">
        <w:rPr>
          <w:rFonts w:cstheme="minorHAnsi"/>
        </w:rPr>
        <w:t>privacy officer</w:t>
      </w:r>
      <w:r w:rsidR="00B167AE" w:rsidRPr="002D213C">
        <w:rPr>
          <w:rFonts w:cstheme="minorHAnsi"/>
        </w:rPr>
        <w:t xml:space="preserve"> jointly released an online tool which consolidates and simplifies the processing of PIAs and ISRAs. The tool has a combined workflow to support integrated assessments. </w:t>
      </w:r>
    </w:p>
    <w:p w14:paraId="17F7FA9E" w14:textId="5400F68A" w:rsidR="00B167AE" w:rsidRPr="00614F28" w:rsidRDefault="00614F28" w:rsidP="00FA72BD">
      <w:pPr>
        <w:pStyle w:val="BodyText1"/>
        <w:numPr>
          <w:ilvl w:val="1"/>
          <w:numId w:val="9"/>
        </w:numPr>
        <w:ind w:left="811" w:hanging="357"/>
        <w:rPr>
          <w:rFonts w:eastAsia="Times New Roman"/>
          <w:lang w:eastAsia="en-GB"/>
        </w:rPr>
      </w:pPr>
      <w:r>
        <w:rPr>
          <w:rFonts w:cstheme="minorHAnsi"/>
        </w:rPr>
        <w:t>A</w:t>
      </w:r>
      <w:r w:rsidR="00EF2753" w:rsidRPr="002D213C">
        <w:rPr>
          <w:rFonts w:cstheme="minorHAnsi"/>
        </w:rPr>
        <w:t xml:space="preserve"> </w:t>
      </w:r>
      <w:r w:rsidR="00EF2753" w:rsidRPr="00FA72BD">
        <w:rPr>
          <w:rFonts w:eastAsia="Times New Roman"/>
          <w:lang w:eastAsia="en-GB"/>
        </w:rPr>
        <w:t>third</w:t>
      </w:r>
      <w:r w:rsidR="00EF2753" w:rsidRPr="002D213C">
        <w:rPr>
          <w:rFonts w:cstheme="minorHAnsi"/>
        </w:rPr>
        <w:t xml:space="preserve"> university explained that is has a ‘cyber safe’ program, which aims to improve</w:t>
      </w:r>
      <w:r w:rsidR="00EF6902" w:rsidRPr="002D213C">
        <w:rPr>
          <w:rFonts w:cstheme="minorHAnsi"/>
        </w:rPr>
        <w:t xml:space="preserve"> the maturity of its vendor management program.</w:t>
      </w:r>
    </w:p>
    <w:p w14:paraId="083D7618" w14:textId="63D0E39A" w:rsidR="00B167AE" w:rsidRPr="00FA72BD" w:rsidRDefault="00EF2753" w:rsidP="00FA72BD">
      <w:pPr>
        <w:pStyle w:val="BodyText1"/>
        <w:numPr>
          <w:ilvl w:val="0"/>
          <w:numId w:val="9"/>
        </w:numPr>
        <w:rPr>
          <w:rFonts w:cstheme="minorHAnsi"/>
        </w:rPr>
      </w:pPr>
      <w:r>
        <w:rPr>
          <w:rFonts w:cstheme="minorHAnsi"/>
        </w:rPr>
        <w:t xml:space="preserve">OVIC also </w:t>
      </w:r>
      <w:r w:rsidRPr="00FA72BD">
        <w:rPr>
          <w:lang w:val="en-GB"/>
        </w:rPr>
        <w:t>received</w:t>
      </w:r>
      <w:r>
        <w:rPr>
          <w:rFonts w:cstheme="minorHAnsi"/>
        </w:rPr>
        <w:t xml:space="preserve"> details about</w:t>
      </w:r>
      <w:r w:rsidR="00B167AE">
        <w:rPr>
          <w:rFonts w:cstheme="minorHAnsi"/>
        </w:rPr>
        <w:t xml:space="preserve"> some </w:t>
      </w:r>
      <w:r>
        <w:rPr>
          <w:rFonts w:cstheme="minorHAnsi"/>
        </w:rPr>
        <w:t>short-term</w:t>
      </w:r>
      <w:r w:rsidR="00B167AE">
        <w:rPr>
          <w:rFonts w:cstheme="minorHAnsi"/>
        </w:rPr>
        <w:t xml:space="preserve"> plans focusing on data governance</w:t>
      </w:r>
      <w:r w:rsidR="00C72D99">
        <w:rPr>
          <w:rFonts w:cstheme="minorHAnsi"/>
        </w:rPr>
        <w:t>, such as</w:t>
      </w:r>
      <w:r w:rsidR="00B167AE">
        <w:rPr>
          <w:rFonts w:cstheme="minorHAnsi"/>
        </w:rPr>
        <w:t>:</w:t>
      </w:r>
    </w:p>
    <w:p w14:paraId="488175A8" w14:textId="34B1ACA1" w:rsidR="00EF2753" w:rsidRPr="00FA72BD" w:rsidRDefault="00B167AE" w:rsidP="00FA72BD">
      <w:pPr>
        <w:pStyle w:val="BodyText1"/>
        <w:numPr>
          <w:ilvl w:val="1"/>
          <w:numId w:val="9"/>
        </w:numPr>
        <w:ind w:left="811" w:hanging="357"/>
        <w:rPr>
          <w:rFonts w:cs="PostGrotesk-Book"/>
        </w:rPr>
      </w:pPr>
      <w:r>
        <w:rPr>
          <w:rFonts w:cstheme="minorHAnsi"/>
        </w:rPr>
        <w:t xml:space="preserve">Work to </w:t>
      </w:r>
      <w:r w:rsidRPr="00FA72BD">
        <w:rPr>
          <w:rFonts w:eastAsia="Times New Roman"/>
          <w:lang w:eastAsia="en-GB"/>
        </w:rPr>
        <w:t>consolidate</w:t>
      </w:r>
      <w:r>
        <w:rPr>
          <w:rFonts w:cstheme="minorHAnsi"/>
        </w:rPr>
        <w:t xml:space="preserve"> existing policies</w:t>
      </w:r>
      <w:r w:rsidRPr="00B167AE">
        <w:rPr>
          <w:rFonts w:cs="PostGrotesk-Book"/>
        </w:rPr>
        <w:t xml:space="preserve"> into a new </w:t>
      </w:r>
      <w:r>
        <w:rPr>
          <w:rFonts w:cs="PostGrotesk-Book"/>
        </w:rPr>
        <w:t xml:space="preserve">Information Management Policy. </w:t>
      </w:r>
      <w:r w:rsidR="00EF2753">
        <w:rPr>
          <w:rFonts w:cs="PostGrotesk-Book"/>
        </w:rPr>
        <w:t>The university i</w:t>
      </w:r>
      <w:r w:rsidRPr="00B167AE">
        <w:rPr>
          <w:rFonts w:cs="PostGrotesk-Book"/>
        </w:rPr>
        <w:t xml:space="preserve">s aiming for the policy to cover all information managed by the university and cover lifecycle stages. </w:t>
      </w:r>
    </w:p>
    <w:p w14:paraId="58AD1584" w14:textId="299DD359" w:rsidR="00B167AE" w:rsidRPr="00C72D99" w:rsidRDefault="00614F28" w:rsidP="00FA72BD">
      <w:pPr>
        <w:pStyle w:val="BodyText1"/>
        <w:numPr>
          <w:ilvl w:val="1"/>
          <w:numId w:val="9"/>
        </w:numPr>
        <w:ind w:left="811" w:hanging="357"/>
        <w:rPr>
          <w:rFonts w:cs="PostGrotesk-Book"/>
        </w:rPr>
      </w:pPr>
      <w:r w:rsidRPr="00B86861">
        <w:rPr>
          <w:rFonts w:cstheme="minorHAnsi"/>
        </w:rPr>
        <w:t>Redrafting</w:t>
      </w:r>
      <w:r w:rsidR="00B167AE">
        <w:rPr>
          <w:rFonts w:cstheme="minorHAnsi"/>
        </w:rPr>
        <w:t xml:space="preserve"> Privacy Guidelines. </w:t>
      </w:r>
      <w:r w:rsidR="00EF2753">
        <w:rPr>
          <w:rFonts w:cstheme="minorHAnsi"/>
        </w:rPr>
        <w:t>The university</w:t>
      </w:r>
      <w:r w:rsidR="00B167AE">
        <w:rPr>
          <w:rFonts w:cstheme="minorHAnsi"/>
        </w:rPr>
        <w:t xml:space="preserve"> aims to publish the guidelines in 2021 and then aims to integrate the guidelines with new specific IT security guidelines, </w:t>
      </w:r>
      <w:proofErr w:type="gramStart"/>
      <w:r w:rsidR="00B167AE">
        <w:rPr>
          <w:rFonts w:cstheme="minorHAnsi"/>
        </w:rPr>
        <w:t>documents</w:t>
      </w:r>
      <w:proofErr w:type="gramEnd"/>
      <w:r w:rsidR="00B167AE">
        <w:rPr>
          <w:rFonts w:cstheme="minorHAnsi"/>
        </w:rPr>
        <w:t xml:space="preserve"> and processes.</w:t>
      </w:r>
    </w:p>
    <w:p w14:paraId="13DFB5B6" w14:textId="462F087F" w:rsidR="00676551" w:rsidRPr="00CA73DE" w:rsidRDefault="00C2192E" w:rsidP="00CA73DE">
      <w:pPr>
        <w:pStyle w:val="Level4heading"/>
        <w:rPr>
          <w:color w:val="auto"/>
          <w:lang w:val="en-GB"/>
        </w:rPr>
      </w:pPr>
      <w:r w:rsidRPr="00CA73DE">
        <w:rPr>
          <w:color w:val="auto"/>
          <w:lang w:val="en-GB"/>
        </w:rPr>
        <w:t>Roadmaps</w:t>
      </w:r>
      <w:r w:rsidR="00614F28" w:rsidRPr="00CA73DE">
        <w:rPr>
          <w:color w:val="auto"/>
          <w:lang w:val="en-GB"/>
        </w:rPr>
        <w:t xml:space="preserve"> and </w:t>
      </w:r>
      <w:r w:rsidRPr="00CA73DE">
        <w:rPr>
          <w:color w:val="auto"/>
          <w:lang w:val="en-GB"/>
        </w:rPr>
        <w:t>long</w:t>
      </w:r>
      <w:r w:rsidR="00EF2753" w:rsidRPr="00CA73DE">
        <w:rPr>
          <w:color w:val="auto"/>
          <w:lang w:val="en-GB"/>
        </w:rPr>
        <w:t>-</w:t>
      </w:r>
      <w:r w:rsidRPr="00CA73DE">
        <w:rPr>
          <w:color w:val="auto"/>
          <w:lang w:val="en-GB"/>
        </w:rPr>
        <w:t xml:space="preserve">term plans </w:t>
      </w:r>
    </w:p>
    <w:p w14:paraId="05974814" w14:textId="6BA21DC5" w:rsidR="00CD33F8" w:rsidRDefault="004C05C5" w:rsidP="000E4E87">
      <w:pPr>
        <w:pStyle w:val="BodyText1"/>
        <w:numPr>
          <w:ilvl w:val="0"/>
          <w:numId w:val="9"/>
        </w:numPr>
        <w:rPr>
          <w:rFonts w:eastAsia="Times New Roman"/>
          <w:lang w:eastAsia="en-GB"/>
        </w:rPr>
      </w:pPr>
      <w:r>
        <w:rPr>
          <w:rFonts w:eastAsia="Times New Roman"/>
          <w:lang w:eastAsia="en-GB"/>
        </w:rPr>
        <w:t>Information provided about r</w:t>
      </w:r>
      <w:r w:rsidR="00CD33F8">
        <w:rPr>
          <w:rFonts w:eastAsia="Times New Roman"/>
          <w:lang w:eastAsia="en-GB"/>
        </w:rPr>
        <w:t xml:space="preserve">oad maps </w:t>
      </w:r>
      <w:r>
        <w:rPr>
          <w:rFonts w:eastAsia="Times New Roman"/>
          <w:lang w:eastAsia="en-GB"/>
        </w:rPr>
        <w:t>also showed a</w:t>
      </w:r>
      <w:r w:rsidR="00CD33F8">
        <w:rPr>
          <w:rFonts w:eastAsia="Times New Roman"/>
          <w:lang w:eastAsia="en-GB"/>
        </w:rPr>
        <w:t xml:space="preserve"> </w:t>
      </w:r>
      <w:r w:rsidR="00492BDE">
        <w:rPr>
          <w:rFonts w:eastAsia="Times New Roman"/>
          <w:lang w:eastAsia="en-GB"/>
        </w:rPr>
        <w:t>strong</w:t>
      </w:r>
      <w:r w:rsidR="00CD33F8">
        <w:rPr>
          <w:rFonts w:eastAsia="Times New Roman"/>
          <w:lang w:eastAsia="en-GB"/>
        </w:rPr>
        <w:t xml:space="preserve"> focus on cyber security.</w:t>
      </w:r>
      <w:r>
        <w:rPr>
          <w:rFonts w:eastAsia="Times New Roman"/>
          <w:lang w:eastAsia="en-GB"/>
        </w:rPr>
        <w:t xml:space="preserve"> </w:t>
      </w:r>
      <w:r w:rsidR="00492BDE">
        <w:rPr>
          <w:rFonts w:eastAsia="Times New Roman"/>
          <w:b/>
          <w:bCs/>
          <w:lang w:eastAsia="en-GB"/>
        </w:rPr>
        <w:t>Six</w:t>
      </w:r>
      <w:r w:rsidR="00DC196F">
        <w:rPr>
          <w:rFonts w:eastAsia="Times New Roman"/>
          <w:lang w:eastAsia="en-GB"/>
        </w:rPr>
        <w:t xml:space="preserve"> universities had a cyber security strategy or similar. </w:t>
      </w:r>
      <w:r>
        <w:rPr>
          <w:rFonts w:eastAsia="Times New Roman"/>
          <w:lang w:eastAsia="en-GB"/>
        </w:rPr>
        <w:t xml:space="preserve">Roadmaps or similar </w:t>
      </w:r>
      <w:r w:rsidR="00C72D99">
        <w:rPr>
          <w:rFonts w:eastAsia="Times New Roman"/>
          <w:lang w:eastAsia="en-GB"/>
        </w:rPr>
        <w:t xml:space="preserve">strategies </w:t>
      </w:r>
      <w:r w:rsidR="00763D32">
        <w:rPr>
          <w:rFonts w:eastAsia="Times New Roman"/>
          <w:lang w:eastAsia="en-GB"/>
        </w:rPr>
        <w:t>included</w:t>
      </w:r>
      <w:r>
        <w:rPr>
          <w:rFonts w:eastAsia="Times New Roman"/>
          <w:lang w:eastAsia="en-GB"/>
        </w:rPr>
        <w:t>:</w:t>
      </w:r>
      <w:r w:rsidR="00CD33F8">
        <w:rPr>
          <w:rFonts w:eastAsia="Times New Roman"/>
          <w:lang w:eastAsia="en-GB"/>
        </w:rPr>
        <w:t xml:space="preserve"> </w:t>
      </w:r>
    </w:p>
    <w:p w14:paraId="78AB89F3" w14:textId="1590D55D" w:rsidR="00C2192E" w:rsidRPr="00FA72BD" w:rsidRDefault="00763D32" w:rsidP="00FA72BD">
      <w:pPr>
        <w:pStyle w:val="BodyText1"/>
        <w:numPr>
          <w:ilvl w:val="1"/>
          <w:numId w:val="9"/>
        </w:numPr>
        <w:ind w:left="811" w:hanging="357"/>
        <w:rPr>
          <w:rFonts w:cstheme="minorHAnsi"/>
        </w:rPr>
      </w:pPr>
      <w:r>
        <w:rPr>
          <w:rFonts w:cstheme="minorHAnsi"/>
        </w:rPr>
        <w:t xml:space="preserve">A </w:t>
      </w:r>
      <w:r w:rsidR="00C70365">
        <w:rPr>
          <w:rFonts w:cstheme="minorHAnsi"/>
        </w:rPr>
        <w:t>c</w:t>
      </w:r>
      <w:r w:rsidR="00C2192E" w:rsidRPr="00B86861">
        <w:rPr>
          <w:rFonts w:cstheme="minorHAnsi"/>
        </w:rPr>
        <w:t>yber</w:t>
      </w:r>
      <w:r w:rsidR="00C2192E">
        <w:rPr>
          <w:rFonts w:cs="PostGrotesk-Book"/>
        </w:rPr>
        <w:t xml:space="preserve"> </w:t>
      </w:r>
      <w:r w:rsidR="00C70365" w:rsidRPr="00FA72BD">
        <w:rPr>
          <w:rFonts w:cstheme="minorHAnsi"/>
        </w:rPr>
        <w:t>s</w:t>
      </w:r>
      <w:r w:rsidR="00C2192E" w:rsidRPr="00FA72BD">
        <w:rPr>
          <w:rFonts w:cstheme="minorHAnsi"/>
        </w:rPr>
        <w:t>ecuri</w:t>
      </w:r>
      <w:r w:rsidR="00C70365" w:rsidRPr="00FA72BD">
        <w:rPr>
          <w:rFonts w:cstheme="minorHAnsi"/>
        </w:rPr>
        <w:t>t</w:t>
      </w:r>
      <w:r w:rsidR="00C2192E" w:rsidRPr="00FA72BD">
        <w:rPr>
          <w:rFonts w:cstheme="minorHAnsi"/>
        </w:rPr>
        <w:t xml:space="preserve">y </w:t>
      </w:r>
      <w:r w:rsidR="00C70365" w:rsidRPr="00FA72BD">
        <w:rPr>
          <w:rFonts w:cstheme="minorHAnsi"/>
        </w:rPr>
        <w:t>s</w:t>
      </w:r>
      <w:r w:rsidR="00C2192E" w:rsidRPr="00FA72BD">
        <w:rPr>
          <w:rFonts w:cstheme="minorHAnsi"/>
        </w:rPr>
        <w:t xml:space="preserve">trategy and </w:t>
      </w:r>
      <w:r w:rsidR="00C70365" w:rsidRPr="00FA72BD">
        <w:rPr>
          <w:rFonts w:cstheme="minorHAnsi"/>
        </w:rPr>
        <w:t>p</w:t>
      </w:r>
      <w:r w:rsidR="00C2192E" w:rsidRPr="00FA72BD">
        <w:rPr>
          <w:rFonts w:cstheme="minorHAnsi"/>
        </w:rPr>
        <w:t xml:space="preserve">rogram of </w:t>
      </w:r>
      <w:r w:rsidR="00C70365" w:rsidRPr="00FA72BD">
        <w:rPr>
          <w:rFonts w:cstheme="minorHAnsi"/>
        </w:rPr>
        <w:t>w</w:t>
      </w:r>
      <w:r w:rsidR="00C2192E" w:rsidRPr="00FA72BD">
        <w:rPr>
          <w:rFonts w:cstheme="minorHAnsi"/>
        </w:rPr>
        <w:t>ork</w:t>
      </w:r>
      <w:r w:rsidR="00DC196F" w:rsidRPr="00FA72BD">
        <w:rPr>
          <w:rFonts w:cstheme="minorHAnsi"/>
        </w:rPr>
        <w:t xml:space="preserve">. </w:t>
      </w:r>
    </w:p>
    <w:p w14:paraId="6ACCFE76" w14:textId="1A5D97BC" w:rsidR="00B86861" w:rsidRPr="00B86861" w:rsidRDefault="00763D32" w:rsidP="00FA72BD">
      <w:pPr>
        <w:pStyle w:val="BodyText1"/>
        <w:numPr>
          <w:ilvl w:val="1"/>
          <w:numId w:val="9"/>
        </w:numPr>
        <w:ind w:left="811" w:hanging="357"/>
        <w:rPr>
          <w:rFonts w:cstheme="minorHAnsi"/>
        </w:rPr>
      </w:pPr>
      <w:r w:rsidRPr="00FA72BD">
        <w:rPr>
          <w:rFonts w:cstheme="minorHAnsi"/>
        </w:rPr>
        <w:t>A c</w:t>
      </w:r>
      <w:r w:rsidR="004C05C5" w:rsidRPr="00FA72BD">
        <w:rPr>
          <w:rFonts w:cstheme="minorHAnsi"/>
        </w:rPr>
        <w:t xml:space="preserve">yber </w:t>
      </w:r>
      <w:r w:rsidR="004C05C5" w:rsidRPr="00B86861">
        <w:rPr>
          <w:rFonts w:cstheme="minorHAnsi"/>
        </w:rPr>
        <w:t>security strategy</w:t>
      </w:r>
      <w:r w:rsidR="00DC196F" w:rsidRPr="00B86861">
        <w:rPr>
          <w:rFonts w:cstheme="minorHAnsi"/>
        </w:rPr>
        <w:t xml:space="preserve"> for 2020-2022. </w:t>
      </w:r>
    </w:p>
    <w:p w14:paraId="5257F9A3" w14:textId="1392CA49" w:rsidR="00B86861" w:rsidRPr="00FA72BD" w:rsidRDefault="00763D32" w:rsidP="00FA72BD">
      <w:pPr>
        <w:pStyle w:val="BodyText1"/>
        <w:numPr>
          <w:ilvl w:val="1"/>
          <w:numId w:val="9"/>
        </w:numPr>
        <w:ind w:left="811" w:hanging="357"/>
        <w:rPr>
          <w:rFonts w:cstheme="minorHAnsi"/>
        </w:rPr>
      </w:pPr>
      <w:r>
        <w:rPr>
          <w:rFonts w:cstheme="minorHAnsi"/>
        </w:rPr>
        <w:t>An i</w:t>
      </w:r>
      <w:r w:rsidR="00DC196F" w:rsidRPr="00B86861">
        <w:rPr>
          <w:rFonts w:cstheme="minorHAnsi"/>
        </w:rPr>
        <w:t xml:space="preserve">nformation security compliance framework </w:t>
      </w:r>
      <w:r w:rsidR="00DC196F" w:rsidRPr="00FA72BD">
        <w:rPr>
          <w:rFonts w:cstheme="minorHAnsi"/>
        </w:rPr>
        <w:t xml:space="preserve">including a </w:t>
      </w:r>
      <w:r w:rsidR="00B167AE" w:rsidRPr="00FA72BD">
        <w:rPr>
          <w:rFonts w:cstheme="minorHAnsi"/>
        </w:rPr>
        <w:t>three-year</w:t>
      </w:r>
      <w:r w:rsidR="00DC196F" w:rsidRPr="00FA72BD">
        <w:rPr>
          <w:rFonts w:cstheme="minorHAnsi"/>
        </w:rPr>
        <w:t xml:space="preserve"> strategic plan, which leverages NIST Cyber Security Framework. </w:t>
      </w:r>
      <w:r w:rsidR="004C05C5" w:rsidRPr="00FA72BD">
        <w:rPr>
          <w:rFonts w:cstheme="minorHAnsi"/>
        </w:rPr>
        <w:t xml:space="preserve"> </w:t>
      </w:r>
    </w:p>
    <w:p w14:paraId="39539702" w14:textId="7B998096" w:rsidR="00B86861" w:rsidRPr="00FA72BD" w:rsidRDefault="00492BDE" w:rsidP="00FA72BD">
      <w:pPr>
        <w:pStyle w:val="BodyText1"/>
        <w:numPr>
          <w:ilvl w:val="1"/>
          <w:numId w:val="9"/>
        </w:numPr>
        <w:ind w:left="811" w:hanging="357"/>
        <w:rPr>
          <w:rFonts w:cs="PostGrotesk-Book"/>
        </w:rPr>
      </w:pPr>
      <w:r w:rsidRPr="00FA72BD">
        <w:rPr>
          <w:rFonts w:cstheme="minorHAnsi"/>
        </w:rPr>
        <w:t>A</w:t>
      </w:r>
      <w:r w:rsidR="00B167AE" w:rsidRPr="00FA72BD">
        <w:rPr>
          <w:rFonts w:cstheme="minorHAnsi"/>
        </w:rPr>
        <w:t xml:space="preserve"> maturity roadmap that involves an assessment conducted annually against industry benchmarks and</w:t>
      </w:r>
      <w:r w:rsidR="00B167AE">
        <w:rPr>
          <w:rFonts w:cs="PostGrotesk-Book"/>
        </w:rPr>
        <w:t xml:space="preserve"> internal standards.</w:t>
      </w:r>
    </w:p>
    <w:p w14:paraId="7F0B9A63" w14:textId="204E2E5D" w:rsidR="00121469" w:rsidRPr="00B77945" w:rsidRDefault="00121469" w:rsidP="00FA72BD">
      <w:pPr>
        <w:pStyle w:val="BodyText1"/>
        <w:numPr>
          <w:ilvl w:val="0"/>
          <w:numId w:val="9"/>
        </w:numPr>
        <w:rPr>
          <w:rFonts w:eastAsia="Times New Roman"/>
          <w:lang w:eastAsia="en-GB"/>
        </w:rPr>
      </w:pPr>
      <w:r w:rsidRPr="00B77945">
        <w:rPr>
          <w:rFonts w:eastAsia="Times New Roman"/>
          <w:lang w:eastAsia="en-GB"/>
        </w:rPr>
        <w:t>OVIC found that</w:t>
      </w:r>
      <w:r w:rsidR="00A16D5B">
        <w:rPr>
          <w:rFonts w:eastAsia="Times New Roman"/>
          <w:lang w:eastAsia="en-GB"/>
        </w:rPr>
        <w:t xml:space="preserve"> only</w:t>
      </w:r>
      <w:r w:rsidRPr="00B77945">
        <w:rPr>
          <w:rFonts w:eastAsia="Times New Roman"/>
          <w:lang w:eastAsia="en-GB"/>
        </w:rPr>
        <w:t xml:space="preserve"> </w:t>
      </w:r>
      <w:r w:rsidR="00492BDE">
        <w:rPr>
          <w:rFonts w:eastAsia="Times New Roman"/>
          <w:b/>
          <w:bCs/>
          <w:lang w:eastAsia="en-GB"/>
        </w:rPr>
        <w:t>three</w:t>
      </w:r>
      <w:r w:rsidRPr="00B77945">
        <w:rPr>
          <w:rFonts w:eastAsia="Times New Roman"/>
          <w:lang w:eastAsia="en-GB"/>
        </w:rPr>
        <w:t xml:space="preserve"> universities </w:t>
      </w:r>
      <w:r w:rsidR="00C70365">
        <w:rPr>
          <w:rFonts w:eastAsia="Times New Roman"/>
          <w:lang w:eastAsia="en-GB"/>
        </w:rPr>
        <w:t xml:space="preserve">reported that they </w:t>
      </w:r>
      <w:r w:rsidRPr="00B77945">
        <w:rPr>
          <w:rFonts w:eastAsia="Times New Roman"/>
          <w:lang w:eastAsia="en-GB"/>
        </w:rPr>
        <w:t>have a risk register that is frequently reviewed</w:t>
      </w:r>
      <w:r w:rsidR="00492BDE">
        <w:rPr>
          <w:rFonts w:eastAsia="Times New Roman"/>
          <w:lang w:eastAsia="en-GB"/>
        </w:rPr>
        <w:t xml:space="preserve"> and </w:t>
      </w:r>
      <w:r w:rsidRPr="00B77945">
        <w:rPr>
          <w:rFonts w:eastAsia="Times New Roman"/>
          <w:lang w:eastAsia="en-GB"/>
        </w:rPr>
        <w:t xml:space="preserve">includes information security risks. </w:t>
      </w:r>
      <w:r w:rsidR="00C72D99">
        <w:rPr>
          <w:rFonts w:eastAsia="Times New Roman"/>
          <w:lang w:eastAsia="en-GB"/>
        </w:rPr>
        <w:t>These r</w:t>
      </w:r>
      <w:r w:rsidRPr="00B77945">
        <w:rPr>
          <w:rFonts w:eastAsia="Times New Roman"/>
          <w:lang w:eastAsia="en-GB"/>
        </w:rPr>
        <w:t>isk registers are reviewed and updated according to the Risk Management Frameworks</w:t>
      </w:r>
      <w:r w:rsidR="00492BDE">
        <w:rPr>
          <w:rFonts w:eastAsia="Times New Roman"/>
          <w:lang w:eastAsia="en-GB"/>
        </w:rPr>
        <w:t>. For example,</w:t>
      </w:r>
      <w:r w:rsidRPr="00B77945">
        <w:rPr>
          <w:rFonts w:eastAsia="Times New Roman"/>
          <w:lang w:eastAsia="en-GB"/>
        </w:rPr>
        <w:t xml:space="preserve"> </w:t>
      </w:r>
      <w:r w:rsidR="00C72D99">
        <w:rPr>
          <w:rFonts w:eastAsia="Times New Roman"/>
          <w:lang w:eastAsia="en-GB"/>
        </w:rPr>
        <w:t xml:space="preserve">the </w:t>
      </w:r>
      <w:r w:rsidRPr="00B77945">
        <w:rPr>
          <w:rFonts w:eastAsia="Times New Roman"/>
          <w:lang w:eastAsia="en-GB"/>
        </w:rPr>
        <w:t xml:space="preserve">Information Technology Services </w:t>
      </w:r>
      <w:r w:rsidR="00C72D99">
        <w:rPr>
          <w:rFonts w:eastAsia="Times New Roman"/>
          <w:lang w:eastAsia="en-GB"/>
        </w:rPr>
        <w:t>area of</w:t>
      </w:r>
      <w:r w:rsidR="00492BDE">
        <w:rPr>
          <w:rFonts w:eastAsia="Times New Roman"/>
          <w:lang w:eastAsia="en-GB"/>
        </w:rPr>
        <w:t xml:space="preserve"> one university</w:t>
      </w:r>
      <w:r w:rsidRPr="00B77945">
        <w:rPr>
          <w:rFonts w:eastAsia="Times New Roman"/>
          <w:lang w:eastAsia="en-GB"/>
        </w:rPr>
        <w:t xml:space="preserve"> </w:t>
      </w:r>
      <w:r w:rsidR="00492BDE">
        <w:rPr>
          <w:rFonts w:eastAsia="Times New Roman"/>
          <w:lang w:eastAsia="en-GB"/>
        </w:rPr>
        <w:t>conducts</w:t>
      </w:r>
      <w:r w:rsidRPr="00B77945">
        <w:rPr>
          <w:rFonts w:eastAsia="Times New Roman"/>
          <w:lang w:eastAsia="en-GB"/>
        </w:rPr>
        <w:t xml:space="preserve"> monthly risk workshops. </w:t>
      </w:r>
      <w:r w:rsidR="00492BDE">
        <w:rPr>
          <w:rFonts w:eastAsia="Times New Roman"/>
          <w:lang w:eastAsia="en-GB"/>
        </w:rPr>
        <w:t xml:space="preserve">Another university said that </w:t>
      </w:r>
      <w:r w:rsidR="00B77945" w:rsidRPr="00B77945">
        <w:rPr>
          <w:rFonts w:eastAsia="Times New Roman"/>
          <w:lang w:eastAsia="en-GB"/>
        </w:rPr>
        <w:t xml:space="preserve">its Risk Management Framework is being updated to align with AS/NZS ISO 31000(2018) Risk Management Standards. </w:t>
      </w:r>
    </w:p>
    <w:p w14:paraId="6342F302" w14:textId="3F4BA6A1" w:rsidR="00F73741" w:rsidRPr="00CA73DE" w:rsidRDefault="00F73741" w:rsidP="00CA73DE">
      <w:pPr>
        <w:pStyle w:val="Level4heading"/>
        <w:rPr>
          <w:color w:val="auto"/>
          <w:lang w:val="en-GB"/>
        </w:rPr>
      </w:pPr>
      <w:r w:rsidRPr="00CA73DE">
        <w:rPr>
          <w:color w:val="auto"/>
          <w:lang w:val="en-GB"/>
        </w:rPr>
        <w:t xml:space="preserve">Addressing new and emerging risks to personal information security </w:t>
      </w:r>
    </w:p>
    <w:p w14:paraId="0FDDBED0" w14:textId="5C2DB785" w:rsidR="00F73741" w:rsidRDefault="00492BDE" w:rsidP="000E4E87">
      <w:pPr>
        <w:pStyle w:val="BodyText1"/>
        <w:numPr>
          <w:ilvl w:val="0"/>
          <w:numId w:val="9"/>
        </w:numPr>
        <w:rPr>
          <w:rFonts w:eastAsia="Times New Roman"/>
          <w:lang w:eastAsia="en-GB"/>
        </w:rPr>
      </w:pPr>
      <w:r>
        <w:rPr>
          <w:rFonts w:eastAsia="Times New Roman"/>
          <w:lang w:eastAsia="en-GB"/>
        </w:rPr>
        <w:t xml:space="preserve">It is </w:t>
      </w:r>
      <w:r w:rsidRPr="000B02F4">
        <w:rPr>
          <w:rFonts w:eastAsia="Times New Roman"/>
          <w:lang w:eastAsia="en-GB"/>
        </w:rPr>
        <w:t>common for</w:t>
      </w:r>
      <w:r>
        <w:rPr>
          <w:rFonts w:eastAsia="Times New Roman"/>
          <w:lang w:eastAsia="en-GB"/>
        </w:rPr>
        <w:t xml:space="preserve"> Victorian universities to be members or attend f</w:t>
      </w:r>
      <w:r w:rsidR="00CD33F8">
        <w:rPr>
          <w:rFonts w:eastAsia="Times New Roman"/>
          <w:lang w:eastAsia="en-GB"/>
        </w:rPr>
        <w:t>orums</w:t>
      </w:r>
      <w:r w:rsidR="00725EDA">
        <w:rPr>
          <w:rFonts w:eastAsia="Times New Roman"/>
          <w:lang w:eastAsia="en-GB"/>
        </w:rPr>
        <w:t xml:space="preserve"> where other universities or organisations share knowledge and collaborate on security practices. </w:t>
      </w:r>
      <w:r>
        <w:rPr>
          <w:rFonts w:eastAsia="Times New Roman"/>
          <w:lang w:eastAsia="en-GB"/>
        </w:rPr>
        <w:t xml:space="preserve">These </w:t>
      </w:r>
      <w:r>
        <w:rPr>
          <w:rFonts w:eastAsia="Times New Roman"/>
          <w:lang w:eastAsia="en-GB"/>
        </w:rPr>
        <w:lastRenderedPageBreak/>
        <w:t>forums appeared to m</w:t>
      </w:r>
      <w:r w:rsidR="00725EDA">
        <w:rPr>
          <w:rFonts w:eastAsia="Times New Roman"/>
          <w:lang w:eastAsia="en-GB"/>
        </w:rPr>
        <w:t xml:space="preserve">ostly </w:t>
      </w:r>
      <w:r>
        <w:rPr>
          <w:rFonts w:eastAsia="Times New Roman"/>
          <w:lang w:eastAsia="en-GB"/>
        </w:rPr>
        <w:t xml:space="preserve">be </w:t>
      </w:r>
      <w:r w:rsidR="00725EDA">
        <w:rPr>
          <w:rFonts w:eastAsia="Times New Roman"/>
          <w:lang w:eastAsia="en-GB"/>
        </w:rPr>
        <w:t>about cyber security</w:t>
      </w:r>
      <w:r w:rsidR="00C72D99">
        <w:rPr>
          <w:rFonts w:eastAsia="Times New Roman"/>
          <w:lang w:eastAsia="en-GB"/>
        </w:rPr>
        <w:t>,</w:t>
      </w:r>
      <w:r>
        <w:rPr>
          <w:rFonts w:eastAsia="Times New Roman"/>
          <w:lang w:eastAsia="en-GB"/>
        </w:rPr>
        <w:t xml:space="preserve"> to assist universities </w:t>
      </w:r>
      <w:r w:rsidR="00DE171B">
        <w:rPr>
          <w:rFonts w:eastAsia="Times New Roman"/>
          <w:lang w:eastAsia="en-GB"/>
        </w:rPr>
        <w:t xml:space="preserve">to keep abreast of the threat landscape. </w:t>
      </w:r>
    </w:p>
    <w:p w14:paraId="640328E3" w14:textId="664A000D" w:rsidR="00CD33F8" w:rsidRDefault="00B77945" w:rsidP="000E4E87">
      <w:pPr>
        <w:pStyle w:val="BodyText1"/>
        <w:numPr>
          <w:ilvl w:val="0"/>
          <w:numId w:val="9"/>
        </w:numPr>
        <w:rPr>
          <w:rFonts w:eastAsia="Times New Roman"/>
          <w:lang w:eastAsia="en-GB"/>
        </w:rPr>
      </w:pPr>
      <w:r>
        <w:rPr>
          <w:rFonts w:eastAsia="Times New Roman"/>
          <w:lang w:eastAsia="en-GB"/>
        </w:rPr>
        <w:t xml:space="preserve">As well as forums, </w:t>
      </w:r>
      <w:r w:rsidR="00DE171B">
        <w:rPr>
          <w:rFonts w:eastAsia="Times New Roman"/>
          <w:b/>
          <w:bCs/>
          <w:lang w:eastAsia="en-GB"/>
        </w:rPr>
        <w:t>five</w:t>
      </w:r>
      <w:r>
        <w:rPr>
          <w:rFonts w:eastAsia="Times New Roman"/>
          <w:lang w:eastAsia="en-GB"/>
        </w:rPr>
        <w:t xml:space="preserve"> universities referred to their PIA processes when OVIC asked if they had a mechanism </w:t>
      </w:r>
      <w:r w:rsidRPr="00BE232F">
        <w:rPr>
          <w:rFonts w:asciiTheme="minorHAnsi" w:hAnsiTheme="minorHAnsi" w:cstheme="minorHAnsi"/>
        </w:rPr>
        <w:t>identify new and emerging risks to personal information as they arise</w:t>
      </w:r>
      <w:r>
        <w:rPr>
          <w:rFonts w:eastAsia="Times New Roman"/>
          <w:lang w:eastAsia="en-GB"/>
        </w:rPr>
        <w:t>.</w:t>
      </w:r>
      <w:r w:rsidR="00DE171B">
        <w:rPr>
          <w:rStyle w:val="FootnoteReference"/>
          <w:rFonts w:eastAsia="Times New Roman"/>
          <w:lang w:eastAsia="en-GB"/>
        </w:rPr>
        <w:footnoteReference w:id="13"/>
      </w:r>
      <w:r>
        <w:rPr>
          <w:rFonts w:eastAsia="Times New Roman"/>
          <w:lang w:eastAsia="en-GB"/>
        </w:rPr>
        <w:t xml:space="preserve"> </w:t>
      </w:r>
    </w:p>
    <w:p w14:paraId="730C9EF7" w14:textId="4B0A4611" w:rsidR="00B77945" w:rsidRPr="0044185F" w:rsidRDefault="00E62E66" w:rsidP="000E4E87">
      <w:pPr>
        <w:pStyle w:val="BodyText1"/>
        <w:numPr>
          <w:ilvl w:val="0"/>
          <w:numId w:val="9"/>
        </w:numPr>
        <w:rPr>
          <w:rFonts w:eastAsia="Times New Roman"/>
          <w:lang w:eastAsia="en-GB"/>
        </w:rPr>
      </w:pPr>
      <w:r>
        <w:rPr>
          <w:rFonts w:eastAsia="Times New Roman"/>
          <w:lang w:eastAsia="en-GB"/>
        </w:rPr>
        <w:t xml:space="preserve">At least </w:t>
      </w:r>
      <w:r>
        <w:rPr>
          <w:rFonts w:eastAsia="Times New Roman"/>
          <w:b/>
          <w:bCs/>
          <w:lang w:eastAsia="en-GB"/>
        </w:rPr>
        <w:t>two</w:t>
      </w:r>
      <w:r w:rsidR="006B1186">
        <w:rPr>
          <w:rFonts w:eastAsia="Times New Roman"/>
          <w:lang w:eastAsia="en-GB"/>
        </w:rPr>
        <w:t xml:space="preserve"> u</w:t>
      </w:r>
      <w:r w:rsidR="00492BDE">
        <w:rPr>
          <w:rFonts w:eastAsia="Times New Roman"/>
          <w:lang w:eastAsia="en-GB"/>
        </w:rPr>
        <w:t>niversities hold f</w:t>
      </w:r>
      <w:r w:rsidR="00B77945">
        <w:rPr>
          <w:rFonts w:eastAsia="Times New Roman"/>
          <w:lang w:eastAsia="en-GB"/>
        </w:rPr>
        <w:t>requent</w:t>
      </w:r>
      <w:r w:rsidR="00492BDE">
        <w:rPr>
          <w:rFonts w:eastAsia="Times New Roman"/>
          <w:lang w:eastAsia="en-GB"/>
        </w:rPr>
        <w:t xml:space="preserve"> internal</w:t>
      </w:r>
      <w:r w:rsidR="00B77945">
        <w:rPr>
          <w:rFonts w:eastAsia="Times New Roman"/>
          <w:lang w:eastAsia="en-GB"/>
        </w:rPr>
        <w:t xml:space="preserve"> meetings </w:t>
      </w:r>
      <w:r w:rsidR="00DE171B">
        <w:rPr>
          <w:rFonts w:eastAsia="Times New Roman"/>
          <w:lang w:eastAsia="en-GB"/>
        </w:rPr>
        <w:t xml:space="preserve">and </w:t>
      </w:r>
      <w:r w:rsidR="00763D32">
        <w:rPr>
          <w:rFonts w:eastAsia="Times New Roman"/>
          <w:lang w:eastAsia="en-GB"/>
        </w:rPr>
        <w:t xml:space="preserve">conduct </w:t>
      </w:r>
      <w:r w:rsidR="00DE171B">
        <w:rPr>
          <w:rFonts w:eastAsia="Times New Roman"/>
          <w:lang w:eastAsia="en-GB"/>
        </w:rPr>
        <w:t>biannual compliance reports</w:t>
      </w:r>
      <w:r w:rsidR="00763D32">
        <w:rPr>
          <w:rFonts w:eastAsia="Times New Roman"/>
          <w:lang w:eastAsia="en-GB"/>
        </w:rPr>
        <w:t>,</w:t>
      </w:r>
      <w:r w:rsidR="00DE171B">
        <w:rPr>
          <w:rFonts w:eastAsia="Times New Roman"/>
          <w:lang w:eastAsia="en-GB"/>
        </w:rPr>
        <w:t xml:space="preserve"> </w:t>
      </w:r>
      <w:r w:rsidR="00B77945">
        <w:rPr>
          <w:rFonts w:eastAsia="Times New Roman"/>
          <w:lang w:eastAsia="en-GB"/>
        </w:rPr>
        <w:t xml:space="preserve">between staff such as </w:t>
      </w:r>
      <w:r w:rsidR="00B77945" w:rsidRPr="00805D95">
        <w:rPr>
          <w:rFonts w:asciiTheme="minorHAnsi" w:hAnsiTheme="minorHAnsi" w:cstheme="minorHAnsi"/>
        </w:rPr>
        <w:t>Risk Manager, Privacy Officer and Senior Manager, Security, Risk and Compliance</w:t>
      </w:r>
      <w:r w:rsidR="00B77945">
        <w:rPr>
          <w:rFonts w:asciiTheme="minorHAnsi" w:hAnsiTheme="minorHAnsi" w:cstheme="minorHAnsi"/>
        </w:rPr>
        <w:t xml:space="preserve">. This </w:t>
      </w:r>
      <w:r w:rsidR="00B77945" w:rsidRPr="00FA72BD">
        <w:rPr>
          <w:rFonts w:eastAsia="Times New Roman"/>
          <w:lang w:eastAsia="en-GB"/>
        </w:rPr>
        <w:t>requires</w:t>
      </w:r>
      <w:r w:rsidR="00B77945">
        <w:rPr>
          <w:rFonts w:asciiTheme="minorHAnsi" w:hAnsiTheme="minorHAnsi" w:cstheme="minorHAnsi"/>
        </w:rPr>
        <w:t xml:space="preserve"> one of those staff members to be informed </w:t>
      </w:r>
      <w:r w:rsidR="00492BDE">
        <w:rPr>
          <w:rFonts w:asciiTheme="minorHAnsi" w:hAnsiTheme="minorHAnsi" w:cstheme="minorHAnsi"/>
        </w:rPr>
        <w:t xml:space="preserve">of new and </w:t>
      </w:r>
      <w:r w:rsidR="00492BDE" w:rsidRPr="0044185F">
        <w:rPr>
          <w:rFonts w:asciiTheme="minorHAnsi" w:hAnsiTheme="minorHAnsi" w:cstheme="minorHAnsi"/>
        </w:rPr>
        <w:t xml:space="preserve">emerging risks to information security </w:t>
      </w:r>
      <w:r w:rsidR="00B77945" w:rsidRPr="0044185F">
        <w:rPr>
          <w:rFonts w:asciiTheme="minorHAnsi" w:hAnsiTheme="minorHAnsi" w:cstheme="minorHAnsi"/>
        </w:rPr>
        <w:t>and share information with the other staff.</w:t>
      </w:r>
    </w:p>
    <w:p w14:paraId="7ADBA1F8" w14:textId="511F909B" w:rsidR="00CD33F8" w:rsidRPr="0044185F" w:rsidRDefault="00492BDE" w:rsidP="000E4E87">
      <w:pPr>
        <w:pStyle w:val="BodyText1"/>
        <w:numPr>
          <w:ilvl w:val="0"/>
          <w:numId w:val="9"/>
        </w:numPr>
        <w:rPr>
          <w:rFonts w:eastAsia="Times New Roman"/>
          <w:lang w:eastAsia="en-GB"/>
        </w:rPr>
      </w:pPr>
      <w:r w:rsidRPr="0044185F">
        <w:rPr>
          <w:rFonts w:eastAsia="Times New Roman"/>
          <w:lang w:eastAsia="en-GB"/>
        </w:rPr>
        <w:t xml:space="preserve">OVIC’s examination found that </w:t>
      </w:r>
      <w:r w:rsidR="00A356F1" w:rsidRPr="0044185F">
        <w:rPr>
          <w:rFonts w:eastAsia="Times New Roman"/>
          <w:lang w:eastAsia="en-GB"/>
        </w:rPr>
        <w:t xml:space="preserve">some </w:t>
      </w:r>
      <w:r w:rsidR="00C72D99" w:rsidRPr="0044185F">
        <w:rPr>
          <w:rFonts w:eastAsia="Times New Roman"/>
          <w:lang w:eastAsia="en-GB"/>
        </w:rPr>
        <w:t>u</w:t>
      </w:r>
      <w:r w:rsidRPr="0044185F">
        <w:rPr>
          <w:rFonts w:eastAsia="Times New Roman"/>
          <w:lang w:eastAsia="en-GB"/>
        </w:rPr>
        <w:t>niversities m</w:t>
      </w:r>
      <w:r w:rsidR="00CD33F8" w:rsidRPr="0044185F">
        <w:rPr>
          <w:rFonts w:eastAsia="Times New Roman"/>
          <w:lang w:eastAsia="en-GB"/>
        </w:rPr>
        <w:t>ay not</w:t>
      </w:r>
      <w:r w:rsidRPr="0044185F">
        <w:rPr>
          <w:rFonts w:eastAsia="Times New Roman"/>
          <w:lang w:eastAsia="en-GB"/>
        </w:rPr>
        <w:t xml:space="preserve"> be</w:t>
      </w:r>
      <w:r w:rsidR="00CD33F8" w:rsidRPr="0044185F">
        <w:rPr>
          <w:rFonts w:eastAsia="Times New Roman"/>
          <w:lang w:eastAsia="en-GB"/>
        </w:rPr>
        <w:t xml:space="preserve"> address</w:t>
      </w:r>
      <w:r w:rsidRPr="0044185F">
        <w:rPr>
          <w:rFonts w:eastAsia="Times New Roman"/>
          <w:lang w:eastAsia="en-GB"/>
        </w:rPr>
        <w:t>ing</w:t>
      </w:r>
      <w:r w:rsidR="00CD33F8" w:rsidRPr="0044185F">
        <w:rPr>
          <w:rFonts w:eastAsia="Times New Roman"/>
          <w:lang w:eastAsia="en-GB"/>
        </w:rPr>
        <w:t xml:space="preserve"> emerging risks </w:t>
      </w:r>
      <w:r w:rsidR="00C72D99" w:rsidRPr="0044185F">
        <w:rPr>
          <w:rFonts w:eastAsia="Times New Roman"/>
          <w:lang w:eastAsia="en-GB"/>
        </w:rPr>
        <w:t>presented by</w:t>
      </w:r>
      <w:r w:rsidR="00CD33F8" w:rsidRPr="0044185F">
        <w:rPr>
          <w:rFonts w:eastAsia="Times New Roman"/>
          <w:lang w:eastAsia="en-GB"/>
        </w:rPr>
        <w:t xml:space="preserve"> staff changes </w:t>
      </w:r>
      <w:r w:rsidR="004658C0" w:rsidRPr="0044185F">
        <w:rPr>
          <w:rFonts w:eastAsia="Times New Roman"/>
          <w:lang w:eastAsia="en-GB"/>
        </w:rPr>
        <w:t>(such as new staff or staff movement)</w:t>
      </w:r>
      <w:r w:rsidR="0044185F" w:rsidRPr="0044185F">
        <w:rPr>
          <w:rFonts w:eastAsia="Times New Roman"/>
          <w:lang w:eastAsia="en-GB"/>
        </w:rPr>
        <w:t xml:space="preserve">. Risks could be caused by staff not knowing information handling requirements or reporting structures (such as in the event of a data breach) or personnel checks not being performed where a staff member moves to a role with access to more sensitive information. </w:t>
      </w:r>
    </w:p>
    <w:p w14:paraId="7CDF2BE4" w14:textId="18658BB1" w:rsidR="00614F28" w:rsidRPr="00CA73DE" w:rsidRDefault="00EA79C9" w:rsidP="00614F28">
      <w:pPr>
        <w:pStyle w:val="Level3Heading"/>
        <w:spacing w:before="120" w:line="360" w:lineRule="auto"/>
        <w:rPr>
          <w:szCs w:val="24"/>
        </w:rPr>
      </w:pPr>
      <w:bookmarkStart w:id="43" w:name="_Toc75517880"/>
      <w:r w:rsidRPr="00CA73DE">
        <w:rPr>
          <w:szCs w:val="24"/>
        </w:rPr>
        <w:t>Observations</w:t>
      </w:r>
      <w:bookmarkEnd w:id="43"/>
    </w:p>
    <w:p w14:paraId="695603DB" w14:textId="11623A7A" w:rsidR="00F73741" w:rsidRDefault="00614F28" w:rsidP="00614F28">
      <w:pPr>
        <w:pStyle w:val="BodyText1"/>
        <w:numPr>
          <w:ilvl w:val="0"/>
          <w:numId w:val="9"/>
        </w:numPr>
        <w:rPr>
          <w:rFonts w:eastAsia="Times New Roman"/>
          <w:lang w:eastAsia="en-GB"/>
        </w:rPr>
      </w:pPr>
      <w:r>
        <w:rPr>
          <w:rFonts w:eastAsia="Times New Roman"/>
          <w:lang w:eastAsia="en-GB"/>
        </w:rPr>
        <w:t xml:space="preserve">PIAs may alert a privacy team to a project that is being considered by a business area that involves new technology. </w:t>
      </w:r>
      <w:r w:rsidR="000B02F4" w:rsidRPr="000B02F4">
        <w:rPr>
          <w:rFonts w:eastAsia="Times New Roman"/>
          <w:lang w:eastAsia="en-GB"/>
        </w:rPr>
        <w:t xml:space="preserve">PIAs may not be a useful tool for identifying all risks, such as an increased </w:t>
      </w:r>
      <w:r w:rsidRPr="000B02F4">
        <w:rPr>
          <w:rFonts w:eastAsia="Times New Roman"/>
          <w:lang w:eastAsia="en-GB"/>
        </w:rPr>
        <w:t>prevalence of hacking attempts.</w:t>
      </w:r>
      <w:r>
        <w:rPr>
          <w:rFonts w:eastAsia="Times New Roman"/>
          <w:lang w:eastAsia="en-GB"/>
        </w:rPr>
        <w:t xml:space="preserve">  </w:t>
      </w:r>
    </w:p>
    <w:p w14:paraId="4D17515A" w14:textId="409CC4DC" w:rsidR="00493101" w:rsidRPr="00E91B91" w:rsidRDefault="00614F28" w:rsidP="00E91B91">
      <w:pPr>
        <w:pStyle w:val="BodyText1"/>
        <w:numPr>
          <w:ilvl w:val="0"/>
          <w:numId w:val="9"/>
        </w:numPr>
        <w:rPr>
          <w:rFonts w:eastAsia="Times New Roman"/>
          <w:lang w:eastAsia="en-GB"/>
        </w:rPr>
      </w:pPr>
      <w:r>
        <w:rPr>
          <w:rFonts w:eastAsia="Times New Roman"/>
          <w:lang w:eastAsia="en-GB"/>
        </w:rPr>
        <w:t xml:space="preserve">It is important for risks </w:t>
      </w:r>
      <w:r w:rsidR="000B02F4">
        <w:rPr>
          <w:rFonts w:eastAsia="Times New Roman"/>
          <w:lang w:eastAsia="en-GB"/>
        </w:rPr>
        <w:t xml:space="preserve">presented by staff changes or restructures </w:t>
      </w:r>
      <w:r w:rsidRPr="000B02F4">
        <w:rPr>
          <w:rFonts w:eastAsia="Times New Roman"/>
          <w:lang w:eastAsia="en-GB"/>
        </w:rPr>
        <w:t xml:space="preserve">to be addressed because </w:t>
      </w:r>
      <w:r w:rsidR="000B02F4">
        <w:rPr>
          <w:rFonts w:eastAsia="Times New Roman"/>
          <w:lang w:eastAsia="en-GB"/>
        </w:rPr>
        <w:t>such changes</w:t>
      </w:r>
      <w:r w:rsidRPr="000B02F4">
        <w:rPr>
          <w:rFonts w:eastAsia="Times New Roman"/>
          <w:lang w:eastAsia="en-GB"/>
        </w:rPr>
        <w:t xml:space="preserve"> can inadvertently lead to an information security incident. For example, where day-to-day processes are not carried out correctly. Restructures can also raise personnel and physical security risks.  </w:t>
      </w:r>
    </w:p>
    <w:sectPr w:rsidR="00493101" w:rsidRPr="00E91B91" w:rsidSect="00D26304">
      <w:pgSz w:w="11900" w:h="16840"/>
      <w:pgMar w:top="1276" w:right="1552" w:bottom="1276" w:left="1560"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D3B1" w14:textId="77777777" w:rsidR="00660CBB" w:rsidRDefault="00660CBB" w:rsidP="00F75F73">
      <w:r>
        <w:separator/>
      </w:r>
    </w:p>
  </w:endnote>
  <w:endnote w:type="continuationSeparator" w:id="0">
    <w:p w14:paraId="1459A3D3" w14:textId="77777777" w:rsidR="00660CBB" w:rsidRDefault="00660CBB" w:rsidP="00F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National-Book">
    <w:altName w:val="Times New Roman"/>
    <w:panose1 w:val="00000000000000000000"/>
    <w:charset w:val="00"/>
    <w:family w:val="auto"/>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variable"/>
    <w:sig w:usb0="00000001"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PostGrotesk-Book">
    <w:altName w:val="Times New Roman"/>
    <w:charset w:val="00"/>
    <w:family w:val="auto"/>
    <w:pitch w:val="variable"/>
    <w:sig w:usb0="00000001" w:usb1="500160F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C2C9" w14:textId="77777777" w:rsidR="004E1E90" w:rsidRDefault="004E1E90"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A7CD4" w14:textId="77777777" w:rsidR="004E1E90" w:rsidRDefault="004E1E90" w:rsidP="00F75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2B11" w14:textId="7A0F7A40" w:rsidR="004E1E90" w:rsidRPr="00A01D5A" w:rsidRDefault="004E1E90" w:rsidP="00437380">
    <w:pPr>
      <w:pStyle w:val="Footer"/>
      <w:framePr w:wrap="none" w:vAnchor="text" w:hAnchor="margin" w:xAlign="right" w:y="1"/>
      <w:rPr>
        <w:rStyle w:val="PageNumber"/>
        <w:color w:val="380094"/>
        <w:sz w:val="20"/>
        <w:szCs w:val="22"/>
      </w:rPr>
    </w:pPr>
    <w:r w:rsidRPr="00A01D5A">
      <w:rPr>
        <w:rStyle w:val="PageNumber"/>
        <w:color w:val="380094"/>
        <w:sz w:val="20"/>
        <w:szCs w:val="22"/>
      </w:rPr>
      <w:fldChar w:fldCharType="begin"/>
    </w:r>
    <w:r w:rsidRPr="00A01D5A">
      <w:rPr>
        <w:rStyle w:val="PageNumber"/>
        <w:color w:val="380094"/>
        <w:sz w:val="20"/>
        <w:szCs w:val="22"/>
      </w:rPr>
      <w:instrText xml:space="preserve">PAGE  </w:instrText>
    </w:r>
    <w:r w:rsidRPr="00A01D5A">
      <w:rPr>
        <w:rStyle w:val="PageNumber"/>
        <w:color w:val="380094"/>
        <w:sz w:val="20"/>
        <w:szCs w:val="22"/>
      </w:rPr>
      <w:fldChar w:fldCharType="separate"/>
    </w:r>
    <w:r>
      <w:rPr>
        <w:rStyle w:val="PageNumber"/>
        <w:noProof/>
        <w:color w:val="380094"/>
        <w:sz w:val="20"/>
        <w:szCs w:val="22"/>
      </w:rPr>
      <w:t>29</w:t>
    </w:r>
    <w:r w:rsidRPr="00A01D5A">
      <w:rPr>
        <w:rStyle w:val="PageNumber"/>
        <w:color w:val="380094"/>
        <w:sz w:val="20"/>
        <w:szCs w:val="22"/>
      </w:rPr>
      <w:fldChar w:fldCharType="end"/>
    </w:r>
  </w:p>
  <w:p w14:paraId="7EB5BCED" w14:textId="77777777" w:rsidR="006C7C9D" w:rsidRPr="00A01D5A" w:rsidRDefault="006C7C9D" w:rsidP="006C7C9D">
    <w:pPr>
      <w:tabs>
        <w:tab w:val="center" w:pos="4513"/>
        <w:tab w:val="right" w:pos="9026"/>
      </w:tabs>
      <w:ind w:right="360"/>
      <w:rPr>
        <w:color w:val="430098"/>
        <w:sz w:val="22"/>
      </w:rPr>
    </w:pPr>
    <w:r w:rsidRPr="00A01D5A">
      <w:rPr>
        <w:rFonts w:cs="Arial"/>
        <w:color w:val="430098"/>
        <w:sz w:val="20"/>
      </w:rPr>
      <w:t xml:space="preserve">Freedom of Information </w:t>
    </w:r>
    <w:r w:rsidRPr="00A01D5A">
      <w:rPr>
        <w:rFonts w:cs="Arial"/>
        <w:color w:val="E5007D"/>
        <w:sz w:val="20"/>
      </w:rPr>
      <w:t>|</w:t>
    </w:r>
    <w:r w:rsidRPr="00A01D5A">
      <w:rPr>
        <w:rFonts w:cs="Arial"/>
        <w:color w:val="430098"/>
        <w:sz w:val="20"/>
      </w:rPr>
      <w:t xml:space="preserve"> Privacy </w:t>
    </w:r>
    <w:r w:rsidRPr="00A01D5A">
      <w:rPr>
        <w:rFonts w:cs="Arial"/>
        <w:color w:val="E5007D"/>
        <w:sz w:val="20"/>
      </w:rPr>
      <w:t>|</w:t>
    </w:r>
    <w:r w:rsidRPr="00A01D5A">
      <w:rPr>
        <w:rFonts w:cs="Arial"/>
        <w:color w:val="430098"/>
        <w:sz w:val="20"/>
      </w:rPr>
      <w:t xml:space="preserve"> Data Protection </w:t>
    </w:r>
  </w:p>
  <w:p w14:paraId="33415F8B" w14:textId="4F655D36" w:rsidR="004E1E90" w:rsidRPr="00A5357D" w:rsidRDefault="004E1E90" w:rsidP="006C7C9D">
    <w:pPr>
      <w:tabs>
        <w:tab w:val="right" w:pos="9026"/>
      </w:tabs>
      <w:ind w:right="360"/>
      <w:rPr>
        <w:b/>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377C" w14:textId="77777777" w:rsidR="004E1E90" w:rsidRPr="0007485C" w:rsidRDefault="004E1E90" w:rsidP="00F265B5">
    <w:pPr>
      <w:tabs>
        <w:tab w:val="center" w:pos="4513"/>
        <w:tab w:val="right" w:pos="9026"/>
      </w:tabs>
      <w:ind w:right="360"/>
      <w:rPr>
        <w:color w:val="430098"/>
      </w:rPr>
    </w:pPr>
    <w:r w:rsidRPr="0007485C">
      <w:rPr>
        <w:rFonts w:cs="Arial"/>
        <w:color w:val="430098"/>
        <w:sz w:val="22"/>
      </w:rPr>
      <w:t xml:space="preserve">Freedom of Information </w:t>
    </w:r>
    <w:r w:rsidRPr="0007485C">
      <w:rPr>
        <w:rFonts w:cs="Arial"/>
        <w:color w:val="E5007D"/>
        <w:sz w:val="22"/>
      </w:rPr>
      <w:t>|</w:t>
    </w:r>
    <w:r w:rsidRPr="0007485C">
      <w:rPr>
        <w:rFonts w:cs="Arial"/>
        <w:color w:val="430098"/>
        <w:sz w:val="22"/>
      </w:rPr>
      <w:t xml:space="preserve"> Privacy </w:t>
    </w:r>
    <w:r w:rsidRPr="0007485C">
      <w:rPr>
        <w:rFonts w:cs="Arial"/>
        <w:color w:val="E5007D"/>
        <w:sz w:val="22"/>
      </w:rPr>
      <w:t>|</w:t>
    </w:r>
    <w:r w:rsidRPr="0007485C">
      <w:rPr>
        <w:rFonts w:cs="Arial"/>
        <w:color w:val="430098"/>
        <w:sz w:val="22"/>
      </w:rPr>
      <w:t xml:space="preserve">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02EE" w14:textId="77777777" w:rsidR="00660CBB" w:rsidRDefault="00660CBB" w:rsidP="00F75F73">
      <w:r>
        <w:separator/>
      </w:r>
    </w:p>
  </w:footnote>
  <w:footnote w:type="continuationSeparator" w:id="0">
    <w:p w14:paraId="1139E39B" w14:textId="77777777" w:rsidR="00660CBB" w:rsidRDefault="00660CBB" w:rsidP="00F75F73">
      <w:r>
        <w:continuationSeparator/>
      </w:r>
    </w:p>
  </w:footnote>
  <w:footnote w:id="1">
    <w:p w14:paraId="198CFFDD" w14:textId="637E4AAA" w:rsidR="004E1E90" w:rsidRDefault="004E1E90">
      <w:pPr>
        <w:pStyle w:val="FootnoteText"/>
      </w:pPr>
      <w:r>
        <w:rPr>
          <w:rStyle w:val="FootnoteReference"/>
        </w:rPr>
        <w:footnoteRef/>
      </w:r>
      <w:r>
        <w:t xml:space="preserve"> VAGO (Victorian Auditor-General’s Office) (2019) </w:t>
      </w:r>
      <w:hyperlink r:id="rId1" w:anchor="33573--1-audit-context" w:history="1">
        <w:r w:rsidRPr="002308F6">
          <w:rPr>
            <w:rStyle w:val="Hyperlink"/>
          </w:rPr>
          <w:t>Results of 2019 Audits: Universities</w:t>
        </w:r>
      </w:hyperlink>
      <w:r>
        <w:rPr>
          <w:u w:color="430098"/>
        </w:rPr>
        <w:t>, State Government of Victoria, accessed on 14 April 2021.</w:t>
      </w:r>
      <w:r>
        <w:t xml:space="preserve"> </w:t>
      </w:r>
    </w:p>
  </w:footnote>
  <w:footnote w:id="2">
    <w:p w14:paraId="2E17C632" w14:textId="77777777" w:rsidR="004E1E90" w:rsidRPr="00CA0089" w:rsidRDefault="004E1E90" w:rsidP="002308F6">
      <w:pPr>
        <w:pStyle w:val="FootnoteText"/>
      </w:pPr>
      <w:r>
        <w:rPr>
          <w:rStyle w:val="FootnoteReference"/>
        </w:rPr>
        <w:footnoteRef/>
      </w:r>
      <w:r>
        <w:t xml:space="preserve"> The listed universities fall within the scope of Part 3 of the PDP Act because they are captured by the definition of ‘university’ in section 1.1.3 of the </w:t>
      </w:r>
      <w:r w:rsidRPr="00CA0089">
        <w:rPr>
          <w:i/>
          <w:iCs/>
        </w:rPr>
        <w:t xml:space="preserve">Education and Training Reform Act 2006 </w:t>
      </w:r>
      <w:r w:rsidRPr="00CA0089">
        <w:t>(Vic).</w:t>
      </w:r>
    </w:p>
  </w:footnote>
  <w:footnote w:id="3">
    <w:p w14:paraId="6D1AA9F8" w14:textId="77777777" w:rsidR="004E1E90" w:rsidRPr="00B7347C" w:rsidRDefault="004E1E90" w:rsidP="004E1E90">
      <w:pPr>
        <w:pStyle w:val="FootnoteText"/>
      </w:pPr>
      <w:r>
        <w:rPr>
          <w:rStyle w:val="FootnoteReference"/>
        </w:rPr>
        <w:footnoteRef/>
      </w:r>
      <w:r>
        <w:t xml:space="preserve"> An article in </w:t>
      </w:r>
      <w:r>
        <w:rPr>
          <w:i/>
          <w:iCs/>
        </w:rPr>
        <w:t xml:space="preserve">iTnews </w:t>
      </w:r>
      <w:r>
        <w:t xml:space="preserve">on 11 March 2021 reported on the views of security staff at the </w:t>
      </w:r>
      <w:r w:rsidRPr="00B93EFF">
        <w:t>Australian Security Intelligence Organisatio</w:t>
      </w:r>
      <w:r>
        <w:t>n and the Department of Home Affairs about the significant and increasing threat of cyber security attacks against the higher education sector in Australia. Ry Crozier (11 March 2021) ‘</w:t>
      </w:r>
      <w:hyperlink r:id="rId2" w:history="1">
        <w:r>
          <w:rPr>
            <w:rStyle w:val="Hyperlink"/>
          </w:rPr>
          <w:t>ASIO's Mike Burgess says he knows who attacked ANU</w:t>
        </w:r>
      </w:hyperlink>
      <w:r>
        <w:t xml:space="preserve">’, </w:t>
      </w:r>
      <w:r>
        <w:rPr>
          <w:i/>
          <w:iCs/>
        </w:rPr>
        <w:t xml:space="preserve">iTnews, </w:t>
      </w:r>
      <w:r>
        <w:t>accessed on 15 April 2021.</w:t>
      </w:r>
    </w:p>
  </w:footnote>
  <w:footnote w:id="4">
    <w:p w14:paraId="32F76EEE" w14:textId="2B753E85" w:rsidR="004E1E90" w:rsidRDefault="004E1E90" w:rsidP="004E1E90">
      <w:pPr>
        <w:pStyle w:val="FootnoteText"/>
      </w:pPr>
      <w:r>
        <w:rPr>
          <w:rStyle w:val="FootnoteReference"/>
        </w:rPr>
        <w:footnoteRef/>
      </w:r>
      <w:r>
        <w:t xml:space="preserve"> While section 84(2)(a) of the PDP Act excludes Victorian universities from the application of Part 4 of the Act, there are some situations where a university also delivers the functions of a TAFE. As TAFE institutions are public entities, Part 4 of the PDP Act may apply to parts of these universities’ activities. There are currently four dual-sector universities within Victoria: RMIT University, Swinburne University of Technology, Victoria University, </w:t>
      </w:r>
      <w:r w:rsidR="00AA10F6">
        <w:t xml:space="preserve">and </w:t>
      </w:r>
      <w:r>
        <w:t xml:space="preserve">Federation University. </w:t>
      </w:r>
    </w:p>
  </w:footnote>
  <w:footnote w:id="5">
    <w:p w14:paraId="6DE4C7CE" w14:textId="3A2A665E" w:rsidR="0002401A" w:rsidRDefault="0002401A">
      <w:pPr>
        <w:pStyle w:val="FootnoteText"/>
      </w:pPr>
      <w:r>
        <w:rPr>
          <w:rStyle w:val="FootnoteReference"/>
        </w:rPr>
        <w:footnoteRef/>
      </w:r>
      <w:r>
        <w:t xml:space="preserve"> During the examination, La Trobe University only provided OVIC with publicly available policies and procedures to assess. It may have achieved a higher rating had OVIC been provided with internal policies and procedures.</w:t>
      </w:r>
    </w:p>
  </w:footnote>
  <w:footnote w:id="6">
    <w:p w14:paraId="463CE0C8" w14:textId="4F7AE63A" w:rsidR="004E1E90" w:rsidRDefault="004E1E90">
      <w:pPr>
        <w:pStyle w:val="FootnoteText"/>
      </w:pPr>
      <w:r>
        <w:rPr>
          <w:rStyle w:val="FootnoteReference"/>
        </w:rPr>
        <w:footnoteRef/>
      </w:r>
      <w:r>
        <w:t xml:space="preserve"> VPS organisations that are covered by Part 4 of PDP Act are required to report on their implementation of the Victoria Protective Data Security Standards (</w:t>
      </w:r>
      <w:r w:rsidRPr="00C76450">
        <w:rPr>
          <w:b/>
          <w:bCs/>
        </w:rPr>
        <w:t>VPDSS</w:t>
      </w:r>
      <w:r>
        <w:t>). Element 2.020 of Standard 2 of the VPDSS is ‘The organisation identifies, documents, and maintains its information assets in an information asset register (IAR) in consultation with its stakeholders.’</w:t>
      </w:r>
    </w:p>
  </w:footnote>
  <w:footnote w:id="7">
    <w:p w14:paraId="28A0DF21" w14:textId="26627D76" w:rsidR="004E1E90" w:rsidRDefault="004E1E90">
      <w:pPr>
        <w:pStyle w:val="FootnoteText"/>
      </w:pPr>
      <w:r>
        <w:rPr>
          <w:rStyle w:val="FootnoteReference"/>
        </w:rPr>
        <w:footnoteRef/>
      </w:r>
      <w:r>
        <w:t xml:space="preserve"> Since November 2020 (when this information was collected), two universities have updated their procedures to set out the requirements to dispose information in greater detail. One of the universities procedure documents now says ‘Temporary records that contain personal information must be destroyed as soon as possible after their stated retention period in the RDA. This ensures that the University meets its obligations under the Data Protection and Privacy Act.’ </w:t>
      </w:r>
    </w:p>
  </w:footnote>
  <w:footnote w:id="8">
    <w:p w14:paraId="77674805" w14:textId="26FC2153" w:rsidR="004E1E90" w:rsidRDefault="004E1E90" w:rsidP="003D2991">
      <w:pPr>
        <w:pStyle w:val="FootnoteText"/>
      </w:pPr>
    </w:p>
  </w:footnote>
  <w:footnote w:id="9">
    <w:p w14:paraId="738A3BF6" w14:textId="5F0E0F85" w:rsidR="001D6CB4" w:rsidRDefault="001D6CB4">
      <w:pPr>
        <w:pStyle w:val="FootnoteText"/>
      </w:pPr>
      <w:r>
        <w:rPr>
          <w:rStyle w:val="FootnoteReference"/>
        </w:rPr>
        <w:footnoteRef/>
      </w:r>
      <w:r>
        <w:t xml:space="preserve"> </w:t>
      </w:r>
      <w:r w:rsidR="00604C3F">
        <w:t xml:space="preserve">For the full text of the IPPs visit </w:t>
      </w:r>
      <w:hyperlink r:id="rId3" w:anchor="_Toc71715918" w:history="1">
        <w:r w:rsidR="00604C3F">
          <w:rPr>
            <w:rStyle w:val="Hyperlink"/>
          </w:rPr>
          <w:t>Information Privacy Principles - Full Text</w:t>
        </w:r>
      </w:hyperlink>
      <w:r w:rsidR="00604C3F">
        <w:t xml:space="preserve">. </w:t>
      </w:r>
    </w:p>
  </w:footnote>
  <w:footnote w:id="10">
    <w:p w14:paraId="28CE4762" w14:textId="5BFF959D" w:rsidR="00C67CC0" w:rsidRDefault="00C67CC0" w:rsidP="007F54F1">
      <w:pPr>
        <w:pStyle w:val="FootnoteText"/>
      </w:pPr>
      <w:r>
        <w:rPr>
          <w:rStyle w:val="FootnoteReference"/>
        </w:rPr>
        <w:footnoteRef/>
      </w:r>
      <w:r>
        <w:t xml:space="preserve"> </w:t>
      </w:r>
      <w:r w:rsidR="00CA063E" w:rsidRPr="00CA063E">
        <w:t xml:space="preserve">Bongiovanni, I., Renaud, K. and Cairns, G. (2020), </w:t>
      </w:r>
      <w:r w:rsidR="00763D32">
        <w:t>‘</w:t>
      </w:r>
      <w:r w:rsidR="00CA063E" w:rsidRPr="00CA063E">
        <w:t>Securing intellectual capital: an exploratory study in Australian universities</w:t>
      </w:r>
      <w:r w:rsidR="00763D32">
        <w:t>’</w:t>
      </w:r>
      <w:r w:rsidR="00CA063E" w:rsidRPr="00CA063E">
        <w:t>, Journal of Intellectual Capital, Vol. 21 No. 3, pp. 481-505</w:t>
      </w:r>
      <w:r w:rsidR="00763D32">
        <w:t>.</w:t>
      </w:r>
      <w:r w:rsidR="00CA063E" w:rsidRPr="00CA063E">
        <w:t xml:space="preserve"> </w:t>
      </w:r>
    </w:p>
  </w:footnote>
  <w:footnote w:id="11">
    <w:p w14:paraId="737D7CE1" w14:textId="771B7C7A" w:rsidR="007D3BF1" w:rsidRDefault="007D3BF1">
      <w:pPr>
        <w:pStyle w:val="FootnoteText"/>
      </w:pPr>
      <w:r>
        <w:rPr>
          <w:rStyle w:val="FootnoteReference"/>
        </w:rPr>
        <w:footnoteRef/>
      </w:r>
      <w:r>
        <w:t xml:space="preserve"> </w:t>
      </w:r>
      <w:r w:rsidR="00763D32">
        <w:t xml:space="preserve">Michael </w:t>
      </w:r>
      <w:r w:rsidR="0038427B" w:rsidRPr="0038427B">
        <w:t>McGowan</w:t>
      </w:r>
      <w:r w:rsidR="0038427B">
        <w:t xml:space="preserve"> (</w:t>
      </w:r>
      <w:r w:rsidR="00763D32">
        <w:t xml:space="preserve">6 June </w:t>
      </w:r>
      <w:r w:rsidR="0038427B">
        <w:t>2019) ‘</w:t>
      </w:r>
      <w:r w:rsidR="0038427B" w:rsidRPr="0038427B">
        <w:t>China behind massive Australian National University hack, intelligence officials say</w:t>
      </w:r>
      <w:r w:rsidR="0038427B">
        <w:t>’</w:t>
      </w:r>
      <w:r w:rsidR="00480B28">
        <w:t xml:space="preserve">, </w:t>
      </w:r>
      <w:r w:rsidR="00480B28" w:rsidRPr="008C7FBE">
        <w:rPr>
          <w:i/>
          <w:iCs/>
        </w:rPr>
        <w:t>The Guardian</w:t>
      </w:r>
      <w:r w:rsidR="00763D32">
        <w:t>, accessed 25 May 2021.</w:t>
      </w:r>
    </w:p>
  </w:footnote>
  <w:footnote w:id="12">
    <w:p w14:paraId="5C9618A4" w14:textId="7E5280F8" w:rsidR="00F2604A" w:rsidRDefault="00F2604A">
      <w:pPr>
        <w:pStyle w:val="FootnoteText"/>
      </w:pPr>
      <w:r>
        <w:rPr>
          <w:rStyle w:val="FootnoteReference"/>
        </w:rPr>
        <w:footnoteRef/>
      </w:r>
      <w:r>
        <w:t xml:space="preserve"> </w:t>
      </w:r>
      <w:r w:rsidR="00CA063E" w:rsidRPr="00CA063E">
        <w:t xml:space="preserve">Bongiovanni, I., Renaud, K. and Cairns, G. (2020), </w:t>
      </w:r>
      <w:r w:rsidR="0012543E">
        <w:t>‘</w:t>
      </w:r>
      <w:r w:rsidR="00CA063E" w:rsidRPr="00CA063E">
        <w:t>Securing intellectual capital: an exploratory study in Australian universities</w:t>
      </w:r>
      <w:r w:rsidR="0012543E">
        <w:t>’</w:t>
      </w:r>
      <w:r w:rsidR="00CA063E" w:rsidRPr="00CA063E">
        <w:t xml:space="preserve">, Journal of Intellectual Capital, Vol. 21 No. 3, pp. 481-505. </w:t>
      </w:r>
    </w:p>
  </w:footnote>
  <w:footnote w:id="13">
    <w:p w14:paraId="27116E3D" w14:textId="7CC36CC8" w:rsidR="004E1E90" w:rsidRDefault="004E1E90">
      <w:pPr>
        <w:pStyle w:val="FootnoteText"/>
      </w:pPr>
      <w:r>
        <w:rPr>
          <w:rStyle w:val="FootnoteReference"/>
        </w:rPr>
        <w:footnoteRef/>
      </w:r>
      <w:r>
        <w:t xml:space="preserve"> In addition to the five universities who referred to PIA processes in response to this question, other universities referred to their PIA processes throughout the questionnaire.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9D3C" w14:textId="77777777" w:rsidR="004E1E90" w:rsidRDefault="004E1E90" w:rsidP="000F0B1D">
    <w:pPr>
      <w:pStyle w:val="Header"/>
      <w:tabs>
        <w:tab w:val="clear" w:pos="4513"/>
        <w:tab w:val="clear" w:pos="9026"/>
        <w:tab w:val="left" w:pos="6946"/>
      </w:tabs>
      <w:spacing w:after="180"/>
      <w:rPr>
        <w:color w:val="7F7F7F"/>
        <w:sz w:val="26"/>
        <w:szCs w:val="26"/>
      </w:rPr>
    </w:pPr>
    <w:r>
      <w:rPr>
        <w:noProof/>
        <w:lang w:val="en-US"/>
      </w:rPr>
      <w:drawing>
        <wp:anchor distT="0" distB="0" distL="114300" distR="114300" simplePos="0" relativeHeight="251656192" behindDoc="0" locked="0" layoutInCell="1" allowOverlap="1" wp14:anchorId="63F2C979" wp14:editId="742802F7">
          <wp:simplePos x="0" y="0"/>
          <wp:positionH relativeFrom="column">
            <wp:posOffset>5234305</wp:posOffset>
          </wp:positionH>
          <wp:positionV relativeFrom="paragraph">
            <wp:posOffset>-454660</wp:posOffset>
          </wp:positionV>
          <wp:extent cx="1600200" cy="1067181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671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3E06C008" wp14:editId="2401C7F4">
          <wp:simplePos x="0" y="0"/>
          <wp:positionH relativeFrom="column">
            <wp:posOffset>19050</wp:posOffset>
          </wp:positionH>
          <wp:positionV relativeFrom="paragraph">
            <wp:posOffset>233680</wp:posOffset>
          </wp:positionV>
          <wp:extent cx="2578100" cy="1190625"/>
          <wp:effectExtent l="0" t="0" r="0" b="0"/>
          <wp:wrapThrough wrapText="bothSides">
            <wp:wrapPolygon edited="0">
              <wp:start x="1436" y="0"/>
              <wp:lineTo x="0" y="2074"/>
              <wp:lineTo x="0" y="8986"/>
              <wp:lineTo x="958" y="11059"/>
              <wp:lineTo x="160" y="14170"/>
              <wp:lineTo x="0" y="15206"/>
              <wp:lineTo x="0" y="21427"/>
              <wp:lineTo x="21387" y="21427"/>
              <wp:lineTo x="21387" y="18317"/>
              <wp:lineTo x="18195" y="16589"/>
              <wp:lineTo x="17876" y="10022"/>
              <wp:lineTo x="16759" y="7258"/>
              <wp:lineTo x="15003" y="5530"/>
              <wp:lineTo x="17237" y="3802"/>
              <wp:lineTo x="17876" y="1382"/>
              <wp:lineTo x="16918" y="0"/>
              <wp:lineTo x="1436"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ED446" w14:textId="77777777" w:rsidR="004E1E90" w:rsidRDefault="004E1E90" w:rsidP="000F0B1D">
    <w:pPr>
      <w:pStyle w:val="Header"/>
      <w:tabs>
        <w:tab w:val="clear" w:pos="4513"/>
        <w:tab w:val="clear" w:pos="9026"/>
        <w:tab w:val="left" w:pos="6946"/>
      </w:tabs>
      <w:spacing w:after="180"/>
      <w:rPr>
        <w:color w:val="7F7F7F"/>
        <w:sz w:val="26"/>
        <w:szCs w:val="26"/>
      </w:rPr>
    </w:pPr>
  </w:p>
  <w:p w14:paraId="30E2543A" w14:textId="77777777" w:rsidR="004E1E90" w:rsidRDefault="004E1E90" w:rsidP="000F0B1D">
    <w:pPr>
      <w:pStyle w:val="Header"/>
      <w:tabs>
        <w:tab w:val="clear" w:pos="4513"/>
        <w:tab w:val="clear" w:pos="9026"/>
        <w:tab w:val="left" w:pos="6946"/>
      </w:tabs>
      <w:spacing w:after="180"/>
      <w:rPr>
        <w:color w:val="7F7F7F"/>
        <w:sz w:val="26"/>
        <w:szCs w:val="26"/>
      </w:rPr>
    </w:pPr>
  </w:p>
  <w:p w14:paraId="75C603E4" w14:textId="77777777" w:rsidR="004E1E90" w:rsidRDefault="004E1E90" w:rsidP="000F0B1D">
    <w:pPr>
      <w:pStyle w:val="Header"/>
      <w:tabs>
        <w:tab w:val="clear" w:pos="4513"/>
        <w:tab w:val="clear" w:pos="9026"/>
        <w:tab w:val="left" w:pos="6946"/>
      </w:tabs>
      <w:spacing w:after="180"/>
      <w:rPr>
        <w:color w:val="7F7F7F"/>
        <w:sz w:val="26"/>
        <w:szCs w:val="26"/>
      </w:rPr>
    </w:pPr>
  </w:p>
  <w:p w14:paraId="48904554" w14:textId="77777777" w:rsidR="004E1E90" w:rsidRDefault="004E1E90" w:rsidP="000F0B1D">
    <w:pPr>
      <w:pStyle w:val="Header"/>
      <w:tabs>
        <w:tab w:val="clear" w:pos="4513"/>
        <w:tab w:val="clear" w:pos="9026"/>
        <w:tab w:val="left" w:pos="6946"/>
      </w:tabs>
      <w:spacing w:after="180"/>
      <w:rPr>
        <w:color w:val="7F7F7F"/>
        <w:sz w:val="26"/>
        <w:szCs w:val="26"/>
      </w:rPr>
    </w:pPr>
  </w:p>
  <w:p w14:paraId="61C078F6" w14:textId="77777777" w:rsidR="004E1E90" w:rsidRDefault="004E1E90" w:rsidP="000F0B1D">
    <w:pPr>
      <w:pStyle w:val="Header"/>
      <w:tabs>
        <w:tab w:val="clear" w:pos="4513"/>
        <w:tab w:val="clear" w:pos="9026"/>
        <w:tab w:val="left" w:pos="6946"/>
      </w:tabs>
      <w:spacing w:after="180"/>
      <w:rPr>
        <w:color w:val="7F7F7F"/>
        <w:sz w:val="26"/>
        <w:szCs w:val="26"/>
      </w:rPr>
    </w:pPr>
  </w:p>
  <w:p w14:paraId="2FED6037" w14:textId="77777777" w:rsidR="004E1E90" w:rsidRDefault="004E1E90" w:rsidP="000F0B1D">
    <w:pPr>
      <w:pStyle w:val="Header"/>
      <w:tabs>
        <w:tab w:val="clear" w:pos="4513"/>
        <w:tab w:val="clear" w:pos="9026"/>
        <w:tab w:val="left" w:pos="6946"/>
      </w:tabs>
      <w:spacing w:after="180"/>
      <w:rPr>
        <w:color w:val="7F7F7F"/>
        <w:sz w:val="26"/>
        <w:szCs w:val="26"/>
      </w:rPr>
    </w:pPr>
  </w:p>
  <w:p w14:paraId="4090F892" w14:textId="77777777" w:rsidR="004E1E90" w:rsidRDefault="004E1E90" w:rsidP="000F0B1D">
    <w:pPr>
      <w:pStyle w:val="Header"/>
      <w:tabs>
        <w:tab w:val="clear" w:pos="4513"/>
        <w:tab w:val="clear" w:pos="9026"/>
        <w:tab w:val="left" w:pos="6946"/>
      </w:tabs>
      <w:spacing w:after="180"/>
      <w:rPr>
        <w:color w:val="7F7F7F"/>
        <w:sz w:val="26"/>
        <w:szCs w:val="26"/>
      </w:rPr>
    </w:pPr>
  </w:p>
  <w:p w14:paraId="149CC3AC" w14:textId="77777777" w:rsidR="004E1E90" w:rsidRPr="00F87792" w:rsidRDefault="004E1E90" w:rsidP="000F0B1D">
    <w:pPr>
      <w:pStyle w:val="Header"/>
      <w:tabs>
        <w:tab w:val="left" w:pos="6946"/>
      </w:tabs>
      <w:spacing w:after="120"/>
      <w:rPr>
        <w:rFonts w:ascii="Arial" w:hAnsi="Arial" w:cs="Arial"/>
        <w:color w:val="555559"/>
        <w:sz w:val="30"/>
        <w:szCs w:val="30"/>
      </w:rPr>
    </w:pPr>
  </w:p>
  <w:p w14:paraId="5D0B4DA9" w14:textId="77777777" w:rsidR="004E1E90" w:rsidRPr="00EF06C1" w:rsidRDefault="004E1E90" w:rsidP="000F0B1D">
    <w:pPr>
      <w:pStyle w:val="Header"/>
      <w:tabs>
        <w:tab w:val="clear" w:pos="4513"/>
        <w:tab w:val="clear" w:pos="9026"/>
        <w:tab w:val="left" w:pos="6946"/>
      </w:tabs>
      <w:spacing w:after="180"/>
      <w:rPr>
        <w:color w:val="7F7F7F"/>
        <w:sz w:val="26"/>
        <w:szCs w:val="26"/>
      </w:rPr>
    </w:pPr>
  </w:p>
  <w:p w14:paraId="15AF44BB" w14:textId="77777777" w:rsidR="004E1E90" w:rsidRDefault="004E1E90">
    <w:pPr>
      <w:pStyle w:val="Header"/>
    </w:pPr>
    <w:r>
      <w:rPr>
        <w:noProof/>
        <w:lang w:val="en-US"/>
      </w:rPr>
      <mc:AlternateContent>
        <mc:Choice Requires="wps">
          <w:drawing>
            <wp:anchor distT="0" distB="0" distL="114300" distR="114300" simplePos="0" relativeHeight="251658240" behindDoc="0" locked="0" layoutInCell="1" allowOverlap="1" wp14:anchorId="73609555" wp14:editId="792E31BE">
              <wp:simplePos x="0" y="0"/>
              <wp:positionH relativeFrom="column">
                <wp:posOffset>-92769</wp:posOffset>
              </wp:positionH>
              <wp:positionV relativeFrom="paragraph">
                <wp:posOffset>2019257</wp:posOffset>
              </wp:positionV>
              <wp:extent cx="4728845" cy="2993316"/>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728845" cy="2993316"/>
                      </a:xfrm>
                      <a:prstGeom prst="rect">
                        <a:avLst/>
                      </a:prstGeom>
                      <a:noFill/>
                      <a:ln>
                        <a:noFill/>
                      </a:ln>
                      <a:effectLst/>
                    </wps:spPr>
                    <wps:txbx>
                      <w:txbxContent>
                        <w:p w14:paraId="24A491AF" w14:textId="1748CE12" w:rsidR="004E1E90" w:rsidRDefault="006C7C9D" w:rsidP="00C21837">
                          <w:pPr>
                            <w:pStyle w:val="Header"/>
                          </w:pPr>
                          <w:r>
                            <w:t>PRIVACY</w:t>
                          </w:r>
                        </w:p>
                        <w:p w14:paraId="5875BFAA" w14:textId="77777777" w:rsidR="004E1E90" w:rsidRPr="00DF5013" w:rsidRDefault="004E1E90" w:rsidP="00643549">
                          <w:pPr>
                            <w:pStyle w:val="Header"/>
                          </w:pPr>
                        </w:p>
                        <w:p w14:paraId="3846B579" w14:textId="1F25CA8B" w:rsidR="004E1E90" w:rsidRPr="002750FF" w:rsidRDefault="004E1E90" w:rsidP="002750FF">
                          <w:pPr>
                            <w:pStyle w:val="DocumentTitle"/>
                          </w:pPr>
                          <w:r w:rsidRPr="002750FF">
                            <w:t xml:space="preserve">Examination of Victorian universities’ privacy and security policies </w:t>
                          </w:r>
                        </w:p>
                        <w:p w14:paraId="0BACBF33" w14:textId="0B799222" w:rsidR="004E1E90" w:rsidRPr="002750FF" w:rsidRDefault="004E1E90" w:rsidP="00070249">
                          <w:pPr>
                            <w:pStyle w:val="DocumentSubtitle"/>
                          </w:pPr>
                          <w:r w:rsidRPr="002750FF">
                            <w:t xml:space="preserve">Examination under section 8C(2)(b) of the </w:t>
                          </w:r>
                          <w:r w:rsidRPr="002750FF">
                            <w:rPr>
                              <w:i/>
                              <w:iCs/>
                            </w:rPr>
                            <w:t>Privacy and Data Protection Act 2014</w:t>
                          </w:r>
                          <w:r w:rsidRPr="002750FF">
                            <w:t xml:space="preserve"> (Vic)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09555" id="_x0000_t202" coordsize="21600,21600" o:spt="202" path="m,l,21600r21600,l21600,xe">
              <v:stroke joinstyle="miter"/>
              <v:path gradientshapeok="t" o:connecttype="rect"/>
            </v:shapetype>
            <v:shape id="Text Box 7" o:spid="_x0000_s1026" type="#_x0000_t202" style="position:absolute;margin-left:-7.3pt;margin-top:159pt;width:372.35pt;height:2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SNRgIAAIcEAAAOAAAAZHJzL2Uyb0RvYy54bWysVN9v2jAQfp+0/8Hy+wihtEBEqBgV0yTU&#10;VoKpz8axSbTY59mGpPvrd3YCZd2epr0457vz/fi+u8zvW1WTk7CuAp3TdDCkRGgORaUPOf22W3+a&#10;UuI80wWrQYucvgpH7xcfP8wbk4kRlFAXwhIMol3WmJyW3pssSRwvhWJuAEZoNEqwinm82kNSWNZg&#10;dFUno+HwLmnAFsYCF86h9qEz0kWML6Xg/klKJzypc4q1+XjaeO7DmSzmLDtYZsqK92Wwf6hCsUpj&#10;0kuoB+YZOdrqj1Cq4hYcSD/goBKQsuIi9oDdpMN33WxLZkTsBcFx5gKT+39h+ePp2ZKqyOmEEs0U&#10;UrQTrSefoSWTgE5jXIZOW4NuvkU1shw7dWYD/LsjGlYl0wextBaaUrACq0vDy+TqaRfHYZAAUiut&#10;Cl9sn2A85OX1wkVIzlE5noym0/EtJRxto9ns5ia9i1Hfnhvr/BcBigQhpxbJjpWx08b5UADLzi4h&#10;m4Z1VdeR8Fr/pkDHTiPixPSvQ/ldxUHy7b7t4dhD8YpoWOimyRm+rrCCDXP+mVkcH2wIV8I/4SFr&#10;aHIKvURJCfbn3/TBH1lFKyUNjmNO3Y8js4KS+qtGRGfpeBzmN17Gt5MRXuy1ZX9t0Ue1Apz4FJfP&#10;8CgGf1+fRWlBveDmLENWNDHNMXdO/Vlc+W5JcPO4WC6jE06sYX6jt4afhyDgu2tfmDU9CR75e4Tz&#10;4LLsHRedbwf+8uhBVpGoAHCHaj82OO2Rv34zwzpd36PX2/9j8QsAAP//AwBQSwMEFAAGAAgAAAAh&#10;ADp7SmzfAAAACwEAAA8AAABkcnMvZG93bnJldi54bWxMj8FOwzAMhu9Ie4fISNy2pKyMrjSdEIgr&#10;iG0gccsar63WOFWTreXtMSe42fKn399fbCbXiQsOofWkIVkoEEiVty3VGva7l3kGIkRD1nSeUMM3&#10;BtiUs6vC5NaP9I6XbawFh1DIjYYmxj6XMlQNOhMWvkfi29EPzkReh1rawYwc7jp5q9RKOtMSf2hM&#10;j08NVqft2Wn4eD1+fabqrX52d/3oJyXJraXWN9fT4wOIiFP8g+FXn9WhZKeDP5MNotMwT9IVoxqW&#10;ScalmLhfqgTEgYdsnYIsC/m/Q/kDAAD//wMAUEsBAi0AFAAGAAgAAAAhALaDOJL+AAAA4QEAABMA&#10;AAAAAAAAAAAAAAAAAAAAAFtDb250ZW50X1R5cGVzXS54bWxQSwECLQAUAAYACAAAACEAOP0h/9YA&#10;AACUAQAACwAAAAAAAAAAAAAAAAAvAQAAX3JlbHMvLnJlbHNQSwECLQAUAAYACAAAACEAd9aEjUYC&#10;AACHBAAADgAAAAAAAAAAAAAAAAAuAgAAZHJzL2Uyb0RvYy54bWxQSwECLQAUAAYACAAAACEAOntK&#10;bN8AAAALAQAADwAAAAAAAAAAAAAAAACgBAAAZHJzL2Rvd25yZXYueG1sUEsFBgAAAAAEAAQA8wAA&#10;AKwFAAAAAA==&#10;" filled="f" stroked="f">
              <v:textbox>
                <w:txbxContent>
                  <w:p w14:paraId="24A491AF" w14:textId="1748CE12" w:rsidR="004E1E90" w:rsidRDefault="006C7C9D" w:rsidP="00C21837">
                    <w:pPr>
                      <w:pStyle w:val="Header"/>
                    </w:pPr>
                    <w:r>
                      <w:t>PRIVACY</w:t>
                    </w:r>
                  </w:p>
                  <w:p w14:paraId="5875BFAA" w14:textId="77777777" w:rsidR="004E1E90" w:rsidRPr="00DF5013" w:rsidRDefault="004E1E90" w:rsidP="00643549">
                    <w:pPr>
                      <w:pStyle w:val="Header"/>
                    </w:pPr>
                  </w:p>
                  <w:p w14:paraId="3846B579" w14:textId="1F25CA8B" w:rsidR="004E1E90" w:rsidRPr="002750FF" w:rsidRDefault="004E1E90" w:rsidP="002750FF">
                    <w:pPr>
                      <w:pStyle w:val="DocumentTitle"/>
                    </w:pPr>
                    <w:r w:rsidRPr="002750FF">
                      <w:t xml:space="preserve">Examination of Victorian universities’ privacy and security policies </w:t>
                    </w:r>
                  </w:p>
                  <w:p w14:paraId="0BACBF33" w14:textId="0B799222" w:rsidR="004E1E90" w:rsidRPr="002750FF" w:rsidRDefault="004E1E90" w:rsidP="00070249">
                    <w:pPr>
                      <w:pStyle w:val="DocumentSubtitle"/>
                    </w:pPr>
                    <w:r w:rsidRPr="002750FF">
                      <w:t xml:space="preserve">Examination under section 8C(2)(b) of the </w:t>
                    </w:r>
                    <w:r w:rsidRPr="002750FF">
                      <w:rPr>
                        <w:i/>
                        <w:iCs/>
                      </w:rPr>
                      <w:t>Privacy and Data Protection Act 2014</w:t>
                    </w:r>
                    <w:r w:rsidRPr="002750FF">
                      <w:t xml:space="preserve"> (Vic)</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96A"/>
    <w:multiLevelType w:val="hybridMultilevel"/>
    <w:tmpl w:val="F10ACB90"/>
    <w:lvl w:ilvl="0" w:tplc="EFB820A4">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6E300C"/>
    <w:multiLevelType w:val="hybridMultilevel"/>
    <w:tmpl w:val="A7E6CB6E"/>
    <w:lvl w:ilvl="0" w:tplc="3AB8252E">
      <w:start w:val="1"/>
      <w:numFmt w:val="decimal"/>
      <w:pStyle w:val="BodyText1"/>
      <w:lvlText w:val="%1."/>
      <w:lvlJc w:val="left"/>
      <w:pPr>
        <w:ind w:left="360" w:hanging="360"/>
      </w:pPr>
      <w:rPr>
        <w:b w:val="0"/>
        <w:bCs w:val="0"/>
        <w:color w:val="auto"/>
      </w:rPr>
    </w:lvl>
    <w:lvl w:ilvl="1" w:tplc="F81CD4DC">
      <w:start w:val="1"/>
      <w:numFmt w:val="lowerLetter"/>
      <w:lvlText w:val="%2."/>
      <w:lvlJc w:val="left"/>
      <w:pPr>
        <w:ind w:left="1068" w:hanging="360"/>
      </w:pPr>
      <w:rPr>
        <w:color w:val="auto"/>
      </w:rPr>
    </w:lvl>
    <w:lvl w:ilvl="2" w:tplc="0C09001B">
      <w:start w:val="1"/>
      <w:numFmt w:val="lowerRoman"/>
      <w:lvlText w:val="%3."/>
      <w:lvlJc w:val="right"/>
      <w:pPr>
        <w:ind w:left="1025" w:hanging="180"/>
      </w:pPr>
    </w:lvl>
    <w:lvl w:ilvl="3" w:tplc="0C09000F" w:tentative="1">
      <w:start w:val="1"/>
      <w:numFmt w:val="decimal"/>
      <w:lvlText w:val="%4."/>
      <w:lvlJc w:val="left"/>
      <w:pPr>
        <w:ind w:left="1745" w:hanging="360"/>
      </w:pPr>
    </w:lvl>
    <w:lvl w:ilvl="4" w:tplc="0C090019" w:tentative="1">
      <w:start w:val="1"/>
      <w:numFmt w:val="lowerLetter"/>
      <w:lvlText w:val="%5."/>
      <w:lvlJc w:val="left"/>
      <w:pPr>
        <w:ind w:left="2465" w:hanging="360"/>
      </w:pPr>
    </w:lvl>
    <w:lvl w:ilvl="5" w:tplc="0C09001B" w:tentative="1">
      <w:start w:val="1"/>
      <w:numFmt w:val="lowerRoman"/>
      <w:lvlText w:val="%6."/>
      <w:lvlJc w:val="right"/>
      <w:pPr>
        <w:ind w:left="3185" w:hanging="180"/>
      </w:pPr>
    </w:lvl>
    <w:lvl w:ilvl="6" w:tplc="0C09000F" w:tentative="1">
      <w:start w:val="1"/>
      <w:numFmt w:val="decimal"/>
      <w:lvlText w:val="%7."/>
      <w:lvlJc w:val="left"/>
      <w:pPr>
        <w:ind w:left="3905" w:hanging="360"/>
      </w:pPr>
    </w:lvl>
    <w:lvl w:ilvl="7" w:tplc="0C090019" w:tentative="1">
      <w:start w:val="1"/>
      <w:numFmt w:val="lowerLetter"/>
      <w:lvlText w:val="%8."/>
      <w:lvlJc w:val="left"/>
      <w:pPr>
        <w:ind w:left="4625" w:hanging="360"/>
      </w:pPr>
    </w:lvl>
    <w:lvl w:ilvl="8" w:tplc="0C09001B" w:tentative="1">
      <w:start w:val="1"/>
      <w:numFmt w:val="lowerRoman"/>
      <w:lvlText w:val="%9."/>
      <w:lvlJc w:val="right"/>
      <w:pPr>
        <w:ind w:left="5345" w:hanging="180"/>
      </w:pPr>
    </w:lvl>
  </w:abstractNum>
  <w:abstractNum w:abstractNumId="2" w15:restartNumberingAfterBreak="0">
    <w:nsid w:val="118D0511"/>
    <w:multiLevelType w:val="hybridMultilevel"/>
    <w:tmpl w:val="2EC23A74"/>
    <w:lvl w:ilvl="0" w:tplc="DB76F53E">
      <w:start w:val="1"/>
      <w:numFmt w:val="decimal"/>
      <w:lvlText w:val="%1."/>
      <w:lvlJc w:val="left"/>
      <w:pPr>
        <w:ind w:left="454" w:hanging="454"/>
      </w:pPr>
      <w:rPr>
        <w:rFonts w:hint="default"/>
        <w:b w:val="0"/>
        <w:bCs w:val="0"/>
        <w:i w:val="0"/>
        <w:iCs w:val="0"/>
        <w:color w:val="auto"/>
        <w:sz w:val="22"/>
        <w:szCs w:val="22"/>
      </w:rPr>
    </w:lvl>
    <w:lvl w:ilvl="1" w:tplc="E9D89BAE">
      <w:start w:val="1"/>
      <w:numFmt w:val="lowerLetter"/>
      <w:lvlText w:val="%2."/>
      <w:lvlJc w:val="left"/>
      <w:pPr>
        <w:ind w:left="785" w:hanging="360"/>
      </w:pPr>
      <w:rPr>
        <w:b w:val="0"/>
        <w:bCs w:val="0"/>
        <w:i w:val="0"/>
        <w:iCs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925376"/>
    <w:multiLevelType w:val="multilevel"/>
    <w:tmpl w:val="B3729A46"/>
    <w:styleLink w:val="111111"/>
    <w:lvl w:ilvl="0">
      <w:start w:val="1"/>
      <w:numFmt w:val="decimal"/>
      <w:suff w:val="space"/>
      <w:lvlText w:val="%1."/>
      <w:lvlJc w:val="left"/>
      <w:pPr>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FE51FC"/>
    <w:multiLevelType w:val="hybridMultilevel"/>
    <w:tmpl w:val="0314694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BA2A1F"/>
    <w:multiLevelType w:val="multilevel"/>
    <w:tmpl w:val="3BA699FA"/>
    <w:numStyleLink w:val="1ai"/>
  </w:abstractNum>
  <w:abstractNum w:abstractNumId="9" w15:restartNumberingAfterBreak="0">
    <w:nsid w:val="50B04281"/>
    <w:multiLevelType w:val="hybridMultilevel"/>
    <w:tmpl w:val="1CC07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75615CA"/>
    <w:multiLevelType w:val="hybridMultilevel"/>
    <w:tmpl w:val="19CCE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6DA5AE6"/>
    <w:multiLevelType w:val="multilevel"/>
    <w:tmpl w:val="0809001D"/>
    <w:styleLink w:val="OVICbullet"/>
    <w:lvl w:ilvl="0">
      <w:numFmt w:val="bullet"/>
      <w:lvlText w:val=""/>
      <w:lvlJc w:val="left"/>
      <w:pPr>
        <w:ind w:left="360" w:hanging="360"/>
      </w:pPr>
      <w:rPr>
        <w:rFonts w:ascii="Symbol" w:hAnsi="Symbol" w:hint="default"/>
        <w:sz w:val="15"/>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C407772"/>
    <w:multiLevelType w:val="hybridMultilevel"/>
    <w:tmpl w:val="BB4603AE"/>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3" w15:restartNumberingAfterBreak="0">
    <w:nsid w:val="7C505D21"/>
    <w:multiLevelType w:val="hybridMultilevel"/>
    <w:tmpl w:val="50DC6CEC"/>
    <w:lvl w:ilvl="0" w:tplc="09AC9120">
      <w:start w:val="1"/>
      <w:numFmt w:val="bullet"/>
      <w:pStyle w:val="Bulletpoint"/>
      <w:lvlText w:val=""/>
      <w:lvlJc w:val="left"/>
      <w:pPr>
        <w:ind w:left="1854" w:hanging="360"/>
      </w:pPr>
      <w:rPr>
        <w:rFonts w:ascii="Symbol" w:hAnsi="Symbol" w:hint="default"/>
      </w:rPr>
    </w:lvl>
    <w:lvl w:ilvl="1" w:tplc="0C090003">
      <w:start w:val="1"/>
      <w:numFmt w:val="bullet"/>
      <w:pStyle w:val="Bulletpoint-level2"/>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1"/>
  </w:num>
  <w:num w:numId="2">
    <w:abstractNumId w:val="3"/>
  </w:num>
  <w:num w:numId="3">
    <w:abstractNumId w:val="7"/>
  </w:num>
  <w:num w:numId="4">
    <w:abstractNumId w:val="6"/>
  </w:num>
  <w:num w:numId="5">
    <w:abstractNumId w:val="5"/>
  </w:num>
  <w:num w:numId="6">
    <w:abstractNumId w:val="8"/>
  </w:num>
  <w:num w:numId="7">
    <w:abstractNumId w:val="13"/>
  </w:num>
  <w:num w:numId="8">
    <w:abstractNumId w:val="1"/>
  </w:num>
  <w:num w:numId="9">
    <w:abstractNumId w:val="2"/>
  </w:num>
  <w:num w:numId="10">
    <w:abstractNumId w:val="12"/>
  </w:num>
  <w:num w:numId="11">
    <w:abstractNumId w:val="10"/>
  </w:num>
  <w:num w:numId="12">
    <w:abstractNumId w:val="9"/>
  </w:num>
  <w:num w:numId="13">
    <w:abstractNumId w:val="0"/>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16"/>
    <w:rsid w:val="00000A0D"/>
    <w:rsid w:val="00000B2D"/>
    <w:rsid w:val="00001869"/>
    <w:rsid w:val="00002503"/>
    <w:rsid w:val="000025F0"/>
    <w:rsid w:val="00002855"/>
    <w:rsid w:val="00003B4F"/>
    <w:rsid w:val="00004BE4"/>
    <w:rsid w:val="0000524B"/>
    <w:rsid w:val="000056D3"/>
    <w:rsid w:val="00005DF9"/>
    <w:rsid w:val="00006BC0"/>
    <w:rsid w:val="00006FF1"/>
    <w:rsid w:val="000073CA"/>
    <w:rsid w:val="00010621"/>
    <w:rsid w:val="0001086B"/>
    <w:rsid w:val="000110D7"/>
    <w:rsid w:val="00011A4F"/>
    <w:rsid w:val="00011F54"/>
    <w:rsid w:val="00013346"/>
    <w:rsid w:val="000137BB"/>
    <w:rsid w:val="000146F1"/>
    <w:rsid w:val="00014E90"/>
    <w:rsid w:val="0001597A"/>
    <w:rsid w:val="0001679C"/>
    <w:rsid w:val="00017AB2"/>
    <w:rsid w:val="00021EFF"/>
    <w:rsid w:val="00022519"/>
    <w:rsid w:val="0002401A"/>
    <w:rsid w:val="00024ABA"/>
    <w:rsid w:val="0002584A"/>
    <w:rsid w:val="00026CDE"/>
    <w:rsid w:val="00027D20"/>
    <w:rsid w:val="00030115"/>
    <w:rsid w:val="000306C8"/>
    <w:rsid w:val="00033248"/>
    <w:rsid w:val="000354AB"/>
    <w:rsid w:val="00040088"/>
    <w:rsid w:val="00043361"/>
    <w:rsid w:val="0004460B"/>
    <w:rsid w:val="00044623"/>
    <w:rsid w:val="00045ED5"/>
    <w:rsid w:val="0004768C"/>
    <w:rsid w:val="000501C2"/>
    <w:rsid w:val="00050266"/>
    <w:rsid w:val="00050581"/>
    <w:rsid w:val="0005285D"/>
    <w:rsid w:val="00052893"/>
    <w:rsid w:val="00052ABD"/>
    <w:rsid w:val="00052F6E"/>
    <w:rsid w:val="00053452"/>
    <w:rsid w:val="000534E5"/>
    <w:rsid w:val="00054E63"/>
    <w:rsid w:val="00055168"/>
    <w:rsid w:val="000553AE"/>
    <w:rsid w:val="000557C2"/>
    <w:rsid w:val="000558FF"/>
    <w:rsid w:val="00055AC3"/>
    <w:rsid w:val="000571C2"/>
    <w:rsid w:val="00057D19"/>
    <w:rsid w:val="0006047A"/>
    <w:rsid w:val="00060A15"/>
    <w:rsid w:val="00060A38"/>
    <w:rsid w:val="00060D00"/>
    <w:rsid w:val="000622AC"/>
    <w:rsid w:val="00062C28"/>
    <w:rsid w:val="000632E3"/>
    <w:rsid w:val="0006369F"/>
    <w:rsid w:val="00064E90"/>
    <w:rsid w:val="00065A7E"/>
    <w:rsid w:val="0006716D"/>
    <w:rsid w:val="00070249"/>
    <w:rsid w:val="00070431"/>
    <w:rsid w:val="00070434"/>
    <w:rsid w:val="000708E1"/>
    <w:rsid w:val="00070B8D"/>
    <w:rsid w:val="00070E76"/>
    <w:rsid w:val="000720E9"/>
    <w:rsid w:val="0007263A"/>
    <w:rsid w:val="0007485C"/>
    <w:rsid w:val="00074A73"/>
    <w:rsid w:val="00074F1A"/>
    <w:rsid w:val="0007555F"/>
    <w:rsid w:val="00075C96"/>
    <w:rsid w:val="00076A07"/>
    <w:rsid w:val="00076AFA"/>
    <w:rsid w:val="00077109"/>
    <w:rsid w:val="00077996"/>
    <w:rsid w:val="000779A0"/>
    <w:rsid w:val="000800D3"/>
    <w:rsid w:val="00080A87"/>
    <w:rsid w:val="00081541"/>
    <w:rsid w:val="000833C2"/>
    <w:rsid w:val="0008353E"/>
    <w:rsid w:val="000837EB"/>
    <w:rsid w:val="00083E71"/>
    <w:rsid w:val="0008636C"/>
    <w:rsid w:val="00090FDB"/>
    <w:rsid w:val="00092A16"/>
    <w:rsid w:val="00094ADC"/>
    <w:rsid w:val="000950CD"/>
    <w:rsid w:val="00095E4E"/>
    <w:rsid w:val="000960F6"/>
    <w:rsid w:val="00096E48"/>
    <w:rsid w:val="00097344"/>
    <w:rsid w:val="00097A54"/>
    <w:rsid w:val="000A03B1"/>
    <w:rsid w:val="000A0EE8"/>
    <w:rsid w:val="000A1AB0"/>
    <w:rsid w:val="000A1DDD"/>
    <w:rsid w:val="000A31AD"/>
    <w:rsid w:val="000A35D9"/>
    <w:rsid w:val="000A4765"/>
    <w:rsid w:val="000A4FE9"/>
    <w:rsid w:val="000A6DAB"/>
    <w:rsid w:val="000A7690"/>
    <w:rsid w:val="000B00E2"/>
    <w:rsid w:val="000B02F4"/>
    <w:rsid w:val="000B0E86"/>
    <w:rsid w:val="000B30BF"/>
    <w:rsid w:val="000B329D"/>
    <w:rsid w:val="000B3A0F"/>
    <w:rsid w:val="000B45CB"/>
    <w:rsid w:val="000B607F"/>
    <w:rsid w:val="000B6FBF"/>
    <w:rsid w:val="000B75F7"/>
    <w:rsid w:val="000B78A7"/>
    <w:rsid w:val="000B7EEC"/>
    <w:rsid w:val="000C0860"/>
    <w:rsid w:val="000C140E"/>
    <w:rsid w:val="000C1745"/>
    <w:rsid w:val="000C2D2B"/>
    <w:rsid w:val="000C316D"/>
    <w:rsid w:val="000C4D57"/>
    <w:rsid w:val="000C622B"/>
    <w:rsid w:val="000C6ABA"/>
    <w:rsid w:val="000C6B5F"/>
    <w:rsid w:val="000C6E0C"/>
    <w:rsid w:val="000C78BD"/>
    <w:rsid w:val="000C7A9E"/>
    <w:rsid w:val="000D10B1"/>
    <w:rsid w:val="000D13E4"/>
    <w:rsid w:val="000D17F9"/>
    <w:rsid w:val="000D2200"/>
    <w:rsid w:val="000D2A56"/>
    <w:rsid w:val="000D2C73"/>
    <w:rsid w:val="000D2DB7"/>
    <w:rsid w:val="000D4635"/>
    <w:rsid w:val="000D4A81"/>
    <w:rsid w:val="000D5716"/>
    <w:rsid w:val="000D6C71"/>
    <w:rsid w:val="000D7F55"/>
    <w:rsid w:val="000E049A"/>
    <w:rsid w:val="000E15E4"/>
    <w:rsid w:val="000E1CCD"/>
    <w:rsid w:val="000E3648"/>
    <w:rsid w:val="000E3A3E"/>
    <w:rsid w:val="000E4E71"/>
    <w:rsid w:val="000E4E87"/>
    <w:rsid w:val="000E50CA"/>
    <w:rsid w:val="000E5CE3"/>
    <w:rsid w:val="000E5FF3"/>
    <w:rsid w:val="000E78F4"/>
    <w:rsid w:val="000F0B1D"/>
    <w:rsid w:val="000F1DAC"/>
    <w:rsid w:val="000F3455"/>
    <w:rsid w:val="000F4386"/>
    <w:rsid w:val="000F48B9"/>
    <w:rsid w:val="000F67B7"/>
    <w:rsid w:val="000F73D6"/>
    <w:rsid w:val="000F7A08"/>
    <w:rsid w:val="00100A3C"/>
    <w:rsid w:val="001010EC"/>
    <w:rsid w:val="00102157"/>
    <w:rsid w:val="00102D93"/>
    <w:rsid w:val="001044AE"/>
    <w:rsid w:val="00104541"/>
    <w:rsid w:val="00105812"/>
    <w:rsid w:val="00105958"/>
    <w:rsid w:val="00105AAF"/>
    <w:rsid w:val="00106502"/>
    <w:rsid w:val="001067E6"/>
    <w:rsid w:val="00107BD4"/>
    <w:rsid w:val="001101B4"/>
    <w:rsid w:val="00110914"/>
    <w:rsid w:val="001123E1"/>
    <w:rsid w:val="001130A1"/>
    <w:rsid w:val="001140B1"/>
    <w:rsid w:val="00114590"/>
    <w:rsid w:val="00115240"/>
    <w:rsid w:val="00115B6A"/>
    <w:rsid w:val="00116F50"/>
    <w:rsid w:val="00120904"/>
    <w:rsid w:val="00121469"/>
    <w:rsid w:val="00121942"/>
    <w:rsid w:val="001224C2"/>
    <w:rsid w:val="00123C9E"/>
    <w:rsid w:val="00124314"/>
    <w:rsid w:val="0012543E"/>
    <w:rsid w:val="00125C35"/>
    <w:rsid w:val="001264E0"/>
    <w:rsid w:val="00126B95"/>
    <w:rsid w:val="001277DC"/>
    <w:rsid w:val="00127CD5"/>
    <w:rsid w:val="00131EAE"/>
    <w:rsid w:val="0013452E"/>
    <w:rsid w:val="00134AAF"/>
    <w:rsid w:val="001353CE"/>
    <w:rsid w:val="00135596"/>
    <w:rsid w:val="00135A16"/>
    <w:rsid w:val="00136CE1"/>
    <w:rsid w:val="001372EA"/>
    <w:rsid w:val="00137B0C"/>
    <w:rsid w:val="00140231"/>
    <w:rsid w:val="001404C4"/>
    <w:rsid w:val="001404F5"/>
    <w:rsid w:val="00140849"/>
    <w:rsid w:val="001428D1"/>
    <w:rsid w:val="0014363D"/>
    <w:rsid w:val="00143A9E"/>
    <w:rsid w:val="001448C1"/>
    <w:rsid w:val="001452CD"/>
    <w:rsid w:val="00146716"/>
    <w:rsid w:val="00146887"/>
    <w:rsid w:val="00146CF8"/>
    <w:rsid w:val="001471B0"/>
    <w:rsid w:val="001509EF"/>
    <w:rsid w:val="00150A90"/>
    <w:rsid w:val="001525AD"/>
    <w:rsid w:val="001537C8"/>
    <w:rsid w:val="001541C7"/>
    <w:rsid w:val="00154D67"/>
    <w:rsid w:val="001564FC"/>
    <w:rsid w:val="00157A1E"/>
    <w:rsid w:val="001601C5"/>
    <w:rsid w:val="0016206F"/>
    <w:rsid w:val="00164DE9"/>
    <w:rsid w:val="00165614"/>
    <w:rsid w:val="00165B51"/>
    <w:rsid w:val="0016694D"/>
    <w:rsid w:val="00167ABD"/>
    <w:rsid w:val="0017048A"/>
    <w:rsid w:val="00170A0D"/>
    <w:rsid w:val="00170AD4"/>
    <w:rsid w:val="00171262"/>
    <w:rsid w:val="001719A9"/>
    <w:rsid w:val="00171A3A"/>
    <w:rsid w:val="00172470"/>
    <w:rsid w:val="001729BC"/>
    <w:rsid w:val="00172E75"/>
    <w:rsid w:val="0017413A"/>
    <w:rsid w:val="00174231"/>
    <w:rsid w:val="0017468F"/>
    <w:rsid w:val="0017482B"/>
    <w:rsid w:val="00174CC3"/>
    <w:rsid w:val="001767D5"/>
    <w:rsid w:val="001774AC"/>
    <w:rsid w:val="001775D5"/>
    <w:rsid w:val="0017768C"/>
    <w:rsid w:val="001801ED"/>
    <w:rsid w:val="00181A0D"/>
    <w:rsid w:val="00182F66"/>
    <w:rsid w:val="00183182"/>
    <w:rsid w:val="001832F6"/>
    <w:rsid w:val="001864B7"/>
    <w:rsid w:val="00186BBC"/>
    <w:rsid w:val="0018790C"/>
    <w:rsid w:val="0019129E"/>
    <w:rsid w:val="001915B3"/>
    <w:rsid w:val="001919C6"/>
    <w:rsid w:val="00192457"/>
    <w:rsid w:val="001946B8"/>
    <w:rsid w:val="001951B6"/>
    <w:rsid w:val="001955BB"/>
    <w:rsid w:val="00195B7C"/>
    <w:rsid w:val="0019695F"/>
    <w:rsid w:val="001972FE"/>
    <w:rsid w:val="001978CF"/>
    <w:rsid w:val="00197B8D"/>
    <w:rsid w:val="00197FF7"/>
    <w:rsid w:val="001A06A4"/>
    <w:rsid w:val="001A1582"/>
    <w:rsid w:val="001A2A8B"/>
    <w:rsid w:val="001A45E7"/>
    <w:rsid w:val="001A4C9F"/>
    <w:rsid w:val="001A518D"/>
    <w:rsid w:val="001A53EC"/>
    <w:rsid w:val="001A6199"/>
    <w:rsid w:val="001A7C55"/>
    <w:rsid w:val="001B03B2"/>
    <w:rsid w:val="001B1361"/>
    <w:rsid w:val="001B3356"/>
    <w:rsid w:val="001B3C89"/>
    <w:rsid w:val="001B3F5A"/>
    <w:rsid w:val="001B402C"/>
    <w:rsid w:val="001B4756"/>
    <w:rsid w:val="001B4C69"/>
    <w:rsid w:val="001B4CD4"/>
    <w:rsid w:val="001B66F3"/>
    <w:rsid w:val="001B6D5E"/>
    <w:rsid w:val="001B78FF"/>
    <w:rsid w:val="001C1F29"/>
    <w:rsid w:val="001C31F6"/>
    <w:rsid w:val="001C5CB9"/>
    <w:rsid w:val="001C7F99"/>
    <w:rsid w:val="001D05F6"/>
    <w:rsid w:val="001D07F7"/>
    <w:rsid w:val="001D106E"/>
    <w:rsid w:val="001D159E"/>
    <w:rsid w:val="001D1653"/>
    <w:rsid w:val="001D27F0"/>
    <w:rsid w:val="001D3AE8"/>
    <w:rsid w:val="001D4846"/>
    <w:rsid w:val="001D4B13"/>
    <w:rsid w:val="001D53D4"/>
    <w:rsid w:val="001D5DE4"/>
    <w:rsid w:val="001D619E"/>
    <w:rsid w:val="001D6862"/>
    <w:rsid w:val="001D6CB4"/>
    <w:rsid w:val="001D7DAB"/>
    <w:rsid w:val="001E18F7"/>
    <w:rsid w:val="001E2054"/>
    <w:rsid w:val="001E258D"/>
    <w:rsid w:val="001E29BC"/>
    <w:rsid w:val="001E2DA8"/>
    <w:rsid w:val="001E321B"/>
    <w:rsid w:val="001E5387"/>
    <w:rsid w:val="001E5861"/>
    <w:rsid w:val="001E5A79"/>
    <w:rsid w:val="001E5AB6"/>
    <w:rsid w:val="001E6B67"/>
    <w:rsid w:val="001E7140"/>
    <w:rsid w:val="001E7BDD"/>
    <w:rsid w:val="001F0F69"/>
    <w:rsid w:val="001F2DE3"/>
    <w:rsid w:val="001F3DBC"/>
    <w:rsid w:val="001F444D"/>
    <w:rsid w:val="001F67C9"/>
    <w:rsid w:val="001F70BA"/>
    <w:rsid w:val="002018B1"/>
    <w:rsid w:val="002022D8"/>
    <w:rsid w:val="00202308"/>
    <w:rsid w:val="00202D8F"/>
    <w:rsid w:val="00204560"/>
    <w:rsid w:val="00204801"/>
    <w:rsid w:val="00204868"/>
    <w:rsid w:val="002050AD"/>
    <w:rsid w:val="002059DE"/>
    <w:rsid w:val="00205DBE"/>
    <w:rsid w:val="00210180"/>
    <w:rsid w:val="0021072B"/>
    <w:rsid w:val="00210BBF"/>
    <w:rsid w:val="00211950"/>
    <w:rsid w:val="002129EA"/>
    <w:rsid w:val="0021303E"/>
    <w:rsid w:val="002133D7"/>
    <w:rsid w:val="00213BA4"/>
    <w:rsid w:val="002142F8"/>
    <w:rsid w:val="002143D1"/>
    <w:rsid w:val="002161E9"/>
    <w:rsid w:val="00216C47"/>
    <w:rsid w:val="00217A27"/>
    <w:rsid w:val="00220FEF"/>
    <w:rsid w:val="00221791"/>
    <w:rsid w:val="00222AB6"/>
    <w:rsid w:val="00223EAB"/>
    <w:rsid w:val="00224160"/>
    <w:rsid w:val="0022519B"/>
    <w:rsid w:val="002253DE"/>
    <w:rsid w:val="002268BA"/>
    <w:rsid w:val="002273C8"/>
    <w:rsid w:val="00227E2A"/>
    <w:rsid w:val="002308F6"/>
    <w:rsid w:val="002318FC"/>
    <w:rsid w:val="00231B7C"/>
    <w:rsid w:val="0023213E"/>
    <w:rsid w:val="00232C9D"/>
    <w:rsid w:val="0023326A"/>
    <w:rsid w:val="00234EDA"/>
    <w:rsid w:val="0023739D"/>
    <w:rsid w:val="00237650"/>
    <w:rsid w:val="00237AF4"/>
    <w:rsid w:val="002401ED"/>
    <w:rsid w:val="00241518"/>
    <w:rsid w:val="002415F6"/>
    <w:rsid w:val="002432B2"/>
    <w:rsid w:val="00243F01"/>
    <w:rsid w:val="00245193"/>
    <w:rsid w:val="00250A35"/>
    <w:rsid w:val="00250E17"/>
    <w:rsid w:val="00255F7B"/>
    <w:rsid w:val="002563B6"/>
    <w:rsid w:val="002600EC"/>
    <w:rsid w:val="00260E14"/>
    <w:rsid w:val="002628F3"/>
    <w:rsid w:val="00262E0E"/>
    <w:rsid w:val="002636AD"/>
    <w:rsid w:val="00264268"/>
    <w:rsid w:val="00264DC3"/>
    <w:rsid w:val="0026637B"/>
    <w:rsid w:val="00267D03"/>
    <w:rsid w:val="00267D3B"/>
    <w:rsid w:val="00271157"/>
    <w:rsid w:val="002718E9"/>
    <w:rsid w:val="00272B7C"/>
    <w:rsid w:val="00273219"/>
    <w:rsid w:val="00273C26"/>
    <w:rsid w:val="00274266"/>
    <w:rsid w:val="00275033"/>
    <w:rsid w:val="002750FF"/>
    <w:rsid w:val="00276097"/>
    <w:rsid w:val="00276261"/>
    <w:rsid w:val="002766D1"/>
    <w:rsid w:val="0027699D"/>
    <w:rsid w:val="0027720D"/>
    <w:rsid w:val="002773B4"/>
    <w:rsid w:val="00277677"/>
    <w:rsid w:val="00280302"/>
    <w:rsid w:val="00280A12"/>
    <w:rsid w:val="00280BD4"/>
    <w:rsid w:val="00280CA7"/>
    <w:rsid w:val="002844BB"/>
    <w:rsid w:val="00284B0A"/>
    <w:rsid w:val="00284E08"/>
    <w:rsid w:val="002859D1"/>
    <w:rsid w:val="00285A17"/>
    <w:rsid w:val="0028674D"/>
    <w:rsid w:val="00286C2C"/>
    <w:rsid w:val="00287575"/>
    <w:rsid w:val="00287928"/>
    <w:rsid w:val="00287CCC"/>
    <w:rsid w:val="00287CE0"/>
    <w:rsid w:val="00290377"/>
    <w:rsid w:val="0029162F"/>
    <w:rsid w:val="00293CA6"/>
    <w:rsid w:val="00294187"/>
    <w:rsid w:val="00294C28"/>
    <w:rsid w:val="00294C7C"/>
    <w:rsid w:val="0029681D"/>
    <w:rsid w:val="0029691F"/>
    <w:rsid w:val="002974C1"/>
    <w:rsid w:val="002A283F"/>
    <w:rsid w:val="002A2F46"/>
    <w:rsid w:val="002A3B4C"/>
    <w:rsid w:val="002A4583"/>
    <w:rsid w:val="002A5A07"/>
    <w:rsid w:val="002A71C1"/>
    <w:rsid w:val="002B0503"/>
    <w:rsid w:val="002B0941"/>
    <w:rsid w:val="002B27D4"/>
    <w:rsid w:val="002B484A"/>
    <w:rsid w:val="002B5A3E"/>
    <w:rsid w:val="002B71A9"/>
    <w:rsid w:val="002B780F"/>
    <w:rsid w:val="002B7F61"/>
    <w:rsid w:val="002C0E2C"/>
    <w:rsid w:val="002C1D5E"/>
    <w:rsid w:val="002C4C06"/>
    <w:rsid w:val="002D010B"/>
    <w:rsid w:val="002D07D4"/>
    <w:rsid w:val="002D0F2A"/>
    <w:rsid w:val="002D12F6"/>
    <w:rsid w:val="002D213C"/>
    <w:rsid w:val="002D294B"/>
    <w:rsid w:val="002D2EAC"/>
    <w:rsid w:val="002D47C2"/>
    <w:rsid w:val="002D4A78"/>
    <w:rsid w:val="002D4D6A"/>
    <w:rsid w:val="002D4D9A"/>
    <w:rsid w:val="002D5DA2"/>
    <w:rsid w:val="002D5FD1"/>
    <w:rsid w:val="002D645C"/>
    <w:rsid w:val="002D6CFE"/>
    <w:rsid w:val="002D6DE2"/>
    <w:rsid w:val="002D7E49"/>
    <w:rsid w:val="002E2979"/>
    <w:rsid w:val="002E41A4"/>
    <w:rsid w:val="002E4919"/>
    <w:rsid w:val="002E5014"/>
    <w:rsid w:val="002E612B"/>
    <w:rsid w:val="002E7B4A"/>
    <w:rsid w:val="002F00A0"/>
    <w:rsid w:val="002F1C4E"/>
    <w:rsid w:val="002F253F"/>
    <w:rsid w:val="002F50A9"/>
    <w:rsid w:val="002F56FC"/>
    <w:rsid w:val="002F588B"/>
    <w:rsid w:val="002F5A3E"/>
    <w:rsid w:val="002F6818"/>
    <w:rsid w:val="002F6CC8"/>
    <w:rsid w:val="002F6F0F"/>
    <w:rsid w:val="002F73C3"/>
    <w:rsid w:val="002F7BBE"/>
    <w:rsid w:val="00300417"/>
    <w:rsid w:val="003021F9"/>
    <w:rsid w:val="00302482"/>
    <w:rsid w:val="00302CEA"/>
    <w:rsid w:val="00302CFB"/>
    <w:rsid w:val="003034B0"/>
    <w:rsid w:val="0030455C"/>
    <w:rsid w:val="003055A6"/>
    <w:rsid w:val="003075C3"/>
    <w:rsid w:val="00310C7F"/>
    <w:rsid w:val="00312A64"/>
    <w:rsid w:val="003150DA"/>
    <w:rsid w:val="00317FBB"/>
    <w:rsid w:val="00320227"/>
    <w:rsid w:val="003220D2"/>
    <w:rsid w:val="0032380D"/>
    <w:rsid w:val="00323E0E"/>
    <w:rsid w:val="003252B6"/>
    <w:rsid w:val="00333A13"/>
    <w:rsid w:val="00333A53"/>
    <w:rsid w:val="00336FEB"/>
    <w:rsid w:val="0033732C"/>
    <w:rsid w:val="003433E7"/>
    <w:rsid w:val="00345E99"/>
    <w:rsid w:val="0034659D"/>
    <w:rsid w:val="00346810"/>
    <w:rsid w:val="00346AF9"/>
    <w:rsid w:val="003509AF"/>
    <w:rsid w:val="00351A56"/>
    <w:rsid w:val="00351E30"/>
    <w:rsid w:val="00353003"/>
    <w:rsid w:val="00354715"/>
    <w:rsid w:val="0035558D"/>
    <w:rsid w:val="00355CE0"/>
    <w:rsid w:val="0035734B"/>
    <w:rsid w:val="00357546"/>
    <w:rsid w:val="00357E0E"/>
    <w:rsid w:val="00360C92"/>
    <w:rsid w:val="003615CC"/>
    <w:rsid w:val="00362057"/>
    <w:rsid w:val="00362B14"/>
    <w:rsid w:val="00363111"/>
    <w:rsid w:val="00363637"/>
    <w:rsid w:val="0036386F"/>
    <w:rsid w:val="00366377"/>
    <w:rsid w:val="003664E6"/>
    <w:rsid w:val="00366B29"/>
    <w:rsid w:val="00366FFF"/>
    <w:rsid w:val="003678F1"/>
    <w:rsid w:val="003723C3"/>
    <w:rsid w:val="00372EFE"/>
    <w:rsid w:val="00373222"/>
    <w:rsid w:val="0037357A"/>
    <w:rsid w:val="00373D17"/>
    <w:rsid w:val="003741BB"/>
    <w:rsid w:val="0037423B"/>
    <w:rsid w:val="00374E7D"/>
    <w:rsid w:val="00374FB7"/>
    <w:rsid w:val="0037528A"/>
    <w:rsid w:val="00376EE6"/>
    <w:rsid w:val="00380758"/>
    <w:rsid w:val="00381083"/>
    <w:rsid w:val="00383032"/>
    <w:rsid w:val="00383B4B"/>
    <w:rsid w:val="0038427B"/>
    <w:rsid w:val="003843A2"/>
    <w:rsid w:val="003846A6"/>
    <w:rsid w:val="00385CC6"/>
    <w:rsid w:val="0038657F"/>
    <w:rsid w:val="00390B02"/>
    <w:rsid w:val="00391377"/>
    <w:rsid w:val="00392D5C"/>
    <w:rsid w:val="003942D9"/>
    <w:rsid w:val="0039436B"/>
    <w:rsid w:val="00394EF3"/>
    <w:rsid w:val="00395773"/>
    <w:rsid w:val="00396F70"/>
    <w:rsid w:val="00397205"/>
    <w:rsid w:val="0039756B"/>
    <w:rsid w:val="003A0469"/>
    <w:rsid w:val="003A08D7"/>
    <w:rsid w:val="003A18FE"/>
    <w:rsid w:val="003A1FA2"/>
    <w:rsid w:val="003A23DE"/>
    <w:rsid w:val="003A25C7"/>
    <w:rsid w:val="003A2D37"/>
    <w:rsid w:val="003A3714"/>
    <w:rsid w:val="003A41BC"/>
    <w:rsid w:val="003A44AF"/>
    <w:rsid w:val="003A5219"/>
    <w:rsid w:val="003A5768"/>
    <w:rsid w:val="003A597B"/>
    <w:rsid w:val="003A6155"/>
    <w:rsid w:val="003A77B2"/>
    <w:rsid w:val="003B075E"/>
    <w:rsid w:val="003B0BCD"/>
    <w:rsid w:val="003B16ED"/>
    <w:rsid w:val="003B1B05"/>
    <w:rsid w:val="003B1B51"/>
    <w:rsid w:val="003B2478"/>
    <w:rsid w:val="003B2868"/>
    <w:rsid w:val="003B52E1"/>
    <w:rsid w:val="003B67E9"/>
    <w:rsid w:val="003B76CC"/>
    <w:rsid w:val="003B7B64"/>
    <w:rsid w:val="003C08A8"/>
    <w:rsid w:val="003C09BD"/>
    <w:rsid w:val="003C1155"/>
    <w:rsid w:val="003C2367"/>
    <w:rsid w:val="003C539D"/>
    <w:rsid w:val="003C671F"/>
    <w:rsid w:val="003C7A05"/>
    <w:rsid w:val="003D2416"/>
    <w:rsid w:val="003D2991"/>
    <w:rsid w:val="003D2A88"/>
    <w:rsid w:val="003D7CBC"/>
    <w:rsid w:val="003E01A2"/>
    <w:rsid w:val="003E150B"/>
    <w:rsid w:val="003E2832"/>
    <w:rsid w:val="003E32C8"/>
    <w:rsid w:val="003E4568"/>
    <w:rsid w:val="003E4A0D"/>
    <w:rsid w:val="003E5F80"/>
    <w:rsid w:val="003E73B6"/>
    <w:rsid w:val="003F1E32"/>
    <w:rsid w:val="003F2C14"/>
    <w:rsid w:val="003F318E"/>
    <w:rsid w:val="003F397B"/>
    <w:rsid w:val="003F69AA"/>
    <w:rsid w:val="003F6FC8"/>
    <w:rsid w:val="003F79E3"/>
    <w:rsid w:val="003F7F73"/>
    <w:rsid w:val="004023BD"/>
    <w:rsid w:val="0040252F"/>
    <w:rsid w:val="0040254A"/>
    <w:rsid w:val="00404734"/>
    <w:rsid w:val="00405CB9"/>
    <w:rsid w:val="00406D4E"/>
    <w:rsid w:val="004117F5"/>
    <w:rsid w:val="004120A9"/>
    <w:rsid w:val="0041408B"/>
    <w:rsid w:val="00414E14"/>
    <w:rsid w:val="00416127"/>
    <w:rsid w:val="00417F37"/>
    <w:rsid w:val="004202EA"/>
    <w:rsid w:val="00422CA9"/>
    <w:rsid w:val="0042459A"/>
    <w:rsid w:val="00424A07"/>
    <w:rsid w:val="00426742"/>
    <w:rsid w:val="00430E47"/>
    <w:rsid w:val="0043165D"/>
    <w:rsid w:val="00431D90"/>
    <w:rsid w:val="00432117"/>
    <w:rsid w:val="00432402"/>
    <w:rsid w:val="00432674"/>
    <w:rsid w:val="00432AB4"/>
    <w:rsid w:val="00432F3E"/>
    <w:rsid w:val="0043596E"/>
    <w:rsid w:val="00435FFB"/>
    <w:rsid w:val="004360F5"/>
    <w:rsid w:val="00437380"/>
    <w:rsid w:val="00440B2D"/>
    <w:rsid w:val="0044185F"/>
    <w:rsid w:val="0044244E"/>
    <w:rsid w:val="004425BD"/>
    <w:rsid w:val="00444374"/>
    <w:rsid w:val="00444844"/>
    <w:rsid w:val="00445149"/>
    <w:rsid w:val="00445488"/>
    <w:rsid w:val="00445A00"/>
    <w:rsid w:val="00445BFB"/>
    <w:rsid w:val="00446EDF"/>
    <w:rsid w:val="00446FB5"/>
    <w:rsid w:val="004471B5"/>
    <w:rsid w:val="00447494"/>
    <w:rsid w:val="004515D6"/>
    <w:rsid w:val="004515E3"/>
    <w:rsid w:val="00453A82"/>
    <w:rsid w:val="0045716D"/>
    <w:rsid w:val="004639F5"/>
    <w:rsid w:val="004647CA"/>
    <w:rsid w:val="004656AE"/>
    <w:rsid w:val="004658C0"/>
    <w:rsid w:val="004659B4"/>
    <w:rsid w:val="00466557"/>
    <w:rsid w:val="00467540"/>
    <w:rsid w:val="00467F0D"/>
    <w:rsid w:val="004703E7"/>
    <w:rsid w:val="00470447"/>
    <w:rsid w:val="0047093A"/>
    <w:rsid w:val="00471972"/>
    <w:rsid w:val="00471EB5"/>
    <w:rsid w:val="0047385B"/>
    <w:rsid w:val="00475C29"/>
    <w:rsid w:val="004764C6"/>
    <w:rsid w:val="00480B28"/>
    <w:rsid w:val="00481A73"/>
    <w:rsid w:val="00481EAC"/>
    <w:rsid w:val="004831C2"/>
    <w:rsid w:val="00484676"/>
    <w:rsid w:val="004846C9"/>
    <w:rsid w:val="00484AD3"/>
    <w:rsid w:val="00484B7A"/>
    <w:rsid w:val="00485228"/>
    <w:rsid w:val="0048641F"/>
    <w:rsid w:val="004864B2"/>
    <w:rsid w:val="004877DD"/>
    <w:rsid w:val="004907A0"/>
    <w:rsid w:val="00491C7B"/>
    <w:rsid w:val="00492292"/>
    <w:rsid w:val="00492BDE"/>
    <w:rsid w:val="00493101"/>
    <w:rsid w:val="004936FC"/>
    <w:rsid w:val="00493A10"/>
    <w:rsid w:val="00493AE1"/>
    <w:rsid w:val="00493D75"/>
    <w:rsid w:val="00494232"/>
    <w:rsid w:val="00495842"/>
    <w:rsid w:val="00495B3C"/>
    <w:rsid w:val="00495B43"/>
    <w:rsid w:val="00495CD6"/>
    <w:rsid w:val="00495D41"/>
    <w:rsid w:val="004960C0"/>
    <w:rsid w:val="004968C6"/>
    <w:rsid w:val="00496D05"/>
    <w:rsid w:val="0049720B"/>
    <w:rsid w:val="00497586"/>
    <w:rsid w:val="00497732"/>
    <w:rsid w:val="004977D5"/>
    <w:rsid w:val="004A0914"/>
    <w:rsid w:val="004A0E46"/>
    <w:rsid w:val="004A1DBD"/>
    <w:rsid w:val="004A2052"/>
    <w:rsid w:val="004A2100"/>
    <w:rsid w:val="004A2C11"/>
    <w:rsid w:val="004A31E4"/>
    <w:rsid w:val="004A36EF"/>
    <w:rsid w:val="004A50DD"/>
    <w:rsid w:val="004A55E3"/>
    <w:rsid w:val="004A579F"/>
    <w:rsid w:val="004A7468"/>
    <w:rsid w:val="004B02A5"/>
    <w:rsid w:val="004B0CE4"/>
    <w:rsid w:val="004B1F6A"/>
    <w:rsid w:val="004B32CF"/>
    <w:rsid w:val="004B3659"/>
    <w:rsid w:val="004B433A"/>
    <w:rsid w:val="004B45DA"/>
    <w:rsid w:val="004B594A"/>
    <w:rsid w:val="004B5D89"/>
    <w:rsid w:val="004B62EB"/>
    <w:rsid w:val="004B6333"/>
    <w:rsid w:val="004B705A"/>
    <w:rsid w:val="004C05C5"/>
    <w:rsid w:val="004C095D"/>
    <w:rsid w:val="004C15E5"/>
    <w:rsid w:val="004C175F"/>
    <w:rsid w:val="004C367F"/>
    <w:rsid w:val="004C3CB7"/>
    <w:rsid w:val="004D13BC"/>
    <w:rsid w:val="004D2AE0"/>
    <w:rsid w:val="004D2DF5"/>
    <w:rsid w:val="004D487B"/>
    <w:rsid w:val="004D4B0F"/>
    <w:rsid w:val="004D5061"/>
    <w:rsid w:val="004D5DA0"/>
    <w:rsid w:val="004D6706"/>
    <w:rsid w:val="004D68A3"/>
    <w:rsid w:val="004D68B3"/>
    <w:rsid w:val="004E0503"/>
    <w:rsid w:val="004E0832"/>
    <w:rsid w:val="004E1E90"/>
    <w:rsid w:val="004E2FA6"/>
    <w:rsid w:val="004E2FB8"/>
    <w:rsid w:val="004E4395"/>
    <w:rsid w:val="004E5502"/>
    <w:rsid w:val="004E5F95"/>
    <w:rsid w:val="004E725D"/>
    <w:rsid w:val="004E7794"/>
    <w:rsid w:val="004E79C4"/>
    <w:rsid w:val="004E7D7B"/>
    <w:rsid w:val="004F03DF"/>
    <w:rsid w:val="004F0B7B"/>
    <w:rsid w:val="004F107D"/>
    <w:rsid w:val="004F1122"/>
    <w:rsid w:val="004F1418"/>
    <w:rsid w:val="004F162B"/>
    <w:rsid w:val="004F167C"/>
    <w:rsid w:val="004F215A"/>
    <w:rsid w:val="004F2311"/>
    <w:rsid w:val="004F2A57"/>
    <w:rsid w:val="004F3D07"/>
    <w:rsid w:val="004F3DC1"/>
    <w:rsid w:val="004F4463"/>
    <w:rsid w:val="004F6782"/>
    <w:rsid w:val="004F7D6B"/>
    <w:rsid w:val="00500D67"/>
    <w:rsid w:val="00501515"/>
    <w:rsid w:val="005025F3"/>
    <w:rsid w:val="00502877"/>
    <w:rsid w:val="005032E0"/>
    <w:rsid w:val="00504677"/>
    <w:rsid w:val="00504AD8"/>
    <w:rsid w:val="005059BF"/>
    <w:rsid w:val="00506831"/>
    <w:rsid w:val="00507150"/>
    <w:rsid w:val="0050760B"/>
    <w:rsid w:val="00507645"/>
    <w:rsid w:val="00510B2C"/>
    <w:rsid w:val="0051174A"/>
    <w:rsid w:val="00511B68"/>
    <w:rsid w:val="00512828"/>
    <w:rsid w:val="00512D88"/>
    <w:rsid w:val="0051340A"/>
    <w:rsid w:val="00514031"/>
    <w:rsid w:val="0051406A"/>
    <w:rsid w:val="00514C68"/>
    <w:rsid w:val="00515741"/>
    <w:rsid w:val="00515C6D"/>
    <w:rsid w:val="005160E8"/>
    <w:rsid w:val="00517178"/>
    <w:rsid w:val="005173A7"/>
    <w:rsid w:val="005200B9"/>
    <w:rsid w:val="00520306"/>
    <w:rsid w:val="00520858"/>
    <w:rsid w:val="00521C6A"/>
    <w:rsid w:val="0052265E"/>
    <w:rsid w:val="005226D3"/>
    <w:rsid w:val="00522A0D"/>
    <w:rsid w:val="005231B7"/>
    <w:rsid w:val="00523C2A"/>
    <w:rsid w:val="00524717"/>
    <w:rsid w:val="00525412"/>
    <w:rsid w:val="005257BB"/>
    <w:rsid w:val="00526166"/>
    <w:rsid w:val="0052720E"/>
    <w:rsid w:val="0052766A"/>
    <w:rsid w:val="00527EF7"/>
    <w:rsid w:val="00530482"/>
    <w:rsid w:val="00532E8F"/>
    <w:rsid w:val="00533379"/>
    <w:rsid w:val="00533C0B"/>
    <w:rsid w:val="00535A43"/>
    <w:rsid w:val="00535BA1"/>
    <w:rsid w:val="00537E5A"/>
    <w:rsid w:val="00541160"/>
    <w:rsid w:val="00541646"/>
    <w:rsid w:val="0054177D"/>
    <w:rsid w:val="0054340B"/>
    <w:rsid w:val="0054370C"/>
    <w:rsid w:val="00543F5B"/>
    <w:rsid w:val="00546D35"/>
    <w:rsid w:val="00547BB3"/>
    <w:rsid w:val="00550A52"/>
    <w:rsid w:val="00551810"/>
    <w:rsid w:val="0055190C"/>
    <w:rsid w:val="0055264F"/>
    <w:rsid w:val="005531F4"/>
    <w:rsid w:val="00554411"/>
    <w:rsid w:val="00554F95"/>
    <w:rsid w:val="005555E5"/>
    <w:rsid w:val="005556AE"/>
    <w:rsid w:val="005565A8"/>
    <w:rsid w:val="00556A69"/>
    <w:rsid w:val="00560589"/>
    <w:rsid w:val="005623FC"/>
    <w:rsid w:val="005642C2"/>
    <w:rsid w:val="00566907"/>
    <w:rsid w:val="0056758A"/>
    <w:rsid w:val="00571065"/>
    <w:rsid w:val="00571144"/>
    <w:rsid w:val="00572239"/>
    <w:rsid w:val="005753AF"/>
    <w:rsid w:val="00575E17"/>
    <w:rsid w:val="00576059"/>
    <w:rsid w:val="005769C2"/>
    <w:rsid w:val="00576DA7"/>
    <w:rsid w:val="005770F8"/>
    <w:rsid w:val="0057733B"/>
    <w:rsid w:val="00577E0D"/>
    <w:rsid w:val="005809D2"/>
    <w:rsid w:val="00580B95"/>
    <w:rsid w:val="0058124C"/>
    <w:rsid w:val="00581C6D"/>
    <w:rsid w:val="0059162B"/>
    <w:rsid w:val="005917EA"/>
    <w:rsid w:val="00592CEA"/>
    <w:rsid w:val="00592DBF"/>
    <w:rsid w:val="00592DFF"/>
    <w:rsid w:val="0059338B"/>
    <w:rsid w:val="00594AC6"/>
    <w:rsid w:val="00595E29"/>
    <w:rsid w:val="0059637B"/>
    <w:rsid w:val="005A0307"/>
    <w:rsid w:val="005A111E"/>
    <w:rsid w:val="005A164E"/>
    <w:rsid w:val="005A1AE3"/>
    <w:rsid w:val="005A1E78"/>
    <w:rsid w:val="005A2F65"/>
    <w:rsid w:val="005A4FB1"/>
    <w:rsid w:val="005A6857"/>
    <w:rsid w:val="005A7689"/>
    <w:rsid w:val="005A7FEE"/>
    <w:rsid w:val="005B004D"/>
    <w:rsid w:val="005B161C"/>
    <w:rsid w:val="005B1D15"/>
    <w:rsid w:val="005B2F8E"/>
    <w:rsid w:val="005B3097"/>
    <w:rsid w:val="005B3C2E"/>
    <w:rsid w:val="005B59B4"/>
    <w:rsid w:val="005B6B41"/>
    <w:rsid w:val="005B7C9A"/>
    <w:rsid w:val="005B7E24"/>
    <w:rsid w:val="005C165F"/>
    <w:rsid w:val="005C1B7E"/>
    <w:rsid w:val="005C1C4D"/>
    <w:rsid w:val="005C1D73"/>
    <w:rsid w:val="005C2E14"/>
    <w:rsid w:val="005C2E35"/>
    <w:rsid w:val="005C5E89"/>
    <w:rsid w:val="005C65FB"/>
    <w:rsid w:val="005C68F9"/>
    <w:rsid w:val="005C702D"/>
    <w:rsid w:val="005D2279"/>
    <w:rsid w:val="005D24CA"/>
    <w:rsid w:val="005D2502"/>
    <w:rsid w:val="005D4F69"/>
    <w:rsid w:val="005D5026"/>
    <w:rsid w:val="005D63BD"/>
    <w:rsid w:val="005D77DA"/>
    <w:rsid w:val="005E0B17"/>
    <w:rsid w:val="005E0EBE"/>
    <w:rsid w:val="005E11A2"/>
    <w:rsid w:val="005E2818"/>
    <w:rsid w:val="005E2A1A"/>
    <w:rsid w:val="005E403F"/>
    <w:rsid w:val="005E4DD6"/>
    <w:rsid w:val="005E58F6"/>
    <w:rsid w:val="005E5E65"/>
    <w:rsid w:val="005E5F33"/>
    <w:rsid w:val="005E7AB9"/>
    <w:rsid w:val="005E7CE9"/>
    <w:rsid w:val="005E7D0E"/>
    <w:rsid w:val="005F090F"/>
    <w:rsid w:val="005F0BA3"/>
    <w:rsid w:val="005F1E7F"/>
    <w:rsid w:val="005F1F2A"/>
    <w:rsid w:val="005F31C6"/>
    <w:rsid w:val="005F3D9E"/>
    <w:rsid w:val="005F3F0F"/>
    <w:rsid w:val="005F4221"/>
    <w:rsid w:val="005F457C"/>
    <w:rsid w:val="005F5462"/>
    <w:rsid w:val="005F6D44"/>
    <w:rsid w:val="006017BB"/>
    <w:rsid w:val="0060202D"/>
    <w:rsid w:val="006020D6"/>
    <w:rsid w:val="00603B18"/>
    <w:rsid w:val="00604562"/>
    <w:rsid w:val="00604C3F"/>
    <w:rsid w:val="00604E1B"/>
    <w:rsid w:val="00605082"/>
    <w:rsid w:val="006052E1"/>
    <w:rsid w:val="00605E7A"/>
    <w:rsid w:val="0060744F"/>
    <w:rsid w:val="00610A2E"/>
    <w:rsid w:val="00611790"/>
    <w:rsid w:val="00612ABA"/>
    <w:rsid w:val="00612BC2"/>
    <w:rsid w:val="006137FB"/>
    <w:rsid w:val="00613839"/>
    <w:rsid w:val="00613ABC"/>
    <w:rsid w:val="00613DD9"/>
    <w:rsid w:val="006148C8"/>
    <w:rsid w:val="00614D72"/>
    <w:rsid w:val="00614F28"/>
    <w:rsid w:val="0061587F"/>
    <w:rsid w:val="006161C0"/>
    <w:rsid w:val="00620413"/>
    <w:rsid w:val="00620921"/>
    <w:rsid w:val="00620B3C"/>
    <w:rsid w:val="00620C29"/>
    <w:rsid w:val="00622648"/>
    <w:rsid w:val="00622C7F"/>
    <w:rsid w:val="00622F72"/>
    <w:rsid w:val="00623BA8"/>
    <w:rsid w:val="00623CC5"/>
    <w:rsid w:val="006246AE"/>
    <w:rsid w:val="00624A74"/>
    <w:rsid w:val="00624D98"/>
    <w:rsid w:val="006269AD"/>
    <w:rsid w:val="00626DE3"/>
    <w:rsid w:val="00627678"/>
    <w:rsid w:val="006278ED"/>
    <w:rsid w:val="00630122"/>
    <w:rsid w:val="00632881"/>
    <w:rsid w:val="00632D34"/>
    <w:rsid w:val="00633311"/>
    <w:rsid w:val="0063343C"/>
    <w:rsid w:val="006339D5"/>
    <w:rsid w:val="00633BCA"/>
    <w:rsid w:val="00634107"/>
    <w:rsid w:val="00634364"/>
    <w:rsid w:val="0063596F"/>
    <w:rsid w:val="00637162"/>
    <w:rsid w:val="0063753E"/>
    <w:rsid w:val="00640183"/>
    <w:rsid w:val="00641980"/>
    <w:rsid w:val="00642D5E"/>
    <w:rsid w:val="00643549"/>
    <w:rsid w:val="00644E86"/>
    <w:rsid w:val="006458C0"/>
    <w:rsid w:val="00645E83"/>
    <w:rsid w:val="00647823"/>
    <w:rsid w:val="0065241A"/>
    <w:rsid w:val="00652AF5"/>
    <w:rsid w:val="00654288"/>
    <w:rsid w:val="00654CC0"/>
    <w:rsid w:val="00655C9E"/>
    <w:rsid w:val="00655D29"/>
    <w:rsid w:val="0065680B"/>
    <w:rsid w:val="00660ABE"/>
    <w:rsid w:val="00660CBB"/>
    <w:rsid w:val="006619B7"/>
    <w:rsid w:val="006621B0"/>
    <w:rsid w:val="0066463C"/>
    <w:rsid w:val="00665A7E"/>
    <w:rsid w:val="00665F99"/>
    <w:rsid w:val="0066760E"/>
    <w:rsid w:val="006676A1"/>
    <w:rsid w:val="006701AD"/>
    <w:rsid w:val="00672D0B"/>
    <w:rsid w:val="0067339E"/>
    <w:rsid w:val="00676551"/>
    <w:rsid w:val="00677707"/>
    <w:rsid w:val="00677F96"/>
    <w:rsid w:val="0068003F"/>
    <w:rsid w:val="00680ECE"/>
    <w:rsid w:val="00681E37"/>
    <w:rsid w:val="00682E10"/>
    <w:rsid w:val="0068331C"/>
    <w:rsid w:val="00683FCE"/>
    <w:rsid w:val="006842E5"/>
    <w:rsid w:val="00684958"/>
    <w:rsid w:val="006857ED"/>
    <w:rsid w:val="00686817"/>
    <w:rsid w:val="00687331"/>
    <w:rsid w:val="006907B4"/>
    <w:rsid w:val="0069082E"/>
    <w:rsid w:val="00692486"/>
    <w:rsid w:val="00692FE6"/>
    <w:rsid w:val="00693144"/>
    <w:rsid w:val="006938B4"/>
    <w:rsid w:val="00694C3A"/>
    <w:rsid w:val="00696673"/>
    <w:rsid w:val="00696858"/>
    <w:rsid w:val="006974E8"/>
    <w:rsid w:val="006A08B0"/>
    <w:rsid w:val="006A0D8F"/>
    <w:rsid w:val="006A0E15"/>
    <w:rsid w:val="006A0F96"/>
    <w:rsid w:val="006A0FB4"/>
    <w:rsid w:val="006A1155"/>
    <w:rsid w:val="006A184B"/>
    <w:rsid w:val="006A1C43"/>
    <w:rsid w:val="006A2736"/>
    <w:rsid w:val="006A4AA0"/>
    <w:rsid w:val="006A4D3E"/>
    <w:rsid w:val="006A5D68"/>
    <w:rsid w:val="006A629D"/>
    <w:rsid w:val="006A6E28"/>
    <w:rsid w:val="006A6E93"/>
    <w:rsid w:val="006B1186"/>
    <w:rsid w:val="006B23A4"/>
    <w:rsid w:val="006B2A6A"/>
    <w:rsid w:val="006B2DE1"/>
    <w:rsid w:val="006B4E3F"/>
    <w:rsid w:val="006B5735"/>
    <w:rsid w:val="006B62C4"/>
    <w:rsid w:val="006C13A1"/>
    <w:rsid w:val="006C1541"/>
    <w:rsid w:val="006C16B1"/>
    <w:rsid w:val="006C2944"/>
    <w:rsid w:val="006C2C51"/>
    <w:rsid w:val="006C3A37"/>
    <w:rsid w:val="006C3B09"/>
    <w:rsid w:val="006C3FC3"/>
    <w:rsid w:val="006C4199"/>
    <w:rsid w:val="006C4242"/>
    <w:rsid w:val="006C4945"/>
    <w:rsid w:val="006C4E89"/>
    <w:rsid w:val="006C57D5"/>
    <w:rsid w:val="006C5CCB"/>
    <w:rsid w:val="006C7492"/>
    <w:rsid w:val="006C7C9D"/>
    <w:rsid w:val="006D0515"/>
    <w:rsid w:val="006D22C7"/>
    <w:rsid w:val="006D2316"/>
    <w:rsid w:val="006D337C"/>
    <w:rsid w:val="006D3DEC"/>
    <w:rsid w:val="006D42AA"/>
    <w:rsid w:val="006D4811"/>
    <w:rsid w:val="006D48D6"/>
    <w:rsid w:val="006E02F3"/>
    <w:rsid w:val="006E03BE"/>
    <w:rsid w:val="006E1E21"/>
    <w:rsid w:val="006E28E9"/>
    <w:rsid w:val="006E3012"/>
    <w:rsid w:val="006E313B"/>
    <w:rsid w:val="006E33AD"/>
    <w:rsid w:val="006E43C8"/>
    <w:rsid w:val="006E4AA0"/>
    <w:rsid w:val="006E4BCD"/>
    <w:rsid w:val="006E50AA"/>
    <w:rsid w:val="006E6D45"/>
    <w:rsid w:val="006F00ED"/>
    <w:rsid w:val="006F105B"/>
    <w:rsid w:val="006F16C1"/>
    <w:rsid w:val="006F2055"/>
    <w:rsid w:val="006F231D"/>
    <w:rsid w:val="006F260C"/>
    <w:rsid w:val="006F3128"/>
    <w:rsid w:val="006F3275"/>
    <w:rsid w:val="006F39B3"/>
    <w:rsid w:val="006F39BA"/>
    <w:rsid w:val="006F3EA5"/>
    <w:rsid w:val="006F4174"/>
    <w:rsid w:val="006F4954"/>
    <w:rsid w:val="006F4AA1"/>
    <w:rsid w:val="006F52BE"/>
    <w:rsid w:val="006F55CE"/>
    <w:rsid w:val="006F5643"/>
    <w:rsid w:val="006F5BD0"/>
    <w:rsid w:val="006F66CA"/>
    <w:rsid w:val="006F7BAC"/>
    <w:rsid w:val="00700808"/>
    <w:rsid w:val="00700FCF"/>
    <w:rsid w:val="007017D4"/>
    <w:rsid w:val="00701854"/>
    <w:rsid w:val="00702640"/>
    <w:rsid w:val="00703BAF"/>
    <w:rsid w:val="00705EFB"/>
    <w:rsid w:val="00707BE0"/>
    <w:rsid w:val="00710371"/>
    <w:rsid w:val="00714303"/>
    <w:rsid w:val="007145B1"/>
    <w:rsid w:val="007152AF"/>
    <w:rsid w:val="0071534B"/>
    <w:rsid w:val="0071551A"/>
    <w:rsid w:val="00715868"/>
    <w:rsid w:val="00716277"/>
    <w:rsid w:val="00716E49"/>
    <w:rsid w:val="00716F7C"/>
    <w:rsid w:val="007177C7"/>
    <w:rsid w:val="00717FBC"/>
    <w:rsid w:val="0072084F"/>
    <w:rsid w:val="0072367D"/>
    <w:rsid w:val="00723BC8"/>
    <w:rsid w:val="00725BF0"/>
    <w:rsid w:val="00725EDA"/>
    <w:rsid w:val="00726268"/>
    <w:rsid w:val="00726E74"/>
    <w:rsid w:val="00727BB7"/>
    <w:rsid w:val="00730E5B"/>
    <w:rsid w:val="007316C5"/>
    <w:rsid w:val="00732947"/>
    <w:rsid w:val="00732F1B"/>
    <w:rsid w:val="007339F2"/>
    <w:rsid w:val="00734A3C"/>
    <w:rsid w:val="00734A77"/>
    <w:rsid w:val="0073528B"/>
    <w:rsid w:val="00735F2E"/>
    <w:rsid w:val="00737238"/>
    <w:rsid w:val="00737A00"/>
    <w:rsid w:val="0074327B"/>
    <w:rsid w:val="00743851"/>
    <w:rsid w:val="00743EBA"/>
    <w:rsid w:val="0074416E"/>
    <w:rsid w:val="00744314"/>
    <w:rsid w:val="00744597"/>
    <w:rsid w:val="007449AD"/>
    <w:rsid w:val="00744B24"/>
    <w:rsid w:val="007457FF"/>
    <w:rsid w:val="0074595C"/>
    <w:rsid w:val="00745A0C"/>
    <w:rsid w:val="00745AF9"/>
    <w:rsid w:val="00745CFD"/>
    <w:rsid w:val="00746463"/>
    <w:rsid w:val="0074690A"/>
    <w:rsid w:val="00747E33"/>
    <w:rsid w:val="007503D7"/>
    <w:rsid w:val="007511A1"/>
    <w:rsid w:val="00751353"/>
    <w:rsid w:val="00751FFD"/>
    <w:rsid w:val="00752748"/>
    <w:rsid w:val="00752924"/>
    <w:rsid w:val="0075320D"/>
    <w:rsid w:val="007532B5"/>
    <w:rsid w:val="00753627"/>
    <w:rsid w:val="00754C98"/>
    <w:rsid w:val="007554ED"/>
    <w:rsid w:val="0075629F"/>
    <w:rsid w:val="00756448"/>
    <w:rsid w:val="00760BA8"/>
    <w:rsid w:val="00760DDC"/>
    <w:rsid w:val="007610D2"/>
    <w:rsid w:val="00761F7D"/>
    <w:rsid w:val="0076234B"/>
    <w:rsid w:val="00762ABB"/>
    <w:rsid w:val="00763860"/>
    <w:rsid w:val="00763D32"/>
    <w:rsid w:val="00763E84"/>
    <w:rsid w:val="00770F4E"/>
    <w:rsid w:val="00771822"/>
    <w:rsid w:val="0077237D"/>
    <w:rsid w:val="00772392"/>
    <w:rsid w:val="00772EF9"/>
    <w:rsid w:val="00773407"/>
    <w:rsid w:val="00773A18"/>
    <w:rsid w:val="00775A02"/>
    <w:rsid w:val="007760C7"/>
    <w:rsid w:val="0077619E"/>
    <w:rsid w:val="00776D1C"/>
    <w:rsid w:val="00777C88"/>
    <w:rsid w:val="0078014C"/>
    <w:rsid w:val="00781333"/>
    <w:rsid w:val="00781B56"/>
    <w:rsid w:val="00782EEE"/>
    <w:rsid w:val="00784B72"/>
    <w:rsid w:val="00784FE9"/>
    <w:rsid w:val="00786FBE"/>
    <w:rsid w:val="00787BA7"/>
    <w:rsid w:val="007909A8"/>
    <w:rsid w:val="007912B4"/>
    <w:rsid w:val="007918A1"/>
    <w:rsid w:val="007935FB"/>
    <w:rsid w:val="007942D8"/>
    <w:rsid w:val="0079444F"/>
    <w:rsid w:val="00795214"/>
    <w:rsid w:val="00795312"/>
    <w:rsid w:val="007959F0"/>
    <w:rsid w:val="007974B4"/>
    <w:rsid w:val="00797670"/>
    <w:rsid w:val="007A02F7"/>
    <w:rsid w:val="007A0502"/>
    <w:rsid w:val="007A1118"/>
    <w:rsid w:val="007A15C4"/>
    <w:rsid w:val="007A48CC"/>
    <w:rsid w:val="007A6596"/>
    <w:rsid w:val="007A71BC"/>
    <w:rsid w:val="007B0795"/>
    <w:rsid w:val="007B2158"/>
    <w:rsid w:val="007B2454"/>
    <w:rsid w:val="007B36E3"/>
    <w:rsid w:val="007B37E9"/>
    <w:rsid w:val="007B52C5"/>
    <w:rsid w:val="007B6183"/>
    <w:rsid w:val="007B6747"/>
    <w:rsid w:val="007B7576"/>
    <w:rsid w:val="007B7674"/>
    <w:rsid w:val="007B76C2"/>
    <w:rsid w:val="007B7B8B"/>
    <w:rsid w:val="007B7D00"/>
    <w:rsid w:val="007C0C91"/>
    <w:rsid w:val="007C1A70"/>
    <w:rsid w:val="007C1D51"/>
    <w:rsid w:val="007C57EA"/>
    <w:rsid w:val="007D061E"/>
    <w:rsid w:val="007D0641"/>
    <w:rsid w:val="007D07CC"/>
    <w:rsid w:val="007D09F6"/>
    <w:rsid w:val="007D2626"/>
    <w:rsid w:val="007D3870"/>
    <w:rsid w:val="007D3BF1"/>
    <w:rsid w:val="007D4628"/>
    <w:rsid w:val="007D5109"/>
    <w:rsid w:val="007D5692"/>
    <w:rsid w:val="007D57CD"/>
    <w:rsid w:val="007D5FBE"/>
    <w:rsid w:val="007D67A8"/>
    <w:rsid w:val="007D730C"/>
    <w:rsid w:val="007E1DB0"/>
    <w:rsid w:val="007E3045"/>
    <w:rsid w:val="007E371F"/>
    <w:rsid w:val="007E4454"/>
    <w:rsid w:val="007E4FB8"/>
    <w:rsid w:val="007E63C5"/>
    <w:rsid w:val="007E66E5"/>
    <w:rsid w:val="007E6885"/>
    <w:rsid w:val="007E7DE3"/>
    <w:rsid w:val="007F07DF"/>
    <w:rsid w:val="007F16A7"/>
    <w:rsid w:val="007F1961"/>
    <w:rsid w:val="007F2D9D"/>
    <w:rsid w:val="007F452C"/>
    <w:rsid w:val="007F4B33"/>
    <w:rsid w:val="007F4DEA"/>
    <w:rsid w:val="007F5210"/>
    <w:rsid w:val="007F54F1"/>
    <w:rsid w:val="00800073"/>
    <w:rsid w:val="00800DF4"/>
    <w:rsid w:val="008010B0"/>
    <w:rsid w:val="00801207"/>
    <w:rsid w:val="00801373"/>
    <w:rsid w:val="00802263"/>
    <w:rsid w:val="0080262E"/>
    <w:rsid w:val="00802665"/>
    <w:rsid w:val="00803BB4"/>
    <w:rsid w:val="00803D11"/>
    <w:rsid w:val="00804365"/>
    <w:rsid w:val="00804911"/>
    <w:rsid w:val="00804DA3"/>
    <w:rsid w:val="00805A45"/>
    <w:rsid w:val="00805E63"/>
    <w:rsid w:val="008109A6"/>
    <w:rsid w:val="00810B6D"/>
    <w:rsid w:val="00810FAE"/>
    <w:rsid w:val="00812D58"/>
    <w:rsid w:val="00812E58"/>
    <w:rsid w:val="008152F9"/>
    <w:rsid w:val="00815828"/>
    <w:rsid w:val="00815D94"/>
    <w:rsid w:val="00815EB4"/>
    <w:rsid w:val="00816BDF"/>
    <w:rsid w:val="00817729"/>
    <w:rsid w:val="00817E26"/>
    <w:rsid w:val="00820C85"/>
    <w:rsid w:val="00821751"/>
    <w:rsid w:val="008231D6"/>
    <w:rsid w:val="008232B1"/>
    <w:rsid w:val="00823829"/>
    <w:rsid w:val="00823B1B"/>
    <w:rsid w:val="0082412F"/>
    <w:rsid w:val="00825EA5"/>
    <w:rsid w:val="0082655D"/>
    <w:rsid w:val="008265DF"/>
    <w:rsid w:val="0083010F"/>
    <w:rsid w:val="00832038"/>
    <w:rsid w:val="00832954"/>
    <w:rsid w:val="00832A55"/>
    <w:rsid w:val="008338B4"/>
    <w:rsid w:val="00833A67"/>
    <w:rsid w:val="00833E6F"/>
    <w:rsid w:val="00833E89"/>
    <w:rsid w:val="00833F83"/>
    <w:rsid w:val="008352A5"/>
    <w:rsid w:val="008353E7"/>
    <w:rsid w:val="0083556C"/>
    <w:rsid w:val="00835D9E"/>
    <w:rsid w:val="0083647C"/>
    <w:rsid w:val="00837AD1"/>
    <w:rsid w:val="00840472"/>
    <w:rsid w:val="00840518"/>
    <w:rsid w:val="00840C21"/>
    <w:rsid w:val="00840FA7"/>
    <w:rsid w:val="008421E8"/>
    <w:rsid w:val="00843EA1"/>
    <w:rsid w:val="008442AE"/>
    <w:rsid w:val="0084487B"/>
    <w:rsid w:val="00847710"/>
    <w:rsid w:val="00852AE6"/>
    <w:rsid w:val="00853B26"/>
    <w:rsid w:val="008551CC"/>
    <w:rsid w:val="0085668A"/>
    <w:rsid w:val="00856F30"/>
    <w:rsid w:val="008578A2"/>
    <w:rsid w:val="00861575"/>
    <w:rsid w:val="00863C4A"/>
    <w:rsid w:val="008711FE"/>
    <w:rsid w:val="00873F4F"/>
    <w:rsid w:val="008757C8"/>
    <w:rsid w:val="00875C8D"/>
    <w:rsid w:val="00875F20"/>
    <w:rsid w:val="00876AC5"/>
    <w:rsid w:val="008771DF"/>
    <w:rsid w:val="00877221"/>
    <w:rsid w:val="00877243"/>
    <w:rsid w:val="00877BC7"/>
    <w:rsid w:val="00880EBB"/>
    <w:rsid w:val="00881E5E"/>
    <w:rsid w:val="008821FA"/>
    <w:rsid w:val="00882E69"/>
    <w:rsid w:val="00882F18"/>
    <w:rsid w:val="00883D15"/>
    <w:rsid w:val="00884338"/>
    <w:rsid w:val="00885237"/>
    <w:rsid w:val="0088550D"/>
    <w:rsid w:val="00886886"/>
    <w:rsid w:val="00887AA0"/>
    <w:rsid w:val="00887B4F"/>
    <w:rsid w:val="0089044B"/>
    <w:rsid w:val="00890FE5"/>
    <w:rsid w:val="00891DD0"/>
    <w:rsid w:val="00892A5D"/>
    <w:rsid w:val="00894388"/>
    <w:rsid w:val="00894800"/>
    <w:rsid w:val="00894931"/>
    <w:rsid w:val="00894E32"/>
    <w:rsid w:val="00895BE5"/>
    <w:rsid w:val="00896A12"/>
    <w:rsid w:val="008973C0"/>
    <w:rsid w:val="008A159F"/>
    <w:rsid w:val="008A21DE"/>
    <w:rsid w:val="008A2735"/>
    <w:rsid w:val="008A2F19"/>
    <w:rsid w:val="008A302E"/>
    <w:rsid w:val="008A59A1"/>
    <w:rsid w:val="008A5E81"/>
    <w:rsid w:val="008A752F"/>
    <w:rsid w:val="008A7651"/>
    <w:rsid w:val="008B006F"/>
    <w:rsid w:val="008B1016"/>
    <w:rsid w:val="008B1AAE"/>
    <w:rsid w:val="008B3E90"/>
    <w:rsid w:val="008B7254"/>
    <w:rsid w:val="008B7E9C"/>
    <w:rsid w:val="008C158A"/>
    <w:rsid w:val="008C2DED"/>
    <w:rsid w:val="008C2FD5"/>
    <w:rsid w:val="008C3431"/>
    <w:rsid w:val="008C3561"/>
    <w:rsid w:val="008C3751"/>
    <w:rsid w:val="008C4E56"/>
    <w:rsid w:val="008C6140"/>
    <w:rsid w:val="008C729F"/>
    <w:rsid w:val="008C7B63"/>
    <w:rsid w:val="008C7FBE"/>
    <w:rsid w:val="008D0BFA"/>
    <w:rsid w:val="008D57A2"/>
    <w:rsid w:val="008D7CAC"/>
    <w:rsid w:val="008E18F7"/>
    <w:rsid w:val="008E1905"/>
    <w:rsid w:val="008E1BCE"/>
    <w:rsid w:val="008E22B8"/>
    <w:rsid w:val="008E2484"/>
    <w:rsid w:val="008E2D9D"/>
    <w:rsid w:val="008E6DDB"/>
    <w:rsid w:val="008E7260"/>
    <w:rsid w:val="008E7C08"/>
    <w:rsid w:val="008F0B50"/>
    <w:rsid w:val="008F0F04"/>
    <w:rsid w:val="008F1C23"/>
    <w:rsid w:val="008F383A"/>
    <w:rsid w:val="008F38D6"/>
    <w:rsid w:val="008F3AA5"/>
    <w:rsid w:val="008F3C2E"/>
    <w:rsid w:val="008F3FFE"/>
    <w:rsid w:val="008F457A"/>
    <w:rsid w:val="008F5768"/>
    <w:rsid w:val="008F78F2"/>
    <w:rsid w:val="00901A69"/>
    <w:rsid w:val="009033A5"/>
    <w:rsid w:val="0090376E"/>
    <w:rsid w:val="009037BC"/>
    <w:rsid w:val="0090660C"/>
    <w:rsid w:val="00906EB2"/>
    <w:rsid w:val="00910045"/>
    <w:rsid w:val="009106AE"/>
    <w:rsid w:val="0091252E"/>
    <w:rsid w:val="00912E32"/>
    <w:rsid w:val="00913BEF"/>
    <w:rsid w:val="00913E08"/>
    <w:rsid w:val="00913FD0"/>
    <w:rsid w:val="00914829"/>
    <w:rsid w:val="00914F80"/>
    <w:rsid w:val="009166E9"/>
    <w:rsid w:val="00917C17"/>
    <w:rsid w:val="00920AA8"/>
    <w:rsid w:val="00923230"/>
    <w:rsid w:val="009235F3"/>
    <w:rsid w:val="00924F7D"/>
    <w:rsid w:val="009263C4"/>
    <w:rsid w:val="0092681D"/>
    <w:rsid w:val="009273DD"/>
    <w:rsid w:val="00930BE9"/>
    <w:rsid w:val="009314D5"/>
    <w:rsid w:val="00931CEB"/>
    <w:rsid w:val="00932592"/>
    <w:rsid w:val="00932E29"/>
    <w:rsid w:val="009339D1"/>
    <w:rsid w:val="00934F19"/>
    <w:rsid w:val="00936BE7"/>
    <w:rsid w:val="00936C28"/>
    <w:rsid w:val="00937B5F"/>
    <w:rsid w:val="009401F3"/>
    <w:rsid w:val="009409B3"/>
    <w:rsid w:val="009410F9"/>
    <w:rsid w:val="0094172C"/>
    <w:rsid w:val="00942DC5"/>
    <w:rsid w:val="00945A03"/>
    <w:rsid w:val="00950364"/>
    <w:rsid w:val="0095171D"/>
    <w:rsid w:val="00952BFE"/>
    <w:rsid w:val="009533F5"/>
    <w:rsid w:val="00954CBC"/>
    <w:rsid w:val="00955C09"/>
    <w:rsid w:val="009602D8"/>
    <w:rsid w:val="0096288F"/>
    <w:rsid w:val="009630B3"/>
    <w:rsid w:val="00964DFE"/>
    <w:rsid w:val="00965627"/>
    <w:rsid w:val="00965B17"/>
    <w:rsid w:val="0096681F"/>
    <w:rsid w:val="00966D30"/>
    <w:rsid w:val="0096715D"/>
    <w:rsid w:val="009676FF"/>
    <w:rsid w:val="009678B3"/>
    <w:rsid w:val="00970D87"/>
    <w:rsid w:val="00971951"/>
    <w:rsid w:val="00971E1B"/>
    <w:rsid w:val="0097276D"/>
    <w:rsid w:val="00973FF9"/>
    <w:rsid w:val="009748DD"/>
    <w:rsid w:val="00974D5E"/>
    <w:rsid w:val="00975B08"/>
    <w:rsid w:val="00976858"/>
    <w:rsid w:val="009778CE"/>
    <w:rsid w:val="00977DFC"/>
    <w:rsid w:val="00977FC1"/>
    <w:rsid w:val="00980CAC"/>
    <w:rsid w:val="00982636"/>
    <w:rsid w:val="0098317D"/>
    <w:rsid w:val="00983341"/>
    <w:rsid w:val="00984192"/>
    <w:rsid w:val="00984605"/>
    <w:rsid w:val="00985505"/>
    <w:rsid w:val="009856C1"/>
    <w:rsid w:val="0098696E"/>
    <w:rsid w:val="00987618"/>
    <w:rsid w:val="009912DD"/>
    <w:rsid w:val="00992A7C"/>
    <w:rsid w:val="00993364"/>
    <w:rsid w:val="0099445C"/>
    <w:rsid w:val="00994930"/>
    <w:rsid w:val="00995B1D"/>
    <w:rsid w:val="00995B4C"/>
    <w:rsid w:val="00996BB7"/>
    <w:rsid w:val="00996C62"/>
    <w:rsid w:val="00997890"/>
    <w:rsid w:val="00997CFF"/>
    <w:rsid w:val="009A064A"/>
    <w:rsid w:val="009A26A8"/>
    <w:rsid w:val="009A2AA8"/>
    <w:rsid w:val="009A2AE6"/>
    <w:rsid w:val="009A38FA"/>
    <w:rsid w:val="009A4632"/>
    <w:rsid w:val="009A5A93"/>
    <w:rsid w:val="009A61ED"/>
    <w:rsid w:val="009A7741"/>
    <w:rsid w:val="009B02FD"/>
    <w:rsid w:val="009B0A63"/>
    <w:rsid w:val="009B1CCE"/>
    <w:rsid w:val="009B3938"/>
    <w:rsid w:val="009B48CC"/>
    <w:rsid w:val="009B4C6C"/>
    <w:rsid w:val="009B4E9E"/>
    <w:rsid w:val="009B5777"/>
    <w:rsid w:val="009B5DE4"/>
    <w:rsid w:val="009B7891"/>
    <w:rsid w:val="009B78CD"/>
    <w:rsid w:val="009B7A2E"/>
    <w:rsid w:val="009C0CE0"/>
    <w:rsid w:val="009C248B"/>
    <w:rsid w:val="009C34F7"/>
    <w:rsid w:val="009C39DC"/>
    <w:rsid w:val="009C6FF1"/>
    <w:rsid w:val="009C74FD"/>
    <w:rsid w:val="009D247D"/>
    <w:rsid w:val="009D29D6"/>
    <w:rsid w:val="009D3797"/>
    <w:rsid w:val="009D518E"/>
    <w:rsid w:val="009D597A"/>
    <w:rsid w:val="009D6036"/>
    <w:rsid w:val="009D6092"/>
    <w:rsid w:val="009D6398"/>
    <w:rsid w:val="009D6616"/>
    <w:rsid w:val="009D6BFA"/>
    <w:rsid w:val="009E161B"/>
    <w:rsid w:val="009E204D"/>
    <w:rsid w:val="009E2730"/>
    <w:rsid w:val="009E301F"/>
    <w:rsid w:val="009E31CB"/>
    <w:rsid w:val="009E48FA"/>
    <w:rsid w:val="009E4969"/>
    <w:rsid w:val="009E515A"/>
    <w:rsid w:val="009E536A"/>
    <w:rsid w:val="009E6F5F"/>
    <w:rsid w:val="009E73D8"/>
    <w:rsid w:val="009E7BBD"/>
    <w:rsid w:val="009F0E89"/>
    <w:rsid w:val="009F3071"/>
    <w:rsid w:val="009F5D99"/>
    <w:rsid w:val="009F66E3"/>
    <w:rsid w:val="00A01242"/>
    <w:rsid w:val="00A01D5A"/>
    <w:rsid w:val="00A026FF"/>
    <w:rsid w:val="00A071FD"/>
    <w:rsid w:val="00A07244"/>
    <w:rsid w:val="00A10A31"/>
    <w:rsid w:val="00A110DF"/>
    <w:rsid w:val="00A13590"/>
    <w:rsid w:val="00A1466E"/>
    <w:rsid w:val="00A14BFE"/>
    <w:rsid w:val="00A1589A"/>
    <w:rsid w:val="00A16876"/>
    <w:rsid w:val="00A16D5B"/>
    <w:rsid w:val="00A17309"/>
    <w:rsid w:val="00A2122E"/>
    <w:rsid w:val="00A22346"/>
    <w:rsid w:val="00A22BC7"/>
    <w:rsid w:val="00A22E47"/>
    <w:rsid w:val="00A239D8"/>
    <w:rsid w:val="00A23F54"/>
    <w:rsid w:val="00A247AD"/>
    <w:rsid w:val="00A252C9"/>
    <w:rsid w:val="00A30CC0"/>
    <w:rsid w:val="00A30D90"/>
    <w:rsid w:val="00A31AFC"/>
    <w:rsid w:val="00A31B2E"/>
    <w:rsid w:val="00A31C9B"/>
    <w:rsid w:val="00A356F1"/>
    <w:rsid w:val="00A36C32"/>
    <w:rsid w:val="00A37040"/>
    <w:rsid w:val="00A37704"/>
    <w:rsid w:val="00A40144"/>
    <w:rsid w:val="00A41BFF"/>
    <w:rsid w:val="00A4202A"/>
    <w:rsid w:val="00A4242D"/>
    <w:rsid w:val="00A4631C"/>
    <w:rsid w:val="00A46DA1"/>
    <w:rsid w:val="00A479F4"/>
    <w:rsid w:val="00A47AF7"/>
    <w:rsid w:val="00A517C7"/>
    <w:rsid w:val="00A51831"/>
    <w:rsid w:val="00A523F5"/>
    <w:rsid w:val="00A5281E"/>
    <w:rsid w:val="00A5357D"/>
    <w:rsid w:val="00A53855"/>
    <w:rsid w:val="00A53EF9"/>
    <w:rsid w:val="00A54114"/>
    <w:rsid w:val="00A541FB"/>
    <w:rsid w:val="00A543ED"/>
    <w:rsid w:val="00A54598"/>
    <w:rsid w:val="00A54DF0"/>
    <w:rsid w:val="00A56CCC"/>
    <w:rsid w:val="00A5715F"/>
    <w:rsid w:val="00A57CE8"/>
    <w:rsid w:val="00A57D78"/>
    <w:rsid w:val="00A605FE"/>
    <w:rsid w:val="00A60B70"/>
    <w:rsid w:val="00A610A9"/>
    <w:rsid w:val="00A61451"/>
    <w:rsid w:val="00A6195E"/>
    <w:rsid w:val="00A63512"/>
    <w:rsid w:val="00A63BB3"/>
    <w:rsid w:val="00A63CB0"/>
    <w:rsid w:val="00A63F01"/>
    <w:rsid w:val="00A641BF"/>
    <w:rsid w:val="00A66932"/>
    <w:rsid w:val="00A66A63"/>
    <w:rsid w:val="00A67012"/>
    <w:rsid w:val="00A670F4"/>
    <w:rsid w:val="00A7066E"/>
    <w:rsid w:val="00A70E24"/>
    <w:rsid w:val="00A719C5"/>
    <w:rsid w:val="00A721CF"/>
    <w:rsid w:val="00A7264A"/>
    <w:rsid w:val="00A72C9F"/>
    <w:rsid w:val="00A73B5D"/>
    <w:rsid w:val="00A73D4F"/>
    <w:rsid w:val="00A741A2"/>
    <w:rsid w:val="00A7584C"/>
    <w:rsid w:val="00A77A55"/>
    <w:rsid w:val="00A80449"/>
    <w:rsid w:val="00A81346"/>
    <w:rsid w:val="00A821FA"/>
    <w:rsid w:val="00A83263"/>
    <w:rsid w:val="00A84E1F"/>
    <w:rsid w:val="00A85224"/>
    <w:rsid w:val="00A8590F"/>
    <w:rsid w:val="00A8765B"/>
    <w:rsid w:val="00A90025"/>
    <w:rsid w:val="00A90571"/>
    <w:rsid w:val="00A90641"/>
    <w:rsid w:val="00A9066E"/>
    <w:rsid w:val="00A912C6"/>
    <w:rsid w:val="00A9264D"/>
    <w:rsid w:val="00A92E7D"/>
    <w:rsid w:val="00A9349B"/>
    <w:rsid w:val="00A949E2"/>
    <w:rsid w:val="00A94A9B"/>
    <w:rsid w:val="00A9531A"/>
    <w:rsid w:val="00A95C99"/>
    <w:rsid w:val="00A96674"/>
    <w:rsid w:val="00A97CCF"/>
    <w:rsid w:val="00AA0088"/>
    <w:rsid w:val="00AA0428"/>
    <w:rsid w:val="00AA08CE"/>
    <w:rsid w:val="00AA10F6"/>
    <w:rsid w:val="00AA2A78"/>
    <w:rsid w:val="00AA4668"/>
    <w:rsid w:val="00AA4CAA"/>
    <w:rsid w:val="00AA5225"/>
    <w:rsid w:val="00AA64A1"/>
    <w:rsid w:val="00AA71EC"/>
    <w:rsid w:val="00AB0248"/>
    <w:rsid w:val="00AB0534"/>
    <w:rsid w:val="00AB17B2"/>
    <w:rsid w:val="00AB1877"/>
    <w:rsid w:val="00AB18BB"/>
    <w:rsid w:val="00AB1AE5"/>
    <w:rsid w:val="00AB1C4F"/>
    <w:rsid w:val="00AB214C"/>
    <w:rsid w:val="00AB32C7"/>
    <w:rsid w:val="00AB4655"/>
    <w:rsid w:val="00AB46EA"/>
    <w:rsid w:val="00AB5517"/>
    <w:rsid w:val="00AB61C6"/>
    <w:rsid w:val="00AB7D48"/>
    <w:rsid w:val="00AC27AE"/>
    <w:rsid w:val="00AC2A55"/>
    <w:rsid w:val="00AC3D41"/>
    <w:rsid w:val="00AC50A7"/>
    <w:rsid w:val="00AC53A6"/>
    <w:rsid w:val="00AC6271"/>
    <w:rsid w:val="00AC7640"/>
    <w:rsid w:val="00AC7D7D"/>
    <w:rsid w:val="00AD0618"/>
    <w:rsid w:val="00AD0620"/>
    <w:rsid w:val="00AD085C"/>
    <w:rsid w:val="00AD0BDA"/>
    <w:rsid w:val="00AD1869"/>
    <w:rsid w:val="00AD1B20"/>
    <w:rsid w:val="00AD20FA"/>
    <w:rsid w:val="00AD25BD"/>
    <w:rsid w:val="00AD2BA6"/>
    <w:rsid w:val="00AD2CD5"/>
    <w:rsid w:val="00AD3C49"/>
    <w:rsid w:val="00AD4460"/>
    <w:rsid w:val="00AD4C8B"/>
    <w:rsid w:val="00AD6015"/>
    <w:rsid w:val="00AD6FD2"/>
    <w:rsid w:val="00AD716D"/>
    <w:rsid w:val="00AD75DF"/>
    <w:rsid w:val="00AD7DB0"/>
    <w:rsid w:val="00AE0081"/>
    <w:rsid w:val="00AE05D0"/>
    <w:rsid w:val="00AE144F"/>
    <w:rsid w:val="00AE1981"/>
    <w:rsid w:val="00AE2502"/>
    <w:rsid w:val="00AE2AAA"/>
    <w:rsid w:val="00AE648A"/>
    <w:rsid w:val="00AE740D"/>
    <w:rsid w:val="00AE748B"/>
    <w:rsid w:val="00AE768F"/>
    <w:rsid w:val="00AF2DDF"/>
    <w:rsid w:val="00AF4B9E"/>
    <w:rsid w:val="00AF7F1D"/>
    <w:rsid w:val="00AF7FDF"/>
    <w:rsid w:val="00B00784"/>
    <w:rsid w:val="00B015BD"/>
    <w:rsid w:val="00B0288E"/>
    <w:rsid w:val="00B03247"/>
    <w:rsid w:val="00B03580"/>
    <w:rsid w:val="00B0497A"/>
    <w:rsid w:val="00B05E6B"/>
    <w:rsid w:val="00B07C84"/>
    <w:rsid w:val="00B12917"/>
    <w:rsid w:val="00B13785"/>
    <w:rsid w:val="00B167AE"/>
    <w:rsid w:val="00B174B9"/>
    <w:rsid w:val="00B175BE"/>
    <w:rsid w:val="00B2040D"/>
    <w:rsid w:val="00B205CE"/>
    <w:rsid w:val="00B24005"/>
    <w:rsid w:val="00B2486D"/>
    <w:rsid w:val="00B24B33"/>
    <w:rsid w:val="00B24EAA"/>
    <w:rsid w:val="00B2660F"/>
    <w:rsid w:val="00B26E4C"/>
    <w:rsid w:val="00B27A0D"/>
    <w:rsid w:val="00B31706"/>
    <w:rsid w:val="00B32E8D"/>
    <w:rsid w:val="00B33AB2"/>
    <w:rsid w:val="00B34000"/>
    <w:rsid w:val="00B34771"/>
    <w:rsid w:val="00B34D94"/>
    <w:rsid w:val="00B34F2B"/>
    <w:rsid w:val="00B34FC6"/>
    <w:rsid w:val="00B358DB"/>
    <w:rsid w:val="00B35DA9"/>
    <w:rsid w:val="00B35EF3"/>
    <w:rsid w:val="00B36DE0"/>
    <w:rsid w:val="00B3715B"/>
    <w:rsid w:val="00B40920"/>
    <w:rsid w:val="00B41006"/>
    <w:rsid w:val="00B419D3"/>
    <w:rsid w:val="00B4485A"/>
    <w:rsid w:val="00B45206"/>
    <w:rsid w:val="00B45DD0"/>
    <w:rsid w:val="00B4608F"/>
    <w:rsid w:val="00B474B8"/>
    <w:rsid w:val="00B508EE"/>
    <w:rsid w:val="00B50DFA"/>
    <w:rsid w:val="00B5241F"/>
    <w:rsid w:val="00B5293A"/>
    <w:rsid w:val="00B534AB"/>
    <w:rsid w:val="00B53836"/>
    <w:rsid w:val="00B538A4"/>
    <w:rsid w:val="00B540FA"/>
    <w:rsid w:val="00B54139"/>
    <w:rsid w:val="00B54CFC"/>
    <w:rsid w:val="00B5612C"/>
    <w:rsid w:val="00B575DB"/>
    <w:rsid w:val="00B57A2A"/>
    <w:rsid w:val="00B61BA5"/>
    <w:rsid w:val="00B63493"/>
    <w:rsid w:val="00B63583"/>
    <w:rsid w:val="00B648B5"/>
    <w:rsid w:val="00B64B33"/>
    <w:rsid w:val="00B67597"/>
    <w:rsid w:val="00B71162"/>
    <w:rsid w:val="00B7161B"/>
    <w:rsid w:val="00B72179"/>
    <w:rsid w:val="00B72292"/>
    <w:rsid w:val="00B7347C"/>
    <w:rsid w:val="00B7402A"/>
    <w:rsid w:val="00B7491E"/>
    <w:rsid w:val="00B74AE6"/>
    <w:rsid w:val="00B7602C"/>
    <w:rsid w:val="00B7698F"/>
    <w:rsid w:val="00B76E1E"/>
    <w:rsid w:val="00B7738B"/>
    <w:rsid w:val="00B77945"/>
    <w:rsid w:val="00B80559"/>
    <w:rsid w:val="00B80BA8"/>
    <w:rsid w:val="00B80CBB"/>
    <w:rsid w:val="00B80DA4"/>
    <w:rsid w:val="00B814F3"/>
    <w:rsid w:val="00B82613"/>
    <w:rsid w:val="00B83B18"/>
    <w:rsid w:val="00B84066"/>
    <w:rsid w:val="00B840E3"/>
    <w:rsid w:val="00B85A87"/>
    <w:rsid w:val="00B86861"/>
    <w:rsid w:val="00B879E8"/>
    <w:rsid w:val="00B87DBB"/>
    <w:rsid w:val="00B9023F"/>
    <w:rsid w:val="00B91EFF"/>
    <w:rsid w:val="00B92173"/>
    <w:rsid w:val="00B93EFF"/>
    <w:rsid w:val="00B962CF"/>
    <w:rsid w:val="00B966A6"/>
    <w:rsid w:val="00B96EB6"/>
    <w:rsid w:val="00B97C15"/>
    <w:rsid w:val="00B97CB8"/>
    <w:rsid w:val="00BA0348"/>
    <w:rsid w:val="00BA095C"/>
    <w:rsid w:val="00BA1631"/>
    <w:rsid w:val="00BA1914"/>
    <w:rsid w:val="00BA32AB"/>
    <w:rsid w:val="00BA3795"/>
    <w:rsid w:val="00BA4FCE"/>
    <w:rsid w:val="00BA6CF6"/>
    <w:rsid w:val="00BA71D9"/>
    <w:rsid w:val="00BA74CC"/>
    <w:rsid w:val="00BB0444"/>
    <w:rsid w:val="00BB0E63"/>
    <w:rsid w:val="00BB1ED4"/>
    <w:rsid w:val="00BB2A30"/>
    <w:rsid w:val="00BB2DAD"/>
    <w:rsid w:val="00BB3F9F"/>
    <w:rsid w:val="00BB4242"/>
    <w:rsid w:val="00BB442A"/>
    <w:rsid w:val="00BB541A"/>
    <w:rsid w:val="00BB5BDC"/>
    <w:rsid w:val="00BB5CE0"/>
    <w:rsid w:val="00BB7C99"/>
    <w:rsid w:val="00BC06EC"/>
    <w:rsid w:val="00BC0A12"/>
    <w:rsid w:val="00BC2DB4"/>
    <w:rsid w:val="00BC3A0D"/>
    <w:rsid w:val="00BC4AA9"/>
    <w:rsid w:val="00BC5765"/>
    <w:rsid w:val="00BC5D83"/>
    <w:rsid w:val="00BC600C"/>
    <w:rsid w:val="00BC693E"/>
    <w:rsid w:val="00BC6CB0"/>
    <w:rsid w:val="00BC7542"/>
    <w:rsid w:val="00BC7991"/>
    <w:rsid w:val="00BD1320"/>
    <w:rsid w:val="00BD18B1"/>
    <w:rsid w:val="00BD3CB1"/>
    <w:rsid w:val="00BD7701"/>
    <w:rsid w:val="00BD7738"/>
    <w:rsid w:val="00BD791D"/>
    <w:rsid w:val="00BE0566"/>
    <w:rsid w:val="00BE05E3"/>
    <w:rsid w:val="00BE120D"/>
    <w:rsid w:val="00BE1C11"/>
    <w:rsid w:val="00BE2EE9"/>
    <w:rsid w:val="00BE3A87"/>
    <w:rsid w:val="00BE3EEE"/>
    <w:rsid w:val="00BE4C37"/>
    <w:rsid w:val="00BE5434"/>
    <w:rsid w:val="00BE6035"/>
    <w:rsid w:val="00BE6370"/>
    <w:rsid w:val="00BE64BC"/>
    <w:rsid w:val="00BF09D0"/>
    <w:rsid w:val="00BF13CA"/>
    <w:rsid w:val="00BF1E40"/>
    <w:rsid w:val="00BF3220"/>
    <w:rsid w:val="00BF3D05"/>
    <w:rsid w:val="00BF446D"/>
    <w:rsid w:val="00C00FDA"/>
    <w:rsid w:val="00C0155F"/>
    <w:rsid w:val="00C0167D"/>
    <w:rsid w:val="00C02303"/>
    <w:rsid w:val="00C02F09"/>
    <w:rsid w:val="00C03516"/>
    <w:rsid w:val="00C03879"/>
    <w:rsid w:val="00C039F5"/>
    <w:rsid w:val="00C049E1"/>
    <w:rsid w:val="00C04A7E"/>
    <w:rsid w:val="00C05090"/>
    <w:rsid w:val="00C053C8"/>
    <w:rsid w:val="00C105B5"/>
    <w:rsid w:val="00C11ED7"/>
    <w:rsid w:val="00C12617"/>
    <w:rsid w:val="00C129D9"/>
    <w:rsid w:val="00C135BE"/>
    <w:rsid w:val="00C14757"/>
    <w:rsid w:val="00C148A2"/>
    <w:rsid w:val="00C15DBF"/>
    <w:rsid w:val="00C15F7D"/>
    <w:rsid w:val="00C16E93"/>
    <w:rsid w:val="00C202B8"/>
    <w:rsid w:val="00C215BB"/>
    <w:rsid w:val="00C2178F"/>
    <w:rsid w:val="00C21837"/>
    <w:rsid w:val="00C2192E"/>
    <w:rsid w:val="00C22CAE"/>
    <w:rsid w:val="00C233CD"/>
    <w:rsid w:val="00C241F6"/>
    <w:rsid w:val="00C24579"/>
    <w:rsid w:val="00C24D6C"/>
    <w:rsid w:val="00C2541C"/>
    <w:rsid w:val="00C258D6"/>
    <w:rsid w:val="00C32214"/>
    <w:rsid w:val="00C32582"/>
    <w:rsid w:val="00C32A27"/>
    <w:rsid w:val="00C338B8"/>
    <w:rsid w:val="00C34798"/>
    <w:rsid w:val="00C36DFA"/>
    <w:rsid w:val="00C42B7A"/>
    <w:rsid w:val="00C42F2E"/>
    <w:rsid w:val="00C435A8"/>
    <w:rsid w:val="00C436D4"/>
    <w:rsid w:val="00C449D0"/>
    <w:rsid w:val="00C44A9E"/>
    <w:rsid w:val="00C450AB"/>
    <w:rsid w:val="00C455AF"/>
    <w:rsid w:val="00C462C9"/>
    <w:rsid w:val="00C464F2"/>
    <w:rsid w:val="00C4689C"/>
    <w:rsid w:val="00C51144"/>
    <w:rsid w:val="00C52EE2"/>
    <w:rsid w:val="00C52FCB"/>
    <w:rsid w:val="00C5359B"/>
    <w:rsid w:val="00C539D2"/>
    <w:rsid w:val="00C5408F"/>
    <w:rsid w:val="00C56BE4"/>
    <w:rsid w:val="00C575AA"/>
    <w:rsid w:val="00C60AE8"/>
    <w:rsid w:val="00C61B72"/>
    <w:rsid w:val="00C634D9"/>
    <w:rsid w:val="00C646B1"/>
    <w:rsid w:val="00C667C3"/>
    <w:rsid w:val="00C6726F"/>
    <w:rsid w:val="00C67400"/>
    <w:rsid w:val="00C6791A"/>
    <w:rsid w:val="00C67B92"/>
    <w:rsid w:val="00C67CC0"/>
    <w:rsid w:val="00C67D03"/>
    <w:rsid w:val="00C70365"/>
    <w:rsid w:val="00C70DD6"/>
    <w:rsid w:val="00C7234C"/>
    <w:rsid w:val="00C724A9"/>
    <w:rsid w:val="00C7250E"/>
    <w:rsid w:val="00C72D99"/>
    <w:rsid w:val="00C73BEC"/>
    <w:rsid w:val="00C750DF"/>
    <w:rsid w:val="00C7623F"/>
    <w:rsid w:val="00C762CB"/>
    <w:rsid w:val="00C76450"/>
    <w:rsid w:val="00C775B1"/>
    <w:rsid w:val="00C778FB"/>
    <w:rsid w:val="00C805FD"/>
    <w:rsid w:val="00C80B11"/>
    <w:rsid w:val="00C824B8"/>
    <w:rsid w:val="00C8340A"/>
    <w:rsid w:val="00C8529D"/>
    <w:rsid w:val="00C859D8"/>
    <w:rsid w:val="00C86162"/>
    <w:rsid w:val="00C872DC"/>
    <w:rsid w:val="00C9085F"/>
    <w:rsid w:val="00C90DCE"/>
    <w:rsid w:val="00C912B8"/>
    <w:rsid w:val="00C9172B"/>
    <w:rsid w:val="00C91ABA"/>
    <w:rsid w:val="00C91C4B"/>
    <w:rsid w:val="00C91C96"/>
    <w:rsid w:val="00C9331A"/>
    <w:rsid w:val="00C93637"/>
    <w:rsid w:val="00C94AA3"/>
    <w:rsid w:val="00C9521D"/>
    <w:rsid w:val="00C9589C"/>
    <w:rsid w:val="00C96031"/>
    <w:rsid w:val="00C97702"/>
    <w:rsid w:val="00C97892"/>
    <w:rsid w:val="00C97F5D"/>
    <w:rsid w:val="00CA0089"/>
    <w:rsid w:val="00CA05E6"/>
    <w:rsid w:val="00CA063E"/>
    <w:rsid w:val="00CA0B83"/>
    <w:rsid w:val="00CA115D"/>
    <w:rsid w:val="00CA13CC"/>
    <w:rsid w:val="00CA2BD3"/>
    <w:rsid w:val="00CA2BFE"/>
    <w:rsid w:val="00CA3174"/>
    <w:rsid w:val="00CA3632"/>
    <w:rsid w:val="00CA4429"/>
    <w:rsid w:val="00CA52FB"/>
    <w:rsid w:val="00CA537D"/>
    <w:rsid w:val="00CA586F"/>
    <w:rsid w:val="00CA6ED8"/>
    <w:rsid w:val="00CA72C5"/>
    <w:rsid w:val="00CA73DE"/>
    <w:rsid w:val="00CA7FBE"/>
    <w:rsid w:val="00CB0A50"/>
    <w:rsid w:val="00CB0FF1"/>
    <w:rsid w:val="00CB1E6D"/>
    <w:rsid w:val="00CB2283"/>
    <w:rsid w:val="00CB2990"/>
    <w:rsid w:val="00CB2A32"/>
    <w:rsid w:val="00CB396D"/>
    <w:rsid w:val="00CB3EC9"/>
    <w:rsid w:val="00CB4422"/>
    <w:rsid w:val="00CB4FC7"/>
    <w:rsid w:val="00CB6163"/>
    <w:rsid w:val="00CB69BB"/>
    <w:rsid w:val="00CB6A0C"/>
    <w:rsid w:val="00CB756C"/>
    <w:rsid w:val="00CC1754"/>
    <w:rsid w:val="00CC1E22"/>
    <w:rsid w:val="00CC25BA"/>
    <w:rsid w:val="00CC2744"/>
    <w:rsid w:val="00CC2A24"/>
    <w:rsid w:val="00CC2B43"/>
    <w:rsid w:val="00CC2EB9"/>
    <w:rsid w:val="00CC347F"/>
    <w:rsid w:val="00CC4755"/>
    <w:rsid w:val="00CC4B55"/>
    <w:rsid w:val="00CC50CB"/>
    <w:rsid w:val="00CC61C2"/>
    <w:rsid w:val="00CC6CFC"/>
    <w:rsid w:val="00CC6D01"/>
    <w:rsid w:val="00CC6F95"/>
    <w:rsid w:val="00CD2E6E"/>
    <w:rsid w:val="00CD33E9"/>
    <w:rsid w:val="00CD33F8"/>
    <w:rsid w:val="00CD3AF0"/>
    <w:rsid w:val="00CD4236"/>
    <w:rsid w:val="00CD4F19"/>
    <w:rsid w:val="00CD5AD2"/>
    <w:rsid w:val="00CD6BA0"/>
    <w:rsid w:val="00CE0BA3"/>
    <w:rsid w:val="00CE2827"/>
    <w:rsid w:val="00CE2E14"/>
    <w:rsid w:val="00CE3F47"/>
    <w:rsid w:val="00CE4328"/>
    <w:rsid w:val="00CE657E"/>
    <w:rsid w:val="00CE7EA5"/>
    <w:rsid w:val="00CF1519"/>
    <w:rsid w:val="00CF1527"/>
    <w:rsid w:val="00CF178F"/>
    <w:rsid w:val="00CF19EE"/>
    <w:rsid w:val="00CF2723"/>
    <w:rsid w:val="00CF2890"/>
    <w:rsid w:val="00CF2CE4"/>
    <w:rsid w:val="00CF32C0"/>
    <w:rsid w:val="00CF3E29"/>
    <w:rsid w:val="00CF48B1"/>
    <w:rsid w:val="00CF4C1B"/>
    <w:rsid w:val="00CF6CA5"/>
    <w:rsid w:val="00CF6D77"/>
    <w:rsid w:val="00CF7F85"/>
    <w:rsid w:val="00D004D5"/>
    <w:rsid w:val="00D015BB"/>
    <w:rsid w:val="00D01C35"/>
    <w:rsid w:val="00D01E7B"/>
    <w:rsid w:val="00D03C1B"/>
    <w:rsid w:val="00D03D70"/>
    <w:rsid w:val="00D03FDD"/>
    <w:rsid w:val="00D04445"/>
    <w:rsid w:val="00D058E4"/>
    <w:rsid w:val="00D06FA9"/>
    <w:rsid w:val="00D100CE"/>
    <w:rsid w:val="00D102BC"/>
    <w:rsid w:val="00D10D0F"/>
    <w:rsid w:val="00D111BB"/>
    <w:rsid w:val="00D12784"/>
    <w:rsid w:val="00D1622C"/>
    <w:rsid w:val="00D16838"/>
    <w:rsid w:val="00D178A7"/>
    <w:rsid w:val="00D2087A"/>
    <w:rsid w:val="00D20908"/>
    <w:rsid w:val="00D21521"/>
    <w:rsid w:val="00D21DCA"/>
    <w:rsid w:val="00D21F43"/>
    <w:rsid w:val="00D2377C"/>
    <w:rsid w:val="00D23C7C"/>
    <w:rsid w:val="00D247EB"/>
    <w:rsid w:val="00D25220"/>
    <w:rsid w:val="00D26304"/>
    <w:rsid w:val="00D26B7E"/>
    <w:rsid w:val="00D27A09"/>
    <w:rsid w:val="00D300E2"/>
    <w:rsid w:val="00D30C61"/>
    <w:rsid w:val="00D30D4F"/>
    <w:rsid w:val="00D30F04"/>
    <w:rsid w:val="00D30F43"/>
    <w:rsid w:val="00D32A6D"/>
    <w:rsid w:val="00D344B3"/>
    <w:rsid w:val="00D35169"/>
    <w:rsid w:val="00D353A3"/>
    <w:rsid w:val="00D35569"/>
    <w:rsid w:val="00D35BA7"/>
    <w:rsid w:val="00D36C8B"/>
    <w:rsid w:val="00D37F16"/>
    <w:rsid w:val="00D42546"/>
    <w:rsid w:val="00D44F80"/>
    <w:rsid w:val="00D45C14"/>
    <w:rsid w:val="00D47695"/>
    <w:rsid w:val="00D5086B"/>
    <w:rsid w:val="00D51A7D"/>
    <w:rsid w:val="00D535DF"/>
    <w:rsid w:val="00D5372A"/>
    <w:rsid w:val="00D5505B"/>
    <w:rsid w:val="00D55BC9"/>
    <w:rsid w:val="00D561B2"/>
    <w:rsid w:val="00D575E7"/>
    <w:rsid w:val="00D57CC2"/>
    <w:rsid w:val="00D61423"/>
    <w:rsid w:val="00D62786"/>
    <w:rsid w:val="00D63696"/>
    <w:rsid w:val="00D6511F"/>
    <w:rsid w:val="00D6515F"/>
    <w:rsid w:val="00D6596A"/>
    <w:rsid w:val="00D70478"/>
    <w:rsid w:val="00D7078D"/>
    <w:rsid w:val="00D713DA"/>
    <w:rsid w:val="00D740FA"/>
    <w:rsid w:val="00D7454E"/>
    <w:rsid w:val="00D7763B"/>
    <w:rsid w:val="00D779F6"/>
    <w:rsid w:val="00D8057C"/>
    <w:rsid w:val="00D806A0"/>
    <w:rsid w:val="00D81148"/>
    <w:rsid w:val="00D81F1E"/>
    <w:rsid w:val="00D83F1D"/>
    <w:rsid w:val="00D84DFF"/>
    <w:rsid w:val="00D8501F"/>
    <w:rsid w:val="00D85342"/>
    <w:rsid w:val="00D861D1"/>
    <w:rsid w:val="00D87055"/>
    <w:rsid w:val="00D9123F"/>
    <w:rsid w:val="00D91DE9"/>
    <w:rsid w:val="00D935E1"/>
    <w:rsid w:val="00D93C59"/>
    <w:rsid w:val="00D94247"/>
    <w:rsid w:val="00D94C36"/>
    <w:rsid w:val="00D94D54"/>
    <w:rsid w:val="00D953CA"/>
    <w:rsid w:val="00D96572"/>
    <w:rsid w:val="00DA0AEC"/>
    <w:rsid w:val="00DA234D"/>
    <w:rsid w:val="00DA24EA"/>
    <w:rsid w:val="00DA32BC"/>
    <w:rsid w:val="00DA58C2"/>
    <w:rsid w:val="00DA59DD"/>
    <w:rsid w:val="00DA7AD3"/>
    <w:rsid w:val="00DB07A0"/>
    <w:rsid w:val="00DB0DCA"/>
    <w:rsid w:val="00DB153D"/>
    <w:rsid w:val="00DB1FF3"/>
    <w:rsid w:val="00DB209E"/>
    <w:rsid w:val="00DB2869"/>
    <w:rsid w:val="00DB2F92"/>
    <w:rsid w:val="00DB35AF"/>
    <w:rsid w:val="00DB3AC1"/>
    <w:rsid w:val="00DB42CF"/>
    <w:rsid w:val="00DB46E2"/>
    <w:rsid w:val="00DB4CEE"/>
    <w:rsid w:val="00DB4E90"/>
    <w:rsid w:val="00DB68F3"/>
    <w:rsid w:val="00DB6EA2"/>
    <w:rsid w:val="00DC05C3"/>
    <w:rsid w:val="00DC196F"/>
    <w:rsid w:val="00DC2209"/>
    <w:rsid w:val="00DC27BA"/>
    <w:rsid w:val="00DC3E16"/>
    <w:rsid w:val="00DC4BCC"/>
    <w:rsid w:val="00DC5332"/>
    <w:rsid w:val="00DC57F2"/>
    <w:rsid w:val="00DC5956"/>
    <w:rsid w:val="00DC60BC"/>
    <w:rsid w:val="00DC72E1"/>
    <w:rsid w:val="00DD01F8"/>
    <w:rsid w:val="00DD071E"/>
    <w:rsid w:val="00DD0CFD"/>
    <w:rsid w:val="00DD1259"/>
    <w:rsid w:val="00DD16BD"/>
    <w:rsid w:val="00DD3092"/>
    <w:rsid w:val="00DD31F0"/>
    <w:rsid w:val="00DD3234"/>
    <w:rsid w:val="00DD3DDB"/>
    <w:rsid w:val="00DD3F2A"/>
    <w:rsid w:val="00DD6C39"/>
    <w:rsid w:val="00DD7351"/>
    <w:rsid w:val="00DD7DAF"/>
    <w:rsid w:val="00DE0596"/>
    <w:rsid w:val="00DE105C"/>
    <w:rsid w:val="00DE171B"/>
    <w:rsid w:val="00DE18C7"/>
    <w:rsid w:val="00DE1C25"/>
    <w:rsid w:val="00DE4A6F"/>
    <w:rsid w:val="00DE72C0"/>
    <w:rsid w:val="00DF0684"/>
    <w:rsid w:val="00DF1874"/>
    <w:rsid w:val="00DF1900"/>
    <w:rsid w:val="00DF2CBC"/>
    <w:rsid w:val="00DF3CE7"/>
    <w:rsid w:val="00DF3FF6"/>
    <w:rsid w:val="00DF4544"/>
    <w:rsid w:val="00DF45C4"/>
    <w:rsid w:val="00DF480E"/>
    <w:rsid w:val="00DF4A6A"/>
    <w:rsid w:val="00DF4F4D"/>
    <w:rsid w:val="00DF5013"/>
    <w:rsid w:val="00DF51A5"/>
    <w:rsid w:val="00DF5625"/>
    <w:rsid w:val="00DF5B8B"/>
    <w:rsid w:val="00DF5EF9"/>
    <w:rsid w:val="00E01F15"/>
    <w:rsid w:val="00E04A7F"/>
    <w:rsid w:val="00E05199"/>
    <w:rsid w:val="00E05AD2"/>
    <w:rsid w:val="00E05F73"/>
    <w:rsid w:val="00E06783"/>
    <w:rsid w:val="00E06FBA"/>
    <w:rsid w:val="00E07577"/>
    <w:rsid w:val="00E10A56"/>
    <w:rsid w:val="00E11425"/>
    <w:rsid w:val="00E118C0"/>
    <w:rsid w:val="00E1277E"/>
    <w:rsid w:val="00E134B9"/>
    <w:rsid w:val="00E13C8E"/>
    <w:rsid w:val="00E17896"/>
    <w:rsid w:val="00E20281"/>
    <w:rsid w:val="00E214C2"/>
    <w:rsid w:val="00E21E71"/>
    <w:rsid w:val="00E21FB3"/>
    <w:rsid w:val="00E22EC3"/>
    <w:rsid w:val="00E24EA4"/>
    <w:rsid w:val="00E25ED9"/>
    <w:rsid w:val="00E262CC"/>
    <w:rsid w:val="00E26B76"/>
    <w:rsid w:val="00E328B7"/>
    <w:rsid w:val="00E32B88"/>
    <w:rsid w:val="00E32C3C"/>
    <w:rsid w:val="00E337E9"/>
    <w:rsid w:val="00E3422A"/>
    <w:rsid w:val="00E3459E"/>
    <w:rsid w:val="00E34DD6"/>
    <w:rsid w:val="00E361E1"/>
    <w:rsid w:val="00E365E6"/>
    <w:rsid w:val="00E368BD"/>
    <w:rsid w:val="00E36DC5"/>
    <w:rsid w:val="00E37915"/>
    <w:rsid w:val="00E4070B"/>
    <w:rsid w:val="00E40956"/>
    <w:rsid w:val="00E40B21"/>
    <w:rsid w:val="00E415C4"/>
    <w:rsid w:val="00E4251B"/>
    <w:rsid w:val="00E42974"/>
    <w:rsid w:val="00E4310F"/>
    <w:rsid w:val="00E43992"/>
    <w:rsid w:val="00E4483F"/>
    <w:rsid w:val="00E45825"/>
    <w:rsid w:val="00E4608D"/>
    <w:rsid w:val="00E5099A"/>
    <w:rsid w:val="00E51ED8"/>
    <w:rsid w:val="00E52CF0"/>
    <w:rsid w:val="00E5320F"/>
    <w:rsid w:val="00E547D6"/>
    <w:rsid w:val="00E5580D"/>
    <w:rsid w:val="00E5655C"/>
    <w:rsid w:val="00E56A22"/>
    <w:rsid w:val="00E5703B"/>
    <w:rsid w:val="00E579CA"/>
    <w:rsid w:val="00E6099D"/>
    <w:rsid w:val="00E612C3"/>
    <w:rsid w:val="00E627F3"/>
    <w:rsid w:val="00E62819"/>
    <w:rsid w:val="00E62E66"/>
    <w:rsid w:val="00E63F55"/>
    <w:rsid w:val="00E6451A"/>
    <w:rsid w:val="00E645DF"/>
    <w:rsid w:val="00E64C43"/>
    <w:rsid w:val="00E662A9"/>
    <w:rsid w:val="00E66462"/>
    <w:rsid w:val="00E66873"/>
    <w:rsid w:val="00E66CF0"/>
    <w:rsid w:val="00E66F2F"/>
    <w:rsid w:val="00E673F9"/>
    <w:rsid w:val="00E67617"/>
    <w:rsid w:val="00E709AF"/>
    <w:rsid w:val="00E7139C"/>
    <w:rsid w:val="00E72B3D"/>
    <w:rsid w:val="00E72D77"/>
    <w:rsid w:val="00E74939"/>
    <w:rsid w:val="00E74F74"/>
    <w:rsid w:val="00E75460"/>
    <w:rsid w:val="00E75BF9"/>
    <w:rsid w:val="00E76713"/>
    <w:rsid w:val="00E76881"/>
    <w:rsid w:val="00E80688"/>
    <w:rsid w:val="00E810D8"/>
    <w:rsid w:val="00E8192F"/>
    <w:rsid w:val="00E82334"/>
    <w:rsid w:val="00E831D1"/>
    <w:rsid w:val="00E8321B"/>
    <w:rsid w:val="00E841F4"/>
    <w:rsid w:val="00E84302"/>
    <w:rsid w:val="00E84371"/>
    <w:rsid w:val="00E8635C"/>
    <w:rsid w:val="00E869C3"/>
    <w:rsid w:val="00E8718C"/>
    <w:rsid w:val="00E907C6"/>
    <w:rsid w:val="00E91B91"/>
    <w:rsid w:val="00E9384D"/>
    <w:rsid w:val="00E94464"/>
    <w:rsid w:val="00E94A35"/>
    <w:rsid w:val="00E96F38"/>
    <w:rsid w:val="00EA007A"/>
    <w:rsid w:val="00EA1C45"/>
    <w:rsid w:val="00EA213A"/>
    <w:rsid w:val="00EA2DD3"/>
    <w:rsid w:val="00EA30F8"/>
    <w:rsid w:val="00EA44AF"/>
    <w:rsid w:val="00EA49FF"/>
    <w:rsid w:val="00EA4D0A"/>
    <w:rsid w:val="00EA61CF"/>
    <w:rsid w:val="00EA69DA"/>
    <w:rsid w:val="00EA79C9"/>
    <w:rsid w:val="00EB0674"/>
    <w:rsid w:val="00EB1906"/>
    <w:rsid w:val="00EB3B88"/>
    <w:rsid w:val="00EB3EB8"/>
    <w:rsid w:val="00EB416E"/>
    <w:rsid w:val="00EB41E0"/>
    <w:rsid w:val="00EB440C"/>
    <w:rsid w:val="00EB4944"/>
    <w:rsid w:val="00EB4F2B"/>
    <w:rsid w:val="00EB54DB"/>
    <w:rsid w:val="00EB5680"/>
    <w:rsid w:val="00EB5D0C"/>
    <w:rsid w:val="00EB73A9"/>
    <w:rsid w:val="00EC0E0C"/>
    <w:rsid w:val="00EC190B"/>
    <w:rsid w:val="00EC2B64"/>
    <w:rsid w:val="00EC3856"/>
    <w:rsid w:val="00EC385D"/>
    <w:rsid w:val="00EC4CF1"/>
    <w:rsid w:val="00EC4F7A"/>
    <w:rsid w:val="00EC5925"/>
    <w:rsid w:val="00EC5B52"/>
    <w:rsid w:val="00EC6A9B"/>
    <w:rsid w:val="00EC70B3"/>
    <w:rsid w:val="00EC7ADD"/>
    <w:rsid w:val="00ED0D14"/>
    <w:rsid w:val="00ED0D9B"/>
    <w:rsid w:val="00ED0E3C"/>
    <w:rsid w:val="00ED2AE2"/>
    <w:rsid w:val="00ED31F7"/>
    <w:rsid w:val="00ED3DD9"/>
    <w:rsid w:val="00ED5328"/>
    <w:rsid w:val="00ED582C"/>
    <w:rsid w:val="00ED5C8F"/>
    <w:rsid w:val="00ED5EAF"/>
    <w:rsid w:val="00ED6102"/>
    <w:rsid w:val="00ED6641"/>
    <w:rsid w:val="00ED6650"/>
    <w:rsid w:val="00ED728B"/>
    <w:rsid w:val="00ED76B7"/>
    <w:rsid w:val="00EE00A2"/>
    <w:rsid w:val="00EE0EF4"/>
    <w:rsid w:val="00EE1FA8"/>
    <w:rsid w:val="00EE22C7"/>
    <w:rsid w:val="00EE2604"/>
    <w:rsid w:val="00EE3B8C"/>
    <w:rsid w:val="00EE6882"/>
    <w:rsid w:val="00EE6992"/>
    <w:rsid w:val="00EF01A0"/>
    <w:rsid w:val="00EF1A3D"/>
    <w:rsid w:val="00EF1ED1"/>
    <w:rsid w:val="00EF2753"/>
    <w:rsid w:val="00EF2CD5"/>
    <w:rsid w:val="00EF39F1"/>
    <w:rsid w:val="00EF433D"/>
    <w:rsid w:val="00EF48B3"/>
    <w:rsid w:val="00EF4CED"/>
    <w:rsid w:val="00EF5FB5"/>
    <w:rsid w:val="00EF68A8"/>
    <w:rsid w:val="00EF6902"/>
    <w:rsid w:val="00EF704D"/>
    <w:rsid w:val="00EF731B"/>
    <w:rsid w:val="00EF7351"/>
    <w:rsid w:val="00EF795D"/>
    <w:rsid w:val="00EF7E24"/>
    <w:rsid w:val="00F00D68"/>
    <w:rsid w:val="00F01617"/>
    <w:rsid w:val="00F02EFE"/>
    <w:rsid w:val="00F03232"/>
    <w:rsid w:val="00F033FE"/>
    <w:rsid w:val="00F03C29"/>
    <w:rsid w:val="00F04BFB"/>
    <w:rsid w:val="00F04E73"/>
    <w:rsid w:val="00F05568"/>
    <w:rsid w:val="00F0646C"/>
    <w:rsid w:val="00F06BD6"/>
    <w:rsid w:val="00F06D35"/>
    <w:rsid w:val="00F0704E"/>
    <w:rsid w:val="00F07BB1"/>
    <w:rsid w:val="00F1049C"/>
    <w:rsid w:val="00F10C5B"/>
    <w:rsid w:val="00F10D16"/>
    <w:rsid w:val="00F11F53"/>
    <w:rsid w:val="00F120DC"/>
    <w:rsid w:val="00F12307"/>
    <w:rsid w:val="00F129FC"/>
    <w:rsid w:val="00F13A7F"/>
    <w:rsid w:val="00F14B19"/>
    <w:rsid w:val="00F15077"/>
    <w:rsid w:val="00F15377"/>
    <w:rsid w:val="00F1637F"/>
    <w:rsid w:val="00F17267"/>
    <w:rsid w:val="00F175E8"/>
    <w:rsid w:val="00F17776"/>
    <w:rsid w:val="00F22678"/>
    <w:rsid w:val="00F23828"/>
    <w:rsid w:val="00F23C06"/>
    <w:rsid w:val="00F2522F"/>
    <w:rsid w:val="00F256AB"/>
    <w:rsid w:val="00F2604A"/>
    <w:rsid w:val="00F265B5"/>
    <w:rsid w:val="00F26882"/>
    <w:rsid w:val="00F27B01"/>
    <w:rsid w:val="00F27C86"/>
    <w:rsid w:val="00F27DF9"/>
    <w:rsid w:val="00F30866"/>
    <w:rsid w:val="00F30A66"/>
    <w:rsid w:val="00F31989"/>
    <w:rsid w:val="00F32007"/>
    <w:rsid w:val="00F32925"/>
    <w:rsid w:val="00F33749"/>
    <w:rsid w:val="00F3376A"/>
    <w:rsid w:val="00F33DEC"/>
    <w:rsid w:val="00F33E9F"/>
    <w:rsid w:val="00F34C00"/>
    <w:rsid w:val="00F34CE9"/>
    <w:rsid w:val="00F34F9F"/>
    <w:rsid w:val="00F37141"/>
    <w:rsid w:val="00F37F41"/>
    <w:rsid w:val="00F402DB"/>
    <w:rsid w:val="00F4255C"/>
    <w:rsid w:val="00F425F1"/>
    <w:rsid w:val="00F4321B"/>
    <w:rsid w:val="00F4367F"/>
    <w:rsid w:val="00F43981"/>
    <w:rsid w:val="00F44674"/>
    <w:rsid w:val="00F4472E"/>
    <w:rsid w:val="00F44FFE"/>
    <w:rsid w:val="00F45693"/>
    <w:rsid w:val="00F45922"/>
    <w:rsid w:val="00F474FC"/>
    <w:rsid w:val="00F50195"/>
    <w:rsid w:val="00F504C1"/>
    <w:rsid w:val="00F51F3A"/>
    <w:rsid w:val="00F5271B"/>
    <w:rsid w:val="00F52BED"/>
    <w:rsid w:val="00F52D03"/>
    <w:rsid w:val="00F52FAD"/>
    <w:rsid w:val="00F53B10"/>
    <w:rsid w:val="00F54BD9"/>
    <w:rsid w:val="00F55583"/>
    <w:rsid w:val="00F561D9"/>
    <w:rsid w:val="00F57097"/>
    <w:rsid w:val="00F572C0"/>
    <w:rsid w:val="00F57E53"/>
    <w:rsid w:val="00F61E5B"/>
    <w:rsid w:val="00F624AD"/>
    <w:rsid w:val="00F624CA"/>
    <w:rsid w:val="00F631AF"/>
    <w:rsid w:val="00F6381D"/>
    <w:rsid w:val="00F63974"/>
    <w:rsid w:val="00F63D01"/>
    <w:rsid w:val="00F63E2E"/>
    <w:rsid w:val="00F64F81"/>
    <w:rsid w:val="00F65583"/>
    <w:rsid w:val="00F6636A"/>
    <w:rsid w:val="00F66828"/>
    <w:rsid w:val="00F71D20"/>
    <w:rsid w:val="00F71E4B"/>
    <w:rsid w:val="00F72923"/>
    <w:rsid w:val="00F73741"/>
    <w:rsid w:val="00F75F73"/>
    <w:rsid w:val="00F76E0E"/>
    <w:rsid w:val="00F772D8"/>
    <w:rsid w:val="00F7756D"/>
    <w:rsid w:val="00F77688"/>
    <w:rsid w:val="00F80A2C"/>
    <w:rsid w:val="00F8196D"/>
    <w:rsid w:val="00F826FA"/>
    <w:rsid w:val="00F82A78"/>
    <w:rsid w:val="00F83AF2"/>
    <w:rsid w:val="00F83F03"/>
    <w:rsid w:val="00F844E1"/>
    <w:rsid w:val="00F853B8"/>
    <w:rsid w:val="00F909E7"/>
    <w:rsid w:val="00F90ADF"/>
    <w:rsid w:val="00F92027"/>
    <w:rsid w:val="00F928A3"/>
    <w:rsid w:val="00F92EB1"/>
    <w:rsid w:val="00F93410"/>
    <w:rsid w:val="00F93729"/>
    <w:rsid w:val="00F937E5"/>
    <w:rsid w:val="00F958A3"/>
    <w:rsid w:val="00F95B63"/>
    <w:rsid w:val="00F9722B"/>
    <w:rsid w:val="00FA09BE"/>
    <w:rsid w:val="00FA0AFB"/>
    <w:rsid w:val="00FA1872"/>
    <w:rsid w:val="00FA2A30"/>
    <w:rsid w:val="00FA3014"/>
    <w:rsid w:val="00FA3204"/>
    <w:rsid w:val="00FA397C"/>
    <w:rsid w:val="00FA524B"/>
    <w:rsid w:val="00FA5E42"/>
    <w:rsid w:val="00FA72BD"/>
    <w:rsid w:val="00FA7354"/>
    <w:rsid w:val="00FA785B"/>
    <w:rsid w:val="00FB067C"/>
    <w:rsid w:val="00FB104B"/>
    <w:rsid w:val="00FB11A2"/>
    <w:rsid w:val="00FB3212"/>
    <w:rsid w:val="00FB3DA8"/>
    <w:rsid w:val="00FB457A"/>
    <w:rsid w:val="00FB4D05"/>
    <w:rsid w:val="00FB6A1F"/>
    <w:rsid w:val="00FB6AF3"/>
    <w:rsid w:val="00FB7662"/>
    <w:rsid w:val="00FB783A"/>
    <w:rsid w:val="00FC0381"/>
    <w:rsid w:val="00FC03A8"/>
    <w:rsid w:val="00FC1CB7"/>
    <w:rsid w:val="00FC1D40"/>
    <w:rsid w:val="00FC1E84"/>
    <w:rsid w:val="00FC1F54"/>
    <w:rsid w:val="00FC5324"/>
    <w:rsid w:val="00FC5B33"/>
    <w:rsid w:val="00FC5ECB"/>
    <w:rsid w:val="00FC77F8"/>
    <w:rsid w:val="00FD027A"/>
    <w:rsid w:val="00FD09C9"/>
    <w:rsid w:val="00FD619D"/>
    <w:rsid w:val="00FD68BE"/>
    <w:rsid w:val="00FD6E76"/>
    <w:rsid w:val="00FD6F95"/>
    <w:rsid w:val="00FD7572"/>
    <w:rsid w:val="00FD7623"/>
    <w:rsid w:val="00FE0342"/>
    <w:rsid w:val="00FE08AF"/>
    <w:rsid w:val="00FE0A2C"/>
    <w:rsid w:val="00FE22A7"/>
    <w:rsid w:val="00FE2EE0"/>
    <w:rsid w:val="00FE33F8"/>
    <w:rsid w:val="00FE55C4"/>
    <w:rsid w:val="00FE7273"/>
    <w:rsid w:val="00FF2047"/>
    <w:rsid w:val="00FF260E"/>
    <w:rsid w:val="00FF4860"/>
    <w:rsid w:val="00FF4C27"/>
    <w:rsid w:val="00FF557B"/>
    <w:rsid w:val="00FF5689"/>
    <w:rsid w:val="00FF591B"/>
    <w:rsid w:val="00FF5C41"/>
    <w:rsid w:val="00FF5DA7"/>
    <w:rsid w:val="00FF7279"/>
    <w:rsid w:val="00FF74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380600A"/>
  <w15:docId w15:val="{128C2AF7-6121-43B3-8680-EA85A725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58D6"/>
    <w:rPr>
      <w:sz w:val="24"/>
      <w:szCs w:val="24"/>
      <w:lang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eastAsia="Times New Roman"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eastAsia="Times New Roman"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4"/>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eastAsia="Times New Roman" w:hAnsi="Calibri Light"/>
      <w:i/>
      <w:iCs/>
      <w:color w:val="3F3F42"/>
    </w:rPr>
  </w:style>
  <w:style w:type="paragraph" w:styleId="Heading5">
    <w:name w:val="heading 5"/>
    <w:basedOn w:val="Normal"/>
    <w:next w:val="Normal"/>
    <w:link w:val="Heading5Char"/>
    <w:uiPriority w:val="9"/>
    <w:semiHidden/>
    <w:unhideWhenUsed/>
    <w:rsid w:val="006B1186"/>
    <w:pPr>
      <w:keepNext/>
      <w:keepLines/>
      <w:spacing w:before="40"/>
      <w:outlineLvl w:val="4"/>
    </w:pPr>
    <w:rPr>
      <w:rFonts w:asciiTheme="majorHAnsi" w:eastAsiaTheme="majorEastAsia" w:hAnsiTheme="majorHAnsi" w:cstheme="majorBidi"/>
      <w:color w:val="53247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uiPriority w:val="99"/>
    <w:qFormat/>
    <w:rsid w:val="00BC600C"/>
    <w:pPr>
      <w:numPr>
        <w:numId w:val="8"/>
      </w:numPr>
      <w:suppressAutoHyphens/>
      <w:autoSpaceDE w:val="0"/>
      <w:autoSpaceDN w:val="0"/>
      <w:adjustRightInd w:val="0"/>
      <w:spacing w:before="120" w:after="200" w:line="264" w:lineRule="auto"/>
      <w:textAlignment w:val="center"/>
    </w:pPr>
    <w:rPr>
      <w:rFonts w:cs="National-Book"/>
      <w:color w:val="000000"/>
      <w:sz w:val="22"/>
      <w:szCs w:val="22"/>
    </w:rPr>
  </w:style>
  <w:style w:type="paragraph" w:customStyle="1" w:styleId="Bulletpoint">
    <w:name w:val="Bullet point"/>
    <w:basedOn w:val="BodyText"/>
    <w:uiPriority w:val="99"/>
    <w:qFormat/>
    <w:rsid w:val="00A92E7D"/>
    <w:pPr>
      <w:numPr>
        <w:numId w:val="7"/>
      </w:numPr>
      <w:spacing w:after="0"/>
      <w:ind w:left="850" w:hanging="425"/>
    </w:pPr>
  </w:style>
  <w:style w:type="character" w:customStyle="1" w:styleId="Bold">
    <w:name w:val="Bold"/>
    <w:uiPriority w:val="99"/>
    <w:qFormat/>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duction">
    <w:name w:val="Introduction"/>
    <w:basedOn w:val="BodyText1"/>
    <w:uiPriority w:val="99"/>
    <w:qFormat/>
    <w:rsid w:val="00F26882"/>
    <w:pPr>
      <w:numPr>
        <w:numId w:val="0"/>
      </w:numPr>
      <w:pBdr>
        <w:top w:val="single" w:sz="4" w:space="1" w:color="auto"/>
        <w:left w:val="single" w:sz="4" w:space="4" w:color="auto"/>
        <w:bottom w:val="single" w:sz="4" w:space="1" w:color="auto"/>
        <w:right w:val="single" w:sz="4" w:space="4" w:color="auto"/>
      </w:pBdr>
    </w:pPr>
  </w:style>
  <w:style w:type="paragraph" w:styleId="Header">
    <w:name w:val="header"/>
    <w:basedOn w:val="Normal"/>
    <w:link w:val="HeaderChar"/>
    <w:uiPriority w:val="99"/>
    <w:unhideWhenUsed/>
    <w:rsid w:val="00F75F73"/>
    <w:pPr>
      <w:tabs>
        <w:tab w:val="center" w:pos="4513"/>
        <w:tab w:val="right" w:pos="9026"/>
      </w:tabs>
    </w:pPr>
  </w:style>
  <w:style w:type="character" w:customStyle="1" w:styleId="HeaderChar">
    <w:name w:val="Header Char"/>
    <w:basedOn w:val="DefaultParagraphFont"/>
    <w:link w:val="Header"/>
    <w:uiPriority w:val="99"/>
    <w:rsid w:val="00F75F73"/>
  </w:style>
  <w:style w:type="paragraph" w:styleId="Footer">
    <w:name w:val="footer"/>
    <w:basedOn w:val="Normal"/>
    <w:link w:val="FooterChar"/>
    <w:uiPriority w:val="99"/>
    <w:unhideWhenUsed/>
    <w:qFormat/>
    <w:rsid w:val="00B5612C"/>
    <w:pPr>
      <w:tabs>
        <w:tab w:val="center" w:pos="4513"/>
        <w:tab w:val="right" w:pos="9026"/>
      </w:tabs>
    </w:pPr>
    <w:rPr>
      <w:color w:val="430098"/>
    </w:rPr>
  </w:style>
  <w:style w:type="character" w:customStyle="1" w:styleId="FooterChar">
    <w:name w:val="Footer Char"/>
    <w:link w:val="Footer"/>
    <w:uiPriority w:val="99"/>
    <w:rsid w:val="00B5612C"/>
    <w:rPr>
      <w:color w:val="430098"/>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qFormat/>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BodyText1"/>
    <w:qFormat/>
    <w:rsid w:val="00B5612C"/>
    <w:pPr>
      <w:spacing w:after="60"/>
    </w:pPr>
    <w:rPr>
      <w:b/>
      <w:sz w:val="64"/>
      <w:szCs w:val="64"/>
    </w:rPr>
  </w:style>
  <w:style w:type="paragraph" w:customStyle="1" w:styleId="Category">
    <w:name w:val="Category"/>
    <w:basedOn w:val="Header"/>
    <w:qFormat/>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C02F09"/>
    <w:pPr>
      <w:widowControl/>
      <w:tabs>
        <w:tab w:val="clear" w:pos="360"/>
        <w:tab w:val="clear" w:pos="6340"/>
        <w:tab w:val="right" w:leader="dot" w:pos="8778"/>
      </w:tabs>
      <w:autoSpaceDE/>
      <w:autoSpaceDN/>
      <w:adjustRightInd/>
      <w:spacing w:line="240" w:lineRule="auto"/>
      <w:ind w:left="0" w:firstLine="0"/>
      <w:textAlignment w:val="auto"/>
    </w:pPr>
    <w:rPr>
      <w:rFonts w:ascii="Calibri" w:hAnsi="Calibri" w:cs="Times New Roman"/>
      <w:i/>
      <w:iCs/>
      <w:color w:val="auto"/>
      <w:sz w:val="24"/>
      <w:szCs w:val="24"/>
    </w:rPr>
  </w:style>
  <w:style w:type="paragraph" w:styleId="TOC2">
    <w:name w:val="toc 2"/>
    <w:basedOn w:val="ContentsSubsection1"/>
    <w:next w:val="Normal"/>
    <w:autoRedefine/>
    <w:uiPriority w:val="39"/>
    <w:unhideWhenUsed/>
    <w:rsid w:val="00896A12"/>
    <w:pPr>
      <w:widowControl/>
      <w:tabs>
        <w:tab w:val="clear" w:pos="360"/>
        <w:tab w:val="clear" w:pos="6340"/>
      </w:tabs>
      <w:autoSpaceDE/>
      <w:autoSpaceDN/>
      <w:adjustRightInd/>
      <w:spacing w:before="120" w:line="240" w:lineRule="auto"/>
      <w:ind w:left="240"/>
      <w:textAlignment w:val="auto"/>
    </w:pPr>
    <w:rPr>
      <w:rFonts w:cs="Times New Roman"/>
      <w:b/>
      <w:bCs/>
      <w:color w:val="auto"/>
      <w:sz w:val="22"/>
      <w:szCs w:val="22"/>
    </w:rPr>
  </w:style>
  <w:style w:type="paragraph" w:styleId="TOC3">
    <w:name w:val="toc 3"/>
    <w:basedOn w:val="Normal"/>
    <w:next w:val="Normal"/>
    <w:autoRedefine/>
    <w:uiPriority w:val="39"/>
    <w:unhideWhenUsed/>
    <w:rsid w:val="00896A12"/>
    <w:pPr>
      <w:ind w:left="480"/>
    </w:pPr>
    <w:rPr>
      <w:sz w:val="20"/>
      <w:szCs w:val="20"/>
    </w:rPr>
  </w:style>
  <w:style w:type="paragraph" w:styleId="TOC4">
    <w:name w:val="toc 4"/>
    <w:basedOn w:val="Normal"/>
    <w:next w:val="Normal"/>
    <w:autoRedefine/>
    <w:uiPriority w:val="39"/>
    <w:unhideWhenUsed/>
    <w:rsid w:val="00896A12"/>
    <w:pPr>
      <w:ind w:left="720"/>
    </w:pPr>
    <w:rPr>
      <w:sz w:val="20"/>
      <w:szCs w:val="20"/>
    </w:rPr>
  </w:style>
  <w:style w:type="paragraph" w:styleId="TOC5">
    <w:name w:val="toc 5"/>
    <w:basedOn w:val="Normal"/>
    <w:next w:val="Normal"/>
    <w:autoRedefine/>
    <w:uiPriority w:val="39"/>
    <w:unhideWhenUsed/>
    <w:rsid w:val="00896A12"/>
    <w:pPr>
      <w:ind w:left="960"/>
    </w:pPr>
    <w:rPr>
      <w:sz w:val="20"/>
      <w:szCs w:val="20"/>
    </w:rPr>
  </w:style>
  <w:style w:type="paragraph" w:styleId="TOC6">
    <w:name w:val="toc 6"/>
    <w:basedOn w:val="Normal"/>
    <w:next w:val="Normal"/>
    <w:autoRedefine/>
    <w:uiPriority w:val="39"/>
    <w:unhideWhenUsed/>
    <w:rsid w:val="00896A12"/>
    <w:pPr>
      <w:ind w:left="1200"/>
    </w:pPr>
    <w:rPr>
      <w:sz w:val="20"/>
      <w:szCs w:val="20"/>
    </w:rPr>
  </w:style>
  <w:style w:type="paragraph" w:styleId="TOC7">
    <w:name w:val="toc 7"/>
    <w:basedOn w:val="Normal"/>
    <w:next w:val="Normal"/>
    <w:autoRedefine/>
    <w:uiPriority w:val="39"/>
    <w:unhideWhenUsed/>
    <w:rsid w:val="00896A12"/>
    <w:pPr>
      <w:ind w:left="1440"/>
    </w:pPr>
    <w:rPr>
      <w:sz w:val="20"/>
      <w:szCs w:val="20"/>
    </w:rPr>
  </w:style>
  <w:style w:type="paragraph" w:styleId="TOC8">
    <w:name w:val="toc 8"/>
    <w:basedOn w:val="Normal"/>
    <w:next w:val="Normal"/>
    <w:autoRedefine/>
    <w:uiPriority w:val="39"/>
    <w:unhideWhenUsed/>
    <w:rsid w:val="00896A12"/>
    <w:pPr>
      <w:ind w:left="1680"/>
    </w:pPr>
    <w:rPr>
      <w:sz w:val="20"/>
      <w:szCs w:val="20"/>
    </w:rPr>
  </w:style>
  <w:style w:type="paragraph" w:styleId="TOC9">
    <w:name w:val="toc 9"/>
    <w:basedOn w:val="Normal"/>
    <w:next w:val="Normal"/>
    <w:autoRedefine/>
    <w:uiPriority w:val="39"/>
    <w:unhideWhenUsed/>
    <w:rsid w:val="00896A12"/>
    <w:pPr>
      <w:ind w:left="1920"/>
    </w:pPr>
    <w:rPr>
      <w:sz w:val="20"/>
      <w:szCs w:val="20"/>
    </w:rPr>
  </w:style>
  <w:style w:type="numbering" w:styleId="111111">
    <w:name w:val="Outline List 2"/>
    <w:basedOn w:val="NoList"/>
    <w:uiPriority w:val="99"/>
    <w:semiHidden/>
    <w:unhideWhenUsed/>
    <w:rsid w:val="003A44AF"/>
    <w:pPr>
      <w:numPr>
        <w:numId w:val="2"/>
      </w:numPr>
    </w:pPr>
  </w:style>
  <w:style w:type="numbering" w:customStyle="1" w:styleId="OVICHeadings">
    <w:name w:val="OVIC Headings"/>
    <w:uiPriority w:val="99"/>
    <w:rsid w:val="00E415C4"/>
    <w:pPr>
      <w:numPr>
        <w:numId w:val="3"/>
      </w:numPr>
    </w:pPr>
  </w:style>
  <w:style w:type="paragraph" w:styleId="NormalWeb">
    <w:name w:val="Normal (Web)"/>
    <w:basedOn w:val="Normal"/>
    <w:uiPriority w:val="99"/>
    <w:semiHidden/>
    <w:unhideWhenUsed/>
    <w:rsid w:val="00BE6370"/>
    <w:pPr>
      <w:spacing w:before="100" w:beforeAutospacing="1" w:after="100" w:afterAutospacing="1"/>
    </w:pPr>
    <w:rPr>
      <w:rFonts w:ascii="Times New Roman" w:hAnsi="Times New Roman"/>
      <w:lang w:eastAsia="en-GB"/>
    </w:rPr>
  </w:style>
  <w:style w:type="paragraph" w:customStyle="1" w:styleId="DocumentSubtitle">
    <w:name w:val="Document Subtitle"/>
    <w:next w:val="Introduction"/>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Normal"/>
    <w:qFormat/>
    <w:rsid w:val="00883D15"/>
    <w:pPr>
      <w:spacing w:after="120"/>
    </w:pPr>
    <w:rPr>
      <w:rFonts w:eastAsia="Times New Roman"/>
      <w:color w:val="000000"/>
      <w:sz w:val="22"/>
      <w:lang w:eastAsia="en-GB"/>
    </w:rPr>
  </w:style>
  <w:style w:type="character" w:customStyle="1" w:styleId="Heading3Char">
    <w:name w:val="Heading 3 Char"/>
    <w:aliases w:val="Subhead2 Char"/>
    <w:link w:val="Heading3"/>
    <w:uiPriority w:val="9"/>
    <w:rsid w:val="00883D15"/>
    <w:rPr>
      <w:rFonts w:eastAsia="Times New Roman" w:cs="Calibri"/>
      <w:color w:val="BFBFBF"/>
      <w:sz w:val="28"/>
      <w:szCs w:val="28"/>
      <w:lang w:val="en-GB" w:eastAsia="en-US"/>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qFormat/>
    <w:rsid w:val="00EB4944"/>
    <w:pPr>
      <w:keepNext w:val="0"/>
      <w:keepLines w:val="0"/>
      <w:spacing w:before="120" w:after="160" w:line="264" w:lineRule="auto"/>
    </w:pPr>
    <w:rPr>
      <w:rFonts w:ascii="Calibri" w:hAnsi="Calibri"/>
      <w:b/>
      <w:color w:val="5620A9"/>
      <w:sz w:val="22"/>
    </w:rPr>
  </w:style>
  <w:style w:type="paragraph" w:customStyle="1" w:styleId="SectionSubhead">
    <w:name w:val="Section Subhead"/>
    <w:basedOn w:val="Heading2"/>
    <w:rsid w:val="00EB4944"/>
    <w:pPr>
      <w:keepNext w:val="0"/>
      <w:keepLines w:val="0"/>
      <w:spacing w:before="120" w:after="160" w:line="264" w:lineRule="auto"/>
    </w:pPr>
    <w:rPr>
      <w:rFonts w:ascii="Calibri" w:hAnsi="Calibri"/>
      <w:b/>
      <w:color w:val="55565A"/>
      <w:sz w:val="22"/>
    </w:rPr>
  </w:style>
  <w:style w:type="paragraph" w:styleId="NoSpacing">
    <w:name w:val="No Spacing"/>
    <w:uiPriority w:val="1"/>
    <w:qFormat/>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rful-Accent31">
    <w:name w:val="Grid Table 6 Colo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rful-Accent21">
    <w:name w:val="Grid Table 6 Colo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basedOn w:val="BodyText"/>
    <w:qFormat/>
    <w:rsid w:val="00A56CCC"/>
    <w:pPr>
      <w:ind w:left="851"/>
    </w:pPr>
    <w:rPr>
      <w:i/>
      <w:iCs/>
      <w:sz w:val="20"/>
      <w:szCs w:val="20"/>
      <w:lang w:val="en-GB"/>
    </w:rPr>
  </w:style>
  <w:style w:type="numbering" w:styleId="1ai">
    <w:name w:val="Outline List 1"/>
    <w:basedOn w:val="NoList"/>
    <w:uiPriority w:val="99"/>
    <w:semiHidden/>
    <w:unhideWhenUsed/>
    <w:rsid w:val="005226D3"/>
    <w:pPr>
      <w:numPr>
        <w:numId w:val="5"/>
      </w:numPr>
    </w:pPr>
  </w:style>
  <w:style w:type="paragraph" w:customStyle="1" w:styleId="OVICList">
    <w:name w:val="OVIC List"/>
    <w:rsid w:val="005226D3"/>
    <w:pPr>
      <w:numPr>
        <w:numId w:val="6"/>
      </w:numPr>
    </w:pPr>
    <w:rPr>
      <w:rFonts w:cs="National-Book"/>
      <w:color w:val="55565A"/>
      <w:sz w:val="22"/>
      <w:szCs w:val="22"/>
      <w:lang w:val="en-US" w:eastAsia="en-US"/>
    </w:rPr>
  </w:style>
  <w:style w:type="paragraph" w:customStyle="1" w:styleId="Bulletpoint-level2">
    <w:name w:val="Bullet point - level 2"/>
    <w:basedOn w:val="Bulletpoint"/>
    <w:rsid w:val="00C258D6"/>
    <w:pPr>
      <w:numPr>
        <w:ilvl w:val="1"/>
      </w:numPr>
      <w:ind w:left="1429" w:hanging="357"/>
    </w:pPr>
  </w:style>
  <w:style w:type="paragraph" w:customStyle="1" w:styleId="Casestudy">
    <w:name w:val="Case study"/>
    <w:basedOn w:val="Introduction"/>
    <w:rsid w:val="00F26882"/>
    <w:pPr>
      <w:ind w:left="714" w:right="714"/>
    </w:pPr>
  </w:style>
  <w:style w:type="paragraph" w:styleId="BalloonText">
    <w:name w:val="Balloon Text"/>
    <w:basedOn w:val="Normal"/>
    <w:link w:val="BalloonTextChar"/>
    <w:uiPriority w:val="99"/>
    <w:semiHidden/>
    <w:unhideWhenUsed/>
    <w:rsid w:val="00BC0A12"/>
    <w:rPr>
      <w:rFonts w:ascii="Times New Roman" w:hAnsi="Times New Roman"/>
      <w:sz w:val="18"/>
      <w:szCs w:val="18"/>
    </w:rPr>
  </w:style>
  <w:style w:type="character" w:customStyle="1" w:styleId="BalloonTextChar">
    <w:name w:val="Balloon Text Char"/>
    <w:link w:val="BalloonText"/>
    <w:uiPriority w:val="99"/>
    <w:semiHidden/>
    <w:rsid w:val="00BC0A12"/>
    <w:rPr>
      <w:rFonts w:ascii="Times New Roman" w:hAnsi="Times New Roman"/>
      <w:sz w:val="18"/>
      <w:szCs w:val="18"/>
    </w:rPr>
  </w:style>
  <w:style w:type="paragraph" w:customStyle="1" w:styleId="Level1Heading">
    <w:name w:val="Level 1 Heading"/>
    <w:basedOn w:val="Heading1"/>
    <w:next w:val="BodyText"/>
    <w:qFormat/>
    <w:rsid w:val="00832954"/>
    <w:pPr>
      <w:pageBreakBefore/>
    </w:pPr>
    <w:rPr>
      <w:color w:val="auto"/>
      <w:sz w:val="36"/>
    </w:rPr>
  </w:style>
  <w:style w:type="paragraph" w:customStyle="1" w:styleId="Level2Heading">
    <w:name w:val="Level 2 Heading"/>
    <w:basedOn w:val="Heading2"/>
    <w:next w:val="BodyText"/>
    <w:qFormat/>
    <w:rsid w:val="00832954"/>
    <w:rPr>
      <w:color w:val="auto"/>
      <w:sz w:val="28"/>
    </w:rPr>
  </w:style>
  <w:style w:type="paragraph" w:customStyle="1" w:styleId="Level3Heading">
    <w:name w:val="Level 3 Heading"/>
    <w:basedOn w:val="Heading3"/>
    <w:next w:val="BodyText"/>
    <w:link w:val="Level3HeadingChar"/>
    <w:qFormat/>
    <w:rsid w:val="00DD6C39"/>
    <w:pPr>
      <w:keepNext/>
      <w:numPr>
        <w:ilvl w:val="0"/>
        <w:numId w:val="0"/>
      </w:numPr>
    </w:pPr>
    <w:rPr>
      <w:rFonts w:ascii="Calibri Light" w:hAnsi="Calibri Light"/>
      <w:color w:val="auto"/>
      <w:sz w:val="24"/>
    </w:rPr>
  </w:style>
  <w:style w:type="paragraph" w:styleId="TOCHeading">
    <w:name w:val="TOC Heading"/>
    <w:basedOn w:val="Level1Heading"/>
    <w:next w:val="Normal"/>
    <w:uiPriority w:val="39"/>
    <w:unhideWhenUsed/>
    <w:qFormat/>
    <w:rsid w:val="00554411"/>
  </w:style>
  <w:style w:type="paragraph" w:styleId="ListParagraph">
    <w:name w:val="List Paragraph"/>
    <w:basedOn w:val="Normal"/>
    <w:uiPriority w:val="34"/>
    <w:qFormat/>
    <w:rsid w:val="00172E75"/>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BodyText1"/>
    <w:link w:val="BodyTextChar"/>
    <w:uiPriority w:val="99"/>
    <w:unhideWhenUsed/>
    <w:qFormat/>
    <w:rsid w:val="00237AF4"/>
    <w:pPr>
      <w:numPr>
        <w:numId w:val="0"/>
      </w:numPr>
    </w:pPr>
  </w:style>
  <w:style w:type="character" w:customStyle="1" w:styleId="BodyTextChar">
    <w:name w:val="Body Text Char"/>
    <w:basedOn w:val="DefaultParagraphFont"/>
    <w:link w:val="BodyText"/>
    <w:uiPriority w:val="99"/>
    <w:rsid w:val="00237AF4"/>
    <w:rPr>
      <w:rFonts w:cs="National-Book"/>
      <w:color w:val="000000"/>
      <w:sz w:val="22"/>
      <w:szCs w:val="22"/>
      <w:lang w:eastAsia="en-US"/>
    </w:rPr>
  </w:style>
  <w:style w:type="paragraph" w:styleId="FootnoteText">
    <w:name w:val="footnote text"/>
    <w:basedOn w:val="Normal"/>
    <w:link w:val="FootnoteTextChar"/>
    <w:uiPriority w:val="99"/>
    <w:unhideWhenUsed/>
    <w:rsid w:val="00070B8D"/>
    <w:rPr>
      <w:sz w:val="20"/>
      <w:szCs w:val="20"/>
    </w:rPr>
  </w:style>
  <w:style w:type="character" w:customStyle="1" w:styleId="FootnoteTextChar">
    <w:name w:val="Footnote Text Char"/>
    <w:basedOn w:val="DefaultParagraphFont"/>
    <w:link w:val="FootnoteText"/>
    <w:uiPriority w:val="99"/>
    <w:rsid w:val="00070B8D"/>
    <w:rPr>
      <w:lang w:eastAsia="en-US"/>
    </w:rPr>
  </w:style>
  <w:style w:type="character" w:styleId="FootnoteReference">
    <w:name w:val="footnote reference"/>
    <w:basedOn w:val="DefaultParagraphFont"/>
    <w:uiPriority w:val="99"/>
    <w:unhideWhenUsed/>
    <w:qFormat/>
    <w:rsid w:val="00070B8D"/>
    <w:rPr>
      <w:vertAlign w:val="superscript"/>
    </w:rPr>
  </w:style>
  <w:style w:type="paragraph" w:styleId="CommentText">
    <w:name w:val="annotation text"/>
    <w:basedOn w:val="Normal"/>
    <w:link w:val="CommentTextChar"/>
    <w:uiPriority w:val="99"/>
    <w:unhideWhenUsed/>
    <w:rsid w:val="005E5E65"/>
    <w:rPr>
      <w:sz w:val="20"/>
      <w:szCs w:val="20"/>
    </w:rPr>
  </w:style>
  <w:style w:type="character" w:customStyle="1" w:styleId="CommentTextChar">
    <w:name w:val="Comment Text Char"/>
    <w:basedOn w:val="DefaultParagraphFont"/>
    <w:link w:val="CommentText"/>
    <w:uiPriority w:val="99"/>
    <w:rsid w:val="005E5E65"/>
    <w:rPr>
      <w:lang w:eastAsia="en-US"/>
    </w:rPr>
  </w:style>
  <w:style w:type="paragraph" w:styleId="CommentSubject">
    <w:name w:val="annotation subject"/>
    <w:basedOn w:val="CommentText"/>
    <w:next w:val="CommentText"/>
    <w:link w:val="CommentSubjectChar"/>
    <w:uiPriority w:val="99"/>
    <w:semiHidden/>
    <w:unhideWhenUsed/>
    <w:rsid w:val="005E5E65"/>
    <w:rPr>
      <w:b/>
      <w:bCs/>
    </w:rPr>
  </w:style>
  <w:style w:type="character" w:customStyle="1" w:styleId="CommentSubjectChar">
    <w:name w:val="Comment Subject Char"/>
    <w:basedOn w:val="CommentTextChar"/>
    <w:link w:val="CommentSubject"/>
    <w:uiPriority w:val="99"/>
    <w:semiHidden/>
    <w:rsid w:val="005E5E65"/>
    <w:rPr>
      <w:b/>
      <w:bCs/>
      <w:lang w:eastAsia="en-US"/>
    </w:rPr>
  </w:style>
  <w:style w:type="paragraph" w:customStyle="1" w:styleId="Level4heading">
    <w:name w:val="Level 4 heading"/>
    <w:basedOn w:val="Heading4"/>
    <w:next w:val="BodyText"/>
    <w:link w:val="Level4headingChar"/>
    <w:qFormat/>
    <w:rsid w:val="00B97CB8"/>
    <w:rPr>
      <w:sz w:val="22"/>
    </w:rPr>
  </w:style>
  <w:style w:type="character" w:customStyle="1" w:styleId="Level3HeadingChar">
    <w:name w:val="Level 3 Heading Char"/>
    <w:basedOn w:val="Heading3Char"/>
    <w:link w:val="Level3Heading"/>
    <w:rsid w:val="00DD6C39"/>
    <w:rPr>
      <w:rFonts w:ascii="Calibri Light" w:eastAsia="Times New Roman" w:hAnsi="Calibri Light" w:cs="Calibri"/>
      <w:color w:val="BFBFBF"/>
      <w:sz w:val="24"/>
      <w:szCs w:val="28"/>
      <w:lang w:val="en-GB" w:eastAsia="en-US"/>
    </w:rPr>
  </w:style>
  <w:style w:type="character" w:customStyle="1" w:styleId="Level4headingChar">
    <w:name w:val="Level 4 heading Char"/>
    <w:basedOn w:val="Level3HeadingChar"/>
    <w:link w:val="Level4heading"/>
    <w:rsid w:val="00B97CB8"/>
    <w:rPr>
      <w:rFonts w:ascii="Calibri Light" w:eastAsia="Times New Roman" w:hAnsi="Calibri Light" w:cs="Calibri"/>
      <w:i/>
      <w:iCs/>
      <w:color w:val="3F3F42"/>
      <w:sz w:val="22"/>
      <w:szCs w:val="24"/>
      <w:lang w:val="en-GB" w:eastAsia="en-US"/>
    </w:rPr>
  </w:style>
  <w:style w:type="character" w:customStyle="1" w:styleId="UnresolvedMention1">
    <w:name w:val="Unresolved Mention1"/>
    <w:basedOn w:val="DefaultParagraphFont"/>
    <w:uiPriority w:val="99"/>
    <w:semiHidden/>
    <w:unhideWhenUsed/>
    <w:rsid w:val="00B80CBB"/>
    <w:rPr>
      <w:color w:val="605E5C"/>
      <w:shd w:val="clear" w:color="auto" w:fill="E1DFDD"/>
    </w:rPr>
  </w:style>
  <w:style w:type="paragraph" w:styleId="Revision">
    <w:name w:val="Revision"/>
    <w:hidden/>
    <w:uiPriority w:val="99"/>
    <w:semiHidden/>
    <w:rsid w:val="00105958"/>
    <w:rPr>
      <w:sz w:val="24"/>
      <w:szCs w:val="24"/>
      <w:lang w:eastAsia="en-US"/>
    </w:rPr>
  </w:style>
  <w:style w:type="character" w:styleId="UnresolvedMention">
    <w:name w:val="Unresolved Mention"/>
    <w:basedOn w:val="DefaultParagraphFont"/>
    <w:uiPriority w:val="99"/>
    <w:semiHidden/>
    <w:unhideWhenUsed/>
    <w:rsid w:val="00F66828"/>
    <w:rPr>
      <w:color w:val="605E5C"/>
      <w:shd w:val="clear" w:color="auto" w:fill="E1DFDD"/>
    </w:rPr>
  </w:style>
  <w:style w:type="character" w:styleId="FollowedHyperlink">
    <w:name w:val="FollowedHyperlink"/>
    <w:basedOn w:val="DefaultParagraphFont"/>
    <w:uiPriority w:val="99"/>
    <w:semiHidden/>
    <w:unhideWhenUsed/>
    <w:rsid w:val="00CB69BB"/>
    <w:rPr>
      <w:color w:val="954F72" w:themeColor="followedHyperlink"/>
      <w:u w:val="single"/>
    </w:rPr>
  </w:style>
  <w:style w:type="paragraph" w:customStyle="1" w:styleId="Default">
    <w:name w:val="Default"/>
    <w:rsid w:val="00A90641"/>
    <w:pPr>
      <w:autoSpaceDE w:val="0"/>
      <w:autoSpaceDN w:val="0"/>
      <w:adjustRightInd w:val="0"/>
    </w:pPr>
    <w:rPr>
      <w:rFonts w:cs="Calibri"/>
      <w:color w:val="000000"/>
      <w:sz w:val="24"/>
      <w:szCs w:val="24"/>
    </w:rPr>
  </w:style>
  <w:style w:type="character" w:styleId="PlaceholderText">
    <w:name w:val="Placeholder Text"/>
    <w:basedOn w:val="DefaultParagraphFont"/>
    <w:uiPriority w:val="99"/>
    <w:semiHidden/>
    <w:rsid w:val="00F80A2C"/>
    <w:rPr>
      <w:color w:val="808080"/>
    </w:rPr>
  </w:style>
  <w:style w:type="character" w:customStyle="1" w:styleId="Heading5Char">
    <w:name w:val="Heading 5 Char"/>
    <w:basedOn w:val="DefaultParagraphFont"/>
    <w:link w:val="Heading5"/>
    <w:uiPriority w:val="9"/>
    <w:semiHidden/>
    <w:rsid w:val="006B1186"/>
    <w:rPr>
      <w:rFonts w:asciiTheme="majorHAnsi" w:eastAsiaTheme="majorEastAsia" w:hAnsiTheme="majorHAnsi" w:cstheme="majorBidi"/>
      <w:color w:val="532477" w:themeColor="accent1" w:themeShade="BF"/>
      <w:sz w:val="24"/>
      <w:szCs w:val="24"/>
      <w:lang w:eastAsia="en-US"/>
    </w:rPr>
  </w:style>
  <w:style w:type="table" w:customStyle="1" w:styleId="TableGrid1">
    <w:name w:val="Table Grid1"/>
    <w:basedOn w:val="TableNormal"/>
    <w:next w:val="TableGrid"/>
    <w:uiPriority w:val="39"/>
    <w:rsid w:val="00D263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qFormat/>
    <w:rsid w:val="006C7C9D"/>
    <w:pPr>
      <w:widowControl w:val="0"/>
      <w:suppressAutoHyphens/>
      <w:autoSpaceDE w:val="0"/>
      <w:autoSpaceDN w:val="0"/>
      <w:adjustRightInd w:val="0"/>
      <w:spacing w:before="120" w:after="200" w:line="264" w:lineRule="auto"/>
      <w:textAlignment w:val="center"/>
    </w:pPr>
    <w:rPr>
      <w:rFonts w:cs="National-Book"/>
      <w:color w:val="55565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828">
      <w:bodyDiv w:val="1"/>
      <w:marLeft w:val="0"/>
      <w:marRight w:val="0"/>
      <w:marTop w:val="0"/>
      <w:marBottom w:val="0"/>
      <w:divBdr>
        <w:top w:val="none" w:sz="0" w:space="0" w:color="auto"/>
        <w:left w:val="none" w:sz="0" w:space="0" w:color="auto"/>
        <w:bottom w:val="none" w:sz="0" w:space="0" w:color="auto"/>
        <w:right w:val="none" w:sz="0" w:space="0" w:color="auto"/>
      </w:divBdr>
    </w:div>
    <w:div w:id="61368596">
      <w:bodyDiv w:val="1"/>
      <w:marLeft w:val="0"/>
      <w:marRight w:val="0"/>
      <w:marTop w:val="0"/>
      <w:marBottom w:val="0"/>
      <w:divBdr>
        <w:top w:val="none" w:sz="0" w:space="0" w:color="auto"/>
        <w:left w:val="none" w:sz="0" w:space="0" w:color="auto"/>
        <w:bottom w:val="none" w:sz="0" w:space="0" w:color="auto"/>
        <w:right w:val="none" w:sz="0" w:space="0" w:color="auto"/>
      </w:divBdr>
    </w:div>
    <w:div w:id="164979140">
      <w:bodyDiv w:val="1"/>
      <w:marLeft w:val="0"/>
      <w:marRight w:val="0"/>
      <w:marTop w:val="0"/>
      <w:marBottom w:val="0"/>
      <w:divBdr>
        <w:top w:val="none" w:sz="0" w:space="0" w:color="auto"/>
        <w:left w:val="none" w:sz="0" w:space="0" w:color="auto"/>
        <w:bottom w:val="none" w:sz="0" w:space="0" w:color="auto"/>
        <w:right w:val="none" w:sz="0" w:space="0" w:color="auto"/>
      </w:divBdr>
    </w:div>
    <w:div w:id="194780145">
      <w:bodyDiv w:val="1"/>
      <w:marLeft w:val="0"/>
      <w:marRight w:val="0"/>
      <w:marTop w:val="0"/>
      <w:marBottom w:val="0"/>
      <w:divBdr>
        <w:top w:val="none" w:sz="0" w:space="0" w:color="auto"/>
        <w:left w:val="none" w:sz="0" w:space="0" w:color="auto"/>
        <w:bottom w:val="none" w:sz="0" w:space="0" w:color="auto"/>
        <w:right w:val="none" w:sz="0" w:space="0" w:color="auto"/>
      </w:divBdr>
    </w:div>
    <w:div w:id="204561872">
      <w:bodyDiv w:val="1"/>
      <w:marLeft w:val="0"/>
      <w:marRight w:val="0"/>
      <w:marTop w:val="0"/>
      <w:marBottom w:val="0"/>
      <w:divBdr>
        <w:top w:val="none" w:sz="0" w:space="0" w:color="auto"/>
        <w:left w:val="none" w:sz="0" w:space="0" w:color="auto"/>
        <w:bottom w:val="none" w:sz="0" w:space="0" w:color="auto"/>
        <w:right w:val="none" w:sz="0" w:space="0" w:color="auto"/>
      </w:divBdr>
    </w:div>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336421684">
      <w:bodyDiv w:val="1"/>
      <w:marLeft w:val="0"/>
      <w:marRight w:val="0"/>
      <w:marTop w:val="0"/>
      <w:marBottom w:val="0"/>
      <w:divBdr>
        <w:top w:val="none" w:sz="0" w:space="0" w:color="auto"/>
        <w:left w:val="none" w:sz="0" w:space="0" w:color="auto"/>
        <w:bottom w:val="none" w:sz="0" w:space="0" w:color="auto"/>
        <w:right w:val="none" w:sz="0" w:space="0" w:color="auto"/>
      </w:divBdr>
    </w:div>
    <w:div w:id="344720312">
      <w:bodyDiv w:val="1"/>
      <w:marLeft w:val="0"/>
      <w:marRight w:val="0"/>
      <w:marTop w:val="0"/>
      <w:marBottom w:val="0"/>
      <w:divBdr>
        <w:top w:val="none" w:sz="0" w:space="0" w:color="auto"/>
        <w:left w:val="none" w:sz="0" w:space="0" w:color="auto"/>
        <w:bottom w:val="none" w:sz="0" w:space="0" w:color="auto"/>
        <w:right w:val="none" w:sz="0" w:space="0" w:color="auto"/>
      </w:divBdr>
    </w:div>
    <w:div w:id="365257475">
      <w:bodyDiv w:val="1"/>
      <w:marLeft w:val="0"/>
      <w:marRight w:val="0"/>
      <w:marTop w:val="0"/>
      <w:marBottom w:val="0"/>
      <w:divBdr>
        <w:top w:val="none" w:sz="0" w:space="0" w:color="auto"/>
        <w:left w:val="none" w:sz="0" w:space="0" w:color="auto"/>
        <w:bottom w:val="none" w:sz="0" w:space="0" w:color="auto"/>
        <w:right w:val="none" w:sz="0" w:space="0" w:color="auto"/>
      </w:divBdr>
    </w:div>
    <w:div w:id="434131063">
      <w:bodyDiv w:val="1"/>
      <w:marLeft w:val="0"/>
      <w:marRight w:val="0"/>
      <w:marTop w:val="0"/>
      <w:marBottom w:val="0"/>
      <w:divBdr>
        <w:top w:val="none" w:sz="0" w:space="0" w:color="auto"/>
        <w:left w:val="none" w:sz="0" w:space="0" w:color="auto"/>
        <w:bottom w:val="none" w:sz="0" w:space="0" w:color="auto"/>
        <w:right w:val="none" w:sz="0" w:space="0" w:color="auto"/>
      </w:divBdr>
    </w:div>
    <w:div w:id="437214320">
      <w:bodyDiv w:val="1"/>
      <w:marLeft w:val="0"/>
      <w:marRight w:val="0"/>
      <w:marTop w:val="0"/>
      <w:marBottom w:val="0"/>
      <w:divBdr>
        <w:top w:val="none" w:sz="0" w:space="0" w:color="auto"/>
        <w:left w:val="none" w:sz="0" w:space="0" w:color="auto"/>
        <w:bottom w:val="none" w:sz="0" w:space="0" w:color="auto"/>
        <w:right w:val="none" w:sz="0" w:space="0" w:color="auto"/>
      </w:divBdr>
    </w:div>
    <w:div w:id="485706229">
      <w:bodyDiv w:val="1"/>
      <w:marLeft w:val="0"/>
      <w:marRight w:val="0"/>
      <w:marTop w:val="0"/>
      <w:marBottom w:val="0"/>
      <w:divBdr>
        <w:top w:val="none" w:sz="0" w:space="0" w:color="auto"/>
        <w:left w:val="none" w:sz="0" w:space="0" w:color="auto"/>
        <w:bottom w:val="none" w:sz="0" w:space="0" w:color="auto"/>
        <w:right w:val="none" w:sz="0" w:space="0" w:color="auto"/>
      </w:divBdr>
    </w:div>
    <w:div w:id="592204881">
      <w:bodyDiv w:val="1"/>
      <w:marLeft w:val="0"/>
      <w:marRight w:val="0"/>
      <w:marTop w:val="0"/>
      <w:marBottom w:val="0"/>
      <w:divBdr>
        <w:top w:val="none" w:sz="0" w:space="0" w:color="auto"/>
        <w:left w:val="none" w:sz="0" w:space="0" w:color="auto"/>
        <w:bottom w:val="none" w:sz="0" w:space="0" w:color="auto"/>
        <w:right w:val="none" w:sz="0" w:space="0" w:color="auto"/>
      </w:divBdr>
    </w:div>
    <w:div w:id="727073015">
      <w:bodyDiv w:val="1"/>
      <w:marLeft w:val="0"/>
      <w:marRight w:val="0"/>
      <w:marTop w:val="0"/>
      <w:marBottom w:val="0"/>
      <w:divBdr>
        <w:top w:val="none" w:sz="0" w:space="0" w:color="auto"/>
        <w:left w:val="none" w:sz="0" w:space="0" w:color="auto"/>
        <w:bottom w:val="none" w:sz="0" w:space="0" w:color="auto"/>
        <w:right w:val="none" w:sz="0" w:space="0" w:color="auto"/>
      </w:divBdr>
    </w:div>
    <w:div w:id="802389202">
      <w:bodyDiv w:val="1"/>
      <w:marLeft w:val="0"/>
      <w:marRight w:val="0"/>
      <w:marTop w:val="0"/>
      <w:marBottom w:val="0"/>
      <w:divBdr>
        <w:top w:val="none" w:sz="0" w:space="0" w:color="auto"/>
        <w:left w:val="none" w:sz="0" w:space="0" w:color="auto"/>
        <w:bottom w:val="none" w:sz="0" w:space="0" w:color="auto"/>
        <w:right w:val="none" w:sz="0" w:space="0" w:color="auto"/>
      </w:divBdr>
    </w:div>
    <w:div w:id="887957158">
      <w:bodyDiv w:val="1"/>
      <w:marLeft w:val="0"/>
      <w:marRight w:val="0"/>
      <w:marTop w:val="0"/>
      <w:marBottom w:val="0"/>
      <w:divBdr>
        <w:top w:val="none" w:sz="0" w:space="0" w:color="auto"/>
        <w:left w:val="none" w:sz="0" w:space="0" w:color="auto"/>
        <w:bottom w:val="none" w:sz="0" w:space="0" w:color="auto"/>
        <w:right w:val="none" w:sz="0" w:space="0" w:color="auto"/>
      </w:divBdr>
    </w:div>
    <w:div w:id="971208706">
      <w:bodyDiv w:val="1"/>
      <w:marLeft w:val="0"/>
      <w:marRight w:val="0"/>
      <w:marTop w:val="0"/>
      <w:marBottom w:val="0"/>
      <w:divBdr>
        <w:top w:val="none" w:sz="0" w:space="0" w:color="auto"/>
        <w:left w:val="none" w:sz="0" w:space="0" w:color="auto"/>
        <w:bottom w:val="none" w:sz="0" w:space="0" w:color="auto"/>
        <w:right w:val="none" w:sz="0" w:space="0" w:color="auto"/>
      </w:divBdr>
    </w:div>
    <w:div w:id="1050958374">
      <w:bodyDiv w:val="1"/>
      <w:marLeft w:val="0"/>
      <w:marRight w:val="0"/>
      <w:marTop w:val="0"/>
      <w:marBottom w:val="0"/>
      <w:divBdr>
        <w:top w:val="none" w:sz="0" w:space="0" w:color="auto"/>
        <w:left w:val="none" w:sz="0" w:space="0" w:color="auto"/>
        <w:bottom w:val="none" w:sz="0" w:space="0" w:color="auto"/>
        <w:right w:val="none" w:sz="0" w:space="0" w:color="auto"/>
      </w:divBdr>
    </w:div>
    <w:div w:id="1057554504">
      <w:bodyDiv w:val="1"/>
      <w:marLeft w:val="0"/>
      <w:marRight w:val="0"/>
      <w:marTop w:val="0"/>
      <w:marBottom w:val="0"/>
      <w:divBdr>
        <w:top w:val="none" w:sz="0" w:space="0" w:color="auto"/>
        <w:left w:val="none" w:sz="0" w:space="0" w:color="auto"/>
        <w:bottom w:val="none" w:sz="0" w:space="0" w:color="auto"/>
        <w:right w:val="none" w:sz="0" w:space="0" w:color="auto"/>
      </w:divBdr>
    </w:div>
    <w:div w:id="1064138301">
      <w:bodyDiv w:val="1"/>
      <w:marLeft w:val="0"/>
      <w:marRight w:val="0"/>
      <w:marTop w:val="0"/>
      <w:marBottom w:val="0"/>
      <w:divBdr>
        <w:top w:val="none" w:sz="0" w:space="0" w:color="auto"/>
        <w:left w:val="none" w:sz="0" w:space="0" w:color="auto"/>
        <w:bottom w:val="none" w:sz="0" w:space="0" w:color="auto"/>
        <w:right w:val="none" w:sz="0" w:space="0" w:color="auto"/>
      </w:divBdr>
    </w:div>
    <w:div w:id="1132331284">
      <w:bodyDiv w:val="1"/>
      <w:marLeft w:val="0"/>
      <w:marRight w:val="0"/>
      <w:marTop w:val="0"/>
      <w:marBottom w:val="0"/>
      <w:divBdr>
        <w:top w:val="none" w:sz="0" w:space="0" w:color="auto"/>
        <w:left w:val="none" w:sz="0" w:space="0" w:color="auto"/>
        <w:bottom w:val="none" w:sz="0" w:space="0" w:color="auto"/>
        <w:right w:val="none" w:sz="0" w:space="0" w:color="auto"/>
      </w:divBdr>
    </w:div>
    <w:div w:id="1203709202">
      <w:bodyDiv w:val="1"/>
      <w:marLeft w:val="0"/>
      <w:marRight w:val="0"/>
      <w:marTop w:val="0"/>
      <w:marBottom w:val="0"/>
      <w:divBdr>
        <w:top w:val="none" w:sz="0" w:space="0" w:color="auto"/>
        <w:left w:val="none" w:sz="0" w:space="0" w:color="auto"/>
        <w:bottom w:val="none" w:sz="0" w:space="0" w:color="auto"/>
        <w:right w:val="none" w:sz="0" w:space="0" w:color="auto"/>
      </w:divBdr>
    </w:div>
    <w:div w:id="1209411769">
      <w:bodyDiv w:val="1"/>
      <w:marLeft w:val="0"/>
      <w:marRight w:val="0"/>
      <w:marTop w:val="0"/>
      <w:marBottom w:val="0"/>
      <w:divBdr>
        <w:top w:val="none" w:sz="0" w:space="0" w:color="auto"/>
        <w:left w:val="none" w:sz="0" w:space="0" w:color="auto"/>
        <w:bottom w:val="none" w:sz="0" w:space="0" w:color="auto"/>
        <w:right w:val="none" w:sz="0" w:space="0" w:color="auto"/>
      </w:divBdr>
    </w:div>
    <w:div w:id="1307125995">
      <w:bodyDiv w:val="1"/>
      <w:marLeft w:val="0"/>
      <w:marRight w:val="0"/>
      <w:marTop w:val="0"/>
      <w:marBottom w:val="0"/>
      <w:divBdr>
        <w:top w:val="none" w:sz="0" w:space="0" w:color="auto"/>
        <w:left w:val="none" w:sz="0" w:space="0" w:color="auto"/>
        <w:bottom w:val="none" w:sz="0" w:space="0" w:color="auto"/>
        <w:right w:val="none" w:sz="0" w:space="0" w:color="auto"/>
      </w:divBdr>
    </w:div>
    <w:div w:id="1307666676">
      <w:bodyDiv w:val="1"/>
      <w:marLeft w:val="0"/>
      <w:marRight w:val="0"/>
      <w:marTop w:val="0"/>
      <w:marBottom w:val="0"/>
      <w:divBdr>
        <w:top w:val="none" w:sz="0" w:space="0" w:color="auto"/>
        <w:left w:val="none" w:sz="0" w:space="0" w:color="auto"/>
        <w:bottom w:val="none" w:sz="0" w:space="0" w:color="auto"/>
        <w:right w:val="none" w:sz="0" w:space="0" w:color="auto"/>
      </w:divBdr>
    </w:div>
    <w:div w:id="1432966092">
      <w:bodyDiv w:val="1"/>
      <w:marLeft w:val="0"/>
      <w:marRight w:val="0"/>
      <w:marTop w:val="0"/>
      <w:marBottom w:val="0"/>
      <w:divBdr>
        <w:top w:val="none" w:sz="0" w:space="0" w:color="auto"/>
        <w:left w:val="none" w:sz="0" w:space="0" w:color="auto"/>
        <w:bottom w:val="none" w:sz="0" w:space="0" w:color="auto"/>
        <w:right w:val="none" w:sz="0" w:space="0" w:color="auto"/>
      </w:divBdr>
    </w:div>
    <w:div w:id="1441989574">
      <w:bodyDiv w:val="1"/>
      <w:marLeft w:val="0"/>
      <w:marRight w:val="0"/>
      <w:marTop w:val="0"/>
      <w:marBottom w:val="0"/>
      <w:divBdr>
        <w:top w:val="none" w:sz="0" w:space="0" w:color="auto"/>
        <w:left w:val="none" w:sz="0" w:space="0" w:color="auto"/>
        <w:bottom w:val="none" w:sz="0" w:space="0" w:color="auto"/>
        <w:right w:val="none" w:sz="0" w:space="0" w:color="auto"/>
      </w:divBdr>
    </w:div>
    <w:div w:id="1525750053">
      <w:bodyDiv w:val="1"/>
      <w:marLeft w:val="0"/>
      <w:marRight w:val="0"/>
      <w:marTop w:val="0"/>
      <w:marBottom w:val="0"/>
      <w:divBdr>
        <w:top w:val="none" w:sz="0" w:space="0" w:color="auto"/>
        <w:left w:val="none" w:sz="0" w:space="0" w:color="auto"/>
        <w:bottom w:val="none" w:sz="0" w:space="0" w:color="auto"/>
        <w:right w:val="none" w:sz="0" w:space="0" w:color="auto"/>
      </w:divBdr>
    </w:div>
    <w:div w:id="1546334265">
      <w:bodyDiv w:val="1"/>
      <w:marLeft w:val="0"/>
      <w:marRight w:val="0"/>
      <w:marTop w:val="0"/>
      <w:marBottom w:val="0"/>
      <w:divBdr>
        <w:top w:val="none" w:sz="0" w:space="0" w:color="auto"/>
        <w:left w:val="none" w:sz="0" w:space="0" w:color="auto"/>
        <w:bottom w:val="none" w:sz="0" w:space="0" w:color="auto"/>
        <w:right w:val="none" w:sz="0" w:space="0" w:color="auto"/>
      </w:divBdr>
    </w:div>
    <w:div w:id="1602107530">
      <w:bodyDiv w:val="1"/>
      <w:marLeft w:val="0"/>
      <w:marRight w:val="0"/>
      <w:marTop w:val="0"/>
      <w:marBottom w:val="0"/>
      <w:divBdr>
        <w:top w:val="none" w:sz="0" w:space="0" w:color="auto"/>
        <w:left w:val="none" w:sz="0" w:space="0" w:color="auto"/>
        <w:bottom w:val="none" w:sz="0" w:space="0" w:color="auto"/>
        <w:right w:val="none" w:sz="0" w:space="0" w:color="auto"/>
      </w:divBdr>
    </w:div>
    <w:div w:id="1717192657">
      <w:bodyDiv w:val="1"/>
      <w:marLeft w:val="0"/>
      <w:marRight w:val="0"/>
      <w:marTop w:val="0"/>
      <w:marBottom w:val="0"/>
      <w:divBdr>
        <w:top w:val="none" w:sz="0" w:space="0" w:color="auto"/>
        <w:left w:val="none" w:sz="0" w:space="0" w:color="auto"/>
        <w:bottom w:val="none" w:sz="0" w:space="0" w:color="auto"/>
        <w:right w:val="none" w:sz="0" w:space="0" w:color="auto"/>
      </w:divBdr>
    </w:div>
    <w:div w:id="1725133867">
      <w:bodyDiv w:val="1"/>
      <w:marLeft w:val="0"/>
      <w:marRight w:val="0"/>
      <w:marTop w:val="0"/>
      <w:marBottom w:val="0"/>
      <w:divBdr>
        <w:top w:val="none" w:sz="0" w:space="0" w:color="auto"/>
        <w:left w:val="none" w:sz="0" w:space="0" w:color="auto"/>
        <w:bottom w:val="none" w:sz="0" w:space="0" w:color="auto"/>
        <w:right w:val="none" w:sz="0" w:space="0" w:color="auto"/>
      </w:divBdr>
    </w:div>
    <w:div w:id="1986663950">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 w:id="2002931429">
      <w:bodyDiv w:val="1"/>
      <w:marLeft w:val="0"/>
      <w:marRight w:val="0"/>
      <w:marTop w:val="0"/>
      <w:marBottom w:val="0"/>
      <w:divBdr>
        <w:top w:val="none" w:sz="0" w:space="0" w:color="auto"/>
        <w:left w:val="none" w:sz="0" w:space="0" w:color="auto"/>
        <w:bottom w:val="none" w:sz="0" w:space="0" w:color="auto"/>
        <w:right w:val="none" w:sz="0" w:space="0" w:color="auto"/>
      </w:divBdr>
    </w:div>
    <w:div w:id="2042508735">
      <w:bodyDiv w:val="1"/>
      <w:marLeft w:val="0"/>
      <w:marRight w:val="0"/>
      <w:marTop w:val="0"/>
      <w:marBottom w:val="0"/>
      <w:divBdr>
        <w:top w:val="none" w:sz="0" w:space="0" w:color="auto"/>
        <w:left w:val="none" w:sz="0" w:space="0" w:color="auto"/>
        <w:bottom w:val="none" w:sz="0" w:space="0" w:color="auto"/>
        <w:right w:val="none" w:sz="0" w:space="0" w:color="auto"/>
      </w:divBdr>
    </w:div>
    <w:div w:id="2090734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nquiries@ovic.vic.gov.au"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s://ovic.vic.gov.au/privacy/information-privacy-principles-full-text/" TargetMode="External"/><Relationship Id="rId2" Type="http://schemas.openxmlformats.org/officeDocument/2006/relationships/hyperlink" Target="https://www.itnews.com.au/news/asios-mike-burgess-says-he-knows-who-attacked-anu-562044" TargetMode="External"/><Relationship Id="rId1" Type="http://schemas.openxmlformats.org/officeDocument/2006/relationships/hyperlink" Target="https://www.audit.vic.gov.au/report/results-2019-audits-universit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354476523767863E-2"/>
          <c:y val="7.9781455889442382E-2"/>
          <c:w val="0.92960848643919514"/>
          <c:h val="0.60661325497578122"/>
        </c:manualLayout>
      </c:layout>
      <c:barChart>
        <c:barDir val="col"/>
        <c:grouping val="stacked"/>
        <c:varyColors val="0"/>
        <c:ser>
          <c:idx val="0"/>
          <c:order val="0"/>
          <c:tx>
            <c:strRef>
              <c:f>Sheet1!$B$1</c:f>
              <c:strCache>
                <c:ptCount val="1"/>
                <c:pt idx="0">
                  <c:v>Yes</c:v>
                </c:pt>
              </c:strCache>
            </c:strRef>
          </c:tx>
          <c:spPr>
            <a:solidFill>
              <a:srgbClr val="410096"/>
            </a:solidFill>
            <a:ln>
              <a:noFill/>
            </a:ln>
            <a:effectLst/>
          </c:spPr>
          <c:invertIfNegative val="0"/>
          <c:dLbls>
            <c:dLbl>
              <c:idx val="0"/>
              <c:tx>
                <c:rich>
                  <a:bodyPr/>
                  <a:lstStyle/>
                  <a:p>
                    <a:fld id="{737CA5B8-978B-47FE-87C5-0342BAC672A3}" type="VALUE">
                      <a:rPr lang="en-US"/>
                      <a:pPr/>
                      <a:t>[VALUE]</a:t>
                    </a:fld>
                    <a:r>
                      <a:rPr lang="en-US"/>
                      <a:t> universities</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4CA-4C74-AEF9-E0EF1BE6AA69}"/>
                </c:ext>
              </c:extLst>
            </c:dLbl>
            <c:dLbl>
              <c:idx val="1"/>
              <c:tx>
                <c:rich>
                  <a:bodyPr/>
                  <a:lstStyle/>
                  <a:p>
                    <a:fld id="{4AE203E7-D71C-4564-911D-1DFA0E6ECD99}" type="VALUE">
                      <a:rPr lang="en-US"/>
                      <a:pPr/>
                      <a:t>[VALUE]</a:t>
                    </a:fld>
                    <a:r>
                      <a:rPr lang="en-US"/>
                      <a:t> universities</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4CA-4C74-AEF9-E0EF1BE6AA69}"/>
                </c:ext>
              </c:extLst>
            </c:dLbl>
            <c:dLbl>
              <c:idx val="2"/>
              <c:tx>
                <c:rich>
                  <a:bodyPr/>
                  <a:lstStyle/>
                  <a:p>
                    <a:r>
                      <a:rPr lang="en-US"/>
                      <a:t>5 universities</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64CA-4C74-AEF9-E0EF1BE6AA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Did the university say or show that it is aware of personal information held in business systems? </c:v>
                </c:pt>
                <c:pt idx="1">
                  <c:v>Has the university developed an Information Asset Register (or similar register)?</c:v>
                </c:pt>
                <c:pt idx="2">
                  <c:v>Did the university say it identifies when personal information is collected for new projects/initiatives? </c:v>
                </c:pt>
              </c:strCache>
            </c:strRef>
          </c:cat>
          <c:val>
            <c:numRef>
              <c:f>Sheet1!$B$2:$B$4</c:f>
              <c:numCache>
                <c:formatCode>General</c:formatCode>
                <c:ptCount val="3"/>
                <c:pt idx="0">
                  <c:v>4</c:v>
                </c:pt>
                <c:pt idx="1">
                  <c:v>2</c:v>
                </c:pt>
                <c:pt idx="2">
                  <c:v>5</c:v>
                </c:pt>
              </c:numCache>
            </c:numRef>
          </c:val>
          <c:extLst>
            <c:ext xmlns:c16="http://schemas.microsoft.com/office/drawing/2014/chart" uri="{C3380CC4-5D6E-409C-BE32-E72D297353CC}">
              <c16:uniqueId val="{00000000-270C-4C3F-B9BD-81AB4E4EA960}"/>
            </c:ext>
          </c:extLst>
        </c:ser>
        <c:ser>
          <c:idx val="1"/>
          <c:order val="1"/>
          <c:tx>
            <c:strRef>
              <c:f>Sheet1!$C$1</c:f>
              <c:strCache>
                <c:ptCount val="1"/>
                <c:pt idx="0">
                  <c:v>Partial, planned or in progress</c:v>
                </c:pt>
              </c:strCache>
            </c:strRef>
          </c:tx>
          <c:spPr>
            <a:solidFill>
              <a:srgbClr val="EA1D87"/>
            </a:solidFill>
            <a:ln>
              <a:noFill/>
            </a:ln>
            <a:effectLst/>
          </c:spPr>
          <c:invertIfNegative val="0"/>
          <c:dLbls>
            <c:dLbl>
              <c:idx val="0"/>
              <c:tx>
                <c:rich>
                  <a:bodyPr/>
                  <a:lstStyle/>
                  <a:p>
                    <a:fld id="{708111C8-F5F9-43BF-BAA4-5AD58A6CCDD0}" type="VALUE">
                      <a:rPr lang="en-US"/>
                      <a:pPr/>
                      <a:t>[VALUE]</a:t>
                    </a:fld>
                    <a:r>
                      <a:rPr lang="en-US"/>
                      <a:t> university</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4CA-4C74-AEF9-E0EF1BE6AA69}"/>
                </c:ext>
              </c:extLst>
            </c:dLbl>
            <c:dLbl>
              <c:idx val="1"/>
              <c:tx>
                <c:rich>
                  <a:bodyPr/>
                  <a:lstStyle/>
                  <a:p>
                    <a:r>
                      <a:rPr lang="en-US"/>
                      <a:t>3</a:t>
                    </a:r>
                    <a:r>
                      <a:rPr lang="en-US" baseline="0"/>
                      <a:t> universities</a:t>
                    </a:r>
                    <a:endParaRPr lang="en-US"/>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4CA-4C74-AEF9-E0EF1BE6AA69}"/>
                </c:ext>
              </c:extLst>
            </c:dLbl>
            <c:dLbl>
              <c:idx val="2"/>
              <c:tx>
                <c:rich>
                  <a:bodyPr/>
                  <a:lstStyle/>
                  <a:p>
                    <a:r>
                      <a:rPr lang="en-US"/>
                      <a:t>2</a:t>
                    </a:r>
                    <a:r>
                      <a:rPr lang="en-US" baseline="0"/>
                      <a:t> universities</a:t>
                    </a:r>
                    <a:endParaRPr lang="en-US"/>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4CA-4C74-AEF9-E0EF1BE6AA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Did the university say or show that it is aware of personal information held in business systems? </c:v>
                </c:pt>
                <c:pt idx="1">
                  <c:v>Has the university developed an Information Asset Register (or similar register)?</c:v>
                </c:pt>
                <c:pt idx="2">
                  <c:v>Did the university say it identifies when personal information is collected for new projects/initiatives? </c:v>
                </c:pt>
              </c:strCache>
            </c:strRef>
          </c:cat>
          <c:val>
            <c:numRef>
              <c:f>Sheet1!$C$2:$C$4</c:f>
              <c:numCache>
                <c:formatCode>General</c:formatCode>
                <c:ptCount val="3"/>
                <c:pt idx="0">
                  <c:v>1</c:v>
                </c:pt>
                <c:pt idx="1">
                  <c:v>3</c:v>
                </c:pt>
                <c:pt idx="2">
                  <c:v>2</c:v>
                </c:pt>
              </c:numCache>
            </c:numRef>
          </c:val>
          <c:extLst>
            <c:ext xmlns:c16="http://schemas.microsoft.com/office/drawing/2014/chart" uri="{C3380CC4-5D6E-409C-BE32-E72D297353CC}">
              <c16:uniqueId val="{00000001-270C-4C3F-B9BD-81AB4E4EA960}"/>
            </c:ext>
          </c:extLst>
        </c:ser>
        <c:ser>
          <c:idx val="2"/>
          <c:order val="2"/>
          <c:tx>
            <c:strRef>
              <c:f>Sheet1!$D$1</c:f>
              <c:strCache>
                <c:ptCount val="1"/>
                <c:pt idx="0">
                  <c:v>No</c:v>
                </c:pt>
              </c:strCache>
            </c:strRef>
          </c:tx>
          <c:spPr>
            <a:solidFill>
              <a:srgbClr val="00B3FF"/>
            </a:solidFill>
            <a:ln>
              <a:noFill/>
            </a:ln>
            <a:effectLst/>
          </c:spPr>
          <c:invertIfNegative val="0"/>
          <c:dLbls>
            <c:dLbl>
              <c:idx val="0"/>
              <c:tx>
                <c:rich>
                  <a:bodyPr/>
                  <a:lstStyle/>
                  <a:p>
                    <a:fld id="{79A95218-555E-4136-AA95-F90B4BB854D0}" type="VALUE">
                      <a:rPr lang="en-US"/>
                      <a:pPr/>
                      <a:t>[VALUE]</a:t>
                    </a:fld>
                    <a:r>
                      <a:rPr lang="en-US"/>
                      <a:t> universities</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4CA-4C74-AEF9-E0EF1BE6AA69}"/>
                </c:ext>
              </c:extLst>
            </c:dLbl>
            <c:dLbl>
              <c:idx val="1"/>
              <c:tx>
                <c:rich>
                  <a:bodyPr/>
                  <a:lstStyle/>
                  <a:p>
                    <a:r>
                      <a:rPr lang="en-US"/>
                      <a:t>3</a:t>
                    </a:r>
                    <a:r>
                      <a:rPr lang="en-US" baseline="0"/>
                      <a:t> universities</a:t>
                    </a:r>
                    <a:endParaRPr lang="en-US"/>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64CA-4C74-AEF9-E0EF1BE6AA69}"/>
                </c:ext>
              </c:extLst>
            </c:dLbl>
            <c:dLbl>
              <c:idx val="2"/>
              <c:tx>
                <c:rich>
                  <a:bodyPr/>
                  <a:lstStyle/>
                  <a:p>
                    <a:r>
                      <a:rPr lang="en-US"/>
                      <a:t>1</a:t>
                    </a:r>
                    <a:r>
                      <a:rPr lang="en-US" baseline="0"/>
                      <a:t> university</a:t>
                    </a:r>
                    <a:endParaRPr lang="en-US"/>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64CA-4C74-AEF9-E0EF1BE6AA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Did the university say or show that it is aware of personal information held in business systems? </c:v>
                </c:pt>
                <c:pt idx="1">
                  <c:v>Has the university developed an Information Asset Register (or similar register)?</c:v>
                </c:pt>
                <c:pt idx="2">
                  <c:v>Did the university say it identifies when personal information is collected for new projects/initiatives? </c:v>
                </c:pt>
              </c:strCache>
            </c:strRef>
          </c:cat>
          <c:val>
            <c:numRef>
              <c:f>Sheet1!$D$2:$D$4</c:f>
              <c:numCache>
                <c:formatCode>General</c:formatCode>
                <c:ptCount val="3"/>
                <c:pt idx="0">
                  <c:v>3</c:v>
                </c:pt>
                <c:pt idx="1">
                  <c:v>3</c:v>
                </c:pt>
                <c:pt idx="2">
                  <c:v>1</c:v>
                </c:pt>
              </c:numCache>
            </c:numRef>
          </c:val>
          <c:extLst>
            <c:ext xmlns:c16="http://schemas.microsoft.com/office/drawing/2014/chart" uri="{C3380CC4-5D6E-409C-BE32-E72D297353CC}">
              <c16:uniqueId val="{00000002-270C-4C3F-B9BD-81AB4E4EA960}"/>
            </c:ext>
          </c:extLst>
        </c:ser>
        <c:dLbls>
          <c:dLblPos val="ctr"/>
          <c:showLegendKey val="0"/>
          <c:showVal val="1"/>
          <c:showCatName val="0"/>
          <c:showSerName val="0"/>
          <c:showPercent val="0"/>
          <c:showBubbleSize val="0"/>
        </c:dLbls>
        <c:gapWidth val="150"/>
        <c:overlap val="100"/>
        <c:axId val="1383710223"/>
        <c:axId val="1383710639"/>
      </c:barChart>
      <c:catAx>
        <c:axId val="1383710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83710639"/>
        <c:crosses val="autoZero"/>
        <c:auto val="1"/>
        <c:lblAlgn val="ctr"/>
        <c:lblOffset val="100"/>
        <c:noMultiLvlLbl val="0"/>
      </c:catAx>
      <c:valAx>
        <c:axId val="1383710639"/>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3837102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354476523767863E-2"/>
          <c:y val="3.8960912282052777E-2"/>
          <c:w val="0.92960848643919514"/>
          <c:h val="0.55054503177950831"/>
        </c:manualLayout>
      </c:layout>
      <c:barChart>
        <c:barDir val="col"/>
        <c:grouping val="stacked"/>
        <c:varyColors val="0"/>
        <c:ser>
          <c:idx val="0"/>
          <c:order val="0"/>
          <c:tx>
            <c:strRef>
              <c:f>Sheet1!$B$1</c:f>
              <c:strCache>
                <c:ptCount val="1"/>
                <c:pt idx="0">
                  <c:v>Yes</c:v>
                </c:pt>
              </c:strCache>
            </c:strRef>
          </c:tx>
          <c:spPr>
            <a:solidFill>
              <a:srgbClr val="410096"/>
            </a:solidFill>
            <a:ln>
              <a:noFill/>
            </a:ln>
            <a:effectLst/>
          </c:spPr>
          <c:invertIfNegative val="0"/>
          <c:dLbls>
            <c:dLbl>
              <c:idx val="0"/>
              <c:tx>
                <c:rich>
                  <a:bodyPr/>
                  <a:lstStyle/>
                  <a:p>
                    <a:r>
                      <a:rPr lang="en-US"/>
                      <a:t>4</a:t>
                    </a:r>
                    <a:r>
                      <a:rPr lang="en-US" baseline="0"/>
                      <a:t> u</a:t>
                    </a:r>
                    <a:r>
                      <a:rPr lang="en-US"/>
                      <a:t>niversities</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6EF-4E51-999C-E53CE5B98AF8}"/>
                </c:ext>
              </c:extLst>
            </c:dLbl>
            <c:dLbl>
              <c:idx val="1"/>
              <c:tx>
                <c:rich>
                  <a:bodyPr/>
                  <a:lstStyle/>
                  <a:p>
                    <a:r>
                      <a:rPr lang="en-US"/>
                      <a:t>4</a:t>
                    </a:r>
                    <a:r>
                      <a:rPr lang="en-US" baseline="0"/>
                      <a:t> </a:t>
                    </a:r>
                    <a:r>
                      <a:rPr lang="en-US"/>
                      <a:t>universities</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6EF-4E51-999C-E53CE5B98AF8}"/>
                </c:ext>
              </c:extLst>
            </c:dLbl>
            <c:dLbl>
              <c:idx val="2"/>
              <c:tx>
                <c:rich>
                  <a:bodyPr/>
                  <a:lstStyle/>
                  <a:p>
                    <a:r>
                      <a:rPr lang="en-US" baseline="0"/>
                      <a:t>5 universities</a:t>
                    </a:r>
                    <a:endParaRPr lang="en-US"/>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D6EF-4E51-999C-E53CE5B98AF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Did the university have a documented approach to assessing personal information? </c:v>
                </c:pt>
                <c:pt idx="1">
                  <c:v>Did the university have a documented approach to labelling or marking personal information?</c:v>
                </c:pt>
                <c:pt idx="2">
                  <c:v>Did the university say it assesses the value or sensitivity of personal information involved in new projects/initiatives through PIA or risk assessment processes?</c:v>
                </c:pt>
              </c:strCache>
            </c:strRef>
          </c:cat>
          <c:val>
            <c:numRef>
              <c:f>Sheet1!$B$2:$B$4</c:f>
              <c:numCache>
                <c:formatCode>General</c:formatCode>
                <c:ptCount val="3"/>
                <c:pt idx="0">
                  <c:v>4</c:v>
                </c:pt>
                <c:pt idx="1">
                  <c:v>4</c:v>
                </c:pt>
                <c:pt idx="2">
                  <c:v>5</c:v>
                </c:pt>
              </c:numCache>
            </c:numRef>
          </c:val>
          <c:extLst>
            <c:ext xmlns:c16="http://schemas.microsoft.com/office/drawing/2014/chart" uri="{C3380CC4-5D6E-409C-BE32-E72D297353CC}">
              <c16:uniqueId val="{00000000-98F6-4A2B-B4AD-AE4FDEA874D1}"/>
            </c:ext>
          </c:extLst>
        </c:ser>
        <c:ser>
          <c:idx val="1"/>
          <c:order val="1"/>
          <c:tx>
            <c:strRef>
              <c:f>Sheet1!$C$1</c:f>
              <c:strCache>
                <c:ptCount val="1"/>
                <c:pt idx="0">
                  <c:v>Partial, planned or in progress</c:v>
                </c:pt>
              </c:strCache>
            </c:strRef>
          </c:tx>
          <c:spPr>
            <a:solidFill>
              <a:srgbClr val="EA1D87"/>
            </a:solidFill>
            <a:ln>
              <a:noFill/>
            </a:ln>
            <a:effectLst/>
          </c:spPr>
          <c:invertIfNegative val="0"/>
          <c:dLbls>
            <c:dLbl>
              <c:idx val="0"/>
              <c:tx>
                <c:rich>
                  <a:bodyPr/>
                  <a:lstStyle/>
                  <a:p>
                    <a:r>
                      <a:rPr lang="en-US"/>
                      <a:t>2</a:t>
                    </a:r>
                    <a:r>
                      <a:rPr lang="en-US" baseline="0"/>
                      <a:t> universities</a:t>
                    </a:r>
                    <a:endParaRPr lang="en-US"/>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6EF-4E51-999C-E53CE5B98AF8}"/>
                </c:ext>
              </c:extLst>
            </c:dLbl>
            <c:dLbl>
              <c:idx val="1"/>
              <c:tx>
                <c:rich>
                  <a:bodyPr/>
                  <a:lstStyle/>
                  <a:p>
                    <a:r>
                      <a:rPr lang="en-US" baseline="0"/>
                      <a:t>2 universities</a:t>
                    </a:r>
                    <a:endParaRPr lang="en-US"/>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6EF-4E51-999C-E53CE5B98AF8}"/>
                </c:ext>
              </c:extLst>
            </c:dLbl>
            <c:dLbl>
              <c:idx val="2"/>
              <c:tx>
                <c:rich>
                  <a:bodyPr/>
                  <a:lstStyle/>
                  <a:p>
                    <a:fld id="{ADF2E228-0FB4-426C-B84F-C33CFD76B6B0}" type="VALUE">
                      <a:rPr lang="en-US"/>
                      <a:pPr/>
                      <a:t>[VALUE]</a:t>
                    </a:fld>
                    <a:r>
                      <a:rPr lang="en-US"/>
                      <a:t> universities</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6EF-4E51-999C-E53CE5B98AF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Did the university have a documented approach to assessing personal information? </c:v>
                </c:pt>
                <c:pt idx="1">
                  <c:v>Did the university have a documented approach to labelling or marking personal information?</c:v>
                </c:pt>
                <c:pt idx="2">
                  <c:v>Did the university say it assesses the value or sensitivity of personal information involved in new projects/initiatives through PIA or risk assessment processes?</c:v>
                </c:pt>
              </c:strCache>
            </c:strRef>
          </c:cat>
          <c:val>
            <c:numRef>
              <c:f>Sheet1!$C$2:$C$4</c:f>
              <c:numCache>
                <c:formatCode>General</c:formatCode>
                <c:ptCount val="3"/>
                <c:pt idx="0">
                  <c:v>2</c:v>
                </c:pt>
                <c:pt idx="1">
                  <c:v>2</c:v>
                </c:pt>
                <c:pt idx="2">
                  <c:v>3</c:v>
                </c:pt>
              </c:numCache>
            </c:numRef>
          </c:val>
          <c:extLst>
            <c:ext xmlns:c16="http://schemas.microsoft.com/office/drawing/2014/chart" uri="{C3380CC4-5D6E-409C-BE32-E72D297353CC}">
              <c16:uniqueId val="{00000001-98F6-4A2B-B4AD-AE4FDEA874D1}"/>
            </c:ext>
          </c:extLst>
        </c:ser>
        <c:ser>
          <c:idx val="2"/>
          <c:order val="2"/>
          <c:tx>
            <c:strRef>
              <c:f>Sheet1!$D$1</c:f>
              <c:strCache>
                <c:ptCount val="1"/>
                <c:pt idx="0">
                  <c:v>No</c:v>
                </c:pt>
              </c:strCache>
            </c:strRef>
          </c:tx>
          <c:spPr>
            <a:solidFill>
              <a:srgbClr val="00B3FF"/>
            </a:solidFill>
            <a:ln>
              <a:noFill/>
            </a:ln>
            <a:effectLst/>
          </c:spPr>
          <c:invertIfNegative val="0"/>
          <c:dLbls>
            <c:dLbl>
              <c:idx val="0"/>
              <c:tx>
                <c:rich>
                  <a:bodyPr/>
                  <a:lstStyle/>
                  <a:p>
                    <a:r>
                      <a:rPr lang="en-US"/>
                      <a:t>2 universities</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6EF-4E51-999C-E53CE5B98AF8}"/>
                </c:ext>
              </c:extLst>
            </c:dLbl>
            <c:dLbl>
              <c:idx val="1"/>
              <c:tx>
                <c:rich>
                  <a:bodyPr/>
                  <a:lstStyle/>
                  <a:p>
                    <a:r>
                      <a:rPr lang="en-US"/>
                      <a:t> 2</a:t>
                    </a:r>
                    <a:r>
                      <a:rPr lang="en-US" baseline="0"/>
                      <a:t> </a:t>
                    </a:r>
                    <a:r>
                      <a:rPr lang="en-US"/>
                      <a:t>universities</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6EF-4E51-999C-E53CE5B98AF8}"/>
                </c:ext>
              </c:extLst>
            </c:dLbl>
            <c:dLbl>
              <c:idx val="2"/>
              <c:delete val="1"/>
              <c:extLst>
                <c:ext xmlns:c15="http://schemas.microsoft.com/office/drawing/2012/chart" uri="{CE6537A1-D6FC-4f65-9D91-7224C49458BB}"/>
                <c:ext xmlns:c16="http://schemas.microsoft.com/office/drawing/2014/chart" uri="{C3380CC4-5D6E-409C-BE32-E72D297353CC}">
                  <c16:uniqueId val="{00000006-D6EF-4E51-999C-E53CE5B98AF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Did the university have a documented approach to assessing personal information? </c:v>
                </c:pt>
                <c:pt idx="1">
                  <c:v>Did the university have a documented approach to labelling or marking personal information?</c:v>
                </c:pt>
                <c:pt idx="2">
                  <c:v>Did the university say it assesses the value or sensitivity of personal information involved in new projects/initiatives through PIA or risk assessment processes?</c:v>
                </c:pt>
              </c:strCache>
            </c:strRef>
          </c:cat>
          <c:val>
            <c:numRef>
              <c:f>Sheet1!$D$2:$D$4</c:f>
              <c:numCache>
                <c:formatCode>General</c:formatCode>
                <c:ptCount val="3"/>
                <c:pt idx="0">
                  <c:v>2</c:v>
                </c:pt>
                <c:pt idx="1">
                  <c:v>2</c:v>
                </c:pt>
                <c:pt idx="2">
                  <c:v>0</c:v>
                </c:pt>
              </c:numCache>
            </c:numRef>
          </c:val>
          <c:extLst>
            <c:ext xmlns:c16="http://schemas.microsoft.com/office/drawing/2014/chart" uri="{C3380CC4-5D6E-409C-BE32-E72D297353CC}">
              <c16:uniqueId val="{00000002-98F6-4A2B-B4AD-AE4FDEA874D1}"/>
            </c:ext>
          </c:extLst>
        </c:ser>
        <c:dLbls>
          <c:dLblPos val="ctr"/>
          <c:showLegendKey val="0"/>
          <c:showVal val="1"/>
          <c:showCatName val="0"/>
          <c:showSerName val="0"/>
          <c:showPercent val="0"/>
          <c:showBubbleSize val="0"/>
        </c:dLbls>
        <c:gapWidth val="150"/>
        <c:overlap val="100"/>
        <c:axId val="1383710223"/>
        <c:axId val="1383710639"/>
      </c:barChart>
      <c:catAx>
        <c:axId val="1383710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383710639"/>
        <c:crosses val="autoZero"/>
        <c:auto val="1"/>
        <c:lblAlgn val="ctr"/>
        <c:lblOffset val="100"/>
        <c:noMultiLvlLbl val="0"/>
      </c:catAx>
      <c:valAx>
        <c:axId val="1383710639"/>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383710223"/>
        <c:crosses val="autoZero"/>
        <c:crossBetween val="between"/>
      </c:valAx>
      <c:spPr>
        <a:noFill/>
        <a:ln>
          <a:noFill/>
        </a:ln>
        <a:effectLst/>
      </c:spPr>
    </c:plotArea>
    <c:legend>
      <c:legendPos val="b"/>
      <c:layout>
        <c:manualLayout>
          <c:xMode val="edge"/>
          <c:yMode val="edge"/>
          <c:x val="0.21754671158465125"/>
          <c:y val="0.92389647875212189"/>
          <c:w val="0.47972009956320033"/>
          <c:h val="7.195938114573284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354476523767863E-2"/>
          <c:y val="8.9298585151603535E-2"/>
          <c:w val="0.92960848643919514"/>
          <c:h val="0.59709642355311643"/>
        </c:manualLayout>
      </c:layout>
      <c:barChart>
        <c:barDir val="col"/>
        <c:grouping val="stacked"/>
        <c:varyColors val="0"/>
        <c:ser>
          <c:idx val="0"/>
          <c:order val="0"/>
          <c:tx>
            <c:strRef>
              <c:f>Sheet1!$B$1</c:f>
              <c:strCache>
                <c:ptCount val="1"/>
                <c:pt idx="0">
                  <c:v>Yes</c:v>
                </c:pt>
              </c:strCache>
            </c:strRef>
          </c:tx>
          <c:spPr>
            <a:solidFill>
              <a:schemeClr val="accent1"/>
            </a:solidFill>
            <a:ln>
              <a:noFill/>
            </a:ln>
            <a:effectLst/>
          </c:spPr>
          <c:invertIfNegative val="0"/>
          <c:dPt>
            <c:idx val="0"/>
            <c:invertIfNegative val="0"/>
            <c:bubble3D val="0"/>
            <c:spPr>
              <a:solidFill>
                <a:srgbClr val="410096"/>
              </a:solidFill>
              <a:ln>
                <a:noFill/>
              </a:ln>
              <a:effectLst/>
            </c:spPr>
            <c:extLst>
              <c:ext xmlns:c16="http://schemas.microsoft.com/office/drawing/2014/chart" uri="{C3380CC4-5D6E-409C-BE32-E72D297353CC}">
                <c16:uniqueId val="{00000002-B933-4D7D-995F-8AF4745DD6E9}"/>
              </c:ext>
            </c:extLst>
          </c:dPt>
          <c:dPt>
            <c:idx val="1"/>
            <c:invertIfNegative val="0"/>
            <c:bubble3D val="0"/>
            <c:spPr>
              <a:solidFill>
                <a:srgbClr val="410096"/>
              </a:solidFill>
              <a:ln>
                <a:noFill/>
              </a:ln>
              <a:effectLst/>
            </c:spPr>
            <c:extLst>
              <c:ext xmlns:c16="http://schemas.microsoft.com/office/drawing/2014/chart" uri="{C3380CC4-5D6E-409C-BE32-E72D297353CC}">
                <c16:uniqueId val="{00000004-B933-4D7D-995F-8AF4745DD6E9}"/>
              </c:ext>
            </c:extLst>
          </c:dPt>
          <c:dPt>
            <c:idx val="2"/>
            <c:invertIfNegative val="0"/>
            <c:bubble3D val="0"/>
            <c:spPr>
              <a:solidFill>
                <a:srgbClr val="410096"/>
              </a:solidFill>
              <a:ln>
                <a:noFill/>
              </a:ln>
              <a:effectLst/>
            </c:spPr>
            <c:extLst>
              <c:ext xmlns:c16="http://schemas.microsoft.com/office/drawing/2014/chart" uri="{C3380CC4-5D6E-409C-BE32-E72D297353CC}">
                <c16:uniqueId val="{00000006-B933-4D7D-995F-8AF4745DD6E9}"/>
              </c:ext>
            </c:extLst>
          </c:dPt>
          <c:dLbls>
            <c:dLbl>
              <c:idx val="0"/>
              <c:tx>
                <c:rich>
                  <a:bodyPr/>
                  <a:lstStyle/>
                  <a:p>
                    <a:r>
                      <a:rPr lang="en-US"/>
                      <a:t>7 universities</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933-4D7D-995F-8AF4745DD6E9}"/>
                </c:ext>
              </c:extLst>
            </c:dLbl>
            <c:dLbl>
              <c:idx val="1"/>
              <c:tx>
                <c:rich>
                  <a:bodyPr/>
                  <a:lstStyle/>
                  <a:p>
                    <a:r>
                      <a:rPr lang="en-US"/>
                      <a:t>7 universities</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B933-4D7D-995F-8AF4745DD6E9}"/>
                </c:ext>
              </c:extLst>
            </c:dLbl>
            <c:dLbl>
              <c:idx val="2"/>
              <c:tx>
                <c:rich>
                  <a:bodyPr/>
                  <a:lstStyle/>
                  <a:p>
                    <a:r>
                      <a:rPr lang="en-US"/>
                      <a:t>3 universities</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B933-4D7D-995F-8AF4745DD6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Did the university have a procedure to assess security risks to information?</c:v>
                </c:pt>
                <c:pt idx="1">
                  <c:v>Of the universities with a procedure, did the procedure set out how assess ICT security risks?</c:v>
                </c:pt>
                <c:pt idx="2">
                  <c:v>Of the universities with a procedure, did the procedure set out how to assess personnel and physical security risks?</c:v>
                </c:pt>
              </c:strCache>
            </c:strRef>
          </c:cat>
          <c:val>
            <c:numRef>
              <c:f>Sheet1!$B$2:$B$4</c:f>
              <c:numCache>
                <c:formatCode>General</c:formatCode>
                <c:ptCount val="3"/>
                <c:pt idx="0">
                  <c:v>7</c:v>
                </c:pt>
                <c:pt idx="1">
                  <c:v>7</c:v>
                </c:pt>
                <c:pt idx="2">
                  <c:v>3</c:v>
                </c:pt>
              </c:numCache>
            </c:numRef>
          </c:val>
          <c:extLst>
            <c:ext xmlns:c16="http://schemas.microsoft.com/office/drawing/2014/chart" uri="{C3380CC4-5D6E-409C-BE32-E72D297353CC}">
              <c16:uniqueId val="{00000000-5D19-4FD1-9C15-2B77CA337B56}"/>
            </c:ext>
          </c:extLst>
        </c:ser>
        <c:ser>
          <c:idx val="1"/>
          <c:order val="1"/>
          <c:tx>
            <c:strRef>
              <c:f>Sheet1!$C$1</c:f>
              <c:strCache>
                <c:ptCount val="1"/>
                <c:pt idx="0">
                  <c:v>Partial, planned or in progress</c:v>
                </c:pt>
              </c:strCache>
            </c:strRef>
          </c:tx>
          <c:spPr>
            <a:solidFill>
              <a:srgbClr val="EA1D87"/>
            </a:solidFill>
            <a:ln>
              <a:noFill/>
            </a:ln>
            <a:effectLst/>
          </c:spPr>
          <c:invertIfNegative val="0"/>
          <c:cat>
            <c:strRef>
              <c:f>Sheet1!$A$2:$A$4</c:f>
              <c:strCache>
                <c:ptCount val="3"/>
                <c:pt idx="0">
                  <c:v>Did the university have a procedure to assess security risks to information?</c:v>
                </c:pt>
                <c:pt idx="1">
                  <c:v>Of the universities with a procedure, did the procedure set out how assess ICT security risks?</c:v>
                </c:pt>
                <c:pt idx="2">
                  <c:v>Of the universities with a procedure, did the procedure set out how to assess personnel and physical security risks?</c:v>
                </c:pt>
              </c:strCache>
            </c:strRef>
          </c:cat>
          <c:val>
            <c:numRef>
              <c:f>Sheet1!$C$2:$C$4</c:f>
              <c:numCache>
                <c:formatCode>General</c:formatCode>
                <c:ptCount val="3"/>
                <c:pt idx="0">
                  <c:v>0</c:v>
                </c:pt>
                <c:pt idx="1">
                  <c:v>0</c:v>
                </c:pt>
                <c:pt idx="2">
                  <c:v>0</c:v>
                </c:pt>
              </c:numCache>
            </c:numRef>
          </c:val>
          <c:extLst>
            <c:ext xmlns:c16="http://schemas.microsoft.com/office/drawing/2014/chart" uri="{C3380CC4-5D6E-409C-BE32-E72D297353CC}">
              <c16:uniqueId val="{00000001-5D19-4FD1-9C15-2B77CA337B56}"/>
            </c:ext>
          </c:extLst>
        </c:ser>
        <c:ser>
          <c:idx val="2"/>
          <c:order val="2"/>
          <c:tx>
            <c:strRef>
              <c:f>Sheet1!$D$1</c:f>
              <c:strCache>
                <c:ptCount val="1"/>
                <c:pt idx="0">
                  <c:v>No</c:v>
                </c:pt>
              </c:strCache>
            </c:strRef>
          </c:tx>
          <c:spPr>
            <a:solidFill>
              <a:srgbClr val="00B3FF"/>
            </a:solidFill>
            <a:ln>
              <a:noFill/>
            </a:ln>
            <a:effectLst/>
          </c:spPr>
          <c:invertIfNegative val="0"/>
          <c:dLbls>
            <c:dLbl>
              <c:idx val="0"/>
              <c:tx>
                <c:rich>
                  <a:bodyPr/>
                  <a:lstStyle/>
                  <a:p>
                    <a:r>
                      <a:rPr lang="en-US"/>
                      <a:t>1</a:t>
                    </a:r>
                    <a:r>
                      <a:rPr lang="en-US" baseline="0"/>
                      <a:t> university</a:t>
                    </a:r>
                    <a:endParaRPr lang="en-US"/>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933-4D7D-995F-8AF4745DD6E9}"/>
                </c:ext>
              </c:extLst>
            </c:dLbl>
            <c:dLbl>
              <c:idx val="1"/>
              <c:delete val="1"/>
              <c:extLst>
                <c:ext xmlns:c15="http://schemas.microsoft.com/office/drawing/2012/chart" uri="{CE6537A1-D6FC-4f65-9D91-7224C49458BB}"/>
                <c:ext xmlns:c16="http://schemas.microsoft.com/office/drawing/2014/chart" uri="{C3380CC4-5D6E-409C-BE32-E72D297353CC}">
                  <c16:uniqueId val="{00000001-B933-4D7D-995F-8AF4745DD6E9}"/>
                </c:ext>
              </c:extLst>
            </c:dLbl>
            <c:dLbl>
              <c:idx val="2"/>
              <c:tx>
                <c:rich>
                  <a:bodyPr/>
                  <a:lstStyle/>
                  <a:p>
                    <a:r>
                      <a:rPr lang="en-US"/>
                      <a:t>4 universities</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B933-4D7D-995F-8AF4745DD6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Did the university have a procedure to assess security risks to information?</c:v>
                </c:pt>
                <c:pt idx="1">
                  <c:v>Of the universities with a procedure, did the procedure set out how assess ICT security risks?</c:v>
                </c:pt>
                <c:pt idx="2">
                  <c:v>Of the universities with a procedure, did the procedure set out how to assess personnel and physical security risks?</c:v>
                </c:pt>
              </c:strCache>
            </c:strRef>
          </c:cat>
          <c:val>
            <c:numRef>
              <c:f>Sheet1!$D$2:$D$4</c:f>
              <c:numCache>
                <c:formatCode>General</c:formatCode>
                <c:ptCount val="3"/>
                <c:pt idx="0">
                  <c:v>1</c:v>
                </c:pt>
                <c:pt idx="1">
                  <c:v>0</c:v>
                </c:pt>
                <c:pt idx="2">
                  <c:v>4</c:v>
                </c:pt>
              </c:numCache>
            </c:numRef>
          </c:val>
          <c:extLst>
            <c:ext xmlns:c16="http://schemas.microsoft.com/office/drawing/2014/chart" uri="{C3380CC4-5D6E-409C-BE32-E72D297353CC}">
              <c16:uniqueId val="{00000002-5D19-4FD1-9C15-2B77CA337B56}"/>
            </c:ext>
          </c:extLst>
        </c:ser>
        <c:dLbls>
          <c:showLegendKey val="0"/>
          <c:showVal val="0"/>
          <c:showCatName val="0"/>
          <c:showSerName val="0"/>
          <c:showPercent val="0"/>
          <c:showBubbleSize val="0"/>
        </c:dLbls>
        <c:gapWidth val="150"/>
        <c:overlap val="100"/>
        <c:axId val="1383710223"/>
        <c:axId val="1383710639"/>
      </c:barChart>
      <c:catAx>
        <c:axId val="1383710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83710639"/>
        <c:crosses val="autoZero"/>
        <c:auto val="1"/>
        <c:lblAlgn val="ctr"/>
        <c:lblOffset val="100"/>
        <c:noMultiLvlLbl val="0"/>
      </c:catAx>
      <c:valAx>
        <c:axId val="1383710639"/>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383710223"/>
        <c:crosses val="autoZero"/>
        <c:crossBetween val="between"/>
      </c:valAx>
      <c:spPr>
        <a:noFill/>
        <a:ln>
          <a:noFill/>
        </a:ln>
        <a:effectLst/>
      </c:spPr>
    </c:plotArea>
    <c:legend>
      <c:legendPos val="b"/>
      <c:layout>
        <c:manualLayout>
          <c:xMode val="edge"/>
          <c:yMode val="edge"/>
          <c:x val="0.22077945976310157"/>
          <c:y val="0.91029280430855219"/>
          <c:w val="0.47972009956320033"/>
          <c:h val="7.575810599432646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3924603174603176"/>
          <c:w val="0.94907407407407407"/>
          <c:h val="0.66998656417947755"/>
        </c:manualLayout>
      </c:layout>
      <c:barChart>
        <c:barDir val="col"/>
        <c:grouping val="stacked"/>
        <c:varyColors val="0"/>
        <c:ser>
          <c:idx val="0"/>
          <c:order val="0"/>
          <c:tx>
            <c:strRef>
              <c:f>Sheet1!$B$1</c:f>
              <c:strCache>
                <c:ptCount val="1"/>
                <c:pt idx="0">
                  <c:v>Yes</c:v>
                </c:pt>
              </c:strCache>
            </c:strRef>
          </c:tx>
          <c:spPr>
            <a:solidFill>
              <a:srgbClr val="410096"/>
            </a:solidFill>
            <a:ln>
              <a:noFill/>
            </a:ln>
            <a:effectLst/>
          </c:spPr>
          <c:invertIfNegative val="0"/>
          <c:dLbls>
            <c:dLbl>
              <c:idx val="0"/>
              <c:tx>
                <c:rich>
                  <a:bodyPr/>
                  <a:lstStyle/>
                  <a:p>
                    <a:fld id="{1DE02D35-F5E9-4133-8177-A613624F66B2}" type="VALUE">
                      <a:rPr lang="en-US"/>
                      <a:pPr/>
                      <a:t>[VALUE]</a:t>
                    </a:fld>
                    <a:r>
                      <a:rPr lang="en-US"/>
                      <a:t> universities</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49C2-4B5F-8475-05999102BBB1}"/>
                </c:ext>
              </c:extLst>
            </c:dLbl>
            <c:dLbl>
              <c:idx val="1"/>
              <c:tx>
                <c:rich>
                  <a:bodyPr/>
                  <a:lstStyle/>
                  <a:p>
                    <a:fld id="{70AC60FC-8CDB-45B6-97FF-5D7F8E05535D}" type="VALUE">
                      <a:rPr lang="en-US"/>
                      <a:pPr/>
                      <a:t>[VALUE]</a:t>
                    </a:fld>
                    <a:r>
                      <a:rPr lang="en-US"/>
                      <a:t> universities</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49C2-4B5F-8475-05999102BB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Does the university have a process to identify high risk and sensitive personal information?</c:v>
                </c:pt>
                <c:pt idx="1">
                  <c:v>Did the university show it had procedures for managing high risk and sensitive information once identified?</c:v>
                </c:pt>
              </c:strCache>
            </c:strRef>
          </c:cat>
          <c:val>
            <c:numRef>
              <c:f>Sheet1!$B$2:$B$3</c:f>
              <c:numCache>
                <c:formatCode>General</c:formatCode>
                <c:ptCount val="2"/>
                <c:pt idx="0">
                  <c:v>6</c:v>
                </c:pt>
                <c:pt idx="1">
                  <c:v>5</c:v>
                </c:pt>
              </c:numCache>
            </c:numRef>
          </c:val>
          <c:extLst>
            <c:ext xmlns:c16="http://schemas.microsoft.com/office/drawing/2014/chart" uri="{C3380CC4-5D6E-409C-BE32-E72D297353CC}">
              <c16:uniqueId val="{00000000-49C2-4B5F-8475-05999102BBB1}"/>
            </c:ext>
          </c:extLst>
        </c:ser>
        <c:ser>
          <c:idx val="1"/>
          <c:order val="1"/>
          <c:tx>
            <c:strRef>
              <c:f>Sheet1!$C$1</c:f>
              <c:strCache>
                <c:ptCount val="1"/>
                <c:pt idx="0">
                  <c:v>Partial, planned or in progress</c:v>
                </c:pt>
              </c:strCache>
            </c:strRef>
          </c:tx>
          <c:spPr>
            <a:solidFill>
              <a:srgbClr val="EA1D87"/>
            </a:solidFill>
            <a:ln>
              <a:noFill/>
            </a:ln>
            <a:effectLst/>
          </c:spPr>
          <c:invertIfNegative val="0"/>
          <c:cat>
            <c:strRef>
              <c:f>Sheet1!$A$2:$A$3</c:f>
              <c:strCache>
                <c:ptCount val="2"/>
                <c:pt idx="0">
                  <c:v>Does the university have a process to identify high risk and sensitive personal information?</c:v>
                </c:pt>
                <c:pt idx="1">
                  <c:v>Did the university show it had procedures for managing high risk and sensitive information once identified?</c:v>
                </c:pt>
              </c:strCache>
            </c:strRef>
          </c:cat>
          <c:val>
            <c:numRef>
              <c:f>Sheet1!$C$2:$C$3</c:f>
              <c:numCache>
                <c:formatCode>General</c:formatCode>
                <c:ptCount val="2"/>
                <c:pt idx="0">
                  <c:v>0</c:v>
                </c:pt>
                <c:pt idx="1">
                  <c:v>0</c:v>
                </c:pt>
              </c:numCache>
            </c:numRef>
          </c:val>
          <c:extLst>
            <c:ext xmlns:c16="http://schemas.microsoft.com/office/drawing/2014/chart" uri="{C3380CC4-5D6E-409C-BE32-E72D297353CC}">
              <c16:uniqueId val="{00000001-49C2-4B5F-8475-05999102BBB1}"/>
            </c:ext>
          </c:extLst>
        </c:ser>
        <c:ser>
          <c:idx val="2"/>
          <c:order val="2"/>
          <c:tx>
            <c:strRef>
              <c:f>Sheet1!$D$1</c:f>
              <c:strCache>
                <c:ptCount val="1"/>
                <c:pt idx="0">
                  <c:v>No</c:v>
                </c:pt>
              </c:strCache>
            </c:strRef>
          </c:tx>
          <c:spPr>
            <a:solidFill>
              <a:srgbClr val="00B3FF"/>
            </a:solidFill>
            <a:ln>
              <a:noFill/>
            </a:ln>
            <a:effectLst/>
          </c:spPr>
          <c:invertIfNegative val="0"/>
          <c:dLbls>
            <c:dLbl>
              <c:idx val="0"/>
              <c:tx>
                <c:rich>
                  <a:bodyPr/>
                  <a:lstStyle/>
                  <a:p>
                    <a:fld id="{6BFDCE62-052D-445B-9B41-53DD2EAEB81B}" type="VALUE">
                      <a:rPr lang="en-US"/>
                      <a:pPr/>
                      <a:t>[VALUE]</a:t>
                    </a:fld>
                    <a:r>
                      <a:rPr lang="en-US"/>
                      <a:t> universities</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9C2-4B5F-8475-05999102BBB1}"/>
                </c:ext>
              </c:extLst>
            </c:dLbl>
            <c:dLbl>
              <c:idx val="1"/>
              <c:tx>
                <c:rich>
                  <a:bodyPr/>
                  <a:lstStyle/>
                  <a:p>
                    <a:fld id="{52657913-EEED-46C5-B539-A5B19AFB294D}" type="VALUE">
                      <a:rPr lang="en-US"/>
                      <a:pPr/>
                      <a:t>[VALUE]</a:t>
                    </a:fld>
                    <a:r>
                      <a:rPr lang="en-US"/>
                      <a:t> universities</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49C2-4B5F-8475-05999102BB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Does the university have a process to identify high risk and sensitive personal information?</c:v>
                </c:pt>
                <c:pt idx="1">
                  <c:v>Did the university show it had procedures for managing high risk and sensitive information once identified?</c:v>
                </c:pt>
              </c:strCache>
            </c:strRef>
          </c:cat>
          <c:val>
            <c:numRef>
              <c:f>Sheet1!$D$2:$D$3</c:f>
              <c:numCache>
                <c:formatCode>General</c:formatCode>
                <c:ptCount val="2"/>
                <c:pt idx="0">
                  <c:v>2</c:v>
                </c:pt>
                <c:pt idx="1">
                  <c:v>3</c:v>
                </c:pt>
              </c:numCache>
            </c:numRef>
          </c:val>
          <c:extLst>
            <c:ext xmlns:c16="http://schemas.microsoft.com/office/drawing/2014/chart" uri="{C3380CC4-5D6E-409C-BE32-E72D297353CC}">
              <c16:uniqueId val="{00000008-49C2-4B5F-8475-05999102BBB1}"/>
            </c:ext>
          </c:extLst>
        </c:ser>
        <c:dLbls>
          <c:showLegendKey val="0"/>
          <c:showVal val="0"/>
          <c:showCatName val="0"/>
          <c:showSerName val="0"/>
          <c:showPercent val="0"/>
          <c:showBubbleSize val="0"/>
        </c:dLbls>
        <c:gapWidth val="150"/>
        <c:overlap val="100"/>
        <c:axId val="1480501008"/>
        <c:axId val="1480497680"/>
      </c:barChart>
      <c:catAx>
        <c:axId val="148050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80497680"/>
        <c:crosses val="autoZero"/>
        <c:auto val="1"/>
        <c:lblAlgn val="ctr"/>
        <c:lblOffset val="100"/>
        <c:noMultiLvlLbl val="0"/>
      </c:catAx>
      <c:valAx>
        <c:axId val="148049768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80501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7030A0"/>
      </a:accent1>
      <a:accent2>
        <a:srgbClr val="E4C43C"/>
      </a:accent2>
      <a:accent3>
        <a:srgbClr val="D945A8"/>
      </a:accent3>
      <a:accent4>
        <a:srgbClr val="6F3B55"/>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BA781-05A6-45BC-9C63-0733FD5B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8822</Words>
  <Characters>50289</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Conti</dc:creator>
  <cp:keywords/>
  <dc:description/>
  <cp:lastModifiedBy>Teagan McKenna</cp:lastModifiedBy>
  <cp:revision>7</cp:revision>
  <cp:lastPrinted>2021-06-01T02:10:00Z</cp:lastPrinted>
  <dcterms:created xsi:type="dcterms:W3CDTF">2021-06-25T02:50:00Z</dcterms:created>
  <dcterms:modified xsi:type="dcterms:W3CDTF">2021-06-25T03:23:00Z</dcterms:modified>
</cp:coreProperties>
</file>