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A461" w14:textId="77777777" w:rsidR="0034513D" w:rsidRPr="00756BEA" w:rsidRDefault="006E5D6D" w:rsidP="006E5D6D">
      <w:pPr>
        <w:pStyle w:val="MainTitle"/>
        <w:rPr>
          <w:sz w:val="40"/>
          <w:szCs w:val="52"/>
        </w:rPr>
      </w:pPr>
      <w:r>
        <w:t>AGENCY FOI INFORMATION SERVICE GUIDELINES</w:t>
      </w:r>
      <w:r w:rsidR="00DD0EA8">
        <w:t xml:space="preserve"> </w:t>
      </w:r>
    </w:p>
    <w:p w14:paraId="0205D417" w14:textId="77777777" w:rsidR="006E5D6D" w:rsidRDefault="006E5D6D" w:rsidP="006E5D6D">
      <w:pPr>
        <w:pStyle w:val="Heading-1"/>
      </w:pPr>
      <w:r>
        <w:t>Purpose</w:t>
      </w:r>
    </w:p>
    <w:p w14:paraId="34A62855" w14:textId="77777777" w:rsidR="006E5D6D" w:rsidRDefault="006E5D6D" w:rsidP="006E5D6D">
      <w:pPr>
        <w:pStyle w:val="Body"/>
      </w:pPr>
      <w:r>
        <w:t>The purpose of this document is to set out the guiding principles for Victorian public sector organisations (</w:t>
      </w:r>
      <w:r w:rsidRPr="00B82B80">
        <w:rPr>
          <w:b/>
          <w:bCs/>
        </w:rPr>
        <w:t>agencies</w:t>
      </w:r>
      <w:r>
        <w:t xml:space="preserve">) utilising OVIC’s Agency FOI Information Service (the </w:t>
      </w:r>
      <w:r w:rsidRPr="00B82B80">
        <w:rPr>
          <w:b/>
          <w:bCs/>
        </w:rPr>
        <w:t>service</w:t>
      </w:r>
      <w:r>
        <w:t>).</w:t>
      </w:r>
    </w:p>
    <w:p w14:paraId="656624A3" w14:textId="77777777" w:rsidR="006E5D6D" w:rsidRPr="006E5D6D" w:rsidRDefault="006E5D6D" w:rsidP="006E5D6D">
      <w:pPr>
        <w:pStyle w:val="Heading-1"/>
      </w:pPr>
      <w:r w:rsidRPr="006E5D6D">
        <w:t xml:space="preserve">Overview </w:t>
      </w:r>
    </w:p>
    <w:p w14:paraId="1A98774E" w14:textId="51E72A9A" w:rsidR="006E5D6D" w:rsidRDefault="00013903" w:rsidP="006E5D6D">
      <w:pPr>
        <w:pStyle w:val="Body"/>
      </w:pPr>
      <w:r>
        <w:rPr>
          <w:rFonts w:asciiTheme="minorHAnsi" w:hAnsiTheme="minorHAnsi" w:cstheme="minorHAnsi"/>
          <w:lang w:val="en-US"/>
        </w:rPr>
        <w:t>The s</w:t>
      </w:r>
      <w:r w:rsidRPr="00DD6EF3">
        <w:rPr>
          <w:rFonts w:asciiTheme="minorHAnsi" w:hAnsiTheme="minorHAnsi" w:cstheme="minorHAnsi"/>
          <w:lang w:val="en-US"/>
        </w:rPr>
        <w:t xml:space="preserve">ervice </w:t>
      </w:r>
      <w:r>
        <w:rPr>
          <w:rFonts w:asciiTheme="minorHAnsi" w:hAnsiTheme="minorHAnsi" w:cstheme="minorHAnsi"/>
          <w:lang w:val="en-US"/>
        </w:rPr>
        <w:t xml:space="preserve">provides </w:t>
      </w:r>
      <w:r w:rsidRPr="00725A69">
        <w:rPr>
          <w:rFonts w:asciiTheme="minorHAnsi" w:hAnsiTheme="minorHAnsi" w:cstheme="minorHAnsi"/>
          <w:lang w:val="en-US"/>
        </w:rPr>
        <w:t>information and guidance</w:t>
      </w:r>
      <w:r w:rsidRPr="00A2129C">
        <w:rPr>
          <w:rFonts w:asciiTheme="minorHAnsi" w:hAnsiTheme="minorHAnsi" w:cstheme="minorHAnsi"/>
          <w:lang w:val="en-US"/>
        </w:rPr>
        <w:t xml:space="preserve"> to agency FOI practitioners </w:t>
      </w:r>
      <w:r w:rsidRPr="00A2129C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>:</w:t>
      </w:r>
    </w:p>
    <w:p w14:paraId="6625A900" w14:textId="77777777" w:rsidR="006E5D6D" w:rsidRDefault="006E5D6D" w:rsidP="006E5D6D">
      <w:pPr>
        <w:pStyle w:val="Body"/>
        <w:numPr>
          <w:ilvl w:val="0"/>
          <w:numId w:val="20"/>
        </w:numPr>
      </w:pPr>
      <w:r>
        <w:t xml:space="preserve">the administration and operation of the </w:t>
      </w:r>
      <w:r w:rsidRPr="00B82B80">
        <w:rPr>
          <w:i/>
          <w:iCs/>
        </w:rPr>
        <w:t>Freedom of Information Act 1982</w:t>
      </w:r>
      <w:r>
        <w:t xml:space="preserve"> (Vic) (</w:t>
      </w:r>
      <w:r w:rsidRPr="00B82B80">
        <w:rPr>
          <w:b/>
          <w:bCs/>
        </w:rPr>
        <w:t>the FOI Act</w:t>
      </w:r>
      <w:r>
        <w:t>); and</w:t>
      </w:r>
    </w:p>
    <w:p w14:paraId="4DD151A5" w14:textId="4527D881" w:rsidR="006E5D6D" w:rsidRDefault="00B82B80" w:rsidP="006E5D6D">
      <w:pPr>
        <w:pStyle w:val="Body"/>
        <w:numPr>
          <w:ilvl w:val="0"/>
          <w:numId w:val="20"/>
        </w:numPr>
      </w:pPr>
      <w:r>
        <w:t xml:space="preserve">an agency’s </w:t>
      </w:r>
      <w:r w:rsidR="006E5D6D">
        <w:t xml:space="preserve">obligations </w:t>
      </w:r>
      <w:r>
        <w:t xml:space="preserve">under </w:t>
      </w:r>
      <w:r w:rsidR="006E5D6D">
        <w:t>and compliance with the FOI Professional Standards.</w:t>
      </w:r>
    </w:p>
    <w:p w14:paraId="0A0E76AC" w14:textId="77777777" w:rsidR="00B82B80" w:rsidRPr="00504E81" w:rsidRDefault="00B82B80" w:rsidP="00B82B80">
      <w:pPr>
        <w:pStyle w:val="Body"/>
        <w:rPr>
          <w:rFonts w:eastAsia="National" w:cs="Calibri"/>
        </w:rPr>
      </w:pPr>
      <w:r w:rsidRPr="00504E81">
        <w:rPr>
          <w:rFonts w:eastAsia="National" w:cs="Calibri"/>
        </w:rPr>
        <w:t>Information and guidance will be provided by experienced and skilled OVIC staff</w:t>
      </w:r>
      <w:r>
        <w:rPr>
          <w:rFonts w:eastAsia="National" w:cs="Calibri"/>
        </w:rPr>
        <w:t xml:space="preserve"> and </w:t>
      </w:r>
      <w:r w:rsidRPr="001331D8">
        <w:rPr>
          <w:rFonts w:cstheme="minorHAnsi"/>
          <w:lang w:val="en-US"/>
        </w:rPr>
        <w:t xml:space="preserve">compliments information available </w:t>
      </w:r>
      <w:r>
        <w:rPr>
          <w:rFonts w:cstheme="minorHAnsi"/>
          <w:lang w:val="en-US"/>
        </w:rPr>
        <w:t xml:space="preserve">for agency officers </w:t>
      </w:r>
      <w:r w:rsidRPr="001331D8">
        <w:rPr>
          <w:rFonts w:cstheme="minorHAnsi"/>
          <w:lang w:val="en-US"/>
        </w:rPr>
        <w:t>on OVIC’s website</w:t>
      </w:r>
      <w:r>
        <w:rPr>
          <w:rFonts w:eastAsia="National" w:cstheme="minorHAnsi"/>
        </w:rPr>
        <w:t xml:space="preserve"> about the FOI Act and Professional Standards.</w:t>
      </w:r>
    </w:p>
    <w:p w14:paraId="1EF6713E" w14:textId="01613A6A" w:rsidR="006E5D6D" w:rsidRPr="00B82B80" w:rsidRDefault="00B82B80" w:rsidP="006E5D6D">
      <w:pPr>
        <w:pStyle w:val="Body"/>
        <w:rPr>
          <w:rFonts w:eastAsia="National" w:cs="Calibri"/>
          <w:color w:val="000000"/>
        </w:rPr>
      </w:pPr>
      <w:r>
        <w:rPr>
          <w:color w:val="000000"/>
        </w:rPr>
        <w:t>The</w:t>
      </w:r>
      <w:r w:rsidRPr="00667C86">
        <w:rPr>
          <w:rFonts w:eastAsia="National" w:cs="Calibri"/>
          <w:color w:val="000000"/>
        </w:rPr>
        <w:t xml:space="preserve"> </w:t>
      </w:r>
      <w:r>
        <w:rPr>
          <w:rFonts w:eastAsia="National" w:cs="Calibri"/>
          <w:color w:val="000000"/>
        </w:rPr>
        <w:t>s</w:t>
      </w:r>
      <w:r w:rsidRPr="00667C86">
        <w:rPr>
          <w:rFonts w:eastAsia="National" w:cs="Calibri"/>
          <w:color w:val="000000"/>
        </w:rPr>
        <w:t xml:space="preserve">ervice </w:t>
      </w:r>
      <w:r>
        <w:rPr>
          <w:rFonts w:eastAsia="National" w:cs="Calibri"/>
          <w:color w:val="000000"/>
        </w:rPr>
        <w:t xml:space="preserve">reflects the functions of the </w:t>
      </w:r>
      <w:r w:rsidRPr="00667C86">
        <w:rPr>
          <w:rFonts w:eastAsia="National" w:cs="Calibri"/>
          <w:color w:val="000000"/>
        </w:rPr>
        <w:t xml:space="preserve">Information Commissioner and </w:t>
      </w:r>
      <w:r w:rsidRPr="00667C86">
        <w:rPr>
          <w:color w:val="000000"/>
        </w:rPr>
        <w:t xml:space="preserve">Public Access Deputy </w:t>
      </w:r>
      <w:r>
        <w:rPr>
          <w:rFonts w:eastAsia="National" w:cs="Calibri"/>
          <w:color w:val="000000"/>
        </w:rPr>
        <w:t>Commissioner</w:t>
      </w:r>
      <w:r w:rsidRPr="00667C86">
        <w:rPr>
          <w:rFonts w:eastAsia="National" w:cs="Calibri"/>
          <w:color w:val="000000"/>
        </w:rPr>
        <w:t xml:space="preserve"> under </w:t>
      </w:r>
      <w:r>
        <w:rPr>
          <w:rFonts w:eastAsia="National" w:cs="Calibri"/>
          <w:color w:val="000000"/>
        </w:rPr>
        <w:t xml:space="preserve">section </w:t>
      </w:r>
      <w:r w:rsidRPr="00667C86">
        <w:rPr>
          <w:rFonts w:eastAsia="National" w:cs="Calibri"/>
          <w:color w:val="000000"/>
        </w:rPr>
        <w:t>6I</w:t>
      </w:r>
      <w:r>
        <w:rPr>
          <w:rFonts w:eastAsia="National" w:cs="Calibri"/>
          <w:color w:val="000000"/>
        </w:rPr>
        <w:t xml:space="preserve"> </w:t>
      </w:r>
      <w:r w:rsidRPr="00667C86">
        <w:rPr>
          <w:rFonts w:eastAsia="National" w:cs="Calibri"/>
          <w:color w:val="000000"/>
        </w:rPr>
        <w:t>of the FOI Act</w:t>
      </w:r>
      <w:r>
        <w:rPr>
          <w:rFonts w:eastAsia="National" w:cs="Calibri"/>
          <w:color w:val="000000"/>
        </w:rPr>
        <w:t>, including to:</w:t>
      </w:r>
    </w:p>
    <w:p w14:paraId="6F6310B1" w14:textId="77777777" w:rsidR="006E5D6D" w:rsidRDefault="006E5D6D" w:rsidP="006E5D6D">
      <w:pPr>
        <w:pStyle w:val="Body"/>
        <w:numPr>
          <w:ilvl w:val="0"/>
          <w:numId w:val="21"/>
        </w:numPr>
      </w:pPr>
      <w:r>
        <w:t xml:space="preserve">promote understanding and acceptance by agencies of the FOI Act and the object of the FOI </w:t>
      </w:r>
      <w:proofErr w:type="gramStart"/>
      <w:r>
        <w:t>Act;</w:t>
      </w:r>
      <w:proofErr w:type="gramEnd"/>
      <w:r>
        <w:t xml:space="preserve"> </w:t>
      </w:r>
    </w:p>
    <w:p w14:paraId="468446D8" w14:textId="77777777" w:rsidR="006E5D6D" w:rsidRDefault="006E5D6D" w:rsidP="006E5D6D">
      <w:pPr>
        <w:pStyle w:val="Body"/>
        <w:numPr>
          <w:ilvl w:val="0"/>
          <w:numId w:val="21"/>
        </w:numPr>
      </w:pPr>
      <w:r>
        <w:t>provide advice, education and guidance to agencies in relation to compliance with the FOI Professional Standards; and</w:t>
      </w:r>
    </w:p>
    <w:p w14:paraId="5B9E9FB6" w14:textId="77777777" w:rsidR="006E5D6D" w:rsidRDefault="006E5D6D" w:rsidP="006E5D6D">
      <w:pPr>
        <w:pStyle w:val="Body"/>
        <w:numPr>
          <w:ilvl w:val="0"/>
          <w:numId w:val="21"/>
        </w:numPr>
      </w:pPr>
      <w:r>
        <w:t>provide advice, education and guidance to agencies in relation to the Commissioners’ functions, such as the conduct of reviews and complaint handling.</w:t>
      </w:r>
    </w:p>
    <w:p w14:paraId="6F6201C0" w14:textId="77777777" w:rsidR="006E5D6D" w:rsidRDefault="006E5D6D" w:rsidP="006E5D6D">
      <w:pPr>
        <w:pStyle w:val="Heading-1"/>
      </w:pPr>
      <w:r>
        <w:t>Electronic mailbox</w:t>
      </w:r>
    </w:p>
    <w:p w14:paraId="371792C7" w14:textId="77777777" w:rsidR="00B82B80" w:rsidRDefault="00B82B80" w:rsidP="00B82B80">
      <w:pPr>
        <w:pStyle w:val="Body"/>
        <w:snapToGrid w:val="0"/>
        <w:spacing w:after="120" w:line="240" w:lineRule="auto"/>
        <w:rPr>
          <w:color w:val="000000"/>
          <w:lang w:eastAsia="en-GB"/>
        </w:rPr>
      </w:pPr>
      <w:r>
        <w:rPr>
          <w:rFonts w:eastAsia="National" w:cs="Calibri"/>
          <w:color w:val="000000"/>
        </w:rPr>
        <w:t xml:space="preserve">Agencies can access the service by submitting a request for information </w:t>
      </w:r>
      <w:r>
        <w:rPr>
          <w:color w:val="000000"/>
          <w:lang w:eastAsia="en-GB"/>
        </w:rPr>
        <w:t xml:space="preserve">or guidance </w:t>
      </w:r>
      <w:r>
        <w:rPr>
          <w:rFonts w:eastAsia="National" w:cs="Calibri"/>
          <w:color w:val="000000"/>
        </w:rPr>
        <w:t xml:space="preserve">via email </w:t>
      </w:r>
      <w:r>
        <w:rPr>
          <w:color w:val="000000"/>
          <w:lang w:eastAsia="en-GB"/>
        </w:rPr>
        <w:t>to a</w:t>
      </w:r>
      <w:r w:rsidRPr="00BA59BA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dedicated email address: </w:t>
      </w:r>
      <w:hyperlink r:id="rId8" w:history="1">
        <w:r w:rsidRPr="008441A0">
          <w:rPr>
            <w:rStyle w:val="Hyperlink"/>
            <w:lang w:eastAsia="en-GB"/>
          </w:rPr>
          <w:t>AskFOI@ovic.vic.gov.au</w:t>
        </w:r>
      </w:hyperlink>
      <w:r w:rsidRPr="00D648CC">
        <w:rPr>
          <w:color w:val="000000"/>
          <w:lang w:eastAsia="en-GB"/>
        </w:rPr>
        <w:t xml:space="preserve"> </w:t>
      </w:r>
    </w:p>
    <w:p w14:paraId="1E66BCA7" w14:textId="77777777" w:rsidR="00B82B80" w:rsidRDefault="00B82B80" w:rsidP="00B82B80">
      <w:pPr>
        <w:pStyle w:val="Body"/>
        <w:snapToGrid w:val="0"/>
        <w:spacing w:after="120" w:line="240" w:lineRule="auto"/>
        <w:rPr>
          <w:color w:val="000000"/>
          <w:lang w:eastAsia="en-GB"/>
        </w:rPr>
      </w:pPr>
      <w:r w:rsidRPr="00192C00">
        <w:rPr>
          <w:color w:val="000000"/>
          <w:lang w:eastAsia="en-GB"/>
        </w:rPr>
        <w:t xml:space="preserve">Agencies that are uncertain as to whether their query </w:t>
      </w:r>
      <w:r>
        <w:rPr>
          <w:color w:val="000000"/>
          <w:lang w:eastAsia="en-GB"/>
        </w:rPr>
        <w:t xml:space="preserve">can be answered by </w:t>
      </w:r>
      <w:r w:rsidRPr="00192C00">
        <w:rPr>
          <w:color w:val="000000"/>
          <w:lang w:eastAsia="en-GB"/>
        </w:rPr>
        <w:t xml:space="preserve">the service are encouraged to use </w:t>
      </w:r>
      <w:r w:rsidRPr="00504E81">
        <w:rPr>
          <w:color w:val="000000"/>
          <w:lang w:eastAsia="en-GB"/>
        </w:rPr>
        <w:t xml:space="preserve">the service </w:t>
      </w:r>
      <w:r w:rsidRPr="00192C00">
        <w:rPr>
          <w:color w:val="000000"/>
          <w:lang w:eastAsia="en-GB"/>
        </w:rPr>
        <w:t>in</w:t>
      </w:r>
      <w:r>
        <w:rPr>
          <w:color w:val="000000"/>
          <w:lang w:eastAsia="en-GB"/>
        </w:rPr>
        <w:t xml:space="preserve"> the first instance. </w:t>
      </w:r>
    </w:p>
    <w:p w14:paraId="66601CC5" w14:textId="77777777" w:rsidR="00B82B80" w:rsidRPr="00130157" w:rsidRDefault="00B82B80" w:rsidP="00B82B80">
      <w:pPr>
        <w:pStyle w:val="Body"/>
        <w:snapToGrid w:val="0"/>
        <w:spacing w:after="120" w:line="240" w:lineRule="auto"/>
        <w:rPr>
          <w:color w:val="000000"/>
          <w:lang w:eastAsia="en-GB"/>
        </w:rPr>
      </w:pPr>
      <w:r w:rsidRPr="00504E81">
        <w:rPr>
          <w:color w:val="000000"/>
          <w:lang w:eastAsia="en-GB"/>
        </w:rPr>
        <w:t xml:space="preserve">Responses to queries will </w:t>
      </w:r>
      <w:r>
        <w:rPr>
          <w:color w:val="000000"/>
          <w:lang w:eastAsia="en-GB"/>
        </w:rPr>
        <w:t xml:space="preserve">generally be provided within 24 hours although, responses may take up to </w:t>
      </w:r>
      <w:r w:rsidRPr="00504E81">
        <w:rPr>
          <w:color w:val="000000"/>
          <w:lang w:eastAsia="en-GB"/>
        </w:rPr>
        <w:t>5 business days, depending on the complexity of the query. If</w:t>
      </w:r>
      <w:r w:rsidRPr="008326BD">
        <w:rPr>
          <w:rFonts w:cs="Calibri"/>
        </w:rPr>
        <w:t xml:space="preserve"> more time is required, OVIC </w:t>
      </w:r>
      <w:r>
        <w:rPr>
          <w:rFonts w:cs="Calibri"/>
        </w:rPr>
        <w:t xml:space="preserve">staff </w:t>
      </w:r>
      <w:r w:rsidRPr="008326BD">
        <w:rPr>
          <w:rFonts w:cs="Calibri"/>
        </w:rPr>
        <w:t xml:space="preserve">will advise the </w:t>
      </w:r>
      <w:r>
        <w:rPr>
          <w:rFonts w:cs="Calibri"/>
        </w:rPr>
        <w:t>a</w:t>
      </w:r>
      <w:r w:rsidRPr="008326BD">
        <w:rPr>
          <w:rFonts w:cs="Calibri"/>
        </w:rPr>
        <w:t xml:space="preserve">gency. </w:t>
      </w:r>
    </w:p>
    <w:p w14:paraId="103CA40F" w14:textId="77777777" w:rsidR="00B82B80" w:rsidRDefault="00B82B80" w:rsidP="00B82B80">
      <w:pPr>
        <w:snapToGrid w:val="0"/>
        <w:spacing w:after="1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Responses to queries will be provided by either email or telephone. </w:t>
      </w:r>
    </w:p>
    <w:p w14:paraId="0CEE0660" w14:textId="77777777" w:rsidR="00B82B80" w:rsidRDefault="00B82B80" w:rsidP="006E5D6D">
      <w:pPr>
        <w:pStyle w:val="Body"/>
      </w:pPr>
    </w:p>
    <w:p w14:paraId="14A6B893" w14:textId="77777777" w:rsidR="006E5D6D" w:rsidRDefault="006E5D6D">
      <w:pPr>
        <w:rPr>
          <w:rFonts w:cs="PostGrotesk-Medium"/>
          <w:b/>
          <w:color w:val="430098"/>
          <w:sz w:val="28"/>
          <w:szCs w:val="26"/>
          <w:lang w:val="en-AU"/>
        </w:rPr>
      </w:pPr>
      <w:r>
        <w:br w:type="page"/>
      </w:r>
    </w:p>
    <w:p w14:paraId="5B039905" w14:textId="77777777" w:rsidR="006E5D6D" w:rsidRDefault="006E5D6D" w:rsidP="006E5D6D">
      <w:pPr>
        <w:pStyle w:val="Heading-1"/>
      </w:pPr>
      <w:r>
        <w:lastRenderedPageBreak/>
        <w:t>Availability of the service</w:t>
      </w:r>
    </w:p>
    <w:p w14:paraId="341248CE" w14:textId="77777777" w:rsidR="006E5D6D" w:rsidRDefault="006E5D6D" w:rsidP="006E5D6D">
      <w:pPr>
        <w:pStyle w:val="Body"/>
        <w:numPr>
          <w:ilvl w:val="0"/>
          <w:numId w:val="22"/>
        </w:numPr>
      </w:pPr>
      <w:r>
        <w:t xml:space="preserve">The service is available for use by agencies only. </w:t>
      </w:r>
    </w:p>
    <w:p w14:paraId="3C7FE792" w14:textId="77777777" w:rsidR="006E5D6D" w:rsidRDefault="006E5D6D" w:rsidP="006E5D6D">
      <w:pPr>
        <w:pStyle w:val="Body"/>
        <w:numPr>
          <w:ilvl w:val="0"/>
          <w:numId w:val="22"/>
        </w:numPr>
      </w:pPr>
      <w:r>
        <w:t xml:space="preserve">Queries from members of the public on the FOI Act should be directed to </w:t>
      </w:r>
      <w:hyperlink r:id="rId9" w:history="1">
        <w:r w:rsidRPr="005C6DD5">
          <w:rPr>
            <w:rStyle w:val="Hyperlink"/>
          </w:rPr>
          <w:t>enquiries@ovic.vic.gov.au</w:t>
        </w:r>
      </w:hyperlink>
      <w:r>
        <w:t xml:space="preserve"> </w:t>
      </w:r>
    </w:p>
    <w:p w14:paraId="11E392A0" w14:textId="77777777" w:rsidR="006E5D6D" w:rsidRDefault="006E5D6D" w:rsidP="006E5D6D">
      <w:pPr>
        <w:pStyle w:val="Body"/>
        <w:numPr>
          <w:ilvl w:val="0"/>
          <w:numId w:val="22"/>
        </w:numPr>
      </w:pPr>
      <w:r>
        <w:t xml:space="preserve">Guidance is also available on OVIC’s website at </w:t>
      </w:r>
      <w:hyperlink r:id="rId10" w:history="1">
        <w:r w:rsidR="006D51E1" w:rsidRPr="005C6DD5">
          <w:rPr>
            <w:rStyle w:val="Hyperlink"/>
          </w:rPr>
          <w:t>https://ovic.vic.gov.au/freedom-of-information/resources-for-agencies/</w:t>
        </w:r>
      </w:hyperlink>
      <w:r w:rsidR="006D51E1">
        <w:t xml:space="preserve"> </w:t>
      </w:r>
    </w:p>
    <w:p w14:paraId="627CBBA5" w14:textId="77777777" w:rsidR="006E5D6D" w:rsidRDefault="006E5D6D" w:rsidP="006E5D6D">
      <w:pPr>
        <w:pStyle w:val="Heading-1"/>
      </w:pPr>
      <w:r>
        <w:t>Information and guidance provided by the service</w:t>
      </w:r>
    </w:p>
    <w:p w14:paraId="440778B1" w14:textId="77777777" w:rsidR="00B82B80" w:rsidRPr="0070189E" w:rsidRDefault="00B82B80" w:rsidP="00B82B80">
      <w:pPr>
        <w:snapToGrid w:val="0"/>
        <w:spacing w:after="120"/>
        <w:rPr>
          <w:rFonts w:asciiTheme="minorHAnsi" w:hAnsiTheme="minorHAnsi" w:cstheme="minorHAnsi"/>
        </w:rPr>
      </w:pPr>
      <w:r w:rsidRPr="0070189E">
        <w:rPr>
          <w:rFonts w:asciiTheme="minorHAnsi" w:hAnsiTheme="minorHAnsi" w:cstheme="minorHAnsi"/>
        </w:rPr>
        <w:t xml:space="preserve">An agency FOI practitioner or decision maker can use the </w:t>
      </w:r>
      <w:r>
        <w:rPr>
          <w:rFonts w:asciiTheme="minorHAnsi" w:hAnsiTheme="minorHAnsi" w:cstheme="minorHAnsi"/>
        </w:rPr>
        <w:t>s</w:t>
      </w:r>
      <w:r w:rsidRPr="0070189E">
        <w:rPr>
          <w:rFonts w:asciiTheme="minorHAnsi" w:hAnsiTheme="minorHAnsi" w:cstheme="minorHAnsi"/>
        </w:rPr>
        <w:t>ervice to receive:</w:t>
      </w:r>
    </w:p>
    <w:p w14:paraId="663799A2" w14:textId="558BC1DA" w:rsidR="006E5D6D" w:rsidRDefault="00B82B80" w:rsidP="00B82B80">
      <w:pPr>
        <w:pStyle w:val="Body"/>
        <w:numPr>
          <w:ilvl w:val="0"/>
          <w:numId w:val="28"/>
        </w:numPr>
      </w:pPr>
      <w:r>
        <w:rPr>
          <w:rFonts w:asciiTheme="minorHAnsi" w:hAnsiTheme="minorHAnsi" w:cstheme="minorHAnsi"/>
        </w:rPr>
        <w:t>information and guidance o</w:t>
      </w:r>
      <w:r w:rsidRPr="004F0641">
        <w:rPr>
          <w:rFonts w:asciiTheme="minorHAnsi" w:hAnsiTheme="minorHAnsi" w:cstheme="minorHAnsi"/>
        </w:rPr>
        <w:t xml:space="preserve">n how the FOI Act </w:t>
      </w:r>
      <w:proofErr w:type="gramStart"/>
      <w:r w:rsidRPr="004F0641">
        <w:rPr>
          <w:rFonts w:asciiTheme="minorHAnsi" w:hAnsiTheme="minorHAnsi" w:cstheme="minorHAnsi"/>
        </w:rPr>
        <w:t>is</w:t>
      </w:r>
      <w:proofErr w:type="gramEnd"/>
      <w:r w:rsidRPr="004F0641">
        <w:rPr>
          <w:rFonts w:asciiTheme="minorHAnsi" w:hAnsiTheme="minorHAnsi" w:cstheme="minorHAnsi"/>
        </w:rPr>
        <w:t xml:space="preserve"> to be interpreted</w:t>
      </w:r>
      <w:r>
        <w:rPr>
          <w:rFonts w:asciiTheme="minorHAnsi" w:hAnsiTheme="minorHAnsi" w:cstheme="minorHAnsi"/>
        </w:rPr>
        <w:t>, in accordance with the object of the Act</w:t>
      </w:r>
      <w:r w:rsidR="006E5D6D">
        <w:t>.</w:t>
      </w:r>
    </w:p>
    <w:p w14:paraId="7E0DBCE1" w14:textId="7D07EAE0" w:rsidR="006E5D6D" w:rsidRDefault="00B82B80" w:rsidP="006E5D6D">
      <w:pPr>
        <w:pStyle w:val="Body"/>
        <w:numPr>
          <w:ilvl w:val="0"/>
          <w:numId w:val="23"/>
        </w:numPr>
      </w:pPr>
      <w:r>
        <w:rPr>
          <w:rFonts w:asciiTheme="minorHAnsi" w:hAnsiTheme="minorHAnsi" w:cstheme="minorHAnsi"/>
        </w:rPr>
        <w:t>guidance on how the FOI exemptions should be administered and interpreted</w:t>
      </w:r>
      <w:r w:rsidR="006E5D6D">
        <w:t>.</w:t>
      </w:r>
    </w:p>
    <w:p w14:paraId="70140C8E" w14:textId="43981E97" w:rsidR="006E5D6D" w:rsidRDefault="00B82B80" w:rsidP="006E5D6D">
      <w:pPr>
        <w:pStyle w:val="Body"/>
        <w:numPr>
          <w:ilvl w:val="0"/>
          <w:numId w:val="23"/>
        </w:numPr>
      </w:pPr>
      <w:r>
        <w:rPr>
          <w:rFonts w:asciiTheme="minorHAnsi" w:hAnsiTheme="minorHAnsi" w:cstheme="minorHAnsi"/>
        </w:rPr>
        <w:t xml:space="preserve">information relating to previous similar decisions made by its </w:t>
      </w:r>
      <w:proofErr w:type="gramStart"/>
      <w:r>
        <w:rPr>
          <w:rFonts w:asciiTheme="minorHAnsi" w:hAnsiTheme="minorHAnsi" w:cstheme="minorHAnsi"/>
        </w:rPr>
        <w:t>Commissioners</w:t>
      </w:r>
      <w:proofErr w:type="gramEnd"/>
      <w:r w:rsidR="006E5D6D">
        <w:t>.</w:t>
      </w:r>
    </w:p>
    <w:p w14:paraId="4C329780" w14:textId="78817184" w:rsidR="006E5D6D" w:rsidRDefault="00B82B80" w:rsidP="006E5D6D">
      <w:pPr>
        <w:pStyle w:val="Body"/>
        <w:numPr>
          <w:ilvl w:val="0"/>
          <w:numId w:val="23"/>
        </w:numPr>
      </w:pPr>
      <w:r>
        <w:rPr>
          <w:rFonts w:asciiTheme="minorHAnsi" w:hAnsiTheme="minorHAnsi" w:cstheme="minorHAnsi"/>
        </w:rPr>
        <w:t>advice on best practice in administrating the FOI Act</w:t>
      </w:r>
      <w:r w:rsidR="006E5D6D">
        <w:t>.</w:t>
      </w:r>
    </w:p>
    <w:p w14:paraId="0D205248" w14:textId="6C3B9FD1" w:rsidR="006E5D6D" w:rsidRDefault="00B82B80" w:rsidP="006E5D6D">
      <w:pPr>
        <w:pStyle w:val="Body"/>
        <w:numPr>
          <w:ilvl w:val="0"/>
          <w:numId w:val="23"/>
        </w:numPr>
      </w:pPr>
      <w:r>
        <w:rPr>
          <w:rFonts w:asciiTheme="minorHAnsi" w:hAnsiTheme="minorHAnsi" w:cstheme="minorHAnsi"/>
        </w:rPr>
        <w:t xml:space="preserve">information about an agency’s obligations under and compliance with the </w:t>
      </w:r>
      <w:r>
        <w:rPr>
          <w:rFonts w:asciiTheme="minorHAnsi" w:hAnsiTheme="minorHAnsi" w:cstheme="minorHAnsi"/>
        </w:rPr>
        <w:br/>
        <w:t>FOI Professional Standards</w:t>
      </w:r>
      <w:r w:rsidR="006E5D6D">
        <w:t>.</w:t>
      </w:r>
    </w:p>
    <w:p w14:paraId="2C01472F" w14:textId="6BA1326E" w:rsidR="006E5D6D" w:rsidRDefault="00B82B80" w:rsidP="006E5D6D">
      <w:pPr>
        <w:pStyle w:val="Body"/>
        <w:numPr>
          <w:ilvl w:val="0"/>
          <w:numId w:val="23"/>
        </w:numPr>
      </w:pPr>
      <w:r>
        <w:rPr>
          <w:rFonts w:asciiTheme="minorHAnsi" w:hAnsiTheme="minorHAnsi" w:cstheme="minorHAnsi"/>
        </w:rPr>
        <w:t>information and guidance on the informal and proactive release of information</w:t>
      </w:r>
      <w:r w:rsidR="006E5D6D">
        <w:t>.</w:t>
      </w:r>
    </w:p>
    <w:p w14:paraId="4814A44D" w14:textId="58468AEE" w:rsidR="006E5D6D" w:rsidRDefault="00B82B80" w:rsidP="006E5D6D">
      <w:pPr>
        <w:pStyle w:val="Body"/>
        <w:numPr>
          <w:ilvl w:val="0"/>
          <w:numId w:val="23"/>
        </w:numPr>
      </w:pPr>
      <w:r>
        <w:rPr>
          <w:rFonts w:asciiTheme="minorHAnsi" w:hAnsiTheme="minorHAnsi" w:cstheme="minorHAnsi"/>
        </w:rPr>
        <w:t>information regarding third party consultation requirements under the FOI Act</w:t>
      </w:r>
      <w:r w:rsidR="006E5D6D">
        <w:t>.</w:t>
      </w:r>
    </w:p>
    <w:p w14:paraId="5AEFE9B9" w14:textId="1B6EDB60" w:rsidR="006E5D6D" w:rsidRDefault="00B82B80" w:rsidP="006E5D6D">
      <w:pPr>
        <w:pStyle w:val="Body"/>
        <w:numPr>
          <w:ilvl w:val="0"/>
          <w:numId w:val="23"/>
        </w:numPr>
      </w:pPr>
      <w:r>
        <w:rPr>
          <w:rFonts w:asciiTheme="minorHAnsi" w:hAnsiTheme="minorHAnsi" w:cstheme="minorHAnsi"/>
        </w:rPr>
        <w:t>general information and guidance about estimating and calculating access charges</w:t>
      </w:r>
      <w:r w:rsidR="006E5D6D">
        <w:t>.</w:t>
      </w:r>
    </w:p>
    <w:p w14:paraId="40E6508C" w14:textId="14CA005E" w:rsidR="006E5D6D" w:rsidRDefault="00B82B80" w:rsidP="006E5D6D">
      <w:pPr>
        <w:pStyle w:val="Body"/>
        <w:numPr>
          <w:ilvl w:val="0"/>
          <w:numId w:val="23"/>
        </w:numPr>
      </w:pPr>
      <w:r>
        <w:rPr>
          <w:rFonts w:asciiTheme="minorHAnsi" w:hAnsiTheme="minorHAnsi" w:cstheme="minorHAnsi"/>
        </w:rPr>
        <w:t>OVIC’s a view on a hypothetical situation</w:t>
      </w:r>
      <w:r w:rsidR="006E5D6D">
        <w:t xml:space="preserve">. </w:t>
      </w:r>
    </w:p>
    <w:p w14:paraId="5EACEBBD" w14:textId="77777777" w:rsidR="006E5D6D" w:rsidRDefault="006E5D6D" w:rsidP="00B82B80">
      <w:pPr>
        <w:pStyle w:val="Body"/>
      </w:pPr>
      <w:r>
        <w:t xml:space="preserve">OVIC remains impartial and independent. </w:t>
      </w:r>
    </w:p>
    <w:p w14:paraId="2ADCAC8B" w14:textId="77777777" w:rsidR="006E5D6D" w:rsidRDefault="006E5D6D" w:rsidP="006E5D6D">
      <w:pPr>
        <w:pStyle w:val="Heading-1"/>
      </w:pPr>
      <w:r>
        <w:t>Limitations on the service</w:t>
      </w:r>
    </w:p>
    <w:p w14:paraId="4692E30A" w14:textId="77777777" w:rsidR="00B82B80" w:rsidRPr="00B82B80" w:rsidRDefault="00B82B80" w:rsidP="00B82B80">
      <w:pPr>
        <w:snapToGrid w:val="0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82B80">
        <w:rPr>
          <w:rFonts w:asciiTheme="minorHAnsi" w:hAnsiTheme="minorHAnsi" w:cstheme="minorHAnsi"/>
          <w:b/>
          <w:bCs/>
          <w:sz w:val="22"/>
          <w:szCs w:val="22"/>
        </w:rPr>
        <w:t xml:space="preserve">OVIC staff will </w:t>
      </w:r>
      <w:r w:rsidRPr="00B82B80">
        <w:rPr>
          <w:rFonts w:asciiTheme="minorHAnsi" w:hAnsiTheme="minorHAnsi" w:cstheme="minorHAnsi"/>
          <w:b/>
          <w:bCs/>
          <w:sz w:val="22"/>
          <w:szCs w:val="22"/>
          <w:u w:val="single"/>
        </w:rPr>
        <w:t>not</w:t>
      </w:r>
      <w:r w:rsidRPr="00B82B8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173936" w14:textId="3313B0C3" w:rsidR="00B82B80" w:rsidRPr="00B82B80" w:rsidRDefault="00B82B80" w:rsidP="006E5D6D">
      <w:pPr>
        <w:pStyle w:val="Body"/>
        <w:numPr>
          <w:ilvl w:val="0"/>
          <w:numId w:val="24"/>
        </w:numPr>
      </w:pPr>
      <w:r w:rsidRPr="004F0641">
        <w:rPr>
          <w:rFonts w:asciiTheme="minorHAnsi" w:hAnsiTheme="minorHAnsi" w:cstheme="minorHAnsi"/>
        </w:rPr>
        <w:t>provide legal advice</w:t>
      </w:r>
      <w:r>
        <w:rPr>
          <w:rFonts w:asciiTheme="minorHAnsi" w:hAnsiTheme="minorHAnsi" w:cstheme="minorHAnsi"/>
        </w:rPr>
        <w:t>.</w:t>
      </w:r>
    </w:p>
    <w:p w14:paraId="1570FFE9" w14:textId="3E6F8CB4" w:rsidR="00B82B80" w:rsidRPr="00B82B80" w:rsidRDefault="00B82B80" w:rsidP="006E5D6D">
      <w:pPr>
        <w:pStyle w:val="Body"/>
        <w:numPr>
          <w:ilvl w:val="0"/>
          <w:numId w:val="24"/>
        </w:numPr>
      </w:pPr>
      <w:r w:rsidRPr="004F0641">
        <w:rPr>
          <w:rFonts w:asciiTheme="minorHAnsi" w:hAnsiTheme="minorHAnsi" w:cstheme="minorHAnsi"/>
        </w:rPr>
        <w:t xml:space="preserve">advise </w:t>
      </w:r>
      <w:r>
        <w:rPr>
          <w:rFonts w:asciiTheme="minorHAnsi" w:hAnsiTheme="minorHAnsi" w:cstheme="minorHAnsi"/>
        </w:rPr>
        <w:t xml:space="preserve">as to whether </w:t>
      </w:r>
      <w:r w:rsidRPr="004F0641"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</w:rPr>
        <w:t xml:space="preserve"> or a </w:t>
      </w:r>
      <w:r w:rsidRPr="004F0641">
        <w:rPr>
          <w:rFonts w:asciiTheme="minorHAnsi" w:hAnsiTheme="minorHAnsi" w:cstheme="minorHAnsi"/>
        </w:rPr>
        <w:t>document</w:t>
      </w:r>
      <w:r>
        <w:rPr>
          <w:rFonts w:asciiTheme="minorHAnsi" w:hAnsiTheme="minorHAnsi" w:cstheme="minorHAnsi"/>
        </w:rPr>
        <w:t xml:space="preserve"> is exempt or not exempt under the FOI Act</w:t>
      </w:r>
      <w:r>
        <w:rPr>
          <w:rFonts w:asciiTheme="minorHAnsi" w:hAnsiTheme="minorHAnsi" w:cstheme="minorHAnsi"/>
        </w:rPr>
        <w:t>.</w:t>
      </w:r>
    </w:p>
    <w:p w14:paraId="5875A543" w14:textId="72D277BB" w:rsidR="00B82B80" w:rsidRPr="00013903" w:rsidRDefault="00013903" w:rsidP="006E5D6D">
      <w:pPr>
        <w:pStyle w:val="Body"/>
        <w:numPr>
          <w:ilvl w:val="0"/>
          <w:numId w:val="24"/>
        </w:numPr>
      </w:pPr>
      <w:r>
        <w:rPr>
          <w:rFonts w:asciiTheme="minorHAnsi" w:hAnsiTheme="minorHAnsi" w:cstheme="minorHAnsi"/>
        </w:rPr>
        <w:t>advise an Agency on what decision to make</w:t>
      </w:r>
      <w:r>
        <w:rPr>
          <w:rFonts w:asciiTheme="minorHAnsi" w:hAnsiTheme="minorHAnsi" w:cstheme="minorHAnsi"/>
        </w:rPr>
        <w:t>.</w:t>
      </w:r>
    </w:p>
    <w:p w14:paraId="0F483FA4" w14:textId="31528FF8" w:rsidR="00013903" w:rsidRPr="00013903" w:rsidRDefault="00013903" w:rsidP="006E5D6D">
      <w:pPr>
        <w:pStyle w:val="Body"/>
        <w:numPr>
          <w:ilvl w:val="0"/>
          <w:numId w:val="24"/>
        </w:numPr>
      </w:pPr>
      <w:r>
        <w:rPr>
          <w:rFonts w:asciiTheme="minorHAnsi" w:hAnsiTheme="minorHAnsi" w:cstheme="minorHAnsi"/>
        </w:rPr>
        <w:t>assess documents</w:t>
      </w:r>
      <w:r>
        <w:rPr>
          <w:rFonts w:asciiTheme="minorHAnsi" w:hAnsiTheme="minorHAnsi" w:cstheme="minorHAnsi"/>
        </w:rPr>
        <w:t>.</w:t>
      </w:r>
    </w:p>
    <w:p w14:paraId="4769FC67" w14:textId="1219CFAE" w:rsidR="00013903" w:rsidRPr="00013903" w:rsidRDefault="00013903" w:rsidP="006E5D6D">
      <w:pPr>
        <w:pStyle w:val="Body"/>
        <w:numPr>
          <w:ilvl w:val="0"/>
          <w:numId w:val="24"/>
        </w:numPr>
      </w:pPr>
      <w:r>
        <w:rPr>
          <w:rFonts w:asciiTheme="minorHAnsi" w:hAnsiTheme="minorHAnsi" w:cstheme="minorHAnsi"/>
        </w:rPr>
        <w:t>review information or documents subject to an FOI request</w:t>
      </w:r>
      <w:r>
        <w:rPr>
          <w:rFonts w:asciiTheme="minorHAnsi" w:hAnsiTheme="minorHAnsi" w:cstheme="minorHAnsi"/>
        </w:rPr>
        <w:t>.</w:t>
      </w:r>
    </w:p>
    <w:p w14:paraId="6E58E1E1" w14:textId="29F40FDD" w:rsidR="00013903" w:rsidRDefault="00013903" w:rsidP="00013903">
      <w:pPr>
        <w:pStyle w:val="ListParagraph"/>
        <w:numPr>
          <w:ilvl w:val="0"/>
          <w:numId w:val="24"/>
        </w:numPr>
        <w:snapToGrid w:val="0"/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advise on whether an FOI request is valid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38C4C58" w14:textId="6AF3DA0E" w:rsidR="006E5D6D" w:rsidRDefault="00013903" w:rsidP="00013903">
      <w:pPr>
        <w:pStyle w:val="Body"/>
        <w:numPr>
          <w:ilvl w:val="0"/>
          <w:numId w:val="24"/>
        </w:numPr>
      </w:pPr>
      <w:r w:rsidRPr="00D92EF2">
        <w:rPr>
          <w:rFonts w:asciiTheme="minorHAnsi" w:hAnsiTheme="minorHAnsi" w:cstheme="minorHAnsi"/>
        </w:rPr>
        <w:t>The service will not be used in relation to current complaints or reviews being considered by OVIC</w:t>
      </w:r>
      <w:r>
        <w:rPr>
          <w:rFonts w:asciiTheme="minorHAnsi" w:hAnsiTheme="minorHAnsi" w:cstheme="minorHAnsi"/>
        </w:rPr>
        <w:t>.</w:t>
      </w:r>
    </w:p>
    <w:p w14:paraId="0859909B" w14:textId="77777777" w:rsidR="006E5D6D" w:rsidRDefault="006E5D6D" w:rsidP="006E5D6D">
      <w:pPr>
        <w:pStyle w:val="Heading-1"/>
      </w:pPr>
      <w:r>
        <w:lastRenderedPageBreak/>
        <w:t xml:space="preserve">Information required to use the </w:t>
      </w:r>
      <w:proofErr w:type="gramStart"/>
      <w:r>
        <w:t>service</w:t>
      </w:r>
      <w:proofErr w:type="gramEnd"/>
    </w:p>
    <w:p w14:paraId="6F0D4C78" w14:textId="6ACF8C05" w:rsidR="006E5D6D" w:rsidRDefault="00013903" w:rsidP="006E5D6D">
      <w:pPr>
        <w:pStyle w:val="Body"/>
      </w:pPr>
      <w:r>
        <w:rPr>
          <w:rFonts w:cs="Calibri"/>
        </w:rPr>
        <w:t>When accessing the service, an agency should include the following information to assist OVIC in responding to a query</w:t>
      </w:r>
      <w:r w:rsidR="006E5D6D">
        <w:t>:</w:t>
      </w:r>
    </w:p>
    <w:p w14:paraId="713F9965" w14:textId="22F2279A" w:rsidR="00013903" w:rsidRPr="00013903" w:rsidRDefault="00013903" w:rsidP="006E5D6D">
      <w:pPr>
        <w:pStyle w:val="Body"/>
        <w:numPr>
          <w:ilvl w:val="0"/>
          <w:numId w:val="25"/>
        </w:numPr>
      </w:pPr>
      <w:r w:rsidRPr="0070189E">
        <w:rPr>
          <w:rFonts w:asciiTheme="minorHAnsi" w:hAnsiTheme="minorHAnsi" w:cstheme="minorHAnsi"/>
        </w:rPr>
        <w:t>The relevant section of the FOI Act or the general nature of your query</w:t>
      </w:r>
      <w:r>
        <w:rPr>
          <w:rFonts w:asciiTheme="minorHAnsi" w:hAnsiTheme="minorHAnsi" w:cstheme="minorHAnsi"/>
        </w:rPr>
        <w:t>.</w:t>
      </w:r>
    </w:p>
    <w:p w14:paraId="3EE60634" w14:textId="18717C46" w:rsidR="00013903" w:rsidRPr="00013903" w:rsidRDefault="00013903" w:rsidP="006E5D6D">
      <w:pPr>
        <w:pStyle w:val="Body"/>
        <w:numPr>
          <w:ilvl w:val="0"/>
          <w:numId w:val="25"/>
        </w:numPr>
      </w:pPr>
      <w:r w:rsidRPr="0070189E">
        <w:rPr>
          <w:rFonts w:asciiTheme="minorHAnsi" w:hAnsiTheme="minorHAnsi" w:cstheme="minorHAnsi"/>
        </w:rPr>
        <w:t>A short summary including any relevant background or contextual information to your query</w:t>
      </w:r>
      <w:r>
        <w:rPr>
          <w:rFonts w:asciiTheme="minorHAnsi" w:hAnsiTheme="minorHAnsi" w:cstheme="minorHAnsi"/>
        </w:rPr>
        <w:t>.</w:t>
      </w:r>
    </w:p>
    <w:p w14:paraId="54B9575B" w14:textId="138B3672" w:rsidR="00013903" w:rsidRPr="00013903" w:rsidRDefault="00013903" w:rsidP="006E5D6D">
      <w:pPr>
        <w:pStyle w:val="Body"/>
        <w:numPr>
          <w:ilvl w:val="0"/>
          <w:numId w:val="25"/>
        </w:numPr>
      </w:pPr>
      <w:r w:rsidRPr="0070189E">
        <w:rPr>
          <w:rFonts w:asciiTheme="minorHAnsi" w:hAnsiTheme="minorHAnsi" w:cstheme="minorHAnsi"/>
        </w:rPr>
        <w:t>Your question to be answered</w:t>
      </w:r>
      <w:r>
        <w:rPr>
          <w:rFonts w:asciiTheme="minorHAnsi" w:hAnsiTheme="minorHAnsi" w:cstheme="minorHAnsi"/>
        </w:rPr>
        <w:t>.</w:t>
      </w:r>
    </w:p>
    <w:p w14:paraId="5EB470B4" w14:textId="2982770A" w:rsidR="00013903" w:rsidRPr="00013903" w:rsidRDefault="00013903" w:rsidP="006E5D6D">
      <w:pPr>
        <w:pStyle w:val="Body"/>
        <w:numPr>
          <w:ilvl w:val="0"/>
          <w:numId w:val="25"/>
        </w:numPr>
      </w:pPr>
      <w:r w:rsidRPr="0070189E">
        <w:rPr>
          <w:rFonts w:asciiTheme="minorHAnsi" w:hAnsiTheme="minorHAnsi" w:cs="Calibri"/>
        </w:rPr>
        <w:t>The outcome sought to be achieved from the query</w:t>
      </w:r>
      <w:r>
        <w:rPr>
          <w:rFonts w:asciiTheme="minorHAnsi" w:hAnsiTheme="minorHAnsi" w:cs="Calibri"/>
        </w:rPr>
        <w:t>.</w:t>
      </w:r>
    </w:p>
    <w:p w14:paraId="0D1D7155" w14:textId="27F6E566" w:rsidR="00013903" w:rsidRPr="00013903" w:rsidRDefault="00013903" w:rsidP="006E5D6D">
      <w:pPr>
        <w:pStyle w:val="Body"/>
        <w:numPr>
          <w:ilvl w:val="0"/>
          <w:numId w:val="25"/>
        </w:numPr>
      </w:pPr>
      <w:r w:rsidRPr="0070189E">
        <w:rPr>
          <w:rFonts w:asciiTheme="minorHAnsi" w:hAnsiTheme="minorHAnsi" w:cs="Calibri"/>
        </w:rPr>
        <w:t>De-identified details of the subject matter and/or the applicant when discussing or describing the query with OVIC</w:t>
      </w:r>
      <w:r>
        <w:rPr>
          <w:rFonts w:asciiTheme="minorHAnsi" w:hAnsiTheme="minorHAnsi" w:cs="Calibri"/>
        </w:rPr>
        <w:t>.</w:t>
      </w:r>
    </w:p>
    <w:p w14:paraId="035436C6" w14:textId="58A9E23A" w:rsidR="006E5D6D" w:rsidRDefault="00013903" w:rsidP="00013903">
      <w:pPr>
        <w:pStyle w:val="Body"/>
        <w:numPr>
          <w:ilvl w:val="0"/>
          <w:numId w:val="25"/>
        </w:numPr>
      </w:pPr>
      <w:r w:rsidRPr="0070189E">
        <w:rPr>
          <w:rFonts w:asciiTheme="minorHAnsi" w:hAnsiTheme="minorHAnsi" w:cs="Calibri"/>
        </w:rPr>
        <w:t>Any urgency or sensitivities in OVIC providing a response. For example, where a response is urgently required, please advise OVIC of the requested due date and reason why a response is required by that date</w:t>
      </w:r>
      <w:r>
        <w:rPr>
          <w:rFonts w:asciiTheme="minorHAnsi" w:hAnsiTheme="minorHAnsi" w:cs="Calibri"/>
        </w:rPr>
        <w:t>.</w:t>
      </w:r>
      <w:r w:rsidR="006E5D6D">
        <w:t xml:space="preserve">  </w:t>
      </w:r>
    </w:p>
    <w:p w14:paraId="50C6080B" w14:textId="77777777" w:rsidR="006E5D6D" w:rsidRDefault="006E5D6D" w:rsidP="006E5D6D">
      <w:pPr>
        <w:pStyle w:val="Body"/>
      </w:pPr>
      <w:r>
        <w:t>Prior to accessing the service, agencies are encouraged to consider the resources currently available on OVIC’s website:</w:t>
      </w:r>
    </w:p>
    <w:p w14:paraId="582F7E17" w14:textId="77777777" w:rsidR="006E5D6D" w:rsidRDefault="006E5D6D" w:rsidP="006E5D6D">
      <w:pPr>
        <w:pStyle w:val="Body"/>
        <w:numPr>
          <w:ilvl w:val="0"/>
          <w:numId w:val="26"/>
        </w:numPr>
      </w:pPr>
      <w:r>
        <w:t xml:space="preserve">OVIC’s practice notes at </w:t>
      </w:r>
      <w:hyperlink r:id="rId11" w:history="1">
        <w:r w:rsidRPr="005C6DD5">
          <w:rPr>
            <w:rStyle w:val="Hyperlink"/>
          </w:rPr>
          <w:t>https://ovic.vic.gov.au/freedom-of-information/for-agencies/practice-notes/</w:t>
        </w:r>
      </w:hyperlink>
      <w:r>
        <w:t xml:space="preserve"> </w:t>
      </w:r>
    </w:p>
    <w:p w14:paraId="31051F02" w14:textId="77777777" w:rsidR="006E5D6D" w:rsidRDefault="006E5D6D" w:rsidP="006E5D6D">
      <w:pPr>
        <w:pStyle w:val="Body"/>
        <w:numPr>
          <w:ilvl w:val="0"/>
          <w:numId w:val="26"/>
        </w:numPr>
      </w:pPr>
      <w:r>
        <w:t xml:space="preserve">OVIC’s published review decisions at </w:t>
      </w:r>
      <w:hyperlink r:id="rId12" w:history="1">
        <w:r w:rsidRPr="005C6DD5">
          <w:rPr>
            <w:rStyle w:val="Hyperlink"/>
          </w:rPr>
          <w:t>https://ovic.vic.gov.au/decision/</w:t>
        </w:r>
      </w:hyperlink>
      <w:r>
        <w:t xml:space="preserve"> </w:t>
      </w:r>
    </w:p>
    <w:p w14:paraId="2C8363B9" w14:textId="77777777" w:rsidR="006E5D6D" w:rsidRDefault="006E5D6D" w:rsidP="006E5D6D">
      <w:pPr>
        <w:pStyle w:val="Body"/>
        <w:numPr>
          <w:ilvl w:val="0"/>
          <w:numId w:val="26"/>
        </w:numPr>
      </w:pPr>
      <w:r>
        <w:t xml:space="preserve">Any relevant VCAT cases available. </w:t>
      </w:r>
    </w:p>
    <w:p w14:paraId="47957B6F" w14:textId="77777777" w:rsidR="006E5D6D" w:rsidRDefault="006E5D6D" w:rsidP="006E5D6D">
      <w:pPr>
        <w:pStyle w:val="Body"/>
        <w:numPr>
          <w:ilvl w:val="0"/>
          <w:numId w:val="26"/>
        </w:numPr>
      </w:pPr>
      <w:r>
        <w:t xml:space="preserve">OVIC newsletters available on OVIC’s website and by subscription at </w:t>
      </w:r>
      <w:hyperlink r:id="rId13" w:history="1">
        <w:r w:rsidRPr="005C6DD5">
          <w:rPr>
            <w:rStyle w:val="Hyperlink"/>
          </w:rPr>
          <w:t>https://ovic.vic.gov.au/monthly-newsletters/</w:t>
        </w:r>
      </w:hyperlink>
      <w:r>
        <w:t xml:space="preserve"> </w:t>
      </w:r>
    </w:p>
    <w:p w14:paraId="4CAD3940" w14:textId="77777777" w:rsidR="006E5D6D" w:rsidRDefault="006E5D6D" w:rsidP="006E5D6D">
      <w:pPr>
        <w:pStyle w:val="Body"/>
        <w:numPr>
          <w:ilvl w:val="0"/>
          <w:numId w:val="26"/>
        </w:numPr>
      </w:pPr>
      <w:r>
        <w:t xml:space="preserve">OVIC agency templates at </w:t>
      </w:r>
      <w:hyperlink r:id="rId14" w:history="1">
        <w:r w:rsidRPr="005C6DD5">
          <w:rPr>
            <w:rStyle w:val="Hyperlink"/>
          </w:rPr>
          <w:t>https://ovic.vic.gov.au/freedom-of-information/for-agencies/freedom-of-information-agency-templates/</w:t>
        </w:r>
      </w:hyperlink>
      <w:r>
        <w:t xml:space="preserve"> </w:t>
      </w:r>
    </w:p>
    <w:p w14:paraId="2C7A239E" w14:textId="77777777" w:rsidR="00E54A51" w:rsidRDefault="00E54A51" w:rsidP="00DD0EA8">
      <w:pPr>
        <w:pStyle w:val="Body"/>
      </w:pPr>
    </w:p>
    <w:p w14:paraId="64B5364B" w14:textId="77777777" w:rsidR="00E54A51" w:rsidRDefault="00E54A51" w:rsidP="00DD0EA8">
      <w:pPr>
        <w:pStyle w:val="Body"/>
      </w:pPr>
    </w:p>
    <w:p w14:paraId="16F0C98B" w14:textId="77777777" w:rsidR="00E54A51" w:rsidRDefault="00E54A51" w:rsidP="00DD0EA8">
      <w:pPr>
        <w:pStyle w:val="Body"/>
      </w:pPr>
    </w:p>
    <w:p w14:paraId="2E709B5C" w14:textId="77777777" w:rsidR="00E54A51" w:rsidRDefault="00E54A51" w:rsidP="00DD0EA8">
      <w:pPr>
        <w:pStyle w:val="Body"/>
      </w:pPr>
    </w:p>
    <w:sectPr w:rsidR="00E54A51" w:rsidSect="005754AC"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BE5E" w14:textId="77777777" w:rsidR="00815867" w:rsidRDefault="00815867" w:rsidP="00B53C78">
      <w:r>
        <w:separator/>
      </w:r>
    </w:p>
  </w:endnote>
  <w:endnote w:type="continuationSeparator" w:id="0">
    <w:p w14:paraId="42978BC9" w14:textId="77777777" w:rsidR="00815867" w:rsidRDefault="00815867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-Book">
    <w:altName w:val="Times New Roman"/>
    <w:panose1 w:val="00000000000000000000"/>
    <w:charset w:val="00"/>
    <w:family w:val="auto"/>
    <w:notTrueType/>
    <w:pitch w:val="variable"/>
    <w:sig w:usb0="A00000FF" w:usb1="5000207B" w:usb2="00000010" w:usb3="00000000" w:csb0="0000009B" w:csb1="00000000"/>
  </w:font>
  <w:font w:name="National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5788" w14:textId="77777777" w:rsidR="00E606BA" w:rsidRPr="008C301D" w:rsidRDefault="00E606BA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2F1B" w14:textId="77777777" w:rsidR="00BD07DC" w:rsidRPr="008C301D" w:rsidRDefault="008C301D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E54D" w14:textId="77777777" w:rsidR="00815867" w:rsidRPr="002330E8" w:rsidRDefault="00815867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02F9AB66" w14:textId="77777777" w:rsidR="00815867" w:rsidRDefault="00815867" w:rsidP="00B53C78">
      <w:r>
        <w:continuationSeparator/>
      </w:r>
    </w:p>
  </w:footnote>
  <w:footnote w:type="continuationNotice" w:id="1">
    <w:p w14:paraId="5A058190" w14:textId="77777777" w:rsidR="00815867" w:rsidRDefault="00815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1760" w14:textId="77777777" w:rsidR="005754AC" w:rsidRPr="00E54A51" w:rsidRDefault="005754AC" w:rsidP="005754AC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asciiTheme="minorHAnsi" w:hAnsiTheme="minorHAnsi" w:cstheme="minorHAnsi"/>
        <w:color w:val="55565A"/>
        <w:sz w:val="16"/>
        <w:szCs w:val="16"/>
        <w:highlight w:val="yellow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1019BDEF" wp14:editId="46982CED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174284" cy="540000"/>
          <wp:effectExtent l="0" t="0" r="0" b="6350"/>
          <wp:wrapThrough wrapText="bothSides">
            <wp:wrapPolygon edited="0">
              <wp:start x="0" y="0"/>
              <wp:lineTo x="0" y="21346"/>
              <wp:lineTo x="21261" y="21346"/>
              <wp:lineTo x="21261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49DEA593" w14:textId="77777777" w:rsidR="005754AC" w:rsidRPr="00E54A51" w:rsidRDefault="006E5D6D" w:rsidP="005754AC">
    <w:pPr>
      <w:pStyle w:val="Header"/>
      <w:tabs>
        <w:tab w:val="clear" w:pos="4513"/>
        <w:tab w:val="clear" w:pos="9026"/>
        <w:tab w:val="left" w:pos="9632"/>
      </w:tabs>
      <w:snapToGrid w:val="0"/>
      <w:spacing w:after="120"/>
      <w:ind w:right="-7"/>
      <w:jc w:val="right"/>
      <w:rPr>
        <w:rFonts w:asciiTheme="minorHAnsi" w:hAnsiTheme="minorHAnsi" w:cstheme="minorHAnsi"/>
        <w:color w:val="7F7F7F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  <w:lang w:val="en-AU"/>
      </w:rPr>
      <w:t xml:space="preserve"> </w:t>
    </w:r>
  </w:p>
  <w:p w14:paraId="7D82E139" w14:textId="77777777" w:rsidR="005754AC" w:rsidRPr="00E54A51" w:rsidRDefault="005754AC" w:rsidP="005754AC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6"/>
        <w:szCs w:val="16"/>
      </w:rPr>
    </w:pPr>
    <w:r w:rsidRPr="00E54A51">
      <w:rPr>
        <w:rFonts w:asciiTheme="minorHAnsi" w:hAnsiTheme="minorHAnsi" w:cstheme="minorHAnsi"/>
        <w:color w:val="7F7F7F"/>
        <w:sz w:val="16"/>
        <w:szCs w:val="16"/>
      </w:rPr>
      <w:tab/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 xml:space="preserve">ovic.vic.gov.au | </w:t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ab/>
      <w:t>enquiries@ovic.vic.gov.au | 1300 006 842</w:t>
    </w:r>
  </w:p>
  <w:p w14:paraId="21074C55" w14:textId="77777777" w:rsidR="005754AC" w:rsidRPr="00B04B43" w:rsidRDefault="005754AC" w:rsidP="005754AC">
    <w:pPr>
      <w:pStyle w:val="Header"/>
      <w:tabs>
        <w:tab w:val="clear" w:pos="4513"/>
        <w:tab w:val="left" w:pos="5245"/>
      </w:tabs>
      <w:ind w:right="-6"/>
      <w:jc w:val="right"/>
      <w:rPr>
        <w:rFonts w:asciiTheme="minorHAnsi" w:hAnsiTheme="minorHAnsi" w:cstheme="minorHAnsi"/>
        <w:color w:val="7F7F7F"/>
        <w:sz w:val="18"/>
        <w:szCs w:val="18"/>
      </w:rPr>
    </w:pPr>
    <w:r w:rsidRPr="00856ED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700554A" wp14:editId="42D4E5E1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6192000" cy="46150"/>
          <wp:effectExtent l="0" t="0" r="0" b="508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D8"/>
    <w:multiLevelType w:val="hybridMultilevel"/>
    <w:tmpl w:val="42D4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31BF7"/>
    <w:multiLevelType w:val="hybridMultilevel"/>
    <w:tmpl w:val="00A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078D9"/>
    <w:multiLevelType w:val="hybridMultilevel"/>
    <w:tmpl w:val="5D6C6312"/>
    <w:lvl w:ilvl="0" w:tplc="711238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574A"/>
    <w:multiLevelType w:val="hybridMultilevel"/>
    <w:tmpl w:val="E338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76E8D"/>
    <w:multiLevelType w:val="hybridMultilevel"/>
    <w:tmpl w:val="BF1A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5B0"/>
    <w:multiLevelType w:val="hybridMultilevel"/>
    <w:tmpl w:val="38FEC5D0"/>
    <w:lvl w:ilvl="0" w:tplc="5B1CA28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01220"/>
    <w:multiLevelType w:val="hybridMultilevel"/>
    <w:tmpl w:val="1694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449DB"/>
    <w:multiLevelType w:val="hybridMultilevel"/>
    <w:tmpl w:val="336C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01CA3"/>
    <w:multiLevelType w:val="hybridMultilevel"/>
    <w:tmpl w:val="2D80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33F55"/>
    <w:multiLevelType w:val="hybridMultilevel"/>
    <w:tmpl w:val="C8A6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5AD9"/>
    <w:multiLevelType w:val="multilevel"/>
    <w:tmpl w:val="E0F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C13F81"/>
    <w:multiLevelType w:val="hybridMultilevel"/>
    <w:tmpl w:val="F7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572ED"/>
    <w:multiLevelType w:val="hybridMultilevel"/>
    <w:tmpl w:val="8F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1358E"/>
    <w:multiLevelType w:val="hybridMultilevel"/>
    <w:tmpl w:val="B14C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52181"/>
    <w:multiLevelType w:val="hybridMultilevel"/>
    <w:tmpl w:val="31AE6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01B04"/>
    <w:multiLevelType w:val="hybridMultilevel"/>
    <w:tmpl w:val="1A2A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E2A7E"/>
    <w:multiLevelType w:val="hybridMultilevel"/>
    <w:tmpl w:val="42B8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E2D6F"/>
    <w:multiLevelType w:val="hybridMultilevel"/>
    <w:tmpl w:val="4E7C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E4DF1"/>
    <w:multiLevelType w:val="hybridMultilevel"/>
    <w:tmpl w:val="D0E6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4F3AF5"/>
    <w:multiLevelType w:val="hybridMultilevel"/>
    <w:tmpl w:val="1F18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7C82"/>
    <w:multiLevelType w:val="hybridMultilevel"/>
    <w:tmpl w:val="B91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A07F3"/>
    <w:multiLevelType w:val="hybridMultilevel"/>
    <w:tmpl w:val="948A0A0A"/>
    <w:lvl w:ilvl="0" w:tplc="AFD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46FE1"/>
    <w:multiLevelType w:val="hybridMultilevel"/>
    <w:tmpl w:val="D0AE3700"/>
    <w:lvl w:ilvl="0" w:tplc="737CD3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B7AFD"/>
    <w:multiLevelType w:val="hybridMultilevel"/>
    <w:tmpl w:val="C5D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7"/>
  </w:num>
  <w:num w:numId="5">
    <w:abstractNumId w:val="20"/>
  </w:num>
  <w:num w:numId="6">
    <w:abstractNumId w:val="25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22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5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24"/>
  </w:num>
  <w:num w:numId="25">
    <w:abstractNumId w:val="5"/>
  </w:num>
  <w:num w:numId="26">
    <w:abstractNumId w:val="16"/>
  </w:num>
  <w:num w:numId="27">
    <w:abstractNumId w:val="26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E"/>
    <w:rsid w:val="00001D44"/>
    <w:rsid w:val="00013903"/>
    <w:rsid w:val="00044728"/>
    <w:rsid w:val="00064688"/>
    <w:rsid w:val="00077961"/>
    <w:rsid w:val="00091CB4"/>
    <w:rsid w:val="000C09CC"/>
    <w:rsid w:val="000E4EA8"/>
    <w:rsid w:val="000E6D30"/>
    <w:rsid w:val="000E7FAE"/>
    <w:rsid w:val="000F3A12"/>
    <w:rsid w:val="00112666"/>
    <w:rsid w:val="001159CB"/>
    <w:rsid w:val="0012374C"/>
    <w:rsid w:val="00145431"/>
    <w:rsid w:val="00146F50"/>
    <w:rsid w:val="00164A42"/>
    <w:rsid w:val="001716C9"/>
    <w:rsid w:val="00173F40"/>
    <w:rsid w:val="0017786A"/>
    <w:rsid w:val="0019036B"/>
    <w:rsid w:val="001967FD"/>
    <w:rsid w:val="001C063B"/>
    <w:rsid w:val="001C6E4B"/>
    <w:rsid w:val="002330E8"/>
    <w:rsid w:val="0024071F"/>
    <w:rsid w:val="0025217E"/>
    <w:rsid w:val="00252833"/>
    <w:rsid w:val="00261684"/>
    <w:rsid w:val="00293DDA"/>
    <w:rsid w:val="002A48A0"/>
    <w:rsid w:val="002B614D"/>
    <w:rsid w:val="003020DA"/>
    <w:rsid w:val="00305D40"/>
    <w:rsid w:val="00320B70"/>
    <w:rsid w:val="00322784"/>
    <w:rsid w:val="00326E58"/>
    <w:rsid w:val="00330030"/>
    <w:rsid w:val="0034513D"/>
    <w:rsid w:val="0034520D"/>
    <w:rsid w:val="00345731"/>
    <w:rsid w:val="0035211D"/>
    <w:rsid w:val="00370F3D"/>
    <w:rsid w:val="00372C3E"/>
    <w:rsid w:val="00384F15"/>
    <w:rsid w:val="003A0F3A"/>
    <w:rsid w:val="003A7085"/>
    <w:rsid w:val="003C6D10"/>
    <w:rsid w:val="00400498"/>
    <w:rsid w:val="00406248"/>
    <w:rsid w:val="00424309"/>
    <w:rsid w:val="0043156F"/>
    <w:rsid w:val="00436C00"/>
    <w:rsid w:val="00453B44"/>
    <w:rsid w:val="004634A1"/>
    <w:rsid w:val="00465B05"/>
    <w:rsid w:val="00470E39"/>
    <w:rsid w:val="0047248D"/>
    <w:rsid w:val="00476315"/>
    <w:rsid w:val="00491E75"/>
    <w:rsid w:val="004A33DA"/>
    <w:rsid w:val="004D1C82"/>
    <w:rsid w:val="004D4448"/>
    <w:rsid w:val="00502CD1"/>
    <w:rsid w:val="005178FE"/>
    <w:rsid w:val="00532D82"/>
    <w:rsid w:val="00533CAC"/>
    <w:rsid w:val="00542947"/>
    <w:rsid w:val="00555602"/>
    <w:rsid w:val="005754AC"/>
    <w:rsid w:val="005870C5"/>
    <w:rsid w:val="005A0AFB"/>
    <w:rsid w:val="005A49D0"/>
    <w:rsid w:val="005B1D42"/>
    <w:rsid w:val="005D01F3"/>
    <w:rsid w:val="005D3E8A"/>
    <w:rsid w:val="006120B5"/>
    <w:rsid w:val="00620FD8"/>
    <w:rsid w:val="00635E9F"/>
    <w:rsid w:val="00652D6F"/>
    <w:rsid w:val="00662FFB"/>
    <w:rsid w:val="006713D1"/>
    <w:rsid w:val="00674485"/>
    <w:rsid w:val="006876B7"/>
    <w:rsid w:val="006B1C0F"/>
    <w:rsid w:val="006D51E1"/>
    <w:rsid w:val="006E5D6D"/>
    <w:rsid w:val="007140E5"/>
    <w:rsid w:val="00717657"/>
    <w:rsid w:val="00723ACA"/>
    <w:rsid w:val="00723DA9"/>
    <w:rsid w:val="00726FA9"/>
    <w:rsid w:val="00756BEA"/>
    <w:rsid w:val="00760DDC"/>
    <w:rsid w:val="00765158"/>
    <w:rsid w:val="00776737"/>
    <w:rsid w:val="00780584"/>
    <w:rsid w:val="007862E0"/>
    <w:rsid w:val="00786837"/>
    <w:rsid w:val="007964E0"/>
    <w:rsid w:val="007973AB"/>
    <w:rsid w:val="007A6964"/>
    <w:rsid w:val="007C3E32"/>
    <w:rsid w:val="008046F8"/>
    <w:rsid w:val="00806B62"/>
    <w:rsid w:val="00815867"/>
    <w:rsid w:val="00854716"/>
    <w:rsid w:val="00856EDC"/>
    <w:rsid w:val="00863040"/>
    <w:rsid w:val="0086734F"/>
    <w:rsid w:val="00871FC7"/>
    <w:rsid w:val="008721FC"/>
    <w:rsid w:val="0088604A"/>
    <w:rsid w:val="008B4992"/>
    <w:rsid w:val="008B7923"/>
    <w:rsid w:val="008C301D"/>
    <w:rsid w:val="008F106C"/>
    <w:rsid w:val="0092276F"/>
    <w:rsid w:val="00922C7A"/>
    <w:rsid w:val="00940F43"/>
    <w:rsid w:val="00A26740"/>
    <w:rsid w:val="00A31747"/>
    <w:rsid w:val="00A33D6F"/>
    <w:rsid w:val="00A37BE1"/>
    <w:rsid w:val="00A92625"/>
    <w:rsid w:val="00AC35A9"/>
    <w:rsid w:val="00AE13A1"/>
    <w:rsid w:val="00B04B43"/>
    <w:rsid w:val="00B177DA"/>
    <w:rsid w:val="00B2499E"/>
    <w:rsid w:val="00B316BE"/>
    <w:rsid w:val="00B32753"/>
    <w:rsid w:val="00B339BB"/>
    <w:rsid w:val="00B37C5F"/>
    <w:rsid w:val="00B53C78"/>
    <w:rsid w:val="00B61929"/>
    <w:rsid w:val="00B82B80"/>
    <w:rsid w:val="00B9736F"/>
    <w:rsid w:val="00BA770C"/>
    <w:rsid w:val="00BC1972"/>
    <w:rsid w:val="00BD07DC"/>
    <w:rsid w:val="00BD2C4E"/>
    <w:rsid w:val="00BD4E38"/>
    <w:rsid w:val="00BD5AE9"/>
    <w:rsid w:val="00BE3022"/>
    <w:rsid w:val="00C21D4E"/>
    <w:rsid w:val="00C42986"/>
    <w:rsid w:val="00C473B0"/>
    <w:rsid w:val="00C62A45"/>
    <w:rsid w:val="00C9198C"/>
    <w:rsid w:val="00C922DD"/>
    <w:rsid w:val="00CB4387"/>
    <w:rsid w:val="00CD6BDB"/>
    <w:rsid w:val="00CE7458"/>
    <w:rsid w:val="00CF4062"/>
    <w:rsid w:val="00D02655"/>
    <w:rsid w:val="00D0311E"/>
    <w:rsid w:val="00D214C2"/>
    <w:rsid w:val="00D267EC"/>
    <w:rsid w:val="00D3108A"/>
    <w:rsid w:val="00D32D00"/>
    <w:rsid w:val="00D723C1"/>
    <w:rsid w:val="00D77B3C"/>
    <w:rsid w:val="00DA234D"/>
    <w:rsid w:val="00DB13A1"/>
    <w:rsid w:val="00DB55DB"/>
    <w:rsid w:val="00DD06DF"/>
    <w:rsid w:val="00DD0EA8"/>
    <w:rsid w:val="00DE73F6"/>
    <w:rsid w:val="00E40ACD"/>
    <w:rsid w:val="00E45B00"/>
    <w:rsid w:val="00E54A51"/>
    <w:rsid w:val="00E55C61"/>
    <w:rsid w:val="00E606BA"/>
    <w:rsid w:val="00E66BA5"/>
    <w:rsid w:val="00E80E70"/>
    <w:rsid w:val="00E86019"/>
    <w:rsid w:val="00E87F33"/>
    <w:rsid w:val="00EA1B53"/>
    <w:rsid w:val="00EB03B3"/>
    <w:rsid w:val="00EF06C1"/>
    <w:rsid w:val="00EF51A9"/>
    <w:rsid w:val="00EF553E"/>
    <w:rsid w:val="00EF65B2"/>
    <w:rsid w:val="00EF7213"/>
    <w:rsid w:val="00F12A32"/>
    <w:rsid w:val="00F17578"/>
    <w:rsid w:val="00F3674C"/>
    <w:rsid w:val="00F36C34"/>
    <w:rsid w:val="00F37170"/>
    <w:rsid w:val="00F402B9"/>
    <w:rsid w:val="00F5377F"/>
    <w:rsid w:val="00F83814"/>
    <w:rsid w:val="00F87792"/>
    <w:rsid w:val="00F923FB"/>
    <w:rsid w:val="00FA1F8E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710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DD0EA8"/>
    <w:pPr>
      <w:suppressAutoHyphens/>
      <w:spacing w:before="120" w:after="240" w:line="276" w:lineRule="auto"/>
    </w:pPr>
    <w:rPr>
      <w:rFonts w:ascii="Calibri" w:hAnsi="Calibri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6E5D6D"/>
    <w:pPr>
      <w:suppressAutoHyphens/>
      <w:spacing w:before="120" w:after="200" w:line="264" w:lineRule="auto"/>
    </w:pPr>
    <w:rPr>
      <w:rFonts w:ascii="Calibri" w:hAnsi="Calibri" w:cs="PostGrotesk-Medium"/>
      <w:b/>
      <w:color w:val="430098"/>
      <w:sz w:val="28"/>
      <w:szCs w:val="26"/>
      <w:lang w:val="en-AU"/>
    </w:rPr>
  </w:style>
  <w:style w:type="paragraph" w:customStyle="1" w:styleId="Heading-2">
    <w:name w:val="Heading-2"/>
    <w:basedOn w:val="BasicParagraph"/>
    <w:qFormat/>
    <w:rsid w:val="00756BEA"/>
    <w:pPr>
      <w:suppressAutoHyphens/>
      <w:spacing w:after="200" w:line="264" w:lineRule="auto"/>
    </w:pPr>
    <w:rPr>
      <w:rFonts w:ascii="Calibri" w:hAnsi="Calibri" w:cs="PostGrotesk-Medium"/>
      <w:b/>
      <w:i/>
      <w:iCs/>
      <w:color w:val="430098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756BEA"/>
    <w:pPr>
      <w:tabs>
        <w:tab w:val="clear" w:pos="9026"/>
        <w:tab w:val="left" w:pos="6946"/>
      </w:tabs>
      <w:spacing w:before="240" w:after="360"/>
    </w:pPr>
    <w:rPr>
      <w:rFonts w:asciiTheme="minorHAnsi" w:hAnsiTheme="minorHAnsi" w:cs="Arial"/>
      <w:b/>
      <w:color w:val="430098"/>
      <w:sz w:val="36"/>
      <w:szCs w:val="48"/>
      <w:lang w:val="en-AU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customStyle="1" w:styleId="Casestudy">
    <w:name w:val="Case study"/>
    <w:basedOn w:val="Introduction"/>
    <w:qFormat/>
    <w:rsid w:val="005B1D42"/>
    <w:pPr>
      <w:widowControl w:val="0"/>
      <w:pBdr>
        <w:left w:val="single" w:sz="4" w:space="4" w:color="auto"/>
      </w:pBdr>
      <w:shd w:val="clear" w:color="auto" w:fill="F5F5F5"/>
      <w:autoSpaceDE w:val="0"/>
      <w:autoSpaceDN w:val="0"/>
      <w:adjustRightInd w:val="0"/>
      <w:spacing w:before="120" w:after="200" w:line="276" w:lineRule="auto"/>
      <w:ind w:left="714" w:right="714"/>
      <w:textAlignment w:val="center"/>
    </w:pPr>
    <w:rPr>
      <w:rFonts w:cs="National-Book"/>
      <w:color w:val="000000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A51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4A51"/>
    <w:rPr>
      <w:vertAlign w:val="superscript"/>
    </w:rPr>
  </w:style>
  <w:style w:type="paragraph" w:customStyle="1" w:styleId="Endnote">
    <w:name w:val="Endnote"/>
    <w:basedOn w:val="EndnoteText"/>
    <w:qFormat/>
    <w:rsid w:val="00DD0EA8"/>
    <w:rPr>
      <w:color w:val="000000" w:themeColor="text1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5B1D42"/>
    <w:rPr>
      <w:color w:val="43009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before="120" w:after="2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after="100"/>
      <w:ind w:left="240"/>
    </w:pPr>
    <w:rPr>
      <w:i/>
      <w:iCs/>
      <w:noProof/>
    </w:rPr>
  </w:style>
  <w:style w:type="paragraph" w:customStyle="1" w:styleId="Heading-3">
    <w:name w:val="Heading-3"/>
    <w:basedOn w:val="Body"/>
    <w:qFormat/>
    <w:rsid w:val="00533C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5D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1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FOI@ovic.vic.gov.au" TargetMode="External"/><Relationship Id="rId13" Type="http://schemas.openxmlformats.org/officeDocument/2006/relationships/hyperlink" Target="https://ovic.vic.gov.au/monthly-newslette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vic.vic.gov.au/decisio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ic.vic.gov.au/freedom-of-information/for-agencies/practice-not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vic.vic.gov.au/freedom-of-information/resources-for-agenci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quiries@ovic.vic.gov.au" TargetMode="External"/><Relationship Id="rId14" Type="http://schemas.openxmlformats.org/officeDocument/2006/relationships/hyperlink" Target="https://ovic.vic.gov.au/freedom-of-information/for-agencies/freedom-of-information-agency-templat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66C5-2411-A74C-B514-67E06BD1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2019-07-23T01:36:00Z</cp:lastPrinted>
  <dcterms:created xsi:type="dcterms:W3CDTF">2021-06-17T05:23:00Z</dcterms:created>
  <dcterms:modified xsi:type="dcterms:W3CDTF">2021-06-17T05:23:00Z</dcterms:modified>
</cp:coreProperties>
</file>