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58A5" w14:textId="77777777" w:rsidR="00F36C34" w:rsidRPr="00863040" w:rsidRDefault="00F36C34" w:rsidP="00F36C34">
      <w:pPr>
        <w:ind w:right="-7"/>
        <w:rPr>
          <w:color w:val="555559"/>
          <w:lang w:val="en-US"/>
        </w:rPr>
        <w:sectPr w:rsidR="00F36C34" w:rsidRPr="00863040" w:rsidSect="0007391B">
          <w:footerReference w:type="default" r:id="rId8"/>
          <w:headerReference w:type="first" r:id="rId9"/>
          <w:footerReference w:type="first" r:id="rId10"/>
          <w:pgSz w:w="11900" w:h="16840"/>
          <w:pgMar w:top="851" w:right="1134" w:bottom="1134" w:left="1134" w:header="568" w:footer="510" w:gutter="0"/>
          <w:cols w:space="708"/>
          <w:titlePg/>
          <w:docGrid w:linePitch="360"/>
        </w:sectPr>
      </w:pPr>
    </w:p>
    <w:p w14:paraId="12237AB3" w14:textId="6E8FF9E6" w:rsidR="00C736EC" w:rsidRDefault="00A14089" w:rsidP="00C736EC">
      <w:pPr>
        <w:pStyle w:val="SectionHeading1"/>
      </w:pPr>
      <w:r>
        <w:t>Overview</w:t>
      </w:r>
    </w:p>
    <w:p w14:paraId="1FD3488F" w14:textId="77777777" w:rsidR="00117FC2" w:rsidRDefault="00B13606" w:rsidP="008B1683">
      <w:pPr>
        <w:pStyle w:val="Body"/>
        <w:rPr>
          <w:rFonts w:cs="Calibri"/>
        </w:rPr>
      </w:pPr>
      <w:r w:rsidRPr="00DA76B6">
        <w:rPr>
          <w:rFonts w:cs="Calibri"/>
        </w:rPr>
        <w:t xml:space="preserve">This information sheet </w:t>
      </w:r>
      <w:r w:rsidR="00117FC2">
        <w:rPr>
          <w:rFonts w:cs="Calibri"/>
        </w:rPr>
        <w:t xml:space="preserve">explains: </w:t>
      </w:r>
    </w:p>
    <w:p w14:paraId="12330626" w14:textId="1536C8A2" w:rsidR="00117FC2" w:rsidRDefault="00852337" w:rsidP="0007391B">
      <w:pPr>
        <w:pStyle w:val="Body"/>
        <w:numPr>
          <w:ilvl w:val="0"/>
          <w:numId w:val="38"/>
        </w:numPr>
        <w:spacing w:after="120"/>
        <w:rPr>
          <w:rFonts w:cs="Calibri"/>
        </w:rPr>
      </w:pPr>
      <w:r>
        <w:rPr>
          <w:rFonts w:cs="Calibri"/>
        </w:rPr>
        <w:t>what may constitute a</w:t>
      </w:r>
      <w:r w:rsidR="00117FC2">
        <w:rPr>
          <w:rFonts w:cs="Calibri"/>
        </w:rPr>
        <w:t xml:space="preserve"> </w:t>
      </w:r>
      <w:r w:rsidR="00B13606">
        <w:rPr>
          <w:rFonts w:cs="Calibri"/>
        </w:rPr>
        <w:t xml:space="preserve">significant change </w:t>
      </w:r>
      <w:r w:rsidR="00117FC2">
        <w:rPr>
          <w:rFonts w:cs="Calibri"/>
        </w:rPr>
        <w:t xml:space="preserve">to </w:t>
      </w:r>
      <w:r>
        <w:rPr>
          <w:rFonts w:cs="Calibri"/>
        </w:rPr>
        <w:t>an organisations</w:t>
      </w:r>
      <w:r w:rsidR="00117FC2">
        <w:rPr>
          <w:rFonts w:cs="Calibri"/>
        </w:rPr>
        <w:t xml:space="preserve"> operating environment or </w:t>
      </w:r>
      <w:r>
        <w:rPr>
          <w:rFonts w:cs="Calibri"/>
        </w:rPr>
        <w:t xml:space="preserve">information </w:t>
      </w:r>
      <w:r w:rsidR="00117FC2">
        <w:rPr>
          <w:rFonts w:cs="Calibri"/>
        </w:rPr>
        <w:t xml:space="preserve">security </w:t>
      </w:r>
      <w:proofErr w:type="gramStart"/>
      <w:r w:rsidR="00117FC2">
        <w:rPr>
          <w:rFonts w:cs="Calibri"/>
        </w:rPr>
        <w:t>risks;</w:t>
      </w:r>
      <w:proofErr w:type="gramEnd"/>
      <w:r w:rsidR="00117FC2">
        <w:rPr>
          <w:rFonts w:cs="Calibri"/>
        </w:rPr>
        <w:t xml:space="preserve"> </w:t>
      </w:r>
    </w:p>
    <w:p w14:paraId="631E4EA2" w14:textId="73A9EDB9" w:rsidR="00117FC2" w:rsidRDefault="00117FC2" w:rsidP="0007391B">
      <w:pPr>
        <w:pStyle w:val="Body"/>
        <w:numPr>
          <w:ilvl w:val="0"/>
          <w:numId w:val="38"/>
        </w:numPr>
        <w:spacing w:after="120"/>
        <w:rPr>
          <w:rFonts w:cs="Calibri"/>
        </w:rPr>
      </w:pPr>
      <w:r>
        <w:rPr>
          <w:rFonts w:cs="Calibri"/>
        </w:rPr>
        <w:t xml:space="preserve">what to do when </w:t>
      </w:r>
      <w:r w:rsidR="00852337">
        <w:rPr>
          <w:rFonts w:cs="Calibri"/>
        </w:rPr>
        <w:t xml:space="preserve">an organisation identified that </w:t>
      </w:r>
      <w:r>
        <w:rPr>
          <w:rFonts w:cs="Calibri"/>
        </w:rPr>
        <w:t xml:space="preserve">there </w:t>
      </w:r>
      <w:r w:rsidR="00852337">
        <w:rPr>
          <w:rFonts w:cs="Calibri"/>
        </w:rPr>
        <w:t>may be</w:t>
      </w:r>
      <w:r w:rsidR="00B13606">
        <w:rPr>
          <w:rFonts w:cs="Calibri"/>
        </w:rPr>
        <w:t xml:space="preserve"> significant change</w:t>
      </w:r>
      <w:r>
        <w:rPr>
          <w:rFonts w:cs="Calibri"/>
        </w:rPr>
        <w:t>; and</w:t>
      </w:r>
    </w:p>
    <w:p w14:paraId="686170A4" w14:textId="55EB86AB" w:rsidR="00B13606" w:rsidRDefault="00117FC2" w:rsidP="0007391B">
      <w:pPr>
        <w:pStyle w:val="Body"/>
        <w:numPr>
          <w:ilvl w:val="0"/>
          <w:numId w:val="38"/>
        </w:numPr>
        <w:spacing w:after="120"/>
        <w:rPr>
          <w:rFonts w:cs="Calibri"/>
        </w:rPr>
      </w:pPr>
      <w:r>
        <w:rPr>
          <w:rFonts w:cs="Calibri"/>
        </w:rPr>
        <w:t xml:space="preserve">when OVIC expects to be notified of significant change and receive </w:t>
      </w:r>
      <w:r w:rsidR="00B13606">
        <w:rPr>
          <w:rFonts w:cs="Calibri"/>
        </w:rPr>
        <w:t>a</w:t>
      </w:r>
      <w:r w:rsidR="00B13606" w:rsidRPr="00DA76B6">
        <w:rPr>
          <w:rFonts w:cs="Calibri"/>
        </w:rPr>
        <w:t xml:space="preserve"> revised </w:t>
      </w:r>
      <w:r w:rsidR="00250289" w:rsidRPr="00CE21DC">
        <w:rPr>
          <w:rFonts w:cs="Calibri"/>
        </w:rPr>
        <w:t>Protective Data Security Plan (</w:t>
      </w:r>
      <w:r w:rsidR="00250289" w:rsidRPr="00C83C7F">
        <w:rPr>
          <w:rFonts w:cs="Calibri"/>
          <w:b/>
          <w:bCs/>
        </w:rPr>
        <w:t>PDSP</w:t>
      </w:r>
      <w:r w:rsidR="00250289" w:rsidRPr="00C83C7F">
        <w:rPr>
          <w:rFonts w:cs="Calibri"/>
        </w:rPr>
        <w:t>)</w:t>
      </w:r>
      <w:r w:rsidR="00B13606" w:rsidRPr="00DA76B6">
        <w:rPr>
          <w:rFonts w:cs="Calibri"/>
        </w:rPr>
        <w:t xml:space="preserve">.  </w:t>
      </w:r>
    </w:p>
    <w:p w14:paraId="04F9261D" w14:textId="59147220" w:rsidR="008B1683" w:rsidRPr="00DA76B6" w:rsidRDefault="008B1683" w:rsidP="008B1683">
      <w:pPr>
        <w:pStyle w:val="Body"/>
        <w:rPr>
          <w:rFonts w:cs="Calibri"/>
        </w:rPr>
      </w:pPr>
      <w:r w:rsidRPr="0085567B">
        <w:rPr>
          <w:rFonts w:cs="Calibri"/>
        </w:rPr>
        <w:t>Under</w:t>
      </w:r>
      <w:r>
        <w:rPr>
          <w:rFonts w:cs="Calibri"/>
          <w:b/>
          <w:bCs/>
        </w:rPr>
        <w:t xml:space="preserve"> </w:t>
      </w:r>
      <w:r w:rsidRPr="00CE21DC">
        <w:rPr>
          <w:rFonts w:cs="Calibri"/>
        </w:rPr>
        <w:t xml:space="preserve">the </w:t>
      </w:r>
      <w:r w:rsidRPr="00CE21DC">
        <w:rPr>
          <w:rFonts w:cs="Calibri"/>
          <w:i/>
          <w:iCs/>
        </w:rPr>
        <w:t xml:space="preserve">Privacy and Data Protection Act </w:t>
      </w:r>
      <w:r w:rsidRPr="00B47C64">
        <w:rPr>
          <w:rFonts w:cs="Calibri"/>
          <w:i/>
          <w:iCs/>
        </w:rPr>
        <w:t>2014</w:t>
      </w:r>
      <w:r w:rsidRPr="0085567B">
        <w:rPr>
          <w:rFonts w:cs="Calibri"/>
        </w:rPr>
        <w:t xml:space="preserve"> (Vic)</w:t>
      </w:r>
      <w:r w:rsidRPr="00CE21DC">
        <w:rPr>
          <w:rFonts w:cs="Calibri"/>
          <w:i/>
          <w:iCs/>
        </w:rPr>
        <w:t xml:space="preserve"> </w:t>
      </w:r>
      <w:r w:rsidRPr="00DA76B6">
        <w:rPr>
          <w:rFonts w:cs="Calibri"/>
        </w:rPr>
        <w:t>(</w:t>
      </w:r>
      <w:r w:rsidRPr="00DA76B6">
        <w:rPr>
          <w:rFonts w:cs="Calibri"/>
          <w:b/>
          <w:bCs/>
        </w:rPr>
        <w:t>PDP Act</w:t>
      </w:r>
      <w:r w:rsidRPr="00DA76B6">
        <w:rPr>
          <w:rFonts w:cs="Calibri"/>
        </w:rPr>
        <w:t>)</w:t>
      </w:r>
      <w:r>
        <w:rPr>
          <w:rFonts w:cs="Calibri"/>
        </w:rPr>
        <w:t>,</w:t>
      </w:r>
      <w:r w:rsidRPr="00CE21DC">
        <w:rPr>
          <w:rFonts w:cs="Calibri"/>
          <w:i/>
          <w:iCs/>
        </w:rPr>
        <w:t xml:space="preserve"> </w:t>
      </w:r>
      <w:r w:rsidR="00117FC2">
        <w:rPr>
          <w:rFonts w:cs="Calibri"/>
        </w:rPr>
        <w:t xml:space="preserve">organisations must </w:t>
      </w:r>
      <w:r w:rsidRPr="00CE21DC">
        <w:rPr>
          <w:rFonts w:cs="Calibri"/>
        </w:rPr>
        <w:t>undertake a Security Risk Profile Assessment (</w:t>
      </w:r>
      <w:r w:rsidRPr="00CE21DC">
        <w:rPr>
          <w:rFonts w:cs="Calibri"/>
          <w:b/>
          <w:bCs/>
        </w:rPr>
        <w:t>SRPA</w:t>
      </w:r>
      <w:r w:rsidRPr="00CE21DC">
        <w:rPr>
          <w:rFonts w:cs="Calibri"/>
        </w:rPr>
        <w:t xml:space="preserve">) and develop a </w:t>
      </w:r>
      <w:r w:rsidR="00250289">
        <w:rPr>
          <w:rFonts w:cs="Calibri"/>
        </w:rPr>
        <w:t>PDSP</w:t>
      </w:r>
      <w:r w:rsidRPr="00C83C7F">
        <w:rPr>
          <w:rFonts w:cs="Calibri"/>
        </w:rPr>
        <w:t xml:space="preserve">. </w:t>
      </w:r>
      <w:r w:rsidR="00852337">
        <w:rPr>
          <w:rFonts w:cs="Calibri"/>
        </w:rPr>
        <w:t>A</w:t>
      </w:r>
      <w:r w:rsidRPr="00DA76B6">
        <w:rPr>
          <w:rFonts w:cs="Calibri"/>
        </w:rPr>
        <w:t xml:space="preserve"> copy of </w:t>
      </w:r>
      <w:r w:rsidR="00852337">
        <w:rPr>
          <w:rFonts w:cs="Calibri"/>
        </w:rPr>
        <w:t>this</w:t>
      </w:r>
      <w:r w:rsidR="00852337" w:rsidRPr="00DA76B6">
        <w:rPr>
          <w:rFonts w:cs="Calibri"/>
        </w:rPr>
        <w:t xml:space="preserve"> </w:t>
      </w:r>
      <w:r w:rsidR="00260F3F">
        <w:rPr>
          <w:rFonts w:cs="Calibri"/>
        </w:rPr>
        <w:t xml:space="preserve">completed </w:t>
      </w:r>
      <w:r w:rsidRPr="00DA76B6">
        <w:rPr>
          <w:rFonts w:cs="Calibri"/>
        </w:rPr>
        <w:t>PDSP</w:t>
      </w:r>
      <w:r w:rsidR="00852337">
        <w:rPr>
          <w:rFonts w:cs="Calibri"/>
        </w:rPr>
        <w:t xml:space="preserve"> must be given</w:t>
      </w:r>
      <w:r>
        <w:rPr>
          <w:rFonts w:cs="Calibri"/>
        </w:rPr>
        <w:t xml:space="preserve"> to the Information Commissioner</w:t>
      </w:r>
      <w:r w:rsidRPr="00DA76B6">
        <w:rPr>
          <w:rFonts w:cs="Calibri"/>
        </w:rPr>
        <w:t>:</w:t>
      </w:r>
    </w:p>
    <w:p w14:paraId="6537D01E" w14:textId="77777777" w:rsidR="008B1683" w:rsidRPr="004C48AD" w:rsidRDefault="008B1683" w:rsidP="0007391B">
      <w:pPr>
        <w:pStyle w:val="Body"/>
        <w:numPr>
          <w:ilvl w:val="0"/>
          <w:numId w:val="33"/>
        </w:numPr>
        <w:spacing w:after="120"/>
        <w:rPr>
          <w:rFonts w:cs="Calibri"/>
        </w:rPr>
      </w:pPr>
      <w:r w:rsidRPr="00DA76B6">
        <w:rPr>
          <w:rFonts w:cs="Calibri"/>
        </w:rPr>
        <w:t>within 2 years of the issue of the Victorian Protective Data Security Standards (</w:t>
      </w:r>
      <w:r w:rsidRPr="00DA76B6">
        <w:rPr>
          <w:rFonts w:cs="Calibri"/>
          <w:b/>
          <w:bCs/>
        </w:rPr>
        <w:t>VPDSS</w:t>
      </w:r>
      <w:r w:rsidRPr="00DA76B6">
        <w:rPr>
          <w:rFonts w:cs="Calibri"/>
        </w:rPr>
        <w:t>)</w:t>
      </w:r>
      <w:r>
        <w:rPr>
          <w:rFonts w:cs="Calibri"/>
        </w:rPr>
        <w:t>;</w:t>
      </w:r>
      <w:r w:rsidRPr="004C48AD">
        <w:rPr>
          <w:rFonts w:cs="Calibri"/>
        </w:rPr>
        <w:t xml:space="preserve"> or</w:t>
      </w:r>
    </w:p>
    <w:p w14:paraId="293807D6" w14:textId="006B1610" w:rsidR="008B1683" w:rsidRPr="00DA76B6" w:rsidRDefault="008B1683" w:rsidP="0007391B">
      <w:pPr>
        <w:pStyle w:val="Body"/>
        <w:numPr>
          <w:ilvl w:val="0"/>
          <w:numId w:val="33"/>
        </w:numPr>
        <w:spacing w:after="120"/>
        <w:rPr>
          <w:rFonts w:cs="Calibri"/>
        </w:rPr>
      </w:pPr>
      <w:r w:rsidRPr="008B1683">
        <w:rPr>
          <w:rFonts w:cs="Calibri"/>
          <w:b/>
          <w:bCs/>
          <w:u w:val="single"/>
        </w:rPr>
        <w:t>upon significant change</w:t>
      </w:r>
      <w:r w:rsidRPr="00C83C7F">
        <w:rPr>
          <w:rFonts w:cs="Calibri"/>
        </w:rPr>
        <w:t xml:space="preserve"> to the operating environment or </w:t>
      </w:r>
      <w:r w:rsidRPr="00150E6A">
        <w:rPr>
          <w:rFonts w:cs="Calibri"/>
        </w:rPr>
        <w:t xml:space="preserve">security risks to the </w:t>
      </w:r>
      <w:r w:rsidR="00117FC2">
        <w:rPr>
          <w:rFonts w:cs="Calibri"/>
        </w:rPr>
        <w:t>organisation</w:t>
      </w:r>
      <w:r w:rsidRPr="00DA76B6">
        <w:rPr>
          <w:rFonts w:cs="Calibri"/>
        </w:rPr>
        <w:t>.</w:t>
      </w:r>
    </w:p>
    <w:p w14:paraId="5187ED2F" w14:textId="273A0E86" w:rsidR="008B1683" w:rsidRDefault="008B1683" w:rsidP="008B1683">
      <w:pPr>
        <w:pStyle w:val="SectionHeading1"/>
        <w:spacing w:line="360" w:lineRule="auto"/>
      </w:pPr>
      <w:r>
        <w:t xml:space="preserve">What </w:t>
      </w:r>
      <w:r w:rsidR="00132CAE">
        <w:t>constitutes a</w:t>
      </w:r>
      <w:r>
        <w:t xml:space="preserve"> significant change?</w:t>
      </w:r>
    </w:p>
    <w:p w14:paraId="15E84C33" w14:textId="1EB2A22C" w:rsidR="008B1683" w:rsidRDefault="008B1683" w:rsidP="008B1683">
      <w:pPr>
        <w:pStyle w:val="Body"/>
      </w:pPr>
      <w:bookmarkStart w:id="0" w:name="_Hlk38894675"/>
      <w:r>
        <w:t>It is difficult to define significant change</w:t>
      </w:r>
      <w:r w:rsidR="00117FC2">
        <w:t xml:space="preserve">. It depends on </w:t>
      </w:r>
      <w:r>
        <w:t xml:space="preserve">the </w:t>
      </w:r>
      <w:r w:rsidR="005A0CE0">
        <w:t xml:space="preserve">type of change, information security risks relating to the change, and the </w:t>
      </w:r>
      <w:r w:rsidR="00852337">
        <w:t>organisation’s</w:t>
      </w:r>
      <w:r w:rsidR="00117FC2">
        <w:t xml:space="preserve"> operating </w:t>
      </w:r>
      <w:r>
        <w:t>context</w:t>
      </w:r>
      <w:r w:rsidR="00117FC2">
        <w:t xml:space="preserve">. </w:t>
      </w:r>
      <w:bookmarkEnd w:id="0"/>
      <w:r>
        <w:t>Some examples</w:t>
      </w:r>
      <w:r w:rsidR="00132CAE">
        <w:t xml:space="preserve"> of</w:t>
      </w:r>
      <w:r>
        <w:t xml:space="preserve"> significant change </w:t>
      </w:r>
      <w:r w:rsidR="00852337">
        <w:t xml:space="preserve">could </w:t>
      </w:r>
      <w:r>
        <w:t>include</w:t>
      </w:r>
      <w:r w:rsidR="00132CAE">
        <w:t xml:space="preserve"> situations where </w:t>
      </w:r>
      <w:r w:rsidR="00132CAE" w:rsidRPr="0007391B">
        <w:rPr>
          <w:b/>
          <w:bCs/>
        </w:rPr>
        <w:t>information security risks</w:t>
      </w:r>
      <w:r w:rsidR="00132CAE">
        <w:t xml:space="preserve"> </w:t>
      </w:r>
      <w:r w:rsidR="006A6C67">
        <w:t xml:space="preserve">have changed </w:t>
      </w:r>
      <w:r w:rsidR="005C4CFD">
        <w:t>due to</w:t>
      </w:r>
      <w:r w:rsidR="00031C02">
        <w:t xml:space="preserve"> one or more following</w:t>
      </w:r>
      <w:r>
        <w:t>:</w:t>
      </w:r>
    </w:p>
    <w:p w14:paraId="0BC0040B" w14:textId="22EBBC62" w:rsidR="008B1683" w:rsidRDefault="008B1683" w:rsidP="0007391B">
      <w:pPr>
        <w:pStyle w:val="Body"/>
        <w:numPr>
          <w:ilvl w:val="0"/>
          <w:numId w:val="34"/>
        </w:numPr>
        <w:spacing w:after="120"/>
      </w:pPr>
      <w:r>
        <w:t xml:space="preserve">Machinery of Government </w:t>
      </w:r>
      <w:r w:rsidR="005A0CE0">
        <w:t>(</w:t>
      </w:r>
      <w:r w:rsidR="005A0CE0" w:rsidRPr="005A0CE0">
        <w:rPr>
          <w:b/>
          <w:bCs/>
        </w:rPr>
        <w:t>MoG</w:t>
      </w:r>
      <w:r w:rsidR="005A0CE0">
        <w:t xml:space="preserve">) </w:t>
      </w:r>
      <w:r>
        <w:t>changes</w:t>
      </w:r>
      <w:r w:rsidR="00250289">
        <w:t xml:space="preserve"> to the organisation’s structure or information assets</w:t>
      </w:r>
      <w:r w:rsidR="00852337">
        <w:t xml:space="preserve"> / </w:t>
      </w:r>
      <w:proofErr w:type="gramStart"/>
      <w:r w:rsidR="00852337">
        <w:t>systems</w:t>
      </w:r>
      <w:r>
        <w:t>;</w:t>
      </w:r>
      <w:proofErr w:type="gramEnd"/>
    </w:p>
    <w:p w14:paraId="6067C05C" w14:textId="594A0C33" w:rsidR="008B1683" w:rsidRDefault="00031C02" w:rsidP="0007391B">
      <w:pPr>
        <w:pStyle w:val="Body"/>
        <w:numPr>
          <w:ilvl w:val="0"/>
          <w:numId w:val="34"/>
        </w:numPr>
        <w:spacing w:after="120"/>
      </w:pPr>
      <w:r>
        <w:t xml:space="preserve">high </w:t>
      </w:r>
      <w:r w:rsidR="008B1683">
        <w:t>staff turnover or changes to staffing (</w:t>
      </w:r>
      <w:r w:rsidR="00223CFD">
        <w:t>e.g.,</w:t>
      </w:r>
      <w:r w:rsidR="008B1683">
        <w:t xml:space="preserve"> </w:t>
      </w:r>
      <w:r w:rsidR="00852337">
        <w:t xml:space="preserve">major organisational </w:t>
      </w:r>
      <w:r w:rsidR="008B1683">
        <w:t>restructures</w:t>
      </w:r>
      <w:proofErr w:type="gramStart"/>
      <w:r w:rsidR="008B1683">
        <w:t>);</w:t>
      </w:r>
      <w:proofErr w:type="gramEnd"/>
    </w:p>
    <w:p w14:paraId="074B6344" w14:textId="08C2D99F" w:rsidR="008B1683" w:rsidRDefault="008B1683" w:rsidP="0007391B">
      <w:pPr>
        <w:pStyle w:val="Body"/>
        <w:numPr>
          <w:ilvl w:val="0"/>
          <w:numId w:val="34"/>
        </w:numPr>
        <w:spacing w:after="120"/>
      </w:pPr>
      <w:r>
        <w:t xml:space="preserve">changes </w:t>
      </w:r>
      <w:r w:rsidR="00852337">
        <w:t xml:space="preserve">resulting </w:t>
      </w:r>
      <w:r w:rsidR="00117FC2">
        <w:t xml:space="preserve">from new or amended </w:t>
      </w:r>
      <w:proofErr w:type="gramStart"/>
      <w:r>
        <w:t>legislation;</w:t>
      </w:r>
      <w:proofErr w:type="gramEnd"/>
    </w:p>
    <w:p w14:paraId="722BD302" w14:textId="7F227BD3" w:rsidR="008B1683" w:rsidRDefault="008B1683" w:rsidP="0007391B">
      <w:pPr>
        <w:pStyle w:val="Body"/>
        <w:numPr>
          <w:ilvl w:val="0"/>
          <w:numId w:val="34"/>
        </w:numPr>
        <w:spacing w:after="120"/>
      </w:pPr>
      <w:r>
        <w:t xml:space="preserve">changes to work functions or business </w:t>
      </w:r>
      <w:proofErr w:type="gramStart"/>
      <w:r>
        <w:t>operations;</w:t>
      </w:r>
      <w:proofErr w:type="gramEnd"/>
    </w:p>
    <w:p w14:paraId="164AF37B" w14:textId="056B43C7" w:rsidR="008B1683" w:rsidRDefault="008B1683" w:rsidP="0007391B">
      <w:pPr>
        <w:pStyle w:val="Body"/>
        <w:numPr>
          <w:ilvl w:val="0"/>
          <w:numId w:val="34"/>
        </w:numPr>
        <w:spacing w:after="120"/>
      </w:pPr>
      <w:r>
        <w:t>changes in the operating environment of the organisation (</w:t>
      </w:r>
      <w:r w:rsidR="00117FC2">
        <w:t xml:space="preserve">like a </w:t>
      </w:r>
      <w:r>
        <w:t>large scale move to remote working</w:t>
      </w:r>
      <w:proofErr w:type="gramStart"/>
      <w:r>
        <w:t>);</w:t>
      </w:r>
      <w:proofErr w:type="gramEnd"/>
      <w:r>
        <w:t xml:space="preserve"> </w:t>
      </w:r>
    </w:p>
    <w:p w14:paraId="1DDDAA46" w14:textId="373656D3" w:rsidR="00CA3B96" w:rsidRDefault="00117FC2" w:rsidP="0007391B">
      <w:pPr>
        <w:pStyle w:val="Body"/>
        <w:numPr>
          <w:ilvl w:val="0"/>
          <w:numId w:val="34"/>
        </w:numPr>
        <w:spacing w:after="120"/>
      </w:pPr>
      <w:r>
        <w:t>changes</w:t>
      </w:r>
      <w:r w:rsidR="00CA3B96">
        <w:t xml:space="preserve"> to a</w:t>
      </w:r>
      <w:r w:rsidR="008672FB">
        <w:t>n</w:t>
      </w:r>
      <w:r w:rsidR="00CA3B96">
        <w:t xml:space="preserve"> </w:t>
      </w:r>
      <w:r w:rsidR="008B1683">
        <w:t xml:space="preserve">information </w:t>
      </w:r>
      <w:r w:rsidR="00CA3B96">
        <w:t>system, or the introduction of a new system</w:t>
      </w:r>
      <w:r w:rsidR="008B1683">
        <w:t xml:space="preserve"> </w:t>
      </w:r>
      <w:r w:rsidR="00CA3B96">
        <w:t xml:space="preserve">(including where a </w:t>
      </w:r>
      <w:r w:rsidR="0007391B">
        <w:t>third-party</w:t>
      </w:r>
      <w:r w:rsidR="00CA3B96">
        <w:t xml:space="preserve"> </w:t>
      </w:r>
      <w:r>
        <w:t>provider</w:t>
      </w:r>
      <w:r w:rsidR="00CA3B96">
        <w:t xml:space="preserve"> manages this system</w:t>
      </w:r>
      <w:r w:rsidR="00B31A3E">
        <w:t xml:space="preserve"> on behalf of the organisation)</w:t>
      </w:r>
      <w:r w:rsidR="00CA3B96">
        <w:t>; or</w:t>
      </w:r>
    </w:p>
    <w:p w14:paraId="546B83FC" w14:textId="4C369C27" w:rsidR="008B1683" w:rsidRDefault="00CA3B96" w:rsidP="0007391B">
      <w:pPr>
        <w:pStyle w:val="Body"/>
        <w:numPr>
          <w:ilvl w:val="0"/>
          <w:numId w:val="34"/>
        </w:numPr>
        <w:spacing w:after="120"/>
      </w:pPr>
      <w:r>
        <w:t>changes to service provider arrangements, where the provider accesses, uses or manages information or information systems on behalf of the organisation (e.g.</w:t>
      </w:r>
      <w:r w:rsidR="001B733A">
        <w:t>,</w:t>
      </w:r>
      <w:r>
        <w:t xml:space="preserve"> </w:t>
      </w:r>
      <w:proofErr w:type="spellStart"/>
      <w:r w:rsidR="008B1683">
        <w:t>CenITex</w:t>
      </w:r>
      <w:proofErr w:type="spellEnd"/>
      <w:r w:rsidR="008B1683">
        <w:t xml:space="preserve"> as a shared service provider to manage the </w:t>
      </w:r>
      <w:r w:rsidR="00B31A3E">
        <w:t xml:space="preserve">organisation’s ICT </w:t>
      </w:r>
      <w:r w:rsidR="008B1683">
        <w:t>network).</w:t>
      </w:r>
    </w:p>
    <w:p w14:paraId="3BB32D45" w14:textId="32535625" w:rsidR="008B1683" w:rsidRPr="001C3967" w:rsidRDefault="00117FC2" w:rsidP="008B1683">
      <w:pPr>
        <w:pStyle w:val="Body"/>
        <w:rPr>
          <w:color w:val="FF0000"/>
        </w:rPr>
      </w:pPr>
      <w:r>
        <w:t>When significant change occurs, o</w:t>
      </w:r>
      <w:r w:rsidR="005A0CE0" w:rsidRPr="00143E7B">
        <w:t>rganisations</w:t>
      </w:r>
      <w:r w:rsidR="008B1683" w:rsidRPr="00143E7B">
        <w:t xml:space="preserve"> </w:t>
      </w:r>
      <w:r>
        <w:t xml:space="preserve">must assess </w:t>
      </w:r>
      <w:r w:rsidR="008B1683" w:rsidRPr="00143E7B">
        <w:t xml:space="preserve">the impact of the change and have an informed discussion with OVIC about their </w:t>
      </w:r>
      <w:r w:rsidR="005A0CE0" w:rsidRPr="00143E7B">
        <w:t>information security</w:t>
      </w:r>
      <w:r w:rsidR="008B1683" w:rsidRPr="00143E7B">
        <w:t xml:space="preserve"> obligations.</w:t>
      </w:r>
    </w:p>
    <w:p w14:paraId="416CDF32" w14:textId="4CF746C5" w:rsidR="008B1683" w:rsidRPr="009F0D5B" w:rsidRDefault="008B1683" w:rsidP="008B1683">
      <w:pPr>
        <w:pStyle w:val="SectionHeading1"/>
        <w:spacing w:line="240" w:lineRule="auto"/>
      </w:pPr>
      <w:r w:rsidRPr="009F0D5B">
        <w:lastRenderedPageBreak/>
        <w:t xml:space="preserve">What </w:t>
      </w:r>
      <w:r w:rsidR="00DB2EF7">
        <w:t>should</w:t>
      </w:r>
      <w:r w:rsidR="005F0574">
        <w:t xml:space="preserve"> </w:t>
      </w:r>
      <w:r w:rsidRPr="009F0D5B">
        <w:t xml:space="preserve">my organisation do </w:t>
      </w:r>
      <w:r w:rsidR="000164DB">
        <w:t xml:space="preserve">when </w:t>
      </w:r>
      <w:r w:rsidR="005F0574">
        <w:t xml:space="preserve">it </w:t>
      </w:r>
      <w:r w:rsidR="00DE2235" w:rsidRPr="009F0D5B">
        <w:t>identifie</w:t>
      </w:r>
      <w:r w:rsidR="005F0574">
        <w:t>s</w:t>
      </w:r>
      <w:r w:rsidR="00DE2235" w:rsidRPr="009F0D5B">
        <w:t xml:space="preserve"> </w:t>
      </w:r>
      <w:r w:rsidR="009F0D5B" w:rsidRPr="009F0D5B">
        <w:t>a</w:t>
      </w:r>
      <w:r w:rsidR="00DE2235" w:rsidRPr="009F0D5B">
        <w:t xml:space="preserve"> potential</w:t>
      </w:r>
      <w:r w:rsidRPr="009F0D5B">
        <w:t xml:space="preserve"> significant change?</w:t>
      </w:r>
    </w:p>
    <w:p w14:paraId="4A39D1CC" w14:textId="09E3E9D4" w:rsidR="00143E7B" w:rsidRDefault="000164DB" w:rsidP="008B1683">
      <w:pPr>
        <w:pStyle w:val="Body"/>
      </w:pPr>
      <w:r>
        <w:t xml:space="preserve">When </w:t>
      </w:r>
      <w:r w:rsidR="008B1683" w:rsidRPr="009F0D5B">
        <w:t xml:space="preserve">an organisation </w:t>
      </w:r>
      <w:r>
        <w:t xml:space="preserve">identifies </w:t>
      </w:r>
      <w:r w:rsidR="009F0D5B" w:rsidRPr="009F0D5B">
        <w:t>a</w:t>
      </w:r>
      <w:r w:rsidR="00DE2235" w:rsidRPr="009F0D5B">
        <w:t xml:space="preserve"> potential </w:t>
      </w:r>
      <w:r w:rsidR="00096807" w:rsidRPr="009F0D5B">
        <w:t>s</w:t>
      </w:r>
      <w:r w:rsidR="008B1683" w:rsidRPr="009F0D5B">
        <w:t xml:space="preserve">ignificant change, </w:t>
      </w:r>
      <w:r>
        <w:t xml:space="preserve">it </w:t>
      </w:r>
      <w:r w:rsidR="00117FC2">
        <w:t>should</w:t>
      </w:r>
      <w:r w:rsidR="00143E7B" w:rsidRPr="009F0D5B">
        <w:t>:</w:t>
      </w:r>
    </w:p>
    <w:p w14:paraId="49D4CC18" w14:textId="48ACA121" w:rsidR="001C3967" w:rsidRDefault="00117FC2" w:rsidP="0007391B">
      <w:pPr>
        <w:pStyle w:val="Body"/>
        <w:numPr>
          <w:ilvl w:val="0"/>
          <w:numId w:val="35"/>
        </w:numPr>
      </w:pPr>
      <w:r>
        <w:t xml:space="preserve">Contact </w:t>
      </w:r>
      <w:r w:rsidR="001C3967">
        <w:t>the Information Security Unit (</w:t>
      </w:r>
      <w:r w:rsidR="001C3967" w:rsidRPr="001C3967">
        <w:rPr>
          <w:b/>
          <w:bCs/>
        </w:rPr>
        <w:t>ISU</w:t>
      </w:r>
      <w:r w:rsidR="001C3967">
        <w:t xml:space="preserve">) </w:t>
      </w:r>
      <w:r w:rsidR="00E92767" w:rsidRPr="00E92767">
        <w:rPr>
          <w:u w:val="single"/>
        </w:rPr>
        <w:t>within 30 days</w:t>
      </w:r>
      <w:r w:rsidR="00E92767">
        <w:t xml:space="preserve"> to</w:t>
      </w:r>
      <w:r w:rsidR="005F0574">
        <w:t xml:space="preserve"> discuss next </w:t>
      </w:r>
      <w:proofErr w:type="gramStart"/>
      <w:r w:rsidR="005F0574">
        <w:t>steps</w:t>
      </w:r>
      <w:r w:rsidR="00E20E23">
        <w:t>;</w:t>
      </w:r>
      <w:proofErr w:type="gramEnd"/>
    </w:p>
    <w:p w14:paraId="7E3AEEDC" w14:textId="31AF0AB2" w:rsidR="001C3967" w:rsidRPr="001C3967" w:rsidRDefault="00143E7B" w:rsidP="0021529A">
      <w:pPr>
        <w:pStyle w:val="Body"/>
        <w:numPr>
          <w:ilvl w:val="0"/>
          <w:numId w:val="35"/>
        </w:numPr>
      </w:pPr>
      <w:r>
        <w:t>Consult with any impacted parties</w:t>
      </w:r>
      <w:r w:rsidR="0021529A">
        <w:t xml:space="preserve">, </w:t>
      </w:r>
      <w:r>
        <w:t xml:space="preserve">complete the </w:t>
      </w:r>
      <w:r w:rsidR="00A73C12" w:rsidRPr="00143E7B">
        <w:rPr>
          <w:b/>
          <w:bCs/>
          <w:i/>
          <w:iCs/>
        </w:rPr>
        <w:t>Notification of Significant Change</w:t>
      </w:r>
      <w:r w:rsidR="00A73C12">
        <w:rPr>
          <w:i/>
          <w:iCs/>
        </w:rPr>
        <w:t xml:space="preserve"> </w:t>
      </w:r>
      <w:r w:rsidR="001C3967" w:rsidRPr="001C3967">
        <w:t>form</w:t>
      </w:r>
      <w:r w:rsidR="00223CFD">
        <w:rPr>
          <w:rStyle w:val="FootnoteReference"/>
        </w:rPr>
        <w:footnoteReference w:id="1"/>
      </w:r>
      <w:r w:rsidR="005F0574">
        <w:t xml:space="preserve"> </w:t>
      </w:r>
      <w:r w:rsidR="00223CFD">
        <w:t>(</w:t>
      </w:r>
      <w:r w:rsidR="00223CFD" w:rsidRPr="0007391B">
        <w:rPr>
          <w:b/>
          <w:bCs/>
        </w:rPr>
        <w:t>Appendix A</w:t>
      </w:r>
      <w:r w:rsidR="00223CFD">
        <w:t xml:space="preserve">) </w:t>
      </w:r>
      <w:r w:rsidR="005F0574">
        <w:t xml:space="preserve">and </w:t>
      </w:r>
      <w:r w:rsidR="0021529A">
        <w:t xml:space="preserve">send the form </w:t>
      </w:r>
      <w:r w:rsidR="00A73C12">
        <w:t xml:space="preserve">to </w:t>
      </w:r>
      <w:hyperlink r:id="rId11" w:history="1">
        <w:r w:rsidR="00A73C12" w:rsidRPr="00E25649">
          <w:rPr>
            <w:rStyle w:val="Hyperlink"/>
          </w:rPr>
          <w:t>security@ovic.vic.gov.au</w:t>
        </w:r>
      </w:hyperlink>
      <w:r w:rsidR="002D577B">
        <w:t>;</w:t>
      </w:r>
    </w:p>
    <w:p w14:paraId="51E70497" w14:textId="6372EC31" w:rsidR="008B1683" w:rsidRDefault="008B1683" w:rsidP="00CB245B">
      <w:pPr>
        <w:pStyle w:val="Body"/>
        <w:numPr>
          <w:ilvl w:val="0"/>
          <w:numId w:val="35"/>
        </w:numPr>
      </w:pPr>
      <w:r>
        <w:t xml:space="preserve">Undertake </w:t>
      </w:r>
      <w:r w:rsidR="002D577B">
        <w:t xml:space="preserve">a </w:t>
      </w:r>
      <w:r>
        <w:t>SRPA</w:t>
      </w:r>
      <w:r w:rsidR="005F0574">
        <w:t xml:space="preserve"> to capture </w:t>
      </w:r>
      <w:r>
        <w:t>new or changed information security risks</w:t>
      </w:r>
      <w:r w:rsidR="002D577B">
        <w:t>, reflecting these changes</w:t>
      </w:r>
      <w:r>
        <w:t xml:space="preserve"> in the </w:t>
      </w:r>
      <w:r w:rsidR="001C3967">
        <w:t>organisation’s</w:t>
      </w:r>
      <w:r>
        <w:t xml:space="preserve"> risk </w:t>
      </w:r>
      <w:proofErr w:type="gramStart"/>
      <w:r>
        <w:t>register;</w:t>
      </w:r>
      <w:proofErr w:type="gramEnd"/>
    </w:p>
    <w:p w14:paraId="23FCFDEA" w14:textId="0B2F3C3A" w:rsidR="0021529A" w:rsidRDefault="008B1683" w:rsidP="005F0574">
      <w:pPr>
        <w:pStyle w:val="Body"/>
        <w:numPr>
          <w:ilvl w:val="0"/>
          <w:numId w:val="35"/>
        </w:numPr>
      </w:pPr>
      <w:r>
        <w:t xml:space="preserve">Revise the </w:t>
      </w:r>
      <w:r w:rsidR="001C3967">
        <w:t>organisation’s</w:t>
      </w:r>
      <w:r>
        <w:t xml:space="preserve"> PDSP</w:t>
      </w:r>
      <w:r w:rsidR="0021529A">
        <w:t xml:space="preserve"> to</w:t>
      </w:r>
      <w:r>
        <w:t xml:space="preserve"> captur</w:t>
      </w:r>
      <w:r w:rsidR="0021529A">
        <w:t xml:space="preserve">e </w:t>
      </w:r>
      <w:r>
        <w:t>new or changed information security risks</w:t>
      </w:r>
      <w:r w:rsidR="00250289">
        <w:t xml:space="preserve">, </w:t>
      </w:r>
      <w:r>
        <w:t xml:space="preserve">update </w:t>
      </w:r>
      <w:r w:rsidR="00250289">
        <w:t xml:space="preserve">the </w:t>
      </w:r>
      <w:r w:rsidR="002D577B">
        <w:t>activities</w:t>
      </w:r>
      <w:r w:rsidR="00250289">
        <w:t xml:space="preserve"> to address the </w:t>
      </w:r>
      <w:r w:rsidR="00223CFD">
        <w:t>VPDSS and</w:t>
      </w:r>
      <w:r w:rsidR="00250289">
        <w:t xml:space="preserve"> update the </w:t>
      </w:r>
      <w:r w:rsidR="002D577B">
        <w:t>implementation status</w:t>
      </w:r>
      <w:r w:rsidR="00250289">
        <w:t xml:space="preserve"> for the activities</w:t>
      </w:r>
      <w:r w:rsidR="0007391B">
        <w:t>; and</w:t>
      </w:r>
      <w:r w:rsidR="0021529A">
        <w:t xml:space="preserve"> </w:t>
      </w:r>
    </w:p>
    <w:p w14:paraId="12188460" w14:textId="6F59ACA5" w:rsidR="008B1683" w:rsidRDefault="00250289" w:rsidP="00250289">
      <w:pPr>
        <w:pStyle w:val="Body"/>
        <w:numPr>
          <w:ilvl w:val="0"/>
          <w:numId w:val="35"/>
        </w:numPr>
      </w:pPr>
      <w:r>
        <w:t xml:space="preserve">Submit </w:t>
      </w:r>
      <w:r w:rsidR="008B1683">
        <w:t xml:space="preserve">a copy of the </w:t>
      </w:r>
      <w:r w:rsidR="00E92767">
        <w:t>revised</w:t>
      </w:r>
      <w:r w:rsidR="008B1683">
        <w:t xml:space="preserve"> PDSP</w:t>
      </w:r>
      <w:r>
        <w:t xml:space="preserve"> to the Information Commissioner</w:t>
      </w:r>
      <w:r w:rsidR="002D577B">
        <w:t xml:space="preserve">. </w:t>
      </w:r>
    </w:p>
    <w:p w14:paraId="0B55F1A1" w14:textId="06B2DC06" w:rsidR="005F0574" w:rsidRDefault="00403E0A" w:rsidP="008B1683">
      <w:pPr>
        <w:pStyle w:val="Body"/>
        <w:rPr>
          <w:rFonts w:cs="PostGrotesk-Medium"/>
          <w:color w:val="430098"/>
          <w:sz w:val="28"/>
          <w:szCs w:val="28"/>
        </w:rPr>
      </w:pPr>
      <w:r>
        <w:rPr>
          <w:rFonts w:cs="PostGrotesk-Medium"/>
          <w:color w:val="430098"/>
          <w:sz w:val="28"/>
          <w:szCs w:val="28"/>
        </w:rPr>
        <w:t xml:space="preserve">Who </w:t>
      </w:r>
      <w:r w:rsidR="00DB2EF7">
        <w:rPr>
          <w:rFonts w:cs="PostGrotesk-Medium"/>
          <w:color w:val="430098"/>
          <w:sz w:val="28"/>
          <w:szCs w:val="28"/>
        </w:rPr>
        <w:t>notifies</w:t>
      </w:r>
      <w:r>
        <w:rPr>
          <w:rFonts w:cs="PostGrotesk-Medium"/>
          <w:color w:val="430098"/>
          <w:sz w:val="28"/>
          <w:szCs w:val="28"/>
        </w:rPr>
        <w:t xml:space="preserve"> the Information Commissioner of a significant change?</w:t>
      </w:r>
    </w:p>
    <w:p w14:paraId="3B34E7CA" w14:textId="62FF3AB5" w:rsidR="00403E0A" w:rsidRDefault="00DB2EF7">
      <w:pPr>
        <w:pStyle w:val="Body"/>
        <w:rPr>
          <w:rFonts w:cs="PostGrotesk-Medium"/>
          <w:color w:val="430098"/>
          <w:sz w:val="28"/>
          <w:szCs w:val="28"/>
        </w:rPr>
      </w:pPr>
      <w:r>
        <w:t>The public sector body Head should submit the</w:t>
      </w:r>
      <w:r w:rsidR="00403E0A">
        <w:t xml:space="preserve"> </w:t>
      </w:r>
      <w:r w:rsidR="00403E0A" w:rsidRPr="00143E7B">
        <w:rPr>
          <w:b/>
          <w:bCs/>
          <w:i/>
          <w:iCs/>
        </w:rPr>
        <w:t>Notification of Significant Change</w:t>
      </w:r>
      <w:r w:rsidR="00403E0A">
        <w:rPr>
          <w:b/>
          <w:bCs/>
          <w:i/>
          <w:iCs/>
        </w:rPr>
        <w:t xml:space="preserve"> </w:t>
      </w:r>
      <w:r w:rsidR="00403E0A" w:rsidRPr="002D577B">
        <w:t>form</w:t>
      </w:r>
      <w:r w:rsidR="00403E0A">
        <w:t xml:space="preserve"> </w:t>
      </w:r>
      <w:r w:rsidR="00260F3F">
        <w:t xml:space="preserve">to </w:t>
      </w:r>
      <w:r w:rsidR="00403E0A">
        <w:t>the Information Commissioner.</w:t>
      </w:r>
      <w:r>
        <w:t xml:space="preserve"> </w:t>
      </w:r>
    </w:p>
    <w:p w14:paraId="75DFA462" w14:textId="25ED5459" w:rsidR="008B1683" w:rsidRDefault="00A73C12" w:rsidP="005F0574">
      <w:pPr>
        <w:pStyle w:val="Body"/>
        <w:rPr>
          <w:rFonts w:cs="PostGrotesk-Medium"/>
        </w:rPr>
      </w:pPr>
      <w:r>
        <w:rPr>
          <w:rFonts w:cs="PostGrotesk-Medium"/>
          <w:color w:val="430098"/>
          <w:sz w:val="28"/>
          <w:szCs w:val="28"/>
        </w:rPr>
        <w:t xml:space="preserve">What </w:t>
      </w:r>
      <w:r w:rsidR="00E92767">
        <w:rPr>
          <w:rFonts w:cs="PostGrotesk-Medium"/>
          <w:color w:val="430098"/>
          <w:sz w:val="28"/>
          <w:szCs w:val="28"/>
        </w:rPr>
        <w:t>are</w:t>
      </w:r>
      <w:r>
        <w:rPr>
          <w:rFonts w:cs="PostGrotesk-Medium"/>
          <w:color w:val="430098"/>
          <w:sz w:val="28"/>
          <w:szCs w:val="28"/>
        </w:rPr>
        <w:t xml:space="preserve"> my </w:t>
      </w:r>
      <w:r w:rsidR="005F0574">
        <w:rPr>
          <w:rFonts w:cs="PostGrotesk-Medium"/>
          <w:color w:val="430098"/>
          <w:sz w:val="28"/>
          <w:szCs w:val="28"/>
        </w:rPr>
        <w:t xml:space="preserve">organisation’s </w:t>
      </w:r>
      <w:r w:rsidR="00E92767" w:rsidRPr="005F0574">
        <w:rPr>
          <w:rFonts w:cs="PostGrotesk-Medium"/>
          <w:color w:val="430098"/>
          <w:sz w:val="28"/>
          <w:szCs w:val="28"/>
        </w:rPr>
        <w:t>continu</w:t>
      </w:r>
      <w:r w:rsidR="005F0574" w:rsidRPr="005F0574">
        <w:rPr>
          <w:rFonts w:cs="PostGrotesk-Medium"/>
          <w:color w:val="430098"/>
          <w:sz w:val="28"/>
          <w:szCs w:val="28"/>
        </w:rPr>
        <w:t>i</w:t>
      </w:r>
      <w:r w:rsidR="005F0574">
        <w:rPr>
          <w:rFonts w:cs="PostGrotesk-Medium"/>
          <w:color w:val="430098"/>
          <w:sz w:val="28"/>
          <w:szCs w:val="28"/>
        </w:rPr>
        <w:t>ng</w:t>
      </w:r>
      <w:r w:rsidR="00E92767">
        <w:rPr>
          <w:rFonts w:cs="PostGrotesk-Medium"/>
          <w:color w:val="430098"/>
          <w:sz w:val="28"/>
          <w:szCs w:val="28"/>
        </w:rPr>
        <w:t xml:space="preserve"> reporting obligations</w:t>
      </w:r>
      <w:r>
        <w:rPr>
          <w:rFonts w:cs="PostGrotesk-Medium"/>
          <w:color w:val="430098"/>
          <w:sz w:val="28"/>
          <w:szCs w:val="28"/>
        </w:rPr>
        <w:t>?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9E5E2"/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7230"/>
        <w:gridCol w:w="2137"/>
      </w:tblGrid>
      <w:tr w:rsidR="0087269A" w:rsidRPr="0094563D" w14:paraId="5B4DB0E2" w14:textId="77777777" w:rsidTr="0007391B">
        <w:trPr>
          <w:trHeight w:val="686"/>
          <w:tblHeader/>
        </w:trPr>
        <w:tc>
          <w:tcPr>
            <w:tcW w:w="7230" w:type="dxa"/>
            <w:tcBorders>
              <w:top w:val="nil"/>
              <w:left w:val="nil"/>
            </w:tcBorders>
            <w:shd w:val="clear" w:color="auto" w:fill="430098"/>
            <w:vAlign w:val="center"/>
          </w:tcPr>
          <w:p w14:paraId="4FC40435" w14:textId="77777777" w:rsidR="0087269A" w:rsidRPr="0007391B" w:rsidRDefault="0087269A" w:rsidP="0007391B">
            <w:pPr>
              <w:pStyle w:val="TableParagraph"/>
              <w:spacing w:before="120" w:after="120"/>
              <w:ind w:left="110" w:hanging="263"/>
              <w:rPr>
                <w:rFonts w:asciiTheme="minorHAnsi" w:eastAsia="Arial Unicode MS" w:hAnsiTheme="minorHAnsi" w:cstheme="minorHAnsi"/>
                <w:b/>
                <w:bCs/>
                <w:color w:val="FFFFFF" w:themeColor="background1"/>
              </w:rPr>
            </w:pPr>
            <w:r w:rsidRPr="0007391B">
              <w:rPr>
                <w:rFonts w:asciiTheme="minorHAnsi" w:eastAsia="Arial Unicode MS" w:hAnsiTheme="minorHAnsi" w:cstheme="minorHAnsi"/>
                <w:b/>
                <w:bCs/>
                <w:color w:val="FFFFFF" w:themeColor="background1"/>
              </w:rPr>
              <w:t xml:space="preserve">Deliverable </w:t>
            </w:r>
          </w:p>
        </w:tc>
        <w:tc>
          <w:tcPr>
            <w:tcW w:w="2137" w:type="dxa"/>
            <w:tcBorders>
              <w:top w:val="nil"/>
              <w:left w:val="nil"/>
            </w:tcBorders>
            <w:shd w:val="clear" w:color="auto" w:fill="430098"/>
            <w:vAlign w:val="center"/>
          </w:tcPr>
          <w:p w14:paraId="2DE23D12" w14:textId="77777777" w:rsidR="0087269A" w:rsidRPr="0007391B" w:rsidRDefault="0087269A" w:rsidP="0007391B">
            <w:pPr>
              <w:pStyle w:val="TableParagraph"/>
              <w:spacing w:before="120" w:after="120"/>
              <w:ind w:left="110" w:hanging="263"/>
              <w:jc w:val="center"/>
              <w:rPr>
                <w:rFonts w:asciiTheme="minorHAnsi" w:eastAsia="Arial Unicode MS" w:hAnsiTheme="minorHAnsi" w:cstheme="minorHAnsi"/>
                <w:b/>
                <w:bCs/>
                <w:color w:val="FFFFFF" w:themeColor="background1"/>
              </w:rPr>
            </w:pPr>
            <w:r w:rsidRPr="0007391B">
              <w:rPr>
                <w:rFonts w:asciiTheme="minorHAnsi" w:eastAsia="Arial Unicode MS" w:hAnsiTheme="minorHAnsi" w:cstheme="minorHAnsi"/>
                <w:b/>
                <w:bCs/>
                <w:color w:val="FFFFFF" w:themeColor="background1"/>
              </w:rPr>
              <w:t>Timeframe</w:t>
            </w:r>
          </w:p>
        </w:tc>
      </w:tr>
      <w:tr w:rsidR="0087269A" w:rsidRPr="00FE78A9" w14:paraId="1975C255" w14:textId="77777777" w:rsidTr="0007391B">
        <w:trPr>
          <w:trHeight w:val="648"/>
        </w:trPr>
        <w:tc>
          <w:tcPr>
            <w:tcW w:w="7230" w:type="dxa"/>
            <w:tcBorders>
              <w:left w:val="nil"/>
            </w:tcBorders>
            <w:shd w:val="clear" w:color="auto" w:fill="E9E5E2"/>
            <w:vAlign w:val="center"/>
          </w:tcPr>
          <w:p w14:paraId="4E87A3AB" w14:textId="77777777" w:rsidR="0087269A" w:rsidRPr="009254A3" w:rsidRDefault="0087269A" w:rsidP="0007391B">
            <w:pPr>
              <w:pStyle w:val="Body"/>
              <w:spacing w:before="120" w:after="120"/>
              <w:rPr>
                <w:b/>
                <w:bCs/>
                <w:color w:val="595959" w:themeColor="text1" w:themeTint="A6"/>
              </w:rPr>
            </w:pPr>
            <w:r w:rsidRPr="009254A3">
              <w:rPr>
                <w:color w:val="595959" w:themeColor="text1" w:themeTint="A6"/>
              </w:rPr>
              <w:t>Undertake (and/or) update a SRPA for the organisation.</w:t>
            </w:r>
          </w:p>
        </w:tc>
        <w:tc>
          <w:tcPr>
            <w:tcW w:w="2137" w:type="dxa"/>
            <w:tcBorders>
              <w:right w:val="nil"/>
            </w:tcBorders>
            <w:shd w:val="clear" w:color="auto" w:fill="E9E5E2"/>
            <w:vAlign w:val="center"/>
          </w:tcPr>
          <w:p w14:paraId="449EC198" w14:textId="77777777" w:rsidR="0087269A" w:rsidRPr="009254A3" w:rsidRDefault="0087269A" w:rsidP="0007391B">
            <w:pPr>
              <w:pStyle w:val="Body"/>
              <w:spacing w:before="120" w:after="120"/>
              <w:jc w:val="center"/>
              <w:rPr>
                <w:b/>
                <w:bCs/>
                <w:color w:val="595959" w:themeColor="text1" w:themeTint="A6"/>
              </w:rPr>
            </w:pPr>
            <w:r w:rsidRPr="009254A3">
              <w:rPr>
                <w:b/>
                <w:bCs/>
                <w:color w:val="595959" w:themeColor="text1" w:themeTint="A6"/>
              </w:rPr>
              <w:t xml:space="preserve">Annual </w:t>
            </w:r>
            <w:r>
              <w:rPr>
                <w:b/>
                <w:bCs/>
                <w:color w:val="595959" w:themeColor="text1" w:themeTint="A6"/>
              </w:rPr>
              <w:br/>
            </w:r>
            <w:r w:rsidRPr="009254A3">
              <w:rPr>
                <w:i/>
                <w:iCs/>
                <w:color w:val="595959" w:themeColor="text1" w:themeTint="A6"/>
              </w:rPr>
              <w:t>(at least)</w:t>
            </w:r>
          </w:p>
        </w:tc>
      </w:tr>
      <w:tr w:rsidR="0087269A" w:rsidRPr="00FE78A9" w14:paraId="68508573" w14:textId="77777777" w:rsidTr="0007391B">
        <w:trPr>
          <w:trHeight w:val="20"/>
        </w:trPr>
        <w:tc>
          <w:tcPr>
            <w:tcW w:w="7230" w:type="dxa"/>
            <w:tcBorders>
              <w:left w:val="nil"/>
            </w:tcBorders>
            <w:shd w:val="clear" w:color="auto" w:fill="E9E5E2"/>
            <w:vAlign w:val="center"/>
          </w:tcPr>
          <w:p w14:paraId="55ACEFC0" w14:textId="77777777" w:rsidR="0087269A" w:rsidRPr="009254A3" w:rsidRDefault="0087269A" w:rsidP="0007391B">
            <w:pPr>
              <w:pStyle w:val="Body"/>
              <w:spacing w:before="120" w:after="120"/>
              <w:rPr>
                <w:b/>
                <w:bCs/>
                <w:color w:val="595959" w:themeColor="text1" w:themeTint="A6"/>
              </w:rPr>
            </w:pPr>
            <w:r w:rsidRPr="009254A3">
              <w:rPr>
                <w:color w:val="595959" w:themeColor="text1" w:themeTint="A6"/>
              </w:rPr>
              <w:t>Provide OVIC with an Attestation by the public sector body Head.</w:t>
            </w:r>
          </w:p>
        </w:tc>
        <w:tc>
          <w:tcPr>
            <w:tcW w:w="2137" w:type="dxa"/>
            <w:tcBorders>
              <w:right w:val="nil"/>
            </w:tcBorders>
            <w:shd w:val="clear" w:color="auto" w:fill="E9E5E2"/>
            <w:vAlign w:val="center"/>
          </w:tcPr>
          <w:p w14:paraId="66766D6B" w14:textId="77777777" w:rsidR="0087269A" w:rsidRPr="009254A3" w:rsidRDefault="0087269A" w:rsidP="0007391B">
            <w:pPr>
              <w:pStyle w:val="Body"/>
              <w:spacing w:before="120" w:after="120"/>
              <w:jc w:val="center"/>
              <w:rPr>
                <w:b/>
                <w:bCs/>
                <w:color w:val="595959" w:themeColor="text1" w:themeTint="A6"/>
              </w:rPr>
            </w:pPr>
            <w:r w:rsidRPr="009254A3">
              <w:rPr>
                <w:b/>
                <w:bCs/>
                <w:color w:val="595959" w:themeColor="text1" w:themeTint="A6"/>
              </w:rPr>
              <w:t>Annual</w:t>
            </w:r>
          </w:p>
        </w:tc>
      </w:tr>
      <w:tr w:rsidR="0087269A" w:rsidRPr="00FE78A9" w14:paraId="6C289096" w14:textId="77777777" w:rsidTr="0007391B">
        <w:trPr>
          <w:trHeight w:val="20"/>
        </w:trPr>
        <w:tc>
          <w:tcPr>
            <w:tcW w:w="7230" w:type="dxa"/>
            <w:tcBorders>
              <w:left w:val="nil"/>
            </w:tcBorders>
            <w:shd w:val="clear" w:color="auto" w:fill="E9E5E2"/>
            <w:vAlign w:val="center"/>
          </w:tcPr>
          <w:p w14:paraId="741C75F9" w14:textId="77777777" w:rsidR="0087269A" w:rsidRPr="009254A3" w:rsidRDefault="0087269A" w:rsidP="0007391B">
            <w:pPr>
              <w:pStyle w:val="Body"/>
              <w:spacing w:before="120" w:after="120"/>
              <w:rPr>
                <w:b/>
                <w:bCs/>
                <w:color w:val="595959" w:themeColor="text1" w:themeTint="A6"/>
              </w:rPr>
            </w:pPr>
            <w:r w:rsidRPr="009254A3">
              <w:rPr>
                <w:color w:val="595959" w:themeColor="text1" w:themeTint="A6"/>
              </w:rPr>
              <w:t>Submit a PDSP (including an Attestation) by the public sector body Head.</w:t>
            </w:r>
          </w:p>
        </w:tc>
        <w:tc>
          <w:tcPr>
            <w:tcW w:w="2137" w:type="dxa"/>
            <w:tcBorders>
              <w:right w:val="nil"/>
            </w:tcBorders>
            <w:shd w:val="clear" w:color="auto" w:fill="E9E5E2"/>
            <w:vAlign w:val="center"/>
          </w:tcPr>
          <w:p w14:paraId="02E6D290" w14:textId="77777777" w:rsidR="0087269A" w:rsidRPr="009254A3" w:rsidRDefault="0087269A" w:rsidP="0007391B">
            <w:pPr>
              <w:pStyle w:val="Body"/>
              <w:spacing w:before="120" w:after="120"/>
              <w:jc w:val="center"/>
              <w:rPr>
                <w:b/>
                <w:bCs/>
                <w:color w:val="595959" w:themeColor="text1" w:themeTint="A6"/>
              </w:rPr>
            </w:pPr>
            <w:r w:rsidRPr="009254A3">
              <w:rPr>
                <w:b/>
                <w:bCs/>
                <w:color w:val="595959" w:themeColor="text1" w:themeTint="A6"/>
              </w:rPr>
              <w:t xml:space="preserve">Biennial </w:t>
            </w:r>
            <w:r>
              <w:rPr>
                <w:b/>
                <w:bCs/>
                <w:color w:val="595959" w:themeColor="text1" w:themeTint="A6"/>
              </w:rPr>
              <w:br/>
            </w:r>
            <w:r w:rsidRPr="009254A3">
              <w:rPr>
                <w:i/>
                <w:iCs/>
                <w:color w:val="595959" w:themeColor="text1" w:themeTint="A6"/>
              </w:rPr>
              <w:t>(every 2 years)</w:t>
            </w:r>
          </w:p>
        </w:tc>
      </w:tr>
      <w:tr w:rsidR="0087269A" w:rsidRPr="00FE78A9" w14:paraId="0AF9FEDB" w14:textId="77777777" w:rsidTr="0007391B">
        <w:trPr>
          <w:trHeight w:val="20"/>
        </w:trPr>
        <w:tc>
          <w:tcPr>
            <w:tcW w:w="7230" w:type="dxa"/>
            <w:tcBorders>
              <w:left w:val="nil"/>
            </w:tcBorders>
            <w:shd w:val="clear" w:color="auto" w:fill="E9E5E2"/>
            <w:vAlign w:val="center"/>
          </w:tcPr>
          <w:p w14:paraId="6B3FC620" w14:textId="1CC99980" w:rsidR="0087269A" w:rsidRPr="009254A3" w:rsidRDefault="0087269A" w:rsidP="0007391B">
            <w:pPr>
              <w:pStyle w:val="Body"/>
              <w:spacing w:before="120" w:after="120"/>
              <w:rPr>
                <w:color w:val="595959" w:themeColor="text1" w:themeTint="A6"/>
              </w:rPr>
            </w:pPr>
            <w:r w:rsidRPr="009254A3">
              <w:rPr>
                <w:color w:val="595959" w:themeColor="text1" w:themeTint="A6"/>
              </w:rPr>
              <w:t>Submit an updated PDSP to OVIC, if there is significant change to the:</w:t>
            </w:r>
          </w:p>
          <w:p w14:paraId="08A09F4E" w14:textId="77777777" w:rsidR="0087269A" w:rsidRPr="009254A3" w:rsidRDefault="0087269A" w:rsidP="0007391B">
            <w:pPr>
              <w:pStyle w:val="Body"/>
              <w:widowControl/>
              <w:numPr>
                <w:ilvl w:val="0"/>
                <w:numId w:val="37"/>
              </w:numPr>
              <w:suppressAutoHyphens w:val="0"/>
              <w:autoSpaceDE/>
              <w:autoSpaceDN/>
              <w:adjustRightInd/>
              <w:spacing w:before="120" w:after="120"/>
              <w:ind w:left="567" w:hanging="357"/>
              <w:contextualSpacing/>
              <w:textAlignment w:val="auto"/>
              <w:rPr>
                <w:color w:val="595959" w:themeColor="text1" w:themeTint="A6"/>
              </w:rPr>
            </w:pPr>
            <w:r w:rsidRPr="009254A3">
              <w:rPr>
                <w:color w:val="595959" w:themeColor="text1" w:themeTint="A6"/>
              </w:rPr>
              <w:t xml:space="preserve">operating environment of the </w:t>
            </w:r>
            <w:r>
              <w:rPr>
                <w:color w:val="595959" w:themeColor="text1" w:themeTint="A6"/>
              </w:rPr>
              <w:t xml:space="preserve">VPS </w:t>
            </w:r>
            <w:r w:rsidRPr="009254A3">
              <w:rPr>
                <w:color w:val="595959" w:themeColor="text1" w:themeTint="A6"/>
              </w:rPr>
              <w:t xml:space="preserve">organisation; or </w:t>
            </w:r>
          </w:p>
          <w:p w14:paraId="150C398C" w14:textId="77777777" w:rsidR="0087269A" w:rsidRPr="009254A3" w:rsidRDefault="0087269A" w:rsidP="0007391B">
            <w:pPr>
              <w:pStyle w:val="Body"/>
              <w:widowControl/>
              <w:numPr>
                <w:ilvl w:val="0"/>
                <w:numId w:val="37"/>
              </w:numPr>
              <w:suppressAutoHyphens w:val="0"/>
              <w:autoSpaceDE/>
              <w:autoSpaceDN/>
              <w:adjustRightInd/>
              <w:spacing w:before="120" w:after="120"/>
              <w:ind w:left="567" w:hanging="357"/>
              <w:contextualSpacing/>
              <w:textAlignment w:val="auto"/>
              <w:rPr>
                <w:color w:val="595959" w:themeColor="text1" w:themeTint="A6"/>
              </w:rPr>
            </w:pPr>
            <w:r w:rsidRPr="009254A3">
              <w:rPr>
                <w:color w:val="595959" w:themeColor="text1" w:themeTint="A6"/>
              </w:rPr>
              <w:t xml:space="preserve">security risks relevant to the </w:t>
            </w:r>
            <w:r>
              <w:rPr>
                <w:color w:val="595959" w:themeColor="text1" w:themeTint="A6"/>
              </w:rPr>
              <w:t xml:space="preserve">VPS </w:t>
            </w:r>
            <w:r w:rsidRPr="009254A3">
              <w:rPr>
                <w:color w:val="595959" w:themeColor="text1" w:themeTint="A6"/>
              </w:rPr>
              <w:t>organisation.</w:t>
            </w:r>
          </w:p>
        </w:tc>
        <w:tc>
          <w:tcPr>
            <w:tcW w:w="2137" w:type="dxa"/>
            <w:tcBorders>
              <w:right w:val="nil"/>
            </w:tcBorders>
            <w:shd w:val="clear" w:color="auto" w:fill="E9E5E2"/>
            <w:vAlign w:val="center"/>
          </w:tcPr>
          <w:p w14:paraId="11086AE8" w14:textId="77777777" w:rsidR="0087269A" w:rsidRPr="009254A3" w:rsidRDefault="0087269A" w:rsidP="0007391B">
            <w:pPr>
              <w:pStyle w:val="Body"/>
              <w:spacing w:before="120" w:after="120"/>
              <w:jc w:val="center"/>
              <w:rPr>
                <w:color w:val="595959" w:themeColor="text1" w:themeTint="A6"/>
              </w:rPr>
            </w:pPr>
            <w:r>
              <w:rPr>
                <w:b/>
                <w:bCs/>
                <w:i/>
                <w:iCs/>
                <w:color w:val="595959" w:themeColor="text1" w:themeTint="A6"/>
              </w:rPr>
              <w:t>In consultation with OVIC</w:t>
            </w:r>
          </w:p>
        </w:tc>
      </w:tr>
      <w:tr w:rsidR="0087269A" w:rsidRPr="00FE78A9" w14:paraId="2B59FA2E" w14:textId="77777777" w:rsidTr="0007391B">
        <w:trPr>
          <w:trHeight w:val="20"/>
        </w:trPr>
        <w:tc>
          <w:tcPr>
            <w:tcW w:w="7230" w:type="dxa"/>
            <w:tcBorders>
              <w:left w:val="nil"/>
            </w:tcBorders>
            <w:shd w:val="clear" w:color="auto" w:fill="E9E5E2"/>
            <w:vAlign w:val="center"/>
          </w:tcPr>
          <w:p w14:paraId="33B2D05B" w14:textId="6852D5DC" w:rsidR="0087269A" w:rsidRPr="009254A3" w:rsidRDefault="0087269A" w:rsidP="0007391B">
            <w:pPr>
              <w:pStyle w:val="Body"/>
              <w:spacing w:before="120" w:after="120"/>
              <w:rPr>
                <w:b/>
                <w:bCs/>
                <w:i/>
                <w:iCs/>
                <w:color w:val="595959" w:themeColor="text1" w:themeTint="A6"/>
              </w:rPr>
            </w:pPr>
            <w:r w:rsidRPr="009254A3">
              <w:rPr>
                <w:color w:val="595959" w:themeColor="text1" w:themeTint="A6"/>
              </w:rPr>
              <w:t xml:space="preserve">Notify OVIC of any information security incidents that compromise the confidentiality, </w:t>
            </w:r>
            <w:r w:rsidR="0007391B" w:rsidRPr="009254A3">
              <w:rPr>
                <w:color w:val="595959" w:themeColor="text1" w:themeTint="A6"/>
              </w:rPr>
              <w:t>integrity,</w:t>
            </w:r>
            <w:r w:rsidRPr="009254A3">
              <w:rPr>
                <w:color w:val="595959" w:themeColor="text1" w:themeTint="A6"/>
              </w:rPr>
              <w:t xml:space="preserve"> or availability of public sector information, with a ‘limited’ business impact or higher, on government operations, </w:t>
            </w:r>
            <w:proofErr w:type="gramStart"/>
            <w:r w:rsidRPr="009254A3">
              <w:rPr>
                <w:color w:val="595959" w:themeColor="text1" w:themeTint="A6"/>
              </w:rPr>
              <w:t>organisations</w:t>
            </w:r>
            <w:proofErr w:type="gramEnd"/>
            <w:r w:rsidRPr="009254A3">
              <w:rPr>
                <w:color w:val="595959" w:themeColor="text1" w:themeTint="A6"/>
              </w:rPr>
              <w:t xml:space="preserve"> or individuals</w:t>
            </w:r>
            <w:r w:rsidR="00100D5B">
              <w:rPr>
                <w:rStyle w:val="FootnoteReference"/>
                <w:color w:val="595959" w:themeColor="text1" w:themeTint="A6"/>
              </w:rPr>
              <w:footnoteReference w:id="2"/>
            </w:r>
            <w:r w:rsidRPr="009254A3">
              <w:rPr>
                <w:color w:val="595959" w:themeColor="text1" w:themeTint="A6"/>
              </w:rPr>
              <w:t xml:space="preserve">.  </w:t>
            </w:r>
          </w:p>
        </w:tc>
        <w:tc>
          <w:tcPr>
            <w:tcW w:w="2137" w:type="dxa"/>
            <w:tcBorders>
              <w:right w:val="nil"/>
            </w:tcBorders>
            <w:shd w:val="clear" w:color="auto" w:fill="E9E5E2"/>
            <w:vAlign w:val="center"/>
          </w:tcPr>
          <w:p w14:paraId="6DF000C2" w14:textId="77777777" w:rsidR="0087269A" w:rsidRPr="009254A3" w:rsidRDefault="0087269A" w:rsidP="0007391B">
            <w:pPr>
              <w:pStyle w:val="Body"/>
              <w:spacing w:before="120" w:after="120"/>
              <w:jc w:val="center"/>
              <w:rPr>
                <w:color w:val="595959" w:themeColor="text1" w:themeTint="A6"/>
              </w:rPr>
            </w:pPr>
            <w:r w:rsidRPr="009254A3">
              <w:rPr>
                <w:b/>
                <w:bCs/>
                <w:i/>
                <w:iCs/>
                <w:color w:val="595959" w:themeColor="text1" w:themeTint="A6"/>
              </w:rPr>
              <w:t>As required</w:t>
            </w:r>
          </w:p>
        </w:tc>
      </w:tr>
    </w:tbl>
    <w:p w14:paraId="1BD9B4BD" w14:textId="77777777" w:rsidR="00031C02" w:rsidRDefault="00031C02" w:rsidP="00E92767">
      <w:pPr>
        <w:pStyle w:val="Body"/>
        <w:rPr>
          <w:rFonts w:cs="PostGrotesk-Medium"/>
          <w:b/>
          <w:bCs/>
        </w:rPr>
      </w:pPr>
    </w:p>
    <w:p w14:paraId="779E1E72" w14:textId="75049859" w:rsidR="00E92767" w:rsidRDefault="00E92767" w:rsidP="00E92767">
      <w:pPr>
        <w:pStyle w:val="Body"/>
        <w:rPr>
          <w:rFonts w:cs="PostGrotesk-Medium"/>
        </w:rPr>
      </w:pPr>
      <w:r w:rsidRPr="00E92767">
        <w:rPr>
          <w:rFonts w:cs="PostGrotesk-Medium"/>
          <w:b/>
          <w:bCs/>
        </w:rPr>
        <w:t>Please note:</w:t>
      </w:r>
      <w:r>
        <w:rPr>
          <w:rFonts w:cs="PostGrotesk-Medium"/>
        </w:rPr>
        <w:t xml:space="preserve"> </w:t>
      </w:r>
      <w:r w:rsidR="002D577B">
        <w:rPr>
          <w:rFonts w:cs="PostGrotesk-Medium"/>
        </w:rPr>
        <w:t>Organisations submitting</w:t>
      </w:r>
      <w:r>
        <w:rPr>
          <w:rFonts w:cs="PostGrotesk-Medium"/>
        </w:rPr>
        <w:t xml:space="preserve"> an ‘out of cycle’ PDSP, </w:t>
      </w:r>
      <w:r w:rsidR="00031C02">
        <w:rPr>
          <w:rFonts w:cs="PostGrotesk-Medium"/>
        </w:rPr>
        <w:t xml:space="preserve">must continue to adhere to </w:t>
      </w:r>
      <w:r>
        <w:rPr>
          <w:rFonts w:cs="PostGrotesk-Medium"/>
        </w:rPr>
        <w:t xml:space="preserve">the regular reporting cycle as outlined </w:t>
      </w:r>
      <w:r w:rsidR="002D577B">
        <w:rPr>
          <w:rFonts w:cs="PostGrotesk-Medium"/>
        </w:rPr>
        <w:t>in Section 8 of the VPDSF</w:t>
      </w:r>
      <w:r>
        <w:rPr>
          <w:rFonts w:cs="PostGrotesk-Medium"/>
        </w:rPr>
        <w:t>.</w:t>
      </w:r>
    </w:p>
    <w:p w14:paraId="2DE3181F" w14:textId="7C2115E7" w:rsidR="009F0D5B" w:rsidRDefault="009F0D5B">
      <w:pPr>
        <w:rPr>
          <w:rFonts w:cs="PostGrotesk-Medium"/>
          <w:color w:val="55565A"/>
          <w:sz w:val="22"/>
          <w:szCs w:val="22"/>
        </w:rPr>
      </w:pPr>
      <w:r>
        <w:rPr>
          <w:rFonts w:cs="PostGrotesk-Medium"/>
        </w:rPr>
        <w:br w:type="page"/>
      </w:r>
    </w:p>
    <w:p w14:paraId="02460D13" w14:textId="77777777" w:rsidR="002D577B" w:rsidRDefault="002D577B" w:rsidP="002D577B">
      <w:pPr>
        <w:spacing w:line="276" w:lineRule="auto"/>
        <w:ind w:right="-7"/>
        <w:rPr>
          <w:rFonts w:cs="PostGrotesk-Medium"/>
          <w:b/>
          <w:bCs/>
          <w:color w:val="430098"/>
          <w:sz w:val="28"/>
          <w:szCs w:val="28"/>
        </w:rPr>
      </w:pPr>
      <w:r>
        <w:rPr>
          <w:rFonts w:cs="PostGrotesk-Medium"/>
          <w:b/>
          <w:bCs/>
          <w:color w:val="430098"/>
          <w:sz w:val="28"/>
          <w:szCs w:val="28"/>
        </w:rPr>
        <w:lastRenderedPageBreak/>
        <w:t xml:space="preserve">Appendix A – </w:t>
      </w:r>
    </w:p>
    <w:p w14:paraId="54704F31" w14:textId="591AED89" w:rsidR="002D577B" w:rsidRDefault="002D577B" w:rsidP="002D577B">
      <w:pPr>
        <w:spacing w:line="276" w:lineRule="auto"/>
        <w:ind w:right="-7"/>
        <w:rPr>
          <w:rFonts w:cs="PostGrotesk-Medium"/>
          <w:color w:val="430098"/>
          <w:sz w:val="28"/>
          <w:szCs w:val="28"/>
        </w:rPr>
      </w:pPr>
      <w:bookmarkStart w:id="1" w:name="_Hlk70090032"/>
      <w:r w:rsidRPr="00A73C12">
        <w:rPr>
          <w:rFonts w:cs="PostGrotesk-Medium"/>
          <w:color w:val="430098"/>
          <w:sz w:val="28"/>
          <w:szCs w:val="28"/>
        </w:rPr>
        <w:t>Notification of Significant Change</w:t>
      </w:r>
      <w:r>
        <w:rPr>
          <w:rFonts w:cs="PostGrotesk-Medium"/>
          <w:color w:val="430098"/>
          <w:sz w:val="28"/>
          <w:szCs w:val="28"/>
        </w:rPr>
        <w:t xml:space="preserve"> form</w:t>
      </w:r>
    </w:p>
    <w:bookmarkEnd w:id="1"/>
    <w:p w14:paraId="739AFAF8" w14:textId="00F35D9F" w:rsidR="002D577B" w:rsidRDefault="002D577B" w:rsidP="002D577B">
      <w:pPr>
        <w:spacing w:line="276" w:lineRule="auto"/>
        <w:ind w:right="-7"/>
        <w:rPr>
          <w:rFonts w:cs="PostGrotesk-Medium"/>
          <w:color w:val="430098"/>
          <w:sz w:val="28"/>
          <w:szCs w:val="28"/>
        </w:rPr>
      </w:pPr>
    </w:p>
    <w:p w14:paraId="135B4B12" w14:textId="1E07F8A2" w:rsidR="00E00E05" w:rsidRDefault="006F6060" w:rsidP="00E00E05">
      <w:pPr>
        <w:spacing w:line="276" w:lineRule="auto"/>
        <w:ind w:right="-7"/>
        <w:jc w:val="center"/>
        <w:rPr>
          <w:rFonts w:cs="PostGrotesk-Medium"/>
          <w:color w:val="43009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98074" wp14:editId="1B5FDA25">
                <wp:simplePos x="0" y="0"/>
                <wp:positionH relativeFrom="column">
                  <wp:posOffset>1181455</wp:posOffset>
                </wp:positionH>
                <wp:positionV relativeFrom="paragraph">
                  <wp:posOffset>5089245</wp:posOffset>
                </wp:positionV>
                <wp:extent cx="490119" cy="299923"/>
                <wp:effectExtent l="0" t="0" r="5715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299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1CCA8" id="Rectangle 2" o:spid="_x0000_s1026" style="position:absolute;margin-left:93.05pt;margin-top:400.75pt;width:38.6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" fillcolor="white [3212]" stroked="f" strokeweight="2pt"/>
            </w:pict>
          </mc:Fallback>
        </mc:AlternateContent>
      </w:r>
      <w:r w:rsidR="00E00E05">
        <w:rPr>
          <w:noProof/>
        </w:rPr>
        <w:drawing>
          <wp:inline distT="0" distB="0" distL="0" distR="0" wp14:anchorId="01E0477B" wp14:editId="4AED9B16">
            <wp:extent cx="4182770" cy="5977645"/>
            <wp:effectExtent l="38100" t="38100" r="103505" b="996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8990" cy="598653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DA1C85" w14:textId="5B0F5F44" w:rsidR="0007391B" w:rsidRDefault="005D498A" w:rsidP="0007391B">
      <w:pPr>
        <w:spacing w:line="276" w:lineRule="auto"/>
        <w:ind w:right="-7"/>
        <w:rPr>
          <w:rFonts w:cs="PostGrotesk-Medium"/>
          <w:color w:val="430098"/>
          <w:sz w:val="28"/>
          <w:szCs w:val="28"/>
        </w:rPr>
      </w:pPr>
      <w:r>
        <w:t>Download a</w:t>
      </w:r>
      <w:r w:rsidR="0007391B">
        <w:t xml:space="preserve"> copy of the </w:t>
      </w:r>
      <w:hyperlink r:id="rId13" w:history="1">
        <w:r w:rsidR="0007391B" w:rsidRPr="005D498A">
          <w:rPr>
            <w:rStyle w:val="Hyperlink"/>
          </w:rPr>
          <w:t>Significant Change Notification Form</w:t>
        </w:r>
      </w:hyperlink>
      <w:r>
        <w:t>.</w:t>
      </w:r>
      <w:r w:rsidR="0007391B">
        <w:t xml:space="preserve"> </w:t>
      </w:r>
    </w:p>
    <w:p w14:paraId="24632DB2" w14:textId="77777777" w:rsidR="00C736EC" w:rsidRPr="0086734F" w:rsidRDefault="00C736EC" w:rsidP="00C736EC">
      <w:pPr>
        <w:pStyle w:val="FurtherInfo"/>
        <w:outlineLvl w:val="0"/>
      </w:pPr>
      <w:r w:rsidRPr="0086734F">
        <w:t>Further Infor</w:t>
      </w:r>
      <w:r w:rsidRPr="00372C3E">
        <w:t>mat</w:t>
      </w:r>
      <w:r w:rsidRPr="0086734F">
        <w:t>ion</w:t>
      </w:r>
    </w:p>
    <w:p w14:paraId="0BDCC056" w14:textId="77777777" w:rsidR="00C736EC" w:rsidRDefault="00C736EC" w:rsidP="00C736EC">
      <w:pPr>
        <w:pStyle w:val="BasicParagraph"/>
        <w:pBdr>
          <w:top w:val="single" w:sz="4" w:space="6" w:color="430098"/>
        </w:pBdr>
        <w:spacing w:after="170"/>
        <w:rPr>
          <w:rFonts w:ascii="PostGrotesk-Medium" w:hAnsi="PostGrotesk-Medium" w:cs="PostGrotesk-Medium"/>
          <w:color w:val="00A5B5"/>
        </w:rPr>
        <w:sectPr w:rsidR="00C736EC" w:rsidSect="0007391B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1134" w:right="1134" w:bottom="568" w:left="1134" w:header="142" w:footer="225" w:gutter="0"/>
          <w:cols w:space="720"/>
          <w:titlePg/>
          <w:docGrid w:linePitch="360"/>
        </w:sectPr>
      </w:pPr>
    </w:p>
    <w:p w14:paraId="2ECB5F56" w14:textId="77777777" w:rsidR="00C736EC" w:rsidRPr="00780584" w:rsidRDefault="00C736EC" w:rsidP="00C736EC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outlineLvl w:val="0"/>
        <w:rPr>
          <w:rFonts w:cs="PostGrotesk-Medium"/>
          <w:b/>
          <w:color w:val="55565A"/>
        </w:rPr>
      </w:pPr>
      <w:r w:rsidRPr="00780584">
        <w:rPr>
          <w:rFonts w:cs="PostGrotesk-Medium"/>
          <w:b/>
          <w:color w:val="55565A"/>
        </w:rPr>
        <w:t>Contact Us</w:t>
      </w:r>
    </w:p>
    <w:p w14:paraId="4B1533A5" w14:textId="75FBC5F1" w:rsidR="00C736EC" w:rsidRPr="00780584" w:rsidRDefault="00C736EC" w:rsidP="00C736EC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cs="PostGrotesk-Book"/>
          <w:color w:val="55565A"/>
          <w:sz w:val="22"/>
          <w:szCs w:val="22"/>
        </w:rPr>
      </w:pPr>
      <w:r w:rsidRPr="00780584">
        <w:rPr>
          <w:rFonts w:cs="PostGrotesk-Book"/>
          <w:b/>
          <w:color w:val="430098"/>
          <w:sz w:val="22"/>
          <w:szCs w:val="22"/>
        </w:rPr>
        <w:t>t:</w:t>
      </w:r>
      <w:r w:rsidRPr="00780584">
        <w:rPr>
          <w:rFonts w:cs="PostGrotesk-Book"/>
          <w:color w:val="55565A"/>
          <w:sz w:val="22"/>
          <w:szCs w:val="22"/>
        </w:rPr>
        <w:tab/>
        <w:t xml:space="preserve">1300 00 6842 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e:</w:t>
      </w:r>
      <w:r w:rsidRPr="00780584">
        <w:rPr>
          <w:rFonts w:cs="PostGrotesk-Book"/>
          <w:color w:val="55565A"/>
          <w:sz w:val="22"/>
          <w:szCs w:val="22"/>
        </w:rPr>
        <w:tab/>
      </w:r>
      <w:r w:rsidR="0087269A">
        <w:rPr>
          <w:rFonts w:cs="PostGrotesk-Book"/>
          <w:color w:val="55565A"/>
          <w:sz w:val="22"/>
          <w:szCs w:val="22"/>
        </w:rPr>
        <w:t>security</w:t>
      </w:r>
      <w:r w:rsidRPr="00780584">
        <w:rPr>
          <w:rFonts w:cs="PostGrotesk-Book"/>
          <w:color w:val="55565A"/>
          <w:sz w:val="22"/>
          <w:szCs w:val="22"/>
        </w:rPr>
        <w:t>@ovic.vic.gov.au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w:</w:t>
      </w:r>
      <w:r w:rsidRPr="00780584">
        <w:rPr>
          <w:rFonts w:cs="PostGrotesk-Book"/>
          <w:color w:val="55565A"/>
          <w:sz w:val="22"/>
          <w:szCs w:val="22"/>
        </w:rPr>
        <w:tab/>
        <w:t>ovic.vic.gov.au</w:t>
      </w:r>
      <w:r>
        <w:rPr>
          <w:rFonts w:cs="PostGrotesk-Book"/>
          <w:color w:val="55565A"/>
          <w:sz w:val="22"/>
          <w:szCs w:val="22"/>
        </w:rPr>
        <w:br w:type="column"/>
      </w:r>
      <w:r w:rsidRPr="00780584">
        <w:rPr>
          <w:rFonts w:cs="PostGrotesk-Medium"/>
          <w:b/>
          <w:color w:val="55565A"/>
        </w:rPr>
        <w:t xml:space="preserve">Disclaimer </w:t>
      </w:r>
    </w:p>
    <w:p w14:paraId="076B0CC6" w14:textId="02595AD3" w:rsidR="00C736EC" w:rsidRPr="00780584" w:rsidRDefault="00C736EC" w:rsidP="00C736EC">
      <w:pPr>
        <w:widowControl w:val="0"/>
        <w:suppressAutoHyphens/>
        <w:autoSpaceDE w:val="0"/>
        <w:autoSpaceDN w:val="0"/>
        <w:adjustRightInd w:val="0"/>
        <w:textAlignment w:val="center"/>
        <w:rPr>
          <w:rFonts w:cs="PostGrotesk-Book"/>
          <w:color w:val="55565A"/>
          <w:sz w:val="18"/>
          <w:szCs w:val="22"/>
        </w:rPr>
      </w:pPr>
      <w:r w:rsidRPr="00780584">
        <w:rPr>
          <w:rFonts w:cs="PostGrotesk-Book"/>
          <w:color w:val="55565A"/>
          <w:sz w:val="16"/>
          <w:szCs w:val="22"/>
        </w:rPr>
        <w:t>This fact sheet does not constitute legal advice and should not be used as a substitute for applying the provisions of the Freedom of Information Act 1982</w:t>
      </w:r>
      <w:r w:rsidR="00A14089">
        <w:rPr>
          <w:rFonts w:cs="PostGrotesk-Book"/>
          <w:color w:val="55565A"/>
          <w:sz w:val="16"/>
          <w:szCs w:val="22"/>
        </w:rPr>
        <w:t xml:space="preserve"> Privacy and Data Protection Act 2014</w:t>
      </w:r>
      <w:r w:rsidRPr="00780584">
        <w:rPr>
          <w:rFonts w:cs="PostGrotesk-Book"/>
          <w:color w:val="55565A"/>
          <w:sz w:val="16"/>
          <w:szCs w:val="22"/>
        </w:rPr>
        <w:t>, or any other legal requirement, to individual cases</w:t>
      </w:r>
      <w:r w:rsidRPr="00780584">
        <w:rPr>
          <w:rFonts w:cs="PostGrotesk-Book"/>
          <w:color w:val="55565A"/>
          <w:sz w:val="18"/>
          <w:szCs w:val="22"/>
        </w:rPr>
        <w:t>.</w:t>
      </w:r>
    </w:p>
    <w:p w14:paraId="30D5B483" w14:textId="77777777" w:rsidR="00C736EC" w:rsidRDefault="00C736EC" w:rsidP="00C736EC">
      <w:pPr>
        <w:pStyle w:val="Disclaimer"/>
      </w:pPr>
    </w:p>
    <w:p w14:paraId="117AE25B" w14:textId="77777777" w:rsidR="00C736EC" w:rsidRDefault="00C736EC" w:rsidP="00C736EC">
      <w:pPr>
        <w:pStyle w:val="SectionHeading1"/>
        <w:outlineLvl w:val="0"/>
        <w:sectPr w:rsidR="00C736EC" w:rsidSect="00A73C12">
          <w:headerReference w:type="even" r:id="rId19"/>
          <w:headerReference w:type="default" r:id="rId20"/>
          <w:headerReference w:type="first" r:id="rId21"/>
          <w:footerReference w:type="first" r:id="rId22"/>
          <w:type w:val="continuous"/>
          <w:pgSz w:w="11900" w:h="16840"/>
          <w:pgMar w:top="1134" w:right="1134" w:bottom="1134" w:left="1134" w:header="1134" w:footer="510" w:gutter="0"/>
          <w:cols w:num="2" w:space="720"/>
          <w:titlePg/>
          <w:docGrid w:linePitch="360"/>
        </w:sectPr>
      </w:pPr>
    </w:p>
    <w:p w14:paraId="324A6B97" w14:textId="77777777" w:rsidR="000677DA" w:rsidRDefault="000677DA" w:rsidP="00C736EC">
      <w:pPr>
        <w:pStyle w:val="SectionHeading1"/>
        <w:outlineLvl w:val="0"/>
      </w:pPr>
    </w:p>
    <w:sectPr w:rsidR="000677DA" w:rsidSect="00A73C12">
      <w:type w:val="continuous"/>
      <w:pgSz w:w="11900" w:h="16840"/>
      <w:pgMar w:top="1134" w:right="1134" w:bottom="1134" w:left="1134" w:header="113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E1E8" w14:textId="77777777" w:rsidR="00423CA3" w:rsidRDefault="00423CA3" w:rsidP="00B53C78">
      <w:r>
        <w:separator/>
      </w:r>
    </w:p>
  </w:endnote>
  <w:endnote w:type="continuationSeparator" w:id="0">
    <w:p w14:paraId="075B10FD" w14:textId="77777777" w:rsidR="00423CA3" w:rsidRDefault="00423CA3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libri"/>
    <w:charset w:val="00"/>
    <w:family w:val="auto"/>
    <w:pitch w:val="variable"/>
    <w:sig w:usb0="A000002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EB41" w14:textId="77777777" w:rsidR="008B4992" w:rsidRPr="00F4301B" w:rsidRDefault="00ED7EF6" w:rsidP="00F4301B">
    <w:pPr>
      <w:pStyle w:val="Footer"/>
      <w:jc w:val="right"/>
      <w:rPr>
        <w:sz w:val="22"/>
      </w:rPr>
    </w:pPr>
    <w:r w:rsidRPr="00F4301B">
      <w:rPr>
        <w:rFonts w:cs="Arial"/>
        <w:sz w:val="20"/>
      </w:rPr>
      <w:t xml:space="preserve">Freedom of Information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Privacy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Data Protection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9E63" w14:textId="3D8CA98C" w:rsidR="00A14089" w:rsidRPr="00A14089" w:rsidRDefault="0007391B" w:rsidP="00A14089">
    <w:pPr>
      <w:pStyle w:val="Footer"/>
      <w:spacing w:before="12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 xml:space="preserve">May </w:t>
    </w:r>
    <w:r w:rsidR="00C32F05" w:rsidRPr="00C32F05">
      <w:rPr>
        <w:rFonts w:cs="Arial"/>
        <w:i/>
        <w:iCs/>
        <w:sz w:val="20"/>
      </w:rPr>
      <w:t>2021</w:t>
    </w:r>
    <w:r w:rsidR="00A14089" w:rsidRPr="00C32F05">
      <w:rPr>
        <w:rFonts w:cs="Arial"/>
        <w:i/>
        <w:iCs/>
        <w:sz w:val="20"/>
      </w:rPr>
      <w:t xml:space="preserve"> – </w:t>
    </w:r>
    <w:r>
      <w:rPr>
        <w:rFonts w:cs="Arial"/>
        <w:i/>
        <w:iCs/>
        <w:sz w:val="20"/>
      </w:rPr>
      <w:t>V1.1</w:t>
    </w:r>
  </w:p>
  <w:p w14:paraId="37C19C43" w14:textId="6E19E2E0" w:rsidR="00CE7458" w:rsidRPr="009C5614" w:rsidRDefault="00ED7EF6" w:rsidP="009C5614">
    <w:pPr>
      <w:pStyle w:val="Footer"/>
      <w:spacing w:before="120"/>
      <w:jc w:val="right"/>
    </w:pPr>
    <w:r w:rsidRPr="009C5614">
      <w:rPr>
        <w:rFonts w:cs="Arial"/>
        <w:sz w:val="20"/>
      </w:rPr>
      <w:t xml:space="preserve">Freedom of Information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Privacy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Data Protection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B235" w14:textId="612F7D8A" w:rsidR="008B1683" w:rsidRPr="00A14089" w:rsidRDefault="0007391B" w:rsidP="008B1683">
    <w:pPr>
      <w:pStyle w:val="Footer"/>
      <w:spacing w:before="12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May</w:t>
    </w:r>
    <w:r w:rsidR="008B1683" w:rsidRPr="00C32F05">
      <w:rPr>
        <w:rFonts w:cs="Arial"/>
        <w:i/>
        <w:iCs/>
        <w:sz w:val="20"/>
      </w:rPr>
      <w:t xml:space="preserve"> 2021 – </w:t>
    </w:r>
    <w:r>
      <w:rPr>
        <w:rFonts w:cs="Arial"/>
        <w:i/>
        <w:iCs/>
        <w:sz w:val="20"/>
      </w:rPr>
      <w:t>V1.1</w:t>
    </w:r>
  </w:p>
  <w:p w14:paraId="72B6EE87" w14:textId="43AE7F5B" w:rsidR="00C736EC" w:rsidRDefault="008536E9" w:rsidP="006612A9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0519E2F1" wp14:editId="4D23EB8D">
          <wp:extent cx="3339465" cy="179070"/>
          <wp:effectExtent l="0" t="0" r="0" b="0"/>
          <wp:docPr id="91" name="Picture 91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A51" w14:textId="77777777" w:rsidR="00C736EC" w:rsidRDefault="008536E9" w:rsidP="006612A9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28C662B4" wp14:editId="5DC556E6">
          <wp:extent cx="3339465" cy="179070"/>
          <wp:effectExtent l="0" t="0" r="0" b="0"/>
          <wp:docPr id="94" name="Picture 94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A3B5" w14:textId="77777777" w:rsidR="00BD07DC" w:rsidRDefault="00BD07DC" w:rsidP="00BD07DC">
    <w:pPr>
      <w:pStyle w:val="Footer"/>
      <w:spacing w:before="240"/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4D00" w14:textId="77777777" w:rsidR="00423CA3" w:rsidRDefault="00423CA3" w:rsidP="00B53C78">
      <w:r>
        <w:separator/>
      </w:r>
    </w:p>
  </w:footnote>
  <w:footnote w:type="continuationSeparator" w:id="0">
    <w:p w14:paraId="632FC6BB" w14:textId="77777777" w:rsidR="00423CA3" w:rsidRDefault="00423CA3" w:rsidP="00B53C78">
      <w:r>
        <w:continuationSeparator/>
      </w:r>
    </w:p>
  </w:footnote>
  <w:footnote w:id="1">
    <w:p w14:paraId="7B420CA0" w14:textId="365B154B" w:rsidR="00223CFD" w:rsidRDefault="00223C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498A">
        <w:t xml:space="preserve">Download </w:t>
      </w:r>
      <w:r>
        <w:t xml:space="preserve">the </w:t>
      </w:r>
      <w:hyperlink r:id="rId1" w:history="1">
        <w:r w:rsidRPr="005D498A">
          <w:rPr>
            <w:rStyle w:val="Hyperlink"/>
          </w:rPr>
          <w:t>Significant Change Notification Form</w:t>
        </w:r>
      </w:hyperlink>
      <w:r w:rsidR="005D498A">
        <w:t>.</w:t>
      </w:r>
    </w:p>
    <w:p w14:paraId="5F4CB982" w14:textId="77777777" w:rsidR="00100D5B" w:rsidRDefault="00100D5B">
      <w:pPr>
        <w:pStyle w:val="FootnoteText"/>
      </w:pPr>
    </w:p>
  </w:footnote>
  <w:footnote w:id="2">
    <w:p w14:paraId="4683B566" w14:textId="6D1A23CE" w:rsidR="00100D5B" w:rsidRDefault="00100D5B">
      <w:pPr>
        <w:pStyle w:val="FootnoteText"/>
      </w:pPr>
      <w:r>
        <w:rPr>
          <w:rStyle w:val="FootnoteReference"/>
        </w:rPr>
        <w:footnoteRef/>
      </w:r>
      <w:r>
        <w:t xml:space="preserve"> Find out more about incident notification on </w:t>
      </w:r>
      <w:hyperlink r:id="rId2" w:history="1">
        <w:r w:rsidRPr="00100D5B">
          <w:rPr>
            <w:rStyle w:val="Hyperlink"/>
          </w:rPr>
          <w:t>OVIC’s website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CDEE" w14:textId="4819A214" w:rsidR="00C736EC" w:rsidRPr="00D70A8A" w:rsidRDefault="008536E9" w:rsidP="00C736E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27D0EB20" wp14:editId="14D8E453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41" name="Picture 41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78" w:rsidRPr="00B37C5F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0E6BDD">
      <w:rPr>
        <w:color w:val="430098"/>
        <w:sz w:val="26"/>
        <w:szCs w:val="26"/>
      </w:rPr>
      <w:t>AGENCIES and BODIES</w:t>
    </w:r>
  </w:p>
  <w:p w14:paraId="71721AAB" w14:textId="77777777" w:rsidR="00C736EC" w:rsidRPr="00B37C5F" w:rsidRDefault="00C736EC" w:rsidP="00C736EC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699E4C6A" w14:textId="79949F22" w:rsidR="00C736EC" w:rsidRPr="00142FDF" w:rsidRDefault="008536E9" w:rsidP="0013002E">
    <w:pPr>
      <w:pStyle w:val="DocumentTitle"/>
      <w:rPr>
        <w:color w:val="7F7F7F"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FBBF262" wp14:editId="484E7636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None/>
          <wp:docPr id="42" name="Picture 42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683">
      <w:rPr>
        <w:noProof/>
        <w:lang w:val="en-AU" w:eastAsia="en-AU"/>
      </w:rPr>
      <w:t xml:space="preserve">Significant Change </w:t>
    </w:r>
    <w:r w:rsidR="005A0CE0">
      <w:rPr>
        <w:noProof/>
        <w:lang w:val="en-AU" w:eastAsia="en-AU"/>
      </w:rPr>
      <w:t xml:space="preserve">under Part 4 of the Privacy and Data Protection Act (2014) </w:t>
    </w:r>
  </w:p>
  <w:p w14:paraId="78E66F59" w14:textId="283AD95A" w:rsidR="00B53C78" w:rsidRPr="00F87792" w:rsidRDefault="007B16C2" w:rsidP="00C736EC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>
      <w:rPr>
        <w:rFonts w:ascii="Arial" w:hAnsi="Arial" w:cs="Arial"/>
        <w:color w:val="555559"/>
        <w:sz w:val="30"/>
        <w:szCs w:val="30"/>
      </w:rPr>
      <w:t>Victorian Protective Data Security Framework and Standards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4D76" w14:textId="3E6ED0B7" w:rsidR="002867F0" w:rsidRDefault="0028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895F" w14:textId="3C49C277" w:rsidR="002867F0" w:rsidRDefault="002867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3FE1" w14:textId="1C31D2C0" w:rsidR="00C736EC" w:rsidRPr="00D70A8A" w:rsidRDefault="008536E9" w:rsidP="006612A9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61312" behindDoc="1" locked="0" layoutInCell="1" allowOverlap="1" wp14:anchorId="76105C4E" wp14:editId="6CB2259A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92" name="Picture 92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EC" w:rsidRPr="0070388B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C736EC" w:rsidRPr="00D70A8A">
      <w:rPr>
        <w:color w:val="430098"/>
        <w:sz w:val="26"/>
        <w:szCs w:val="26"/>
      </w:rPr>
      <w:t>THE PUBLIC/AGENCIES</w:t>
    </w:r>
  </w:p>
  <w:p w14:paraId="13D145D3" w14:textId="77777777" w:rsidR="00C736EC" w:rsidRPr="00B37C5F" w:rsidRDefault="00C736EC" w:rsidP="006612A9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5E707423" w14:textId="77777777" w:rsidR="00C736EC" w:rsidRPr="0070388B" w:rsidRDefault="008536E9" w:rsidP="006612A9">
    <w:pPr>
      <w:pStyle w:val="Header"/>
      <w:tabs>
        <w:tab w:val="clear" w:pos="4513"/>
        <w:tab w:val="clear" w:pos="9026"/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09597C29" wp14:editId="48FCE412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93" name="Picture 93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43D4E" w14:textId="77777777" w:rsidR="00C736EC" w:rsidRPr="002F0938" w:rsidRDefault="00C736EC" w:rsidP="006612A9">
    <w:pPr>
      <w:pStyle w:val="DocumentTitle"/>
      <w:spacing w:before="475"/>
      <w:rPr>
        <w:sz w:val="36"/>
        <w:szCs w:val="36"/>
      </w:rPr>
    </w:pPr>
    <w:r w:rsidRPr="002F0938">
      <w:rPr>
        <w:sz w:val="36"/>
        <w:szCs w:val="36"/>
      </w:rPr>
      <w:t>Document Title</w:t>
    </w:r>
  </w:p>
  <w:p w14:paraId="5850A3F7" w14:textId="77777777" w:rsidR="00C736EC" w:rsidRPr="002F0938" w:rsidRDefault="00C736EC" w:rsidP="006612A9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 w:rsidRPr="002F0938">
      <w:rPr>
        <w:rFonts w:ascii="Arial" w:hAnsi="Arial" w:cs="Arial"/>
        <w:color w:val="555559"/>
        <w:sz w:val="30"/>
        <w:szCs w:val="30"/>
      </w:rPr>
      <w:t>Document Subtitle</w:t>
    </w:r>
  </w:p>
  <w:p w14:paraId="28AF1146" w14:textId="77777777" w:rsidR="00C736EC" w:rsidRDefault="00C736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550B" w14:textId="0952C03C" w:rsidR="002867F0" w:rsidRDefault="002867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98AA" w14:textId="46A57578" w:rsidR="002867F0" w:rsidRDefault="002867F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D3A9" w14:textId="74B61BBB" w:rsidR="00BD07DC" w:rsidRPr="00B37C5F" w:rsidRDefault="00BD07DC" w:rsidP="00BD07D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72"/>
    <w:multiLevelType w:val="hybridMultilevel"/>
    <w:tmpl w:val="3306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BFD"/>
    <w:multiLevelType w:val="hybridMultilevel"/>
    <w:tmpl w:val="3F4A7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3E0"/>
    <w:multiLevelType w:val="hybridMultilevel"/>
    <w:tmpl w:val="034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6D7"/>
    <w:multiLevelType w:val="multilevel"/>
    <w:tmpl w:val="B3729A46"/>
    <w:numStyleLink w:val="111111"/>
  </w:abstractNum>
  <w:abstractNum w:abstractNumId="4" w15:restartNumberingAfterBreak="0">
    <w:nsid w:val="10DC0C01"/>
    <w:multiLevelType w:val="hybridMultilevel"/>
    <w:tmpl w:val="8D463B6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11E4FD5"/>
    <w:multiLevelType w:val="hybridMultilevel"/>
    <w:tmpl w:val="C14292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07EE1"/>
    <w:multiLevelType w:val="hybridMultilevel"/>
    <w:tmpl w:val="1CE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876"/>
    <w:multiLevelType w:val="hybridMultilevel"/>
    <w:tmpl w:val="4B624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2CC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2E7D"/>
    <w:multiLevelType w:val="hybridMultilevel"/>
    <w:tmpl w:val="4868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B1C"/>
    <w:multiLevelType w:val="hybridMultilevel"/>
    <w:tmpl w:val="3424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D0E05"/>
    <w:multiLevelType w:val="hybridMultilevel"/>
    <w:tmpl w:val="7592DE00"/>
    <w:lvl w:ilvl="0" w:tplc="78C4938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27B59"/>
    <w:multiLevelType w:val="hybridMultilevel"/>
    <w:tmpl w:val="F296154E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5376"/>
    <w:multiLevelType w:val="multilevel"/>
    <w:tmpl w:val="B3729A46"/>
    <w:styleLink w:val="111111"/>
    <w:lvl w:ilvl="0">
      <w:start w:val="1"/>
      <w:numFmt w:val="decimal"/>
      <w:pStyle w:val="Section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Subhead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F12F57"/>
    <w:multiLevelType w:val="hybridMultilevel"/>
    <w:tmpl w:val="10A4D6C8"/>
    <w:lvl w:ilvl="0" w:tplc="92DA17B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F214F8"/>
    <w:multiLevelType w:val="hybridMultilevel"/>
    <w:tmpl w:val="0D54B6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C3448E6E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813E19"/>
    <w:multiLevelType w:val="hybridMultilevel"/>
    <w:tmpl w:val="1810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4D3F"/>
    <w:multiLevelType w:val="hybridMultilevel"/>
    <w:tmpl w:val="59E2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4FE0"/>
    <w:multiLevelType w:val="hybridMultilevel"/>
    <w:tmpl w:val="01A8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C1BD2"/>
    <w:multiLevelType w:val="hybridMultilevel"/>
    <w:tmpl w:val="1D1AC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20A7"/>
    <w:multiLevelType w:val="hybridMultilevel"/>
    <w:tmpl w:val="BEE4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50FF4"/>
    <w:multiLevelType w:val="hybridMultilevel"/>
    <w:tmpl w:val="908A6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6D6D"/>
    <w:multiLevelType w:val="hybridMultilevel"/>
    <w:tmpl w:val="9056BF6A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94303"/>
    <w:multiLevelType w:val="hybridMultilevel"/>
    <w:tmpl w:val="FDE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57C76"/>
    <w:multiLevelType w:val="hybridMultilevel"/>
    <w:tmpl w:val="05C8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1A4A"/>
    <w:multiLevelType w:val="hybridMultilevel"/>
    <w:tmpl w:val="61DA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46E3B"/>
    <w:multiLevelType w:val="hybridMultilevel"/>
    <w:tmpl w:val="DE7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5FB9"/>
    <w:multiLevelType w:val="multilevel"/>
    <w:tmpl w:val="7B701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C5C5C"/>
      </w:rPr>
    </w:lvl>
    <w:lvl w:ilvl="1">
      <w:start w:val="1"/>
      <w:numFmt w:val="lowerLetter"/>
      <w:lvlText w:val="%2"/>
      <w:lvlJc w:val="left"/>
      <w:pPr>
        <w:ind w:left="426" w:hanging="360"/>
      </w:pPr>
      <w:rPr>
        <w:rFonts w:hint="default"/>
        <w:color w:val="463A7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85574"/>
    <w:multiLevelType w:val="hybridMultilevel"/>
    <w:tmpl w:val="FE7A4CD6"/>
    <w:lvl w:ilvl="0" w:tplc="66A40EC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E65E0"/>
    <w:multiLevelType w:val="hybridMultilevel"/>
    <w:tmpl w:val="3DAE9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C34E8D"/>
    <w:multiLevelType w:val="hybridMultilevel"/>
    <w:tmpl w:val="9A7E6B3A"/>
    <w:lvl w:ilvl="0" w:tplc="08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2" w15:restartNumberingAfterBreak="0">
    <w:nsid w:val="71E41750"/>
    <w:multiLevelType w:val="multilevel"/>
    <w:tmpl w:val="3646AC2E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color w:val="17365D" w:themeColor="text2" w:themeShade="BF"/>
      </w:rPr>
    </w:lvl>
    <w:lvl w:ilvl="1">
      <w:start w:val="5"/>
      <w:numFmt w:val="decimal"/>
      <w:isLgl/>
      <w:lvlText w:val="%1.%2"/>
      <w:lvlJc w:val="left"/>
      <w:pPr>
        <w:ind w:left="2337" w:hanging="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7" w:hanging="2520"/>
      </w:pPr>
      <w:rPr>
        <w:rFonts w:hint="default"/>
      </w:rPr>
    </w:lvl>
  </w:abstractNum>
  <w:abstractNum w:abstractNumId="33" w15:restartNumberingAfterBreak="0">
    <w:nsid w:val="74680ED9"/>
    <w:multiLevelType w:val="hybridMultilevel"/>
    <w:tmpl w:val="760C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86821"/>
    <w:multiLevelType w:val="hybridMultilevel"/>
    <w:tmpl w:val="13A0281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 w15:restartNumberingAfterBreak="0">
    <w:nsid w:val="79CE2C5F"/>
    <w:multiLevelType w:val="hybridMultilevel"/>
    <w:tmpl w:val="E684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43699"/>
    <w:multiLevelType w:val="hybridMultilevel"/>
    <w:tmpl w:val="A1026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29"/>
  </w:num>
  <w:num w:numId="5">
    <w:abstractNumId w:val="23"/>
  </w:num>
  <w:num w:numId="6">
    <w:abstractNumId w:val="24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35"/>
  </w:num>
  <w:num w:numId="13">
    <w:abstractNumId w:val="16"/>
  </w:num>
  <w:num w:numId="14">
    <w:abstractNumId w:val="8"/>
  </w:num>
  <w:num w:numId="15">
    <w:abstractNumId w:val="27"/>
  </w:num>
  <w:num w:numId="16">
    <w:abstractNumId w:val="2"/>
  </w:num>
  <w:num w:numId="17">
    <w:abstractNumId w:val="3"/>
    <w:lvlOverride w:ilvl="0">
      <w:lvl w:ilvl="0">
        <w:start w:val="1"/>
        <w:numFmt w:val="decimal"/>
        <w:pStyle w:val="SectionHeading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ectionSubhead"/>
        <w:suff w:val="space"/>
        <w:lvlText w:val="%1.%2."/>
        <w:lvlJc w:val="left"/>
        <w:pPr>
          <w:ind w:left="357" w:firstLine="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4"/>
  </w:num>
  <w:num w:numId="19">
    <w:abstractNumId w:val="17"/>
  </w:num>
  <w:num w:numId="20">
    <w:abstractNumId w:val="26"/>
  </w:num>
  <w:num w:numId="21">
    <w:abstractNumId w:val="30"/>
  </w:num>
  <w:num w:numId="22">
    <w:abstractNumId w:val="19"/>
  </w:num>
  <w:num w:numId="23">
    <w:abstractNumId w:val="31"/>
  </w:num>
  <w:num w:numId="24">
    <w:abstractNumId w:val="33"/>
  </w:num>
  <w:num w:numId="25">
    <w:abstractNumId w:val="32"/>
  </w:num>
  <w:num w:numId="26">
    <w:abstractNumId w:val="0"/>
  </w:num>
  <w:num w:numId="27">
    <w:abstractNumId w:val="28"/>
  </w:num>
  <w:num w:numId="28">
    <w:abstractNumId w:val="7"/>
  </w:num>
  <w:num w:numId="29">
    <w:abstractNumId w:val="13"/>
  </w:num>
  <w:num w:numId="30">
    <w:abstractNumId w:val="10"/>
  </w:num>
  <w:num w:numId="31">
    <w:abstractNumId w:val="5"/>
  </w:num>
  <w:num w:numId="32">
    <w:abstractNumId w:val="36"/>
  </w:num>
  <w:num w:numId="33">
    <w:abstractNumId w:val="34"/>
  </w:num>
  <w:num w:numId="34">
    <w:abstractNumId w:val="15"/>
  </w:num>
  <w:num w:numId="35">
    <w:abstractNumId w:val="20"/>
  </w:num>
  <w:num w:numId="36">
    <w:abstractNumId w:val="18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3"/>
    <w:rsid w:val="000164DB"/>
    <w:rsid w:val="000243CA"/>
    <w:rsid w:val="00031C02"/>
    <w:rsid w:val="000368D1"/>
    <w:rsid w:val="00064688"/>
    <w:rsid w:val="000677DA"/>
    <w:rsid w:val="0007391B"/>
    <w:rsid w:val="00077961"/>
    <w:rsid w:val="00091CB4"/>
    <w:rsid w:val="00096807"/>
    <w:rsid w:val="00096D0D"/>
    <w:rsid w:val="00097FEE"/>
    <w:rsid w:val="000A1167"/>
    <w:rsid w:val="000A71A2"/>
    <w:rsid w:val="000C50ED"/>
    <w:rsid w:val="000E6BDD"/>
    <w:rsid w:val="000E7FAE"/>
    <w:rsid w:val="000F3A12"/>
    <w:rsid w:val="000F52EA"/>
    <w:rsid w:val="00100D5B"/>
    <w:rsid w:val="00106E95"/>
    <w:rsid w:val="001159CB"/>
    <w:rsid w:val="00117FC2"/>
    <w:rsid w:val="0013002E"/>
    <w:rsid w:val="00132CAE"/>
    <w:rsid w:val="001362A0"/>
    <w:rsid w:val="00142FDF"/>
    <w:rsid w:val="00143E7B"/>
    <w:rsid w:val="00164A42"/>
    <w:rsid w:val="00176B1A"/>
    <w:rsid w:val="001A661D"/>
    <w:rsid w:val="001B56EF"/>
    <w:rsid w:val="001B733A"/>
    <w:rsid w:val="001B7786"/>
    <w:rsid w:val="001C3967"/>
    <w:rsid w:val="001D1F36"/>
    <w:rsid w:val="00212CF2"/>
    <w:rsid w:val="0021529A"/>
    <w:rsid w:val="0022333C"/>
    <w:rsid w:val="00223CFD"/>
    <w:rsid w:val="0023641B"/>
    <w:rsid w:val="00237CCF"/>
    <w:rsid w:val="00250289"/>
    <w:rsid w:val="0025217E"/>
    <w:rsid w:val="00252342"/>
    <w:rsid w:val="00260F3F"/>
    <w:rsid w:val="002867F0"/>
    <w:rsid w:val="00290CAD"/>
    <w:rsid w:val="002A36A6"/>
    <w:rsid w:val="002A48A0"/>
    <w:rsid w:val="002D577B"/>
    <w:rsid w:val="002E112D"/>
    <w:rsid w:val="002F5093"/>
    <w:rsid w:val="0030127F"/>
    <w:rsid w:val="00305D40"/>
    <w:rsid w:val="00322784"/>
    <w:rsid w:val="003447E4"/>
    <w:rsid w:val="00357871"/>
    <w:rsid w:val="0036085D"/>
    <w:rsid w:val="00365A31"/>
    <w:rsid w:val="00370F3D"/>
    <w:rsid w:val="00372C3E"/>
    <w:rsid w:val="00376609"/>
    <w:rsid w:val="003A7085"/>
    <w:rsid w:val="003B648E"/>
    <w:rsid w:val="003B7BAA"/>
    <w:rsid w:val="003F5DA4"/>
    <w:rsid w:val="003F7D9E"/>
    <w:rsid w:val="00403E0A"/>
    <w:rsid w:val="004155F4"/>
    <w:rsid w:val="0041597C"/>
    <w:rsid w:val="00423CA3"/>
    <w:rsid w:val="00436652"/>
    <w:rsid w:val="004534C9"/>
    <w:rsid w:val="00453ABD"/>
    <w:rsid w:val="004716B4"/>
    <w:rsid w:val="0048799A"/>
    <w:rsid w:val="00496AE7"/>
    <w:rsid w:val="004D7305"/>
    <w:rsid w:val="004F0502"/>
    <w:rsid w:val="00545285"/>
    <w:rsid w:val="00555602"/>
    <w:rsid w:val="005870C5"/>
    <w:rsid w:val="005A0CE0"/>
    <w:rsid w:val="005A3D0D"/>
    <w:rsid w:val="005A7D4B"/>
    <w:rsid w:val="005C4CFD"/>
    <w:rsid w:val="005D498A"/>
    <w:rsid w:val="005F0574"/>
    <w:rsid w:val="0061581B"/>
    <w:rsid w:val="006205EA"/>
    <w:rsid w:val="00620D36"/>
    <w:rsid w:val="00635E9F"/>
    <w:rsid w:val="006612A9"/>
    <w:rsid w:val="006713D1"/>
    <w:rsid w:val="006A6C67"/>
    <w:rsid w:val="006A73CB"/>
    <w:rsid w:val="006B1C0F"/>
    <w:rsid w:val="006D60FD"/>
    <w:rsid w:val="006E3707"/>
    <w:rsid w:val="006F16AE"/>
    <w:rsid w:val="006F6060"/>
    <w:rsid w:val="00706D7F"/>
    <w:rsid w:val="00723ACA"/>
    <w:rsid w:val="00760DDC"/>
    <w:rsid w:val="00765158"/>
    <w:rsid w:val="0078024B"/>
    <w:rsid w:val="007806E8"/>
    <w:rsid w:val="00790F28"/>
    <w:rsid w:val="007A3757"/>
    <w:rsid w:val="007A6964"/>
    <w:rsid w:val="007A72D2"/>
    <w:rsid w:val="007B16C2"/>
    <w:rsid w:val="007B268F"/>
    <w:rsid w:val="007C4B36"/>
    <w:rsid w:val="00801FE8"/>
    <w:rsid w:val="00852337"/>
    <w:rsid w:val="008536E9"/>
    <w:rsid w:val="00863040"/>
    <w:rsid w:val="008672FB"/>
    <w:rsid w:val="0086734F"/>
    <w:rsid w:val="00870FF3"/>
    <w:rsid w:val="0087269A"/>
    <w:rsid w:val="00874A01"/>
    <w:rsid w:val="008B1683"/>
    <w:rsid w:val="008B2028"/>
    <w:rsid w:val="008B4992"/>
    <w:rsid w:val="008B7923"/>
    <w:rsid w:val="008F106C"/>
    <w:rsid w:val="009236D4"/>
    <w:rsid w:val="00940F43"/>
    <w:rsid w:val="009445F4"/>
    <w:rsid w:val="009947EE"/>
    <w:rsid w:val="009B32E9"/>
    <w:rsid w:val="009C24DB"/>
    <w:rsid w:val="009C5614"/>
    <w:rsid w:val="009F0D5B"/>
    <w:rsid w:val="009F1202"/>
    <w:rsid w:val="009F4967"/>
    <w:rsid w:val="00A14089"/>
    <w:rsid w:val="00A33D6F"/>
    <w:rsid w:val="00A426EC"/>
    <w:rsid w:val="00A73C12"/>
    <w:rsid w:val="00A97476"/>
    <w:rsid w:val="00AA3540"/>
    <w:rsid w:val="00AC1C6A"/>
    <w:rsid w:val="00AC42E9"/>
    <w:rsid w:val="00AE13A1"/>
    <w:rsid w:val="00AE17AE"/>
    <w:rsid w:val="00AF7D1F"/>
    <w:rsid w:val="00B13606"/>
    <w:rsid w:val="00B177DA"/>
    <w:rsid w:val="00B31A3E"/>
    <w:rsid w:val="00B35926"/>
    <w:rsid w:val="00B369FA"/>
    <w:rsid w:val="00B37C5F"/>
    <w:rsid w:val="00B53C78"/>
    <w:rsid w:val="00BD07DC"/>
    <w:rsid w:val="00BD3962"/>
    <w:rsid w:val="00BD7D42"/>
    <w:rsid w:val="00C32F05"/>
    <w:rsid w:val="00C3451D"/>
    <w:rsid w:val="00C573CD"/>
    <w:rsid w:val="00C70965"/>
    <w:rsid w:val="00C730E0"/>
    <w:rsid w:val="00C736EC"/>
    <w:rsid w:val="00CA3B96"/>
    <w:rsid w:val="00CE7458"/>
    <w:rsid w:val="00CF74E7"/>
    <w:rsid w:val="00D1041B"/>
    <w:rsid w:val="00D12889"/>
    <w:rsid w:val="00D16793"/>
    <w:rsid w:val="00D267EC"/>
    <w:rsid w:val="00D32D00"/>
    <w:rsid w:val="00D34079"/>
    <w:rsid w:val="00D41EFF"/>
    <w:rsid w:val="00D42055"/>
    <w:rsid w:val="00D55490"/>
    <w:rsid w:val="00D723C1"/>
    <w:rsid w:val="00DA234D"/>
    <w:rsid w:val="00DB13A1"/>
    <w:rsid w:val="00DB2EF7"/>
    <w:rsid w:val="00DB55DB"/>
    <w:rsid w:val="00DD5F93"/>
    <w:rsid w:val="00DE2235"/>
    <w:rsid w:val="00E00E05"/>
    <w:rsid w:val="00E20E23"/>
    <w:rsid w:val="00E269C0"/>
    <w:rsid w:val="00E356E4"/>
    <w:rsid w:val="00E41D15"/>
    <w:rsid w:val="00E45B00"/>
    <w:rsid w:val="00E55B23"/>
    <w:rsid w:val="00E61AAE"/>
    <w:rsid w:val="00E77EAC"/>
    <w:rsid w:val="00E91DBD"/>
    <w:rsid w:val="00E92767"/>
    <w:rsid w:val="00ED7EF6"/>
    <w:rsid w:val="00EF06C1"/>
    <w:rsid w:val="00EF65B2"/>
    <w:rsid w:val="00F26274"/>
    <w:rsid w:val="00F36C34"/>
    <w:rsid w:val="00F4301B"/>
    <w:rsid w:val="00F509DE"/>
    <w:rsid w:val="00F6039B"/>
    <w:rsid w:val="00F87792"/>
    <w:rsid w:val="00FB00D2"/>
    <w:rsid w:val="00FB1808"/>
    <w:rsid w:val="00FD73CD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D64DA"/>
  <w14:defaultImageDpi w14:val="32767"/>
  <w15:docId w15:val="{733A0017-4117-BF45-B04B-3EC5CB6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42FDF"/>
    <w:pPr>
      <w:spacing w:line="387" w:lineRule="exact"/>
      <w:ind w:left="2133"/>
      <w:outlineLvl w:val="2"/>
    </w:pPr>
    <w:rPr>
      <w:rFonts w:ascii="Arial Unicode MS" w:eastAsia="Times New Roman" w:hAnsi="Arial Unicode MS"/>
      <w:color w:val="7F7F7F" w:themeColor="text1" w:themeTint="80"/>
      <w:sz w:val="30"/>
      <w:szCs w:val="3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0677D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unhideWhenUsed/>
    <w:rsid w:val="00D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D167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61581B"/>
    <w:rPr>
      <w:color w:val="430098"/>
      <w:w w:val="100"/>
      <w:u w:val="single" w:color="43009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1B"/>
    <w:rPr>
      <w:rFonts w:asciiTheme="minorHAnsi" w:eastAsia="Times New Roman" w:hAnsi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1B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158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89"/>
    <w:rPr>
      <w:rFonts w:ascii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uiPriority w:val="99"/>
    <w:rsid w:val="00A14089"/>
    <w:rPr>
      <w:w w:val="100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14089"/>
    <w:pPr>
      <w:numPr>
        <w:numId w:val="8"/>
      </w:numPr>
    </w:pPr>
  </w:style>
  <w:style w:type="paragraph" w:customStyle="1" w:styleId="SectionHeading">
    <w:name w:val="Section Heading"/>
    <w:basedOn w:val="Heading1"/>
    <w:qFormat/>
    <w:rsid w:val="00A14089"/>
    <w:pPr>
      <w:keepNext w:val="0"/>
      <w:keepLines w:val="0"/>
      <w:numPr>
        <w:numId w:val="9"/>
      </w:numPr>
      <w:spacing w:before="120" w:after="160" w:line="264" w:lineRule="auto"/>
      <w:ind w:left="720"/>
    </w:pPr>
    <w:rPr>
      <w:rFonts w:ascii="Calibri" w:eastAsia="Times New Roman" w:hAnsi="Calibri" w:cs="Times New Roman"/>
      <w:b/>
      <w:color w:val="5620A9"/>
      <w:sz w:val="22"/>
    </w:rPr>
  </w:style>
  <w:style w:type="paragraph" w:customStyle="1" w:styleId="SectionSubhead">
    <w:name w:val="Section Subhead"/>
    <w:basedOn w:val="Heading2"/>
    <w:qFormat/>
    <w:rsid w:val="00A14089"/>
    <w:pPr>
      <w:keepNext w:val="0"/>
      <w:keepLines w:val="0"/>
      <w:numPr>
        <w:ilvl w:val="1"/>
        <w:numId w:val="9"/>
      </w:numPr>
      <w:spacing w:before="120" w:after="160" w:line="264" w:lineRule="auto"/>
      <w:ind w:left="1440" w:hanging="360"/>
    </w:pPr>
    <w:rPr>
      <w:rFonts w:ascii="Calibri" w:eastAsia="Times New Roman" w:hAnsi="Calibri" w:cs="Times New Roman"/>
      <w:b/>
      <w:color w:val="55565A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089"/>
    <w:rPr>
      <w:rFonts w:ascii="Museo Sans" w:eastAsia="Museo Sans" w:hAnsi="Museo Sans" w:cs="Museo Sans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2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140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0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7B16C2"/>
    <w:pPr>
      <w:widowControl w:val="0"/>
      <w:autoSpaceDE w:val="0"/>
      <w:autoSpaceDN w:val="0"/>
    </w:pPr>
    <w:rPr>
      <w:rFonts w:ascii="Museo Sans" w:eastAsia="Museo Sans" w:hAnsi="Museo Sans" w:cs="Museo Sans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16C2"/>
    <w:rPr>
      <w:rFonts w:ascii="Museo Sans" w:eastAsia="Museo Sans" w:hAnsi="Museo Sans" w:cs="Museo Sans"/>
      <w:sz w:val="18"/>
      <w:szCs w:val="18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7B16C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36"/>
    <w:pPr>
      <w:widowControl/>
      <w:autoSpaceDE/>
      <w:autoSpaceDN/>
    </w:pPr>
    <w:rPr>
      <w:rFonts w:ascii="Calibri" w:eastAsia="Calibri" w:hAnsi="Calibri" w:cs="Times New Roman"/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36"/>
    <w:rPr>
      <w:rFonts w:ascii="Museo Sans" w:eastAsia="Museo Sans" w:hAnsi="Museo Sans" w:cs="Museo Sans"/>
      <w:b/>
      <w:bCs/>
      <w:lang w:val="en-GB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39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42FDF"/>
    <w:rPr>
      <w:rFonts w:ascii="Arial Unicode MS" w:eastAsia="Times New Roman" w:hAnsi="Arial Unicode MS"/>
      <w:color w:val="7F7F7F" w:themeColor="text1" w:themeTint="80"/>
      <w:sz w:val="30"/>
      <w:szCs w:val="30"/>
      <w:lang w:eastAsia="en-GB"/>
    </w:rPr>
  </w:style>
  <w:style w:type="paragraph" w:customStyle="1" w:styleId="Listbullet1">
    <w:name w:val="List bullet 1"/>
    <w:basedOn w:val="ListBullet2"/>
    <w:autoRedefine/>
    <w:qFormat/>
    <w:rsid w:val="00E269C0"/>
    <w:pPr>
      <w:spacing w:before="120" w:after="120"/>
      <w:ind w:left="720"/>
      <w:contextualSpacing w:val="0"/>
    </w:pPr>
    <w:rPr>
      <w:rFonts w:cs="Calibri"/>
      <w:w w:val="105"/>
      <w:sz w:val="22"/>
      <w:szCs w:val="22"/>
      <w:lang w:val="en-A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E269C0"/>
    <w:pPr>
      <w:ind w:left="360" w:hanging="360"/>
      <w:contextualSpacing/>
    </w:pPr>
  </w:style>
  <w:style w:type="paragraph" w:styleId="Revision">
    <w:name w:val="Revision"/>
    <w:hidden/>
    <w:uiPriority w:val="71"/>
    <w:semiHidden/>
    <w:rsid w:val="00117FC2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0D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0D5B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vic.vic.gov.au/wp-content/uploads/2021/05/20210512-Form-Notification-to-the-Information-Commissioner-of-Significant-Change-V1.0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urity@ovic.vic.gov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vic.vic.gov.au/data-protection/agency-reporting-obligations/incident-notification/" TargetMode="External"/><Relationship Id="rId1" Type="http://schemas.openxmlformats.org/officeDocument/2006/relationships/hyperlink" Target="https://ovic.vic.gov.au/wp-content/uploads/2021/05/20210512-Form-Notification-to-the-Information-Commissioner-of-Significant-Change-V1.0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08BB-8F00-8D4A-A0B2-C0A4C92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4002</Characters>
  <Application>Microsoft Office Word</Application>
  <DocSecurity>0</DocSecurity>
  <Lines>93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Brackin</cp:lastModifiedBy>
  <cp:revision>2</cp:revision>
  <cp:lastPrinted>2017-12-19T01:45:00Z</cp:lastPrinted>
  <dcterms:created xsi:type="dcterms:W3CDTF">2021-05-13T04:49:00Z</dcterms:created>
  <dcterms:modified xsi:type="dcterms:W3CDTF">2021-05-13T04:49:00Z</dcterms:modified>
</cp:coreProperties>
</file>