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59F5" w14:textId="5F9A8716" w:rsidR="00380066" w:rsidRPr="00517EB9" w:rsidRDefault="00380066" w:rsidP="00380066">
      <w:pPr>
        <w:pStyle w:val="NormalWeb"/>
        <w:shd w:val="clear" w:color="auto" w:fill="FFFFFF"/>
        <w:spacing w:before="120" w:beforeAutospacing="0" w:after="240" w:afterAutospacing="0"/>
        <w:rPr>
          <w:rFonts w:asciiTheme="minorHAnsi" w:hAnsiTheme="minorHAnsi" w:cstheme="minorHAnsi"/>
          <w:color w:val="292929"/>
          <w:sz w:val="22"/>
          <w:szCs w:val="22"/>
        </w:rPr>
      </w:pPr>
      <w:r w:rsidRPr="00517EB9">
        <w:rPr>
          <w:rFonts w:asciiTheme="minorHAnsi" w:hAnsiTheme="minorHAnsi" w:cstheme="minorHAnsi"/>
          <w:color w:val="292929"/>
          <w:sz w:val="22"/>
          <w:szCs w:val="22"/>
        </w:rPr>
        <w:t xml:space="preserve">In this case, Mr McLean (the </w:t>
      </w:r>
      <w:r w:rsidRPr="00517EB9">
        <w:rPr>
          <w:rStyle w:val="Strong"/>
          <w:rFonts w:asciiTheme="minorHAnsi" w:hAnsiTheme="minorHAnsi" w:cstheme="minorHAnsi"/>
          <w:color w:val="292929"/>
          <w:sz w:val="22"/>
          <w:szCs w:val="22"/>
        </w:rPr>
        <w:t>Applicant</w:t>
      </w:r>
      <w:r w:rsidRPr="00517EB9">
        <w:rPr>
          <w:rFonts w:asciiTheme="minorHAnsi" w:hAnsiTheme="minorHAnsi" w:cstheme="minorHAnsi"/>
          <w:color w:val="292929"/>
          <w:sz w:val="22"/>
          <w:szCs w:val="22"/>
        </w:rPr>
        <w:t xml:space="preserve">) sought to appeal a decision of the Supreme Court of Victoria. </w:t>
      </w:r>
      <w:r w:rsidR="0083228C">
        <w:rPr>
          <w:rFonts w:asciiTheme="minorHAnsi" w:hAnsiTheme="minorHAnsi" w:cstheme="minorHAnsi"/>
          <w:color w:val="292929"/>
          <w:sz w:val="22"/>
          <w:szCs w:val="22"/>
        </w:rPr>
        <w:t>T</w:t>
      </w:r>
      <w:r w:rsidRPr="00517EB9">
        <w:rPr>
          <w:rFonts w:asciiTheme="minorHAnsi" w:hAnsiTheme="minorHAnsi" w:cstheme="minorHAnsi"/>
          <w:color w:val="292929"/>
          <w:sz w:val="22"/>
          <w:szCs w:val="22"/>
        </w:rPr>
        <w:t xml:space="preserve">he Applicant sought a determination on whether Racing Victoria </w:t>
      </w:r>
      <w:r w:rsidR="00941BA1">
        <w:rPr>
          <w:rFonts w:asciiTheme="minorHAnsi" w:hAnsiTheme="minorHAnsi" w:cstheme="minorHAnsi"/>
          <w:color w:val="292929"/>
          <w:sz w:val="22"/>
          <w:szCs w:val="22"/>
        </w:rPr>
        <w:t xml:space="preserve">Limited </w:t>
      </w:r>
      <w:r w:rsidRPr="00517EB9">
        <w:rPr>
          <w:rFonts w:asciiTheme="minorHAnsi" w:hAnsiTheme="minorHAnsi" w:cstheme="minorHAnsi"/>
          <w:color w:val="292929"/>
          <w:sz w:val="22"/>
          <w:szCs w:val="22"/>
        </w:rPr>
        <w:t xml:space="preserve">(the </w:t>
      </w:r>
      <w:r w:rsidRPr="00517EB9">
        <w:rPr>
          <w:rStyle w:val="Strong"/>
          <w:rFonts w:asciiTheme="minorHAnsi" w:hAnsiTheme="minorHAnsi" w:cstheme="minorHAnsi"/>
          <w:color w:val="292929"/>
          <w:sz w:val="22"/>
          <w:szCs w:val="22"/>
        </w:rPr>
        <w:t>First Respondent</w:t>
      </w:r>
      <w:r w:rsidRPr="00517EB9">
        <w:rPr>
          <w:rFonts w:asciiTheme="minorHAnsi" w:hAnsiTheme="minorHAnsi" w:cstheme="minorHAnsi"/>
          <w:color w:val="292929"/>
          <w:sz w:val="22"/>
          <w:szCs w:val="22"/>
        </w:rPr>
        <w:t xml:space="preserve">) and the State of Victoria, namely Victoria Police, (the </w:t>
      </w:r>
      <w:r w:rsidRPr="00517EB9">
        <w:rPr>
          <w:rFonts w:asciiTheme="minorHAnsi" w:hAnsiTheme="minorHAnsi" w:cstheme="minorHAnsi"/>
          <w:b/>
          <w:bCs/>
          <w:color w:val="292929"/>
          <w:sz w:val="22"/>
          <w:szCs w:val="22"/>
        </w:rPr>
        <w:t>Second Respondent</w:t>
      </w:r>
      <w:r w:rsidRPr="00517EB9">
        <w:rPr>
          <w:rFonts w:asciiTheme="minorHAnsi" w:hAnsiTheme="minorHAnsi" w:cstheme="minorHAnsi"/>
          <w:color w:val="292929"/>
          <w:sz w:val="22"/>
          <w:szCs w:val="22"/>
        </w:rPr>
        <w:t xml:space="preserve">) owed him a duty of confidentiality in respect of items seized under warrant; whether there was any limitation on the use of information derived from </w:t>
      </w:r>
      <w:r w:rsidR="0083228C">
        <w:rPr>
          <w:rFonts w:asciiTheme="minorHAnsi" w:hAnsiTheme="minorHAnsi" w:cstheme="minorHAnsi"/>
          <w:color w:val="292929"/>
          <w:sz w:val="22"/>
          <w:szCs w:val="22"/>
        </w:rPr>
        <w:t>the items</w:t>
      </w:r>
      <w:r w:rsidRPr="00517EB9">
        <w:rPr>
          <w:rFonts w:asciiTheme="minorHAnsi" w:hAnsiTheme="minorHAnsi" w:cstheme="minorHAnsi"/>
          <w:color w:val="292929"/>
          <w:sz w:val="22"/>
          <w:szCs w:val="22"/>
        </w:rPr>
        <w:t xml:space="preserve"> seized by the Second Respondent; and what relief, if any, should follow.</w:t>
      </w:r>
    </w:p>
    <w:p w14:paraId="0917D091" w14:textId="0C437B1B" w:rsidR="00380066" w:rsidRPr="00517EB9" w:rsidRDefault="00380066" w:rsidP="00380066">
      <w:pPr>
        <w:pStyle w:val="NormalWeb"/>
        <w:shd w:val="clear" w:color="auto" w:fill="FFFFFF"/>
        <w:spacing w:before="120" w:beforeAutospacing="0" w:after="240" w:afterAutospacing="0"/>
        <w:rPr>
          <w:rFonts w:asciiTheme="minorHAnsi" w:hAnsiTheme="minorHAnsi" w:cstheme="minorHAnsi"/>
          <w:color w:val="292929"/>
          <w:sz w:val="22"/>
          <w:szCs w:val="22"/>
        </w:rPr>
      </w:pPr>
      <w:r w:rsidRPr="00517EB9">
        <w:rPr>
          <w:rFonts w:asciiTheme="minorHAnsi" w:hAnsiTheme="minorHAnsi" w:cstheme="minorHAnsi"/>
          <w:color w:val="292929"/>
          <w:sz w:val="22"/>
          <w:szCs w:val="22"/>
        </w:rPr>
        <w:t>On 10 September 2020, the Victorian Supreme Court of Appeal (</w:t>
      </w:r>
      <w:r w:rsidRPr="00517EB9">
        <w:rPr>
          <w:rStyle w:val="Strong"/>
          <w:rFonts w:asciiTheme="minorHAnsi" w:hAnsiTheme="minorHAnsi" w:cstheme="minorHAnsi"/>
          <w:b w:val="0"/>
          <w:bCs w:val="0"/>
          <w:color w:val="292929"/>
          <w:sz w:val="22"/>
          <w:szCs w:val="22"/>
        </w:rPr>
        <w:t>the</w:t>
      </w:r>
      <w:r w:rsidRPr="00517EB9">
        <w:rPr>
          <w:rStyle w:val="Strong"/>
          <w:rFonts w:asciiTheme="minorHAnsi" w:hAnsiTheme="minorHAnsi" w:cstheme="minorHAnsi"/>
          <w:color w:val="292929"/>
          <w:sz w:val="22"/>
          <w:szCs w:val="22"/>
        </w:rPr>
        <w:t xml:space="preserve"> Court</w:t>
      </w:r>
      <w:r w:rsidRPr="00517EB9">
        <w:rPr>
          <w:rFonts w:asciiTheme="minorHAnsi" w:hAnsiTheme="minorHAnsi" w:cstheme="minorHAnsi"/>
          <w:color w:val="292929"/>
          <w:sz w:val="22"/>
          <w:szCs w:val="22"/>
        </w:rPr>
        <w:t>) affirmed that the Second Respondent’s duty of confidentiality did not extend to the use of information derived from the seized items. The Court also found that the disclosure of this information to the First Respondent was authorised under Information Privacy Principle (</w:t>
      </w:r>
      <w:r w:rsidRPr="00517EB9">
        <w:rPr>
          <w:rFonts w:asciiTheme="minorHAnsi" w:hAnsiTheme="minorHAnsi" w:cstheme="minorHAnsi"/>
          <w:b/>
          <w:bCs/>
          <w:color w:val="292929"/>
          <w:sz w:val="22"/>
          <w:szCs w:val="22"/>
        </w:rPr>
        <w:t>IPPs</w:t>
      </w:r>
      <w:r w:rsidRPr="00517EB9">
        <w:rPr>
          <w:rFonts w:asciiTheme="minorHAnsi" w:hAnsiTheme="minorHAnsi" w:cstheme="minorHAnsi"/>
          <w:color w:val="292929"/>
          <w:sz w:val="22"/>
          <w:szCs w:val="22"/>
        </w:rPr>
        <w:t xml:space="preserve">) 2.1(e) and 2.1(g) of Schedule 1 of the </w:t>
      </w:r>
      <w:r w:rsidRPr="00517EB9">
        <w:rPr>
          <w:rFonts w:asciiTheme="minorHAnsi" w:hAnsiTheme="minorHAnsi" w:cstheme="minorHAnsi"/>
          <w:i/>
          <w:iCs/>
          <w:color w:val="292929"/>
          <w:sz w:val="22"/>
          <w:szCs w:val="22"/>
        </w:rPr>
        <w:t>Privacy and Data Protection Act 2014</w:t>
      </w:r>
      <w:r w:rsidRPr="00517EB9">
        <w:rPr>
          <w:rFonts w:asciiTheme="minorHAnsi" w:hAnsiTheme="minorHAnsi" w:cstheme="minorHAnsi"/>
          <w:color w:val="292929"/>
          <w:sz w:val="22"/>
          <w:szCs w:val="22"/>
        </w:rPr>
        <w:t xml:space="preserve"> (Vic) (the </w:t>
      </w:r>
      <w:r w:rsidRPr="00517EB9">
        <w:rPr>
          <w:rFonts w:asciiTheme="minorHAnsi" w:hAnsiTheme="minorHAnsi" w:cstheme="minorHAnsi"/>
          <w:b/>
          <w:bCs/>
          <w:color w:val="292929"/>
          <w:sz w:val="22"/>
          <w:szCs w:val="22"/>
        </w:rPr>
        <w:t>PDP Act</w:t>
      </w:r>
      <w:r w:rsidRPr="00517EB9">
        <w:rPr>
          <w:rFonts w:asciiTheme="minorHAnsi" w:hAnsiTheme="minorHAnsi" w:cstheme="minorHAnsi"/>
          <w:color w:val="292929"/>
          <w:sz w:val="22"/>
          <w:szCs w:val="22"/>
        </w:rPr>
        <w:t xml:space="preserve">). </w:t>
      </w:r>
      <w:hyperlink r:id="rId8" w:history="1">
        <w:r w:rsidR="00656D8D" w:rsidRPr="00656D8D">
          <w:rPr>
            <w:rStyle w:val="Hyperlink"/>
            <w:rFonts w:asciiTheme="minorHAnsi" w:hAnsiTheme="minorHAnsi" w:cstheme="minorHAnsi"/>
            <w:sz w:val="22"/>
            <w:szCs w:val="22"/>
          </w:rPr>
          <w:t>Read this decision</w:t>
        </w:r>
      </w:hyperlink>
      <w:r w:rsidR="00656D8D">
        <w:rPr>
          <w:rFonts w:asciiTheme="minorHAnsi" w:hAnsiTheme="minorHAnsi" w:cstheme="minorHAnsi"/>
          <w:color w:val="292929"/>
          <w:sz w:val="22"/>
          <w:szCs w:val="22"/>
        </w:rPr>
        <w:t>.</w:t>
      </w:r>
      <w:r w:rsidRPr="00517EB9">
        <w:rPr>
          <w:rFonts w:asciiTheme="minorHAnsi" w:hAnsiTheme="minorHAnsi" w:cstheme="minorHAnsi"/>
          <w:color w:val="292929"/>
          <w:sz w:val="22"/>
          <w:szCs w:val="22"/>
        </w:rPr>
        <w:t xml:space="preserve">  </w:t>
      </w:r>
    </w:p>
    <w:p w14:paraId="71A91155" w14:textId="77777777" w:rsidR="00380066" w:rsidRPr="00517EB9" w:rsidRDefault="00380066" w:rsidP="00380066">
      <w:pPr>
        <w:pStyle w:val="Heading2"/>
        <w:shd w:val="clear" w:color="auto" w:fill="FFFFFF"/>
        <w:spacing w:before="120" w:beforeAutospacing="0" w:after="240" w:afterAutospacing="0"/>
        <w:rPr>
          <w:rFonts w:asciiTheme="minorHAnsi" w:hAnsiTheme="minorHAnsi" w:cstheme="minorHAnsi"/>
          <w:b w:val="0"/>
          <w:bCs w:val="0"/>
          <w:color w:val="430098"/>
          <w:sz w:val="28"/>
          <w:szCs w:val="28"/>
        </w:rPr>
      </w:pPr>
      <w:r w:rsidRPr="00517EB9">
        <w:rPr>
          <w:rFonts w:asciiTheme="minorHAnsi" w:hAnsiTheme="minorHAnsi" w:cstheme="minorHAnsi"/>
          <w:b w:val="0"/>
          <w:bCs w:val="0"/>
          <w:color w:val="430098"/>
          <w:sz w:val="28"/>
          <w:szCs w:val="28"/>
        </w:rPr>
        <w:t>Lessons</w:t>
      </w:r>
    </w:p>
    <w:p w14:paraId="7E0ACEBB" w14:textId="77777777" w:rsidR="00380066" w:rsidRPr="00517EB9" w:rsidRDefault="00380066" w:rsidP="00380066">
      <w:pPr>
        <w:pStyle w:val="NormalWeb"/>
        <w:shd w:val="clear" w:color="auto" w:fill="FFFFFF"/>
        <w:spacing w:before="120" w:beforeAutospacing="0" w:after="240" w:afterAutospacing="0"/>
        <w:rPr>
          <w:rFonts w:asciiTheme="minorHAnsi" w:hAnsiTheme="minorHAnsi" w:cstheme="minorHAnsi"/>
          <w:color w:val="292929"/>
          <w:sz w:val="22"/>
          <w:szCs w:val="22"/>
        </w:rPr>
      </w:pPr>
      <w:r w:rsidRPr="00517EB9">
        <w:rPr>
          <w:rFonts w:asciiTheme="minorHAnsi" w:hAnsiTheme="minorHAnsi" w:cstheme="minorHAnsi"/>
          <w:color w:val="292929"/>
          <w:sz w:val="22"/>
          <w:szCs w:val="22"/>
        </w:rPr>
        <w:t>This is a noteworthy decision for Victorian public sector agencies subject to Part 3 of the PDP Act for the following reasons:</w:t>
      </w:r>
    </w:p>
    <w:p w14:paraId="44D2E5E4" w14:textId="77777777" w:rsidR="0083228C" w:rsidRDefault="00380066" w:rsidP="00380066">
      <w:pPr>
        <w:numPr>
          <w:ilvl w:val="0"/>
          <w:numId w:val="24"/>
        </w:num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t>The Court affirmed that the meaning of ‘unlawful activity’ in IPP 2.1(e) is not limited to criminal activity and encompasses activity contrary to rules and laws whether criminal or civil</w:t>
      </w:r>
      <w:r w:rsidR="0083228C">
        <w:rPr>
          <w:rFonts w:asciiTheme="minorHAnsi" w:hAnsiTheme="minorHAnsi" w:cstheme="minorHAnsi"/>
          <w:color w:val="292929"/>
          <w:sz w:val="22"/>
          <w:szCs w:val="22"/>
        </w:rPr>
        <w:t xml:space="preserve">. </w:t>
      </w:r>
    </w:p>
    <w:p w14:paraId="2F839E16" w14:textId="76B638CB" w:rsidR="00380066" w:rsidRPr="00517EB9" w:rsidRDefault="0083228C" w:rsidP="00380066">
      <w:pPr>
        <w:numPr>
          <w:ilvl w:val="0"/>
          <w:numId w:val="24"/>
        </w:numPr>
        <w:shd w:val="clear" w:color="auto" w:fill="FFFFFF"/>
        <w:spacing w:before="120" w:after="240"/>
        <w:rPr>
          <w:rFonts w:asciiTheme="minorHAnsi" w:hAnsiTheme="minorHAnsi" w:cstheme="minorHAnsi"/>
          <w:color w:val="292929"/>
          <w:sz w:val="22"/>
          <w:szCs w:val="22"/>
        </w:rPr>
      </w:pPr>
      <w:r>
        <w:rPr>
          <w:rFonts w:asciiTheme="minorHAnsi" w:hAnsiTheme="minorHAnsi" w:cstheme="minorHAnsi"/>
          <w:color w:val="292929"/>
          <w:sz w:val="22"/>
          <w:szCs w:val="22"/>
        </w:rPr>
        <w:t>The Court affirmed that the definition of law enforcement agency in s</w:t>
      </w:r>
      <w:r w:rsidR="00D76EA5">
        <w:rPr>
          <w:rFonts w:asciiTheme="minorHAnsi" w:hAnsiTheme="minorHAnsi" w:cstheme="minorHAnsi"/>
          <w:color w:val="292929"/>
          <w:sz w:val="22"/>
          <w:szCs w:val="22"/>
        </w:rPr>
        <w:t>ection</w:t>
      </w:r>
      <w:r>
        <w:rPr>
          <w:rFonts w:asciiTheme="minorHAnsi" w:hAnsiTheme="minorHAnsi" w:cstheme="minorHAnsi"/>
          <w:color w:val="292929"/>
          <w:sz w:val="22"/>
          <w:szCs w:val="22"/>
        </w:rPr>
        <w:t xml:space="preserve"> 3 of the PDP Act is broad and encompasses </w:t>
      </w:r>
      <w:r w:rsidR="00380066" w:rsidRPr="00517EB9">
        <w:rPr>
          <w:rFonts w:asciiTheme="minorHAnsi" w:hAnsiTheme="minorHAnsi" w:cstheme="minorHAnsi"/>
          <w:color w:val="292929"/>
          <w:sz w:val="22"/>
          <w:szCs w:val="22"/>
        </w:rPr>
        <w:t>any organisation to which the PDP Act applies</w:t>
      </w:r>
      <w:r>
        <w:rPr>
          <w:rFonts w:asciiTheme="minorHAnsi" w:hAnsiTheme="minorHAnsi" w:cstheme="minorHAnsi"/>
          <w:color w:val="292929"/>
          <w:sz w:val="22"/>
          <w:szCs w:val="22"/>
        </w:rPr>
        <w:t xml:space="preserve"> that</w:t>
      </w:r>
      <w:r w:rsidR="00380066" w:rsidRPr="00517EB9">
        <w:rPr>
          <w:rFonts w:asciiTheme="minorHAnsi" w:hAnsiTheme="minorHAnsi" w:cstheme="minorHAnsi"/>
          <w:color w:val="292929"/>
          <w:sz w:val="22"/>
          <w:szCs w:val="22"/>
        </w:rPr>
        <w:t xml:space="preserve"> may </w:t>
      </w:r>
      <w:r>
        <w:rPr>
          <w:rFonts w:asciiTheme="minorHAnsi" w:hAnsiTheme="minorHAnsi" w:cstheme="minorHAnsi"/>
          <w:color w:val="292929"/>
          <w:sz w:val="22"/>
          <w:szCs w:val="22"/>
        </w:rPr>
        <w:t>impose penalties and sanctions.</w:t>
      </w:r>
    </w:p>
    <w:p w14:paraId="321AB554" w14:textId="1AB98BBA" w:rsidR="00380066" w:rsidRPr="00517EB9" w:rsidRDefault="00380066" w:rsidP="00380066">
      <w:pPr>
        <w:pStyle w:val="ListParagraph"/>
        <w:numPr>
          <w:ilvl w:val="0"/>
          <w:numId w:val="24"/>
        </w:numPr>
        <w:rPr>
          <w:rFonts w:asciiTheme="minorHAnsi" w:eastAsia="Calibri" w:hAnsiTheme="minorHAnsi" w:cstheme="minorHAnsi"/>
          <w:color w:val="292929"/>
          <w:sz w:val="22"/>
          <w:szCs w:val="22"/>
          <w:lang w:val="en-GB" w:eastAsia="en-US"/>
        </w:rPr>
      </w:pPr>
      <w:r w:rsidRPr="00517EB9">
        <w:rPr>
          <w:rFonts w:asciiTheme="minorHAnsi" w:eastAsia="Calibri" w:hAnsiTheme="minorHAnsi" w:cstheme="minorHAnsi"/>
          <w:color w:val="292929"/>
          <w:sz w:val="22"/>
          <w:szCs w:val="22"/>
          <w:lang w:val="en-GB" w:eastAsia="en-US"/>
        </w:rPr>
        <w:t>The Court highlighted that the PDP Act does not create any cause of action other than those set out in the</w:t>
      </w:r>
      <w:r w:rsidR="00517EB9" w:rsidRPr="00517EB9">
        <w:rPr>
          <w:rFonts w:asciiTheme="minorHAnsi" w:eastAsia="Calibri" w:hAnsiTheme="minorHAnsi" w:cstheme="minorHAnsi"/>
          <w:color w:val="292929"/>
          <w:sz w:val="22"/>
          <w:szCs w:val="22"/>
          <w:lang w:val="en-GB" w:eastAsia="en-US"/>
        </w:rPr>
        <w:t xml:space="preserve"> PDP</w:t>
      </w:r>
      <w:r w:rsidRPr="00517EB9">
        <w:rPr>
          <w:rFonts w:asciiTheme="minorHAnsi" w:eastAsia="Calibri" w:hAnsiTheme="minorHAnsi" w:cstheme="minorHAnsi"/>
          <w:color w:val="292929"/>
          <w:sz w:val="22"/>
          <w:szCs w:val="22"/>
          <w:lang w:val="en-GB" w:eastAsia="en-US"/>
        </w:rPr>
        <w:t xml:space="preserve"> Act. </w:t>
      </w:r>
    </w:p>
    <w:p w14:paraId="45AB1A6D" w14:textId="77777777" w:rsidR="00380066" w:rsidRPr="00517EB9" w:rsidRDefault="00380066" w:rsidP="00380066">
      <w:pPr>
        <w:pStyle w:val="Heading2"/>
        <w:shd w:val="clear" w:color="auto" w:fill="FFFFFF"/>
        <w:spacing w:before="120" w:beforeAutospacing="0" w:after="240" w:afterAutospacing="0"/>
        <w:rPr>
          <w:rFonts w:asciiTheme="minorHAnsi" w:hAnsiTheme="minorHAnsi" w:cstheme="minorHAnsi"/>
          <w:b w:val="0"/>
          <w:bCs w:val="0"/>
          <w:color w:val="430098"/>
          <w:sz w:val="28"/>
          <w:szCs w:val="28"/>
        </w:rPr>
      </w:pPr>
      <w:r w:rsidRPr="00517EB9">
        <w:rPr>
          <w:rFonts w:asciiTheme="minorHAnsi" w:hAnsiTheme="minorHAnsi" w:cstheme="minorHAnsi"/>
          <w:b w:val="0"/>
          <w:bCs w:val="0"/>
          <w:color w:val="430098"/>
          <w:sz w:val="28"/>
          <w:szCs w:val="28"/>
        </w:rPr>
        <w:t>Background</w:t>
      </w:r>
    </w:p>
    <w:p w14:paraId="5021A94E" w14:textId="77777777" w:rsidR="00380066" w:rsidRPr="00517EB9" w:rsidRDefault="00380066" w:rsidP="00380066">
      <w:p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t xml:space="preserve">The Applicant is a licenced racehorse trainer and is subject to the Rules of Racing of the First Respondent. </w:t>
      </w:r>
    </w:p>
    <w:p w14:paraId="3668E9C8" w14:textId="0A99A73F" w:rsidR="00380066" w:rsidRPr="00517EB9" w:rsidRDefault="00380066" w:rsidP="00380066">
      <w:p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t xml:space="preserve">On 30 January 2019, the Second Respondent executed a search warrant under section 465 of the </w:t>
      </w:r>
      <w:r w:rsidRPr="00D76EA5">
        <w:rPr>
          <w:rFonts w:asciiTheme="minorHAnsi" w:hAnsiTheme="minorHAnsi" w:cstheme="minorHAnsi"/>
          <w:i/>
          <w:iCs/>
          <w:color w:val="292929"/>
          <w:sz w:val="22"/>
          <w:szCs w:val="22"/>
        </w:rPr>
        <w:t>Crimes Act</w:t>
      </w:r>
      <w:r w:rsidR="00D76EA5" w:rsidRPr="00D76EA5">
        <w:rPr>
          <w:rFonts w:asciiTheme="minorHAnsi" w:hAnsiTheme="minorHAnsi" w:cstheme="minorHAnsi"/>
          <w:i/>
          <w:iCs/>
          <w:color w:val="292929"/>
          <w:sz w:val="22"/>
          <w:szCs w:val="22"/>
        </w:rPr>
        <w:t xml:space="preserve"> 1958</w:t>
      </w:r>
      <w:r w:rsidR="00D76EA5">
        <w:rPr>
          <w:rFonts w:asciiTheme="minorHAnsi" w:hAnsiTheme="minorHAnsi" w:cstheme="minorHAnsi"/>
          <w:color w:val="292929"/>
          <w:sz w:val="22"/>
          <w:szCs w:val="22"/>
        </w:rPr>
        <w:t xml:space="preserve"> (Vic)</w:t>
      </w:r>
      <w:r w:rsidRPr="00517EB9">
        <w:rPr>
          <w:rFonts w:asciiTheme="minorHAnsi" w:hAnsiTheme="minorHAnsi" w:cstheme="minorHAnsi"/>
          <w:color w:val="292929"/>
          <w:sz w:val="22"/>
          <w:szCs w:val="22"/>
        </w:rPr>
        <w:t xml:space="preserve"> </w:t>
      </w:r>
      <w:r w:rsidR="00D76EA5">
        <w:rPr>
          <w:rFonts w:asciiTheme="minorHAnsi" w:hAnsiTheme="minorHAnsi" w:cstheme="minorHAnsi"/>
          <w:color w:val="292929"/>
          <w:sz w:val="22"/>
          <w:szCs w:val="22"/>
        </w:rPr>
        <w:t xml:space="preserve">(the </w:t>
      </w:r>
      <w:r w:rsidR="00D76EA5" w:rsidRPr="00D76EA5">
        <w:rPr>
          <w:rFonts w:asciiTheme="minorHAnsi" w:hAnsiTheme="minorHAnsi" w:cstheme="minorHAnsi"/>
          <w:b/>
          <w:bCs/>
          <w:color w:val="292929"/>
          <w:sz w:val="22"/>
          <w:szCs w:val="22"/>
        </w:rPr>
        <w:t>Crimes Act</w:t>
      </w:r>
      <w:r w:rsidR="00D76EA5">
        <w:rPr>
          <w:rFonts w:asciiTheme="minorHAnsi" w:hAnsiTheme="minorHAnsi" w:cstheme="minorHAnsi"/>
          <w:color w:val="292929"/>
          <w:sz w:val="22"/>
          <w:szCs w:val="22"/>
        </w:rPr>
        <w:t xml:space="preserve">) </w:t>
      </w:r>
      <w:r w:rsidRPr="00517EB9">
        <w:rPr>
          <w:rFonts w:asciiTheme="minorHAnsi" w:hAnsiTheme="minorHAnsi" w:cstheme="minorHAnsi"/>
          <w:color w:val="292929"/>
          <w:sz w:val="22"/>
          <w:szCs w:val="22"/>
        </w:rPr>
        <w:t>at the Applicant’s premises and seized 6 syringes labelled ‘</w:t>
      </w:r>
      <w:proofErr w:type="spellStart"/>
      <w:r w:rsidRPr="00517EB9">
        <w:rPr>
          <w:rFonts w:asciiTheme="minorHAnsi" w:hAnsiTheme="minorHAnsi" w:cstheme="minorHAnsi"/>
          <w:color w:val="292929"/>
          <w:sz w:val="22"/>
          <w:szCs w:val="22"/>
        </w:rPr>
        <w:t>Eprex</w:t>
      </w:r>
      <w:proofErr w:type="spellEnd"/>
      <w:r w:rsidRPr="00517EB9">
        <w:rPr>
          <w:rFonts w:asciiTheme="minorHAnsi" w:hAnsiTheme="minorHAnsi" w:cstheme="minorHAnsi"/>
          <w:color w:val="292929"/>
          <w:sz w:val="22"/>
          <w:szCs w:val="22"/>
        </w:rPr>
        <w:t xml:space="preserve"> 10,000’, among other items. On return of the warrant, a Magistrate authorised the forensic analysis of the syringes. The syringes were found to contain traces of equine blood and recombinant human erythropoietin (</w:t>
      </w:r>
      <w:r w:rsidRPr="00517EB9">
        <w:rPr>
          <w:rFonts w:asciiTheme="minorHAnsi" w:hAnsiTheme="minorHAnsi" w:cstheme="minorHAnsi"/>
          <w:b/>
          <w:bCs/>
          <w:color w:val="292929"/>
          <w:sz w:val="22"/>
          <w:szCs w:val="22"/>
        </w:rPr>
        <w:t>EPO</w:t>
      </w:r>
      <w:r w:rsidRPr="00517EB9">
        <w:rPr>
          <w:rFonts w:asciiTheme="minorHAnsi" w:hAnsiTheme="minorHAnsi" w:cstheme="minorHAnsi"/>
          <w:color w:val="292929"/>
          <w:sz w:val="22"/>
          <w:szCs w:val="22"/>
        </w:rPr>
        <w:t>). It is an offence to possess EPO without a prescription, and EPO is a prohibited substance under the Rules of Racing.</w:t>
      </w:r>
    </w:p>
    <w:p w14:paraId="71DD6C54" w14:textId="17A07E16" w:rsidR="00380066" w:rsidRPr="00517EB9" w:rsidRDefault="00380066" w:rsidP="00380066">
      <w:p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t xml:space="preserve">By letter, the Second Respondent informed the First Respondent that they had executed the search and found the syringes, and provided documents recording the results of the analysis. The Second Respondent did not provide the seized items. The Second Respondent </w:t>
      </w:r>
      <w:r w:rsidR="00D76EA5">
        <w:rPr>
          <w:rFonts w:asciiTheme="minorHAnsi" w:hAnsiTheme="minorHAnsi" w:cstheme="minorHAnsi"/>
          <w:color w:val="292929"/>
          <w:sz w:val="22"/>
          <w:szCs w:val="22"/>
        </w:rPr>
        <w:t>noted</w:t>
      </w:r>
      <w:r w:rsidRPr="00517EB9">
        <w:rPr>
          <w:rFonts w:asciiTheme="minorHAnsi" w:hAnsiTheme="minorHAnsi" w:cstheme="minorHAnsi"/>
          <w:color w:val="292929"/>
          <w:sz w:val="22"/>
          <w:szCs w:val="22"/>
        </w:rPr>
        <w:t xml:space="preserve"> that it referred the information to First Respondent </w:t>
      </w:r>
      <w:r w:rsidR="00706E91" w:rsidRPr="00517EB9">
        <w:rPr>
          <w:rFonts w:asciiTheme="minorHAnsi" w:hAnsiTheme="minorHAnsi" w:cstheme="minorHAnsi"/>
          <w:color w:val="292929"/>
          <w:sz w:val="22"/>
          <w:szCs w:val="22"/>
        </w:rPr>
        <w:t xml:space="preserve">‘as </w:t>
      </w:r>
      <w:r w:rsidRPr="00517EB9">
        <w:rPr>
          <w:rFonts w:asciiTheme="minorHAnsi" w:hAnsiTheme="minorHAnsi" w:cstheme="minorHAnsi"/>
          <w:color w:val="292929"/>
          <w:sz w:val="22"/>
          <w:szCs w:val="22"/>
        </w:rPr>
        <w:t>offences may have been committed against the Rules of Racing</w:t>
      </w:r>
      <w:r w:rsidR="00706E91" w:rsidRPr="00517EB9">
        <w:rPr>
          <w:rFonts w:asciiTheme="minorHAnsi" w:hAnsiTheme="minorHAnsi" w:cstheme="minorHAnsi"/>
          <w:color w:val="292929"/>
          <w:sz w:val="22"/>
          <w:szCs w:val="22"/>
        </w:rPr>
        <w:t>’.</w:t>
      </w:r>
    </w:p>
    <w:p w14:paraId="5691C814" w14:textId="156829C6" w:rsidR="00380066" w:rsidRPr="00517EB9" w:rsidRDefault="00380066" w:rsidP="00380066">
      <w:p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t xml:space="preserve">Based on the information received from the Second Respondent, the First Respondent formed the view that there were reasonable grounds to suspect the Applicant </w:t>
      </w:r>
      <w:r w:rsidR="00706E91" w:rsidRPr="00517EB9">
        <w:rPr>
          <w:rFonts w:asciiTheme="minorHAnsi" w:hAnsiTheme="minorHAnsi" w:cstheme="minorHAnsi"/>
          <w:color w:val="292929"/>
          <w:sz w:val="22"/>
          <w:szCs w:val="22"/>
        </w:rPr>
        <w:t>had committed breaches</w:t>
      </w:r>
      <w:r w:rsidRPr="00517EB9">
        <w:rPr>
          <w:rFonts w:asciiTheme="minorHAnsi" w:hAnsiTheme="minorHAnsi" w:cstheme="minorHAnsi"/>
          <w:color w:val="292929"/>
          <w:sz w:val="22"/>
          <w:szCs w:val="22"/>
        </w:rPr>
        <w:t xml:space="preserve"> </w:t>
      </w:r>
      <w:r w:rsidR="00B174EF">
        <w:rPr>
          <w:rFonts w:asciiTheme="minorHAnsi" w:hAnsiTheme="minorHAnsi" w:cstheme="minorHAnsi"/>
          <w:color w:val="292929"/>
          <w:sz w:val="22"/>
          <w:szCs w:val="22"/>
        </w:rPr>
        <w:t xml:space="preserve">of </w:t>
      </w:r>
      <w:r w:rsidRPr="00517EB9">
        <w:rPr>
          <w:rFonts w:asciiTheme="minorHAnsi" w:hAnsiTheme="minorHAnsi" w:cstheme="minorHAnsi"/>
          <w:color w:val="292929"/>
          <w:sz w:val="22"/>
          <w:szCs w:val="22"/>
        </w:rPr>
        <w:t xml:space="preserve">the Rules of Racing and notified the Applicant of its intention to </w:t>
      </w:r>
      <w:r w:rsidR="00706E91" w:rsidRPr="00517EB9">
        <w:rPr>
          <w:rFonts w:asciiTheme="minorHAnsi" w:hAnsiTheme="minorHAnsi" w:cstheme="minorHAnsi"/>
          <w:color w:val="292929"/>
          <w:sz w:val="22"/>
          <w:szCs w:val="22"/>
        </w:rPr>
        <w:t>lay charges for breach of those rules.</w:t>
      </w:r>
      <w:r w:rsidRPr="00517EB9">
        <w:rPr>
          <w:rFonts w:asciiTheme="minorHAnsi" w:hAnsiTheme="minorHAnsi" w:cstheme="minorHAnsi"/>
          <w:color w:val="292929"/>
          <w:sz w:val="22"/>
          <w:szCs w:val="22"/>
        </w:rPr>
        <w:t xml:space="preserve"> The First Respondent asked the Applicant to show cause why he ought not be suspended pending a hearing and determination of the charges. Later that day, the Applicant sought an order restraining the First Respondent from acting on the information received from the Second Respondent.</w:t>
      </w:r>
    </w:p>
    <w:p w14:paraId="31B580F5" w14:textId="02EB91D5" w:rsidR="00380066" w:rsidRPr="00517EB9" w:rsidRDefault="00380066" w:rsidP="00380066">
      <w:p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lastRenderedPageBreak/>
        <w:t xml:space="preserve">In the </w:t>
      </w:r>
      <w:r w:rsidR="005C4B4F" w:rsidRPr="00517EB9">
        <w:rPr>
          <w:rFonts w:asciiTheme="minorHAnsi" w:hAnsiTheme="minorHAnsi" w:cstheme="minorHAnsi"/>
          <w:color w:val="292929"/>
          <w:sz w:val="22"/>
          <w:szCs w:val="22"/>
        </w:rPr>
        <w:t xml:space="preserve">hearing at the </w:t>
      </w:r>
      <w:r w:rsidRPr="00517EB9">
        <w:rPr>
          <w:rFonts w:asciiTheme="minorHAnsi" w:hAnsiTheme="minorHAnsi" w:cstheme="minorHAnsi"/>
          <w:color w:val="292929"/>
          <w:sz w:val="22"/>
          <w:szCs w:val="22"/>
        </w:rPr>
        <w:t xml:space="preserve">Supreme Court of Victoria, the Applicant submitted that the information obtained </w:t>
      </w:r>
      <w:proofErr w:type="gramStart"/>
      <w:r w:rsidRPr="00517EB9">
        <w:rPr>
          <w:rFonts w:asciiTheme="minorHAnsi" w:hAnsiTheme="minorHAnsi" w:cstheme="minorHAnsi"/>
          <w:color w:val="292929"/>
          <w:sz w:val="22"/>
          <w:szCs w:val="22"/>
        </w:rPr>
        <w:t>as a consequence of</w:t>
      </w:r>
      <w:proofErr w:type="gramEnd"/>
      <w:r w:rsidRPr="00517EB9">
        <w:rPr>
          <w:rFonts w:asciiTheme="minorHAnsi" w:hAnsiTheme="minorHAnsi" w:cstheme="minorHAnsi"/>
          <w:color w:val="292929"/>
          <w:sz w:val="22"/>
          <w:szCs w:val="22"/>
        </w:rPr>
        <w:t xml:space="preserve"> the exercise of a coercive power could only be used for the purpose for which the power was conferred and not otherwise. He</w:t>
      </w:r>
      <w:r w:rsidR="005C4B4F" w:rsidRPr="00517EB9">
        <w:rPr>
          <w:rFonts w:asciiTheme="minorHAnsi" w:hAnsiTheme="minorHAnsi" w:cstheme="minorHAnsi"/>
          <w:color w:val="292929"/>
          <w:sz w:val="22"/>
          <w:szCs w:val="22"/>
        </w:rPr>
        <w:t xml:space="preserve"> also </w:t>
      </w:r>
      <w:r w:rsidRPr="00517EB9">
        <w:rPr>
          <w:rFonts w:asciiTheme="minorHAnsi" w:hAnsiTheme="minorHAnsi" w:cstheme="minorHAnsi"/>
          <w:color w:val="292929"/>
          <w:sz w:val="22"/>
          <w:szCs w:val="22"/>
        </w:rPr>
        <w:t>argued that the Second Respondent had a positive duty of confidentiality in relation to the items seized under warrant and that that duty also applied to any information derived from those items. The Applicant submitted</w:t>
      </w:r>
      <w:r w:rsidR="00B174EF">
        <w:rPr>
          <w:rFonts w:asciiTheme="minorHAnsi" w:hAnsiTheme="minorHAnsi" w:cstheme="minorHAnsi"/>
          <w:color w:val="292929"/>
          <w:sz w:val="22"/>
          <w:szCs w:val="22"/>
        </w:rPr>
        <w:t xml:space="preserve"> that</w:t>
      </w:r>
      <w:r w:rsidRPr="00517EB9">
        <w:rPr>
          <w:rFonts w:asciiTheme="minorHAnsi" w:hAnsiTheme="minorHAnsi" w:cstheme="minorHAnsi"/>
          <w:color w:val="292929"/>
          <w:sz w:val="22"/>
          <w:szCs w:val="22"/>
        </w:rPr>
        <w:t xml:space="preserve"> the only use that could lawfully be made of the information derived from the things seized under warrant was for the investigation and prosecution of indictable offences.</w:t>
      </w:r>
    </w:p>
    <w:p w14:paraId="1B20FABE" w14:textId="52F4E5ED" w:rsidR="00380066" w:rsidRPr="00517EB9" w:rsidRDefault="00380066" w:rsidP="00380066">
      <w:pPr>
        <w:shd w:val="clear" w:color="auto" w:fill="FFFFFF"/>
        <w:spacing w:before="120" w:after="240"/>
        <w:rPr>
          <w:color w:val="292929"/>
          <w:sz w:val="22"/>
          <w:szCs w:val="22"/>
        </w:rPr>
      </w:pPr>
      <w:r w:rsidRPr="00517EB9">
        <w:rPr>
          <w:rFonts w:asciiTheme="minorHAnsi" w:hAnsiTheme="minorHAnsi" w:cstheme="minorHAnsi"/>
          <w:color w:val="292929"/>
          <w:sz w:val="22"/>
          <w:szCs w:val="22"/>
        </w:rPr>
        <w:t xml:space="preserve">On 18 October 2019, the Supreme Court </w:t>
      </w:r>
      <w:r w:rsidR="005C4B4F" w:rsidRPr="00517EB9">
        <w:rPr>
          <w:rFonts w:asciiTheme="minorHAnsi" w:hAnsiTheme="minorHAnsi" w:cstheme="minorHAnsi"/>
          <w:color w:val="292929"/>
          <w:sz w:val="22"/>
          <w:szCs w:val="22"/>
        </w:rPr>
        <w:t xml:space="preserve">held that </w:t>
      </w:r>
      <w:r w:rsidRPr="00517EB9">
        <w:rPr>
          <w:color w:val="292929"/>
          <w:sz w:val="22"/>
          <w:szCs w:val="22"/>
        </w:rPr>
        <w:t xml:space="preserve">evidence of observations made during the execution of a search warrant under section 465 of the Crimes Act, or information derived from things seized under the warrant, </w:t>
      </w:r>
      <w:r w:rsidR="00A853A1" w:rsidRPr="00517EB9">
        <w:rPr>
          <w:color w:val="292929"/>
          <w:sz w:val="22"/>
          <w:szCs w:val="22"/>
        </w:rPr>
        <w:t>are not</w:t>
      </w:r>
      <w:r w:rsidRPr="00517EB9">
        <w:rPr>
          <w:color w:val="292929"/>
          <w:sz w:val="22"/>
          <w:szCs w:val="22"/>
        </w:rPr>
        <w:t xml:space="preserve"> subject to any limitation or duty of implied confidentiality. The Supreme Court highlighted</w:t>
      </w:r>
      <w:r w:rsidRPr="00517EB9">
        <w:rPr>
          <w:rFonts w:asciiTheme="minorHAnsi" w:hAnsiTheme="minorHAnsi" w:cstheme="minorHAnsi"/>
          <w:color w:val="292929"/>
          <w:sz w:val="22"/>
          <w:szCs w:val="22"/>
        </w:rPr>
        <w:t xml:space="preserve"> that </w:t>
      </w:r>
      <w:r w:rsidRPr="00517EB9">
        <w:rPr>
          <w:color w:val="292929"/>
          <w:sz w:val="22"/>
          <w:szCs w:val="22"/>
        </w:rPr>
        <w:t>that although the Second Respondent was not free to disclose the information to the world at large,</w:t>
      </w:r>
      <w:r w:rsidRPr="00517EB9">
        <w:rPr>
          <w:rFonts w:asciiTheme="minorHAnsi" w:hAnsiTheme="minorHAnsi" w:cstheme="minorHAnsi"/>
          <w:color w:val="292929"/>
          <w:sz w:val="22"/>
          <w:szCs w:val="22"/>
        </w:rPr>
        <w:t xml:space="preserve"> it </w:t>
      </w:r>
      <w:r w:rsidRPr="00517EB9">
        <w:rPr>
          <w:color w:val="292929"/>
          <w:sz w:val="22"/>
          <w:szCs w:val="22"/>
        </w:rPr>
        <w:t>could use and disclose this information for the limited purposes defined by common law and legislation.</w:t>
      </w:r>
    </w:p>
    <w:p w14:paraId="5B40064A" w14:textId="2ABF6FC5" w:rsidR="00380066" w:rsidRPr="00517EB9" w:rsidRDefault="00380066" w:rsidP="00380066">
      <w:pPr>
        <w:shd w:val="clear" w:color="auto" w:fill="FFFFFF"/>
        <w:spacing w:before="120" w:after="240"/>
        <w:rPr>
          <w:color w:val="292929"/>
          <w:sz w:val="22"/>
          <w:szCs w:val="22"/>
        </w:rPr>
      </w:pPr>
      <w:r w:rsidRPr="00517EB9">
        <w:rPr>
          <w:color w:val="292929"/>
          <w:sz w:val="22"/>
          <w:szCs w:val="22"/>
        </w:rPr>
        <w:t>The Supreme Court also found that the disclosure of the information by the Second Respondent to the First Respondent was authorised by IPP 2.1(e) because the Second Respondent had reason to suspect that unlawful activity has been, is being or may be engaged in, and used or disclosed the personal information as a necessary part of its investigation of the matter or in reporting its concerns to relevant persons or authorities.</w:t>
      </w:r>
      <w:r w:rsidR="005C4B4F" w:rsidRPr="00517EB9">
        <w:rPr>
          <w:color w:val="292929"/>
          <w:sz w:val="22"/>
          <w:szCs w:val="22"/>
        </w:rPr>
        <w:t xml:space="preserve"> </w:t>
      </w:r>
      <w:r w:rsidR="00AC059F">
        <w:rPr>
          <w:color w:val="292929"/>
          <w:sz w:val="22"/>
          <w:szCs w:val="22"/>
        </w:rPr>
        <w:t xml:space="preserve">It </w:t>
      </w:r>
      <w:r w:rsidR="005C4B4F" w:rsidRPr="00517EB9">
        <w:rPr>
          <w:color w:val="292929"/>
          <w:sz w:val="22"/>
          <w:szCs w:val="22"/>
        </w:rPr>
        <w:t xml:space="preserve">held that ‘unlawful activity’ is not limited to criminal activity and instead </w:t>
      </w:r>
      <w:r w:rsidR="005C4B4F" w:rsidRPr="00517EB9">
        <w:rPr>
          <w:rFonts w:asciiTheme="minorHAnsi" w:hAnsiTheme="minorHAnsi" w:cstheme="minorHAnsi"/>
          <w:color w:val="292929"/>
          <w:sz w:val="22"/>
          <w:szCs w:val="22"/>
        </w:rPr>
        <w:t xml:space="preserve">encompasses any activity contrary to rules and laws whether criminal or civil, and </w:t>
      </w:r>
      <w:r w:rsidR="005C4B4F" w:rsidRPr="00517EB9">
        <w:rPr>
          <w:color w:val="292929"/>
          <w:sz w:val="22"/>
          <w:szCs w:val="22"/>
        </w:rPr>
        <w:t>that any organisation to which the PDP Act applies may investigate the suspected unlawful activity itself or refer its concerns to a relevant person or authority.</w:t>
      </w:r>
    </w:p>
    <w:p w14:paraId="423E38B9" w14:textId="2C8EC5CC" w:rsidR="00380066" w:rsidRPr="00517EB9" w:rsidRDefault="00380066" w:rsidP="00380066">
      <w:pPr>
        <w:shd w:val="clear" w:color="auto" w:fill="FFFFFF"/>
        <w:spacing w:before="120" w:after="240"/>
        <w:rPr>
          <w:rFonts w:asciiTheme="minorHAnsi" w:hAnsiTheme="minorHAnsi" w:cstheme="minorHAnsi"/>
          <w:color w:val="292929"/>
          <w:sz w:val="22"/>
          <w:szCs w:val="22"/>
        </w:rPr>
      </w:pPr>
      <w:r w:rsidRPr="00517EB9">
        <w:rPr>
          <w:rFonts w:asciiTheme="minorHAnsi" w:hAnsiTheme="minorHAnsi" w:cstheme="minorHAnsi"/>
          <w:color w:val="292929"/>
          <w:sz w:val="22"/>
          <w:szCs w:val="22"/>
        </w:rPr>
        <w:t xml:space="preserve">As a result, the Supreme Court ordered that the proceeding be </w:t>
      </w:r>
      <w:r w:rsidR="00B174EF" w:rsidRPr="00517EB9">
        <w:rPr>
          <w:rFonts w:asciiTheme="minorHAnsi" w:hAnsiTheme="minorHAnsi" w:cstheme="minorHAnsi"/>
          <w:color w:val="292929"/>
          <w:sz w:val="22"/>
          <w:szCs w:val="22"/>
        </w:rPr>
        <w:t>dismissed,</w:t>
      </w:r>
      <w:r w:rsidRPr="00517EB9">
        <w:rPr>
          <w:rFonts w:asciiTheme="minorHAnsi" w:hAnsiTheme="minorHAnsi" w:cstheme="minorHAnsi"/>
          <w:color w:val="292929"/>
          <w:sz w:val="22"/>
          <w:szCs w:val="22"/>
        </w:rPr>
        <w:t xml:space="preserve"> and the confidentiality orders issued at the commencement of the trial be vacated. </w:t>
      </w:r>
    </w:p>
    <w:p w14:paraId="6812E400" w14:textId="77777777" w:rsidR="00380066" w:rsidRPr="00517EB9" w:rsidRDefault="00380066" w:rsidP="00380066">
      <w:pPr>
        <w:pStyle w:val="Heading2"/>
        <w:shd w:val="clear" w:color="auto" w:fill="FFFFFF"/>
        <w:spacing w:before="120" w:beforeAutospacing="0" w:after="240" w:afterAutospacing="0"/>
        <w:rPr>
          <w:rFonts w:eastAsia="Calibri"/>
          <w:sz w:val="28"/>
          <w:szCs w:val="28"/>
        </w:rPr>
      </w:pPr>
      <w:r w:rsidRPr="00517EB9">
        <w:rPr>
          <w:rFonts w:asciiTheme="minorHAnsi" w:hAnsiTheme="minorHAnsi" w:cstheme="minorHAnsi"/>
          <w:b w:val="0"/>
          <w:bCs w:val="0"/>
          <w:color w:val="430098"/>
          <w:sz w:val="28"/>
          <w:szCs w:val="28"/>
        </w:rPr>
        <w:t>Issues in</w:t>
      </w:r>
      <w:r w:rsidRPr="00517EB9">
        <w:rPr>
          <w:rFonts w:eastAsia="Calibri"/>
          <w:sz w:val="28"/>
          <w:szCs w:val="28"/>
        </w:rPr>
        <w:t xml:space="preserve"> </w:t>
      </w:r>
      <w:r w:rsidRPr="00517EB9">
        <w:rPr>
          <w:rFonts w:asciiTheme="minorHAnsi" w:hAnsiTheme="minorHAnsi" w:cstheme="minorHAnsi"/>
          <w:b w:val="0"/>
          <w:bCs w:val="0"/>
          <w:color w:val="430098"/>
          <w:sz w:val="28"/>
          <w:szCs w:val="28"/>
        </w:rPr>
        <w:t>appeal</w:t>
      </w:r>
      <w:r w:rsidRPr="00517EB9">
        <w:rPr>
          <w:rFonts w:eastAsia="Calibri"/>
          <w:sz w:val="28"/>
          <w:szCs w:val="28"/>
        </w:rPr>
        <w:t xml:space="preserve"> </w:t>
      </w:r>
    </w:p>
    <w:p w14:paraId="37C1C930" w14:textId="7B247442" w:rsidR="00380066" w:rsidRPr="00517EB9" w:rsidRDefault="00380066" w:rsidP="00380066">
      <w:pPr>
        <w:pStyle w:val="Heading2"/>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The Applicant sought leave to appeal on eight proposed grounds</w:t>
      </w:r>
      <w:r w:rsidR="00775D29" w:rsidRPr="00517EB9">
        <w:rPr>
          <w:rFonts w:asciiTheme="minorHAnsi" w:eastAsia="Calibri" w:hAnsiTheme="minorHAnsi" w:cstheme="minorHAnsi"/>
          <w:b w:val="0"/>
          <w:bCs w:val="0"/>
          <w:color w:val="292929"/>
          <w:sz w:val="22"/>
          <w:szCs w:val="22"/>
          <w:lang w:val="en-GB" w:eastAsia="en-US"/>
        </w:rPr>
        <w:t>,</w:t>
      </w:r>
      <w:r w:rsidRPr="00517EB9">
        <w:rPr>
          <w:rFonts w:asciiTheme="minorHAnsi" w:eastAsia="Calibri" w:hAnsiTheme="minorHAnsi" w:cstheme="minorHAnsi"/>
          <w:b w:val="0"/>
          <w:bCs w:val="0"/>
          <w:color w:val="292929"/>
          <w:sz w:val="22"/>
          <w:szCs w:val="22"/>
          <w:lang w:val="en-GB" w:eastAsia="en-US"/>
        </w:rPr>
        <w:t xml:space="preserve"> while the Respondents sought to uphold the</w:t>
      </w:r>
      <w:r w:rsidR="00775D29" w:rsidRPr="00517EB9">
        <w:rPr>
          <w:rFonts w:asciiTheme="minorHAnsi" w:eastAsia="Calibri" w:hAnsiTheme="minorHAnsi" w:cstheme="minorHAnsi"/>
          <w:b w:val="0"/>
          <w:bCs w:val="0"/>
          <w:color w:val="292929"/>
          <w:sz w:val="22"/>
          <w:szCs w:val="22"/>
          <w:lang w:val="en-GB" w:eastAsia="en-US"/>
        </w:rPr>
        <w:t xml:space="preserve"> Supreme Court</w:t>
      </w:r>
      <w:r w:rsidRPr="00517EB9">
        <w:rPr>
          <w:rFonts w:asciiTheme="minorHAnsi" w:eastAsia="Calibri" w:hAnsiTheme="minorHAnsi" w:cstheme="minorHAnsi"/>
          <w:b w:val="0"/>
          <w:bCs w:val="0"/>
          <w:color w:val="292929"/>
          <w:sz w:val="22"/>
          <w:szCs w:val="22"/>
          <w:lang w:val="en-GB" w:eastAsia="en-US"/>
        </w:rPr>
        <w:t xml:space="preserve"> decision on additional grounds and contended that, even if the Second Respondent’s disclosure to the First respondent was unlawful, no relief should be granted.</w:t>
      </w:r>
    </w:p>
    <w:p w14:paraId="20501393" w14:textId="465BBEDD" w:rsidR="00380066" w:rsidRPr="00517EB9" w:rsidRDefault="00380066" w:rsidP="00380066">
      <w:pPr>
        <w:pStyle w:val="Heading2"/>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 xml:space="preserve">The three fundamental issues for the Court to consider in the application for leave to appeal </w:t>
      </w:r>
      <w:r w:rsidR="00775D29" w:rsidRPr="00517EB9">
        <w:rPr>
          <w:rFonts w:asciiTheme="minorHAnsi" w:eastAsia="Calibri" w:hAnsiTheme="minorHAnsi" w:cstheme="minorHAnsi"/>
          <w:b w:val="0"/>
          <w:bCs w:val="0"/>
          <w:color w:val="292929"/>
          <w:sz w:val="22"/>
          <w:szCs w:val="22"/>
          <w:lang w:val="en-GB" w:eastAsia="en-US"/>
        </w:rPr>
        <w:t>were</w:t>
      </w:r>
      <w:r w:rsidRPr="00517EB9">
        <w:rPr>
          <w:rFonts w:asciiTheme="minorHAnsi" w:eastAsia="Calibri" w:hAnsiTheme="minorHAnsi" w:cstheme="minorHAnsi"/>
          <w:b w:val="0"/>
          <w:bCs w:val="0"/>
          <w:color w:val="292929"/>
          <w:sz w:val="22"/>
          <w:szCs w:val="22"/>
          <w:lang w:val="en-GB" w:eastAsia="en-US"/>
        </w:rPr>
        <w:t>:</w:t>
      </w:r>
    </w:p>
    <w:p w14:paraId="3B0BBFC6" w14:textId="25DAEC66" w:rsidR="00380066" w:rsidRPr="00517EB9" w:rsidRDefault="00380066" w:rsidP="00380066">
      <w:pPr>
        <w:pStyle w:val="Heading2"/>
        <w:numPr>
          <w:ilvl w:val="0"/>
          <w:numId w:val="30"/>
        </w:numPr>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Does s</w:t>
      </w:r>
      <w:r w:rsidR="00D76EA5">
        <w:rPr>
          <w:rFonts w:asciiTheme="minorHAnsi" w:eastAsia="Calibri" w:hAnsiTheme="minorHAnsi" w:cstheme="minorHAnsi"/>
          <w:b w:val="0"/>
          <w:bCs w:val="0"/>
          <w:color w:val="292929"/>
          <w:sz w:val="22"/>
          <w:szCs w:val="22"/>
          <w:lang w:val="en-GB" w:eastAsia="en-US"/>
        </w:rPr>
        <w:t>ection</w:t>
      </w:r>
      <w:r w:rsidRPr="00517EB9">
        <w:rPr>
          <w:rFonts w:asciiTheme="minorHAnsi" w:eastAsia="Calibri" w:hAnsiTheme="minorHAnsi" w:cstheme="minorHAnsi"/>
          <w:b w:val="0"/>
          <w:bCs w:val="0"/>
          <w:color w:val="292929"/>
          <w:sz w:val="22"/>
          <w:szCs w:val="22"/>
          <w:lang w:val="en-GB" w:eastAsia="en-US"/>
        </w:rPr>
        <w:t xml:space="preserve"> 465 of the Crimes Act impose an implied duty of confidentiality on information derived from things seized on the execution of a search warrant?</w:t>
      </w:r>
    </w:p>
    <w:p w14:paraId="4CC8F2CF" w14:textId="37B7C336" w:rsidR="00380066" w:rsidRPr="00517EB9" w:rsidRDefault="00380066" w:rsidP="00380066">
      <w:pPr>
        <w:pStyle w:val="Heading2"/>
        <w:numPr>
          <w:ilvl w:val="0"/>
          <w:numId w:val="30"/>
        </w:numPr>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 xml:space="preserve">Was the disclosure from the Second Respondent to the First Respondent permitted under IPP 2.1(e), (f) </w:t>
      </w:r>
      <w:r w:rsidR="00B174EF">
        <w:rPr>
          <w:rFonts w:asciiTheme="minorHAnsi" w:eastAsia="Calibri" w:hAnsiTheme="minorHAnsi" w:cstheme="minorHAnsi"/>
          <w:b w:val="0"/>
          <w:bCs w:val="0"/>
          <w:color w:val="292929"/>
          <w:sz w:val="22"/>
          <w:szCs w:val="22"/>
          <w:lang w:val="en-GB" w:eastAsia="en-US"/>
        </w:rPr>
        <w:t>or</w:t>
      </w:r>
      <w:r w:rsidRPr="00517EB9">
        <w:rPr>
          <w:rFonts w:asciiTheme="minorHAnsi" w:eastAsia="Calibri" w:hAnsiTheme="minorHAnsi" w:cstheme="minorHAnsi"/>
          <w:b w:val="0"/>
          <w:bCs w:val="0"/>
          <w:color w:val="292929"/>
          <w:sz w:val="22"/>
          <w:szCs w:val="22"/>
          <w:lang w:val="en-GB" w:eastAsia="en-US"/>
        </w:rPr>
        <w:t xml:space="preserve"> (g) of the PDP Act?</w:t>
      </w:r>
    </w:p>
    <w:p w14:paraId="5417CDE8" w14:textId="77777777" w:rsidR="00380066" w:rsidRPr="00517EB9" w:rsidRDefault="00380066" w:rsidP="00380066">
      <w:pPr>
        <w:pStyle w:val="Heading2"/>
        <w:numPr>
          <w:ilvl w:val="0"/>
          <w:numId w:val="30"/>
        </w:numPr>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If the disclosure was unlawful, what relief, if any, should follow?</w:t>
      </w:r>
    </w:p>
    <w:p w14:paraId="30432DE6" w14:textId="77777777" w:rsidR="00380066" w:rsidRPr="00517EB9" w:rsidRDefault="00380066" w:rsidP="00380066">
      <w:pPr>
        <w:pStyle w:val="Heading2"/>
        <w:shd w:val="clear" w:color="auto" w:fill="FFFFFF"/>
        <w:spacing w:before="120" w:beforeAutospacing="0" w:after="240" w:afterAutospacing="0"/>
        <w:rPr>
          <w:rFonts w:asciiTheme="minorHAnsi" w:hAnsiTheme="minorHAnsi" w:cstheme="minorHAnsi"/>
          <w:b w:val="0"/>
          <w:bCs w:val="0"/>
          <w:color w:val="430098"/>
          <w:sz w:val="28"/>
          <w:szCs w:val="28"/>
        </w:rPr>
      </w:pPr>
      <w:r w:rsidRPr="00517EB9">
        <w:rPr>
          <w:rFonts w:asciiTheme="minorHAnsi" w:hAnsiTheme="minorHAnsi" w:cstheme="minorHAnsi"/>
          <w:b w:val="0"/>
          <w:bCs w:val="0"/>
          <w:color w:val="430098"/>
          <w:sz w:val="28"/>
          <w:szCs w:val="28"/>
        </w:rPr>
        <w:t>The Decision</w:t>
      </w:r>
    </w:p>
    <w:p w14:paraId="1C44AA9F" w14:textId="45E0886A" w:rsidR="00380066" w:rsidRPr="00517EB9" w:rsidRDefault="00380066" w:rsidP="00380066">
      <w:pPr>
        <w:pStyle w:val="Heading5"/>
        <w:shd w:val="clear" w:color="auto" w:fill="FFFFFF"/>
        <w:spacing w:before="120" w:beforeAutospacing="0" w:after="240" w:afterAutospacing="0"/>
        <w:rPr>
          <w:rStyle w:val="Strong"/>
          <w:rFonts w:asciiTheme="minorHAnsi" w:hAnsiTheme="minorHAnsi" w:cstheme="minorHAnsi"/>
          <w:b/>
          <w:bCs/>
          <w:color w:val="430098"/>
          <w:sz w:val="24"/>
          <w:szCs w:val="24"/>
        </w:rPr>
      </w:pPr>
      <w:r w:rsidRPr="00517EB9">
        <w:rPr>
          <w:rStyle w:val="Strong"/>
          <w:rFonts w:asciiTheme="minorHAnsi" w:hAnsiTheme="minorHAnsi" w:cstheme="minorHAnsi"/>
          <w:b/>
          <w:bCs/>
          <w:color w:val="430098"/>
          <w:sz w:val="24"/>
          <w:szCs w:val="24"/>
        </w:rPr>
        <w:t>S</w:t>
      </w:r>
      <w:r w:rsidR="00D76EA5">
        <w:rPr>
          <w:rStyle w:val="Strong"/>
          <w:rFonts w:asciiTheme="minorHAnsi" w:hAnsiTheme="minorHAnsi" w:cstheme="minorHAnsi"/>
          <w:b/>
          <w:bCs/>
          <w:color w:val="430098"/>
          <w:sz w:val="24"/>
          <w:szCs w:val="24"/>
        </w:rPr>
        <w:t>ection</w:t>
      </w:r>
      <w:r w:rsidRPr="00517EB9">
        <w:rPr>
          <w:rStyle w:val="Strong"/>
          <w:rFonts w:asciiTheme="minorHAnsi" w:hAnsiTheme="minorHAnsi" w:cstheme="minorHAnsi"/>
          <w:b/>
          <w:bCs/>
          <w:color w:val="430098"/>
          <w:sz w:val="24"/>
          <w:szCs w:val="24"/>
        </w:rPr>
        <w:t xml:space="preserve"> 465 of the Crime</w:t>
      </w:r>
      <w:r w:rsidR="00D629E5" w:rsidRPr="00517EB9">
        <w:rPr>
          <w:rStyle w:val="Strong"/>
          <w:rFonts w:asciiTheme="minorHAnsi" w:hAnsiTheme="minorHAnsi" w:cstheme="minorHAnsi"/>
          <w:b/>
          <w:bCs/>
          <w:color w:val="430098"/>
          <w:sz w:val="24"/>
          <w:szCs w:val="24"/>
        </w:rPr>
        <w:t>s</w:t>
      </w:r>
      <w:r w:rsidRPr="00517EB9">
        <w:rPr>
          <w:rStyle w:val="Strong"/>
          <w:rFonts w:asciiTheme="minorHAnsi" w:hAnsiTheme="minorHAnsi" w:cstheme="minorHAnsi"/>
          <w:b/>
          <w:bCs/>
          <w:color w:val="430098"/>
          <w:sz w:val="24"/>
          <w:szCs w:val="24"/>
        </w:rPr>
        <w:t xml:space="preserve"> Act</w:t>
      </w:r>
    </w:p>
    <w:p w14:paraId="115255FA" w14:textId="3E5059B8" w:rsidR="00380066" w:rsidRPr="00517EB9" w:rsidRDefault="00A853A1"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The Court upheld the Supreme Court’s decision that s</w:t>
      </w:r>
      <w:r w:rsidR="00D76EA5">
        <w:rPr>
          <w:rFonts w:asciiTheme="minorHAnsi" w:eastAsia="Calibri" w:hAnsiTheme="minorHAnsi" w:cstheme="minorHAnsi"/>
          <w:b w:val="0"/>
          <w:bCs w:val="0"/>
          <w:color w:val="292929"/>
          <w:sz w:val="22"/>
          <w:szCs w:val="22"/>
          <w:lang w:val="en-GB" w:eastAsia="en-US"/>
        </w:rPr>
        <w:t>ection</w:t>
      </w:r>
      <w:r w:rsidRPr="00517EB9">
        <w:rPr>
          <w:rFonts w:asciiTheme="minorHAnsi" w:eastAsia="Calibri" w:hAnsiTheme="minorHAnsi" w:cstheme="minorHAnsi"/>
          <w:b w:val="0"/>
          <w:bCs w:val="0"/>
          <w:color w:val="292929"/>
          <w:sz w:val="22"/>
          <w:szCs w:val="22"/>
          <w:lang w:val="en-GB" w:eastAsia="en-US"/>
        </w:rPr>
        <w:t xml:space="preserve"> 465 </w:t>
      </w:r>
      <w:r w:rsidR="00AC059F">
        <w:rPr>
          <w:rFonts w:asciiTheme="minorHAnsi" w:eastAsia="Calibri" w:hAnsiTheme="minorHAnsi" w:cstheme="minorHAnsi"/>
          <w:b w:val="0"/>
          <w:bCs w:val="0"/>
          <w:color w:val="292929"/>
          <w:sz w:val="22"/>
          <w:szCs w:val="22"/>
          <w:lang w:val="en-GB" w:eastAsia="en-US"/>
        </w:rPr>
        <w:t xml:space="preserve">of the Crimes Act </w:t>
      </w:r>
      <w:r w:rsidRPr="00517EB9">
        <w:rPr>
          <w:rFonts w:asciiTheme="minorHAnsi" w:eastAsia="Calibri" w:hAnsiTheme="minorHAnsi" w:cstheme="minorHAnsi"/>
          <w:b w:val="0"/>
          <w:bCs w:val="0"/>
          <w:color w:val="292929"/>
          <w:sz w:val="22"/>
          <w:szCs w:val="22"/>
          <w:lang w:val="en-GB" w:eastAsia="en-US"/>
        </w:rPr>
        <w:t xml:space="preserve">does not impose a separate and concurrent limitation on the use of information derived from the execution of </w:t>
      </w:r>
      <w:r w:rsidR="00AC059F">
        <w:rPr>
          <w:rFonts w:asciiTheme="minorHAnsi" w:eastAsia="Calibri" w:hAnsiTheme="minorHAnsi" w:cstheme="minorHAnsi"/>
          <w:b w:val="0"/>
          <w:bCs w:val="0"/>
          <w:color w:val="292929"/>
          <w:sz w:val="22"/>
          <w:szCs w:val="22"/>
          <w:lang w:val="en-GB" w:eastAsia="en-US"/>
        </w:rPr>
        <w:t>a</w:t>
      </w:r>
      <w:r w:rsidRPr="00517EB9">
        <w:rPr>
          <w:rFonts w:asciiTheme="minorHAnsi" w:eastAsia="Calibri" w:hAnsiTheme="minorHAnsi" w:cstheme="minorHAnsi"/>
          <w:b w:val="0"/>
          <w:bCs w:val="0"/>
          <w:color w:val="292929"/>
          <w:sz w:val="22"/>
          <w:szCs w:val="22"/>
          <w:lang w:val="en-GB" w:eastAsia="en-US"/>
        </w:rPr>
        <w:t xml:space="preserve"> warrant. In coming to this conclusion, the Court h</w:t>
      </w:r>
      <w:r w:rsidR="00380066" w:rsidRPr="00517EB9">
        <w:rPr>
          <w:rFonts w:asciiTheme="minorHAnsi" w:eastAsia="Calibri" w:hAnsiTheme="minorHAnsi" w:cstheme="minorHAnsi"/>
          <w:b w:val="0"/>
          <w:bCs w:val="0"/>
          <w:color w:val="292929"/>
          <w:sz w:val="22"/>
          <w:szCs w:val="22"/>
          <w:lang w:val="en-GB" w:eastAsia="en-US"/>
        </w:rPr>
        <w:t>ighlighted that s</w:t>
      </w:r>
      <w:r w:rsidR="00D76EA5">
        <w:rPr>
          <w:rFonts w:asciiTheme="minorHAnsi" w:eastAsia="Calibri" w:hAnsiTheme="minorHAnsi" w:cstheme="minorHAnsi"/>
          <w:b w:val="0"/>
          <w:bCs w:val="0"/>
          <w:color w:val="292929"/>
          <w:sz w:val="22"/>
          <w:szCs w:val="22"/>
          <w:lang w:val="en-GB" w:eastAsia="en-US"/>
        </w:rPr>
        <w:t>ection</w:t>
      </w:r>
      <w:r w:rsidR="00380066" w:rsidRPr="00517EB9">
        <w:rPr>
          <w:rFonts w:asciiTheme="minorHAnsi" w:eastAsia="Calibri" w:hAnsiTheme="minorHAnsi" w:cstheme="minorHAnsi"/>
          <w:b w:val="0"/>
          <w:bCs w:val="0"/>
          <w:color w:val="292929"/>
          <w:sz w:val="22"/>
          <w:szCs w:val="22"/>
          <w:lang w:val="en-GB" w:eastAsia="en-US"/>
        </w:rPr>
        <w:t xml:space="preserve"> 465 </w:t>
      </w:r>
      <w:r w:rsidR="00AC059F">
        <w:rPr>
          <w:rFonts w:asciiTheme="minorHAnsi" w:eastAsia="Calibri" w:hAnsiTheme="minorHAnsi" w:cstheme="minorHAnsi"/>
          <w:b w:val="0"/>
          <w:bCs w:val="0"/>
          <w:color w:val="292929"/>
          <w:sz w:val="22"/>
          <w:szCs w:val="22"/>
          <w:lang w:val="en-GB" w:eastAsia="en-US"/>
        </w:rPr>
        <w:t xml:space="preserve">of the Crimes Act </w:t>
      </w:r>
      <w:r w:rsidR="00380066" w:rsidRPr="00517EB9">
        <w:rPr>
          <w:rFonts w:asciiTheme="minorHAnsi" w:eastAsia="Calibri" w:hAnsiTheme="minorHAnsi" w:cstheme="minorHAnsi"/>
          <w:b w:val="0"/>
          <w:bCs w:val="0"/>
          <w:color w:val="292929"/>
          <w:sz w:val="22"/>
          <w:szCs w:val="22"/>
          <w:lang w:val="en-GB" w:eastAsia="en-US"/>
        </w:rPr>
        <w:t>does not deal with information, rather it deals with physical or tangible things.</w:t>
      </w:r>
      <w:r w:rsidRPr="00517EB9">
        <w:rPr>
          <w:rFonts w:asciiTheme="minorHAnsi" w:eastAsia="Calibri" w:hAnsiTheme="minorHAnsi" w:cstheme="minorHAnsi"/>
          <w:b w:val="0"/>
          <w:bCs w:val="0"/>
          <w:color w:val="292929"/>
          <w:sz w:val="22"/>
          <w:szCs w:val="22"/>
          <w:lang w:val="en-GB" w:eastAsia="en-US"/>
        </w:rPr>
        <w:t xml:space="preserve"> It acknowledged that i</w:t>
      </w:r>
      <w:r w:rsidR="00380066" w:rsidRPr="00517EB9">
        <w:rPr>
          <w:rFonts w:asciiTheme="minorHAnsi" w:eastAsia="Calibri" w:hAnsiTheme="minorHAnsi" w:cstheme="minorHAnsi"/>
          <w:b w:val="0"/>
          <w:bCs w:val="0"/>
          <w:color w:val="292929"/>
          <w:sz w:val="22"/>
          <w:szCs w:val="22"/>
          <w:lang w:val="en-GB" w:eastAsia="en-US"/>
        </w:rPr>
        <w:t>n respect of some items, there may be no material distinction between the thing and the information.</w:t>
      </w:r>
    </w:p>
    <w:p w14:paraId="1EB924D9" w14:textId="0C7949DA" w:rsidR="00380066" w:rsidRPr="00517EB9" w:rsidRDefault="0038006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In this case</w:t>
      </w:r>
      <w:r w:rsidR="00A853A1" w:rsidRPr="00517EB9">
        <w:rPr>
          <w:rFonts w:asciiTheme="minorHAnsi" w:eastAsia="Calibri" w:hAnsiTheme="minorHAnsi" w:cstheme="minorHAnsi"/>
          <w:b w:val="0"/>
          <w:bCs w:val="0"/>
          <w:color w:val="292929"/>
          <w:sz w:val="22"/>
          <w:szCs w:val="22"/>
          <w:lang w:val="en-GB" w:eastAsia="en-US"/>
        </w:rPr>
        <w:t xml:space="preserve"> however</w:t>
      </w:r>
      <w:r w:rsidRPr="00517EB9">
        <w:rPr>
          <w:rFonts w:asciiTheme="minorHAnsi" w:eastAsia="Calibri" w:hAnsiTheme="minorHAnsi" w:cstheme="minorHAnsi"/>
          <w:b w:val="0"/>
          <w:bCs w:val="0"/>
          <w:color w:val="292929"/>
          <w:sz w:val="22"/>
          <w:szCs w:val="22"/>
          <w:lang w:val="en-GB" w:eastAsia="en-US"/>
        </w:rPr>
        <w:t xml:space="preserve">, the information was obtained by forensic analysis of the syringes which occurred pursuant to a direction of a </w:t>
      </w:r>
      <w:r w:rsidR="00A853A1" w:rsidRPr="00517EB9">
        <w:rPr>
          <w:rFonts w:asciiTheme="minorHAnsi" w:eastAsia="Calibri" w:hAnsiTheme="minorHAnsi" w:cstheme="minorHAnsi"/>
          <w:b w:val="0"/>
          <w:bCs w:val="0"/>
          <w:color w:val="292929"/>
          <w:sz w:val="22"/>
          <w:szCs w:val="22"/>
          <w:lang w:val="en-GB" w:eastAsia="en-US"/>
        </w:rPr>
        <w:t>M</w:t>
      </w:r>
      <w:r w:rsidRPr="00517EB9">
        <w:rPr>
          <w:rFonts w:asciiTheme="minorHAnsi" w:eastAsia="Calibri" w:hAnsiTheme="minorHAnsi" w:cstheme="minorHAnsi"/>
          <w:b w:val="0"/>
          <w:bCs w:val="0"/>
          <w:color w:val="292929"/>
          <w:sz w:val="22"/>
          <w:szCs w:val="22"/>
          <w:lang w:val="en-GB" w:eastAsia="en-US"/>
        </w:rPr>
        <w:t xml:space="preserve">agistrate. </w:t>
      </w:r>
      <w:r w:rsidR="00A853A1" w:rsidRPr="00517EB9">
        <w:rPr>
          <w:rFonts w:asciiTheme="minorHAnsi" w:eastAsia="Calibri" w:hAnsiTheme="minorHAnsi" w:cstheme="minorHAnsi"/>
          <w:b w:val="0"/>
          <w:bCs w:val="0"/>
          <w:color w:val="292929"/>
          <w:sz w:val="22"/>
          <w:szCs w:val="22"/>
          <w:lang w:val="en-GB" w:eastAsia="en-US"/>
        </w:rPr>
        <w:t>The Court held that a</w:t>
      </w:r>
      <w:r w:rsidRPr="00517EB9">
        <w:rPr>
          <w:rFonts w:asciiTheme="minorHAnsi" w:eastAsia="Calibri" w:hAnsiTheme="minorHAnsi" w:cstheme="minorHAnsi"/>
          <w:b w:val="0"/>
          <w:bCs w:val="0"/>
          <w:color w:val="292929"/>
          <w:sz w:val="22"/>
          <w:szCs w:val="22"/>
          <w:lang w:val="en-GB" w:eastAsia="en-US"/>
        </w:rPr>
        <w:t>ny restriction on the use or disclosure of information from a thing seized in execution of a warrant issued under s</w:t>
      </w:r>
      <w:r w:rsidR="00E14210">
        <w:rPr>
          <w:rFonts w:asciiTheme="minorHAnsi" w:eastAsia="Calibri" w:hAnsiTheme="minorHAnsi" w:cstheme="minorHAnsi"/>
          <w:b w:val="0"/>
          <w:bCs w:val="0"/>
          <w:color w:val="292929"/>
          <w:sz w:val="22"/>
          <w:szCs w:val="22"/>
          <w:lang w:val="en-GB" w:eastAsia="en-US"/>
        </w:rPr>
        <w:t>ection</w:t>
      </w:r>
      <w:r w:rsidRPr="00517EB9">
        <w:rPr>
          <w:rFonts w:asciiTheme="minorHAnsi" w:eastAsia="Calibri" w:hAnsiTheme="minorHAnsi" w:cstheme="minorHAnsi"/>
          <w:b w:val="0"/>
          <w:bCs w:val="0"/>
          <w:color w:val="292929"/>
          <w:sz w:val="22"/>
          <w:szCs w:val="22"/>
          <w:lang w:val="en-GB" w:eastAsia="en-US"/>
        </w:rPr>
        <w:t xml:space="preserve"> 465 </w:t>
      </w:r>
      <w:r w:rsidR="003A5D6F">
        <w:rPr>
          <w:rFonts w:asciiTheme="minorHAnsi" w:eastAsia="Calibri" w:hAnsiTheme="minorHAnsi" w:cstheme="minorHAnsi"/>
          <w:b w:val="0"/>
          <w:bCs w:val="0"/>
          <w:color w:val="292929"/>
          <w:sz w:val="22"/>
          <w:szCs w:val="22"/>
          <w:lang w:val="en-GB" w:eastAsia="en-US"/>
        </w:rPr>
        <w:t xml:space="preserve">of the Crimes Act </w:t>
      </w:r>
      <w:r w:rsidR="00A853A1" w:rsidRPr="00517EB9">
        <w:rPr>
          <w:rFonts w:asciiTheme="minorHAnsi" w:eastAsia="Calibri" w:hAnsiTheme="minorHAnsi" w:cstheme="minorHAnsi"/>
          <w:b w:val="0"/>
          <w:bCs w:val="0"/>
          <w:color w:val="292929"/>
          <w:sz w:val="22"/>
          <w:szCs w:val="22"/>
          <w:lang w:val="en-GB" w:eastAsia="en-US"/>
        </w:rPr>
        <w:t>would arise</w:t>
      </w:r>
      <w:r w:rsidRPr="00517EB9">
        <w:rPr>
          <w:rFonts w:asciiTheme="minorHAnsi" w:eastAsia="Calibri" w:hAnsiTheme="minorHAnsi" w:cstheme="minorHAnsi"/>
          <w:b w:val="0"/>
          <w:bCs w:val="0"/>
          <w:color w:val="292929"/>
          <w:sz w:val="22"/>
          <w:szCs w:val="22"/>
          <w:lang w:val="en-GB" w:eastAsia="en-US"/>
        </w:rPr>
        <w:t xml:space="preserve"> from the terms upon which a </w:t>
      </w:r>
      <w:r w:rsidR="00A853A1" w:rsidRPr="00517EB9">
        <w:rPr>
          <w:rFonts w:asciiTheme="minorHAnsi" w:eastAsia="Calibri" w:hAnsiTheme="minorHAnsi" w:cstheme="minorHAnsi"/>
          <w:b w:val="0"/>
          <w:bCs w:val="0"/>
          <w:color w:val="292929"/>
          <w:sz w:val="22"/>
          <w:szCs w:val="22"/>
          <w:lang w:val="en-GB" w:eastAsia="en-US"/>
        </w:rPr>
        <w:t>M</w:t>
      </w:r>
      <w:r w:rsidRPr="00517EB9">
        <w:rPr>
          <w:rFonts w:asciiTheme="minorHAnsi" w:eastAsia="Calibri" w:hAnsiTheme="minorHAnsi" w:cstheme="minorHAnsi"/>
          <w:b w:val="0"/>
          <w:bCs w:val="0"/>
          <w:color w:val="292929"/>
          <w:sz w:val="22"/>
          <w:szCs w:val="22"/>
          <w:lang w:val="en-GB" w:eastAsia="en-US"/>
        </w:rPr>
        <w:t>agistrate makes</w:t>
      </w:r>
      <w:r w:rsidR="00A853A1" w:rsidRPr="00517EB9">
        <w:rPr>
          <w:rFonts w:asciiTheme="minorHAnsi" w:eastAsia="Calibri" w:hAnsiTheme="minorHAnsi" w:cstheme="minorHAnsi"/>
          <w:b w:val="0"/>
          <w:bCs w:val="0"/>
          <w:color w:val="292929"/>
          <w:sz w:val="22"/>
          <w:szCs w:val="22"/>
          <w:lang w:val="en-GB" w:eastAsia="en-US"/>
        </w:rPr>
        <w:t xml:space="preserve"> an</w:t>
      </w:r>
      <w:r w:rsidRPr="00517EB9">
        <w:rPr>
          <w:rFonts w:asciiTheme="minorHAnsi" w:eastAsia="Calibri" w:hAnsiTheme="minorHAnsi" w:cstheme="minorHAnsi"/>
          <w:b w:val="0"/>
          <w:bCs w:val="0"/>
          <w:color w:val="292929"/>
          <w:sz w:val="22"/>
          <w:szCs w:val="22"/>
          <w:lang w:val="en-GB" w:eastAsia="en-US"/>
        </w:rPr>
        <w:t xml:space="preserve"> order for dealing with the thing</w:t>
      </w:r>
      <w:r w:rsidR="00A853A1" w:rsidRPr="00517EB9">
        <w:rPr>
          <w:rFonts w:asciiTheme="minorHAnsi" w:eastAsia="Calibri" w:hAnsiTheme="minorHAnsi" w:cstheme="minorHAnsi"/>
          <w:b w:val="0"/>
          <w:bCs w:val="0"/>
          <w:color w:val="292929"/>
          <w:sz w:val="22"/>
          <w:szCs w:val="22"/>
          <w:lang w:val="en-GB" w:eastAsia="en-US"/>
        </w:rPr>
        <w:t xml:space="preserve">, </w:t>
      </w:r>
      <w:r w:rsidRPr="00517EB9">
        <w:rPr>
          <w:rFonts w:asciiTheme="minorHAnsi" w:eastAsia="Calibri" w:hAnsiTheme="minorHAnsi" w:cstheme="minorHAnsi"/>
          <w:b w:val="0"/>
          <w:bCs w:val="0"/>
          <w:color w:val="292929"/>
          <w:sz w:val="22"/>
          <w:szCs w:val="22"/>
          <w:lang w:val="en-GB" w:eastAsia="en-US"/>
        </w:rPr>
        <w:t xml:space="preserve">rather than an </w:t>
      </w:r>
      <w:r w:rsidRPr="00517EB9">
        <w:rPr>
          <w:rFonts w:asciiTheme="minorHAnsi" w:eastAsia="Calibri" w:hAnsiTheme="minorHAnsi" w:cstheme="minorHAnsi"/>
          <w:b w:val="0"/>
          <w:bCs w:val="0"/>
          <w:color w:val="292929"/>
          <w:sz w:val="22"/>
          <w:szCs w:val="22"/>
          <w:lang w:val="en-GB" w:eastAsia="en-US"/>
        </w:rPr>
        <w:lastRenderedPageBreak/>
        <w:t xml:space="preserve">implied prohibition in that provision. The Court explained that the direction </w:t>
      </w:r>
      <w:r w:rsidR="00A853A1" w:rsidRPr="00517EB9">
        <w:rPr>
          <w:rFonts w:asciiTheme="minorHAnsi" w:eastAsia="Calibri" w:hAnsiTheme="minorHAnsi" w:cstheme="minorHAnsi"/>
          <w:b w:val="0"/>
          <w:bCs w:val="0"/>
          <w:color w:val="292929"/>
          <w:sz w:val="22"/>
          <w:szCs w:val="22"/>
          <w:lang w:val="en-GB" w:eastAsia="en-US"/>
        </w:rPr>
        <w:t xml:space="preserve">in this case </w:t>
      </w:r>
      <w:r w:rsidRPr="00517EB9">
        <w:rPr>
          <w:rFonts w:asciiTheme="minorHAnsi" w:eastAsia="Calibri" w:hAnsiTheme="minorHAnsi" w:cstheme="minorHAnsi"/>
          <w:b w:val="0"/>
          <w:bCs w:val="0"/>
          <w:color w:val="292929"/>
          <w:sz w:val="22"/>
          <w:szCs w:val="22"/>
          <w:lang w:val="en-GB" w:eastAsia="en-US"/>
        </w:rPr>
        <w:t>expressly addressed the seized item</w:t>
      </w:r>
      <w:r w:rsidR="003A5D6F">
        <w:rPr>
          <w:rFonts w:asciiTheme="minorHAnsi" w:eastAsia="Calibri" w:hAnsiTheme="minorHAnsi" w:cstheme="minorHAnsi"/>
          <w:b w:val="0"/>
          <w:bCs w:val="0"/>
          <w:color w:val="292929"/>
          <w:sz w:val="22"/>
          <w:szCs w:val="22"/>
          <w:lang w:val="en-GB" w:eastAsia="en-US"/>
        </w:rPr>
        <w:t xml:space="preserve">; </w:t>
      </w:r>
      <w:r w:rsidRPr="00517EB9">
        <w:rPr>
          <w:rFonts w:asciiTheme="minorHAnsi" w:eastAsia="Calibri" w:hAnsiTheme="minorHAnsi" w:cstheme="minorHAnsi"/>
          <w:b w:val="0"/>
          <w:bCs w:val="0"/>
          <w:color w:val="292929"/>
          <w:sz w:val="22"/>
          <w:szCs w:val="22"/>
          <w:lang w:val="en-GB" w:eastAsia="en-US"/>
        </w:rPr>
        <w:t xml:space="preserve">there was no requirement that the product of those investigations be produced to the </w:t>
      </w:r>
      <w:r w:rsidR="00A853A1" w:rsidRPr="00517EB9">
        <w:rPr>
          <w:rFonts w:asciiTheme="minorHAnsi" w:eastAsia="Calibri" w:hAnsiTheme="minorHAnsi" w:cstheme="minorHAnsi"/>
          <w:b w:val="0"/>
          <w:bCs w:val="0"/>
          <w:color w:val="292929"/>
          <w:sz w:val="22"/>
          <w:szCs w:val="22"/>
          <w:lang w:val="en-GB" w:eastAsia="en-US"/>
        </w:rPr>
        <w:t>Magistrate</w:t>
      </w:r>
      <w:r w:rsidRPr="00517EB9">
        <w:rPr>
          <w:rFonts w:asciiTheme="minorHAnsi" w:eastAsia="Calibri" w:hAnsiTheme="minorHAnsi" w:cstheme="minorHAnsi"/>
          <w:b w:val="0"/>
          <w:bCs w:val="0"/>
          <w:color w:val="292929"/>
          <w:sz w:val="22"/>
          <w:szCs w:val="22"/>
          <w:lang w:val="en-GB" w:eastAsia="en-US"/>
        </w:rPr>
        <w:t xml:space="preserve"> or otherwise </w:t>
      </w:r>
      <w:r w:rsidR="003A5D6F">
        <w:rPr>
          <w:rFonts w:asciiTheme="minorHAnsi" w:eastAsia="Calibri" w:hAnsiTheme="minorHAnsi" w:cstheme="minorHAnsi"/>
          <w:b w:val="0"/>
          <w:bCs w:val="0"/>
          <w:color w:val="292929"/>
          <w:sz w:val="22"/>
          <w:szCs w:val="22"/>
          <w:lang w:val="en-GB" w:eastAsia="en-US"/>
        </w:rPr>
        <w:t xml:space="preserve">by </w:t>
      </w:r>
      <w:r w:rsidRPr="00517EB9">
        <w:rPr>
          <w:rFonts w:asciiTheme="minorHAnsi" w:eastAsia="Calibri" w:hAnsiTheme="minorHAnsi" w:cstheme="minorHAnsi"/>
          <w:b w:val="0"/>
          <w:bCs w:val="0"/>
          <w:color w:val="292929"/>
          <w:sz w:val="22"/>
          <w:szCs w:val="22"/>
          <w:lang w:val="en-GB" w:eastAsia="en-US"/>
        </w:rPr>
        <w:t xml:space="preserve">dealt with in any </w:t>
      </w:r>
      <w:proofErr w:type="gramStart"/>
      <w:r w:rsidRPr="00517EB9">
        <w:rPr>
          <w:rFonts w:asciiTheme="minorHAnsi" w:eastAsia="Calibri" w:hAnsiTheme="minorHAnsi" w:cstheme="minorHAnsi"/>
          <w:b w:val="0"/>
          <w:bCs w:val="0"/>
          <w:color w:val="292929"/>
          <w:sz w:val="22"/>
          <w:szCs w:val="22"/>
          <w:lang w:val="en-GB" w:eastAsia="en-US"/>
        </w:rPr>
        <w:t>particular way</w:t>
      </w:r>
      <w:proofErr w:type="gramEnd"/>
      <w:r w:rsidRPr="00517EB9">
        <w:rPr>
          <w:rFonts w:asciiTheme="minorHAnsi" w:eastAsia="Calibri" w:hAnsiTheme="minorHAnsi" w:cstheme="minorHAnsi"/>
          <w:b w:val="0"/>
          <w:bCs w:val="0"/>
          <w:color w:val="292929"/>
          <w:sz w:val="22"/>
          <w:szCs w:val="22"/>
          <w:lang w:val="en-GB" w:eastAsia="en-US"/>
        </w:rPr>
        <w:t xml:space="preserve">; and it was entirely unknown </w:t>
      </w:r>
      <w:r w:rsidR="003A5D6F">
        <w:rPr>
          <w:rFonts w:asciiTheme="minorHAnsi" w:eastAsia="Calibri" w:hAnsiTheme="minorHAnsi" w:cstheme="minorHAnsi"/>
          <w:b w:val="0"/>
          <w:bCs w:val="0"/>
          <w:color w:val="292929"/>
          <w:sz w:val="22"/>
          <w:szCs w:val="22"/>
          <w:lang w:val="en-GB" w:eastAsia="en-US"/>
        </w:rPr>
        <w:t>what</w:t>
      </w:r>
      <w:r w:rsidRPr="00517EB9">
        <w:rPr>
          <w:rFonts w:asciiTheme="minorHAnsi" w:eastAsia="Calibri" w:hAnsiTheme="minorHAnsi" w:cstheme="minorHAnsi"/>
          <w:b w:val="0"/>
          <w:bCs w:val="0"/>
          <w:color w:val="292929"/>
          <w:sz w:val="22"/>
          <w:szCs w:val="22"/>
          <w:lang w:val="en-GB" w:eastAsia="en-US"/>
        </w:rPr>
        <w:t xml:space="preserve"> the analysis would reveal. As a result, the Applicant failed to establish the implied duty which he </w:t>
      </w:r>
      <w:r w:rsidR="003A5D6F" w:rsidRPr="00517EB9">
        <w:rPr>
          <w:rFonts w:asciiTheme="minorHAnsi" w:eastAsia="Calibri" w:hAnsiTheme="minorHAnsi" w:cstheme="minorHAnsi"/>
          <w:b w:val="0"/>
          <w:bCs w:val="0"/>
          <w:color w:val="292929"/>
          <w:sz w:val="22"/>
          <w:szCs w:val="22"/>
          <w:lang w:val="en-GB" w:eastAsia="en-US"/>
        </w:rPr>
        <w:t>contended,</w:t>
      </w:r>
      <w:r w:rsidRPr="00517EB9">
        <w:rPr>
          <w:rFonts w:asciiTheme="minorHAnsi" w:eastAsia="Calibri" w:hAnsiTheme="minorHAnsi" w:cstheme="minorHAnsi"/>
          <w:b w:val="0"/>
          <w:bCs w:val="0"/>
          <w:color w:val="292929"/>
          <w:sz w:val="22"/>
          <w:szCs w:val="22"/>
          <w:lang w:val="en-GB" w:eastAsia="en-US"/>
        </w:rPr>
        <w:t xml:space="preserve"> and the Supreme Court was correct to reject it.</w:t>
      </w:r>
    </w:p>
    <w:p w14:paraId="3FC7682E" w14:textId="77777777" w:rsidR="00380066" w:rsidRPr="00517EB9" w:rsidRDefault="00380066" w:rsidP="00380066">
      <w:pPr>
        <w:pStyle w:val="Heading5"/>
        <w:shd w:val="clear" w:color="auto" w:fill="FFFFFF"/>
        <w:spacing w:before="120" w:beforeAutospacing="0" w:after="240" w:afterAutospacing="0"/>
        <w:rPr>
          <w:rStyle w:val="Strong"/>
          <w:rFonts w:asciiTheme="minorHAnsi" w:hAnsiTheme="minorHAnsi" w:cstheme="minorHAnsi"/>
          <w:b/>
          <w:bCs/>
          <w:color w:val="430098"/>
          <w:sz w:val="24"/>
          <w:szCs w:val="24"/>
        </w:rPr>
      </w:pPr>
      <w:r w:rsidRPr="00517EB9">
        <w:rPr>
          <w:rStyle w:val="Strong"/>
          <w:rFonts w:asciiTheme="minorHAnsi" w:hAnsiTheme="minorHAnsi" w:cstheme="minorHAnsi"/>
          <w:b/>
          <w:bCs/>
          <w:color w:val="430098"/>
          <w:sz w:val="24"/>
          <w:szCs w:val="24"/>
        </w:rPr>
        <w:t>IPP 2</w:t>
      </w:r>
    </w:p>
    <w:p w14:paraId="5FF49443" w14:textId="732F7426" w:rsidR="00380066" w:rsidRPr="00517EB9" w:rsidRDefault="00A853A1"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 xml:space="preserve">The Court prefaced its exploration of IPP 2 with an explanation of its view </w:t>
      </w:r>
      <w:r w:rsidR="00380066" w:rsidRPr="00517EB9">
        <w:rPr>
          <w:rFonts w:asciiTheme="minorHAnsi" w:eastAsia="Calibri" w:hAnsiTheme="minorHAnsi" w:cstheme="minorHAnsi"/>
          <w:b w:val="0"/>
          <w:bCs w:val="0"/>
          <w:color w:val="292929"/>
          <w:sz w:val="22"/>
          <w:szCs w:val="22"/>
          <w:lang w:val="en-GB" w:eastAsia="en-US"/>
        </w:rPr>
        <w:t xml:space="preserve">that nothing in the PDP Act gives rise to any civil cause of action or operates to create any legal right enforceable in a court or tribunal otherwise than in accordance with the procedures in the PDP Act, that being the making of a complaint and its determination at VCAT. The Court therefore emphasised that even if there had been a breach of the PDP Act </w:t>
      </w:r>
      <w:proofErr w:type="gramStart"/>
      <w:r w:rsidR="00380066" w:rsidRPr="00517EB9">
        <w:rPr>
          <w:rFonts w:asciiTheme="minorHAnsi" w:eastAsia="Calibri" w:hAnsiTheme="minorHAnsi" w:cstheme="minorHAnsi"/>
          <w:b w:val="0"/>
          <w:bCs w:val="0"/>
          <w:color w:val="292929"/>
          <w:sz w:val="22"/>
          <w:szCs w:val="22"/>
          <w:lang w:val="en-GB" w:eastAsia="en-US"/>
        </w:rPr>
        <w:t>as a result of</w:t>
      </w:r>
      <w:proofErr w:type="gramEnd"/>
      <w:r w:rsidR="00380066" w:rsidRPr="00517EB9">
        <w:rPr>
          <w:rFonts w:asciiTheme="minorHAnsi" w:eastAsia="Calibri" w:hAnsiTheme="minorHAnsi" w:cstheme="minorHAnsi"/>
          <w:b w:val="0"/>
          <w:bCs w:val="0"/>
          <w:color w:val="292929"/>
          <w:sz w:val="22"/>
          <w:szCs w:val="22"/>
          <w:lang w:val="en-GB" w:eastAsia="en-US"/>
        </w:rPr>
        <w:t xml:space="preserve"> the disclosure to the First Respondent, it would not support the relief sought by the Applicant.</w:t>
      </w:r>
    </w:p>
    <w:p w14:paraId="44E8A93A" w14:textId="70D5ED97" w:rsidR="00380066" w:rsidRPr="00517EB9" w:rsidRDefault="00A853A1"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The Court held that</w:t>
      </w:r>
      <w:r w:rsidR="00E14210">
        <w:rPr>
          <w:rFonts w:asciiTheme="minorHAnsi" w:eastAsia="Calibri" w:hAnsiTheme="minorHAnsi" w:cstheme="minorHAnsi"/>
          <w:b w:val="0"/>
          <w:bCs w:val="0"/>
          <w:color w:val="292929"/>
          <w:sz w:val="22"/>
          <w:szCs w:val="22"/>
          <w:lang w:val="en-GB" w:eastAsia="en-US"/>
        </w:rPr>
        <w:t xml:space="preserve"> the</w:t>
      </w:r>
      <w:r w:rsidRPr="00517EB9">
        <w:rPr>
          <w:rFonts w:asciiTheme="minorHAnsi" w:eastAsia="Calibri" w:hAnsiTheme="minorHAnsi" w:cstheme="minorHAnsi"/>
          <w:b w:val="0"/>
          <w:bCs w:val="0"/>
          <w:color w:val="292929"/>
          <w:sz w:val="22"/>
          <w:szCs w:val="22"/>
          <w:lang w:val="en-GB" w:eastAsia="en-US"/>
        </w:rPr>
        <w:t xml:space="preserve"> Supreme</w:t>
      </w:r>
      <w:r w:rsidR="00380066" w:rsidRPr="00517EB9">
        <w:rPr>
          <w:rFonts w:asciiTheme="minorHAnsi" w:eastAsia="Calibri" w:hAnsiTheme="minorHAnsi" w:cstheme="minorHAnsi"/>
          <w:b w:val="0"/>
          <w:bCs w:val="0"/>
          <w:color w:val="292929"/>
          <w:sz w:val="22"/>
          <w:szCs w:val="22"/>
          <w:lang w:val="en-GB" w:eastAsia="en-US"/>
        </w:rPr>
        <w:t xml:space="preserve"> Court was correct to conclude that a contravention of the Rules of Racing was ‘unlawful activity’ for the purposes of IPP 2.1(e) and that </w:t>
      </w:r>
      <w:r w:rsidR="003A5D6F">
        <w:rPr>
          <w:rFonts w:asciiTheme="minorHAnsi" w:eastAsia="Calibri" w:hAnsiTheme="minorHAnsi" w:cstheme="minorHAnsi"/>
          <w:b w:val="0"/>
          <w:bCs w:val="0"/>
          <w:color w:val="292929"/>
          <w:sz w:val="22"/>
          <w:szCs w:val="22"/>
          <w:lang w:val="en-GB" w:eastAsia="en-US"/>
        </w:rPr>
        <w:t>the First Respondent</w:t>
      </w:r>
      <w:r w:rsidR="00380066" w:rsidRPr="00517EB9">
        <w:rPr>
          <w:rFonts w:asciiTheme="minorHAnsi" w:eastAsia="Calibri" w:hAnsiTheme="minorHAnsi" w:cstheme="minorHAnsi"/>
          <w:b w:val="0"/>
          <w:bCs w:val="0"/>
          <w:color w:val="292929"/>
          <w:sz w:val="22"/>
          <w:szCs w:val="22"/>
          <w:lang w:val="en-GB" w:eastAsia="en-US"/>
        </w:rPr>
        <w:t xml:space="preserve"> was a relevant</w:t>
      </w:r>
      <w:r w:rsidR="00B174EF">
        <w:rPr>
          <w:rFonts w:asciiTheme="minorHAnsi" w:eastAsia="Calibri" w:hAnsiTheme="minorHAnsi" w:cstheme="minorHAnsi"/>
          <w:b w:val="0"/>
          <w:bCs w:val="0"/>
          <w:color w:val="292929"/>
          <w:sz w:val="22"/>
          <w:szCs w:val="22"/>
          <w:lang w:val="en-GB" w:eastAsia="en-US"/>
        </w:rPr>
        <w:t xml:space="preserve"> authority</w:t>
      </w:r>
      <w:r w:rsidR="00380066" w:rsidRPr="00517EB9">
        <w:rPr>
          <w:rFonts w:asciiTheme="minorHAnsi" w:eastAsia="Calibri" w:hAnsiTheme="minorHAnsi" w:cstheme="minorHAnsi"/>
          <w:b w:val="0"/>
          <w:bCs w:val="0"/>
          <w:color w:val="292929"/>
          <w:sz w:val="22"/>
          <w:szCs w:val="22"/>
          <w:lang w:val="en-GB" w:eastAsia="en-US"/>
        </w:rPr>
        <w:t xml:space="preserve">. </w:t>
      </w:r>
      <w:r w:rsidRPr="00517EB9">
        <w:rPr>
          <w:rFonts w:asciiTheme="minorHAnsi" w:eastAsia="Calibri" w:hAnsiTheme="minorHAnsi" w:cstheme="minorHAnsi"/>
          <w:b w:val="0"/>
          <w:bCs w:val="0"/>
          <w:color w:val="292929"/>
          <w:sz w:val="22"/>
          <w:szCs w:val="22"/>
          <w:lang w:val="en-GB" w:eastAsia="en-US"/>
        </w:rPr>
        <w:t>Th</w:t>
      </w:r>
      <w:r w:rsidR="00F810B6" w:rsidRPr="00517EB9">
        <w:rPr>
          <w:rFonts w:asciiTheme="minorHAnsi" w:eastAsia="Calibri" w:hAnsiTheme="minorHAnsi" w:cstheme="minorHAnsi"/>
          <w:b w:val="0"/>
          <w:bCs w:val="0"/>
          <w:color w:val="292929"/>
          <w:sz w:val="22"/>
          <w:szCs w:val="22"/>
          <w:lang w:val="en-GB" w:eastAsia="en-US"/>
        </w:rPr>
        <w:t>is is because the</w:t>
      </w:r>
      <w:r w:rsidRPr="00517EB9">
        <w:rPr>
          <w:rFonts w:asciiTheme="minorHAnsi" w:eastAsia="Calibri" w:hAnsiTheme="minorHAnsi" w:cstheme="minorHAnsi"/>
          <w:b w:val="0"/>
          <w:bCs w:val="0"/>
          <w:color w:val="292929"/>
          <w:sz w:val="22"/>
          <w:szCs w:val="22"/>
          <w:lang w:val="en-GB" w:eastAsia="en-US"/>
        </w:rPr>
        <w:t xml:space="preserve"> First Respondent</w:t>
      </w:r>
      <w:r w:rsidR="00380066" w:rsidRPr="00517EB9">
        <w:rPr>
          <w:rFonts w:asciiTheme="minorHAnsi" w:eastAsia="Calibri" w:hAnsiTheme="minorHAnsi" w:cstheme="minorHAnsi"/>
          <w:b w:val="0"/>
          <w:bCs w:val="0"/>
          <w:color w:val="292929"/>
          <w:sz w:val="22"/>
          <w:szCs w:val="22"/>
          <w:lang w:val="en-GB" w:eastAsia="en-US"/>
        </w:rPr>
        <w:t xml:space="preserve"> regulates the Rules of Racing in the </w:t>
      </w:r>
      <w:r w:rsidR="00380066" w:rsidRPr="003A5D6F">
        <w:rPr>
          <w:rFonts w:asciiTheme="minorHAnsi" w:eastAsia="Calibri" w:hAnsiTheme="minorHAnsi" w:cstheme="minorHAnsi"/>
          <w:b w:val="0"/>
          <w:bCs w:val="0"/>
          <w:i/>
          <w:iCs/>
          <w:color w:val="292929"/>
          <w:sz w:val="22"/>
          <w:szCs w:val="22"/>
          <w:lang w:val="en-GB" w:eastAsia="en-US"/>
        </w:rPr>
        <w:t>Racing Act</w:t>
      </w:r>
      <w:r w:rsidRPr="003A5D6F">
        <w:rPr>
          <w:rFonts w:asciiTheme="minorHAnsi" w:eastAsia="Calibri" w:hAnsiTheme="minorHAnsi" w:cstheme="minorHAnsi"/>
          <w:b w:val="0"/>
          <w:bCs w:val="0"/>
          <w:i/>
          <w:iCs/>
          <w:color w:val="292929"/>
          <w:sz w:val="22"/>
          <w:szCs w:val="22"/>
          <w:lang w:val="en-GB" w:eastAsia="en-US"/>
        </w:rPr>
        <w:t xml:space="preserve"> </w:t>
      </w:r>
      <w:r w:rsidR="003A5D6F" w:rsidRPr="003A5D6F">
        <w:rPr>
          <w:rFonts w:asciiTheme="minorHAnsi" w:eastAsia="Calibri" w:hAnsiTheme="minorHAnsi" w:cstheme="minorHAnsi"/>
          <w:b w:val="0"/>
          <w:bCs w:val="0"/>
          <w:i/>
          <w:iCs/>
          <w:color w:val="292929"/>
          <w:sz w:val="22"/>
          <w:szCs w:val="22"/>
          <w:lang w:val="en-GB" w:eastAsia="en-US"/>
        </w:rPr>
        <w:t>1958</w:t>
      </w:r>
      <w:r w:rsidR="003A5D6F">
        <w:rPr>
          <w:rFonts w:asciiTheme="minorHAnsi" w:eastAsia="Calibri" w:hAnsiTheme="minorHAnsi" w:cstheme="minorHAnsi"/>
          <w:b w:val="0"/>
          <w:bCs w:val="0"/>
          <w:color w:val="292929"/>
          <w:sz w:val="22"/>
          <w:szCs w:val="22"/>
          <w:lang w:val="en-GB" w:eastAsia="en-US"/>
        </w:rPr>
        <w:t xml:space="preserve"> (Vic)</w:t>
      </w:r>
      <w:r w:rsidRPr="00517EB9">
        <w:rPr>
          <w:rFonts w:asciiTheme="minorHAnsi" w:eastAsia="Calibri" w:hAnsiTheme="minorHAnsi" w:cstheme="minorHAnsi"/>
          <w:b w:val="0"/>
          <w:bCs w:val="0"/>
          <w:color w:val="292929"/>
          <w:sz w:val="22"/>
          <w:szCs w:val="22"/>
          <w:lang w:val="en-GB" w:eastAsia="en-US"/>
        </w:rPr>
        <w:t xml:space="preserve"> </w:t>
      </w:r>
      <w:r w:rsidR="00B174EF">
        <w:rPr>
          <w:rFonts w:asciiTheme="minorHAnsi" w:eastAsia="Calibri" w:hAnsiTheme="minorHAnsi" w:cstheme="minorHAnsi"/>
          <w:b w:val="0"/>
          <w:bCs w:val="0"/>
          <w:color w:val="292929"/>
          <w:sz w:val="22"/>
          <w:szCs w:val="22"/>
          <w:lang w:val="en-GB" w:eastAsia="en-US"/>
        </w:rPr>
        <w:t xml:space="preserve">which </w:t>
      </w:r>
      <w:r w:rsidR="00380066" w:rsidRPr="00517EB9">
        <w:rPr>
          <w:rFonts w:asciiTheme="minorHAnsi" w:eastAsia="Calibri" w:hAnsiTheme="minorHAnsi" w:cstheme="minorHAnsi"/>
          <w:b w:val="0"/>
          <w:bCs w:val="0"/>
          <w:color w:val="292929"/>
          <w:sz w:val="22"/>
          <w:szCs w:val="22"/>
          <w:lang w:val="en-GB" w:eastAsia="en-US"/>
        </w:rPr>
        <w:t xml:space="preserve">prescribe standards and </w:t>
      </w:r>
      <w:r w:rsidR="003A5D6F" w:rsidRPr="00517EB9">
        <w:rPr>
          <w:rFonts w:asciiTheme="minorHAnsi" w:eastAsia="Calibri" w:hAnsiTheme="minorHAnsi" w:cstheme="minorHAnsi"/>
          <w:b w:val="0"/>
          <w:bCs w:val="0"/>
          <w:color w:val="292929"/>
          <w:sz w:val="22"/>
          <w:szCs w:val="22"/>
          <w:lang w:val="en-GB" w:eastAsia="en-US"/>
        </w:rPr>
        <w:t>obligations</w:t>
      </w:r>
      <w:r w:rsidR="003A5D6F">
        <w:rPr>
          <w:rFonts w:asciiTheme="minorHAnsi" w:eastAsia="Calibri" w:hAnsiTheme="minorHAnsi" w:cstheme="minorHAnsi"/>
          <w:b w:val="0"/>
          <w:bCs w:val="0"/>
          <w:color w:val="292929"/>
          <w:sz w:val="22"/>
          <w:szCs w:val="22"/>
          <w:lang w:val="en-GB" w:eastAsia="en-US"/>
        </w:rPr>
        <w:t xml:space="preserve"> and</w:t>
      </w:r>
      <w:r w:rsidR="00380066" w:rsidRPr="00517EB9">
        <w:rPr>
          <w:rFonts w:asciiTheme="minorHAnsi" w:eastAsia="Calibri" w:hAnsiTheme="minorHAnsi" w:cstheme="minorHAnsi"/>
          <w:b w:val="0"/>
          <w:bCs w:val="0"/>
          <w:color w:val="292929"/>
          <w:sz w:val="22"/>
          <w:szCs w:val="22"/>
          <w:lang w:val="en-GB" w:eastAsia="en-US"/>
        </w:rPr>
        <w:t xml:space="preserve"> provide for investigation and determination of breaches</w:t>
      </w:r>
      <w:r w:rsidRPr="00517EB9">
        <w:rPr>
          <w:rFonts w:asciiTheme="minorHAnsi" w:eastAsia="Calibri" w:hAnsiTheme="minorHAnsi" w:cstheme="minorHAnsi"/>
          <w:b w:val="0"/>
          <w:bCs w:val="0"/>
          <w:color w:val="292929"/>
          <w:sz w:val="22"/>
          <w:szCs w:val="22"/>
          <w:lang w:val="en-GB" w:eastAsia="en-US"/>
        </w:rPr>
        <w:t>. The First Respondent can also</w:t>
      </w:r>
      <w:r w:rsidR="00380066" w:rsidRPr="00517EB9">
        <w:rPr>
          <w:rFonts w:asciiTheme="minorHAnsi" w:eastAsia="Calibri" w:hAnsiTheme="minorHAnsi" w:cstheme="minorHAnsi"/>
          <w:b w:val="0"/>
          <w:bCs w:val="0"/>
          <w:color w:val="292929"/>
          <w:sz w:val="22"/>
          <w:szCs w:val="22"/>
          <w:lang w:val="en-GB" w:eastAsia="en-US"/>
        </w:rPr>
        <w:t xml:space="preserve"> issue sanctions </w:t>
      </w:r>
      <w:r w:rsidR="00F810B6" w:rsidRPr="00517EB9">
        <w:rPr>
          <w:rFonts w:asciiTheme="minorHAnsi" w:eastAsia="Calibri" w:hAnsiTheme="minorHAnsi" w:cstheme="minorHAnsi"/>
          <w:b w:val="0"/>
          <w:bCs w:val="0"/>
          <w:color w:val="292929"/>
          <w:sz w:val="22"/>
          <w:szCs w:val="22"/>
          <w:lang w:val="en-GB" w:eastAsia="en-US"/>
        </w:rPr>
        <w:t>such as</w:t>
      </w:r>
      <w:r w:rsidR="00380066" w:rsidRPr="00517EB9">
        <w:rPr>
          <w:rFonts w:asciiTheme="minorHAnsi" w:eastAsia="Calibri" w:hAnsiTheme="minorHAnsi" w:cstheme="minorHAnsi"/>
          <w:b w:val="0"/>
          <w:bCs w:val="0"/>
          <w:color w:val="292929"/>
          <w:sz w:val="22"/>
          <w:szCs w:val="22"/>
          <w:lang w:val="en-GB" w:eastAsia="en-US"/>
        </w:rPr>
        <w:t xml:space="preserve"> suspension, </w:t>
      </w:r>
      <w:r w:rsidR="003A5D6F" w:rsidRPr="00517EB9">
        <w:rPr>
          <w:rFonts w:asciiTheme="minorHAnsi" w:eastAsia="Calibri" w:hAnsiTheme="minorHAnsi" w:cstheme="minorHAnsi"/>
          <w:b w:val="0"/>
          <w:bCs w:val="0"/>
          <w:color w:val="292929"/>
          <w:sz w:val="22"/>
          <w:szCs w:val="22"/>
          <w:lang w:val="en-GB" w:eastAsia="en-US"/>
        </w:rPr>
        <w:t>disqualification,</w:t>
      </w:r>
      <w:r w:rsidR="00380066" w:rsidRPr="00517EB9">
        <w:rPr>
          <w:rFonts w:asciiTheme="minorHAnsi" w:eastAsia="Calibri" w:hAnsiTheme="minorHAnsi" w:cstheme="minorHAnsi"/>
          <w:b w:val="0"/>
          <w:bCs w:val="0"/>
          <w:color w:val="292929"/>
          <w:sz w:val="22"/>
          <w:szCs w:val="22"/>
          <w:lang w:val="en-GB" w:eastAsia="en-US"/>
        </w:rPr>
        <w:t xml:space="preserve"> and fines. </w:t>
      </w:r>
      <w:r w:rsidRPr="00517EB9">
        <w:rPr>
          <w:rFonts w:asciiTheme="minorHAnsi" w:eastAsia="Calibri" w:hAnsiTheme="minorHAnsi" w:cstheme="minorHAnsi"/>
          <w:b w:val="0"/>
          <w:bCs w:val="0"/>
          <w:color w:val="292929"/>
          <w:sz w:val="22"/>
          <w:szCs w:val="22"/>
          <w:lang w:val="en-GB" w:eastAsia="en-US"/>
        </w:rPr>
        <w:t>The Court found that t</w:t>
      </w:r>
      <w:r w:rsidR="00380066" w:rsidRPr="00517EB9">
        <w:rPr>
          <w:rFonts w:asciiTheme="minorHAnsi" w:eastAsia="Calibri" w:hAnsiTheme="minorHAnsi" w:cstheme="minorHAnsi"/>
          <w:b w:val="0"/>
          <w:bCs w:val="0"/>
          <w:color w:val="292929"/>
          <w:sz w:val="22"/>
          <w:szCs w:val="22"/>
          <w:lang w:val="en-GB" w:eastAsia="en-US"/>
        </w:rPr>
        <w:t xml:space="preserve">he </w:t>
      </w:r>
      <w:r w:rsidRPr="00517EB9">
        <w:rPr>
          <w:rFonts w:asciiTheme="minorHAnsi" w:eastAsia="Calibri" w:hAnsiTheme="minorHAnsi" w:cstheme="minorHAnsi"/>
          <w:b w:val="0"/>
          <w:bCs w:val="0"/>
          <w:color w:val="292929"/>
          <w:sz w:val="22"/>
          <w:szCs w:val="22"/>
          <w:lang w:val="en-GB" w:eastAsia="en-US"/>
        </w:rPr>
        <w:t>R</w:t>
      </w:r>
      <w:r w:rsidR="00380066" w:rsidRPr="00517EB9">
        <w:rPr>
          <w:rFonts w:asciiTheme="minorHAnsi" w:eastAsia="Calibri" w:hAnsiTheme="minorHAnsi" w:cstheme="minorHAnsi"/>
          <w:b w:val="0"/>
          <w:bCs w:val="0"/>
          <w:color w:val="292929"/>
          <w:sz w:val="22"/>
          <w:szCs w:val="22"/>
          <w:lang w:val="en-GB" w:eastAsia="en-US"/>
        </w:rPr>
        <w:t xml:space="preserve">ules of </w:t>
      </w:r>
      <w:r w:rsidRPr="00517EB9">
        <w:rPr>
          <w:rFonts w:asciiTheme="minorHAnsi" w:eastAsia="Calibri" w:hAnsiTheme="minorHAnsi" w:cstheme="minorHAnsi"/>
          <w:b w:val="0"/>
          <w:bCs w:val="0"/>
          <w:color w:val="292929"/>
          <w:sz w:val="22"/>
          <w:szCs w:val="22"/>
          <w:lang w:val="en-GB" w:eastAsia="en-US"/>
        </w:rPr>
        <w:t>R</w:t>
      </w:r>
      <w:r w:rsidR="00380066" w:rsidRPr="00517EB9">
        <w:rPr>
          <w:rFonts w:asciiTheme="minorHAnsi" w:eastAsia="Calibri" w:hAnsiTheme="minorHAnsi" w:cstheme="minorHAnsi"/>
          <w:b w:val="0"/>
          <w:bCs w:val="0"/>
          <w:color w:val="292929"/>
          <w:sz w:val="22"/>
          <w:szCs w:val="22"/>
          <w:lang w:val="en-GB" w:eastAsia="en-US"/>
        </w:rPr>
        <w:t>acing are thus directed at identifying norms, the breach of which is unlawful</w:t>
      </w:r>
      <w:r w:rsidRPr="00517EB9">
        <w:rPr>
          <w:rFonts w:asciiTheme="minorHAnsi" w:eastAsia="Calibri" w:hAnsiTheme="minorHAnsi" w:cstheme="minorHAnsi"/>
          <w:b w:val="0"/>
          <w:bCs w:val="0"/>
          <w:color w:val="292929"/>
          <w:sz w:val="22"/>
          <w:szCs w:val="22"/>
          <w:lang w:val="en-GB" w:eastAsia="en-US"/>
        </w:rPr>
        <w:t>, and confirmed the Supreme Court</w:t>
      </w:r>
      <w:r w:rsidR="00F810B6" w:rsidRPr="00517EB9">
        <w:rPr>
          <w:rFonts w:asciiTheme="minorHAnsi" w:eastAsia="Calibri" w:hAnsiTheme="minorHAnsi" w:cstheme="minorHAnsi"/>
          <w:b w:val="0"/>
          <w:bCs w:val="0"/>
          <w:color w:val="292929"/>
          <w:sz w:val="22"/>
          <w:szCs w:val="22"/>
          <w:lang w:val="en-GB" w:eastAsia="en-US"/>
        </w:rPr>
        <w:t>’</w:t>
      </w:r>
      <w:r w:rsidRPr="00517EB9">
        <w:rPr>
          <w:rFonts w:asciiTheme="minorHAnsi" w:eastAsia="Calibri" w:hAnsiTheme="minorHAnsi" w:cstheme="minorHAnsi"/>
          <w:b w:val="0"/>
          <w:bCs w:val="0"/>
          <w:color w:val="292929"/>
          <w:sz w:val="22"/>
          <w:szCs w:val="22"/>
          <w:lang w:val="en-GB" w:eastAsia="en-US"/>
        </w:rPr>
        <w:t xml:space="preserve">s view that </w:t>
      </w:r>
      <w:r w:rsidR="00380066" w:rsidRPr="00517EB9">
        <w:rPr>
          <w:rFonts w:asciiTheme="minorHAnsi" w:eastAsia="Calibri" w:hAnsiTheme="minorHAnsi" w:cstheme="minorHAnsi"/>
          <w:b w:val="0"/>
          <w:bCs w:val="0"/>
          <w:color w:val="292929"/>
          <w:sz w:val="22"/>
          <w:szCs w:val="22"/>
          <w:lang w:val="en-GB" w:eastAsia="en-US"/>
        </w:rPr>
        <w:t xml:space="preserve">unlawful activity extends beyond criminal conduct. </w:t>
      </w:r>
    </w:p>
    <w:p w14:paraId="2CB0FC93" w14:textId="78DACB34" w:rsidR="00380066" w:rsidRPr="00517EB9" w:rsidRDefault="00F810B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 xml:space="preserve">The Court accepted the Second Respondent’s submission that the </w:t>
      </w:r>
      <w:r w:rsidR="00380066" w:rsidRPr="00517EB9">
        <w:rPr>
          <w:rFonts w:asciiTheme="minorHAnsi" w:eastAsia="Calibri" w:hAnsiTheme="minorHAnsi" w:cstheme="minorHAnsi"/>
          <w:b w:val="0"/>
          <w:bCs w:val="0"/>
          <w:color w:val="292929"/>
          <w:sz w:val="22"/>
          <w:szCs w:val="22"/>
          <w:lang w:val="en-GB" w:eastAsia="en-US"/>
        </w:rPr>
        <w:t>broad definition of ‘law enforcement agency’ in s</w:t>
      </w:r>
      <w:r w:rsidR="00E14210">
        <w:rPr>
          <w:rFonts w:asciiTheme="minorHAnsi" w:eastAsia="Calibri" w:hAnsiTheme="minorHAnsi" w:cstheme="minorHAnsi"/>
          <w:b w:val="0"/>
          <w:bCs w:val="0"/>
          <w:color w:val="292929"/>
          <w:sz w:val="22"/>
          <w:szCs w:val="22"/>
          <w:lang w:val="en-GB" w:eastAsia="en-US"/>
        </w:rPr>
        <w:t>ection</w:t>
      </w:r>
      <w:r w:rsidR="00380066" w:rsidRPr="00517EB9">
        <w:rPr>
          <w:rFonts w:asciiTheme="minorHAnsi" w:eastAsia="Calibri" w:hAnsiTheme="minorHAnsi" w:cstheme="minorHAnsi"/>
          <w:b w:val="0"/>
          <w:bCs w:val="0"/>
          <w:color w:val="292929"/>
          <w:sz w:val="22"/>
          <w:szCs w:val="22"/>
          <w:lang w:val="en-GB" w:eastAsia="en-US"/>
        </w:rPr>
        <w:t xml:space="preserve"> 3 of the PDP Act captures </w:t>
      </w:r>
      <w:r w:rsidRPr="00517EB9">
        <w:rPr>
          <w:rFonts w:asciiTheme="minorHAnsi" w:eastAsia="Calibri" w:hAnsiTheme="minorHAnsi" w:cstheme="minorHAnsi"/>
          <w:b w:val="0"/>
          <w:bCs w:val="0"/>
          <w:color w:val="292929"/>
          <w:sz w:val="22"/>
          <w:szCs w:val="22"/>
          <w:lang w:val="en-GB" w:eastAsia="en-US"/>
        </w:rPr>
        <w:t>the First Respondent</w:t>
      </w:r>
      <w:r w:rsidR="00380066" w:rsidRPr="00517EB9">
        <w:rPr>
          <w:rFonts w:asciiTheme="minorHAnsi" w:eastAsia="Calibri" w:hAnsiTheme="minorHAnsi" w:cstheme="minorHAnsi"/>
          <w:b w:val="0"/>
          <w:bCs w:val="0"/>
          <w:color w:val="292929"/>
          <w:sz w:val="22"/>
          <w:szCs w:val="22"/>
          <w:lang w:val="en-GB" w:eastAsia="en-US"/>
        </w:rPr>
        <w:t xml:space="preserve">. This is because </w:t>
      </w:r>
      <w:r w:rsidRPr="00517EB9">
        <w:rPr>
          <w:rFonts w:asciiTheme="minorHAnsi" w:eastAsia="Calibri" w:hAnsiTheme="minorHAnsi" w:cstheme="minorHAnsi"/>
          <w:b w:val="0"/>
          <w:bCs w:val="0"/>
          <w:color w:val="292929"/>
          <w:sz w:val="22"/>
          <w:szCs w:val="22"/>
          <w:lang w:val="en-GB" w:eastAsia="en-US"/>
        </w:rPr>
        <w:t>the First Respondent</w:t>
      </w:r>
      <w:r w:rsidR="00380066" w:rsidRPr="00517EB9">
        <w:rPr>
          <w:rFonts w:asciiTheme="minorHAnsi" w:eastAsia="Calibri" w:hAnsiTheme="minorHAnsi" w:cstheme="minorHAnsi"/>
          <w:b w:val="0"/>
          <w:bCs w:val="0"/>
          <w:color w:val="292929"/>
          <w:sz w:val="22"/>
          <w:szCs w:val="22"/>
          <w:lang w:val="en-GB" w:eastAsia="en-US"/>
        </w:rPr>
        <w:t xml:space="preserve"> regulates the racing industry and can impose penalties and sanctions under the Rules of Racing for possession of EPO. As a result, </w:t>
      </w:r>
      <w:r w:rsidRPr="00517EB9">
        <w:rPr>
          <w:rFonts w:asciiTheme="minorHAnsi" w:eastAsia="Calibri" w:hAnsiTheme="minorHAnsi" w:cstheme="minorHAnsi"/>
          <w:b w:val="0"/>
          <w:bCs w:val="0"/>
          <w:color w:val="292929"/>
          <w:sz w:val="22"/>
          <w:szCs w:val="22"/>
          <w:lang w:val="en-GB" w:eastAsia="en-US"/>
        </w:rPr>
        <w:t>the Court held that the</w:t>
      </w:r>
      <w:r w:rsidR="00380066" w:rsidRPr="00517EB9">
        <w:rPr>
          <w:rFonts w:asciiTheme="minorHAnsi" w:eastAsia="Calibri" w:hAnsiTheme="minorHAnsi" w:cstheme="minorHAnsi"/>
          <w:b w:val="0"/>
          <w:bCs w:val="0"/>
          <w:color w:val="292929"/>
          <w:sz w:val="22"/>
          <w:szCs w:val="22"/>
          <w:lang w:val="en-GB" w:eastAsia="en-US"/>
        </w:rPr>
        <w:t xml:space="preserve"> disclosure was</w:t>
      </w:r>
      <w:r w:rsidR="003A5D6F">
        <w:rPr>
          <w:rFonts w:asciiTheme="minorHAnsi" w:eastAsia="Calibri" w:hAnsiTheme="minorHAnsi" w:cstheme="minorHAnsi"/>
          <w:b w:val="0"/>
          <w:bCs w:val="0"/>
          <w:color w:val="292929"/>
          <w:sz w:val="22"/>
          <w:szCs w:val="22"/>
          <w:lang w:val="en-GB" w:eastAsia="en-US"/>
        </w:rPr>
        <w:t xml:space="preserve"> </w:t>
      </w:r>
      <w:r w:rsidR="00380066" w:rsidRPr="00517EB9">
        <w:rPr>
          <w:rFonts w:asciiTheme="minorHAnsi" w:eastAsia="Calibri" w:hAnsiTheme="minorHAnsi" w:cstheme="minorHAnsi"/>
          <w:b w:val="0"/>
          <w:bCs w:val="0"/>
          <w:color w:val="292929"/>
          <w:sz w:val="22"/>
          <w:szCs w:val="22"/>
          <w:lang w:val="en-GB" w:eastAsia="en-US"/>
        </w:rPr>
        <w:t>authorised by IPP 2.1(g)(</w:t>
      </w:r>
      <w:proofErr w:type="spellStart"/>
      <w:r w:rsidR="00380066" w:rsidRPr="00517EB9">
        <w:rPr>
          <w:rFonts w:asciiTheme="minorHAnsi" w:eastAsia="Calibri" w:hAnsiTheme="minorHAnsi" w:cstheme="minorHAnsi"/>
          <w:b w:val="0"/>
          <w:bCs w:val="0"/>
          <w:color w:val="292929"/>
          <w:sz w:val="22"/>
          <w:szCs w:val="22"/>
          <w:lang w:val="en-GB" w:eastAsia="en-US"/>
        </w:rPr>
        <w:t>i</w:t>
      </w:r>
      <w:proofErr w:type="spellEnd"/>
      <w:r w:rsidR="00380066" w:rsidRPr="00517EB9">
        <w:rPr>
          <w:rFonts w:asciiTheme="minorHAnsi" w:eastAsia="Calibri" w:hAnsiTheme="minorHAnsi" w:cstheme="minorHAnsi"/>
          <w:b w:val="0"/>
          <w:bCs w:val="0"/>
          <w:color w:val="292929"/>
          <w:sz w:val="22"/>
          <w:szCs w:val="22"/>
          <w:lang w:val="en-GB" w:eastAsia="en-US"/>
        </w:rPr>
        <w:t>).</w:t>
      </w:r>
    </w:p>
    <w:p w14:paraId="1CD65976" w14:textId="6BF5A45D" w:rsidR="00380066" w:rsidRPr="00517EB9" w:rsidRDefault="00F810B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The Court also accepted that the Second Respondent</w:t>
      </w:r>
      <w:r w:rsidR="00380066" w:rsidRPr="00517EB9">
        <w:rPr>
          <w:rFonts w:asciiTheme="minorHAnsi" w:eastAsia="Calibri" w:hAnsiTheme="minorHAnsi" w:cstheme="minorHAnsi"/>
          <w:b w:val="0"/>
          <w:bCs w:val="0"/>
          <w:color w:val="292929"/>
          <w:sz w:val="22"/>
          <w:szCs w:val="22"/>
          <w:lang w:val="en-GB" w:eastAsia="en-US"/>
        </w:rPr>
        <w:t xml:space="preserve"> had a proper basis for believing that the Applicant was in possession of EPO and had administered it to a horse he trained. </w:t>
      </w:r>
      <w:r w:rsidR="003A5D6F">
        <w:rPr>
          <w:rFonts w:asciiTheme="minorHAnsi" w:eastAsia="Calibri" w:hAnsiTheme="minorHAnsi" w:cstheme="minorHAnsi"/>
          <w:b w:val="0"/>
          <w:bCs w:val="0"/>
          <w:color w:val="292929"/>
          <w:sz w:val="22"/>
          <w:szCs w:val="22"/>
          <w:lang w:val="en-GB" w:eastAsia="en-US"/>
        </w:rPr>
        <w:t>T</w:t>
      </w:r>
      <w:r w:rsidR="00380066" w:rsidRPr="00517EB9">
        <w:rPr>
          <w:rFonts w:asciiTheme="minorHAnsi" w:eastAsia="Calibri" w:hAnsiTheme="minorHAnsi" w:cstheme="minorHAnsi"/>
          <w:b w:val="0"/>
          <w:bCs w:val="0"/>
          <w:color w:val="292929"/>
          <w:sz w:val="22"/>
          <w:szCs w:val="22"/>
          <w:lang w:val="en-GB" w:eastAsia="en-US"/>
        </w:rPr>
        <w:t xml:space="preserve">he Court found that it was not unreasonable to consider the possession and use of EPO </w:t>
      </w:r>
      <w:r w:rsidR="003A5D6F">
        <w:rPr>
          <w:rFonts w:asciiTheme="minorHAnsi" w:eastAsia="Calibri" w:hAnsiTheme="minorHAnsi" w:cstheme="minorHAnsi"/>
          <w:b w:val="0"/>
          <w:bCs w:val="0"/>
          <w:color w:val="292929"/>
          <w:sz w:val="22"/>
          <w:szCs w:val="22"/>
          <w:lang w:val="en-GB" w:eastAsia="en-US"/>
        </w:rPr>
        <w:t>as</w:t>
      </w:r>
      <w:r w:rsidR="00380066" w:rsidRPr="00517EB9">
        <w:rPr>
          <w:rFonts w:asciiTheme="minorHAnsi" w:eastAsia="Calibri" w:hAnsiTheme="minorHAnsi" w:cstheme="minorHAnsi"/>
          <w:b w:val="0"/>
          <w:bCs w:val="0"/>
          <w:color w:val="292929"/>
          <w:sz w:val="22"/>
          <w:szCs w:val="22"/>
          <w:lang w:val="en-GB" w:eastAsia="en-US"/>
        </w:rPr>
        <w:t xml:space="preserve"> seriously improper conduct in racing, and therefore</w:t>
      </w:r>
      <w:r w:rsidR="003A5D6F">
        <w:rPr>
          <w:rFonts w:asciiTheme="minorHAnsi" w:eastAsia="Calibri" w:hAnsiTheme="minorHAnsi" w:cstheme="minorHAnsi"/>
          <w:b w:val="0"/>
          <w:bCs w:val="0"/>
          <w:color w:val="292929"/>
          <w:sz w:val="22"/>
          <w:szCs w:val="22"/>
          <w:lang w:val="en-GB" w:eastAsia="en-US"/>
        </w:rPr>
        <w:t xml:space="preserve"> held</w:t>
      </w:r>
      <w:r w:rsidR="00380066" w:rsidRPr="00517EB9">
        <w:rPr>
          <w:rFonts w:asciiTheme="minorHAnsi" w:eastAsia="Calibri" w:hAnsiTheme="minorHAnsi" w:cstheme="minorHAnsi"/>
          <w:b w:val="0"/>
          <w:bCs w:val="0"/>
          <w:color w:val="292929"/>
          <w:sz w:val="22"/>
          <w:szCs w:val="22"/>
          <w:lang w:val="en-GB" w:eastAsia="en-US"/>
        </w:rPr>
        <w:t xml:space="preserve"> </w:t>
      </w:r>
      <w:r w:rsidRPr="00517EB9">
        <w:rPr>
          <w:rFonts w:asciiTheme="minorHAnsi" w:eastAsia="Calibri" w:hAnsiTheme="minorHAnsi" w:cstheme="minorHAnsi"/>
          <w:b w:val="0"/>
          <w:bCs w:val="0"/>
          <w:color w:val="292929"/>
          <w:sz w:val="22"/>
          <w:szCs w:val="22"/>
          <w:lang w:val="en-GB" w:eastAsia="en-US"/>
        </w:rPr>
        <w:t xml:space="preserve">that </w:t>
      </w:r>
      <w:r w:rsidR="00380066" w:rsidRPr="00517EB9">
        <w:rPr>
          <w:rFonts w:asciiTheme="minorHAnsi" w:eastAsia="Calibri" w:hAnsiTheme="minorHAnsi" w:cstheme="minorHAnsi"/>
          <w:b w:val="0"/>
          <w:bCs w:val="0"/>
          <w:color w:val="292929"/>
          <w:sz w:val="22"/>
          <w:szCs w:val="22"/>
          <w:lang w:val="en-GB" w:eastAsia="en-US"/>
        </w:rPr>
        <w:t>the disclosure was authorised by IPP 2.1(g)(iv).</w:t>
      </w:r>
    </w:p>
    <w:p w14:paraId="6632D756" w14:textId="33D7C118" w:rsidR="00380066" w:rsidRPr="00517EB9" w:rsidRDefault="00F810B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 xml:space="preserve">The Court </w:t>
      </w:r>
      <w:r w:rsidR="003A5D6F">
        <w:rPr>
          <w:rFonts w:asciiTheme="minorHAnsi" w:eastAsia="Calibri" w:hAnsiTheme="minorHAnsi" w:cstheme="minorHAnsi"/>
          <w:b w:val="0"/>
          <w:bCs w:val="0"/>
          <w:color w:val="292929"/>
          <w:sz w:val="22"/>
          <w:szCs w:val="22"/>
          <w:lang w:val="en-GB" w:eastAsia="en-US"/>
        </w:rPr>
        <w:t>found</w:t>
      </w:r>
      <w:r w:rsidRPr="00517EB9">
        <w:rPr>
          <w:rFonts w:asciiTheme="minorHAnsi" w:eastAsia="Calibri" w:hAnsiTheme="minorHAnsi" w:cstheme="minorHAnsi"/>
          <w:b w:val="0"/>
          <w:bCs w:val="0"/>
          <w:color w:val="292929"/>
          <w:sz w:val="22"/>
          <w:szCs w:val="22"/>
          <w:lang w:val="en-GB" w:eastAsia="en-US"/>
        </w:rPr>
        <w:t xml:space="preserve"> that it was u</w:t>
      </w:r>
      <w:r w:rsidR="00380066" w:rsidRPr="00517EB9">
        <w:rPr>
          <w:rFonts w:asciiTheme="minorHAnsi" w:eastAsia="Calibri" w:hAnsiTheme="minorHAnsi" w:cstheme="minorHAnsi"/>
          <w:b w:val="0"/>
          <w:bCs w:val="0"/>
          <w:color w:val="292929"/>
          <w:sz w:val="22"/>
          <w:szCs w:val="22"/>
          <w:lang w:val="en-GB" w:eastAsia="en-US"/>
        </w:rPr>
        <w:t xml:space="preserve">nnecessary to determine whether disclosure was </w:t>
      </w:r>
      <w:r w:rsidR="003A5D6F">
        <w:rPr>
          <w:rFonts w:asciiTheme="minorHAnsi" w:eastAsia="Calibri" w:hAnsiTheme="minorHAnsi" w:cstheme="minorHAnsi"/>
          <w:b w:val="0"/>
          <w:bCs w:val="0"/>
          <w:color w:val="292929"/>
          <w:sz w:val="22"/>
          <w:szCs w:val="22"/>
          <w:lang w:val="en-GB" w:eastAsia="en-US"/>
        </w:rPr>
        <w:t xml:space="preserve">also </w:t>
      </w:r>
      <w:r w:rsidR="00380066" w:rsidRPr="00517EB9">
        <w:rPr>
          <w:rFonts w:asciiTheme="minorHAnsi" w:eastAsia="Calibri" w:hAnsiTheme="minorHAnsi" w:cstheme="minorHAnsi"/>
          <w:b w:val="0"/>
          <w:bCs w:val="0"/>
          <w:color w:val="292929"/>
          <w:sz w:val="22"/>
          <w:szCs w:val="22"/>
          <w:lang w:val="en-GB" w:eastAsia="en-US"/>
        </w:rPr>
        <w:t xml:space="preserve">permitted under IPP 2.1(f) or whether </w:t>
      </w:r>
      <w:r w:rsidRPr="00517EB9">
        <w:rPr>
          <w:rFonts w:asciiTheme="minorHAnsi" w:eastAsia="Calibri" w:hAnsiTheme="minorHAnsi" w:cstheme="minorHAnsi"/>
          <w:b w:val="0"/>
          <w:bCs w:val="0"/>
          <w:color w:val="292929"/>
          <w:sz w:val="22"/>
          <w:szCs w:val="22"/>
          <w:lang w:val="en-GB" w:eastAsia="en-US"/>
        </w:rPr>
        <w:t>the Second Respondent</w:t>
      </w:r>
      <w:r w:rsidR="00380066" w:rsidRPr="00517EB9">
        <w:rPr>
          <w:rFonts w:asciiTheme="minorHAnsi" w:eastAsia="Calibri" w:hAnsiTheme="minorHAnsi" w:cstheme="minorHAnsi"/>
          <w:b w:val="0"/>
          <w:bCs w:val="0"/>
          <w:color w:val="292929"/>
          <w:sz w:val="22"/>
          <w:szCs w:val="22"/>
          <w:lang w:val="en-GB" w:eastAsia="en-US"/>
        </w:rPr>
        <w:t xml:space="preserve"> could rely on the </w:t>
      </w:r>
      <w:r w:rsidRPr="00517EB9">
        <w:rPr>
          <w:rFonts w:asciiTheme="minorHAnsi" w:eastAsia="Calibri" w:hAnsiTheme="minorHAnsi" w:cstheme="minorHAnsi"/>
          <w:b w:val="0"/>
          <w:bCs w:val="0"/>
          <w:color w:val="292929"/>
          <w:sz w:val="22"/>
          <w:szCs w:val="22"/>
          <w:lang w:val="en-GB" w:eastAsia="en-US"/>
        </w:rPr>
        <w:t xml:space="preserve">law enforcement </w:t>
      </w:r>
      <w:r w:rsidR="00380066" w:rsidRPr="00517EB9">
        <w:rPr>
          <w:rFonts w:asciiTheme="minorHAnsi" w:eastAsia="Calibri" w:hAnsiTheme="minorHAnsi" w:cstheme="minorHAnsi"/>
          <w:b w:val="0"/>
          <w:bCs w:val="0"/>
          <w:color w:val="292929"/>
          <w:sz w:val="22"/>
          <w:szCs w:val="22"/>
          <w:lang w:val="en-GB" w:eastAsia="en-US"/>
        </w:rPr>
        <w:t>exemption in s</w:t>
      </w:r>
      <w:r w:rsidR="00E14210">
        <w:rPr>
          <w:rFonts w:asciiTheme="minorHAnsi" w:eastAsia="Calibri" w:hAnsiTheme="minorHAnsi" w:cstheme="minorHAnsi"/>
          <w:b w:val="0"/>
          <w:bCs w:val="0"/>
          <w:color w:val="292929"/>
          <w:sz w:val="22"/>
          <w:szCs w:val="22"/>
          <w:lang w:val="en-GB" w:eastAsia="en-US"/>
        </w:rPr>
        <w:t>ection</w:t>
      </w:r>
      <w:r w:rsidR="00380066" w:rsidRPr="00517EB9">
        <w:rPr>
          <w:rFonts w:asciiTheme="minorHAnsi" w:eastAsia="Calibri" w:hAnsiTheme="minorHAnsi" w:cstheme="minorHAnsi"/>
          <w:b w:val="0"/>
          <w:bCs w:val="0"/>
          <w:color w:val="292929"/>
          <w:sz w:val="22"/>
          <w:szCs w:val="22"/>
          <w:lang w:val="en-GB" w:eastAsia="en-US"/>
        </w:rPr>
        <w:t xml:space="preserve"> 15</w:t>
      </w:r>
      <w:r w:rsidR="003A5D6F">
        <w:rPr>
          <w:rFonts w:asciiTheme="minorHAnsi" w:eastAsia="Calibri" w:hAnsiTheme="minorHAnsi" w:cstheme="minorHAnsi"/>
          <w:b w:val="0"/>
          <w:bCs w:val="0"/>
          <w:color w:val="292929"/>
          <w:sz w:val="22"/>
          <w:szCs w:val="22"/>
          <w:lang w:val="en-GB" w:eastAsia="en-US"/>
        </w:rPr>
        <w:t xml:space="preserve"> of the PDP Act</w:t>
      </w:r>
      <w:r w:rsidR="00380066" w:rsidRPr="00517EB9">
        <w:rPr>
          <w:rFonts w:asciiTheme="minorHAnsi" w:eastAsia="Calibri" w:hAnsiTheme="minorHAnsi" w:cstheme="minorHAnsi"/>
          <w:b w:val="0"/>
          <w:bCs w:val="0"/>
          <w:color w:val="292929"/>
          <w:sz w:val="22"/>
          <w:szCs w:val="22"/>
          <w:lang w:val="en-GB" w:eastAsia="en-US"/>
        </w:rPr>
        <w:t>.</w:t>
      </w:r>
    </w:p>
    <w:p w14:paraId="477BE56B" w14:textId="77777777" w:rsidR="00380066" w:rsidRPr="00517EB9" w:rsidRDefault="0038006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Style w:val="Strong"/>
          <w:rFonts w:asciiTheme="minorHAnsi" w:hAnsiTheme="minorHAnsi" w:cstheme="minorHAnsi"/>
          <w:b/>
          <w:bCs/>
          <w:color w:val="430098"/>
          <w:sz w:val="24"/>
          <w:szCs w:val="24"/>
        </w:rPr>
        <w:t>Relief</w:t>
      </w:r>
    </w:p>
    <w:p w14:paraId="771D1847" w14:textId="3518C4BB" w:rsidR="00380066" w:rsidRPr="00517EB9" w:rsidRDefault="0038006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The</w:t>
      </w:r>
      <w:r w:rsidR="00F810B6" w:rsidRPr="00517EB9">
        <w:rPr>
          <w:rFonts w:asciiTheme="minorHAnsi" w:eastAsia="Calibri" w:hAnsiTheme="minorHAnsi" w:cstheme="minorHAnsi"/>
          <w:b w:val="0"/>
          <w:bCs w:val="0"/>
          <w:color w:val="292929"/>
          <w:sz w:val="22"/>
          <w:szCs w:val="22"/>
          <w:lang w:val="en-GB" w:eastAsia="en-US"/>
        </w:rPr>
        <w:t xml:space="preserve"> Court held that the</w:t>
      </w:r>
      <w:r w:rsidRPr="00517EB9">
        <w:rPr>
          <w:rFonts w:asciiTheme="minorHAnsi" w:eastAsia="Calibri" w:hAnsiTheme="minorHAnsi" w:cstheme="minorHAnsi"/>
          <w:b w:val="0"/>
          <w:bCs w:val="0"/>
          <w:color w:val="292929"/>
          <w:sz w:val="22"/>
          <w:szCs w:val="22"/>
          <w:lang w:val="en-GB" w:eastAsia="en-US"/>
        </w:rPr>
        <w:t xml:space="preserve"> Applicant</w:t>
      </w:r>
      <w:r w:rsidR="00F810B6" w:rsidRPr="00517EB9">
        <w:rPr>
          <w:rFonts w:asciiTheme="minorHAnsi" w:eastAsia="Calibri" w:hAnsiTheme="minorHAnsi" w:cstheme="minorHAnsi"/>
          <w:b w:val="0"/>
          <w:bCs w:val="0"/>
          <w:color w:val="292929"/>
          <w:sz w:val="22"/>
          <w:szCs w:val="22"/>
          <w:lang w:val="en-GB" w:eastAsia="en-US"/>
        </w:rPr>
        <w:t xml:space="preserve"> had</w:t>
      </w:r>
      <w:r w:rsidRPr="00517EB9">
        <w:rPr>
          <w:rFonts w:asciiTheme="minorHAnsi" w:eastAsia="Calibri" w:hAnsiTheme="minorHAnsi" w:cstheme="minorHAnsi"/>
          <w:b w:val="0"/>
          <w:bCs w:val="0"/>
          <w:color w:val="292929"/>
          <w:sz w:val="22"/>
          <w:szCs w:val="22"/>
          <w:lang w:val="en-GB" w:eastAsia="en-US"/>
        </w:rPr>
        <w:t xml:space="preserve"> failed to establish that the disclosure by the Second Respondent to the First Respondent was unlawful and </w:t>
      </w:r>
      <w:r w:rsidR="00F810B6" w:rsidRPr="00517EB9">
        <w:rPr>
          <w:rFonts w:asciiTheme="minorHAnsi" w:eastAsia="Calibri" w:hAnsiTheme="minorHAnsi" w:cstheme="minorHAnsi"/>
          <w:b w:val="0"/>
          <w:bCs w:val="0"/>
          <w:color w:val="292929"/>
          <w:sz w:val="22"/>
          <w:szCs w:val="22"/>
          <w:lang w:val="en-GB" w:eastAsia="en-US"/>
        </w:rPr>
        <w:t>therefore</w:t>
      </w:r>
      <w:r w:rsidR="00B174EF">
        <w:rPr>
          <w:rFonts w:asciiTheme="minorHAnsi" w:eastAsia="Calibri" w:hAnsiTheme="minorHAnsi" w:cstheme="minorHAnsi"/>
          <w:b w:val="0"/>
          <w:bCs w:val="0"/>
          <w:color w:val="292929"/>
          <w:sz w:val="22"/>
          <w:szCs w:val="22"/>
          <w:lang w:val="en-GB" w:eastAsia="en-US"/>
        </w:rPr>
        <w:t xml:space="preserve"> </w:t>
      </w:r>
      <w:r w:rsidR="00F810B6" w:rsidRPr="00517EB9">
        <w:rPr>
          <w:rFonts w:asciiTheme="minorHAnsi" w:eastAsia="Calibri" w:hAnsiTheme="minorHAnsi" w:cstheme="minorHAnsi"/>
          <w:b w:val="0"/>
          <w:bCs w:val="0"/>
          <w:color w:val="292929"/>
          <w:sz w:val="22"/>
          <w:szCs w:val="22"/>
          <w:lang w:val="en-GB" w:eastAsia="en-US"/>
        </w:rPr>
        <w:t xml:space="preserve">was not entitled to </w:t>
      </w:r>
      <w:r w:rsidR="003A5D6F">
        <w:rPr>
          <w:rFonts w:asciiTheme="minorHAnsi" w:eastAsia="Calibri" w:hAnsiTheme="minorHAnsi" w:cstheme="minorHAnsi"/>
          <w:b w:val="0"/>
          <w:bCs w:val="0"/>
          <w:color w:val="292929"/>
          <w:sz w:val="22"/>
          <w:szCs w:val="22"/>
          <w:lang w:val="en-GB" w:eastAsia="en-US"/>
        </w:rPr>
        <w:t xml:space="preserve">any </w:t>
      </w:r>
      <w:r w:rsidR="00F810B6" w:rsidRPr="00517EB9">
        <w:rPr>
          <w:rFonts w:asciiTheme="minorHAnsi" w:eastAsia="Calibri" w:hAnsiTheme="minorHAnsi" w:cstheme="minorHAnsi"/>
          <w:b w:val="0"/>
          <w:bCs w:val="0"/>
          <w:color w:val="292929"/>
          <w:sz w:val="22"/>
          <w:szCs w:val="22"/>
          <w:lang w:val="en-GB" w:eastAsia="en-US"/>
        </w:rPr>
        <w:t xml:space="preserve">relief. </w:t>
      </w:r>
    </w:p>
    <w:p w14:paraId="323956E7" w14:textId="77777777" w:rsidR="00380066" w:rsidRPr="00517EB9" w:rsidRDefault="0038006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Style w:val="Strong"/>
          <w:rFonts w:asciiTheme="minorHAnsi" w:hAnsiTheme="minorHAnsi" w:cstheme="minorHAnsi"/>
          <w:b/>
          <w:bCs/>
          <w:color w:val="430098"/>
          <w:sz w:val="24"/>
          <w:szCs w:val="24"/>
        </w:rPr>
        <w:t>Conclusion</w:t>
      </w:r>
    </w:p>
    <w:p w14:paraId="5CC7A02D" w14:textId="41EE8FB7" w:rsidR="00380066" w:rsidRPr="00517EB9" w:rsidRDefault="00380066" w:rsidP="00380066">
      <w:pPr>
        <w:pStyle w:val="Heading5"/>
        <w:shd w:val="clear" w:color="auto" w:fill="FFFFFF"/>
        <w:spacing w:before="120" w:beforeAutospacing="0" w:after="240" w:afterAutospacing="0"/>
        <w:rPr>
          <w:rFonts w:asciiTheme="minorHAnsi" w:eastAsia="Calibri" w:hAnsiTheme="minorHAnsi" w:cstheme="minorHAnsi"/>
          <w:b w:val="0"/>
          <w:bCs w:val="0"/>
          <w:color w:val="292929"/>
          <w:sz w:val="22"/>
          <w:szCs w:val="22"/>
          <w:lang w:val="en-GB" w:eastAsia="en-US"/>
        </w:rPr>
      </w:pPr>
      <w:r w:rsidRPr="00517EB9">
        <w:rPr>
          <w:rFonts w:asciiTheme="minorHAnsi" w:eastAsia="Calibri" w:hAnsiTheme="minorHAnsi" w:cstheme="minorHAnsi"/>
          <w:b w:val="0"/>
          <w:bCs w:val="0"/>
          <w:color w:val="292929"/>
          <w:sz w:val="22"/>
          <w:szCs w:val="22"/>
          <w:lang w:val="en-GB" w:eastAsia="en-US"/>
        </w:rPr>
        <w:t xml:space="preserve">The Court </w:t>
      </w:r>
      <w:r w:rsidR="00F810B6" w:rsidRPr="00517EB9">
        <w:rPr>
          <w:rFonts w:asciiTheme="minorHAnsi" w:eastAsia="Calibri" w:hAnsiTheme="minorHAnsi" w:cstheme="minorHAnsi"/>
          <w:b w:val="0"/>
          <w:bCs w:val="0"/>
          <w:color w:val="292929"/>
          <w:sz w:val="22"/>
          <w:szCs w:val="22"/>
          <w:lang w:val="en-GB" w:eastAsia="en-US"/>
        </w:rPr>
        <w:t>granted</w:t>
      </w:r>
      <w:r w:rsidRPr="00517EB9">
        <w:rPr>
          <w:rFonts w:asciiTheme="minorHAnsi" w:eastAsia="Calibri" w:hAnsiTheme="minorHAnsi" w:cstheme="minorHAnsi"/>
          <w:b w:val="0"/>
          <w:bCs w:val="0"/>
          <w:color w:val="292929"/>
          <w:sz w:val="22"/>
          <w:szCs w:val="22"/>
          <w:lang w:val="en-GB" w:eastAsia="en-US"/>
        </w:rPr>
        <w:t xml:space="preserve"> leave to </w:t>
      </w:r>
      <w:proofErr w:type="gramStart"/>
      <w:r w:rsidRPr="00517EB9">
        <w:rPr>
          <w:rFonts w:asciiTheme="minorHAnsi" w:eastAsia="Calibri" w:hAnsiTheme="minorHAnsi" w:cstheme="minorHAnsi"/>
          <w:b w:val="0"/>
          <w:bCs w:val="0"/>
          <w:color w:val="292929"/>
          <w:sz w:val="22"/>
          <w:szCs w:val="22"/>
          <w:lang w:val="en-GB" w:eastAsia="en-US"/>
        </w:rPr>
        <w:t>appeal,</w:t>
      </w:r>
      <w:proofErr w:type="gramEnd"/>
      <w:r w:rsidRPr="00517EB9">
        <w:rPr>
          <w:rFonts w:asciiTheme="minorHAnsi" w:eastAsia="Calibri" w:hAnsiTheme="minorHAnsi" w:cstheme="minorHAnsi"/>
          <w:b w:val="0"/>
          <w:bCs w:val="0"/>
          <w:color w:val="292929"/>
          <w:sz w:val="22"/>
          <w:szCs w:val="22"/>
          <w:lang w:val="en-GB" w:eastAsia="en-US"/>
        </w:rPr>
        <w:t xml:space="preserve"> however the appeal </w:t>
      </w:r>
      <w:r w:rsidR="00F810B6" w:rsidRPr="00517EB9">
        <w:rPr>
          <w:rFonts w:asciiTheme="minorHAnsi" w:eastAsia="Calibri" w:hAnsiTheme="minorHAnsi" w:cstheme="minorHAnsi"/>
          <w:b w:val="0"/>
          <w:bCs w:val="0"/>
          <w:color w:val="292929"/>
          <w:sz w:val="22"/>
          <w:szCs w:val="22"/>
          <w:lang w:val="en-GB" w:eastAsia="en-US"/>
        </w:rPr>
        <w:t>was</w:t>
      </w:r>
      <w:r w:rsidRPr="00517EB9">
        <w:rPr>
          <w:rFonts w:asciiTheme="minorHAnsi" w:eastAsia="Calibri" w:hAnsiTheme="minorHAnsi" w:cstheme="minorHAnsi"/>
          <w:b w:val="0"/>
          <w:bCs w:val="0"/>
          <w:color w:val="292929"/>
          <w:sz w:val="22"/>
          <w:szCs w:val="22"/>
          <w:lang w:val="en-GB" w:eastAsia="en-US"/>
        </w:rPr>
        <w:t xml:space="preserve"> dismissed.</w:t>
      </w:r>
    </w:p>
    <w:p w14:paraId="7158CA64" w14:textId="77777777" w:rsidR="00380066" w:rsidRPr="00517EB9" w:rsidRDefault="00380066" w:rsidP="00380066">
      <w:pPr>
        <w:keepNext/>
        <w:keepLines/>
        <w:pBdr>
          <w:top w:val="single" w:sz="4" w:space="6" w:color="430098"/>
        </w:pBdr>
        <w:spacing w:before="120" w:after="240"/>
        <w:outlineLvl w:val="0"/>
        <w:rPr>
          <w:rFonts w:asciiTheme="minorHAnsi" w:hAnsiTheme="minorHAnsi" w:cstheme="minorHAnsi"/>
          <w:color w:val="430098"/>
          <w:szCs w:val="26"/>
          <w:lang w:val="en-AU"/>
        </w:rPr>
      </w:pPr>
      <w:r w:rsidRPr="00517EB9">
        <w:rPr>
          <w:rFonts w:asciiTheme="minorHAnsi" w:hAnsiTheme="minorHAnsi" w:cstheme="minorHAnsi"/>
          <w:color w:val="430098"/>
          <w:szCs w:val="26"/>
          <w:lang w:val="en-AU"/>
        </w:rPr>
        <w:t>Further Information</w:t>
      </w:r>
    </w:p>
    <w:p w14:paraId="76595BAE" w14:textId="77777777" w:rsidR="00380066" w:rsidRPr="00517EB9" w:rsidRDefault="00380066" w:rsidP="00380066">
      <w:pPr>
        <w:keepNext/>
        <w:keepLines/>
        <w:pBdr>
          <w:top w:val="single" w:sz="4" w:space="6" w:color="430098"/>
        </w:pBdr>
        <w:spacing w:before="120" w:after="240"/>
        <w:outlineLvl w:val="0"/>
        <w:rPr>
          <w:rFonts w:asciiTheme="minorHAnsi" w:hAnsiTheme="minorHAnsi" w:cstheme="minorHAnsi"/>
          <w:color w:val="430098"/>
          <w:szCs w:val="26"/>
          <w:lang w:val="en-AU"/>
        </w:rPr>
        <w:sectPr w:rsidR="00380066" w:rsidRPr="00517EB9" w:rsidSect="00380066">
          <w:footerReference w:type="default" r:id="rId9"/>
          <w:headerReference w:type="first" r:id="rId10"/>
          <w:type w:val="continuous"/>
          <w:pgSz w:w="11900" w:h="16840"/>
          <w:pgMar w:top="896" w:right="1134" w:bottom="709" w:left="1134" w:header="510" w:footer="510" w:gutter="0"/>
          <w:cols w:space="720"/>
          <w:titlePg/>
          <w:docGrid w:linePitch="360"/>
        </w:sectPr>
      </w:pPr>
    </w:p>
    <w:p w14:paraId="5D1F1E11" w14:textId="77777777" w:rsidR="00380066" w:rsidRPr="00BA681B" w:rsidRDefault="00380066" w:rsidP="00380066">
      <w:pPr>
        <w:pStyle w:val="Disclaimer"/>
        <w:spacing w:before="120" w:after="240"/>
        <w:rPr>
          <w:rFonts w:asciiTheme="minorHAnsi" w:hAnsiTheme="minorHAnsi" w:cstheme="minorHAnsi"/>
          <w:sz w:val="16"/>
          <w:szCs w:val="16"/>
          <w:lang w:val="en-AU"/>
        </w:rPr>
      </w:pPr>
      <w:r w:rsidRPr="00517EB9">
        <w:rPr>
          <w:rFonts w:asciiTheme="minorHAnsi" w:hAnsiTheme="minorHAnsi" w:cstheme="minorHAnsi"/>
          <w:b/>
          <w:color w:val="430098"/>
          <w:sz w:val="16"/>
          <w:szCs w:val="16"/>
          <w:lang w:val="en-AU"/>
        </w:rPr>
        <w:t>t:</w:t>
      </w:r>
      <w:r w:rsidRPr="00517EB9">
        <w:rPr>
          <w:rFonts w:asciiTheme="minorHAnsi" w:hAnsiTheme="minorHAnsi" w:cstheme="minorHAnsi"/>
          <w:sz w:val="16"/>
          <w:szCs w:val="16"/>
          <w:lang w:val="en-AU"/>
        </w:rPr>
        <w:tab/>
        <w:t xml:space="preserve">1300 00 6842 </w:t>
      </w:r>
      <w:r w:rsidRPr="00517EB9">
        <w:rPr>
          <w:rFonts w:asciiTheme="minorHAnsi" w:hAnsiTheme="minorHAnsi" w:cstheme="minorHAnsi"/>
          <w:sz w:val="16"/>
          <w:szCs w:val="16"/>
          <w:lang w:val="en-AU"/>
        </w:rPr>
        <w:br/>
      </w:r>
      <w:r w:rsidRPr="00517EB9">
        <w:rPr>
          <w:rFonts w:asciiTheme="minorHAnsi" w:hAnsiTheme="minorHAnsi" w:cstheme="minorHAnsi"/>
          <w:b/>
          <w:color w:val="430098"/>
          <w:sz w:val="16"/>
          <w:szCs w:val="16"/>
          <w:lang w:val="en-AU"/>
        </w:rPr>
        <w:t>e:</w:t>
      </w:r>
      <w:r w:rsidRPr="00517EB9">
        <w:rPr>
          <w:rFonts w:asciiTheme="minorHAnsi" w:hAnsiTheme="minorHAnsi" w:cstheme="minorHAnsi"/>
          <w:sz w:val="16"/>
          <w:szCs w:val="16"/>
          <w:lang w:val="en-AU"/>
        </w:rPr>
        <w:tab/>
        <w:t>enquiries@ovic.vic.gov.au</w:t>
      </w:r>
      <w:r w:rsidRPr="00517EB9">
        <w:rPr>
          <w:rFonts w:asciiTheme="minorHAnsi" w:hAnsiTheme="minorHAnsi" w:cstheme="minorHAnsi"/>
          <w:sz w:val="16"/>
          <w:szCs w:val="16"/>
          <w:lang w:val="en-AU"/>
        </w:rPr>
        <w:br/>
      </w:r>
      <w:r w:rsidRPr="00517EB9">
        <w:rPr>
          <w:rFonts w:asciiTheme="minorHAnsi" w:hAnsiTheme="minorHAnsi" w:cstheme="minorHAnsi"/>
          <w:b/>
          <w:color w:val="430098"/>
          <w:sz w:val="16"/>
          <w:szCs w:val="16"/>
          <w:lang w:val="en-AU"/>
        </w:rPr>
        <w:t>w:</w:t>
      </w:r>
      <w:r w:rsidRPr="00517EB9">
        <w:rPr>
          <w:rFonts w:asciiTheme="minorHAnsi" w:hAnsiTheme="minorHAnsi" w:cstheme="minorHAnsi"/>
          <w:sz w:val="16"/>
          <w:szCs w:val="16"/>
          <w:lang w:val="en-AU"/>
        </w:rPr>
        <w:tab/>
        <w:t>ovic.vic.gov.au</w:t>
      </w:r>
      <w:r w:rsidRPr="00517EB9">
        <w:rPr>
          <w:rFonts w:asciiTheme="minorHAnsi" w:hAnsiTheme="minorHAnsi" w:cstheme="minorHAnsi"/>
          <w:b/>
          <w:sz w:val="16"/>
          <w:szCs w:val="16"/>
          <w:lang w:val="en-AU"/>
        </w:rPr>
        <w:t xml:space="preserve"> </w:t>
      </w:r>
      <w:r w:rsidRPr="00517EB9">
        <w:rPr>
          <w:rFonts w:asciiTheme="minorHAnsi" w:hAnsiTheme="minorHAnsi" w:cstheme="minorHAnsi"/>
          <w:b/>
          <w:sz w:val="16"/>
          <w:szCs w:val="16"/>
          <w:lang w:val="en-AU"/>
        </w:rPr>
        <w:br w:type="column"/>
      </w:r>
      <w:r w:rsidRPr="00517EB9">
        <w:rPr>
          <w:rFonts w:asciiTheme="minorHAnsi" w:hAnsiTheme="minorHAnsi" w:cstheme="minorHAnsi"/>
          <w:sz w:val="16"/>
          <w:szCs w:val="16"/>
          <w:lang w:val="en-AU"/>
        </w:rPr>
        <w:t>This case note is general in nature and does not constitute legal advice.</w:t>
      </w:r>
    </w:p>
    <w:p w14:paraId="0DD155C2" w14:textId="77777777" w:rsidR="00380066" w:rsidRDefault="00380066" w:rsidP="00380066"/>
    <w:p w14:paraId="439F5EB8" w14:textId="0165CF5A" w:rsidR="00795CCC" w:rsidRPr="00380066" w:rsidRDefault="00795CCC" w:rsidP="00380066"/>
    <w:sectPr w:rsidR="00795CCC" w:rsidRPr="00380066" w:rsidSect="00BA008A">
      <w:headerReference w:type="first" r:id="rId11"/>
      <w:footerReference w:type="first" r:id="rId12"/>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3379" w14:textId="77777777" w:rsidR="00E26F8B" w:rsidRDefault="00E26F8B" w:rsidP="00190E33">
      <w:r>
        <w:separator/>
      </w:r>
    </w:p>
  </w:endnote>
  <w:endnote w:type="continuationSeparator" w:id="0">
    <w:p w14:paraId="090BB099" w14:textId="77777777" w:rsidR="00E26F8B" w:rsidRDefault="00E26F8B" w:rsidP="001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B650" w14:textId="77777777" w:rsidR="00380066" w:rsidRPr="003B6B6A" w:rsidRDefault="00380066"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9DDD" w14:textId="77777777" w:rsidR="00E26F8B" w:rsidRDefault="00E26F8B"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78A7" w14:textId="77777777" w:rsidR="00E26F8B" w:rsidRDefault="00E26F8B" w:rsidP="00190E33">
      <w:r>
        <w:separator/>
      </w:r>
    </w:p>
  </w:footnote>
  <w:footnote w:type="continuationSeparator" w:id="0">
    <w:p w14:paraId="34C2D88E" w14:textId="77777777" w:rsidR="00E26F8B" w:rsidRDefault="00E26F8B" w:rsidP="0019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920A" w14:textId="77777777" w:rsidR="00380066" w:rsidRPr="00D70A8A" w:rsidRDefault="00380066"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5D1F1624" wp14:editId="0CA15366">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5DF65815" w14:textId="77777777" w:rsidR="00380066" w:rsidRDefault="00380066"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24092E3F" wp14:editId="0F3FF796">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4E9DFE49" w14:textId="77777777" w:rsidR="00380066" w:rsidRPr="00956C57" w:rsidRDefault="00380066" w:rsidP="00337416">
    <w:pPr>
      <w:pStyle w:val="DocumentTitle"/>
      <w:spacing w:before="0"/>
      <w:rPr>
        <w:color w:val="555559"/>
        <w:sz w:val="30"/>
        <w:szCs w:val="30"/>
      </w:rPr>
    </w:pPr>
    <w:r w:rsidRPr="00C309AA">
      <w:rPr>
        <w:rFonts w:ascii="Calibri" w:hAnsi="Calibri"/>
        <w:bCs/>
        <w:i/>
        <w:iCs/>
        <w:sz w:val="36"/>
        <w:szCs w:val="36"/>
        <w:lang w:val="en"/>
      </w:rPr>
      <w:t>McLean v Racing Victoria Ltd</w:t>
    </w:r>
    <w:r w:rsidRPr="00337416">
      <w:rPr>
        <w:rFonts w:ascii="Calibri" w:hAnsi="Calibri"/>
        <w:bCs/>
        <w:sz w:val="36"/>
        <w:szCs w:val="36"/>
        <w:lang w:val="en"/>
      </w:rPr>
      <w:t xml:space="preserve"> [20</w:t>
    </w:r>
    <w:r>
      <w:rPr>
        <w:rFonts w:ascii="Calibri" w:hAnsi="Calibri"/>
        <w:bCs/>
        <w:sz w:val="36"/>
        <w:szCs w:val="36"/>
        <w:lang w:val="en"/>
      </w:rPr>
      <w:t>20</w:t>
    </w:r>
    <w:r w:rsidRPr="00337416">
      <w:rPr>
        <w:rFonts w:ascii="Calibri" w:hAnsi="Calibri"/>
        <w:bCs/>
        <w:sz w:val="36"/>
        <w:szCs w:val="36"/>
        <w:lang w:val="en"/>
      </w:rPr>
      <w:t>] VSC</w:t>
    </w:r>
    <w:r>
      <w:rPr>
        <w:rFonts w:ascii="Calibri" w:hAnsi="Calibri"/>
        <w:bCs/>
        <w:sz w:val="36"/>
        <w:szCs w:val="36"/>
        <w:lang w:val="en"/>
      </w:rPr>
      <w:t>A 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687F" w14:textId="77777777" w:rsidR="00E26F8B" w:rsidRPr="0070388B" w:rsidRDefault="00E26F8B"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58D"/>
    <w:multiLevelType w:val="hybridMultilevel"/>
    <w:tmpl w:val="BCA244A4"/>
    <w:lvl w:ilvl="0" w:tplc="A72CC39E">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835AB3"/>
    <w:multiLevelType w:val="hybridMultilevel"/>
    <w:tmpl w:val="B05684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D53436"/>
    <w:multiLevelType w:val="hybridMultilevel"/>
    <w:tmpl w:val="448410B6"/>
    <w:lvl w:ilvl="0" w:tplc="BF4E8EF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D2717A"/>
    <w:multiLevelType w:val="hybridMultilevel"/>
    <w:tmpl w:val="493E5C1C"/>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ED37E3"/>
    <w:multiLevelType w:val="multilevel"/>
    <w:tmpl w:val="7FC4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F40D6"/>
    <w:multiLevelType w:val="hybridMultilevel"/>
    <w:tmpl w:val="20D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F442A"/>
    <w:multiLevelType w:val="hybridMultilevel"/>
    <w:tmpl w:val="99829A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A425096"/>
    <w:multiLevelType w:val="hybridMultilevel"/>
    <w:tmpl w:val="A6D47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1B1E94"/>
    <w:multiLevelType w:val="hybridMultilevel"/>
    <w:tmpl w:val="AA3685B4"/>
    <w:lvl w:ilvl="0" w:tplc="0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55BEA"/>
    <w:multiLevelType w:val="hybridMultilevel"/>
    <w:tmpl w:val="DE120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9166A"/>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6B2C"/>
    <w:multiLevelType w:val="hybridMultilevel"/>
    <w:tmpl w:val="6A0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00B2"/>
    <w:multiLevelType w:val="hybridMultilevel"/>
    <w:tmpl w:val="2F040CF4"/>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74523C5"/>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C3221"/>
    <w:multiLevelType w:val="hybridMultilevel"/>
    <w:tmpl w:val="57862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2058D0"/>
    <w:multiLevelType w:val="hybridMultilevel"/>
    <w:tmpl w:val="DC9AA640"/>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4576"/>
    <w:multiLevelType w:val="hybridMultilevel"/>
    <w:tmpl w:val="0B0E8BF8"/>
    <w:lvl w:ilvl="0" w:tplc="34609220">
      <w:start w:val="1"/>
      <w:numFmt w:val="bullet"/>
      <w:lvlText w:val=""/>
      <w:lvlJc w:val="left"/>
      <w:pPr>
        <w:ind w:left="76" w:hanging="360"/>
      </w:pPr>
      <w:rPr>
        <w:rFonts w:ascii="Symbol" w:hAnsi="Symbol" w:hint="default"/>
        <w:sz w:val="18"/>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8" w15:restartNumberingAfterBreak="0">
    <w:nsid w:val="4D2E30F6"/>
    <w:multiLevelType w:val="hybridMultilevel"/>
    <w:tmpl w:val="18304E9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FB7421"/>
    <w:multiLevelType w:val="hybridMultilevel"/>
    <w:tmpl w:val="B4CA4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5A468E"/>
    <w:multiLevelType w:val="hybridMultilevel"/>
    <w:tmpl w:val="E8EE7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823A6"/>
    <w:multiLevelType w:val="hybridMultilevel"/>
    <w:tmpl w:val="1A0206F8"/>
    <w:lvl w:ilvl="0" w:tplc="2FF2E1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0B1D"/>
    <w:multiLevelType w:val="hybridMultilevel"/>
    <w:tmpl w:val="1AC2E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F84BEF"/>
    <w:multiLevelType w:val="multilevel"/>
    <w:tmpl w:val="A94E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B248FF"/>
    <w:multiLevelType w:val="hybridMultilevel"/>
    <w:tmpl w:val="4F94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82894"/>
    <w:multiLevelType w:val="hybridMultilevel"/>
    <w:tmpl w:val="9B1AB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A9293A"/>
    <w:multiLevelType w:val="hybridMultilevel"/>
    <w:tmpl w:val="13808EDA"/>
    <w:lvl w:ilvl="0" w:tplc="5FF83E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D32FF"/>
    <w:multiLevelType w:val="multilevel"/>
    <w:tmpl w:val="7FC4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E6740"/>
    <w:multiLevelType w:val="hybridMultilevel"/>
    <w:tmpl w:val="D8F824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2208B9"/>
    <w:multiLevelType w:val="hybridMultilevel"/>
    <w:tmpl w:val="8528D7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3"/>
  </w:num>
  <w:num w:numId="4">
    <w:abstractNumId w:val="1"/>
  </w:num>
  <w:num w:numId="5">
    <w:abstractNumId w:val="19"/>
  </w:num>
  <w:num w:numId="6">
    <w:abstractNumId w:val="22"/>
  </w:num>
  <w:num w:numId="7">
    <w:abstractNumId w:val="20"/>
  </w:num>
  <w:num w:numId="8">
    <w:abstractNumId w:val="29"/>
  </w:num>
  <w:num w:numId="9">
    <w:abstractNumId w:val="12"/>
  </w:num>
  <w:num w:numId="10">
    <w:abstractNumId w:val="10"/>
  </w:num>
  <w:num w:numId="11">
    <w:abstractNumId w:val="14"/>
  </w:num>
  <w:num w:numId="12">
    <w:abstractNumId w:val="21"/>
  </w:num>
  <w:num w:numId="13">
    <w:abstractNumId w:val="5"/>
  </w:num>
  <w:num w:numId="14">
    <w:abstractNumId w:val="24"/>
  </w:num>
  <w:num w:numId="15">
    <w:abstractNumId w:val="25"/>
  </w:num>
  <w:num w:numId="16">
    <w:abstractNumId w:val="8"/>
  </w:num>
  <w:num w:numId="17">
    <w:abstractNumId w:val="7"/>
  </w:num>
  <w:num w:numId="18">
    <w:abstractNumId w:val="18"/>
  </w:num>
  <w:num w:numId="19">
    <w:abstractNumId w:val="26"/>
  </w:num>
  <w:num w:numId="20">
    <w:abstractNumId w:val="3"/>
  </w:num>
  <w:num w:numId="21">
    <w:abstractNumId w:val="9"/>
  </w:num>
  <w:num w:numId="22">
    <w:abstractNumId w:val="16"/>
  </w:num>
  <w:num w:numId="23">
    <w:abstractNumId w:val="11"/>
  </w:num>
  <w:num w:numId="24">
    <w:abstractNumId w:val="4"/>
  </w:num>
  <w:num w:numId="25">
    <w:abstractNumId w:val="6"/>
  </w:num>
  <w:num w:numId="26">
    <w:abstractNumId w:val="23"/>
  </w:num>
  <w:num w:numId="27">
    <w:abstractNumId w:val="28"/>
  </w:num>
  <w:num w:numId="28">
    <w:abstractNumId w:val="2"/>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90"/>
    <w:rsid w:val="00000B4B"/>
    <w:rsid w:val="000072E4"/>
    <w:rsid w:val="000125B0"/>
    <w:rsid w:val="000130A0"/>
    <w:rsid w:val="00021D9E"/>
    <w:rsid w:val="00023034"/>
    <w:rsid w:val="00026145"/>
    <w:rsid w:val="00031C97"/>
    <w:rsid w:val="0003391E"/>
    <w:rsid w:val="0003541D"/>
    <w:rsid w:val="000367C3"/>
    <w:rsid w:val="00040801"/>
    <w:rsid w:val="00041076"/>
    <w:rsid w:val="00042D6F"/>
    <w:rsid w:val="000459CC"/>
    <w:rsid w:val="00051C03"/>
    <w:rsid w:val="000521AD"/>
    <w:rsid w:val="00052EAC"/>
    <w:rsid w:val="000649BD"/>
    <w:rsid w:val="000730E0"/>
    <w:rsid w:val="000732A6"/>
    <w:rsid w:val="00077A18"/>
    <w:rsid w:val="00084613"/>
    <w:rsid w:val="000858B8"/>
    <w:rsid w:val="00086730"/>
    <w:rsid w:val="0009032A"/>
    <w:rsid w:val="000904A2"/>
    <w:rsid w:val="00094AC4"/>
    <w:rsid w:val="000952CB"/>
    <w:rsid w:val="00097648"/>
    <w:rsid w:val="00097E01"/>
    <w:rsid w:val="000A0B4F"/>
    <w:rsid w:val="000A32D3"/>
    <w:rsid w:val="000A404E"/>
    <w:rsid w:val="000B716F"/>
    <w:rsid w:val="000C05EE"/>
    <w:rsid w:val="000C34FC"/>
    <w:rsid w:val="000F2103"/>
    <w:rsid w:val="001017A1"/>
    <w:rsid w:val="00107C68"/>
    <w:rsid w:val="001153CC"/>
    <w:rsid w:val="00131BEC"/>
    <w:rsid w:val="00132563"/>
    <w:rsid w:val="00132AF5"/>
    <w:rsid w:val="0013393D"/>
    <w:rsid w:val="0013766C"/>
    <w:rsid w:val="001401DB"/>
    <w:rsid w:val="00141ED1"/>
    <w:rsid w:val="00146A73"/>
    <w:rsid w:val="00150162"/>
    <w:rsid w:val="00151397"/>
    <w:rsid w:val="001558A4"/>
    <w:rsid w:val="00157B94"/>
    <w:rsid w:val="00162AC5"/>
    <w:rsid w:val="00165ACA"/>
    <w:rsid w:val="00167A14"/>
    <w:rsid w:val="001702C9"/>
    <w:rsid w:val="00177E18"/>
    <w:rsid w:val="0018095A"/>
    <w:rsid w:val="00180FCF"/>
    <w:rsid w:val="00190CEB"/>
    <w:rsid w:val="00190E33"/>
    <w:rsid w:val="00193319"/>
    <w:rsid w:val="001936AA"/>
    <w:rsid w:val="00194900"/>
    <w:rsid w:val="001953BE"/>
    <w:rsid w:val="00195AB2"/>
    <w:rsid w:val="001964C0"/>
    <w:rsid w:val="001A191D"/>
    <w:rsid w:val="001A6E2B"/>
    <w:rsid w:val="001B6155"/>
    <w:rsid w:val="001B6646"/>
    <w:rsid w:val="001C1D65"/>
    <w:rsid w:val="001C2BD6"/>
    <w:rsid w:val="001C635F"/>
    <w:rsid w:val="001D0C1F"/>
    <w:rsid w:val="001D112D"/>
    <w:rsid w:val="001D3811"/>
    <w:rsid w:val="001D6E62"/>
    <w:rsid w:val="001E000E"/>
    <w:rsid w:val="001E3CAD"/>
    <w:rsid w:val="001E6A95"/>
    <w:rsid w:val="001F02F8"/>
    <w:rsid w:val="001F0DC1"/>
    <w:rsid w:val="002007F8"/>
    <w:rsid w:val="00211C96"/>
    <w:rsid w:val="00213613"/>
    <w:rsid w:val="002146C8"/>
    <w:rsid w:val="00216F46"/>
    <w:rsid w:val="002201C4"/>
    <w:rsid w:val="00225748"/>
    <w:rsid w:val="0023072D"/>
    <w:rsid w:val="002370E9"/>
    <w:rsid w:val="002377A6"/>
    <w:rsid w:val="00241667"/>
    <w:rsid w:val="00242777"/>
    <w:rsid w:val="00242DAD"/>
    <w:rsid w:val="002456A2"/>
    <w:rsid w:val="00254D33"/>
    <w:rsid w:val="002575F7"/>
    <w:rsid w:val="00262D56"/>
    <w:rsid w:val="00266157"/>
    <w:rsid w:val="00272466"/>
    <w:rsid w:val="00274299"/>
    <w:rsid w:val="002760A9"/>
    <w:rsid w:val="00281C14"/>
    <w:rsid w:val="00283B00"/>
    <w:rsid w:val="002867AC"/>
    <w:rsid w:val="00290829"/>
    <w:rsid w:val="002924A3"/>
    <w:rsid w:val="00294719"/>
    <w:rsid w:val="00294DE0"/>
    <w:rsid w:val="00296CAD"/>
    <w:rsid w:val="00297175"/>
    <w:rsid w:val="002A0650"/>
    <w:rsid w:val="002A4833"/>
    <w:rsid w:val="002A62EE"/>
    <w:rsid w:val="002B0525"/>
    <w:rsid w:val="002B49E3"/>
    <w:rsid w:val="002B627E"/>
    <w:rsid w:val="002B79B4"/>
    <w:rsid w:val="002C1EAB"/>
    <w:rsid w:val="002C3EB0"/>
    <w:rsid w:val="002C51DA"/>
    <w:rsid w:val="002D1FDC"/>
    <w:rsid w:val="002E1835"/>
    <w:rsid w:val="002E3523"/>
    <w:rsid w:val="002E3644"/>
    <w:rsid w:val="002E4D0D"/>
    <w:rsid w:val="002E75FE"/>
    <w:rsid w:val="002E79AF"/>
    <w:rsid w:val="002F0D33"/>
    <w:rsid w:val="002F1A8D"/>
    <w:rsid w:val="002F2498"/>
    <w:rsid w:val="002F4007"/>
    <w:rsid w:val="002F4EC6"/>
    <w:rsid w:val="002F7AEC"/>
    <w:rsid w:val="0030296C"/>
    <w:rsid w:val="00306748"/>
    <w:rsid w:val="00307A34"/>
    <w:rsid w:val="003248CC"/>
    <w:rsid w:val="0032699B"/>
    <w:rsid w:val="00326F1A"/>
    <w:rsid w:val="003353AA"/>
    <w:rsid w:val="0033667A"/>
    <w:rsid w:val="00337416"/>
    <w:rsid w:val="00344E15"/>
    <w:rsid w:val="00344F97"/>
    <w:rsid w:val="00347483"/>
    <w:rsid w:val="00352322"/>
    <w:rsid w:val="00355A09"/>
    <w:rsid w:val="00357470"/>
    <w:rsid w:val="00362F36"/>
    <w:rsid w:val="00364C63"/>
    <w:rsid w:val="00365A14"/>
    <w:rsid w:val="00371B4B"/>
    <w:rsid w:val="0037332A"/>
    <w:rsid w:val="003756C5"/>
    <w:rsid w:val="00380066"/>
    <w:rsid w:val="003800C9"/>
    <w:rsid w:val="00383B17"/>
    <w:rsid w:val="00385DD2"/>
    <w:rsid w:val="00397095"/>
    <w:rsid w:val="003A5D6F"/>
    <w:rsid w:val="003A6963"/>
    <w:rsid w:val="003B4A2D"/>
    <w:rsid w:val="003B712B"/>
    <w:rsid w:val="003C0776"/>
    <w:rsid w:val="003C588D"/>
    <w:rsid w:val="003D12F6"/>
    <w:rsid w:val="003D22A8"/>
    <w:rsid w:val="003D30C7"/>
    <w:rsid w:val="003D53D1"/>
    <w:rsid w:val="003D5C28"/>
    <w:rsid w:val="003E1496"/>
    <w:rsid w:val="003E43DD"/>
    <w:rsid w:val="003F1F0B"/>
    <w:rsid w:val="003F20F3"/>
    <w:rsid w:val="003F22F7"/>
    <w:rsid w:val="003F4C16"/>
    <w:rsid w:val="003F4DEC"/>
    <w:rsid w:val="003F5539"/>
    <w:rsid w:val="004010F0"/>
    <w:rsid w:val="004028AF"/>
    <w:rsid w:val="0040615A"/>
    <w:rsid w:val="00425D5B"/>
    <w:rsid w:val="00426DB1"/>
    <w:rsid w:val="004311E9"/>
    <w:rsid w:val="00434B0F"/>
    <w:rsid w:val="00434EC7"/>
    <w:rsid w:val="00436440"/>
    <w:rsid w:val="00440454"/>
    <w:rsid w:val="00440466"/>
    <w:rsid w:val="004412CA"/>
    <w:rsid w:val="004422B2"/>
    <w:rsid w:val="00445431"/>
    <w:rsid w:val="004512B9"/>
    <w:rsid w:val="0045191F"/>
    <w:rsid w:val="00462F3C"/>
    <w:rsid w:val="00472E03"/>
    <w:rsid w:val="00475C10"/>
    <w:rsid w:val="00480B0D"/>
    <w:rsid w:val="00483321"/>
    <w:rsid w:val="00490A66"/>
    <w:rsid w:val="004957C4"/>
    <w:rsid w:val="004A1D74"/>
    <w:rsid w:val="004A4AF3"/>
    <w:rsid w:val="004A505B"/>
    <w:rsid w:val="004A7394"/>
    <w:rsid w:val="004B152E"/>
    <w:rsid w:val="004B2A46"/>
    <w:rsid w:val="004B3D1C"/>
    <w:rsid w:val="004D46F0"/>
    <w:rsid w:val="004D4D49"/>
    <w:rsid w:val="004E2BBE"/>
    <w:rsid w:val="004F014A"/>
    <w:rsid w:val="004F1F77"/>
    <w:rsid w:val="004F3DC7"/>
    <w:rsid w:val="00502942"/>
    <w:rsid w:val="005035FE"/>
    <w:rsid w:val="00514901"/>
    <w:rsid w:val="00516342"/>
    <w:rsid w:val="00517EB9"/>
    <w:rsid w:val="00521745"/>
    <w:rsid w:val="00526DF9"/>
    <w:rsid w:val="00534FB8"/>
    <w:rsid w:val="00542E9E"/>
    <w:rsid w:val="00543908"/>
    <w:rsid w:val="00543E8B"/>
    <w:rsid w:val="00544A03"/>
    <w:rsid w:val="00547BF4"/>
    <w:rsid w:val="00564E87"/>
    <w:rsid w:val="00565434"/>
    <w:rsid w:val="005717E8"/>
    <w:rsid w:val="005733E6"/>
    <w:rsid w:val="005755EC"/>
    <w:rsid w:val="0058604A"/>
    <w:rsid w:val="00587101"/>
    <w:rsid w:val="00590985"/>
    <w:rsid w:val="00591476"/>
    <w:rsid w:val="005954DF"/>
    <w:rsid w:val="0059585B"/>
    <w:rsid w:val="00597E4E"/>
    <w:rsid w:val="005A31E9"/>
    <w:rsid w:val="005A3CB9"/>
    <w:rsid w:val="005A3F8C"/>
    <w:rsid w:val="005A51A9"/>
    <w:rsid w:val="005B59C8"/>
    <w:rsid w:val="005C0112"/>
    <w:rsid w:val="005C3088"/>
    <w:rsid w:val="005C4B4F"/>
    <w:rsid w:val="005C65AC"/>
    <w:rsid w:val="005C7B01"/>
    <w:rsid w:val="005D343A"/>
    <w:rsid w:val="005D5751"/>
    <w:rsid w:val="005E1C55"/>
    <w:rsid w:val="005F0419"/>
    <w:rsid w:val="005F4548"/>
    <w:rsid w:val="005F59B3"/>
    <w:rsid w:val="0060001B"/>
    <w:rsid w:val="00601E5A"/>
    <w:rsid w:val="00607478"/>
    <w:rsid w:val="00610369"/>
    <w:rsid w:val="00610FB5"/>
    <w:rsid w:val="00624DEE"/>
    <w:rsid w:val="00633285"/>
    <w:rsid w:val="00637343"/>
    <w:rsid w:val="0063763C"/>
    <w:rsid w:val="00640B5B"/>
    <w:rsid w:val="00646D61"/>
    <w:rsid w:val="006479F3"/>
    <w:rsid w:val="00650EC4"/>
    <w:rsid w:val="0065176B"/>
    <w:rsid w:val="00651F5C"/>
    <w:rsid w:val="006546F2"/>
    <w:rsid w:val="00655184"/>
    <w:rsid w:val="00655CF2"/>
    <w:rsid w:val="00656D8D"/>
    <w:rsid w:val="00664C22"/>
    <w:rsid w:val="00672265"/>
    <w:rsid w:val="006744B0"/>
    <w:rsid w:val="006765C1"/>
    <w:rsid w:val="00684802"/>
    <w:rsid w:val="0068499A"/>
    <w:rsid w:val="00687CD6"/>
    <w:rsid w:val="00690290"/>
    <w:rsid w:val="006927B4"/>
    <w:rsid w:val="00693ADB"/>
    <w:rsid w:val="00693E6E"/>
    <w:rsid w:val="00697AF4"/>
    <w:rsid w:val="006A2BFA"/>
    <w:rsid w:val="006A554D"/>
    <w:rsid w:val="006B095A"/>
    <w:rsid w:val="006B6A64"/>
    <w:rsid w:val="006B6C29"/>
    <w:rsid w:val="006B7F6C"/>
    <w:rsid w:val="006C5646"/>
    <w:rsid w:val="006C5B84"/>
    <w:rsid w:val="006C5BFD"/>
    <w:rsid w:val="006C5ED9"/>
    <w:rsid w:val="006D0795"/>
    <w:rsid w:val="006E1A2E"/>
    <w:rsid w:val="006E2809"/>
    <w:rsid w:val="006F2AAB"/>
    <w:rsid w:val="006F7A5C"/>
    <w:rsid w:val="007019AC"/>
    <w:rsid w:val="007052BA"/>
    <w:rsid w:val="00706E91"/>
    <w:rsid w:val="007129E9"/>
    <w:rsid w:val="00717C15"/>
    <w:rsid w:val="007222AD"/>
    <w:rsid w:val="007234E0"/>
    <w:rsid w:val="00724B37"/>
    <w:rsid w:val="00726840"/>
    <w:rsid w:val="007306D8"/>
    <w:rsid w:val="007360FD"/>
    <w:rsid w:val="0074182B"/>
    <w:rsid w:val="00743CCC"/>
    <w:rsid w:val="00745DD5"/>
    <w:rsid w:val="00745E69"/>
    <w:rsid w:val="00751FF5"/>
    <w:rsid w:val="00752D69"/>
    <w:rsid w:val="007560D2"/>
    <w:rsid w:val="00761212"/>
    <w:rsid w:val="007614F1"/>
    <w:rsid w:val="00761958"/>
    <w:rsid w:val="007640B6"/>
    <w:rsid w:val="00767B2F"/>
    <w:rsid w:val="00775D29"/>
    <w:rsid w:val="00780001"/>
    <w:rsid w:val="007869C6"/>
    <w:rsid w:val="007948C0"/>
    <w:rsid w:val="00795CCC"/>
    <w:rsid w:val="00797D2D"/>
    <w:rsid w:val="007A3F3D"/>
    <w:rsid w:val="007A4E42"/>
    <w:rsid w:val="007A60B4"/>
    <w:rsid w:val="007B2E46"/>
    <w:rsid w:val="007B3286"/>
    <w:rsid w:val="007B37B7"/>
    <w:rsid w:val="007B39FE"/>
    <w:rsid w:val="007B3AC2"/>
    <w:rsid w:val="007B747A"/>
    <w:rsid w:val="007C027D"/>
    <w:rsid w:val="007C151E"/>
    <w:rsid w:val="007C3AE6"/>
    <w:rsid w:val="007C7E34"/>
    <w:rsid w:val="007D2A93"/>
    <w:rsid w:val="007E1EF3"/>
    <w:rsid w:val="007E49DC"/>
    <w:rsid w:val="007F0B7A"/>
    <w:rsid w:val="007F4393"/>
    <w:rsid w:val="007F4814"/>
    <w:rsid w:val="008002C3"/>
    <w:rsid w:val="008003D1"/>
    <w:rsid w:val="00800E3A"/>
    <w:rsid w:val="0080189E"/>
    <w:rsid w:val="00804CC3"/>
    <w:rsid w:val="00814810"/>
    <w:rsid w:val="00814FA6"/>
    <w:rsid w:val="00820647"/>
    <w:rsid w:val="008270A6"/>
    <w:rsid w:val="00831675"/>
    <w:rsid w:val="0083228C"/>
    <w:rsid w:val="00836979"/>
    <w:rsid w:val="00840673"/>
    <w:rsid w:val="00846EED"/>
    <w:rsid w:val="008553B8"/>
    <w:rsid w:val="00855A92"/>
    <w:rsid w:val="00860AEC"/>
    <w:rsid w:val="008629FC"/>
    <w:rsid w:val="0086707A"/>
    <w:rsid w:val="00870A18"/>
    <w:rsid w:val="0087257F"/>
    <w:rsid w:val="008804BE"/>
    <w:rsid w:val="008809FF"/>
    <w:rsid w:val="00880DDA"/>
    <w:rsid w:val="008849CF"/>
    <w:rsid w:val="008A0478"/>
    <w:rsid w:val="008A0591"/>
    <w:rsid w:val="008A466D"/>
    <w:rsid w:val="008A5C86"/>
    <w:rsid w:val="008B4777"/>
    <w:rsid w:val="008C0952"/>
    <w:rsid w:val="008C18C0"/>
    <w:rsid w:val="008C3337"/>
    <w:rsid w:val="008D381B"/>
    <w:rsid w:val="008D449F"/>
    <w:rsid w:val="008D765C"/>
    <w:rsid w:val="008E1E36"/>
    <w:rsid w:val="008E3E21"/>
    <w:rsid w:val="008E73D8"/>
    <w:rsid w:val="008E74EB"/>
    <w:rsid w:val="008F1F22"/>
    <w:rsid w:val="008F7D15"/>
    <w:rsid w:val="00901786"/>
    <w:rsid w:val="00902AC5"/>
    <w:rsid w:val="00905FC6"/>
    <w:rsid w:val="009077D5"/>
    <w:rsid w:val="00907F98"/>
    <w:rsid w:val="00907FD8"/>
    <w:rsid w:val="00910C92"/>
    <w:rsid w:val="009119F4"/>
    <w:rsid w:val="009130F2"/>
    <w:rsid w:val="00913E7C"/>
    <w:rsid w:val="00916C80"/>
    <w:rsid w:val="00920DD3"/>
    <w:rsid w:val="009228DF"/>
    <w:rsid w:val="009271C0"/>
    <w:rsid w:val="009325F6"/>
    <w:rsid w:val="00932B17"/>
    <w:rsid w:val="00933D88"/>
    <w:rsid w:val="00941BA1"/>
    <w:rsid w:val="00942646"/>
    <w:rsid w:val="00944E78"/>
    <w:rsid w:val="009475BE"/>
    <w:rsid w:val="00951AC0"/>
    <w:rsid w:val="0095271A"/>
    <w:rsid w:val="00953EBD"/>
    <w:rsid w:val="0095515F"/>
    <w:rsid w:val="00956C57"/>
    <w:rsid w:val="009618BD"/>
    <w:rsid w:val="00962B38"/>
    <w:rsid w:val="009639E1"/>
    <w:rsid w:val="00963F9B"/>
    <w:rsid w:val="00966E48"/>
    <w:rsid w:val="009743A8"/>
    <w:rsid w:val="00975049"/>
    <w:rsid w:val="00977622"/>
    <w:rsid w:val="00981E84"/>
    <w:rsid w:val="009879CC"/>
    <w:rsid w:val="009905A2"/>
    <w:rsid w:val="00991AEE"/>
    <w:rsid w:val="009931E4"/>
    <w:rsid w:val="009940C7"/>
    <w:rsid w:val="009A087F"/>
    <w:rsid w:val="009A44BF"/>
    <w:rsid w:val="009B2EC2"/>
    <w:rsid w:val="009B3203"/>
    <w:rsid w:val="009B4FB5"/>
    <w:rsid w:val="009B72FE"/>
    <w:rsid w:val="009C01B0"/>
    <w:rsid w:val="009C326E"/>
    <w:rsid w:val="009C7EA7"/>
    <w:rsid w:val="009D2BDF"/>
    <w:rsid w:val="009D5B50"/>
    <w:rsid w:val="009D5F0F"/>
    <w:rsid w:val="009D7541"/>
    <w:rsid w:val="009E16C4"/>
    <w:rsid w:val="009E40F7"/>
    <w:rsid w:val="009E5A9F"/>
    <w:rsid w:val="009F07F4"/>
    <w:rsid w:val="009F5DED"/>
    <w:rsid w:val="009F63D1"/>
    <w:rsid w:val="009F7622"/>
    <w:rsid w:val="00A03825"/>
    <w:rsid w:val="00A06473"/>
    <w:rsid w:val="00A06FE3"/>
    <w:rsid w:val="00A07F2F"/>
    <w:rsid w:val="00A119E7"/>
    <w:rsid w:val="00A1292C"/>
    <w:rsid w:val="00A14967"/>
    <w:rsid w:val="00A16562"/>
    <w:rsid w:val="00A17AC0"/>
    <w:rsid w:val="00A27838"/>
    <w:rsid w:val="00A30187"/>
    <w:rsid w:val="00A30B6A"/>
    <w:rsid w:val="00A33C2E"/>
    <w:rsid w:val="00A377B5"/>
    <w:rsid w:val="00A42CFC"/>
    <w:rsid w:val="00A44144"/>
    <w:rsid w:val="00A47600"/>
    <w:rsid w:val="00A52DDF"/>
    <w:rsid w:val="00A5438F"/>
    <w:rsid w:val="00A61B68"/>
    <w:rsid w:val="00A63A5B"/>
    <w:rsid w:val="00A70D67"/>
    <w:rsid w:val="00A752B2"/>
    <w:rsid w:val="00A83BD2"/>
    <w:rsid w:val="00A84930"/>
    <w:rsid w:val="00A853A1"/>
    <w:rsid w:val="00A914C2"/>
    <w:rsid w:val="00A934D8"/>
    <w:rsid w:val="00AA0D55"/>
    <w:rsid w:val="00AA18D4"/>
    <w:rsid w:val="00AA425F"/>
    <w:rsid w:val="00AB2067"/>
    <w:rsid w:val="00AB5259"/>
    <w:rsid w:val="00AB74C0"/>
    <w:rsid w:val="00AB7B11"/>
    <w:rsid w:val="00AC0071"/>
    <w:rsid w:val="00AC059F"/>
    <w:rsid w:val="00AC1F6A"/>
    <w:rsid w:val="00AC472D"/>
    <w:rsid w:val="00AD5598"/>
    <w:rsid w:val="00AE09D1"/>
    <w:rsid w:val="00AE376C"/>
    <w:rsid w:val="00AE5E33"/>
    <w:rsid w:val="00B02431"/>
    <w:rsid w:val="00B0310C"/>
    <w:rsid w:val="00B13E1C"/>
    <w:rsid w:val="00B174EF"/>
    <w:rsid w:val="00B22688"/>
    <w:rsid w:val="00B2485E"/>
    <w:rsid w:val="00B27B2E"/>
    <w:rsid w:val="00B31556"/>
    <w:rsid w:val="00B34051"/>
    <w:rsid w:val="00B406CD"/>
    <w:rsid w:val="00B52280"/>
    <w:rsid w:val="00B533DF"/>
    <w:rsid w:val="00B551E8"/>
    <w:rsid w:val="00B56F49"/>
    <w:rsid w:val="00B65714"/>
    <w:rsid w:val="00B66460"/>
    <w:rsid w:val="00B665F6"/>
    <w:rsid w:val="00B67649"/>
    <w:rsid w:val="00B71A0E"/>
    <w:rsid w:val="00B7302F"/>
    <w:rsid w:val="00B91C96"/>
    <w:rsid w:val="00B94BD6"/>
    <w:rsid w:val="00B959DA"/>
    <w:rsid w:val="00B97117"/>
    <w:rsid w:val="00BA008A"/>
    <w:rsid w:val="00BA2C94"/>
    <w:rsid w:val="00BA4D9B"/>
    <w:rsid w:val="00BA5B19"/>
    <w:rsid w:val="00BA681B"/>
    <w:rsid w:val="00BA7390"/>
    <w:rsid w:val="00BC0F7F"/>
    <w:rsid w:val="00BC165A"/>
    <w:rsid w:val="00BC4DA2"/>
    <w:rsid w:val="00BC5109"/>
    <w:rsid w:val="00BD3B14"/>
    <w:rsid w:val="00BD40A3"/>
    <w:rsid w:val="00BE0A09"/>
    <w:rsid w:val="00BE1BBF"/>
    <w:rsid w:val="00BE6C69"/>
    <w:rsid w:val="00BF1B1B"/>
    <w:rsid w:val="00BF2646"/>
    <w:rsid w:val="00BF3042"/>
    <w:rsid w:val="00BF4632"/>
    <w:rsid w:val="00BF4ECB"/>
    <w:rsid w:val="00BF50EE"/>
    <w:rsid w:val="00BF5808"/>
    <w:rsid w:val="00C07FDF"/>
    <w:rsid w:val="00C10B76"/>
    <w:rsid w:val="00C10CEF"/>
    <w:rsid w:val="00C11C42"/>
    <w:rsid w:val="00C126F0"/>
    <w:rsid w:val="00C15199"/>
    <w:rsid w:val="00C2145D"/>
    <w:rsid w:val="00C23681"/>
    <w:rsid w:val="00C24CFB"/>
    <w:rsid w:val="00C25CB3"/>
    <w:rsid w:val="00C261CB"/>
    <w:rsid w:val="00C27017"/>
    <w:rsid w:val="00C27604"/>
    <w:rsid w:val="00C309AA"/>
    <w:rsid w:val="00C32447"/>
    <w:rsid w:val="00C32EF7"/>
    <w:rsid w:val="00C340FA"/>
    <w:rsid w:val="00C347FE"/>
    <w:rsid w:val="00C34C58"/>
    <w:rsid w:val="00C3628B"/>
    <w:rsid w:val="00C41E2D"/>
    <w:rsid w:val="00C468F6"/>
    <w:rsid w:val="00C46FE9"/>
    <w:rsid w:val="00C5049C"/>
    <w:rsid w:val="00C51B9F"/>
    <w:rsid w:val="00C52BAF"/>
    <w:rsid w:val="00C53463"/>
    <w:rsid w:val="00C546B4"/>
    <w:rsid w:val="00C54E2E"/>
    <w:rsid w:val="00C56897"/>
    <w:rsid w:val="00C602AB"/>
    <w:rsid w:val="00C60AE4"/>
    <w:rsid w:val="00C60E4E"/>
    <w:rsid w:val="00C648D2"/>
    <w:rsid w:val="00C65EFF"/>
    <w:rsid w:val="00C72353"/>
    <w:rsid w:val="00C74995"/>
    <w:rsid w:val="00C76972"/>
    <w:rsid w:val="00C773CF"/>
    <w:rsid w:val="00C80AA0"/>
    <w:rsid w:val="00C81C11"/>
    <w:rsid w:val="00C837EE"/>
    <w:rsid w:val="00C8598F"/>
    <w:rsid w:val="00C86D72"/>
    <w:rsid w:val="00C92519"/>
    <w:rsid w:val="00C9433B"/>
    <w:rsid w:val="00CA1F61"/>
    <w:rsid w:val="00CA3A3B"/>
    <w:rsid w:val="00CA502A"/>
    <w:rsid w:val="00CA57D3"/>
    <w:rsid w:val="00CA5BB4"/>
    <w:rsid w:val="00CB3349"/>
    <w:rsid w:val="00CB3D3B"/>
    <w:rsid w:val="00CB731F"/>
    <w:rsid w:val="00CC189F"/>
    <w:rsid w:val="00CC76EB"/>
    <w:rsid w:val="00CE6406"/>
    <w:rsid w:val="00CF52A0"/>
    <w:rsid w:val="00CF5CF8"/>
    <w:rsid w:val="00CF7CC2"/>
    <w:rsid w:val="00D01A60"/>
    <w:rsid w:val="00D06D76"/>
    <w:rsid w:val="00D11457"/>
    <w:rsid w:val="00D12FD5"/>
    <w:rsid w:val="00D14774"/>
    <w:rsid w:val="00D154EF"/>
    <w:rsid w:val="00D16DC1"/>
    <w:rsid w:val="00D16F48"/>
    <w:rsid w:val="00D17719"/>
    <w:rsid w:val="00D24F3E"/>
    <w:rsid w:val="00D30C33"/>
    <w:rsid w:val="00D319C2"/>
    <w:rsid w:val="00D37C50"/>
    <w:rsid w:val="00D4541F"/>
    <w:rsid w:val="00D45DFB"/>
    <w:rsid w:val="00D47533"/>
    <w:rsid w:val="00D4794B"/>
    <w:rsid w:val="00D53F55"/>
    <w:rsid w:val="00D60EEB"/>
    <w:rsid w:val="00D61D7F"/>
    <w:rsid w:val="00D629E5"/>
    <w:rsid w:val="00D64222"/>
    <w:rsid w:val="00D70975"/>
    <w:rsid w:val="00D717DE"/>
    <w:rsid w:val="00D7222B"/>
    <w:rsid w:val="00D724CB"/>
    <w:rsid w:val="00D73DDF"/>
    <w:rsid w:val="00D73FA1"/>
    <w:rsid w:val="00D76EA5"/>
    <w:rsid w:val="00D8022A"/>
    <w:rsid w:val="00D82DF7"/>
    <w:rsid w:val="00D83AF3"/>
    <w:rsid w:val="00D917CA"/>
    <w:rsid w:val="00D94326"/>
    <w:rsid w:val="00D95FC0"/>
    <w:rsid w:val="00DB0A8E"/>
    <w:rsid w:val="00DB62D6"/>
    <w:rsid w:val="00DC3AD7"/>
    <w:rsid w:val="00DC48CB"/>
    <w:rsid w:val="00DC5DD1"/>
    <w:rsid w:val="00DD283B"/>
    <w:rsid w:val="00DD3A06"/>
    <w:rsid w:val="00DD574E"/>
    <w:rsid w:val="00DD7576"/>
    <w:rsid w:val="00DE25CE"/>
    <w:rsid w:val="00DE3D2A"/>
    <w:rsid w:val="00DE4353"/>
    <w:rsid w:val="00DE48ED"/>
    <w:rsid w:val="00DE5A10"/>
    <w:rsid w:val="00DF10B8"/>
    <w:rsid w:val="00DF4628"/>
    <w:rsid w:val="00DF7FA4"/>
    <w:rsid w:val="00E00346"/>
    <w:rsid w:val="00E046EE"/>
    <w:rsid w:val="00E1193D"/>
    <w:rsid w:val="00E14210"/>
    <w:rsid w:val="00E22C85"/>
    <w:rsid w:val="00E26F8B"/>
    <w:rsid w:val="00E31736"/>
    <w:rsid w:val="00E32DA6"/>
    <w:rsid w:val="00E35013"/>
    <w:rsid w:val="00E4012B"/>
    <w:rsid w:val="00E4248F"/>
    <w:rsid w:val="00E428BE"/>
    <w:rsid w:val="00E429C3"/>
    <w:rsid w:val="00E43D96"/>
    <w:rsid w:val="00E4620F"/>
    <w:rsid w:val="00E52648"/>
    <w:rsid w:val="00E565A1"/>
    <w:rsid w:val="00E56D4D"/>
    <w:rsid w:val="00E57AA4"/>
    <w:rsid w:val="00E62FFC"/>
    <w:rsid w:val="00E67561"/>
    <w:rsid w:val="00E71329"/>
    <w:rsid w:val="00E72989"/>
    <w:rsid w:val="00E80390"/>
    <w:rsid w:val="00E810FF"/>
    <w:rsid w:val="00E8114E"/>
    <w:rsid w:val="00E86152"/>
    <w:rsid w:val="00E86BBE"/>
    <w:rsid w:val="00E92B54"/>
    <w:rsid w:val="00EA18BC"/>
    <w:rsid w:val="00EA2107"/>
    <w:rsid w:val="00EA6B82"/>
    <w:rsid w:val="00EB1E23"/>
    <w:rsid w:val="00EB2076"/>
    <w:rsid w:val="00EB27A3"/>
    <w:rsid w:val="00EB3A33"/>
    <w:rsid w:val="00EC4D23"/>
    <w:rsid w:val="00ED0F31"/>
    <w:rsid w:val="00ED7BC0"/>
    <w:rsid w:val="00EE44F0"/>
    <w:rsid w:val="00EE5DD4"/>
    <w:rsid w:val="00EF202A"/>
    <w:rsid w:val="00EF292C"/>
    <w:rsid w:val="00EF2AA4"/>
    <w:rsid w:val="00EF7ACE"/>
    <w:rsid w:val="00F019D6"/>
    <w:rsid w:val="00F023EE"/>
    <w:rsid w:val="00F047EF"/>
    <w:rsid w:val="00F11ACB"/>
    <w:rsid w:val="00F13970"/>
    <w:rsid w:val="00F14B20"/>
    <w:rsid w:val="00F15626"/>
    <w:rsid w:val="00F23802"/>
    <w:rsid w:val="00F23930"/>
    <w:rsid w:val="00F24570"/>
    <w:rsid w:val="00F2464E"/>
    <w:rsid w:val="00F2559B"/>
    <w:rsid w:val="00F370ED"/>
    <w:rsid w:val="00F5510C"/>
    <w:rsid w:val="00F63323"/>
    <w:rsid w:val="00F65EE6"/>
    <w:rsid w:val="00F6626E"/>
    <w:rsid w:val="00F7053B"/>
    <w:rsid w:val="00F72709"/>
    <w:rsid w:val="00F73F7F"/>
    <w:rsid w:val="00F74BCD"/>
    <w:rsid w:val="00F810B6"/>
    <w:rsid w:val="00F851EC"/>
    <w:rsid w:val="00F85B25"/>
    <w:rsid w:val="00F85C44"/>
    <w:rsid w:val="00F9002F"/>
    <w:rsid w:val="00F907D7"/>
    <w:rsid w:val="00FA3DFE"/>
    <w:rsid w:val="00FB3136"/>
    <w:rsid w:val="00FC2266"/>
    <w:rsid w:val="00FC4759"/>
    <w:rsid w:val="00FC5356"/>
    <w:rsid w:val="00FC603E"/>
    <w:rsid w:val="00FD00D2"/>
    <w:rsid w:val="00FD098C"/>
    <w:rsid w:val="00FD1D92"/>
    <w:rsid w:val="00FD545F"/>
    <w:rsid w:val="00FE282A"/>
    <w:rsid w:val="00FE53ED"/>
    <w:rsid w:val="00FE69F2"/>
    <w:rsid w:val="00FF032A"/>
    <w:rsid w:val="00FF04E3"/>
    <w:rsid w:val="00FF2E5A"/>
    <w:rsid w:val="00FF5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DA8DB6"/>
  <w15:chartTrackingRefBased/>
  <w15:docId w15:val="{7359BB6B-9541-4001-9770-78DA1F34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90"/>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EE44F0"/>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EE44F0"/>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90"/>
    <w:pPr>
      <w:tabs>
        <w:tab w:val="center" w:pos="4513"/>
        <w:tab w:val="right" w:pos="9026"/>
      </w:tabs>
    </w:pPr>
  </w:style>
  <w:style w:type="character" w:customStyle="1" w:styleId="HeaderChar">
    <w:name w:val="Header Char"/>
    <w:basedOn w:val="DefaultParagraphFont"/>
    <w:link w:val="Header"/>
    <w:uiPriority w:val="99"/>
    <w:rsid w:val="00BA7390"/>
    <w:rPr>
      <w:rFonts w:ascii="Calibri" w:eastAsia="Calibri" w:hAnsi="Calibri" w:cs="Times New Roman"/>
      <w:sz w:val="24"/>
      <w:szCs w:val="24"/>
      <w:lang w:val="en-GB"/>
    </w:rPr>
  </w:style>
  <w:style w:type="paragraph" w:styleId="Footer">
    <w:name w:val="footer"/>
    <w:basedOn w:val="Normal"/>
    <w:link w:val="FooterChar"/>
    <w:uiPriority w:val="99"/>
    <w:unhideWhenUsed/>
    <w:rsid w:val="00BA7390"/>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BA7390"/>
    <w:rPr>
      <w:rFonts w:ascii="Calibri" w:eastAsia="Calibri" w:hAnsi="Calibri" w:cs="Times New Roman"/>
      <w:color w:val="430098"/>
      <w:sz w:val="24"/>
      <w:szCs w:val="24"/>
      <w:lang w:val="en-GB"/>
    </w:rPr>
  </w:style>
  <w:style w:type="paragraph" w:customStyle="1" w:styleId="Body">
    <w:name w:val="Body"/>
    <w:basedOn w:val="Normal"/>
    <w:qFormat/>
    <w:rsid w:val="00BA7390"/>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SectionHeading1">
    <w:name w:val="Section Heading 1"/>
    <w:basedOn w:val="Normal"/>
    <w:qFormat/>
    <w:rsid w:val="00BA7390"/>
    <w:pPr>
      <w:widowControl w:val="0"/>
      <w:suppressAutoHyphens/>
      <w:autoSpaceDE w:val="0"/>
      <w:autoSpaceDN w:val="0"/>
      <w:adjustRightInd w:val="0"/>
      <w:spacing w:after="120" w:line="288" w:lineRule="auto"/>
      <w:textAlignment w:val="center"/>
    </w:pPr>
    <w:rPr>
      <w:rFonts w:cs="PostGrotesk-Medium"/>
      <w:color w:val="430098"/>
      <w:sz w:val="28"/>
      <w:szCs w:val="28"/>
    </w:rPr>
  </w:style>
  <w:style w:type="paragraph" w:customStyle="1" w:styleId="Disclaimer">
    <w:name w:val="Disclaimer"/>
    <w:basedOn w:val="Normal"/>
    <w:qFormat/>
    <w:rsid w:val="00BA7390"/>
    <w:pPr>
      <w:ind w:right="-7"/>
    </w:pPr>
    <w:rPr>
      <w:rFonts w:cs="PostGrotesk-Book"/>
      <w:color w:val="55565A"/>
      <w:sz w:val="18"/>
      <w:szCs w:val="18"/>
    </w:rPr>
  </w:style>
  <w:style w:type="paragraph" w:customStyle="1" w:styleId="DocumentTitle">
    <w:name w:val="Document Title"/>
    <w:basedOn w:val="Header"/>
    <w:qFormat/>
    <w:rsid w:val="00BA7390"/>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BA7390"/>
    <w:rPr>
      <w:color w:val="0000FF"/>
      <w:u w:val="single"/>
    </w:rPr>
  </w:style>
  <w:style w:type="character" w:styleId="UnresolvedMention">
    <w:name w:val="Unresolved Mention"/>
    <w:basedOn w:val="DefaultParagraphFont"/>
    <w:uiPriority w:val="99"/>
    <w:semiHidden/>
    <w:unhideWhenUsed/>
    <w:rsid w:val="00BA008A"/>
    <w:rPr>
      <w:color w:val="808080"/>
      <w:shd w:val="clear" w:color="auto" w:fill="E6E6E6"/>
    </w:rPr>
  </w:style>
  <w:style w:type="character" w:styleId="CommentReference">
    <w:name w:val="annotation reference"/>
    <w:basedOn w:val="DefaultParagraphFont"/>
    <w:uiPriority w:val="99"/>
    <w:semiHidden/>
    <w:unhideWhenUsed/>
    <w:rsid w:val="00E62FFC"/>
    <w:rPr>
      <w:sz w:val="16"/>
      <w:szCs w:val="16"/>
    </w:rPr>
  </w:style>
  <w:style w:type="paragraph" w:styleId="CommentText">
    <w:name w:val="annotation text"/>
    <w:basedOn w:val="Normal"/>
    <w:link w:val="CommentTextChar"/>
    <w:uiPriority w:val="99"/>
    <w:semiHidden/>
    <w:unhideWhenUsed/>
    <w:rsid w:val="00E62FFC"/>
    <w:rPr>
      <w:sz w:val="20"/>
      <w:szCs w:val="20"/>
    </w:rPr>
  </w:style>
  <w:style w:type="character" w:customStyle="1" w:styleId="CommentTextChar">
    <w:name w:val="Comment Text Char"/>
    <w:basedOn w:val="DefaultParagraphFont"/>
    <w:link w:val="CommentText"/>
    <w:uiPriority w:val="99"/>
    <w:semiHidden/>
    <w:rsid w:val="00E62FF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2FFC"/>
    <w:rPr>
      <w:b/>
      <w:bCs/>
    </w:rPr>
  </w:style>
  <w:style w:type="character" w:customStyle="1" w:styleId="CommentSubjectChar">
    <w:name w:val="Comment Subject Char"/>
    <w:basedOn w:val="CommentTextChar"/>
    <w:link w:val="CommentSubject"/>
    <w:uiPriority w:val="99"/>
    <w:semiHidden/>
    <w:rsid w:val="00E62FF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62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FC"/>
    <w:rPr>
      <w:rFonts w:ascii="Segoe UI" w:eastAsia="Calibri" w:hAnsi="Segoe UI" w:cs="Segoe UI"/>
      <w:sz w:val="18"/>
      <w:szCs w:val="18"/>
      <w:lang w:val="en-GB"/>
    </w:rPr>
  </w:style>
  <w:style w:type="paragraph" w:styleId="FootnoteText">
    <w:name w:val="footnote text"/>
    <w:basedOn w:val="Normal"/>
    <w:link w:val="FootnoteTextChar"/>
    <w:uiPriority w:val="99"/>
    <w:semiHidden/>
    <w:unhideWhenUsed/>
    <w:rsid w:val="0080189E"/>
    <w:rPr>
      <w:sz w:val="20"/>
      <w:szCs w:val="20"/>
    </w:rPr>
  </w:style>
  <w:style w:type="character" w:customStyle="1" w:styleId="FootnoteTextChar">
    <w:name w:val="Footnote Text Char"/>
    <w:basedOn w:val="DefaultParagraphFont"/>
    <w:link w:val="FootnoteText"/>
    <w:uiPriority w:val="99"/>
    <w:semiHidden/>
    <w:rsid w:val="0080189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0189E"/>
    <w:rPr>
      <w:vertAlign w:val="superscript"/>
    </w:rPr>
  </w:style>
  <w:style w:type="paragraph" w:styleId="Revision">
    <w:name w:val="Revision"/>
    <w:hidden/>
    <w:uiPriority w:val="99"/>
    <w:semiHidden/>
    <w:rsid w:val="002F4EC6"/>
    <w:pPr>
      <w:spacing w:after="0" w:line="240" w:lineRule="auto"/>
    </w:pPr>
    <w:rPr>
      <w:rFonts w:ascii="Calibri" w:eastAsia="Calibri" w:hAnsi="Calibri" w:cs="Times New Roman"/>
      <w:sz w:val="24"/>
      <w:szCs w:val="24"/>
      <w:lang w:val="en-GB"/>
    </w:rPr>
  </w:style>
  <w:style w:type="paragraph" w:styleId="ListParagraph">
    <w:name w:val="List Paragraph"/>
    <w:basedOn w:val="Normal"/>
    <w:uiPriority w:val="34"/>
    <w:qFormat/>
    <w:rsid w:val="004B2A46"/>
    <w:pPr>
      <w:ind w:left="720"/>
    </w:pPr>
    <w:rPr>
      <w:rFonts w:eastAsiaTheme="minorHAnsi" w:cs="Calibri"/>
      <w:lang w:val="en-AU" w:eastAsia="en-AU"/>
    </w:rPr>
  </w:style>
  <w:style w:type="character" w:customStyle="1" w:styleId="Heading2Char">
    <w:name w:val="Heading 2 Char"/>
    <w:basedOn w:val="DefaultParagraphFont"/>
    <w:link w:val="Heading2"/>
    <w:uiPriority w:val="9"/>
    <w:rsid w:val="00EE44F0"/>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EE44F0"/>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EE44F0"/>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EE44F0"/>
    <w:rPr>
      <w:b/>
      <w:bCs/>
    </w:rPr>
  </w:style>
  <w:style w:type="character" w:styleId="Emphasis">
    <w:name w:val="Emphasis"/>
    <w:basedOn w:val="DefaultParagraphFont"/>
    <w:uiPriority w:val="20"/>
    <w:qFormat/>
    <w:rsid w:val="00EE44F0"/>
    <w:rPr>
      <w:i/>
      <w:iCs/>
    </w:rPr>
  </w:style>
  <w:style w:type="character" w:styleId="FollowedHyperlink">
    <w:name w:val="FollowedHyperlink"/>
    <w:basedOn w:val="DefaultParagraphFont"/>
    <w:uiPriority w:val="99"/>
    <w:semiHidden/>
    <w:unhideWhenUsed/>
    <w:rsid w:val="00A11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7549">
      <w:bodyDiv w:val="1"/>
      <w:marLeft w:val="0"/>
      <w:marRight w:val="0"/>
      <w:marTop w:val="0"/>
      <w:marBottom w:val="0"/>
      <w:divBdr>
        <w:top w:val="none" w:sz="0" w:space="0" w:color="auto"/>
        <w:left w:val="none" w:sz="0" w:space="0" w:color="auto"/>
        <w:bottom w:val="none" w:sz="0" w:space="0" w:color="auto"/>
        <w:right w:val="none" w:sz="0" w:space="0" w:color="auto"/>
      </w:divBdr>
    </w:div>
    <w:div w:id="298076977">
      <w:bodyDiv w:val="1"/>
      <w:marLeft w:val="0"/>
      <w:marRight w:val="0"/>
      <w:marTop w:val="0"/>
      <w:marBottom w:val="0"/>
      <w:divBdr>
        <w:top w:val="none" w:sz="0" w:space="0" w:color="auto"/>
        <w:left w:val="none" w:sz="0" w:space="0" w:color="auto"/>
        <w:bottom w:val="none" w:sz="0" w:space="0" w:color="auto"/>
        <w:right w:val="none" w:sz="0" w:space="0" w:color="auto"/>
      </w:divBdr>
    </w:div>
    <w:div w:id="335234067">
      <w:bodyDiv w:val="1"/>
      <w:marLeft w:val="0"/>
      <w:marRight w:val="0"/>
      <w:marTop w:val="0"/>
      <w:marBottom w:val="0"/>
      <w:divBdr>
        <w:top w:val="none" w:sz="0" w:space="0" w:color="auto"/>
        <w:left w:val="none" w:sz="0" w:space="0" w:color="auto"/>
        <w:bottom w:val="none" w:sz="0" w:space="0" w:color="auto"/>
        <w:right w:val="none" w:sz="0" w:space="0" w:color="auto"/>
      </w:divBdr>
    </w:div>
    <w:div w:id="366297383">
      <w:bodyDiv w:val="1"/>
      <w:marLeft w:val="0"/>
      <w:marRight w:val="0"/>
      <w:marTop w:val="0"/>
      <w:marBottom w:val="0"/>
      <w:divBdr>
        <w:top w:val="none" w:sz="0" w:space="0" w:color="auto"/>
        <w:left w:val="none" w:sz="0" w:space="0" w:color="auto"/>
        <w:bottom w:val="none" w:sz="0" w:space="0" w:color="auto"/>
        <w:right w:val="none" w:sz="0" w:space="0" w:color="auto"/>
      </w:divBdr>
    </w:div>
    <w:div w:id="457997246">
      <w:bodyDiv w:val="1"/>
      <w:marLeft w:val="0"/>
      <w:marRight w:val="0"/>
      <w:marTop w:val="0"/>
      <w:marBottom w:val="0"/>
      <w:divBdr>
        <w:top w:val="none" w:sz="0" w:space="0" w:color="auto"/>
        <w:left w:val="none" w:sz="0" w:space="0" w:color="auto"/>
        <w:bottom w:val="none" w:sz="0" w:space="0" w:color="auto"/>
        <w:right w:val="none" w:sz="0" w:space="0" w:color="auto"/>
      </w:divBdr>
    </w:div>
    <w:div w:id="663246382">
      <w:bodyDiv w:val="1"/>
      <w:marLeft w:val="0"/>
      <w:marRight w:val="0"/>
      <w:marTop w:val="0"/>
      <w:marBottom w:val="0"/>
      <w:divBdr>
        <w:top w:val="none" w:sz="0" w:space="0" w:color="auto"/>
        <w:left w:val="none" w:sz="0" w:space="0" w:color="auto"/>
        <w:bottom w:val="none" w:sz="0" w:space="0" w:color="auto"/>
        <w:right w:val="none" w:sz="0" w:space="0" w:color="auto"/>
      </w:divBdr>
    </w:div>
    <w:div w:id="1139684812">
      <w:bodyDiv w:val="1"/>
      <w:marLeft w:val="0"/>
      <w:marRight w:val="0"/>
      <w:marTop w:val="0"/>
      <w:marBottom w:val="0"/>
      <w:divBdr>
        <w:top w:val="none" w:sz="0" w:space="0" w:color="auto"/>
        <w:left w:val="none" w:sz="0" w:space="0" w:color="auto"/>
        <w:bottom w:val="none" w:sz="0" w:space="0" w:color="auto"/>
        <w:right w:val="none" w:sz="0" w:space="0" w:color="auto"/>
      </w:divBdr>
    </w:div>
    <w:div w:id="1305156145">
      <w:bodyDiv w:val="1"/>
      <w:marLeft w:val="0"/>
      <w:marRight w:val="0"/>
      <w:marTop w:val="0"/>
      <w:marBottom w:val="0"/>
      <w:divBdr>
        <w:top w:val="none" w:sz="0" w:space="0" w:color="auto"/>
        <w:left w:val="none" w:sz="0" w:space="0" w:color="auto"/>
        <w:bottom w:val="none" w:sz="0" w:space="0" w:color="auto"/>
        <w:right w:val="none" w:sz="0" w:space="0" w:color="auto"/>
      </w:divBdr>
    </w:div>
    <w:div w:id="1506743020">
      <w:bodyDiv w:val="1"/>
      <w:marLeft w:val="0"/>
      <w:marRight w:val="0"/>
      <w:marTop w:val="0"/>
      <w:marBottom w:val="0"/>
      <w:divBdr>
        <w:top w:val="none" w:sz="0" w:space="0" w:color="auto"/>
        <w:left w:val="none" w:sz="0" w:space="0" w:color="auto"/>
        <w:bottom w:val="none" w:sz="0" w:space="0" w:color="auto"/>
        <w:right w:val="none" w:sz="0" w:space="0" w:color="auto"/>
      </w:divBdr>
    </w:div>
    <w:div w:id="1714575519">
      <w:bodyDiv w:val="1"/>
      <w:marLeft w:val="0"/>
      <w:marRight w:val="0"/>
      <w:marTop w:val="0"/>
      <w:marBottom w:val="0"/>
      <w:divBdr>
        <w:top w:val="none" w:sz="0" w:space="0" w:color="auto"/>
        <w:left w:val="none" w:sz="0" w:space="0" w:color="auto"/>
        <w:bottom w:val="none" w:sz="0" w:space="0" w:color="auto"/>
        <w:right w:val="none" w:sz="0" w:space="0" w:color="auto"/>
      </w:divBdr>
    </w:div>
    <w:div w:id="1723945494">
      <w:bodyDiv w:val="1"/>
      <w:marLeft w:val="0"/>
      <w:marRight w:val="0"/>
      <w:marTop w:val="0"/>
      <w:marBottom w:val="0"/>
      <w:divBdr>
        <w:top w:val="none" w:sz="0" w:space="0" w:color="auto"/>
        <w:left w:val="none" w:sz="0" w:space="0" w:color="auto"/>
        <w:bottom w:val="none" w:sz="0" w:space="0" w:color="auto"/>
        <w:right w:val="none" w:sz="0" w:space="0" w:color="auto"/>
      </w:divBdr>
    </w:div>
    <w:div w:id="1884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lii.edu.au/cgi-bin/viewdoc/au/cases/vic/VSCA/2020/234.html?context=1;query=%22privacy%20and%20data%20protection%20act%22;mask_path=au/cases/vic/VSC+au/cases/vic/VicSC+au/cases/vic/VSCA+au/cases/vic/VicCorC+au/cases/vic/VCC+au/cases/vic/VMC+au/cases/vic/VicRp+au/cases/vic/VicLawRp+au/cases/vic/VicLawTLegO+au/cases/vic/VicWABWRp+au/cases/vic/VicWWABRp+au/cases/vic/VicWWRp+au/cases/vic/VicAATRp+au/cases/vic/VBAB+au/cases/vic/VDPB+au/cases/vic/VHerCl+au/cases/vic/VMPB+au/cases/vic/VMPBPSP+au/cases/vic/VPrivCmr+au/cases/vic/VPYRB+au/cases/vic/VicPABRp+au/cases/vic/PPV+au/cases/vic/VPSRB+au/cases/vic/VCAT+au/cases/vic/aat+au/cases/vic/VADT+au/cases/vic/VCGLR+au/cases/vic/VDBT+au/cases/vic/VICmr+au/cases/vic/VLSC+au/cases/vic/VLPT+au/cases/vic/VMHRB+au/cases/vic/VMHT+au/cases/vic/VicPRp+au/cases/vic/VRAT+au/legis/vic/consol_act+au/legis/vic/num_act+au/legis/vic/hist_act+au/legis/vic/reprint_act+au/legis/vic/anglican+au/legis/vic/repealed_act+au/legis/vic/consol_reg+au/legis/vic/consol_reg+au/legis/vic/num_reg+au/legis/vic/reprint_reg+au/legis/vic/repealed_reg+au/legis/vic/bill+au/legis/vic/bill_em+au/other/VicBillsRR+au/other/vic_gazette+au/other/VicOmbPRp+au/other/VicSARCAD+au/other/rulings/vicsro/VICSROBF+au/other/rulings/vicsro/VICSRODT+au/other/rulings/vicsro/VICSRODA+au/other/rulings/vicsro/VICSROFHOG+au/other/rulings/vicsro/VICSROFID+au/other/rulings/vicsro/VICSROGEN+au/other/rulings/vicsro/VICSROLT+au/other/rulings/vicsro/VICSROLTA+au/other/rulings/vicsro/VICSROPT+au/other/rulings/vicsro/VICSROPTA+au/other/rulings/vicsro/VICSROSD+au/other/rulings/vicsro/VICSROT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3899-0B3E-4F4C-9123-2B2676A5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1764</Words>
  <Characters>10057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Jessica Brackin</cp:lastModifiedBy>
  <cp:revision>2</cp:revision>
  <cp:lastPrinted>2019-11-20T03:17:00Z</cp:lastPrinted>
  <dcterms:created xsi:type="dcterms:W3CDTF">2021-04-16T05:08:00Z</dcterms:created>
  <dcterms:modified xsi:type="dcterms:W3CDTF">2021-04-16T05:08:00Z</dcterms:modified>
</cp:coreProperties>
</file>