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EA828" w14:textId="3A6EC45D" w:rsidR="00E54A51" w:rsidRPr="006543E9" w:rsidRDefault="00D91822" w:rsidP="00D91822">
      <w:pPr>
        <w:pStyle w:val="MainTitle"/>
        <w:rPr>
          <w:sz w:val="40"/>
          <w:szCs w:val="52"/>
        </w:rPr>
      </w:pPr>
      <w:r w:rsidRPr="006543E9">
        <w:t>UNDERSTANDING CONCILIATION</w:t>
      </w:r>
    </w:p>
    <w:p w14:paraId="339FDA0F" w14:textId="77777777" w:rsidR="00705D43" w:rsidRPr="006543E9" w:rsidRDefault="00705D43" w:rsidP="00705D43">
      <w:pPr>
        <w:pStyle w:val="Heading-1"/>
        <w:rPr>
          <w:sz w:val="36"/>
          <w:szCs w:val="36"/>
          <w:lang w:eastAsia="en-GB"/>
        </w:rPr>
      </w:pPr>
      <w:bookmarkStart w:id="0" w:name="_Toc70235152"/>
      <w:r w:rsidRPr="006543E9">
        <w:t>WHAT IS CONCILIATION?</w:t>
      </w:r>
      <w:bookmarkEnd w:id="0"/>
    </w:p>
    <w:p w14:paraId="167D3650" w14:textId="77777777" w:rsidR="00705D43" w:rsidRPr="006543E9" w:rsidRDefault="00705D43" w:rsidP="00705D43">
      <w:pPr>
        <w:pStyle w:val="Body"/>
        <w:rPr>
          <w:lang w:val="en-AU"/>
        </w:rPr>
      </w:pPr>
      <w:r w:rsidRPr="006543E9">
        <w:rPr>
          <w:lang w:val="en-AU"/>
        </w:rPr>
        <w:t>Conciliation is a form of alternative dispute resolution, similar to mediation. It is the fastest, cheapest and easiest method to resolving privacy complaints. If a complaint can’t be resolved through conciliation, the next step is to have the matter referred to the Victorian Civil and Administrative Tribunal (</w:t>
      </w:r>
      <w:r w:rsidRPr="006543E9">
        <w:rPr>
          <w:rStyle w:val="Strong"/>
          <w:lang w:val="en-AU"/>
        </w:rPr>
        <w:t>VCAT</w:t>
      </w:r>
      <w:r w:rsidRPr="006543E9">
        <w:rPr>
          <w:lang w:val="en-AU"/>
        </w:rPr>
        <w:t>). A VCAT hearing can be stressful and expensive for both parties.</w:t>
      </w:r>
    </w:p>
    <w:p w14:paraId="5C994BC4" w14:textId="77777777" w:rsidR="00705D43" w:rsidRPr="006543E9" w:rsidRDefault="00705D43" w:rsidP="00705D43">
      <w:pPr>
        <w:pStyle w:val="Body"/>
        <w:rPr>
          <w:lang w:val="en-AU"/>
        </w:rPr>
      </w:pPr>
      <w:r w:rsidRPr="006543E9">
        <w:rPr>
          <w:lang w:val="en-AU"/>
        </w:rPr>
        <w:t>Conciliation processes can look quite different in different contexts, but they usually involve an independent person with expert knowledge (the conciliator) helping the parties to identify and agree on a fair resolution of their dispute.</w:t>
      </w:r>
    </w:p>
    <w:p w14:paraId="7FFC7A96" w14:textId="77777777" w:rsidR="00705D43" w:rsidRPr="006543E9" w:rsidRDefault="00705D43" w:rsidP="00705D43">
      <w:pPr>
        <w:pStyle w:val="Body"/>
        <w:rPr>
          <w:lang w:val="en-AU"/>
        </w:rPr>
      </w:pPr>
      <w:r w:rsidRPr="006543E9">
        <w:rPr>
          <w:lang w:val="en-AU"/>
        </w:rPr>
        <w:t xml:space="preserve">The Conciliator does not decide the outcome of your dispute. However, as experts in the </w:t>
      </w:r>
      <w:r w:rsidRPr="006543E9">
        <w:rPr>
          <w:rStyle w:val="Emphasis"/>
          <w:lang w:val="en-AU"/>
        </w:rPr>
        <w:t>Privacy and Data Protection Act 2014</w:t>
      </w:r>
      <w:r w:rsidRPr="006543E9">
        <w:rPr>
          <w:lang w:val="en-AU"/>
        </w:rPr>
        <w:t xml:space="preserve"> (</w:t>
      </w:r>
      <w:r w:rsidRPr="006543E9">
        <w:rPr>
          <w:b/>
          <w:bCs/>
          <w:lang w:val="en-AU"/>
        </w:rPr>
        <w:t>PDP Act</w:t>
      </w:r>
      <w:r w:rsidRPr="006543E9">
        <w:rPr>
          <w:lang w:val="en-AU"/>
        </w:rPr>
        <w:t>), our conciliators can help the parties to clarify the issues in dispute, gain a better understanding of the relative strength of their claims, and agree on a reasonable outcome.</w:t>
      </w:r>
    </w:p>
    <w:p w14:paraId="13F7CB46" w14:textId="77777777" w:rsidR="00705D43" w:rsidRPr="006543E9" w:rsidRDefault="00705D43" w:rsidP="00705D43">
      <w:pPr>
        <w:pStyle w:val="Body"/>
        <w:rPr>
          <w:lang w:val="en-AU"/>
        </w:rPr>
      </w:pPr>
      <w:r w:rsidRPr="006543E9">
        <w:rPr>
          <w:lang w:val="en-AU"/>
        </w:rPr>
        <w:t>Conciliation is voluntary and facilitated by one of our staff members acting as the Conciliator. We will decide on the best approach to conciliation in each case:</w:t>
      </w:r>
    </w:p>
    <w:p w14:paraId="243DFCCC" w14:textId="77777777" w:rsidR="00705D43" w:rsidRPr="006543E9" w:rsidRDefault="00705D43" w:rsidP="00705D43">
      <w:pPr>
        <w:pStyle w:val="Body"/>
        <w:numPr>
          <w:ilvl w:val="0"/>
          <w:numId w:val="25"/>
        </w:numPr>
        <w:rPr>
          <w:lang w:val="en-AU"/>
        </w:rPr>
      </w:pPr>
      <w:r w:rsidRPr="006543E9">
        <w:rPr>
          <w:lang w:val="en-AU"/>
        </w:rPr>
        <w:t>Indirect – where negotiation occurs through the Conciliator (also referred to as ‘shuttle negotiation’). This is the most common form of conciliation conducted.</w:t>
      </w:r>
    </w:p>
    <w:p w14:paraId="7917D2B5" w14:textId="77777777" w:rsidR="00705D43" w:rsidRPr="006543E9" w:rsidRDefault="00705D43" w:rsidP="00705D43">
      <w:pPr>
        <w:pStyle w:val="Body"/>
        <w:numPr>
          <w:ilvl w:val="0"/>
          <w:numId w:val="25"/>
        </w:numPr>
        <w:rPr>
          <w:lang w:val="en-AU"/>
        </w:rPr>
      </w:pPr>
      <w:r w:rsidRPr="006543E9">
        <w:rPr>
          <w:lang w:val="en-AU"/>
        </w:rPr>
        <w:t>Direct – the two parties meet (either in person or by telephone) together with the Conciliator to try and resolve the complaint.</w:t>
      </w:r>
    </w:p>
    <w:p w14:paraId="21FB573A" w14:textId="77777777" w:rsidR="00705D43" w:rsidRPr="006543E9" w:rsidRDefault="00705D43" w:rsidP="00705D43">
      <w:pPr>
        <w:pStyle w:val="Body"/>
        <w:rPr>
          <w:lang w:val="en-AU"/>
        </w:rPr>
      </w:pPr>
      <w:r w:rsidRPr="006543E9">
        <w:rPr>
          <w:lang w:val="en-AU"/>
        </w:rPr>
        <w:t>Conciliation is also confidential — we expect the parties not to use or disclose information obtained in the course of a conciliation for purposes outside of that conciliation. Additionally, section 70 of the PDP Act provides that any evidence of things said or done in conciliation is not admissible before VCAT or in other legal proceedings related to the subject matter of the complaint, unless you and the organisation agree. </w:t>
      </w:r>
    </w:p>
    <w:p w14:paraId="424E0E15" w14:textId="77777777" w:rsidR="00705D43" w:rsidRPr="006543E9" w:rsidRDefault="00705D43" w:rsidP="00705D43">
      <w:pPr>
        <w:pStyle w:val="Heading-1"/>
      </w:pPr>
      <w:bookmarkStart w:id="1" w:name="_Toc70235153"/>
      <w:r w:rsidRPr="006543E9">
        <w:t>WHY CONCILIATE COMPLAINTS?</w:t>
      </w:r>
      <w:bookmarkEnd w:id="1"/>
    </w:p>
    <w:p w14:paraId="477F1671" w14:textId="2D37B6A5" w:rsidR="00705D43" w:rsidRPr="006543E9" w:rsidRDefault="00705D43" w:rsidP="00705D43">
      <w:pPr>
        <w:pStyle w:val="Body"/>
        <w:rPr>
          <w:lang w:val="en-AU"/>
        </w:rPr>
      </w:pPr>
      <w:r w:rsidRPr="006543E9">
        <w:rPr>
          <w:lang w:val="en-AU"/>
        </w:rPr>
        <w:t xml:space="preserve">Conciliation is the fastest, cheapest and easiest method of resolving privacy complaints. If we </w:t>
      </w:r>
      <w:r w:rsidR="00D91822" w:rsidRPr="006543E9">
        <w:rPr>
          <w:lang w:val="en-AU"/>
        </w:rPr>
        <w:t>can’t</w:t>
      </w:r>
      <w:r w:rsidRPr="006543E9">
        <w:rPr>
          <w:lang w:val="en-AU"/>
        </w:rPr>
        <w:t xml:space="preserve"> resolve</w:t>
      </w:r>
      <w:r w:rsidRPr="006543E9">
        <w:rPr>
          <w:lang w:val="en-AU"/>
        </w:rPr>
        <w:t xml:space="preserve"> </w:t>
      </w:r>
      <w:r w:rsidRPr="006543E9">
        <w:rPr>
          <w:lang w:val="en-AU"/>
        </w:rPr>
        <w:t>your complaint through conciliation, the next step is to have the matter referred to the VCAT for hearing.</w:t>
      </w:r>
      <w:r w:rsidRPr="006543E9">
        <w:rPr>
          <w:lang w:val="en-AU"/>
        </w:rPr>
        <w:t xml:space="preserve"> </w:t>
      </w:r>
      <w:r w:rsidRPr="006543E9">
        <w:rPr>
          <w:lang w:val="en-AU"/>
        </w:rPr>
        <w:t>That process can be stressful and expensive for both parties.</w:t>
      </w:r>
    </w:p>
    <w:p w14:paraId="718CCC95" w14:textId="419F9BD9" w:rsidR="00705D43" w:rsidRPr="006543E9" w:rsidRDefault="00705D43" w:rsidP="00705D43">
      <w:pPr>
        <w:pStyle w:val="Body"/>
        <w:rPr>
          <w:lang w:val="en-AU"/>
        </w:rPr>
      </w:pPr>
      <w:r w:rsidRPr="006543E9">
        <w:rPr>
          <w:lang w:val="en-AU"/>
        </w:rPr>
        <w:t>That is why the PDP Act</w:t>
      </w:r>
      <w:r w:rsidRPr="006543E9">
        <w:rPr>
          <w:lang w:val="en-AU"/>
        </w:rPr>
        <w:t xml:space="preserve"> r</w:t>
      </w:r>
      <w:r w:rsidRPr="006543E9">
        <w:rPr>
          <w:lang w:val="en-AU"/>
        </w:rPr>
        <w:t>equires privacy complaints to come to us first, before they can be referred to VCAT. If the Information Commissioner is required to make all reasonable endeavours to conciliate the complaint where there is a chance the complaint can be resolved through conciliation.</w:t>
      </w:r>
    </w:p>
    <w:p w14:paraId="419160AC" w14:textId="35C30343" w:rsidR="00705D43" w:rsidRPr="006543E9" w:rsidRDefault="00705D43" w:rsidP="00705D43">
      <w:pPr>
        <w:pStyle w:val="Heading-1"/>
      </w:pPr>
      <w:bookmarkStart w:id="2" w:name="_Toc70235154"/>
      <w:r w:rsidRPr="006543E9">
        <w:t>IS CONCILIATION LIKE AN INVESTIGATION? OR A COURT OR TRIBUNAL?</w:t>
      </w:r>
      <w:bookmarkEnd w:id="2"/>
    </w:p>
    <w:p w14:paraId="7132F26D" w14:textId="77777777" w:rsidR="00D91822" w:rsidRPr="006543E9" w:rsidRDefault="00705D43" w:rsidP="00705D43">
      <w:pPr>
        <w:pStyle w:val="Body"/>
        <w:rPr>
          <w:lang w:val="en-AU"/>
        </w:rPr>
      </w:pPr>
      <w:r w:rsidRPr="006543E9">
        <w:rPr>
          <w:lang w:val="en-AU"/>
        </w:rPr>
        <w:t xml:space="preserve">No. Conciliation is more like a guided mediation than an investigation or a hearing before a court or tribunal. </w:t>
      </w:r>
    </w:p>
    <w:p w14:paraId="013679BC" w14:textId="60888A6A" w:rsidR="00705D43" w:rsidRPr="006543E9" w:rsidRDefault="00705D43" w:rsidP="00705D43">
      <w:pPr>
        <w:pStyle w:val="Body"/>
        <w:rPr>
          <w:lang w:val="en-AU"/>
        </w:rPr>
      </w:pPr>
      <w:r w:rsidRPr="006543E9">
        <w:rPr>
          <w:lang w:val="en-AU"/>
        </w:rPr>
        <w:lastRenderedPageBreak/>
        <w:t>Though legal arguments or factual details may be relevant in a conciliation, they should not be the primary focus. The goal of conciliation is to try and resolve complaints, and parties don’t need to agree on every fact or issue in order to resolve a complaint.</w:t>
      </w:r>
    </w:p>
    <w:p w14:paraId="21E8CD35" w14:textId="44B92392" w:rsidR="00705D43" w:rsidRPr="006543E9" w:rsidRDefault="00705D43" w:rsidP="00705D43">
      <w:pPr>
        <w:pStyle w:val="Heading-1"/>
      </w:pPr>
      <w:bookmarkStart w:id="3" w:name="_Toc70235155"/>
      <w:r w:rsidRPr="006543E9">
        <w:t>WHAT ARE THE BENEFITS OF CONCILIATION? DO I HAVE TO PARTICIPATE?</w:t>
      </w:r>
      <w:bookmarkEnd w:id="3"/>
    </w:p>
    <w:p w14:paraId="7B152EA9" w14:textId="706971E6" w:rsidR="00705D43" w:rsidRPr="006543E9" w:rsidRDefault="00705D43" w:rsidP="00705D43">
      <w:pPr>
        <w:pStyle w:val="Body"/>
        <w:rPr>
          <w:lang w:val="en-AU"/>
        </w:rPr>
      </w:pPr>
      <w:r w:rsidRPr="006543E9">
        <w:rPr>
          <w:lang w:val="en-AU"/>
        </w:rPr>
        <w:t xml:space="preserve">Conciliation is a voluntary process and you do not have to participate, though we would encourage you to consider it. Conciliation provides you with an opportunity to ‘have your say’ about what has happened in your complaint. It is also an opportunity to resolve your complaint without having to go through the time, stress and monetary costs of a hearing at the </w:t>
      </w:r>
      <w:r w:rsidRPr="006543E9">
        <w:rPr>
          <w:lang w:val="en-AU"/>
        </w:rPr>
        <w:t>VCAT</w:t>
      </w:r>
      <w:r w:rsidRPr="006543E9">
        <w:rPr>
          <w:lang w:val="en-AU"/>
        </w:rPr>
        <w:t>.</w:t>
      </w:r>
    </w:p>
    <w:p w14:paraId="76AC0EE0" w14:textId="77777777" w:rsidR="00705D43" w:rsidRPr="006543E9" w:rsidRDefault="00705D43" w:rsidP="00705D43">
      <w:pPr>
        <w:pStyle w:val="Body"/>
        <w:rPr>
          <w:lang w:val="en-AU"/>
        </w:rPr>
      </w:pPr>
      <w:r w:rsidRPr="006543E9">
        <w:rPr>
          <w:lang w:val="en-AU"/>
        </w:rPr>
        <w:t>If you do not want to participate, or have any concerns about the process, please discuss this with the Conciliator assigned to your complaint at the earliest possible stage.</w:t>
      </w:r>
    </w:p>
    <w:p w14:paraId="41C3AB2D" w14:textId="6E0A1DAC" w:rsidR="00705D43" w:rsidRPr="006543E9" w:rsidRDefault="00705D43" w:rsidP="00705D43">
      <w:pPr>
        <w:pStyle w:val="Heading-1"/>
      </w:pPr>
      <w:bookmarkStart w:id="4" w:name="_Toc70235156"/>
      <w:r w:rsidRPr="006543E9">
        <w:t>WHAT IF CONCILIATION IS INAPPROPRIATE?</w:t>
      </w:r>
      <w:bookmarkEnd w:id="4"/>
    </w:p>
    <w:p w14:paraId="0A8AA44F" w14:textId="77777777" w:rsidR="00705D43" w:rsidRPr="006543E9" w:rsidRDefault="00705D43" w:rsidP="00705D43">
      <w:pPr>
        <w:pStyle w:val="Body"/>
        <w:rPr>
          <w:lang w:val="en-AU"/>
        </w:rPr>
      </w:pPr>
      <w:r w:rsidRPr="006543E9">
        <w:rPr>
          <w:lang w:val="en-AU"/>
        </w:rPr>
        <w:t>If the Information Commissioner does not consider it reasonably possible that a complaint may be conciliated successfully, the parties will be notified and conciliation will not proceed.</w:t>
      </w:r>
    </w:p>
    <w:p w14:paraId="03CE1EB4" w14:textId="77777777" w:rsidR="00705D43" w:rsidRPr="006543E9" w:rsidRDefault="00705D43" w:rsidP="00705D43">
      <w:pPr>
        <w:pStyle w:val="Body"/>
        <w:rPr>
          <w:lang w:val="en-AU"/>
        </w:rPr>
      </w:pPr>
      <w:r w:rsidRPr="006543E9">
        <w:rPr>
          <w:lang w:val="en-AU"/>
        </w:rPr>
        <w:t>Examples of this include:</w:t>
      </w:r>
    </w:p>
    <w:p w14:paraId="157C951E" w14:textId="77777777" w:rsidR="00705D43" w:rsidRPr="006543E9" w:rsidRDefault="00705D43" w:rsidP="00705D43">
      <w:pPr>
        <w:pStyle w:val="Body"/>
        <w:numPr>
          <w:ilvl w:val="0"/>
          <w:numId w:val="26"/>
        </w:numPr>
        <w:rPr>
          <w:lang w:val="en-AU"/>
        </w:rPr>
      </w:pPr>
      <w:r w:rsidRPr="006543E9">
        <w:rPr>
          <w:lang w:val="en-AU"/>
        </w:rPr>
        <w:t>the parties indicate a refusal to participate in the process;</w:t>
      </w:r>
    </w:p>
    <w:p w14:paraId="67715C70" w14:textId="77777777" w:rsidR="00705D43" w:rsidRPr="006543E9" w:rsidRDefault="00705D43" w:rsidP="00705D43">
      <w:pPr>
        <w:pStyle w:val="Body"/>
        <w:numPr>
          <w:ilvl w:val="0"/>
          <w:numId w:val="26"/>
        </w:numPr>
        <w:rPr>
          <w:lang w:val="en-AU"/>
        </w:rPr>
      </w:pPr>
      <w:r w:rsidRPr="006543E9">
        <w:rPr>
          <w:lang w:val="en-AU"/>
        </w:rPr>
        <w:t>the relationship between two parties is so poor that it makes resolution not reasonably possible; or</w:t>
      </w:r>
    </w:p>
    <w:p w14:paraId="02F42BE7" w14:textId="77777777" w:rsidR="00705D43" w:rsidRPr="006543E9" w:rsidRDefault="00705D43" w:rsidP="00705D43">
      <w:pPr>
        <w:pStyle w:val="Body"/>
        <w:numPr>
          <w:ilvl w:val="0"/>
          <w:numId w:val="26"/>
        </w:numPr>
        <w:rPr>
          <w:lang w:val="en-AU"/>
        </w:rPr>
      </w:pPr>
      <w:r w:rsidRPr="006543E9">
        <w:rPr>
          <w:lang w:val="en-AU"/>
        </w:rPr>
        <w:t>any party displays unacceptable and/or threatening behaviour.</w:t>
      </w:r>
    </w:p>
    <w:p w14:paraId="6C44F004" w14:textId="0FB19A2E" w:rsidR="00705D43" w:rsidRPr="006543E9" w:rsidRDefault="00705D43" w:rsidP="00705D43">
      <w:pPr>
        <w:pStyle w:val="Body"/>
        <w:rPr>
          <w:lang w:val="en-AU"/>
        </w:rPr>
      </w:pPr>
      <w:r w:rsidRPr="006543E9">
        <w:rPr>
          <w:lang w:val="en-AU"/>
        </w:rPr>
        <w:t xml:space="preserve">If this happens, the complainant may ask the Commissioner to refer the complaint to the </w:t>
      </w:r>
      <w:r w:rsidRPr="006543E9">
        <w:rPr>
          <w:lang w:val="en-AU"/>
        </w:rPr>
        <w:t xml:space="preserve">VCAT </w:t>
      </w:r>
      <w:r w:rsidRPr="006543E9">
        <w:rPr>
          <w:lang w:val="en-AU"/>
        </w:rPr>
        <w:t>for hearing. A referral request must be in writing, and must be made within 60 days of receipt of notification that conciliation is inappropriate.</w:t>
      </w:r>
    </w:p>
    <w:p w14:paraId="2BB8C504" w14:textId="33DD02F8" w:rsidR="00705D43" w:rsidRPr="006543E9" w:rsidRDefault="00705D43" w:rsidP="00705D43">
      <w:pPr>
        <w:pStyle w:val="Heading-1"/>
      </w:pPr>
      <w:bookmarkStart w:id="5" w:name="_Toc70235157"/>
      <w:r w:rsidRPr="006543E9">
        <w:t>WHAT DOES THE CONCILIATOR DO?</w:t>
      </w:r>
      <w:bookmarkEnd w:id="5"/>
    </w:p>
    <w:p w14:paraId="6A6AE2B9" w14:textId="7271BCA7" w:rsidR="00705D43" w:rsidRPr="006543E9" w:rsidRDefault="00705D43" w:rsidP="00705D43">
      <w:pPr>
        <w:pStyle w:val="Body"/>
        <w:rPr>
          <w:lang w:val="en-AU"/>
        </w:rPr>
      </w:pPr>
      <w:r w:rsidRPr="006543E9">
        <w:rPr>
          <w:lang w:val="en-AU"/>
        </w:rPr>
        <w:t xml:space="preserve">The Conciliator (a staff member trained in alternative dispute resolution processes and </w:t>
      </w:r>
      <w:r w:rsidRPr="006543E9">
        <w:rPr>
          <w:lang w:val="en-AU"/>
        </w:rPr>
        <w:t xml:space="preserve">the PDP Act </w:t>
      </w:r>
      <w:r w:rsidRPr="006543E9">
        <w:rPr>
          <w:lang w:val="en-AU"/>
        </w:rPr>
        <w:t>organises and chairs a discussion between the two parties to help each party put its point of view forward and come up with ways to resolve the dispute.</w:t>
      </w:r>
    </w:p>
    <w:p w14:paraId="2188BCDC" w14:textId="0FCFD439" w:rsidR="00705D43" w:rsidRPr="006543E9" w:rsidRDefault="00705D43" w:rsidP="00705D43">
      <w:pPr>
        <w:pStyle w:val="Body"/>
        <w:rPr>
          <w:lang w:val="en-AU"/>
        </w:rPr>
      </w:pPr>
      <w:r w:rsidRPr="006543E9">
        <w:rPr>
          <w:lang w:val="en-AU"/>
        </w:rPr>
        <w:t xml:space="preserve">The Conciliator must remain impartial and independent, and cannot force either party to accept a particular outcome. However, the Conciliator can make suggestions on how to resolve the complaint, or provide their expert opinion on matters related to the dispute. For example, the Conciliator can discuss how the PDP Act works, how the Information Privacy Principles may apply in the circumstances, and how the </w:t>
      </w:r>
      <w:r w:rsidRPr="006543E9">
        <w:rPr>
          <w:lang w:val="en-AU"/>
        </w:rPr>
        <w:t>VCAT</w:t>
      </w:r>
      <w:r w:rsidRPr="006543E9">
        <w:rPr>
          <w:lang w:val="en-AU"/>
        </w:rPr>
        <w:t xml:space="preserve"> might approach the matter based on previous complaints.</w:t>
      </w:r>
    </w:p>
    <w:p w14:paraId="15C1FBBF" w14:textId="202C45AD" w:rsidR="00705D43" w:rsidRPr="006543E9" w:rsidRDefault="00705D43" w:rsidP="00705D43">
      <w:pPr>
        <w:pStyle w:val="Heading-1"/>
      </w:pPr>
      <w:bookmarkStart w:id="6" w:name="_Toc70235158"/>
      <w:r w:rsidRPr="006543E9">
        <w:t>WHAT THINGS CAN’T A CONCILIATOR DO?</w:t>
      </w:r>
      <w:bookmarkEnd w:id="6"/>
    </w:p>
    <w:p w14:paraId="4DE38E3A" w14:textId="77777777" w:rsidR="00705D43" w:rsidRPr="006543E9" w:rsidRDefault="00705D43" w:rsidP="00705D43">
      <w:pPr>
        <w:pStyle w:val="Body"/>
        <w:rPr>
          <w:lang w:val="en-AU"/>
        </w:rPr>
      </w:pPr>
      <w:r w:rsidRPr="006543E9">
        <w:rPr>
          <w:lang w:val="en-AU"/>
        </w:rPr>
        <w:t>The Conciliator cannot:</w:t>
      </w:r>
    </w:p>
    <w:p w14:paraId="2DD4179F" w14:textId="77777777" w:rsidR="00705D43" w:rsidRPr="006543E9" w:rsidRDefault="00705D43" w:rsidP="00705D43">
      <w:pPr>
        <w:pStyle w:val="Body"/>
        <w:numPr>
          <w:ilvl w:val="0"/>
          <w:numId w:val="27"/>
        </w:numPr>
        <w:rPr>
          <w:lang w:val="en-AU"/>
        </w:rPr>
      </w:pPr>
      <w:r w:rsidRPr="006543E9">
        <w:rPr>
          <w:lang w:val="en-AU"/>
        </w:rPr>
        <w:t>make an individual or an organisation do something (or agree to something);</w:t>
      </w:r>
    </w:p>
    <w:p w14:paraId="3C9AEC5A" w14:textId="77777777" w:rsidR="00705D43" w:rsidRPr="006543E9" w:rsidRDefault="00705D43" w:rsidP="00705D43">
      <w:pPr>
        <w:pStyle w:val="Body"/>
        <w:numPr>
          <w:ilvl w:val="0"/>
          <w:numId w:val="27"/>
        </w:numPr>
        <w:rPr>
          <w:lang w:val="en-AU"/>
        </w:rPr>
      </w:pPr>
      <w:r w:rsidRPr="006543E9">
        <w:rPr>
          <w:lang w:val="en-AU"/>
        </w:rPr>
        <w:t>provide legal advice to either party; or</w:t>
      </w:r>
    </w:p>
    <w:p w14:paraId="1E6A1E60" w14:textId="77777777" w:rsidR="00705D43" w:rsidRPr="006543E9" w:rsidRDefault="00705D43" w:rsidP="00705D43">
      <w:pPr>
        <w:pStyle w:val="Body"/>
        <w:numPr>
          <w:ilvl w:val="0"/>
          <w:numId w:val="27"/>
        </w:numPr>
        <w:rPr>
          <w:lang w:val="en-AU"/>
        </w:rPr>
      </w:pPr>
      <w:r w:rsidRPr="006543E9">
        <w:rPr>
          <w:lang w:val="en-AU"/>
        </w:rPr>
        <w:lastRenderedPageBreak/>
        <w:t>tell you what you should or should not do (for example, whether you should or should not accept an offer).</w:t>
      </w:r>
    </w:p>
    <w:p w14:paraId="681C0F01" w14:textId="7408461C" w:rsidR="00705D43" w:rsidRPr="006543E9" w:rsidRDefault="00705D43" w:rsidP="00705D43">
      <w:pPr>
        <w:pStyle w:val="Heading-1"/>
      </w:pPr>
      <w:bookmarkStart w:id="7" w:name="_Toc70235159"/>
      <w:r w:rsidRPr="006543E9">
        <w:t>COMPLAINANTS FROM NON-ENGLISH SPEAKING BACKGROUNDS</w:t>
      </w:r>
      <w:bookmarkEnd w:id="7"/>
    </w:p>
    <w:p w14:paraId="17789A2B" w14:textId="77777777" w:rsidR="00705D43" w:rsidRPr="006543E9" w:rsidRDefault="00705D43" w:rsidP="00705D43">
      <w:pPr>
        <w:pStyle w:val="Body"/>
        <w:rPr>
          <w:lang w:val="en-AU"/>
        </w:rPr>
      </w:pPr>
      <w:r w:rsidRPr="006543E9">
        <w:rPr>
          <w:lang w:val="en-AU"/>
        </w:rPr>
        <w:t>As conciliation is an opportunity for both parties to discuss what has occurred and how to resolve a matter, it is important that you understand what is discussed and feel confident communicating during the process.</w:t>
      </w:r>
    </w:p>
    <w:p w14:paraId="08BF2051" w14:textId="77777777" w:rsidR="00705D43" w:rsidRPr="006543E9" w:rsidRDefault="00705D43" w:rsidP="00705D43">
      <w:pPr>
        <w:pStyle w:val="Body"/>
        <w:rPr>
          <w:lang w:val="en-AU"/>
        </w:rPr>
      </w:pPr>
      <w:r w:rsidRPr="006543E9">
        <w:rPr>
          <w:lang w:val="en-AU"/>
        </w:rPr>
        <w:t>Please tell your conciliator if you have difficulty communicating in English or prefer to speak in a language other than English. We can arrange an interpreter at no cost to you. Interpreters are required to maintain confidentiality at all times.</w:t>
      </w:r>
    </w:p>
    <w:p w14:paraId="467C5693" w14:textId="22F795B6" w:rsidR="00705D43" w:rsidRPr="006543E9" w:rsidRDefault="00D91822" w:rsidP="00705D43">
      <w:pPr>
        <w:pStyle w:val="Heading-1"/>
      </w:pPr>
      <w:bookmarkStart w:id="8" w:name="_Toc70235160"/>
      <w:r w:rsidRPr="006543E9">
        <w:t>ARE CONCILIATIONS CONFIDENTIAL?</w:t>
      </w:r>
      <w:bookmarkEnd w:id="8"/>
    </w:p>
    <w:p w14:paraId="2B122F34" w14:textId="77777777" w:rsidR="00705D43" w:rsidRPr="006543E9" w:rsidRDefault="00705D43" w:rsidP="00705D43">
      <w:pPr>
        <w:pStyle w:val="Body"/>
        <w:rPr>
          <w:lang w:val="en-AU"/>
        </w:rPr>
      </w:pPr>
      <w:r w:rsidRPr="006543E9">
        <w:rPr>
          <w:lang w:val="en-AU"/>
        </w:rPr>
        <w:t>Yes. We expect that all parties to a complaint treat information that is obtained in the course of conciliation in confidence. That is, we expect that such information is not used or disclosed for purposes outside of conciliation through this office.</w:t>
      </w:r>
    </w:p>
    <w:p w14:paraId="73A9A3A5" w14:textId="4151E6CD" w:rsidR="00705D43" w:rsidRPr="006543E9" w:rsidRDefault="00705D43" w:rsidP="00705D43">
      <w:pPr>
        <w:pStyle w:val="Body"/>
        <w:rPr>
          <w:lang w:val="en-AU"/>
        </w:rPr>
      </w:pPr>
      <w:r w:rsidRPr="006543E9">
        <w:rPr>
          <w:lang w:val="en-AU"/>
        </w:rPr>
        <w:t>Additionally, section 70 of the</w:t>
      </w:r>
      <w:r w:rsidRPr="006543E9">
        <w:rPr>
          <w:lang w:val="en-AU"/>
        </w:rPr>
        <w:t xml:space="preserve"> PDP Act</w:t>
      </w:r>
      <w:r w:rsidRPr="006543E9">
        <w:rPr>
          <w:lang w:val="en-AU"/>
        </w:rPr>
        <w:t xml:space="preserve"> states that evidence of things said or done in conciliation are not admissible before the tribunal or other legal proceedings, unless the parties agree. This means you can talk openly about the complaint in conciliation without being worried that what you say can be used against you later if the matter proceeds to the </w:t>
      </w:r>
      <w:r w:rsidRPr="006543E9">
        <w:rPr>
          <w:lang w:val="en-AU"/>
        </w:rPr>
        <w:t>VCAT</w:t>
      </w:r>
      <w:r w:rsidRPr="006543E9">
        <w:rPr>
          <w:lang w:val="en-AU"/>
        </w:rPr>
        <w:t>. This extends to discussions, letters, telephone calls or things said and done in a meeting.</w:t>
      </w:r>
    </w:p>
    <w:p w14:paraId="4DF7F544" w14:textId="77777777" w:rsidR="00705D43" w:rsidRPr="006543E9" w:rsidRDefault="00705D43" w:rsidP="00705D43">
      <w:pPr>
        <w:pStyle w:val="Body"/>
        <w:rPr>
          <w:lang w:val="en-AU"/>
        </w:rPr>
      </w:pPr>
      <w:r w:rsidRPr="006543E9">
        <w:rPr>
          <w:lang w:val="en-AU"/>
        </w:rPr>
        <w:t>As far as practicable, we will also treat any information we receive during the course of a conciliation in confidence. In order to facilitate the conciliation process, we will give a high-level summary of each party’s respective position to the other party throughout the process, but we will not disclose any documents that a party submits to the other party without consent.</w:t>
      </w:r>
    </w:p>
    <w:p w14:paraId="3C890327" w14:textId="77777777" w:rsidR="00705D43" w:rsidRPr="006543E9" w:rsidRDefault="00705D43" w:rsidP="00705D43">
      <w:pPr>
        <w:pStyle w:val="Body"/>
        <w:rPr>
          <w:lang w:val="en-AU"/>
        </w:rPr>
      </w:pPr>
      <w:r w:rsidRPr="006543E9">
        <w:rPr>
          <w:lang w:val="en-AU"/>
        </w:rPr>
        <w:t>Nevertheless, conciliation works best whenever both parties actively engage in a constructive and open dialogue and we will often ask for consent to pass documents on to the other party.</w:t>
      </w:r>
    </w:p>
    <w:p w14:paraId="6F4AB3A6" w14:textId="77777777" w:rsidR="00705D43" w:rsidRPr="006543E9" w:rsidRDefault="00705D43" w:rsidP="00705D43">
      <w:pPr>
        <w:pStyle w:val="Body"/>
        <w:rPr>
          <w:lang w:val="en-AU"/>
        </w:rPr>
      </w:pPr>
      <w:r w:rsidRPr="006543E9">
        <w:rPr>
          <w:lang w:val="en-AU"/>
        </w:rPr>
        <w:t>If an agreement is reached, the parties can decide whether they want to make the agreement confidential.</w:t>
      </w:r>
    </w:p>
    <w:p w14:paraId="1FDAE842" w14:textId="4DD0D66C" w:rsidR="00705D43" w:rsidRPr="006543E9" w:rsidRDefault="00705D43" w:rsidP="00705D43">
      <w:pPr>
        <w:pStyle w:val="Heading-1"/>
      </w:pPr>
      <w:bookmarkStart w:id="9" w:name="_Toc70235161"/>
      <w:r w:rsidRPr="006543E9">
        <w:t>WHAT HAPPENS DURING A CONCILIATION MEETING?</w:t>
      </w:r>
      <w:bookmarkEnd w:id="9"/>
    </w:p>
    <w:p w14:paraId="33BD0306" w14:textId="4A8B2B58" w:rsidR="00705D43" w:rsidRPr="006543E9" w:rsidRDefault="00705D43" w:rsidP="00705D43">
      <w:pPr>
        <w:pStyle w:val="Body"/>
        <w:rPr>
          <w:lang w:val="en-AU"/>
        </w:rPr>
      </w:pPr>
      <w:r w:rsidRPr="006543E9">
        <w:rPr>
          <w:lang w:val="en-AU"/>
        </w:rPr>
        <w:t>Usually, a conciliation meeting starts with each party meeting with the conciliator separately, so that the Conciliator can explain the ground rules, and each party can ask questions about the process. A ‘joint session’ then occurs where both parties are given a chance to put their side of the complaint forward and discuss the matter in a respectful manner.</w:t>
      </w:r>
    </w:p>
    <w:p w14:paraId="08604EBA" w14:textId="77777777" w:rsidR="00705D43" w:rsidRPr="006543E9" w:rsidRDefault="00705D43" w:rsidP="00705D43">
      <w:pPr>
        <w:pStyle w:val="Body"/>
        <w:rPr>
          <w:lang w:val="en-AU"/>
        </w:rPr>
      </w:pPr>
      <w:r w:rsidRPr="006543E9">
        <w:rPr>
          <w:lang w:val="en-AU"/>
        </w:rPr>
        <w:t>After this, the Conciliator will talk with each party separately in ‘private sessions’ to review what happened in the joint session and discuss ways to resolve the complaint.</w:t>
      </w:r>
    </w:p>
    <w:p w14:paraId="71B8DD0E" w14:textId="77777777" w:rsidR="00705D43" w:rsidRPr="006543E9" w:rsidRDefault="00705D43" w:rsidP="00705D43">
      <w:pPr>
        <w:pStyle w:val="Body"/>
        <w:rPr>
          <w:lang w:val="en-AU"/>
        </w:rPr>
      </w:pPr>
      <w:r w:rsidRPr="006543E9">
        <w:rPr>
          <w:lang w:val="en-AU"/>
        </w:rPr>
        <w:t>The Conciliator may then conduct a shuttle negotiation between both parties, or bring both parties back together again in another joint session so that the parties can discuss ways of resolving the complaint directly.</w:t>
      </w:r>
    </w:p>
    <w:p w14:paraId="5C0557B9" w14:textId="77777777" w:rsidR="00705D43" w:rsidRPr="006543E9" w:rsidRDefault="00705D43" w:rsidP="00705D43">
      <w:pPr>
        <w:pStyle w:val="Body"/>
        <w:rPr>
          <w:lang w:val="en-AU"/>
        </w:rPr>
      </w:pPr>
      <w:r w:rsidRPr="006543E9">
        <w:rPr>
          <w:lang w:val="en-AU"/>
        </w:rPr>
        <w:t>Conciliation meetings are usually about three hours in length.</w:t>
      </w:r>
    </w:p>
    <w:p w14:paraId="540334F0" w14:textId="621661E2" w:rsidR="00705D43" w:rsidRPr="006543E9" w:rsidRDefault="00705D43" w:rsidP="00705D43">
      <w:pPr>
        <w:pStyle w:val="Heading-1"/>
      </w:pPr>
      <w:bookmarkStart w:id="10" w:name="_Toc70235162"/>
      <w:r w:rsidRPr="006543E9">
        <w:lastRenderedPageBreak/>
        <w:t>WHAT SHOULD I TALK ABOUT?</w:t>
      </w:r>
      <w:bookmarkEnd w:id="10"/>
    </w:p>
    <w:p w14:paraId="1A12C823" w14:textId="77777777" w:rsidR="00705D43" w:rsidRPr="006543E9" w:rsidRDefault="00705D43" w:rsidP="00705D43">
      <w:pPr>
        <w:pStyle w:val="Body"/>
        <w:rPr>
          <w:lang w:val="en-AU"/>
        </w:rPr>
      </w:pPr>
      <w:r w:rsidRPr="006543E9">
        <w:rPr>
          <w:lang w:val="en-AU"/>
        </w:rPr>
        <w:t>Conciliation is an opportunity to talk to the organisation directly about your complaint. It can be helpful if you can explain what effect the complaint has had on you. The organisation might know what happened, but not the impact it has had on you.</w:t>
      </w:r>
    </w:p>
    <w:p w14:paraId="5D949E3C" w14:textId="77777777" w:rsidR="00705D43" w:rsidRPr="006543E9" w:rsidRDefault="00705D43" w:rsidP="00705D43">
      <w:pPr>
        <w:pStyle w:val="Body"/>
        <w:rPr>
          <w:lang w:val="en-AU"/>
        </w:rPr>
      </w:pPr>
      <w:r w:rsidRPr="006543E9">
        <w:rPr>
          <w:lang w:val="en-AU"/>
        </w:rPr>
        <w:t>Conciliation is also an opportunity to ask questions and get to understand the issue from the organisation’s point of view. Organisations are expected to bring representatives who understand the factual issues and organisational processes that are involved in your complaint. This makes conciliation a good environment to ask questions, and hear why things might have been done in a particular way, or what an organisation is doing to fix a particular issue.</w:t>
      </w:r>
    </w:p>
    <w:p w14:paraId="2987547E" w14:textId="538B0753" w:rsidR="00705D43" w:rsidRPr="006543E9" w:rsidRDefault="00705D43" w:rsidP="00705D43">
      <w:pPr>
        <w:pStyle w:val="Heading-1"/>
      </w:pPr>
      <w:bookmarkStart w:id="11" w:name="_Toc70235163"/>
      <w:r w:rsidRPr="006543E9">
        <w:t>CAN I BRING A LAWYER? / SHOULD I BRING A LAWYER?</w:t>
      </w:r>
      <w:bookmarkEnd w:id="11"/>
    </w:p>
    <w:p w14:paraId="47C12071" w14:textId="77777777" w:rsidR="00705D43" w:rsidRPr="006543E9" w:rsidRDefault="00705D43" w:rsidP="00705D43">
      <w:pPr>
        <w:pStyle w:val="Body"/>
        <w:rPr>
          <w:lang w:val="en-AU"/>
        </w:rPr>
      </w:pPr>
      <w:r w:rsidRPr="006543E9">
        <w:rPr>
          <w:lang w:val="en-AU"/>
        </w:rPr>
        <w:t>The conciliation process doesn’t require lawyers, but they can play a positive role in helping you prepare and participate in a conciliation process. For example, a lawyer might be able to assist you to understand and articulate how the law applies to your complaint, or to identify, prioritise and explore options for resolving your complaint.</w:t>
      </w:r>
    </w:p>
    <w:p w14:paraId="57067181" w14:textId="764CB0B7" w:rsidR="00705D43" w:rsidRPr="006543E9" w:rsidRDefault="00705D43" w:rsidP="00705D43">
      <w:pPr>
        <w:pStyle w:val="Body"/>
        <w:rPr>
          <w:lang w:val="en-AU"/>
        </w:rPr>
      </w:pPr>
      <w:r w:rsidRPr="006543E9">
        <w:rPr>
          <w:lang w:val="en-AU"/>
        </w:rPr>
        <w:t xml:space="preserve">A lawyer might also help you to understand your options if your complaint is not resolved through conciliation, including helping you understand the potential risks and benefits of pursuing your complaint at </w:t>
      </w:r>
      <w:r w:rsidR="00D91822" w:rsidRPr="006543E9">
        <w:rPr>
          <w:lang w:val="en-AU"/>
        </w:rPr>
        <w:t>VCAT</w:t>
      </w:r>
      <w:r w:rsidRPr="006543E9">
        <w:rPr>
          <w:lang w:val="en-AU"/>
        </w:rPr>
        <w:t>.</w:t>
      </w:r>
    </w:p>
    <w:p w14:paraId="2D3D55A1" w14:textId="77777777" w:rsidR="00705D43" w:rsidRPr="006543E9" w:rsidRDefault="00705D43" w:rsidP="00705D43">
      <w:pPr>
        <w:pStyle w:val="Body"/>
        <w:rPr>
          <w:lang w:val="en-AU"/>
        </w:rPr>
      </w:pPr>
      <w:r w:rsidRPr="006543E9">
        <w:rPr>
          <w:lang w:val="en-AU"/>
        </w:rPr>
        <w:t>The Conciliator will decide whether it is appropriate for an advocate or lawyer to participate in conciliation, and what role they will play. This decision will be made on a case by case basis, in consultation with both parties and with a view to ensuring the conciliation process is fair, equitable and constructive.</w:t>
      </w:r>
    </w:p>
    <w:p w14:paraId="250ACD51" w14:textId="77777777" w:rsidR="00705D43" w:rsidRPr="006543E9" w:rsidRDefault="00705D43" w:rsidP="00705D43">
      <w:pPr>
        <w:pStyle w:val="Body"/>
        <w:rPr>
          <w:lang w:val="en-AU"/>
        </w:rPr>
      </w:pPr>
      <w:r w:rsidRPr="006543E9">
        <w:rPr>
          <w:lang w:val="en-AU"/>
        </w:rPr>
        <w:t>If you would like to bring a lawyer, you should discuss this with the Conciliator at the earliest possible opportunity.</w:t>
      </w:r>
    </w:p>
    <w:p w14:paraId="2A736F5F" w14:textId="2A271EF7" w:rsidR="00705D43" w:rsidRPr="006543E9" w:rsidRDefault="00705D43" w:rsidP="00705D43">
      <w:pPr>
        <w:pStyle w:val="Heading-1"/>
      </w:pPr>
      <w:bookmarkStart w:id="12" w:name="_Toc70235164"/>
      <w:r w:rsidRPr="006543E9">
        <w:t>CAN I BRING A SUPPORT PERSON?</w:t>
      </w:r>
      <w:bookmarkEnd w:id="12"/>
    </w:p>
    <w:p w14:paraId="29846C46" w14:textId="77777777" w:rsidR="00705D43" w:rsidRPr="006543E9" w:rsidRDefault="00705D43" w:rsidP="00705D43">
      <w:pPr>
        <w:pStyle w:val="Body"/>
        <w:rPr>
          <w:lang w:val="en-AU"/>
        </w:rPr>
      </w:pPr>
      <w:r w:rsidRPr="006543E9">
        <w:rPr>
          <w:lang w:val="en-AU"/>
        </w:rPr>
        <w:t>Yes, you can. A support person is someone who can attend a conciliation with you to provide support. They might help you to understand or process the issues in the dispute or simply help you feel more comfortable in a conciliation meeting. A support person should not advocate or talk on your behalf, but they can prompt you if you forget something you want to talk about.</w:t>
      </w:r>
    </w:p>
    <w:p w14:paraId="583A8E53" w14:textId="77777777" w:rsidR="00705D43" w:rsidRPr="006543E9" w:rsidRDefault="00705D43" w:rsidP="00705D43">
      <w:pPr>
        <w:pStyle w:val="Body"/>
        <w:rPr>
          <w:lang w:val="en-AU"/>
        </w:rPr>
      </w:pPr>
      <w:r w:rsidRPr="006543E9">
        <w:rPr>
          <w:lang w:val="en-AU"/>
        </w:rPr>
        <w:t>support person should be someone you feel comfortable with, but who is not involved in the dispute. They may be a friend, relative, colleague teacher, social worker or other service provider. The OVIC conciliator may exclude a support person if their presence is unhelpful to the process of conciliation.</w:t>
      </w:r>
    </w:p>
    <w:p w14:paraId="5972D846" w14:textId="77777777" w:rsidR="00705D43" w:rsidRPr="006543E9" w:rsidRDefault="00705D43" w:rsidP="00705D43">
      <w:pPr>
        <w:pStyle w:val="Body"/>
        <w:rPr>
          <w:lang w:val="en-AU"/>
        </w:rPr>
      </w:pPr>
      <w:r w:rsidRPr="006543E9">
        <w:rPr>
          <w:lang w:val="en-AU"/>
        </w:rPr>
        <w:t>If you would like to bring a support person, you should discuss this with the Conciliator at the earliest possible opportunity.</w:t>
      </w:r>
    </w:p>
    <w:p w14:paraId="25DFD245" w14:textId="5595C91A" w:rsidR="00705D43" w:rsidRPr="006543E9" w:rsidRDefault="00705D43" w:rsidP="00705D43">
      <w:pPr>
        <w:pStyle w:val="Heading-1"/>
      </w:pPr>
      <w:bookmarkStart w:id="13" w:name="_Toc70235165"/>
      <w:r w:rsidRPr="006543E9">
        <w:t>HOW SHOULD I PREPARE FOR A CONCILIATION MEETING?</w:t>
      </w:r>
      <w:bookmarkEnd w:id="13"/>
    </w:p>
    <w:p w14:paraId="16925691" w14:textId="77777777" w:rsidR="00705D43" w:rsidRPr="006543E9" w:rsidRDefault="00705D43" w:rsidP="00705D43">
      <w:pPr>
        <w:pStyle w:val="Body"/>
        <w:rPr>
          <w:lang w:val="en-AU"/>
        </w:rPr>
      </w:pPr>
      <w:r w:rsidRPr="006543E9">
        <w:rPr>
          <w:lang w:val="en-AU"/>
        </w:rPr>
        <w:t>In preparing for a conciliation meeting, you should:</w:t>
      </w:r>
    </w:p>
    <w:p w14:paraId="070FC6AE" w14:textId="77777777" w:rsidR="00705D43" w:rsidRPr="006543E9" w:rsidRDefault="00705D43" w:rsidP="00705D43">
      <w:pPr>
        <w:pStyle w:val="Body"/>
        <w:numPr>
          <w:ilvl w:val="0"/>
          <w:numId w:val="29"/>
        </w:numPr>
        <w:rPr>
          <w:lang w:val="en-AU"/>
        </w:rPr>
      </w:pPr>
      <w:r w:rsidRPr="006543E9">
        <w:rPr>
          <w:lang w:val="en-AU"/>
        </w:rPr>
        <w:t>Review your complaint and any response or correspondence that you have received from the organisation.</w:t>
      </w:r>
    </w:p>
    <w:p w14:paraId="0345B810" w14:textId="2A7E8217" w:rsidR="00705D43" w:rsidRPr="006543E9" w:rsidRDefault="00705D43" w:rsidP="00705D43">
      <w:pPr>
        <w:pStyle w:val="Body"/>
        <w:numPr>
          <w:ilvl w:val="0"/>
          <w:numId w:val="29"/>
        </w:numPr>
        <w:rPr>
          <w:lang w:val="en-AU"/>
        </w:rPr>
      </w:pPr>
      <w:r w:rsidRPr="006543E9">
        <w:rPr>
          <w:lang w:val="en-AU"/>
        </w:rPr>
        <w:lastRenderedPageBreak/>
        <w:t>Understand how the Information Privacy Principles (IPPs) apply to your complaint. You read more about the</w:t>
      </w:r>
      <w:r w:rsidRPr="006543E9">
        <w:rPr>
          <w:lang w:val="en-AU"/>
        </w:rPr>
        <w:t xml:space="preserve"> </w:t>
      </w:r>
      <w:hyperlink r:id="rId8" w:history="1">
        <w:r w:rsidRPr="006543E9">
          <w:rPr>
            <w:rStyle w:val="Hyperlink"/>
            <w:lang w:val="en-AU"/>
          </w:rPr>
          <w:t>IPPs here</w:t>
        </w:r>
      </w:hyperlink>
      <w:r w:rsidRPr="006543E9">
        <w:rPr>
          <w:lang w:val="en-AU"/>
        </w:rPr>
        <w:t>. The Conciliator can also help you to understand how the IPPs might apply.</w:t>
      </w:r>
    </w:p>
    <w:p w14:paraId="24B2EFCB" w14:textId="77777777" w:rsidR="00705D43" w:rsidRPr="006543E9" w:rsidRDefault="00705D43" w:rsidP="00705D43">
      <w:pPr>
        <w:pStyle w:val="Body"/>
        <w:numPr>
          <w:ilvl w:val="0"/>
          <w:numId w:val="29"/>
        </w:numPr>
        <w:rPr>
          <w:lang w:val="en-AU"/>
        </w:rPr>
      </w:pPr>
      <w:r w:rsidRPr="006543E9">
        <w:rPr>
          <w:lang w:val="en-AU"/>
        </w:rPr>
        <w:t>Understand what might happen if the complaint can’t be resolved in conciliation. The Conciliator can explain this to you.</w:t>
      </w:r>
    </w:p>
    <w:p w14:paraId="7FA5F824" w14:textId="77777777" w:rsidR="00705D43" w:rsidRPr="006543E9" w:rsidRDefault="00705D43" w:rsidP="00705D43">
      <w:pPr>
        <w:pStyle w:val="Body"/>
        <w:numPr>
          <w:ilvl w:val="0"/>
          <w:numId w:val="29"/>
        </w:numPr>
        <w:rPr>
          <w:lang w:val="en-AU"/>
        </w:rPr>
      </w:pPr>
      <w:r w:rsidRPr="006543E9">
        <w:rPr>
          <w:lang w:val="en-AU"/>
        </w:rPr>
        <w:t>Think about what you want to say to the organisation. During the conciliation you’ll have an opportunity to tell your story and explain how the interference with your privacy has affected you.</w:t>
      </w:r>
    </w:p>
    <w:p w14:paraId="1D2D732B" w14:textId="77777777" w:rsidR="00705D43" w:rsidRPr="006543E9" w:rsidRDefault="00705D43" w:rsidP="00705D43">
      <w:pPr>
        <w:pStyle w:val="Body"/>
        <w:numPr>
          <w:ilvl w:val="0"/>
          <w:numId w:val="29"/>
        </w:numPr>
        <w:rPr>
          <w:lang w:val="en-AU"/>
        </w:rPr>
      </w:pPr>
      <w:r w:rsidRPr="006543E9">
        <w:rPr>
          <w:lang w:val="en-AU"/>
        </w:rPr>
        <w:t>If you have any documents you would like to discuss, or specific questions you would like answers to, it is a good idea to provide them to the Conciliator in advance so that they can provide them to the organisation and ensure they come prepared.</w:t>
      </w:r>
    </w:p>
    <w:p w14:paraId="73A7F649" w14:textId="3EF1EF79" w:rsidR="00705D43" w:rsidRPr="006543E9" w:rsidRDefault="00705D43" w:rsidP="00705D43">
      <w:pPr>
        <w:pStyle w:val="Body"/>
        <w:numPr>
          <w:ilvl w:val="0"/>
          <w:numId w:val="29"/>
        </w:numPr>
        <w:rPr>
          <w:lang w:val="en-AU"/>
        </w:rPr>
      </w:pPr>
      <w:r w:rsidRPr="006543E9">
        <w:rPr>
          <w:lang w:val="en-AU"/>
        </w:rPr>
        <w:t xml:space="preserve">Think about how you would like the complaint to be resolved and be prepared to explain why you think this is fair. Try to have a number of different options in mind, and think about how far you may be willing to compromise to resolve the complaint. Making a list in order of importance, is helpful. Try to be open to alternative solutions too — sometimes the parties to a complaint come up with new and creative ways of resolving their dispute during the course of the conciliation meeting. </w:t>
      </w:r>
      <w:r w:rsidR="00D91822" w:rsidRPr="006543E9">
        <w:rPr>
          <w:lang w:val="en-AU"/>
        </w:rPr>
        <w:t xml:space="preserve">See our </w:t>
      </w:r>
      <w:r w:rsidRPr="006543E9">
        <w:rPr>
          <w:lang w:val="en-AU"/>
        </w:rPr>
        <w:t xml:space="preserve">guide to identifying realistic outcomes in privacy complaints </w:t>
      </w:r>
      <w:hyperlink r:id="rId9" w:history="1">
        <w:r w:rsidRPr="006543E9">
          <w:rPr>
            <w:rStyle w:val="Hyperlink"/>
            <w:lang w:val="en-AU"/>
          </w:rPr>
          <w:t>here</w:t>
        </w:r>
      </w:hyperlink>
      <w:r w:rsidRPr="006543E9">
        <w:rPr>
          <w:lang w:val="en-AU"/>
        </w:rPr>
        <w:t>.</w:t>
      </w:r>
    </w:p>
    <w:p w14:paraId="0DA03B2B" w14:textId="77777777" w:rsidR="00705D43" w:rsidRPr="006543E9" w:rsidRDefault="00705D43" w:rsidP="00705D43">
      <w:pPr>
        <w:pStyle w:val="Body"/>
        <w:numPr>
          <w:ilvl w:val="0"/>
          <w:numId w:val="29"/>
        </w:numPr>
        <w:rPr>
          <w:lang w:val="en-AU"/>
        </w:rPr>
      </w:pPr>
      <w:r w:rsidRPr="006543E9">
        <w:rPr>
          <w:lang w:val="en-AU"/>
        </w:rPr>
        <w:t>Consider getting advice from a lawyer, if you feel this is necessary. If you get advice from a lawyer you will need to pay for this yourself. You may be able to get free legal advice from a Community Legal Centre or industry group.</w:t>
      </w:r>
    </w:p>
    <w:p w14:paraId="570AA2C8" w14:textId="77777777" w:rsidR="00705D43" w:rsidRPr="006543E9" w:rsidRDefault="00705D43" w:rsidP="00705D43">
      <w:pPr>
        <w:pStyle w:val="Body"/>
        <w:numPr>
          <w:ilvl w:val="0"/>
          <w:numId w:val="29"/>
        </w:numPr>
        <w:rPr>
          <w:lang w:val="en-AU"/>
        </w:rPr>
      </w:pPr>
      <w:r w:rsidRPr="006543E9">
        <w:rPr>
          <w:lang w:val="en-AU"/>
        </w:rPr>
        <w:t>Consider if you want to bring a support person or lawyer to the meeting, and if you do, discuss it with the Conciliator.</w:t>
      </w:r>
    </w:p>
    <w:p w14:paraId="4E13BB68" w14:textId="1B7092F3" w:rsidR="00705D43" w:rsidRPr="006543E9" w:rsidRDefault="00D91822" w:rsidP="00D91822">
      <w:pPr>
        <w:pStyle w:val="Heading-1"/>
      </w:pPr>
      <w:bookmarkStart w:id="14" w:name="_Toc70235166"/>
      <w:r w:rsidRPr="006543E9">
        <w:t>WHAT IF THERE IS NO AGREEMENT ON THE DAY?</w:t>
      </w:r>
      <w:bookmarkEnd w:id="14"/>
    </w:p>
    <w:p w14:paraId="101E0FD5" w14:textId="0CD6D416" w:rsidR="00705D43" w:rsidRPr="006543E9" w:rsidRDefault="00705D43" w:rsidP="00D91822">
      <w:pPr>
        <w:pStyle w:val="Body"/>
        <w:rPr>
          <w:lang w:val="en-AU"/>
        </w:rPr>
      </w:pPr>
      <w:r w:rsidRPr="006543E9">
        <w:rPr>
          <w:lang w:val="en-AU"/>
        </w:rPr>
        <w:t>If the Conciliator believes that it is possible the parties may reach agreement, he or she can adjourn the conciliation and arrange another meeting to continue the process, or continue the process indirectly, through the Conciliator.</w:t>
      </w:r>
      <w:r w:rsidR="00AC0917" w:rsidRPr="006543E9">
        <w:rPr>
          <w:lang w:val="en-AU"/>
        </w:rPr>
        <w:t xml:space="preserve"> </w:t>
      </w:r>
      <w:r w:rsidRPr="006543E9">
        <w:rPr>
          <w:lang w:val="en-AU"/>
        </w:rPr>
        <w:t>Alternatively, if further attempts to conciliate the complaint are unlikely to be successful, the Commissioner will terminate the process and notify the parties that conciliation has ‘failed’.</w:t>
      </w:r>
    </w:p>
    <w:p w14:paraId="6C522A6E" w14:textId="603EB1F3" w:rsidR="00705D43" w:rsidRPr="006543E9" w:rsidRDefault="00D91822" w:rsidP="00D91822">
      <w:pPr>
        <w:pStyle w:val="Heading-1"/>
      </w:pPr>
      <w:bookmarkStart w:id="15" w:name="_Toc70235167"/>
      <w:r w:rsidRPr="006543E9">
        <w:t>WHAT HAPPENS WHEN AN AGREEMENT IS REACHED?</w:t>
      </w:r>
      <w:bookmarkEnd w:id="15"/>
    </w:p>
    <w:p w14:paraId="2732A5D0" w14:textId="22ADE1D7" w:rsidR="00705D43" w:rsidRPr="006543E9" w:rsidRDefault="00705D43" w:rsidP="00D91822">
      <w:pPr>
        <w:pStyle w:val="Body"/>
        <w:rPr>
          <w:lang w:val="en-AU"/>
        </w:rPr>
      </w:pPr>
      <w:r w:rsidRPr="006543E9">
        <w:rPr>
          <w:lang w:val="en-AU"/>
        </w:rPr>
        <w:t xml:space="preserve">If agreement is reached, either party can request it be put in writing (within 30 days after agreement). This will generally be prepared by the Conciliator and sent to both parties for signature. The Commissioner certifies the agreement and provides a certified copy to each party. Any party can seek to have the agreement registered at </w:t>
      </w:r>
      <w:r w:rsidR="00D91822" w:rsidRPr="006543E9">
        <w:rPr>
          <w:lang w:val="en-AU"/>
        </w:rPr>
        <w:t xml:space="preserve">VCAT </w:t>
      </w:r>
      <w:r w:rsidRPr="006543E9">
        <w:rPr>
          <w:lang w:val="en-AU"/>
        </w:rPr>
        <w:t>If registered, the agreement becomes an order of VCAT.</w:t>
      </w:r>
    </w:p>
    <w:p w14:paraId="5D0FED1C" w14:textId="377EA058" w:rsidR="00705D43" w:rsidRPr="006543E9" w:rsidRDefault="00D91822" w:rsidP="00D91822">
      <w:pPr>
        <w:pStyle w:val="Heading-1"/>
      </w:pPr>
      <w:bookmarkStart w:id="16" w:name="_Toc70235168"/>
      <w:r w:rsidRPr="006543E9">
        <w:t>WHAT HAPPENS IF AN AGREEMENT CANNOT BE REACHED?</w:t>
      </w:r>
      <w:bookmarkEnd w:id="16"/>
    </w:p>
    <w:p w14:paraId="54DAB8DD" w14:textId="276153B3" w:rsidR="00705D43" w:rsidRPr="006543E9" w:rsidRDefault="00705D43" w:rsidP="00AC0917">
      <w:pPr>
        <w:pStyle w:val="Body"/>
        <w:spacing w:after="120"/>
        <w:rPr>
          <w:lang w:val="en-AU"/>
        </w:rPr>
      </w:pPr>
      <w:r w:rsidRPr="006543E9">
        <w:rPr>
          <w:lang w:val="en-AU"/>
        </w:rPr>
        <w:t>If the parties cannot reach an agreement through conciliation, the Commissioner will notify both parties in writing that conciliation has failed.</w:t>
      </w:r>
      <w:r w:rsidR="00AC0917" w:rsidRPr="006543E9">
        <w:rPr>
          <w:lang w:val="en-AU"/>
        </w:rPr>
        <w:t xml:space="preserve"> </w:t>
      </w:r>
      <w:r w:rsidRPr="006543E9">
        <w:rPr>
          <w:lang w:val="en-AU"/>
        </w:rPr>
        <w:t>If this happens, you may ask the Commissioner to refer your complaint to</w:t>
      </w:r>
      <w:r w:rsidR="00D91822" w:rsidRPr="006543E9">
        <w:rPr>
          <w:lang w:val="en-AU"/>
        </w:rPr>
        <w:t xml:space="preserve"> VCAT</w:t>
      </w:r>
      <w:r w:rsidRPr="006543E9">
        <w:rPr>
          <w:lang w:val="en-AU"/>
        </w:rPr>
        <w:t xml:space="preserve"> for hearing. Your referral request must be in writing and within 60 days from when you receive notification that conciliation has failed. We will generally have no involvement after referral of a complaint to VCAT and cannot assist you in preparation of legal documents before VCAT.</w:t>
      </w:r>
    </w:p>
    <w:p w14:paraId="1759E998" w14:textId="0FDA1EB9" w:rsidR="00705D43" w:rsidRPr="006543E9" w:rsidRDefault="00705D43" w:rsidP="00AC0917">
      <w:pPr>
        <w:widowControl w:val="0"/>
        <w:pBdr>
          <w:top w:val="single" w:sz="4" w:space="8" w:color="430098"/>
        </w:pBdr>
        <w:tabs>
          <w:tab w:val="left" w:pos="284"/>
          <w:tab w:val="left" w:pos="709"/>
        </w:tabs>
        <w:suppressAutoHyphens/>
        <w:autoSpaceDE w:val="0"/>
        <w:autoSpaceDN w:val="0"/>
        <w:adjustRightInd w:val="0"/>
        <w:spacing w:before="120"/>
        <w:textAlignment w:val="center"/>
        <w:rPr>
          <w:rFonts w:asciiTheme="minorHAnsi" w:hAnsiTheme="minorHAnsi" w:cstheme="minorHAnsi"/>
          <w:color w:val="000000" w:themeColor="text1"/>
          <w:sz w:val="16"/>
          <w:szCs w:val="16"/>
          <w:lang w:val="en-AU"/>
        </w:rPr>
      </w:pPr>
      <w:r w:rsidRPr="006543E9">
        <w:rPr>
          <w:rFonts w:asciiTheme="minorHAnsi" w:hAnsiTheme="minorHAnsi" w:cstheme="minorHAnsi"/>
          <w:b/>
          <w:color w:val="000000" w:themeColor="text1"/>
          <w:sz w:val="16"/>
          <w:szCs w:val="16"/>
          <w:lang w:val="en-AU"/>
        </w:rPr>
        <w:t xml:space="preserve">Disclaimer: </w:t>
      </w:r>
      <w:r w:rsidRPr="006543E9">
        <w:rPr>
          <w:rFonts w:asciiTheme="minorHAnsi" w:hAnsiTheme="minorHAnsi" w:cstheme="minorHAnsi"/>
          <w:color w:val="000000" w:themeColor="text1"/>
          <w:sz w:val="16"/>
          <w:szCs w:val="16"/>
          <w:lang w:val="en-AU"/>
        </w:rPr>
        <w:t>The information in this document is general in nature and does not constitute legal advice.</w:t>
      </w:r>
    </w:p>
    <w:sectPr w:rsidR="00705D43" w:rsidRPr="006543E9" w:rsidSect="005754AC">
      <w:footerReference w:type="default" r:id="rId10"/>
      <w:headerReference w:type="first" r:id="rId11"/>
      <w:footerReference w:type="first" r:id="rId12"/>
      <w:endnotePr>
        <w:numFmt w:val="decimal"/>
      </w:endnotePr>
      <w:type w:val="continuous"/>
      <w:pgSz w:w="11900" w:h="16840"/>
      <w:pgMar w:top="1134" w:right="1134" w:bottom="1134" w:left="1134" w:header="85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422FC" w14:textId="77777777" w:rsidR="00DE30C6" w:rsidRDefault="00DE30C6" w:rsidP="00B53C78">
      <w:r>
        <w:separator/>
      </w:r>
    </w:p>
  </w:endnote>
  <w:endnote w:type="continuationSeparator" w:id="0">
    <w:p w14:paraId="75085776" w14:textId="77777777" w:rsidR="00DE30C6" w:rsidRDefault="00DE30C6" w:rsidP="00B5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inionPro-Regular">
    <w:altName w:val="Times New Roman"/>
    <w:panose1 w:val="020B0604020202020204"/>
    <w:charset w:val="00"/>
    <w:family w:val="auto"/>
    <w:pitch w:val="variable"/>
    <w:sig w:usb0="00000001" w:usb1="00000001" w:usb2="00000000" w:usb3="00000000" w:csb0="0000019F" w:csb1="00000000"/>
  </w:font>
  <w:font w:name="PostGrotesk-Book">
    <w:altName w:val="Times New Roman"/>
    <w:panose1 w:val="020B0604020202020204"/>
    <w:charset w:val="00"/>
    <w:family w:val="auto"/>
    <w:pitch w:val="variable"/>
    <w:sig w:usb0="00000001" w:usb1="500160FB" w:usb2="00000000" w:usb3="00000000" w:csb0="0000009B" w:csb1="00000000"/>
  </w:font>
  <w:font w:name="PostGrotesk-Medium">
    <w:altName w:val="Times New Roman"/>
    <w:panose1 w:val="020B0604020202020204"/>
    <w:charset w:val="00"/>
    <w:family w:val="auto"/>
    <w:pitch w:val="variable"/>
    <w:sig w:usb0="00000001" w:usb1="5001607B" w:usb2="00000000" w:usb3="00000000" w:csb0="00000193" w:csb1="00000000"/>
  </w:font>
  <w:font w:name="Arial">
    <w:panose1 w:val="020B0604020202020204"/>
    <w:charset w:val="00"/>
    <w:family w:val="swiss"/>
    <w:pitch w:val="variable"/>
    <w:sig w:usb0="E0002EFF" w:usb1="C000785B" w:usb2="00000009" w:usb3="00000000" w:csb0="000001FF" w:csb1="00000000"/>
  </w:font>
  <w:font w:name="National-Book">
    <w:altName w:val="Times New Roman"/>
    <w:panose1 w:val="020B0604020202020204"/>
    <w:charset w:val="00"/>
    <w:family w:val="auto"/>
    <w:pitch w:val="variable"/>
    <w:sig w:usb0="00000001" w:usb1="5000207B" w:usb2="0000001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864E" w14:textId="77777777" w:rsidR="00E606BA" w:rsidRPr="008C301D" w:rsidRDefault="00E606BA" w:rsidP="00E606BA">
    <w:pPr>
      <w:pStyle w:val="Footer"/>
      <w:tabs>
        <w:tab w:val="clear" w:pos="4513"/>
        <w:tab w:val="clear" w:pos="9026"/>
        <w:tab w:val="center" w:pos="9632"/>
      </w:tabs>
      <w:spacing w:before="120"/>
      <w:ind w:right="-7"/>
      <w:rPr>
        <w:rFonts w:cs="Arial"/>
        <w:sz w:val="18"/>
        <w:szCs w:val="22"/>
      </w:rPr>
    </w:pPr>
    <w:r w:rsidRPr="008C301D">
      <w:rPr>
        <w:rFonts w:cs="Arial"/>
        <w:sz w:val="18"/>
        <w:szCs w:val="22"/>
      </w:rPr>
      <w:t xml:space="preserve">Freedom of Information </w:t>
    </w:r>
    <w:r w:rsidRPr="008C301D">
      <w:rPr>
        <w:rFonts w:cs="Arial"/>
        <w:color w:val="E5007D"/>
        <w:sz w:val="18"/>
        <w:szCs w:val="22"/>
      </w:rPr>
      <w:t>|</w:t>
    </w:r>
    <w:r w:rsidRPr="008C301D">
      <w:rPr>
        <w:rFonts w:cs="Arial"/>
        <w:sz w:val="18"/>
        <w:szCs w:val="22"/>
      </w:rPr>
      <w:t xml:space="preserve"> Privacy </w:t>
    </w:r>
    <w:r w:rsidRPr="008C301D">
      <w:rPr>
        <w:rFonts w:cs="Arial"/>
        <w:color w:val="E5007D"/>
        <w:sz w:val="18"/>
        <w:szCs w:val="22"/>
      </w:rPr>
      <w:t>|</w:t>
    </w:r>
    <w:r w:rsidRPr="008C301D">
      <w:rPr>
        <w:rFonts w:cs="Arial"/>
        <w:sz w:val="18"/>
        <w:szCs w:val="22"/>
      </w:rPr>
      <w:t xml:space="preserve"> Data Protection</w:t>
    </w:r>
    <w:r w:rsidRPr="008C301D">
      <w:rPr>
        <w:sz w:val="21"/>
        <w:szCs w:val="22"/>
      </w:rPr>
      <w:tab/>
    </w:r>
    <w:r w:rsidRPr="008C301D">
      <w:rPr>
        <w:rFonts w:cs="Arial"/>
        <w:sz w:val="18"/>
        <w:szCs w:val="22"/>
      </w:rPr>
      <w:fldChar w:fldCharType="begin"/>
    </w:r>
    <w:r w:rsidRPr="008C301D">
      <w:rPr>
        <w:rFonts w:cs="Arial"/>
        <w:sz w:val="18"/>
        <w:szCs w:val="22"/>
      </w:rPr>
      <w:instrText xml:space="preserve"> PAGE  \* Arabic  \* MERGEFORMAT </w:instrText>
    </w:r>
    <w:r w:rsidRPr="008C301D">
      <w:rPr>
        <w:rFonts w:cs="Arial"/>
        <w:sz w:val="18"/>
        <w:szCs w:val="22"/>
      </w:rPr>
      <w:fldChar w:fldCharType="separate"/>
    </w:r>
    <w:r>
      <w:rPr>
        <w:rFonts w:cs="Arial"/>
        <w:sz w:val="18"/>
        <w:szCs w:val="22"/>
      </w:rPr>
      <w:t>1</w:t>
    </w:r>
    <w:r w:rsidRPr="008C301D">
      <w:rPr>
        <w:rFonts w:cs="Arial"/>
        <w:sz w:val="18"/>
        <w:szCs w:val="22"/>
      </w:rPr>
      <w:fldChar w:fldCharType="end"/>
    </w:r>
    <w:r w:rsidRPr="008C301D">
      <w:rPr>
        <w:rFonts w:cs="Arial"/>
        <w:sz w:val="18"/>
        <w:szCs w:val="22"/>
      </w:rPr>
      <w:t xml:space="preserve"> of </w:t>
    </w:r>
    <w:r w:rsidRPr="008C301D">
      <w:rPr>
        <w:rFonts w:cs="Arial"/>
        <w:sz w:val="18"/>
        <w:szCs w:val="22"/>
      </w:rPr>
      <w:fldChar w:fldCharType="begin"/>
    </w:r>
    <w:r w:rsidRPr="008C301D">
      <w:rPr>
        <w:rFonts w:cs="Arial"/>
        <w:sz w:val="18"/>
        <w:szCs w:val="22"/>
      </w:rPr>
      <w:instrText xml:space="preserve"> NUMPAGES  \* Arabic  \* MERGEFORMAT </w:instrText>
    </w:r>
    <w:r w:rsidRPr="008C301D">
      <w:rPr>
        <w:rFonts w:cs="Arial"/>
        <w:sz w:val="18"/>
        <w:szCs w:val="22"/>
      </w:rPr>
      <w:fldChar w:fldCharType="separate"/>
    </w:r>
    <w:r>
      <w:rPr>
        <w:rFonts w:cs="Arial"/>
        <w:sz w:val="18"/>
        <w:szCs w:val="22"/>
      </w:rPr>
      <w:t>3</w:t>
    </w:r>
    <w:r w:rsidRPr="008C301D">
      <w:rPr>
        <w:rFonts w:cs="Arial"/>
        <w:sz w:val="18"/>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54647" w14:textId="77777777" w:rsidR="00BD07DC" w:rsidRPr="008C301D" w:rsidRDefault="008C301D" w:rsidP="008C301D">
    <w:pPr>
      <w:pStyle w:val="Footer"/>
      <w:tabs>
        <w:tab w:val="clear" w:pos="4513"/>
        <w:tab w:val="clear" w:pos="9026"/>
        <w:tab w:val="center" w:pos="9632"/>
      </w:tabs>
      <w:spacing w:before="120"/>
      <w:ind w:right="-7"/>
      <w:rPr>
        <w:rFonts w:cs="Arial"/>
        <w:sz w:val="18"/>
        <w:szCs w:val="22"/>
      </w:rPr>
    </w:pPr>
    <w:r w:rsidRPr="008C301D">
      <w:rPr>
        <w:rFonts w:cs="Arial"/>
        <w:sz w:val="18"/>
        <w:szCs w:val="22"/>
      </w:rPr>
      <w:t xml:space="preserve">Freedom of Information </w:t>
    </w:r>
    <w:r w:rsidRPr="008C301D">
      <w:rPr>
        <w:rFonts w:cs="Arial"/>
        <w:color w:val="E5007D"/>
        <w:sz w:val="18"/>
        <w:szCs w:val="22"/>
      </w:rPr>
      <w:t>|</w:t>
    </w:r>
    <w:r w:rsidRPr="008C301D">
      <w:rPr>
        <w:rFonts w:cs="Arial"/>
        <w:sz w:val="18"/>
        <w:szCs w:val="22"/>
      </w:rPr>
      <w:t xml:space="preserve"> Privacy </w:t>
    </w:r>
    <w:r w:rsidRPr="008C301D">
      <w:rPr>
        <w:rFonts w:cs="Arial"/>
        <w:color w:val="E5007D"/>
        <w:sz w:val="18"/>
        <w:szCs w:val="22"/>
      </w:rPr>
      <w:t>|</w:t>
    </w:r>
    <w:r w:rsidRPr="008C301D">
      <w:rPr>
        <w:rFonts w:cs="Arial"/>
        <w:sz w:val="18"/>
        <w:szCs w:val="22"/>
      </w:rPr>
      <w:t xml:space="preserve"> Data Protection</w:t>
    </w:r>
    <w:r w:rsidRPr="008C301D">
      <w:rPr>
        <w:sz w:val="21"/>
        <w:szCs w:val="22"/>
      </w:rPr>
      <w:tab/>
    </w:r>
    <w:r w:rsidRPr="008C301D">
      <w:rPr>
        <w:rFonts w:cs="Arial"/>
        <w:sz w:val="18"/>
        <w:szCs w:val="22"/>
      </w:rPr>
      <w:fldChar w:fldCharType="begin"/>
    </w:r>
    <w:r w:rsidRPr="008C301D">
      <w:rPr>
        <w:rFonts w:cs="Arial"/>
        <w:sz w:val="18"/>
        <w:szCs w:val="22"/>
      </w:rPr>
      <w:instrText xml:space="preserve"> PAGE  \* Arabic  \* MERGEFORMAT </w:instrText>
    </w:r>
    <w:r w:rsidRPr="008C301D">
      <w:rPr>
        <w:rFonts w:cs="Arial"/>
        <w:sz w:val="18"/>
        <w:szCs w:val="22"/>
      </w:rPr>
      <w:fldChar w:fldCharType="separate"/>
    </w:r>
    <w:r>
      <w:rPr>
        <w:rFonts w:cs="Arial"/>
        <w:sz w:val="18"/>
        <w:szCs w:val="22"/>
      </w:rPr>
      <w:t>1</w:t>
    </w:r>
    <w:r w:rsidRPr="008C301D">
      <w:rPr>
        <w:rFonts w:cs="Arial"/>
        <w:sz w:val="18"/>
        <w:szCs w:val="22"/>
      </w:rPr>
      <w:fldChar w:fldCharType="end"/>
    </w:r>
    <w:r w:rsidRPr="008C301D">
      <w:rPr>
        <w:rFonts w:cs="Arial"/>
        <w:sz w:val="18"/>
        <w:szCs w:val="22"/>
      </w:rPr>
      <w:t xml:space="preserve"> of </w:t>
    </w:r>
    <w:r w:rsidRPr="008C301D">
      <w:rPr>
        <w:rFonts w:cs="Arial"/>
        <w:sz w:val="18"/>
        <w:szCs w:val="22"/>
      </w:rPr>
      <w:fldChar w:fldCharType="begin"/>
    </w:r>
    <w:r w:rsidRPr="008C301D">
      <w:rPr>
        <w:rFonts w:cs="Arial"/>
        <w:sz w:val="18"/>
        <w:szCs w:val="22"/>
      </w:rPr>
      <w:instrText xml:space="preserve"> NUMPAGES  \* Arabic  \* MERGEFORMAT </w:instrText>
    </w:r>
    <w:r w:rsidRPr="008C301D">
      <w:rPr>
        <w:rFonts w:cs="Arial"/>
        <w:sz w:val="18"/>
        <w:szCs w:val="22"/>
      </w:rPr>
      <w:fldChar w:fldCharType="separate"/>
    </w:r>
    <w:r>
      <w:rPr>
        <w:rFonts w:cs="Arial"/>
        <w:sz w:val="18"/>
        <w:szCs w:val="22"/>
      </w:rPr>
      <w:t>2</w:t>
    </w:r>
    <w:r w:rsidRPr="008C301D">
      <w:rPr>
        <w:rFonts w:cs="Arial"/>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3B110" w14:textId="77777777" w:rsidR="00DE30C6" w:rsidRPr="002330E8" w:rsidRDefault="00DE30C6">
      <w:pPr>
        <w:rPr>
          <w:color w:val="55565A"/>
          <w:sz w:val="22"/>
          <w:szCs w:val="22"/>
        </w:rPr>
      </w:pPr>
      <w:r w:rsidRPr="002330E8">
        <w:rPr>
          <w:color w:val="55565A"/>
          <w:sz w:val="22"/>
          <w:szCs w:val="22"/>
        </w:rPr>
        <w:separator/>
      </w:r>
    </w:p>
  </w:footnote>
  <w:footnote w:type="continuationSeparator" w:id="0">
    <w:p w14:paraId="7AAB287F" w14:textId="77777777" w:rsidR="00DE30C6" w:rsidRDefault="00DE30C6" w:rsidP="00B53C78">
      <w:r>
        <w:continuationSeparator/>
      </w:r>
    </w:p>
  </w:footnote>
  <w:footnote w:type="continuationNotice" w:id="1">
    <w:p w14:paraId="3964878C" w14:textId="77777777" w:rsidR="00DE30C6" w:rsidRDefault="00DE3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1940B" w14:textId="4C434240" w:rsidR="005754AC" w:rsidRPr="00E54A51" w:rsidRDefault="005754AC" w:rsidP="005754AC">
    <w:pPr>
      <w:pStyle w:val="Header"/>
      <w:tabs>
        <w:tab w:val="clear" w:pos="4513"/>
        <w:tab w:val="clear" w:pos="9026"/>
        <w:tab w:val="left" w:pos="6946"/>
      </w:tabs>
      <w:snapToGrid w:val="0"/>
      <w:spacing w:after="120"/>
      <w:ind w:right="-7"/>
      <w:jc w:val="right"/>
      <w:rPr>
        <w:rFonts w:asciiTheme="minorHAnsi" w:hAnsiTheme="minorHAnsi" w:cstheme="minorHAnsi"/>
        <w:color w:val="55565A"/>
        <w:sz w:val="16"/>
        <w:szCs w:val="16"/>
        <w:highlight w:val="yellow"/>
      </w:rPr>
    </w:pPr>
    <w:r>
      <w:rPr>
        <w:noProof/>
        <w:color w:val="7F7F7F"/>
        <w:sz w:val="28"/>
        <w:szCs w:val="28"/>
        <w:lang w:val="en-AU" w:eastAsia="en-AU"/>
      </w:rPr>
      <w:drawing>
        <wp:anchor distT="0" distB="0" distL="114300" distR="114300" simplePos="0" relativeHeight="251659264" behindDoc="1" locked="0" layoutInCell="1" allowOverlap="1" wp14:anchorId="4FFF326F" wp14:editId="0C3EB6BA">
          <wp:simplePos x="0" y="0"/>
          <wp:positionH relativeFrom="column">
            <wp:posOffset>-1905</wp:posOffset>
          </wp:positionH>
          <wp:positionV relativeFrom="paragraph">
            <wp:posOffset>3175</wp:posOffset>
          </wp:positionV>
          <wp:extent cx="1174284" cy="540000"/>
          <wp:effectExtent l="0" t="0" r="0" b="6350"/>
          <wp:wrapThrough wrapText="bothSides">
            <wp:wrapPolygon edited="0">
              <wp:start x="0" y="0"/>
              <wp:lineTo x="0" y="21346"/>
              <wp:lineTo x="21261" y="21346"/>
              <wp:lineTo x="21261" y="0"/>
              <wp:lineTo x="0" y="0"/>
            </wp:wrapPolygon>
          </wp:wrapThrough>
          <wp:docPr id="3" name="Picture 3" descr="2056_OVIC_Logo_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56_OVIC_Logo_v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284"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96960" w14:textId="789F552D" w:rsidR="005754AC" w:rsidRPr="00E54A51" w:rsidRDefault="006543E9" w:rsidP="005754AC">
    <w:pPr>
      <w:pStyle w:val="Header"/>
      <w:tabs>
        <w:tab w:val="clear" w:pos="4513"/>
        <w:tab w:val="clear" w:pos="9026"/>
        <w:tab w:val="left" w:pos="9632"/>
      </w:tabs>
      <w:snapToGrid w:val="0"/>
      <w:spacing w:after="120"/>
      <w:ind w:right="-7"/>
      <w:jc w:val="right"/>
      <w:rPr>
        <w:rFonts w:asciiTheme="minorHAnsi" w:hAnsiTheme="minorHAnsi" w:cstheme="minorHAnsi"/>
        <w:color w:val="7F7F7F"/>
        <w:sz w:val="16"/>
        <w:szCs w:val="16"/>
      </w:rPr>
    </w:pPr>
    <w:r w:rsidRPr="006543E9">
      <w:rPr>
        <w:rFonts w:asciiTheme="minorHAnsi" w:hAnsiTheme="minorHAnsi" w:cstheme="minorHAnsi"/>
        <w:color w:val="000000" w:themeColor="text1"/>
        <w:sz w:val="16"/>
        <w:szCs w:val="16"/>
        <w:lang w:val="en-AU"/>
      </w:rPr>
      <w:t>January 2019 -</w:t>
    </w:r>
    <w:r w:rsidR="00112666" w:rsidRPr="006543E9">
      <w:rPr>
        <w:rFonts w:asciiTheme="minorHAnsi" w:hAnsiTheme="minorHAnsi" w:cstheme="minorHAnsi"/>
        <w:color w:val="000000" w:themeColor="text1"/>
        <w:sz w:val="16"/>
        <w:szCs w:val="16"/>
        <w:lang w:val="en-AU"/>
      </w:rPr>
      <w:t xml:space="preserve"> </w:t>
    </w:r>
    <w:r w:rsidRPr="006543E9">
      <w:rPr>
        <w:rFonts w:asciiTheme="minorHAnsi" w:hAnsiTheme="minorHAnsi" w:cstheme="minorHAnsi"/>
        <w:color w:val="000000" w:themeColor="text1"/>
        <w:sz w:val="16"/>
        <w:szCs w:val="16"/>
        <w:lang w:val="en-AU"/>
      </w:rPr>
      <w:t>D21</w:t>
    </w:r>
    <w:r>
      <w:rPr>
        <w:rFonts w:asciiTheme="minorHAnsi" w:hAnsiTheme="minorHAnsi" w:cstheme="minorHAnsi"/>
        <w:color w:val="000000" w:themeColor="text1"/>
        <w:sz w:val="16"/>
        <w:szCs w:val="16"/>
        <w:lang w:val="en-AU"/>
      </w:rPr>
      <w:t>/6825</w:t>
    </w:r>
  </w:p>
  <w:p w14:paraId="324C599F" w14:textId="77777777" w:rsidR="005754AC" w:rsidRPr="00E54A51" w:rsidRDefault="005754AC" w:rsidP="005754AC">
    <w:pPr>
      <w:pStyle w:val="Header"/>
      <w:tabs>
        <w:tab w:val="clear" w:pos="4513"/>
        <w:tab w:val="left" w:pos="5245"/>
      </w:tabs>
      <w:spacing w:after="200"/>
      <w:ind w:right="-6"/>
      <w:jc w:val="right"/>
      <w:rPr>
        <w:rFonts w:asciiTheme="minorHAnsi" w:hAnsiTheme="minorHAnsi" w:cstheme="minorHAnsi"/>
        <w:color w:val="555559"/>
        <w:sz w:val="16"/>
        <w:szCs w:val="16"/>
      </w:rPr>
    </w:pPr>
    <w:r w:rsidRPr="00E54A51">
      <w:rPr>
        <w:rFonts w:asciiTheme="minorHAnsi" w:hAnsiTheme="minorHAnsi" w:cstheme="minorHAnsi"/>
        <w:color w:val="7F7F7F"/>
        <w:sz w:val="16"/>
        <w:szCs w:val="16"/>
      </w:rPr>
      <w:tab/>
    </w:r>
    <w:r w:rsidRPr="00E54A51">
      <w:rPr>
        <w:rFonts w:asciiTheme="minorHAnsi" w:hAnsiTheme="minorHAnsi" w:cstheme="minorHAnsi"/>
        <w:color w:val="000000" w:themeColor="text1"/>
        <w:sz w:val="16"/>
        <w:szCs w:val="16"/>
      </w:rPr>
      <w:t xml:space="preserve">ovic.vic.gov.au | </w:t>
    </w:r>
    <w:r w:rsidRPr="00E54A51">
      <w:rPr>
        <w:rFonts w:asciiTheme="minorHAnsi" w:hAnsiTheme="minorHAnsi" w:cstheme="minorHAnsi"/>
        <w:color w:val="000000" w:themeColor="text1"/>
        <w:sz w:val="16"/>
        <w:szCs w:val="16"/>
      </w:rPr>
      <w:tab/>
      <w:t>enquiries@ovic.vic.gov.au | 1300 006 842</w:t>
    </w:r>
  </w:p>
  <w:p w14:paraId="3617091F" w14:textId="77777777" w:rsidR="005754AC" w:rsidRPr="00B04B43" w:rsidRDefault="005754AC" w:rsidP="005754AC">
    <w:pPr>
      <w:pStyle w:val="Header"/>
      <w:tabs>
        <w:tab w:val="clear" w:pos="4513"/>
        <w:tab w:val="left" w:pos="5245"/>
      </w:tabs>
      <w:ind w:right="-6"/>
      <w:jc w:val="right"/>
      <w:rPr>
        <w:rFonts w:asciiTheme="minorHAnsi" w:hAnsiTheme="minorHAnsi" w:cstheme="minorHAnsi"/>
        <w:color w:val="7F7F7F"/>
        <w:sz w:val="18"/>
        <w:szCs w:val="18"/>
      </w:rPr>
    </w:pPr>
    <w:r w:rsidRPr="00856EDC">
      <w:rPr>
        <w:noProof/>
        <w:lang w:val="en-AU" w:eastAsia="en-AU"/>
      </w:rPr>
      <w:drawing>
        <wp:anchor distT="0" distB="0" distL="114300" distR="114300" simplePos="0" relativeHeight="251660288" behindDoc="0" locked="0" layoutInCell="1" allowOverlap="1" wp14:anchorId="5CF4AE59" wp14:editId="31D16FB0">
          <wp:simplePos x="0" y="0"/>
          <wp:positionH relativeFrom="column">
            <wp:posOffset>3175</wp:posOffset>
          </wp:positionH>
          <wp:positionV relativeFrom="paragraph">
            <wp:posOffset>13970</wp:posOffset>
          </wp:positionV>
          <wp:extent cx="6192000" cy="46150"/>
          <wp:effectExtent l="0" t="0" r="0" b="5080"/>
          <wp:wrapNone/>
          <wp:docPr id="4" name="Picture 4" descr="gradient%20line_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20line_th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2000" cy="46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164"/>
    <w:multiLevelType w:val="hybridMultilevel"/>
    <w:tmpl w:val="ED1E4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BF3AD8"/>
    <w:multiLevelType w:val="hybridMultilevel"/>
    <w:tmpl w:val="42D42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31BF7"/>
    <w:multiLevelType w:val="hybridMultilevel"/>
    <w:tmpl w:val="00A8AC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72574A"/>
    <w:multiLevelType w:val="hybridMultilevel"/>
    <w:tmpl w:val="E3386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213682"/>
    <w:multiLevelType w:val="hybridMultilevel"/>
    <w:tmpl w:val="9C502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F635B0"/>
    <w:multiLevelType w:val="hybridMultilevel"/>
    <w:tmpl w:val="38FEC5D0"/>
    <w:lvl w:ilvl="0" w:tplc="5B1CA288">
      <w:start w:val="1"/>
      <w:numFmt w:val="decimal"/>
      <w:lvlText w:val="%1."/>
      <w:lvlJc w:val="left"/>
      <w:pPr>
        <w:ind w:left="360" w:hanging="360"/>
      </w:pPr>
      <w:rPr>
        <w:sz w:val="20"/>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364632"/>
    <w:multiLevelType w:val="multilevel"/>
    <w:tmpl w:val="3E3C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60B1B"/>
    <w:multiLevelType w:val="multilevel"/>
    <w:tmpl w:val="8A48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449DB"/>
    <w:multiLevelType w:val="hybridMultilevel"/>
    <w:tmpl w:val="336C3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801CA3"/>
    <w:multiLevelType w:val="hybridMultilevel"/>
    <w:tmpl w:val="2D800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475AD9"/>
    <w:multiLevelType w:val="multilevel"/>
    <w:tmpl w:val="E0F25C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C13F81"/>
    <w:multiLevelType w:val="hybridMultilevel"/>
    <w:tmpl w:val="F71CA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C60ABB"/>
    <w:multiLevelType w:val="hybridMultilevel"/>
    <w:tmpl w:val="9C10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9252C"/>
    <w:multiLevelType w:val="hybridMultilevel"/>
    <w:tmpl w:val="6F72C12C"/>
    <w:lvl w:ilvl="0" w:tplc="447252F0">
      <w:start w:val="1"/>
      <w:numFmt w:val="bullet"/>
      <w:pStyle w:val="ColorfulList-Accent11"/>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572ED"/>
    <w:multiLevelType w:val="hybridMultilevel"/>
    <w:tmpl w:val="8F5A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213CE"/>
    <w:multiLevelType w:val="multilevel"/>
    <w:tmpl w:val="EC64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D6BD7"/>
    <w:multiLevelType w:val="hybridMultilevel"/>
    <w:tmpl w:val="AC20D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501BDD"/>
    <w:multiLevelType w:val="hybridMultilevel"/>
    <w:tmpl w:val="5F388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FE2A7E"/>
    <w:multiLevelType w:val="hybridMultilevel"/>
    <w:tmpl w:val="42B80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5C36B6"/>
    <w:multiLevelType w:val="multilevel"/>
    <w:tmpl w:val="2248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2D6F"/>
    <w:multiLevelType w:val="hybridMultilevel"/>
    <w:tmpl w:val="4E7C6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79253A"/>
    <w:multiLevelType w:val="hybridMultilevel"/>
    <w:tmpl w:val="A82C3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EE4DF1"/>
    <w:multiLevelType w:val="hybridMultilevel"/>
    <w:tmpl w:val="D0E69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F42020"/>
    <w:multiLevelType w:val="multilevel"/>
    <w:tmpl w:val="5000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A07F3"/>
    <w:multiLevelType w:val="hybridMultilevel"/>
    <w:tmpl w:val="948A0A0A"/>
    <w:lvl w:ilvl="0" w:tplc="AFD636A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756A7D"/>
    <w:multiLevelType w:val="hybridMultilevel"/>
    <w:tmpl w:val="FC922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8B7AFD"/>
    <w:multiLevelType w:val="hybridMultilevel"/>
    <w:tmpl w:val="C5D0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27"/>
  </w:num>
  <w:num w:numId="5">
    <w:abstractNumId w:val="19"/>
  </w:num>
  <w:num w:numId="6">
    <w:abstractNumId w:val="25"/>
  </w:num>
  <w:num w:numId="7">
    <w:abstractNumId w:val="9"/>
  </w:num>
  <w:num w:numId="8">
    <w:abstractNumId w:val="12"/>
  </w:num>
  <w:num w:numId="9">
    <w:abstractNumId w:val="1"/>
  </w:num>
  <w:num w:numId="10">
    <w:abstractNumId w:val="6"/>
  </w:num>
  <w:num w:numId="11">
    <w:abstractNumId w:val="23"/>
  </w:num>
  <w:num w:numId="12">
    <w:abstractNumId w:val="4"/>
  </w:num>
  <w:num w:numId="13">
    <w:abstractNumId w:val="17"/>
  </w:num>
  <w:num w:numId="14">
    <w:abstractNumId w:val="2"/>
  </w:num>
  <w:num w:numId="15">
    <w:abstractNumId w:val="21"/>
  </w:num>
  <w:num w:numId="16">
    <w:abstractNumId w:val="15"/>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4"/>
  </w:num>
  <w:num w:numId="21">
    <w:abstractNumId w:val="20"/>
  </w:num>
  <w:num w:numId="22">
    <w:abstractNumId w:val="7"/>
  </w:num>
  <w:num w:numId="23">
    <w:abstractNumId w:val="16"/>
  </w:num>
  <w:num w:numId="24">
    <w:abstractNumId w:val="8"/>
  </w:num>
  <w:num w:numId="25">
    <w:abstractNumId w:val="0"/>
  </w:num>
  <w:num w:numId="26">
    <w:abstractNumId w:val="5"/>
  </w:num>
  <w:num w:numId="27">
    <w:abstractNumId w:val="22"/>
  </w:num>
  <w:num w:numId="28">
    <w:abstractNumId w:val="2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43"/>
    <w:rsid w:val="00001D44"/>
    <w:rsid w:val="00044728"/>
    <w:rsid w:val="00064688"/>
    <w:rsid w:val="00077961"/>
    <w:rsid w:val="00091CB4"/>
    <w:rsid w:val="000C09CC"/>
    <w:rsid w:val="000E4EA8"/>
    <w:rsid w:val="000E6D30"/>
    <w:rsid w:val="000E7FAE"/>
    <w:rsid w:val="000F3A12"/>
    <w:rsid w:val="00112666"/>
    <w:rsid w:val="001159CB"/>
    <w:rsid w:val="0012374C"/>
    <w:rsid w:val="00145431"/>
    <w:rsid w:val="00146F50"/>
    <w:rsid w:val="00164A42"/>
    <w:rsid w:val="001716C9"/>
    <w:rsid w:val="00173F40"/>
    <w:rsid w:val="0017786A"/>
    <w:rsid w:val="0019036B"/>
    <w:rsid w:val="001967FD"/>
    <w:rsid w:val="001C063B"/>
    <w:rsid w:val="001C6E4B"/>
    <w:rsid w:val="002330E8"/>
    <w:rsid w:val="0024071F"/>
    <w:rsid w:val="0025217E"/>
    <w:rsid w:val="00252833"/>
    <w:rsid w:val="00261684"/>
    <w:rsid w:val="00293DDA"/>
    <w:rsid w:val="002A48A0"/>
    <w:rsid w:val="002B614D"/>
    <w:rsid w:val="003020DA"/>
    <w:rsid w:val="00305D40"/>
    <w:rsid w:val="00320B70"/>
    <w:rsid w:val="00322784"/>
    <w:rsid w:val="00326E58"/>
    <w:rsid w:val="00330030"/>
    <w:rsid w:val="0034513D"/>
    <w:rsid w:val="0034520D"/>
    <w:rsid w:val="00345731"/>
    <w:rsid w:val="0035211D"/>
    <w:rsid w:val="00370F3D"/>
    <w:rsid w:val="00372C3E"/>
    <w:rsid w:val="00384F15"/>
    <w:rsid w:val="003A0F3A"/>
    <w:rsid w:val="003A7085"/>
    <w:rsid w:val="003C6D10"/>
    <w:rsid w:val="00400498"/>
    <w:rsid w:val="00406248"/>
    <w:rsid w:val="00424309"/>
    <w:rsid w:val="0043156F"/>
    <w:rsid w:val="00436C00"/>
    <w:rsid w:val="00453B44"/>
    <w:rsid w:val="004634A1"/>
    <w:rsid w:val="00465B05"/>
    <w:rsid w:val="00470E39"/>
    <w:rsid w:val="0047248D"/>
    <w:rsid w:val="00476315"/>
    <w:rsid w:val="004A33DA"/>
    <w:rsid w:val="004D1C82"/>
    <w:rsid w:val="004D4448"/>
    <w:rsid w:val="00502CD1"/>
    <w:rsid w:val="005178FE"/>
    <w:rsid w:val="00532D82"/>
    <w:rsid w:val="00533CAC"/>
    <w:rsid w:val="00542947"/>
    <w:rsid w:val="00555602"/>
    <w:rsid w:val="005754AC"/>
    <w:rsid w:val="005870C5"/>
    <w:rsid w:val="005A0AFB"/>
    <w:rsid w:val="005A49D0"/>
    <w:rsid w:val="005B1D42"/>
    <w:rsid w:val="005D01F3"/>
    <w:rsid w:val="005D3E8A"/>
    <w:rsid w:val="006120B5"/>
    <w:rsid w:val="00620FD8"/>
    <w:rsid w:val="00635E9F"/>
    <w:rsid w:val="00652D6F"/>
    <w:rsid w:val="006543E9"/>
    <w:rsid w:val="00662FFB"/>
    <w:rsid w:val="006713D1"/>
    <w:rsid w:val="00674485"/>
    <w:rsid w:val="006876B7"/>
    <w:rsid w:val="006B1C0F"/>
    <w:rsid w:val="00705D43"/>
    <w:rsid w:val="007140E5"/>
    <w:rsid w:val="00717657"/>
    <w:rsid w:val="00723ACA"/>
    <w:rsid w:val="00726FA9"/>
    <w:rsid w:val="00756BEA"/>
    <w:rsid w:val="00760DDC"/>
    <w:rsid w:val="00765158"/>
    <w:rsid w:val="00776737"/>
    <w:rsid w:val="00780584"/>
    <w:rsid w:val="007862E0"/>
    <w:rsid w:val="00786837"/>
    <w:rsid w:val="007964E0"/>
    <w:rsid w:val="007973AB"/>
    <w:rsid w:val="007A6964"/>
    <w:rsid w:val="007C3E32"/>
    <w:rsid w:val="008046F8"/>
    <w:rsid w:val="00806B62"/>
    <w:rsid w:val="00854716"/>
    <w:rsid w:val="00856EDC"/>
    <w:rsid w:val="00863040"/>
    <w:rsid w:val="0086734F"/>
    <w:rsid w:val="00871FC7"/>
    <w:rsid w:val="008721FC"/>
    <w:rsid w:val="0088604A"/>
    <w:rsid w:val="008B4992"/>
    <w:rsid w:val="008B7923"/>
    <w:rsid w:val="008C301D"/>
    <w:rsid w:val="008F106C"/>
    <w:rsid w:val="0092276F"/>
    <w:rsid w:val="00922C7A"/>
    <w:rsid w:val="00940F43"/>
    <w:rsid w:val="00A26740"/>
    <w:rsid w:val="00A31747"/>
    <w:rsid w:val="00A33D6F"/>
    <w:rsid w:val="00A37BE1"/>
    <w:rsid w:val="00A92625"/>
    <w:rsid w:val="00AC0917"/>
    <w:rsid w:val="00AC35A9"/>
    <w:rsid w:val="00AE13A1"/>
    <w:rsid w:val="00B04B43"/>
    <w:rsid w:val="00B177DA"/>
    <w:rsid w:val="00B2499E"/>
    <w:rsid w:val="00B316BE"/>
    <w:rsid w:val="00B32753"/>
    <w:rsid w:val="00B339BB"/>
    <w:rsid w:val="00B37C5F"/>
    <w:rsid w:val="00B53C78"/>
    <w:rsid w:val="00B61929"/>
    <w:rsid w:val="00B9736F"/>
    <w:rsid w:val="00BA770C"/>
    <w:rsid w:val="00BC1972"/>
    <w:rsid w:val="00BD07DC"/>
    <w:rsid w:val="00BD2C4E"/>
    <w:rsid w:val="00BD4E38"/>
    <w:rsid w:val="00BD5AE9"/>
    <w:rsid w:val="00BE3022"/>
    <w:rsid w:val="00C42986"/>
    <w:rsid w:val="00C473B0"/>
    <w:rsid w:val="00C62A45"/>
    <w:rsid w:val="00C9198C"/>
    <w:rsid w:val="00C922DD"/>
    <w:rsid w:val="00CB4387"/>
    <w:rsid w:val="00CD6BDB"/>
    <w:rsid w:val="00CE7458"/>
    <w:rsid w:val="00CF4062"/>
    <w:rsid w:val="00D02655"/>
    <w:rsid w:val="00D0311E"/>
    <w:rsid w:val="00D214C2"/>
    <w:rsid w:val="00D267EC"/>
    <w:rsid w:val="00D3108A"/>
    <w:rsid w:val="00D32D00"/>
    <w:rsid w:val="00D723C1"/>
    <w:rsid w:val="00D77B3C"/>
    <w:rsid w:val="00D91822"/>
    <w:rsid w:val="00DA234D"/>
    <w:rsid w:val="00DB13A1"/>
    <w:rsid w:val="00DB55DB"/>
    <w:rsid w:val="00DD0EA8"/>
    <w:rsid w:val="00DE30C6"/>
    <w:rsid w:val="00DE73F6"/>
    <w:rsid w:val="00E40ACD"/>
    <w:rsid w:val="00E45B00"/>
    <w:rsid w:val="00E54A51"/>
    <w:rsid w:val="00E55C61"/>
    <w:rsid w:val="00E606BA"/>
    <w:rsid w:val="00E66BA5"/>
    <w:rsid w:val="00E80E70"/>
    <w:rsid w:val="00E86019"/>
    <w:rsid w:val="00E87F33"/>
    <w:rsid w:val="00EA1B53"/>
    <w:rsid w:val="00EB03B3"/>
    <w:rsid w:val="00EF06C1"/>
    <w:rsid w:val="00EF553E"/>
    <w:rsid w:val="00EF65B2"/>
    <w:rsid w:val="00EF7213"/>
    <w:rsid w:val="00F12A32"/>
    <w:rsid w:val="00F17578"/>
    <w:rsid w:val="00F3674C"/>
    <w:rsid w:val="00F36C34"/>
    <w:rsid w:val="00F402B9"/>
    <w:rsid w:val="00F5377F"/>
    <w:rsid w:val="00F83814"/>
    <w:rsid w:val="00F87792"/>
    <w:rsid w:val="00F923FB"/>
    <w:rsid w:val="00FA1F8E"/>
    <w:rsid w:val="00FB0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1162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GB" w:eastAsia="en-US"/>
    </w:rPr>
  </w:style>
  <w:style w:type="paragraph" w:styleId="Heading2">
    <w:name w:val="heading 2"/>
    <w:basedOn w:val="Normal"/>
    <w:link w:val="Heading2Char"/>
    <w:uiPriority w:val="9"/>
    <w:qFormat/>
    <w:rsid w:val="00705D43"/>
    <w:pPr>
      <w:spacing w:before="100" w:beforeAutospacing="1" w:after="100" w:afterAutospacing="1"/>
      <w:outlineLvl w:val="1"/>
    </w:pPr>
    <w:rPr>
      <w:rFonts w:ascii="Times New Roman" w:eastAsia="Times New Roman" w:hAnsi="Times New Roman"/>
      <w:b/>
      <w:bCs/>
      <w:sz w:val="36"/>
      <w:szCs w:val="36"/>
      <w:lang w:val="en-AU" w:eastAsia="en-GB"/>
    </w:rPr>
  </w:style>
  <w:style w:type="paragraph" w:styleId="Heading4">
    <w:name w:val="heading 4"/>
    <w:basedOn w:val="Normal"/>
    <w:link w:val="Heading4Char"/>
    <w:uiPriority w:val="9"/>
    <w:qFormat/>
    <w:rsid w:val="00705D43"/>
    <w:pPr>
      <w:spacing w:before="100" w:beforeAutospacing="1" w:after="100" w:afterAutospacing="1"/>
      <w:outlineLvl w:val="3"/>
    </w:pPr>
    <w:rPr>
      <w:rFonts w:ascii="Times New Roman" w:eastAsia="Times New Roman" w:hAnsi="Times New Roman"/>
      <w:b/>
      <w:bCs/>
      <w:lang w:val="en-AU"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C78"/>
    <w:pPr>
      <w:tabs>
        <w:tab w:val="center" w:pos="4513"/>
        <w:tab w:val="right" w:pos="9026"/>
      </w:tabs>
    </w:pPr>
  </w:style>
  <w:style w:type="character" w:customStyle="1" w:styleId="HeaderChar">
    <w:name w:val="Header Char"/>
    <w:basedOn w:val="DefaultParagraphFont"/>
    <w:link w:val="Header"/>
    <w:uiPriority w:val="99"/>
    <w:rsid w:val="00B53C78"/>
  </w:style>
  <w:style w:type="paragraph" w:styleId="Footer">
    <w:name w:val="footer"/>
    <w:basedOn w:val="Normal"/>
    <w:link w:val="FooterChar"/>
    <w:uiPriority w:val="99"/>
    <w:unhideWhenUsed/>
    <w:rsid w:val="00BD07DC"/>
    <w:pPr>
      <w:tabs>
        <w:tab w:val="center" w:pos="4513"/>
        <w:tab w:val="right" w:pos="9026"/>
      </w:tabs>
    </w:pPr>
    <w:rPr>
      <w:color w:val="430098"/>
    </w:rPr>
  </w:style>
  <w:style w:type="character" w:customStyle="1" w:styleId="FooterChar">
    <w:name w:val="Footer Char"/>
    <w:link w:val="Footer"/>
    <w:uiPriority w:val="99"/>
    <w:rsid w:val="00BD07DC"/>
    <w:rPr>
      <w:color w:val="430098"/>
    </w:rPr>
  </w:style>
  <w:style w:type="paragraph" w:customStyle="1" w:styleId="BasicParagraph">
    <w:name w:val="[Basic Paragraph]"/>
    <w:basedOn w:val="Normal"/>
    <w:uiPriority w:val="99"/>
    <w:rsid w:val="00F36C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BasicParagraph"/>
    <w:qFormat/>
    <w:rsid w:val="00DD0EA8"/>
    <w:pPr>
      <w:suppressAutoHyphens/>
      <w:spacing w:before="120" w:after="240" w:line="276" w:lineRule="auto"/>
    </w:pPr>
    <w:rPr>
      <w:rFonts w:ascii="Calibri" w:hAnsi="Calibri" w:cs="PostGrotesk-Book"/>
      <w:color w:val="000000" w:themeColor="text1"/>
      <w:sz w:val="22"/>
      <w:szCs w:val="22"/>
    </w:rPr>
  </w:style>
  <w:style w:type="paragraph" w:customStyle="1" w:styleId="Heading-1">
    <w:name w:val="Heading-1"/>
    <w:basedOn w:val="BasicParagraph"/>
    <w:autoRedefine/>
    <w:qFormat/>
    <w:rsid w:val="00756BEA"/>
    <w:pPr>
      <w:suppressAutoHyphens/>
      <w:spacing w:before="120" w:after="200" w:line="264" w:lineRule="auto"/>
    </w:pPr>
    <w:rPr>
      <w:rFonts w:ascii="Calibri" w:hAnsi="Calibri" w:cs="PostGrotesk-Medium"/>
      <w:b/>
      <w:color w:val="430098"/>
      <w:sz w:val="28"/>
      <w:szCs w:val="26"/>
      <w:lang w:val="en-AU"/>
    </w:rPr>
  </w:style>
  <w:style w:type="paragraph" w:customStyle="1" w:styleId="Heading-2">
    <w:name w:val="Heading-2"/>
    <w:basedOn w:val="BasicParagraph"/>
    <w:qFormat/>
    <w:rsid w:val="00756BEA"/>
    <w:pPr>
      <w:suppressAutoHyphens/>
      <w:spacing w:after="200" w:line="264" w:lineRule="auto"/>
    </w:pPr>
    <w:rPr>
      <w:rFonts w:ascii="Calibri" w:hAnsi="Calibri" w:cs="PostGrotesk-Medium"/>
      <w:b/>
      <w:i/>
      <w:iCs/>
      <w:color w:val="430098"/>
      <w:sz w:val="22"/>
    </w:rPr>
  </w:style>
  <w:style w:type="paragraph" w:customStyle="1" w:styleId="ColorfulList-Accent11">
    <w:name w:val="Colorful List - Accent 11"/>
    <w:basedOn w:val="Body"/>
    <w:uiPriority w:val="34"/>
    <w:rsid w:val="00064688"/>
    <w:pPr>
      <w:numPr>
        <w:numId w:val="2"/>
      </w:numPr>
      <w:spacing w:after="0"/>
      <w:ind w:left="284" w:hanging="284"/>
    </w:pPr>
  </w:style>
  <w:style w:type="paragraph" w:customStyle="1" w:styleId="Introduction">
    <w:name w:val="Introduction"/>
    <w:rsid w:val="00B177DA"/>
    <w:pPr>
      <w:suppressAutoHyphens/>
      <w:spacing w:after="360"/>
      <w:ind w:right="1835"/>
    </w:pPr>
    <w:rPr>
      <w:rFonts w:cs="PostGrotesk-Book"/>
      <w:color w:val="7F7F7F"/>
      <w:sz w:val="28"/>
      <w:szCs w:val="28"/>
      <w:lang w:val="en-GB" w:eastAsia="en-US"/>
    </w:rPr>
  </w:style>
  <w:style w:type="paragraph" w:customStyle="1" w:styleId="Linebreak11pt">
    <w:name w:val="Line break 11pt"/>
    <w:basedOn w:val="BasicParagraph"/>
    <w:rsid w:val="008B7923"/>
    <w:pPr>
      <w:suppressAutoHyphens/>
    </w:pPr>
    <w:rPr>
      <w:rFonts w:ascii="Calibri" w:hAnsi="Calibri" w:cs="PostGrotesk-Medium"/>
      <w:color w:val="55565A"/>
      <w:sz w:val="22"/>
      <w:szCs w:val="22"/>
    </w:rPr>
  </w:style>
  <w:style w:type="paragraph" w:customStyle="1" w:styleId="Disclaimer">
    <w:name w:val="Disclaimer"/>
    <w:basedOn w:val="Normal"/>
    <w:rsid w:val="00064688"/>
    <w:pPr>
      <w:ind w:right="-7"/>
    </w:pPr>
    <w:rPr>
      <w:rFonts w:cs="PostGrotesk-Book"/>
      <w:color w:val="555559"/>
      <w:sz w:val="18"/>
      <w:szCs w:val="18"/>
    </w:rPr>
  </w:style>
  <w:style w:type="paragraph" w:customStyle="1" w:styleId="IntroductoryText">
    <w:name w:val="Introductory Text"/>
    <w:rsid w:val="00863040"/>
    <w:pPr>
      <w:suppressAutoHyphens/>
      <w:spacing w:after="360"/>
      <w:ind w:right="1835"/>
    </w:pPr>
    <w:rPr>
      <w:rFonts w:cs="PostGrotesk-Book"/>
      <w:color w:val="555559"/>
      <w:sz w:val="28"/>
      <w:szCs w:val="28"/>
      <w:lang w:val="en-GB" w:eastAsia="en-US"/>
    </w:rPr>
  </w:style>
  <w:style w:type="paragraph" w:customStyle="1" w:styleId="MainTitle">
    <w:name w:val="Main Title"/>
    <w:basedOn w:val="Header"/>
    <w:autoRedefine/>
    <w:qFormat/>
    <w:rsid w:val="00756BEA"/>
    <w:pPr>
      <w:tabs>
        <w:tab w:val="clear" w:pos="9026"/>
        <w:tab w:val="left" w:pos="6946"/>
      </w:tabs>
      <w:spacing w:before="240" w:after="360"/>
    </w:pPr>
    <w:rPr>
      <w:rFonts w:asciiTheme="minorHAnsi" w:hAnsiTheme="minorHAnsi" w:cs="Arial"/>
      <w:b/>
      <w:color w:val="430098"/>
      <w:sz w:val="36"/>
      <w:szCs w:val="48"/>
      <w:lang w:val="en-AU"/>
    </w:rPr>
  </w:style>
  <w:style w:type="paragraph" w:customStyle="1" w:styleId="DocSubtitle">
    <w:name w:val="Doc Subtitle"/>
    <w:basedOn w:val="Header"/>
    <w:rsid w:val="00E86019"/>
    <w:pPr>
      <w:tabs>
        <w:tab w:val="left" w:pos="6946"/>
      </w:tabs>
      <w:spacing w:after="240"/>
    </w:pPr>
    <w:rPr>
      <w:rFonts w:asciiTheme="minorHAnsi" w:hAnsiTheme="minorHAnsi" w:cs="Arial"/>
      <w:color w:val="555559"/>
      <w:sz w:val="28"/>
      <w:szCs w:val="32"/>
    </w:rPr>
  </w:style>
  <w:style w:type="table" w:customStyle="1" w:styleId="PlainTable11">
    <w:name w:val="Plain Table 11"/>
    <w:basedOn w:val="TableNormal"/>
    <w:uiPriority w:val="41"/>
    <w:rsid w:val="008B792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Heading">
    <w:name w:val="Table Heading"/>
    <w:rsid w:val="008B7923"/>
    <w:rPr>
      <w:rFonts w:cs="PostGrotesk-Book"/>
      <w:b/>
      <w:bCs/>
      <w:color w:val="55565A"/>
      <w:sz w:val="22"/>
      <w:szCs w:val="22"/>
      <w:lang w:val="en-GB" w:eastAsia="en-US"/>
    </w:rPr>
  </w:style>
  <w:style w:type="paragraph" w:customStyle="1" w:styleId="TableBody">
    <w:name w:val="Table Body"/>
    <w:rsid w:val="008B7923"/>
    <w:rPr>
      <w:bCs/>
      <w:color w:val="55565A"/>
      <w:sz w:val="22"/>
      <w:szCs w:val="22"/>
      <w:lang w:val="en-GB" w:eastAsia="en-US"/>
    </w:rPr>
  </w:style>
  <w:style w:type="paragraph" w:customStyle="1" w:styleId="FurtherInfo">
    <w:name w:val="Further Info"/>
    <w:rsid w:val="00372C3E"/>
    <w:pPr>
      <w:pBdr>
        <w:top w:val="single" w:sz="4" w:space="6" w:color="430098"/>
      </w:pBdr>
      <w:spacing w:before="480" w:after="200"/>
    </w:pPr>
    <w:rPr>
      <w:rFonts w:cs="PostGrotesk-Medium"/>
      <w:color w:val="430098"/>
      <w:sz w:val="28"/>
      <w:szCs w:val="28"/>
      <w:lang w:val="en-GB" w:eastAsia="en-US"/>
    </w:rPr>
  </w:style>
  <w:style w:type="paragraph" w:styleId="NormalWeb">
    <w:name w:val="Normal (Web)"/>
    <w:basedOn w:val="Normal"/>
    <w:uiPriority w:val="99"/>
    <w:unhideWhenUsed/>
    <w:rsid w:val="00856EDC"/>
    <w:pPr>
      <w:spacing w:before="100" w:beforeAutospacing="1" w:after="100" w:afterAutospacing="1"/>
    </w:pPr>
    <w:rPr>
      <w:rFonts w:ascii="Times New Roman" w:eastAsia="Times New Roman" w:hAnsi="Times New Roman"/>
      <w:lang w:val="en-AU"/>
    </w:rPr>
  </w:style>
  <w:style w:type="paragraph" w:styleId="Quote">
    <w:name w:val="Quote"/>
    <w:aliases w:val="Body - Italics"/>
    <w:basedOn w:val="Normal"/>
    <w:next w:val="Normal"/>
    <w:link w:val="QuoteChar"/>
    <w:uiPriority w:val="73"/>
    <w:rsid w:val="00E86019"/>
    <w:pPr>
      <w:spacing w:before="120" w:after="120" w:line="264" w:lineRule="auto"/>
    </w:pPr>
    <w:rPr>
      <w:i/>
      <w:iCs/>
      <w:color w:val="55565A"/>
      <w:sz w:val="22"/>
    </w:rPr>
  </w:style>
  <w:style w:type="character" w:customStyle="1" w:styleId="QuoteChar">
    <w:name w:val="Quote Char"/>
    <w:aliases w:val="Body - Italics Char"/>
    <w:basedOn w:val="DefaultParagraphFont"/>
    <w:link w:val="Quote"/>
    <w:uiPriority w:val="73"/>
    <w:rsid w:val="00E86019"/>
    <w:rPr>
      <w:i/>
      <w:iCs/>
      <w:color w:val="55565A"/>
      <w:sz w:val="22"/>
      <w:szCs w:val="24"/>
      <w:lang w:val="en-GB" w:eastAsia="en-US"/>
    </w:rPr>
  </w:style>
  <w:style w:type="character" w:styleId="PageNumber">
    <w:name w:val="page number"/>
    <w:basedOn w:val="DefaultParagraphFont"/>
    <w:uiPriority w:val="99"/>
    <w:semiHidden/>
    <w:unhideWhenUsed/>
    <w:rsid w:val="00406248"/>
  </w:style>
  <w:style w:type="character" w:styleId="CommentReference">
    <w:name w:val="annotation reference"/>
    <w:basedOn w:val="DefaultParagraphFont"/>
    <w:uiPriority w:val="99"/>
    <w:semiHidden/>
    <w:unhideWhenUsed/>
    <w:rsid w:val="00786837"/>
    <w:rPr>
      <w:sz w:val="16"/>
      <w:szCs w:val="16"/>
    </w:rPr>
  </w:style>
  <w:style w:type="paragraph" w:styleId="CommentText">
    <w:name w:val="annotation text"/>
    <w:basedOn w:val="Normal"/>
    <w:link w:val="CommentTextChar"/>
    <w:uiPriority w:val="99"/>
    <w:unhideWhenUsed/>
    <w:rsid w:val="00786837"/>
    <w:rPr>
      <w:sz w:val="20"/>
      <w:szCs w:val="20"/>
    </w:rPr>
  </w:style>
  <w:style w:type="character" w:customStyle="1" w:styleId="CommentTextChar">
    <w:name w:val="Comment Text Char"/>
    <w:basedOn w:val="DefaultParagraphFont"/>
    <w:link w:val="CommentText"/>
    <w:uiPriority w:val="99"/>
    <w:rsid w:val="00786837"/>
    <w:rPr>
      <w:lang w:val="en-GB" w:eastAsia="en-US"/>
    </w:rPr>
  </w:style>
  <w:style w:type="paragraph" w:styleId="FootnoteText">
    <w:name w:val="footnote text"/>
    <w:basedOn w:val="Normal"/>
    <w:link w:val="FootnoteTextChar"/>
    <w:uiPriority w:val="99"/>
    <w:semiHidden/>
    <w:unhideWhenUsed/>
    <w:rsid w:val="00786837"/>
    <w:rPr>
      <w:sz w:val="20"/>
      <w:szCs w:val="20"/>
    </w:rPr>
  </w:style>
  <w:style w:type="character" w:customStyle="1" w:styleId="FootnoteTextChar">
    <w:name w:val="Footnote Text Char"/>
    <w:basedOn w:val="DefaultParagraphFont"/>
    <w:link w:val="FootnoteText"/>
    <w:uiPriority w:val="99"/>
    <w:semiHidden/>
    <w:rsid w:val="00786837"/>
    <w:rPr>
      <w:lang w:val="en-GB" w:eastAsia="en-US"/>
    </w:rPr>
  </w:style>
  <w:style w:type="character" w:styleId="FootnoteReference">
    <w:name w:val="footnote reference"/>
    <w:basedOn w:val="DefaultParagraphFont"/>
    <w:uiPriority w:val="99"/>
    <w:semiHidden/>
    <w:unhideWhenUsed/>
    <w:rsid w:val="00786837"/>
    <w:rPr>
      <w:vertAlign w:val="superscript"/>
    </w:rPr>
  </w:style>
  <w:style w:type="paragraph" w:styleId="BalloonText">
    <w:name w:val="Balloon Text"/>
    <w:basedOn w:val="Normal"/>
    <w:link w:val="BalloonTextChar"/>
    <w:uiPriority w:val="99"/>
    <w:semiHidden/>
    <w:unhideWhenUsed/>
    <w:rsid w:val="0078683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86837"/>
    <w:rPr>
      <w:rFonts w:ascii="Times New Roman" w:hAnsi="Times New Roman"/>
      <w:sz w:val="18"/>
      <w:szCs w:val="18"/>
      <w:lang w:val="en-GB" w:eastAsia="en-US"/>
    </w:rPr>
  </w:style>
  <w:style w:type="paragraph" w:styleId="CommentSubject">
    <w:name w:val="annotation subject"/>
    <w:basedOn w:val="CommentText"/>
    <w:next w:val="CommentText"/>
    <w:link w:val="CommentSubjectChar"/>
    <w:uiPriority w:val="99"/>
    <w:semiHidden/>
    <w:unhideWhenUsed/>
    <w:rsid w:val="00854716"/>
    <w:rPr>
      <w:b/>
      <w:bCs/>
    </w:rPr>
  </w:style>
  <w:style w:type="character" w:customStyle="1" w:styleId="CommentSubjectChar">
    <w:name w:val="Comment Subject Char"/>
    <w:basedOn w:val="CommentTextChar"/>
    <w:link w:val="CommentSubject"/>
    <w:uiPriority w:val="99"/>
    <w:semiHidden/>
    <w:rsid w:val="00854716"/>
    <w:rPr>
      <w:b/>
      <w:bCs/>
      <w:lang w:val="en-GB" w:eastAsia="en-US"/>
    </w:rPr>
  </w:style>
  <w:style w:type="paragraph" w:styleId="Revision">
    <w:name w:val="Revision"/>
    <w:hidden/>
    <w:uiPriority w:val="71"/>
    <w:semiHidden/>
    <w:rsid w:val="000E4EA8"/>
    <w:rPr>
      <w:sz w:val="24"/>
      <w:szCs w:val="24"/>
      <w:lang w:val="en-GB" w:eastAsia="en-US"/>
    </w:rPr>
  </w:style>
  <w:style w:type="paragraph" w:customStyle="1" w:styleId="Casestudy">
    <w:name w:val="Case study"/>
    <w:basedOn w:val="Introduction"/>
    <w:qFormat/>
    <w:rsid w:val="005B1D42"/>
    <w:pPr>
      <w:widowControl w:val="0"/>
      <w:pBdr>
        <w:left w:val="single" w:sz="4" w:space="4" w:color="auto"/>
      </w:pBdr>
      <w:shd w:val="clear" w:color="auto" w:fill="F5F5F5"/>
      <w:autoSpaceDE w:val="0"/>
      <w:autoSpaceDN w:val="0"/>
      <w:adjustRightInd w:val="0"/>
      <w:spacing w:before="120" w:after="200" w:line="276" w:lineRule="auto"/>
      <w:ind w:left="714" w:right="714"/>
      <w:textAlignment w:val="center"/>
    </w:pPr>
    <w:rPr>
      <w:rFonts w:cs="National-Book"/>
      <w:color w:val="000000"/>
      <w:sz w:val="22"/>
      <w:szCs w:val="22"/>
      <w:lang w:val="en-AU"/>
    </w:rPr>
  </w:style>
  <w:style w:type="paragraph" w:styleId="EndnoteText">
    <w:name w:val="endnote text"/>
    <w:basedOn w:val="Normal"/>
    <w:link w:val="EndnoteTextChar"/>
    <w:uiPriority w:val="99"/>
    <w:semiHidden/>
    <w:unhideWhenUsed/>
    <w:rsid w:val="00E54A51"/>
    <w:rPr>
      <w:sz w:val="20"/>
      <w:szCs w:val="20"/>
    </w:rPr>
  </w:style>
  <w:style w:type="character" w:customStyle="1" w:styleId="EndnoteTextChar">
    <w:name w:val="Endnote Text Char"/>
    <w:basedOn w:val="DefaultParagraphFont"/>
    <w:link w:val="EndnoteText"/>
    <w:uiPriority w:val="99"/>
    <w:semiHidden/>
    <w:rsid w:val="00E54A51"/>
    <w:rPr>
      <w:lang w:val="en-GB" w:eastAsia="en-US"/>
    </w:rPr>
  </w:style>
  <w:style w:type="character" w:styleId="EndnoteReference">
    <w:name w:val="endnote reference"/>
    <w:basedOn w:val="DefaultParagraphFont"/>
    <w:uiPriority w:val="99"/>
    <w:semiHidden/>
    <w:unhideWhenUsed/>
    <w:rsid w:val="00E54A51"/>
    <w:rPr>
      <w:vertAlign w:val="superscript"/>
    </w:rPr>
  </w:style>
  <w:style w:type="paragraph" w:customStyle="1" w:styleId="Endnote">
    <w:name w:val="Endnote"/>
    <w:basedOn w:val="EndnoteText"/>
    <w:qFormat/>
    <w:rsid w:val="00DD0EA8"/>
    <w:rPr>
      <w:color w:val="000000" w:themeColor="text1"/>
      <w:sz w:val="16"/>
      <w:szCs w:val="16"/>
      <w:lang w:val="en-AU"/>
    </w:rPr>
  </w:style>
  <w:style w:type="character" w:styleId="Hyperlink">
    <w:name w:val="Hyperlink"/>
    <w:basedOn w:val="DefaultParagraphFont"/>
    <w:uiPriority w:val="99"/>
    <w:unhideWhenUsed/>
    <w:rsid w:val="005B1D42"/>
    <w:rPr>
      <w:color w:val="430098"/>
      <w:u w:val="single"/>
    </w:rPr>
  </w:style>
  <w:style w:type="paragraph" w:styleId="TOC1">
    <w:name w:val="toc 1"/>
    <w:basedOn w:val="Normal"/>
    <w:next w:val="Normal"/>
    <w:autoRedefine/>
    <w:uiPriority w:val="39"/>
    <w:unhideWhenUsed/>
    <w:rsid w:val="00533CAC"/>
    <w:pPr>
      <w:tabs>
        <w:tab w:val="right" w:leader="dot" w:pos="9622"/>
      </w:tabs>
      <w:spacing w:before="120" w:after="200"/>
    </w:pPr>
    <w:rPr>
      <w:b/>
      <w:bCs/>
      <w:noProof/>
    </w:rPr>
  </w:style>
  <w:style w:type="paragraph" w:styleId="TOC2">
    <w:name w:val="toc 2"/>
    <w:basedOn w:val="Normal"/>
    <w:next w:val="Normal"/>
    <w:autoRedefine/>
    <w:uiPriority w:val="39"/>
    <w:unhideWhenUsed/>
    <w:rsid w:val="00533CAC"/>
    <w:pPr>
      <w:tabs>
        <w:tab w:val="right" w:leader="dot" w:pos="9622"/>
      </w:tabs>
      <w:spacing w:after="100"/>
      <w:ind w:left="240"/>
    </w:pPr>
    <w:rPr>
      <w:i/>
      <w:iCs/>
      <w:noProof/>
    </w:rPr>
  </w:style>
  <w:style w:type="paragraph" w:customStyle="1" w:styleId="Heading-3">
    <w:name w:val="Heading-3"/>
    <w:basedOn w:val="Body"/>
    <w:qFormat/>
    <w:rsid w:val="00533CAC"/>
    <w:rPr>
      <w:b/>
      <w:bCs/>
    </w:rPr>
  </w:style>
  <w:style w:type="character" w:customStyle="1" w:styleId="Heading2Char">
    <w:name w:val="Heading 2 Char"/>
    <w:basedOn w:val="DefaultParagraphFont"/>
    <w:link w:val="Heading2"/>
    <w:uiPriority w:val="9"/>
    <w:rsid w:val="00705D43"/>
    <w:rPr>
      <w:rFonts w:ascii="Times New Roman" w:eastAsia="Times New Roman" w:hAnsi="Times New Roman"/>
      <w:b/>
      <w:bCs/>
      <w:sz w:val="36"/>
      <w:szCs w:val="36"/>
      <w:lang w:eastAsia="en-GB"/>
    </w:rPr>
  </w:style>
  <w:style w:type="character" w:customStyle="1" w:styleId="Heading4Char">
    <w:name w:val="Heading 4 Char"/>
    <w:basedOn w:val="DefaultParagraphFont"/>
    <w:link w:val="Heading4"/>
    <w:uiPriority w:val="9"/>
    <w:rsid w:val="00705D43"/>
    <w:rPr>
      <w:rFonts w:ascii="Times New Roman" w:eastAsia="Times New Roman" w:hAnsi="Times New Roman"/>
      <w:b/>
      <w:bCs/>
      <w:sz w:val="24"/>
      <w:szCs w:val="24"/>
      <w:lang w:eastAsia="en-GB"/>
    </w:rPr>
  </w:style>
  <w:style w:type="character" w:styleId="Strong">
    <w:name w:val="Strong"/>
    <w:basedOn w:val="DefaultParagraphFont"/>
    <w:uiPriority w:val="22"/>
    <w:qFormat/>
    <w:rsid w:val="00705D43"/>
    <w:rPr>
      <w:b/>
      <w:bCs/>
    </w:rPr>
  </w:style>
  <w:style w:type="character" w:styleId="Emphasis">
    <w:name w:val="Emphasis"/>
    <w:basedOn w:val="DefaultParagraphFont"/>
    <w:uiPriority w:val="20"/>
    <w:qFormat/>
    <w:rsid w:val="00705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132175">
      <w:bodyDiv w:val="1"/>
      <w:marLeft w:val="0"/>
      <w:marRight w:val="0"/>
      <w:marTop w:val="0"/>
      <w:marBottom w:val="0"/>
      <w:divBdr>
        <w:top w:val="none" w:sz="0" w:space="0" w:color="auto"/>
        <w:left w:val="none" w:sz="0" w:space="0" w:color="auto"/>
        <w:bottom w:val="none" w:sz="0" w:space="0" w:color="auto"/>
        <w:right w:val="none" w:sz="0" w:space="0" w:color="auto"/>
      </w:divBdr>
      <w:divsChild>
        <w:div w:id="1940601771">
          <w:marLeft w:val="0"/>
          <w:marRight w:val="0"/>
          <w:marTop w:val="0"/>
          <w:marBottom w:val="0"/>
          <w:divBdr>
            <w:top w:val="none" w:sz="0" w:space="0" w:color="auto"/>
            <w:left w:val="none" w:sz="0" w:space="0" w:color="auto"/>
            <w:bottom w:val="none" w:sz="0" w:space="0" w:color="auto"/>
            <w:right w:val="none" w:sz="0" w:space="0" w:color="auto"/>
          </w:divBdr>
          <w:divsChild>
            <w:div w:id="1266306647">
              <w:marLeft w:val="0"/>
              <w:marRight w:val="0"/>
              <w:marTop w:val="0"/>
              <w:marBottom w:val="0"/>
              <w:divBdr>
                <w:top w:val="none" w:sz="0" w:space="0" w:color="auto"/>
                <w:left w:val="none" w:sz="0" w:space="0" w:color="auto"/>
                <w:bottom w:val="none" w:sz="0" w:space="0" w:color="auto"/>
                <w:right w:val="none" w:sz="0" w:space="0" w:color="auto"/>
              </w:divBdr>
              <w:divsChild>
                <w:div w:id="1400902869">
                  <w:marLeft w:val="0"/>
                  <w:marRight w:val="0"/>
                  <w:marTop w:val="0"/>
                  <w:marBottom w:val="0"/>
                  <w:divBdr>
                    <w:top w:val="none" w:sz="0" w:space="0" w:color="auto"/>
                    <w:left w:val="none" w:sz="0" w:space="0" w:color="auto"/>
                    <w:bottom w:val="none" w:sz="0" w:space="0" w:color="auto"/>
                    <w:right w:val="none" w:sz="0" w:space="0" w:color="auto"/>
                  </w:divBdr>
                  <w:divsChild>
                    <w:div w:id="611523264">
                      <w:marLeft w:val="0"/>
                      <w:marRight w:val="0"/>
                      <w:marTop w:val="0"/>
                      <w:marBottom w:val="0"/>
                      <w:divBdr>
                        <w:top w:val="none" w:sz="0" w:space="0" w:color="auto"/>
                        <w:left w:val="none" w:sz="0" w:space="0" w:color="auto"/>
                        <w:bottom w:val="none" w:sz="0" w:space="0" w:color="auto"/>
                        <w:right w:val="none" w:sz="0" w:space="0" w:color="auto"/>
                      </w:divBdr>
                      <w:divsChild>
                        <w:div w:id="1565140942">
                          <w:marLeft w:val="0"/>
                          <w:marRight w:val="0"/>
                          <w:marTop w:val="0"/>
                          <w:marBottom w:val="0"/>
                          <w:divBdr>
                            <w:top w:val="none" w:sz="0" w:space="0" w:color="auto"/>
                            <w:left w:val="none" w:sz="0" w:space="0" w:color="auto"/>
                            <w:bottom w:val="none" w:sz="0" w:space="0" w:color="auto"/>
                            <w:right w:val="none" w:sz="0" w:space="0" w:color="auto"/>
                          </w:divBdr>
                          <w:divsChild>
                            <w:div w:id="1858344150">
                              <w:marLeft w:val="0"/>
                              <w:marRight w:val="0"/>
                              <w:marTop w:val="0"/>
                              <w:marBottom w:val="0"/>
                              <w:divBdr>
                                <w:top w:val="none" w:sz="0" w:space="0" w:color="auto"/>
                                <w:left w:val="none" w:sz="0" w:space="0" w:color="auto"/>
                                <w:bottom w:val="none" w:sz="0" w:space="0" w:color="auto"/>
                                <w:right w:val="none" w:sz="0" w:space="0" w:color="auto"/>
                              </w:divBdr>
                              <w:divsChild>
                                <w:div w:id="285284293">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916861">
          <w:marLeft w:val="0"/>
          <w:marRight w:val="0"/>
          <w:marTop w:val="0"/>
          <w:marBottom w:val="0"/>
          <w:divBdr>
            <w:top w:val="none" w:sz="0" w:space="0" w:color="auto"/>
            <w:left w:val="none" w:sz="0" w:space="0" w:color="auto"/>
            <w:bottom w:val="none" w:sz="0" w:space="0" w:color="auto"/>
            <w:right w:val="none" w:sz="0" w:space="0" w:color="auto"/>
          </w:divBdr>
        </w:div>
      </w:divsChild>
    </w:div>
    <w:div w:id="2124497577">
      <w:bodyDiv w:val="1"/>
      <w:marLeft w:val="0"/>
      <w:marRight w:val="0"/>
      <w:marTop w:val="0"/>
      <w:marBottom w:val="0"/>
      <w:divBdr>
        <w:top w:val="none" w:sz="0" w:space="0" w:color="auto"/>
        <w:left w:val="none" w:sz="0" w:space="0" w:color="auto"/>
        <w:bottom w:val="none" w:sz="0" w:space="0" w:color="auto"/>
        <w:right w:val="none" w:sz="0" w:space="0" w:color="auto"/>
      </w:divBdr>
      <w:divsChild>
        <w:div w:id="659889901">
          <w:marLeft w:val="0"/>
          <w:marRight w:val="0"/>
          <w:marTop w:val="0"/>
          <w:marBottom w:val="0"/>
          <w:divBdr>
            <w:top w:val="none" w:sz="0" w:space="0" w:color="auto"/>
            <w:left w:val="none" w:sz="0" w:space="0" w:color="auto"/>
            <w:bottom w:val="none" w:sz="0" w:space="0" w:color="auto"/>
            <w:right w:val="none" w:sz="0" w:space="0" w:color="auto"/>
          </w:divBdr>
          <w:divsChild>
            <w:div w:id="1482698843">
              <w:marLeft w:val="0"/>
              <w:marRight w:val="0"/>
              <w:marTop w:val="0"/>
              <w:marBottom w:val="0"/>
              <w:divBdr>
                <w:top w:val="none" w:sz="0" w:space="0" w:color="auto"/>
                <w:left w:val="none" w:sz="0" w:space="0" w:color="auto"/>
                <w:bottom w:val="none" w:sz="0" w:space="0" w:color="auto"/>
                <w:right w:val="none" w:sz="0" w:space="0" w:color="auto"/>
              </w:divBdr>
              <w:divsChild>
                <w:div w:id="14412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ic.vic.gov.au/privacy/guidelines-to-the-information-privacy-princip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vic.vic.gov.au/resource/identifying-realistic-outcomes-in-privacy-complai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bertram/Desktop/Privacy%20resources/2.%20Template%20-%20Short%20Resou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A576B-DC39-0C48-A81E-05035850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Template - Short Resource.dotx</Template>
  <TotalTime>0</TotalTime>
  <Pages>5</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2019-07-23T01:36:00Z</cp:lastPrinted>
  <dcterms:created xsi:type="dcterms:W3CDTF">2021-04-24T22:56:00Z</dcterms:created>
  <dcterms:modified xsi:type="dcterms:W3CDTF">2021-04-24T23:31:00Z</dcterms:modified>
</cp:coreProperties>
</file>