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5E601" w14:textId="5E1C989E" w:rsidR="0034513D" w:rsidRPr="000E16EB" w:rsidRDefault="00602A0C" w:rsidP="00602A0C">
      <w:pPr>
        <w:pStyle w:val="MainTitle"/>
        <w:spacing w:before="240" w:after="360"/>
      </w:pPr>
      <w:r w:rsidRPr="000E16EB">
        <w:rPr>
          <w:sz w:val="40"/>
          <w:szCs w:val="52"/>
        </w:rPr>
        <w:t>PRIVACY</w:t>
      </w:r>
      <w:r w:rsidRPr="000E16EB">
        <w:t xml:space="preserve"> MANAGEMENT FRAMEWORK</w:t>
      </w:r>
    </w:p>
    <w:p w14:paraId="787F939B" w14:textId="4721D449" w:rsidR="00203B12" w:rsidRPr="00602A0C" w:rsidRDefault="00602A0C" w:rsidP="00602A0C">
      <w:pPr>
        <w:pStyle w:val="Heading-1"/>
      </w:pPr>
      <w:r w:rsidRPr="00602A0C">
        <w:t>INTRODUCTION</w:t>
      </w:r>
    </w:p>
    <w:p w14:paraId="705695A1" w14:textId="77777777" w:rsidR="007533AD" w:rsidRPr="000E16EB" w:rsidRDefault="007533AD" w:rsidP="007533AD">
      <w:pPr>
        <w:pStyle w:val="Body"/>
        <w:rPr>
          <w:lang w:val="en-AU"/>
        </w:rPr>
      </w:pPr>
      <w:r w:rsidRPr="000E16EB">
        <w:rPr>
          <w:lang w:val="en-AU"/>
        </w:rPr>
        <w:t>There are 10 Information Privacy Principles (</w:t>
      </w:r>
      <w:r w:rsidRPr="000E16EB">
        <w:rPr>
          <w:b/>
          <w:bCs/>
          <w:lang w:val="en-AU"/>
        </w:rPr>
        <w:t>IPPs</w:t>
      </w:r>
      <w:r w:rsidRPr="000E16EB">
        <w:rPr>
          <w:lang w:val="en-AU"/>
        </w:rPr>
        <w:t xml:space="preserve">) in the </w:t>
      </w:r>
      <w:r w:rsidRPr="000E16EB">
        <w:rPr>
          <w:i/>
          <w:iCs/>
          <w:lang w:val="en-AU"/>
        </w:rPr>
        <w:t>Privacy and Data Protection Act 2014</w:t>
      </w:r>
      <w:r w:rsidRPr="000E16EB">
        <w:rPr>
          <w:lang w:val="en-AU"/>
        </w:rPr>
        <w:t xml:space="preserve"> (</w:t>
      </w:r>
      <w:r w:rsidRPr="000E16EB">
        <w:rPr>
          <w:b/>
          <w:bCs/>
          <w:lang w:val="en-AU"/>
        </w:rPr>
        <w:t>PDP Act</w:t>
      </w:r>
      <w:r w:rsidRPr="000E16EB">
        <w:rPr>
          <w:lang w:val="en-AU"/>
        </w:rPr>
        <w:t xml:space="preserve">) that set out the minimum standards and practices for handling personal information in the Victorian public sector. </w:t>
      </w:r>
    </w:p>
    <w:p w14:paraId="179E9FAC" w14:textId="0B737585" w:rsidR="0017157F" w:rsidRPr="000E16EB" w:rsidRDefault="0017157F" w:rsidP="00D2015D">
      <w:pPr>
        <w:pStyle w:val="Body"/>
        <w:rPr>
          <w:lang w:val="en-AU"/>
        </w:rPr>
      </w:pPr>
      <w:r w:rsidRPr="000E16EB">
        <w:rPr>
          <w:lang w:val="en-AU"/>
        </w:rPr>
        <w:t xml:space="preserve">Section 20 of the PDP Act states that an organisation must not do an act, or engage in a practice, that contravenes an IPP. </w:t>
      </w:r>
      <w:r w:rsidR="007533AD" w:rsidRPr="000E16EB">
        <w:rPr>
          <w:lang w:val="en-AU"/>
        </w:rPr>
        <w:t>I</w:t>
      </w:r>
      <w:r w:rsidRPr="000E16EB">
        <w:rPr>
          <w:lang w:val="en-AU"/>
        </w:rPr>
        <w:t xml:space="preserve">t is the responsibility of all Victorian public sector organisations to implement appropriate measures </w:t>
      </w:r>
      <w:r w:rsidR="007533AD" w:rsidRPr="000E16EB">
        <w:rPr>
          <w:lang w:val="en-AU"/>
        </w:rPr>
        <w:t>to</w:t>
      </w:r>
      <w:r w:rsidRPr="000E16EB">
        <w:rPr>
          <w:lang w:val="en-AU"/>
        </w:rPr>
        <w:t xml:space="preserve"> meet the requirements of the IPPs. </w:t>
      </w:r>
    </w:p>
    <w:p w14:paraId="4CBCC75F" w14:textId="1C9BD9F4" w:rsidR="004F1DA5" w:rsidRPr="000E16EB" w:rsidRDefault="00015932" w:rsidP="00015932">
      <w:pPr>
        <w:pStyle w:val="Body"/>
        <w:rPr>
          <w:lang w:val="en-AU"/>
        </w:rPr>
      </w:pPr>
      <w:r w:rsidRPr="000E16EB">
        <w:rPr>
          <w:lang w:val="en-AU"/>
        </w:rPr>
        <w:t xml:space="preserve">The measures an organisation implements will depend on a variety of factors, including the size of the organisation, its functions, the types of information it collects, and its </w:t>
      </w:r>
      <w:r w:rsidR="0017714A" w:rsidRPr="000E16EB">
        <w:rPr>
          <w:lang w:val="en-AU"/>
        </w:rPr>
        <w:t>relationship</w:t>
      </w:r>
      <w:r w:rsidRPr="000E16EB">
        <w:rPr>
          <w:lang w:val="en-AU"/>
        </w:rPr>
        <w:t xml:space="preserve"> with the public.</w:t>
      </w:r>
    </w:p>
    <w:p w14:paraId="1B9506BA" w14:textId="644509D6" w:rsidR="002672C4" w:rsidRPr="000E16EB" w:rsidRDefault="00602A0C" w:rsidP="00602A0C">
      <w:pPr>
        <w:pStyle w:val="Heading-1"/>
      </w:pPr>
      <w:r w:rsidRPr="000E16EB">
        <w:t>PURPOSE</w:t>
      </w:r>
    </w:p>
    <w:p w14:paraId="5710418A" w14:textId="714A404D" w:rsidR="00DE1E76" w:rsidRPr="000E16EB" w:rsidRDefault="004A4E61" w:rsidP="00DE1E76">
      <w:pPr>
        <w:pStyle w:val="Body"/>
        <w:rPr>
          <w:lang w:val="en-AU"/>
        </w:rPr>
      </w:pPr>
      <w:r w:rsidRPr="000E16EB">
        <w:rPr>
          <w:lang w:val="en-AU"/>
        </w:rPr>
        <w:t>T</w:t>
      </w:r>
      <w:r w:rsidR="002B7C87" w:rsidRPr="000E16EB">
        <w:rPr>
          <w:lang w:val="en-AU"/>
        </w:rPr>
        <w:t>his</w:t>
      </w:r>
      <w:r w:rsidR="00BE64CC" w:rsidRPr="000E16EB">
        <w:rPr>
          <w:lang w:val="en-AU"/>
        </w:rPr>
        <w:t xml:space="preserve"> </w:t>
      </w:r>
      <w:r w:rsidR="00AA572F" w:rsidRPr="000E16EB">
        <w:rPr>
          <w:lang w:val="en-AU"/>
        </w:rPr>
        <w:t>Privacy Management Framework (</w:t>
      </w:r>
      <w:r w:rsidR="00AA572F" w:rsidRPr="000E16EB">
        <w:rPr>
          <w:b/>
          <w:bCs/>
          <w:lang w:val="en-AU"/>
        </w:rPr>
        <w:t>F</w:t>
      </w:r>
      <w:r w:rsidR="00BE64CC" w:rsidRPr="000E16EB">
        <w:rPr>
          <w:b/>
          <w:bCs/>
          <w:lang w:val="en-AU"/>
        </w:rPr>
        <w:t>ramework</w:t>
      </w:r>
      <w:r w:rsidR="00AA572F" w:rsidRPr="000E16EB">
        <w:rPr>
          <w:lang w:val="en-AU"/>
        </w:rPr>
        <w:t>)</w:t>
      </w:r>
      <w:r w:rsidR="002B7C87" w:rsidRPr="000E16EB">
        <w:rPr>
          <w:lang w:val="en-AU"/>
        </w:rPr>
        <w:t xml:space="preserve"> </w:t>
      </w:r>
      <w:r w:rsidR="00D42960" w:rsidRPr="000E16EB">
        <w:rPr>
          <w:lang w:val="en-AU"/>
        </w:rPr>
        <w:t xml:space="preserve">is intended to provide </w:t>
      </w:r>
      <w:r w:rsidR="00BE64CC" w:rsidRPr="000E16EB">
        <w:rPr>
          <w:lang w:val="en-AU"/>
        </w:rPr>
        <w:t xml:space="preserve">organisations </w:t>
      </w:r>
      <w:r w:rsidR="00D42960" w:rsidRPr="000E16EB">
        <w:rPr>
          <w:lang w:val="en-AU"/>
        </w:rPr>
        <w:t>with guidance on the policies and procedures that promote good privacy practice</w:t>
      </w:r>
      <w:r w:rsidR="002B7C87" w:rsidRPr="000E16EB">
        <w:rPr>
          <w:lang w:val="en-AU"/>
        </w:rPr>
        <w:t>s</w:t>
      </w:r>
      <w:r w:rsidR="00DF32E2" w:rsidRPr="000E16EB">
        <w:rPr>
          <w:lang w:val="en-AU"/>
        </w:rPr>
        <w:t xml:space="preserve"> within an organisation</w:t>
      </w:r>
      <w:r w:rsidR="00BE64CC" w:rsidRPr="000E16EB">
        <w:rPr>
          <w:lang w:val="en-AU"/>
        </w:rPr>
        <w:t>.</w:t>
      </w:r>
      <w:r w:rsidR="00252B02" w:rsidRPr="000E16EB">
        <w:rPr>
          <w:lang w:val="en-AU"/>
        </w:rPr>
        <w:t xml:space="preserve"> </w:t>
      </w:r>
      <w:r w:rsidR="002B7C87" w:rsidRPr="000E16EB">
        <w:rPr>
          <w:lang w:val="en-AU"/>
        </w:rPr>
        <w:t xml:space="preserve">The </w:t>
      </w:r>
      <w:r w:rsidR="00AA572F" w:rsidRPr="000E16EB">
        <w:rPr>
          <w:lang w:val="en-AU"/>
        </w:rPr>
        <w:t>F</w:t>
      </w:r>
      <w:r w:rsidR="002B7C87" w:rsidRPr="000E16EB">
        <w:rPr>
          <w:lang w:val="en-AU"/>
        </w:rPr>
        <w:t>ramework</w:t>
      </w:r>
      <w:r w:rsidR="00AC11DA" w:rsidRPr="000E16EB">
        <w:rPr>
          <w:lang w:val="en-AU"/>
        </w:rPr>
        <w:t xml:space="preserve"> encourages holistic information and privacy management by interconnecting a wide range of policies and information management tools. </w:t>
      </w:r>
    </w:p>
    <w:p w14:paraId="714FBA6A" w14:textId="7CAA41FF" w:rsidR="00AC11DA" w:rsidRPr="000E16EB" w:rsidRDefault="00C524D3" w:rsidP="00DE1E76">
      <w:pPr>
        <w:pStyle w:val="Body"/>
        <w:rPr>
          <w:lang w:val="en-AU"/>
        </w:rPr>
      </w:pPr>
      <w:r w:rsidRPr="000E16EB">
        <w:rPr>
          <w:lang w:val="en-AU"/>
        </w:rPr>
        <w:t>Implementing the measures outlined in th</w:t>
      </w:r>
      <w:r w:rsidR="002B7C87" w:rsidRPr="000E16EB">
        <w:rPr>
          <w:lang w:val="en-AU"/>
        </w:rPr>
        <w:t xml:space="preserve">is </w:t>
      </w:r>
      <w:r w:rsidR="00AA572F" w:rsidRPr="000E16EB">
        <w:rPr>
          <w:lang w:val="en-AU"/>
        </w:rPr>
        <w:t>F</w:t>
      </w:r>
      <w:r w:rsidRPr="000E16EB">
        <w:rPr>
          <w:lang w:val="en-AU"/>
        </w:rPr>
        <w:t xml:space="preserve">ramework will enable an organisation to be </w:t>
      </w:r>
      <w:r w:rsidR="00DE1E76" w:rsidRPr="000E16EB">
        <w:rPr>
          <w:lang w:val="en-AU"/>
        </w:rPr>
        <w:t xml:space="preserve">accountable for </w:t>
      </w:r>
      <w:r w:rsidRPr="000E16EB">
        <w:rPr>
          <w:lang w:val="en-AU"/>
        </w:rPr>
        <w:t xml:space="preserve">its </w:t>
      </w:r>
      <w:r w:rsidR="00DE1E76" w:rsidRPr="000E16EB">
        <w:rPr>
          <w:lang w:val="en-AU"/>
        </w:rPr>
        <w:t>information handling practices</w:t>
      </w:r>
      <w:r w:rsidR="002B7C87" w:rsidRPr="000E16EB">
        <w:rPr>
          <w:lang w:val="en-AU"/>
        </w:rPr>
        <w:t>, and convey to the public that it values and respects the privacy rights of individuals</w:t>
      </w:r>
      <w:r w:rsidR="00351B69" w:rsidRPr="000E16EB">
        <w:rPr>
          <w:lang w:val="en-AU"/>
        </w:rPr>
        <w:t>.</w:t>
      </w:r>
      <w:r w:rsidR="00D44BD9" w:rsidRPr="000E16EB">
        <w:rPr>
          <w:lang w:val="en-AU"/>
        </w:rPr>
        <w:t xml:space="preserve"> </w:t>
      </w:r>
      <w:r w:rsidR="007533AD" w:rsidRPr="000E16EB">
        <w:rPr>
          <w:lang w:val="en-AU"/>
        </w:rPr>
        <w:t>The Framework will assist a</w:t>
      </w:r>
      <w:r w:rsidR="00AC11DA" w:rsidRPr="000E16EB">
        <w:rPr>
          <w:lang w:val="en-AU"/>
        </w:rPr>
        <w:t>n organisation</w:t>
      </w:r>
      <w:r w:rsidR="007533AD" w:rsidRPr="000E16EB">
        <w:rPr>
          <w:lang w:val="en-AU"/>
        </w:rPr>
        <w:t xml:space="preserve"> </w:t>
      </w:r>
      <w:r w:rsidR="00AC11DA" w:rsidRPr="000E16EB">
        <w:rPr>
          <w:lang w:val="en-AU"/>
        </w:rPr>
        <w:t>to demonstrate the steps it has taken to comply with the IPPs</w:t>
      </w:r>
      <w:r w:rsidR="002B7C87" w:rsidRPr="000E16EB">
        <w:rPr>
          <w:lang w:val="en-AU"/>
        </w:rPr>
        <w:t xml:space="preserve"> and section 20 of the PDP Act,</w:t>
      </w:r>
      <w:r w:rsidR="00AC11DA" w:rsidRPr="000E16EB">
        <w:rPr>
          <w:lang w:val="en-AU"/>
        </w:rPr>
        <w:t xml:space="preserve"> </w:t>
      </w:r>
      <w:r w:rsidR="007533AD" w:rsidRPr="000E16EB">
        <w:rPr>
          <w:lang w:val="en-AU"/>
        </w:rPr>
        <w:t xml:space="preserve">and </w:t>
      </w:r>
      <w:r w:rsidR="00AC11DA" w:rsidRPr="000E16EB">
        <w:rPr>
          <w:lang w:val="en-AU"/>
        </w:rPr>
        <w:t xml:space="preserve">entrench a culture of privacy across the organisation. </w:t>
      </w:r>
    </w:p>
    <w:p w14:paraId="59453207" w14:textId="3C63E737" w:rsidR="00BE64CC" w:rsidRPr="000E16EB" w:rsidRDefault="00BE64CC" w:rsidP="004F1DA5">
      <w:pPr>
        <w:pStyle w:val="Body"/>
        <w:spacing w:after="240"/>
        <w:rPr>
          <w:lang w:val="en-AU"/>
        </w:rPr>
      </w:pPr>
      <w:r w:rsidRPr="000E16EB">
        <w:rPr>
          <w:lang w:val="en-AU"/>
        </w:rPr>
        <w:t xml:space="preserve">This </w:t>
      </w:r>
      <w:r w:rsidR="00AA572F" w:rsidRPr="000E16EB">
        <w:rPr>
          <w:lang w:val="en-AU"/>
        </w:rPr>
        <w:t>F</w:t>
      </w:r>
      <w:r w:rsidRPr="000E16EB">
        <w:rPr>
          <w:lang w:val="en-AU"/>
        </w:rPr>
        <w:t xml:space="preserve">ramework is divided into </w:t>
      </w:r>
      <w:r w:rsidR="00833198" w:rsidRPr="000E16EB">
        <w:rPr>
          <w:lang w:val="en-AU"/>
        </w:rPr>
        <w:t>three</w:t>
      </w:r>
      <w:r w:rsidRPr="000E16EB">
        <w:rPr>
          <w:lang w:val="en-AU"/>
        </w:rPr>
        <w:t xml:space="preserve"> parts: </w:t>
      </w:r>
    </w:p>
    <w:p w14:paraId="48346CC5" w14:textId="1E3D9830" w:rsidR="00DE7E58" w:rsidRPr="000E16EB" w:rsidRDefault="00DE7E58" w:rsidP="00646731">
      <w:pPr>
        <w:pStyle w:val="Body"/>
        <w:rPr>
          <w:lang w:val="en-AU"/>
        </w:rPr>
      </w:pPr>
      <w:r w:rsidRPr="000E16EB">
        <w:rPr>
          <w:noProof/>
          <w:lang w:val="en-AU"/>
        </w:rPr>
        <w:drawing>
          <wp:inline distT="0" distB="0" distL="0" distR="0" wp14:anchorId="3C041C04" wp14:editId="16AE2262">
            <wp:extent cx="6112860" cy="14400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vacy-compliance-fw-visu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86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A4F6E" w14:textId="16E6A7F5" w:rsidR="008B415E" w:rsidRPr="000E16EB" w:rsidRDefault="004F1DA5" w:rsidP="00646731">
      <w:pPr>
        <w:pStyle w:val="Body"/>
        <w:rPr>
          <w:lang w:val="en-AU"/>
        </w:rPr>
      </w:pPr>
      <w:r w:rsidRPr="000E16EB">
        <w:rPr>
          <w:lang w:val="en-AU"/>
        </w:rPr>
        <w:t>T</w:t>
      </w:r>
      <w:r w:rsidR="00646731" w:rsidRPr="000E16EB">
        <w:rPr>
          <w:lang w:val="en-AU"/>
        </w:rPr>
        <w:t>he Framework</w:t>
      </w:r>
      <w:r w:rsidR="004712DB" w:rsidRPr="000E16EB">
        <w:rPr>
          <w:lang w:val="en-AU"/>
        </w:rPr>
        <w:t xml:space="preserve"> include</w:t>
      </w:r>
      <w:r w:rsidR="00A7579E" w:rsidRPr="000E16EB">
        <w:rPr>
          <w:lang w:val="en-AU"/>
        </w:rPr>
        <w:t>s</w:t>
      </w:r>
      <w:r w:rsidR="004712DB" w:rsidRPr="000E16EB">
        <w:rPr>
          <w:lang w:val="en-AU"/>
        </w:rPr>
        <w:t xml:space="preserve"> links to resources</w:t>
      </w:r>
      <w:r w:rsidR="00AA572F" w:rsidRPr="000E16EB">
        <w:rPr>
          <w:lang w:val="en-AU"/>
        </w:rPr>
        <w:t>, guides and templates</w:t>
      </w:r>
      <w:r w:rsidR="004712DB" w:rsidRPr="000E16EB">
        <w:rPr>
          <w:lang w:val="en-AU"/>
        </w:rPr>
        <w:t xml:space="preserve"> </w:t>
      </w:r>
      <w:r w:rsidR="00646731" w:rsidRPr="000E16EB">
        <w:rPr>
          <w:lang w:val="en-AU"/>
        </w:rPr>
        <w:t>contain</w:t>
      </w:r>
      <w:r w:rsidR="0096643B" w:rsidRPr="000E16EB">
        <w:rPr>
          <w:lang w:val="en-AU"/>
        </w:rPr>
        <w:t>ing</w:t>
      </w:r>
      <w:r w:rsidR="00646731" w:rsidRPr="000E16EB">
        <w:rPr>
          <w:lang w:val="en-AU"/>
        </w:rPr>
        <w:t xml:space="preserve"> further information </w:t>
      </w:r>
      <w:r w:rsidR="00977450" w:rsidRPr="000E16EB">
        <w:rPr>
          <w:lang w:val="en-AU"/>
        </w:rPr>
        <w:t>to assist</w:t>
      </w:r>
      <w:r w:rsidR="00646731" w:rsidRPr="000E16EB">
        <w:rPr>
          <w:lang w:val="en-AU"/>
        </w:rPr>
        <w:t xml:space="preserve"> organisatio</w:t>
      </w:r>
      <w:r w:rsidR="00977450" w:rsidRPr="000E16EB">
        <w:rPr>
          <w:lang w:val="en-AU"/>
        </w:rPr>
        <w:t>ns</w:t>
      </w:r>
      <w:r w:rsidR="00646731" w:rsidRPr="000E16EB">
        <w:rPr>
          <w:lang w:val="en-AU"/>
        </w:rPr>
        <w:t xml:space="preserve"> </w:t>
      </w:r>
      <w:r w:rsidR="00977450" w:rsidRPr="000E16EB">
        <w:rPr>
          <w:lang w:val="en-AU"/>
        </w:rPr>
        <w:t>in</w:t>
      </w:r>
      <w:r w:rsidR="00646731" w:rsidRPr="000E16EB">
        <w:rPr>
          <w:lang w:val="en-AU"/>
        </w:rPr>
        <w:t xml:space="preserve"> establishing</w:t>
      </w:r>
      <w:r w:rsidR="00977450" w:rsidRPr="000E16EB">
        <w:rPr>
          <w:lang w:val="en-AU"/>
        </w:rPr>
        <w:t xml:space="preserve"> and maintaining</w:t>
      </w:r>
      <w:r w:rsidR="00646731" w:rsidRPr="000E16EB">
        <w:rPr>
          <w:lang w:val="en-AU"/>
        </w:rPr>
        <w:t xml:space="preserve"> good privacy practices. </w:t>
      </w:r>
    </w:p>
    <w:p w14:paraId="414BD112" w14:textId="4F963599" w:rsidR="0017157F" w:rsidRPr="000E16EB" w:rsidRDefault="004F1DA5" w:rsidP="00646731">
      <w:pPr>
        <w:pStyle w:val="Body"/>
        <w:rPr>
          <w:lang w:val="en-AU"/>
        </w:rPr>
      </w:pPr>
      <w:r w:rsidRPr="000E16EB">
        <w:rPr>
          <w:lang w:val="en-AU"/>
        </w:rPr>
        <w:t xml:space="preserve">The end of </w:t>
      </w:r>
      <w:r w:rsidR="00A903E3" w:rsidRPr="000E16EB">
        <w:rPr>
          <w:lang w:val="en-AU"/>
        </w:rPr>
        <w:t>th</w:t>
      </w:r>
      <w:r w:rsidR="00A903E3">
        <w:rPr>
          <w:lang w:val="en-AU"/>
        </w:rPr>
        <w:t>is</w:t>
      </w:r>
      <w:r w:rsidR="00A903E3" w:rsidRPr="000E16EB">
        <w:rPr>
          <w:lang w:val="en-AU"/>
        </w:rPr>
        <w:t xml:space="preserve"> </w:t>
      </w:r>
      <w:r w:rsidR="008B415E" w:rsidRPr="000E16EB">
        <w:rPr>
          <w:lang w:val="en-AU"/>
        </w:rPr>
        <w:t xml:space="preserve">Framework </w:t>
      </w:r>
      <w:r w:rsidR="00A7579E" w:rsidRPr="000E16EB">
        <w:rPr>
          <w:lang w:val="en-AU"/>
        </w:rPr>
        <w:t xml:space="preserve">also </w:t>
      </w:r>
      <w:r w:rsidRPr="000E16EB">
        <w:rPr>
          <w:lang w:val="en-AU"/>
        </w:rPr>
        <w:t xml:space="preserve">includes </w:t>
      </w:r>
      <w:r w:rsidR="008B415E" w:rsidRPr="000E16EB">
        <w:rPr>
          <w:lang w:val="en-AU"/>
        </w:rPr>
        <w:t xml:space="preserve">an organisational self-assessment </w:t>
      </w:r>
      <w:r w:rsidR="00AD5BC0" w:rsidRPr="000E16EB">
        <w:rPr>
          <w:lang w:val="en-AU"/>
        </w:rPr>
        <w:t>checklist</w:t>
      </w:r>
      <w:r w:rsidR="008B415E" w:rsidRPr="000E16EB">
        <w:rPr>
          <w:lang w:val="en-AU"/>
        </w:rPr>
        <w:t xml:space="preserve"> that can assist organisations </w:t>
      </w:r>
      <w:r w:rsidRPr="000E16EB">
        <w:rPr>
          <w:lang w:val="en-AU"/>
        </w:rPr>
        <w:t>to</w:t>
      </w:r>
      <w:r w:rsidR="008B415E" w:rsidRPr="000E16EB">
        <w:rPr>
          <w:lang w:val="en-AU"/>
        </w:rPr>
        <w:t xml:space="preserve"> develop and maintain effective privacy management practices. </w:t>
      </w:r>
    </w:p>
    <w:p w14:paraId="6C61FF12" w14:textId="226EFDF5" w:rsidR="00BE64CC" w:rsidRPr="000E16EB" w:rsidRDefault="004F1DA5" w:rsidP="00646731">
      <w:pPr>
        <w:pStyle w:val="Body"/>
        <w:rPr>
          <w:lang w:val="en-AU"/>
        </w:rPr>
      </w:pPr>
      <w:r w:rsidRPr="000E16EB">
        <w:rPr>
          <w:lang w:val="en-AU"/>
        </w:rPr>
        <w:t xml:space="preserve">Note that </w:t>
      </w:r>
      <w:r w:rsidR="0017157F" w:rsidRPr="000E16EB">
        <w:rPr>
          <w:lang w:val="en-AU"/>
        </w:rPr>
        <w:t>organisation</w:t>
      </w:r>
      <w:r w:rsidRPr="000E16EB">
        <w:rPr>
          <w:lang w:val="en-AU"/>
        </w:rPr>
        <w:t>s handling health information must</w:t>
      </w:r>
      <w:r w:rsidR="00FC41C9" w:rsidRPr="000E16EB">
        <w:rPr>
          <w:lang w:val="en-AU"/>
        </w:rPr>
        <w:t xml:space="preserve"> also</w:t>
      </w:r>
      <w:r w:rsidRPr="000E16EB">
        <w:rPr>
          <w:lang w:val="en-AU"/>
        </w:rPr>
        <w:t xml:space="preserve"> comply with the Health Privacy Principles contained in </w:t>
      </w:r>
      <w:r w:rsidR="0017157F" w:rsidRPr="000E16EB">
        <w:rPr>
          <w:lang w:val="en-AU"/>
        </w:rPr>
        <w:t xml:space="preserve">the </w:t>
      </w:r>
      <w:r w:rsidR="0017157F" w:rsidRPr="000E16EB">
        <w:rPr>
          <w:i/>
          <w:iCs/>
          <w:lang w:val="en-AU"/>
        </w:rPr>
        <w:t>Health Records Act 2001</w:t>
      </w:r>
      <w:r w:rsidRPr="000E16EB">
        <w:rPr>
          <w:lang w:val="en-AU"/>
        </w:rPr>
        <w:t xml:space="preserve"> (Vic). This Framework does not discuss or consider those obligations.</w:t>
      </w:r>
    </w:p>
    <w:p w14:paraId="74C353F7" w14:textId="4FDABADD" w:rsidR="001B170F" w:rsidRPr="000E16EB" w:rsidRDefault="00602A0C" w:rsidP="00602A0C">
      <w:pPr>
        <w:pStyle w:val="Heading-1"/>
      </w:pPr>
      <w:r w:rsidRPr="000E16EB">
        <w:lastRenderedPageBreak/>
        <w:t>PART 1 – ORGANISATIONAL COMMITMENT</w:t>
      </w:r>
    </w:p>
    <w:p w14:paraId="45FBFF0F" w14:textId="05B01A65" w:rsidR="006C3ABD" w:rsidRPr="00602A0C" w:rsidRDefault="002B1032" w:rsidP="00BC146C">
      <w:pPr>
        <w:pStyle w:val="Body"/>
        <w:spacing w:before="240" w:after="240"/>
        <w:rPr>
          <w:b/>
          <w:bCs/>
          <w:sz w:val="26"/>
          <w:szCs w:val="26"/>
          <w:lang w:val="en-AU"/>
        </w:rPr>
      </w:pPr>
      <w:r w:rsidRPr="00602A0C">
        <w:rPr>
          <w:b/>
          <w:bCs/>
          <w:sz w:val="26"/>
          <w:szCs w:val="26"/>
          <w:lang w:val="en-AU"/>
        </w:rPr>
        <w:t xml:space="preserve">Building a culture of respect for privacy and personal information across an organisation starts with good privacy governance and leadership. </w:t>
      </w:r>
    </w:p>
    <w:p w14:paraId="33747268" w14:textId="23581A28" w:rsidR="003172E4" w:rsidRPr="000E16EB" w:rsidRDefault="00C524D3" w:rsidP="00D14013">
      <w:pPr>
        <w:pStyle w:val="Body"/>
        <w:numPr>
          <w:ilvl w:val="1"/>
          <w:numId w:val="4"/>
        </w:numPr>
        <w:rPr>
          <w:lang w:val="en-AU"/>
        </w:rPr>
      </w:pPr>
      <w:r w:rsidRPr="000E16EB">
        <w:rPr>
          <w:lang w:val="en-AU"/>
        </w:rPr>
        <w:t>An organisation e</w:t>
      </w:r>
      <w:r w:rsidR="003172E4" w:rsidRPr="000E16EB">
        <w:rPr>
          <w:lang w:val="en-AU"/>
        </w:rPr>
        <w:t>nsure</w:t>
      </w:r>
      <w:r w:rsidR="008E355B" w:rsidRPr="000E16EB">
        <w:rPr>
          <w:lang w:val="en-AU"/>
        </w:rPr>
        <w:t>s</w:t>
      </w:r>
      <w:r w:rsidR="003172E4" w:rsidRPr="000E16EB">
        <w:rPr>
          <w:lang w:val="en-AU"/>
        </w:rPr>
        <w:t xml:space="preserve"> </w:t>
      </w:r>
      <w:r w:rsidRPr="000E16EB">
        <w:rPr>
          <w:lang w:val="en-AU"/>
        </w:rPr>
        <w:t xml:space="preserve">that </w:t>
      </w:r>
      <w:r w:rsidR="008E355B" w:rsidRPr="000E16EB">
        <w:rPr>
          <w:lang w:val="en-AU"/>
        </w:rPr>
        <w:t xml:space="preserve">its </w:t>
      </w:r>
      <w:r w:rsidR="003172E4" w:rsidRPr="000E16EB">
        <w:rPr>
          <w:lang w:val="en-AU"/>
        </w:rPr>
        <w:t>executive and senior management</w:t>
      </w:r>
      <w:r w:rsidR="00F84615" w:rsidRPr="000E16EB">
        <w:rPr>
          <w:lang w:val="en-AU"/>
        </w:rPr>
        <w:t xml:space="preserve"> promote good privacy practices</w:t>
      </w:r>
      <w:r w:rsidR="006F46D2" w:rsidRPr="000E16EB">
        <w:rPr>
          <w:lang w:val="en-AU"/>
        </w:rPr>
        <w:t xml:space="preserve"> across </w:t>
      </w:r>
      <w:r w:rsidRPr="000E16EB">
        <w:rPr>
          <w:lang w:val="en-AU"/>
        </w:rPr>
        <w:t>the</w:t>
      </w:r>
      <w:r w:rsidR="006F46D2" w:rsidRPr="000E16EB">
        <w:rPr>
          <w:lang w:val="en-AU"/>
        </w:rPr>
        <w:t xml:space="preserve"> organisation</w:t>
      </w:r>
      <w:r w:rsidR="003172E4" w:rsidRPr="000E16EB">
        <w:rPr>
          <w:lang w:val="en-AU"/>
        </w:rPr>
        <w:t xml:space="preserve">. </w:t>
      </w:r>
      <w:r w:rsidR="00F84615" w:rsidRPr="000E16EB">
        <w:rPr>
          <w:lang w:val="en-AU"/>
        </w:rPr>
        <w:t>Using</w:t>
      </w:r>
      <w:r w:rsidR="00EC1727" w:rsidRPr="000E16EB">
        <w:rPr>
          <w:lang w:val="en-AU"/>
        </w:rPr>
        <w:t xml:space="preserve"> e</w:t>
      </w:r>
      <w:r w:rsidR="00961D7E" w:rsidRPr="000E16EB">
        <w:rPr>
          <w:lang w:val="en-AU"/>
        </w:rPr>
        <w:t>xisting governance arrangements</w:t>
      </w:r>
      <w:r w:rsidR="00EC1727" w:rsidRPr="000E16EB">
        <w:rPr>
          <w:lang w:val="en-AU"/>
        </w:rPr>
        <w:t>, such as boards, executive committees and management meetings</w:t>
      </w:r>
      <w:r w:rsidR="00F84615" w:rsidRPr="000E16EB">
        <w:rPr>
          <w:lang w:val="en-AU"/>
        </w:rPr>
        <w:t xml:space="preserve"> to raise privacy</w:t>
      </w:r>
      <w:r w:rsidR="00E10376" w:rsidRPr="000E16EB">
        <w:rPr>
          <w:lang w:val="en-AU"/>
        </w:rPr>
        <w:t xml:space="preserve"> </w:t>
      </w:r>
      <w:r w:rsidR="005355AA" w:rsidRPr="000E16EB">
        <w:rPr>
          <w:lang w:val="en-AU"/>
        </w:rPr>
        <w:t xml:space="preserve">issues and create general privacy </w:t>
      </w:r>
      <w:r w:rsidR="00E10376" w:rsidRPr="000E16EB">
        <w:rPr>
          <w:lang w:val="en-AU"/>
        </w:rPr>
        <w:t>awareness</w:t>
      </w:r>
      <w:r w:rsidR="00443930" w:rsidRPr="000E16EB">
        <w:rPr>
          <w:lang w:val="en-AU"/>
        </w:rPr>
        <w:t xml:space="preserve"> </w:t>
      </w:r>
      <w:r w:rsidR="005355AA" w:rsidRPr="000E16EB">
        <w:rPr>
          <w:lang w:val="en-AU"/>
        </w:rPr>
        <w:t>can be</w:t>
      </w:r>
      <w:r w:rsidR="00EC1727" w:rsidRPr="000E16EB">
        <w:rPr>
          <w:lang w:val="en-AU"/>
        </w:rPr>
        <w:t xml:space="preserve"> </w:t>
      </w:r>
      <w:r w:rsidR="00961D7E" w:rsidRPr="000E16EB">
        <w:rPr>
          <w:lang w:val="en-AU"/>
        </w:rPr>
        <w:t xml:space="preserve">effective in </w:t>
      </w:r>
      <w:r w:rsidR="00F84615" w:rsidRPr="000E16EB">
        <w:rPr>
          <w:lang w:val="en-AU"/>
        </w:rPr>
        <w:t>creating</w:t>
      </w:r>
      <w:r w:rsidR="006F46D2" w:rsidRPr="000E16EB">
        <w:rPr>
          <w:lang w:val="en-AU"/>
        </w:rPr>
        <w:t xml:space="preserve"> an</w:t>
      </w:r>
      <w:r w:rsidR="00F84615" w:rsidRPr="000E16EB">
        <w:rPr>
          <w:lang w:val="en-AU"/>
        </w:rPr>
        <w:t xml:space="preserve"> </w:t>
      </w:r>
      <w:r w:rsidR="00961D7E" w:rsidRPr="000E16EB">
        <w:rPr>
          <w:lang w:val="en-AU"/>
        </w:rPr>
        <w:t>organisational culture</w:t>
      </w:r>
      <w:r w:rsidR="006F46D2" w:rsidRPr="000E16EB">
        <w:rPr>
          <w:lang w:val="en-AU"/>
        </w:rPr>
        <w:t xml:space="preserve"> that respects privacy</w:t>
      </w:r>
      <w:r w:rsidR="00961D7E" w:rsidRPr="000E16EB">
        <w:rPr>
          <w:lang w:val="en-AU"/>
        </w:rPr>
        <w:t xml:space="preserve">. </w:t>
      </w:r>
    </w:p>
    <w:p w14:paraId="4EAF43EC" w14:textId="4DBA0592" w:rsidR="00F87A54" w:rsidRPr="000E16EB" w:rsidRDefault="00E10376" w:rsidP="00D14013">
      <w:pPr>
        <w:pStyle w:val="Body"/>
        <w:numPr>
          <w:ilvl w:val="1"/>
          <w:numId w:val="4"/>
        </w:numPr>
        <w:rPr>
          <w:lang w:val="en-AU"/>
        </w:rPr>
      </w:pPr>
      <w:r w:rsidRPr="000E16EB">
        <w:rPr>
          <w:lang w:val="en-AU"/>
        </w:rPr>
        <w:t>An organisation should k</w:t>
      </w:r>
      <w:r w:rsidR="00326D92" w:rsidRPr="000E16EB">
        <w:rPr>
          <w:lang w:val="en-AU"/>
        </w:rPr>
        <w:t xml:space="preserve">now and understand </w:t>
      </w:r>
      <w:r w:rsidRPr="000E16EB">
        <w:rPr>
          <w:lang w:val="en-AU"/>
        </w:rPr>
        <w:t xml:space="preserve">its </w:t>
      </w:r>
      <w:r w:rsidR="00326D92" w:rsidRPr="000E16EB">
        <w:rPr>
          <w:lang w:val="en-AU"/>
        </w:rPr>
        <w:t>privacy obligations. The</w:t>
      </w:r>
      <w:r w:rsidR="00F87A54" w:rsidRPr="000E16EB">
        <w:rPr>
          <w:lang w:val="en-AU"/>
        </w:rPr>
        <w:t xml:space="preserve"> Office of the Victorian Information Commissioner’s (</w:t>
      </w:r>
      <w:r w:rsidR="00F87A54" w:rsidRPr="000E16EB">
        <w:rPr>
          <w:b/>
          <w:bCs/>
          <w:lang w:val="en-AU"/>
        </w:rPr>
        <w:t>OVIC</w:t>
      </w:r>
      <w:r w:rsidR="00F87A54" w:rsidRPr="000E16EB">
        <w:rPr>
          <w:lang w:val="en-AU"/>
        </w:rPr>
        <w:t>)</w:t>
      </w:r>
      <w:r w:rsidR="00326D92" w:rsidRPr="000E16EB">
        <w:rPr>
          <w:lang w:val="en-AU"/>
        </w:rPr>
        <w:t xml:space="preserve"> </w:t>
      </w:r>
      <w:r w:rsidR="00326D92" w:rsidRPr="000E16EB">
        <w:rPr>
          <w:i/>
          <w:iCs/>
          <w:lang w:val="en-AU"/>
        </w:rPr>
        <w:t>Guidelines to the Information Privacy Principles</w:t>
      </w:r>
      <w:r w:rsidR="00326D92" w:rsidRPr="000E16EB">
        <w:rPr>
          <w:lang w:val="en-AU"/>
        </w:rPr>
        <w:t xml:space="preserve"> </w:t>
      </w:r>
      <w:r w:rsidR="00891098" w:rsidRPr="000E16EB">
        <w:rPr>
          <w:lang w:val="en-AU"/>
        </w:rPr>
        <w:t>detail how to</w:t>
      </w:r>
      <w:r w:rsidR="00326D92" w:rsidRPr="000E16EB">
        <w:rPr>
          <w:lang w:val="en-AU"/>
        </w:rPr>
        <w:t xml:space="preserve"> interpret the</w:t>
      </w:r>
      <w:r w:rsidR="009B047B" w:rsidRPr="000E16EB">
        <w:rPr>
          <w:lang w:val="en-AU"/>
        </w:rPr>
        <w:t xml:space="preserve"> IPPs </w:t>
      </w:r>
      <w:r w:rsidR="00233FF2" w:rsidRPr="000E16EB">
        <w:rPr>
          <w:lang w:val="en-AU"/>
        </w:rPr>
        <w:t xml:space="preserve">in the PDP Act. </w:t>
      </w: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</w:tblPr>
      <w:tblGrid>
        <w:gridCol w:w="9122"/>
      </w:tblGrid>
      <w:tr w:rsidR="003E4592" w:rsidRPr="000E16EB" w14:paraId="7E8D55CC" w14:textId="77777777" w:rsidTr="003E4592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6310EF" w14:textId="249C1E31" w:rsidR="003E4592" w:rsidRPr="000E16EB" w:rsidRDefault="003E4592" w:rsidP="00F84072">
            <w:pPr>
              <w:pStyle w:val="Body"/>
              <w:spacing w:before="120"/>
              <w:rPr>
                <w:rFonts w:asciiTheme="minorHAnsi" w:hAnsiTheme="minorHAnsi"/>
                <w:color w:val="430098"/>
                <w:u w:val="single"/>
                <w:lang w:val="en-AU"/>
              </w:rPr>
            </w:pPr>
            <w:r w:rsidRPr="000E16EB">
              <w:rPr>
                <w:rStyle w:val="Hyperlink"/>
                <w:lang w:val="en-AU"/>
              </w:rPr>
              <w:t xml:space="preserve">OVIC’s </w:t>
            </w:r>
            <w:hyperlink r:id="rId9" w:history="1">
              <w:r w:rsidRPr="000E16EB">
                <w:rPr>
                  <w:rStyle w:val="Hyperlink"/>
                  <w:lang w:val="en-AU"/>
                </w:rPr>
                <w:t>Guidelines to the Information Privacy Principles</w:t>
              </w:r>
            </w:hyperlink>
          </w:p>
        </w:tc>
      </w:tr>
    </w:tbl>
    <w:p w14:paraId="011FD9C0" w14:textId="0D8F51DC" w:rsidR="000063A5" w:rsidRPr="000E16EB" w:rsidRDefault="006D0045" w:rsidP="003E4592">
      <w:pPr>
        <w:pStyle w:val="Body"/>
        <w:numPr>
          <w:ilvl w:val="1"/>
          <w:numId w:val="4"/>
        </w:numPr>
        <w:spacing w:before="200"/>
        <w:rPr>
          <w:lang w:val="en-AU"/>
        </w:rPr>
      </w:pPr>
      <w:r w:rsidRPr="000E16EB">
        <w:rPr>
          <w:lang w:val="en-AU"/>
        </w:rPr>
        <w:t>A</w:t>
      </w:r>
      <w:r w:rsidR="00E10376" w:rsidRPr="000E16EB">
        <w:rPr>
          <w:lang w:val="en-AU"/>
        </w:rPr>
        <w:t xml:space="preserve">n </w:t>
      </w:r>
      <w:r w:rsidR="00233FF2" w:rsidRPr="000E16EB">
        <w:rPr>
          <w:lang w:val="en-AU"/>
        </w:rPr>
        <w:t xml:space="preserve">organisation </w:t>
      </w:r>
      <w:r w:rsidR="00E10376" w:rsidRPr="000E16EB">
        <w:rPr>
          <w:lang w:val="en-AU"/>
        </w:rPr>
        <w:t>shoul</w:t>
      </w:r>
      <w:r w:rsidR="00443930" w:rsidRPr="000E16EB">
        <w:rPr>
          <w:lang w:val="en-AU"/>
        </w:rPr>
        <w:t xml:space="preserve">d </w:t>
      </w:r>
      <w:r w:rsidR="00E10376" w:rsidRPr="000E16EB">
        <w:rPr>
          <w:lang w:val="en-AU"/>
        </w:rPr>
        <w:t xml:space="preserve">consider if it </w:t>
      </w:r>
      <w:r w:rsidRPr="000E16EB">
        <w:rPr>
          <w:lang w:val="en-AU"/>
        </w:rPr>
        <w:t>has</w:t>
      </w:r>
      <w:r w:rsidR="00F87A54" w:rsidRPr="000E16EB">
        <w:rPr>
          <w:lang w:val="en-AU"/>
        </w:rPr>
        <w:t xml:space="preserve"> concurrent</w:t>
      </w:r>
      <w:r w:rsidR="00233FF2" w:rsidRPr="000E16EB">
        <w:rPr>
          <w:lang w:val="en-AU"/>
        </w:rPr>
        <w:t xml:space="preserve"> privacy obligations</w:t>
      </w:r>
      <w:r w:rsidRPr="000E16EB">
        <w:rPr>
          <w:lang w:val="en-AU"/>
        </w:rPr>
        <w:t xml:space="preserve"> under the </w:t>
      </w:r>
      <w:r w:rsidRPr="000E16EB">
        <w:rPr>
          <w:i/>
          <w:iCs/>
          <w:lang w:val="en-AU"/>
        </w:rPr>
        <w:t>Health Records Act 2001</w:t>
      </w:r>
      <w:r w:rsidRPr="000E16EB">
        <w:rPr>
          <w:lang w:val="en-AU"/>
        </w:rPr>
        <w:t xml:space="preserve"> (Vic)</w:t>
      </w:r>
      <w:r w:rsidR="00F87A54" w:rsidRPr="000E16EB">
        <w:rPr>
          <w:lang w:val="en-AU"/>
        </w:rPr>
        <w:t>,</w:t>
      </w:r>
      <w:r w:rsidRPr="000E16EB">
        <w:rPr>
          <w:lang w:val="en-AU"/>
        </w:rPr>
        <w:t xml:space="preserve"> </w:t>
      </w:r>
      <w:r w:rsidR="00AA3323" w:rsidRPr="000E16EB">
        <w:rPr>
          <w:lang w:val="en-AU"/>
        </w:rPr>
        <w:t xml:space="preserve">the </w:t>
      </w:r>
      <w:r w:rsidR="00AA3323" w:rsidRPr="000E16EB">
        <w:rPr>
          <w:i/>
          <w:iCs/>
          <w:lang w:val="en-AU"/>
        </w:rPr>
        <w:t>Charter of Human Rights and Responsibilities Act 2006</w:t>
      </w:r>
      <w:r w:rsidR="00AA3323" w:rsidRPr="000E16EB">
        <w:rPr>
          <w:lang w:val="en-AU"/>
        </w:rPr>
        <w:t xml:space="preserve"> (Vic)</w:t>
      </w:r>
      <w:r w:rsidR="00830A9B" w:rsidRPr="000E16EB">
        <w:rPr>
          <w:lang w:val="en-AU"/>
        </w:rPr>
        <w:t xml:space="preserve">, </w:t>
      </w:r>
      <w:r w:rsidRPr="000E16EB">
        <w:rPr>
          <w:lang w:val="en-AU"/>
        </w:rPr>
        <w:t xml:space="preserve">the </w:t>
      </w:r>
      <w:r w:rsidRPr="000E16EB">
        <w:rPr>
          <w:i/>
          <w:iCs/>
          <w:lang w:val="en-AU"/>
        </w:rPr>
        <w:t>Privacy Act 1988</w:t>
      </w:r>
      <w:r w:rsidRPr="000E16EB">
        <w:rPr>
          <w:lang w:val="en-AU"/>
        </w:rPr>
        <w:t xml:space="preserve"> (</w:t>
      </w:r>
      <w:r w:rsidR="00E10376" w:rsidRPr="000E16EB">
        <w:rPr>
          <w:lang w:val="en-AU"/>
        </w:rPr>
        <w:t>Cth</w:t>
      </w:r>
      <w:r w:rsidRPr="000E16EB">
        <w:rPr>
          <w:lang w:val="en-AU"/>
        </w:rPr>
        <w:t>)</w:t>
      </w:r>
      <w:r w:rsidR="00F87A54" w:rsidRPr="000E16EB">
        <w:rPr>
          <w:lang w:val="en-AU"/>
        </w:rPr>
        <w:t xml:space="preserve">, </w:t>
      </w:r>
      <w:r w:rsidR="0089428C" w:rsidRPr="000E16EB">
        <w:rPr>
          <w:lang w:val="en-AU"/>
        </w:rPr>
        <w:t xml:space="preserve">and </w:t>
      </w:r>
      <w:r w:rsidR="00F87A54" w:rsidRPr="000E16EB">
        <w:rPr>
          <w:lang w:val="en-AU"/>
        </w:rPr>
        <w:t xml:space="preserve">other international </w:t>
      </w:r>
      <w:r w:rsidR="0089428C" w:rsidRPr="000E16EB">
        <w:rPr>
          <w:lang w:val="en-AU"/>
        </w:rPr>
        <w:t xml:space="preserve">laws. </w:t>
      </w: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</w:tblPr>
      <w:tblGrid>
        <w:gridCol w:w="9122"/>
      </w:tblGrid>
      <w:tr w:rsidR="003E4592" w:rsidRPr="000E16EB" w14:paraId="7AAFE9B7" w14:textId="77777777" w:rsidTr="009F5A31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CB4C62" w14:textId="77777777" w:rsidR="003E4592" w:rsidRPr="000E16EB" w:rsidRDefault="00A72697" w:rsidP="00AD3DD6">
            <w:pPr>
              <w:pStyle w:val="Body"/>
              <w:spacing w:before="120" w:after="120"/>
              <w:rPr>
                <w:rFonts w:asciiTheme="minorHAnsi" w:hAnsiTheme="minorHAnsi"/>
                <w:color w:val="430098"/>
                <w:u w:val="single"/>
                <w:lang w:val="en-AU"/>
              </w:rPr>
            </w:pPr>
            <w:hyperlink r:id="rId10" w:history="1">
              <w:r w:rsidR="003E4592" w:rsidRPr="000E16EB">
                <w:rPr>
                  <w:rStyle w:val="Hyperlink"/>
                  <w:lang w:val="en-AU"/>
                </w:rPr>
                <w:t>Guidance from the Health Complaints Commissioner on the Health Records Act 2001</w:t>
              </w:r>
            </w:hyperlink>
          </w:p>
          <w:p w14:paraId="213E33D4" w14:textId="68B6EC0A" w:rsidR="003E4592" w:rsidRPr="000E16EB" w:rsidRDefault="00A72697" w:rsidP="00AD3DD6">
            <w:pPr>
              <w:pStyle w:val="Body"/>
              <w:spacing w:before="120" w:after="120"/>
              <w:rPr>
                <w:rFonts w:asciiTheme="minorHAnsi" w:hAnsiTheme="minorHAnsi"/>
                <w:color w:val="430098"/>
                <w:u w:val="single"/>
                <w:lang w:val="en-AU"/>
              </w:rPr>
            </w:pPr>
            <w:hyperlink r:id="rId11" w:history="1">
              <w:r w:rsidR="008D4567" w:rsidRPr="000E16EB">
                <w:rPr>
                  <w:rStyle w:val="Hyperlink"/>
                  <w:lang w:val="en-AU"/>
                </w:rPr>
                <w:t xml:space="preserve">Australian Privacy Principle Guidelines under the Commonwealth Privacy Act 1988 </w:t>
              </w:r>
            </w:hyperlink>
            <w:r w:rsidR="003E4592" w:rsidRPr="000E16EB">
              <w:rPr>
                <w:rFonts w:asciiTheme="minorHAnsi" w:hAnsiTheme="minorHAnsi"/>
                <w:color w:val="430098"/>
                <w:u w:val="single"/>
                <w:lang w:val="en-AU"/>
              </w:rPr>
              <w:t xml:space="preserve"> </w:t>
            </w:r>
          </w:p>
          <w:p w14:paraId="6A5718E4" w14:textId="77777777" w:rsidR="003E4592" w:rsidRPr="000E16EB" w:rsidRDefault="00A72697" w:rsidP="00AD3DD6">
            <w:pPr>
              <w:pStyle w:val="Body"/>
              <w:spacing w:before="120" w:after="120"/>
              <w:rPr>
                <w:rFonts w:asciiTheme="minorHAnsi" w:hAnsiTheme="minorHAnsi"/>
                <w:color w:val="430098"/>
                <w:u w:val="single"/>
                <w:lang w:val="en-AU"/>
              </w:rPr>
            </w:pPr>
            <w:hyperlink r:id="rId12" w:history="1">
              <w:r w:rsidR="003E4592" w:rsidRPr="000E16EB">
                <w:rPr>
                  <w:rStyle w:val="Hyperlink"/>
                  <w:lang w:val="en-AU"/>
                </w:rPr>
                <w:t>Guidance on the Charter of Human Rights and Responsibilities Act 2006</w:t>
              </w:r>
            </w:hyperlink>
          </w:p>
          <w:p w14:paraId="2E57D5C0" w14:textId="5ED8CFE9" w:rsidR="003E4592" w:rsidRPr="000E16EB" w:rsidRDefault="00A72697" w:rsidP="00AD3DD6">
            <w:pPr>
              <w:pStyle w:val="Body"/>
              <w:spacing w:before="120"/>
              <w:rPr>
                <w:rFonts w:asciiTheme="minorHAnsi" w:hAnsiTheme="minorHAnsi"/>
                <w:color w:val="430098"/>
                <w:u w:val="single"/>
                <w:lang w:val="en-AU"/>
              </w:rPr>
            </w:pPr>
            <w:hyperlink r:id="rId13" w:history="1">
              <w:r w:rsidR="003E4592" w:rsidRPr="000E16EB">
                <w:rPr>
                  <w:rStyle w:val="Hyperlink"/>
                  <w:lang w:val="en-AU"/>
                </w:rPr>
                <w:t>Guidance for the Victorian public sector on the EU General Data Protection Regulation</w:t>
              </w:r>
            </w:hyperlink>
          </w:p>
        </w:tc>
      </w:tr>
    </w:tbl>
    <w:p w14:paraId="13DBDCD4" w14:textId="3A76A960" w:rsidR="00F26E5C" w:rsidRDefault="00F26E5C" w:rsidP="003E4592">
      <w:pPr>
        <w:pStyle w:val="Body"/>
        <w:numPr>
          <w:ilvl w:val="1"/>
          <w:numId w:val="4"/>
        </w:numPr>
        <w:spacing w:before="200"/>
        <w:rPr>
          <w:lang w:val="en-AU" w:eastAsia="en-GB"/>
        </w:rPr>
      </w:pPr>
      <w:r w:rsidRPr="000E16EB">
        <w:rPr>
          <w:lang w:val="en-AU" w:eastAsia="en-GB"/>
        </w:rPr>
        <w:t>A</w:t>
      </w:r>
      <w:r w:rsidR="00443930" w:rsidRPr="000E16EB">
        <w:rPr>
          <w:lang w:val="en-AU" w:eastAsia="en-GB"/>
        </w:rPr>
        <w:t>n organisation should a</w:t>
      </w:r>
      <w:r w:rsidRPr="000E16EB">
        <w:rPr>
          <w:lang w:val="en-AU" w:eastAsia="en-GB"/>
        </w:rPr>
        <w:t xml:space="preserve">ppoint key roles and responsibilities for privacy management, including a senior member of staff with overall </w:t>
      </w:r>
      <w:r w:rsidR="009D6CD9" w:rsidRPr="000E16EB">
        <w:rPr>
          <w:lang w:val="en-AU" w:eastAsia="en-GB"/>
        </w:rPr>
        <w:t xml:space="preserve">organisational </w:t>
      </w:r>
      <w:r w:rsidRPr="000E16EB">
        <w:rPr>
          <w:lang w:val="en-AU" w:eastAsia="en-GB"/>
        </w:rPr>
        <w:t xml:space="preserve">accountability for privacy. </w:t>
      </w:r>
      <w:r w:rsidR="00443930" w:rsidRPr="000E16EB">
        <w:rPr>
          <w:lang w:val="en-AU" w:eastAsia="en-GB"/>
        </w:rPr>
        <w:t>It should h</w:t>
      </w:r>
      <w:r w:rsidRPr="000E16EB">
        <w:rPr>
          <w:lang w:val="en-AU" w:eastAsia="en-GB"/>
        </w:rPr>
        <w:t xml:space="preserve">ave staff responsible for managing </w:t>
      </w:r>
      <w:r w:rsidR="00E20A3A" w:rsidRPr="000E16EB">
        <w:rPr>
          <w:lang w:val="en-AU" w:eastAsia="en-GB"/>
        </w:rPr>
        <w:t xml:space="preserve">day-to-day </w:t>
      </w:r>
      <w:r w:rsidRPr="000E16EB">
        <w:rPr>
          <w:lang w:val="en-AU" w:eastAsia="en-GB"/>
        </w:rPr>
        <w:t>privacy, including a privacy officer</w:t>
      </w:r>
      <w:r w:rsidR="00D17BEF" w:rsidRPr="000E16EB">
        <w:rPr>
          <w:lang w:val="en-AU" w:eastAsia="en-GB"/>
        </w:rPr>
        <w:t xml:space="preserve"> </w:t>
      </w:r>
      <w:r w:rsidR="00DD1AED" w:rsidRPr="000E16EB">
        <w:rPr>
          <w:lang w:val="en-AU" w:eastAsia="en-GB"/>
        </w:rPr>
        <w:t>or team,</w:t>
      </w:r>
      <w:r w:rsidRPr="000E16EB">
        <w:rPr>
          <w:lang w:val="en-AU" w:eastAsia="en-GB"/>
        </w:rPr>
        <w:t xml:space="preserve"> responsible for handling internal and external privacy enquiries,</w:t>
      </w:r>
      <w:r w:rsidR="00610359" w:rsidRPr="000E16EB">
        <w:rPr>
          <w:lang w:val="en-AU" w:eastAsia="en-GB"/>
        </w:rPr>
        <w:t xml:space="preserve"> </w:t>
      </w:r>
      <w:r w:rsidRPr="000E16EB">
        <w:rPr>
          <w:lang w:val="en-AU" w:eastAsia="en-GB"/>
        </w:rPr>
        <w:t>complaints</w:t>
      </w:r>
      <w:r w:rsidR="007168B4" w:rsidRPr="000E16EB">
        <w:rPr>
          <w:lang w:val="en-AU" w:eastAsia="en-GB"/>
        </w:rPr>
        <w:t xml:space="preserve">, and providing advice to other staff on building privacy into their programs. </w:t>
      </w:r>
    </w:p>
    <w:p w14:paraId="754CA41C" w14:textId="41EF339E" w:rsidR="00B848D4" w:rsidRPr="000E16EB" w:rsidRDefault="00B848D4" w:rsidP="003E4592">
      <w:pPr>
        <w:pStyle w:val="Body"/>
        <w:numPr>
          <w:ilvl w:val="1"/>
          <w:numId w:val="4"/>
        </w:numPr>
        <w:spacing w:before="200"/>
        <w:rPr>
          <w:lang w:val="en-AU" w:eastAsia="en-GB"/>
        </w:rPr>
      </w:pPr>
      <w:r>
        <w:rPr>
          <w:lang w:val="en-AU" w:eastAsia="en-GB"/>
        </w:rPr>
        <w:t>An organisation should ensure</w:t>
      </w:r>
      <w:r w:rsidR="00574168">
        <w:rPr>
          <w:lang w:val="en-AU" w:eastAsia="en-GB"/>
        </w:rPr>
        <w:t xml:space="preserve"> appropriate</w:t>
      </w:r>
      <w:r>
        <w:rPr>
          <w:lang w:val="en-AU" w:eastAsia="en-GB"/>
        </w:rPr>
        <w:t xml:space="preserve"> resourc</w:t>
      </w:r>
      <w:r w:rsidR="00574168">
        <w:rPr>
          <w:lang w:val="en-AU" w:eastAsia="en-GB"/>
        </w:rPr>
        <w:t>ing is</w:t>
      </w:r>
      <w:r>
        <w:rPr>
          <w:lang w:val="en-AU" w:eastAsia="en-GB"/>
        </w:rPr>
        <w:t xml:space="preserve"> allocated </w:t>
      </w:r>
      <w:r w:rsidR="00574168">
        <w:rPr>
          <w:lang w:val="en-AU" w:eastAsia="en-GB"/>
        </w:rPr>
        <w:t xml:space="preserve">to </w:t>
      </w:r>
      <w:r>
        <w:rPr>
          <w:lang w:val="en-AU" w:eastAsia="en-GB"/>
        </w:rPr>
        <w:t xml:space="preserve">maintain organisational privacy expertise </w:t>
      </w:r>
      <w:r w:rsidR="00574168">
        <w:rPr>
          <w:lang w:val="en-AU" w:eastAsia="en-GB"/>
        </w:rPr>
        <w:t>relative to the organisation’s</w:t>
      </w:r>
      <w:r>
        <w:rPr>
          <w:lang w:val="en-AU" w:eastAsia="en-GB"/>
        </w:rPr>
        <w:t xml:space="preserve"> </w:t>
      </w:r>
      <w:r w:rsidR="00574168">
        <w:rPr>
          <w:lang w:val="en-AU" w:eastAsia="en-GB"/>
        </w:rPr>
        <w:t xml:space="preserve">nature, </w:t>
      </w:r>
      <w:r>
        <w:rPr>
          <w:lang w:val="en-AU" w:eastAsia="en-GB"/>
        </w:rPr>
        <w:t xml:space="preserve">size, </w:t>
      </w:r>
      <w:r w:rsidR="00574168">
        <w:rPr>
          <w:lang w:val="en-AU" w:eastAsia="en-GB"/>
        </w:rPr>
        <w:t xml:space="preserve">and </w:t>
      </w:r>
      <w:r>
        <w:rPr>
          <w:lang w:val="en-AU" w:eastAsia="en-GB"/>
        </w:rPr>
        <w:t xml:space="preserve">complexity. </w:t>
      </w:r>
    </w:p>
    <w:p w14:paraId="7F16CE0B" w14:textId="52A52837" w:rsidR="00E20A3A" w:rsidRPr="000E16EB" w:rsidRDefault="00443930" w:rsidP="00D14013">
      <w:pPr>
        <w:pStyle w:val="Body"/>
        <w:numPr>
          <w:ilvl w:val="1"/>
          <w:numId w:val="4"/>
        </w:numPr>
        <w:rPr>
          <w:lang w:val="en-AU" w:eastAsia="en-GB"/>
        </w:rPr>
      </w:pPr>
      <w:r w:rsidRPr="000E16EB">
        <w:rPr>
          <w:lang w:val="en-AU" w:eastAsia="en-GB"/>
        </w:rPr>
        <w:t>An organisation should e</w:t>
      </w:r>
      <w:r w:rsidR="00891098" w:rsidRPr="000E16EB">
        <w:rPr>
          <w:lang w:val="en-AU" w:eastAsia="en-GB"/>
        </w:rPr>
        <w:t>nsure privacy is considered before, at the start of, and throughout the development and implementation of initiatives involv</w:t>
      </w:r>
      <w:r w:rsidR="0096643B" w:rsidRPr="000E16EB">
        <w:rPr>
          <w:lang w:val="en-AU" w:eastAsia="en-GB"/>
        </w:rPr>
        <w:t>ing</w:t>
      </w:r>
      <w:r w:rsidR="00891098" w:rsidRPr="000E16EB">
        <w:rPr>
          <w:lang w:val="en-AU" w:eastAsia="en-GB"/>
        </w:rPr>
        <w:t xml:space="preserve"> the collection</w:t>
      </w:r>
      <w:r w:rsidR="00E20A3A" w:rsidRPr="000E16EB">
        <w:rPr>
          <w:lang w:val="en-AU" w:eastAsia="en-GB"/>
        </w:rPr>
        <w:t xml:space="preserve">, </w:t>
      </w:r>
      <w:r w:rsidR="00891098" w:rsidRPr="000E16EB">
        <w:rPr>
          <w:lang w:val="en-AU" w:eastAsia="en-GB"/>
        </w:rPr>
        <w:t>handling</w:t>
      </w:r>
      <w:r w:rsidR="00E20A3A" w:rsidRPr="000E16EB">
        <w:rPr>
          <w:lang w:val="en-AU" w:eastAsia="en-GB"/>
        </w:rPr>
        <w:t xml:space="preserve"> or use</w:t>
      </w:r>
      <w:r w:rsidR="00891098" w:rsidRPr="000E16EB">
        <w:rPr>
          <w:lang w:val="en-AU" w:eastAsia="en-GB"/>
        </w:rPr>
        <w:t xml:space="preserve"> of personal information. </w:t>
      </w:r>
      <w:r w:rsidRPr="000E16EB">
        <w:rPr>
          <w:lang w:val="en-AU" w:eastAsia="en-GB"/>
        </w:rPr>
        <w:t xml:space="preserve">It is important </w:t>
      </w:r>
      <w:r w:rsidR="00656898" w:rsidRPr="000E16EB">
        <w:rPr>
          <w:lang w:val="en-AU" w:eastAsia="en-GB"/>
        </w:rPr>
        <w:t xml:space="preserve">for an organisation to </w:t>
      </w:r>
      <w:r w:rsidRPr="000E16EB">
        <w:rPr>
          <w:lang w:val="en-AU" w:eastAsia="en-GB"/>
        </w:rPr>
        <w:t>e</w:t>
      </w:r>
      <w:r w:rsidR="00E20A3A" w:rsidRPr="000E16EB">
        <w:rPr>
          <w:lang w:val="en-AU" w:eastAsia="en-GB"/>
        </w:rPr>
        <w:t xml:space="preserve">ngage with </w:t>
      </w:r>
      <w:r w:rsidR="00656898" w:rsidRPr="000E16EB">
        <w:rPr>
          <w:lang w:val="en-AU" w:eastAsia="en-GB"/>
        </w:rPr>
        <w:t>its</w:t>
      </w:r>
      <w:r w:rsidRPr="000E16EB">
        <w:rPr>
          <w:lang w:val="en-AU" w:eastAsia="en-GB"/>
        </w:rPr>
        <w:t xml:space="preserve"> </w:t>
      </w:r>
      <w:r w:rsidR="00D17BEF" w:rsidRPr="000E16EB">
        <w:rPr>
          <w:lang w:val="en-AU" w:eastAsia="en-GB"/>
        </w:rPr>
        <w:t xml:space="preserve">legal, </w:t>
      </w:r>
      <w:r w:rsidR="00E20A3A" w:rsidRPr="000E16EB">
        <w:rPr>
          <w:lang w:val="en-AU" w:eastAsia="en-GB"/>
        </w:rPr>
        <w:t>procurement</w:t>
      </w:r>
      <w:r w:rsidR="00D17BEF" w:rsidRPr="000E16EB">
        <w:rPr>
          <w:lang w:val="en-AU" w:eastAsia="en-GB"/>
        </w:rPr>
        <w:t>,</w:t>
      </w:r>
      <w:r w:rsidR="00E20A3A" w:rsidRPr="000E16EB">
        <w:rPr>
          <w:lang w:val="en-AU" w:eastAsia="en-GB"/>
        </w:rPr>
        <w:t xml:space="preserve"> and project teams</w:t>
      </w:r>
      <w:r w:rsidR="00656898" w:rsidRPr="000E16EB">
        <w:rPr>
          <w:lang w:val="en-AU" w:eastAsia="en-GB"/>
        </w:rPr>
        <w:t xml:space="preserve"> </w:t>
      </w:r>
      <w:r w:rsidR="00E20A3A" w:rsidRPr="000E16EB">
        <w:rPr>
          <w:lang w:val="en-AU" w:eastAsia="en-GB"/>
        </w:rPr>
        <w:t>to build privacy into contract and project documentation.</w:t>
      </w: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</w:tblPr>
      <w:tblGrid>
        <w:gridCol w:w="9122"/>
      </w:tblGrid>
      <w:tr w:rsidR="003E4592" w:rsidRPr="000E16EB" w14:paraId="542495E6" w14:textId="77777777" w:rsidTr="009F5A31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A89337" w14:textId="63CF810E" w:rsidR="003E4592" w:rsidRPr="000E16EB" w:rsidRDefault="00A72697" w:rsidP="00F84072">
            <w:pPr>
              <w:pStyle w:val="Body"/>
              <w:spacing w:before="120"/>
              <w:rPr>
                <w:rFonts w:asciiTheme="minorHAnsi" w:hAnsiTheme="minorHAnsi"/>
                <w:color w:val="430098"/>
                <w:u w:val="single"/>
                <w:lang w:val="en-AU"/>
              </w:rPr>
            </w:pPr>
            <w:hyperlink r:id="rId14" w:history="1">
              <w:r w:rsidR="003E4592" w:rsidRPr="000E16EB">
                <w:rPr>
                  <w:rStyle w:val="Hyperlink"/>
                  <w:lang w:val="en-AU"/>
                </w:rPr>
                <w:t xml:space="preserve">Implementing Privacy </w:t>
              </w:r>
              <w:r w:rsidR="003E4592" w:rsidRPr="000E16EB">
                <w:rPr>
                  <w:rStyle w:val="Hyperlink"/>
                  <w:lang w:val="en-AU"/>
                </w:rPr>
                <w:t>b</w:t>
              </w:r>
              <w:r w:rsidR="003E4592" w:rsidRPr="000E16EB">
                <w:rPr>
                  <w:rStyle w:val="Hyperlink"/>
                  <w:lang w:val="en-AU"/>
                </w:rPr>
                <w:t>y Design</w:t>
              </w:r>
            </w:hyperlink>
          </w:p>
        </w:tc>
      </w:tr>
    </w:tbl>
    <w:p w14:paraId="2DF71C5E" w14:textId="776BB3B0" w:rsidR="00CF0926" w:rsidRPr="000E16EB" w:rsidRDefault="00443930" w:rsidP="003E4592">
      <w:pPr>
        <w:pStyle w:val="Body"/>
        <w:numPr>
          <w:ilvl w:val="1"/>
          <w:numId w:val="4"/>
        </w:numPr>
        <w:spacing w:before="200"/>
        <w:rPr>
          <w:lang w:val="en-AU"/>
        </w:rPr>
      </w:pPr>
      <w:r w:rsidRPr="000E16EB">
        <w:rPr>
          <w:lang w:val="en-AU"/>
        </w:rPr>
        <w:t>An organisation should u</w:t>
      </w:r>
      <w:r w:rsidR="00D5282F" w:rsidRPr="000E16EB">
        <w:rPr>
          <w:lang w:val="en-AU"/>
        </w:rPr>
        <w:t xml:space="preserve">nderstand </w:t>
      </w:r>
      <w:r w:rsidR="003172E4" w:rsidRPr="000E16EB">
        <w:rPr>
          <w:lang w:val="en-AU"/>
        </w:rPr>
        <w:t>the role of</w:t>
      </w:r>
      <w:r w:rsidR="000C1298" w:rsidRPr="000E16EB">
        <w:rPr>
          <w:lang w:val="en-AU"/>
        </w:rPr>
        <w:t xml:space="preserve"> OVIC</w:t>
      </w:r>
      <w:r w:rsidR="00E20A3A" w:rsidRPr="000E16EB">
        <w:rPr>
          <w:lang w:val="en-AU"/>
        </w:rPr>
        <w:t xml:space="preserve"> </w:t>
      </w:r>
      <w:r w:rsidR="003172E4" w:rsidRPr="000E16EB">
        <w:rPr>
          <w:lang w:val="en-AU"/>
        </w:rPr>
        <w:t xml:space="preserve">and </w:t>
      </w:r>
      <w:r w:rsidR="001C513C" w:rsidRPr="000E16EB">
        <w:rPr>
          <w:lang w:val="en-AU"/>
        </w:rPr>
        <w:t>its</w:t>
      </w:r>
      <w:r w:rsidR="003172E4" w:rsidRPr="000E16EB">
        <w:rPr>
          <w:lang w:val="en-AU"/>
        </w:rPr>
        <w:t xml:space="preserve"> approach to using regulatory powers. </w:t>
      </w:r>
      <w:r w:rsidR="000C1298" w:rsidRPr="000E16EB">
        <w:rPr>
          <w:lang w:val="en-AU"/>
        </w:rPr>
        <w:t>OVIC’s</w:t>
      </w:r>
      <w:r w:rsidR="00D5282F" w:rsidRPr="000E16EB">
        <w:rPr>
          <w:lang w:val="en-AU"/>
        </w:rPr>
        <w:t xml:space="preserve"> </w:t>
      </w:r>
      <w:r w:rsidR="000C1298" w:rsidRPr="000E16EB">
        <w:rPr>
          <w:lang w:val="en-AU"/>
        </w:rPr>
        <w:t xml:space="preserve">Regulatory Action Policy </w:t>
      </w:r>
      <w:r w:rsidR="003172E4" w:rsidRPr="000E16EB">
        <w:rPr>
          <w:lang w:val="en-AU"/>
        </w:rPr>
        <w:t xml:space="preserve">describes how </w:t>
      </w:r>
      <w:r w:rsidR="001C513C" w:rsidRPr="000E16EB">
        <w:rPr>
          <w:lang w:val="en-AU"/>
        </w:rPr>
        <w:t>it</w:t>
      </w:r>
      <w:r w:rsidR="003172E4" w:rsidRPr="000E16EB">
        <w:rPr>
          <w:lang w:val="en-AU"/>
        </w:rPr>
        <w:t xml:space="preserve"> </w:t>
      </w:r>
      <w:r w:rsidR="001C513C" w:rsidRPr="000E16EB">
        <w:rPr>
          <w:lang w:val="en-AU"/>
        </w:rPr>
        <w:t xml:space="preserve">aims to </w:t>
      </w:r>
      <w:r w:rsidR="003172E4" w:rsidRPr="000E16EB">
        <w:rPr>
          <w:lang w:val="en-AU"/>
        </w:rPr>
        <w:t xml:space="preserve">promote, assure and enforce the PDP Act. </w:t>
      </w: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</w:tblPr>
      <w:tblGrid>
        <w:gridCol w:w="9122"/>
      </w:tblGrid>
      <w:tr w:rsidR="003E4592" w:rsidRPr="000E16EB" w14:paraId="22C2B519" w14:textId="77777777" w:rsidTr="009F5A31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5B2C62" w14:textId="56BC745A" w:rsidR="003E4592" w:rsidRPr="000E16EB" w:rsidRDefault="00A72697" w:rsidP="00F84072">
            <w:pPr>
              <w:pStyle w:val="Footer"/>
              <w:spacing w:before="120" w:after="200"/>
              <w:rPr>
                <w:rFonts w:asciiTheme="minorHAnsi" w:hAnsiTheme="minorHAnsi"/>
                <w:sz w:val="22"/>
                <w:u w:val="single"/>
                <w:lang w:val="en-AU" w:eastAsia="en-GB"/>
              </w:rPr>
            </w:pPr>
            <w:hyperlink r:id="rId15" w:history="1">
              <w:r w:rsidR="003E4592" w:rsidRPr="000E16EB">
                <w:rPr>
                  <w:rStyle w:val="Hyperlink"/>
                  <w:lang w:val="en-AU"/>
                </w:rPr>
                <w:t>OVIC’s Regulatory Action Policy</w:t>
              </w:r>
            </w:hyperlink>
          </w:p>
        </w:tc>
      </w:tr>
    </w:tbl>
    <w:p w14:paraId="64D4DC82" w14:textId="319DA37E" w:rsidR="003E4592" w:rsidRPr="000E16EB" w:rsidRDefault="003E4592" w:rsidP="003E4592">
      <w:pPr>
        <w:pStyle w:val="Body"/>
        <w:rPr>
          <w:lang w:val="en-AU"/>
        </w:rPr>
      </w:pPr>
      <w:r w:rsidRPr="000E16EB">
        <w:rPr>
          <w:lang w:val="en-AU"/>
        </w:rPr>
        <w:br w:type="page"/>
      </w:r>
    </w:p>
    <w:p w14:paraId="0FC28240" w14:textId="67B236D6" w:rsidR="00331E17" w:rsidRPr="000E16EB" w:rsidRDefault="00602A0C" w:rsidP="00602A0C">
      <w:pPr>
        <w:pStyle w:val="Heading-1"/>
      </w:pPr>
      <w:r w:rsidRPr="000E16EB">
        <w:lastRenderedPageBreak/>
        <w:t>PART 2 – PRIVACY PRACTICES</w:t>
      </w:r>
    </w:p>
    <w:p w14:paraId="09ABA923" w14:textId="5C8C71C5" w:rsidR="003D7A69" w:rsidRPr="00602A0C" w:rsidRDefault="00DE23C0" w:rsidP="00DB4956">
      <w:pPr>
        <w:pStyle w:val="Body"/>
        <w:spacing w:before="240" w:after="240"/>
        <w:rPr>
          <w:rFonts w:ascii="Times New Roman" w:hAnsi="Times New Roman"/>
          <w:b/>
          <w:bCs/>
          <w:sz w:val="26"/>
          <w:szCs w:val="26"/>
          <w:lang w:val="en-AU" w:eastAsia="en-GB"/>
        </w:rPr>
      </w:pPr>
      <w:r w:rsidRPr="00602A0C">
        <w:rPr>
          <w:b/>
          <w:bCs/>
          <w:sz w:val="26"/>
          <w:szCs w:val="26"/>
          <w:shd w:val="clear" w:color="auto" w:fill="FFFFFF"/>
          <w:lang w:val="en-AU" w:eastAsia="en-GB"/>
        </w:rPr>
        <w:t>R</w:t>
      </w:r>
      <w:r w:rsidR="00981215" w:rsidRPr="00602A0C">
        <w:rPr>
          <w:b/>
          <w:bCs/>
          <w:sz w:val="26"/>
          <w:szCs w:val="26"/>
          <w:shd w:val="clear" w:color="auto" w:fill="FFFFFF"/>
          <w:lang w:val="en-AU" w:eastAsia="en-GB"/>
        </w:rPr>
        <w:t>obus</w:t>
      </w:r>
      <w:r w:rsidR="0006112E" w:rsidRPr="00602A0C">
        <w:rPr>
          <w:b/>
          <w:bCs/>
          <w:sz w:val="26"/>
          <w:szCs w:val="26"/>
          <w:shd w:val="clear" w:color="auto" w:fill="FFFFFF"/>
          <w:lang w:val="en-AU" w:eastAsia="en-GB"/>
        </w:rPr>
        <w:t xml:space="preserve">t </w:t>
      </w:r>
      <w:r w:rsidR="00981215" w:rsidRPr="00602A0C">
        <w:rPr>
          <w:b/>
          <w:bCs/>
          <w:sz w:val="26"/>
          <w:szCs w:val="26"/>
          <w:shd w:val="clear" w:color="auto" w:fill="FFFFFF"/>
          <w:lang w:val="en-AU" w:eastAsia="en-GB"/>
        </w:rPr>
        <w:t>and effective privacy practices</w:t>
      </w:r>
      <w:r w:rsidR="00B20436" w:rsidRPr="00602A0C">
        <w:rPr>
          <w:b/>
          <w:bCs/>
          <w:sz w:val="26"/>
          <w:szCs w:val="26"/>
          <w:shd w:val="clear" w:color="auto" w:fill="FFFFFF"/>
          <w:lang w:val="en-AU" w:eastAsia="en-GB"/>
        </w:rPr>
        <w:t xml:space="preserve"> ensure regulatory compliance and</w:t>
      </w:r>
      <w:r w:rsidR="00981215" w:rsidRPr="00602A0C">
        <w:rPr>
          <w:b/>
          <w:bCs/>
          <w:sz w:val="26"/>
          <w:szCs w:val="26"/>
          <w:shd w:val="clear" w:color="auto" w:fill="FFFFFF"/>
          <w:lang w:val="en-AU" w:eastAsia="en-GB"/>
        </w:rPr>
        <w:t xml:space="preserve"> maintain</w:t>
      </w:r>
      <w:r w:rsidR="00B20436" w:rsidRPr="00602A0C">
        <w:rPr>
          <w:b/>
          <w:bCs/>
          <w:sz w:val="26"/>
          <w:szCs w:val="26"/>
          <w:shd w:val="clear" w:color="auto" w:fill="FFFFFF"/>
          <w:lang w:val="en-AU" w:eastAsia="en-GB"/>
        </w:rPr>
        <w:t xml:space="preserve"> </w:t>
      </w:r>
      <w:r w:rsidR="00981215" w:rsidRPr="00602A0C">
        <w:rPr>
          <w:b/>
          <w:bCs/>
          <w:sz w:val="26"/>
          <w:szCs w:val="26"/>
          <w:shd w:val="clear" w:color="auto" w:fill="FFFFFF"/>
          <w:lang w:val="en-AU" w:eastAsia="en-GB"/>
        </w:rPr>
        <w:t>public trust in</w:t>
      </w:r>
      <w:r w:rsidR="0006112E" w:rsidRPr="00602A0C">
        <w:rPr>
          <w:b/>
          <w:bCs/>
          <w:sz w:val="26"/>
          <w:szCs w:val="26"/>
          <w:shd w:val="clear" w:color="auto" w:fill="FFFFFF"/>
          <w:lang w:val="en-AU" w:eastAsia="en-GB"/>
        </w:rPr>
        <w:t xml:space="preserve"> </w:t>
      </w:r>
      <w:r w:rsidRPr="00602A0C">
        <w:rPr>
          <w:b/>
          <w:bCs/>
          <w:sz w:val="26"/>
          <w:szCs w:val="26"/>
          <w:shd w:val="clear" w:color="auto" w:fill="FFFFFF"/>
          <w:lang w:val="en-AU" w:eastAsia="en-GB"/>
        </w:rPr>
        <w:t xml:space="preserve">an </w:t>
      </w:r>
      <w:r w:rsidR="00B20436" w:rsidRPr="00602A0C">
        <w:rPr>
          <w:b/>
          <w:bCs/>
          <w:sz w:val="26"/>
          <w:szCs w:val="26"/>
          <w:shd w:val="clear" w:color="auto" w:fill="FFFFFF"/>
          <w:lang w:val="en-AU" w:eastAsia="en-GB"/>
        </w:rPr>
        <w:t>organisation’s</w:t>
      </w:r>
      <w:r w:rsidR="0006112E" w:rsidRPr="00602A0C">
        <w:rPr>
          <w:b/>
          <w:bCs/>
          <w:sz w:val="26"/>
          <w:szCs w:val="26"/>
          <w:shd w:val="clear" w:color="auto" w:fill="FFFFFF"/>
          <w:lang w:val="en-AU" w:eastAsia="en-GB"/>
        </w:rPr>
        <w:t xml:space="preserve"> ability to</w:t>
      </w:r>
      <w:r w:rsidR="00981215" w:rsidRPr="00602A0C">
        <w:rPr>
          <w:b/>
          <w:bCs/>
          <w:sz w:val="26"/>
          <w:szCs w:val="26"/>
          <w:shd w:val="clear" w:color="auto" w:fill="FFFFFF"/>
          <w:lang w:val="en-AU" w:eastAsia="en-GB"/>
        </w:rPr>
        <w:t xml:space="preserve"> handle personal information</w:t>
      </w:r>
      <w:r w:rsidR="00830A9B" w:rsidRPr="00602A0C">
        <w:rPr>
          <w:b/>
          <w:bCs/>
          <w:sz w:val="26"/>
          <w:szCs w:val="26"/>
          <w:shd w:val="clear" w:color="auto" w:fill="FFFFFF"/>
          <w:lang w:val="en-AU" w:eastAsia="en-GB"/>
        </w:rPr>
        <w:t>.</w:t>
      </w:r>
      <w:r w:rsidR="00B20436" w:rsidRPr="00602A0C">
        <w:rPr>
          <w:noProof/>
          <w:sz w:val="26"/>
          <w:szCs w:val="26"/>
          <w:lang w:val="en-AU"/>
        </w:rPr>
        <w:drawing>
          <wp:anchor distT="0" distB="0" distL="114300" distR="114300" simplePos="0" relativeHeight="251658240" behindDoc="0" locked="0" layoutInCell="1" allowOverlap="1" wp14:anchorId="5BCD5ABC" wp14:editId="77D325A0">
            <wp:simplePos x="0" y="0"/>
            <wp:positionH relativeFrom="margin">
              <wp:posOffset>2859405</wp:posOffset>
            </wp:positionH>
            <wp:positionV relativeFrom="margin">
              <wp:posOffset>1122045</wp:posOffset>
            </wp:positionV>
            <wp:extent cx="3384550" cy="3385185"/>
            <wp:effectExtent l="0" t="0" r="6350" b="5715"/>
            <wp:wrapSquare wrapText="bothSides"/>
            <wp:docPr id="185" name="Google Shape;185;p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Google Shape;185;p29"/>
                    <pic:cNvPicPr preferRelativeResize="0"/>
                  </pic:nvPicPr>
                  <pic:blipFill rotWithShape="1">
                    <a:blip r:embed="rId1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1" t="13276" r="21591" b="22245"/>
                    <a:stretch/>
                  </pic:blipFill>
                  <pic:spPr>
                    <a:xfrm>
                      <a:off x="0" y="0"/>
                      <a:ext cx="3384550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D14CF" w14:textId="2F945413" w:rsidR="00B20436" w:rsidRPr="000E16EB" w:rsidRDefault="003D7A69" w:rsidP="00123593">
      <w:pPr>
        <w:pStyle w:val="Body"/>
        <w:numPr>
          <w:ilvl w:val="1"/>
          <w:numId w:val="5"/>
        </w:numPr>
        <w:spacing w:before="360"/>
        <w:rPr>
          <w:lang w:val="en-AU"/>
        </w:rPr>
      </w:pPr>
      <w:r w:rsidRPr="000E16EB">
        <w:rPr>
          <w:rFonts w:asciiTheme="minorHAnsi" w:hAnsiTheme="minorHAnsi"/>
          <w:lang w:val="en-AU"/>
        </w:rPr>
        <w:t xml:space="preserve">An </w:t>
      </w:r>
      <w:r w:rsidR="0006112E" w:rsidRPr="000E16EB">
        <w:rPr>
          <w:rFonts w:asciiTheme="minorHAnsi" w:hAnsiTheme="minorHAnsi"/>
          <w:lang w:val="en-AU"/>
        </w:rPr>
        <w:t>organisation should d</w:t>
      </w:r>
      <w:r w:rsidR="004314C9" w:rsidRPr="000E16EB">
        <w:rPr>
          <w:rFonts w:asciiTheme="minorHAnsi" w:hAnsiTheme="minorHAnsi"/>
          <w:lang w:val="en-AU"/>
        </w:rPr>
        <w:t>evelop</w:t>
      </w:r>
      <w:r w:rsidR="004314C9" w:rsidRPr="000E16EB">
        <w:rPr>
          <w:lang w:val="en-AU"/>
        </w:rPr>
        <w:t xml:space="preserve"> and maintain processes around handling personal information that </w:t>
      </w:r>
      <w:r w:rsidR="006749A6" w:rsidRPr="000E16EB">
        <w:rPr>
          <w:lang w:val="en-AU"/>
        </w:rPr>
        <w:t>align</w:t>
      </w:r>
      <w:r w:rsidR="004314C9" w:rsidRPr="000E16EB">
        <w:rPr>
          <w:lang w:val="en-AU"/>
        </w:rPr>
        <w:t xml:space="preserve"> with </w:t>
      </w:r>
      <w:r w:rsidR="00452A0A" w:rsidRPr="000E16EB">
        <w:rPr>
          <w:lang w:val="en-AU"/>
        </w:rPr>
        <w:t>the</w:t>
      </w:r>
      <w:r w:rsidR="006749A6" w:rsidRPr="000E16EB">
        <w:rPr>
          <w:lang w:val="en-AU"/>
        </w:rPr>
        <w:t xml:space="preserve"> organisation’s</w:t>
      </w:r>
      <w:r w:rsidR="004314C9" w:rsidRPr="000E16EB">
        <w:rPr>
          <w:lang w:val="en-AU"/>
        </w:rPr>
        <w:t xml:space="preserve"> privacy obligations.</w:t>
      </w:r>
      <w:r w:rsidR="00B20436" w:rsidRPr="000E16EB">
        <w:rPr>
          <w:lang w:val="en-AU"/>
        </w:rPr>
        <w:t xml:space="preserve"> Processes, procedures and policies need to be tailored to individual functions and activities an organisation undertakes.</w:t>
      </w:r>
    </w:p>
    <w:p w14:paraId="42CFE306" w14:textId="6442F3EB" w:rsidR="000A0AB5" w:rsidRPr="000E16EB" w:rsidRDefault="00B20436" w:rsidP="00123593">
      <w:pPr>
        <w:pStyle w:val="Body"/>
        <w:numPr>
          <w:ilvl w:val="1"/>
          <w:numId w:val="5"/>
        </w:numPr>
        <w:rPr>
          <w:lang w:val="en-AU"/>
        </w:rPr>
      </w:pPr>
      <w:r w:rsidRPr="000E16EB">
        <w:rPr>
          <w:lang w:val="en-AU"/>
        </w:rPr>
        <w:t>An organisation’s</w:t>
      </w:r>
      <w:r w:rsidR="004314C9" w:rsidRPr="000E16EB">
        <w:rPr>
          <w:lang w:val="en-AU"/>
        </w:rPr>
        <w:t xml:space="preserve"> processes should cover the information lifecycle and clearly outline staff responsibilities when handling personal information. </w:t>
      </w:r>
      <w:r w:rsidR="008F004D" w:rsidRPr="000E16EB">
        <w:rPr>
          <w:lang w:val="en-AU"/>
        </w:rPr>
        <w:t>The information lifecycle</w:t>
      </w:r>
      <w:r w:rsidR="002D1380" w:rsidRPr="000E16EB">
        <w:rPr>
          <w:lang w:val="en-AU"/>
        </w:rPr>
        <w:t xml:space="preserve"> is the flow of information from the point the organisation collects the information to the point the information is</w:t>
      </w:r>
      <w:r w:rsidR="00DD1AED" w:rsidRPr="000E16EB">
        <w:rPr>
          <w:lang w:val="en-AU"/>
        </w:rPr>
        <w:t xml:space="preserve"> destroyed</w:t>
      </w:r>
      <w:r w:rsidR="002D1380" w:rsidRPr="000E16EB">
        <w:rPr>
          <w:lang w:val="en-AU"/>
        </w:rPr>
        <w:t>. The IPPs can be grouped</w:t>
      </w:r>
      <w:r w:rsidR="0073060C" w:rsidRPr="000E16EB">
        <w:rPr>
          <w:lang w:val="en-AU"/>
        </w:rPr>
        <w:t xml:space="preserve"> into</w:t>
      </w:r>
      <w:r w:rsidR="002D1380" w:rsidRPr="000E16EB">
        <w:rPr>
          <w:lang w:val="en-AU"/>
        </w:rPr>
        <w:t xml:space="preserve"> the</w:t>
      </w:r>
      <w:r w:rsidR="0073060C" w:rsidRPr="000E16EB">
        <w:rPr>
          <w:lang w:val="en-AU"/>
        </w:rPr>
        <w:t xml:space="preserve"> five main stages </w:t>
      </w:r>
      <w:r w:rsidR="002D1380" w:rsidRPr="000E16EB">
        <w:rPr>
          <w:lang w:val="en-AU"/>
        </w:rPr>
        <w:t>of</w:t>
      </w:r>
      <w:r w:rsidR="0073060C" w:rsidRPr="000E16EB">
        <w:rPr>
          <w:lang w:val="en-AU"/>
        </w:rPr>
        <w:t xml:space="preserve"> the information cycle</w:t>
      </w:r>
      <w:r w:rsidR="002D1380" w:rsidRPr="000E16EB">
        <w:rPr>
          <w:lang w:val="en-AU"/>
        </w:rPr>
        <w:t xml:space="preserve">. </w:t>
      </w:r>
      <w:r w:rsidR="00565E07" w:rsidRPr="000E16EB">
        <w:rPr>
          <w:lang w:val="en-AU"/>
        </w:rPr>
        <w:t xml:space="preserve">This is illustrated in the diagram. </w:t>
      </w:r>
    </w:p>
    <w:p w14:paraId="77946ED6" w14:textId="5562A4B4" w:rsidR="00DB4956" w:rsidRPr="000E16EB" w:rsidRDefault="00DB4956" w:rsidP="00123593">
      <w:pPr>
        <w:pStyle w:val="Body"/>
        <w:numPr>
          <w:ilvl w:val="1"/>
          <w:numId w:val="5"/>
        </w:numPr>
        <w:rPr>
          <w:lang w:val="en-AU"/>
        </w:rPr>
      </w:pPr>
      <w:r w:rsidRPr="000E16EB">
        <w:rPr>
          <w:lang w:val="en-AU"/>
        </w:rPr>
        <w:t xml:space="preserve">An organisation should have a privacy policy </w:t>
      </w:r>
      <w:r w:rsidRPr="000E16EB">
        <w:rPr>
          <w:rFonts w:asciiTheme="minorHAnsi" w:hAnsiTheme="minorHAnsi"/>
          <w:lang w:val="en-AU"/>
        </w:rPr>
        <w:t xml:space="preserve">that is current, easily accessible, easy to understand, and </w:t>
      </w:r>
      <w:r w:rsidR="00045E2F" w:rsidRPr="000E16EB">
        <w:rPr>
          <w:rFonts w:asciiTheme="minorHAnsi" w:hAnsiTheme="minorHAnsi"/>
          <w:lang w:val="en-AU"/>
        </w:rPr>
        <w:t xml:space="preserve">accurately </w:t>
      </w:r>
      <w:r w:rsidRPr="000E16EB">
        <w:rPr>
          <w:rFonts w:asciiTheme="minorHAnsi" w:hAnsiTheme="minorHAnsi"/>
          <w:lang w:val="en-AU"/>
        </w:rPr>
        <w:t>reflects the organisation’s practices</w:t>
      </w:r>
      <w:r w:rsidR="00045E2F" w:rsidRPr="000E16EB">
        <w:rPr>
          <w:rFonts w:asciiTheme="minorHAnsi" w:hAnsiTheme="minorHAnsi"/>
          <w:lang w:val="en-AU"/>
        </w:rPr>
        <w:t>.</w:t>
      </w: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</w:tblPr>
      <w:tblGrid>
        <w:gridCol w:w="9122"/>
      </w:tblGrid>
      <w:tr w:rsidR="00DE7A9E" w:rsidRPr="000E16EB" w14:paraId="5C81AA43" w14:textId="77777777" w:rsidTr="002105C6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811D4F" w14:textId="7E2D96D8" w:rsidR="00DE7A9E" w:rsidRPr="000E16EB" w:rsidRDefault="00A72697" w:rsidP="002105C6">
            <w:pPr>
              <w:pStyle w:val="Body"/>
              <w:spacing w:before="120" w:after="120"/>
              <w:rPr>
                <w:rFonts w:asciiTheme="minorHAnsi" w:hAnsiTheme="minorHAnsi"/>
                <w:color w:val="430098"/>
                <w:u w:val="single"/>
                <w:lang w:val="en-AU"/>
              </w:rPr>
            </w:pPr>
            <w:hyperlink r:id="rId17" w:history="1">
              <w:r w:rsidR="00DE7A9E" w:rsidRPr="000E16EB">
                <w:rPr>
                  <w:rStyle w:val="Hyperlink"/>
                  <w:lang w:val="en-AU"/>
                </w:rPr>
                <w:t>IPP 5 – Openness: Organisation self-assessment tool</w:t>
              </w:r>
            </w:hyperlink>
          </w:p>
          <w:p w14:paraId="36830C75" w14:textId="17108F5D" w:rsidR="00DE7A9E" w:rsidRPr="000E16EB" w:rsidRDefault="00A72697" w:rsidP="00DE7A9E">
            <w:pPr>
              <w:pStyle w:val="Body"/>
              <w:spacing w:before="120" w:after="120"/>
              <w:rPr>
                <w:rFonts w:asciiTheme="minorHAnsi" w:hAnsiTheme="minorHAnsi"/>
                <w:color w:val="430098"/>
                <w:u w:val="single"/>
                <w:lang w:val="en-AU"/>
              </w:rPr>
            </w:pPr>
            <w:hyperlink r:id="rId18" w:history="1">
              <w:r w:rsidR="00DE7A9E" w:rsidRPr="000E16EB">
                <w:rPr>
                  <w:rStyle w:val="Hyperlink"/>
                  <w:lang w:val="en-AU"/>
                </w:rPr>
                <w:t>Understanding how to draft a privacy policy</w:t>
              </w:r>
            </w:hyperlink>
          </w:p>
        </w:tc>
      </w:tr>
    </w:tbl>
    <w:p w14:paraId="08968AB4" w14:textId="4F4F3E7B" w:rsidR="00D63111" w:rsidRPr="000E16EB" w:rsidRDefault="00045E2F" w:rsidP="00DE7A9E">
      <w:pPr>
        <w:pStyle w:val="Body"/>
        <w:numPr>
          <w:ilvl w:val="1"/>
          <w:numId w:val="5"/>
        </w:numPr>
        <w:spacing w:before="200"/>
        <w:rPr>
          <w:rFonts w:asciiTheme="minorHAnsi" w:hAnsiTheme="minorHAnsi"/>
          <w:lang w:val="en-AU"/>
        </w:rPr>
      </w:pPr>
      <w:r w:rsidRPr="000E16EB">
        <w:rPr>
          <w:lang w:val="en-AU"/>
        </w:rPr>
        <w:t xml:space="preserve">An organisation </w:t>
      </w:r>
      <w:r w:rsidR="004B634F">
        <w:rPr>
          <w:lang w:val="en-AU"/>
        </w:rPr>
        <w:t xml:space="preserve">should </w:t>
      </w:r>
      <w:r w:rsidRPr="000E16EB">
        <w:rPr>
          <w:lang w:val="en-AU"/>
        </w:rPr>
        <w:t>ensure reasonable steps</w:t>
      </w:r>
      <w:r w:rsidR="008F71F3" w:rsidRPr="000E16EB">
        <w:rPr>
          <w:lang w:val="en-AU"/>
        </w:rPr>
        <w:t xml:space="preserve"> are taken</w:t>
      </w:r>
      <w:r w:rsidRPr="000E16EB">
        <w:rPr>
          <w:lang w:val="en-AU"/>
        </w:rPr>
        <w:t xml:space="preserve"> to </w:t>
      </w:r>
      <w:r w:rsidR="00277E94" w:rsidRPr="000E16EB">
        <w:rPr>
          <w:rFonts w:asciiTheme="minorHAnsi" w:hAnsiTheme="minorHAnsi"/>
          <w:lang w:val="en-AU"/>
        </w:rPr>
        <w:t xml:space="preserve">give notice </w:t>
      </w:r>
      <w:r w:rsidR="008F71F3" w:rsidRPr="000E16EB">
        <w:rPr>
          <w:rFonts w:asciiTheme="minorHAnsi" w:hAnsiTheme="minorHAnsi"/>
          <w:lang w:val="en-AU"/>
        </w:rPr>
        <w:t>of the</w:t>
      </w:r>
      <w:r w:rsidR="00277E94" w:rsidRPr="000E16EB">
        <w:rPr>
          <w:rFonts w:asciiTheme="minorHAnsi" w:hAnsiTheme="minorHAnsi"/>
          <w:lang w:val="en-AU"/>
        </w:rPr>
        <w:t xml:space="preserve"> matters required </w:t>
      </w:r>
      <w:r w:rsidR="00B921E3" w:rsidRPr="000E16EB">
        <w:rPr>
          <w:rFonts w:asciiTheme="minorHAnsi" w:hAnsiTheme="minorHAnsi"/>
          <w:lang w:val="en-AU"/>
        </w:rPr>
        <w:t>under</w:t>
      </w:r>
      <w:r w:rsidR="00277E94" w:rsidRPr="000E16EB">
        <w:rPr>
          <w:rFonts w:asciiTheme="minorHAnsi" w:hAnsiTheme="minorHAnsi"/>
          <w:lang w:val="en-AU"/>
        </w:rPr>
        <w:t xml:space="preserve"> </w:t>
      </w:r>
      <w:r w:rsidR="00DB4956" w:rsidRPr="000E16EB">
        <w:rPr>
          <w:rFonts w:asciiTheme="minorHAnsi" w:hAnsiTheme="minorHAnsi"/>
          <w:lang w:val="en-AU"/>
        </w:rPr>
        <w:t xml:space="preserve">IPP </w:t>
      </w:r>
      <w:r w:rsidR="008F71F3" w:rsidRPr="000E16EB">
        <w:rPr>
          <w:rFonts w:asciiTheme="minorHAnsi" w:hAnsiTheme="minorHAnsi"/>
          <w:lang w:val="en-AU"/>
        </w:rPr>
        <w:t>1.</w:t>
      </w:r>
      <w:r w:rsidR="00DB4956" w:rsidRPr="000E16EB">
        <w:rPr>
          <w:rFonts w:asciiTheme="minorHAnsi" w:hAnsiTheme="minorHAnsi"/>
          <w:lang w:val="en-AU"/>
        </w:rPr>
        <w:t>3</w:t>
      </w:r>
      <w:r w:rsidR="008F71F3" w:rsidRPr="000E16EB">
        <w:rPr>
          <w:rFonts w:asciiTheme="minorHAnsi" w:hAnsiTheme="minorHAnsi"/>
          <w:lang w:val="en-AU"/>
        </w:rPr>
        <w:t xml:space="preserve"> when collecting personal information</w:t>
      </w:r>
      <w:r w:rsidR="00277E94" w:rsidRPr="000E16EB">
        <w:rPr>
          <w:rFonts w:asciiTheme="minorHAnsi" w:hAnsiTheme="minorHAnsi"/>
          <w:lang w:val="en-AU"/>
        </w:rPr>
        <w:t>. It is</w:t>
      </w:r>
      <w:r w:rsidR="00E715C9" w:rsidRPr="000E16EB">
        <w:rPr>
          <w:rFonts w:asciiTheme="minorHAnsi" w:hAnsiTheme="minorHAnsi"/>
          <w:lang w:val="en-AU"/>
        </w:rPr>
        <w:t xml:space="preserve"> i</w:t>
      </w:r>
      <w:r w:rsidR="00277E94" w:rsidRPr="000E16EB">
        <w:rPr>
          <w:rFonts w:asciiTheme="minorHAnsi" w:hAnsiTheme="minorHAnsi"/>
          <w:lang w:val="en-AU"/>
        </w:rPr>
        <w:t xml:space="preserve">mportant to ensure steps </w:t>
      </w:r>
      <w:r w:rsidR="00DB4956" w:rsidRPr="000E16EB">
        <w:rPr>
          <w:rFonts w:asciiTheme="minorHAnsi" w:hAnsiTheme="minorHAnsi"/>
          <w:lang w:val="en-AU"/>
        </w:rPr>
        <w:t xml:space="preserve">taken </w:t>
      </w:r>
      <w:r w:rsidR="00277E94" w:rsidRPr="000E16EB">
        <w:rPr>
          <w:rFonts w:asciiTheme="minorHAnsi" w:hAnsiTheme="minorHAnsi"/>
          <w:lang w:val="en-AU"/>
        </w:rPr>
        <w:t>to give notice</w:t>
      </w:r>
      <w:r w:rsidR="00E715C9" w:rsidRPr="000E16EB">
        <w:rPr>
          <w:rFonts w:asciiTheme="minorHAnsi" w:hAnsiTheme="minorHAnsi"/>
          <w:lang w:val="en-AU"/>
        </w:rPr>
        <w:t xml:space="preserve"> (for example, a collection notice)</w:t>
      </w:r>
      <w:r w:rsidR="00277E94" w:rsidRPr="000E16EB">
        <w:rPr>
          <w:rFonts w:asciiTheme="minorHAnsi" w:hAnsiTheme="minorHAnsi"/>
          <w:lang w:val="en-AU"/>
        </w:rPr>
        <w:t xml:space="preserve"> are tailored to the circumstances, reviewed periodically</w:t>
      </w:r>
      <w:r w:rsidR="00E715C9" w:rsidRPr="000E16EB">
        <w:rPr>
          <w:rFonts w:asciiTheme="minorHAnsi" w:hAnsiTheme="minorHAnsi"/>
          <w:lang w:val="en-AU"/>
        </w:rPr>
        <w:t xml:space="preserve">, </w:t>
      </w:r>
      <w:r w:rsidR="008F71F3" w:rsidRPr="000E16EB">
        <w:rPr>
          <w:rFonts w:asciiTheme="minorHAnsi" w:hAnsiTheme="minorHAnsi"/>
          <w:lang w:val="en-AU"/>
        </w:rPr>
        <w:t xml:space="preserve">and </w:t>
      </w:r>
      <w:r w:rsidR="00277E94" w:rsidRPr="000E16EB">
        <w:rPr>
          <w:rFonts w:asciiTheme="minorHAnsi" w:hAnsiTheme="minorHAnsi"/>
          <w:lang w:val="en-AU"/>
        </w:rPr>
        <w:t xml:space="preserve">consistent with the organisation’s privacy policy. </w:t>
      </w: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</w:tblPr>
      <w:tblGrid>
        <w:gridCol w:w="9122"/>
      </w:tblGrid>
      <w:tr w:rsidR="003E4592" w:rsidRPr="000E16EB" w14:paraId="18A9ED50" w14:textId="77777777" w:rsidTr="00E715C9">
        <w:tc>
          <w:tcPr>
            <w:tcW w:w="91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108422" w14:textId="1AAC8DB8" w:rsidR="003E4592" w:rsidRPr="000E16EB" w:rsidRDefault="00A72697" w:rsidP="00F84072">
            <w:pPr>
              <w:pStyle w:val="Footer"/>
              <w:spacing w:before="120" w:after="200"/>
              <w:rPr>
                <w:rFonts w:asciiTheme="minorHAnsi" w:hAnsiTheme="minorHAnsi"/>
                <w:sz w:val="22"/>
                <w:u w:val="single"/>
                <w:lang w:val="en-AU" w:eastAsia="en-GB"/>
              </w:rPr>
            </w:pPr>
            <w:hyperlink r:id="rId19" w:history="1">
              <w:r w:rsidR="003E4592" w:rsidRPr="000E16EB">
                <w:rPr>
                  <w:rStyle w:val="Hyperlink"/>
                  <w:lang w:val="en-AU"/>
                </w:rPr>
                <w:t>Understanding how to draft collection notices</w:t>
              </w:r>
            </w:hyperlink>
          </w:p>
        </w:tc>
      </w:tr>
    </w:tbl>
    <w:p w14:paraId="30C678FD" w14:textId="1B269A3F" w:rsidR="00284E22" w:rsidRPr="000E16EB" w:rsidRDefault="00284E22" w:rsidP="00284E22">
      <w:pPr>
        <w:pStyle w:val="Body"/>
        <w:numPr>
          <w:ilvl w:val="1"/>
          <w:numId w:val="5"/>
        </w:numPr>
        <w:spacing w:before="200"/>
        <w:rPr>
          <w:rFonts w:asciiTheme="minorHAnsi" w:hAnsiTheme="minorHAnsi"/>
          <w:lang w:val="en-AU"/>
        </w:rPr>
      </w:pPr>
      <w:r w:rsidRPr="000E16EB">
        <w:rPr>
          <w:lang w:val="en-AU"/>
        </w:rPr>
        <w:t>An organisation should ensure it is aware of any information security obligations it has under the Victorian Protective Data Security Framework. Privacy and security go hand-in-hand</w:t>
      </w:r>
      <w:r w:rsidR="00B74460">
        <w:rPr>
          <w:lang w:val="en-AU"/>
        </w:rPr>
        <w:t>.</w:t>
      </w:r>
      <w:r w:rsidRPr="000E16EB">
        <w:rPr>
          <w:lang w:val="en-AU"/>
        </w:rPr>
        <w:t xml:space="preserve"> </w:t>
      </w:r>
      <w:r w:rsidR="00B74460">
        <w:rPr>
          <w:lang w:val="en-AU"/>
        </w:rPr>
        <w:t>G</w:t>
      </w:r>
      <w:r w:rsidRPr="000E16EB">
        <w:rPr>
          <w:lang w:val="en-AU"/>
        </w:rPr>
        <w:t>ood information security practices protect personal information from unauthorised access, use, modification</w:t>
      </w:r>
      <w:r w:rsidR="00AF1D1D" w:rsidRPr="000E16EB">
        <w:rPr>
          <w:lang w:val="en-AU"/>
        </w:rPr>
        <w:t>,</w:t>
      </w:r>
      <w:r w:rsidRPr="000E16EB">
        <w:rPr>
          <w:lang w:val="en-AU"/>
        </w:rPr>
        <w:t xml:space="preserve"> or disclosure.</w:t>
      </w: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</w:tblPr>
      <w:tblGrid>
        <w:gridCol w:w="9122"/>
      </w:tblGrid>
      <w:tr w:rsidR="00284E22" w:rsidRPr="000E16EB" w14:paraId="4DF150E1" w14:textId="77777777" w:rsidTr="00982C27">
        <w:tc>
          <w:tcPr>
            <w:tcW w:w="91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1C45A5" w14:textId="77777777" w:rsidR="00284E22" w:rsidRPr="000E16EB" w:rsidRDefault="00A72697" w:rsidP="002105C6">
            <w:pPr>
              <w:pStyle w:val="Footer"/>
              <w:spacing w:before="120" w:after="120"/>
              <w:rPr>
                <w:rFonts w:asciiTheme="minorHAnsi" w:hAnsiTheme="minorHAnsi"/>
                <w:sz w:val="22"/>
                <w:u w:val="single"/>
                <w:lang w:val="en-AU"/>
              </w:rPr>
            </w:pPr>
            <w:hyperlink r:id="rId20" w:anchor="IPP_4.1:_Security_of_personal_information" w:history="1">
              <w:r w:rsidR="00284E22" w:rsidRPr="000E16EB">
                <w:rPr>
                  <w:rStyle w:val="Hyperlink"/>
                  <w:lang w:val="en-AU"/>
                </w:rPr>
                <w:t>Guidelines to IPP 4.1 – Security of personal information</w:t>
              </w:r>
            </w:hyperlink>
          </w:p>
          <w:p w14:paraId="5CA8AC92" w14:textId="77777777" w:rsidR="00284E22" w:rsidRPr="000E16EB" w:rsidRDefault="00A72697" w:rsidP="00284E22">
            <w:pPr>
              <w:pStyle w:val="Footer"/>
              <w:spacing w:before="120" w:after="240"/>
              <w:rPr>
                <w:rFonts w:asciiTheme="minorHAnsi" w:hAnsiTheme="minorHAnsi"/>
                <w:sz w:val="22"/>
                <w:u w:val="single"/>
                <w:lang w:val="en-AU"/>
              </w:rPr>
            </w:pPr>
            <w:hyperlink r:id="rId21" w:history="1">
              <w:r w:rsidR="00284E22" w:rsidRPr="000E16EB">
                <w:rPr>
                  <w:rStyle w:val="Hyperlink"/>
                  <w:lang w:val="en-AU"/>
                </w:rPr>
                <w:t>Victorian Protective Data Security Framework</w:t>
              </w:r>
            </w:hyperlink>
          </w:p>
        </w:tc>
      </w:tr>
    </w:tbl>
    <w:p w14:paraId="709BC5D0" w14:textId="77777777" w:rsidR="00602A0C" w:rsidRDefault="00602A0C" w:rsidP="00602A0C">
      <w:pPr>
        <w:pStyle w:val="Body"/>
        <w:spacing w:before="360"/>
        <w:ind w:left="510"/>
        <w:rPr>
          <w:rFonts w:asciiTheme="minorHAnsi" w:hAnsiTheme="minorHAnsi"/>
          <w:lang w:val="en-AU"/>
        </w:rPr>
      </w:pPr>
    </w:p>
    <w:p w14:paraId="740C522C" w14:textId="21CDD61C" w:rsidR="00982C27" w:rsidRPr="000E16EB" w:rsidRDefault="00982C27" w:rsidP="00982C27">
      <w:pPr>
        <w:pStyle w:val="Body"/>
        <w:numPr>
          <w:ilvl w:val="1"/>
          <w:numId w:val="5"/>
        </w:numPr>
        <w:spacing w:before="360"/>
        <w:rPr>
          <w:rFonts w:asciiTheme="minorHAnsi" w:hAnsiTheme="minorHAnsi"/>
          <w:lang w:val="en-AU"/>
        </w:rPr>
      </w:pPr>
      <w:r w:rsidRPr="000E16EB">
        <w:rPr>
          <w:rFonts w:asciiTheme="minorHAnsi" w:hAnsiTheme="minorHAnsi"/>
          <w:lang w:val="en-AU"/>
        </w:rPr>
        <w:lastRenderedPageBreak/>
        <w:t>An organisation should ensure Privacy Impact Assessments (</w:t>
      </w:r>
      <w:r w:rsidRPr="000E16EB">
        <w:rPr>
          <w:rFonts w:asciiTheme="minorHAnsi" w:hAnsiTheme="minorHAnsi"/>
          <w:b/>
          <w:bCs/>
          <w:lang w:val="en-AU"/>
        </w:rPr>
        <w:t>PIAs</w:t>
      </w:r>
      <w:r w:rsidRPr="000E16EB">
        <w:rPr>
          <w:rFonts w:asciiTheme="minorHAnsi" w:hAnsiTheme="minorHAnsi"/>
          <w:lang w:val="en-AU"/>
        </w:rPr>
        <w:t>) are undertaken for all projects and initiatives that involve personal information or impact on the organisation’s information management practices or processes.</w:t>
      </w:r>
      <w:r w:rsidR="00AF1D1D" w:rsidRPr="000E16EB">
        <w:rPr>
          <w:rFonts w:asciiTheme="minorHAnsi" w:hAnsiTheme="minorHAnsi"/>
          <w:lang w:val="en-AU"/>
        </w:rPr>
        <w:t xml:space="preserve"> </w:t>
      </w:r>
      <w:r w:rsidR="00B921E3" w:rsidRPr="000E16EB">
        <w:rPr>
          <w:rFonts w:asciiTheme="minorHAnsi" w:hAnsiTheme="minorHAnsi"/>
          <w:lang w:val="en-AU"/>
        </w:rPr>
        <w:t xml:space="preserve">PIAs should be reviewed and updated when material changes occur. </w:t>
      </w: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</w:tblPr>
      <w:tblGrid>
        <w:gridCol w:w="9122"/>
      </w:tblGrid>
      <w:tr w:rsidR="00982C27" w:rsidRPr="000E16EB" w14:paraId="79BD2CE0" w14:textId="77777777" w:rsidTr="002105C6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B95DEB" w14:textId="38A83A51" w:rsidR="00982C27" w:rsidRPr="000E16EB" w:rsidRDefault="00203B12" w:rsidP="002105C6">
            <w:pPr>
              <w:pStyle w:val="Body"/>
              <w:spacing w:before="120" w:after="120"/>
              <w:rPr>
                <w:rFonts w:asciiTheme="minorHAnsi" w:hAnsiTheme="minorHAnsi"/>
                <w:color w:val="430098"/>
                <w:u w:val="single"/>
                <w:lang w:val="en-AU"/>
              </w:rPr>
            </w:pPr>
            <w:hyperlink r:id="rId22" w:history="1">
              <w:r w:rsidR="00982C27" w:rsidRPr="00203B12">
                <w:rPr>
                  <w:rStyle w:val="Hyperlink"/>
                  <w:lang w:val="en-AU"/>
                </w:rPr>
                <w:t>Privacy Impact Assessment guide and template</w:t>
              </w:r>
            </w:hyperlink>
          </w:p>
          <w:p w14:paraId="3D54D005" w14:textId="146B18CD" w:rsidR="00982C27" w:rsidRPr="000E16EB" w:rsidRDefault="00A72697" w:rsidP="002105C6">
            <w:pPr>
              <w:pStyle w:val="Body"/>
              <w:spacing w:before="120"/>
              <w:rPr>
                <w:rFonts w:asciiTheme="minorHAnsi" w:hAnsiTheme="minorHAnsi" w:cs="Times New Roman"/>
                <w:color w:val="430098"/>
                <w:szCs w:val="24"/>
                <w:u w:val="single"/>
                <w:lang w:val="en-AU" w:eastAsia="en-GB"/>
              </w:rPr>
            </w:pPr>
            <w:hyperlink r:id="rId23" w:history="1">
              <w:r w:rsidR="00203B12">
                <w:rPr>
                  <w:rStyle w:val="Hyperlink"/>
                  <w:lang w:val="en-AU"/>
                </w:rPr>
                <w:t>Ex</w:t>
              </w:r>
              <w:r w:rsidR="00982C27" w:rsidRPr="000E16EB">
                <w:rPr>
                  <w:rStyle w:val="Hyperlink"/>
                  <w:lang w:val="en-AU"/>
                </w:rPr>
                <w:t>ecutive buy-in for PIAs</w:t>
              </w:r>
            </w:hyperlink>
          </w:p>
        </w:tc>
      </w:tr>
    </w:tbl>
    <w:p w14:paraId="7E4603A5" w14:textId="6D2D64A7" w:rsidR="000F511E" w:rsidRPr="000E16EB" w:rsidRDefault="00D63111" w:rsidP="00982C27">
      <w:pPr>
        <w:pStyle w:val="Body"/>
        <w:numPr>
          <w:ilvl w:val="1"/>
          <w:numId w:val="5"/>
        </w:numPr>
        <w:spacing w:before="200"/>
        <w:rPr>
          <w:lang w:val="en-AU"/>
        </w:rPr>
      </w:pPr>
      <w:r w:rsidRPr="000E16EB">
        <w:rPr>
          <w:lang w:val="en-AU"/>
        </w:rPr>
        <w:t xml:space="preserve">An organisation should ensure it understands how and when personal information can be shared within and outside of the organisation, and how information should be protected when shared. </w:t>
      </w: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</w:tblPr>
      <w:tblGrid>
        <w:gridCol w:w="9122"/>
      </w:tblGrid>
      <w:tr w:rsidR="000F511E" w:rsidRPr="000E16EB" w14:paraId="1F868DA6" w14:textId="77777777" w:rsidTr="002105C6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699E0B" w14:textId="63B30215" w:rsidR="000F511E" w:rsidRPr="000E16EB" w:rsidRDefault="00A72697" w:rsidP="002105C6">
            <w:pPr>
              <w:pStyle w:val="Footer"/>
              <w:spacing w:before="120" w:after="120"/>
              <w:rPr>
                <w:rFonts w:asciiTheme="minorHAnsi" w:hAnsiTheme="minorHAnsi"/>
                <w:sz w:val="22"/>
                <w:u w:val="single"/>
                <w:lang w:val="en-AU"/>
              </w:rPr>
            </w:pPr>
            <w:hyperlink r:id="rId24" w:history="1">
              <w:r w:rsidR="000F511E" w:rsidRPr="000E16EB">
                <w:rPr>
                  <w:rStyle w:val="Hyperlink"/>
                  <w:lang w:val="en-AU"/>
                </w:rPr>
                <w:t>Guidelines for sharing person</w:t>
              </w:r>
              <w:r w:rsidR="000F511E" w:rsidRPr="000E16EB">
                <w:rPr>
                  <w:rStyle w:val="Hyperlink"/>
                  <w:lang w:val="en-AU"/>
                </w:rPr>
                <w:t>a</w:t>
              </w:r>
              <w:r w:rsidR="000F511E" w:rsidRPr="000E16EB">
                <w:rPr>
                  <w:rStyle w:val="Hyperlink"/>
                  <w:lang w:val="en-AU"/>
                </w:rPr>
                <w:t>l information</w:t>
              </w:r>
            </w:hyperlink>
          </w:p>
          <w:p w14:paraId="6FE11111" w14:textId="7981AEC1" w:rsidR="000F511E" w:rsidRPr="000E16EB" w:rsidRDefault="00A72697" w:rsidP="002105C6">
            <w:pPr>
              <w:pStyle w:val="Footer"/>
              <w:spacing w:before="120" w:after="120"/>
              <w:rPr>
                <w:rFonts w:asciiTheme="minorHAnsi" w:hAnsiTheme="minorHAnsi"/>
                <w:sz w:val="22"/>
                <w:u w:val="single"/>
                <w:lang w:val="en-AU"/>
              </w:rPr>
            </w:pPr>
            <w:hyperlink r:id="rId25" w:history="1">
              <w:r w:rsidR="000F511E" w:rsidRPr="000E16EB">
                <w:rPr>
                  <w:rStyle w:val="Hyperlink"/>
                  <w:lang w:val="en-AU"/>
                </w:rPr>
                <w:t>Model terms for transborder data flows</w:t>
              </w:r>
            </w:hyperlink>
          </w:p>
          <w:p w14:paraId="6C76AAE2" w14:textId="589CC115" w:rsidR="000F511E" w:rsidRPr="000E16EB" w:rsidRDefault="00A72697" w:rsidP="000F511E">
            <w:pPr>
              <w:pStyle w:val="Footer"/>
              <w:spacing w:before="120" w:after="200"/>
              <w:rPr>
                <w:rFonts w:asciiTheme="minorHAnsi" w:hAnsiTheme="minorHAnsi"/>
                <w:sz w:val="22"/>
                <w:u w:val="single"/>
                <w:lang w:val="en-AU"/>
              </w:rPr>
            </w:pPr>
            <w:hyperlink r:id="rId26" w:history="1">
              <w:r w:rsidR="000F511E" w:rsidRPr="000E16EB">
                <w:rPr>
                  <w:rStyle w:val="Hyperlink"/>
                  <w:lang w:val="en-AU"/>
                </w:rPr>
                <w:t>Guidelines to IPP 2 – Using and disclosing personal information</w:t>
              </w:r>
            </w:hyperlink>
          </w:p>
        </w:tc>
      </w:tr>
    </w:tbl>
    <w:p w14:paraId="35D35CA9" w14:textId="1E2C5061" w:rsidR="00D63111" w:rsidRPr="000E16EB" w:rsidRDefault="000F511E" w:rsidP="000F511E">
      <w:pPr>
        <w:pStyle w:val="Body"/>
        <w:numPr>
          <w:ilvl w:val="1"/>
          <w:numId w:val="5"/>
        </w:numPr>
        <w:spacing w:before="200"/>
        <w:rPr>
          <w:lang w:val="en-AU"/>
        </w:rPr>
      </w:pPr>
      <w:r w:rsidRPr="000E16EB">
        <w:rPr>
          <w:lang w:val="en-AU"/>
        </w:rPr>
        <w:t>A</w:t>
      </w:r>
      <w:r w:rsidR="00CB7050" w:rsidRPr="000E16EB">
        <w:rPr>
          <w:lang w:val="en-AU"/>
        </w:rPr>
        <w:t>n organisation</w:t>
      </w:r>
      <w:r w:rsidRPr="000E16EB">
        <w:rPr>
          <w:lang w:val="en-AU"/>
        </w:rPr>
        <w:t xml:space="preserve"> should ensure</w:t>
      </w:r>
      <w:r w:rsidR="00CB7050" w:rsidRPr="000E16EB">
        <w:rPr>
          <w:lang w:val="en-AU"/>
        </w:rPr>
        <w:t xml:space="preserve"> </w:t>
      </w:r>
      <w:r w:rsidRPr="000E16EB">
        <w:rPr>
          <w:lang w:val="en-AU"/>
        </w:rPr>
        <w:t xml:space="preserve">the information handling practices of its </w:t>
      </w:r>
      <w:r w:rsidR="00CB7050" w:rsidRPr="000E16EB">
        <w:rPr>
          <w:lang w:val="en-AU"/>
        </w:rPr>
        <w:t>contracted service provider</w:t>
      </w:r>
      <w:r w:rsidR="0051013B" w:rsidRPr="000E16EB">
        <w:rPr>
          <w:lang w:val="en-AU"/>
        </w:rPr>
        <w:t>s (</w:t>
      </w:r>
      <w:r w:rsidR="0051013B" w:rsidRPr="000E16EB">
        <w:rPr>
          <w:b/>
          <w:bCs/>
          <w:lang w:val="en-AU"/>
        </w:rPr>
        <w:t>CSPs</w:t>
      </w:r>
      <w:r w:rsidR="0051013B" w:rsidRPr="000E16EB">
        <w:rPr>
          <w:lang w:val="en-AU"/>
        </w:rPr>
        <w:t>)</w:t>
      </w:r>
      <w:r w:rsidR="00CB7050" w:rsidRPr="000E16EB">
        <w:rPr>
          <w:lang w:val="en-AU"/>
        </w:rPr>
        <w:t xml:space="preserve"> adhere to the </w:t>
      </w:r>
      <w:r w:rsidR="001A03B5" w:rsidRPr="000E16EB">
        <w:rPr>
          <w:lang w:val="en-AU"/>
        </w:rPr>
        <w:t>IPPs</w:t>
      </w:r>
      <w:r w:rsidR="00CB7050" w:rsidRPr="000E16EB">
        <w:rPr>
          <w:lang w:val="en-AU"/>
        </w:rPr>
        <w:t xml:space="preserve"> </w:t>
      </w:r>
      <w:r w:rsidR="001A03B5" w:rsidRPr="000E16EB">
        <w:rPr>
          <w:lang w:val="en-AU"/>
        </w:rPr>
        <w:t xml:space="preserve">(or equivalent privacy protections) </w:t>
      </w:r>
      <w:r w:rsidR="00CB7050" w:rsidRPr="000E16EB">
        <w:rPr>
          <w:lang w:val="en-AU"/>
        </w:rPr>
        <w:t xml:space="preserve">and </w:t>
      </w:r>
      <w:r w:rsidRPr="000E16EB">
        <w:rPr>
          <w:lang w:val="en-AU"/>
        </w:rPr>
        <w:t>align</w:t>
      </w:r>
      <w:r w:rsidR="00CB7050" w:rsidRPr="000E16EB">
        <w:rPr>
          <w:lang w:val="en-AU"/>
        </w:rPr>
        <w:t xml:space="preserve"> with the organisation’s privacy obligations.</w:t>
      </w:r>
      <w:r w:rsidR="0051013B" w:rsidRPr="000E16EB">
        <w:rPr>
          <w:lang w:val="en-AU"/>
        </w:rPr>
        <w:t xml:space="preserve"> </w:t>
      </w:r>
      <w:r w:rsidR="00414626" w:rsidRPr="000E16EB">
        <w:rPr>
          <w:lang w:val="en-AU"/>
        </w:rPr>
        <w:t>A</w:t>
      </w:r>
      <w:r w:rsidR="0051013B" w:rsidRPr="000E16EB">
        <w:rPr>
          <w:lang w:val="en-AU"/>
        </w:rPr>
        <w:t xml:space="preserve">ctive steps </w:t>
      </w:r>
      <w:r w:rsidR="00414626" w:rsidRPr="000E16EB">
        <w:rPr>
          <w:lang w:val="en-AU"/>
        </w:rPr>
        <w:t xml:space="preserve">should be taken </w:t>
      </w:r>
      <w:r w:rsidR="0051013B" w:rsidRPr="000E16EB">
        <w:rPr>
          <w:lang w:val="en-AU"/>
        </w:rPr>
        <w:t>to ensure CSPs have appropriate privacy practices in place.</w:t>
      </w: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</w:tblPr>
      <w:tblGrid>
        <w:gridCol w:w="9122"/>
      </w:tblGrid>
      <w:tr w:rsidR="003E4592" w:rsidRPr="000E16EB" w14:paraId="20744779" w14:textId="77777777" w:rsidTr="00DC47BD">
        <w:tc>
          <w:tcPr>
            <w:tcW w:w="91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5E306C" w14:textId="79EC45E6" w:rsidR="006D1251" w:rsidRPr="000E16EB" w:rsidRDefault="00A72697" w:rsidP="006D1251">
            <w:pPr>
              <w:pStyle w:val="Footer"/>
              <w:spacing w:before="120" w:after="200"/>
              <w:rPr>
                <w:rFonts w:asciiTheme="minorHAnsi" w:hAnsiTheme="minorHAnsi"/>
                <w:sz w:val="22"/>
                <w:u w:val="single"/>
                <w:lang w:val="en-AU"/>
              </w:rPr>
            </w:pPr>
            <w:hyperlink r:id="rId27" w:history="1">
              <w:r w:rsidR="006D1251" w:rsidRPr="000E16EB">
                <w:rPr>
                  <w:rStyle w:val="Hyperlink"/>
                  <w:lang w:val="en-AU"/>
                </w:rPr>
                <w:t>Guidelines for outsourci</w:t>
              </w:r>
              <w:r w:rsidR="006D1251" w:rsidRPr="000E16EB">
                <w:rPr>
                  <w:rStyle w:val="Hyperlink"/>
                  <w:lang w:val="en-AU"/>
                </w:rPr>
                <w:t>n</w:t>
              </w:r>
              <w:r w:rsidR="006D1251" w:rsidRPr="000E16EB">
                <w:rPr>
                  <w:rStyle w:val="Hyperlink"/>
                  <w:lang w:val="en-AU"/>
                </w:rPr>
                <w:t>g in the Victorian public sector</w:t>
              </w:r>
            </w:hyperlink>
          </w:p>
        </w:tc>
      </w:tr>
    </w:tbl>
    <w:p w14:paraId="6EA1B3C7" w14:textId="77777777" w:rsidR="00DC47BD" w:rsidRPr="000E16EB" w:rsidRDefault="00DC47BD" w:rsidP="00DC47BD">
      <w:pPr>
        <w:pStyle w:val="Body"/>
        <w:numPr>
          <w:ilvl w:val="1"/>
          <w:numId w:val="5"/>
        </w:numPr>
        <w:spacing w:before="200"/>
        <w:rPr>
          <w:rFonts w:asciiTheme="minorHAnsi" w:hAnsiTheme="minorHAnsi"/>
          <w:lang w:val="en-AU"/>
        </w:rPr>
      </w:pPr>
      <w:r w:rsidRPr="000E16EB">
        <w:rPr>
          <w:lang w:val="en-AU"/>
        </w:rPr>
        <w:t>An organisation should implement</w:t>
      </w:r>
      <w:r w:rsidRPr="000E16EB">
        <w:rPr>
          <w:rFonts w:asciiTheme="minorHAnsi" w:hAnsiTheme="minorHAnsi"/>
          <w:lang w:val="en-AU"/>
        </w:rPr>
        <w:t xml:space="preserve"> a risk management process that enables the organisation to identify, assess and manage privacy risks across the organisation.</w:t>
      </w:r>
      <w:r w:rsidRPr="000E16EB">
        <w:rPr>
          <w:lang w:val="en-AU"/>
        </w:rPr>
        <w:t xml:space="preserve"> Risks should be added to the organisation’s risk register, and an accountable person assigned to manage risks.</w:t>
      </w:r>
    </w:p>
    <w:p w14:paraId="6ACA5C1C" w14:textId="04F78FB1" w:rsidR="004314C9" w:rsidRPr="000E16EB" w:rsidRDefault="00452A0A" w:rsidP="00E715C9">
      <w:pPr>
        <w:pStyle w:val="Body"/>
        <w:numPr>
          <w:ilvl w:val="1"/>
          <w:numId w:val="5"/>
        </w:numPr>
        <w:spacing w:before="200"/>
        <w:rPr>
          <w:rFonts w:asciiTheme="minorHAnsi" w:hAnsiTheme="minorHAnsi"/>
          <w:lang w:val="en-AU"/>
        </w:rPr>
      </w:pPr>
      <w:r w:rsidRPr="000E16EB">
        <w:rPr>
          <w:rFonts w:asciiTheme="minorHAnsi" w:hAnsiTheme="minorHAnsi"/>
          <w:lang w:val="en-AU"/>
        </w:rPr>
        <w:t xml:space="preserve">An organisation should </w:t>
      </w:r>
      <w:r w:rsidR="00D17BEF" w:rsidRPr="000E16EB">
        <w:rPr>
          <w:rFonts w:asciiTheme="minorHAnsi" w:hAnsiTheme="minorHAnsi"/>
          <w:lang w:val="en-AU"/>
        </w:rPr>
        <w:t>maintain a register (for example,</w:t>
      </w:r>
      <w:r w:rsidR="00DC47BD" w:rsidRPr="000E16EB">
        <w:rPr>
          <w:rFonts w:asciiTheme="minorHAnsi" w:hAnsiTheme="minorHAnsi"/>
          <w:lang w:val="en-AU"/>
        </w:rPr>
        <w:t xml:space="preserve"> in</w:t>
      </w:r>
      <w:r w:rsidR="00D17BEF" w:rsidRPr="000E16EB">
        <w:rPr>
          <w:rFonts w:asciiTheme="minorHAnsi" w:hAnsiTheme="minorHAnsi"/>
          <w:lang w:val="en-AU"/>
        </w:rPr>
        <w:t xml:space="preserve"> an</w:t>
      </w:r>
      <w:r w:rsidR="00DC47BD" w:rsidRPr="000E16EB">
        <w:rPr>
          <w:rFonts w:asciiTheme="minorHAnsi" w:hAnsiTheme="minorHAnsi"/>
          <w:lang w:val="en-AU"/>
        </w:rPr>
        <w:t xml:space="preserve"> organisational</w:t>
      </w:r>
      <w:r w:rsidR="00D17BEF" w:rsidRPr="000E16EB">
        <w:rPr>
          <w:rFonts w:asciiTheme="minorHAnsi" w:hAnsiTheme="minorHAnsi"/>
          <w:lang w:val="en-AU"/>
        </w:rPr>
        <w:t xml:space="preserve"> Information Asset Register) of</w:t>
      </w:r>
      <w:r w:rsidR="004314C9" w:rsidRPr="000E16EB">
        <w:rPr>
          <w:rFonts w:asciiTheme="minorHAnsi" w:hAnsiTheme="minorHAnsi"/>
          <w:lang w:val="en-AU"/>
        </w:rPr>
        <w:t xml:space="preserve"> the types of</w:t>
      </w:r>
      <w:r w:rsidR="00D17BEF" w:rsidRPr="000E16EB">
        <w:rPr>
          <w:rFonts w:asciiTheme="minorHAnsi" w:hAnsiTheme="minorHAnsi"/>
          <w:lang w:val="en-AU"/>
        </w:rPr>
        <w:t xml:space="preserve"> personal</w:t>
      </w:r>
      <w:r w:rsidR="004314C9" w:rsidRPr="000E16EB">
        <w:rPr>
          <w:rFonts w:asciiTheme="minorHAnsi" w:hAnsiTheme="minorHAnsi"/>
          <w:lang w:val="en-AU"/>
        </w:rPr>
        <w:t xml:space="preserve"> information </w:t>
      </w:r>
      <w:r w:rsidR="00D17BEF" w:rsidRPr="000E16EB">
        <w:rPr>
          <w:rFonts w:asciiTheme="minorHAnsi" w:hAnsiTheme="minorHAnsi"/>
          <w:lang w:val="en-AU"/>
        </w:rPr>
        <w:t>it</w:t>
      </w:r>
      <w:r w:rsidR="004314C9" w:rsidRPr="000E16EB">
        <w:rPr>
          <w:rFonts w:asciiTheme="minorHAnsi" w:hAnsiTheme="minorHAnsi"/>
          <w:lang w:val="en-AU"/>
        </w:rPr>
        <w:t xml:space="preserve"> hold</w:t>
      </w:r>
      <w:r w:rsidRPr="000E16EB">
        <w:rPr>
          <w:rFonts w:asciiTheme="minorHAnsi" w:hAnsiTheme="minorHAnsi"/>
          <w:lang w:val="en-AU"/>
        </w:rPr>
        <w:t>s</w:t>
      </w:r>
      <w:r w:rsidR="00CC3C2B" w:rsidRPr="000E16EB">
        <w:rPr>
          <w:rFonts w:asciiTheme="minorHAnsi" w:hAnsiTheme="minorHAnsi"/>
          <w:lang w:val="en-AU"/>
        </w:rPr>
        <w:t xml:space="preserve">, </w:t>
      </w:r>
      <w:r w:rsidR="004314C9" w:rsidRPr="000E16EB">
        <w:rPr>
          <w:rFonts w:asciiTheme="minorHAnsi" w:hAnsiTheme="minorHAnsi"/>
          <w:lang w:val="en-AU"/>
        </w:rPr>
        <w:t xml:space="preserve">where </w:t>
      </w:r>
      <w:r w:rsidRPr="000E16EB">
        <w:rPr>
          <w:rFonts w:asciiTheme="minorHAnsi" w:hAnsiTheme="minorHAnsi"/>
          <w:lang w:val="en-AU"/>
        </w:rPr>
        <w:t>that information</w:t>
      </w:r>
      <w:r w:rsidR="004314C9" w:rsidRPr="000E16EB">
        <w:rPr>
          <w:rFonts w:asciiTheme="minorHAnsi" w:hAnsiTheme="minorHAnsi"/>
          <w:lang w:val="en-AU"/>
        </w:rPr>
        <w:t xml:space="preserve"> is located</w:t>
      </w:r>
      <w:r w:rsidR="00CC3C2B" w:rsidRPr="000E16EB">
        <w:rPr>
          <w:rFonts w:asciiTheme="minorHAnsi" w:hAnsiTheme="minorHAnsi"/>
          <w:lang w:val="en-AU"/>
        </w:rPr>
        <w:t>, and when it should be destroyed</w:t>
      </w:r>
      <w:r w:rsidR="00F62A48" w:rsidRPr="000E16EB">
        <w:rPr>
          <w:rFonts w:asciiTheme="minorHAnsi" w:hAnsiTheme="minorHAnsi"/>
          <w:lang w:val="en-AU"/>
        </w:rPr>
        <w:t>.</w:t>
      </w: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</w:tblPr>
      <w:tblGrid>
        <w:gridCol w:w="9122"/>
      </w:tblGrid>
      <w:tr w:rsidR="006D1251" w:rsidRPr="000E16EB" w14:paraId="70DE3E61" w14:textId="77777777" w:rsidTr="009F5A31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2FF5D5" w14:textId="77777777" w:rsidR="006D1251" w:rsidRPr="000E16EB" w:rsidRDefault="00A72697" w:rsidP="006D1251">
            <w:pPr>
              <w:pStyle w:val="Footer"/>
              <w:spacing w:before="120" w:after="120"/>
              <w:rPr>
                <w:rFonts w:asciiTheme="minorHAnsi" w:hAnsiTheme="minorHAnsi"/>
                <w:sz w:val="22"/>
                <w:u w:val="single"/>
                <w:lang w:val="en-AU"/>
              </w:rPr>
            </w:pPr>
            <w:hyperlink r:id="rId28" w:history="1">
              <w:r w:rsidR="006D1251" w:rsidRPr="000E16EB">
                <w:rPr>
                  <w:rStyle w:val="Hyperlink"/>
                  <w:lang w:val="en-AU"/>
                </w:rPr>
                <w:t>Guidelines on IPP 3 – Data Quality</w:t>
              </w:r>
            </w:hyperlink>
          </w:p>
          <w:p w14:paraId="2B68DC75" w14:textId="2EEE08B9" w:rsidR="006D1251" w:rsidRPr="000E16EB" w:rsidRDefault="00A72697" w:rsidP="00F84072">
            <w:pPr>
              <w:pStyle w:val="Footer"/>
              <w:spacing w:before="120" w:after="200"/>
              <w:rPr>
                <w:rFonts w:asciiTheme="minorHAnsi" w:hAnsiTheme="minorHAnsi"/>
                <w:sz w:val="22"/>
                <w:u w:val="single"/>
                <w:lang w:val="en-AU"/>
              </w:rPr>
            </w:pPr>
            <w:hyperlink r:id="rId29" w:history="1">
              <w:r w:rsidR="006D1251" w:rsidRPr="000E16EB">
                <w:rPr>
                  <w:rStyle w:val="Hyperlink"/>
                  <w:lang w:val="en-AU"/>
                </w:rPr>
                <w:t>Practitioner Guide: Identifying and Managing Information Assets</w:t>
              </w:r>
            </w:hyperlink>
          </w:p>
        </w:tc>
      </w:tr>
    </w:tbl>
    <w:p w14:paraId="7AE7A1C3" w14:textId="7508EDDC" w:rsidR="0013442D" w:rsidRPr="000E16EB" w:rsidRDefault="0013442D" w:rsidP="006D1251">
      <w:pPr>
        <w:pStyle w:val="Body"/>
        <w:numPr>
          <w:ilvl w:val="1"/>
          <w:numId w:val="5"/>
        </w:numPr>
        <w:spacing w:before="200"/>
        <w:rPr>
          <w:rFonts w:asciiTheme="minorHAnsi" w:hAnsiTheme="minorHAnsi"/>
          <w:lang w:val="en-AU"/>
        </w:rPr>
      </w:pPr>
      <w:r w:rsidRPr="000E16EB">
        <w:rPr>
          <w:rFonts w:asciiTheme="minorHAnsi" w:hAnsiTheme="minorHAnsi"/>
          <w:lang w:val="en-AU"/>
        </w:rPr>
        <w:t xml:space="preserve">An organisation should have processes in place to ensure it </w:t>
      </w:r>
      <w:r w:rsidR="00DD1AED" w:rsidRPr="000E16EB">
        <w:rPr>
          <w:rFonts w:asciiTheme="minorHAnsi" w:hAnsiTheme="minorHAnsi"/>
          <w:lang w:val="en-AU"/>
        </w:rPr>
        <w:t xml:space="preserve">monitors </w:t>
      </w:r>
      <w:r w:rsidR="00A2129B" w:rsidRPr="000E16EB">
        <w:rPr>
          <w:rFonts w:asciiTheme="minorHAnsi" w:hAnsiTheme="minorHAnsi"/>
          <w:lang w:val="en-AU"/>
        </w:rPr>
        <w:t xml:space="preserve">how long personal information should be retained before </w:t>
      </w:r>
      <w:r w:rsidR="000961C0" w:rsidRPr="000E16EB">
        <w:rPr>
          <w:rFonts w:asciiTheme="minorHAnsi" w:hAnsiTheme="minorHAnsi"/>
          <w:lang w:val="en-AU"/>
        </w:rPr>
        <w:t>it is destroyed</w:t>
      </w:r>
      <w:r w:rsidR="00A2129B" w:rsidRPr="000E16EB">
        <w:rPr>
          <w:rFonts w:asciiTheme="minorHAnsi" w:hAnsiTheme="minorHAnsi"/>
          <w:lang w:val="en-AU"/>
        </w:rPr>
        <w:t xml:space="preserve">. Personal information must be </w:t>
      </w:r>
      <w:r w:rsidRPr="000E16EB">
        <w:rPr>
          <w:rFonts w:asciiTheme="minorHAnsi" w:hAnsiTheme="minorHAnsi"/>
          <w:lang w:val="en-AU"/>
        </w:rPr>
        <w:t>destroy</w:t>
      </w:r>
      <w:r w:rsidR="00A2129B" w:rsidRPr="000E16EB">
        <w:rPr>
          <w:rFonts w:asciiTheme="minorHAnsi" w:hAnsiTheme="minorHAnsi"/>
          <w:lang w:val="en-AU"/>
        </w:rPr>
        <w:t>ed</w:t>
      </w:r>
      <w:r w:rsidRPr="000E16EB">
        <w:rPr>
          <w:rFonts w:asciiTheme="minorHAnsi" w:hAnsiTheme="minorHAnsi"/>
          <w:lang w:val="en-AU"/>
        </w:rPr>
        <w:t xml:space="preserve"> or permanently de-identifie</w:t>
      </w:r>
      <w:r w:rsidR="00A2129B" w:rsidRPr="000E16EB">
        <w:rPr>
          <w:rFonts w:asciiTheme="minorHAnsi" w:hAnsiTheme="minorHAnsi"/>
          <w:lang w:val="en-AU"/>
        </w:rPr>
        <w:t xml:space="preserve">d when it is no longer needed for any purpose. </w:t>
      </w:r>
      <w:r w:rsidR="00EE1D74" w:rsidRPr="000E16EB">
        <w:rPr>
          <w:rFonts w:asciiTheme="minorHAnsi" w:hAnsiTheme="minorHAnsi"/>
          <w:lang w:val="en-AU"/>
        </w:rPr>
        <w:t xml:space="preserve">Organisations should refer to the relevant Retention and Disposal Authority issued under the </w:t>
      </w:r>
      <w:r w:rsidR="00EE1D74" w:rsidRPr="000E16EB">
        <w:rPr>
          <w:rFonts w:asciiTheme="minorHAnsi" w:hAnsiTheme="minorHAnsi"/>
          <w:i/>
          <w:iCs/>
          <w:lang w:val="en-AU"/>
        </w:rPr>
        <w:t>Public Records Act 1973</w:t>
      </w:r>
      <w:r w:rsidR="00EE1D74" w:rsidRPr="000E16EB">
        <w:rPr>
          <w:rFonts w:asciiTheme="minorHAnsi" w:hAnsiTheme="minorHAnsi"/>
          <w:lang w:val="en-AU"/>
        </w:rPr>
        <w:t xml:space="preserve"> (Vic) when determining whether data should be destroyed or permanently de-identified. </w:t>
      </w: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</w:tblPr>
      <w:tblGrid>
        <w:gridCol w:w="9122"/>
      </w:tblGrid>
      <w:tr w:rsidR="006D1251" w:rsidRPr="000E16EB" w14:paraId="5FCD2702" w14:textId="77777777" w:rsidTr="00B921E3">
        <w:tc>
          <w:tcPr>
            <w:tcW w:w="91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C1AB15" w14:textId="186C4336" w:rsidR="006D1251" w:rsidRPr="000E16EB" w:rsidRDefault="00A72697" w:rsidP="00F84072">
            <w:pPr>
              <w:pStyle w:val="Body"/>
              <w:spacing w:before="120"/>
              <w:rPr>
                <w:rFonts w:asciiTheme="minorHAnsi" w:hAnsiTheme="minorHAnsi" w:cs="Times New Roman"/>
                <w:color w:val="430098"/>
                <w:szCs w:val="24"/>
                <w:u w:val="single"/>
                <w:lang w:val="en-AU" w:eastAsia="en-GB"/>
              </w:rPr>
            </w:pPr>
            <w:hyperlink r:id="rId30" w:anchor="IPP_4.2_Disposal_of_Data" w:history="1">
              <w:r w:rsidR="006D1251" w:rsidRPr="000E16EB">
                <w:rPr>
                  <w:rStyle w:val="Hyperlink"/>
                  <w:rFonts w:ascii="Calibri" w:hAnsi="Calibri"/>
                  <w:lang w:val="en-AU"/>
                </w:rPr>
                <w:t>Guidelines to IPP 4.2 – Disposal of data</w:t>
              </w:r>
            </w:hyperlink>
          </w:p>
        </w:tc>
      </w:tr>
    </w:tbl>
    <w:p w14:paraId="506ACC13" w14:textId="77777777" w:rsidR="00B921E3" w:rsidRPr="000E16EB" w:rsidRDefault="00B921E3" w:rsidP="00B921E3">
      <w:pPr>
        <w:pStyle w:val="Body"/>
        <w:numPr>
          <w:ilvl w:val="1"/>
          <w:numId w:val="5"/>
        </w:numPr>
        <w:spacing w:before="200"/>
        <w:rPr>
          <w:lang w:val="en-AU"/>
        </w:rPr>
      </w:pPr>
      <w:r w:rsidRPr="000E16EB">
        <w:rPr>
          <w:lang w:val="en-AU"/>
        </w:rPr>
        <w:t xml:space="preserve">An organisation should incorporate privacy into staff inductions and conduct regular privacy training and awareness programs across the organisation. </w:t>
      </w: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</w:tblPr>
      <w:tblGrid>
        <w:gridCol w:w="9122"/>
      </w:tblGrid>
      <w:tr w:rsidR="00B921E3" w:rsidRPr="000E16EB" w14:paraId="18AD874A" w14:textId="77777777" w:rsidTr="002105C6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23CF6B" w14:textId="6323DA12" w:rsidR="00B921E3" w:rsidRPr="000E16EB" w:rsidRDefault="00A72697" w:rsidP="002105C6">
            <w:pPr>
              <w:pStyle w:val="Footer"/>
              <w:spacing w:before="120" w:after="120"/>
              <w:rPr>
                <w:rFonts w:asciiTheme="minorHAnsi" w:hAnsiTheme="minorHAnsi"/>
                <w:sz w:val="22"/>
                <w:u w:val="single"/>
                <w:lang w:val="en-AU"/>
              </w:rPr>
            </w:pPr>
            <w:hyperlink r:id="rId31" w:history="1">
              <w:r w:rsidR="00B921E3" w:rsidRPr="000E16EB">
                <w:rPr>
                  <w:rStyle w:val="Hyperlink"/>
                  <w:lang w:val="en-AU"/>
                </w:rPr>
                <w:t>OVIC face-to-face training</w:t>
              </w:r>
            </w:hyperlink>
            <w:r w:rsidR="00B921E3" w:rsidRPr="000E16EB">
              <w:rPr>
                <w:rFonts w:asciiTheme="minorHAnsi" w:hAnsiTheme="minorHAnsi"/>
                <w:sz w:val="22"/>
                <w:u w:val="single"/>
                <w:lang w:val="en-AU"/>
              </w:rPr>
              <w:t xml:space="preserve"> – Information privacy under the Privacy and Data Protection Act 2014</w:t>
            </w:r>
          </w:p>
          <w:p w14:paraId="74D8FF87" w14:textId="77777777" w:rsidR="00B921E3" w:rsidRPr="000E16EB" w:rsidRDefault="00A72697" w:rsidP="002105C6">
            <w:pPr>
              <w:pStyle w:val="Footer"/>
              <w:spacing w:before="120" w:after="120"/>
              <w:rPr>
                <w:rFonts w:asciiTheme="minorHAnsi" w:hAnsiTheme="minorHAnsi"/>
                <w:sz w:val="22"/>
                <w:u w:val="single"/>
                <w:lang w:val="en-AU"/>
              </w:rPr>
            </w:pPr>
            <w:hyperlink r:id="rId32" w:history="1">
              <w:r w:rsidR="00B921E3" w:rsidRPr="000E16EB">
                <w:rPr>
                  <w:rStyle w:val="Hyperlink"/>
                  <w:lang w:val="en-AU"/>
                </w:rPr>
                <w:t>OVIC online privacy module</w:t>
              </w:r>
            </w:hyperlink>
            <w:r w:rsidR="00B921E3" w:rsidRPr="000E16EB">
              <w:rPr>
                <w:rFonts w:asciiTheme="minorHAnsi" w:hAnsiTheme="minorHAnsi"/>
                <w:sz w:val="22"/>
                <w:u w:val="single"/>
                <w:lang w:val="en-AU"/>
              </w:rPr>
              <w:t xml:space="preserve"> – Introduction to privacy in the Victorian public sector</w:t>
            </w:r>
          </w:p>
          <w:p w14:paraId="43CFDF12" w14:textId="77777777" w:rsidR="00B921E3" w:rsidRPr="000E16EB" w:rsidRDefault="00A72697" w:rsidP="002105C6">
            <w:pPr>
              <w:pStyle w:val="Footer"/>
              <w:spacing w:before="120" w:after="200"/>
              <w:rPr>
                <w:rFonts w:asciiTheme="minorHAnsi" w:hAnsiTheme="minorHAnsi"/>
                <w:sz w:val="22"/>
                <w:u w:val="single"/>
                <w:lang w:val="en-AU"/>
              </w:rPr>
            </w:pPr>
            <w:hyperlink r:id="rId33" w:history="1">
              <w:r w:rsidR="00B921E3" w:rsidRPr="000E16EB">
                <w:rPr>
                  <w:rStyle w:val="Hyperlink"/>
                  <w:lang w:val="en-AU"/>
                </w:rPr>
                <w:t>OVIC online privacy module</w:t>
              </w:r>
            </w:hyperlink>
            <w:r w:rsidR="00B921E3" w:rsidRPr="000E16EB">
              <w:rPr>
                <w:rFonts w:asciiTheme="minorHAnsi" w:hAnsiTheme="minorHAnsi"/>
                <w:sz w:val="22"/>
                <w:u w:val="single"/>
                <w:lang w:val="en-AU"/>
              </w:rPr>
              <w:t xml:space="preserve"> – Managing the privacy impacts of data breaches</w:t>
            </w:r>
          </w:p>
        </w:tc>
      </w:tr>
    </w:tbl>
    <w:p w14:paraId="7E6C5319" w14:textId="637BA123" w:rsidR="001712DD" w:rsidRPr="000E16EB" w:rsidRDefault="00DA790A" w:rsidP="006D1251">
      <w:pPr>
        <w:pStyle w:val="Body"/>
        <w:numPr>
          <w:ilvl w:val="1"/>
          <w:numId w:val="5"/>
        </w:numPr>
        <w:spacing w:before="200"/>
        <w:rPr>
          <w:rFonts w:asciiTheme="minorHAnsi" w:hAnsiTheme="minorHAnsi"/>
          <w:lang w:val="en-AU"/>
        </w:rPr>
      </w:pPr>
      <w:r w:rsidRPr="000E16EB">
        <w:rPr>
          <w:lang w:val="en-AU"/>
        </w:rPr>
        <w:lastRenderedPageBreak/>
        <w:t xml:space="preserve">An organisation should </w:t>
      </w:r>
      <w:r w:rsidR="0041312C" w:rsidRPr="000E16EB">
        <w:rPr>
          <w:lang w:val="en-AU"/>
        </w:rPr>
        <w:t>have</w:t>
      </w:r>
      <w:r w:rsidR="001712DD" w:rsidRPr="000E16EB">
        <w:rPr>
          <w:rFonts w:asciiTheme="minorHAnsi" w:hAnsiTheme="minorHAnsi"/>
          <w:lang w:val="en-AU"/>
        </w:rPr>
        <w:t xml:space="preserve"> </w:t>
      </w:r>
      <w:r w:rsidR="002A58B4" w:rsidRPr="000E16EB">
        <w:rPr>
          <w:rFonts w:asciiTheme="minorHAnsi" w:hAnsiTheme="minorHAnsi"/>
          <w:lang w:val="en-AU"/>
        </w:rPr>
        <w:t xml:space="preserve">a </w:t>
      </w:r>
      <w:r w:rsidR="001712DD" w:rsidRPr="000E16EB">
        <w:rPr>
          <w:rFonts w:asciiTheme="minorHAnsi" w:hAnsiTheme="minorHAnsi"/>
          <w:lang w:val="en-AU"/>
        </w:rPr>
        <w:t>process for handling privacy enquiries and complaints</w:t>
      </w:r>
      <w:r w:rsidR="00CF610D" w:rsidRPr="000E16EB">
        <w:rPr>
          <w:rFonts w:asciiTheme="minorHAnsi" w:hAnsiTheme="minorHAnsi"/>
          <w:lang w:val="en-AU"/>
        </w:rPr>
        <w:t xml:space="preserve">. </w:t>
      </w:r>
      <w:r w:rsidRPr="000E16EB">
        <w:rPr>
          <w:rFonts w:asciiTheme="minorHAnsi" w:hAnsiTheme="minorHAnsi"/>
          <w:lang w:val="en-AU"/>
        </w:rPr>
        <w:t>It should e</w:t>
      </w:r>
      <w:r w:rsidR="00F525C4" w:rsidRPr="000E16EB">
        <w:rPr>
          <w:rFonts w:asciiTheme="minorHAnsi" w:hAnsiTheme="minorHAnsi"/>
          <w:lang w:val="en-AU"/>
        </w:rPr>
        <w:t>nsure stakeholders and</w:t>
      </w:r>
      <w:r w:rsidRPr="000E16EB">
        <w:rPr>
          <w:rFonts w:asciiTheme="minorHAnsi" w:hAnsiTheme="minorHAnsi"/>
          <w:lang w:val="en-AU"/>
        </w:rPr>
        <w:t xml:space="preserve"> the</w:t>
      </w:r>
      <w:r w:rsidR="00F525C4" w:rsidRPr="000E16EB">
        <w:rPr>
          <w:rFonts w:asciiTheme="minorHAnsi" w:hAnsiTheme="minorHAnsi"/>
          <w:lang w:val="en-AU"/>
        </w:rPr>
        <w:t xml:space="preserve"> public know who </w:t>
      </w:r>
      <w:r w:rsidR="00DD1AED" w:rsidRPr="000E16EB">
        <w:rPr>
          <w:rFonts w:asciiTheme="minorHAnsi" w:hAnsiTheme="minorHAnsi"/>
          <w:lang w:val="en-AU"/>
        </w:rPr>
        <w:t xml:space="preserve">to contact within </w:t>
      </w:r>
      <w:r w:rsidR="00A85E12" w:rsidRPr="000E16EB">
        <w:rPr>
          <w:rFonts w:asciiTheme="minorHAnsi" w:hAnsiTheme="minorHAnsi"/>
          <w:lang w:val="en-AU"/>
        </w:rPr>
        <w:t xml:space="preserve">the organisation </w:t>
      </w:r>
      <w:r w:rsidR="00F525C4" w:rsidRPr="000E16EB">
        <w:rPr>
          <w:rFonts w:asciiTheme="minorHAnsi" w:hAnsiTheme="minorHAnsi"/>
          <w:lang w:val="en-AU"/>
        </w:rPr>
        <w:t xml:space="preserve">or where </w:t>
      </w:r>
      <w:r w:rsidRPr="000E16EB">
        <w:rPr>
          <w:rFonts w:asciiTheme="minorHAnsi" w:hAnsiTheme="minorHAnsi"/>
          <w:lang w:val="en-AU"/>
        </w:rPr>
        <w:t xml:space="preserve">to </w:t>
      </w:r>
      <w:r w:rsidR="00F525C4" w:rsidRPr="000E16EB">
        <w:rPr>
          <w:rFonts w:asciiTheme="minorHAnsi" w:hAnsiTheme="minorHAnsi"/>
          <w:lang w:val="en-AU"/>
        </w:rPr>
        <w:t>get help</w:t>
      </w:r>
      <w:r w:rsidR="00CC3C2B" w:rsidRPr="000E16EB">
        <w:rPr>
          <w:rFonts w:asciiTheme="minorHAnsi" w:hAnsiTheme="minorHAnsi"/>
          <w:lang w:val="en-AU"/>
        </w:rPr>
        <w:t>.</w:t>
      </w:r>
    </w:p>
    <w:p w14:paraId="3D164D48" w14:textId="7ECEAAA7" w:rsidR="001712DD" w:rsidRPr="000E16EB" w:rsidRDefault="00DA790A" w:rsidP="00B921E3">
      <w:pPr>
        <w:pStyle w:val="Body"/>
        <w:numPr>
          <w:ilvl w:val="1"/>
          <w:numId w:val="5"/>
        </w:numPr>
        <w:spacing w:before="200"/>
        <w:rPr>
          <w:lang w:val="en-AU"/>
        </w:rPr>
      </w:pPr>
      <w:r w:rsidRPr="000E16EB">
        <w:rPr>
          <w:lang w:val="en-AU"/>
        </w:rPr>
        <w:t>An organisation should d</w:t>
      </w:r>
      <w:r w:rsidR="001712DD" w:rsidRPr="000E16EB">
        <w:rPr>
          <w:lang w:val="en-AU"/>
        </w:rPr>
        <w:t>evelop</w:t>
      </w:r>
      <w:r w:rsidR="001712DD" w:rsidRPr="000E16EB">
        <w:rPr>
          <w:rFonts w:asciiTheme="minorHAnsi" w:hAnsiTheme="minorHAnsi"/>
          <w:lang w:val="en-AU"/>
        </w:rPr>
        <w:t xml:space="preserve"> a data breach response plan</w:t>
      </w:r>
      <w:r w:rsidR="00170AE6" w:rsidRPr="000E16EB">
        <w:rPr>
          <w:rFonts w:asciiTheme="minorHAnsi" w:hAnsiTheme="minorHAnsi"/>
          <w:lang w:val="en-AU"/>
        </w:rPr>
        <w:t xml:space="preserve"> and an incident management process</w:t>
      </w:r>
      <w:r w:rsidR="00F525C4" w:rsidRPr="000E16EB">
        <w:rPr>
          <w:rFonts w:asciiTheme="minorHAnsi" w:hAnsiTheme="minorHAnsi"/>
          <w:lang w:val="en-AU"/>
        </w:rPr>
        <w:t xml:space="preserve">. </w:t>
      </w:r>
      <w:r w:rsidRPr="000E16EB">
        <w:rPr>
          <w:rFonts w:asciiTheme="minorHAnsi" w:hAnsiTheme="minorHAnsi"/>
          <w:lang w:val="en-AU"/>
        </w:rPr>
        <w:t>It should e</w:t>
      </w:r>
      <w:r w:rsidR="00F525C4" w:rsidRPr="000E16EB">
        <w:rPr>
          <w:rFonts w:asciiTheme="minorHAnsi" w:hAnsiTheme="minorHAnsi"/>
          <w:lang w:val="en-AU"/>
        </w:rPr>
        <w:t xml:space="preserve">nsure staff know what to do and who to contact when </w:t>
      </w:r>
      <w:r w:rsidR="00DD1AED" w:rsidRPr="000E16EB">
        <w:rPr>
          <w:rFonts w:asciiTheme="minorHAnsi" w:hAnsiTheme="minorHAnsi"/>
          <w:lang w:val="en-AU"/>
        </w:rPr>
        <w:t>a breach occurs</w:t>
      </w:r>
      <w:r w:rsidRPr="000E16EB">
        <w:rPr>
          <w:rFonts w:asciiTheme="minorHAnsi" w:hAnsiTheme="minorHAnsi"/>
          <w:lang w:val="en-AU"/>
        </w:rPr>
        <w:t>. An organisation should be aware of</w:t>
      </w:r>
      <w:r w:rsidR="00DC2EC7" w:rsidRPr="000E16EB">
        <w:rPr>
          <w:rFonts w:asciiTheme="minorHAnsi" w:hAnsiTheme="minorHAnsi"/>
          <w:lang w:val="en-AU"/>
        </w:rPr>
        <w:t xml:space="preserve"> </w:t>
      </w:r>
      <w:r w:rsidR="001A0DEB" w:rsidRPr="000E16EB">
        <w:rPr>
          <w:rFonts w:asciiTheme="minorHAnsi" w:hAnsiTheme="minorHAnsi"/>
          <w:lang w:val="en-AU"/>
        </w:rPr>
        <w:t>t</w:t>
      </w:r>
      <w:r w:rsidR="00DC2EC7" w:rsidRPr="000E16EB">
        <w:rPr>
          <w:rFonts w:asciiTheme="minorHAnsi" w:hAnsiTheme="minorHAnsi"/>
          <w:lang w:val="en-AU"/>
        </w:rPr>
        <w:t>he</w:t>
      </w:r>
      <w:r w:rsidR="00F525C4" w:rsidRPr="000E16EB">
        <w:rPr>
          <w:rFonts w:asciiTheme="minorHAnsi" w:hAnsiTheme="minorHAnsi"/>
          <w:lang w:val="en-AU"/>
        </w:rPr>
        <w:t xml:space="preserve"> </w:t>
      </w:r>
      <w:r w:rsidR="00DC2EC7" w:rsidRPr="000E16EB">
        <w:rPr>
          <w:rFonts w:asciiTheme="minorHAnsi" w:hAnsiTheme="minorHAnsi"/>
          <w:lang w:val="en-AU"/>
        </w:rPr>
        <w:t>Information Security Incident Notification Scheme</w:t>
      </w:r>
      <w:r w:rsidR="00A85E12" w:rsidRPr="000E16EB">
        <w:rPr>
          <w:rFonts w:asciiTheme="minorHAnsi" w:hAnsiTheme="minorHAnsi"/>
          <w:lang w:val="en-AU"/>
        </w:rPr>
        <w:t>,</w:t>
      </w:r>
      <w:r w:rsidR="00DC2EC7" w:rsidRPr="000E16EB">
        <w:rPr>
          <w:lang w:val="en-AU"/>
        </w:rPr>
        <w:t xml:space="preserve"> </w:t>
      </w:r>
      <w:r w:rsidRPr="000E16EB">
        <w:rPr>
          <w:lang w:val="en-AU"/>
        </w:rPr>
        <w:t xml:space="preserve">which </w:t>
      </w:r>
      <w:r w:rsidR="00DC2EC7" w:rsidRPr="000E16EB">
        <w:rPr>
          <w:lang w:val="en-AU"/>
        </w:rPr>
        <w:t xml:space="preserve">requires </w:t>
      </w:r>
      <w:r w:rsidR="00CC3C2B" w:rsidRPr="000E16EB">
        <w:rPr>
          <w:lang w:val="en-AU"/>
        </w:rPr>
        <w:t xml:space="preserve">certain </w:t>
      </w:r>
      <w:r w:rsidR="00DC2EC7" w:rsidRPr="000E16EB">
        <w:rPr>
          <w:lang w:val="en-AU"/>
        </w:rPr>
        <w:t>organisations to notify OVIC of incidents that compromise public sector information.</w:t>
      </w: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</w:tblPr>
      <w:tblGrid>
        <w:gridCol w:w="9122"/>
      </w:tblGrid>
      <w:tr w:rsidR="00F84072" w:rsidRPr="000E16EB" w14:paraId="3AB9CE3E" w14:textId="77777777" w:rsidTr="009F5A31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ED6777" w14:textId="77777777" w:rsidR="00F84072" w:rsidRPr="000E16EB" w:rsidRDefault="00A72697" w:rsidP="00F84072">
            <w:pPr>
              <w:pStyle w:val="Body"/>
              <w:spacing w:before="120" w:after="120"/>
              <w:rPr>
                <w:rStyle w:val="Hyperlink"/>
                <w:rFonts w:cs="Times New Roman"/>
                <w:color w:val="55565A"/>
                <w:szCs w:val="24"/>
                <w:u w:val="none"/>
                <w:lang w:val="en-AU" w:eastAsia="en-GB"/>
              </w:rPr>
            </w:pPr>
            <w:hyperlink r:id="rId34" w:history="1">
              <w:r w:rsidR="00F84072" w:rsidRPr="000E16EB">
                <w:rPr>
                  <w:rStyle w:val="Hyperlink"/>
                  <w:lang w:val="en-AU"/>
                </w:rPr>
                <w:t>OVIC Information Security Incident Notification Scheme</w:t>
              </w:r>
            </w:hyperlink>
          </w:p>
          <w:p w14:paraId="23A729A8" w14:textId="77EAE306" w:rsidR="00F84072" w:rsidRPr="000E16EB" w:rsidRDefault="00A72697" w:rsidP="00F84072">
            <w:pPr>
              <w:pStyle w:val="Body"/>
              <w:spacing w:before="120" w:after="120"/>
              <w:rPr>
                <w:rStyle w:val="Hyperlink"/>
                <w:lang w:val="en-AU"/>
              </w:rPr>
            </w:pPr>
            <w:hyperlink r:id="rId35" w:history="1">
              <w:r w:rsidR="00F84072" w:rsidRPr="000E16EB">
                <w:rPr>
                  <w:rStyle w:val="Hyperlink"/>
                  <w:lang w:val="en-AU"/>
                </w:rPr>
                <w:t>Notifiable Data Breaches scheme under the Commonwealth Priv</w:t>
              </w:r>
              <w:r w:rsidR="00F84072" w:rsidRPr="000E16EB">
                <w:rPr>
                  <w:rStyle w:val="Hyperlink"/>
                  <w:lang w:val="en-AU"/>
                </w:rPr>
                <w:t>a</w:t>
              </w:r>
              <w:r w:rsidR="00F84072" w:rsidRPr="000E16EB">
                <w:rPr>
                  <w:rStyle w:val="Hyperlink"/>
                  <w:lang w:val="en-AU"/>
                </w:rPr>
                <w:t>cy Act 1988</w:t>
              </w:r>
            </w:hyperlink>
          </w:p>
          <w:p w14:paraId="1506A377" w14:textId="1DF0340F" w:rsidR="00F84072" w:rsidRPr="000E16EB" w:rsidRDefault="00A72697" w:rsidP="00F84072">
            <w:pPr>
              <w:pStyle w:val="Body"/>
              <w:spacing w:before="120"/>
              <w:rPr>
                <w:rFonts w:asciiTheme="minorHAnsi" w:hAnsiTheme="minorHAnsi"/>
                <w:lang w:val="en-AU"/>
              </w:rPr>
            </w:pPr>
            <w:hyperlink r:id="rId36" w:history="1">
              <w:r w:rsidR="00F84072" w:rsidRPr="000E16EB">
                <w:rPr>
                  <w:rStyle w:val="Hyperlink"/>
                  <w:lang w:val="en-AU"/>
                </w:rPr>
                <w:t>Managing the privacy impacts of a data breach</w:t>
              </w:r>
            </w:hyperlink>
          </w:p>
        </w:tc>
      </w:tr>
    </w:tbl>
    <w:p w14:paraId="282D3A2C" w14:textId="32F814A4" w:rsidR="00833198" w:rsidRPr="000E16EB" w:rsidRDefault="008167E8" w:rsidP="00F84072">
      <w:pPr>
        <w:pStyle w:val="Body"/>
        <w:numPr>
          <w:ilvl w:val="1"/>
          <w:numId w:val="5"/>
        </w:numPr>
        <w:spacing w:before="200"/>
        <w:rPr>
          <w:rFonts w:asciiTheme="minorHAnsi" w:hAnsiTheme="minorHAnsi"/>
          <w:lang w:val="en-AU"/>
        </w:rPr>
      </w:pPr>
      <w:r w:rsidRPr="000E16EB">
        <w:rPr>
          <w:lang w:val="en-AU"/>
        </w:rPr>
        <w:t>An organisation should develop and implement</w:t>
      </w:r>
      <w:r w:rsidR="00B921E3" w:rsidRPr="000E16EB">
        <w:rPr>
          <w:lang w:val="en-AU"/>
        </w:rPr>
        <w:t xml:space="preserve"> a program of engagement and awareness activities to</w:t>
      </w:r>
      <w:r w:rsidRPr="000E16EB">
        <w:rPr>
          <w:lang w:val="en-AU"/>
        </w:rPr>
        <w:t xml:space="preserve"> </w:t>
      </w:r>
      <w:r w:rsidR="00FC41C9" w:rsidRPr="000E16EB">
        <w:rPr>
          <w:lang w:val="en-AU"/>
        </w:rPr>
        <w:t>build and enhance a privacy conscious culture</w:t>
      </w:r>
      <w:r w:rsidRPr="000E16EB">
        <w:rPr>
          <w:lang w:val="en-AU"/>
        </w:rPr>
        <w:t>. This could include</w:t>
      </w:r>
      <w:r w:rsidR="00833198" w:rsidRPr="000E16EB">
        <w:rPr>
          <w:lang w:val="en-AU"/>
        </w:rPr>
        <w:t xml:space="preserve"> participating in Privacy Awareness Week </w:t>
      </w:r>
      <w:r w:rsidR="00DD1AED" w:rsidRPr="000E16EB">
        <w:rPr>
          <w:lang w:val="en-AU"/>
        </w:rPr>
        <w:t>activities</w:t>
      </w:r>
      <w:r w:rsidRPr="000E16EB">
        <w:rPr>
          <w:lang w:val="en-AU"/>
        </w:rPr>
        <w:t>,</w:t>
      </w:r>
      <w:r w:rsidR="00FC41C9" w:rsidRPr="000E16EB">
        <w:rPr>
          <w:lang w:val="en-AU"/>
        </w:rPr>
        <w:t xml:space="preserve"> or</w:t>
      </w:r>
      <w:r w:rsidRPr="000E16EB">
        <w:rPr>
          <w:lang w:val="en-AU"/>
        </w:rPr>
        <w:t xml:space="preserve"> conducting regular seminars</w:t>
      </w:r>
      <w:r w:rsidR="00FC41C9" w:rsidRPr="000E16EB">
        <w:rPr>
          <w:lang w:val="en-AU"/>
        </w:rPr>
        <w:t xml:space="preserve"> </w:t>
      </w:r>
      <w:r w:rsidRPr="000E16EB">
        <w:rPr>
          <w:lang w:val="en-AU"/>
        </w:rPr>
        <w:t>or other events</w:t>
      </w:r>
      <w:r w:rsidR="00FC41C9" w:rsidRPr="000E16EB">
        <w:rPr>
          <w:lang w:val="en-AU"/>
        </w:rPr>
        <w:t xml:space="preserve"> with privacy officers</w:t>
      </w:r>
      <w:r w:rsidR="00C43D68" w:rsidRPr="000E16EB">
        <w:rPr>
          <w:lang w:val="en-AU"/>
        </w:rPr>
        <w:t xml:space="preserve"> and experts</w:t>
      </w:r>
      <w:r w:rsidR="009202E1" w:rsidRPr="000E16EB">
        <w:rPr>
          <w:lang w:val="en-AU"/>
        </w:rPr>
        <w:t xml:space="preserve"> that highlight good privacy practices</w:t>
      </w:r>
      <w:r w:rsidR="00FC41C9" w:rsidRPr="000E16EB">
        <w:rPr>
          <w:lang w:val="en-AU"/>
        </w:rPr>
        <w:t>.</w:t>
      </w:r>
    </w:p>
    <w:p w14:paraId="3C95E5AD" w14:textId="7D8B850D" w:rsidR="00A85E12" w:rsidRPr="000E16EB" w:rsidRDefault="00A85E12" w:rsidP="0041312C">
      <w:pPr>
        <w:pStyle w:val="Body"/>
        <w:ind w:left="360"/>
        <w:rPr>
          <w:lang w:val="en-AU"/>
        </w:rPr>
      </w:pPr>
      <w:r w:rsidRPr="000E16EB">
        <w:rPr>
          <w:lang w:val="en-AU"/>
        </w:rPr>
        <w:br w:type="page"/>
      </w:r>
    </w:p>
    <w:p w14:paraId="178A97FA" w14:textId="799B42AD" w:rsidR="004A4413" w:rsidRPr="000E16EB" w:rsidRDefault="00602A0C" w:rsidP="00602A0C">
      <w:pPr>
        <w:pStyle w:val="Heading-1"/>
      </w:pPr>
      <w:r w:rsidRPr="000E16EB">
        <w:lastRenderedPageBreak/>
        <w:t xml:space="preserve">PART 3 – MONITOR, REVIEW, AND IMPROVE </w:t>
      </w:r>
    </w:p>
    <w:p w14:paraId="3AF4FEB4" w14:textId="056E11D8" w:rsidR="00AF1740" w:rsidRPr="00602A0C" w:rsidRDefault="009C54B4" w:rsidP="00BC146C">
      <w:pPr>
        <w:pStyle w:val="Body"/>
        <w:spacing w:before="240" w:after="240"/>
        <w:rPr>
          <w:b/>
          <w:bCs/>
          <w:sz w:val="26"/>
          <w:szCs w:val="26"/>
          <w:shd w:val="clear" w:color="auto" w:fill="FFFFFF"/>
          <w:lang w:val="en-AU" w:eastAsia="en-GB"/>
        </w:rPr>
      </w:pPr>
      <w:r w:rsidRPr="00602A0C">
        <w:rPr>
          <w:b/>
          <w:bCs/>
          <w:sz w:val="26"/>
          <w:szCs w:val="26"/>
          <w:shd w:val="clear" w:color="auto" w:fill="FFFFFF"/>
          <w:lang w:val="en-AU" w:eastAsia="en-GB"/>
        </w:rPr>
        <w:t>Monitor, review, and improve policies and practices to ensure they remain relevant and effective.</w:t>
      </w:r>
      <w:r w:rsidR="00FC41C9" w:rsidRPr="00602A0C">
        <w:rPr>
          <w:b/>
          <w:bCs/>
          <w:sz w:val="26"/>
          <w:szCs w:val="26"/>
          <w:shd w:val="clear" w:color="auto" w:fill="FFFFFF"/>
          <w:lang w:val="en-AU" w:eastAsia="en-GB"/>
        </w:rPr>
        <w:t xml:space="preserve"> </w:t>
      </w:r>
      <w:r w:rsidR="00FC41C9" w:rsidRPr="00602A0C">
        <w:rPr>
          <w:b/>
          <w:bCs/>
          <w:sz w:val="26"/>
          <w:szCs w:val="26"/>
          <w:lang w:val="en-AU"/>
        </w:rPr>
        <w:t>Privacy is fast-moving and ever evolving which means organisations need to be proactive</w:t>
      </w:r>
      <w:r w:rsidR="002C5CAD" w:rsidRPr="00602A0C">
        <w:rPr>
          <w:b/>
          <w:bCs/>
          <w:sz w:val="26"/>
          <w:szCs w:val="26"/>
          <w:lang w:val="en-AU"/>
        </w:rPr>
        <w:t xml:space="preserve"> and </w:t>
      </w:r>
      <w:r w:rsidR="00FC41C9" w:rsidRPr="00602A0C">
        <w:rPr>
          <w:b/>
          <w:bCs/>
          <w:sz w:val="26"/>
          <w:szCs w:val="26"/>
          <w:lang w:val="en-AU"/>
        </w:rPr>
        <w:t>anticipate future challenges.</w:t>
      </w:r>
    </w:p>
    <w:p w14:paraId="1B3C6E33" w14:textId="3F7624FC" w:rsidR="00EE1D74" w:rsidRPr="000E16EB" w:rsidRDefault="00DA790A" w:rsidP="00123593">
      <w:pPr>
        <w:pStyle w:val="Body"/>
        <w:numPr>
          <w:ilvl w:val="1"/>
          <w:numId w:val="7"/>
        </w:numPr>
        <w:rPr>
          <w:lang w:val="en-AU"/>
        </w:rPr>
      </w:pPr>
      <w:r w:rsidRPr="000E16EB">
        <w:rPr>
          <w:lang w:val="en-AU"/>
        </w:rPr>
        <w:t>An organisation should m</w:t>
      </w:r>
      <w:r w:rsidR="004A4413" w:rsidRPr="000E16EB">
        <w:rPr>
          <w:lang w:val="en-AU"/>
        </w:rPr>
        <w:t xml:space="preserve">onitor and review </w:t>
      </w:r>
      <w:r w:rsidRPr="000E16EB">
        <w:rPr>
          <w:lang w:val="en-AU"/>
        </w:rPr>
        <w:t xml:space="preserve">its </w:t>
      </w:r>
      <w:r w:rsidR="009202E1" w:rsidRPr="000E16EB">
        <w:rPr>
          <w:lang w:val="en-AU"/>
        </w:rPr>
        <w:t xml:space="preserve">privacy </w:t>
      </w:r>
      <w:r w:rsidR="000F34BC" w:rsidRPr="000E16EB">
        <w:rPr>
          <w:lang w:val="en-AU"/>
        </w:rPr>
        <w:t xml:space="preserve">policies and </w:t>
      </w:r>
      <w:r w:rsidR="004A4413" w:rsidRPr="000E16EB">
        <w:rPr>
          <w:lang w:val="en-AU"/>
        </w:rPr>
        <w:t>processes regularly</w:t>
      </w:r>
      <w:r w:rsidR="00EE1D74" w:rsidRPr="000E16EB">
        <w:rPr>
          <w:lang w:val="en-AU"/>
        </w:rPr>
        <w:t xml:space="preserve"> to ensure they are up to date and fit for purpose</w:t>
      </w:r>
      <w:r w:rsidR="00896C71" w:rsidRPr="000E16EB">
        <w:rPr>
          <w:lang w:val="en-AU"/>
        </w:rPr>
        <w:t xml:space="preserve">. </w:t>
      </w:r>
      <w:r w:rsidR="00C43D68" w:rsidRPr="000E16EB">
        <w:rPr>
          <w:lang w:val="en-AU"/>
        </w:rPr>
        <w:t>This should involve assessing its privacy policy, collection notices, and PIA templates</w:t>
      </w:r>
      <w:r w:rsidR="002C5CAD">
        <w:rPr>
          <w:lang w:val="en-AU"/>
        </w:rPr>
        <w:t xml:space="preserve"> –</w:t>
      </w:r>
      <w:r w:rsidR="00C43D68" w:rsidRPr="000E16EB">
        <w:rPr>
          <w:lang w:val="en-AU"/>
        </w:rPr>
        <w:t xml:space="preserve"> at least annually </w:t>
      </w:r>
      <w:r w:rsidR="002C5CAD">
        <w:rPr>
          <w:lang w:val="en-AU"/>
        </w:rPr>
        <w:t xml:space="preserve">– </w:t>
      </w:r>
      <w:r w:rsidR="00C43D68" w:rsidRPr="000E16EB">
        <w:rPr>
          <w:lang w:val="en-AU"/>
        </w:rPr>
        <w:t>to ensure they are up to date.</w:t>
      </w:r>
    </w:p>
    <w:p w14:paraId="751696AA" w14:textId="7158CE4C" w:rsidR="00521EC2" w:rsidRPr="000E16EB" w:rsidRDefault="00EE1D74" w:rsidP="00123593">
      <w:pPr>
        <w:pStyle w:val="Body"/>
        <w:numPr>
          <w:ilvl w:val="1"/>
          <w:numId w:val="7"/>
        </w:numPr>
        <w:rPr>
          <w:lang w:val="en-AU"/>
        </w:rPr>
      </w:pPr>
      <w:r w:rsidRPr="000E16EB">
        <w:rPr>
          <w:lang w:val="en-AU"/>
        </w:rPr>
        <w:t>An organisation should establish</w:t>
      </w:r>
      <w:r w:rsidR="00C43D68" w:rsidRPr="000E16EB">
        <w:rPr>
          <w:lang w:val="en-AU"/>
        </w:rPr>
        <w:t xml:space="preserve"> a</w:t>
      </w:r>
      <w:r w:rsidRPr="000E16EB">
        <w:rPr>
          <w:lang w:val="en-AU"/>
        </w:rPr>
        <w:t xml:space="preserve"> </w:t>
      </w:r>
      <w:r w:rsidR="00C43D68" w:rsidRPr="000E16EB">
        <w:rPr>
          <w:lang w:val="en-AU"/>
        </w:rPr>
        <w:t>process</w:t>
      </w:r>
      <w:r w:rsidRPr="000E16EB">
        <w:rPr>
          <w:lang w:val="en-AU"/>
        </w:rPr>
        <w:t xml:space="preserve"> to measure </w:t>
      </w:r>
      <w:r w:rsidR="00C43D68" w:rsidRPr="000E16EB">
        <w:rPr>
          <w:lang w:val="en-AU"/>
        </w:rPr>
        <w:t xml:space="preserve">or evaluate </w:t>
      </w:r>
      <w:r w:rsidRPr="000E16EB">
        <w:rPr>
          <w:lang w:val="en-AU"/>
        </w:rPr>
        <w:t>the effectiveness of the</w:t>
      </w:r>
      <w:r w:rsidR="00C43D68" w:rsidRPr="000E16EB">
        <w:rPr>
          <w:lang w:val="en-AU"/>
        </w:rPr>
        <w:t xml:space="preserve"> organisation’s</w:t>
      </w:r>
      <w:r w:rsidRPr="000E16EB">
        <w:rPr>
          <w:lang w:val="en-AU"/>
        </w:rPr>
        <w:t xml:space="preserve"> privacy </w:t>
      </w:r>
      <w:r w:rsidR="00C43D68" w:rsidRPr="000E16EB">
        <w:rPr>
          <w:lang w:val="en-AU"/>
        </w:rPr>
        <w:t>practices, processes, and resources</w:t>
      </w:r>
      <w:r w:rsidRPr="000E16EB">
        <w:rPr>
          <w:lang w:val="en-AU"/>
        </w:rPr>
        <w:t xml:space="preserve">. This could include measuring the awareness of good privacy practices and the </w:t>
      </w:r>
      <w:r w:rsidR="002D53AA" w:rsidRPr="000E16EB">
        <w:rPr>
          <w:lang w:val="en-AU"/>
        </w:rPr>
        <w:t>adoption and use of privacy tools</w:t>
      </w:r>
      <w:r w:rsidR="00C43D68" w:rsidRPr="000E16EB">
        <w:rPr>
          <w:lang w:val="en-AU"/>
        </w:rPr>
        <w:t xml:space="preserve"> or resources</w:t>
      </w:r>
      <w:r w:rsidR="002D53AA" w:rsidRPr="000E16EB">
        <w:rPr>
          <w:lang w:val="en-AU"/>
        </w:rPr>
        <w:t xml:space="preserve"> across the organisation. </w:t>
      </w:r>
    </w:p>
    <w:p w14:paraId="32A632C3" w14:textId="7094AF19" w:rsidR="00833198" w:rsidRPr="000E16EB" w:rsidRDefault="00833198" w:rsidP="00123593">
      <w:pPr>
        <w:pStyle w:val="Body"/>
        <w:numPr>
          <w:ilvl w:val="1"/>
          <w:numId w:val="7"/>
        </w:numPr>
        <w:rPr>
          <w:rFonts w:asciiTheme="minorHAnsi" w:hAnsiTheme="minorHAnsi"/>
          <w:lang w:val="en-AU"/>
        </w:rPr>
      </w:pPr>
      <w:r w:rsidRPr="000E16EB">
        <w:rPr>
          <w:rFonts w:asciiTheme="minorHAnsi" w:hAnsiTheme="minorHAnsi"/>
          <w:lang w:val="en-AU"/>
        </w:rPr>
        <w:t>An organisation should regularly review its risk registers to ensure privacy risks are being appropriately</w:t>
      </w:r>
      <w:r w:rsidR="00611A16">
        <w:rPr>
          <w:rFonts w:asciiTheme="minorHAnsi" w:hAnsiTheme="minorHAnsi"/>
          <w:lang w:val="en-AU"/>
        </w:rPr>
        <w:t xml:space="preserve"> managed</w:t>
      </w:r>
      <w:r w:rsidRPr="000E16EB">
        <w:rPr>
          <w:rFonts w:asciiTheme="minorHAnsi" w:hAnsiTheme="minorHAnsi"/>
          <w:lang w:val="en-AU"/>
        </w:rPr>
        <w:t>.</w:t>
      </w:r>
    </w:p>
    <w:p w14:paraId="00DF7F6A" w14:textId="2E1CE142" w:rsidR="009202E1" w:rsidRPr="000E16EB" w:rsidRDefault="009202E1" w:rsidP="00656898">
      <w:pPr>
        <w:pStyle w:val="Body"/>
        <w:numPr>
          <w:ilvl w:val="1"/>
          <w:numId w:val="7"/>
        </w:numPr>
        <w:rPr>
          <w:rFonts w:asciiTheme="minorHAnsi" w:hAnsiTheme="minorHAnsi"/>
          <w:lang w:val="en-AU"/>
        </w:rPr>
      </w:pPr>
      <w:r w:rsidRPr="000E16EB">
        <w:rPr>
          <w:lang w:val="en-AU"/>
        </w:rPr>
        <w:t>An organisation should proactively examine the privacy implications, risks and benefits of new technologies it introduces into the organisation</w:t>
      </w:r>
      <w:r w:rsidR="00623CC4">
        <w:rPr>
          <w:lang w:val="en-AU"/>
        </w:rPr>
        <w:t>, and address identified risks</w:t>
      </w:r>
      <w:r w:rsidRPr="000E16EB">
        <w:rPr>
          <w:lang w:val="en-AU"/>
        </w:rPr>
        <w:t>. Where a new process or technology changes the organisation’s information handling practices,</w:t>
      </w:r>
      <w:r w:rsidR="00C43D68" w:rsidRPr="000E16EB">
        <w:rPr>
          <w:lang w:val="en-AU"/>
        </w:rPr>
        <w:t xml:space="preserve"> any</w:t>
      </w:r>
      <w:r w:rsidRPr="000E16EB">
        <w:rPr>
          <w:lang w:val="en-AU"/>
        </w:rPr>
        <w:t xml:space="preserve"> privacy policies, collection notices and PIAs should be updated to reflect those changes. </w:t>
      </w:r>
    </w:p>
    <w:p w14:paraId="195B7FB1" w14:textId="40802DD6" w:rsidR="00015932" w:rsidRPr="000E16EB" w:rsidRDefault="00015932" w:rsidP="00123593">
      <w:pPr>
        <w:pStyle w:val="Body"/>
        <w:numPr>
          <w:ilvl w:val="1"/>
          <w:numId w:val="7"/>
        </w:numPr>
        <w:rPr>
          <w:lang w:val="en-AU"/>
        </w:rPr>
      </w:pPr>
      <w:r w:rsidRPr="000E16EB">
        <w:rPr>
          <w:lang w:val="en-AU"/>
        </w:rPr>
        <w:t xml:space="preserve">An organisation should </w:t>
      </w:r>
      <w:r w:rsidR="002D53AA" w:rsidRPr="000E16EB">
        <w:rPr>
          <w:lang w:val="en-AU"/>
        </w:rPr>
        <w:t xml:space="preserve">ensure that any material changes to its privacy policies, procedures and practices are </w:t>
      </w:r>
      <w:r w:rsidRPr="000E16EB">
        <w:rPr>
          <w:lang w:val="en-AU"/>
        </w:rPr>
        <w:t>communicate</w:t>
      </w:r>
      <w:r w:rsidR="002D53AA" w:rsidRPr="000E16EB">
        <w:rPr>
          <w:lang w:val="en-AU"/>
        </w:rPr>
        <w:t>d</w:t>
      </w:r>
      <w:r w:rsidR="00C43D68" w:rsidRPr="000E16EB">
        <w:rPr>
          <w:lang w:val="en-AU"/>
        </w:rPr>
        <w:t xml:space="preserve"> appropriately</w:t>
      </w:r>
      <w:r w:rsidR="002D53AA" w:rsidRPr="000E16EB">
        <w:rPr>
          <w:lang w:val="en-AU"/>
        </w:rPr>
        <w:t xml:space="preserve"> to </w:t>
      </w:r>
      <w:r w:rsidRPr="000E16EB">
        <w:rPr>
          <w:lang w:val="en-AU"/>
        </w:rPr>
        <w:t>its employees</w:t>
      </w:r>
      <w:r w:rsidR="00C43D68" w:rsidRPr="000E16EB">
        <w:rPr>
          <w:lang w:val="en-AU"/>
        </w:rPr>
        <w:t xml:space="preserve"> and any relevant key stakeholders</w:t>
      </w:r>
      <w:r w:rsidRPr="000E16EB">
        <w:rPr>
          <w:lang w:val="en-AU"/>
        </w:rPr>
        <w:t xml:space="preserve">. </w:t>
      </w:r>
    </w:p>
    <w:p w14:paraId="3EC0894C" w14:textId="28223340" w:rsidR="004A7654" w:rsidRPr="000E16EB" w:rsidRDefault="003B2A02" w:rsidP="004233EE">
      <w:pPr>
        <w:pStyle w:val="Body"/>
        <w:numPr>
          <w:ilvl w:val="1"/>
          <w:numId w:val="7"/>
        </w:numPr>
        <w:rPr>
          <w:rFonts w:asciiTheme="minorHAnsi" w:hAnsiTheme="minorHAnsi"/>
          <w:lang w:val="en-AU"/>
        </w:rPr>
      </w:pPr>
      <w:r w:rsidRPr="000E16EB">
        <w:rPr>
          <w:lang w:val="en-AU"/>
        </w:rPr>
        <w:t>An organisation should d</w:t>
      </w:r>
      <w:r w:rsidR="004A4413" w:rsidRPr="000E16EB">
        <w:rPr>
          <w:lang w:val="en-AU"/>
        </w:rPr>
        <w:t>ocument compliance with</w:t>
      </w:r>
      <w:r w:rsidRPr="000E16EB">
        <w:rPr>
          <w:lang w:val="en-AU"/>
        </w:rPr>
        <w:t xml:space="preserve"> its</w:t>
      </w:r>
      <w:r w:rsidR="004A4413" w:rsidRPr="000E16EB">
        <w:rPr>
          <w:lang w:val="en-AU"/>
        </w:rPr>
        <w:t xml:space="preserve"> privacy obligations including keeping records o</w:t>
      </w:r>
      <w:r w:rsidRPr="000E16EB">
        <w:rPr>
          <w:lang w:val="en-AU"/>
        </w:rPr>
        <w:t>f</w:t>
      </w:r>
      <w:r w:rsidR="004A4413" w:rsidRPr="000E16EB">
        <w:rPr>
          <w:lang w:val="en-AU"/>
        </w:rPr>
        <w:t xml:space="preserve"> privacy process reviews</w:t>
      </w:r>
      <w:r w:rsidR="00C43D68" w:rsidRPr="000E16EB">
        <w:rPr>
          <w:lang w:val="en-AU"/>
        </w:rPr>
        <w:t>,</w:t>
      </w:r>
      <w:r w:rsidR="004A4413" w:rsidRPr="000E16EB">
        <w:rPr>
          <w:lang w:val="en-AU"/>
        </w:rPr>
        <w:t xml:space="preserve"> breaches and complaints. </w:t>
      </w:r>
      <w:r w:rsidR="002D53AA" w:rsidRPr="000E16EB">
        <w:rPr>
          <w:lang w:val="en-AU"/>
        </w:rPr>
        <w:t>These records should enable an organisation to identify systemic privacy risks, common themes</w:t>
      </w:r>
      <w:r w:rsidR="00C43D68" w:rsidRPr="000E16EB">
        <w:rPr>
          <w:lang w:val="en-AU"/>
        </w:rPr>
        <w:t>,</w:t>
      </w:r>
      <w:r w:rsidR="002D53AA" w:rsidRPr="000E16EB">
        <w:rPr>
          <w:lang w:val="en-AU"/>
        </w:rPr>
        <w:t xml:space="preserve"> and opportunities for improvement. </w:t>
      </w:r>
      <w:r w:rsidR="00D66EE1" w:rsidRPr="000E16EB">
        <w:rPr>
          <w:lang w:val="en-AU"/>
        </w:rPr>
        <w:t>Any themes and privacy risks identified should be reported to senior management and those responsible for privacy</w:t>
      </w:r>
      <w:r w:rsidR="002A062A">
        <w:rPr>
          <w:lang w:val="en-AU"/>
        </w:rPr>
        <w:t>.</w:t>
      </w:r>
      <w:r w:rsidR="00D66EE1" w:rsidRPr="000E16EB">
        <w:rPr>
          <w:lang w:val="en-AU"/>
        </w:rPr>
        <w:t xml:space="preserve"> </w:t>
      </w:r>
    </w:p>
    <w:p w14:paraId="7FE47697" w14:textId="797776C7" w:rsidR="00E02B26" w:rsidRPr="000E16EB" w:rsidRDefault="00E02B26" w:rsidP="00123593">
      <w:pPr>
        <w:pStyle w:val="Body"/>
        <w:numPr>
          <w:ilvl w:val="1"/>
          <w:numId w:val="7"/>
        </w:numPr>
        <w:rPr>
          <w:rFonts w:asciiTheme="minorHAnsi" w:hAnsiTheme="minorHAnsi"/>
          <w:lang w:val="en-AU"/>
        </w:rPr>
      </w:pPr>
      <w:r w:rsidRPr="000E16EB">
        <w:rPr>
          <w:rFonts w:asciiTheme="minorHAnsi" w:hAnsiTheme="minorHAnsi"/>
          <w:lang w:val="en-AU"/>
        </w:rPr>
        <w:t>An organisation should create a culture of continuous improvement by encouraging input from staff, the public</w:t>
      </w:r>
      <w:r w:rsidR="004233EE" w:rsidRPr="000E16EB">
        <w:rPr>
          <w:rFonts w:asciiTheme="minorHAnsi" w:hAnsiTheme="minorHAnsi"/>
          <w:lang w:val="en-AU"/>
        </w:rPr>
        <w:t>,</w:t>
      </w:r>
      <w:r w:rsidRPr="000E16EB">
        <w:rPr>
          <w:rFonts w:asciiTheme="minorHAnsi" w:hAnsiTheme="minorHAnsi"/>
          <w:lang w:val="en-AU"/>
        </w:rPr>
        <w:t xml:space="preserve"> and key stakeholders with suggestions and feedback</w:t>
      </w:r>
      <w:r w:rsidR="004233EE" w:rsidRPr="000E16EB">
        <w:rPr>
          <w:rFonts w:asciiTheme="minorHAnsi" w:hAnsiTheme="minorHAnsi"/>
          <w:lang w:val="en-AU"/>
        </w:rPr>
        <w:t xml:space="preserve"> on the organisation’s privacy practices</w:t>
      </w:r>
      <w:r w:rsidRPr="000E16EB">
        <w:rPr>
          <w:rFonts w:asciiTheme="minorHAnsi" w:hAnsiTheme="minorHAnsi"/>
          <w:lang w:val="en-AU"/>
        </w:rPr>
        <w:t>.</w:t>
      </w:r>
    </w:p>
    <w:p w14:paraId="0D7F99E3" w14:textId="73F69845" w:rsidR="00833198" w:rsidRPr="000E16EB" w:rsidRDefault="00833198" w:rsidP="00123593">
      <w:pPr>
        <w:pStyle w:val="Body"/>
        <w:numPr>
          <w:ilvl w:val="1"/>
          <w:numId w:val="7"/>
        </w:numPr>
        <w:rPr>
          <w:lang w:val="en-AU"/>
        </w:rPr>
      </w:pPr>
      <w:r w:rsidRPr="000E16EB">
        <w:rPr>
          <w:lang w:val="en-AU"/>
        </w:rPr>
        <w:t xml:space="preserve">An organisation should consider having its privacy processes assessed </w:t>
      </w:r>
      <w:r w:rsidR="00656898" w:rsidRPr="000E16EB">
        <w:rPr>
          <w:lang w:val="en-AU"/>
        </w:rPr>
        <w:t xml:space="preserve">periodically </w:t>
      </w:r>
      <w:r w:rsidR="00A17924" w:rsidRPr="000E16EB">
        <w:rPr>
          <w:lang w:val="en-AU"/>
        </w:rPr>
        <w:t xml:space="preserve">by an independent party </w:t>
      </w:r>
      <w:r w:rsidRPr="000E16EB">
        <w:rPr>
          <w:lang w:val="en-AU"/>
        </w:rPr>
        <w:t xml:space="preserve">to identify areas that may need improvement. </w:t>
      </w:r>
    </w:p>
    <w:p w14:paraId="4EF2FD2A" w14:textId="77777777" w:rsidR="00A85E12" w:rsidRPr="000E16EB" w:rsidRDefault="00A85E12">
      <w:pPr>
        <w:rPr>
          <w:rFonts w:ascii="Calibri" w:eastAsia="Calibri" w:hAnsi="Calibri" w:cs="PostGrotesk-Medium"/>
          <w:b/>
          <w:bCs/>
          <w:color w:val="430098"/>
          <w:sz w:val="32"/>
          <w:szCs w:val="32"/>
          <w:shd w:val="clear" w:color="auto" w:fill="FFFFFF"/>
        </w:rPr>
      </w:pPr>
      <w:r w:rsidRPr="000E16EB">
        <w:br w:type="page"/>
      </w:r>
    </w:p>
    <w:p w14:paraId="08BCEE6B" w14:textId="17B9D2C8" w:rsidR="003F3190" w:rsidRPr="000E16EB" w:rsidRDefault="00602A0C" w:rsidP="007E15FB">
      <w:pPr>
        <w:pStyle w:val="MainTitle"/>
      </w:pPr>
      <w:r w:rsidRPr="000E16EB">
        <w:lastRenderedPageBreak/>
        <w:t>PRIVACY MANAGEMENT FRAMEWORK – CHECKLIST</w:t>
      </w:r>
    </w:p>
    <w:p w14:paraId="2079E949" w14:textId="3356DA9E" w:rsidR="003F3190" w:rsidRPr="000E16EB" w:rsidRDefault="003F3190" w:rsidP="003F3190">
      <w:pPr>
        <w:pStyle w:val="Body"/>
        <w:rPr>
          <w:lang w:val="en-AU"/>
        </w:rPr>
      </w:pPr>
      <w:r w:rsidRPr="000E16EB">
        <w:rPr>
          <w:lang w:val="en-AU"/>
        </w:rPr>
        <w:t xml:space="preserve">This checklist is designed to </w:t>
      </w:r>
      <w:r w:rsidR="007E15FB" w:rsidRPr="000E16EB">
        <w:rPr>
          <w:lang w:val="en-AU"/>
        </w:rPr>
        <w:t>assist</w:t>
      </w:r>
      <w:r w:rsidRPr="000E16EB">
        <w:rPr>
          <w:lang w:val="en-AU"/>
        </w:rPr>
        <w:t xml:space="preserve"> an organisation </w:t>
      </w:r>
      <w:r w:rsidR="007E15FB" w:rsidRPr="000E16EB">
        <w:rPr>
          <w:lang w:val="en-AU"/>
        </w:rPr>
        <w:t xml:space="preserve">to </w:t>
      </w:r>
      <w:r w:rsidRPr="000E16EB">
        <w:rPr>
          <w:lang w:val="en-AU"/>
        </w:rPr>
        <w:t xml:space="preserve">implement privacy-enhancing practices and processes, </w:t>
      </w:r>
      <w:r w:rsidR="007E15FB" w:rsidRPr="000E16EB">
        <w:rPr>
          <w:lang w:val="en-AU"/>
        </w:rPr>
        <w:t>and</w:t>
      </w:r>
      <w:r w:rsidR="00BD159A" w:rsidRPr="000E16EB">
        <w:rPr>
          <w:lang w:val="en-AU"/>
        </w:rPr>
        <w:t xml:space="preserve"> strengthen the </w:t>
      </w:r>
      <w:r w:rsidRPr="000E16EB">
        <w:rPr>
          <w:lang w:val="en-AU"/>
        </w:rPr>
        <w:t>privacy</w:t>
      </w:r>
      <w:r w:rsidR="00BD159A" w:rsidRPr="000E16EB">
        <w:rPr>
          <w:lang w:val="en-AU"/>
        </w:rPr>
        <w:t xml:space="preserve"> culture</w:t>
      </w:r>
      <w:r w:rsidRPr="000E16EB">
        <w:rPr>
          <w:lang w:val="en-AU"/>
        </w:rPr>
        <w:t xml:space="preserve"> </w:t>
      </w:r>
      <w:r w:rsidR="00BD159A" w:rsidRPr="000E16EB">
        <w:rPr>
          <w:lang w:val="en-AU"/>
        </w:rPr>
        <w:t>of</w:t>
      </w:r>
      <w:r w:rsidRPr="000E16EB">
        <w:rPr>
          <w:lang w:val="en-AU"/>
        </w:rPr>
        <w:t xml:space="preserve"> </w:t>
      </w:r>
      <w:r w:rsidR="00BD159A" w:rsidRPr="000E16EB">
        <w:rPr>
          <w:lang w:val="en-AU"/>
        </w:rPr>
        <w:t xml:space="preserve">an </w:t>
      </w:r>
      <w:r w:rsidRPr="000E16EB">
        <w:rPr>
          <w:lang w:val="en-AU"/>
        </w:rPr>
        <w:t>organisation</w:t>
      </w:r>
      <w:r w:rsidR="007E15FB" w:rsidRPr="000E16EB">
        <w:rPr>
          <w:lang w:val="en-AU"/>
        </w:rPr>
        <w:t>.</w:t>
      </w:r>
    </w:p>
    <w:p w14:paraId="4E955AD7" w14:textId="5F8D5D90" w:rsidR="003F3190" w:rsidRPr="000E16EB" w:rsidRDefault="003F3190" w:rsidP="003F3190">
      <w:pPr>
        <w:pStyle w:val="Body"/>
        <w:rPr>
          <w:lang w:val="en-AU"/>
        </w:rPr>
      </w:pPr>
      <w:r w:rsidRPr="000E16EB">
        <w:rPr>
          <w:lang w:val="en-AU"/>
        </w:rPr>
        <w:t xml:space="preserve">Whether an organisation </w:t>
      </w:r>
      <w:r w:rsidR="00405754" w:rsidRPr="000E16EB">
        <w:rPr>
          <w:lang w:val="en-AU"/>
        </w:rPr>
        <w:t xml:space="preserve">has implemented or </w:t>
      </w:r>
      <w:r w:rsidRPr="000E16EB">
        <w:rPr>
          <w:lang w:val="en-AU"/>
        </w:rPr>
        <w:t>implement</w:t>
      </w:r>
      <w:r w:rsidR="007E15FB" w:rsidRPr="000E16EB">
        <w:rPr>
          <w:lang w:val="en-AU"/>
        </w:rPr>
        <w:t>s</w:t>
      </w:r>
      <w:r w:rsidRPr="000E16EB">
        <w:rPr>
          <w:lang w:val="en-AU"/>
        </w:rPr>
        <w:t xml:space="preserve"> all</w:t>
      </w:r>
      <w:r w:rsidR="007E15FB" w:rsidRPr="000E16EB">
        <w:rPr>
          <w:lang w:val="en-AU"/>
        </w:rPr>
        <w:t xml:space="preserve"> or some of</w:t>
      </w:r>
      <w:r w:rsidRPr="000E16EB">
        <w:rPr>
          <w:lang w:val="en-AU"/>
        </w:rPr>
        <w:t xml:space="preserve"> the measures listed</w:t>
      </w:r>
      <w:r w:rsidR="007E15FB" w:rsidRPr="000E16EB">
        <w:rPr>
          <w:lang w:val="en-AU"/>
        </w:rPr>
        <w:t xml:space="preserve"> will depend on a variety of factors, including </w:t>
      </w:r>
      <w:r w:rsidRPr="000E16EB">
        <w:rPr>
          <w:lang w:val="en-AU"/>
        </w:rPr>
        <w:t>the size of the organisation</w:t>
      </w:r>
      <w:r w:rsidR="007E15FB" w:rsidRPr="000E16EB">
        <w:rPr>
          <w:lang w:val="en-AU"/>
        </w:rPr>
        <w:t xml:space="preserve">, its functions, the types of information it collects, and its </w:t>
      </w:r>
      <w:r w:rsidR="00241DD5" w:rsidRPr="000E16EB">
        <w:rPr>
          <w:lang w:val="en-AU"/>
        </w:rPr>
        <w:t xml:space="preserve">relationship </w:t>
      </w:r>
      <w:r w:rsidR="007E15FB" w:rsidRPr="000E16EB">
        <w:rPr>
          <w:lang w:val="en-AU"/>
        </w:rPr>
        <w:t>with the public.</w:t>
      </w:r>
    </w:p>
    <w:p w14:paraId="10C4579A" w14:textId="60861FEC" w:rsidR="00AD5BC0" w:rsidRPr="000E16EB" w:rsidRDefault="007E15FB" w:rsidP="00123593">
      <w:pPr>
        <w:pStyle w:val="Body"/>
        <w:spacing w:after="240"/>
        <w:rPr>
          <w:lang w:val="en-AU"/>
        </w:rPr>
      </w:pPr>
      <w:r w:rsidRPr="000E16EB">
        <w:rPr>
          <w:lang w:val="en-AU"/>
        </w:rPr>
        <w:t>T</w:t>
      </w:r>
      <w:r w:rsidR="003F3190" w:rsidRPr="000E16EB">
        <w:rPr>
          <w:lang w:val="en-AU"/>
        </w:rPr>
        <w:t xml:space="preserve">his checklist </w:t>
      </w:r>
      <w:r w:rsidRPr="000E16EB">
        <w:rPr>
          <w:lang w:val="en-AU"/>
        </w:rPr>
        <w:t xml:space="preserve">should </w:t>
      </w:r>
      <w:r w:rsidR="003F3190" w:rsidRPr="000E16EB">
        <w:rPr>
          <w:lang w:val="en-AU"/>
        </w:rPr>
        <w:t>be completed annually by the organisation’s privacy officer</w:t>
      </w:r>
      <w:r w:rsidRPr="000E16EB">
        <w:rPr>
          <w:lang w:val="en-AU"/>
        </w:rPr>
        <w:t xml:space="preserve"> and endorsed by the organisation’s executive.</w:t>
      </w:r>
      <w:r w:rsidR="00405754" w:rsidRPr="000E16EB">
        <w:rPr>
          <w:lang w:val="en-AU"/>
        </w:rPr>
        <w:t xml:space="preserve"> </w:t>
      </w:r>
      <w:r w:rsidR="00AD5BC0" w:rsidRPr="000E16EB">
        <w:rPr>
          <w:lang w:val="en-AU"/>
        </w:rPr>
        <w:t>When completing the checklist, the privacy officer</w:t>
      </w:r>
      <w:r w:rsidR="009202E1" w:rsidRPr="000E16EB">
        <w:rPr>
          <w:lang w:val="en-AU"/>
        </w:rPr>
        <w:t>, or privacy team,</w:t>
      </w:r>
      <w:r w:rsidR="00AD5BC0" w:rsidRPr="000E16EB">
        <w:rPr>
          <w:lang w:val="en-AU"/>
        </w:rPr>
        <w:t xml:space="preserve"> should comment on how the organisation has implemented the action, or intends to implement the relevant action, and make a robust assessment of the effectiveness of the organisation</w:t>
      </w:r>
      <w:r w:rsidR="0051013B" w:rsidRPr="000E16EB">
        <w:rPr>
          <w:lang w:val="en-AU"/>
        </w:rPr>
        <w:t>’</w:t>
      </w:r>
      <w:r w:rsidR="00AD5BC0" w:rsidRPr="000E16EB">
        <w:rPr>
          <w:lang w:val="en-AU"/>
        </w:rPr>
        <w:t xml:space="preserve">s practices.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2"/>
        <w:gridCol w:w="5090"/>
      </w:tblGrid>
      <w:tr w:rsidR="0071195D" w:rsidRPr="000E16EB" w14:paraId="60163FCD" w14:textId="77777777" w:rsidTr="0071195D">
        <w:trPr>
          <w:cantSplit/>
          <w:trHeight w:val="308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179FE1C" w14:textId="362A51B9" w:rsidR="0071195D" w:rsidRPr="000E16EB" w:rsidRDefault="0071195D" w:rsidP="0071195D">
            <w:pPr>
              <w:pStyle w:val="Body"/>
              <w:spacing w:before="120" w:after="120"/>
              <w:jc w:val="center"/>
              <w:rPr>
                <w:b/>
                <w:bCs/>
                <w:lang w:val="en-AU"/>
              </w:rPr>
            </w:pPr>
            <w:r w:rsidRPr="000E16EB">
              <w:rPr>
                <w:b/>
                <w:bCs/>
                <w:sz w:val="24"/>
                <w:szCs w:val="24"/>
                <w:lang w:val="en-AU"/>
              </w:rPr>
              <w:t>Privacy Management Framework – Organisation Checklist</w:t>
            </w:r>
          </w:p>
        </w:tc>
      </w:tr>
      <w:tr w:rsidR="0071195D" w:rsidRPr="000E16EB" w14:paraId="28465F55" w14:textId="77777777" w:rsidTr="0071195D">
        <w:trPr>
          <w:cantSplit/>
          <w:trHeight w:val="283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2A53DF2" w14:textId="60C59B61" w:rsidR="0071195D" w:rsidRPr="000E16EB" w:rsidRDefault="0071195D" w:rsidP="00795176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b/>
                <w:bCs/>
                <w:lang w:val="en-AU"/>
              </w:rPr>
              <w:t>Part 1 – Organisational commitment</w:t>
            </w:r>
          </w:p>
        </w:tc>
      </w:tr>
      <w:tr w:rsidR="0071195D" w:rsidRPr="000E16EB" w14:paraId="1D94EAFF" w14:textId="77777777" w:rsidTr="0071195D">
        <w:trPr>
          <w:cantSplit/>
          <w:trHeight w:val="308"/>
        </w:trPr>
        <w:tc>
          <w:tcPr>
            <w:tcW w:w="2355" w:type="pct"/>
            <w:shd w:val="clear" w:color="auto" w:fill="F2F2F2" w:themeFill="background1" w:themeFillShade="F2"/>
            <w:vAlign w:val="center"/>
          </w:tcPr>
          <w:p w14:paraId="2EC4015E" w14:textId="4D4B598B" w:rsidR="0071195D" w:rsidRPr="000E16EB" w:rsidRDefault="0071195D" w:rsidP="00B767E7">
            <w:pPr>
              <w:pStyle w:val="Body"/>
              <w:spacing w:before="120" w:after="120"/>
              <w:rPr>
                <w:i/>
                <w:iCs/>
                <w:lang w:val="en-AU"/>
              </w:rPr>
            </w:pPr>
            <w:r w:rsidRPr="000E16EB">
              <w:rPr>
                <w:i/>
                <w:iCs/>
                <w:lang w:val="en-AU"/>
              </w:rPr>
              <w:t>Action</w:t>
            </w:r>
          </w:p>
        </w:tc>
        <w:tc>
          <w:tcPr>
            <w:tcW w:w="2645" w:type="pct"/>
            <w:shd w:val="clear" w:color="auto" w:fill="F2F2F2" w:themeFill="background1" w:themeFillShade="F2"/>
          </w:tcPr>
          <w:p w14:paraId="7A27446D" w14:textId="46044567" w:rsidR="0071195D" w:rsidRPr="000E16EB" w:rsidRDefault="0071195D" w:rsidP="00B767E7">
            <w:pPr>
              <w:pStyle w:val="Body"/>
              <w:spacing w:before="120" w:after="120"/>
              <w:rPr>
                <w:i/>
                <w:iCs/>
                <w:lang w:val="en-AU"/>
              </w:rPr>
            </w:pPr>
            <w:r w:rsidRPr="000E16EB">
              <w:rPr>
                <w:i/>
                <w:iCs/>
                <w:lang w:val="en-AU"/>
              </w:rPr>
              <w:t>Comment</w:t>
            </w:r>
          </w:p>
        </w:tc>
      </w:tr>
      <w:tr w:rsidR="0071195D" w:rsidRPr="000E16EB" w14:paraId="1338DD31" w14:textId="77777777" w:rsidTr="0071195D">
        <w:trPr>
          <w:cantSplit/>
          <w:trHeight w:val="570"/>
        </w:trPr>
        <w:tc>
          <w:tcPr>
            <w:tcW w:w="2355" w:type="pct"/>
            <w:vAlign w:val="center"/>
          </w:tcPr>
          <w:p w14:paraId="3475E63F" w14:textId="77777777" w:rsidR="0071195D" w:rsidRPr="000E16EB" w:rsidRDefault="0071195D" w:rsidP="00870521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lang w:val="en-AU"/>
              </w:rPr>
              <w:t xml:space="preserve">The executive and senior management are proactively engaged in building the organisation’s privacy culture. </w:t>
            </w:r>
          </w:p>
          <w:p w14:paraId="6B549D9C" w14:textId="1726400C" w:rsidR="0071195D" w:rsidRPr="000E16EB" w:rsidRDefault="0071195D" w:rsidP="00870521">
            <w:pPr>
              <w:pStyle w:val="Body"/>
              <w:spacing w:before="120" w:after="120"/>
              <w:rPr>
                <w:i/>
                <w:iCs/>
                <w:sz w:val="20"/>
                <w:szCs w:val="18"/>
                <w:lang w:val="en-AU"/>
              </w:rPr>
            </w:pPr>
            <w:r w:rsidRPr="000E16EB">
              <w:rPr>
                <w:i/>
                <w:iCs/>
                <w:sz w:val="20"/>
                <w:szCs w:val="18"/>
                <w:lang w:val="en-AU"/>
              </w:rPr>
              <w:t xml:space="preserve">Describe how the executive is engaged or the actions that will be taken to engage the executive in building the organisation’s privacy culture. </w:t>
            </w:r>
          </w:p>
          <w:p w14:paraId="0904DBBB" w14:textId="4462142E" w:rsidR="0071195D" w:rsidRPr="000E16EB" w:rsidRDefault="0071195D" w:rsidP="00870521">
            <w:pPr>
              <w:pStyle w:val="Body"/>
              <w:spacing w:before="120" w:after="120"/>
              <w:rPr>
                <w:i/>
                <w:iCs/>
                <w:lang w:val="en-AU"/>
              </w:rPr>
            </w:pPr>
            <w:r w:rsidRPr="000E16EB">
              <w:rPr>
                <w:i/>
                <w:iCs/>
                <w:sz w:val="20"/>
                <w:szCs w:val="18"/>
                <w:lang w:val="en-AU"/>
              </w:rPr>
              <w:t>For example, privacy compliance is a standing item in executive meetings, reports of privacy complaints and breach trends are shared with the executive.</w:t>
            </w:r>
          </w:p>
        </w:tc>
        <w:tc>
          <w:tcPr>
            <w:tcW w:w="2645" w:type="pct"/>
          </w:tcPr>
          <w:p w14:paraId="70B937CF" w14:textId="77777777" w:rsidR="0071195D" w:rsidRPr="000E16EB" w:rsidRDefault="0071195D" w:rsidP="00870521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013264F2" w14:textId="77777777" w:rsidTr="0071195D">
        <w:trPr>
          <w:cantSplit/>
          <w:trHeight w:val="570"/>
        </w:trPr>
        <w:tc>
          <w:tcPr>
            <w:tcW w:w="2355" w:type="pct"/>
            <w:vAlign w:val="center"/>
          </w:tcPr>
          <w:p w14:paraId="4D1F1904" w14:textId="30A46010" w:rsidR="0071195D" w:rsidRPr="000E16EB" w:rsidRDefault="0071195D" w:rsidP="00870521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lang w:val="en-AU"/>
              </w:rPr>
              <w:t xml:space="preserve">The organisation understands which privacy laws apply to it and the relevant privacy obligations that flow. </w:t>
            </w:r>
          </w:p>
          <w:p w14:paraId="181A74DA" w14:textId="00AF2CE9" w:rsidR="0071195D" w:rsidRPr="000E16EB" w:rsidRDefault="0071195D" w:rsidP="00870521">
            <w:pPr>
              <w:pStyle w:val="Body"/>
              <w:spacing w:before="120" w:after="120"/>
              <w:rPr>
                <w:i/>
                <w:iCs/>
                <w:sz w:val="20"/>
                <w:szCs w:val="20"/>
                <w:lang w:val="en-AU"/>
              </w:rPr>
            </w:pPr>
            <w:r w:rsidRPr="000E16EB">
              <w:rPr>
                <w:i/>
                <w:iCs/>
                <w:sz w:val="20"/>
                <w:szCs w:val="20"/>
                <w:lang w:val="en-AU"/>
              </w:rPr>
              <w:t>Consider if the organisation also has obligations under the Health Records Act 2001 and the Privacy Act 1988 (Cth).</w:t>
            </w:r>
          </w:p>
        </w:tc>
        <w:tc>
          <w:tcPr>
            <w:tcW w:w="2645" w:type="pct"/>
          </w:tcPr>
          <w:p w14:paraId="4630972B" w14:textId="77777777" w:rsidR="0071195D" w:rsidRPr="000E16EB" w:rsidRDefault="0071195D" w:rsidP="00870521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491C8853" w14:textId="77777777" w:rsidTr="0071195D">
        <w:trPr>
          <w:cantSplit/>
          <w:trHeight w:val="1164"/>
        </w:trPr>
        <w:tc>
          <w:tcPr>
            <w:tcW w:w="2355" w:type="pct"/>
            <w:vAlign w:val="center"/>
          </w:tcPr>
          <w:p w14:paraId="44713866" w14:textId="05EB8938" w:rsidR="0071195D" w:rsidRPr="000E16EB" w:rsidRDefault="0071195D" w:rsidP="00870521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lang w:val="en-AU"/>
              </w:rPr>
              <w:t>Key roles and responsibilities for privacy management including a privacy officer are assigned.</w:t>
            </w:r>
          </w:p>
          <w:p w14:paraId="37FBE0AC" w14:textId="269337CE" w:rsidR="006A2A97" w:rsidRPr="000E16EB" w:rsidRDefault="006A2A97" w:rsidP="00870521">
            <w:pPr>
              <w:pStyle w:val="Body"/>
              <w:spacing w:before="120" w:after="120"/>
              <w:rPr>
                <w:i/>
                <w:iCs/>
                <w:sz w:val="20"/>
                <w:szCs w:val="20"/>
                <w:lang w:val="en-AU"/>
              </w:rPr>
            </w:pPr>
            <w:r w:rsidRPr="000E16EB">
              <w:rPr>
                <w:i/>
                <w:iCs/>
                <w:sz w:val="20"/>
                <w:szCs w:val="20"/>
                <w:lang w:val="en-AU"/>
              </w:rPr>
              <w:t>Consider if privacy officer role accountabilities can be included in performance development planning.</w:t>
            </w:r>
          </w:p>
          <w:p w14:paraId="00C04F55" w14:textId="78D0A729" w:rsidR="006A2A97" w:rsidRPr="000E16EB" w:rsidRDefault="0071195D" w:rsidP="00870521">
            <w:pPr>
              <w:pStyle w:val="Body"/>
              <w:spacing w:before="120" w:after="120"/>
              <w:rPr>
                <w:i/>
                <w:iCs/>
                <w:sz w:val="20"/>
                <w:szCs w:val="20"/>
                <w:lang w:val="en-AU"/>
              </w:rPr>
            </w:pPr>
            <w:r w:rsidRPr="000E16EB">
              <w:rPr>
                <w:i/>
                <w:iCs/>
                <w:sz w:val="20"/>
                <w:szCs w:val="20"/>
                <w:lang w:val="en-AU"/>
              </w:rPr>
              <w:t>List each role, the person assigned to that role, and the relevant responsibilities of that role</w:t>
            </w:r>
            <w:r w:rsidR="006A2A97" w:rsidRPr="000E16EB">
              <w:rPr>
                <w:i/>
                <w:iCs/>
                <w:sz w:val="20"/>
                <w:szCs w:val="20"/>
                <w:lang w:val="en-AU"/>
              </w:rPr>
              <w:t>.</w:t>
            </w:r>
          </w:p>
        </w:tc>
        <w:tc>
          <w:tcPr>
            <w:tcW w:w="2645" w:type="pct"/>
          </w:tcPr>
          <w:p w14:paraId="73BBE4D6" w14:textId="77777777" w:rsidR="0071195D" w:rsidRPr="000E16EB" w:rsidRDefault="0071195D" w:rsidP="00870521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574168" w:rsidRPr="000E16EB" w14:paraId="3184AD9F" w14:textId="77777777" w:rsidTr="0071195D">
        <w:trPr>
          <w:cantSplit/>
          <w:trHeight w:val="1164"/>
        </w:trPr>
        <w:tc>
          <w:tcPr>
            <w:tcW w:w="2355" w:type="pct"/>
            <w:vAlign w:val="center"/>
          </w:tcPr>
          <w:p w14:paraId="11580AE2" w14:textId="77777777" w:rsidR="00574168" w:rsidRDefault="00574168" w:rsidP="00870521">
            <w:pPr>
              <w:pStyle w:val="Body"/>
              <w:spacing w:before="120" w:after="120"/>
              <w:rPr>
                <w:lang w:val="en-AU" w:eastAsia="en-GB"/>
              </w:rPr>
            </w:pPr>
            <w:r>
              <w:rPr>
                <w:lang w:val="en-AU" w:eastAsia="en-GB"/>
              </w:rPr>
              <w:lastRenderedPageBreak/>
              <w:t>Appropriate resourcing is allocated to maintain organisational privacy expertise.</w:t>
            </w:r>
          </w:p>
          <w:p w14:paraId="3FB862F9" w14:textId="059C523F" w:rsidR="00574168" w:rsidRPr="00574168" w:rsidRDefault="00574168" w:rsidP="00870521">
            <w:pPr>
              <w:pStyle w:val="Body"/>
              <w:spacing w:before="120" w:after="120"/>
              <w:rPr>
                <w:i/>
                <w:iCs/>
                <w:lang w:val="en-AU"/>
              </w:rPr>
            </w:pPr>
            <w:r w:rsidRPr="00574168">
              <w:rPr>
                <w:i/>
                <w:iCs/>
                <w:sz w:val="20"/>
                <w:szCs w:val="18"/>
                <w:lang w:val="en-AU"/>
              </w:rPr>
              <w:t xml:space="preserve">Evaluate if appropriate resourcing is provided or further resourcing is required. </w:t>
            </w:r>
          </w:p>
        </w:tc>
        <w:tc>
          <w:tcPr>
            <w:tcW w:w="2645" w:type="pct"/>
          </w:tcPr>
          <w:p w14:paraId="1FB9AF3E" w14:textId="77777777" w:rsidR="00574168" w:rsidRPr="000E16EB" w:rsidRDefault="00574168" w:rsidP="00870521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7C2AB92D" w14:textId="77777777" w:rsidTr="0071195D">
        <w:trPr>
          <w:cantSplit/>
          <w:trHeight w:val="918"/>
        </w:trPr>
        <w:tc>
          <w:tcPr>
            <w:tcW w:w="2355" w:type="pct"/>
            <w:vAlign w:val="center"/>
          </w:tcPr>
          <w:p w14:paraId="0CE0436C" w14:textId="3BA3C6C2" w:rsidR="0071195D" w:rsidRPr="000E16EB" w:rsidRDefault="0071195D" w:rsidP="00870521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lang w:val="en-AU"/>
              </w:rPr>
              <w:t xml:space="preserve">A </w:t>
            </w:r>
            <w:hyperlink r:id="rId37" w:history="1">
              <w:r w:rsidRPr="000E16EB">
                <w:rPr>
                  <w:rStyle w:val="Hyperlink"/>
                  <w:lang w:val="en-AU"/>
                </w:rPr>
                <w:t>privacy by design</w:t>
              </w:r>
            </w:hyperlink>
            <w:r w:rsidRPr="000E16EB">
              <w:rPr>
                <w:lang w:val="en-AU"/>
              </w:rPr>
              <w:t xml:space="preserve"> approach is adopted for all initiatives involving personal information.</w:t>
            </w:r>
          </w:p>
          <w:p w14:paraId="25771E65" w14:textId="23534664" w:rsidR="0071195D" w:rsidRPr="000E16EB" w:rsidRDefault="0071195D" w:rsidP="00870521">
            <w:pPr>
              <w:pStyle w:val="Body"/>
              <w:spacing w:before="120" w:after="120"/>
              <w:rPr>
                <w:i/>
                <w:iCs/>
                <w:sz w:val="20"/>
                <w:szCs w:val="18"/>
                <w:lang w:val="en-AU"/>
              </w:rPr>
            </w:pPr>
            <w:r w:rsidRPr="000E16EB">
              <w:rPr>
                <w:i/>
                <w:iCs/>
                <w:sz w:val="20"/>
                <w:szCs w:val="18"/>
                <w:lang w:val="en-AU"/>
              </w:rPr>
              <w:t>Detail how this has been achieved, or the actions that will be taken to implement privacy by design.</w:t>
            </w:r>
          </w:p>
        </w:tc>
        <w:tc>
          <w:tcPr>
            <w:tcW w:w="2645" w:type="pct"/>
          </w:tcPr>
          <w:p w14:paraId="5C8BAB1C" w14:textId="77777777" w:rsidR="0071195D" w:rsidRPr="000E16EB" w:rsidRDefault="0071195D" w:rsidP="00870521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35B0E6EA" w14:textId="77777777" w:rsidTr="0071195D">
        <w:trPr>
          <w:cantSplit/>
          <w:trHeight w:val="594"/>
        </w:trPr>
        <w:tc>
          <w:tcPr>
            <w:tcW w:w="2355" w:type="pct"/>
            <w:vAlign w:val="center"/>
          </w:tcPr>
          <w:p w14:paraId="3A68C262" w14:textId="77777777" w:rsidR="0071195D" w:rsidRPr="000E16EB" w:rsidRDefault="0071195D" w:rsidP="00870521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lang w:val="en-AU"/>
              </w:rPr>
              <w:t xml:space="preserve">The </w:t>
            </w:r>
            <w:hyperlink r:id="rId38" w:history="1">
              <w:r w:rsidRPr="000E16EB">
                <w:rPr>
                  <w:rStyle w:val="Hyperlink"/>
                  <w:lang w:val="en-AU"/>
                </w:rPr>
                <w:t>functions and role of OVIC</w:t>
              </w:r>
            </w:hyperlink>
            <w:r w:rsidRPr="000E16EB">
              <w:rPr>
                <w:lang w:val="en-AU"/>
              </w:rPr>
              <w:t xml:space="preserve"> are understood.</w:t>
            </w:r>
          </w:p>
          <w:p w14:paraId="6B609F79" w14:textId="5B5A9E2A" w:rsidR="0071195D" w:rsidRPr="000E16EB" w:rsidRDefault="0071195D" w:rsidP="00870521">
            <w:pPr>
              <w:pStyle w:val="Body"/>
              <w:spacing w:before="120" w:after="120"/>
              <w:rPr>
                <w:i/>
                <w:iCs/>
                <w:lang w:val="en-AU"/>
              </w:rPr>
            </w:pPr>
            <w:r w:rsidRPr="000E16EB">
              <w:rPr>
                <w:i/>
                <w:iCs/>
                <w:sz w:val="20"/>
                <w:szCs w:val="18"/>
                <w:lang w:val="en-AU"/>
              </w:rPr>
              <w:t>Describe what has been done or actions undertaken to understand OVIC’s regulatory role.</w:t>
            </w:r>
          </w:p>
        </w:tc>
        <w:tc>
          <w:tcPr>
            <w:tcW w:w="2645" w:type="pct"/>
          </w:tcPr>
          <w:p w14:paraId="583BD23B" w14:textId="77777777" w:rsidR="0071195D" w:rsidRPr="000E16EB" w:rsidRDefault="0071195D" w:rsidP="00870521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6F749F63" w14:textId="77777777" w:rsidTr="0071195D">
        <w:trPr>
          <w:cantSplit/>
          <w:trHeight w:val="308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39B7F6F" w14:textId="09FCF56F" w:rsidR="0071195D" w:rsidRPr="000E16EB" w:rsidRDefault="0071195D" w:rsidP="00B767E7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b/>
                <w:bCs/>
                <w:lang w:val="en-AU"/>
              </w:rPr>
              <w:t>Part 2 – Privacy practices</w:t>
            </w:r>
          </w:p>
        </w:tc>
      </w:tr>
      <w:tr w:rsidR="0071195D" w:rsidRPr="000E16EB" w14:paraId="66413FCF" w14:textId="77777777" w:rsidTr="0071195D">
        <w:trPr>
          <w:cantSplit/>
          <w:trHeight w:val="285"/>
        </w:trPr>
        <w:tc>
          <w:tcPr>
            <w:tcW w:w="2355" w:type="pct"/>
            <w:shd w:val="clear" w:color="auto" w:fill="F2F2F2" w:themeFill="background1" w:themeFillShade="F2"/>
            <w:vAlign w:val="center"/>
          </w:tcPr>
          <w:p w14:paraId="68137F8A" w14:textId="2C1F01BA" w:rsidR="0071195D" w:rsidRPr="000E16EB" w:rsidRDefault="0071195D" w:rsidP="00B767E7">
            <w:pPr>
              <w:pStyle w:val="Body"/>
              <w:spacing w:before="120" w:after="120"/>
              <w:rPr>
                <w:i/>
                <w:iCs/>
                <w:lang w:val="en-AU"/>
              </w:rPr>
            </w:pPr>
            <w:r w:rsidRPr="000E16EB">
              <w:rPr>
                <w:i/>
                <w:iCs/>
                <w:lang w:val="en-AU"/>
              </w:rPr>
              <w:t>Action</w:t>
            </w:r>
          </w:p>
        </w:tc>
        <w:tc>
          <w:tcPr>
            <w:tcW w:w="2645" w:type="pct"/>
            <w:shd w:val="clear" w:color="auto" w:fill="F2F2F2" w:themeFill="background1" w:themeFillShade="F2"/>
          </w:tcPr>
          <w:p w14:paraId="0DDE6428" w14:textId="2F1BAD6E" w:rsidR="0071195D" w:rsidRPr="000E16EB" w:rsidRDefault="0071195D" w:rsidP="00B767E7">
            <w:pPr>
              <w:pStyle w:val="Body"/>
              <w:spacing w:before="120" w:after="120"/>
              <w:rPr>
                <w:i/>
                <w:iCs/>
                <w:lang w:val="en-AU"/>
              </w:rPr>
            </w:pPr>
            <w:r w:rsidRPr="000E16EB">
              <w:rPr>
                <w:i/>
                <w:iCs/>
                <w:lang w:val="en-AU"/>
              </w:rPr>
              <w:t>Comment</w:t>
            </w:r>
          </w:p>
        </w:tc>
      </w:tr>
      <w:tr w:rsidR="0071195D" w:rsidRPr="000E16EB" w14:paraId="208A42D5" w14:textId="77777777" w:rsidTr="0071195D">
        <w:trPr>
          <w:cantSplit/>
          <w:trHeight w:val="308"/>
        </w:trPr>
        <w:tc>
          <w:tcPr>
            <w:tcW w:w="2355" w:type="pct"/>
            <w:vAlign w:val="center"/>
          </w:tcPr>
          <w:p w14:paraId="23607C36" w14:textId="77777777" w:rsidR="0071195D" w:rsidRPr="000E16EB" w:rsidRDefault="0071195D" w:rsidP="00B767E7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lang w:val="en-AU"/>
              </w:rPr>
              <w:t>Processes and policies for handling personal information that cover the information lifecycle are maintained.</w:t>
            </w:r>
          </w:p>
          <w:p w14:paraId="743A3B44" w14:textId="30695E72" w:rsidR="0071195D" w:rsidRPr="000E16EB" w:rsidRDefault="0071195D" w:rsidP="00B767E7">
            <w:pPr>
              <w:pStyle w:val="Body"/>
              <w:spacing w:before="120" w:after="120"/>
              <w:rPr>
                <w:i/>
                <w:iCs/>
                <w:sz w:val="20"/>
                <w:szCs w:val="20"/>
                <w:lang w:val="en-AU"/>
              </w:rPr>
            </w:pPr>
            <w:r w:rsidRPr="000E16EB">
              <w:rPr>
                <w:i/>
                <w:iCs/>
                <w:sz w:val="20"/>
                <w:szCs w:val="20"/>
                <w:lang w:val="en-AU"/>
              </w:rPr>
              <w:t xml:space="preserve">List all the processes or policies that exist for handling personal information. Outline who is responsible for each item. </w:t>
            </w:r>
          </w:p>
        </w:tc>
        <w:tc>
          <w:tcPr>
            <w:tcW w:w="2645" w:type="pct"/>
          </w:tcPr>
          <w:p w14:paraId="65839A1B" w14:textId="77777777" w:rsidR="0071195D" w:rsidRPr="000E16EB" w:rsidRDefault="0071195D" w:rsidP="00B767E7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1353A333" w14:textId="77777777" w:rsidTr="0071195D">
        <w:trPr>
          <w:cantSplit/>
          <w:trHeight w:val="308"/>
        </w:trPr>
        <w:tc>
          <w:tcPr>
            <w:tcW w:w="2355" w:type="pct"/>
            <w:vAlign w:val="center"/>
          </w:tcPr>
          <w:p w14:paraId="35E1B8E3" w14:textId="32FCE305" w:rsidR="0071195D" w:rsidRPr="000E16EB" w:rsidRDefault="0071195D" w:rsidP="00CE394C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lang w:val="en-AU"/>
              </w:rPr>
              <w:t xml:space="preserve">A </w:t>
            </w:r>
            <w:hyperlink r:id="rId39" w:history="1">
              <w:r w:rsidRPr="000E16EB">
                <w:rPr>
                  <w:rStyle w:val="Hyperlink"/>
                  <w:lang w:val="en-AU"/>
                </w:rPr>
                <w:t>privacy policy</w:t>
              </w:r>
            </w:hyperlink>
            <w:r w:rsidRPr="000E16EB">
              <w:rPr>
                <w:lang w:val="en-AU"/>
              </w:rPr>
              <w:t xml:space="preserve"> that is easy to understand and up to date is available to the public.</w:t>
            </w:r>
          </w:p>
          <w:p w14:paraId="4A14DE87" w14:textId="1ED45D80" w:rsidR="0071195D" w:rsidRPr="000E16EB" w:rsidRDefault="0071195D" w:rsidP="00CE394C">
            <w:pPr>
              <w:pStyle w:val="Body"/>
              <w:spacing w:before="120" w:after="120"/>
              <w:rPr>
                <w:i/>
                <w:iCs/>
                <w:sz w:val="20"/>
                <w:szCs w:val="18"/>
                <w:lang w:val="en-AU"/>
              </w:rPr>
            </w:pPr>
            <w:r w:rsidRPr="000E16EB">
              <w:rPr>
                <w:i/>
                <w:iCs/>
                <w:sz w:val="20"/>
                <w:szCs w:val="18"/>
                <w:lang w:val="en-AU"/>
              </w:rPr>
              <w:t xml:space="preserve">Detail where the policy can be accessed and what actions have been taken to ensure it is easy to understand.  </w:t>
            </w:r>
          </w:p>
        </w:tc>
        <w:tc>
          <w:tcPr>
            <w:tcW w:w="2645" w:type="pct"/>
          </w:tcPr>
          <w:p w14:paraId="3774B426" w14:textId="77777777" w:rsidR="0071195D" w:rsidRPr="000E16EB" w:rsidRDefault="0071195D" w:rsidP="00CE394C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2F792EAC" w14:textId="77777777" w:rsidTr="0071195D">
        <w:trPr>
          <w:cantSplit/>
          <w:trHeight w:val="308"/>
        </w:trPr>
        <w:tc>
          <w:tcPr>
            <w:tcW w:w="2355" w:type="pct"/>
            <w:vAlign w:val="center"/>
          </w:tcPr>
          <w:p w14:paraId="2B4B48A8" w14:textId="32A545B1" w:rsidR="0071195D" w:rsidRPr="000E16EB" w:rsidRDefault="00A72697" w:rsidP="00CE394C">
            <w:pPr>
              <w:pStyle w:val="Body"/>
              <w:spacing w:before="120" w:after="120"/>
              <w:rPr>
                <w:lang w:val="en-AU"/>
              </w:rPr>
            </w:pPr>
            <w:hyperlink r:id="rId40" w:history="1">
              <w:r w:rsidR="0071195D" w:rsidRPr="000E16EB">
                <w:rPr>
                  <w:rStyle w:val="Hyperlink"/>
                  <w:rFonts w:ascii="Calibri" w:hAnsi="Calibri"/>
                  <w:lang w:val="en-AU"/>
                </w:rPr>
                <w:t>Collection notices</w:t>
              </w:r>
            </w:hyperlink>
            <w:r w:rsidR="0071195D" w:rsidRPr="000E16EB">
              <w:rPr>
                <w:lang w:val="en-AU"/>
              </w:rPr>
              <w:t xml:space="preserve"> are tailored and implemented at each point where personal information is collected.</w:t>
            </w:r>
          </w:p>
          <w:p w14:paraId="1894CFA7" w14:textId="0E946FF5" w:rsidR="0071195D" w:rsidRPr="000E16EB" w:rsidRDefault="0071195D" w:rsidP="00CE394C">
            <w:pPr>
              <w:pStyle w:val="Body"/>
              <w:spacing w:before="120" w:after="120"/>
              <w:rPr>
                <w:i/>
                <w:iCs/>
                <w:sz w:val="20"/>
                <w:szCs w:val="18"/>
                <w:lang w:val="en-AU"/>
              </w:rPr>
            </w:pPr>
            <w:r w:rsidRPr="000E16EB">
              <w:rPr>
                <w:i/>
                <w:iCs/>
                <w:sz w:val="20"/>
                <w:szCs w:val="18"/>
                <w:lang w:val="en-AU"/>
              </w:rPr>
              <w:t xml:space="preserve">Consider listing each instance or location where a collection notice is provided. </w:t>
            </w:r>
          </w:p>
        </w:tc>
        <w:tc>
          <w:tcPr>
            <w:tcW w:w="2645" w:type="pct"/>
          </w:tcPr>
          <w:p w14:paraId="2D6048C6" w14:textId="77777777" w:rsidR="0071195D" w:rsidRPr="000E16EB" w:rsidRDefault="0071195D" w:rsidP="00CE394C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525CA84B" w14:textId="77777777" w:rsidTr="0071195D">
        <w:trPr>
          <w:cantSplit/>
          <w:trHeight w:val="308"/>
        </w:trPr>
        <w:tc>
          <w:tcPr>
            <w:tcW w:w="2355" w:type="pct"/>
            <w:vAlign w:val="center"/>
          </w:tcPr>
          <w:p w14:paraId="689D6D2E" w14:textId="2118B9FA" w:rsidR="0071195D" w:rsidRPr="000E16EB" w:rsidRDefault="0071195D" w:rsidP="00CE394C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lang w:val="en-AU"/>
              </w:rPr>
              <w:t xml:space="preserve">How and when personal information can be </w:t>
            </w:r>
            <w:hyperlink r:id="rId41" w:history="1">
              <w:r w:rsidRPr="000E16EB">
                <w:rPr>
                  <w:rStyle w:val="Hyperlink"/>
                  <w:rFonts w:ascii="Calibri" w:hAnsi="Calibri"/>
                  <w:lang w:val="en-AU"/>
                </w:rPr>
                <w:t>shared</w:t>
              </w:r>
            </w:hyperlink>
            <w:r w:rsidRPr="000E16EB">
              <w:rPr>
                <w:lang w:val="en-AU"/>
              </w:rPr>
              <w:t xml:space="preserve"> is understood across the organisation.</w:t>
            </w:r>
          </w:p>
          <w:p w14:paraId="415C6095" w14:textId="01DC3C56" w:rsidR="0071195D" w:rsidRPr="000E16EB" w:rsidRDefault="0071195D" w:rsidP="00CE394C">
            <w:pPr>
              <w:pStyle w:val="Body"/>
              <w:spacing w:before="120" w:after="120"/>
              <w:rPr>
                <w:i/>
                <w:iCs/>
                <w:sz w:val="20"/>
                <w:szCs w:val="18"/>
                <w:lang w:val="en-AU"/>
              </w:rPr>
            </w:pPr>
            <w:r w:rsidRPr="000E16EB">
              <w:rPr>
                <w:i/>
                <w:iCs/>
                <w:sz w:val="20"/>
                <w:szCs w:val="18"/>
                <w:lang w:val="en-AU"/>
              </w:rPr>
              <w:t xml:space="preserve">Detail the actions taken to ensure staff with access to personal information are aware of their obligations. </w:t>
            </w:r>
          </w:p>
        </w:tc>
        <w:tc>
          <w:tcPr>
            <w:tcW w:w="2645" w:type="pct"/>
          </w:tcPr>
          <w:p w14:paraId="3726AFB9" w14:textId="77777777" w:rsidR="0071195D" w:rsidRPr="000E16EB" w:rsidRDefault="0071195D" w:rsidP="00CE394C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31F83DD4" w14:textId="77777777" w:rsidTr="0071195D">
        <w:trPr>
          <w:cantSplit/>
          <w:trHeight w:val="308"/>
        </w:trPr>
        <w:tc>
          <w:tcPr>
            <w:tcW w:w="2355" w:type="pct"/>
            <w:vAlign w:val="center"/>
          </w:tcPr>
          <w:p w14:paraId="4C30FE21" w14:textId="0F03EEF5" w:rsidR="0071195D" w:rsidRPr="000E16EB" w:rsidRDefault="0071195D" w:rsidP="00CE394C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lang w:val="en-AU"/>
              </w:rPr>
              <w:lastRenderedPageBreak/>
              <w:t xml:space="preserve">The practices of </w:t>
            </w:r>
            <w:hyperlink r:id="rId42" w:history="1">
              <w:r w:rsidRPr="000E16EB">
                <w:rPr>
                  <w:rStyle w:val="Hyperlink"/>
                  <w:lang w:val="en-AU"/>
                </w:rPr>
                <w:t>contracted service providers</w:t>
              </w:r>
            </w:hyperlink>
            <w:r w:rsidRPr="000E16EB">
              <w:rPr>
                <w:lang w:val="en-AU"/>
              </w:rPr>
              <w:t xml:space="preserve"> are reviewed and align to the organisation’s obligations. </w:t>
            </w:r>
          </w:p>
          <w:p w14:paraId="015697A3" w14:textId="393E048B" w:rsidR="0071195D" w:rsidRPr="000E16EB" w:rsidRDefault="0071195D" w:rsidP="00CE394C">
            <w:pPr>
              <w:pStyle w:val="Body"/>
              <w:spacing w:before="120" w:after="120"/>
              <w:rPr>
                <w:i/>
                <w:iCs/>
                <w:lang w:val="en-AU"/>
              </w:rPr>
            </w:pPr>
            <w:r w:rsidRPr="000E16EB">
              <w:rPr>
                <w:i/>
                <w:iCs/>
                <w:sz w:val="20"/>
                <w:szCs w:val="18"/>
                <w:lang w:val="en-AU"/>
              </w:rPr>
              <w:t>Describe how the organisation ensures contracted service providers adhere to relevant privacy protections.</w:t>
            </w:r>
          </w:p>
        </w:tc>
        <w:tc>
          <w:tcPr>
            <w:tcW w:w="2645" w:type="pct"/>
          </w:tcPr>
          <w:p w14:paraId="69A6C942" w14:textId="77777777" w:rsidR="0071195D" w:rsidRPr="000E16EB" w:rsidRDefault="0071195D" w:rsidP="00CE394C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0F7A49F9" w14:textId="77777777" w:rsidTr="0071195D">
        <w:trPr>
          <w:cantSplit/>
          <w:trHeight w:val="308"/>
        </w:trPr>
        <w:tc>
          <w:tcPr>
            <w:tcW w:w="2355" w:type="pct"/>
            <w:vAlign w:val="center"/>
          </w:tcPr>
          <w:p w14:paraId="43E47980" w14:textId="3373FA8A" w:rsidR="0015694F" w:rsidRPr="000E16EB" w:rsidRDefault="0015694F" w:rsidP="008C6BAE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lang w:val="en-AU"/>
              </w:rPr>
              <w:t xml:space="preserve">A register detailing the organisation’s personal information holdings is maintained. </w:t>
            </w:r>
          </w:p>
          <w:p w14:paraId="7CBC2DEE" w14:textId="4205F0F9" w:rsidR="0071195D" w:rsidRPr="000E16EB" w:rsidRDefault="0015694F" w:rsidP="008C6BAE">
            <w:pPr>
              <w:pStyle w:val="Body"/>
              <w:spacing w:before="120" w:after="120"/>
              <w:rPr>
                <w:i/>
                <w:iCs/>
                <w:sz w:val="20"/>
                <w:szCs w:val="20"/>
                <w:lang w:val="en-AU"/>
              </w:rPr>
            </w:pPr>
            <w:r w:rsidRPr="000E16EB">
              <w:rPr>
                <w:i/>
                <w:iCs/>
                <w:sz w:val="20"/>
                <w:szCs w:val="20"/>
                <w:lang w:val="en-AU"/>
              </w:rPr>
              <w:t>For example, a</w:t>
            </w:r>
            <w:r w:rsidR="0071195D" w:rsidRPr="000E16EB">
              <w:rPr>
                <w:i/>
                <w:iCs/>
                <w:sz w:val="20"/>
                <w:szCs w:val="20"/>
                <w:lang w:val="en-AU"/>
              </w:rPr>
              <w:t xml:space="preserve">n </w:t>
            </w:r>
            <w:hyperlink r:id="rId43" w:history="1">
              <w:r w:rsidR="0071195D" w:rsidRPr="000E16EB">
                <w:rPr>
                  <w:rStyle w:val="Hyperlink"/>
                  <w:i/>
                  <w:iCs/>
                  <w:sz w:val="20"/>
                  <w:szCs w:val="20"/>
                  <w:lang w:val="en-AU"/>
                </w:rPr>
                <w:t>Information Asset Register</w:t>
              </w:r>
            </w:hyperlink>
            <w:r w:rsidR="0071195D" w:rsidRPr="000E16EB">
              <w:rPr>
                <w:i/>
                <w:iCs/>
                <w:sz w:val="20"/>
                <w:szCs w:val="20"/>
                <w:lang w:val="en-AU"/>
              </w:rPr>
              <w:t>.</w:t>
            </w:r>
          </w:p>
          <w:p w14:paraId="5597D543" w14:textId="63326187" w:rsidR="0071195D" w:rsidRPr="000E16EB" w:rsidRDefault="0071195D" w:rsidP="008C6BAE">
            <w:pPr>
              <w:pStyle w:val="Body"/>
              <w:spacing w:before="120" w:after="120"/>
              <w:rPr>
                <w:i/>
                <w:iCs/>
                <w:sz w:val="20"/>
                <w:szCs w:val="18"/>
                <w:lang w:val="en-AU"/>
              </w:rPr>
            </w:pPr>
            <w:r w:rsidRPr="000E16EB">
              <w:rPr>
                <w:i/>
                <w:iCs/>
                <w:sz w:val="20"/>
                <w:szCs w:val="20"/>
                <w:lang w:val="en-AU"/>
              </w:rPr>
              <w:t>Detail where the register is located and who is responsible for maintaining it.</w:t>
            </w:r>
            <w:r w:rsidRPr="000E16EB">
              <w:rPr>
                <w:i/>
                <w:iCs/>
                <w:sz w:val="20"/>
                <w:szCs w:val="18"/>
                <w:lang w:val="en-AU"/>
              </w:rPr>
              <w:t xml:space="preserve"> </w:t>
            </w:r>
          </w:p>
        </w:tc>
        <w:tc>
          <w:tcPr>
            <w:tcW w:w="2645" w:type="pct"/>
          </w:tcPr>
          <w:p w14:paraId="615C8C02" w14:textId="77777777" w:rsidR="0071195D" w:rsidRPr="000E16EB" w:rsidRDefault="0071195D" w:rsidP="008C6BAE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046CABAD" w14:textId="77777777" w:rsidTr="0071195D">
        <w:trPr>
          <w:cantSplit/>
          <w:trHeight w:val="308"/>
        </w:trPr>
        <w:tc>
          <w:tcPr>
            <w:tcW w:w="2355" w:type="pct"/>
            <w:vAlign w:val="center"/>
          </w:tcPr>
          <w:p w14:paraId="0AE4F669" w14:textId="53FD109A" w:rsidR="0071195D" w:rsidRPr="000E16EB" w:rsidRDefault="0071195D" w:rsidP="008C6BAE">
            <w:pPr>
              <w:pStyle w:val="Body"/>
              <w:spacing w:before="120" w:after="120"/>
              <w:rPr>
                <w:rStyle w:val="Hyperlink"/>
                <w:lang w:val="en-AU"/>
              </w:rPr>
            </w:pPr>
            <w:r w:rsidRPr="000E16EB">
              <w:rPr>
                <w:lang w:val="en-AU"/>
              </w:rPr>
              <w:t xml:space="preserve">Privacy is incorporated into staff inductions and staff </w:t>
            </w:r>
            <w:hyperlink r:id="rId44" w:history="1">
              <w:r w:rsidRPr="000E16EB">
                <w:rPr>
                  <w:rStyle w:val="Hyperlink"/>
                  <w:lang w:val="en-AU"/>
                </w:rPr>
                <w:t>training programs</w:t>
              </w:r>
            </w:hyperlink>
            <w:r w:rsidRPr="000E16EB">
              <w:rPr>
                <w:rStyle w:val="Hyperlink"/>
                <w:lang w:val="en-AU"/>
              </w:rPr>
              <w:t>.</w:t>
            </w:r>
            <w:r w:rsidRPr="000E16EB">
              <w:rPr>
                <w:rStyle w:val="Hyperlink"/>
                <w:u w:val="none"/>
                <w:lang w:val="en-AU"/>
              </w:rPr>
              <w:t xml:space="preserve">  </w:t>
            </w:r>
          </w:p>
          <w:p w14:paraId="1D6632A1" w14:textId="56EFC86A" w:rsidR="0071195D" w:rsidRPr="000E16EB" w:rsidRDefault="0071195D" w:rsidP="008C6BAE">
            <w:pPr>
              <w:pStyle w:val="Body"/>
              <w:spacing w:before="120" w:after="120"/>
              <w:rPr>
                <w:i/>
                <w:iCs/>
                <w:sz w:val="21"/>
                <w:szCs w:val="20"/>
                <w:lang w:val="en-AU"/>
              </w:rPr>
            </w:pPr>
            <w:r w:rsidRPr="000E16EB">
              <w:rPr>
                <w:rStyle w:val="Hyperlink"/>
                <w:i/>
                <w:iCs/>
                <w:color w:val="55565A"/>
                <w:sz w:val="20"/>
                <w:szCs w:val="18"/>
                <w:u w:val="none"/>
                <w:lang w:val="en-AU"/>
              </w:rPr>
              <w:t xml:space="preserve">Describe how privacy is incorporated into inductions and training </w:t>
            </w:r>
          </w:p>
        </w:tc>
        <w:tc>
          <w:tcPr>
            <w:tcW w:w="2645" w:type="pct"/>
          </w:tcPr>
          <w:p w14:paraId="1DC0ED43" w14:textId="77777777" w:rsidR="0071195D" w:rsidRPr="000E16EB" w:rsidRDefault="0071195D" w:rsidP="008C6BAE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:rsidDel="00015932" w14:paraId="52C9E979" w14:textId="77777777" w:rsidTr="0071195D">
        <w:trPr>
          <w:cantSplit/>
          <w:trHeight w:val="308"/>
        </w:trPr>
        <w:tc>
          <w:tcPr>
            <w:tcW w:w="2355" w:type="pct"/>
            <w:vAlign w:val="center"/>
          </w:tcPr>
          <w:p w14:paraId="561D9516" w14:textId="77777777" w:rsidR="0071195D" w:rsidRPr="000E16EB" w:rsidRDefault="0071195D" w:rsidP="008C6BAE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rFonts w:asciiTheme="minorHAnsi" w:hAnsiTheme="minorHAnsi"/>
                <w:lang w:val="en-AU"/>
              </w:rPr>
              <w:t>T</w:t>
            </w:r>
            <w:r w:rsidRPr="000E16EB">
              <w:rPr>
                <w:lang w:val="en-AU"/>
              </w:rPr>
              <w:t xml:space="preserve">he organisation identifies privacy risks and adds them to the organisational risk register. </w:t>
            </w:r>
          </w:p>
          <w:p w14:paraId="3CB50C8F" w14:textId="399FF2C1" w:rsidR="0071195D" w:rsidRPr="000E16EB" w:rsidDel="00015932" w:rsidRDefault="0071195D" w:rsidP="008C6BAE">
            <w:pPr>
              <w:pStyle w:val="Body"/>
              <w:spacing w:before="120" w:after="120"/>
              <w:rPr>
                <w:rFonts w:asciiTheme="minorHAnsi" w:hAnsiTheme="minorHAnsi"/>
                <w:i/>
                <w:iCs/>
                <w:sz w:val="20"/>
                <w:szCs w:val="18"/>
                <w:lang w:val="en-AU"/>
              </w:rPr>
            </w:pPr>
            <w:r w:rsidRPr="000E16EB">
              <w:rPr>
                <w:rFonts w:asciiTheme="minorHAnsi" w:hAnsiTheme="minorHAnsi"/>
                <w:i/>
                <w:iCs/>
                <w:sz w:val="20"/>
                <w:szCs w:val="18"/>
                <w:lang w:val="en-AU"/>
              </w:rPr>
              <w:t>Discuss the organisation’s risk management processes in relation to privacy.</w:t>
            </w:r>
          </w:p>
        </w:tc>
        <w:tc>
          <w:tcPr>
            <w:tcW w:w="2645" w:type="pct"/>
          </w:tcPr>
          <w:p w14:paraId="71CA57C4" w14:textId="77777777" w:rsidR="0071195D" w:rsidRPr="000E16EB" w:rsidDel="00015932" w:rsidRDefault="0071195D" w:rsidP="008C6BAE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:rsidDel="00015932" w14:paraId="63334F10" w14:textId="77777777" w:rsidTr="0071195D">
        <w:trPr>
          <w:cantSplit/>
          <w:trHeight w:val="308"/>
        </w:trPr>
        <w:tc>
          <w:tcPr>
            <w:tcW w:w="2355" w:type="pct"/>
            <w:vAlign w:val="center"/>
          </w:tcPr>
          <w:p w14:paraId="0B64E6A0" w14:textId="3A316B30" w:rsidR="0071195D" w:rsidRPr="000E16EB" w:rsidRDefault="0071195D" w:rsidP="008C6BAE">
            <w:pPr>
              <w:pStyle w:val="Body"/>
              <w:spacing w:before="120" w:after="120"/>
              <w:rPr>
                <w:rFonts w:asciiTheme="minorHAnsi" w:hAnsiTheme="minorHAnsi"/>
                <w:lang w:val="en-AU"/>
              </w:rPr>
            </w:pPr>
            <w:r w:rsidRPr="000E16EB">
              <w:rPr>
                <w:rFonts w:asciiTheme="minorHAnsi" w:hAnsiTheme="minorHAnsi"/>
                <w:lang w:val="en-AU"/>
              </w:rPr>
              <w:t xml:space="preserve">Security obligations under the </w:t>
            </w:r>
            <w:hyperlink r:id="rId45" w:history="1">
              <w:r w:rsidRPr="000E16EB">
                <w:rPr>
                  <w:rStyle w:val="Hyperlink"/>
                  <w:lang w:val="en-AU"/>
                </w:rPr>
                <w:t>Victorian Protective Data Security Framework</w:t>
              </w:r>
            </w:hyperlink>
            <w:r w:rsidRPr="000E16EB">
              <w:rPr>
                <w:rFonts w:asciiTheme="minorHAnsi" w:hAnsiTheme="minorHAnsi"/>
                <w:lang w:val="en-AU"/>
              </w:rPr>
              <w:t xml:space="preserve"> are known (where applicable).</w:t>
            </w:r>
          </w:p>
          <w:p w14:paraId="589E23B7" w14:textId="31EB96CB" w:rsidR="0071195D" w:rsidRPr="000E16EB" w:rsidRDefault="0071195D" w:rsidP="008C6BAE">
            <w:pPr>
              <w:pStyle w:val="Body"/>
              <w:spacing w:before="120" w:after="120"/>
              <w:rPr>
                <w:rFonts w:asciiTheme="minorHAnsi" w:hAnsiTheme="minorHAnsi"/>
                <w:i/>
                <w:iCs/>
                <w:sz w:val="20"/>
                <w:szCs w:val="18"/>
                <w:lang w:val="en-AU"/>
              </w:rPr>
            </w:pPr>
            <w:r w:rsidRPr="000E16EB">
              <w:rPr>
                <w:rFonts w:asciiTheme="minorHAnsi" w:hAnsiTheme="minorHAnsi"/>
                <w:i/>
                <w:iCs/>
                <w:sz w:val="20"/>
                <w:szCs w:val="18"/>
                <w:lang w:val="en-AU"/>
              </w:rPr>
              <w:t xml:space="preserve">Detail who is responsible for information security and describe how it is promoted across the organisation. </w:t>
            </w:r>
          </w:p>
        </w:tc>
        <w:tc>
          <w:tcPr>
            <w:tcW w:w="2645" w:type="pct"/>
          </w:tcPr>
          <w:p w14:paraId="65B1852A" w14:textId="77777777" w:rsidR="0071195D" w:rsidRPr="000E16EB" w:rsidDel="00015932" w:rsidRDefault="0071195D" w:rsidP="008C6BAE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:rsidDel="00015932" w14:paraId="3EC44DCF" w14:textId="77777777" w:rsidTr="0071195D">
        <w:trPr>
          <w:cantSplit/>
          <w:trHeight w:val="308"/>
        </w:trPr>
        <w:tc>
          <w:tcPr>
            <w:tcW w:w="2355" w:type="pct"/>
            <w:vAlign w:val="center"/>
          </w:tcPr>
          <w:p w14:paraId="779226AD" w14:textId="7616D9E3" w:rsidR="0071195D" w:rsidRPr="000E16EB" w:rsidRDefault="0071195D" w:rsidP="008C6BAE">
            <w:pPr>
              <w:pStyle w:val="Body"/>
              <w:spacing w:before="120" w:after="120"/>
              <w:rPr>
                <w:rFonts w:asciiTheme="minorHAnsi" w:hAnsiTheme="minorHAnsi"/>
                <w:lang w:val="en-AU"/>
              </w:rPr>
            </w:pPr>
            <w:r w:rsidRPr="000E16EB">
              <w:rPr>
                <w:rFonts w:asciiTheme="minorHAnsi" w:hAnsiTheme="minorHAnsi"/>
                <w:lang w:val="en-AU"/>
              </w:rPr>
              <w:t>Procedures exist for the disposal of personal information, and destruction when it is no longer required.</w:t>
            </w:r>
          </w:p>
          <w:p w14:paraId="632CF5B4" w14:textId="40DC3F42" w:rsidR="0071195D" w:rsidRPr="000E16EB" w:rsidRDefault="0071195D" w:rsidP="008C6BAE">
            <w:pPr>
              <w:pStyle w:val="Body"/>
              <w:spacing w:before="120" w:after="120"/>
              <w:rPr>
                <w:rFonts w:asciiTheme="minorHAnsi" w:hAnsiTheme="minorHAnsi"/>
                <w:i/>
                <w:iCs/>
                <w:lang w:val="en-AU"/>
              </w:rPr>
            </w:pPr>
            <w:r w:rsidRPr="000E16EB">
              <w:rPr>
                <w:rFonts w:asciiTheme="minorHAnsi" w:hAnsiTheme="minorHAnsi"/>
                <w:i/>
                <w:iCs/>
                <w:sz w:val="20"/>
                <w:szCs w:val="18"/>
                <w:lang w:val="en-AU"/>
              </w:rPr>
              <w:t xml:space="preserve">Describe what the procedure or policy is, where it is located, and who is responsible. </w:t>
            </w:r>
          </w:p>
        </w:tc>
        <w:tc>
          <w:tcPr>
            <w:tcW w:w="2645" w:type="pct"/>
          </w:tcPr>
          <w:p w14:paraId="6FE97724" w14:textId="77777777" w:rsidR="0071195D" w:rsidRPr="000E16EB" w:rsidDel="00015932" w:rsidRDefault="0071195D" w:rsidP="008C6BAE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26191424" w14:textId="77777777" w:rsidTr="0071195D">
        <w:trPr>
          <w:cantSplit/>
          <w:trHeight w:val="308"/>
        </w:trPr>
        <w:tc>
          <w:tcPr>
            <w:tcW w:w="2355" w:type="pct"/>
            <w:vAlign w:val="center"/>
          </w:tcPr>
          <w:p w14:paraId="081BF71B" w14:textId="5CBFD424" w:rsidR="0015694F" w:rsidRPr="000E16EB" w:rsidRDefault="00A72697" w:rsidP="008C6BAE">
            <w:pPr>
              <w:pStyle w:val="Body"/>
              <w:spacing w:before="120" w:after="120"/>
              <w:rPr>
                <w:lang w:val="en-AU"/>
              </w:rPr>
            </w:pPr>
            <w:hyperlink r:id="rId46" w:history="1">
              <w:r w:rsidR="0071195D" w:rsidRPr="000E16EB">
                <w:rPr>
                  <w:rStyle w:val="Hyperlink"/>
                  <w:lang w:val="en-AU"/>
                </w:rPr>
                <w:t>Privacy Impact Assessments</w:t>
              </w:r>
            </w:hyperlink>
            <w:r w:rsidR="0071195D" w:rsidRPr="000E16EB">
              <w:rPr>
                <w:lang w:val="en-AU"/>
              </w:rPr>
              <w:t xml:space="preserve"> are </w:t>
            </w:r>
            <w:r w:rsidR="0015694F" w:rsidRPr="000E16EB">
              <w:rPr>
                <w:lang w:val="en-AU"/>
              </w:rPr>
              <w:t xml:space="preserve">undertaken on all projects and initiatives involving personal information or information management.  </w:t>
            </w:r>
          </w:p>
          <w:p w14:paraId="26094C51" w14:textId="3584D369" w:rsidR="0071195D" w:rsidRPr="000E16EB" w:rsidRDefault="0071195D" w:rsidP="008C6BAE">
            <w:pPr>
              <w:pStyle w:val="Body"/>
              <w:spacing w:before="120" w:after="120"/>
              <w:rPr>
                <w:i/>
                <w:iCs/>
                <w:sz w:val="20"/>
                <w:szCs w:val="18"/>
                <w:lang w:val="en-AU"/>
              </w:rPr>
            </w:pPr>
            <w:r w:rsidRPr="000E16EB">
              <w:rPr>
                <w:i/>
                <w:iCs/>
                <w:sz w:val="20"/>
                <w:szCs w:val="18"/>
                <w:lang w:val="en-AU"/>
              </w:rPr>
              <w:t>Discuss how this has been achieved or what actions are being taken</w:t>
            </w:r>
            <w:r w:rsidR="0015694F" w:rsidRPr="000E16EB">
              <w:rPr>
                <w:i/>
                <w:iCs/>
                <w:sz w:val="20"/>
                <w:szCs w:val="18"/>
                <w:lang w:val="en-AU"/>
              </w:rPr>
              <w:t>. For example, PIAs are</w:t>
            </w:r>
            <w:r w:rsidRPr="000E16EB">
              <w:rPr>
                <w:i/>
                <w:iCs/>
                <w:sz w:val="20"/>
                <w:szCs w:val="18"/>
                <w:lang w:val="en-AU"/>
              </w:rPr>
              <w:t xml:space="preserve"> </w:t>
            </w:r>
            <w:r w:rsidR="0015694F" w:rsidRPr="000E16EB">
              <w:rPr>
                <w:i/>
                <w:iCs/>
                <w:sz w:val="20"/>
                <w:szCs w:val="18"/>
                <w:lang w:val="en-AU"/>
              </w:rPr>
              <w:t xml:space="preserve">built </w:t>
            </w:r>
            <w:r w:rsidRPr="000E16EB">
              <w:rPr>
                <w:i/>
                <w:iCs/>
                <w:sz w:val="20"/>
                <w:szCs w:val="18"/>
                <w:lang w:val="en-AU"/>
              </w:rPr>
              <w:t>into project</w:t>
            </w:r>
            <w:r w:rsidR="0015694F" w:rsidRPr="000E16EB">
              <w:rPr>
                <w:i/>
                <w:iCs/>
                <w:sz w:val="20"/>
                <w:szCs w:val="18"/>
                <w:lang w:val="en-AU"/>
              </w:rPr>
              <w:t xml:space="preserve"> initiation</w:t>
            </w:r>
            <w:r w:rsidRPr="000E16EB">
              <w:rPr>
                <w:i/>
                <w:iCs/>
                <w:sz w:val="20"/>
                <w:szCs w:val="18"/>
                <w:lang w:val="en-AU"/>
              </w:rPr>
              <w:t xml:space="preserve"> documentation.</w:t>
            </w:r>
          </w:p>
        </w:tc>
        <w:tc>
          <w:tcPr>
            <w:tcW w:w="2645" w:type="pct"/>
          </w:tcPr>
          <w:p w14:paraId="2EC2C95B" w14:textId="77777777" w:rsidR="0071195D" w:rsidRPr="000E16EB" w:rsidRDefault="0071195D" w:rsidP="008C6BAE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62D5FE1D" w14:textId="77777777" w:rsidTr="0071195D">
        <w:trPr>
          <w:cantSplit/>
          <w:trHeight w:val="308"/>
        </w:trPr>
        <w:tc>
          <w:tcPr>
            <w:tcW w:w="2355" w:type="pct"/>
            <w:vAlign w:val="center"/>
          </w:tcPr>
          <w:p w14:paraId="46EF1597" w14:textId="4636EB3F" w:rsidR="0071195D" w:rsidRPr="000E16EB" w:rsidRDefault="0071195D" w:rsidP="008C6BAE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lang w:val="en-AU"/>
              </w:rPr>
              <w:t xml:space="preserve">There is a </w:t>
            </w:r>
            <w:r w:rsidRPr="0006476D">
              <w:rPr>
                <w:rFonts w:asciiTheme="minorHAnsi" w:hAnsiTheme="minorHAnsi"/>
                <w:lang w:val="en-AU"/>
              </w:rPr>
              <w:t>privacy complaints</w:t>
            </w:r>
            <w:r w:rsidRPr="000E16EB">
              <w:rPr>
                <w:lang w:val="en-AU"/>
              </w:rPr>
              <w:t xml:space="preserve"> and enquiries process.</w:t>
            </w:r>
          </w:p>
          <w:p w14:paraId="7DD595EC" w14:textId="10A87567" w:rsidR="0071195D" w:rsidRPr="000E16EB" w:rsidRDefault="0071195D" w:rsidP="008C6BAE">
            <w:pPr>
              <w:pStyle w:val="Body"/>
              <w:spacing w:before="120" w:after="120"/>
              <w:rPr>
                <w:i/>
                <w:iCs/>
                <w:sz w:val="20"/>
                <w:szCs w:val="18"/>
                <w:lang w:val="en-AU"/>
              </w:rPr>
            </w:pPr>
            <w:r w:rsidRPr="000E16EB">
              <w:rPr>
                <w:i/>
                <w:iCs/>
                <w:sz w:val="20"/>
                <w:szCs w:val="18"/>
                <w:lang w:val="en-AU"/>
              </w:rPr>
              <w:t>Detail these processes, who is responsible for each, and how the public can access them.</w:t>
            </w:r>
          </w:p>
        </w:tc>
        <w:tc>
          <w:tcPr>
            <w:tcW w:w="2645" w:type="pct"/>
          </w:tcPr>
          <w:p w14:paraId="5AC271CF" w14:textId="77777777" w:rsidR="0071195D" w:rsidRPr="000E16EB" w:rsidRDefault="0071195D" w:rsidP="008C6BAE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4360C8B3" w14:textId="77777777" w:rsidTr="0071195D">
        <w:trPr>
          <w:cantSplit/>
          <w:trHeight w:val="308"/>
        </w:trPr>
        <w:tc>
          <w:tcPr>
            <w:tcW w:w="2355" w:type="pct"/>
            <w:vAlign w:val="center"/>
          </w:tcPr>
          <w:p w14:paraId="24A81939" w14:textId="39A080E6" w:rsidR="0071195D" w:rsidRPr="000E16EB" w:rsidRDefault="0071195D" w:rsidP="008C6BAE">
            <w:pPr>
              <w:pStyle w:val="Body"/>
              <w:spacing w:before="120" w:after="120"/>
              <w:rPr>
                <w:rStyle w:val="Hyperlink"/>
                <w:lang w:val="en-AU"/>
              </w:rPr>
            </w:pPr>
            <w:r w:rsidRPr="000E16EB">
              <w:rPr>
                <w:lang w:val="en-AU"/>
              </w:rPr>
              <w:lastRenderedPageBreak/>
              <w:t xml:space="preserve">There is an established </w:t>
            </w:r>
            <w:hyperlink r:id="rId47" w:history="1">
              <w:r w:rsidRPr="000E16EB">
                <w:rPr>
                  <w:rStyle w:val="Hyperlink"/>
                  <w:lang w:val="en-AU"/>
                </w:rPr>
                <w:t>data breach response plan</w:t>
              </w:r>
            </w:hyperlink>
            <w:r w:rsidRPr="000E16EB">
              <w:rPr>
                <w:rStyle w:val="Hyperlink"/>
                <w:color w:val="55565A"/>
                <w:lang w:val="en-AU"/>
              </w:rPr>
              <w:t xml:space="preserve">. </w:t>
            </w:r>
          </w:p>
          <w:p w14:paraId="16B28827" w14:textId="5C46CADF" w:rsidR="0071195D" w:rsidRPr="000E16EB" w:rsidRDefault="0071195D" w:rsidP="008C6BAE">
            <w:pPr>
              <w:pStyle w:val="Body"/>
              <w:spacing w:before="120" w:after="120"/>
              <w:rPr>
                <w:i/>
                <w:iCs/>
                <w:sz w:val="20"/>
                <w:szCs w:val="20"/>
                <w:lang w:val="en-AU"/>
              </w:rPr>
            </w:pPr>
            <w:r w:rsidRPr="000E16EB">
              <w:rPr>
                <w:i/>
                <w:iCs/>
                <w:sz w:val="20"/>
                <w:szCs w:val="14"/>
                <w:lang w:val="en-AU"/>
              </w:rPr>
              <w:t>Detail where the plan is located and how it has been communicated to the organisation.</w:t>
            </w:r>
          </w:p>
        </w:tc>
        <w:tc>
          <w:tcPr>
            <w:tcW w:w="2645" w:type="pct"/>
          </w:tcPr>
          <w:p w14:paraId="1D46F7C4" w14:textId="77777777" w:rsidR="0071195D" w:rsidRPr="000E16EB" w:rsidRDefault="0071195D" w:rsidP="008C6BAE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51E05302" w14:textId="77777777" w:rsidTr="0071195D">
        <w:trPr>
          <w:cantSplit/>
          <w:trHeight w:val="308"/>
        </w:trPr>
        <w:tc>
          <w:tcPr>
            <w:tcW w:w="2355" w:type="pct"/>
            <w:vAlign w:val="center"/>
          </w:tcPr>
          <w:p w14:paraId="05B81306" w14:textId="5E906FF8" w:rsidR="0071195D" w:rsidRPr="000E16EB" w:rsidRDefault="0071195D" w:rsidP="008C6BAE">
            <w:pPr>
              <w:pStyle w:val="Body"/>
              <w:spacing w:before="120" w:after="120"/>
              <w:rPr>
                <w:rStyle w:val="Hyperlink"/>
                <w:lang w:val="en-AU"/>
              </w:rPr>
            </w:pPr>
            <w:r w:rsidRPr="000E16EB">
              <w:rPr>
                <w:lang w:val="en-AU"/>
              </w:rPr>
              <w:t xml:space="preserve">The organisation understands its obligations under the </w:t>
            </w:r>
            <w:hyperlink r:id="rId48" w:history="1">
              <w:r w:rsidRPr="000E16EB">
                <w:rPr>
                  <w:rStyle w:val="Hyperlink"/>
                  <w:lang w:val="en-AU"/>
                </w:rPr>
                <w:t>Incident Notification Scheme</w:t>
              </w:r>
            </w:hyperlink>
            <w:r w:rsidR="006A2A97" w:rsidRPr="000E16EB">
              <w:rPr>
                <w:lang w:val="en-AU"/>
              </w:rPr>
              <w:t xml:space="preserve"> (where applicable).</w:t>
            </w:r>
          </w:p>
          <w:p w14:paraId="619CCB05" w14:textId="7D69FF0C" w:rsidR="0071195D" w:rsidRPr="000E16EB" w:rsidRDefault="0071195D" w:rsidP="008C6BAE">
            <w:pPr>
              <w:pStyle w:val="Body"/>
              <w:spacing w:before="120" w:after="120"/>
              <w:rPr>
                <w:i/>
                <w:iCs/>
                <w:lang w:val="en-AU"/>
              </w:rPr>
            </w:pPr>
            <w:r w:rsidRPr="000E16EB">
              <w:rPr>
                <w:i/>
                <w:iCs/>
                <w:sz w:val="20"/>
                <w:szCs w:val="18"/>
                <w:lang w:val="en-AU"/>
              </w:rPr>
              <w:t>Describe what procedures have been implemented in response to the Incident Notification Scheme.</w:t>
            </w:r>
          </w:p>
        </w:tc>
        <w:tc>
          <w:tcPr>
            <w:tcW w:w="2645" w:type="pct"/>
          </w:tcPr>
          <w:p w14:paraId="641CC7A3" w14:textId="77777777" w:rsidR="0071195D" w:rsidRPr="000E16EB" w:rsidRDefault="0071195D" w:rsidP="008C6BAE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6785F352" w14:textId="77777777" w:rsidTr="0071195D">
        <w:trPr>
          <w:cantSplit/>
          <w:trHeight w:val="308"/>
        </w:trPr>
        <w:tc>
          <w:tcPr>
            <w:tcW w:w="2355" w:type="pct"/>
            <w:vAlign w:val="center"/>
          </w:tcPr>
          <w:p w14:paraId="0AA12487" w14:textId="77777777" w:rsidR="0071195D" w:rsidRPr="000E16EB" w:rsidRDefault="0071195D" w:rsidP="008C6BAE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lang w:val="en-AU"/>
              </w:rPr>
              <w:t xml:space="preserve">Records of privacy complaints, privacy breaches and reviews of privacy processes are maintained. </w:t>
            </w:r>
          </w:p>
          <w:p w14:paraId="68CF8794" w14:textId="13B7AA5D" w:rsidR="0071195D" w:rsidRPr="000E16EB" w:rsidRDefault="0071195D" w:rsidP="008C6BAE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i/>
                <w:iCs/>
                <w:sz w:val="20"/>
                <w:szCs w:val="18"/>
                <w:lang w:val="en-AU"/>
              </w:rPr>
              <w:t>Describe the record keeping practices of the organisation and where the relevant records are stored</w:t>
            </w:r>
            <w:r w:rsidR="000B6B3A">
              <w:rPr>
                <w:i/>
                <w:iCs/>
                <w:sz w:val="20"/>
                <w:szCs w:val="18"/>
                <w:lang w:val="en-AU"/>
              </w:rPr>
              <w:t>.</w:t>
            </w:r>
          </w:p>
        </w:tc>
        <w:tc>
          <w:tcPr>
            <w:tcW w:w="2645" w:type="pct"/>
          </w:tcPr>
          <w:p w14:paraId="559812E0" w14:textId="77777777" w:rsidR="0071195D" w:rsidRPr="000E16EB" w:rsidRDefault="0071195D" w:rsidP="008C6BAE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1BF0338F" w14:textId="77777777" w:rsidTr="0071195D">
        <w:trPr>
          <w:cantSplit/>
          <w:trHeight w:val="308"/>
        </w:trPr>
        <w:tc>
          <w:tcPr>
            <w:tcW w:w="2355" w:type="pct"/>
            <w:vAlign w:val="center"/>
          </w:tcPr>
          <w:p w14:paraId="09B750B3" w14:textId="77777777" w:rsidR="0071195D" w:rsidRPr="000E16EB" w:rsidRDefault="0071195D" w:rsidP="008C6BAE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lang w:val="en-AU"/>
              </w:rPr>
              <w:t>Whole of organisational awareness activities are undertaken annually. For example, participating in Privacy Awareness Week.</w:t>
            </w:r>
          </w:p>
          <w:p w14:paraId="2FE4AA2D" w14:textId="1D7F0B66" w:rsidR="0071195D" w:rsidRPr="000E16EB" w:rsidRDefault="0071195D" w:rsidP="008C6BAE">
            <w:pPr>
              <w:pStyle w:val="Body"/>
              <w:spacing w:before="120" w:after="120"/>
              <w:rPr>
                <w:i/>
                <w:iCs/>
                <w:sz w:val="20"/>
                <w:szCs w:val="20"/>
                <w:lang w:val="en-AU"/>
              </w:rPr>
            </w:pPr>
            <w:r w:rsidRPr="000E16EB">
              <w:rPr>
                <w:i/>
                <w:iCs/>
                <w:sz w:val="20"/>
                <w:szCs w:val="20"/>
                <w:lang w:val="en-AU"/>
              </w:rPr>
              <w:t>Outline the activities undertaken or how the organisation participates in raising awareness.</w:t>
            </w:r>
          </w:p>
        </w:tc>
        <w:tc>
          <w:tcPr>
            <w:tcW w:w="2645" w:type="pct"/>
          </w:tcPr>
          <w:p w14:paraId="459E1B00" w14:textId="77777777" w:rsidR="0071195D" w:rsidRPr="000E16EB" w:rsidRDefault="0071195D" w:rsidP="008C6BAE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4ACB5012" w14:textId="77777777" w:rsidTr="0071195D">
        <w:trPr>
          <w:cantSplit/>
          <w:trHeight w:val="308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AA30388" w14:textId="5D7E98CE" w:rsidR="0071195D" w:rsidRPr="000E16EB" w:rsidRDefault="0071195D" w:rsidP="008C6BAE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b/>
                <w:bCs/>
                <w:lang w:val="en-AU"/>
              </w:rPr>
              <w:t>Part 3 – Monitor, review, and improve</w:t>
            </w:r>
          </w:p>
        </w:tc>
      </w:tr>
      <w:tr w:rsidR="0071195D" w:rsidRPr="000E16EB" w14:paraId="1E39C90C" w14:textId="77777777" w:rsidTr="0071195D">
        <w:trPr>
          <w:cantSplit/>
          <w:trHeight w:val="308"/>
        </w:trPr>
        <w:tc>
          <w:tcPr>
            <w:tcW w:w="2355" w:type="pct"/>
            <w:shd w:val="clear" w:color="auto" w:fill="F2F2F2" w:themeFill="background1" w:themeFillShade="F2"/>
            <w:vAlign w:val="center"/>
          </w:tcPr>
          <w:p w14:paraId="74CBB04E" w14:textId="7A2AAC59" w:rsidR="0071195D" w:rsidRPr="000E16EB" w:rsidRDefault="0071195D" w:rsidP="008C6BAE">
            <w:pPr>
              <w:pStyle w:val="Body"/>
              <w:spacing w:before="120" w:after="120"/>
              <w:rPr>
                <w:i/>
                <w:iCs/>
                <w:lang w:val="en-AU"/>
              </w:rPr>
            </w:pPr>
            <w:r w:rsidRPr="000E16EB">
              <w:rPr>
                <w:i/>
                <w:iCs/>
                <w:lang w:val="en-AU"/>
              </w:rPr>
              <w:t xml:space="preserve">Action </w:t>
            </w:r>
          </w:p>
        </w:tc>
        <w:tc>
          <w:tcPr>
            <w:tcW w:w="2645" w:type="pct"/>
            <w:shd w:val="clear" w:color="auto" w:fill="F2F2F2" w:themeFill="background1" w:themeFillShade="F2"/>
          </w:tcPr>
          <w:p w14:paraId="18F87469" w14:textId="42EE4895" w:rsidR="0071195D" w:rsidRPr="000E16EB" w:rsidRDefault="0071195D" w:rsidP="008C6BAE">
            <w:pPr>
              <w:pStyle w:val="Body"/>
              <w:spacing w:before="120" w:after="120"/>
              <w:rPr>
                <w:i/>
                <w:iCs/>
                <w:lang w:val="en-AU"/>
              </w:rPr>
            </w:pPr>
            <w:r w:rsidRPr="000E16EB">
              <w:rPr>
                <w:i/>
                <w:iCs/>
                <w:lang w:val="en-AU"/>
              </w:rPr>
              <w:t>Comment</w:t>
            </w:r>
          </w:p>
        </w:tc>
      </w:tr>
      <w:tr w:rsidR="0071195D" w:rsidRPr="000E16EB" w14:paraId="07A6F1E0" w14:textId="77777777" w:rsidTr="0071195D">
        <w:trPr>
          <w:cantSplit/>
          <w:trHeight w:val="308"/>
        </w:trPr>
        <w:tc>
          <w:tcPr>
            <w:tcW w:w="2355" w:type="pct"/>
            <w:vAlign w:val="center"/>
          </w:tcPr>
          <w:p w14:paraId="62BB485D" w14:textId="77777777" w:rsidR="001526F0" w:rsidRPr="000E16EB" w:rsidRDefault="0071195D" w:rsidP="008C6BAE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lang w:val="en-AU"/>
              </w:rPr>
              <w:t>Privacy policies</w:t>
            </w:r>
            <w:r w:rsidR="001526F0" w:rsidRPr="000E16EB">
              <w:rPr>
                <w:lang w:val="en-AU"/>
              </w:rPr>
              <w:t>, collection notices, PIAs</w:t>
            </w:r>
            <w:r w:rsidRPr="000E16EB">
              <w:rPr>
                <w:lang w:val="en-AU"/>
              </w:rPr>
              <w:t xml:space="preserve"> and </w:t>
            </w:r>
            <w:r w:rsidR="001526F0" w:rsidRPr="000E16EB">
              <w:rPr>
                <w:lang w:val="en-AU"/>
              </w:rPr>
              <w:t xml:space="preserve">other </w:t>
            </w:r>
            <w:r w:rsidRPr="000E16EB">
              <w:rPr>
                <w:lang w:val="en-AU"/>
              </w:rPr>
              <w:t xml:space="preserve">processes are regularly monitored and reviewed. </w:t>
            </w:r>
          </w:p>
          <w:p w14:paraId="7A5A34A9" w14:textId="04511BA9" w:rsidR="0071195D" w:rsidRPr="000E16EB" w:rsidRDefault="0071195D" w:rsidP="008C6BAE">
            <w:pPr>
              <w:pStyle w:val="Body"/>
              <w:spacing w:before="120" w:after="120"/>
              <w:rPr>
                <w:i/>
                <w:iCs/>
                <w:sz w:val="20"/>
                <w:szCs w:val="18"/>
                <w:lang w:val="en-AU"/>
              </w:rPr>
            </w:pPr>
            <w:r w:rsidRPr="000E16EB">
              <w:rPr>
                <w:i/>
                <w:iCs/>
                <w:sz w:val="20"/>
                <w:szCs w:val="18"/>
                <w:lang w:val="en-AU"/>
              </w:rPr>
              <w:t xml:space="preserve">Organisations may choose to complete </w:t>
            </w:r>
            <w:hyperlink r:id="rId49" w:history="1">
              <w:r w:rsidRPr="000E16EB">
                <w:rPr>
                  <w:rStyle w:val="Hyperlink"/>
                  <w:rFonts w:ascii="Calibri" w:hAnsi="Calibri"/>
                  <w:i/>
                  <w:iCs/>
                  <w:sz w:val="20"/>
                  <w:szCs w:val="18"/>
                  <w:lang w:val="en-AU"/>
                </w:rPr>
                <w:t>OVIC’s privacy policy self-assessment tool</w:t>
              </w:r>
            </w:hyperlink>
            <w:r w:rsidRPr="000E16EB">
              <w:rPr>
                <w:i/>
                <w:iCs/>
                <w:sz w:val="20"/>
                <w:szCs w:val="18"/>
                <w:lang w:val="en-AU"/>
              </w:rPr>
              <w:t xml:space="preserve">. </w:t>
            </w:r>
          </w:p>
          <w:p w14:paraId="0FCDE9FA" w14:textId="59A80B12" w:rsidR="0071195D" w:rsidRPr="000E16EB" w:rsidRDefault="0071195D" w:rsidP="008C6BAE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i/>
                <w:iCs/>
                <w:sz w:val="20"/>
                <w:szCs w:val="18"/>
                <w:lang w:val="en-AU"/>
              </w:rPr>
              <w:t>List when each policy should be reviewed and who is responsible.</w:t>
            </w:r>
          </w:p>
        </w:tc>
        <w:tc>
          <w:tcPr>
            <w:tcW w:w="2645" w:type="pct"/>
          </w:tcPr>
          <w:p w14:paraId="43423A12" w14:textId="77777777" w:rsidR="0071195D" w:rsidRPr="000E16EB" w:rsidRDefault="0071195D" w:rsidP="008C6BAE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0B6E827F" w14:textId="77777777" w:rsidTr="0071195D">
        <w:trPr>
          <w:cantSplit/>
          <w:trHeight w:val="308"/>
        </w:trPr>
        <w:tc>
          <w:tcPr>
            <w:tcW w:w="2355" w:type="pct"/>
            <w:vAlign w:val="center"/>
          </w:tcPr>
          <w:p w14:paraId="53AC0F06" w14:textId="7639B751" w:rsidR="0071195D" w:rsidRPr="000E16EB" w:rsidRDefault="0071195D" w:rsidP="002456FB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lang w:val="en-AU"/>
              </w:rPr>
              <w:t>Changes to information management processes or practices are implemented based on the findings from reviews.</w:t>
            </w:r>
          </w:p>
          <w:p w14:paraId="0E4CFC5F" w14:textId="40018B59" w:rsidR="0071195D" w:rsidRPr="000E16EB" w:rsidRDefault="0071195D" w:rsidP="002456FB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i/>
                <w:iCs/>
                <w:sz w:val="20"/>
                <w:szCs w:val="18"/>
                <w:lang w:val="en-AU"/>
              </w:rPr>
              <w:t xml:space="preserve">Outline the changes that were made to the relevant policies or processes. </w:t>
            </w:r>
          </w:p>
        </w:tc>
        <w:tc>
          <w:tcPr>
            <w:tcW w:w="2645" w:type="pct"/>
          </w:tcPr>
          <w:p w14:paraId="36D3D280" w14:textId="77777777" w:rsidR="0071195D" w:rsidRPr="000E16EB" w:rsidRDefault="0071195D" w:rsidP="002456FB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4D58B5EC" w14:textId="77777777" w:rsidTr="0071195D">
        <w:trPr>
          <w:cantSplit/>
          <w:trHeight w:val="308"/>
        </w:trPr>
        <w:tc>
          <w:tcPr>
            <w:tcW w:w="2355" w:type="pct"/>
            <w:vAlign w:val="center"/>
          </w:tcPr>
          <w:p w14:paraId="72802627" w14:textId="4075545B" w:rsidR="0071195D" w:rsidRPr="000E16EB" w:rsidRDefault="0071195D" w:rsidP="002456FB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lang w:val="en-AU"/>
              </w:rPr>
              <w:t>Changes to information management processes or practices are communicated to all relevant staff</w:t>
            </w:r>
            <w:r w:rsidR="001526F0" w:rsidRPr="000E16EB">
              <w:rPr>
                <w:lang w:val="en-AU"/>
              </w:rPr>
              <w:t xml:space="preserve"> and stakeholders.</w:t>
            </w:r>
          </w:p>
          <w:p w14:paraId="1677E7DD" w14:textId="130B359A" w:rsidR="0071195D" w:rsidRPr="000E16EB" w:rsidRDefault="0071195D" w:rsidP="002456FB">
            <w:pPr>
              <w:pStyle w:val="Body"/>
              <w:spacing w:before="120" w:after="120"/>
              <w:rPr>
                <w:i/>
                <w:iCs/>
                <w:lang w:val="en-AU"/>
              </w:rPr>
            </w:pPr>
            <w:r w:rsidRPr="000E16EB">
              <w:rPr>
                <w:i/>
                <w:iCs/>
                <w:sz w:val="20"/>
                <w:szCs w:val="18"/>
                <w:lang w:val="en-AU"/>
              </w:rPr>
              <w:t xml:space="preserve">Describe how any changes are communicated across the organisation. </w:t>
            </w:r>
          </w:p>
        </w:tc>
        <w:tc>
          <w:tcPr>
            <w:tcW w:w="2645" w:type="pct"/>
          </w:tcPr>
          <w:p w14:paraId="50F67FEB" w14:textId="77777777" w:rsidR="0071195D" w:rsidRPr="000E16EB" w:rsidRDefault="0071195D" w:rsidP="002456FB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794B46AA" w14:textId="77777777" w:rsidTr="0071195D">
        <w:trPr>
          <w:cantSplit/>
          <w:trHeight w:val="308"/>
        </w:trPr>
        <w:tc>
          <w:tcPr>
            <w:tcW w:w="2355" w:type="pct"/>
            <w:vAlign w:val="center"/>
          </w:tcPr>
          <w:p w14:paraId="75A43789" w14:textId="1683350B" w:rsidR="0071195D" w:rsidRPr="000E16EB" w:rsidRDefault="0071195D" w:rsidP="002456FB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lang w:val="en-AU"/>
              </w:rPr>
              <w:lastRenderedPageBreak/>
              <w:t xml:space="preserve">Risk registers are </w:t>
            </w:r>
            <w:r w:rsidR="001526F0" w:rsidRPr="000E16EB">
              <w:rPr>
                <w:lang w:val="en-AU"/>
              </w:rPr>
              <w:t>actively managed</w:t>
            </w:r>
            <w:r w:rsidRPr="000E16EB">
              <w:rPr>
                <w:lang w:val="en-AU"/>
              </w:rPr>
              <w:t xml:space="preserve"> to ensure privacy risks are being managed and appropriately mitigated. </w:t>
            </w:r>
          </w:p>
          <w:p w14:paraId="249F908C" w14:textId="4C9808A5" w:rsidR="0071195D" w:rsidRPr="000E16EB" w:rsidRDefault="0071195D" w:rsidP="002456FB">
            <w:pPr>
              <w:pStyle w:val="Body"/>
              <w:spacing w:before="120" w:after="120"/>
              <w:rPr>
                <w:i/>
                <w:iCs/>
                <w:lang w:val="en-AU"/>
              </w:rPr>
            </w:pPr>
            <w:r w:rsidRPr="000E16EB">
              <w:rPr>
                <w:i/>
                <w:iCs/>
                <w:sz w:val="20"/>
                <w:szCs w:val="18"/>
                <w:lang w:val="en-AU"/>
              </w:rPr>
              <w:t xml:space="preserve">Detail who is responsible for reviewing the risk register and when it should be reviewed. </w:t>
            </w:r>
          </w:p>
        </w:tc>
        <w:tc>
          <w:tcPr>
            <w:tcW w:w="2645" w:type="pct"/>
          </w:tcPr>
          <w:p w14:paraId="6D0A4587" w14:textId="77777777" w:rsidR="0071195D" w:rsidRPr="000E16EB" w:rsidRDefault="0071195D" w:rsidP="002456FB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61A073B2" w14:textId="77777777" w:rsidTr="0071195D">
        <w:trPr>
          <w:cantSplit/>
          <w:trHeight w:val="308"/>
        </w:trPr>
        <w:tc>
          <w:tcPr>
            <w:tcW w:w="2355" w:type="pct"/>
            <w:vAlign w:val="center"/>
          </w:tcPr>
          <w:p w14:paraId="6CC92AB2" w14:textId="423F1871" w:rsidR="0071195D" w:rsidRPr="000E16EB" w:rsidRDefault="0071195D" w:rsidP="002456FB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lang w:val="en-AU"/>
              </w:rPr>
              <w:t>The privacy implications of new technologies are assessed, and privacy policies and collection notices are updated as required.</w:t>
            </w:r>
          </w:p>
          <w:p w14:paraId="20A625E0" w14:textId="349F0407" w:rsidR="0071195D" w:rsidRPr="000E16EB" w:rsidRDefault="0071195D" w:rsidP="002456FB">
            <w:pPr>
              <w:pStyle w:val="Body"/>
              <w:spacing w:before="120" w:after="120"/>
              <w:rPr>
                <w:i/>
                <w:iCs/>
                <w:lang w:val="en-AU"/>
              </w:rPr>
            </w:pPr>
            <w:r w:rsidRPr="000E16EB">
              <w:rPr>
                <w:i/>
                <w:iCs/>
                <w:sz w:val="20"/>
                <w:szCs w:val="18"/>
                <w:lang w:val="en-AU"/>
              </w:rPr>
              <w:t>Detail any new technologies that have been introduced, and if privacy policies, collection notices and PIAs have been updated as a result.</w:t>
            </w:r>
          </w:p>
        </w:tc>
        <w:tc>
          <w:tcPr>
            <w:tcW w:w="2645" w:type="pct"/>
          </w:tcPr>
          <w:p w14:paraId="0F4B3CE6" w14:textId="77777777" w:rsidR="0071195D" w:rsidRPr="000E16EB" w:rsidRDefault="0071195D" w:rsidP="002456FB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23B69227" w14:textId="77777777" w:rsidTr="0071195D">
        <w:trPr>
          <w:cantSplit/>
          <w:trHeight w:val="308"/>
        </w:trPr>
        <w:tc>
          <w:tcPr>
            <w:tcW w:w="2355" w:type="pct"/>
            <w:vAlign w:val="center"/>
          </w:tcPr>
          <w:p w14:paraId="198274A9" w14:textId="77777777" w:rsidR="0071195D" w:rsidRPr="000E16EB" w:rsidRDefault="0071195D" w:rsidP="002456FB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lang w:val="en-AU"/>
              </w:rPr>
              <w:t xml:space="preserve">Records of privacy complaints, privacy breaches and privacy process reviews are analysed to identify common themes, systemic privacy risks and areas of improvement. </w:t>
            </w:r>
          </w:p>
          <w:p w14:paraId="3FE72FBB" w14:textId="24FA5C06" w:rsidR="0071195D" w:rsidRPr="000E16EB" w:rsidRDefault="0071195D" w:rsidP="002456FB">
            <w:pPr>
              <w:pStyle w:val="Body"/>
              <w:spacing w:before="120" w:after="120"/>
              <w:rPr>
                <w:i/>
                <w:iCs/>
                <w:lang w:val="en-AU"/>
              </w:rPr>
            </w:pPr>
            <w:r w:rsidRPr="000E16EB">
              <w:rPr>
                <w:i/>
                <w:iCs/>
                <w:sz w:val="20"/>
                <w:szCs w:val="18"/>
                <w:lang w:val="en-AU"/>
              </w:rPr>
              <w:t>Detail any themes or risks identified</w:t>
            </w:r>
            <w:r w:rsidR="001526F0" w:rsidRPr="000E16EB">
              <w:rPr>
                <w:i/>
                <w:iCs/>
                <w:sz w:val="20"/>
                <w:szCs w:val="18"/>
                <w:lang w:val="en-AU"/>
              </w:rPr>
              <w:t xml:space="preserve"> and how these have been addressed or the actions taken</w:t>
            </w:r>
            <w:r w:rsidR="001526F0" w:rsidRPr="000E16EB">
              <w:rPr>
                <w:i/>
                <w:iCs/>
                <w:lang w:val="en-AU"/>
              </w:rPr>
              <w:t xml:space="preserve">. </w:t>
            </w:r>
          </w:p>
        </w:tc>
        <w:tc>
          <w:tcPr>
            <w:tcW w:w="2645" w:type="pct"/>
          </w:tcPr>
          <w:p w14:paraId="4EB40B46" w14:textId="77777777" w:rsidR="0071195D" w:rsidRPr="000E16EB" w:rsidRDefault="0071195D" w:rsidP="002456FB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366F9531" w14:textId="77777777" w:rsidTr="0071195D">
        <w:trPr>
          <w:cantSplit/>
          <w:trHeight w:val="308"/>
        </w:trPr>
        <w:tc>
          <w:tcPr>
            <w:tcW w:w="2355" w:type="pct"/>
            <w:vAlign w:val="center"/>
          </w:tcPr>
          <w:p w14:paraId="2125F9E9" w14:textId="22A90DD2" w:rsidR="0071195D" w:rsidRPr="000E16EB" w:rsidRDefault="0071195D" w:rsidP="002456FB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lang w:val="en-AU"/>
              </w:rPr>
              <w:t>An avenue for staff and the public to provide feedback or make a complaint to the organisation’s privacy officer or team</w:t>
            </w:r>
            <w:r w:rsidR="001526F0" w:rsidRPr="000E16EB">
              <w:rPr>
                <w:lang w:val="en-AU"/>
              </w:rPr>
              <w:t xml:space="preserve"> </w:t>
            </w:r>
            <w:r w:rsidRPr="000E16EB">
              <w:rPr>
                <w:lang w:val="en-AU"/>
              </w:rPr>
              <w:t xml:space="preserve">exists. </w:t>
            </w:r>
          </w:p>
          <w:p w14:paraId="78C291C4" w14:textId="4C844B79" w:rsidR="0071195D" w:rsidRPr="000E16EB" w:rsidRDefault="0071195D" w:rsidP="002456FB">
            <w:pPr>
              <w:pStyle w:val="Body"/>
              <w:spacing w:before="120" w:after="120"/>
              <w:rPr>
                <w:i/>
                <w:iCs/>
                <w:sz w:val="20"/>
                <w:szCs w:val="18"/>
                <w:lang w:val="en-AU"/>
              </w:rPr>
            </w:pPr>
            <w:r w:rsidRPr="000E16EB">
              <w:rPr>
                <w:i/>
                <w:iCs/>
                <w:sz w:val="20"/>
                <w:szCs w:val="18"/>
                <w:lang w:val="en-AU"/>
              </w:rPr>
              <w:t>Detail how this is provided or the processes that exist.</w:t>
            </w:r>
          </w:p>
        </w:tc>
        <w:tc>
          <w:tcPr>
            <w:tcW w:w="2645" w:type="pct"/>
          </w:tcPr>
          <w:p w14:paraId="56AC7E97" w14:textId="77777777" w:rsidR="0071195D" w:rsidRPr="000E16EB" w:rsidRDefault="0071195D" w:rsidP="002456FB">
            <w:pPr>
              <w:pStyle w:val="Body"/>
              <w:spacing w:before="120" w:after="120"/>
              <w:rPr>
                <w:lang w:val="en-AU"/>
              </w:rPr>
            </w:pPr>
          </w:p>
        </w:tc>
      </w:tr>
      <w:tr w:rsidR="0071195D" w:rsidRPr="000E16EB" w14:paraId="56575DE4" w14:textId="77777777" w:rsidTr="0071195D">
        <w:trPr>
          <w:cantSplit/>
          <w:trHeight w:val="308"/>
        </w:trPr>
        <w:tc>
          <w:tcPr>
            <w:tcW w:w="2355" w:type="pct"/>
            <w:vAlign w:val="center"/>
          </w:tcPr>
          <w:p w14:paraId="6BA40F15" w14:textId="6A535EE4" w:rsidR="0071195D" w:rsidRPr="000E16EB" w:rsidRDefault="0071195D" w:rsidP="002456FB">
            <w:pPr>
              <w:pStyle w:val="Body"/>
              <w:spacing w:before="120" w:after="120"/>
              <w:rPr>
                <w:lang w:val="en-AU"/>
              </w:rPr>
            </w:pPr>
            <w:r w:rsidRPr="000E16EB">
              <w:rPr>
                <w:lang w:val="en-AU"/>
              </w:rPr>
              <w:t xml:space="preserve">Privacy processes or practices are </w:t>
            </w:r>
            <w:r w:rsidR="001526F0" w:rsidRPr="000E16EB">
              <w:rPr>
                <w:lang w:val="en-AU"/>
              </w:rPr>
              <w:t>independently</w:t>
            </w:r>
            <w:r w:rsidRPr="000E16EB">
              <w:rPr>
                <w:lang w:val="en-AU"/>
              </w:rPr>
              <w:t xml:space="preserve"> assessed where appropriate to identify areas for improvement.</w:t>
            </w:r>
          </w:p>
          <w:p w14:paraId="2EC12095" w14:textId="117E91C2" w:rsidR="0071195D" w:rsidRPr="000E16EB" w:rsidRDefault="0071195D" w:rsidP="002456FB">
            <w:pPr>
              <w:pStyle w:val="Body"/>
              <w:spacing w:before="120" w:after="120"/>
              <w:rPr>
                <w:i/>
                <w:iCs/>
                <w:lang w:val="en-AU"/>
              </w:rPr>
            </w:pPr>
            <w:r w:rsidRPr="000E16EB">
              <w:rPr>
                <w:i/>
                <w:iCs/>
                <w:sz w:val="20"/>
                <w:szCs w:val="18"/>
                <w:lang w:val="en-AU"/>
              </w:rPr>
              <w:t xml:space="preserve">Detail any processes or practices that have been </w:t>
            </w:r>
            <w:r w:rsidR="001526F0" w:rsidRPr="000E16EB">
              <w:rPr>
                <w:i/>
                <w:iCs/>
                <w:sz w:val="20"/>
                <w:szCs w:val="18"/>
                <w:lang w:val="en-AU"/>
              </w:rPr>
              <w:t xml:space="preserve">independently or </w:t>
            </w:r>
            <w:r w:rsidRPr="000E16EB">
              <w:rPr>
                <w:i/>
                <w:iCs/>
                <w:sz w:val="20"/>
                <w:szCs w:val="18"/>
                <w:lang w:val="en-AU"/>
              </w:rPr>
              <w:t xml:space="preserve">externally assessed and any outcomes. </w:t>
            </w:r>
          </w:p>
        </w:tc>
        <w:tc>
          <w:tcPr>
            <w:tcW w:w="2645" w:type="pct"/>
          </w:tcPr>
          <w:p w14:paraId="24E36F98" w14:textId="77777777" w:rsidR="0071195D" w:rsidRPr="000E16EB" w:rsidRDefault="0071195D" w:rsidP="002456FB">
            <w:pPr>
              <w:pStyle w:val="Body"/>
              <w:spacing w:before="120" w:after="120"/>
              <w:rPr>
                <w:lang w:val="en-AU"/>
              </w:rPr>
            </w:pPr>
          </w:p>
        </w:tc>
      </w:tr>
    </w:tbl>
    <w:p w14:paraId="7208847A" w14:textId="77451E17" w:rsidR="0027133F" w:rsidRDefault="0027133F" w:rsidP="003C7F8B">
      <w:pPr>
        <w:pStyle w:val="Body"/>
        <w:rPr>
          <w:lang w:val="en-AU"/>
        </w:rPr>
      </w:pPr>
    </w:p>
    <w:p w14:paraId="31A04B00" w14:textId="647AB273" w:rsidR="008738F2" w:rsidRPr="002D35A6" w:rsidRDefault="008738F2" w:rsidP="002D35A6">
      <w:pPr>
        <w:widowControl w:val="0"/>
        <w:pBdr>
          <w:top w:val="single" w:sz="4" w:space="8" w:color="430098"/>
        </w:pBd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before="360" w:after="120"/>
        <w:textAlignment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2D35A6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Disclaimer: </w:t>
      </w:r>
      <w:r w:rsidRPr="002D35A6">
        <w:rPr>
          <w:rFonts w:asciiTheme="minorHAnsi" w:hAnsiTheme="minorHAnsi" w:cstheme="minorHAnsi"/>
          <w:color w:val="000000" w:themeColor="text1"/>
          <w:sz w:val="16"/>
          <w:szCs w:val="16"/>
        </w:rPr>
        <w:t>The information in this document is general in nature and does not constitute legal advice.</w:t>
      </w:r>
    </w:p>
    <w:sectPr w:rsidR="008738F2" w:rsidRPr="002D35A6" w:rsidSect="005754AC">
      <w:footerReference w:type="default" r:id="rId50"/>
      <w:headerReference w:type="first" r:id="rId51"/>
      <w:footerReference w:type="first" r:id="rId52"/>
      <w:type w:val="continuous"/>
      <w:pgSz w:w="11900" w:h="16840"/>
      <w:pgMar w:top="1134" w:right="1134" w:bottom="1134" w:left="1134" w:header="85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756D0" w14:textId="77777777" w:rsidR="00A72697" w:rsidRDefault="00A72697" w:rsidP="00B53C78">
      <w:r>
        <w:separator/>
      </w:r>
    </w:p>
  </w:endnote>
  <w:endnote w:type="continuationSeparator" w:id="0">
    <w:p w14:paraId="7B4514A7" w14:textId="77777777" w:rsidR="00A72697" w:rsidRDefault="00A72697" w:rsidP="00B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PostGrotesk-Book">
    <w:altName w:val="Times New Roman"/>
    <w:panose1 w:val="020B0604020202020204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panose1 w:val="020B0604020202020204"/>
    <w:charset w:val="00"/>
    <w:family w:val="auto"/>
    <w:pitch w:val="variable"/>
    <w:sig w:usb0="00000001" w:usb1="50016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CFC6F" w14:textId="77777777" w:rsidR="000B3C9C" w:rsidRPr="008C301D" w:rsidRDefault="000B3C9C" w:rsidP="00E606BA">
    <w:pPr>
      <w:pStyle w:val="Footer"/>
      <w:tabs>
        <w:tab w:val="clear" w:pos="4513"/>
        <w:tab w:val="clear" w:pos="9026"/>
        <w:tab w:val="center" w:pos="9632"/>
      </w:tabs>
      <w:spacing w:before="120"/>
      <w:ind w:right="-7"/>
      <w:rPr>
        <w:rFonts w:cs="Arial"/>
        <w:sz w:val="18"/>
        <w:szCs w:val="22"/>
      </w:rPr>
    </w:pPr>
    <w:r w:rsidRPr="008C301D">
      <w:rPr>
        <w:rFonts w:cs="Arial"/>
        <w:sz w:val="18"/>
        <w:szCs w:val="22"/>
      </w:rPr>
      <w:t xml:space="preserve">Freedom of Information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Privacy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Data Protection</w:t>
    </w:r>
    <w:r w:rsidRPr="008C301D">
      <w:rPr>
        <w:sz w:val="21"/>
        <w:szCs w:val="22"/>
      </w:rPr>
      <w:tab/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PAGE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1</w:t>
    </w:r>
    <w:r w:rsidRPr="008C301D">
      <w:rPr>
        <w:rFonts w:cs="Arial"/>
        <w:sz w:val="18"/>
        <w:szCs w:val="22"/>
      </w:rPr>
      <w:fldChar w:fldCharType="end"/>
    </w:r>
    <w:r w:rsidRPr="008C301D">
      <w:rPr>
        <w:rFonts w:cs="Arial"/>
        <w:sz w:val="18"/>
        <w:szCs w:val="22"/>
      </w:rPr>
      <w:t xml:space="preserve"> of </w:t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NUMPAGES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3</w:t>
    </w:r>
    <w:r w:rsidRPr="008C301D">
      <w:rPr>
        <w:rFonts w:cs="Arial"/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19638" w14:textId="77777777" w:rsidR="000B3C9C" w:rsidRPr="008C301D" w:rsidRDefault="000B3C9C" w:rsidP="008C301D">
    <w:pPr>
      <w:pStyle w:val="Footer"/>
      <w:tabs>
        <w:tab w:val="clear" w:pos="4513"/>
        <w:tab w:val="clear" w:pos="9026"/>
        <w:tab w:val="center" w:pos="9632"/>
      </w:tabs>
      <w:spacing w:before="120"/>
      <w:ind w:right="-7"/>
      <w:rPr>
        <w:rFonts w:cs="Arial"/>
        <w:sz w:val="18"/>
        <w:szCs w:val="22"/>
      </w:rPr>
    </w:pPr>
    <w:r w:rsidRPr="008C301D">
      <w:rPr>
        <w:rFonts w:cs="Arial"/>
        <w:sz w:val="18"/>
        <w:szCs w:val="22"/>
      </w:rPr>
      <w:t xml:space="preserve">Freedom of Information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Privacy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Data Protection</w:t>
    </w:r>
    <w:r w:rsidRPr="008C301D">
      <w:rPr>
        <w:sz w:val="21"/>
        <w:szCs w:val="22"/>
      </w:rPr>
      <w:tab/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PAGE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1</w:t>
    </w:r>
    <w:r w:rsidRPr="008C301D">
      <w:rPr>
        <w:rFonts w:cs="Arial"/>
        <w:sz w:val="18"/>
        <w:szCs w:val="22"/>
      </w:rPr>
      <w:fldChar w:fldCharType="end"/>
    </w:r>
    <w:r w:rsidRPr="008C301D">
      <w:rPr>
        <w:rFonts w:cs="Arial"/>
        <w:sz w:val="18"/>
        <w:szCs w:val="22"/>
      </w:rPr>
      <w:t xml:space="preserve"> of </w:t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NUMPAGES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2</w:t>
    </w:r>
    <w:r w:rsidRPr="008C301D">
      <w:rPr>
        <w:rFonts w:cs="Arial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93304" w14:textId="77777777" w:rsidR="00A72697" w:rsidRPr="002330E8" w:rsidRDefault="00A72697">
      <w:pPr>
        <w:rPr>
          <w:color w:val="55565A"/>
          <w:sz w:val="22"/>
          <w:szCs w:val="22"/>
        </w:rPr>
      </w:pPr>
      <w:r w:rsidRPr="002330E8">
        <w:rPr>
          <w:color w:val="55565A"/>
          <w:sz w:val="22"/>
          <w:szCs w:val="22"/>
        </w:rPr>
        <w:separator/>
      </w:r>
    </w:p>
  </w:footnote>
  <w:footnote w:type="continuationSeparator" w:id="0">
    <w:p w14:paraId="7C5550C4" w14:textId="77777777" w:rsidR="00A72697" w:rsidRDefault="00A72697" w:rsidP="00B53C78">
      <w:r>
        <w:continuationSeparator/>
      </w:r>
    </w:p>
  </w:footnote>
  <w:footnote w:type="continuationNotice" w:id="1">
    <w:p w14:paraId="0D1FCC1F" w14:textId="77777777" w:rsidR="00A72697" w:rsidRDefault="00A726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1C598" w14:textId="1CC66B9D" w:rsidR="000B3C9C" w:rsidRPr="00B466A4" w:rsidRDefault="000B3C9C" w:rsidP="005754AC">
    <w:pPr>
      <w:pStyle w:val="Header"/>
      <w:tabs>
        <w:tab w:val="clear" w:pos="4513"/>
        <w:tab w:val="clear" w:pos="9026"/>
        <w:tab w:val="left" w:pos="6946"/>
      </w:tabs>
      <w:snapToGrid w:val="0"/>
      <w:spacing w:after="120"/>
      <w:ind w:right="-7"/>
      <w:jc w:val="right"/>
      <w:rPr>
        <w:rFonts w:asciiTheme="minorHAnsi" w:hAnsiTheme="minorHAnsi" w:cstheme="minorHAnsi"/>
        <w:color w:val="55565A"/>
        <w:sz w:val="16"/>
        <w:szCs w:val="16"/>
        <w:highlight w:val="yellow"/>
      </w:rPr>
    </w:pPr>
    <w:r>
      <w:rPr>
        <w:noProof/>
        <w:color w:val="7F7F7F"/>
        <w:sz w:val="28"/>
        <w:szCs w:val="28"/>
        <w:lang w:val="en-AU" w:eastAsia="en-AU"/>
      </w:rPr>
      <w:drawing>
        <wp:anchor distT="0" distB="0" distL="114300" distR="114300" simplePos="0" relativeHeight="251659264" behindDoc="1" locked="0" layoutInCell="1" allowOverlap="1" wp14:anchorId="443E1D28" wp14:editId="2D14B21F">
          <wp:simplePos x="0" y="0"/>
          <wp:positionH relativeFrom="column">
            <wp:posOffset>-1905</wp:posOffset>
          </wp:positionH>
          <wp:positionV relativeFrom="paragraph">
            <wp:posOffset>3175</wp:posOffset>
          </wp:positionV>
          <wp:extent cx="1174284" cy="540000"/>
          <wp:effectExtent l="0" t="0" r="0" b="6350"/>
          <wp:wrapThrough wrapText="bothSides">
            <wp:wrapPolygon edited="0">
              <wp:start x="0" y="0"/>
              <wp:lineTo x="0" y="21346"/>
              <wp:lineTo x="21261" y="21346"/>
              <wp:lineTo x="21261" y="0"/>
              <wp:lineTo x="0" y="0"/>
            </wp:wrapPolygon>
          </wp:wrapThrough>
          <wp:docPr id="3" name="Picture 3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2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C9E27E" w14:textId="240D93DB" w:rsidR="008738F2" w:rsidRPr="00B466A4" w:rsidRDefault="001241E9" w:rsidP="008738F2">
    <w:pPr>
      <w:pStyle w:val="Header"/>
      <w:tabs>
        <w:tab w:val="clear" w:pos="4513"/>
        <w:tab w:val="clear" w:pos="9026"/>
        <w:tab w:val="left" w:pos="9632"/>
      </w:tabs>
      <w:snapToGrid w:val="0"/>
      <w:spacing w:after="120"/>
      <w:ind w:right="-7"/>
      <w:jc w:val="right"/>
      <w:rPr>
        <w:rFonts w:asciiTheme="minorHAnsi" w:hAnsiTheme="minorHAnsi" w:cstheme="minorHAnsi"/>
        <w:color w:val="7F7F7F"/>
        <w:sz w:val="16"/>
        <w:szCs w:val="16"/>
      </w:rPr>
    </w:pPr>
    <w:r w:rsidRPr="00B466A4">
      <w:rPr>
        <w:rFonts w:asciiTheme="minorHAnsi" w:hAnsiTheme="minorHAnsi" w:cstheme="minorHAnsi"/>
        <w:color w:val="000000" w:themeColor="text1"/>
        <w:sz w:val="16"/>
        <w:szCs w:val="16"/>
      </w:rPr>
      <w:t>April 2021 – D19/8785</w:t>
    </w:r>
  </w:p>
  <w:p w14:paraId="4402C368" w14:textId="77777777" w:rsidR="008738F2" w:rsidRPr="00B466A4" w:rsidRDefault="008738F2" w:rsidP="008738F2">
    <w:pPr>
      <w:pStyle w:val="Header"/>
      <w:tabs>
        <w:tab w:val="clear" w:pos="4513"/>
        <w:tab w:val="left" w:pos="5245"/>
      </w:tabs>
      <w:spacing w:after="200"/>
      <w:ind w:right="-6"/>
      <w:jc w:val="right"/>
      <w:rPr>
        <w:rFonts w:asciiTheme="minorHAnsi" w:hAnsiTheme="minorHAnsi" w:cstheme="minorHAnsi"/>
        <w:color w:val="555559"/>
        <w:sz w:val="16"/>
        <w:szCs w:val="16"/>
      </w:rPr>
    </w:pPr>
    <w:r w:rsidRPr="00B466A4">
      <w:rPr>
        <w:rFonts w:asciiTheme="minorHAnsi" w:hAnsiTheme="minorHAnsi" w:cstheme="minorHAnsi"/>
        <w:color w:val="7F7F7F"/>
        <w:sz w:val="16"/>
        <w:szCs w:val="16"/>
      </w:rPr>
      <w:tab/>
    </w:r>
    <w:r w:rsidRPr="00B466A4">
      <w:rPr>
        <w:rFonts w:asciiTheme="minorHAnsi" w:hAnsiTheme="minorHAnsi" w:cstheme="minorHAnsi"/>
        <w:color w:val="000000" w:themeColor="text1"/>
        <w:sz w:val="16"/>
        <w:szCs w:val="16"/>
      </w:rPr>
      <w:t xml:space="preserve">ovic.vic.gov.au | </w:t>
    </w:r>
    <w:r w:rsidRPr="00B466A4">
      <w:rPr>
        <w:rFonts w:asciiTheme="minorHAnsi" w:hAnsiTheme="minorHAnsi" w:cstheme="minorHAnsi"/>
        <w:color w:val="000000" w:themeColor="text1"/>
        <w:sz w:val="16"/>
        <w:szCs w:val="16"/>
      </w:rPr>
      <w:tab/>
      <w:t>enquiries@ovic.vic.gov.au | 1300 006 842</w:t>
    </w:r>
  </w:p>
  <w:p w14:paraId="6E8406B3" w14:textId="77777777" w:rsidR="000B3C9C" w:rsidRPr="00B04B43" w:rsidRDefault="000B3C9C" w:rsidP="005754AC">
    <w:pPr>
      <w:pStyle w:val="Header"/>
      <w:tabs>
        <w:tab w:val="clear" w:pos="4513"/>
        <w:tab w:val="left" w:pos="5245"/>
      </w:tabs>
      <w:ind w:right="-6"/>
      <w:jc w:val="right"/>
      <w:rPr>
        <w:rFonts w:asciiTheme="minorHAnsi" w:hAnsiTheme="minorHAnsi" w:cstheme="minorHAnsi"/>
        <w:color w:val="7F7F7F"/>
        <w:sz w:val="18"/>
        <w:szCs w:val="18"/>
      </w:rPr>
    </w:pPr>
    <w:r w:rsidRPr="00856EDC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4E87DE53" wp14:editId="4D68EBA5">
          <wp:simplePos x="0" y="0"/>
          <wp:positionH relativeFrom="column">
            <wp:posOffset>3175</wp:posOffset>
          </wp:positionH>
          <wp:positionV relativeFrom="paragraph">
            <wp:posOffset>13970</wp:posOffset>
          </wp:positionV>
          <wp:extent cx="6192000" cy="46150"/>
          <wp:effectExtent l="0" t="0" r="0" b="5080"/>
          <wp:wrapNone/>
          <wp:docPr id="4" name="Picture 4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0" cy="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35E9"/>
    <w:multiLevelType w:val="multilevel"/>
    <w:tmpl w:val="E454FE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F9751D"/>
    <w:multiLevelType w:val="multilevel"/>
    <w:tmpl w:val="439C2A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C867A7"/>
    <w:multiLevelType w:val="multilevel"/>
    <w:tmpl w:val="9DFA02C0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3" w15:restartNumberingAfterBreak="0">
    <w:nsid w:val="289E5E2F"/>
    <w:multiLevelType w:val="multilevel"/>
    <w:tmpl w:val="856CFD5A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4" w15:restartNumberingAfterBreak="0">
    <w:nsid w:val="2B325D3A"/>
    <w:multiLevelType w:val="multilevel"/>
    <w:tmpl w:val="EA2EAD0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5" w15:restartNumberingAfterBreak="0">
    <w:nsid w:val="3A2C5FF4"/>
    <w:multiLevelType w:val="hybridMultilevel"/>
    <w:tmpl w:val="21368B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55565A"/>
      </w:rPr>
    </w:lvl>
    <w:lvl w:ilvl="1" w:tplc="0074C8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99252C"/>
    <w:multiLevelType w:val="hybridMultilevel"/>
    <w:tmpl w:val="6F72C12C"/>
    <w:lvl w:ilvl="0" w:tplc="447252F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83889"/>
    <w:multiLevelType w:val="multilevel"/>
    <w:tmpl w:val="893E7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5DC6524"/>
    <w:multiLevelType w:val="multilevel"/>
    <w:tmpl w:val="610EE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7893559"/>
    <w:multiLevelType w:val="multilevel"/>
    <w:tmpl w:val="1C6CD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B9B77CE"/>
    <w:multiLevelType w:val="hybridMultilevel"/>
    <w:tmpl w:val="B442C34E"/>
    <w:lvl w:ilvl="0" w:tplc="15A0F1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5565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E2F78"/>
    <w:multiLevelType w:val="multilevel"/>
    <w:tmpl w:val="856CFD5A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12" w15:restartNumberingAfterBreak="0">
    <w:nsid w:val="713E1AB0"/>
    <w:multiLevelType w:val="multilevel"/>
    <w:tmpl w:val="F2044CCA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13" w15:restartNumberingAfterBreak="0">
    <w:nsid w:val="728111CC"/>
    <w:multiLevelType w:val="multilevel"/>
    <w:tmpl w:val="3976B666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13"/>
  </w:num>
  <w:num w:numId="11">
    <w:abstractNumId w:val="4"/>
  </w:num>
  <w:num w:numId="12">
    <w:abstractNumId w:val="9"/>
  </w:num>
  <w:num w:numId="13">
    <w:abstractNumId w:val="12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A4"/>
    <w:rsid w:val="00001D44"/>
    <w:rsid w:val="000063A5"/>
    <w:rsid w:val="00014D9A"/>
    <w:rsid w:val="00015932"/>
    <w:rsid w:val="00023685"/>
    <w:rsid w:val="00043536"/>
    <w:rsid w:val="00044728"/>
    <w:rsid w:val="00045E2F"/>
    <w:rsid w:val="00053B75"/>
    <w:rsid w:val="0006112E"/>
    <w:rsid w:val="00064688"/>
    <w:rsid w:val="0006476D"/>
    <w:rsid w:val="00066A44"/>
    <w:rsid w:val="00070AF6"/>
    <w:rsid w:val="00072076"/>
    <w:rsid w:val="00077961"/>
    <w:rsid w:val="00091CB4"/>
    <w:rsid w:val="000961C0"/>
    <w:rsid w:val="000A03A2"/>
    <w:rsid w:val="000A0AB5"/>
    <w:rsid w:val="000B3C9C"/>
    <w:rsid w:val="000B66F2"/>
    <w:rsid w:val="000B6B3A"/>
    <w:rsid w:val="000C09CC"/>
    <w:rsid w:val="000C1298"/>
    <w:rsid w:val="000C38AF"/>
    <w:rsid w:val="000C44B0"/>
    <w:rsid w:val="000C66B1"/>
    <w:rsid w:val="000D1E0A"/>
    <w:rsid w:val="000E16EB"/>
    <w:rsid w:val="000E4EA8"/>
    <w:rsid w:val="000E6AA1"/>
    <w:rsid w:val="000E6D30"/>
    <w:rsid w:val="000E7FAE"/>
    <w:rsid w:val="000F327F"/>
    <w:rsid w:val="000F34BC"/>
    <w:rsid w:val="000F3A12"/>
    <w:rsid w:val="000F511E"/>
    <w:rsid w:val="001159CB"/>
    <w:rsid w:val="00123593"/>
    <w:rsid w:val="0012374C"/>
    <w:rsid w:val="001241E9"/>
    <w:rsid w:val="0013442D"/>
    <w:rsid w:val="00140A5A"/>
    <w:rsid w:val="00145431"/>
    <w:rsid w:val="0015035F"/>
    <w:rsid w:val="001526F0"/>
    <w:rsid w:val="00155781"/>
    <w:rsid w:val="0015694F"/>
    <w:rsid w:val="00162B51"/>
    <w:rsid w:val="00164A42"/>
    <w:rsid w:val="00170AE6"/>
    <w:rsid w:val="001712DD"/>
    <w:rsid w:val="0017157F"/>
    <w:rsid w:val="001716C9"/>
    <w:rsid w:val="00173F40"/>
    <w:rsid w:val="0017714A"/>
    <w:rsid w:val="0017786A"/>
    <w:rsid w:val="0019036B"/>
    <w:rsid w:val="001967FD"/>
    <w:rsid w:val="001A03B5"/>
    <w:rsid w:val="001A0DEB"/>
    <w:rsid w:val="001B170F"/>
    <w:rsid w:val="001C513C"/>
    <w:rsid w:val="001C5D6F"/>
    <w:rsid w:val="001C6E4B"/>
    <w:rsid w:val="001D27B6"/>
    <w:rsid w:val="001F12DD"/>
    <w:rsid w:val="00203B12"/>
    <w:rsid w:val="00227CF7"/>
    <w:rsid w:val="002330E8"/>
    <w:rsid w:val="00233FF2"/>
    <w:rsid w:val="0024030C"/>
    <w:rsid w:val="0024071F"/>
    <w:rsid w:val="00241BA6"/>
    <w:rsid w:val="00241DD5"/>
    <w:rsid w:val="002456FB"/>
    <w:rsid w:val="0025217E"/>
    <w:rsid w:val="00252833"/>
    <w:rsid w:val="00252B02"/>
    <w:rsid w:val="00261684"/>
    <w:rsid w:val="0026497E"/>
    <w:rsid w:val="002672C4"/>
    <w:rsid w:val="0027133F"/>
    <w:rsid w:val="00277E94"/>
    <w:rsid w:val="00284E22"/>
    <w:rsid w:val="00286061"/>
    <w:rsid w:val="00293DDA"/>
    <w:rsid w:val="00294FA3"/>
    <w:rsid w:val="002A062A"/>
    <w:rsid w:val="002A09CC"/>
    <w:rsid w:val="002A4749"/>
    <w:rsid w:val="002A48A0"/>
    <w:rsid w:val="002A58B4"/>
    <w:rsid w:val="002B1032"/>
    <w:rsid w:val="002B614D"/>
    <w:rsid w:val="002B7C87"/>
    <w:rsid w:val="002C5620"/>
    <w:rsid w:val="002C5CAD"/>
    <w:rsid w:val="002D1380"/>
    <w:rsid w:val="002D35A6"/>
    <w:rsid w:val="002D459C"/>
    <w:rsid w:val="002D53AA"/>
    <w:rsid w:val="002F037E"/>
    <w:rsid w:val="002F645F"/>
    <w:rsid w:val="003020DA"/>
    <w:rsid w:val="00305D40"/>
    <w:rsid w:val="00310935"/>
    <w:rsid w:val="00313A66"/>
    <w:rsid w:val="003172E4"/>
    <w:rsid w:val="00320B70"/>
    <w:rsid w:val="00322784"/>
    <w:rsid w:val="0032309A"/>
    <w:rsid w:val="00326D92"/>
    <w:rsid w:val="00326E58"/>
    <w:rsid w:val="00330030"/>
    <w:rsid w:val="00330979"/>
    <w:rsid w:val="00331078"/>
    <w:rsid w:val="00331E17"/>
    <w:rsid w:val="0033222D"/>
    <w:rsid w:val="00334DDD"/>
    <w:rsid w:val="0034513D"/>
    <w:rsid w:val="0034520D"/>
    <w:rsid w:val="00345731"/>
    <w:rsid w:val="00351B69"/>
    <w:rsid w:val="0035211D"/>
    <w:rsid w:val="00355311"/>
    <w:rsid w:val="00362597"/>
    <w:rsid w:val="00370F3D"/>
    <w:rsid w:val="00372C3E"/>
    <w:rsid w:val="00380956"/>
    <w:rsid w:val="00381136"/>
    <w:rsid w:val="00384F15"/>
    <w:rsid w:val="003A0F3A"/>
    <w:rsid w:val="003A7085"/>
    <w:rsid w:val="003B2A02"/>
    <w:rsid w:val="003C6D10"/>
    <w:rsid w:val="003C7F8B"/>
    <w:rsid w:val="003D2CE0"/>
    <w:rsid w:val="003D7A69"/>
    <w:rsid w:val="003E3153"/>
    <w:rsid w:val="003E4592"/>
    <w:rsid w:val="003F3190"/>
    <w:rsid w:val="003F40E8"/>
    <w:rsid w:val="00405754"/>
    <w:rsid w:val="00406248"/>
    <w:rsid w:val="0041312C"/>
    <w:rsid w:val="00414626"/>
    <w:rsid w:val="00417606"/>
    <w:rsid w:val="004233EE"/>
    <w:rsid w:val="00424309"/>
    <w:rsid w:val="004314C9"/>
    <w:rsid w:val="0043156F"/>
    <w:rsid w:val="00436C00"/>
    <w:rsid w:val="004374CF"/>
    <w:rsid w:val="00443930"/>
    <w:rsid w:val="00452A0A"/>
    <w:rsid w:val="00453B44"/>
    <w:rsid w:val="00462524"/>
    <w:rsid w:val="004634A1"/>
    <w:rsid w:val="00465B05"/>
    <w:rsid w:val="00470E39"/>
    <w:rsid w:val="004712DB"/>
    <w:rsid w:val="0047248D"/>
    <w:rsid w:val="00476315"/>
    <w:rsid w:val="00476FA1"/>
    <w:rsid w:val="004A33DA"/>
    <w:rsid w:val="004A4413"/>
    <w:rsid w:val="004A4E61"/>
    <w:rsid w:val="004A7654"/>
    <w:rsid w:val="004B47A8"/>
    <w:rsid w:val="004B634F"/>
    <w:rsid w:val="004C06E7"/>
    <w:rsid w:val="004C4837"/>
    <w:rsid w:val="004D1C82"/>
    <w:rsid w:val="004D4448"/>
    <w:rsid w:val="004D54FD"/>
    <w:rsid w:val="004F1DA5"/>
    <w:rsid w:val="00502CD1"/>
    <w:rsid w:val="0051013B"/>
    <w:rsid w:val="00512487"/>
    <w:rsid w:val="00513FAF"/>
    <w:rsid w:val="005154F8"/>
    <w:rsid w:val="005176A8"/>
    <w:rsid w:val="005178FE"/>
    <w:rsid w:val="00521EC2"/>
    <w:rsid w:val="00526FE4"/>
    <w:rsid w:val="00530360"/>
    <w:rsid w:val="005355AA"/>
    <w:rsid w:val="00542947"/>
    <w:rsid w:val="00555602"/>
    <w:rsid w:val="005618E5"/>
    <w:rsid w:val="005645A0"/>
    <w:rsid w:val="00565E07"/>
    <w:rsid w:val="00574168"/>
    <w:rsid w:val="005754AC"/>
    <w:rsid w:val="00576527"/>
    <w:rsid w:val="00580E7E"/>
    <w:rsid w:val="005870C5"/>
    <w:rsid w:val="005874E9"/>
    <w:rsid w:val="005947FB"/>
    <w:rsid w:val="005959A4"/>
    <w:rsid w:val="005A49D0"/>
    <w:rsid w:val="005B3A62"/>
    <w:rsid w:val="005B69DE"/>
    <w:rsid w:val="005C4098"/>
    <w:rsid w:val="005D01F3"/>
    <w:rsid w:val="005D3E8A"/>
    <w:rsid w:val="005D66A3"/>
    <w:rsid w:val="00602A0C"/>
    <w:rsid w:val="00610359"/>
    <w:rsid w:val="00611A16"/>
    <w:rsid w:val="006120B5"/>
    <w:rsid w:val="0061729A"/>
    <w:rsid w:val="00620FD8"/>
    <w:rsid w:val="00623CC4"/>
    <w:rsid w:val="0063198B"/>
    <w:rsid w:val="00633120"/>
    <w:rsid w:val="00635C21"/>
    <w:rsid w:val="00635E9F"/>
    <w:rsid w:val="00646731"/>
    <w:rsid w:val="00652D6F"/>
    <w:rsid w:val="006552D7"/>
    <w:rsid w:val="00656898"/>
    <w:rsid w:val="00660B73"/>
    <w:rsid w:val="00662FFB"/>
    <w:rsid w:val="006713D1"/>
    <w:rsid w:val="00674485"/>
    <w:rsid w:val="006749A6"/>
    <w:rsid w:val="00683DF5"/>
    <w:rsid w:val="006876B7"/>
    <w:rsid w:val="006905DA"/>
    <w:rsid w:val="006938E8"/>
    <w:rsid w:val="006A2A97"/>
    <w:rsid w:val="006A6202"/>
    <w:rsid w:val="006B1C0F"/>
    <w:rsid w:val="006B6A04"/>
    <w:rsid w:val="006C3ABD"/>
    <w:rsid w:val="006D0045"/>
    <w:rsid w:val="006D1251"/>
    <w:rsid w:val="006F46D2"/>
    <w:rsid w:val="006F7FFB"/>
    <w:rsid w:val="0070140B"/>
    <w:rsid w:val="0071195D"/>
    <w:rsid w:val="007140E5"/>
    <w:rsid w:val="007168B4"/>
    <w:rsid w:val="00717657"/>
    <w:rsid w:val="00723ACA"/>
    <w:rsid w:val="0073060C"/>
    <w:rsid w:val="00730EAF"/>
    <w:rsid w:val="007416F3"/>
    <w:rsid w:val="00744021"/>
    <w:rsid w:val="00750F40"/>
    <w:rsid w:val="007533AD"/>
    <w:rsid w:val="00753A1C"/>
    <w:rsid w:val="00760DDC"/>
    <w:rsid w:val="00764B8A"/>
    <w:rsid w:val="00765158"/>
    <w:rsid w:val="00776737"/>
    <w:rsid w:val="00780377"/>
    <w:rsid w:val="00780584"/>
    <w:rsid w:val="007862E0"/>
    <w:rsid w:val="00786837"/>
    <w:rsid w:val="0078789D"/>
    <w:rsid w:val="00795176"/>
    <w:rsid w:val="0079623F"/>
    <w:rsid w:val="007964E0"/>
    <w:rsid w:val="007973AB"/>
    <w:rsid w:val="007A3E37"/>
    <w:rsid w:val="007A6964"/>
    <w:rsid w:val="007B1ED8"/>
    <w:rsid w:val="007B4A6B"/>
    <w:rsid w:val="007C3E32"/>
    <w:rsid w:val="007E15FB"/>
    <w:rsid w:val="007E20B2"/>
    <w:rsid w:val="007E7982"/>
    <w:rsid w:val="008046F8"/>
    <w:rsid w:val="00806B62"/>
    <w:rsid w:val="008075B2"/>
    <w:rsid w:val="008167E8"/>
    <w:rsid w:val="00820FE7"/>
    <w:rsid w:val="00830A9B"/>
    <w:rsid w:val="00833198"/>
    <w:rsid w:val="008415D5"/>
    <w:rsid w:val="00851E29"/>
    <w:rsid w:val="00854716"/>
    <w:rsid w:val="00856EDC"/>
    <w:rsid w:val="00861302"/>
    <w:rsid w:val="00863040"/>
    <w:rsid w:val="0086734F"/>
    <w:rsid w:val="00870521"/>
    <w:rsid w:val="008721FC"/>
    <w:rsid w:val="008738F2"/>
    <w:rsid w:val="0088604A"/>
    <w:rsid w:val="00886F89"/>
    <w:rsid w:val="00890F15"/>
    <w:rsid w:val="00891098"/>
    <w:rsid w:val="0089428C"/>
    <w:rsid w:val="008962F6"/>
    <w:rsid w:val="00896C71"/>
    <w:rsid w:val="008A2779"/>
    <w:rsid w:val="008B415E"/>
    <w:rsid w:val="008B4992"/>
    <w:rsid w:val="008B7923"/>
    <w:rsid w:val="008C301D"/>
    <w:rsid w:val="008C6BAE"/>
    <w:rsid w:val="008D4567"/>
    <w:rsid w:val="008D4D9E"/>
    <w:rsid w:val="008E1576"/>
    <w:rsid w:val="008E355B"/>
    <w:rsid w:val="008F004D"/>
    <w:rsid w:val="008F106C"/>
    <w:rsid w:val="008F71F3"/>
    <w:rsid w:val="008F7EE5"/>
    <w:rsid w:val="009110EE"/>
    <w:rsid w:val="009202E1"/>
    <w:rsid w:val="0092276F"/>
    <w:rsid w:val="00922C7A"/>
    <w:rsid w:val="00940F43"/>
    <w:rsid w:val="009511B4"/>
    <w:rsid w:val="00961D7E"/>
    <w:rsid w:val="0096643B"/>
    <w:rsid w:val="0097155C"/>
    <w:rsid w:val="00977450"/>
    <w:rsid w:val="00981215"/>
    <w:rsid w:val="00982C27"/>
    <w:rsid w:val="009A494A"/>
    <w:rsid w:val="009A73D4"/>
    <w:rsid w:val="009B047B"/>
    <w:rsid w:val="009C1F00"/>
    <w:rsid w:val="009C36EB"/>
    <w:rsid w:val="009C54B4"/>
    <w:rsid w:val="009D62A4"/>
    <w:rsid w:val="009D6CD9"/>
    <w:rsid w:val="009F13A1"/>
    <w:rsid w:val="00A11725"/>
    <w:rsid w:val="00A17924"/>
    <w:rsid w:val="00A2129B"/>
    <w:rsid w:val="00A21BE0"/>
    <w:rsid w:val="00A26740"/>
    <w:rsid w:val="00A31747"/>
    <w:rsid w:val="00A33D6F"/>
    <w:rsid w:val="00A37BE1"/>
    <w:rsid w:val="00A46644"/>
    <w:rsid w:val="00A7158F"/>
    <w:rsid w:val="00A72697"/>
    <w:rsid w:val="00A746FC"/>
    <w:rsid w:val="00A7579E"/>
    <w:rsid w:val="00A76251"/>
    <w:rsid w:val="00A85751"/>
    <w:rsid w:val="00A85E12"/>
    <w:rsid w:val="00A87E8C"/>
    <w:rsid w:val="00A903E3"/>
    <w:rsid w:val="00A92625"/>
    <w:rsid w:val="00A92F36"/>
    <w:rsid w:val="00A9309B"/>
    <w:rsid w:val="00AA3323"/>
    <w:rsid w:val="00AA572F"/>
    <w:rsid w:val="00AA68B1"/>
    <w:rsid w:val="00AB2E68"/>
    <w:rsid w:val="00AB4685"/>
    <w:rsid w:val="00AC11DA"/>
    <w:rsid w:val="00AC35A9"/>
    <w:rsid w:val="00AD3DD6"/>
    <w:rsid w:val="00AD5BC0"/>
    <w:rsid w:val="00AE13A1"/>
    <w:rsid w:val="00AE20C7"/>
    <w:rsid w:val="00AF1740"/>
    <w:rsid w:val="00AF1D1D"/>
    <w:rsid w:val="00AF390F"/>
    <w:rsid w:val="00B04B43"/>
    <w:rsid w:val="00B177DA"/>
    <w:rsid w:val="00B20436"/>
    <w:rsid w:val="00B2499E"/>
    <w:rsid w:val="00B316BE"/>
    <w:rsid w:val="00B324C6"/>
    <w:rsid w:val="00B32753"/>
    <w:rsid w:val="00B339BB"/>
    <w:rsid w:val="00B37930"/>
    <w:rsid w:val="00B37C5F"/>
    <w:rsid w:val="00B466A4"/>
    <w:rsid w:val="00B53C78"/>
    <w:rsid w:val="00B61929"/>
    <w:rsid w:val="00B66115"/>
    <w:rsid w:val="00B74460"/>
    <w:rsid w:val="00B767E7"/>
    <w:rsid w:val="00B848D4"/>
    <w:rsid w:val="00B921E3"/>
    <w:rsid w:val="00B971BF"/>
    <w:rsid w:val="00BA770C"/>
    <w:rsid w:val="00BC146C"/>
    <w:rsid w:val="00BC1760"/>
    <w:rsid w:val="00BC1972"/>
    <w:rsid w:val="00BD07DC"/>
    <w:rsid w:val="00BD159A"/>
    <w:rsid w:val="00BD2C4E"/>
    <w:rsid w:val="00BD4E38"/>
    <w:rsid w:val="00BD5AE9"/>
    <w:rsid w:val="00BE3022"/>
    <w:rsid w:val="00BE64CC"/>
    <w:rsid w:val="00BF663D"/>
    <w:rsid w:val="00BF7C0B"/>
    <w:rsid w:val="00C20DB5"/>
    <w:rsid w:val="00C42986"/>
    <w:rsid w:val="00C43D68"/>
    <w:rsid w:val="00C473B0"/>
    <w:rsid w:val="00C51DC4"/>
    <w:rsid w:val="00C524D3"/>
    <w:rsid w:val="00C605D0"/>
    <w:rsid w:val="00C626A4"/>
    <w:rsid w:val="00C62A45"/>
    <w:rsid w:val="00C663F5"/>
    <w:rsid w:val="00C75420"/>
    <w:rsid w:val="00C76A4A"/>
    <w:rsid w:val="00C80015"/>
    <w:rsid w:val="00C9198C"/>
    <w:rsid w:val="00C922DD"/>
    <w:rsid w:val="00CB0986"/>
    <w:rsid w:val="00CB4387"/>
    <w:rsid w:val="00CB7050"/>
    <w:rsid w:val="00CC3C2B"/>
    <w:rsid w:val="00CD18BC"/>
    <w:rsid w:val="00CD6BDB"/>
    <w:rsid w:val="00CE02DC"/>
    <w:rsid w:val="00CE394C"/>
    <w:rsid w:val="00CE6425"/>
    <w:rsid w:val="00CE7458"/>
    <w:rsid w:val="00CF0926"/>
    <w:rsid w:val="00CF610D"/>
    <w:rsid w:val="00D02655"/>
    <w:rsid w:val="00D0311E"/>
    <w:rsid w:val="00D03E77"/>
    <w:rsid w:val="00D14013"/>
    <w:rsid w:val="00D15A91"/>
    <w:rsid w:val="00D17BEF"/>
    <w:rsid w:val="00D2015D"/>
    <w:rsid w:val="00D214C2"/>
    <w:rsid w:val="00D2328D"/>
    <w:rsid w:val="00D24102"/>
    <w:rsid w:val="00D267EC"/>
    <w:rsid w:val="00D3108A"/>
    <w:rsid w:val="00D32D00"/>
    <w:rsid w:val="00D42960"/>
    <w:rsid w:val="00D44BD9"/>
    <w:rsid w:val="00D5282F"/>
    <w:rsid w:val="00D627F2"/>
    <w:rsid w:val="00D63111"/>
    <w:rsid w:val="00D66EE1"/>
    <w:rsid w:val="00D723C1"/>
    <w:rsid w:val="00D734AA"/>
    <w:rsid w:val="00D77B3C"/>
    <w:rsid w:val="00D956AC"/>
    <w:rsid w:val="00D95DF8"/>
    <w:rsid w:val="00DA234D"/>
    <w:rsid w:val="00DA790A"/>
    <w:rsid w:val="00DB13A1"/>
    <w:rsid w:val="00DB4956"/>
    <w:rsid w:val="00DB55DB"/>
    <w:rsid w:val="00DB7AA3"/>
    <w:rsid w:val="00DC14E8"/>
    <w:rsid w:val="00DC2EC7"/>
    <w:rsid w:val="00DC47BD"/>
    <w:rsid w:val="00DD1AED"/>
    <w:rsid w:val="00DD28C0"/>
    <w:rsid w:val="00DD5BF5"/>
    <w:rsid w:val="00DE1E76"/>
    <w:rsid w:val="00DE23C0"/>
    <w:rsid w:val="00DE5115"/>
    <w:rsid w:val="00DE73F6"/>
    <w:rsid w:val="00DE7A9E"/>
    <w:rsid w:val="00DE7E58"/>
    <w:rsid w:val="00DF1385"/>
    <w:rsid w:val="00DF32E2"/>
    <w:rsid w:val="00E02B26"/>
    <w:rsid w:val="00E05276"/>
    <w:rsid w:val="00E10376"/>
    <w:rsid w:val="00E1472B"/>
    <w:rsid w:val="00E15570"/>
    <w:rsid w:val="00E1768C"/>
    <w:rsid w:val="00E20A3A"/>
    <w:rsid w:val="00E27908"/>
    <w:rsid w:val="00E406C8"/>
    <w:rsid w:val="00E40ACD"/>
    <w:rsid w:val="00E40D39"/>
    <w:rsid w:val="00E45B00"/>
    <w:rsid w:val="00E55C61"/>
    <w:rsid w:val="00E606BA"/>
    <w:rsid w:val="00E66BA5"/>
    <w:rsid w:val="00E715C9"/>
    <w:rsid w:val="00E80E70"/>
    <w:rsid w:val="00E84043"/>
    <w:rsid w:val="00E86019"/>
    <w:rsid w:val="00EA1B53"/>
    <w:rsid w:val="00EB03B3"/>
    <w:rsid w:val="00EB497F"/>
    <w:rsid w:val="00EC1727"/>
    <w:rsid w:val="00EC59B2"/>
    <w:rsid w:val="00ED4F5D"/>
    <w:rsid w:val="00ED7183"/>
    <w:rsid w:val="00ED7E0A"/>
    <w:rsid w:val="00EE1D74"/>
    <w:rsid w:val="00EE5A35"/>
    <w:rsid w:val="00EE783C"/>
    <w:rsid w:val="00EF06C1"/>
    <w:rsid w:val="00EF265F"/>
    <w:rsid w:val="00EF553E"/>
    <w:rsid w:val="00EF65B2"/>
    <w:rsid w:val="00EF7213"/>
    <w:rsid w:val="00F00034"/>
    <w:rsid w:val="00F17578"/>
    <w:rsid w:val="00F26E5C"/>
    <w:rsid w:val="00F32E78"/>
    <w:rsid w:val="00F3674C"/>
    <w:rsid w:val="00F36C34"/>
    <w:rsid w:val="00F402B9"/>
    <w:rsid w:val="00F407F3"/>
    <w:rsid w:val="00F525C4"/>
    <w:rsid w:val="00F5377F"/>
    <w:rsid w:val="00F55CAF"/>
    <w:rsid w:val="00F56B65"/>
    <w:rsid w:val="00F56CCB"/>
    <w:rsid w:val="00F62A48"/>
    <w:rsid w:val="00F76EB7"/>
    <w:rsid w:val="00F83814"/>
    <w:rsid w:val="00F84072"/>
    <w:rsid w:val="00F84615"/>
    <w:rsid w:val="00F87792"/>
    <w:rsid w:val="00F87A54"/>
    <w:rsid w:val="00F9233B"/>
    <w:rsid w:val="00F923FB"/>
    <w:rsid w:val="00FA1F8E"/>
    <w:rsid w:val="00FB0370"/>
    <w:rsid w:val="00FC41C9"/>
    <w:rsid w:val="00FF3F0C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8002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935"/>
    <w:rPr>
      <w:rFonts w:ascii="Times New Roman" w:eastAsia="Times New Roman" w:hAnsi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1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78"/>
    <w:pPr>
      <w:tabs>
        <w:tab w:val="center" w:pos="4513"/>
        <w:tab w:val="right" w:pos="9026"/>
      </w:tabs>
    </w:pPr>
    <w:rPr>
      <w:rFonts w:ascii="Calibri" w:eastAsia="Calibri" w:hAnsi="Calibr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3C78"/>
  </w:style>
  <w:style w:type="paragraph" w:styleId="Footer">
    <w:name w:val="footer"/>
    <w:basedOn w:val="Normal"/>
    <w:link w:val="FooterChar"/>
    <w:uiPriority w:val="99"/>
    <w:unhideWhenUsed/>
    <w:rsid w:val="00BD07DC"/>
    <w:pPr>
      <w:tabs>
        <w:tab w:val="center" w:pos="4513"/>
        <w:tab w:val="right" w:pos="9026"/>
      </w:tabs>
    </w:pPr>
    <w:rPr>
      <w:rFonts w:ascii="Calibri" w:eastAsia="Calibri" w:hAnsi="Calibri"/>
      <w:color w:val="430098"/>
      <w:lang w:val="en-GB" w:eastAsia="en-US"/>
    </w:rPr>
  </w:style>
  <w:style w:type="character" w:customStyle="1" w:styleId="FooterChar">
    <w:name w:val="Footer Char"/>
    <w:link w:val="Footer"/>
    <w:uiPriority w:val="99"/>
    <w:rsid w:val="00BD07DC"/>
    <w:rPr>
      <w:color w:val="430098"/>
    </w:rPr>
  </w:style>
  <w:style w:type="paragraph" w:customStyle="1" w:styleId="BasicParagraph">
    <w:name w:val="[Basic Paragraph]"/>
    <w:basedOn w:val="Normal"/>
    <w:uiPriority w:val="99"/>
    <w:rsid w:val="00F36C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val="en-GB" w:eastAsia="en-US"/>
    </w:rPr>
  </w:style>
  <w:style w:type="paragraph" w:customStyle="1" w:styleId="Body">
    <w:name w:val="Body"/>
    <w:basedOn w:val="BasicParagraph"/>
    <w:qFormat/>
    <w:rsid w:val="00602A0C"/>
    <w:pPr>
      <w:suppressAutoHyphens/>
      <w:spacing w:after="200" w:line="264" w:lineRule="auto"/>
    </w:pPr>
    <w:rPr>
      <w:rFonts w:ascii="Calibri" w:hAnsi="Calibri" w:cs="PostGrotesk-Book"/>
      <w:color w:val="000000" w:themeColor="text1"/>
      <w:sz w:val="22"/>
      <w:szCs w:val="22"/>
    </w:rPr>
  </w:style>
  <w:style w:type="paragraph" w:customStyle="1" w:styleId="Heading-1">
    <w:name w:val="Heading-1"/>
    <w:basedOn w:val="BasicParagraph"/>
    <w:autoRedefine/>
    <w:qFormat/>
    <w:rsid w:val="00602A0C"/>
    <w:pPr>
      <w:suppressAutoHyphens/>
      <w:spacing w:before="120" w:after="200" w:line="264" w:lineRule="auto"/>
    </w:pPr>
    <w:rPr>
      <w:rFonts w:ascii="Calibri" w:hAnsi="Calibri" w:cs="PostGrotesk-Medium"/>
      <w:b/>
      <w:color w:val="430098"/>
      <w:sz w:val="28"/>
      <w:szCs w:val="26"/>
      <w:lang w:val="en-AU"/>
    </w:rPr>
  </w:style>
  <w:style w:type="paragraph" w:customStyle="1" w:styleId="Heading-2">
    <w:name w:val="Heading-2"/>
    <w:basedOn w:val="BasicParagraph"/>
    <w:qFormat/>
    <w:rsid w:val="00B04B43"/>
    <w:pPr>
      <w:suppressAutoHyphens/>
      <w:spacing w:after="200" w:line="264" w:lineRule="auto"/>
    </w:pPr>
    <w:rPr>
      <w:rFonts w:ascii="Calibri" w:hAnsi="Calibri" w:cs="PostGrotesk-Medium"/>
      <w:b/>
      <w:color w:val="55565A"/>
      <w:sz w:val="22"/>
    </w:rPr>
  </w:style>
  <w:style w:type="paragraph" w:customStyle="1" w:styleId="ColorfulList-Accent11">
    <w:name w:val="Colorful List - Accent 11"/>
    <w:basedOn w:val="Body"/>
    <w:uiPriority w:val="34"/>
    <w:rsid w:val="00064688"/>
    <w:pPr>
      <w:numPr>
        <w:numId w:val="1"/>
      </w:numPr>
      <w:spacing w:after="0"/>
      <w:ind w:left="284" w:hanging="284"/>
    </w:pPr>
  </w:style>
  <w:style w:type="paragraph" w:customStyle="1" w:styleId="Introduction">
    <w:name w:val="Introduction"/>
    <w:rsid w:val="00B177DA"/>
    <w:pPr>
      <w:suppressAutoHyphens/>
      <w:spacing w:after="360"/>
      <w:ind w:right="1835"/>
    </w:pPr>
    <w:rPr>
      <w:rFonts w:cs="PostGrotesk-Book"/>
      <w:color w:val="7F7F7F"/>
      <w:sz w:val="28"/>
      <w:szCs w:val="28"/>
      <w:lang w:val="en-GB" w:eastAsia="en-US"/>
    </w:rPr>
  </w:style>
  <w:style w:type="paragraph" w:customStyle="1" w:styleId="Linebreak11pt">
    <w:name w:val="Line break 11pt"/>
    <w:basedOn w:val="BasicParagraph"/>
    <w:rsid w:val="008B7923"/>
    <w:pPr>
      <w:suppressAutoHyphens/>
    </w:pPr>
    <w:rPr>
      <w:rFonts w:ascii="Calibri" w:hAnsi="Calibri" w:cs="PostGrotesk-Medium"/>
      <w:color w:val="55565A"/>
      <w:sz w:val="22"/>
      <w:szCs w:val="22"/>
    </w:rPr>
  </w:style>
  <w:style w:type="paragraph" w:customStyle="1" w:styleId="Disclaimer">
    <w:name w:val="Disclaimer"/>
    <w:basedOn w:val="Normal"/>
    <w:rsid w:val="00064688"/>
    <w:pPr>
      <w:ind w:right="-7"/>
    </w:pPr>
    <w:rPr>
      <w:rFonts w:ascii="Calibri" w:eastAsia="Calibri" w:hAnsi="Calibri" w:cs="PostGrotesk-Book"/>
      <w:color w:val="555559"/>
      <w:sz w:val="18"/>
      <w:szCs w:val="18"/>
      <w:lang w:val="en-GB" w:eastAsia="en-US"/>
    </w:rPr>
  </w:style>
  <w:style w:type="paragraph" w:customStyle="1" w:styleId="IntroductoryText">
    <w:name w:val="Introductory Text"/>
    <w:rsid w:val="00863040"/>
    <w:pPr>
      <w:suppressAutoHyphens/>
      <w:spacing w:after="360"/>
      <w:ind w:right="1835"/>
    </w:pPr>
    <w:rPr>
      <w:rFonts w:cs="PostGrotesk-Book"/>
      <w:color w:val="555559"/>
      <w:sz w:val="28"/>
      <w:szCs w:val="28"/>
      <w:lang w:val="en-GB" w:eastAsia="en-US"/>
    </w:rPr>
  </w:style>
  <w:style w:type="paragraph" w:customStyle="1" w:styleId="MainTitle">
    <w:name w:val="Main Title"/>
    <w:basedOn w:val="Header"/>
    <w:autoRedefine/>
    <w:qFormat/>
    <w:rsid w:val="00977450"/>
    <w:pPr>
      <w:tabs>
        <w:tab w:val="clear" w:pos="9026"/>
        <w:tab w:val="left" w:pos="6946"/>
      </w:tabs>
      <w:spacing w:before="120" w:after="240"/>
    </w:pPr>
    <w:rPr>
      <w:rFonts w:asciiTheme="minorHAnsi" w:hAnsiTheme="minorHAnsi" w:cs="Arial"/>
      <w:b/>
      <w:color w:val="430098"/>
      <w:sz w:val="36"/>
      <w:szCs w:val="48"/>
      <w:lang w:val="en-AU"/>
    </w:rPr>
  </w:style>
  <w:style w:type="paragraph" w:customStyle="1" w:styleId="DocSubtitle">
    <w:name w:val="Doc Subtitle"/>
    <w:basedOn w:val="Header"/>
    <w:rsid w:val="00E86019"/>
    <w:pPr>
      <w:tabs>
        <w:tab w:val="left" w:pos="6946"/>
      </w:tabs>
      <w:spacing w:after="240"/>
    </w:pPr>
    <w:rPr>
      <w:rFonts w:asciiTheme="minorHAnsi" w:hAnsiTheme="minorHAnsi" w:cs="Arial"/>
      <w:color w:val="555559"/>
      <w:sz w:val="28"/>
      <w:szCs w:val="32"/>
    </w:rPr>
  </w:style>
  <w:style w:type="table" w:customStyle="1" w:styleId="PlainTable11">
    <w:name w:val="Plain Table 11"/>
    <w:basedOn w:val="TableNormal"/>
    <w:uiPriority w:val="41"/>
    <w:rsid w:val="008B792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Heading">
    <w:name w:val="Table Heading"/>
    <w:rsid w:val="008B7923"/>
    <w:rPr>
      <w:rFonts w:cs="PostGrotesk-Book"/>
      <w:b/>
      <w:bCs/>
      <w:color w:val="55565A"/>
      <w:sz w:val="22"/>
      <w:szCs w:val="22"/>
      <w:lang w:val="en-GB" w:eastAsia="en-US"/>
    </w:rPr>
  </w:style>
  <w:style w:type="paragraph" w:customStyle="1" w:styleId="TableBody">
    <w:name w:val="Table Body"/>
    <w:rsid w:val="008B7923"/>
    <w:rPr>
      <w:bCs/>
      <w:color w:val="55565A"/>
      <w:sz w:val="22"/>
      <w:szCs w:val="22"/>
      <w:lang w:val="en-GB" w:eastAsia="en-US"/>
    </w:rPr>
  </w:style>
  <w:style w:type="paragraph" w:customStyle="1" w:styleId="FurtherInfo">
    <w:name w:val="Further Info"/>
    <w:rsid w:val="00372C3E"/>
    <w:pPr>
      <w:pBdr>
        <w:top w:val="single" w:sz="4" w:space="6" w:color="430098"/>
      </w:pBdr>
      <w:spacing w:before="480" w:after="200"/>
    </w:pPr>
    <w:rPr>
      <w:rFonts w:cs="PostGrotesk-Medium"/>
      <w:color w:val="430098"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856EDC"/>
    <w:pPr>
      <w:spacing w:before="100" w:beforeAutospacing="1" w:after="100" w:afterAutospacing="1"/>
    </w:pPr>
    <w:rPr>
      <w:lang w:eastAsia="en-US"/>
    </w:rPr>
  </w:style>
  <w:style w:type="paragraph" w:styleId="Quote">
    <w:name w:val="Quote"/>
    <w:aliases w:val="Body - Italics"/>
    <w:basedOn w:val="Normal"/>
    <w:next w:val="Normal"/>
    <w:link w:val="QuoteChar"/>
    <w:uiPriority w:val="73"/>
    <w:rsid w:val="00E86019"/>
    <w:pPr>
      <w:spacing w:before="120" w:after="120" w:line="264" w:lineRule="auto"/>
    </w:pPr>
    <w:rPr>
      <w:rFonts w:ascii="Calibri" w:eastAsia="Calibri" w:hAnsi="Calibri"/>
      <w:i/>
      <w:iCs/>
      <w:color w:val="55565A"/>
      <w:sz w:val="22"/>
      <w:lang w:val="en-GB" w:eastAsia="en-US"/>
    </w:rPr>
  </w:style>
  <w:style w:type="character" w:customStyle="1" w:styleId="QuoteChar">
    <w:name w:val="Quote Char"/>
    <w:aliases w:val="Body - Italics Char"/>
    <w:basedOn w:val="DefaultParagraphFont"/>
    <w:link w:val="Quote"/>
    <w:uiPriority w:val="73"/>
    <w:rsid w:val="00E86019"/>
    <w:rPr>
      <w:i/>
      <w:iCs/>
      <w:color w:val="55565A"/>
      <w:sz w:val="22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06248"/>
  </w:style>
  <w:style w:type="character" w:styleId="CommentReference">
    <w:name w:val="annotation reference"/>
    <w:basedOn w:val="DefaultParagraphFont"/>
    <w:uiPriority w:val="99"/>
    <w:semiHidden/>
    <w:unhideWhenUsed/>
    <w:rsid w:val="0078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837"/>
    <w:rPr>
      <w:rFonts w:ascii="Calibri" w:eastAsia="Calibri" w:hAnsi="Calibr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837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837"/>
    <w:rPr>
      <w:rFonts w:ascii="Calibri" w:eastAsia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837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68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37"/>
    <w:rPr>
      <w:rFonts w:ascii="Times New Roman" w:hAnsi="Times New Roman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16"/>
    <w:rPr>
      <w:b/>
      <w:bCs/>
      <w:lang w:val="en-GB" w:eastAsia="en-US"/>
    </w:rPr>
  </w:style>
  <w:style w:type="paragraph" w:styleId="Revision">
    <w:name w:val="Revision"/>
    <w:hidden/>
    <w:uiPriority w:val="71"/>
    <w:semiHidden/>
    <w:rsid w:val="000E4EA8"/>
    <w:rPr>
      <w:sz w:val="24"/>
      <w:szCs w:val="24"/>
      <w:lang w:val="en-GB" w:eastAsia="en-US"/>
    </w:rPr>
  </w:style>
  <w:style w:type="character" w:styleId="Hyperlink">
    <w:name w:val="Hyperlink"/>
    <w:basedOn w:val="FollowedHyperlink"/>
    <w:uiPriority w:val="99"/>
    <w:unhideWhenUsed/>
    <w:rsid w:val="000063A5"/>
    <w:rPr>
      <w:rFonts w:asciiTheme="minorHAnsi" w:hAnsiTheme="minorHAnsi"/>
      <w:color w:val="430098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8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63A5"/>
    <w:rPr>
      <w:rFonts w:asciiTheme="minorHAnsi" w:hAnsiTheme="minorHAnsi"/>
      <w:color w:val="430098"/>
      <w:sz w:val="22"/>
      <w:u w:val="single"/>
    </w:rPr>
  </w:style>
  <w:style w:type="paragraph" w:styleId="ListParagraph">
    <w:name w:val="List Paragraph"/>
    <w:basedOn w:val="Normal"/>
    <w:uiPriority w:val="34"/>
    <w:qFormat/>
    <w:rsid w:val="00891098"/>
    <w:pPr>
      <w:ind w:left="720"/>
      <w:contextualSpacing/>
    </w:pPr>
    <w:rPr>
      <w:rFonts w:ascii="Calibri" w:eastAsia="Calibri" w:hAnsi="Calibri"/>
      <w:lang w:val="en-GB" w:eastAsia="en-US"/>
    </w:rPr>
  </w:style>
  <w:style w:type="character" w:customStyle="1" w:styleId="apple-converted-space">
    <w:name w:val="apple-converted-space"/>
    <w:basedOn w:val="DefaultParagraphFont"/>
    <w:rsid w:val="00981215"/>
  </w:style>
  <w:style w:type="paragraph" w:styleId="Caption">
    <w:name w:val="caption"/>
    <w:basedOn w:val="Normal"/>
    <w:next w:val="Normal"/>
    <w:uiPriority w:val="35"/>
    <w:unhideWhenUsed/>
    <w:qFormat/>
    <w:rsid w:val="008F004D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3F3190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B41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vic.vic.gov.au/resource/the-gdpr-eu-general-data-protection-regulation/" TargetMode="External"/><Relationship Id="rId18" Type="http://schemas.openxmlformats.org/officeDocument/2006/relationships/hyperlink" Target="https://ovic.vic.gov.au/privacy/privacy-policies/" TargetMode="External"/><Relationship Id="rId26" Type="http://schemas.openxmlformats.org/officeDocument/2006/relationships/hyperlink" Target="https://ovic.vic.gov.au/book/ipp-2-use-and-disclosure/" TargetMode="External"/><Relationship Id="rId39" Type="http://schemas.openxmlformats.org/officeDocument/2006/relationships/hyperlink" Target="https://ovic.vic.gov.au/privacy/privacy-policies/" TargetMode="External"/><Relationship Id="rId21" Type="http://schemas.openxmlformats.org/officeDocument/2006/relationships/hyperlink" Target="https://ovic.vic.gov.au/data-protection/framework-vpdsf/" TargetMode="External"/><Relationship Id="rId34" Type="http://schemas.openxmlformats.org/officeDocument/2006/relationships/hyperlink" Target="https://ovic.vic.gov.au/data-protection/agency-reporting-obligations/incident-notification/" TargetMode="External"/><Relationship Id="rId42" Type="http://schemas.openxmlformats.org/officeDocument/2006/relationships/hyperlink" Target="https://ovic.vic.gov.au/privacy/engaging-contracted-service-providers/" TargetMode="External"/><Relationship Id="rId47" Type="http://schemas.openxmlformats.org/officeDocument/2006/relationships/hyperlink" Target="https://ovic.vic.gov.au/privacy/managing-the-privacy-impacts-of-a-data-breach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9" Type="http://schemas.openxmlformats.org/officeDocument/2006/relationships/hyperlink" Target="https://ovic.vic.gov.au/resource/practitioner-guide-identifying-and-managing-information-assets-v2-0/" TargetMode="External"/><Relationship Id="rId11" Type="http://schemas.openxmlformats.org/officeDocument/2006/relationships/hyperlink" Target="https://www.oaic.gov.au/privacy/australian-privacy-principles-guidelines/" TargetMode="External"/><Relationship Id="rId24" Type="http://schemas.openxmlformats.org/officeDocument/2006/relationships/hyperlink" Target="https://ovic.vic.gov.au/privacy/information-sharing-and-privacy/" TargetMode="External"/><Relationship Id="rId32" Type="http://schemas.openxmlformats.org/officeDocument/2006/relationships/hyperlink" Target="https://ovic.vic.gov.au/training-and-events/online-learning/" TargetMode="External"/><Relationship Id="rId37" Type="http://schemas.openxmlformats.org/officeDocument/2006/relationships/hyperlink" Target="https://ovic.vic.gov.au/privacy/privacy-by-design/" TargetMode="External"/><Relationship Id="rId40" Type="http://schemas.openxmlformats.org/officeDocument/2006/relationships/hyperlink" Target="https://ovic.vic.gov.au/privacy/collection-notices/" TargetMode="External"/><Relationship Id="rId45" Type="http://schemas.openxmlformats.org/officeDocument/2006/relationships/hyperlink" Target="https://ovic.vic.gov.au/data-protection/framework-vpdsf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cc.vic.gov.au/providers/health-records" TargetMode="External"/><Relationship Id="rId19" Type="http://schemas.openxmlformats.org/officeDocument/2006/relationships/hyperlink" Target="https://ovic.vic.gov.au/privacy/collection-notices/" TargetMode="External"/><Relationship Id="rId31" Type="http://schemas.openxmlformats.org/officeDocument/2006/relationships/hyperlink" Target="https://ovic.vic.gov.au/training-and-events/" TargetMode="External"/><Relationship Id="rId44" Type="http://schemas.openxmlformats.org/officeDocument/2006/relationships/hyperlink" Target="https://ovic.vic.gov.au/training-and-events/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ovic.vic.gov.au/privacy/guidelines-to-the-information-privacy-principles/" TargetMode="External"/><Relationship Id="rId14" Type="http://schemas.openxmlformats.org/officeDocument/2006/relationships/hyperlink" Target="https://ovic.vic.gov.au/privacy/privacy-by-design/" TargetMode="External"/><Relationship Id="rId22" Type="http://schemas.openxmlformats.org/officeDocument/2006/relationships/hyperlink" Target="https://ovic.vic.gov.au/privacy/privacy-impact-assessment/" TargetMode="External"/><Relationship Id="rId27" Type="http://schemas.openxmlformats.org/officeDocument/2006/relationships/hyperlink" Target="https://ovic.vic.gov.au/privacy/engaging-contracted-service-providers/" TargetMode="External"/><Relationship Id="rId30" Type="http://schemas.openxmlformats.org/officeDocument/2006/relationships/hyperlink" Target="https://ovic.vic.gov.au/book/ipp-4-data-security/" TargetMode="External"/><Relationship Id="rId35" Type="http://schemas.openxmlformats.org/officeDocument/2006/relationships/hyperlink" Target="https://www.oaic.gov.au/privacy/notifiable-data-breaches/about-the-notifiable-data-breaches-scheme/" TargetMode="External"/><Relationship Id="rId43" Type="http://schemas.openxmlformats.org/officeDocument/2006/relationships/hyperlink" Target="https://ovic.vic.gov.au/resource/practitioner-guide-identifying-and-managing-information-assets-v2-0/" TargetMode="External"/><Relationship Id="rId48" Type="http://schemas.openxmlformats.org/officeDocument/2006/relationships/hyperlink" Target="https://ovic.vic.gov.au/data-protection/agency-reporting-obligations/incident-notification/" TargetMode="External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humanrightscommission.vic.gov.au/home/our-resources-and-publications/know-your-rights-brochures/item/117-charter-fact-sheets-jul-2012" TargetMode="External"/><Relationship Id="rId17" Type="http://schemas.openxmlformats.org/officeDocument/2006/relationships/hyperlink" Target="https://ovic.vic.gov.au/wp-content/uploads/2021/04/IPP-5-Policy-Self-Assessment-Tool.docx" TargetMode="External"/><Relationship Id="rId25" Type="http://schemas.openxmlformats.org/officeDocument/2006/relationships/hyperlink" Target="https://ovic.vic.gov.au/privacy/transborder-data-flows-of-personal-information-model-contract-terms/" TargetMode="External"/><Relationship Id="rId33" Type="http://schemas.openxmlformats.org/officeDocument/2006/relationships/hyperlink" Target="https://ovic.vic.gov.au/training-and-events/online-learning/" TargetMode="External"/><Relationship Id="rId38" Type="http://schemas.openxmlformats.org/officeDocument/2006/relationships/hyperlink" Target="https://ovic.vic.gov.au/" TargetMode="External"/><Relationship Id="rId46" Type="http://schemas.openxmlformats.org/officeDocument/2006/relationships/hyperlink" Target="https://ovic.vic.gov.au/privacy/privacy-impact-assessment/" TargetMode="External"/><Relationship Id="rId20" Type="http://schemas.openxmlformats.org/officeDocument/2006/relationships/hyperlink" Target="https://ovic.vic.gov.au/book/ipp-4-data-security/" TargetMode="External"/><Relationship Id="rId41" Type="http://schemas.openxmlformats.org/officeDocument/2006/relationships/hyperlink" Target="https://ovic.vic.gov.au/privacy/information-sharing-and-privacy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ovic.vic.gov.au/regulatory-action-policy/" TargetMode="External"/><Relationship Id="rId23" Type="http://schemas.openxmlformats.org/officeDocument/2006/relationships/hyperlink" Target="https://ovic.vic.gov.au/privacy/executive-buy-in-for-privacy-impact-assessments/" TargetMode="External"/><Relationship Id="rId28" Type="http://schemas.openxmlformats.org/officeDocument/2006/relationships/hyperlink" Target="https://ovic.vic.gov.au/book/ipp-3-data-quality/" TargetMode="External"/><Relationship Id="rId36" Type="http://schemas.openxmlformats.org/officeDocument/2006/relationships/hyperlink" Target="https://ovic.vic.gov.au/privacy/managing-the-privacy-impacts-of-a-data-breach/" TargetMode="External"/><Relationship Id="rId49" Type="http://schemas.openxmlformats.org/officeDocument/2006/relationships/hyperlink" Target="https://ovic.vic.gov.au/wp-content/uploads/2021/04/IPP-5-Policy-Self-Assessment-Tool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bertram/Desktop/FOI%20Practice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98DC-5A85-F748-A6A6-D1B69F5B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Practice Note Template.dotx</Template>
  <TotalTime>30</TotalTime>
  <Pages>11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2019-07-23T01:36:00Z</cp:lastPrinted>
  <dcterms:created xsi:type="dcterms:W3CDTF">2020-05-03T22:40:00Z</dcterms:created>
  <dcterms:modified xsi:type="dcterms:W3CDTF">2021-04-23T04:55:00Z</dcterms:modified>
</cp:coreProperties>
</file>