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0438" w14:textId="0EF77CDE" w:rsidR="00BB231A" w:rsidRDefault="00BB231A" w:rsidP="00BB231A">
      <w:pPr>
        <w:rPr>
          <w:rFonts w:eastAsiaTheme="minorHAnsi"/>
          <w:lang w:val="en-NZ"/>
        </w:rPr>
      </w:pPr>
    </w:p>
    <w:p w14:paraId="0826F684" w14:textId="77D1F961" w:rsidR="006B4A8F" w:rsidRDefault="006B4A8F" w:rsidP="006B4A8F">
      <w:pPr>
        <w:jc w:val="center"/>
        <w:rPr>
          <w:rFonts w:eastAsiaTheme="minorHAnsi"/>
          <w:lang w:val="en-NZ"/>
        </w:rPr>
      </w:pPr>
      <w:r>
        <w:rPr>
          <w:noProof/>
        </w:rPr>
        <w:drawing>
          <wp:inline distT="0" distB="0" distL="0" distR="0" wp14:anchorId="351514CC" wp14:editId="57B8E723">
            <wp:extent cx="5247866" cy="3499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035" cy="3501598"/>
                    </a:xfrm>
                    <a:prstGeom prst="rect">
                      <a:avLst/>
                    </a:prstGeom>
                    <a:noFill/>
                    <a:ln>
                      <a:noFill/>
                    </a:ln>
                  </pic:spPr>
                </pic:pic>
              </a:graphicData>
            </a:graphic>
          </wp:inline>
        </w:drawing>
      </w:r>
    </w:p>
    <w:p w14:paraId="03718CE9" w14:textId="77777777" w:rsidR="006B4A8F" w:rsidRPr="00BB231A" w:rsidRDefault="006B4A8F" w:rsidP="00BB231A">
      <w:pPr>
        <w:rPr>
          <w:rFonts w:eastAsiaTheme="minorHAnsi"/>
          <w:lang w:val="en-NZ"/>
        </w:rPr>
      </w:pPr>
    </w:p>
    <w:p w14:paraId="4191AC13" w14:textId="5FB2CFD1" w:rsidR="001E7AC4" w:rsidRPr="001F3DC9" w:rsidRDefault="00111D80" w:rsidP="008905B5">
      <w:pPr>
        <w:pStyle w:val="Intro"/>
      </w:pPr>
      <w:r>
        <w:rPr>
          <w:sz w:val="24"/>
        </w:rPr>
        <w:t xml:space="preserve">No one likes debt, especially “technology debt”. You know, those systems you just </w:t>
      </w:r>
      <w:proofErr w:type="gramStart"/>
      <w:r>
        <w:rPr>
          <w:sz w:val="24"/>
        </w:rPr>
        <w:t>can’t</w:t>
      </w:r>
      <w:proofErr w:type="gramEnd"/>
      <w:r>
        <w:rPr>
          <w:sz w:val="24"/>
        </w:rPr>
        <w:t xml:space="preserve"> seem to get rid of in your environment despite how out of support, expensive to maintain and people dependent they are? But we all know that leaving them around is just a ticking time bomb and managing them out of the environment proactively – regardless of how challenging – is still a better position to be in than trying to do so under the duress of an incident, such as the one the Department of Innovation comes to experience…</w:t>
      </w:r>
    </w:p>
    <w:p w14:paraId="3BBCEDA5" w14:textId="1C94BEEE" w:rsidR="008905B5" w:rsidRDefault="008905B5" w:rsidP="008905B5">
      <w:pPr>
        <w:pStyle w:val="SectionHeading"/>
      </w:pPr>
      <w:r>
        <w:t>Synopsis</w:t>
      </w:r>
    </w:p>
    <w:p w14:paraId="18F8B8F0" w14:textId="77777777" w:rsidR="0013372B" w:rsidRDefault="002F3F4B" w:rsidP="00E231FA">
      <w:pPr>
        <w:pStyle w:val="BodyCopy"/>
        <w:rPr>
          <w:lang w:eastAsia="en-GB"/>
        </w:rPr>
      </w:pPr>
      <w:r>
        <w:rPr>
          <w:lang w:eastAsia="en-GB"/>
        </w:rPr>
        <w:t>The Department of Innovation</w:t>
      </w:r>
      <w:r w:rsidRPr="00C96E5B">
        <w:rPr>
          <w:lang w:eastAsia="en-GB"/>
        </w:rPr>
        <w:t xml:space="preserve"> </w:t>
      </w:r>
      <w:r w:rsidR="00DD228A">
        <w:rPr>
          <w:lang w:eastAsia="en-GB"/>
        </w:rPr>
        <w:t>was</w:t>
      </w:r>
      <w:r w:rsidRPr="00C96E5B">
        <w:rPr>
          <w:lang w:eastAsia="en-GB"/>
        </w:rPr>
        <w:t xml:space="preserve"> using a legacy system to extract data and produce report</w:t>
      </w:r>
      <w:r w:rsidR="00DD228A">
        <w:rPr>
          <w:lang w:eastAsia="en-GB"/>
        </w:rPr>
        <w:t>s that provided mission critical information about the innovation projects the department was managing</w:t>
      </w:r>
      <w:r w:rsidRPr="00C96E5B">
        <w:rPr>
          <w:lang w:eastAsia="en-GB"/>
        </w:rPr>
        <w:t>. Workers ha</w:t>
      </w:r>
      <w:r w:rsidR="00DD228A">
        <w:rPr>
          <w:lang w:eastAsia="en-GB"/>
        </w:rPr>
        <w:t>d</w:t>
      </w:r>
      <w:r w:rsidRPr="00C96E5B">
        <w:rPr>
          <w:lang w:eastAsia="en-GB"/>
        </w:rPr>
        <w:t xml:space="preserve"> </w:t>
      </w:r>
      <w:r w:rsidR="00DD228A">
        <w:rPr>
          <w:lang w:eastAsia="en-GB"/>
        </w:rPr>
        <w:t xml:space="preserve">been </w:t>
      </w:r>
      <w:r w:rsidRPr="00C96E5B">
        <w:rPr>
          <w:lang w:eastAsia="en-GB"/>
        </w:rPr>
        <w:t>complain</w:t>
      </w:r>
      <w:r w:rsidR="00DD228A">
        <w:rPr>
          <w:lang w:eastAsia="en-GB"/>
        </w:rPr>
        <w:t>ing</w:t>
      </w:r>
      <w:r w:rsidRPr="00C96E5B">
        <w:rPr>
          <w:lang w:eastAsia="en-GB"/>
        </w:rPr>
        <w:t xml:space="preserve"> about </w:t>
      </w:r>
      <w:proofErr w:type="gramStart"/>
      <w:r w:rsidRPr="00C96E5B">
        <w:rPr>
          <w:lang w:eastAsia="en-GB"/>
        </w:rPr>
        <w:t>a number of</w:t>
      </w:r>
      <w:proofErr w:type="gramEnd"/>
      <w:r w:rsidRPr="00C96E5B">
        <w:rPr>
          <w:lang w:eastAsia="en-GB"/>
        </w:rPr>
        <w:t xml:space="preserve"> faults with the legacy reporting system</w:t>
      </w:r>
      <w:r w:rsidR="00DD228A">
        <w:rPr>
          <w:lang w:eastAsia="en-GB"/>
        </w:rPr>
        <w:t>.</w:t>
      </w:r>
      <w:r w:rsidRPr="00C96E5B">
        <w:rPr>
          <w:lang w:eastAsia="en-GB"/>
        </w:rPr>
        <w:t xml:space="preserve"> IT claim</w:t>
      </w:r>
      <w:r w:rsidR="00DD228A">
        <w:rPr>
          <w:lang w:eastAsia="en-GB"/>
        </w:rPr>
        <w:t>ed</w:t>
      </w:r>
      <w:r w:rsidRPr="00C96E5B">
        <w:rPr>
          <w:lang w:eastAsia="en-GB"/>
        </w:rPr>
        <w:t xml:space="preserve"> that vendor support </w:t>
      </w:r>
      <w:r w:rsidR="00DD228A">
        <w:rPr>
          <w:lang w:eastAsia="en-GB"/>
        </w:rPr>
        <w:t>was</w:t>
      </w:r>
      <w:r w:rsidRPr="00C96E5B">
        <w:rPr>
          <w:lang w:eastAsia="en-GB"/>
        </w:rPr>
        <w:t xml:space="preserve"> no longer available for the system, and patches </w:t>
      </w:r>
      <w:r w:rsidR="00DD228A">
        <w:rPr>
          <w:lang w:eastAsia="en-GB"/>
        </w:rPr>
        <w:t>were</w:t>
      </w:r>
      <w:r w:rsidRPr="00C96E5B">
        <w:rPr>
          <w:lang w:eastAsia="en-GB"/>
        </w:rPr>
        <w:t xml:space="preserve"> infrequent and costly. </w:t>
      </w:r>
      <w:r w:rsidR="003B613E">
        <w:rPr>
          <w:lang w:eastAsia="en-GB"/>
        </w:rPr>
        <w:t xml:space="preserve">The system </w:t>
      </w:r>
      <w:r w:rsidR="00397AFF">
        <w:rPr>
          <w:lang w:eastAsia="en-GB"/>
        </w:rPr>
        <w:t>is a key dependency to the critical business activity of reporting, despite being known as out of date by the user base</w:t>
      </w:r>
      <w:r w:rsidRPr="00C96E5B">
        <w:rPr>
          <w:lang w:eastAsia="en-GB"/>
        </w:rPr>
        <w:t>. No integration between the source data systems and the reporting capability currently exist</w:t>
      </w:r>
      <w:r w:rsidR="00DD228A">
        <w:rPr>
          <w:lang w:eastAsia="en-GB"/>
        </w:rPr>
        <w:t>ed</w:t>
      </w:r>
      <w:r w:rsidRPr="00C96E5B">
        <w:rPr>
          <w:lang w:eastAsia="en-GB"/>
        </w:rPr>
        <w:t xml:space="preserve">. </w:t>
      </w:r>
    </w:p>
    <w:p w14:paraId="1CE68CD6" w14:textId="30C537C1" w:rsidR="002F3F4B" w:rsidRPr="00C96E5B" w:rsidRDefault="002F3F4B" w:rsidP="00E231FA">
      <w:pPr>
        <w:pStyle w:val="BodyCopy"/>
        <w:rPr>
          <w:lang w:eastAsia="en-GB"/>
        </w:rPr>
      </w:pPr>
      <w:r w:rsidRPr="00C96E5B">
        <w:rPr>
          <w:lang w:eastAsia="en-GB"/>
        </w:rPr>
        <w:t>Furthermore, there</w:t>
      </w:r>
      <w:r w:rsidR="00DD228A">
        <w:rPr>
          <w:lang w:eastAsia="en-GB"/>
        </w:rPr>
        <w:t xml:space="preserve"> was</w:t>
      </w:r>
      <w:r w:rsidRPr="00C96E5B">
        <w:rPr>
          <w:lang w:eastAsia="en-GB"/>
        </w:rPr>
        <w:t xml:space="preserve"> only </w:t>
      </w:r>
      <w:r w:rsidR="001F6F35">
        <w:rPr>
          <w:lang w:eastAsia="en-GB"/>
        </w:rPr>
        <w:t>one</w:t>
      </w:r>
      <w:r w:rsidRPr="00C96E5B">
        <w:rPr>
          <w:lang w:eastAsia="en-GB"/>
        </w:rPr>
        <w:t xml:space="preserve"> person in the organisation who kn</w:t>
      </w:r>
      <w:r w:rsidR="00DD228A">
        <w:rPr>
          <w:lang w:eastAsia="en-GB"/>
        </w:rPr>
        <w:t>ew</w:t>
      </w:r>
      <w:r w:rsidRPr="00C96E5B">
        <w:rPr>
          <w:lang w:eastAsia="en-GB"/>
        </w:rPr>
        <w:t xml:space="preserve"> how to manage th</w:t>
      </w:r>
      <w:r w:rsidR="00DD228A">
        <w:rPr>
          <w:lang w:eastAsia="en-GB"/>
        </w:rPr>
        <w:t>e</w:t>
      </w:r>
      <w:r w:rsidRPr="00C96E5B">
        <w:rPr>
          <w:lang w:eastAsia="en-GB"/>
        </w:rPr>
        <w:t xml:space="preserve"> system. The legacy system </w:t>
      </w:r>
      <w:r w:rsidR="00DD228A">
        <w:rPr>
          <w:lang w:eastAsia="en-GB"/>
        </w:rPr>
        <w:t>was</w:t>
      </w:r>
      <w:r w:rsidRPr="00C96E5B">
        <w:rPr>
          <w:lang w:eastAsia="en-GB"/>
        </w:rPr>
        <w:t xml:space="preserve"> difficult to backup a</w:t>
      </w:r>
      <w:r w:rsidR="00DD228A">
        <w:rPr>
          <w:lang w:eastAsia="en-GB"/>
        </w:rPr>
        <w:t>nd recover. Ransomware hit</w:t>
      </w:r>
      <w:r w:rsidRPr="00C96E5B">
        <w:rPr>
          <w:lang w:eastAsia="en-GB"/>
        </w:rPr>
        <w:t xml:space="preserve"> the department and the data residing on the legacy system </w:t>
      </w:r>
      <w:r w:rsidR="00DD228A">
        <w:rPr>
          <w:lang w:eastAsia="en-GB"/>
        </w:rPr>
        <w:t>was</w:t>
      </w:r>
      <w:r w:rsidRPr="00C96E5B">
        <w:rPr>
          <w:lang w:eastAsia="en-GB"/>
        </w:rPr>
        <w:t xml:space="preserve"> no longer accessible. With no redundancy options, no way to recover and the only person who underst</w:t>
      </w:r>
      <w:r w:rsidR="00DD228A">
        <w:rPr>
          <w:lang w:eastAsia="en-GB"/>
        </w:rPr>
        <w:t>ood</w:t>
      </w:r>
      <w:r w:rsidRPr="00C96E5B">
        <w:rPr>
          <w:lang w:eastAsia="en-GB"/>
        </w:rPr>
        <w:t xml:space="preserve"> the environment </w:t>
      </w:r>
      <w:r w:rsidR="00DD228A">
        <w:rPr>
          <w:lang w:eastAsia="en-GB"/>
        </w:rPr>
        <w:t>away</w:t>
      </w:r>
      <w:r w:rsidRPr="00C96E5B">
        <w:rPr>
          <w:lang w:eastAsia="en-GB"/>
        </w:rPr>
        <w:t>, the department found itself in a bind. </w:t>
      </w:r>
    </w:p>
    <w:p w14:paraId="3C2413DD" w14:textId="742D6ECC" w:rsidR="00F22070" w:rsidRDefault="00A91E0E" w:rsidP="00F22070">
      <w:pPr>
        <w:pStyle w:val="SectionHeading"/>
      </w:pPr>
      <w:r>
        <w:lastRenderedPageBreak/>
        <w:t>Background</w:t>
      </w:r>
    </w:p>
    <w:p w14:paraId="08170560" w14:textId="34F92CDC" w:rsidR="00DB61C0" w:rsidRDefault="002F3F4B" w:rsidP="0076235C">
      <w:pPr>
        <w:pStyle w:val="BodyCopy"/>
      </w:pPr>
      <w:r>
        <w:rPr>
          <w:lang w:eastAsia="en-GB"/>
        </w:rPr>
        <w:t>“In summary, it’s pretty obvious that we need to migrate off our legacy system, there are a number of reasons why</w:t>
      </w:r>
      <w:r w:rsidR="00C9653F">
        <w:rPr>
          <w:lang w:eastAsia="en-GB"/>
        </w:rPr>
        <w:t xml:space="preserve"> –</w:t>
      </w:r>
      <w:r>
        <w:rPr>
          <w:lang w:eastAsia="en-GB"/>
        </w:rPr>
        <w:t xml:space="preserve"> </w:t>
      </w:r>
      <w:r w:rsidR="00FD395A">
        <w:rPr>
          <w:lang w:eastAsia="en-GB"/>
        </w:rPr>
        <w:t xml:space="preserve">patching is infrequent as the </w:t>
      </w:r>
      <w:r>
        <w:rPr>
          <w:lang w:eastAsia="en-GB"/>
        </w:rPr>
        <w:t xml:space="preserve">system </w:t>
      </w:r>
      <w:r w:rsidR="008A7D62">
        <w:rPr>
          <w:lang w:eastAsia="en-GB"/>
        </w:rPr>
        <w:t>is</w:t>
      </w:r>
      <w:r>
        <w:rPr>
          <w:lang w:eastAsia="en-GB"/>
        </w:rPr>
        <w:t xml:space="preserve"> ‘out of support’ with the vendor</w:t>
      </w:r>
      <w:r w:rsidR="001F6F35">
        <w:rPr>
          <w:lang w:eastAsia="en-GB"/>
        </w:rPr>
        <w:t>;</w:t>
      </w:r>
      <w:r w:rsidR="00FD395A">
        <w:rPr>
          <w:lang w:eastAsia="en-GB"/>
        </w:rPr>
        <w:t xml:space="preserve"> </w:t>
      </w:r>
      <w:r>
        <w:rPr>
          <w:lang w:eastAsia="en-GB"/>
        </w:rPr>
        <w:t>there’s too much dependency on one person to manage the system</w:t>
      </w:r>
      <w:r w:rsidR="001F6F35">
        <w:rPr>
          <w:lang w:eastAsia="en-GB"/>
        </w:rPr>
        <w:t>;</w:t>
      </w:r>
      <w:r>
        <w:rPr>
          <w:lang w:eastAsia="en-GB"/>
        </w:rPr>
        <w:t xml:space="preserve"> and there are many functional limitations. I suggest we adopt one of the newer aforementioned systems as a solution.” Theo </w:t>
      </w:r>
      <w:r w:rsidR="00C9653F">
        <w:rPr>
          <w:lang w:eastAsia="en-GB"/>
        </w:rPr>
        <w:t xml:space="preserve">said </w:t>
      </w:r>
      <w:r>
        <w:rPr>
          <w:lang w:eastAsia="en-GB"/>
        </w:rPr>
        <w:t xml:space="preserve">as he wrapped up his presentation to a round of applause from management. He was hoping this time he put forward a more compelling case as management were unperturbed when they dismissed his last case. This time </w:t>
      </w:r>
      <w:proofErr w:type="gramStart"/>
      <w:r>
        <w:rPr>
          <w:lang w:eastAsia="en-GB"/>
        </w:rPr>
        <w:t>he’d</w:t>
      </w:r>
      <w:proofErr w:type="gramEnd"/>
      <w:r>
        <w:rPr>
          <w:lang w:eastAsia="en-GB"/>
        </w:rPr>
        <w:t xml:space="preserve"> established consensus on the key issues and risks with the system owners and users. “Theo</w:t>
      </w:r>
      <w:r w:rsidR="00C9653F">
        <w:rPr>
          <w:lang w:eastAsia="en-GB"/>
        </w:rPr>
        <w:t xml:space="preserve"> </w:t>
      </w:r>
      <w:r>
        <w:rPr>
          <w:lang w:eastAsia="en-GB"/>
        </w:rPr>
        <w:t>– we understand your rationale behind this business case and those are all valid points</w:t>
      </w:r>
      <w:r w:rsidR="00C9653F">
        <w:rPr>
          <w:lang w:eastAsia="en-GB"/>
        </w:rPr>
        <w:t xml:space="preserve"> </w:t>
      </w:r>
      <w:r>
        <w:rPr>
          <w:lang w:eastAsia="en-GB"/>
        </w:rPr>
        <w:t>… but</w:t>
      </w:r>
      <w:r w:rsidR="00785055">
        <w:rPr>
          <w:lang w:eastAsia="en-GB"/>
        </w:rPr>
        <w:t xml:space="preserve"> we simply feel that the </w:t>
      </w:r>
      <w:r w:rsidR="00316921">
        <w:rPr>
          <w:lang w:eastAsia="en-GB"/>
        </w:rPr>
        <w:t xml:space="preserve">operational </w:t>
      </w:r>
      <w:r w:rsidR="00785055">
        <w:rPr>
          <w:lang w:eastAsia="en-GB"/>
        </w:rPr>
        <w:t>risk of</w:t>
      </w:r>
      <w:r>
        <w:rPr>
          <w:lang w:eastAsia="en-GB"/>
        </w:rPr>
        <w:t xml:space="preserve"> migrating from the existing system is too high</w:t>
      </w:r>
      <w:r w:rsidR="008426AF">
        <w:rPr>
          <w:lang w:eastAsia="en-GB"/>
        </w:rPr>
        <w:t xml:space="preserve"> and we can’t afford an outage or lengthy migration process. N</w:t>
      </w:r>
      <w:r>
        <w:rPr>
          <w:lang w:eastAsia="en-GB"/>
        </w:rPr>
        <w:t>ot to mention</w:t>
      </w:r>
      <w:r w:rsidR="008426AF">
        <w:rPr>
          <w:lang w:eastAsia="en-GB"/>
        </w:rPr>
        <w:t xml:space="preserve"> </w:t>
      </w:r>
      <w:proofErr w:type="gramStart"/>
      <w:r w:rsidR="008426AF">
        <w:rPr>
          <w:lang w:eastAsia="en-GB"/>
        </w:rPr>
        <w:t>it’s</w:t>
      </w:r>
      <w:proofErr w:type="gramEnd"/>
      <w:r>
        <w:rPr>
          <w:lang w:eastAsia="en-GB"/>
        </w:rPr>
        <w:t xml:space="preserve"> costly for the business</w:t>
      </w:r>
      <w:r w:rsidR="00C9653F">
        <w:rPr>
          <w:lang w:eastAsia="en-GB"/>
        </w:rPr>
        <w:t>”</w:t>
      </w:r>
      <w:r w:rsidR="008121E9">
        <w:rPr>
          <w:lang w:eastAsia="en-GB"/>
        </w:rPr>
        <w:t xml:space="preserve"> </w:t>
      </w:r>
      <w:r w:rsidR="0013372B">
        <w:rPr>
          <w:noProof/>
        </w:rPr>
        <w:drawing>
          <wp:inline distT="0" distB="0" distL="0" distR="0" wp14:anchorId="6D2B2FA2" wp14:editId="2CCF5E40">
            <wp:extent cx="120316" cy="1533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1" w:history="1">
        <w:r w:rsidR="00111D80" w:rsidRPr="008121E9">
          <w:rPr>
            <w:rStyle w:val="Hyperlink"/>
            <w:b/>
            <w:vertAlign w:val="superscript"/>
            <w:lang w:eastAsia="en-GB"/>
          </w:rPr>
          <w:t>1</w:t>
        </w:r>
        <w:r w:rsidR="008121E9" w:rsidRPr="008121E9">
          <w:rPr>
            <w:rStyle w:val="Hyperlink"/>
            <w:lang w:eastAsia="en-GB"/>
          </w:rPr>
          <w:t>,</w:t>
        </w:r>
      </w:hyperlink>
      <w:r w:rsidR="008121E9">
        <w:rPr>
          <w:lang w:eastAsia="en-GB"/>
        </w:rPr>
        <w:t xml:space="preserve"> s</w:t>
      </w:r>
      <w:r w:rsidR="00C9653F">
        <w:rPr>
          <w:lang w:eastAsia="en-GB"/>
        </w:rPr>
        <w:t xml:space="preserve">aid Humphrey </w:t>
      </w:r>
      <w:proofErr w:type="spellStart"/>
      <w:r w:rsidR="00C9653F">
        <w:rPr>
          <w:lang w:eastAsia="en-GB"/>
        </w:rPr>
        <w:t>Boxhugger</w:t>
      </w:r>
      <w:proofErr w:type="spellEnd"/>
      <w:r w:rsidR="00C9653F">
        <w:rPr>
          <w:lang w:eastAsia="en-GB"/>
        </w:rPr>
        <w:t>– the IT infrastructure manager</w:t>
      </w:r>
      <w:r>
        <w:rPr>
          <w:lang w:eastAsia="en-GB"/>
        </w:rPr>
        <w:t xml:space="preserve">. </w:t>
      </w:r>
      <w:r w:rsidR="00C9653F">
        <w:rPr>
          <w:lang w:eastAsia="en-GB"/>
        </w:rPr>
        <w:t>“</w:t>
      </w:r>
      <w:r>
        <w:rPr>
          <w:lang w:eastAsia="en-GB"/>
        </w:rPr>
        <w:t xml:space="preserve">We need to keep our costs down and come in on budget. We </w:t>
      </w:r>
      <w:proofErr w:type="gramStart"/>
      <w:r>
        <w:rPr>
          <w:lang w:eastAsia="en-GB"/>
        </w:rPr>
        <w:t>don’t</w:t>
      </w:r>
      <w:proofErr w:type="gramEnd"/>
      <w:r>
        <w:rPr>
          <w:lang w:eastAsia="en-GB"/>
        </w:rPr>
        <w:t xml:space="preserve"> have adequate funding.</w:t>
      </w:r>
      <w:r w:rsidR="008426AF">
        <w:rPr>
          <w:lang w:eastAsia="en-GB"/>
        </w:rPr>
        <w:t xml:space="preserve"> Besides, if </w:t>
      </w:r>
      <w:proofErr w:type="gramStart"/>
      <w:r w:rsidR="008426AF">
        <w:rPr>
          <w:lang w:eastAsia="en-GB"/>
        </w:rPr>
        <w:t>it’s</w:t>
      </w:r>
      <w:proofErr w:type="gramEnd"/>
      <w:r w:rsidR="008426AF">
        <w:rPr>
          <w:lang w:eastAsia="en-GB"/>
        </w:rPr>
        <w:t xml:space="preserve"> still delivering the required business outcomes, is there really a need to invest right now?</w:t>
      </w:r>
      <w:r>
        <w:rPr>
          <w:lang w:eastAsia="en-GB"/>
        </w:rPr>
        <w:t>”</w:t>
      </w:r>
      <w:r w:rsidR="00C9653F">
        <w:rPr>
          <w:lang w:eastAsia="en-GB"/>
        </w:rPr>
        <w:t xml:space="preserve"> </w:t>
      </w:r>
      <w:r>
        <w:rPr>
          <w:lang w:eastAsia="en-GB"/>
        </w:rPr>
        <w:t>Conceding to management, Theo threw up his hands</w:t>
      </w:r>
      <w:r w:rsidR="00C9653F">
        <w:rPr>
          <w:lang w:eastAsia="en-GB"/>
        </w:rPr>
        <w:t>,</w:t>
      </w:r>
      <w:r>
        <w:rPr>
          <w:lang w:eastAsia="en-GB"/>
        </w:rPr>
        <w:t xml:space="preserve"> as </w:t>
      </w:r>
      <w:proofErr w:type="gramStart"/>
      <w:r>
        <w:rPr>
          <w:lang w:eastAsia="en-GB"/>
        </w:rPr>
        <w:t>he’d</w:t>
      </w:r>
      <w:proofErr w:type="gramEnd"/>
      <w:r>
        <w:rPr>
          <w:lang w:eastAsia="en-GB"/>
        </w:rPr>
        <w:t xml:space="preserve"> done all he could to highlight the need for an updated reporting system.</w:t>
      </w:r>
    </w:p>
    <w:p w14:paraId="4E3CEFEC" w14:textId="37F0B77E" w:rsidR="00241061" w:rsidRDefault="00B012A9" w:rsidP="006D0D58">
      <w:pPr>
        <w:pStyle w:val="SectionHeading"/>
        <w:keepNext/>
      </w:pPr>
      <w:r>
        <w:t>Just another day in IT…</w:t>
      </w:r>
    </w:p>
    <w:p w14:paraId="782851E7" w14:textId="33D23AB0" w:rsidR="002F3F4B" w:rsidRDefault="002F3F4B" w:rsidP="0076235C">
      <w:pPr>
        <w:pStyle w:val="BodyCopy"/>
      </w:pPr>
      <w:r>
        <w:rPr>
          <w:lang w:eastAsia="en-GB"/>
        </w:rPr>
        <w:t xml:space="preserve">By all accounts it seemed to be a normal Monday morning as Theo </w:t>
      </w:r>
      <w:proofErr w:type="spellStart"/>
      <w:r w:rsidR="00D111D9">
        <w:rPr>
          <w:bCs/>
          <w:lang w:eastAsia="en-GB"/>
        </w:rPr>
        <w:t>Kalipraxi</w:t>
      </w:r>
      <w:proofErr w:type="spellEnd"/>
      <w:r w:rsidR="00D111D9">
        <w:rPr>
          <w:bCs/>
          <w:lang w:eastAsia="en-GB"/>
        </w:rPr>
        <w:t>, systems administrator</w:t>
      </w:r>
      <w:r w:rsidR="007F6A3F">
        <w:rPr>
          <w:bCs/>
          <w:lang w:eastAsia="en-GB"/>
        </w:rPr>
        <w:t xml:space="preserve"> (reporting system)</w:t>
      </w:r>
      <w:r w:rsidR="00D111D9">
        <w:rPr>
          <w:bCs/>
          <w:lang w:eastAsia="en-GB"/>
        </w:rPr>
        <w:t xml:space="preserve">, </w:t>
      </w:r>
      <w:r>
        <w:rPr>
          <w:lang w:eastAsia="en-GB"/>
        </w:rPr>
        <w:t>strolled into the office with his coffee</w:t>
      </w:r>
      <w:r w:rsidR="00FD395A">
        <w:rPr>
          <w:lang w:eastAsia="en-GB"/>
        </w:rPr>
        <w:t>.</w:t>
      </w:r>
      <w:r>
        <w:rPr>
          <w:lang w:eastAsia="en-GB"/>
        </w:rPr>
        <w:t xml:space="preserve"> </w:t>
      </w:r>
      <w:r w:rsidR="00FD395A">
        <w:rPr>
          <w:lang w:eastAsia="en-GB"/>
        </w:rPr>
        <w:t>For</w:t>
      </w:r>
      <w:r>
        <w:rPr>
          <w:lang w:eastAsia="en-GB"/>
        </w:rPr>
        <w:t xml:space="preserve"> some unknown </w:t>
      </w:r>
      <w:proofErr w:type="gramStart"/>
      <w:r w:rsidR="00FD395A">
        <w:rPr>
          <w:lang w:eastAsia="en-GB"/>
        </w:rPr>
        <w:t>reason</w:t>
      </w:r>
      <w:proofErr w:type="gramEnd"/>
      <w:r>
        <w:rPr>
          <w:lang w:eastAsia="en-GB"/>
        </w:rPr>
        <w:t xml:space="preserve"> his stomach fe</w:t>
      </w:r>
      <w:r w:rsidR="00FD395A">
        <w:rPr>
          <w:lang w:eastAsia="en-GB"/>
        </w:rPr>
        <w:t>lt</w:t>
      </w:r>
      <w:r>
        <w:rPr>
          <w:lang w:eastAsia="en-GB"/>
        </w:rPr>
        <w:t xml:space="preserve"> strange. He soon understood why as he stepped off the lift onto IT’s floor. Sharon</w:t>
      </w:r>
      <w:r w:rsidR="00D111D9">
        <w:rPr>
          <w:lang w:eastAsia="en-GB"/>
        </w:rPr>
        <w:t xml:space="preserve"> Stitch</w:t>
      </w:r>
      <w:r>
        <w:rPr>
          <w:lang w:eastAsia="en-GB"/>
        </w:rPr>
        <w:t>, a system support officer, was there waiting for him</w:t>
      </w:r>
      <w:r w:rsidR="0013372B">
        <w:rPr>
          <w:lang w:eastAsia="en-GB"/>
        </w:rPr>
        <w:t>,</w:t>
      </w:r>
      <w:r>
        <w:rPr>
          <w:lang w:eastAsia="en-GB"/>
        </w:rPr>
        <w:t xml:space="preserve"> “Theo we have another</w:t>
      </w:r>
      <w:r w:rsidR="00BE7570">
        <w:rPr>
          <w:lang w:eastAsia="en-GB"/>
        </w:rPr>
        <w:t xml:space="preserve"> incident </w:t>
      </w:r>
      <w:r>
        <w:rPr>
          <w:lang w:eastAsia="en-GB"/>
        </w:rPr>
        <w:t>with the reporting system, we’ve been getting calls and tickets raised all morning</w:t>
      </w:r>
      <w:r w:rsidR="0013372B">
        <w:rPr>
          <w:lang w:eastAsia="en-GB"/>
        </w:rPr>
        <w:t>. T</w:t>
      </w:r>
      <w:r>
        <w:rPr>
          <w:lang w:eastAsia="en-GB"/>
        </w:rPr>
        <w:t>he system is down for some reason</w:t>
      </w:r>
      <w:r w:rsidR="00C9653F">
        <w:rPr>
          <w:lang w:eastAsia="en-GB"/>
        </w:rPr>
        <w:t>,</w:t>
      </w:r>
      <w:r w:rsidR="00FD395A">
        <w:rPr>
          <w:lang w:eastAsia="en-GB"/>
        </w:rPr>
        <w:t xml:space="preserve"> and</w:t>
      </w:r>
      <w:r>
        <w:rPr>
          <w:lang w:eastAsia="en-GB"/>
        </w:rPr>
        <w:t xml:space="preserve"> James </w:t>
      </w:r>
      <w:proofErr w:type="spellStart"/>
      <w:r w:rsidR="00D111D9">
        <w:rPr>
          <w:lang w:eastAsia="en-GB"/>
        </w:rPr>
        <w:t>Forsithe</w:t>
      </w:r>
      <w:proofErr w:type="spellEnd"/>
      <w:r w:rsidR="00D111D9">
        <w:rPr>
          <w:lang w:eastAsia="en-GB"/>
        </w:rPr>
        <w:t xml:space="preserve"> </w:t>
      </w:r>
      <w:r>
        <w:rPr>
          <w:lang w:eastAsia="en-GB"/>
        </w:rPr>
        <w:t>(service delivery manager)</w:t>
      </w:r>
      <w:r w:rsidR="00FD395A">
        <w:rPr>
          <w:lang w:eastAsia="en-GB"/>
        </w:rPr>
        <w:t>,</w:t>
      </w:r>
      <w:r>
        <w:rPr>
          <w:lang w:eastAsia="en-GB"/>
        </w:rPr>
        <w:t xml:space="preserve"> needs you in the incident meeting.” </w:t>
      </w:r>
      <w:r w:rsidR="00C9653F">
        <w:rPr>
          <w:lang w:eastAsia="en-GB"/>
        </w:rPr>
        <w:t>When Theo got to the meeting s</w:t>
      </w:r>
      <w:r>
        <w:rPr>
          <w:lang w:eastAsia="en-GB"/>
        </w:rPr>
        <w:t xml:space="preserve">everal avenues of discussion </w:t>
      </w:r>
      <w:r w:rsidR="00785055">
        <w:rPr>
          <w:lang w:eastAsia="en-GB"/>
        </w:rPr>
        <w:t>were</w:t>
      </w:r>
      <w:r>
        <w:rPr>
          <w:lang w:eastAsia="en-GB"/>
        </w:rPr>
        <w:t xml:space="preserve"> underway on how to best resolve this issue. “Patching the system would be the best bet, but it’s hard to get a proper patch in place in such a short time frame</w:t>
      </w:r>
      <w:r w:rsidR="00BE7570">
        <w:rPr>
          <w:lang w:eastAsia="en-GB"/>
        </w:rPr>
        <w:t xml:space="preserve"> given the system is out of vendor support.</w:t>
      </w:r>
      <w:r>
        <w:rPr>
          <w:lang w:eastAsia="en-GB"/>
        </w:rPr>
        <w:t xml:space="preserve"> Since we </w:t>
      </w:r>
      <w:r w:rsidR="00BE7570">
        <w:rPr>
          <w:lang w:eastAsia="en-GB"/>
        </w:rPr>
        <w:t xml:space="preserve">also </w:t>
      </w:r>
      <w:proofErr w:type="gramStart"/>
      <w:r>
        <w:rPr>
          <w:lang w:eastAsia="en-GB"/>
        </w:rPr>
        <w:t>don’t</w:t>
      </w:r>
      <w:proofErr w:type="gramEnd"/>
      <w:r>
        <w:rPr>
          <w:lang w:eastAsia="en-GB"/>
        </w:rPr>
        <w:t xml:space="preserve"> have in house support to handle this, we</w:t>
      </w:r>
      <w:r w:rsidR="00BE7570">
        <w:rPr>
          <w:lang w:eastAsia="en-GB"/>
        </w:rPr>
        <w:t xml:space="preserve">’ll </w:t>
      </w:r>
      <w:r>
        <w:rPr>
          <w:lang w:eastAsia="en-GB"/>
        </w:rPr>
        <w:t xml:space="preserve">need to </w:t>
      </w:r>
      <w:r w:rsidR="00BE7570">
        <w:rPr>
          <w:lang w:eastAsia="en-GB"/>
        </w:rPr>
        <w:t xml:space="preserve">ask the </w:t>
      </w:r>
      <w:r>
        <w:rPr>
          <w:lang w:eastAsia="en-GB"/>
        </w:rPr>
        <w:t>vendo</w:t>
      </w:r>
      <w:r w:rsidR="00BE7570">
        <w:rPr>
          <w:lang w:eastAsia="en-GB"/>
        </w:rPr>
        <w:t>r</w:t>
      </w:r>
      <w:r>
        <w:rPr>
          <w:lang w:eastAsia="en-GB"/>
        </w:rPr>
        <w:t xml:space="preserve"> to develop a </w:t>
      </w:r>
      <w:proofErr w:type="spellStart"/>
      <w:r w:rsidR="00BE7570">
        <w:rPr>
          <w:lang w:eastAsia="en-GB"/>
        </w:rPr>
        <w:t>customised</w:t>
      </w:r>
      <w:proofErr w:type="spellEnd"/>
      <w:r w:rsidR="00BE7570">
        <w:rPr>
          <w:lang w:eastAsia="en-GB"/>
        </w:rPr>
        <w:t xml:space="preserve"> </w:t>
      </w:r>
      <w:r>
        <w:rPr>
          <w:lang w:eastAsia="en-GB"/>
        </w:rPr>
        <w:t xml:space="preserve">solution </w:t>
      </w:r>
      <w:r w:rsidR="007F6A3F">
        <w:rPr>
          <w:lang w:eastAsia="en-GB"/>
        </w:rPr>
        <w:t>to prevent any further impact to us</w:t>
      </w:r>
      <w:r w:rsidR="00BE7570">
        <w:rPr>
          <w:lang w:eastAsia="en-GB"/>
        </w:rPr>
        <w:t>.</w:t>
      </w:r>
      <w:r>
        <w:rPr>
          <w:lang w:eastAsia="en-GB"/>
        </w:rPr>
        <w:t>”</w:t>
      </w:r>
      <w:r w:rsidR="00D111D9" w:rsidRPr="00D111D9">
        <w:rPr>
          <w:noProof/>
        </w:rPr>
        <w:t xml:space="preserve"> </w:t>
      </w:r>
      <w:r w:rsidR="0048379F">
        <w:rPr>
          <w:lang w:eastAsia="en-GB"/>
        </w:rPr>
        <w:t>s</w:t>
      </w:r>
      <w:r>
        <w:rPr>
          <w:lang w:eastAsia="en-GB"/>
        </w:rPr>
        <w:t>aid Theo. After discussing on the phone with the vendor and diagnosing the issue, he f</w:t>
      </w:r>
      <w:r w:rsidR="00FD395A">
        <w:rPr>
          <w:lang w:eastAsia="en-GB"/>
        </w:rPr>
        <w:t>ound</w:t>
      </w:r>
      <w:r>
        <w:rPr>
          <w:lang w:eastAsia="en-GB"/>
        </w:rPr>
        <w:t xml:space="preserve"> </w:t>
      </w:r>
      <w:r w:rsidR="00FD395A">
        <w:rPr>
          <w:lang w:eastAsia="en-GB"/>
        </w:rPr>
        <w:t>that</w:t>
      </w:r>
      <w:r>
        <w:rPr>
          <w:lang w:eastAsia="en-GB"/>
        </w:rPr>
        <w:t xml:space="preserve"> it could take up to a week to get this fixed</w:t>
      </w:r>
      <w:r w:rsidR="007F6A3F">
        <w:rPr>
          <w:lang w:eastAsia="en-GB"/>
        </w:rPr>
        <w:t xml:space="preserve"> and </w:t>
      </w:r>
      <w:r w:rsidR="00C9653F">
        <w:rPr>
          <w:lang w:eastAsia="en-GB"/>
        </w:rPr>
        <w:t xml:space="preserve">it would be </w:t>
      </w:r>
      <w:r w:rsidR="007F6A3F">
        <w:rPr>
          <w:lang w:eastAsia="en-GB"/>
        </w:rPr>
        <w:t>quite expensive</w:t>
      </w:r>
      <w:r w:rsidR="00C9653F">
        <w:rPr>
          <w:lang w:eastAsia="en-GB"/>
        </w:rPr>
        <w:t>,</w:t>
      </w:r>
      <w:r>
        <w:rPr>
          <w:lang w:eastAsia="en-GB"/>
        </w:rPr>
        <w:t xml:space="preserve"> since </w:t>
      </w:r>
      <w:r w:rsidR="00C9653F">
        <w:rPr>
          <w:lang w:eastAsia="en-GB"/>
        </w:rPr>
        <w:t xml:space="preserve">the vendor </w:t>
      </w:r>
      <w:r>
        <w:rPr>
          <w:lang w:eastAsia="en-GB"/>
        </w:rPr>
        <w:t>need</w:t>
      </w:r>
      <w:r w:rsidR="00C9653F">
        <w:rPr>
          <w:lang w:eastAsia="en-GB"/>
        </w:rPr>
        <w:t>ed</w:t>
      </w:r>
      <w:r>
        <w:rPr>
          <w:lang w:eastAsia="en-GB"/>
        </w:rPr>
        <w:t xml:space="preserve"> to deploy a special team to fix what </w:t>
      </w:r>
      <w:r w:rsidR="00C9653F">
        <w:rPr>
          <w:lang w:eastAsia="en-GB"/>
        </w:rPr>
        <w:t xml:space="preserve">appeared </w:t>
      </w:r>
      <w:r>
        <w:rPr>
          <w:lang w:eastAsia="en-GB"/>
        </w:rPr>
        <w:t xml:space="preserve">to be a complex issue. After </w:t>
      </w:r>
      <w:r w:rsidR="00C9653F">
        <w:rPr>
          <w:lang w:eastAsia="en-GB"/>
        </w:rPr>
        <w:t xml:space="preserve">stressing for </w:t>
      </w:r>
      <w:r>
        <w:rPr>
          <w:lang w:eastAsia="en-GB"/>
        </w:rPr>
        <w:t xml:space="preserve">a few hours, the team </w:t>
      </w:r>
      <w:r w:rsidR="00C9653F">
        <w:rPr>
          <w:lang w:eastAsia="en-GB"/>
        </w:rPr>
        <w:t xml:space="preserve">agreed </w:t>
      </w:r>
      <w:r>
        <w:rPr>
          <w:lang w:eastAsia="en-GB"/>
        </w:rPr>
        <w:t>in the interim to issue workaround instructions to users via email.</w:t>
      </w:r>
    </w:p>
    <w:p w14:paraId="6DA0F2E1" w14:textId="68654019" w:rsidR="00E66779" w:rsidRDefault="00DB61C0" w:rsidP="00330B14">
      <w:pPr>
        <w:pStyle w:val="SectionHeading"/>
      </w:pPr>
      <w:r>
        <w:t>From one adventure to another</w:t>
      </w:r>
    </w:p>
    <w:p w14:paraId="6E1903F0" w14:textId="2407E7EA" w:rsidR="002F3F4B" w:rsidRDefault="00F63397" w:rsidP="0076235C">
      <w:pPr>
        <w:pStyle w:val="BodyCopy"/>
        <w:rPr>
          <w:lang w:eastAsia="en-GB"/>
        </w:rPr>
      </w:pPr>
      <w:r>
        <w:rPr>
          <w:lang w:eastAsia="en-GB"/>
        </w:rPr>
        <w:t>On Friday</w:t>
      </w:r>
      <w:r w:rsidR="002F3F4B" w:rsidRPr="002F3F4B">
        <w:rPr>
          <w:lang w:eastAsia="en-GB"/>
        </w:rPr>
        <w:t xml:space="preserve"> (relieved to take a break from work), Theo </w:t>
      </w:r>
      <w:r w:rsidR="00FD395A">
        <w:rPr>
          <w:lang w:eastAsia="en-GB"/>
        </w:rPr>
        <w:t>went</w:t>
      </w:r>
      <w:r w:rsidR="002F3F4B" w:rsidRPr="002F3F4B">
        <w:rPr>
          <w:lang w:eastAsia="en-GB"/>
        </w:rPr>
        <w:t xml:space="preserve"> on long service leave, and </w:t>
      </w:r>
      <w:r w:rsidR="00FD395A">
        <w:rPr>
          <w:lang w:eastAsia="en-GB"/>
        </w:rPr>
        <w:t xml:space="preserve">as he </w:t>
      </w:r>
      <w:r w:rsidR="002F3F4B" w:rsidRPr="002F3F4B">
        <w:rPr>
          <w:lang w:eastAsia="en-GB"/>
        </w:rPr>
        <w:t>switch</w:t>
      </w:r>
      <w:r w:rsidR="00FD395A">
        <w:rPr>
          <w:lang w:eastAsia="en-GB"/>
        </w:rPr>
        <w:t>ed</w:t>
      </w:r>
      <w:r w:rsidR="002F3F4B" w:rsidRPr="002F3F4B">
        <w:rPr>
          <w:lang w:eastAsia="en-GB"/>
        </w:rPr>
        <w:t xml:space="preserve"> </w:t>
      </w:r>
      <w:r w:rsidR="00FD395A">
        <w:rPr>
          <w:lang w:eastAsia="en-GB"/>
        </w:rPr>
        <w:t>to</w:t>
      </w:r>
      <w:r w:rsidR="002F3F4B" w:rsidRPr="002F3F4B">
        <w:rPr>
          <w:lang w:eastAsia="en-GB"/>
        </w:rPr>
        <w:t xml:space="preserve"> holiday mode</w:t>
      </w:r>
      <w:r w:rsidR="00FD395A">
        <w:rPr>
          <w:lang w:eastAsia="en-GB"/>
        </w:rPr>
        <w:t>,</w:t>
      </w:r>
      <w:r w:rsidR="002F3F4B" w:rsidRPr="002F3F4B">
        <w:rPr>
          <w:lang w:eastAsia="en-GB"/>
        </w:rPr>
        <w:t xml:space="preserve"> he pack</w:t>
      </w:r>
      <w:r w:rsidR="00FD395A">
        <w:rPr>
          <w:lang w:eastAsia="en-GB"/>
        </w:rPr>
        <w:t>ed</w:t>
      </w:r>
      <w:r w:rsidR="002F3F4B" w:rsidRPr="002F3F4B">
        <w:rPr>
          <w:lang w:eastAsia="en-GB"/>
        </w:rPr>
        <w:t xml:space="preserve"> his bags to climb Mt Kilimanjaro where adventure </w:t>
      </w:r>
      <w:r w:rsidR="00FD395A">
        <w:rPr>
          <w:lang w:eastAsia="en-GB"/>
        </w:rPr>
        <w:t>was waiting</w:t>
      </w:r>
      <w:r w:rsidR="002F3F4B" w:rsidRPr="002F3F4B">
        <w:rPr>
          <w:lang w:eastAsia="en-GB"/>
        </w:rPr>
        <w:t>. Back at the department</w:t>
      </w:r>
      <w:r>
        <w:rPr>
          <w:lang w:eastAsia="en-GB"/>
        </w:rPr>
        <w:t>,</w:t>
      </w:r>
      <w:r w:rsidR="002F3F4B" w:rsidRPr="002F3F4B">
        <w:rPr>
          <w:lang w:eastAsia="en-GB"/>
        </w:rPr>
        <w:t xml:space="preserve"> users ha</w:t>
      </w:r>
      <w:r w:rsidR="00FD395A">
        <w:rPr>
          <w:lang w:eastAsia="en-GB"/>
        </w:rPr>
        <w:t>d</w:t>
      </w:r>
      <w:r w:rsidR="002F3F4B" w:rsidRPr="002F3F4B">
        <w:rPr>
          <w:lang w:eastAsia="en-GB"/>
        </w:rPr>
        <w:t xml:space="preserve"> been using the reporting system with the workaround instructions from the email earlier </w:t>
      </w:r>
      <w:r w:rsidR="00FD395A">
        <w:rPr>
          <w:lang w:eastAsia="en-GB"/>
        </w:rPr>
        <w:t>in the</w:t>
      </w:r>
      <w:r w:rsidR="002F3F4B" w:rsidRPr="002F3F4B">
        <w:rPr>
          <w:lang w:eastAsia="en-GB"/>
        </w:rPr>
        <w:t xml:space="preserve"> week</w:t>
      </w:r>
      <w:r>
        <w:rPr>
          <w:lang w:eastAsia="en-GB"/>
        </w:rPr>
        <w:t>,</w:t>
      </w:r>
      <w:r w:rsidR="002F3F4B" w:rsidRPr="002F3F4B">
        <w:rPr>
          <w:lang w:eastAsia="en-GB"/>
        </w:rPr>
        <w:t xml:space="preserve"> and Jenny </w:t>
      </w:r>
      <w:proofErr w:type="spellStart"/>
      <w:r w:rsidR="00D111D9">
        <w:rPr>
          <w:lang w:eastAsia="en-GB"/>
        </w:rPr>
        <w:t>Snapbook</w:t>
      </w:r>
      <w:proofErr w:type="spellEnd"/>
      <w:r w:rsidR="00D111D9">
        <w:rPr>
          <w:lang w:eastAsia="en-GB"/>
        </w:rPr>
        <w:t xml:space="preserve"> </w:t>
      </w:r>
      <w:r>
        <w:rPr>
          <w:lang w:eastAsia="en-GB"/>
        </w:rPr>
        <w:t xml:space="preserve">in marketing </w:t>
      </w:r>
      <w:r w:rsidR="00FD395A">
        <w:rPr>
          <w:lang w:eastAsia="en-GB"/>
        </w:rPr>
        <w:t>was suddenly</w:t>
      </w:r>
      <w:r w:rsidR="002F3F4B" w:rsidRPr="002F3F4B">
        <w:rPr>
          <w:lang w:eastAsia="en-GB"/>
        </w:rPr>
        <w:t xml:space="preserve"> unable to access the reporting system. When she launche</w:t>
      </w:r>
      <w:r w:rsidR="00FD395A">
        <w:rPr>
          <w:lang w:eastAsia="en-GB"/>
        </w:rPr>
        <w:t>d</w:t>
      </w:r>
      <w:r w:rsidR="002F3F4B" w:rsidRPr="002F3F4B">
        <w:rPr>
          <w:lang w:eastAsia="en-GB"/>
        </w:rPr>
        <w:t xml:space="preserve"> </w:t>
      </w:r>
      <w:r w:rsidR="0076235C" w:rsidRPr="002F3F4B">
        <w:rPr>
          <w:lang w:eastAsia="en-GB"/>
        </w:rPr>
        <w:t>it,</w:t>
      </w:r>
      <w:r w:rsidR="002F3F4B" w:rsidRPr="002F3F4B">
        <w:rPr>
          <w:lang w:eastAsia="en-GB"/>
        </w:rPr>
        <w:t xml:space="preserve"> she</w:t>
      </w:r>
      <w:r w:rsidR="00FD395A">
        <w:rPr>
          <w:lang w:eastAsia="en-GB"/>
        </w:rPr>
        <w:t xml:space="preserve"> was</w:t>
      </w:r>
      <w:r w:rsidR="002F3F4B" w:rsidRPr="002F3F4B">
        <w:rPr>
          <w:lang w:eastAsia="en-GB"/>
        </w:rPr>
        <w:t xml:space="preserve"> greeted with a ransomware demand for 2 Bitcoin within 48 hours. She confirm</w:t>
      </w:r>
      <w:r w:rsidR="00FD395A">
        <w:rPr>
          <w:lang w:eastAsia="en-GB"/>
        </w:rPr>
        <w:t>ed</w:t>
      </w:r>
      <w:r w:rsidR="002F3F4B" w:rsidRPr="002F3F4B">
        <w:rPr>
          <w:lang w:eastAsia="en-GB"/>
        </w:rPr>
        <w:t xml:space="preserve"> that her colleagues </w:t>
      </w:r>
      <w:r w:rsidR="00FD395A">
        <w:rPr>
          <w:lang w:eastAsia="en-GB"/>
        </w:rPr>
        <w:t>were</w:t>
      </w:r>
      <w:r w:rsidR="002F3F4B" w:rsidRPr="002F3F4B">
        <w:rPr>
          <w:lang w:eastAsia="en-GB"/>
        </w:rPr>
        <w:t xml:space="preserve"> also experiencing the same issue. </w:t>
      </w:r>
      <w:r>
        <w:rPr>
          <w:lang w:eastAsia="en-GB"/>
        </w:rPr>
        <w:t>T</w:t>
      </w:r>
      <w:r w:rsidR="002F3F4B" w:rsidRPr="002F3F4B">
        <w:rPr>
          <w:lang w:eastAsia="en-GB"/>
        </w:rPr>
        <w:t xml:space="preserve">he IT department, </w:t>
      </w:r>
      <w:r w:rsidR="00FD395A">
        <w:rPr>
          <w:lang w:eastAsia="en-GB"/>
        </w:rPr>
        <w:t xml:space="preserve">who were </w:t>
      </w:r>
      <w:r w:rsidR="002F3F4B" w:rsidRPr="002F3F4B">
        <w:rPr>
          <w:lang w:eastAsia="en-GB"/>
        </w:rPr>
        <w:t xml:space="preserve">now aware of the threat, </w:t>
      </w:r>
      <w:r>
        <w:rPr>
          <w:lang w:eastAsia="en-GB"/>
        </w:rPr>
        <w:t xml:space="preserve">made </w:t>
      </w:r>
      <w:r w:rsidR="00FD395A">
        <w:rPr>
          <w:lang w:eastAsia="en-GB"/>
        </w:rPr>
        <w:t>attempts to</w:t>
      </w:r>
      <w:r w:rsidR="002F3F4B" w:rsidRPr="002F3F4B">
        <w:rPr>
          <w:lang w:eastAsia="en-GB"/>
        </w:rPr>
        <w:t xml:space="preserve"> recover the data </w:t>
      </w:r>
      <w:r>
        <w:rPr>
          <w:lang w:eastAsia="en-GB"/>
        </w:rPr>
        <w:t>from</w:t>
      </w:r>
      <w:r w:rsidRPr="002F3F4B">
        <w:rPr>
          <w:lang w:eastAsia="en-GB"/>
        </w:rPr>
        <w:t xml:space="preserve"> </w:t>
      </w:r>
      <w:r w:rsidR="002F3F4B" w:rsidRPr="002F3F4B">
        <w:rPr>
          <w:lang w:eastAsia="en-GB"/>
        </w:rPr>
        <w:t xml:space="preserve">backups but </w:t>
      </w:r>
      <w:r>
        <w:rPr>
          <w:lang w:eastAsia="en-GB"/>
        </w:rPr>
        <w:t>were</w:t>
      </w:r>
      <w:r w:rsidRPr="002F3F4B">
        <w:rPr>
          <w:lang w:eastAsia="en-GB"/>
        </w:rPr>
        <w:t xml:space="preserve"> </w:t>
      </w:r>
      <w:r w:rsidR="002F3F4B" w:rsidRPr="002F3F4B">
        <w:rPr>
          <w:lang w:eastAsia="en-GB"/>
        </w:rPr>
        <w:t>unsuccessful due to inherent issues with the system</w:t>
      </w:r>
      <w:r w:rsidR="00D111D9" w:rsidRPr="00D111D9">
        <w:rPr>
          <w:noProof/>
        </w:rPr>
        <w:t xml:space="preserve"> </w:t>
      </w:r>
      <w:r w:rsidR="0013372B">
        <w:rPr>
          <w:noProof/>
        </w:rPr>
        <w:drawing>
          <wp:inline distT="0" distB="0" distL="0" distR="0" wp14:anchorId="3FF81618" wp14:editId="2B747F2C">
            <wp:extent cx="120316" cy="1533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2" w:history="1">
        <w:r w:rsidR="0048379F" w:rsidRPr="008121E9">
          <w:rPr>
            <w:rStyle w:val="Hyperlink"/>
            <w:bCs/>
            <w:vertAlign w:val="superscript"/>
            <w:lang w:eastAsia="en-GB"/>
          </w:rPr>
          <w:t>2</w:t>
        </w:r>
        <w:r w:rsidR="008121E9" w:rsidRPr="008121E9">
          <w:rPr>
            <w:rStyle w:val="Hyperlink"/>
            <w:lang w:eastAsia="en-GB"/>
          </w:rPr>
          <w:t>.</w:t>
        </w:r>
      </w:hyperlink>
      <w:r w:rsidR="008121E9">
        <w:rPr>
          <w:lang w:eastAsia="en-GB"/>
        </w:rPr>
        <w:t xml:space="preserve"> </w:t>
      </w:r>
      <w:r w:rsidR="002F3F4B" w:rsidRPr="00D111D9">
        <w:rPr>
          <w:lang w:eastAsia="en-GB"/>
        </w:rPr>
        <w:t>SDM James ask</w:t>
      </w:r>
      <w:r w:rsidR="00FD395A">
        <w:rPr>
          <w:lang w:eastAsia="en-GB"/>
        </w:rPr>
        <w:t>ed</w:t>
      </w:r>
      <w:r w:rsidR="002F3F4B" w:rsidRPr="00D111D9">
        <w:rPr>
          <w:lang w:eastAsia="en-GB"/>
        </w:rPr>
        <w:t xml:space="preserve"> the following question - “So who do we have from a system management perspective to assist with resolving this?” After </w:t>
      </w:r>
      <w:r>
        <w:rPr>
          <w:lang w:eastAsia="en-GB"/>
        </w:rPr>
        <w:t>they</w:t>
      </w:r>
      <w:r w:rsidR="002F3F4B" w:rsidRPr="00D111D9">
        <w:rPr>
          <w:lang w:eastAsia="en-GB"/>
        </w:rPr>
        <w:t xml:space="preserve"> </w:t>
      </w:r>
      <w:proofErr w:type="spellStart"/>
      <w:r w:rsidR="002F3F4B" w:rsidRPr="00D111D9">
        <w:rPr>
          <w:lang w:eastAsia="en-GB"/>
        </w:rPr>
        <w:t>realised</w:t>
      </w:r>
      <w:proofErr w:type="spellEnd"/>
      <w:r w:rsidR="002F3F4B" w:rsidRPr="00D111D9">
        <w:rPr>
          <w:lang w:eastAsia="en-GB"/>
        </w:rPr>
        <w:t xml:space="preserve"> nobody ha</w:t>
      </w:r>
      <w:r w:rsidR="00FD395A">
        <w:rPr>
          <w:lang w:eastAsia="en-GB"/>
        </w:rPr>
        <w:t>d</w:t>
      </w:r>
      <w:r w:rsidR="002F3F4B" w:rsidRPr="00D111D9">
        <w:rPr>
          <w:lang w:eastAsia="en-GB"/>
        </w:rPr>
        <w:t xml:space="preserve"> the skillset to assist with system management</w:t>
      </w:r>
      <w:r w:rsidR="008121E9">
        <w:rPr>
          <w:lang w:eastAsia="en-GB"/>
        </w:rPr>
        <w:t xml:space="preserve"> </w:t>
      </w:r>
      <w:r w:rsidR="0013372B">
        <w:rPr>
          <w:noProof/>
        </w:rPr>
        <w:drawing>
          <wp:inline distT="0" distB="0" distL="0" distR="0" wp14:anchorId="10E82427" wp14:editId="34BF9455">
            <wp:extent cx="120316" cy="1533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3" w:history="1">
        <w:r w:rsidR="0048379F" w:rsidRPr="008121E9">
          <w:rPr>
            <w:rStyle w:val="Hyperlink"/>
            <w:bCs/>
            <w:vertAlign w:val="superscript"/>
            <w:lang w:eastAsia="en-GB"/>
          </w:rPr>
          <w:t>3</w:t>
        </w:r>
        <w:r w:rsidR="002F3F4B" w:rsidRPr="008121E9">
          <w:rPr>
            <w:rStyle w:val="Hyperlink"/>
            <w:lang w:eastAsia="en-GB"/>
          </w:rPr>
          <w:t>,</w:t>
        </w:r>
      </w:hyperlink>
      <w:r w:rsidR="002F3F4B" w:rsidRPr="00D111D9">
        <w:rPr>
          <w:lang w:eastAsia="en-GB"/>
        </w:rPr>
        <w:t xml:space="preserve"> the </w:t>
      </w:r>
      <w:r w:rsidR="00FD395A">
        <w:rPr>
          <w:lang w:eastAsia="en-GB"/>
        </w:rPr>
        <w:t>organisation</w:t>
      </w:r>
      <w:r w:rsidR="002F3F4B" w:rsidRPr="00D111D9">
        <w:rPr>
          <w:lang w:eastAsia="en-GB"/>
        </w:rPr>
        <w:t xml:space="preserve"> face</w:t>
      </w:r>
      <w:r w:rsidR="00FD395A">
        <w:rPr>
          <w:lang w:eastAsia="en-GB"/>
        </w:rPr>
        <w:t>d</w:t>
      </w:r>
      <w:r w:rsidR="002F3F4B" w:rsidRPr="00D111D9">
        <w:rPr>
          <w:lang w:eastAsia="en-GB"/>
        </w:rPr>
        <w:t xml:space="preserve"> an outage</w:t>
      </w:r>
      <w:r>
        <w:rPr>
          <w:lang w:eastAsia="en-GB"/>
        </w:rPr>
        <w:t xml:space="preserve"> that</w:t>
      </w:r>
      <w:r w:rsidR="002F3F4B" w:rsidRPr="00D111D9">
        <w:rPr>
          <w:lang w:eastAsia="en-GB"/>
        </w:rPr>
        <w:t xml:space="preserve"> seriously impact</w:t>
      </w:r>
      <w:r>
        <w:rPr>
          <w:lang w:eastAsia="en-GB"/>
        </w:rPr>
        <w:t>ed</w:t>
      </w:r>
      <w:r w:rsidR="002F3F4B" w:rsidRPr="00D111D9">
        <w:rPr>
          <w:lang w:eastAsia="en-GB"/>
        </w:rPr>
        <w:t xml:space="preserve"> the delivery of services. </w:t>
      </w:r>
      <w:r w:rsidR="006803FE">
        <w:rPr>
          <w:lang w:eastAsia="en-GB"/>
        </w:rPr>
        <w:t xml:space="preserve">Whilst critical reporting was not </w:t>
      </w:r>
      <w:r w:rsidR="00227D6A">
        <w:rPr>
          <w:lang w:eastAsia="en-GB"/>
        </w:rPr>
        <w:t>being performed at the ideal level</w:t>
      </w:r>
      <w:r w:rsidR="006803FE">
        <w:rPr>
          <w:lang w:eastAsia="en-GB"/>
        </w:rPr>
        <w:t>,</w:t>
      </w:r>
      <w:r w:rsidR="00227D6A">
        <w:rPr>
          <w:lang w:eastAsia="en-GB"/>
        </w:rPr>
        <w:t xml:space="preserve"> a manual workaround</w:t>
      </w:r>
      <w:r w:rsidR="006803FE">
        <w:rPr>
          <w:lang w:eastAsia="en-GB"/>
        </w:rPr>
        <w:t xml:space="preserve"> </w:t>
      </w:r>
      <w:r w:rsidR="00227D6A">
        <w:rPr>
          <w:lang w:eastAsia="en-GB"/>
        </w:rPr>
        <w:t xml:space="preserve">was issued. Subsequently, </w:t>
      </w:r>
      <w:r w:rsidR="006803FE">
        <w:rPr>
          <w:lang w:eastAsia="en-GB"/>
        </w:rPr>
        <w:t>g</w:t>
      </w:r>
      <w:r w:rsidR="002F3F4B" w:rsidRPr="00D111D9">
        <w:rPr>
          <w:lang w:eastAsia="en-GB"/>
        </w:rPr>
        <w:t>iven that it</w:t>
      </w:r>
      <w:r w:rsidR="00FD395A">
        <w:rPr>
          <w:lang w:eastAsia="en-GB"/>
        </w:rPr>
        <w:t xml:space="preserve"> was</w:t>
      </w:r>
      <w:r w:rsidR="00227D6A">
        <w:rPr>
          <w:lang w:eastAsia="en-GB"/>
        </w:rPr>
        <w:t xml:space="preserve"> also</w:t>
      </w:r>
      <w:r w:rsidR="002F3F4B" w:rsidRPr="00D111D9">
        <w:rPr>
          <w:lang w:eastAsia="en-GB"/>
        </w:rPr>
        <w:t xml:space="preserve"> late Friday </w:t>
      </w:r>
      <w:proofErr w:type="gramStart"/>
      <w:r w:rsidR="002F3F4B" w:rsidRPr="00D111D9">
        <w:rPr>
          <w:lang w:eastAsia="en-GB"/>
        </w:rPr>
        <w:t>afternoon</w:t>
      </w:r>
      <w:proofErr w:type="gramEnd"/>
      <w:r w:rsidR="002F3F4B" w:rsidRPr="00D111D9">
        <w:rPr>
          <w:lang w:eastAsia="en-GB"/>
        </w:rPr>
        <w:t xml:space="preserve"> </w:t>
      </w:r>
      <w:r w:rsidR="00112B45">
        <w:rPr>
          <w:lang w:eastAsia="en-GB"/>
        </w:rPr>
        <w:t xml:space="preserve">and the team had some </w:t>
      </w:r>
      <w:r w:rsidR="00112B45">
        <w:rPr>
          <w:lang w:eastAsia="en-GB"/>
        </w:rPr>
        <w:lastRenderedPageBreak/>
        <w:t>comfort the ransomware was contained to a single system</w:t>
      </w:r>
      <w:r w:rsidR="002F3F4B" w:rsidRPr="00D111D9">
        <w:rPr>
          <w:lang w:eastAsia="en-GB"/>
        </w:rPr>
        <w:t xml:space="preserve">, </w:t>
      </w:r>
      <w:r w:rsidR="00112B45">
        <w:rPr>
          <w:lang w:eastAsia="en-GB"/>
        </w:rPr>
        <w:t>it was decided that the issue could be left until</w:t>
      </w:r>
      <w:r w:rsidR="002F3F4B" w:rsidRPr="00D111D9">
        <w:rPr>
          <w:lang w:eastAsia="en-GB"/>
        </w:rPr>
        <w:t xml:space="preserve"> Monday.</w:t>
      </w:r>
    </w:p>
    <w:p w14:paraId="405B8898" w14:textId="111C31A7" w:rsidR="0072173F" w:rsidRDefault="00886E6E" w:rsidP="0072173F">
      <w:pPr>
        <w:pStyle w:val="SectionHeading"/>
      </w:pPr>
      <w:r>
        <w:t>Risk it for the biscuit</w:t>
      </w:r>
    </w:p>
    <w:p w14:paraId="30808B98" w14:textId="2585F54C" w:rsidR="00330B14" w:rsidRDefault="002F3F4B" w:rsidP="00E231FA">
      <w:pPr>
        <w:pStyle w:val="BodyCopy"/>
        <w:rPr>
          <w:lang w:eastAsia="en-GB"/>
        </w:rPr>
      </w:pPr>
      <w:r>
        <w:rPr>
          <w:lang w:eastAsia="en-GB"/>
        </w:rPr>
        <w:t>Back on Monday morning, the ransom ha</w:t>
      </w:r>
      <w:r w:rsidR="00FD395A">
        <w:rPr>
          <w:lang w:eastAsia="en-GB"/>
        </w:rPr>
        <w:t>d</w:t>
      </w:r>
      <w:r>
        <w:rPr>
          <w:lang w:eastAsia="en-GB"/>
        </w:rPr>
        <w:t xml:space="preserve"> increased to 4 Bitcoin</w:t>
      </w:r>
      <w:r w:rsidR="003A018B">
        <w:rPr>
          <w:lang w:eastAsia="en-GB"/>
        </w:rPr>
        <w:t xml:space="preserve">, </w:t>
      </w:r>
      <w:r>
        <w:rPr>
          <w:lang w:eastAsia="en-GB"/>
        </w:rPr>
        <w:t xml:space="preserve">with </w:t>
      </w:r>
      <w:r w:rsidR="003A018B">
        <w:rPr>
          <w:lang w:eastAsia="en-GB"/>
        </w:rPr>
        <w:t xml:space="preserve">an </w:t>
      </w:r>
      <w:r>
        <w:rPr>
          <w:lang w:eastAsia="en-GB"/>
        </w:rPr>
        <w:t>added threat to delete all data within the system if th</w:t>
      </w:r>
      <w:r w:rsidR="00FD395A">
        <w:rPr>
          <w:lang w:eastAsia="en-GB"/>
        </w:rPr>
        <w:t>e</w:t>
      </w:r>
      <w:r>
        <w:rPr>
          <w:lang w:eastAsia="en-GB"/>
        </w:rPr>
        <w:t xml:space="preserve"> ransom </w:t>
      </w:r>
      <w:r w:rsidR="00FD395A">
        <w:rPr>
          <w:lang w:eastAsia="en-GB"/>
        </w:rPr>
        <w:t>was</w:t>
      </w:r>
      <w:r>
        <w:rPr>
          <w:lang w:eastAsia="en-GB"/>
        </w:rPr>
        <w:t xml:space="preserve"> not met. The Department of Innovation ha</w:t>
      </w:r>
      <w:r w:rsidR="009474F9">
        <w:rPr>
          <w:lang w:eastAsia="en-GB"/>
        </w:rPr>
        <w:t>d</w:t>
      </w:r>
      <w:r>
        <w:rPr>
          <w:lang w:eastAsia="en-GB"/>
        </w:rPr>
        <w:t xml:space="preserve"> never encountered ransomware in the department </w:t>
      </w:r>
      <w:r w:rsidR="0076235C">
        <w:rPr>
          <w:lang w:eastAsia="en-GB"/>
        </w:rPr>
        <w:t>before and</w:t>
      </w:r>
      <w:r>
        <w:rPr>
          <w:lang w:eastAsia="en-GB"/>
        </w:rPr>
        <w:t xml:space="preserve"> d</w:t>
      </w:r>
      <w:r w:rsidR="009474F9">
        <w:rPr>
          <w:lang w:eastAsia="en-GB"/>
        </w:rPr>
        <w:t>idn</w:t>
      </w:r>
      <w:r>
        <w:rPr>
          <w:lang w:eastAsia="en-GB"/>
        </w:rPr>
        <w:t>’t have a great amount of knowledge or confidence to deal with it</w:t>
      </w:r>
      <w:r w:rsidR="0048379F" w:rsidRPr="0048379F">
        <w:rPr>
          <w:noProof/>
        </w:rPr>
        <w:t xml:space="preserve"> </w:t>
      </w:r>
      <w:r w:rsidR="0013372B">
        <w:rPr>
          <w:noProof/>
        </w:rPr>
        <w:drawing>
          <wp:inline distT="0" distB="0" distL="0" distR="0" wp14:anchorId="1ED48CF7" wp14:editId="5B30B034">
            <wp:extent cx="120316" cy="1533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4" w:history="1">
        <w:r w:rsidR="0048379F" w:rsidRPr="008121E9">
          <w:rPr>
            <w:rStyle w:val="Hyperlink"/>
            <w:b/>
            <w:bCs/>
            <w:vertAlign w:val="superscript"/>
            <w:lang w:eastAsia="en-GB"/>
          </w:rPr>
          <w:t>4</w:t>
        </w:r>
        <w:r w:rsidR="008121E9" w:rsidRPr="008121E9">
          <w:rPr>
            <w:rStyle w:val="Hyperlink"/>
            <w:lang w:eastAsia="en-GB"/>
          </w:rPr>
          <w:t>.</w:t>
        </w:r>
      </w:hyperlink>
      <w:r w:rsidR="008121E9">
        <w:rPr>
          <w:lang w:eastAsia="en-GB"/>
        </w:rPr>
        <w:t xml:space="preserve"> </w:t>
      </w:r>
      <w:r>
        <w:rPr>
          <w:lang w:eastAsia="en-GB"/>
        </w:rPr>
        <w:t>As a result, they d</w:t>
      </w:r>
      <w:r w:rsidR="009474F9">
        <w:rPr>
          <w:lang w:eastAsia="en-GB"/>
        </w:rPr>
        <w:t>idn</w:t>
      </w:r>
      <w:r>
        <w:rPr>
          <w:lang w:eastAsia="en-GB"/>
        </w:rPr>
        <w:t>’t fully understand the scope of the incident. Nonetheless, the team attempt</w:t>
      </w:r>
      <w:r w:rsidR="009474F9">
        <w:rPr>
          <w:lang w:eastAsia="en-GB"/>
        </w:rPr>
        <w:t>ed</w:t>
      </w:r>
      <w:r>
        <w:rPr>
          <w:lang w:eastAsia="en-GB"/>
        </w:rPr>
        <w:t xml:space="preserve"> to resolve the issue alone. </w:t>
      </w:r>
      <w:r w:rsidR="003A018B">
        <w:rPr>
          <w:lang w:eastAsia="en-GB"/>
        </w:rPr>
        <w:t>During</w:t>
      </w:r>
      <w:r>
        <w:rPr>
          <w:lang w:eastAsia="en-GB"/>
        </w:rPr>
        <w:t xml:space="preserve"> the incident meeting </w:t>
      </w:r>
      <w:r w:rsidR="003A018B">
        <w:rPr>
          <w:lang w:eastAsia="en-GB"/>
        </w:rPr>
        <w:t xml:space="preserve">someone asked </w:t>
      </w:r>
      <w:r>
        <w:rPr>
          <w:lang w:eastAsia="en-GB"/>
        </w:rPr>
        <w:t xml:space="preserve">“Even if we pay the </w:t>
      </w:r>
      <w:r w:rsidR="0076235C">
        <w:rPr>
          <w:lang w:eastAsia="en-GB"/>
        </w:rPr>
        <w:t>ransom,</w:t>
      </w:r>
      <w:r>
        <w:rPr>
          <w:lang w:eastAsia="en-GB"/>
        </w:rPr>
        <w:t xml:space="preserve"> we may not get all our data back. But if we </w:t>
      </w:r>
      <w:proofErr w:type="gramStart"/>
      <w:r>
        <w:rPr>
          <w:lang w:eastAsia="en-GB"/>
        </w:rPr>
        <w:t>don’t</w:t>
      </w:r>
      <w:proofErr w:type="gramEnd"/>
      <w:r>
        <w:rPr>
          <w:lang w:eastAsia="en-GB"/>
        </w:rPr>
        <w:t xml:space="preserve"> pay </w:t>
      </w:r>
      <w:r w:rsidR="0076235C">
        <w:rPr>
          <w:lang w:eastAsia="en-GB"/>
        </w:rPr>
        <w:t>it,</w:t>
      </w:r>
      <w:r>
        <w:rPr>
          <w:lang w:eastAsia="en-GB"/>
        </w:rPr>
        <w:t xml:space="preserve"> we are at risk of having our data deleted.</w:t>
      </w:r>
      <w:r w:rsidR="009474F9">
        <w:rPr>
          <w:lang w:eastAsia="en-GB"/>
        </w:rPr>
        <w:t xml:space="preserve"> Whil</w:t>
      </w:r>
      <w:r w:rsidR="003A018B">
        <w:rPr>
          <w:lang w:eastAsia="en-GB"/>
        </w:rPr>
        <w:t>e</w:t>
      </w:r>
      <w:r w:rsidR="009474F9">
        <w:rPr>
          <w:lang w:eastAsia="en-GB"/>
        </w:rPr>
        <w:t xml:space="preserve"> we know government organisations </w:t>
      </w:r>
      <w:proofErr w:type="gramStart"/>
      <w:r w:rsidR="003A018B">
        <w:rPr>
          <w:lang w:eastAsia="en-GB"/>
        </w:rPr>
        <w:t>aren’t</w:t>
      </w:r>
      <w:proofErr w:type="gramEnd"/>
      <w:r w:rsidR="003A018B">
        <w:rPr>
          <w:lang w:eastAsia="en-GB"/>
        </w:rPr>
        <w:t xml:space="preserve"> supposed </w:t>
      </w:r>
      <w:r w:rsidR="009474F9">
        <w:rPr>
          <w:lang w:eastAsia="en-GB"/>
        </w:rPr>
        <w:t>to pay a ransom, what choice do we have?</w:t>
      </w:r>
      <w:r>
        <w:rPr>
          <w:lang w:eastAsia="en-GB"/>
        </w:rPr>
        <w:t xml:space="preserve">” </w:t>
      </w:r>
      <w:r w:rsidR="003A018B">
        <w:rPr>
          <w:lang w:eastAsia="en-GB"/>
        </w:rPr>
        <w:t>Backed into</w:t>
      </w:r>
      <w:r>
        <w:rPr>
          <w:lang w:eastAsia="en-GB"/>
        </w:rPr>
        <w:t xml:space="preserve"> a corner, the IT team suggest</w:t>
      </w:r>
      <w:r w:rsidR="009474F9">
        <w:rPr>
          <w:lang w:eastAsia="en-GB"/>
        </w:rPr>
        <w:t>ed</w:t>
      </w:r>
      <w:r>
        <w:rPr>
          <w:lang w:eastAsia="en-GB"/>
        </w:rPr>
        <w:t xml:space="preserve"> </w:t>
      </w:r>
      <w:r w:rsidR="003A018B">
        <w:rPr>
          <w:lang w:eastAsia="en-GB"/>
        </w:rPr>
        <w:t xml:space="preserve">that management </w:t>
      </w:r>
      <w:r>
        <w:rPr>
          <w:lang w:eastAsia="en-GB"/>
        </w:rPr>
        <w:t xml:space="preserve">pay the ransom </w:t>
      </w:r>
      <w:r w:rsidR="003A018B">
        <w:rPr>
          <w:lang w:eastAsia="en-GB"/>
        </w:rPr>
        <w:t xml:space="preserve">in the </w:t>
      </w:r>
      <w:r>
        <w:rPr>
          <w:lang w:eastAsia="en-GB"/>
        </w:rPr>
        <w:t xml:space="preserve">hope they </w:t>
      </w:r>
      <w:r w:rsidR="009474F9">
        <w:rPr>
          <w:lang w:eastAsia="en-GB"/>
        </w:rPr>
        <w:t>would get</w:t>
      </w:r>
      <w:r>
        <w:rPr>
          <w:lang w:eastAsia="en-GB"/>
        </w:rPr>
        <w:t xml:space="preserve"> their system back to normal</w:t>
      </w:r>
      <w:r w:rsidR="00A7739A">
        <w:rPr>
          <w:lang w:eastAsia="en-GB"/>
        </w:rPr>
        <w:t xml:space="preserve">. </w:t>
      </w:r>
    </w:p>
    <w:p w14:paraId="53A70208" w14:textId="22A47668" w:rsidR="00A7739A" w:rsidRPr="00A7739A" w:rsidRDefault="002A6AFD" w:rsidP="00A7739A">
      <w:pPr>
        <w:pStyle w:val="SectionHeading"/>
      </w:pPr>
      <w:r>
        <w:t>An expensive lesson</w:t>
      </w:r>
      <w:r w:rsidR="00E35C9B">
        <w:t xml:space="preserve"> – from bad to worse</w:t>
      </w:r>
    </w:p>
    <w:p w14:paraId="78416EC8" w14:textId="72397CF7" w:rsidR="00FC71D7" w:rsidRPr="002F3F4B" w:rsidRDefault="002F3F4B" w:rsidP="00E231FA">
      <w:pPr>
        <w:pStyle w:val="BodyCopy"/>
        <w:rPr>
          <w:lang w:eastAsia="en-GB"/>
        </w:rPr>
      </w:pPr>
      <w:r>
        <w:rPr>
          <w:lang w:eastAsia="en-GB"/>
        </w:rPr>
        <w:t xml:space="preserve">After almost an entire week of system outage, </w:t>
      </w:r>
      <w:r w:rsidR="002A0087">
        <w:rPr>
          <w:lang w:eastAsia="en-GB"/>
        </w:rPr>
        <w:t xml:space="preserve">the department escalated to Theo. As he was away on holiday, unaware of the events, he did not return their call. The </w:t>
      </w:r>
      <w:r w:rsidR="003A018B">
        <w:rPr>
          <w:lang w:eastAsia="en-GB"/>
        </w:rPr>
        <w:t xml:space="preserve">business </w:t>
      </w:r>
      <w:r w:rsidR="002A0087">
        <w:rPr>
          <w:lang w:eastAsia="en-GB"/>
        </w:rPr>
        <w:t xml:space="preserve">paid the </w:t>
      </w:r>
      <w:r w:rsidR="008121E9">
        <w:rPr>
          <w:lang w:eastAsia="en-GB"/>
        </w:rPr>
        <w:t>ransom,</w:t>
      </w:r>
      <w:r w:rsidR="002A0087">
        <w:rPr>
          <w:lang w:eastAsia="en-GB"/>
        </w:rPr>
        <w:t xml:space="preserve"> </w:t>
      </w:r>
      <w:r w:rsidR="003A018B">
        <w:rPr>
          <w:lang w:eastAsia="en-GB"/>
        </w:rPr>
        <w:t xml:space="preserve">but this </w:t>
      </w:r>
      <w:r w:rsidR="002A0087">
        <w:rPr>
          <w:lang w:eastAsia="en-GB"/>
        </w:rPr>
        <w:t>failed</w:t>
      </w:r>
      <w:r w:rsidR="003A018B">
        <w:rPr>
          <w:lang w:eastAsia="en-GB"/>
        </w:rPr>
        <w:t xml:space="preserve"> to resolve the problem. They</w:t>
      </w:r>
      <w:r w:rsidR="002A0087">
        <w:rPr>
          <w:lang w:eastAsia="en-GB"/>
        </w:rPr>
        <w:t xml:space="preserve"> were forced to spend </w:t>
      </w:r>
      <w:r w:rsidR="003A018B">
        <w:rPr>
          <w:lang w:eastAsia="en-GB"/>
        </w:rPr>
        <w:t xml:space="preserve">more </w:t>
      </w:r>
      <w:r w:rsidR="002A0087">
        <w:rPr>
          <w:lang w:eastAsia="en-GB"/>
        </w:rPr>
        <w:t>money in recovery processes</w:t>
      </w:r>
      <w:r w:rsidR="003A018B">
        <w:rPr>
          <w:lang w:eastAsia="en-GB"/>
        </w:rPr>
        <w:t>,</w:t>
      </w:r>
      <w:r w:rsidR="002A0087">
        <w:rPr>
          <w:lang w:eastAsia="en-GB"/>
        </w:rPr>
        <w:t xml:space="preserve"> and then a remediation program to migrate to a new system</w:t>
      </w:r>
      <w:r w:rsidR="003A018B">
        <w:rPr>
          <w:lang w:eastAsia="en-GB"/>
        </w:rPr>
        <w:t>, and until this was completed the outage continued</w:t>
      </w:r>
      <w:r>
        <w:rPr>
          <w:lang w:eastAsia="en-GB"/>
        </w:rPr>
        <w:t xml:space="preserve">. </w:t>
      </w:r>
      <w:r w:rsidR="009474F9">
        <w:rPr>
          <w:lang w:eastAsia="en-GB"/>
        </w:rPr>
        <w:t>I</w:t>
      </w:r>
      <w:r>
        <w:rPr>
          <w:lang w:eastAsia="en-GB"/>
        </w:rPr>
        <w:t>t appear</w:t>
      </w:r>
      <w:r w:rsidR="009474F9">
        <w:rPr>
          <w:lang w:eastAsia="en-GB"/>
        </w:rPr>
        <w:t>ed</w:t>
      </w:r>
      <w:r>
        <w:rPr>
          <w:lang w:eastAsia="en-GB"/>
        </w:rPr>
        <w:t xml:space="preserve"> the incident </w:t>
      </w:r>
      <w:r w:rsidR="009474F9">
        <w:rPr>
          <w:lang w:eastAsia="en-GB"/>
        </w:rPr>
        <w:t>was</w:t>
      </w:r>
      <w:r>
        <w:rPr>
          <w:lang w:eastAsia="en-GB"/>
        </w:rPr>
        <w:t xml:space="preserve"> over, </w:t>
      </w:r>
      <w:r w:rsidR="003A018B">
        <w:rPr>
          <w:lang w:eastAsia="en-GB"/>
        </w:rPr>
        <w:t xml:space="preserve">but </w:t>
      </w:r>
      <w:r>
        <w:rPr>
          <w:lang w:eastAsia="en-GB"/>
        </w:rPr>
        <w:t xml:space="preserve">senior management </w:t>
      </w:r>
      <w:r w:rsidR="003A018B">
        <w:rPr>
          <w:lang w:eastAsia="en-GB"/>
        </w:rPr>
        <w:t xml:space="preserve">still wanted to understand </w:t>
      </w:r>
      <w:r>
        <w:rPr>
          <w:lang w:eastAsia="en-GB"/>
        </w:rPr>
        <w:t xml:space="preserve">what caused it, and what the overall impact was to the business. </w:t>
      </w:r>
      <w:r w:rsidR="003A018B">
        <w:rPr>
          <w:lang w:eastAsia="en-GB"/>
        </w:rPr>
        <w:t xml:space="preserve">Humphrey explained to Sarah Jennings, Chief Information Officer: </w:t>
      </w:r>
      <w:r>
        <w:rPr>
          <w:lang w:eastAsia="en-GB"/>
        </w:rPr>
        <w:t>“During the ransom, users had to resort to manual reporting methods – which was better than nothing, however, this meant that the business was deprived of timely insights. Our post-incident review revealed that the reporting system had a number of issues from a security standpoint”</w:t>
      </w:r>
      <w:r w:rsidR="008121E9">
        <w:rPr>
          <w:lang w:eastAsia="en-GB"/>
        </w:rPr>
        <w:t xml:space="preserve"> </w:t>
      </w:r>
      <w:r w:rsidR="0013372B">
        <w:rPr>
          <w:noProof/>
        </w:rPr>
        <w:drawing>
          <wp:inline distT="0" distB="0" distL="0" distR="0" wp14:anchorId="6B0C4DDC" wp14:editId="5213F432">
            <wp:extent cx="120316" cy="1533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5" w:history="1">
        <w:r w:rsidR="0048379F" w:rsidRPr="008121E9">
          <w:rPr>
            <w:rStyle w:val="Hyperlink"/>
            <w:b/>
            <w:bCs/>
            <w:vertAlign w:val="superscript"/>
            <w:lang w:eastAsia="en-GB"/>
          </w:rPr>
          <w:t>5</w:t>
        </w:r>
        <w:r w:rsidR="008121E9" w:rsidRPr="008121E9">
          <w:rPr>
            <w:rStyle w:val="Hyperlink"/>
            <w:lang w:eastAsia="en-GB"/>
          </w:rPr>
          <w:t>.</w:t>
        </w:r>
      </w:hyperlink>
      <w:r w:rsidR="008121E9">
        <w:rPr>
          <w:lang w:eastAsia="en-GB"/>
        </w:rPr>
        <w:t xml:space="preserve"> </w:t>
      </w:r>
      <w:r>
        <w:rPr>
          <w:lang w:eastAsia="en-GB"/>
        </w:rPr>
        <w:t>Sarah underst</w:t>
      </w:r>
      <w:r w:rsidR="00DD228A">
        <w:rPr>
          <w:lang w:eastAsia="en-GB"/>
        </w:rPr>
        <w:t>ood</w:t>
      </w:r>
      <w:r>
        <w:rPr>
          <w:lang w:eastAsia="en-GB"/>
        </w:rPr>
        <w:t xml:space="preserve"> that the impacts of this incident </w:t>
      </w:r>
      <w:r w:rsidR="00DD228A">
        <w:rPr>
          <w:lang w:eastAsia="en-GB"/>
        </w:rPr>
        <w:t>were</w:t>
      </w:r>
      <w:r>
        <w:rPr>
          <w:lang w:eastAsia="en-GB"/>
        </w:rPr>
        <w:t xml:space="preserve"> yet to be fully </w:t>
      </w:r>
      <w:proofErr w:type="spellStart"/>
      <w:r>
        <w:rPr>
          <w:lang w:eastAsia="en-GB"/>
        </w:rPr>
        <w:t>recognised</w:t>
      </w:r>
      <w:proofErr w:type="spellEnd"/>
      <w:r>
        <w:rPr>
          <w:lang w:eastAsia="en-GB"/>
        </w:rPr>
        <w:t xml:space="preserve">, and </w:t>
      </w:r>
      <w:r w:rsidR="00DD228A">
        <w:rPr>
          <w:lang w:eastAsia="en-GB"/>
        </w:rPr>
        <w:t>still had</w:t>
      </w:r>
      <w:r>
        <w:rPr>
          <w:lang w:eastAsia="en-GB"/>
        </w:rPr>
        <w:t xml:space="preserve"> the potential to harm them in a variety of ways from a financial, legal, and reputational standpoint. </w:t>
      </w:r>
      <w:r w:rsidR="003A018B">
        <w:rPr>
          <w:lang w:eastAsia="en-GB"/>
        </w:rPr>
        <w:t>For more</w:t>
      </w:r>
      <w:r>
        <w:rPr>
          <w:lang w:eastAsia="en-GB"/>
        </w:rPr>
        <w:t xml:space="preserve"> cl</w:t>
      </w:r>
      <w:r w:rsidR="00DD228A">
        <w:rPr>
          <w:lang w:eastAsia="en-GB"/>
        </w:rPr>
        <w:t>arity,</w:t>
      </w:r>
      <w:r>
        <w:rPr>
          <w:lang w:eastAsia="en-GB"/>
        </w:rPr>
        <w:t xml:space="preserve"> she hire</w:t>
      </w:r>
      <w:r w:rsidR="00DD228A">
        <w:rPr>
          <w:lang w:eastAsia="en-GB"/>
        </w:rPr>
        <w:t>d</w:t>
      </w:r>
      <w:r>
        <w:rPr>
          <w:lang w:eastAsia="en-GB"/>
        </w:rPr>
        <w:t xml:space="preserve"> forensic experts to </w:t>
      </w:r>
      <w:r w:rsidR="003A018B">
        <w:rPr>
          <w:lang w:eastAsia="en-GB"/>
        </w:rPr>
        <w:t xml:space="preserve">research the origins </w:t>
      </w:r>
      <w:r>
        <w:rPr>
          <w:lang w:eastAsia="en-GB"/>
        </w:rPr>
        <w:t>the ransomware</w:t>
      </w:r>
      <w:r w:rsidR="003A018B">
        <w:rPr>
          <w:lang w:eastAsia="en-GB"/>
        </w:rPr>
        <w:t>. S</w:t>
      </w:r>
      <w:r>
        <w:rPr>
          <w:lang w:eastAsia="en-GB"/>
        </w:rPr>
        <w:t>he plan</w:t>
      </w:r>
      <w:r w:rsidR="00EA0DC3">
        <w:rPr>
          <w:lang w:eastAsia="en-GB"/>
        </w:rPr>
        <w:t>ned</w:t>
      </w:r>
      <w:r>
        <w:rPr>
          <w:lang w:eastAsia="en-GB"/>
        </w:rPr>
        <w:t xml:space="preserve"> to claim </w:t>
      </w:r>
      <w:r w:rsidR="003A018B">
        <w:rPr>
          <w:lang w:eastAsia="en-GB"/>
        </w:rPr>
        <w:t xml:space="preserve">the cost of this </w:t>
      </w:r>
      <w:r>
        <w:rPr>
          <w:lang w:eastAsia="en-GB"/>
        </w:rPr>
        <w:t xml:space="preserve">on </w:t>
      </w:r>
      <w:r w:rsidR="003A018B">
        <w:rPr>
          <w:lang w:eastAsia="en-GB"/>
        </w:rPr>
        <w:t xml:space="preserve">the company’s </w:t>
      </w:r>
      <w:r>
        <w:rPr>
          <w:lang w:eastAsia="en-GB"/>
        </w:rPr>
        <w:t>cyber insurance</w:t>
      </w:r>
      <w:r w:rsidR="003A018B">
        <w:rPr>
          <w:lang w:eastAsia="en-GB"/>
        </w:rPr>
        <w:t>,</w:t>
      </w:r>
      <w:r w:rsidR="00EA0DC3">
        <w:rPr>
          <w:lang w:eastAsia="en-GB"/>
        </w:rPr>
        <w:t xml:space="preserve"> in addition to the ransom that was paid</w:t>
      </w:r>
      <w:r>
        <w:rPr>
          <w:lang w:eastAsia="en-GB"/>
        </w:rPr>
        <w:t xml:space="preserve">. </w:t>
      </w:r>
      <w:r w:rsidR="003A018B">
        <w:rPr>
          <w:lang w:eastAsia="en-GB"/>
        </w:rPr>
        <w:t>S</w:t>
      </w:r>
      <w:r>
        <w:rPr>
          <w:lang w:eastAsia="en-GB"/>
        </w:rPr>
        <w:t xml:space="preserve">he </w:t>
      </w:r>
      <w:r w:rsidR="00F00D0E">
        <w:rPr>
          <w:lang w:eastAsia="en-GB"/>
        </w:rPr>
        <w:t xml:space="preserve">also </w:t>
      </w:r>
      <w:r w:rsidR="006D12A4">
        <w:rPr>
          <w:lang w:eastAsia="en-GB"/>
        </w:rPr>
        <w:t>notified the Office of the Victorian Information Commissioner (OV</w:t>
      </w:r>
      <w:r w:rsidR="003A018B">
        <w:rPr>
          <w:lang w:eastAsia="en-GB"/>
        </w:rPr>
        <w:t>I</w:t>
      </w:r>
      <w:r w:rsidR="006D12A4">
        <w:rPr>
          <w:lang w:eastAsia="en-GB"/>
        </w:rPr>
        <w:t>C) of</w:t>
      </w:r>
      <w:r>
        <w:rPr>
          <w:lang w:eastAsia="en-GB"/>
        </w:rPr>
        <w:t xml:space="preserve"> the</w:t>
      </w:r>
      <w:r w:rsidR="00F00D0E">
        <w:rPr>
          <w:lang w:eastAsia="en-GB"/>
        </w:rPr>
        <w:t xml:space="preserve"> information security</w:t>
      </w:r>
      <w:r>
        <w:rPr>
          <w:lang w:eastAsia="en-GB"/>
        </w:rPr>
        <w:t xml:space="preserve"> incident</w:t>
      </w:r>
      <w:r w:rsidR="00F00D0E">
        <w:rPr>
          <w:lang w:eastAsia="en-GB"/>
        </w:rPr>
        <w:t xml:space="preserve"> related to the availability to critical business information</w:t>
      </w:r>
      <w:r w:rsidR="003A018B">
        <w:rPr>
          <w:lang w:eastAsia="en-GB"/>
        </w:rPr>
        <w:t>, as required under the Victorian Protective Data Security Standards</w:t>
      </w:r>
      <w:r w:rsidR="00F00D0E">
        <w:rPr>
          <w:lang w:eastAsia="en-GB"/>
        </w:rPr>
        <w:t>.</w:t>
      </w:r>
      <w:r>
        <w:rPr>
          <w:lang w:eastAsia="en-GB"/>
        </w:rPr>
        <w:t xml:space="preserve"> </w:t>
      </w:r>
      <w:r w:rsidR="008311D6">
        <w:rPr>
          <w:lang w:eastAsia="en-GB"/>
        </w:rPr>
        <w:t>Upon advising that the risk register be updated, s</w:t>
      </w:r>
      <w:r>
        <w:rPr>
          <w:lang w:eastAsia="en-GB"/>
        </w:rPr>
        <w:t>he reflect</w:t>
      </w:r>
      <w:r w:rsidR="00DD228A">
        <w:rPr>
          <w:lang w:eastAsia="en-GB"/>
        </w:rPr>
        <w:t>ed</w:t>
      </w:r>
      <w:r>
        <w:rPr>
          <w:lang w:eastAsia="en-GB"/>
        </w:rPr>
        <w:t xml:space="preserve"> with Humphrey that “Ultimately, our lack of proper management of the system has meant that we’ve funded cybercriminal behaviour by paying the ransom, and has ended up costing us more than if we’d just migrated off the legacy system in the first place.”</w:t>
      </w:r>
      <w:r w:rsidR="00DD228A" w:rsidRPr="00DD228A">
        <w:rPr>
          <w:noProof/>
        </w:rPr>
        <w:t xml:space="preserve"> </w:t>
      </w:r>
    </w:p>
    <w:p w14:paraId="0B9D683C" w14:textId="45D9BD6C" w:rsidR="00BB6612" w:rsidRDefault="00BB6612" w:rsidP="00BB6612">
      <w:pPr>
        <w:pStyle w:val="SectionHeading"/>
      </w:pPr>
      <w:r>
        <w:t>Conclusion</w:t>
      </w:r>
    </w:p>
    <w:p w14:paraId="5CA01225" w14:textId="55B728EC" w:rsidR="00BB6612" w:rsidRDefault="002F3F4B" w:rsidP="0076235C">
      <w:pPr>
        <w:pStyle w:val="BodyCopy"/>
        <w:rPr>
          <w:rFonts w:cstheme="minorHAnsi"/>
        </w:rPr>
      </w:pPr>
      <w:r w:rsidRPr="002F3F4B">
        <w:rPr>
          <w:rFonts w:cstheme="minorHAnsi"/>
        </w:rPr>
        <w:t xml:space="preserve">Legacy systems pose </w:t>
      </w:r>
      <w:r w:rsidR="006D0D58" w:rsidRPr="002F3F4B">
        <w:rPr>
          <w:rFonts w:cstheme="minorHAnsi"/>
        </w:rPr>
        <w:t>several</w:t>
      </w:r>
      <w:r w:rsidRPr="002F3F4B">
        <w:rPr>
          <w:rFonts w:cstheme="minorHAnsi"/>
        </w:rPr>
        <w:t xml:space="preserve"> issues for </w:t>
      </w:r>
      <w:r w:rsidR="006D0D58" w:rsidRPr="002F3F4B">
        <w:rPr>
          <w:rFonts w:cstheme="minorHAnsi"/>
        </w:rPr>
        <w:t>organisations</w:t>
      </w:r>
      <w:r w:rsidR="006D0D58">
        <w:rPr>
          <w:rFonts w:cstheme="minorHAnsi"/>
        </w:rPr>
        <w:t xml:space="preserve"> and</w:t>
      </w:r>
      <w:r w:rsidRPr="002F3F4B">
        <w:rPr>
          <w:rFonts w:cstheme="minorHAnsi"/>
        </w:rPr>
        <w:t xml:space="preserve"> </w:t>
      </w:r>
      <w:r w:rsidR="00785055">
        <w:rPr>
          <w:rFonts w:cstheme="minorHAnsi"/>
        </w:rPr>
        <w:t>are well known areas of information security weakness</w:t>
      </w:r>
      <w:r w:rsidRPr="002F3F4B">
        <w:rPr>
          <w:rFonts w:cstheme="minorHAnsi"/>
        </w:rPr>
        <w:t xml:space="preserve">. </w:t>
      </w:r>
      <w:r w:rsidR="004E2AFA">
        <w:t>Organisations still using legacy systems / technology may be opening themselves up to business</w:t>
      </w:r>
      <w:r w:rsidR="004E2AFA" w:rsidRPr="004E2AFA">
        <w:rPr>
          <w:rStyle w:val="apple-converted-space"/>
          <w:rFonts w:cs="Calibri"/>
          <w:i/>
          <w:iCs/>
        </w:rPr>
        <w:t> </w:t>
      </w:r>
      <w:r w:rsidR="004E2AFA">
        <w:t>(including</w:t>
      </w:r>
      <w:r w:rsidR="004E2AFA" w:rsidRPr="004E2AFA">
        <w:rPr>
          <w:rStyle w:val="apple-converted-space"/>
          <w:rFonts w:cs="Calibri"/>
          <w:i/>
          <w:iCs/>
        </w:rPr>
        <w:t> </w:t>
      </w:r>
      <w:r w:rsidR="004E2AFA">
        <w:t>security)</w:t>
      </w:r>
      <w:r w:rsidR="004E2AFA" w:rsidRPr="004E2AFA">
        <w:rPr>
          <w:rStyle w:val="apple-converted-space"/>
          <w:rFonts w:cs="Calibri"/>
          <w:i/>
          <w:iCs/>
          <w:color w:val="00B050"/>
        </w:rPr>
        <w:t> </w:t>
      </w:r>
      <w:r w:rsidR="004E2AFA">
        <w:t>risks. These include operational inefficiencies and a reduction in effective business processes. Users of these legacy systems and technology may be forced to use outdated features or reduced functionality. Some organisations may face high maintenance costs for their legacy systems / technology.</w:t>
      </w:r>
      <w:r w:rsidR="004E2AFA" w:rsidRPr="004E2AFA">
        <w:rPr>
          <w:rStyle w:val="apple-converted-space"/>
          <w:rFonts w:cs="Calibri"/>
          <w:i/>
          <w:iCs/>
        </w:rPr>
        <w:t> </w:t>
      </w:r>
      <w:r w:rsidR="004E2AFA">
        <w:t xml:space="preserve"> These costs </w:t>
      </w:r>
      <w:r w:rsidR="00353EEE">
        <w:t>may</w:t>
      </w:r>
      <w:r w:rsidR="00665875">
        <w:t xml:space="preserve"> </w:t>
      </w:r>
      <w:r w:rsidR="004E2AFA">
        <w:t>be reduced by implementing</w:t>
      </w:r>
      <w:r w:rsidR="004E2AFA" w:rsidRPr="004E2AFA">
        <w:rPr>
          <w:rStyle w:val="apple-converted-space"/>
          <w:rFonts w:cs="Calibri"/>
          <w:color w:val="00B050"/>
        </w:rPr>
        <w:t> </w:t>
      </w:r>
      <w:r w:rsidR="004E2AFA">
        <w:t>newer technolog</w:t>
      </w:r>
      <w:r w:rsidR="00B01775">
        <w:t>ies</w:t>
      </w:r>
      <w:r w:rsidR="004E2AFA">
        <w:t xml:space="preserve"> which would also help mitigate some of the security risks posed to the organisation</w:t>
      </w:r>
      <w:r w:rsidR="004E2AFA" w:rsidRPr="004E2AFA">
        <w:rPr>
          <w:rStyle w:val="apple-converted-space"/>
          <w:rFonts w:cs="Calibri"/>
          <w:i/>
          <w:iCs/>
          <w:color w:val="00B050"/>
        </w:rPr>
        <w:t> </w:t>
      </w:r>
      <w:r w:rsidR="004E2AFA">
        <w:t>(i.e. unsupported, unpatched)</w:t>
      </w:r>
      <w:r w:rsidR="00330B14" w:rsidRPr="004E2AFA">
        <w:rPr>
          <w:rFonts w:cstheme="minorHAnsi"/>
        </w:rPr>
        <w:t>.</w:t>
      </w:r>
      <w:r w:rsidR="00EC3FA1" w:rsidRPr="004E2AFA">
        <w:rPr>
          <w:rFonts w:cstheme="minorHAnsi"/>
        </w:rPr>
        <w:t xml:space="preserve"> </w:t>
      </w:r>
    </w:p>
    <w:p w14:paraId="6EA9D500" w14:textId="23063891" w:rsidR="00AD7CB5" w:rsidRDefault="00AD7CB5" w:rsidP="0076235C">
      <w:pPr>
        <w:pStyle w:val="BodyCopy"/>
      </w:pPr>
      <w:r>
        <w:br w:type="page"/>
      </w:r>
    </w:p>
    <w:p w14:paraId="0574586C" w14:textId="32C3F107" w:rsidR="00A91E0E" w:rsidRDefault="00A91E0E" w:rsidP="00A91E0E">
      <w:pPr>
        <w:pStyle w:val="SectionHeading"/>
        <w:outlineLvl w:val="1"/>
      </w:pPr>
      <w:r>
        <w:lastRenderedPageBreak/>
        <w:t xml:space="preserve">The </w:t>
      </w:r>
      <w:r w:rsidR="00E231FA">
        <w:t>f</w:t>
      </w:r>
      <w:r>
        <w:t>acts</w:t>
      </w:r>
    </w:p>
    <w:p w14:paraId="5B70EC51" w14:textId="7899FDD4" w:rsidR="00A91E0E" w:rsidRDefault="00EC3FA1" w:rsidP="00E231FA">
      <w:pPr>
        <w:pStyle w:val="BodyCopy"/>
      </w:pPr>
      <w:r>
        <w:t xml:space="preserve">This case study was </w:t>
      </w:r>
      <w:r w:rsidR="004E43AE">
        <w:t>i</w:t>
      </w:r>
      <w:r w:rsidR="006A260D">
        <w:t>nspired by real events</w:t>
      </w:r>
      <w:r w:rsidR="00353EEE">
        <w:t>,</w:t>
      </w:r>
      <w:r w:rsidR="006A260D">
        <w:t xml:space="preserve"> </w:t>
      </w:r>
      <w:r w:rsidR="00353EEE">
        <w:t xml:space="preserve">and </w:t>
      </w:r>
      <w:r w:rsidR="006A260D">
        <w:t>Victorian public sector</w:t>
      </w:r>
      <w:r w:rsidR="004E43AE">
        <w:t xml:space="preserve"> organisations </w:t>
      </w:r>
      <w:r w:rsidR="00AA3732">
        <w:t>still using legacy systems experience an array of challenges when it comes to maintaining this system</w:t>
      </w:r>
      <w:r w:rsidR="001C671C">
        <w:t>.</w:t>
      </w:r>
      <w:r w:rsidR="00AA3732">
        <w:t xml:space="preserve"> Often, maintaining a legacy system imposes significant inefficiencies (including cost) on organisations. </w:t>
      </w:r>
    </w:p>
    <w:p w14:paraId="656F7E0A" w14:textId="4AF2A3DB" w:rsidR="00EC3FA1" w:rsidRDefault="00321398" w:rsidP="00E231FA">
      <w:pPr>
        <w:pStyle w:val="BodyCopy"/>
      </w:pPr>
      <w:r>
        <w:t>An example of legacy systems</w:t>
      </w:r>
      <w:r w:rsidR="00EA3D4D">
        <w:t xml:space="preserve"> can be found here:</w:t>
      </w:r>
    </w:p>
    <w:p w14:paraId="4B7BC1BE" w14:textId="58A66A52" w:rsidR="00AA6AB1" w:rsidRPr="00EA0DC3" w:rsidRDefault="004528FD" w:rsidP="00E231FA">
      <w:pPr>
        <w:pStyle w:val="BodyCopy"/>
      </w:pPr>
      <w:hyperlink r:id="rId10" w:history="1">
        <w:r w:rsidR="00AC4CB7" w:rsidRPr="00EA0DC3">
          <w:rPr>
            <w:rStyle w:val="Hyperlink"/>
          </w:rPr>
          <w:t>https://www.itnews.com.au/news/leap-replacement-drops-off-victoria-polices-agenda-419277</w:t>
        </w:r>
      </w:hyperlink>
    </w:p>
    <w:p w14:paraId="0EB01C10" w14:textId="4EBBBA31" w:rsidR="009E3EFB" w:rsidRPr="001F3DC9" w:rsidRDefault="00EA3D4D" w:rsidP="00E231FA">
      <w:pPr>
        <w:pStyle w:val="SectionHeading"/>
      </w:pPr>
      <w:r>
        <w:t xml:space="preserve">Impacts of </w:t>
      </w:r>
      <w:r w:rsidR="00E231FA">
        <w:t>l</w:t>
      </w:r>
      <w:r w:rsidR="00321398">
        <w:t xml:space="preserve">egacy </w:t>
      </w:r>
      <w:r w:rsidR="00E231FA">
        <w:t>s</w:t>
      </w:r>
      <w:r w:rsidR="00321398">
        <w:t>ystems</w:t>
      </w:r>
    </w:p>
    <w:tbl>
      <w:tblPr>
        <w:tblStyle w:val="TableGrid"/>
        <w:tblW w:w="9519" w:type="dxa"/>
        <w:tblInd w:w="113"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5E3"/>
        <w:tblLayout w:type="fixed"/>
        <w:tblLook w:val="04A0" w:firstRow="1" w:lastRow="0" w:firstColumn="1" w:lastColumn="0" w:noHBand="0" w:noVBand="1"/>
      </w:tblPr>
      <w:tblGrid>
        <w:gridCol w:w="3008"/>
        <w:gridCol w:w="6511"/>
      </w:tblGrid>
      <w:tr w:rsidR="00D34A44" w:rsidRPr="00D34A44" w14:paraId="2AD73684" w14:textId="77777777" w:rsidTr="00910B11">
        <w:trPr>
          <w:cantSplit/>
          <w:trHeight w:val="646"/>
          <w:tblHeader/>
        </w:trPr>
        <w:tc>
          <w:tcPr>
            <w:tcW w:w="3008" w:type="dxa"/>
            <w:shd w:val="clear" w:color="auto" w:fill="420098"/>
          </w:tcPr>
          <w:p w14:paraId="153152A1" w14:textId="26AEBDE4" w:rsidR="009E3EFB" w:rsidRPr="00D34A44" w:rsidRDefault="00EC3FA1" w:rsidP="00240D24">
            <w:pPr>
              <w:pStyle w:val="BodyCopy"/>
              <w:rPr>
                <w:b/>
                <w:color w:val="FFFFFF" w:themeColor="background1"/>
              </w:rPr>
            </w:pPr>
            <w:r w:rsidRPr="00D34A44">
              <w:rPr>
                <w:b/>
                <w:color w:val="FFFFFF" w:themeColor="background1"/>
              </w:rPr>
              <w:t>What was affected</w:t>
            </w:r>
          </w:p>
        </w:tc>
        <w:tc>
          <w:tcPr>
            <w:tcW w:w="6511" w:type="dxa"/>
            <w:shd w:val="clear" w:color="auto" w:fill="420098"/>
          </w:tcPr>
          <w:p w14:paraId="203BA289" w14:textId="2F5BD7E3" w:rsidR="009E3EFB" w:rsidRPr="00D34A44" w:rsidRDefault="00EC3FA1" w:rsidP="00240D24">
            <w:pPr>
              <w:pStyle w:val="BodyCopy"/>
              <w:rPr>
                <w:b/>
                <w:color w:val="FFFFFF" w:themeColor="background1"/>
              </w:rPr>
            </w:pPr>
            <w:r w:rsidRPr="00D34A44">
              <w:rPr>
                <w:b/>
                <w:color w:val="FFFFFF" w:themeColor="background1"/>
              </w:rPr>
              <w:t>Impact</w:t>
            </w:r>
          </w:p>
        </w:tc>
      </w:tr>
      <w:tr w:rsidR="00EA3D4D" w:rsidRPr="00A17370" w14:paraId="51CE87F7" w14:textId="77777777" w:rsidTr="00D34A44">
        <w:trPr>
          <w:cantSplit/>
          <w:trHeight w:val="557"/>
        </w:trPr>
        <w:tc>
          <w:tcPr>
            <w:tcW w:w="3008" w:type="dxa"/>
            <w:shd w:val="clear" w:color="auto" w:fill="EAE5E3"/>
          </w:tcPr>
          <w:p w14:paraId="1D532A24" w14:textId="4AC7DCD8" w:rsidR="00EA3D4D" w:rsidRPr="00EA0DC3" w:rsidRDefault="007779FC">
            <w:pPr>
              <w:pStyle w:val="BodyCopy"/>
            </w:pPr>
            <w:r>
              <w:t>Service Delivery</w:t>
            </w:r>
          </w:p>
        </w:tc>
        <w:tc>
          <w:tcPr>
            <w:tcW w:w="6511" w:type="dxa"/>
            <w:shd w:val="clear" w:color="auto" w:fill="EAE5E3"/>
          </w:tcPr>
          <w:p w14:paraId="6441F7DB" w14:textId="6848884C" w:rsidR="001940BF" w:rsidRPr="00A17370" w:rsidRDefault="00B93B93" w:rsidP="00AA6AB1">
            <w:pPr>
              <w:pStyle w:val="BodyCopy"/>
            </w:pPr>
            <w:r>
              <w:t>Information required to assist in the day to day functioning of the department was not available</w:t>
            </w:r>
            <w:r w:rsidR="001940BF">
              <w:t>.</w:t>
            </w:r>
            <w:r>
              <w:t xml:space="preserve"> This </w:t>
            </w:r>
            <w:r w:rsidR="0076235C">
              <w:t>led</w:t>
            </w:r>
            <w:r>
              <w:t xml:space="preserve"> to productivity issues, missed deadlines and ultimately, the cost of paying the ransom.</w:t>
            </w:r>
            <w:r w:rsidR="001940BF">
              <w:t xml:space="preserve"> </w:t>
            </w:r>
          </w:p>
        </w:tc>
      </w:tr>
      <w:tr w:rsidR="00EA3D4D" w:rsidRPr="00A17370" w14:paraId="75E3D2A6" w14:textId="77777777" w:rsidTr="00D34A44">
        <w:trPr>
          <w:cantSplit/>
          <w:trHeight w:val="557"/>
        </w:trPr>
        <w:tc>
          <w:tcPr>
            <w:tcW w:w="3008" w:type="dxa"/>
            <w:shd w:val="clear" w:color="auto" w:fill="EAE5E3"/>
          </w:tcPr>
          <w:p w14:paraId="7B7D8C41" w14:textId="43FEA2F9" w:rsidR="00EA3D4D" w:rsidRPr="00F52743" w:rsidRDefault="00EA3D4D" w:rsidP="00240D24">
            <w:pPr>
              <w:pStyle w:val="BodyCopy"/>
            </w:pPr>
            <w:r>
              <w:t>Reputation</w:t>
            </w:r>
          </w:p>
        </w:tc>
        <w:tc>
          <w:tcPr>
            <w:tcW w:w="6511" w:type="dxa"/>
            <w:shd w:val="clear" w:color="auto" w:fill="EAE5E3"/>
          </w:tcPr>
          <w:p w14:paraId="6B3546A3" w14:textId="0C0DDD69" w:rsidR="00EA3D4D" w:rsidRPr="00A17370" w:rsidRDefault="00CB38BC" w:rsidP="008412D7">
            <w:pPr>
              <w:pStyle w:val="BodyCopy"/>
            </w:pPr>
            <w:r w:rsidRPr="00CB38BC">
              <w:t>If c</w:t>
            </w:r>
            <w:r w:rsidR="001940BF" w:rsidRPr="00CB38BC">
              <w:t>riminal activity enablement</w:t>
            </w:r>
            <w:r w:rsidRPr="00CB38BC">
              <w:t xml:space="preserve"> (i.e. paying a ransom) </w:t>
            </w:r>
            <w:r w:rsidR="001940BF" w:rsidRPr="00CB38BC">
              <w:t>is associated with a Victorian public sector organisation</w:t>
            </w:r>
            <w:r w:rsidRPr="00CB38BC">
              <w:t>, t</w:t>
            </w:r>
            <w:r w:rsidR="001940BF" w:rsidRPr="00CB38BC">
              <w:t xml:space="preserve">his is not only embarrassing for the organisation, but also reduces public trust </w:t>
            </w:r>
            <w:r w:rsidR="008412D7" w:rsidRPr="00CB38BC">
              <w:t>from the local community. In turn, this creates a new barrier when engaging with the community.</w:t>
            </w:r>
            <w:r w:rsidR="001940BF">
              <w:t xml:space="preserve"> </w:t>
            </w:r>
          </w:p>
        </w:tc>
      </w:tr>
    </w:tbl>
    <w:p w14:paraId="141ED0DF" w14:textId="77777777" w:rsidR="00910B11" w:rsidRPr="004528FD" w:rsidRDefault="00910B11" w:rsidP="004528FD">
      <w:pPr>
        <w:pStyle w:val="SectionHeading"/>
        <w:spacing w:before="0" w:after="0"/>
        <w:outlineLvl w:val="1"/>
        <w:rPr>
          <w:b w:val="0"/>
          <w:bCs/>
          <w:sz w:val="20"/>
          <w:szCs w:val="20"/>
        </w:rPr>
      </w:pPr>
    </w:p>
    <w:p w14:paraId="6B42FC9C" w14:textId="27DF5A10" w:rsidR="00C47BBA" w:rsidRDefault="00A91E0E" w:rsidP="003B6F22">
      <w:pPr>
        <w:pStyle w:val="SectionHeading"/>
        <w:outlineLvl w:val="1"/>
      </w:pPr>
      <w:r>
        <w:t xml:space="preserve">Alignment to </w:t>
      </w:r>
      <w:r w:rsidR="00E231FA">
        <w:t>r</w:t>
      </w:r>
      <w:r>
        <w:t>isk</w:t>
      </w:r>
    </w:p>
    <w:p w14:paraId="0CB12727" w14:textId="77777777" w:rsidR="004528FD" w:rsidRDefault="004528FD" w:rsidP="004528FD">
      <w:pPr>
        <w:pStyle w:val="OVICQuote"/>
        <w:ind w:firstLine="720"/>
      </w:pPr>
      <w:r w:rsidRPr="00D929CA">
        <w:t>‘</w:t>
      </w:r>
      <w:r w:rsidRPr="00F6740A">
        <w:rPr>
          <w:b/>
          <w:bCs/>
        </w:rPr>
        <w:t>The risk of</w:t>
      </w:r>
      <w:r w:rsidRPr="00D929CA">
        <w:t xml:space="preserve"> </w:t>
      </w:r>
      <w:proofErr w:type="gramStart"/>
      <w:r w:rsidRPr="00D929CA">
        <w:t>….event</w:t>
      </w:r>
      <w:proofErr w:type="gramEnd"/>
      <w:r w:rsidRPr="00D929CA">
        <w:t xml:space="preserve">…. </w:t>
      </w:r>
      <w:r w:rsidRPr="00F6740A">
        <w:rPr>
          <w:b/>
          <w:bCs/>
        </w:rPr>
        <w:t xml:space="preserve">caused </w:t>
      </w:r>
      <w:proofErr w:type="gramStart"/>
      <w:r w:rsidRPr="00F6740A">
        <w:rPr>
          <w:b/>
          <w:bCs/>
        </w:rPr>
        <w:t>by</w:t>
      </w:r>
      <w:r w:rsidRPr="00D929CA">
        <w:t xml:space="preserve"> .</w:t>
      </w:r>
      <w:proofErr w:type="gramEnd"/>
      <w:r w:rsidRPr="00D929CA">
        <w:t xml:space="preserve">…how…. </w:t>
      </w:r>
      <w:r w:rsidRPr="00F6740A">
        <w:rPr>
          <w:b/>
          <w:bCs/>
        </w:rPr>
        <w:t>resulting in</w:t>
      </w:r>
      <w:r w:rsidRPr="00D929CA">
        <w:t xml:space="preserve"> </w:t>
      </w:r>
      <w:proofErr w:type="gramStart"/>
      <w:r w:rsidRPr="00D929CA">
        <w:t>….impact</w:t>
      </w:r>
      <w:proofErr w:type="gramEnd"/>
      <w:r w:rsidRPr="00D929CA">
        <w:t>(s)…’.</w:t>
      </w:r>
    </w:p>
    <w:p w14:paraId="0337C988" w14:textId="77777777" w:rsidR="004528FD" w:rsidRDefault="004528FD" w:rsidP="004528FD">
      <w:pPr>
        <w:pStyle w:val="OVICQuote"/>
        <w:ind w:firstLine="720"/>
      </w:pPr>
    </w:p>
    <w:p w14:paraId="2DE81727" w14:textId="5D16902D" w:rsidR="00EC3FA1" w:rsidRDefault="00EC3FA1" w:rsidP="008F0F5A">
      <w:r>
        <w:t>This cas</w:t>
      </w:r>
      <w:r w:rsidR="00D61BC4">
        <w:t>e study may manifest itself as</w:t>
      </w:r>
      <w:r>
        <w:t xml:space="preserve"> the following risk statement</w:t>
      </w:r>
      <w:r w:rsidR="00D61BC4">
        <w:t>s</w:t>
      </w:r>
      <w:r>
        <w:t xml:space="preserve"> in a</w:t>
      </w:r>
      <w:r w:rsidR="005F71B6">
        <w:t>n organisation’s</w:t>
      </w:r>
      <w:r>
        <w:t xml:space="preserve"> risk register:</w:t>
      </w:r>
    </w:p>
    <w:p w14:paraId="15ABE34F" w14:textId="4B41DF2A" w:rsidR="00A91E0E" w:rsidRDefault="0069681A" w:rsidP="008F0F5A">
      <w:r>
        <w:t xml:space="preserve"> </w:t>
      </w:r>
    </w:p>
    <w:tbl>
      <w:tblPr>
        <w:tblStyle w:val="GridTable4-Accent4"/>
        <w:tblW w:w="9634"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5E3"/>
        <w:tblLook w:val="04A0" w:firstRow="1" w:lastRow="0" w:firstColumn="1" w:lastColumn="0" w:noHBand="0" w:noVBand="1"/>
      </w:tblPr>
      <w:tblGrid>
        <w:gridCol w:w="3211"/>
        <w:gridCol w:w="3211"/>
        <w:gridCol w:w="3212"/>
      </w:tblGrid>
      <w:tr w:rsidR="0076235C" w:rsidRPr="0076235C" w14:paraId="2B329A58" w14:textId="77777777" w:rsidTr="00D34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Borders>
              <w:top w:val="none" w:sz="0" w:space="0" w:color="auto"/>
              <w:left w:val="none" w:sz="0" w:space="0" w:color="auto"/>
              <w:bottom w:val="none" w:sz="0" w:space="0" w:color="auto"/>
              <w:right w:val="none" w:sz="0" w:space="0" w:color="auto"/>
            </w:tcBorders>
            <w:shd w:val="clear" w:color="auto" w:fill="420098"/>
          </w:tcPr>
          <w:p w14:paraId="25B69C1B" w14:textId="2C15DF26" w:rsidR="007779FC" w:rsidRPr="0076235C" w:rsidRDefault="007779FC" w:rsidP="00910B11">
            <w:pPr>
              <w:pStyle w:val="BodyCopy"/>
              <w:numPr>
                <w:ilvl w:val="0"/>
                <w:numId w:val="17"/>
              </w:numPr>
              <w:rPr>
                <w:color w:val="FFFFFF" w:themeColor="background1"/>
              </w:rPr>
            </w:pPr>
            <w:r w:rsidRPr="0076235C">
              <w:rPr>
                <w:color w:val="FFFFFF" w:themeColor="background1"/>
              </w:rPr>
              <w:t>The risk of</w:t>
            </w:r>
          </w:p>
        </w:tc>
        <w:tc>
          <w:tcPr>
            <w:tcW w:w="3211" w:type="dxa"/>
            <w:tcBorders>
              <w:top w:val="none" w:sz="0" w:space="0" w:color="auto"/>
              <w:left w:val="none" w:sz="0" w:space="0" w:color="auto"/>
              <w:bottom w:val="none" w:sz="0" w:space="0" w:color="auto"/>
              <w:right w:val="none" w:sz="0" w:space="0" w:color="auto"/>
            </w:tcBorders>
            <w:shd w:val="clear" w:color="auto" w:fill="420098"/>
          </w:tcPr>
          <w:p w14:paraId="698F7FBD" w14:textId="172D64AD" w:rsidR="007779FC" w:rsidRPr="0076235C" w:rsidRDefault="007779FC" w:rsidP="00910B11">
            <w:pPr>
              <w:pStyle w:val="BodyCopy"/>
              <w:numPr>
                <w:ilvl w:val="0"/>
                <w:numId w:val="17"/>
              </w:numPr>
              <w:cnfStyle w:val="100000000000" w:firstRow="1" w:lastRow="0" w:firstColumn="0" w:lastColumn="0" w:oddVBand="0" w:evenVBand="0" w:oddHBand="0" w:evenHBand="0" w:firstRowFirstColumn="0" w:firstRowLastColumn="0" w:lastRowFirstColumn="0" w:lastRowLastColumn="0"/>
              <w:rPr>
                <w:color w:val="FFFFFF" w:themeColor="background1"/>
              </w:rPr>
            </w:pPr>
            <w:r w:rsidRPr="0076235C">
              <w:rPr>
                <w:color w:val="FFFFFF" w:themeColor="background1"/>
              </w:rPr>
              <w:t>Caused by</w:t>
            </w:r>
          </w:p>
        </w:tc>
        <w:tc>
          <w:tcPr>
            <w:tcW w:w="3212" w:type="dxa"/>
            <w:tcBorders>
              <w:top w:val="none" w:sz="0" w:space="0" w:color="auto"/>
              <w:left w:val="none" w:sz="0" w:space="0" w:color="auto"/>
              <w:bottom w:val="none" w:sz="0" w:space="0" w:color="auto"/>
              <w:right w:val="none" w:sz="0" w:space="0" w:color="auto"/>
            </w:tcBorders>
            <w:shd w:val="clear" w:color="auto" w:fill="420098"/>
          </w:tcPr>
          <w:p w14:paraId="41245DE3" w14:textId="4EF6BA09" w:rsidR="007779FC" w:rsidRPr="0076235C" w:rsidRDefault="007779FC" w:rsidP="00910B11">
            <w:pPr>
              <w:pStyle w:val="BodyCopy"/>
              <w:numPr>
                <w:ilvl w:val="0"/>
                <w:numId w:val="17"/>
              </w:numPr>
              <w:cnfStyle w:val="100000000000" w:firstRow="1" w:lastRow="0" w:firstColumn="0" w:lastColumn="0" w:oddVBand="0" w:evenVBand="0" w:oddHBand="0" w:evenHBand="0" w:firstRowFirstColumn="0" w:firstRowLastColumn="0" w:lastRowFirstColumn="0" w:lastRowLastColumn="0"/>
              <w:rPr>
                <w:color w:val="FFFFFF" w:themeColor="background1"/>
              </w:rPr>
            </w:pPr>
            <w:r w:rsidRPr="0076235C">
              <w:rPr>
                <w:color w:val="FFFFFF" w:themeColor="background1"/>
              </w:rPr>
              <w:t>Resulting in</w:t>
            </w:r>
          </w:p>
        </w:tc>
      </w:tr>
      <w:tr w:rsidR="007779FC" w14:paraId="2609C946" w14:textId="77777777" w:rsidTr="00D3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4F57E361" w14:textId="17080A4A" w:rsidR="007779FC" w:rsidRPr="006D12A4" w:rsidRDefault="00673935" w:rsidP="009828B9">
            <w:pPr>
              <w:pStyle w:val="BodyCopy"/>
              <w:rPr>
                <w:b w:val="0"/>
              </w:rPr>
            </w:pPr>
            <w:r>
              <w:rPr>
                <w:b w:val="0"/>
              </w:rPr>
              <w:t>Unavailability of the department’s critical reporting information on the legacy reporting system</w:t>
            </w:r>
          </w:p>
        </w:tc>
        <w:tc>
          <w:tcPr>
            <w:tcW w:w="3211" w:type="dxa"/>
            <w:shd w:val="clear" w:color="auto" w:fill="EAE5E3"/>
          </w:tcPr>
          <w:p w14:paraId="79BAF007" w14:textId="76F1348C" w:rsidR="007779FC" w:rsidRDefault="00673935" w:rsidP="009828B9">
            <w:pPr>
              <w:pStyle w:val="BodyCopy"/>
              <w:cnfStyle w:val="000000100000" w:firstRow="0" w:lastRow="0" w:firstColumn="0" w:lastColumn="0" w:oddVBand="0" w:evenVBand="0" w:oddHBand="1" w:evenHBand="0" w:firstRowFirstColumn="0" w:firstRowLastColumn="0" w:lastRowFirstColumn="0" w:lastRowLastColumn="0"/>
            </w:pPr>
            <w:r>
              <w:t>Cybercriminals launching a ransomware attack</w:t>
            </w:r>
          </w:p>
        </w:tc>
        <w:tc>
          <w:tcPr>
            <w:tcW w:w="3212" w:type="dxa"/>
            <w:shd w:val="clear" w:color="auto" w:fill="EAE5E3"/>
          </w:tcPr>
          <w:p w14:paraId="2C0DBC9E" w14:textId="37ABD3E0" w:rsidR="007779FC" w:rsidRDefault="00673935" w:rsidP="009828B9">
            <w:pPr>
              <w:pStyle w:val="BodyCopy"/>
              <w:cnfStyle w:val="000000100000" w:firstRow="0" w:lastRow="0" w:firstColumn="0" w:lastColumn="0" w:oddVBand="0" w:evenVBand="0" w:oddHBand="1" w:evenHBand="0" w:firstRowFirstColumn="0" w:firstRowLastColumn="0" w:lastRowFirstColumn="0" w:lastRowLastColumn="0"/>
            </w:pPr>
            <w:r>
              <w:t>Degradation of service delivery and reputational damage</w:t>
            </w:r>
          </w:p>
        </w:tc>
      </w:tr>
      <w:tr w:rsidR="007779FC" w14:paraId="3EED6DCB" w14:textId="77777777" w:rsidTr="00D34A44">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607B4E08" w14:textId="22EA9BA1" w:rsidR="007779FC" w:rsidRPr="006D12A4" w:rsidRDefault="00910B11" w:rsidP="009828B9">
            <w:pPr>
              <w:pStyle w:val="BodyCopy"/>
              <w:rPr>
                <w:b w:val="0"/>
              </w:rPr>
            </w:pPr>
            <w:r>
              <w:rPr>
                <w:b w:val="0"/>
              </w:rPr>
              <w:t xml:space="preserve">Compromise to the integrity of reporting information from reduced </w:t>
            </w:r>
            <w:r w:rsidR="00673935">
              <w:rPr>
                <w:b w:val="0"/>
              </w:rPr>
              <w:t>ability to</w:t>
            </w:r>
            <w:r w:rsidR="00D308E2">
              <w:rPr>
                <w:b w:val="0"/>
              </w:rPr>
              <w:t xml:space="preserve"> operate the reporting system and</w:t>
            </w:r>
            <w:r w:rsidR="00673935">
              <w:rPr>
                <w:b w:val="0"/>
              </w:rPr>
              <w:t xml:space="preserve"> </w:t>
            </w:r>
            <w:r w:rsidR="00D17021">
              <w:rPr>
                <w:b w:val="0"/>
              </w:rPr>
              <w:t>process reporting information completely and accurately</w:t>
            </w:r>
          </w:p>
        </w:tc>
        <w:tc>
          <w:tcPr>
            <w:tcW w:w="3211" w:type="dxa"/>
            <w:shd w:val="clear" w:color="auto" w:fill="EAE5E3"/>
          </w:tcPr>
          <w:p w14:paraId="756D6D4F" w14:textId="776AE11A" w:rsidR="007779FC" w:rsidRDefault="00D17021" w:rsidP="009828B9">
            <w:pPr>
              <w:pStyle w:val="BodyCopy"/>
              <w:cnfStyle w:val="000000000000" w:firstRow="0" w:lastRow="0" w:firstColumn="0" w:lastColumn="0" w:oddVBand="0" w:evenVBand="0" w:oddHBand="0" w:evenHBand="0" w:firstRowFirstColumn="0" w:firstRowLastColumn="0" w:lastRowFirstColumn="0" w:lastRowLastColumn="0"/>
            </w:pPr>
            <w:r>
              <w:t xml:space="preserve">The unavailability of </w:t>
            </w:r>
            <w:r w:rsidR="00910B11">
              <w:t xml:space="preserve">key resources (e.g. </w:t>
            </w:r>
            <w:r>
              <w:t>system manager</w:t>
            </w:r>
            <w:r w:rsidR="00910B11">
              <w:t>)</w:t>
            </w:r>
            <w:r>
              <w:t xml:space="preserve"> </w:t>
            </w:r>
          </w:p>
        </w:tc>
        <w:tc>
          <w:tcPr>
            <w:tcW w:w="3212" w:type="dxa"/>
            <w:shd w:val="clear" w:color="auto" w:fill="EAE5E3"/>
          </w:tcPr>
          <w:p w14:paraId="6EE76A7F" w14:textId="368B3E65" w:rsidR="007779FC" w:rsidRPr="006D12A4" w:rsidRDefault="00D308E2" w:rsidP="009828B9">
            <w:pPr>
              <w:pStyle w:val="BodyCopy"/>
              <w:cnfStyle w:val="000000000000" w:firstRow="0" w:lastRow="0" w:firstColumn="0" w:lastColumn="0" w:oddVBand="0" w:evenVBand="0" w:oddHBand="0" w:evenHBand="0" w:firstRowFirstColumn="0" w:firstRowLastColumn="0" w:lastRowFirstColumn="0" w:lastRowLastColumn="0"/>
            </w:pPr>
            <w:r>
              <w:t>Operational inefficiency, i</w:t>
            </w:r>
            <w:r w:rsidR="00D17021">
              <w:t xml:space="preserve">neffective </w:t>
            </w:r>
            <w:proofErr w:type="gramStart"/>
            <w:r w:rsidR="00D17021">
              <w:t>decision-making</w:t>
            </w:r>
            <w:proofErr w:type="gramEnd"/>
            <w:r w:rsidR="00D17021">
              <w:t xml:space="preserve"> and negative financial impact</w:t>
            </w:r>
          </w:p>
        </w:tc>
      </w:tr>
      <w:tr w:rsidR="007779FC" w14:paraId="685355B7" w14:textId="77777777" w:rsidTr="00D34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3599E5A1" w14:textId="2AF17089" w:rsidR="007779FC" w:rsidRPr="006D12A4" w:rsidRDefault="00D308E2" w:rsidP="009828B9">
            <w:pPr>
              <w:pStyle w:val="BodyCopy"/>
              <w:rPr>
                <w:b w:val="0"/>
              </w:rPr>
            </w:pPr>
            <w:r>
              <w:rPr>
                <w:b w:val="0"/>
              </w:rPr>
              <w:lastRenderedPageBreak/>
              <w:t>Improper allocation of financial resources</w:t>
            </w:r>
          </w:p>
        </w:tc>
        <w:tc>
          <w:tcPr>
            <w:tcW w:w="3211" w:type="dxa"/>
            <w:shd w:val="clear" w:color="auto" w:fill="EAE5E3"/>
          </w:tcPr>
          <w:p w14:paraId="6C0B2601" w14:textId="074A07D5" w:rsidR="007779FC" w:rsidRDefault="00D308E2" w:rsidP="009828B9">
            <w:pPr>
              <w:pStyle w:val="BodyCopy"/>
              <w:cnfStyle w:val="000000100000" w:firstRow="0" w:lastRow="0" w:firstColumn="0" w:lastColumn="0" w:oddVBand="0" w:evenVBand="0" w:oddHBand="1" w:evenHBand="0" w:firstRowFirstColumn="0" w:firstRowLastColumn="0" w:lastRowFirstColumn="0" w:lastRowLastColumn="0"/>
            </w:pPr>
            <w:r>
              <w:t xml:space="preserve">The </w:t>
            </w:r>
            <w:r w:rsidR="00F00A43">
              <w:t>unsustainable cost</w:t>
            </w:r>
            <w:r>
              <w:t xml:space="preserve"> of maintaining the legacy reporting system</w:t>
            </w:r>
          </w:p>
        </w:tc>
        <w:tc>
          <w:tcPr>
            <w:tcW w:w="3212" w:type="dxa"/>
            <w:shd w:val="clear" w:color="auto" w:fill="EAE5E3"/>
          </w:tcPr>
          <w:p w14:paraId="4BBB37AA" w14:textId="2D31200B" w:rsidR="007779FC" w:rsidRPr="006D12A4" w:rsidRDefault="00D308E2" w:rsidP="009828B9">
            <w:pPr>
              <w:pStyle w:val="BodyCopy"/>
              <w:cnfStyle w:val="000000100000" w:firstRow="0" w:lastRow="0" w:firstColumn="0" w:lastColumn="0" w:oddVBand="0" w:evenVBand="0" w:oddHBand="1" w:evenHBand="0" w:firstRowFirstColumn="0" w:firstRowLastColumn="0" w:lastRowFirstColumn="0" w:lastRowLastColumn="0"/>
            </w:pPr>
            <w:r>
              <w:t xml:space="preserve">Negative financial impact </w:t>
            </w:r>
          </w:p>
        </w:tc>
      </w:tr>
    </w:tbl>
    <w:p w14:paraId="7ED9119F" w14:textId="77777777" w:rsidR="0024274C" w:rsidRDefault="0024274C" w:rsidP="00396B05">
      <w:pPr>
        <w:pStyle w:val="SectionHeading"/>
        <w:outlineLvl w:val="1"/>
      </w:pPr>
    </w:p>
    <w:p w14:paraId="1CBBF03C" w14:textId="78DAD98E" w:rsidR="00396B05" w:rsidRDefault="00396B05" w:rsidP="00396B05">
      <w:pPr>
        <w:pStyle w:val="SectionHeading"/>
        <w:outlineLvl w:val="1"/>
      </w:pPr>
      <w:r>
        <w:t xml:space="preserve">Key </w:t>
      </w:r>
      <w:r w:rsidR="00E231FA">
        <w:t>f</w:t>
      </w:r>
      <w:r>
        <w:t xml:space="preserve">lags </w:t>
      </w:r>
      <w:r w:rsidR="00B620F1">
        <w:rPr>
          <w:noProof/>
          <w:lang w:val="en-US"/>
        </w:rPr>
        <w:drawing>
          <wp:inline distT="0" distB="0" distL="0" distR="0" wp14:anchorId="34F0C900" wp14:editId="145BC54B">
            <wp:extent cx="120316" cy="1533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r>
        <w:t xml:space="preserve"> and </w:t>
      </w:r>
      <w:r w:rsidR="00E231FA">
        <w:t>c</w:t>
      </w:r>
      <w:r>
        <w:t xml:space="preserve">ontrol </w:t>
      </w:r>
      <w:r w:rsidR="00E231FA">
        <w:t>c</w:t>
      </w:r>
      <w:r>
        <w:t>onsiderations</w:t>
      </w:r>
    </w:p>
    <w:tbl>
      <w:tblPr>
        <w:tblStyle w:val="GridTable4-Accent4"/>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5E3"/>
        <w:tblLook w:val="0620" w:firstRow="1" w:lastRow="0" w:firstColumn="0" w:lastColumn="0" w:noHBand="1" w:noVBand="1"/>
      </w:tblPr>
      <w:tblGrid>
        <w:gridCol w:w="584"/>
        <w:gridCol w:w="2919"/>
        <w:gridCol w:w="3075"/>
        <w:gridCol w:w="2964"/>
      </w:tblGrid>
      <w:tr w:rsidR="00B620F1" w:rsidRPr="009828B9" w14:paraId="09223DFD" w14:textId="7DF76F5E" w:rsidTr="00D34A44">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none" w:sz="0" w:space="0" w:color="auto"/>
              <w:left w:val="none" w:sz="0" w:space="0" w:color="auto"/>
              <w:bottom w:val="none" w:sz="0" w:space="0" w:color="auto"/>
              <w:right w:val="none" w:sz="0" w:space="0" w:color="auto"/>
            </w:tcBorders>
            <w:shd w:val="clear" w:color="auto" w:fill="420098"/>
          </w:tcPr>
          <w:p w14:paraId="70FBDFD9" w14:textId="77777777" w:rsidR="00B620F1" w:rsidRPr="009828B9" w:rsidRDefault="00B620F1" w:rsidP="0019512E">
            <w:pPr>
              <w:pStyle w:val="BodyCopy"/>
              <w:rPr>
                <w:color w:val="FFFFFF" w:themeColor="background1"/>
              </w:rPr>
            </w:pPr>
            <w:r w:rsidRPr="009828B9">
              <w:rPr>
                <w:color w:val="FFFFFF" w:themeColor="background1"/>
              </w:rPr>
              <w:t>Flag</w:t>
            </w:r>
          </w:p>
        </w:tc>
        <w:tc>
          <w:tcPr>
            <w:tcW w:w="0" w:type="auto"/>
            <w:tcBorders>
              <w:top w:val="none" w:sz="0" w:space="0" w:color="auto"/>
              <w:left w:val="none" w:sz="0" w:space="0" w:color="auto"/>
              <w:bottom w:val="none" w:sz="0" w:space="0" w:color="auto"/>
              <w:right w:val="none" w:sz="0" w:space="0" w:color="auto"/>
            </w:tcBorders>
            <w:shd w:val="clear" w:color="auto" w:fill="420098"/>
          </w:tcPr>
          <w:p w14:paraId="09C76E90" w14:textId="77777777" w:rsidR="00B620F1" w:rsidRPr="009828B9" w:rsidRDefault="00B620F1" w:rsidP="0019512E">
            <w:pPr>
              <w:pStyle w:val="BodyCopy"/>
              <w:rPr>
                <w:color w:val="FFFFFF" w:themeColor="background1"/>
              </w:rPr>
            </w:pPr>
            <w:r w:rsidRPr="009828B9">
              <w:rPr>
                <w:color w:val="FFFFFF" w:themeColor="background1"/>
              </w:rPr>
              <w:t>Issue</w:t>
            </w:r>
          </w:p>
        </w:tc>
        <w:tc>
          <w:tcPr>
            <w:tcW w:w="3075" w:type="dxa"/>
            <w:tcBorders>
              <w:top w:val="none" w:sz="0" w:space="0" w:color="auto"/>
              <w:left w:val="none" w:sz="0" w:space="0" w:color="auto"/>
              <w:bottom w:val="none" w:sz="0" w:space="0" w:color="auto"/>
              <w:right w:val="none" w:sz="0" w:space="0" w:color="auto"/>
            </w:tcBorders>
            <w:shd w:val="clear" w:color="auto" w:fill="420098"/>
          </w:tcPr>
          <w:p w14:paraId="42E93EFD" w14:textId="01D0C165" w:rsidR="00B620F1" w:rsidRPr="009828B9" w:rsidRDefault="00B620F1" w:rsidP="0019512E">
            <w:pPr>
              <w:pStyle w:val="BodyCopy"/>
              <w:rPr>
                <w:color w:val="FFFFFF" w:themeColor="background1"/>
              </w:rPr>
            </w:pPr>
            <w:r w:rsidRPr="009828B9">
              <w:rPr>
                <w:color w:val="FFFFFF" w:themeColor="background1"/>
              </w:rPr>
              <w:t xml:space="preserve">Control </w:t>
            </w:r>
            <w:r>
              <w:rPr>
                <w:color w:val="FFFFFF" w:themeColor="background1"/>
              </w:rPr>
              <w:t>c</w:t>
            </w:r>
            <w:r w:rsidRPr="009828B9">
              <w:rPr>
                <w:color w:val="FFFFFF" w:themeColor="background1"/>
              </w:rPr>
              <w:t>onsiderations</w:t>
            </w:r>
          </w:p>
        </w:tc>
        <w:tc>
          <w:tcPr>
            <w:tcW w:w="2964" w:type="dxa"/>
            <w:tcBorders>
              <w:top w:val="none" w:sz="0" w:space="0" w:color="auto"/>
              <w:left w:val="none" w:sz="0" w:space="0" w:color="auto"/>
              <w:bottom w:val="none" w:sz="0" w:space="0" w:color="auto"/>
              <w:right w:val="none" w:sz="0" w:space="0" w:color="auto"/>
            </w:tcBorders>
            <w:shd w:val="clear" w:color="auto" w:fill="420098"/>
          </w:tcPr>
          <w:p w14:paraId="18785A5E" w14:textId="41EA2462" w:rsidR="00B620F1" w:rsidRPr="009828B9" w:rsidRDefault="00B620F1" w:rsidP="0019512E">
            <w:pPr>
              <w:pStyle w:val="BodyCopy"/>
              <w:rPr>
                <w:color w:val="FFFFFF" w:themeColor="background1"/>
              </w:rPr>
            </w:pPr>
            <w:r>
              <w:rPr>
                <w:color w:val="FFFFFF" w:themeColor="background1"/>
              </w:rPr>
              <w:t>Element reference</w:t>
            </w:r>
          </w:p>
        </w:tc>
      </w:tr>
      <w:tr w:rsidR="00B620F1" w14:paraId="7D7EABBD" w14:textId="5C2F8D4E" w:rsidTr="00D34A44">
        <w:trPr>
          <w:cantSplit/>
        </w:trPr>
        <w:tc>
          <w:tcPr>
            <w:tcW w:w="0" w:type="auto"/>
            <w:shd w:val="clear" w:color="auto" w:fill="EAE5E3"/>
          </w:tcPr>
          <w:p w14:paraId="01B0D0BB" w14:textId="77777777" w:rsidR="00B620F1" w:rsidRDefault="00B620F1" w:rsidP="0019512E">
            <w:pPr>
              <w:pStyle w:val="BodyCopy"/>
            </w:pPr>
            <w:bookmarkStart w:id="0" w:name="Flag1"/>
            <w:r>
              <w:t>1</w:t>
            </w:r>
            <w:bookmarkEnd w:id="0"/>
          </w:p>
        </w:tc>
        <w:tc>
          <w:tcPr>
            <w:tcW w:w="0" w:type="auto"/>
            <w:shd w:val="clear" w:color="auto" w:fill="EAE5E3"/>
          </w:tcPr>
          <w:p w14:paraId="774443C9" w14:textId="2AC9B2D5" w:rsidR="00B620F1" w:rsidRDefault="00B620F1" w:rsidP="0019512E">
            <w:pPr>
              <w:pStyle w:val="BodyCopy"/>
            </w:pPr>
            <w:r>
              <w:t>Understanding and managing the lifecycle of ICT assets.</w:t>
            </w:r>
          </w:p>
        </w:tc>
        <w:tc>
          <w:tcPr>
            <w:tcW w:w="3075" w:type="dxa"/>
            <w:shd w:val="clear" w:color="auto" w:fill="EAE5E3"/>
          </w:tcPr>
          <w:p w14:paraId="10E97C85" w14:textId="1E7696C2" w:rsidR="00B620F1" w:rsidRDefault="00B620F1" w:rsidP="0019512E">
            <w:pPr>
              <w:pStyle w:val="BodyCopy"/>
            </w:pPr>
            <w:r>
              <w:t>Understanding how to best manage the lifecycle of ICT assets including managing legacy systems out of the environment is important for the organisation to manage productivity and risk.</w:t>
            </w:r>
          </w:p>
          <w:p w14:paraId="46824CDE" w14:textId="5D99DF20" w:rsidR="008D6FA9" w:rsidRDefault="008D6FA9" w:rsidP="0019512E">
            <w:pPr>
              <w:pStyle w:val="BodyCopy"/>
            </w:pPr>
            <w:r>
              <w:rPr>
                <w:lang w:val="en-AU"/>
              </w:rPr>
              <w:t>Additionally, i</w:t>
            </w:r>
            <w:r w:rsidRPr="005472ED">
              <w:rPr>
                <w:lang w:val="en-AU"/>
              </w:rPr>
              <w:t>ntroduc</w:t>
            </w:r>
            <w:r>
              <w:rPr>
                <w:lang w:val="en-AU"/>
              </w:rPr>
              <w:t>ing</w:t>
            </w:r>
            <w:r w:rsidRPr="005472ED">
              <w:rPr>
                <w:lang w:val="en-AU"/>
              </w:rPr>
              <w:t xml:space="preserve"> an SOE for all key systems including a strong focus on end user devices</w:t>
            </w:r>
            <w:r>
              <w:rPr>
                <w:lang w:val="en-AU"/>
              </w:rPr>
              <w:t xml:space="preserve"> </w:t>
            </w:r>
            <w:r w:rsidRPr="005472ED">
              <w:rPr>
                <w:lang w:val="en-AU"/>
              </w:rPr>
              <w:t>allows those systems to be less “exploitable” to attacks (such as the loading of malware should a user click on a phishing link).</w:t>
            </w:r>
          </w:p>
          <w:p w14:paraId="4D48B90D" w14:textId="77777777" w:rsidR="00B620F1" w:rsidRDefault="00B620F1" w:rsidP="0019512E">
            <w:pPr>
              <w:pStyle w:val="BodyCopy"/>
              <w:rPr>
                <w:i/>
              </w:rPr>
            </w:pPr>
            <w:r w:rsidRPr="00DE7716">
              <w:rPr>
                <w:i/>
              </w:rPr>
              <w:t xml:space="preserve">Standard </w:t>
            </w:r>
            <w:r>
              <w:rPr>
                <w:i/>
              </w:rPr>
              <w:t>11</w:t>
            </w:r>
            <w:r w:rsidRPr="00DE7716">
              <w:rPr>
                <w:i/>
              </w:rPr>
              <w:t xml:space="preserve"> –</w:t>
            </w:r>
            <w:r>
              <w:rPr>
                <w:i/>
              </w:rPr>
              <w:t xml:space="preserve"> Information Communications Technology (ICT) Security</w:t>
            </w:r>
            <w:r w:rsidRPr="00DE7716">
              <w:rPr>
                <w:i/>
              </w:rPr>
              <w:t>: E</w:t>
            </w:r>
            <w:r>
              <w:rPr>
                <w:i/>
              </w:rPr>
              <w:t>11.020</w:t>
            </w:r>
            <w:r w:rsidR="00303ACB">
              <w:rPr>
                <w:i/>
              </w:rPr>
              <w:t>, E11.090</w:t>
            </w:r>
          </w:p>
          <w:p w14:paraId="685AC684" w14:textId="59DEA40F" w:rsidR="008D6FA9" w:rsidRDefault="008D6FA9" w:rsidP="0019512E">
            <w:pPr>
              <w:pStyle w:val="BodyCopy"/>
            </w:pPr>
          </w:p>
        </w:tc>
        <w:tc>
          <w:tcPr>
            <w:tcW w:w="2964" w:type="dxa"/>
            <w:shd w:val="clear" w:color="auto" w:fill="EAE5E3"/>
          </w:tcPr>
          <w:p w14:paraId="6D5DD675" w14:textId="77777777" w:rsidR="00B620F1" w:rsidRDefault="00B620F1" w:rsidP="0019512E">
            <w:pPr>
              <w:pStyle w:val="BodyCopy"/>
              <w:rPr>
                <w:iCs/>
              </w:rPr>
            </w:pPr>
            <w:r w:rsidRPr="00DE7716">
              <w:rPr>
                <w:i/>
              </w:rPr>
              <w:t>E</w:t>
            </w:r>
            <w:r>
              <w:rPr>
                <w:i/>
              </w:rPr>
              <w:t>11.020</w:t>
            </w:r>
            <w:r w:rsidR="00D34A44">
              <w:rPr>
                <w:i/>
              </w:rPr>
              <w:t xml:space="preserve"> - </w:t>
            </w:r>
            <w:r w:rsidR="00D34A44" w:rsidRPr="00D34A44">
              <w:rPr>
                <w:iCs/>
              </w:rPr>
              <w:t xml:space="preserve">The organisation manages all ICT assets (e.g., </w:t>
            </w:r>
            <w:proofErr w:type="gramStart"/>
            <w:r w:rsidR="00D34A44" w:rsidRPr="00D34A44">
              <w:rPr>
                <w:iCs/>
              </w:rPr>
              <w:t>on-site</w:t>
            </w:r>
            <w:proofErr w:type="gramEnd"/>
            <w:r w:rsidR="00D34A44" w:rsidRPr="00D34A44">
              <w:rPr>
                <w:iCs/>
              </w:rPr>
              <w:t xml:space="preserve"> and off-site) throughout their lifecycle.</w:t>
            </w:r>
          </w:p>
          <w:p w14:paraId="274CDC47" w14:textId="6ED15901" w:rsidR="00303ACB" w:rsidRDefault="00303ACB" w:rsidP="00303ACB">
            <w:pPr>
              <w:pStyle w:val="BodyCopy"/>
            </w:pPr>
            <w:r w:rsidRPr="00303ACB">
              <w:rPr>
                <w:i/>
                <w:iCs/>
              </w:rPr>
              <w:t>E11.090</w:t>
            </w:r>
            <w:r>
              <w:t xml:space="preserve"> – The organisation manages standard operating environments (SOEs) for all ICT assets, including end user access devices (workstations, mobile phones, laptops), network infrastructure, </w:t>
            </w:r>
            <w:proofErr w:type="gramStart"/>
            <w:r>
              <w:t>servers</w:t>
            </w:r>
            <w:proofErr w:type="gramEnd"/>
            <w:r>
              <w:t xml:space="preserve"> and Internet of Things (IoT) commensurate with security risk.</w:t>
            </w:r>
          </w:p>
        </w:tc>
      </w:tr>
      <w:tr w:rsidR="00B620F1" w14:paraId="32AC5E23" w14:textId="4AAB5BB2" w:rsidTr="00D34A44">
        <w:trPr>
          <w:cantSplit/>
        </w:trPr>
        <w:tc>
          <w:tcPr>
            <w:tcW w:w="0" w:type="auto"/>
            <w:shd w:val="clear" w:color="auto" w:fill="EAE5E3"/>
          </w:tcPr>
          <w:p w14:paraId="7F8F602D" w14:textId="77777777" w:rsidR="00B620F1" w:rsidRDefault="00B620F1" w:rsidP="0019512E">
            <w:pPr>
              <w:pStyle w:val="BodyCopy"/>
            </w:pPr>
            <w:bookmarkStart w:id="1" w:name="Flag2"/>
            <w:r>
              <w:lastRenderedPageBreak/>
              <w:t>2</w:t>
            </w:r>
            <w:bookmarkEnd w:id="1"/>
          </w:p>
        </w:tc>
        <w:tc>
          <w:tcPr>
            <w:tcW w:w="0" w:type="auto"/>
            <w:shd w:val="clear" w:color="auto" w:fill="EAE5E3"/>
          </w:tcPr>
          <w:p w14:paraId="3A699B8E" w14:textId="41064598" w:rsidR="00B620F1" w:rsidRDefault="00B620F1" w:rsidP="0019512E">
            <w:pPr>
              <w:pStyle w:val="BodyCopy"/>
            </w:pPr>
            <w:r>
              <w:t>Regular testing of disaster recovery processes.</w:t>
            </w:r>
          </w:p>
        </w:tc>
        <w:tc>
          <w:tcPr>
            <w:tcW w:w="3075" w:type="dxa"/>
            <w:shd w:val="clear" w:color="auto" w:fill="EAE5E3"/>
          </w:tcPr>
          <w:p w14:paraId="00815E26" w14:textId="02B6ED2D" w:rsidR="00B620F1" w:rsidRDefault="00B620F1" w:rsidP="0019512E">
            <w:pPr>
              <w:pStyle w:val="BodyCopy"/>
            </w:pPr>
            <w:r>
              <w:t>Undertaking regular testing of key information security aspects of business continuity and disaster recovery can help ensure that the impact of disruption can be better managed.</w:t>
            </w:r>
          </w:p>
          <w:p w14:paraId="03EE95F9" w14:textId="77777777" w:rsidR="00B620F1" w:rsidRDefault="00B620F1" w:rsidP="0019512E">
            <w:pPr>
              <w:pStyle w:val="BodyCopy"/>
              <w:rPr>
                <w:i/>
              </w:rPr>
            </w:pPr>
            <w:r w:rsidRPr="00DE7716">
              <w:rPr>
                <w:i/>
              </w:rPr>
              <w:t xml:space="preserve">Standard </w:t>
            </w:r>
            <w:r>
              <w:rPr>
                <w:i/>
              </w:rPr>
              <w:t>7</w:t>
            </w:r>
            <w:r w:rsidRPr="00DE7716">
              <w:rPr>
                <w:i/>
              </w:rPr>
              <w:t xml:space="preserve"> –</w:t>
            </w:r>
            <w:r>
              <w:t xml:space="preserve"> </w:t>
            </w:r>
            <w:r w:rsidRPr="0048379F">
              <w:rPr>
                <w:i/>
              </w:rPr>
              <w:t>Information Security Aspects of Business Continuity and Disaster Recovery</w:t>
            </w:r>
            <w:r w:rsidRPr="00DE7716">
              <w:rPr>
                <w:i/>
              </w:rPr>
              <w:t>: E</w:t>
            </w:r>
            <w:r>
              <w:rPr>
                <w:i/>
              </w:rPr>
              <w:t>7.030</w:t>
            </w:r>
          </w:p>
          <w:p w14:paraId="7E0576D2" w14:textId="1DDFACA5" w:rsidR="00B620F1" w:rsidRPr="00DE7716" w:rsidRDefault="00B620F1" w:rsidP="0019512E">
            <w:pPr>
              <w:pStyle w:val="BodyCopy"/>
              <w:rPr>
                <w:i/>
              </w:rPr>
            </w:pPr>
            <w:r w:rsidRPr="00DE7716">
              <w:rPr>
                <w:i/>
              </w:rPr>
              <w:t xml:space="preserve">Standard </w:t>
            </w:r>
            <w:r>
              <w:rPr>
                <w:i/>
              </w:rPr>
              <w:t>11</w:t>
            </w:r>
            <w:r w:rsidRPr="00DE7716">
              <w:rPr>
                <w:i/>
              </w:rPr>
              <w:t xml:space="preserve"> –</w:t>
            </w:r>
            <w:r>
              <w:t xml:space="preserve"> </w:t>
            </w:r>
            <w:r>
              <w:rPr>
                <w:i/>
              </w:rPr>
              <w:t>Information Communications Technology (ICT) Security</w:t>
            </w:r>
            <w:r w:rsidRPr="00DE7716">
              <w:rPr>
                <w:i/>
              </w:rPr>
              <w:t>: E</w:t>
            </w:r>
            <w:r>
              <w:rPr>
                <w:i/>
              </w:rPr>
              <w:t>11.180</w:t>
            </w:r>
          </w:p>
        </w:tc>
        <w:tc>
          <w:tcPr>
            <w:tcW w:w="2964" w:type="dxa"/>
            <w:shd w:val="clear" w:color="auto" w:fill="EAE5E3"/>
          </w:tcPr>
          <w:p w14:paraId="221DB8E7" w14:textId="23796EE6" w:rsidR="00B620F1" w:rsidRDefault="00B620F1" w:rsidP="0019512E">
            <w:pPr>
              <w:pStyle w:val="BodyCopy"/>
              <w:rPr>
                <w:i/>
              </w:rPr>
            </w:pPr>
            <w:r w:rsidRPr="00DE7716">
              <w:rPr>
                <w:i/>
              </w:rPr>
              <w:t>E</w:t>
            </w:r>
            <w:r>
              <w:rPr>
                <w:i/>
              </w:rPr>
              <w:t xml:space="preserve">7.030 – </w:t>
            </w:r>
            <w:r w:rsidR="00D34A44">
              <w:rPr>
                <w:rFonts w:cstheme="minorHAnsi"/>
              </w:rPr>
              <w:t xml:space="preserve">The organisation regularly tests </w:t>
            </w:r>
            <w:r w:rsidR="00D34A44" w:rsidRPr="00964CBB">
              <w:rPr>
                <w:rFonts w:cstheme="minorHAnsi"/>
              </w:rPr>
              <w:t>(at least annually)</w:t>
            </w:r>
            <w:r w:rsidR="00D34A44">
              <w:rPr>
                <w:rFonts w:cstheme="minorHAnsi"/>
              </w:rPr>
              <w:t xml:space="preserve"> its business continuity and disaster recovery plan(s).</w:t>
            </w:r>
          </w:p>
          <w:p w14:paraId="2AE99594" w14:textId="630EDCCA" w:rsidR="00B620F1" w:rsidRPr="00D34A44" w:rsidRDefault="00B620F1" w:rsidP="0019512E">
            <w:pPr>
              <w:pStyle w:val="BodyCopy"/>
              <w:rPr>
                <w:iCs/>
              </w:rPr>
            </w:pPr>
            <w:r w:rsidRPr="00DE7716">
              <w:rPr>
                <w:i/>
              </w:rPr>
              <w:t>E</w:t>
            </w:r>
            <w:r>
              <w:rPr>
                <w:i/>
              </w:rPr>
              <w:t xml:space="preserve">11.180 </w:t>
            </w:r>
            <w:r w:rsidRPr="00D34A44">
              <w:rPr>
                <w:iCs/>
              </w:rPr>
              <w:t xml:space="preserve">- </w:t>
            </w:r>
            <w:r w:rsidR="00D34A44" w:rsidRPr="00D34A44">
              <w:rPr>
                <w:iCs/>
              </w:rPr>
              <w:t>The organisation manages backup processes and procedures (e.g., schedule, isolation, storage, testing, retention).</w:t>
            </w:r>
          </w:p>
        </w:tc>
      </w:tr>
      <w:tr w:rsidR="00B620F1" w14:paraId="7A319E4D" w14:textId="5E1C2767" w:rsidTr="00D34A44">
        <w:trPr>
          <w:cantSplit/>
        </w:trPr>
        <w:tc>
          <w:tcPr>
            <w:tcW w:w="0" w:type="auto"/>
            <w:shd w:val="clear" w:color="auto" w:fill="EAE5E3"/>
          </w:tcPr>
          <w:p w14:paraId="19A42FDF" w14:textId="77777777" w:rsidR="00B620F1" w:rsidRDefault="00B620F1" w:rsidP="0019512E">
            <w:pPr>
              <w:pStyle w:val="BodyCopy"/>
            </w:pPr>
            <w:bookmarkStart w:id="2" w:name="Flag3"/>
            <w:r>
              <w:lastRenderedPageBreak/>
              <w:t>3</w:t>
            </w:r>
            <w:bookmarkEnd w:id="2"/>
          </w:p>
        </w:tc>
        <w:tc>
          <w:tcPr>
            <w:tcW w:w="0" w:type="auto"/>
            <w:shd w:val="clear" w:color="auto" w:fill="EAE5E3"/>
          </w:tcPr>
          <w:p w14:paraId="4ACD389B" w14:textId="4F38E545" w:rsidR="00B620F1" w:rsidRDefault="00B620F1" w:rsidP="0019512E">
            <w:pPr>
              <w:pStyle w:val="BodyCopy"/>
            </w:pPr>
            <w:r>
              <w:t xml:space="preserve">Identifying gaps in roles and responsibilities especially where there </w:t>
            </w:r>
            <w:proofErr w:type="gramStart"/>
            <w:r>
              <w:t>are</w:t>
            </w:r>
            <w:proofErr w:type="gramEnd"/>
            <w:r>
              <w:t xml:space="preserve"> single point of dependencies.</w:t>
            </w:r>
          </w:p>
        </w:tc>
        <w:tc>
          <w:tcPr>
            <w:tcW w:w="3075" w:type="dxa"/>
            <w:shd w:val="clear" w:color="auto" w:fill="EAE5E3"/>
          </w:tcPr>
          <w:p w14:paraId="3E016DCC" w14:textId="64E27734" w:rsidR="00B620F1" w:rsidRDefault="00B620F1" w:rsidP="0019512E">
            <w:pPr>
              <w:pStyle w:val="BodyCopy"/>
            </w:pPr>
            <w:r>
              <w:t>Having visibility of processes and roles/responsibilities allows gaps to be identified that may contribute to increased impact of business disruption. This includes identifying key personnel dependencies and how best to manage them.</w:t>
            </w:r>
          </w:p>
          <w:p w14:paraId="5F03FED3" w14:textId="0CD531A4" w:rsidR="008D6FA9" w:rsidRDefault="008D6FA9" w:rsidP="0019512E">
            <w:pPr>
              <w:pStyle w:val="BodyCopy"/>
            </w:pPr>
            <w:r w:rsidRPr="008D6FA9">
              <w:t xml:space="preserve">To further </w:t>
            </w:r>
            <w:proofErr w:type="spellStart"/>
            <w:r w:rsidRPr="008D6FA9">
              <w:t>minimise</w:t>
            </w:r>
            <w:proofErr w:type="spellEnd"/>
            <w:r w:rsidRPr="008D6FA9">
              <w:t xml:space="preserve"> the likelihood of </w:t>
            </w:r>
            <w:r>
              <w:t xml:space="preserve">attacks like </w:t>
            </w:r>
            <w:r w:rsidRPr="008D6FA9">
              <w:t xml:space="preserve">phishing attempts being successful, the organisation implements a security user awareness program that includes a strong focus on </w:t>
            </w:r>
            <w:r w:rsidR="008121E9" w:rsidRPr="008D6FA9">
              <w:t>phishing-based</w:t>
            </w:r>
            <w:r w:rsidRPr="008D6FA9">
              <w:t xml:space="preserve"> attacks and how to identify them.</w:t>
            </w:r>
          </w:p>
          <w:p w14:paraId="4D640A89" w14:textId="5C1E308F" w:rsidR="00B620F1" w:rsidRDefault="00B620F1" w:rsidP="0019512E">
            <w:pPr>
              <w:pStyle w:val="BodyCopy"/>
              <w:rPr>
                <w:i/>
              </w:rPr>
            </w:pPr>
            <w:r w:rsidRPr="00DE7716">
              <w:rPr>
                <w:i/>
              </w:rPr>
              <w:t xml:space="preserve">Standard </w:t>
            </w:r>
            <w:r>
              <w:rPr>
                <w:i/>
              </w:rPr>
              <w:t>3</w:t>
            </w:r>
            <w:r w:rsidRPr="00DE7716">
              <w:rPr>
                <w:i/>
              </w:rPr>
              <w:t xml:space="preserve"> –</w:t>
            </w:r>
            <w:r>
              <w:t xml:space="preserve"> </w:t>
            </w:r>
            <w:r w:rsidRPr="0048379F">
              <w:rPr>
                <w:i/>
              </w:rPr>
              <w:t xml:space="preserve">Information Security </w:t>
            </w:r>
            <w:r>
              <w:rPr>
                <w:i/>
              </w:rPr>
              <w:t>Risk Management</w:t>
            </w:r>
            <w:r w:rsidRPr="00DE7716">
              <w:rPr>
                <w:i/>
              </w:rPr>
              <w:t>: E</w:t>
            </w:r>
            <w:r>
              <w:rPr>
                <w:i/>
              </w:rPr>
              <w:t>3.010</w:t>
            </w:r>
          </w:p>
          <w:p w14:paraId="075C5F96" w14:textId="77777777" w:rsidR="00B620F1" w:rsidRDefault="00B620F1" w:rsidP="0019512E">
            <w:pPr>
              <w:pStyle w:val="BodyCopy"/>
              <w:rPr>
                <w:i/>
              </w:rPr>
            </w:pPr>
            <w:r>
              <w:rPr>
                <w:i/>
              </w:rPr>
              <w:t>Standard 4 – Information Access: E4.010, E4.020, E4.040</w:t>
            </w:r>
          </w:p>
          <w:p w14:paraId="57DDFCA1" w14:textId="4B383035" w:rsidR="008D6FA9" w:rsidRPr="00DE7716" w:rsidRDefault="008D6FA9" w:rsidP="0019512E">
            <w:pPr>
              <w:pStyle w:val="BodyCopy"/>
              <w:rPr>
                <w:i/>
              </w:rPr>
            </w:pPr>
            <w:r>
              <w:rPr>
                <w:i/>
              </w:rPr>
              <w:t>Standard 5 – Information Security Obligations: E5.030</w:t>
            </w:r>
          </w:p>
        </w:tc>
        <w:tc>
          <w:tcPr>
            <w:tcW w:w="2964" w:type="dxa"/>
            <w:shd w:val="clear" w:color="auto" w:fill="EAE5E3"/>
          </w:tcPr>
          <w:p w14:paraId="0A848F5C" w14:textId="77777777" w:rsidR="00D34A44" w:rsidRDefault="00B620F1" w:rsidP="00D34A44">
            <w:pPr>
              <w:pStyle w:val="BodyCopy"/>
              <w:rPr>
                <w:rFonts w:cstheme="minorHAnsi"/>
              </w:rPr>
            </w:pPr>
            <w:r w:rsidRPr="00DE7716">
              <w:rPr>
                <w:i/>
              </w:rPr>
              <w:t>E</w:t>
            </w:r>
            <w:r>
              <w:rPr>
                <w:i/>
              </w:rPr>
              <w:t xml:space="preserve">3.010 – </w:t>
            </w:r>
            <w:r w:rsidR="00D34A44">
              <w:rPr>
                <w:rFonts w:cstheme="minorHAnsi"/>
              </w:rPr>
              <w:t>The o</w:t>
            </w:r>
            <w:r w:rsidR="00D34A44" w:rsidRPr="003A601E">
              <w:rPr>
                <w:rFonts w:cstheme="minorHAnsi"/>
              </w:rPr>
              <w:t>rganisation conduct</w:t>
            </w:r>
            <w:r w:rsidR="00D34A44">
              <w:rPr>
                <w:rFonts w:cstheme="minorHAnsi"/>
              </w:rPr>
              <w:t>s</w:t>
            </w:r>
            <w:r w:rsidR="00D34A44" w:rsidRPr="003A601E">
              <w:rPr>
                <w:rFonts w:cstheme="minorHAnsi"/>
              </w:rPr>
              <w:t xml:space="preserve"> security risk assessments </w:t>
            </w:r>
            <w:r w:rsidR="00D34A44">
              <w:rPr>
                <w:rFonts w:cstheme="minorHAnsi"/>
              </w:rPr>
              <w:t>and determines treatment plans in accordance with its risk management framework covering all the processes to manage</w:t>
            </w:r>
            <w:r w:rsidR="00D34A44" w:rsidRPr="003A601E">
              <w:rPr>
                <w:rFonts w:cstheme="minorHAnsi"/>
              </w:rPr>
              <w:t xml:space="preserve"> </w:t>
            </w:r>
            <w:r w:rsidR="00D34A44">
              <w:rPr>
                <w:rFonts w:cstheme="minorHAnsi"/>
              </w:rPr>
              <w:t xml:space="preserve">information security </w:t>
            </w:r>
            <w:r w:rsidR="00D34A44" w:rsidRPr="003A601E">
              <w:rPr>
                <w:rFonts w:cstheme="minorHAnsi"/>
              </w:rPr>
              <w:t>risk</w:t>
            </w:r>
            <w:r w:rsidR="00D34A44">
              <w:rPr>
                <w:rFonts w:cstheme="minorHAnsi"/>
              </w:rPr>
              <w:t>s including:</w:t>
            </w:r>
          </w:p>
          <w:p w14:paraId="1A7C6F4D" w14:textId="77777777" w:rsidR="00D34A44" w:rsidRDefault="00D34A44" w:rsidP="00D34A44">
            <w:pPr>
              <w:pStyle w:val="BodyCopy"/>
              <w:numPr>
                <w:ilvl w:val="0"/>
                <w:numId w:val="15"/>
              </w:numPr>
              <w:rPr>
                <w:rFonts w:cstheme="minorHAnsi"/>
              </w:rPr>
            </w:pPr>
            <w:r>
              <w:rPr>
                <w:rFonts w:cstheme="minorHAnsi"/>
              </w:rPr>
              <w:t xml:space="preserve">Risk </w:t>
            </w:r>
            <w:proofErr w:type="gramStart"/>
            <w:r>
              <w:rPr>
                <w:rFonts w:cstheme="minorHAnsi"/>
              </w:rPr>
              <w:t>identification;</w:t>
            </w:r>
            <w:proofErr w:type="gramEnd"/>
          </w:p>
          <w:p w14:paraId="32C69D43" w14:textId="77777777" w:rsidR="00D34A44" w:rsidRDefault="00D34A44" w:rsidP="00D34A44">
            <w:pPr>
              <w:pStyle w:val="BodyCopy"/>
              <w:numPr>
                <w:ilvl w:val="0"/>
                <w:numId w:val="15"/>
              </w:numPr>
              <w:rPr>
                <w:rFonts w:cstheme="minorHAnsi"/>
              </w:rPr>
            </w:pPr>
            <w:r>
              <w:rPr>
                <w:rFonts w:cstheme="minorHAnsi"/>
              </w:rPr>
              <w:t xml:space="preserve">Risk </w:t>
            </w:r>
            <w:proofErr w:type="gramStart"/>
            <w:r>
              <w:rPr>
                <w:rFonts w:cstheme="minorHAnsi"/>
              </w:rPr>
              <w:t>analysis;</w:t>
            </w:r>
            <w:proofErr w:type="gramEnd"/>
          </w:p>
          <w:p w14:paraId="088BE757" w14:textId="77777777" w:rsidR="00D34A44" w:rsidRDefault="00D34A44" w:rsidP="00D34A44">
            <w:pPr>
              <w:pStyle w:val="BodyCopy"/>
              <w:numPr>
                <w:ilvl w:val="0"/>
                <w:numId w:val="15"/>
              </w:numPr>
              <w:rPr>
                <w:rFonts w:cstheme="minorHAnsi"/>
              </w:rPr>
            </w:pPr>
            <w:r>
              <w:rPr>
                <w:rFonts w:cstheme="minorHAnsi"/>
              </w:rPr>
              <w:t>Risk evaluation; and</w:t>
            </w:r>
          </w:p>
          <w:p w14:paraId="5B8950E9" w14:textId="7A369978" w:rsidR="00B620F1" w:rsidRDefault="00D34A44" w:rsidP="00D34A44">
            <w:pPr>
              <w:pStyle w:val="BodyCopy"/>
              <w:numPr>
                <w:ilvl w:val="0"/>
                <w:numId w:val="15"/>
              </w:numPr>
              <w:rPr>
                <w:i/>
              </w:rPr>
            </w:pPr>
            <w:r>
              <w:rPr>
                <w:rFonts w:cstheme="minorHAnsi"/>
              </w:rPr>
              <w:t>Risk treatment.</w:t>
            </w:r>
          </w:p>
          <w:p w14:paraId="242641F3" w14:textId="57145C73" w:rsidR="00B620F1" w:rsidRDefault="00B620F1" w:rsidP="0019512E">
            <w:pPr>
              <w:pStyle w:val="BodyCopy"/>
              <w:rPr>
                <w:i/>
              </w:rPr>
            </w:pPr>
            <w:r>
              <w:rPr>
                <w:i/>
              </w:rPr>
              <w:t xml:space="preserve">E4.010 – </w:t>
            </w:r>
            <w:r w:rsidR="00D34A44">
              <w:rPr>
                <w:rFonts w:cstheme="minorHAnsi"/>
              </w:rPr>
              <w:t>The o</w:t>
            </w:r>
            <w:r w:rsidR="00D34A44" w:rsidRPr="003A601E">
              <w:rPr>
                <w:rFonts w:cstheme="minorHAnsi"/>
              </w:rPr>
              <w:t xml:space="preserve">rganisation </w:t>
            </w:r>
            <w:r w:rsidR="00D34A44">
              <w:rPr>
                <w:rFonts w:cstheme="minorHAnsi"/>
              </w:rPr>
              <w:t>documents</w:t>
            </w:r>
            <w:r w:rsidR="00D34A44" w:rsidRPr="003A601E">
              <w:rPr>
                <w:rFonts w:cstheme="minorHAnsi"/>
              </w:rPr>
              <w:t xml:space="preserve"> an identity and access management policy</w:t>
            </w:r>
            <w:r w:rsidR="00D34A44">
              <w:rPr>
                <w:rFonts w:cstheme="minorHAnsi"/>
              </w:rPr>
              <w:t xml:space="preserve"> covering physical and logical access to public sector information </w:t>
            </w:r>
            <w:r w:rsidR="00D34A44" w:rsidRPr="005B6AFC">
              <w:rPr>
                <w:rFonts w:cstheme="minorHAnsi"/>
              </w:rPr>
              <w:t xml:space="preserve">based on </w:t>
            </w:r>
            <w:r w:rsidR="00D34A44">
              <w:rPr>
                <w:rFonts w:cstheme="minorHAnsi"/>
              </w:rPr>
              <w:t xml:space="preserve">the principles of </w:t>
            </w:r>
            <w:r w:rsidR="00D34A44" w:rsidRPr="005B6AFC">
              <w:rPr>
                <w:rFonts w:cstheme="minorHAnsi"/>
              </w:rPr>
              <w:t>least-privilege and need-to-know</w:t>
            </w:r>
            <w:r w:rsidR="00D34A44">
              <w:rPr>
                <w:rFonts w:cstheme="minorHAnsi"/>
              </w:rPr>
              <w:t>.</w:t>
            </w:r>
          </w:p>
          <w:p w14:paraId="5C8FD001" w14:textId="7BD37CAB" w:rsidR="00B620F1" w:rsidRDefault="00B620F1" w:rsidP="0019512E">
            <w:pPr>
              <w:pStyle w:val="BodyCopy"/>
              <w:rPr>
                <w:i/>
              </w:rPr>
            </w:pPr>
            <w:r>
              <w:rPr>
                <w:i/>
              </w:rPr>
              <w:t xml:space="preserve">E4.020 – </w:t>
            </w:r>
            <w:r w:rsidR="00D34A44">
              <w:rPr>
                <w:rFonts w:cstheme="minorHAnsi"/>
              </w:rPr>
              <w:t>The o</w:t>
            </w:r>
            <w:r w:rsidR="00D34A44" w:rsidRPr="003A601E">
              <w:rPr>
                <w:rFonts w:cstheme="minorHAnsi"/>
              </w:rPr>
              <w:t xml:space="preserve">rganisation </w:t>
            </w:r>
            <w:r w:rsidR="00D34A44">
              <w:rPr>
                <w:rFonts w:cstheme="minorHAnsi"/>
              </w:rPr>
              <w:t>documents</w:t>
            </w:r>
            <w:r w:rsidR="00D34A44" w:rsidRPr="003A601E">
              <w:rPr>
                <w:rFonts w:cstheme="minorHAnsi"/>
              </w:rPr>
              <w:t xml:space="preserve"> a process for managing identities and </w:t>
            </w:r>
            <w:r w:rsidR="00D34A44">
              <w:rPr>
                <w:rFonts w:cstheme="minorHAnsi"/>
              </w:rPr>
              <w:t>issuing</w:t>
            </w:r>
            <w:r w:rsidR="00D34A44" w:rsidRPr="003A601E">
              <w:rPr>
                <w:rFonts w:cstheme="minorHAnsi"/>
              </w:rPr>
              <w:t xml:space="preserve"> secure credentials </w:t>
            </w:r>
            <w:r w:rsidR="00D34A44">
              <w:rPr>
                <w:rFonts w:cstheme="minorHAnsi"/>
              </w:rPr>
              <w:t>(</w:t>
            </w:r>
            <w:r w:rsidR="00D34A44" w:rsidRPr="003A601E">
              <w:rPr>
                <w:rFonts w:cstheme="minorHAnsi"/>
              </w:rPr>
              <w:t>registration and de-registration</w:t>
            </w:r>
            <w:r w:rsidR="00D34A44">
              <w:rPr>
                <w:rFonts w:cstheme="minorHAnsi"/>
              </w:rPr>
              <w:t>)</w:t>
            </w:r>
            <w:r w:rsidR="00D34A44" w:rsidRPr="003A601E">
              <w:rPr>
                <w:rFonts w:cstheme="minorHAnsi"/>
              </w:rPr>
              <w:t xml:space="preserve"> for physical and logical access</w:t>
            </w:r>
            <w:r w:rsidR="00D34A44">
              <w:rPr>
                <w:rFonts w:cstheme="minorHAnsi"/>
              </w:rPr>
              <w:t xml:space="preserve"> to public sector information.</w:t>
            </w:r>
          </w:p>
          <w:p w14:paraId="4BECFF61" w14:textId="7A8E6453" w:rsidR="00B620F1" w:rsidRDefault="00B620F1" w:rsidP="0019512E">
            <w:pPr>
              <w:pStyle w:val="BodyCopy"/>
              <w:rPr>
                <w:i/>
              </w:rPr>
            </w:pPr>
            <w:r>
              <w:rPr>
                <w:i/>
              </w:rPr>
              <w:t xml:space="preserve">E4.040 - </w:t>
            </w:r>
            <w:r w:rsidR="00D34A44" w:rsidRPr="00973A16">
              <w:rPr>
                <w:rFonts w:cstheme="minorHAnsi"/>
              </w:rPr>
              <w:t>The organisation implements logical access controls (e.g.</w:t>
            </w:r>
            <w:r w:rsidR="00D34A44">
              <w:rPr>
                <w:rFonts w:cstheme="minorHAnsi"/>
              </w:rPr>
              <w:t>,</w:t>
            </w:r>
            <w:r w:rsidR="00D34A44" w:rsidRPr="00973A16">
              <w:rPr>
                <w:rFonts w:cstheme="minorHAnsi"/>
              </w:rPr>
              <w:t xml:space="preserve"> network account, password, two-factor authentication) based on the principles of least-privilege and need-to-know</w:t>
            </w:r>
            <w:r w:rsidR="00D34A44">
              <w:rPr>
                <w:rFonts w:cstheme="minorHAnsi"/>
              </w:rPr>
              <w:t>.</w:t>
            </w:r>
          </w:p>
          <w:p w14:paraId="7920960C" w14:textId="6A5FA36D" w:rsidR="00B620F1" w:rsidRDefault="008D6FA9" w:rsidP="008D6FA9">
            <w:pPr>
              <w:pStyle w:val="BodyCopy"/>
            </w:pPr>
            <w:r w:rsidRPr="008D6FA9">
              <w:rPr>
                <w:i/>
                <w:iCs/>
              </w:rPr>
              <w:t>E5.030</w:t>
            </w:r>
            <w:r>
              <w:t xml:space="preserve"> – The organisation delivers information security training and awareness to all persons with access to public </w:t>
            </w:r>
            <w:r>
              <w:lastRenderedPageBreak/>
              <w:t>sector information, upon engagement and at regular intervals thereafter in accordance with its training and awareness program and schedule</w:t>
            </w:r>
            <w:r w:rsidR="005F5AD6">
              <w:t>.</w:t>
            </w:r>
          </w:p>
        </w:tc>
      </w:tr>
      <w:tr w:rsidR="00B620F1" w14:paraId="035F433E" w14:textId="72293F52" w:rsidTr="00D34A44">
        <w:trPr>
          <w:cantSplit/>
        </w:trPr>
        <w:tc>
          <w:tcPr>
            <w:tcW w:w="0" w:type="auto"/>
            <w:shd w:val="clear" w:color="auto" w:fill="EAE5E3"/>
          </w:tcPr>
          <w:p w14:paraId="5C92ECCD" w14:textId="77777777" w:rsidR="00B620F1" w:rsidRDefault="00B620F1" w:rsidP="0019512E">
            <w:pPr>
              <w:pStyle w:val="BodyCopy"/>
            </w:pPr>
            <w:bookmarkStart w:id="3" w:name="Flag4"/>
            <w:r>
              <w:lastRenderedPageBreak/>
              <w:t>4</w:t>
            </w:r>
            <w:bookmarkEnd w:id="3"/>
          </w:p>
        </w:tc>
        <w:tc>
          <w:tcPr>
            <w:tcW w:w="0" w:type="auto"/>
            <w:shd w:val="clear" w:color="auto" w:fill="EAE5E3"/>
          </w:tcPr>
          <w:p w14:paraId="0B9365FE" w14:textId="49BF1865" w:rsidR="00B620F1" w:rsidRDefault="00B620F1" w:rsidP="0019512E">
            <w:pPr>
              <w:pStyle w:val="BodyCopy"/>
            </w:pPr>
            <w:r>
              <w:t>Having appropriate information security incident management processes.</w:t>
            </w:r>
          </w:p>
        </w:tc>
        <w:tc>
          <w:tcPr>
            <w:tcW w:w="3075" w:type="dxa"/>
            <w:shd w:val="clear" w:color="auto" w:fill="EAE5E3"/>
          </w:tcPr>
          <w:p w14:paraId="30BC7BDE" w14:textId="0D39CC9F" w:rsidR="00B620F1" w:rsidRDefault="00B620F1" w:rsidP="0019512E">
            <w:pPr>
              <w:pStyle w:val="BodyCopy"/>
            </w:pPr>
            <w:r>
              <w:t>Information Security Incident Management within the organisation should factor in the five phases and include specific operating procedures and testing of scenarios/use cases that are common and/or high risk as assessed by the organisation.</w:t>
            </w:r>
          </w:p>
          <w:p w14:paraId="49E8CF23" w14:textId="63853F2B" w:rsidR="00B620F1" w:rsidRDefault="00B620F1" w:rsidP="0019512E">
            <w:pPr>
              <w:pStyle w:val="BodyCopy"/>
            </w:pPr>
            <w:r w:rsidRPr="00DC674E">
              <w:rPr>
                <w:i/>
              </w:rPr>
              <w:t xml:space="preserve">Standard </w:t>
            </w:r>
            <w:r>
              <w:rPr>
                <w:i/>
              </w:rPr>
              <w:t>6</w:t>
            </w:r>
            <w:r w:rsidRPr="00DC674E">
              <w:rPr>
                <w:i/>
              </w:rPr>
              <w:t xml:space="preserve"> – </w:t>
            </w:r>
            <w:r>
              <w:rPr>
                <w:i/>
              </w:rPr>
              <w:t>Information Security Incident Management</w:t>
            </w:r>
            <w:r w:rsidRPr="00DE7716">
              <w:rPr>
                <w:i/>
              </w:rPr>
              <w:t>: E</w:t>
            </w:r>
            <w:r>
              <w:rPr>
                <w:i/>
              </w:rPr>
              <w:t>6.030</w:t>
            </w:r>
          </w:p>
        </w:tc>
        <w:tc>
          <w:tcPr>
            <w:tcW w:w="2964" w:type="dxa"/>
            <w:shd w:val="clear" w:color="auto" w:fill="EAE5E3"/>
          </w:tcPr>
          <w:p w14:paraId="29195E05" w14:textId="77777777" w:rsidR="00D34A44" w:rsidRDefault="00B620F1" w:rsidP="00D34A44">
            <w:pPr>
              <w:pStyle w:val="BodyCopy"/>
              <w:rPr>
                <w:rFonts w:cstheme="minorHAnsi"/>
              </w:rPr>
            </w:pPr>
            <w:r w:rsidRPr="00DE7716">
              <w:rPr>
                <w:i/>
              </w:rPr>
              <w:t>E</w:t>
            </w:r>
            <w:r>
              <w:rPr>
                <w:i/>
              </w:rPr>
              <w:t xml:space="preserve">6.030 - </w:t>
            </w:r>
            <w:r w:rsidR="00D34A44">
              <w:rPr>
                <w:rFonts w:cstheme="minorHAnsi"/>
              </w:rPr>
              <w:t>The organisation’s information s</w:t>
            </w:r>
            <w:r w:rsidR="00D34A44" w:rsidRPr="003A601E">
              <w:rPr>
                <w:rFonts w:cstheme="minorHAnsi"/>
              </w:rPr>
              <w:t xml:space="preserve">ecurity incident management </w:t>
            </w:r>
            <w:r w:rsidR="00D34A44">
              <w:rPr>
                <w:rFonts w:cstheme="minorHAnsi"/>
              </w:rPr>
              <w:t>processes and plan(s)</w:t>
            </w:r>
            <w:r w:rsidR="00D34A44" w:rsidRPr="003A601E">
              <w:rPr>
                <w:rFonts w:cstheme="minorHAnsi"/>
              </w:rPr>
              <w:t xml:space="preserve"> contain the five phases of:</w:t>
            </w:r>
          </w:p>
          <w:p w14:paraId="4D38BCA8" w14:textId="77777777" w:rsidR="00D34A44" w:rsidRDefault="00D34A44" w:rsidP="00D34A44">
            <w:pPr>
              <w:pStyle w:val="BodyCopy"/>
              <w:numPr>
                <w:ilvl w:val="0"/>
                <w:numId w:val="16"/>
              </w:numPr>
              <w:rPr>
                <w:rFonts w:cstheme="minorHAnsi"/>
              </w:rPr>
            </w:pPr>
            <w:r w:rsidRPr="003A601E">
              <w:rPr>
                <w:rFonts w:cstheme="minorHAnsi"/>
              </w:rPr>
              <w:t xml:space="preserve">Plan and </w:t>
            </w:r>
            <w:proofErr w:type="gramStart"/>
            <w:r w:rsidRPr="003A601E">
              <w:rPr>
                <w:rFonts w:cstheme="minorHAnsi"/>
              </w:rPr>
              <w:t>prepare</w:t>
            </w:r>
            <w:r>
              <w:rPr>
                <w:rFonts w:cstheme="minorHAnsi"/>
              </w:rPr>
              <w:t>;</w:t>
            </w:r>
            <w:proofErr w:type="gramEnd"/>
          </w:p>
          <w:p w14:paraId="14AA66E1" w14:textId="77777777" w:rsidR="00D34A44" w:rsidRDefault="00D34A44" w:rsidP="00D34A44">
            <w:pPr>
              <w:pStyle w:val="BodyCopy"/>
              <w:numPr>
                <w:ilvl w:val="0"/>
                <w:numId w:val="16"/>
              </w:numPr>
              <w:rPr>
                <w:rFonts w:cstheme="minorHAnsi"/>
              </w:rPr>
            </w:pPr>
            <w:r w:rsidRPr="003A601E">
              <w:rPr>
                <w:rFonts w:cstheme="minorHAnsi"/>
              </w:rPr>
              <w:t xml:space="preserve">Detect and </w:t>
            </w:r>
            <w:proofErr w:type="gramStart"/>
            <w:r w:rsidRPr="003A601E">
              <w:rPr>
                <w:rFonts w:cstheme="minorHAnsi"/>
              </w:rPr>
              <w:t>report</w:t>
            </w:r>
            <w:r>
              <w:rPr>
                <w:rFonts w:cstheme="minorHAnsi"/>
              </w:rPr>
              <w:t>;</w:t>
            </w:r>
            <w:proofErr w:type="gramEnd"/>
          </w:p>
          <w:p w14:paraId="68398427" w14:textId="77777777" w:rsidR="00D34A44" w:rsidRDefault="00D34A44" w:rsidP="00D34A44">
            <w:pPr>
              <w:pStyle w:val="BodyCopy"/>
              <w:numPr>
                <w:ilvl w:val="0"/>
                <w:numId w:val="16"/>
              </w:numPr>
              <w:rPr>
                <w:rFonts w:cstheme="minorHAnsi"/>
              </w:rPr>
            </w:pPr>
            <w:r w:rsidRPr="003A601E">
              <w:rPr>
                <w:rFonts w:cstheme="minorHAnsi"/>
              </w:rPr>
              <w:t xml:space="preserve">Assess and </w:t>
            </w:r>
            <w:proofErr w:type="gramStart"/>
            <w:r w:rsidRPr="003A601E">
              <w:rPr>
                <w:rFonts w:cstheme="minorHAnsi"/>
              </w:rPr>
              <w:t>decide</w:t>
            </w:r>
            <w:r>
              <w:rPr>
                <w:rFonts w:cstheme="minorHAnsi"/>
              </w:rPr>
              <w:t>;</w:t>
            </w:r>
            <w:proofErr w:type="gramEnd"/>
          </w:p>
          <w:p w14:paraId="018FB1C6" w14:textId="77777777" w:rsidR="00D34A44" w:rsidRDefault="00D34A44" w:rsidP="00D34A44">
            <w:pPr>
              <w:pStyle w:val="BodyCopy"/>
              <w:numPr>
                <w:ilvl w:val="0"/>
                <w:numId w:val="16"/>
              </w:numPr>
              <w:rPr>
                <w:rFonts w:cstheme="minorHAnsi"/>
              </w:rPr>
            </w:pPr>
            <w:r w:rsidRPr="003A601E">
              <w:rPr>
                <w:rFonts w:cstheme="minorHAnsi"/>
              </w:rPr>
              <w:t>Respond</w:t>
            </w:r>
            <w:r>
              <w:rPr>
                <w:rFonts w:cstheme="minorHAnsi"/>
              </w:rPr>
              <w:t xml:space="preserve"> </w:t>
            </w:r>
            <w:r w:rsidRPr="00FD39C9">
              <w:rPr>
                <w:rFonts w:cstheme="minorHAnsi"/>
              </w:rPr>
              <w:t>(contain, eradicate</w:t>
            </w:r>
            <w:r>
              <w:rPr>
                <w:rFonts w:cstheme="minorHAnsi"/>
              </w:rPr>
              <w:t>,</w:t>
            </w:r>
            <w:r w:rsidRPr="00FD39C9">
              <w:rPr>
                <w:rFonts w:cstheme="minorHAnsi"/>
              </w:rPr>
              <w:t xml:space="preserve"> recover</w:t>
            </w:r>
            <w:r>
              <w:rPr>
                <w:rFonts w:cstheme="minorHAnsi"/>
              </w:rPr>
              <w:t>, notify</w:t>
            </w:r>
            <w:r w:rsidRPr="00FD39C9">
              <w:rPr>
                <w:rFonts w:cstheme="minorHAnsi"/>
              </w:rPr>
              <w:t>)</w:t>
            </w:r>
            <w:r>
              <w:rPr>
                <w:rFonts w:cstheme="minorHAnsi"/>
              </w:rPr>
              <w:t>; and</w:t>
            </w:r>
          </w:p>
          <w:p w14:paraId="336F1B76" w14:textId="00A3B819" w:rsidR="00B620F1" w:rsidRDefault="00D34A44" w:rsidP="00D34A44">
            <w:pPr>
              <w:pStyle w:val="BodyCopy"/>
              <w:numPr>
                <w:ilvl w:val="0"/>
                <w:numId w:val="16"/>
              </w:numPr>
            </w:pPr>
            <w:r w:rsidRPr="003A601E">
              <w:rPr>
                <w:rFonts w:cstheme="minorHAnsi"/>
              </w:rPr>
              <w:t>Lessons learnt</w:t>
            </w:r>
            <w:r>
              <w:rPr>
                <w:rFonts w:cstheme="minorHAnsi"/>
              </w:rPr>
              <w:t>.</w:t>
            </w:r>
          </w:p>
        </w:tc>
      </w:tr>
      <w:tr w:rsidR="00B620F1" w14:paraId="58CB00A1" w14:textId="487D3C48" w:rsidTr="00D34A44">
        <w:trPr>
          <w:cantSplit/>
        </w:trPr>
        <w:tc>
          <w:tcPr>
            <w:tcW w:w="0" w:type="auto"/>
            <w:shd w:val="clear" w:color="auto" w:fill="EAE5E3"/>
          </w:tcPr>
          <w:p w14:paraId="78A3469C" w14:textId="77777777" w:rsidR="00B620F1" w:rsidRDefault="00B620F1" w:rsidP="0019512E">
            <w:pPr>
              <w:pStyle w:val="BodyCopy"/>
            </w:pPr>
            <w:bookmarkStart w:id="4" w:name="Flag5"/>
            <w:r>
              <w:t>5</w:t>
            </w:r>
            <w:bookmarkEnd w:id="4"/>
          </w:p>
        </w:tc>
        <w:tc>
          <w:tcPr>
            <w:tcW w:w="0" w:type="auto"/>
            <w:shd w:val="clear" w:color="auto" w:fill="EAE5E3"/>
          </w:tcPr>
          <w:p w14:paraId="2AD8CB81" w14:textId="4808D573" w:rsidR="00B620F1" w:rsidRDefault="00B620F1" w:rsidP="0019512E">
            <w:pPr>
              <w:pStyle w:val="BodyCopy"/>
            </w:pPr>
            <w:r>
              <w:t>Identification and management of vulnerabilities of key ICT assets.</w:t>
            </w:r>
          </w:p>
        </w:tc>
        <w:tc>
          <w:tcPr>
            <w:tcW w:w="3075" w:type="dxa"/>
            <w:shd w:val="clear" w:color="auto" w:fill="EAE5E3"/>
          </w:tcPr>
          <w:p w14:paraId="5A03DF04" w14:textId="719EE7E4" w:rsidR="00B620F1" w:rsidRDefault="00B620F1" w:rsidP="0019512E">
            <w:pPr>
              <w:pStyle w:val="BodyCopy"/>
            </w:pPr>
            <w:r>
              <w:t>ICT assets, including those that are legacy, require timely identification of vulnerabilities and a remediation approach (which may include compensating controls) to limit the likelihood of vulnerabilities from being exploited.</w:t>
            </w:r>
          </w:p>
          <w:p w14:paraId="618F7D69" w14:textId="57F200A1" w:rsidR="00B620F1" w:rsidRDefault="00B620F1" w:rsidP="0019512E">
            <w:pPr>
              <w:pStyle w:val="BodyCopy"/>
            </w:pPr>
            <w:r w:rsidRPr="00DE7716">
              <w:rPr>
                <w:i/>
              </w:rPr>
              <w:t xml:space="preserve">Standard </w:t>
            </w:r>
            <w:r>
              <w:rPr>
                <w:i/>
              </w:rPr>
              <w:t>11</w:t>
            </w:r>
            <w:r w:rsidRPr="00DE7716">
              <w:rPr>
                <w:i/>
              </w:rPr>
              <w:t xml:space="preserve"> –</w:t>
            </w:r>
            <w:r>
              <w:rPr>
                <w:i/>
              </w:rPr>
              <w:t xml:space="preserve"> Information Communications Technology (ICT) Security</w:t>
            </w:r>
            <w:r w:rsidRPr="00DE7716">
              <w:rPr>
                <w:i/>
              </w:rPr>
              <w:t>: E</w:t>
            </w:r>
            <w:r>
              <w:rPr>
                <w:i/>
              </w:rPr>
              <w:t>11.040</w:t>
            </w:r>
          </w:p>
        </w:tc>
        <w:tc>
          <w:tcPr>
            <w:tcW w:w="2964" w:type="dxa"/>
            <w:shd w:val="clear" w:color="auto" w:fill="EAE5E3"/>
          </w:tcPr>
          <w:p w14:paraId="077E7BC3" w14:textId="35D4235F" w:rsidR="00B620F1" w:rsidRDefault="00B620F1" w:rsidP="0019512E">
            <w:pPr>
              <w:pStyle w:val="BodyCopy"/>
            </w:pPr>
            <w:r w:rsidRPr="00DE7716">
              <w:rPr>
                <w:i/>
              </w:rPr>
              <w:t>E</w:t>
            </w:r>
            <w:r>
              <w:rPr>
                <w:i/>
              </w:rPr>
              <w:t xml:space="preserve">11.040 - </w:t>
            </w:r>
            <w:r w:rsidR="00D34A44">
              <w:rPr>
                <w:rFonts w:cstheme="minorHAnsi"/>
              </w:rPr>
              <w:t>The o</w:t>
            </w:r>
            <w:r w:rsidR="00D34A44" w:rsidRPr="003A601E">
              <w:rPr>
                <w:rFonts w:cstheme="minorHAnsi"/>
              </w:rPr>
              <w:t xml:space="preserve">rganisation </w:t>
            </w:r>
            <w:r w:rsidR="00D34A44">
              <w:rPr>
                <w:rFonts w:cstheme="minorHAnsi"/>
              </w:rPr>
              <w:t>undertakes risk-</w:t>
            </w:r>
            <w:proofErr w:type="spellStart"/>
            <w:r w:rsidR="00D34A44">
              <w:rPr>
                <w:rFonts w:cstheme="minorHAnsi"/>
              </w:rPr>
              <w:t>prioritised</w:t>
            </w:r>
            <w:proofErr w:type="spellEnd"/>
            <w:r w:rsidR="00D34A44">
              <w:rPr>
                <w:rFonts w:cstheme="minorHAnsi"/>
              </w:rPr>
              <w:t xml:space="preserve"> vulnerability management activities (e.g. patch management, penetration testing, continuous monitoring systems).</w:t>
            </w:r>
          </w:p>
        </w:tc>
      </w:tr>
    </w:tbl>
    <w:p w14:paraId="02F403E9" w14:textId="05276075" w:rsidR="00BB097F" w:rsidRDefault="00BB097F" w:rsidP="00A91E0E">
      <w:pPr>
        <w:pStyle w:val="SectionHeading"/>
        <w:rPr>
          <w:lang w:val="en-US"/>
        </w:rPr>
      </w:pPr>
      <w:r>
        <w:rPr>
          <w:lang w:val="en-US"/>
        </w:rPr>
        <w:br w:type="page"/>
      </w:r>
    </w:p>
    <w:p w14:paraId="331FA76D" w14:textId="7B73347A" w:rsidR="00A91E0E" w:rsidRPr="008327AB" w:rsidRDefault="00A91E0E" w:rsidP="00A91E0E">
      <w:pPr>
        <w:pStyle w:val="SectionHeading"/>
        <w:rPr>
          <w:lang w:val="en-US"/>
        </w:rPr>
      </w:pPr>
      <w:r>
        <w:rPr>
          <w:lang w:val="en-US"/>
        </w:rPr>
        <w:lastRenderedPageBreak/>
        <w:t xml:space="preserve">Suggested </w:t>
      </w:r>
      <w:r w:rsidR="0013372B">
        <w:rPr>
          <w:lang w:val="en-US"/>
        </w:rPr>
        <w:t>n</w:t>
      </w:r>
      <w:r>
        <w:rPr>
          <w:lang w:val="en-US"/>
        </w:rPr>
        <w:t xml:space="preserve">ext </w:t>
      </w:r>
      <w:r w:rsidR="0013372B">
        <w:rPr>
          <w:lang w:val="en-US"/>
        </w:rPr>
        <w:t>s</w:t>
      </w:r>
      <w:r>
        <w:rPr>
          <w:lang w:val="en-US"/>
        </w:rPr>
        <w:t>teps</w:t>
      </w:r>
    </w:p>
    <w:p w14:paraId="08E925DA" w14:textId="48BD2423" w:rsidR="002C4941" w:rsidRDefault="000E7246" w:rsidP="00A91E0E">
      <w:pPr>
        <w:rPr>
          <w:rFonts w:cs="National-Book"/>
          <w:color w:val="55565A"/>
          <w:szCs w:val="22"/>
          <w:lang w:val="en-US"/>
        </w:rPr>
      </w:pPr>
      <w:r>
        <w:rPr>
          <w:rFonts w:cs="National-Book"/>
          <w:color w:val="55565A"/>
          <w:szCs w:val="22"/>
          <w:lang w:val="en-US"/>
        </w:rPr>
        <w:t>Implementation or u</w:t>
      </w:r>
      <w:r w:rsidR="002C4941">
        <w:rPr>
          <w:rFonts w:cs="National-Book"/>
          <w:color w:val="55565A"/>
          <w:szCs w:val="22"/>
          <w:lang w:val="en-US"/>
        </w:rPr>
        <w:t>plift of control</w:t>
      </w:r>
      <w:r>
        <w:rPr>
          <w:rFonts w:cs="National-Book"/>
          <w:color w:val="55565A"/>
          <w:szCs w:val="22"/>
          <w:lang w:val="en-US"/>
        </w:rPr>
        <w:t>s</w:t>
      </w:r>
      <w:r w:rsidR="002C4941">
        <w:rPr>
          <w:rFonts w:cs="National-Book"/>
          <w:color w:val="55565A"/>
          <w:szCs w:val="22"/>
          <w:lang w:val="en-US"/>
        </w:rPr>
        <w:t xml:space="preserve"> covering:</w:t>
      </w:r>
    </w:p>
    <w:p w14:paraId="2DF6CBE1" w14:textId="77777777" w:rsidR="00AD7CB5" w:rsidRDefault="00AD7CB5" w:rsidP="00A91E0E">
      <w:pPr>
        <w:rPr>
          <w:rFonts w:cs="National-Book"/>
          <w:color w:val="55565A"/>
          <w:szCs w:val="22"/>
          <w:lang w:val="en-US"/>
        </w:rPr>
      </w:pPr>
    </w:p>
    <w:p w14:paraId="28C94AD5" w14:textId="3C2377B7" w:rsidR="002D7DBE" w:rsidRPr="008905B5" w:rsidRDefault="002D7DBE" w:rsidP="003514F2">
      <w:pPr>
        <w:pStyle w:val="ListParagraph"/>
        <w:numPr>
          <w:ilvl w:val="0"/>
          <w:numId w:val="8"/>
        </w:numPr>
        <w:rPr>
          <w:rFonts w:cs="National-Book"/>
          <w:color w:val="55565A"/>
          <w:szCs w:val="22"/>
          <w:lang w:val="en-US"/>
        </w:rPr>
      </w:pPr>
      <w:r w:rsidRPr="000E7246">
        <w:rPr>
          <w:rFonts w:cs="National-Book"/>
          <w:b/>
          <w:bCs/>
          <w:color w:val="55565A"/>
          <w:szCs w:val="22"/>
          <w:lang w:val="en-US"/>
        </w:rPr>
        <w:t>Lifecycle management of ICT assets</w:t>
      </w:r>
      <w:r w:rsidRPr="008905B5">
        <w:rPr>
          <w:rFonts w:cs="National-Book"/>
          <w:color w:val="55565A"/>
          <w:szCs w:val="22"/>
          <w:lang w:val="en-US"/>
        </w:rPr>
        <w:t xml:space="preserve"> – </w:t>
      </w:r>
      <w:r w:rsidR="000E7246">
        <w:rPr>
          <w:rFonts w:cs="National-Book"/>
          <w:color w:val="55565A"/>
          <w:szCs w:val="22"/>
          <w:lang w:val="en-US"/>
        </w:rPr>
        <w:t>e</w:t>
      </w:r>
      <w:r>
        <w:rPr>
          <w:rFonts w:cs="National-Book"/>
          <w:color w:val="55565A"/>
          <w:szCs w:val="22"/>
          <w:lang w:val="en-US"/>
        </w:rPr>
        <w:t xml:space="preserve">nsuring that appropriate project plans are in place to migrate from </w:t>
      </w:r>
      <w:proofErr w:type="gramStart"/>
      <w:r>
        <w:rPr>
          <w:rFonts w:cs="National-Book"/>
          <w:color w:val="55565A"/>
          <w:szCs w:val="22"/>
          <w:lang w:val="en-US"/>
        </w:rPr>
        <w:t>legacy based</w:t>
      </w:r>
      <w:proofErr w:type="gramEnd"/>
      <w:r>
        <w:rPr>
          <w:rFonts w:cs="National-Book"/>
          <w:color w:val="55565A"/>
          <w:szCs w:val="22"/>
          <w:lang w:val="en-US"/>
        </w:rPr>
        <w:t xml:space="preserve"> systems, especially those that are difficult to support, manage and secure</w:t>
      </w:r>
      <w:r w:rsidR="000A1E81">
        <w:rPr>
          <w:rFonts w:cs="National-Book"/>
          <w:color w:val="55565A"/>
          <w:szCs w:val="22"/>
          <w:lang w:val="en-US"/>
        </w:rPr>
        <w:t>;</w:t>
      </w:r>
    </w:p>
    <w:p w14:paraId="4D48A8B7" w14:textId="22FD1686" w:rsidR="002D7DBE" w:rsidRPr="008905B5" w:rsidRDefault="002D7DBE" w:rsidP="003514F2">
      <w:pPr>
        <w:pStyle w:val="ListParagraph"/>
        <w:numPr>
          <w:ilvl w:val="0"/>
          <w:numId w:val="8"/>
        </w:numPr>
        <w:rPr>
          <w:rFonts w:cs="National-Book"/>
          <w:color w:val="55565A"/>
          <w:szCs w:val="22"/>
          <w:lang w:val="en-US"/>
        </w:rPr>
      </w:pPr>
      <w:r w:rsidRPr="000E7246">
        <w:rPr>
          <w:rFonts w:cs="National-Book"/>
          <w:b/>
          <w:bCs/>
          <w:color w:val="55565A"/>
          <w:szCs w:val="22"/>
          <w:lang w:val="en-US"/>
        </w:rPr>
        <w:t xml:space="preserve">Business </w:t>
      </w:r>
      <w:r w:rsidR="00E5277E" w:rsidRPr="000E7246">
        <w:rPr>
          <w:rFonts w:cs="National-Book"/>
          <w:b/>
          <w:bCs/>
          <w:color w:val="55565A"/>
          <w:szCs w:val="22"/>
          <w:lang w:val="en-US"/>
        </w:rPr>
        <w:t>c</w:t>
      </w:r>
      <w:r w:rsidRPr="000E7246">
        <w:rPr>
          <w:rFonts w:cs="National-Book"/>
          <w:b/>
          <w:bCs/>
          <w:color w:val="55565A"/>
          <w:szCs w:val="22"/>
          <w:lang w:val="en-US"/>
        </w:rPr>
        <w:t xml:space="preserve">ontinuity and </w:t>
      </w:r>
      <w:r w:rsidR="00E5277E" w:rsidRPr="000E7246">
        <w:rPr>
          <w:rFonts w:cs="National-Book"/>
          <w:b/>
          <w:bCs/>
          <w:color w:val="55565A"/>
          <w:szCs w:val="22"/>
          <w:lang w:val="en-US"/>
        </w:rPr>
        <w:t>d</w:t>
      </w:r>
      <w:r w:rsidRPr="000E7246">
        <w:rPr>
          <w:rFonts w:cs="National-Book"/>
          <w:b/>
          <w:bCs/>
          <w:color w:val="55565A"/>
          <w:szCs w:val="22"/>
          <w:lang w:val="en-US"/>
        </w:rPr>
        <w:t xml:space="preserve">isaster </w:t>
      </w:r>
      <w:r w:rsidR="00E5277E" w:rsidRPr="000E7246">
        <w:rPr>
          <w:rFonts w:cs="National-Book"/>
          <w:b/>
          <w:bCs/>
          <w:color w:val="55565A"/>
          <w:szCs w:val="22"/>
          <w:lang w:val="en-US"/>
        </w:rPr>
        <w:t>r</w:t>
      </w:r>
      <w:r w:rsidRPr="000E7246">
        <w:rPr>
          <w:rFonts w:cs="National-Book"/>
          <w:b/>
          <w:bCs/>
          <w:color w:val="55565A"/>
          <w:szCs w:val="22"/>
          <w:lang w:val="en-US"/>
        </w:rPr>
        <w:t xml:space="preserve">ecovery </w:t>
      </w:r>
      <w:r w:rsidR="00D90250" w:rsidRPr="000E7246">
        <w:rPr>
          <w:rFonts w:cs="National-Book"/>
          <w:b/>
          <w:bCs/>
          <w:color w:val="55565A"/>
          <w:szCs w:val="22"/>
          <w:lang w:val="en-US"/>
        </w:rPr>
        <w:t>p</w:t>
      </w:r>
      <w:r w:rsidRPr="000E7246">
        <w:rPr>
          <w:rFonts w:cs="National-Book"/>
          <w:b/>
          <w:bCs/>
          <w:color w:val="55565A"/>
          <w:szCs w:val="22"/>
          <w:lang w:val="en-US"/>
        </w:rPr>
        <w:t>rocesses –</w:t>
      </w:r>
      <w:r>
        <w:rPr>
          <w:rFonts w:cs="National-Book"/>
          <w:color w:val="55565A"/>
          <w:szCs w:val="22"/>
          <w:lang w:val="en-US"/>
        </w:rPr>
        <w:t xml:space="preserve"> </w:t>
      </w:r>
      <w:r w:rsidR="000E7246">
        <w:rPr>
          <w:rFonts w:cs="National-Book"/>
          <w:color w:val="55565A"/>
          <w:szCs w:val="22"/>
          <w:lang w:val="en-US"/>
        </w:rPr>
        <w:t>e</w:t>
      </w:r>
      <w:r>
        <w:rPr>
          <w:rFonts w:cs="National-Book"/>
          <w:color w:val="55565A"/>
          <w:szCs w:val="22"/>
          <w:lang w:val="en-US"/>
        </w:rPr>
        <w:t xml:space="preserve">nsuring that appropriate policies and processes are in place to manage business disruption and regularly testing them so they can operate effectively when most </w:t>
      </w:r>
      <w:proofErr w:type="gramStart"/>
      <w:r>
        <w:rPr>
          <w:rFonts w:cs="National-Book"/>
          <w:color w:val="55565A"/>
          <w:szCs w:val="22"/>
          <w:lang w:val="en-US"/>
        </w:rPr>
        <w:t>needed</w:t>
      </w:r>
      <w:r w:rsidR="000A1E81">
        <w:rPr>
          <w:rFonts w:cs="National-Book"/>
          <w:color w:val="55565A"/>
          <w:szCs w:val="22"/>
          <w:lang w:val="en-US"/>
        </w:rPr>
        <w:t>;</w:t>
      </w:r>
      <w:proofErr w:type="gramEnd"/>
    </w:p>
    <w:p w14:paraId="777D5E6D" w14:textId="11CA853F" w:rsidR="002D7DBE" w:rsidRDefault="002D7DBE" w:rsidP="003514F2">
      <w:pPr>
        <w:pStyle w:val="ListParagraph"/>
        <w:numPr>
          <w:ilvl w:val="0"/>
          <w:numId w:val="8"/>
        </w:numPr>
        <w:rPr>
          <w:rFonts w:cs="National-Book"/>
          <w:color w:val="55565A"/>
          <w:szCs w:val="22"/>
          <w:lang w:val="en-US"/>
        </w:rPr>
      </w:pPr>
      <w:r w:rsidRPr="000E7246">
        <w:rPr>
          <w:rFonts w:cs="National-Book"/>
          <w:b/>
          <w:bCs/>
          <w:color w:val="55565A"/>
          <w:szCs w:val="22"/>
          <w:lang w:val="en-US"/>
        </w:rPr>
        <w:t xml:space="preserve">Identifying </w:t>
      </w:r>
      <w:r w:rsidR="00D90250" w:rsidRPr="000E7246">
        <w:rPr>
          <w:rFonts w:cs="National-Book"/>
          <w:b/>
          <w:bCs/>
          <w:color w:val="55565A"/>
          <w:szCs w:val="22"/>
          <w:lang w:val="en-US"/>
        </w:rPr>
        <w:t>s</w:t>
      </w:r>
      <w:r w:rsidRPr="000E7246">
        <w:rPr>
          <w:rFonts w:cs="National-Book"/>
          <w:b/>
          <w:bCs/>
          <w:color w:val="55565A"/>
          <w:szCs w:val="22"/>
          <w:lang w:val="en-US"/>
        </w:rPr>
        <w:t xml:space="preserve">ingle </w:t>
      </w:r>
      <w:r w:rsidR="00D90250" w:rsidRPr="000E7246">
        <w:rPr>
          <w:rFonts w:cs="National-Book"/>
          <w:b/>
          <w:bCs/>
          <w:color w:val="55565A"/>
          <w:szCs w:val="22"/>
          <w:lang w:val="en-US"/>
        </w:rPr>
        <w:t>p</w:t>
      </w:r>
      <w:r w:rsidRPr="000E7246">
        <w:rPr>
          <w:rFonts w:cs="National-Book"/>
          <w:b/>
          <w:bCs/>
          <w:color w:val="55565A"/>
          <w:szCs w:val="22"/>
          <w:lang w:val="en-US"/>
        </w:rPr>
        <w:t xml:space="preserve">oints of </w:t>
      </w:r>
      <w:r w:rsidR="00D90250" w:rsidRPr="000E7246">
        <w:rPr>
          <w:rFonts w:cs="National-Book"/>
          <w:b/>
          <w:bCs/>
          <w:color w:val="55565A"/>
          <w:szCs w:val="22"/>
          <w:lang w:val="en-US"/>
        </w:rPr>
        <w:t>f</w:t>
      </w:r>
      <w:r w:rsidRPr="000E7246">
        <w:rPr>
          <w:rFonts w:cs="National-Book"/>
          <w:b/>
          <w:bCs/>
          <w:color w:val="55565A"/>
          <w:szCs w:val="22"/>
          <w:lang w:val="en-US"/>
        </w:rPr>
        <w:t>ailure</w:t>
      </w:r>
      <w:r>
        <w:rPr>
          <w:rFonts w:cs="National-Book"/>
          <w:color w:val="55565A"/>
          <w:szCs w:val="22"/>
          <w:lang w:val="en-US"/>
        </w:rPr>
        <w:t xml:space="preserve"> – </w:t>
      </w:r>
      <w:r w:rsidR="000E7246">
        <w:rPr>
          <w:rFonts w:cs="National-Book"/>
          <w:color w:val="55565A"/>
          <w:szCs w:val="22"/>
          <w:lang w:val="en-US"/>
        </w:rPr>
        <w:t>e</w:t>
      </w:r>
      <w:r>
        <w:rPr>
          <w:rFonts w:cs="National-Book"/>
          <w:color w:val="55565A"/>
          <w:szCs w:val="22"/>
          <w:lang w:val="en-US"/>
        </w:rPr>
        <w:t>nsuring that any single point of failure within the organi</w:t>
      </w:r>
      <w:r w:rsidR="00D90250">
        <w:rPr>
          <w:rFonts w:cs="National-Book"/>
          <w:color w:val="55565A"/>
          <w:szCs w:val="22"/>
          <w:lang w:val="en-US"/>
        </w:rPr>
        <w:t>s</w:t>
      </w:r>
      <w:r>
        <w:rPr>
          <w:rFonts w:cs="National-Book"/>
          <w:color w:val="55565A"/>
          <w:szCs w:val="22"/>
          <w:lang w:val="en-US"/>
        </w:rPr>
        <w:t xml:space="preserve">ation is identified (not just system, but also people and processes) so appropriate planning and management is in place to </w:t>
      </w:r>
      <w:proofErr w:type="spellStart"/>
      <w:r>
        <w:rPr>
          <w:rFonts w:cs="National-Book"/>
          <w:color w:val="55565A"/>
          <w:szCs w:val="22"/>
          <w:lang w:val="en-US"/>
        </w:rPr>
        <w:t>minimise</w:t>
      </w:r>
      <w:proofErr w:type="spellEnd"/>
      <w:r>
        <w:rPr>
          <w:rFonts w:cs="National-Book"/>
          <w:color w:val="55565A"/>
          <w:szCs w:val="22"/>
          <w:lang w:val="en-US"/>
        </w:rPr>
        <w:t xml:space="preserve"> risk</w:t>
      </w:r>
      <w:r w:rsidR="000A1E81">
        <w:rPr>
          <w:rFonts w:cs="National-Book"/>
          <w:color w:val="55565A"/>
          <w:szCs w:val="22"/>
          <w:lang w:val="en-US"/>
        </w:rPr>
        <w:t>; and</w:t>
      </w:r>
    </w:p>
    <w:p w14:paraId="03B00B7B" w14:textId="21667F2E" w:rsidR="002D7DBE" w:rsidRPr="008905B5" w:rsidRDefault="002D7DBE" w:rsidP="003514F2">
      <w:pPr>
        <w:pStyle w:val="ListParagraph"/>
        <w:numPr>
          <w:ilvl w:val="0"/>
          <w:numId w:val="8"/>
        </w:numPr>
        <w:rPr>
          <w:rFonts w:cs="National-Book"/>
          <w:color w:val="55565A"/>
          <w:szCs w:val="22"/>
          <w:lang w:val="en-US"/>
        </w:rPr>
      </w:pPr>
      <w:r w:rsidRPr="00B45A51">
        <w:rPr>
          <w:rFonts w:cs="National-Book"/>
          <w:b/>
          <w:bCs/>
          <w:color w:val="55565A"/>
          <w:szCs w:val="22"/>
          <w:lang w:val="en-US"/>
        </w:rPr>
        <w:t xml:space="preserve">Incident </w:t>
      </w:r>
      <w:r w:rsidR="00E5277E" w:rsidRPr="00B45A51">
        <w:rPr>
          <w:rFonts w:cs="National-Book"/>
          <w:b/>
          <w:bCs/>
          <w:color w:val="55565A"/>
          <w:szCs w:val="22"/>
          <w:lang w:val="en-US"/>
        </w:rPr>
        <w:t>m</w:t>
      </w:r>
      <w:r w:rsidRPr="00B45A51">
        <w:rPr>
          <w:rFonts w:cs="National-Book"/>
          <w:b/>
          <w:bCs/>
          <w:color w:val="55565A"/>
          <w:szCs w:val="22"/>
          <w:lang w:val="en-US"/>
        </w:rPr>
        <w:t>anagement</w:t>
      </w:r>
      <w:r>
        <w:rPr>
          <w:rFonts w:cs="National-Book"/>
          <w:color w:val="55565A"/>
          <w:szCs w:val="22"/>
          <w:lang w:val="en-US"/>
        </w:rPr>
        <w:t xml:space="preserve"> – </w:t>
      </w:r>
      <w:r w:rsidR="00B45A51">
        <w:rPr>
          <w:rFonts w:cs="National-Book"/>
          <w:color w:val="55565A"/>
          <w:szCs w:val="22"/>
          <w:lang w:val="en-US"/>
        </w:rPr>
        <w:t>e</w:t>
      </w:r>
      <w:r>
        <w:rPr>
          <w:rFonts w:cs="National-Book"/>
          <w:color w:val="55565A"/>
          <w:szCs w:val="22"/>
          <w:lang w:val="en-US"/>
        </w:rPr>
        <w:t xml:space="preserve">nsuring that suitable standard operating procedures are in place for the handling of information security related incidents so incidents can be managed as efficiently as possible – therefore </w:t>
      </w:r>
      <w:proofErr w:type="spellStart"/>
      <w:r>
        <w:rPr>
          <w:rFonts w:cs="National-Book"/>
          <w:color w:val="55565A"/>
          <w:szCs w:val="22"/>
          <w:lang w:val="en-US"/>
        </w:rPr>
        <w:t>minimising</w:t>
      </w:r>
      <w:proofErr w:type="spellEnd"/>
      <w:r>
        <w:rPr>
          <w:rFonts w:cs="National-Book"/>
          <w:color w:val="55565A"/>
          <w:szCs w:val="22"/>
          <w:lang w:val="en-US"/>
        </w:rPr>
        <w:t xml:space="preserve"> the impact to the organi</w:t>
      </w:r>
      <w:r w:rsidR="00D90250">
        <w:rPr>
          <w:rFonts w:cs="National-Book"/>
          <w:color w:val="55565A"/>
          <w:szCs w:val="22"/>
          <w:lang w:val="en-US"/>
        </w:rPr>
        <w:t>s</w:t>
      </w:r>
      <w:r>
        <w:rPr>
          <w:rFonts w:cs="National-Book"/>
          <w:color w:val="55565A"/>
          <w:szCs w:val="22"/>
          <w:lang w:val="en-US"/>
        </w:rPr>
        <w:t>ation.</w:t>
      </w:r>
    </w:p>
    <w:p w14:paraId="0C133557" w14:textId="77777777" w:rsidR="00CB38BC" w:rsidRDefault="00CB38BC" w:rsidP="00E231FA">
      <w:pPr>
        <w:pStyle w:val="SectionHeading"/>
      </w:pPr>
    </w:p>
    <w:p w14:paraId="15B353C3" w14:textId="77777777" w:rsidR="00835D4C" w:rsidRPr="00787777" w:rsidRDefault="00835D4C" w:rsidP="00835D4C">
      <w:pPr>
        <w:pStyle w:val="SectionHeading"/>
      </w:pPr>
      <w:r w:rsidRPr="00787777">
        <w:t>More information</w:t>
      </w:r>
    </w:p>
    <w:p w14:paraId="1BA10D2D" w14:textId="53531174" w:rsidR="00835D4C" w:rsidRDefault="00835D4C" w:rsidP="00835D4C">
      <w:pPr>
        <w:pStyle w:val="Footer"/>
      </w:pPr>
      <w:r w:rsidRPr="001F3DC9">
        <w:t xml:space="preserve">Contact OVIC at </w:t>
      </w:r>
      <w:hyperlink r:id="rId11" w:history="1">
        <w:r w:rsidRPr="00952599">
          <w:rPr>
            <w:rStyle w:val="Hyperlink"/>
          </w:rPr>
          <w:t>security@ovic.vic.gov.au</w:t>
        </w:r>
      </w:hyperlink>
      <w:r>
        <w:t xml:space="preserve"> </w:t>
      </w:r>
      <w:r w:rsidRPr="001F3DC9">
        <w:t xml:space="preserve">if you </w:t>
      </w:r>
      <w:r>
        <w:t>would like to discuss this case study further.</w:t>
      </w:r>
    </w:p>
    <w:p w14:paraId="3C842176" w14:textId="77777777" w:rsidR="00835D4C" w:rsidRDefault="00835D4C" w:rsidP="00835D4C">
      <w:pPr>
        <w:pBdr>
          <w:top w:val="single" w:sz="4" w:space="6" w:color="430098"/>
        </w:pBdr>
        <w:spacing w:before="480" w:after="200"/>
        <w:outlineLvl w:val="0"/>
        <w:rPr>
          <w:rFonts w:ascii="Calibri" w:eastAsia="Calibri" w:hAnsi="Calibri" w:cs="PostGrotesk-Medium"/>
          <w:b/>
          <w:color w:val="55565A"/>
          <w:sz w:val="24"/>
          <w:lang w:val="en-GB"/>
        </w:rPr>
        <w:sectPr w:rsidR="00835D4C" w:rsidSect="005F5AD6">
          <w:footerReference w:type="even" r:id="rId12"/>
          <w:footerReference w:type="default" r:id="rId13"/>
          <w:headerReference w:type="first" r:id="rId14"/>
          <w:footerReference w:type="first" r:id="rId15"/>
          <w:type w:val="continuous"/>
          <w:pgSz w:w="11900" w:h="16840"/>
          <w:pgMar w:top="1134" w:right="1134" w:bottom="1134" w:left="1134" w:header="680" w:footer="680" w:gutter="0"/>
          <w:cols w:space="708"/>
          <w:titlePg/>
          <w:docGrid w:linePitch="360"/>
        </w:sectPr>
      </w:pPr>
      <w:r w:rsidRPr="009B12A7">
        <w:rPr>
          <w:rFonts w:ascii="Calibri" w:eastAsia="Calibri" w:hAnsi="Calibri" w:cs="PostGrotesk-Medium"/>
          <w:color w:val="430098"/>
          <w:sz w:val="28"/>
          <w:szCs w:val="28"/>
          <w:lang w:val="en-GB"/>
        </w:rPr>
        <w:t>Further Information</w:t>
      </w:r>
    </w:p>
    <w:p w14:paraId="07CDE899" w14:textId="77777777" w:rsidR="00835D4C" w:rsidRPr="009B12A7" w:rsidRDefault="00835D4C" w:rsidP="00835D4C">
      <w:pPr>
        <w:spacing w:before="480" w:after="200"/>
        <w:outlineLvl w:val="0"/>
        <w:rPr>
          <w:rFonts w:ascii="Calibri" w:eastAsia="Calibri" w:hAnsi="Calibri" w:cs="PostGrotesk-Medium"/>
          <w:b/>
          <w:color w:val="55565A"/>
          <w:sz w:val="24"/>
          <w:lang w:val="en-GB"/>
        </w:rPr>
      </w:pPr>
      <w:r w:rsidRPr="009B12A7">
        <w:rPr>
          <w:rFonts w:ascii="Calibri" w:eastAsia="Calibri" w:hAnsi="Calibri" w:cs="PostGrotesk-Medium"/>
          <w:b/>
          <w:color w:val="55565A"/>
          <w:sz w:val="24"/>
          <w:lang w:val="en-GB"/>
        </w:rPr>
        <w:t>Contact Us</w:t>
      </w:r>
    </w:p>
    <w:p w14:paraId="0160F606" w14:textId="77777777" w:rsidR="00835D4C" w:rsidRDefault="00835D4C" w:rsidP="00835D4C">
      <w:pPr>
        <w:widowControl w:val="0"/>
        <w:tabs>
          <w:tab w:val="left" w:pos="284"/>
          <w:tab w:val="left" w:pos="709"/>
        </w:tabs>
        <w:suppressAutoHyphens/>
        <w:autoSpaceDE w:val="0"/>
        <w:autoSpaceDN w:val="0"/>
        <w:adjustRightInd w:val="0"/>
        <w:spacing w:after="240"/>
        <w:textAlignment w:val="center"/>
        <w:rPr>
          <w:rFonts w:ascii="Calibri" w:eastAsia="Calibri" w:hAnsi="Calibri" w:cs="PostGrotesk-Book"/>
          <w:color w:val="55565A"/>
          <w:szCs w:val="22"/>
          <w:lang w:val="en-GB"/>
        </w:rPr>
      </w:pPr>
      <w:r w:rsidRPr="009B12A7">
        <w:rPr>
          <w:rFonts w:ascii="Calibri" w:eastAsia="Calibri" w:hAnsi="Calibri" w:cs="PostGrotesk-Book"/>
          <w:b/>
          <w:color w:val="430098"/>
          <w:szCs w:val="22"/>
          <w:lang w:val="en-GB"/>
        </w:rPr>
        <w:t>t:</w:t>
      </w:r>
      <w:r w:rsidRPr="009B12A7">
        <w:rPr>
          <w:rFonts w:ascii="Calibri" w:eastAsia="Calibri" w:hAnsi="Calibri" w:cs="PostGrotesk-Book"/>
          <w:color w:val="55565A"/>
          <w:szCs w:val="22"/>
          <w:lang w:val="en-GB"/>
        </w:rPr>
        <w:tab/>
        <w:t xml:space="preserve">1300 00 6842 </w:t>
      </w:r>
      <w:r w:rsidRPr="009B12A7">
        <w:rPr>
          <w:rFonts w:ascii="Calibri" w:eastAsia="Calibri" w:hAnsi="Calibri" w:cs="PostGrotesk-Book"/>
          <w:color w:val="55565A"/>
          <w:szCs w:val="22"/>
          <w:lang w:val="en-GB"/>
        </w:rPr>
        <w:br/>
      </w:r>
      <w:r w:rsidRPr="009B12A7">
        <w:rPr>
          <w:rFonts w:ascii="Calibri" w:eastAsia="Calibri" w:hAnsi="Calibri" w:cs="PostGrotesk-Book"/>
          <w:b/>
          <w:color w:val="430098"/>
          <w:szCs w:val="22"/>
          <w:lang w:val="en-GB"/>
        </w:rPr>
        <w:t>e:</w:t>
      </w:r>
      <w:r w:rsidRPr="009B12A7">
        <w:rPr>
          <w:rFonts w:ascii="Calibri" w:eastAsia="Calibri" w:hAnsi="Calibri" w:cs="PostGrotesk-Book"/>
          <w:color w:val="55565A"/>
          <w:szCs w:val="22"/>
          <w:lang w:val="en-GB"/>
        </w:rPr>
        <w:tab/>
        <w:t>security@ovic.vic.gov.au</w:t>
      </w:r>
      <w:r w:rsidRPr="009B12A7">
        <w:rPr>
          <w:rFonts w:ascii="Calibri" w:eastAsia="Calibri" w:hAnsi="Calibri" w:cs="PostGrotesk-Book"/>
          <w:color w:val="55565A"/>
          <w:szCs w:val="22"/>
          <w:lang w:val="en-GB"/>
        </w:rPr>
        <w:br/>
      </w:r>
      <w:r w:rsidRPr="009B12A7">
        <w:rPr>
          <w:rFonts w:ascii="Calibri" w:eastAsia="Calibri" w:hAnsi="Calibri" w:cs="PostGrotesk-Book"/>
          <w:b/>
          <w:color w:val="430098"/>
          <w:szCs w:val="22"/>
          <w:lang w:val="en-GB"/>
        </w:rPr>
        <w:t>w:</w:t>
      </w:r>
      <w:r w:rsidRPr="009B12A7">
        <w:rPr>
          <w:rFonts w:ascii="Calibri" w:eastAsia="Calibri" w:hAnsi="Calibri" w:cs="PostGrotesk-Book"/>
          <w:color w:val="55565A"/>
          <w:szCs w:val="22"/>
          <w:lang w:val="en-GB"/>
        </w:rPr>
        <w:tab/>
        <w:t>ovic.vic.gov.au</w:t>
      </w:r>
      <w:r>
        <w:rPr>
          <w:rFonts w:ascii="Calibri" w:eastAsia="Calibri" w:hAnsi="Calibri" w:cs="PostGrotesk-Book"/>
          <w:color w:val="55565A"/>
          <w:szCs w:val="22"/>
          <w:lang w:val="en-GB"/>
        </w:rPr>
        <w:t xml:space="preserve"> </w:t>
      </w:r>
    </w:p>
    <w:p w14:paraId="7FCAFFBE" w14:textId="77777777" w:rsidR="00835D4C" w:rsidRDefault="00835D4C" w:rsidP="00835D4C">
      <w:pPr>
        <w:widowControl w:val="0"/>
        <w:tabs>
          <w:tab w:val="left" w:pos="284"/>
          <w:tab w:val="left" w:pos="709"/>
        </w:tabs>
        <w:suppressAutoHyphens/>
        <w:autoSpaceDE w:val="0"/>
        <w:autoSpaceDN w:val="0"/>
        <w:adjustRightInd w:val="0"/>
        <w:spacing w:after="240"/>
        <w:textAlignment w:val="center"/>
        <w:rPr>
          <w:rFonts w:ascii="Calibri" w:eastAsia="Calibri" w:hAnsi="Calibri" w:cs="PostGrotesk-Medium"/>
          <w:b/>
          <w:color w:val="55565A"/>
          <w:sz w:val="24"/>
          <w:lang w:val="en-GB"/>
        </w:rPr>
      </w:pPr>
    </w:p>
    <w:p w14:paraId="29C22BBD" w14:textId="77777777" w:rsidR="00835D4C" w:rsidRDefault="00835D4C" w:rsidP="00835D4C">
      <w:pPr>
        <w:widowControl w:val="0"/>
        <w:tabs>
          <w:tab w:val="left" w:pos="284"/>
          <w:tab w:val="left" w:pos="709"/>
        </w:tabs>
        <w:suppressAutoHyphens/>
        <w:autoSpaceDE w:val="0"/>
        <w:autoSpaceDN w:val="0"/>
        <w:adjustRightInd w:val="0"/>
        <w:spacing w:after="240"/>
        <w:textAlignment w:val="center"/>
        <w:rPr>
          <w:rFonts w:ascii="Calibri" w:eastAsia="Calibri" w:hAnsi="Calibri" w:cs="PostGrotesk-Medium"/>
          <w:b/>
          <w:color w:val="55565A"/>
          <w:sz w:val="24"/>
          <w:lang w:val="en-GB"/>
        </w:rPr>
      </w:pPr>
    </w:p>
    <w:p w14:paraId="1914BF83" w14:textId="77777777" w:rsidR="00835D4C" w:rsidRPr="009B12A7" w:rsidRDefault="00835D4C" w:rsidP="00835D4C">
      <w:pPr>
        <w:widowControl w:val="0"/>
        <w:tabs>
          <w:tab w:val="left" w:pos="284"/>
          <w:tab w:val="left" w:pos="709"/>
        </w:tabs>
        <w:suppressAutoHyphens/>
        <w:autoSpaceDE w:val="0"/>
        <w:autoSpaceDN w:val="0"/>
        <w:adjustRightInd w:val="0"/>
        <w:spacing w:after="240"/>
        <w:textAlignment w:val="center"/>
        <w:rPr>
          <w:rFonts w:ascii="Calibri" w:eastAsia="Calibri" w:hAnsi="Calibri" w:cs="PostGrotesk-Book"/>
          <w:color w:val="55565A"/>
          <w:szCs w:val="22"/>
          <w:lang w:val="en-GB"/>
        </w:rPr>
      </w:pPr>
      <w:r>
        <w:rPr>
          <w:rFonts w:ascii="Calibri" w:eastAsia="Calibri" w:hAnsi="Calibri" w:cs="PostGrotesk-Medium"/>
          <w:b/>
          <w:color w:val="55565A"/>
          <w:sz w:val="24"/>
          <w:lang w:val="en-GB"/>
        </w:rPr>
        <w:br/>
      </w:r>
      <w:r w:rsidRPr="009B12A7">
        <w:rPr>
          <w:rFonts w:ascii="Calibri" w:eastAsia="Calibri" w:hAnsi="Calibri" w:cs="PostGrotesk-Medium"/>
          <w:b/>
          <w:color w:val="55565A"/>
          <w:sz w:val="24"/>
          <w:lang w:val="en-GB"/>
        </w:rPr>
        <w:t xml:space="preserve">Disclaimer </w:t>
      </w:r>
    </w:p>
    <w:p w14:paraId="4C03D3DD" w14:textId="77777777" w:rsidR="00835D4C" w:rsidRPr="009B12A7" w:rsidRDefault="00835D4C" w:rsidP="00835D4C">
      <w:pPr>
        <w:widowControl w:val="0"/>
        <w:suppressAutoHyphens/>
        <w:autoSpaceDE w:val="0"/>
        <w:autoSpaceDN w:val="0"/>
        <w:adjustRightInd w:val="0"/>
        <w:textAlignment w:val="center"/>
        <w:rPr>
          <w:rFonts w:ascii="Calibri" w:eastAsia="Calibri" w:hAnsi="Calibri" w:cs="PostGrotesk-Book"/>
          <w:color w:val="55565A"/>
          <w:sz w:val="16"/>
          <w:szCs w:val="16"/>
          <w:lang w:val="en-GB"/>
        </w:rPr>
      </w:pPr>
      <w:r w:rsidRPr="009B12A7">
        <w:rPr>
          <w:rFonts w:ascii="Calibri" w:eastAsia="Calibri" w:hAnsi="Calibri" w:cs="PostGrotesk-Book"/>
          <w:color w:val="55565A"/>
          <w:sz w:val="16"/>
          <w:szCs w:val="22"/>
          <w:lang w:val="en-GB"/>
        </w:rPr>
        <w:t>This case study does not constitute legal advice and should not be used as a substitute for applying the provisions of the Privacy and Data Protection Act 2014, or any other legal requirement, to individual cases</w:t>
      </w:r>
      <w:r w:rsidRPr="009B12A7">
        <w:rPr>
          <w:rFonts w:ascii="Calibri" w:eastAsia="Calibri" w:hAnsi="Calibri" w:cs="PostGrotesk-Book"/>
          <w:color w:val="55565A"/>
          <w:sz w:val="18"/>
          <w:szCs w:val="22"/>
          <w:lang w:val="en-GB"/>
        </w:rPr>
        <w:t>.</w:t>
      </w:r>
    </w:p>
    <w:p w14:paraId="49E3A5DE" w14:textId="77777777" w:rsidR="00835D4C" w:rsidRPr="009B12A7" w:rsidRDefault="00835D4C" w:rsidP="00835D4C">
      <w:pPr>
        <w:ind w:right="-7"/>
        <w:rPr>
          <w:rFonts w:ascii="Calibri" w:eastAsia="Calibri" w:hAnsi="Calibri" w:cs="PostGrotesk-Book"/>
          <w:color w:val="555559"/>
          <w:sz w:val="16"/>
          <w:szCs w:val="16"/>
          <w:lang w:val="en-GB"/>
        </w:rPr>
      </w:pPr>
    </w:p>
    <w:p w14:paraId="3D5F14A8" w14:textId="77777777" w:rsidR="00835D4C" w:rsidRPr="009B12A7" w:rsidRDefault="00835D4C" w:rsidP="00835D4C">
      <w:pPr>
        <w:widowControl w:val="0"/>
        <w:suppressAutoHyphens/>
        <w:autoSpaceDE w:val="0"/>
        <w:autoSpaceDN w:val="0"/>
        <w:adjustRightInd w:val="0"/>
        <w:spacing w:before="120" w:after="200" w:line="264" w:lineRule="auto"/>
        <w:textAlignment w:val="center"/>
        <w:rPr>
          <w:rFonts w:cs="National-Book"/>
          <w:color w:val="55565A"/>
          <w:sz w:val="16"/>
          <w:szCs w:val="16"/>
          <w:lang w:val="en-US"/>
        </w:rPr>
      </w:pPr>
      <w:r w:rsidRPr="009B12A7">
        <w:rPr>
          <w:rFonts w:cs="National-Book"/>
          <w:color w:val="55565A"/>
          <w:sz w:val="16"/>
          <w:szCs w:val="16"/>
          <w:lang w:val="en-US"/>
        </w:rPr>
        <w:t>Please note that the events depicted in this case study are based on actual events, however the characters are purely fictional and any similarity to any person living or dead is merely coincidental.</w:t>
      </w:r>
    </w:p>
    <w:p w14:paraId="03A8572A" w14:textId="77777777" w:rsidR="00835D4C" w:rsidRDefault="00835D4C" w:rsidP="00835D4C">
      <w:pPr>
        <w:pStyle w:val="Footer"/>
        <w:sectPr w:rsidR="00835D4C" w:rsidSect="009B12A7">
          <w:type w:val="continuous"/>
          <w:pgSz w:w="11900" w:h="16840"/>
          <w:pgMar w:top="855" w:right="1134" w:bottom="1134" w:left="1134" w:header="680" w:footer="680" w:gutter="0"/>
          <w:cols w:num="2" w:space="708"/>
          <w:titlePg/>
          <w:docGrid w:linePitch="360"/>
        </w:sectPr>
      </w:pPr>
    </w:p>
    <w:p w14:paraId="63DE83FC" w14:textId="3214FDF6" w:rsidR="00B45A51" w:rsidRDefault="00B45A51" w:rsidP="005F5AD6"/>
    <w:sectPr w:rsidR="00B45A51" w:rsidSect="00835D4C">
      <w:type w:val="continuous"/>
      <w:pgSz w:w="11900" w:h="16840"/>
      <w:pgMar w:top="855"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A7319" w14:textId="77777777" w:rsidR="008F06DA" w:rsidRDefault="008F06DA" w:rsidP="00F75F73">
      <w:r>
        <w:separator/>
      </w:r>
    </w:p>
    <w:p w14:paraId="5B7E6371" w14:textId="77777777" w:rsidR="008F06DA" w:rsidRDefault="008F06DA"/>
  </w:endnote>
  <w:endnote w:type="continuationSeparator" w:id="0">
    <w:p w14:paraId="64E08A08" w14:textId="77777777" w:rsidR="008F06DA" w:rsidRDefault="008F06DA" w:rsidP="00F75F73">
      <w:r>
        <w:continuationSeparator/>
      </w:r>
    </w:p>
    <w:p w14:paraId="151C34BE" w14:textId="77777777" w:rsidR="008F06DA" w:rsidRDefault="008F0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charset w:val="00"/>
    <w:family w:val="auto"/>
    <w:pitch w:val="variable"/>
    <w:sig w:usb0="00000001"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variable"/>
    <w:sig w:usb0="00000001"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PostGrotesk-Medium">
    <w:altName w:val="Times New Roman"/>
    <w:charset w:val="00"/>
    <w:family w:val="auto"/>
    <w:pitch w:val="variable"/>
    <w:sig w:usb0="00000001" w:usb1="5001607B" w:usb2="00000000" w:usb3="00000000" w:csb0="00000193" w:csb1="00000000"/>
  </w:font>
  <w:font w:name="PostGrotesk-Book">
    <w:altName w:val="Times New Roman"/>
    <w:charset w:val="00"/>
    <w:family w:val="auto"/>
    <w:pitch w:val="variable"/>
    <w:sig w:usb0="00000001" w:usb1="500160F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901F" w14:textId="77777777" w:rsidR="00835D4C" w:rsidRDefault="00835D4C"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19D073" w14:textId="77777777" w:rsidR="00835D4C" w:rsidRDefault="00835D4C" w:rsidP="00F75F73">
    <w:pPr>
      <w:pStyle w:val="Footer"/>
      <w:ind w:right="360"/>
    </w:pPr>
  </w:p>
  <w:p w14:paraId="2F5EA7CA" w14:textId="77777777" w:rsidR="00835D4C" w:rsidRDefault="00835D4C"/>
  <w:p w14:paraId="5D57CC52" w14:textId="77777777" w:rsidR="00835D4C" w:rsidRDefault="00835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FD90" w14:textId="77777777" w:rsidR="00835D4C" w:rsidRPr="00A01D5A" w:rsidRDefault="00835D4C" w:rsidP="00FF0426">
    <w:pPr>
      <w:pStyle w:val="Footer"/>
      <w:framePr w:wrap="none" w:vAnchor="text" w:hAnchor="margin" w:xAlign="right" w:y="1"/>
      <w:spacing w:before="120"/>
      <w:rPr>
        <w:rStyle w:val="PageNumber"/>
        <w:color w:val="380094"/>
        <w:sz w:val="20"/>
        <w:szCs w:val="22"/>
      </w:rPr>
    </w:pPr>
    <w:r w:rsidRPr="00A01D5A">
      <w:rPr>
        <w:rStyle w:val="PageNumber"/>
        <w:color w:val="380094"/>
        <w:sz w:val="20"/>
        <w:szCs w:val="22"/>
      </w:rPr>
      <w:fldChar w:fldCharType="begin"/>
    </w:r>
    <w:r w:rsidRPr="00A01D5A">
      <w:rPr>
        <w:rStyle w:val="PageNumber"/>
        <w:color w:val="380094"/>
        <w:sz w:val="20"/>
        <w:szCs w:val="22"/>
      </w:rPr>
      <w:instrText xml:space="preserve">PAGE  </w:instrText>
    </w:r>
    <w:r w:rsidRPr="00A01D5A">
      <w:rPr>
        <w:rStyle w:val="PageNumber"/>
        <w:color w:val="380094"/>
        <w:sz w:val="20"/>
        <w:szCs w:val="22"/>
      </w:rPr>
      <w:fldChar w:fldCharType="separate"/>
    </w:r>
    <w:r>
      <w:rPr>
        <w:rStyle w:val="PageNumber"/>
        <w:noProof/>
        <w:color w:val="380094"/>
        <w:sz w:val="20"/>
        <w:szCs w:val="22"/>
      </w:rPr>
      <w:t>1</w:t>
    </w:r>
    <w:r w:rsidRPr="00A01D5A">
      <w:rPr>
        <w:rStyle w:val="PageNumber"/>
        <w:color w:val="380094"/>
        <w:sz w:val="20"/>
        <w:szCs w:val="22"/>
      </w:rPr>
      <w:fldChar w:fldCharType="end"/>
    </w:r>
  </w:p>
  <w:p w14:paraId="74347C63" w14:textId="77777777" w:rsidR="00835D4C" w:rsidRPr="00FF0426" w:rsidRDefault="00835D4C" w:rsidP="00FF0426">
    <w:pPr>
      <w:pStyle w:val="Header"/>
      <w:spacing w:before="120" w:after="120"/>
      <w:rPr>
        <w:rFonts w:cs="Arial"/>
        <w:color w:val="430098"/>
        <w:sz w:val="20"/>
      </w:rPr>
    </w:pPr>
    <w:r w:rsidRPr="00A01D5A">
      <w:rPr>
        <w:rFonts w:cs="Arial"/>
        <w:color w:val="430098"/>
        <w:sz w:val="20"/>
      </w:rPr>
      <w:t xml:space="preserve">Freedom of Information </w:t>
    </w:r>
    <w:r w:rsidRPr="00A01D5A">
      <w:rPr>
        <w:rFonts w:cs="Arial"/>
        <w:color w:val="E5007D"/>
        <w:sz w:val="20"/>
      </w:rPr>
      <w:t>|</w:t>
    </w:r>
    <w:r w:rsidRPr="00A01D5A">
      <w:rPr>
        <w:rFonts w:cs="Arial"/>
        <w:color w:val="430098"/>
        <w:sz w:val="20"/>
      </w:rPr>
      <w:t xml:space="preserve"> Privacy </w:t>
    </w:r>
    <w:r w:rsidRPr="00A01D5A">
      <w:rPr>
        <w:rFonts w:cs="Arial"/>
        <w:color w:val="E5007D"/>
        <w:sz w:val="20"/>
      </w:rPr>
      <w:t>|</w:t>
    </w:r>
    <w:r w:rsidRPr="00A01D5A">
      <w:rPr>
        <w:rFonts w:cs="Arial"/>
        <w:color w:val="430098"/>
        <w:sz w:val="20"/>
      </w:rPr>
      <w:t xml:space="preserve"> Data Protection </w:t>
    </w:r>
  </w:p>
  <w:p w14:paraId="1C94E491" w14:textId="77777777" w:rsidR="00835D4C" w:rsidRDefault="00835D4C"/>
  <w:p w14:paraId="1711593B" w14:textId="77777777" w:rsidR="00835D4C" w:rsidRDefault="00835D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C0B0" w14:textId="77777777" w:rsidR="00835D4C" w:rsidRPr="003A601E" w:rsidRDefault="00835D4C" w:rsidP="00F265B5">
    <w:pPr>
      <w:tabs>
        <w:tab w:val="center" w:pos="4513"/>
        <w:tab w:val="right" w:pos="9026"/>
      </w:tabs>
      <w:ind w:right="360"/>
      <w:rPr>
        <w:rFonts w:cstheme="minorHAnsi"/>
        <w:color w:val="430098"/>
      </w:rPr>
    </w:pPr>
    <w:r w:rsidRPr="003A601E">
      <w:rPr>
        <w:rFonts w:cstheme="minorHAnsi"/>
        <w:color w:val="430098"/>
      </w:rPr>
      <w:t xml:space="preserve">Freedom of Information </w:t>
    </w:r>
    <w:r w:rsidRPr="003A601E">
      <w:rPr>
        <w:rFonts w:cstheme="minorHAnsi"/>
        <w:color w:val="E5007D"/>
      </w:rPr>
      <w:t>|</w:t>
    </w:r>
    <w:r w:rsidRPr="003A601E">
      <w:rPr>
        <w:rFonts w:cstheme="minorHAnsi"/>
        <w:color w:val="430098"/>
      </w:rPr>
      <w:t xml:space="preserve"> Privacy </w:t>
    </w:r>
    <w:r w:rsidRPr="003A601E">
      <w:rPr>
        <w:rFonts w:cstheme="minorHAnsi"/>
        <w:color w:val="E5007D"/>
      </w:rPr>
      <w:t>|</w:t>
    </w:r>
    <w:r w:rsidRPr="003A601E">
      <w:rPr>
        <w:rFonts w:cstheme="minorHAnsi"/>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38138" w14:textId="77777777" w:rsidR="008F06DA" w:rsidRDefault="008F06DA" w:rsidP="00F75F73">
      <w:r>
        <w:separator/>
      </w:r>
    </w:p>
    <w:p w14:paraId="20C0FDE3" w14:textId="77777777" w:rsidR="008F06DA" w:rsidRDefault="008F06DA"/>
  </w:footnote>
  <w:footnote w:type="continuationSeparator" w:id="0">
    <w:p w14:paraId="6409DC86" w14:textId="77777777" w:rsidR="008F06DA" w:rsidRDefault="008F06DA" w:rsidP="00F75F73">
      <w:r>
        <w:continuationSeparator/>
      </w:r>
    </w:p>
    <w:p w14:paraId="695DFC3C" w14:textId="77777777" w:rsidR="008F06DA" w:rsidRDefault="008F0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AED1" w14:textId="77777777" w:rsidR="00835D4C" w:rsidRPr="00D70A8A" w:rsidRDefault="00835D4C" w:rsidP="00FF0426">
    <w:pPr>
      <w:pStyle w:val="Header"/>
      <w:tabs>
        <w:tab w:val="clear" w:pos="4513"/>
        <w:tab w:val="clear" w:pos="9026"/>
        <w:tab w:val="left" w:pos="6946"/>
      </w:tabs>
      <w:spacing w:after="180"/>
      <w:rPr>
        <w:color w:val="7F7F7F"/>
        <w:sz w:val="26"/>
        <w:szCs w:val="26"/>
      </w:rPr>
    </w:pPr>
    <w:r>
      <w:rPr>
        <w:noProof/>
        <w:color w:val="7F7F7F"/>
        <w:sz w:val="28"/>
        <w:szCs w:val="28"/>
        <w:lang w:eastAsia="en-AU"/>
      </w:rPr>
      <w:drawing>
        <wp:anchor distT="0" distB="0" distL="114300" distR="114300" simplePos="0" relativeHeight="251663360" behindDoc="1" locked="0" layoutInCell="1" allowOverlap="1" wp14:anchorId="067187BA" wp14:editId="4C70ADC8">
          <wp:simplePos x="0" y="0"/>
          <wp:positionH relativeFrom="column">
            <wp:posOffset>6350</wp:posOffset>
          </wp:positionH>
          <wp:positionV relativeFrom="paragraph">
            <wp:posOffset>-47625</wp:posOffset>
          </wp:positionV>
          <wp:extent cx="1565910" cy="720090"/>
          <wp:effectExtent l="0" t="0" r="0" b="3810"/>
          <wp:wrapThrough wrapText="bothSides">
            <wp:wrapPolygon edited="0">
              <wp:start x="0" y="0"/>
              <wp:lineTo x="0" y="21143"/>
              <wp:lineTo x="21285" y="21143"/>
              <wp:lineTo x="21285" y="0"/>
              <wp:lineTo x="0" y="0"/>
            </wp:wrapPolygon>
          </wp:wrapThrough>
          <wp:docPr id="39" name="Picture 39"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Pr="00D70A8A">
      <w:rPr>
        <w:color w:val="555559"/>
        <w:sz w:val="26"/>
        <w:szCs w:val="26"/>
      </w:rPr>
      <w:t>INFORMATION FOR</w:t>
    </w:r>
    <w:r w:rsidRPr="00D70A8A">
      <w:rPr>
        <w:color w:val="7F7F7F"/>
        <w:sz w:val="26"/>
        <w:szCs w:val="26"/>
      </w:rPr>
      <w:br/>
    </w:r>
    <w:r w:rsidRPr="00D70A8A">
      <w:rPr>
        <w:color w:val="7F7F7F"/>
        <w:sz w:val="26"/>
        <w:szCs w:val="26"/>
      </w:rPr>
      <w:tab/>
    </w:r>
    <w:r w:rsidRPr="00D70A8A">
      <w:rPr>
        <w:color w:val="430098"/>
        <w:sz w:val="26"/>
        <w:szCs w:val="26"/>
      </w:rPr>
      <w:t>A</w:t>
    </w:r>
    <w:r>
      <w:rPr>
        <w:color w:val="430098"/>
        <w:sz w:val="26"/>
        <w:szCs w:val="26"/>
      </w:rPr>
      <w:t>GENCIES and BODIES</w:t>
    </w:r>
  </w:p>
  <w:p w14:paraId="17277CD1" w14:textId="77777777" w:rsidR="00835D4C" w:rsidRPr="00B37C5F" w:rsidRDefault="00835D4C" w:rsidP="00FF0426">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60EC1F30" w14:textId="77777777" w:rsidR="00835D4C" w:rsidRPr="00B37C5F" w:rsidRDefault="00835D4C" w:rsidP="00FF0426">
    <w:pPr>
      <w:pStyle w:val="Header"/>
      <w:tabs>
        <w:tab w:val="clear" w:pos="4513"/>
        <w:tab w:val="clear" w:pos="9026"/>
        <w:tab w:val="left" w:pos="6946"/>
      </w:tabs>
      <w:spacing w:after="180"/>
      <w:rPr>
        <w:color w:val="7F7F7F"/>
        <w:sz w:val="20"/>
        <w:szCs w:val="20"/>
      </w:rPr>
    </w:pPr>
    <w:r>
      <w:rPr>
        <w:noProof/>
        <w:lang w:eastAsia="en-AU"/>
      </w:rPr>
      <w:drawing>
        <wp:anchor distT="0" distB="0" distL="114300" distR="114300" simplePos="0" relativeHeight="251662336" behindDoc="0" locked="0" layoutInCell="1" allowOverlap="1" wp14:anchorId="19C7A8E0" wp14:editId="1BA65D56">
          <wp:simplePos x="0" y="0"/>
          <wp:positionH relativeFrom="column">
            <wp:posOffset>-20955</wp:posOffset>
          </wp:positionH>
          <wp:positionV relativeFrom="paragraph">
            <wp:posOffset>172085</wp:posOffset>
          </wp:positionV>
          <wp:extent cx="6119495" cy="70485"/>
          <wp:effectExtent l="0" t="0" r="0" b="5715"/>
          <wp:wrapNone/>
          <wp:docPr id="40" name="Picture 40"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5564B" w14:textId="3F4F6237" w:rsidR="00835D4C" w:rsidRPr="00636062" w:rsidRDefault="00835D4C" w:rsidP="00636062">
    <w:pPr>
      <w:tabs>
        <w:tab w:val="center" w:pos="4513"/>
        <w:tab w:val="left" w:pos="6946"/>
      </w:tabs>
      <w:spacing w:before="475" w:after="120"/>
      <w:rPr>
        <w:rFonts w:ascii="Arial" w:eastAsia="Calibri" w:hAnsi="Arial" w:cs="Arial"/>
        <w:b/>
        <w:color w:val="430098"/>
        <w:sz w:val="36"/>
        <w:szCs w:val="36"/>
        <w:lang w:val="en-GB"/>
      </w:rPr>
    </w:pPr>
    <w:r w:rsidRPr="00636062">
      <w:rPr>
        <w:rFonts w:ascii="Arial" w:eastAsia="Calibri" w:hAnsi="Arial" w:cs="Arial"/>
        <w:b/>
        <w:color w:val="430098"/>
        <w:sz w:val="36"/>
        <w:szCs w:val="36"/>
        <w:lang w:val="en-GB"/>
      </w:rPr>
      <w:t xml:space="preserve">Case study – </w:t>
    </w:r>
    <w:r w:rsidR="006B4A8F">
      <w:rPr>
        <w:rFonts w:ascii="Arial" w:eastAsia="Calibri" w:hAnsi="Arial" w:cs="Arial"/>
        <w:b/>
        <w:color w:val="430098"/>
        <w:sz w:val="36"/>
        <w:szCs w:val="36"/>
        <w:lang w:val="en-GB"/>
      </w:rPr>
      <w:t>Legacy Systems</w:t>
    </w:r>
  </w:p>
  <w:p w14:paraId="797C5DA0" w14:textId="6DE540E5" w:rsidR="00835D4C" w:rsidRDefault="006B4A8F">
    <w:r>
      <w:rPr>
        <w:rFonts w:ascii="Arial" w:eastAsia="Calibri" w:hAnsi="Arial" w:cs="Arial"/>
        <w:color w:val="555559"/>
        <w:sz w:val="30"/>
        <w:szCs w:val="30"/>
        <w:lang w:val="en-GB"/>
      </w:rPr>
      <w:t xml:space="preserve">You </w:t>
    </w:r>
    <w:proofErr w:type="gramStart"/>
    <w:r>
      <w:rPr>
        <w:rFonts w:ascii="Arial" w:eastAsia="Calibri" w:hAnsi="Arial" w:cs="Arial"/>
        <w:color w:val="555559"/>
        <w:sz w:val="30"/>
        <w:szCs w:val="30"/>
        <w:lang w:val="en-GB"/>
      </w:rPr>
      <w:t>can’t</w:t>
    </w:r>
    <w:proofErr w:type="gramEnd"/>
    <w:r>
      <w:rPr>
        <w:rFonts w:ascii="Arial" w:eastAsia="Calibri" w:hAnsi="Arial" w:cs="Arial"/>
        <w:color w:val="555559"/>
        <w:sz w:val="30"/>
        <w:szCs w:val="30"/>
        <w:lang w:val="en-GB"/>
      </w:rPr>
      <w:t xml:space="preserve"> teach an old dog new tricks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194F"/>
    <w:multiLevelType w:val="hybridMultilevel"/>
    <w:tmpl w:val="54942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3292"/>
    <w:multiLevelType w:val="hybridMultilevel"/>
    <w:tmpl w:val="F014ED2C"/>
    <w:lvl w:ilvl="0" w:tplc="57F0F1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F21E5"/>
    <w:multiLevelType w:val="hybridMultilevel"/>
    <w:tmpl w:val="24A67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2F12FD"/>
    <w:multiLevelType w:val="multilevel"/>
    <w:tmpl w:val="0809001D"/>
    <w:numStyleLink w:val="OVICbullet"/>
  </w:abstractNum>
  <w:abstractNum w:abstractNumId="5"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BA2A1F"/>
    <w:multiLevelType w:val="multilevel"/>
    <w:tmpl w:val="3BA699FA"/>
    <w:numStyleLink w:val="1ai"/>
  </w:abstractNum>
  <w:abstractNum w:abstractNumId="9" w15:restartNumberingAfterBreak="0">
    <w:nsid w:val="4EC17FE6"/>
    <w:multiLevelType w:val="multilevel"/>
    <w:tmpl w:val="C7C6B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F0C3D30"/>
    <w:multiLevelType w:val="hybridMultilevel"/>
    <w:tmpl w:val="1068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D5372"/>
    <w:multiLevelType w:val="hybridMultilevel"/>
    <w:tmpl w:val="1DBC1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BA65E9"/>
    <w:multiLevelType w:val="hybridMultilevel"/>
    <w:tmpl w:val="F0F4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5C3520"/>
    <w:multiLevelType w:val="hybridMultilevel"/>
    <w:tmpl w:val="C098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3"/>
  </w:num>
  <w:num w:numId="4">
    <w:abstractNumId w:val="7"/>
  </w:num>
  <w:num w:numId="5">
    <w:abstractNumId w:val="6"/>
  </w:num>
  <w:num w:numId="6">
    <w:abstractNumId w:val="5"/>
  </w:num>
  <w:num w:numId="7">
    <w:abstractNumId w:val="8"/>
  </w:num>
  <w:num w:numId="8">
    <w:abstractNumId w:val="14"/>
  </w:num>
  <w:num w:numId="9">
    <w:abstractNumId w:val="12"/>
  </w:num>
  <w:num w:numId="10">
    <w:abstractNumId w:val="1"/>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71"/>
    <w:rsid w:val="00000A0D"/>
    <w:rsid w:val="00006BC0"/>
    <w:rsid w:val="000073CA"/>
    <w:rsid w:val="00030A32"/>
    <w:rsid w:val="0003197F"/>
    <w:rsid w:val="000372BF"/>
    <w:rsid w:val="00043151"/>
    <w:rsid w:val="00043A44"/>
    <w:rsid w:val="00043C9E"/>
    <w:rsid w:val="00057AB1"/>
    <w:rsid w:val="00070249"/>
    <w:rsid w:val="00073DF1"/>
    <w:rsid w:val="0007485C"/>
    <w:rsid w:val="0007552A"/>
    <w:rsid w:val="000834AE"/>
    <w:rsid w:val="000837EE"/>
    <w:rsid w:val="00090788"/>
    <w:rsid w:val="000912C0"/>
    <w:rsid w:val="00097344"/>
    <w:rsid w:val="000A1E81"/>
    <w:rsid w:val="000A4DD2"/>
    <w:rsid w:val="000A64AF"/>
    <w:rsid w:val="000A6FBE"/>
    <w:rsid w:val="000B5323"/>
    <w:rsid w:val="000B5A6C"/>
    <w:rsid w:val="000B7C8E"/>
    <w:rsid w:val="000C0860"/>
    <w:rsid w:val="000C0F9D"/>
    <w:rsid w:val="000C2D2B"/>
    <w:rsid w:val="000D22FE"/>
    <w:rsid w:val="000D230B"/>
    <w:rsid w:val="000D6416"/>
    <w:rsid w:val="000E09EC"/>
    <w:rsid w:val="000E2832"/>
    <w:rsid w:val="000E7246"/>
    <w:rsid w:val="000F0B1D"/>
    <w:rsid w:val="000F413C"/>
    <w:rsid w:val="000F7686"/>
    <w:rsid w:val="0010107A"/>
    <w:rsid w:val="00101864"/>
    <w:rsid w:val="00102494"/>
    <w:rsid w:val="00104E57"/>
    <w:rsid w:val="00111D80"/>
    <w:rsid w:val="001123E1"/>
    <w:rsid w:val="00112B45"/>
    <w:rsid w:val="00114074"/>
    <w:rsid w:val="0012309B"/>
    <w:rsid w:val="001314E9"/>
    <w:rsid w:val="0013372B"/>
    <w:rsid w:val="001471B0"/>
    <w:rsid w:val="00153F56"/>
    <w:rsid w:val="00153FBE"/>
    <w:rsid w:val="00154821"/>
    <w:rsid w:val="00156540"/>
    <w:rsid w:val="00175673"/>
    <w:rsid w:val="00186BBC"/>
    <w:rsid w:val="00186D0F"/>
    <w:rsid w:val="00191468"/>
    <w:rsid w:val="001940BF"/>
    <w:rsid w:val="0019512E"/>
    <w:rsid w:val="00196096"/>
    <w:rsid w:val="00196DEA"/>
    <w:rsid w:val="001A0ECA"/>
    <w:rsid w:val="001A4C9F"/>
    <w:rsid w:val="001B03B2"/>
    <w:rsid w:val="001B052C"/>
    <w:rsid w:val="001B28F0"/>
    <w:rsid w:val="001B66F3"/>
    <w:rsid w:val="001B6B0D"/>
    <w:rsid w:val="001C37F4"/>
    <w:rsid w:val="001C571E"/>
    <w:rsid w:val="001C59C6"/>
    <w:rsid w:val="001C5E04"/>
    <w:rsid w:val="001C649A"/>
    <w:rsid w:val="001C671C"/>
    <w:rsid w:val="001D5335"/>
    <w:rsid w:val="001D5FF9"/>
    <w:rsid w:val="001E073A"/>
    <w:rsid w:val="001E18F7"/>
    <w:rsid w:val="001E5AB6"/>
    <w:rsid w:val="001E7AC4"/>
    <w:rsid w:val="001F0FB2"/>
    <w:rsid w:val="001F3DC9"/>
    <w:rsid w:val="001F6F35"/>
    <w:rsid w:val="001F7348"/>
    <w:rsid w:val="00206630"/>
    <w:rsid w:val="00210180"/>
    <w:rsid w:val="00214BA3"/>
    <w:rsid w:val="00220542"/>
    <w:rsid w:val="00222208"/>
    <w:rsid w:val="00222AB6"/>
    <w:rsid w:val="00224E70"/>
    <w:rsid w:val="00227D6A"/>
    <w:rsid w:val="00233DE5"/>
    <w:rsid w:val="00241061"/>
    <w:rsid w:val="002412CA"/>
    <w:rsid w:val="0024274C"/>
    <w:rsid w:val="00242D76"/>
    <w:rsid w:val="00250A35"/>
    <w:rsid w:val="00250D4A"/>
    <w:rsid w:val="00267D28"/>
    <w:rsid w:val="002763A9"/>
    <w:rsid w:val="00284B0A"/>
    <w:rsid w:val="002915F2"/>
    <w:rsid w:val="002935E4"/>
    <w:rsid w:val="00294568"/>
    <w:rsid w:val="00294C3E"/>
    <w:rsid w:val="002950F2"/>
    <w:rsid w:val="002A0087"/>
    <w:rsid w:val="002A56A9"/>
    <w:rsid w:val="002A6AFD"/>
    <w:rsid w:val="002A7122"/>
    <w:rsid w:val="002B30AE"/>
    <w:rsid w:val="002C040C"/>
    <w:rsid w:val="002C0A43"/>
    <w:rsid w:val="002C30BB"/>
    <w:rsid w:val="002C4941"/>
    <w:rsid w:val="002C5531"/>
    <w:rsid w:val="002D29D2"/>
    <w:rsid w:val="002D553E"/>
    <w:rsid w:val="002D6C67"/>
    <w:rsid w:val="002D7DBE"/>
    <w:rsid w:val="002E0390"/>
    <w:rsid w:val="002E2229"/>
    <w:rsid w:val="002E3B34"/>
    <w:rsid w:val="002E4534"/>
    <w:rsid w:val="002F31F2"/>
    <w:rsid w:val="002F3F4B"/>
    <w:rsid w:val="002F5870"/>
    <w:rsid w:val="002F5A8C"/>
    <w:rsid w:val="003021F9"/>
    <w:rsid w:val="00303ACB"/>
    <w:rsid w:val="00305D95"/>
    <w:rsid w:val="0030651A"/>
    <w:rsid w:val="00312BFE"/>
    <w:rsid w:val="00316921"/>
    <w:rsid w:val="00317CD9"/>
    <w:rsid w:val="00321398"/>
    <w:rsid w:val="003224E6"/>
    <w:rsid w:val="00322693"/>
    <w:rsid w:val="003232D6"/>
    <w:rsid w:val="00330B14"/>
    <w:rsid w:val="00332494"/>
    <w:rsid w:val="00332BFB"/>
    <w:rsid w:val="00336FEB"/>
    <w:rsid w:val="003514F2"/>
    <w:rsid w:val="00352425"/>
    <w:rsid w:val="00353EEE"/>
    <w:rsid w:val="00354FFE"/>
    <w:rsid w:val="00356864"/>
    <w:rsid w:val="0035734B"/>
    <w:rsid w:val="00365CAB"/>
    <w:rsid w:val="00366B29"/>
    <w:rsid w:val="00366FFF"/>
    <w:rsid w:val="00373F02"/>
    <w:rsid w:val="00374FB7"/>
    <w:rsid w:val="003821E7"/>
    <w:rsid w:val="00396B05"/>
    <w:rsid w:val="00397205"/>
    <w:rsid w:val="003978EA"/>
    <w:rsid w:val="00397AFF"/>
    <w:rsid w:val="003A018B"/>
    <w:rsid w:val="003A3224"/>
    <w:rsid w:val="003A44AF"/>
    <w:rsid w:val="003A601E"/>
    <w:rsid w:val="003B613E"/>
    <w:rsid w:val="003B6E03"/>
    <w:rsid w:val="003B6F22"/>
    <w:rsid w:val="003C08A8"/>
    <w:rsid w:val="003C2F31"/>
    <w:rsid w:val="003C50C8"/>
    <w:rsid w:val="003D140F"/>
    <w:rsid w:val="003D2936"/>
    <w:rsid w:val="003D4D5A"/>
    <w:rsid w:val="003E01A2"/>
    <w:rsid w:val="003E147E"/>
    <w:rsid w:val="003E3FCE"/>
    <w:rsid w:val="003E6D11"/>
    <w:rsid w:val="003F1B7B"/>
    <w:rsid w:val="003F5371"/>
    <w:rsid w:val="004043D7"/>
    <w:rsid w:val="0040707E"/>
    <w:rsid w:val="0042059F"/>
    <w:rsid w:val="0042201E"/>
    <w:rsid w:val="0042259C"/>
    <w:rsid w:val="004264A4"/>
    <w:rsid w:val="00426EC4"/>
    <w:rsid w:val="00432F3E"/>
    <w:rsid w:val="00437380"/>
    <w:rsid w:val="0044216C"/>
    <w:rsid w:val="00445A00"/>
    <w:rsid w:val="00445F76"/>
    <w:rsid w:val="00445F9D"/>
    <w:rsid w:val="004515D6"/>
    <w:rsid w:val="004528FD"/>
    <w:rsid w:val="00456E27"/>
    <w:rsid w:val="004574AD"/>
    <w:rsid w:val="0045762C"/>
    <w:rsid w:val="004608B5"/>
    <w:rsid w:val="00463047"/>
    <w:rsid w:val="0047093A"/>
    <w:rsid w:val="00473D3B"/>
    <w:rsid w:val="00474696"/>
    <w:rsid w:val="0048379F"/>
    <w:rsid w:val="00483BBA"/>
    <w:rsid w:val="00497AC1"/>
    <w:rsid w:val="004A074F"/>
    <w:rsid w:val="004A5A24"/>
    <w:rsid w:val="004B60E8"/>
    <w:rsid w:val="004C5916"/>
    <w:rsid w:val="004D0E4B"/>
    <w:rsid w:val="004D143A"/>
    <w:rsid w:val="004D4B0F"/>
    <w:rsid w:val="004D5EA0"/>
    <w:rsid w:val="004E03B6"/>
    <w:rsid w:val="004E2AFA"/>
    <w:rsid w:val="004E43AE"/>
    <w:rsid w:val="004E79C4"/>
    <w:rsid w:val="004F0F44"/>
    <w:rsid w:val="004F45E5"/>
    <w:rsid w:val="004F5483"/>
    <w:rsid w:val="004F711C"/>
    <w:rsid w:val="00500697"/>
    <w:rsid w:val="00500D67"/>
    <w:rsid w:val="00506A51"/>
    <w:rsid w:val="005156B2"/>
    <w:rsid w:val="00515C62"/>
    <w:rsid w:val="00516634"/>
    <w:rsid w:val="00517244"/>
    <w:rsid w:val="005202CB"/>
    <w:rsid w:val="00521CF6"/>
    <w:rsid w:val="005226D3"/>
    <w:rsid w:val="005227C6"/>
    <w:rsid w:val="005318BB"/>
    <w:rsid w:val="00535A43"/>
    <w:rsid w:val="00537E5A"/>
    <w:rsid w:val="00537F62"/>
    <w:rsid w:val="00542F1C"/>
    <w:rsid w:val="00543BED"/>
    <w:rsid w:val="00544D82"/>
    <w:rsid w:val="00545BFF"/>
    <w:rsid w:val="00552524"/>
    <w:rsid w:val="00552EE2"/>
    <w:rsid w:val="0055737F"/>
    <w:rsid w:val="00563362"/>
    <w:rsid w:val="0057302A"/>
    <w:rsid w:val="00575E3F"/>
    <w:rsid w:val="005866CB"/>
    <w:rsid w:val="00597793"/>
    <w:rsid w:val="005A13A4"/>
    <w:rsid w:val="005A3831"/>
    <w:rsid w:val="005A6792"/>
    <w:rsid w:val="005A7679"/>
    <w:rsid w:val="005A7FEE"/>
    <w:rsid w:val="005B3FAC"/>
    <w:rsid w:val="005B6897"/>
    <w:rsid w:val="005C3DAC"/>
    <w:rsid w:val="005C42E7"/>
    <w:rsid w:val="005C69D8"/>
    <w:rsid w:val="005C6F84"/>
    <w:rsid w:val="005D5A4A"/>
    <w:rsid w:val="005D63BD"/>
    <w:rsid w:val="005D705F"/>
    <w:rsid w:val="005E20B8"/>
    <w:rsid w:val="005E5AC0"/>
    <w:rsid w:val="005F5AD6"/>
    <w:rsid w:val="005F71B6"/>
    <w:rsid w:val="00602BE3"/>
    <w:rsid w:val="006068CE"/>
    <w:rsid w:val="00613805"/>
    <w:rsid w:val="00617CE1"/>
    <w:rsid w:val="0062029C"/>
    <w:rsid w:val="00623CC5"/>
    <w:rsid w:val="0062456E"/>
    <w:rsid w:val="006305F8"/>
    <w:rsid w:val="0063081F"/>
    <w:rsid w:val="00636152"/>
    <w:rsid w:val="0063753E"/>
    <w:rsid w:val="00642DB6"/>
    <w:rsid w:val="00643549"/>
    <w:rsid w:val="0064621A"/>
    <w:rsid w:val="00646368"/>
    <w:rsid w:val="00647A75"/>
    <w:rsid w:val="00647CDD"/>
    <w:rsid w:val="00652B39"/>
    <w:rsid w:val="00660C34"/>
    <w:rsid w:val="00661B03"/>
    <w:rsid w:val="00665875"/>
    <w:rsid w:val="00667D42"/>
    <w:rsid w:val="00672D4A"/>
    <w:rsid w:val="00673935"/>
    <w:rsid w:val="006803FE"/>
    <w:rsid w:val="00686D40"/>
    <w:rsid w:val="006919B4"/>
    <w:rsid w:val="00692DE1"/>
    <w:rsid w:val="0069681A"/>
    <w:rsid w:val="00697C6E"/>
    <w:rsid w:val="006A191E"/>
    <w:rsid w:val="006A260D"/>
    <w:rsid w:val="006A4BBE"/>
    <w:rsid w:val="006B4A8F"/>
    <w:rsid w:val="006B5EE0"/>
    <w:rsid w:val="006B7C81"/>
    <w:rsid w:val="006C16B1"/>
    <w:rsid w:val="006C2DD4"/>
    <w:rsid w:val="006D0D58"/>
    <w:rsid w:val="006D115E"/>
    <w:rsid w:val="006D1257"/>
    <w:rsid w:val="006D12A4"/>
    <w:rsid w:val="006E0169"/>
    <w:rsid w:val="006E155C"/>
    <w:rsid w:val="006E2D1F"/>
    <w:rsid w:val="006E3686"/>
    <w:rsid w:val="006E5734"/>
    <w:rsid w:val="006F25A9"/>
    <w:rsid w:val="006F260C"/>
    <w:rsid w:val="00706753"/>
    <w:rsid w:val="00707BE2"/>
    <w:rsid w:val="007118B6"/>
    <w:rsid w:val="007141DC"/>
    <w:rsid w:val="00715EAE"/>
    <w:rsid w:val="00717F8C"/>
    <w:rsid w:val="0072168F"/>
    <w:rsid w:val="0072173F"/>
    <w:rsid w:val="00721DFB"/>
    <w:rsid w:val="007327EF"/>
    <w:rsid w:val="00732947"/>
    <w:rsid w:val="007366F1"/>
    <w:rsid w:val="00740D16"/>
    <w:rsid w:val="00744DCA"/>
    <w:rsid w:val="00751A49"/>
    <w:rsid w:val="00752924"/>
    <w:rsid w:val="00756630"/>
    <w:rsid w:val="00756805"/>
    <w:rsid w:val="00760DDC"/>
    <w:rsid w:val="00761CC2"/>
    <w:rsid w:val="0076235C"/>
    <w:rsid w:val="007671EF"/>
    <w:rsid w:val="00767706"/>
    <w:rsid w:val="00770330"/>
    <w:rsid w:val="007709C9"/>
    <w:rsid w:val="00772D92"/>
    <w:rsid w:val="007779FC"/>
    <w:rsid w:val="00782EEE"/>
    <w:rsid w:val="00785055"/>
    <w:rsid w:val="00786BBD"/>
    <w:rsid w:val="00787777"/>
    <w:rsid w:val="007922CD"/>
    <w:rsid w:val="007935FB"/>
    <w:rsid w:val="00794C91"/>
    <w:rsid w:val="007A02F7"/>
    <w:rsid w:val="007A36C1"/>
    <w:rsid w:val="007A4DE9"/>
    <w:rsid w:val="007B0711"/>
    <w:rsid w:val="007B0E5C"/>
    <w:rsid w:val="007B1C31"/>
    <w:rsid w:val="007C4554"/>
    <w:rsid w:val="007C7EC9"/>
    <w:rsid w:val="007D45B5"/>
    <w:rsid w:val="007D467E"/>
    <w:rsid w:val="007D57CD"/>
    <w:rsid w:val="007E614E"/>
    <w:rsid w:val="007E7DE3"/>
    <w:rsid w:val="007F2D9D"/>
    <w:rsid w:val="007F31C9"/>
    <w:rsid w:val="007F6A3F"/>
    <w:rsid w:val="00804457"/>
    <w:rsid w:val="008121E9"/>
    <w:rsid w:val="008122BD"/>
    <w:rsid w:val="00814ADA"/>
    <w:rsid w:val="00814F18"/>
    <w:rsid w:val="00815D94"/>
    <w:rsid w:val="00820EC0"/>
    <w:rsid w:val="00821EF1"/>
    <w:rsid w:val="0083010F"/>
    <w:rsid w:val="008311D6"/>
    <w:rsid w:val="008327AB"/>
    <w:rsid w:val="00833E89"/>
    <w:rsid w:val="00835D4C"/>
    <w:rsid w:val="00840C21"/>
    <w:rsid w:val="008412D7"/>
    <w:rsid w:val="008426AF"/>
    <w:rsid w:val="00846B1C"/>
    <w:rsid w:val="00847C32"/>
    <w:rsid w:val="0085243C"/>
    <w:rsid w:val="00854AA8"/>
    <w:rsid w:val="0085720A"/>
    <w:rsid w:val="008630D0"/>
    <w:rsid w:val="00872AE6"/>
    <w:rsid w:val="00874E7E"/>
    <w:rsid w:val="00883D15"/>
    <w:rsid w:val="00886E6E"/>
    <w:rsid w:val="008905B5"/>
    <w:rsid w:val="00892F31"/>
    <w:rsid w:val="0089499A"/>
    <w:rsid w:val="008965DB"/>
    <w:rsid w:val="008A0F30"/>
    <w:rsid w:val="008A3694"/>
    <w:rsid w:val="008A4058"/>
    <w:rsid w:val="008A5E81"/>
    <w:rsid w:val="008A643A"/>
    <w:rsid w:val="008A7D62"/>
    <w:rsid w:val="008B025D"/>
    <w:rsid w:val="008B231A"/>
    <w:rsid w:val="008B721D"/>
    <w:rsid w:val="008C07C2"/>
    <w:rsid w:val="008C1A3D"/>
    <w:rsid w:val="008C3CDF"/>
    <w:rsid w:val="008D379B"/>
    <w:rsid w:val="008D6FA9"/>
    <w:rsid w:val="008E29C7"/>
    <w:rsid w:val="008E2D9D"/>
    <w:rsid w:val="008F06DA"/>
    <w:rsid w:val="008F08B5"/>
    <w:rsid w:val="008F0F5A"/>
    <w:rsid w:val="008F3F92"/>
    <w:rsid w:val="00901F26"/>
    <w:rsid w:val="009023AD"/>
    <w:rsid w:val="00904AE7"/>
    <w:rsid w:val="00904E5C"/>
    <w:rsid w:val="00906116"/>
    <w:rsid w:val="00910B11"/>
    <w:rsid w:val="009160C5"/>
    <w:rsid w:val="00917BEF"/>
    <w:rsid w:val="0092426A"/>
    <w:rsid w:val="009273DD"/>
    <w:rsid w:val="0093797E"/>
    <w:rsid w:val="00937A06"/>
    <w:rsid w:val="00944DBE"/>
    <w:rsid w:val="00945686"/>
    <w:rsid w:val="0094649D"/>
    <w:rsid w:val="009474F9"/>
    <w:rsid w:val="00950EEC"/>
    <w:rsid w:val="00951A5A"/>
    <w:rsid w:val="009531CF"/>
    <w:rsid w:val="00955530"/>
    <w:rsid w:val="009579D6"/>
    <w:rsid w:val="00961440"/>
    <w:rsid w:val="00963011"/>
    <w:rsid w:val="00963FCA"/>
    <w:rsid w:val="00964523"/>
    <w:rsid w:val="0097060A"/>
    <w:rsid w:val="00971E1B"/>
    <w:rsid w:val="00972231"/>
    <w:rsid w:val="009803AA"/>
    <w:rsid w:val="009828B9"/>
    <w:rsid w:val="00983A85"/>
    <w:rsid w:val="009908EC"/>
    <w:rsid w:val="00990AFD"/>
    <w:rsid w:val="00995DBE"/>
    <w:rsid w:val="009A0AF9"/>
    <w:rsid w:val="009A1201"/>
    <w:rsid w:val="009A1F05"/>
    <w:rsid w:val="009A317D"/>
    <w:rsid w:val="009B3145"/>
    <w:rsid w:val="009B3F9F"/>
    <w:rsid w:val="009C1219"/>
    <w:rsid w:val="009C57AE"/>
    <w:rsid w:val="009D29D6"/>
    <w:rsid w:val="009D7121"/>
    <w:rsid w:val="009E32E8"/>
    <w:rsid w:val="009E3EFB"/>
    <w:rsid w:val="009E48FA"/>
    <w:rsid w:val="009E506D"/>
    <w:rsid w:val="009F075A"/>
    <w:rsid w:val="009F3BEE"/>
    <w:rsid w:val="009F5BEB"/>
    <w:rsid w:val="00A00D01"/>
    <w:rsid w:val="00A01242"/>
    <w:rsid w:val="00A01D5A"/>
    <w:rsid w:val="00A0424A"/>
    <w:rsid w:val="00A075A0"/>
    <w:rsid w:val="00A10A31"/>
    <w:rsid w:val="00A12590"/>
    <w:rsid w:val="00A16876"/>
    <w:rsid w:val="00A168C1"/>
    <w:rsid w:val="00A16C8B"/>
    <w:rsid w:val="00A245A7"/>
    <w:rsid w:val="00A31F5F"/>
    <w:rsid w:val="00A3356F"/>
    <w:rsid w:val="00A33DD6"/>
    <w:rsid w:val="00A353AC"/>
    <w:rsid w:val="00A35BCB"/>
    <w:rsid w:val="00A46C19"/>
    <w:rsid w:val="00A50A5E"/>
    <w:rsid w:val="00A55164"/>
    <w:rsid w:val="00A610A9"/>
    <w:rsid w:val="00A6661D"/>
    <w:rsid w:val="00A741A2"/>
    <w:rsid w:val="00A7739A"/>
    <w:rsid w:val="00A77D83"/>
    <w:rsid w:val="00A85200"/>
    <w:rsid w:val="00A91E0E"/>
    <w:rsid w:val="00A9452A"/>
    <w:rsid w:val="00A950D5"/>
    <w:rsid w:val="00A954F2"/>
    <w:rsid w:val="00AA0428"/>
    <w:rsid w:val="00AA2D9C"/>
    <w:rsid w:val="00AA3732"/>
    <w:rsid w:val="00AA6AB1"/>
    <w:rsid w:val="00AB2CA6"/>
    <w:rsid w:val="00AB5B2B"/>
    <w:rsid w:val="00AC27AE"/>
    <w:rsid w:val="00AC2B4E"/>
    <w:rsid w:val="00AC3650"/>
    <w:rsid w:val="00AC3E39"/>
    <w:rsid w:val="00AC4CB7"/>
    <w:rsid w:val="00AD2BA6"/>
    <w:rsid w:val="00AD4D94"/>
    <w:rsid w:val="00AD7CB5"/>
    <w:rsid w:val="00AE144F"/>
    <w:rsid w:val="00AE169F"/>
    <w:rsid w:val="00AE1F84"/>
    <w:rsid w:val="00AE4CE0"/>
    <w:rsid w:val="00AE5D8B"/>
    <w:rsid w:val="00AE5DCF"/>
    <w:rsid w:val="00AF4422"/>
    <w:rsid w:val="00AF47F2"/>
    <w:rsid w:val="00B012A9"/>
    <w:rsid w:val="00B01775"/>
    <w:rsid w:val="00B025C7"/>
    <w:rsid w:val="00B03787"/>
    <w:rsid w:val="00B039C4"/>
    <w:rsid w:val="00B1499E"/>
    <w:rsid w:val="00B16D4A"/>
    <w:rsid w:val="00B202E7"/>
    <w:rsid w:val="00B2040D"/>
    <w:rsid w:val="00B2072C"/>
    <w:rsid w:val="00B20CB3"/>
    <w:rsid w:val="00B239D4"/>
    <w:rsid w:val="00B24ADD"/>
    <w:rsid w:val="00B2589C"/>
    <w:rsid w:val="00B45A51"/>
    <w:rsid w:val="00B507D9"/>
    <w:rsid w:val="00B5612C"/>
    <w:rsid w:val="00B620F1"/>
    <w:rsid w:val="00B64AE0"/>
    <w:rsid w:val="00B655B0"/>
    <w:rsid w:val="00B71F03"/>
    <w:rsid w:val="00B72191"/>
    <w:rsid w:val="00B7223A"/>
    <w:rsid w:val="00B7491E"/>
    <w:rsid w:val="00B75494"/>
    <w:rsid w:val="00B76089"/>
    <w:rsid w:val="00B823AA"/>
    <w:rsid w:val="00B837CB"/>
    <w:rsid w:val="00B83C9A"/>
    <w:rsid w:val="00B84066"/>
    <w:rsid w:val="00B93616"/>
    <w:rsid w:val="00B9363A"/>
    <w:rsid w:val="00B93B93"/>
    <w:rsid w:val="00B95ECC"/>
    <w:rsid w:val="00BA0081"/>
    <w:rsid w:val="00BA1EA2"/>
    <w:rsid w:val="00BA64B7"/>
    <w:rsid w:val="00BB0487"/>
    <w:rsid w:val="00BB097F"/>
    <w:rsid w:val="00BB1C8A"/>
    <w:rsid w:val="00BB20B9"/>
    <w:rsid w:val="00BB231A"/>
    <w:rsid w:val="00BB37D3"/>
    <w:rsid w:val="00BB4669"/>
    <w:rsid w:val="00BB61E4"/>
    <w:rsid w:val="00BB6612"/>
    <w:rsid w:val="00BC294A"/>
    <w:rsid w:val="00BD12C2"/>
    <w:rsid w:val="00BD1A8F"/>
    <w:rsid w:val="00BD5DF8"/>
    <w:rsid w:val="00BE3BAB"/>
    <w:rsid w:val="00BE4C37"/>
    <w:rsid w:val="00BE6370"/>
    <w:rsid w:val="00BE7570"/>
    <w:rsid w:val="00BF1E40"/>
    <w:rsid w:val="00C06FC6"/>
    <w:rsid w:val="00C10C7B"/>
    <w:rsid w:val="00C14AA5"/>
    <w:rsid w:val="00C21837"/>
    <w:rsid w:val="00C21F32"/>
    <w:rsid w:val="00C22B28"/>
    <w:rsid w:val="00C231B2"/>
    <w:rsid w:val="00C2395D"/>
    <w:rsid w:val="00C24579"/>
    <w:rsid w:val="00C30E11"/>
    <w:rsid w:val="00C33CE4"/>
    <w:rsid w:val="00C43069"/>
    <w:rsid w:val="00C448FE"/>
    <w:rsid w:val="00C47BBA"/>
    <w:rsid w:val="00C54DB4"/>
    <w:rsid w:val="00C60FF2"/>
    <w:rsid w:val="00C64297"/>
    <w:rsid w:val="00C646B1"/>
    <w:rsid w:val="00C73F42"/>
    <w:rsid w:val="00C77C4F"/>
    <w:rsid w:val="00C805FD"/>
    <w:rsid w:val="00C92F8D"/>
    <w:rsid w:val="00C94468"/>
    <w:rsid w:val="00C957FE"/>
    <w:rsid w:val="00C9653F"/>
    <w:rsid w:val="00CA41CF"/>
    <w:rsid w:val="00CA7C40"/>
    <w:rsid w:val="00CA7F9D"/>
    <w:rsid w:val="00CB0A50"/>
    <w:rsid w:val="00CB278B"/>
    <w:rsid w:val="00CB31CA"/>
    <w:rsid w:val="00CB38BC"/>
    <w:rsid w:val="00CC4F2B"/>
    <w:rsid w:val="00CC77BD"/>
    <w:rsid w:val="00CD19D8"/>
    <w:rsid w:val="00CD3EDA"/>
    <w:rsid w:val="00CD5338"/>
    <w:rsid w:val="00CD56C9"/>
    <w:rsid w:val="00CD6A9C"/>
    <w:rsid w:val="00CD7B60"/>
    <w:rsid w:val="00CE0BA3"/>
    <w:rsid w:val="00CE2B3A"/>
    <w:rsid w:val="00CE5157"/>
    <w:rsid w:val="00CE6DCF"/>
    <w:rsid w:val="00CF1328"/>
    <w:rsid w:val="00CF2CE4"/>
    <w:rsid w:val="00CF71A0"/>
    <w:rsid w:val="00D0248D"/>
    <w:rsid w:val="00D1094A"/>
    <w:rsid w:val="00D111D9"/>
    <w:rsid w:val="00D12784"/>
    <w:rsid w:val="00D1584E"/>
    <w:rsid w:val="00D16C14"/>
    <w:rsid w:val="00D17021"/>
    <w:rsid w:val="00D245FB"/>
    <w:rsid w:val="00D300E2"/>
    <w:rsid w:val="00D3037A"/>
    <w:rsid w:val="00D308E2"/>
    <w:rsid w:val="00D34A44"/>
    <w:rsid w:val="00D34B6C"/>
    <w:rsid w:val="00D35226"/>
    <w:rsid w:val="00D37514"/>
    <w:rsid w:val="00D37545"/>
    <w:rsid w:val="00D37F16"/>
    <w:rsid w:val="00D401E4"/>
    <w:rsid w:val="00D45748"/>
    <w:rsid w:val="00D45C14"/>
    <w:rsid w:val="00D46643"/>
    <w:rsid w:val="00D469D7"/>
    <w:rsid w:val="00D475B9"/>
    <w:rsid w:val="00D528F9"/>
    <w:rsid w:val="00D61342"/>
    <w:rsid w:val="00D61BC4"/>
    <w:rsid w:val="00D65898"/>
    <w:rsid w:val="00D674C0"/>
    <w:rsid w:val="00D72F33"/>
    <w:rsid w:val="00D77764"/>
    <w:rsid w:val="00D77C9D"/>
    <w:rsid w:val="00D8501F"/>
    <w:rsid w:val="00D87055"/>
    <w:rsid w:val="00D90250"/>
    <w:rsid w:val="00D91756"/>
    <w:rsid w:val="00D961C9"/>
    <w:rsid w:val="00DA07A0"/>
    <w:rsid w:val="00DA234D"/>
    <w:rsid w:val="00DA4576"/>
    <w:rsid w:val="00DA50C2"/>
    <w:rsid w:val="00DB4CEE"/>
    <w:rsid w:val="00DB561E"/>
    <w:rsid w:val="00DB61C0"/>
    <w:rsid w:val="00DC57D7"/>
    <w:rsid w:val="00DD228A"/>
    <w:rsid w:val="00DD234F"/>
    <w:rsid w:val="00DD3162"/>
    <w:rsid w:val="00DD44A8"/>
    <w:rsid w:val="00DD52F8"/>
    <w:rsid w:val="00DF4F4D"/>
    <w:rsid w:val="00DF5013"/>
    <w:rsid w:val="00DF69D4"/>
    <w:rsid w:val="00DF70BE"/>
    <w:rsid w:val="00DF70DF"/>
    <w:rsid w:val="00E03E58"/>
    <w:rsid w:val="00E05155"/>
    <w:rsid w:val="00E107B5"/>
    <w:rsid w:val="00E13038"/>
    <w:rsid w:val="00E14823"/>
    <w:rsid w:val="00E21912"/>
    <w:rsid w:val="00E231FA"/>
    <w:rsid w:val="00E2522C"/>
    <w:rsid w:val="00E31046"/>
    <w:rsid w:val="00E3117C"/>
    <w:rsid w:val="00E3422A"/>
    <w:rsid w:val="00E35C9B"/>
    <w:rsid w:val="00E371BB"/>
    <w:rsid w:val="00E40956"/>
    <w:rsid w:val="00E409A1"/>
    <w:rsid w:val="00E415C4"/>
    <w:rsid w:val="00E43FC9"/>
    <w:rsid w:val="00E456F5"/>
    <w:rsid w:val="00E51B1A"/>
    <w:rsid w:val="00E5277E"/>
    <w:rsid w:val="00E54297"/>
    <w:rsid w:val="00E60546"/>
    <w:rsid w:val="00E60D1C"/>
    <w:rsid w:val="00E65E05"/>
    <w:rsid w:val="00E66779"/>
    <w:rsid w:val="00E67E60"/>
    <w:rsid w:val="00E73B97"/>
    <w:rsid w:val="00E76FCE"/>
    <w:rsid w:val="00E804B5"/>
    <w:rsid w:val="00E831D1"/>
    <w:rsid w:val="00E84371"/>
    <w:rsid w:val="00E87081"/>
    <w:rsid w:val="00E9490E"/>
    <w:rsid w:val="00EA0DC3"/>
    <w:rsid w:val="00EA0FD6"/>
    <w:rsid w:val="00EA11C2"/>
    <w:rsid w:val="00EA140C"/>
    <w:rsid w:val="00EA14C7"/>
    <w:rsid w:val="00EA2DD3"/>
    <w:rsid w:val="00EA3D4D"/>
    <w:rsid w:val="00EB0CD8"/>
    <w:rsid w:val="00EB24DF"/>
    <w:rsid w:val="00EB2831"/>
    <w:rsid w:val="00EB416E"/>
    <w:rsid w:val="00EB4FF8"/>
    <w:rsid w:val="00EB6551"/>
    <w:rsid w:val="00EC0D6E"/>
    <w:rsid w:val="00EC3FA1"/>
    <w:rsid w:val="00EC4E67"/>
    <w:rsid w:val="00EC522E"/>
    <w:rsid w:val="00EC5B52"/>
    <w:rsid w:val="00EC668B"/>
    <w:rsid w:val="00ED3A70"/>
    <w:rsid w:val="00EF45F8"/>
    <w:rsid w:val="00F00A43"/>
    <w:rsid w:val="00F00D0E"/>
    <w:rsid w:val="00F033FE"/>
    <w:rsid w:val="00F056B8"/>
    <w:rsid w:val="00F129FC"/>
    <w:rsid w:val="00F14940"/>
    <w:rsid w:val="00F16A05"/>
    <w:rsid w:val="00F173A7"/>
    <w:rsid w:val="00F22070"/>
    <w:rsid w:val="00F226D9"/>
    <w:rsid w:val="00F231DA"/>
    <w:rsid w:val="00F244B0"/>
    <w:rsid w:val="00F25551"/>
    <w:rsid w:val="00F265B5"/>
    <w:rsid w:val="00F425F1"/>
    <w:rsid w:val="00F43ADC"/>
    <w:rsid w:val="00F50FBF"/>
    <w:rsid w:val="00F5496B"/>
    <w:rsid w:val="00F5540D"/>
    <w:rsid w:val="00F63397"/>
    <w:rsid w:val="00F63B5C"/>
    <w:rsid w:val="00F7114A"/>
    <w:rsid w:val="00F71542"/>
    <w:rsid w:val="00F74B67"/>
    <w:rsid w:val="00F75F73"/>
    <w:rsid w:val="00F7692F"/>
    <w:rsid w:val="00F8009E"/>
    <w:rsid w:val="00F819BE"/>
    <w:rsid w:val="00F8461D"/>
    <w:rsid w:val="00F84AE1"/>
    <w:rsid w:val="00F910A6"/>
    <w:rsid w:val="00F92069"/>
    <w:rsid w:val="00F92844"/>
    <w:rsid w:val="00F937E5"/>
    <w:rsid w:val="00FA3204"/>
    <w:rsid w:val="00FA47F9"/>
    <w:rsid w:val="00FA5B9A"/>
    <w:rsid w:val="00FA66B3"/>
    <w:rsid w:val="00FA785B"/>
    <w:rsid w:val="00FB11A2"/>
    <w:rsid w:val="00FB15F6"/>
    <w:rsid w:val="00FB41EA"/>
    <w:rsid w:val="00FC1B9F"/>
    <w:rsid w:val="00FC71D7"/>
    <w:rsid w:val="00FC7D6D"/>
    <w:rsid w:val="00FC7DBC"/>
    <w:rsid w:val="00FD0352"/>
    <w:rsid w:val="00FD28E8"/>
    <w:rsid w:val="00FD395A"/>
    <w:rsid w:val="00FD7049"/>
    <w:rsid w:val="00FF0CF4"/>
    <w:rsid w:val="00FF4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BE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E7"/>
    <w:rPr>
      <w:rFonts w:asciiTheme="minorHAnsi" w:eastAsia="Times New Roman" w:hAnsiTheme="minorHAnsi"/>
      <w:sz w:val="22"/>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hAnsi="Calibri Light"/>
      <w:i/>
      <w:iCs/>
      <w:color w:val="3F3F42"/>
    </w:rPr>
  </w:style>
  <w:style w:type="paragraph" w:styleId="Heading5">
    <w:name w:val="heading 5"/>
    <w:basedOn w:val="Normal"/>
    <w:next w:val="Normal"/>
    <w:link w:val="Heading5Char"/>
    <w:uiPriority w:val="9"/>
    <w:semiHidden/>
    <w:unhideWhenUsed/>
    <w:rsid w:val="005C42E7"/>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5C42E7"/>
    <w:pPr>
      <w:widowControl w:val="0"/>
      <w:suppressAutoHyphens/>
      <w:autoSpaceDE w:val="0"/>
      <w:autoSpaceDN w:val="0"/>
      <w:adjustRightInd w:val="0"/>
      <w:spacing w:before="120" w:after="200" w:line="264" w:lineRule="auto"/>
      <w:textAlignment w:val="center"/>
    </w:pPr>
    <w:rPr>
      <w:rFonts w:cs="National-Book"/>
      <w:color w:val="55565A"/>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ind w:left="357" w:hanging="357"/>
      <w:textAlignment w:val="center"/>
    </w:pPr>
    <w:rPr>
      <w:rFonts w:cs="National-Book"/>
      <w:color w:val="55565A"/>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paragraph" w:styleId="Header">
    <w:name w:val="header"/>
    <w:basedOn w:val="Normal"/>
    <w:link w:val="HeaderChar"/>
    <w:uiPriority w:val="99"/>
    <w:unhideWhenUsed/>
    <w:rsid w:val="005C42E7"/>
    <w:pPr>
      <w:tabs>
        <w:tab w:val="center" w:pos="4513"/>
        <w:tab w:val="right" w:pos="9026"/>
      </w:tabs>
    </w:pPr>
  </w:style>
  <w:style w:type="character" w:customStyle="1" w:styleId="HeaderChar">
    <w:name w:val="Header Char"/>
    <w:basedOn w:val="DefaultParagraphFont"/>
    <w:link w:val="Header"/>
    <w:uiPriority w:val="99"/>
    <w:rsid w:val="005C42E7"/>
    <w:rPr>
      <w:rFonts w:asciiTheme="minorHAnsi" w:eastAsia="Times New Roman" w:hAnsiTheme="minorHAnsi"/>
      <w:sz w:val="24"/>
      <w:szCs w:val="24"/>
      <w:lang w:eastAsia="en-US"/>
    </w:rPr>
  </w:style>
  <w:style w:type="paragraph" w:styleId="Footer">
    <w:name w:val="footer"/>
    <w:basedOn w:val="Normal"/>
    <w:link w:val="FooterChar"/>
    <w:uiPriority w:val="99"/>
    <w:unhideWhenUsed/>
    <w:qFormat/>
    <w:rsid w:val="005C42E7"/>
    <w:pPr>
      <w:tabs>
        <w:tab w:val="center" w:pos="4513"/>
        <w:tab w:val="right" w:pos="9026"/>
      </w:tabs>
    </w:pPr>
    <w:rPr>
      <w:color w:val="430098"/>
    </w:rPr>
  </w:style>
  <w:style w:type="character" w:customStyle="1" w:styleId="FooterChar">
    <w:name w:val="Footer Char"/>
    <w:link w:val="Footer"/>
    <w:uiPriority w:val="99"/>
    <w:rsid w:val="005C42E7"/>
    <w:rPr>
      <w:rFonts w:asciiTheme="minorHAnsi" w:eastAsia="Times New Roman" w:hAnsiTheme="minorHAnsi"/>
      <w:color w:val="430098"/>
      <w:sz w:val="24"/>
      <w:szCs w:val="24"/>
      <w:lang w:eastAsia="en-US"/>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D528F9"/>
    <w:pPr>
      <w:widowControl w:val="0"/>
      <w:tabs>
        <w:tab w:val="left" w:pos="360"/>
        <w:tab w:val="right" w:pos="6340"/>
      </w:tabs>
      <w:autoSpaceDE w:val="0"/>
      <w:autoSpaceDN w:val="0"/>
      <w:adjustRightInd w:val="0"/>
      <w:spacing w:line="288" w:lineRule="auto"/>
      <w:ind w:left="360" w:hanging="360"/>
      <w:textAlignment w:val="center"/>
    </w:pPr>
    <w:rPr>
      <w:rFonts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D528F9"/>
    <w:pPr>
      <w:tabs>
        <w:tab w:val="clear" w:pos="360"/>
        <w:tab w:val="clear" w:pos="6340"/>
        <w:tab w:val="left" w:pos="1134"/>
        <w:tab w:val="right" w:pos="9639"/>
      </w:tabs>
      <w:spacing w:after="100" w:line="240" w:lineRule="auto"/>
      <w:ind w:left="357" w:hanging="357"/>
    </w:pPr>
    <w:rPr>
      <w:rFonts w:ascii="Calibri" w:hAnsi="Calibri"/>
      <w:b w:val="0"/>
      <w:sz w:val="22"/>
    </w:rPr>
  </w:style>
  <w:style w:type="paragraph" w:styleId="TOC2">
    <w:name w:val="toc 2"/>
    <w:basedOn w:val="ContentsSubsection1"/>
    <w:next w:val="Normal"/>
    <w:autoRedefine/>
    <w:uiPriority w:val="39"/>
    <w:unhideWhenUsed/>
    <w:rsid w:val="00F265B5"/>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unhideWhenUsed/>
    <w:rsid w:val="00BE6370"/>
    <w:pPr>
      <w:spacing w:before="100" w:beforeAutospacing="1" w:after="100" w:afterAutospacing="1"/>
    </w:pPr>
    <w:rPr>
      <w:lang w:eastAsia="en-GB"/>
    </w:rPr>
  </w:style>
  <w:style w:type="paragraph" w:customStyle="1" w:styleId="DocumentSubtitle">
    <w:name w:val="Document Subtitle"/>
    <w:next w:val="Intro"/>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uiPriority w:val="99"/>
    <w:rsid w:val="005C42E7"/>
    <w:pPr>
      <w:spacing w:after="120"/>
    </w:pPr>
    <w:rPr>
      <w:color w:val="000000"/>
      <w:lang w:eastAsia="en-GB"/>
    </w:rPr>
  </w:style>
  <w:style w:type="character" w:customStyle="1" w:styleId="Heading3Char">
    <w:name w:val="Heading 3 Char"/>
    <w:aliases w:val="Subhead2 Char"/>
    <w:link w:val="Heading3"/>
    <w:uiPriority w:val="9"/>
    <w:rsid w:val="00883D15"/>
    <w:rPr>
      <w:rFonts w:eastAsia="Times New Roman" w:cs="Calibri"/>
      <w:color w:val="BFBFBF"/>
      <w:sz w:val="28"/>
      <w:szCs w:val="28"/>
      <w:lang w:val="en-GB" w:eastAsia="en-US"/>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4F45E5"/>
    <w:pPr>
      <w:keepNext w:val="0"/>
      <w:keepLines w:val="0"/>
      <w:spacing w:before="120" w:after="160" w:line="264" w:lineRule="auto"/>
    </w:pPr>
    <w:rPr>
      <w:rFonts w:ascii="Calibri" w:hAnsi="Calibri"/>
      <w:b/>
      <w:color w:val="5620A9"/>
    </w:rPr>
  </w:style>
  <w:style w:type="paragraph" w:customStyle="1" w:styleId="SectionSubhead">
    <w:name w:val="Section Subhead"/>
    <w:basedOn w:val="Heading2"/>
    <w:qFormat/>
    <w:rsid w:val="00473D3B"/>
    <w:pPr>
      <w:keepNext w:val="0"/>
      <w:keepLines w:val="0"/>
      <w:spacing w:before="120" w:after="160" w:line="264" w:lineRule="auto"/>
    </w:pPr>
    <w:rPr>
      <w:rFonts w:ascii="Calibri" w:hAnsi="Calibri"/>
      <w:b/>
      <w:color w:val="55565A"/>
      <w:sz w:val="3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5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6"/>
      </w:numPr>
    </w:pPr>
  </w:style>
  <w:style w:type="paragraph" w:customStyle="1" w:styleId="OVICList">
    <w:name w:val="OVIC List"/>
    <w:rsid w:val="005226D3"/>
    <w:pPr>
      <w:numPr>
        <w:numId w:val="7"/>
      </w:numPr>
    </w:pPr>
    <w:rPr>
      <w:rFonts w:cs="National-Book"/>
      <w:color w:val="55565A"/>
      <w:sz w:val="22"/>
      <w:szCs w:val="22"/>
      <w:lang w:val="en-US" w:eastAsia="en-US"/>
    </w:rPr>
  </w:style>
  <w:style w:type="paragraph" w:styleId="BalloonText">
    <w:name w:val="Balloon Text"/>
    <w:basedOn w:val="Normal"/>
    <w:link w:val="BalloonTextChar"/>
    <w:uiPriority w:val="99"/>
    <w:semiHidden/>
    <w:unhideWhenUsed/>
    <w:rsid w:val="00C33CE4"/>
    <w:rPr>
      <w:sz w:val="18"/>
      <w:szCs w:val="18"/>
    </w:rPr>
  </w:style>
  <w:style w:type="character" w:customStyle="1" w:styleId="BalloonTextChar">
    <w:name w:val="Balloon Text Char"/>
    <w:basedOn w:val="DefaultParagraphFont"/>
    <w:link w:val="BalloonText"/>
    <w:uiPriority w:val="99"/>
    <w:semiHidden/>
    <w:rsid w:val="00C33CE4"/>
    <w:rPr>
      <w:rFonts w:ascii="Times New Roman" w:eastAsia="Times New Roman" w:hAnsi="Times New Roman"/>
      <w:sz w:val="18"/>
      <w:szCs w:val="18"/>
      <w:lang w:eastAsia="en-US"/>
    </w:rPr>
  </w:style>
  <w:style w:type="paragraph" w:styleId="Revision">
    <w:name w:val="Revision"/>
    <w:hidden/>
    <w:uiPriority w:val="99"/>
    <w:semiHidden/>
    <w:rsid w:val="00C33CE4"/>
    <w:rPr>
      <w:rFonts w:ascii="Times New Roman" w:eastAsia="Times New Roman" w:hAnsi="Times New Roman"/>
      <w:sz w:val="24"/>
      <w:szCs w:val="24"/>
      <w:lang w:eastAsia="en-US"/>
    </w:rPr>
  </w:style>
  <w:style w:type="paragraph" w:styleId="CommentText">
    <w:name w:val="annotation text"/>
    <w:basedOn w:val="Normal"/>
    <w:link w:val="CommentTextChar"/>
    <w:uiPriority w:val="99"/>
    <w:unhideWhenUsed/>
    <w:rsid w:val="00C33CE4"/>
    <w:rPr>
      <w:sz w:val="20"/>
      <w:szCs w:val="20"/>
    </w:rPr>
  </w:style>
  <w:style w:type="character" w:customStyle="1" w:styleId="CommentTextChar">
    <w:name w:val="Comment Text Char"/>
    <w:basedOn w:val="DefaultParagraphFont"/>
    <w:link w:val="CommentText"/>
    <w:uiPriority w:val="99"/>
    <w:rsid w:val="00C33C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33CE4"/>
    <w:rPr>
      <w:b/>
      <w:bCs/>
    </w:rPr>
  </w:style>
  <w:style w:type="character" w:customStyle="1" w:styleId="CommentSubjectChar">
    <w:name w:val="Comment Subject Char"/>
    <w:basedOn w:val="CommentTextChar"/>
    <w:link w:val="CommentSubject"/>
    <w:uiPriority w:val="99"/>
    <w:semiHidden/>
    <w:rsid w:val="00C33CE4"/>
    <w:rPr>
      <w:rFonts w:ascii="Times New Roman" w:eastAsia="Times New Roman" w:hAnsi="Times New Roman"/>
      <w:b/>
      <w:bCs/>
      <w:lang w:eastAsia="en-US"/>
    </w:rPr>
  </w:style>
  <w:style w:type="paragraph" w:styleId="ListParagraph">
    <w:name w:val="List Paragraph"/>
    <w:basedOn w:val="Normal"/>
    <w:uiPriority w:val="34"/>
    <w:qFormat/>
    <w:rsid w:val="00A168C1"/>
    <w:pPr>
      <w:ind w:left="720"/>
      <w:contextualSpacing/>
    </w:pPr>
  </w:style>
  <w:style w:type="character" w:customStyle="1" w:styleId="Heading5Char">
    <w:name w:val="Heading 5 Char"/>
    <w:basedOn w:val="DefaultParagraphFont"/>
    <w:link w:val="Heading5"/>
    <w:uiPriority w:val="9"/>
    <w:semiHidden/>
    <w:rsid w:val="005C42E7"/>
    <w:rPr>
      <w:rFonts w:asciiTheme="minorHAnsi" w:eastAsiaTheme="majorEastAsia" w:hAnsiTheme="minorHAnsi" w:cstheme="majorBidi"/>
      <w:color w:val="365F91" w:themeColor="accent1" w:themeShade="BF"/>
      <w:sz w:val="22"/>
      <w:szCs w:val="24"/>
      <w:lang w:eastAsia="en-US"/>
    </w:rPr>
  </w:style>
  <w:style w:type="character" w:customStyle="1" w:styleId="UnresolvedMention1">
    <w:name w:val="Unresolved Mention1"/>
    <w:basedOn w:val="DefaultParagraphFont"/>
    <w:uiPriority w:val="99"/>
    <w:semiHidden/>
    <w:unhideWhenUsed/>
    <w:rsid w:val="000B5323"/>
    <w:rPr>
      <w:color w:val="605E5C"/>
      <w:shd w:val="clear" w:color="auto" w:fill="E1DFDD"/>
    </w:rPr>
  </w:style>
  <w:style w:type="paragraph" w:customStyle="1" w:styleId="TableText">
    <w:name w:val="Table Text"/>
    <w:basedOn w:val="Normal"/>
    <w:qFormat/>
    <w:rsid w:val="006D1257"/>
    <w:pPr>
      <w:spacing w:before="60" w:after="60" w:line="300" w:lineRule="auto"/>
    </w:pPr>
    <w:rPr>
      <w:rFonts w:ascii="Arial" w:eastAsiaTheme="minorHAnsi" w:hAnsi="Arial" w:cs="Arial"/>
      <w:color w:val="000000" w:themeColor="text1"/>
      <w:sz w:val="18"/>
      <w:szCs w:val="20"/>
      <w:lang w:val="en-NZ"/>
    </w:rPr>
  </w:style>
  <w:style w:type="character" w:styleId="FootnoteReference">
    <w:name w:val="footnote reference"/>
    <w:basedOn w:val="DefaultParagraphFont"/>
    <w:uiPriority w:val="99"/>
    <w:semiHidden/>
    <w:unhideWhenUsed/>
    <w:rsid w:val="002E3B34"/>
    <w:rPr>
      <w:vertAlign w:val="superscript"/>
    </w:rPr>
  </w:style>
  <w:style w:type="paragraph" w:customStyle="1" w:styleId="p1">
    <w:name w:val="p1"/>
    <w:basedOn w:val="Normal"/>
    <w:rsid w:val="002E3B34"/>
    <w:rPr>
      <w:rFonts w:ascii="Helvetica" w:eastAsia="Times" w:hAnsi="Helvetica"/>
      <w:color w:val="272724"/>
      <w:sz w:val="11"/>
      <w:szCs w:val="11"/>
      <w:lang w:val="en-US" w:eastAsia="zh-CN"/>
    </w:rPr>
  </w:style>
  <w:style w:type="paragraph" w:styleId="FootnoteText">
    <w:name w:val="footnote text"/>
    <w:basedOn w:val="Normal"/>
    <w:link w:val="FootnoteTextChar"/>
    <w:uiPriority w:val="99"/>
    <w:semiHidden/>
    <w:unhideWhenUsed/>
    <w:rsid w:val="002E3B34"/>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2E3B34"/>
    <w:rPr>
      <w:lang w:val="en-GB" w:eastAsia="en-US"/>
    </w:rPr>
  </w:style>
  <w:style w:type="character" w:styleId="FollowedHyperlink">
    <w:name w:val="FollowedHyperlink"/>
    <w:basedOn w:val="DefaultParagraphFont"/>
    <w:uiPriority w:val="99"/>
    <w:semiHidden/>
    <w:unhideWhenUsed/>
    <w:rsid w:val="00EA3D4D"/>
    <w:rPr>
      <w:color w:val="800080" w:themeColor="followedHyperlink"/>
      <w:u w:val="single"/>
    </w:rPr>
  </w:style>
  <w:style w:type="table" w:styleId="GridTable4-Accent4">
    <w:name w:val="Grid Table 4 Accent 4"/>
    <w:basedOn w:val="TableNormal"/>
    <w:uiPriority w:val="49"/>
    <w:rsid w:val="00396B0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apple-converted-space">
    <w:name w:val="apple-converted-space"/>
    <w:basedOn w:val="DefaultParagraphFont"/>
    <w:rsid w:val="004E2AFA"/>
  </w:style>
  <w:style w:type="character" w:styleId="UnresolvedMention">
    <w:name w:val="Unresolved Mention"/>
    <w:basedOn w:val="DefaultParagraphFont"/>
    <w:uiPriority w:val="99"/>
    <w:semiHidden/>
    <w:unhideWhenUsed/>
    <w:rsid w:val="00812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8925">
      <w:bodyDiv w:val="1"/>
      <w:marLeft w:val="0"/>
      <w:marRight w:val="0"/>
      <w:marTop w:val="0"/>
      <w:marBottom w:val="0"/>
      <w:divBdr>
        <w:top w:val="none" w:sz="0" w:space="0" w:color="auto"/>
        <w:left w:val="none" w:sz="0" w:space="0" w:color="auto"/>
        <w:bottom w:val="none" w:sz="0" w:space="0" w:color="auto"/>
        <w:right w:val="none" w:sz="0" w:space="0" w:color="auto"/>
      </w:divBdr>
    </w:div>
    <w:div w:id="54740584">
      <w:bodyDiv w:val="1"/>
      <w:marLeft w:val="0"/>
      <w:marRight w:val="0"/>
      <w:marTop w:val="0"/>
      <w:marBottom w:val="0"/>
      <w:divBdr>
        <w:top w:val="none" w:sz="0" w:space="0" w:color="auto"/>
        <w:left w:val="none" w:sz="0" w:space="0" w:color="auto"/>
        <w:bottom w:val="none" w:sz="0" w:space="0" w:color="auto"/>
        <w:right w:val="none" w:sz="0" w:space="0" w:color="auto"/>
      </w:divBdr>
    </w:div>
    <w:div w:id="96217108">
      <w:bodyDiv w:val="1"/>
      <w:marLeft w:val="0"/>
      <w:marRight w:val="0"/>
      <w:marTop w:val="0"/>
      <w:marBottom w:val="0"/>
      <w:divBdr>
        <w:top w:val="none" w:sz="0" w:space="0" w:color="auto"/>
        <w:left w:val="none" w:sz="0" w:space="0" w:color="auto"/>
        <w:bottom w:val="none" w:sz="0" w:space="0" w:color="auto"/>
        <w:right w:val="none" w:sz="0" w:space="0" w:color="auto"/>
      </w:divBdr>
    </w:div>
    <w:div w:id="99878432">
      <w:bodyDiv w:val="1"/>
      <w:marLeft w:val="0"/>
      <w:marRight w:val="0"/>
      <w:marTop w:val="0"/>
      <w:marBottom w:val="0"/>
      <w:divBdr>
        <w:top w:val="none" w:sz="0" w:space="0" w:color="auto"/>
        <w:left w:val="none" w:sz="0" w:space="0" w:color="auto"/>
        <w:bottom w:val="none" w:sz="0" w:space="0" w:color="auto"/>
        <w:right w:val="none" w:sz="0" w:space="0" w:color="auto"/>
      </w:divBdr>
    </w:div>
    <w:div w:id="148252191">
      <w:bodyDiv w:val="1"/>
      <w:marLeft w:val="0"/>
      <w:marRight w:val="0"/>
      <w:marTop w:val="0"/>
      <w:marBottom w:val="0"/>
      <w:divBdr>
        <w:top w:val="none" w:sz="0" w:space="0" w:color="auto"/>
        <w:left w:val="none" w:sz="0" w:space="0" w:color="auto"/>
        <w:bottom w:val="none" w:sz="0" w:space="0" w:color="auto"/>
        <w:right w:val="none" w:sz="0" w:space="0" w:color="auto"/>
      </w:divBdr>
      <w:divsChild>
        <w:div w:id="2103605557">
          <w:marLeft w:val="0"/>
          <w:marRight w:val="0"/>
          <w:marTop w:val="0"/>
          <w:marBottom w:val="0"/>
          <w:divBdr>
            <w:top w:val="none" w:sz="0" w:space="0" w:color="auto"/>
            <w:left w:val="none" w:sz="0" w:space="0" w:color="auto"/>
            <w:bottom w:val="none" w:sz="0" w:space="0" w:color="auto"/>
            <w:right w:val="none" w:sz="0" w:space="0" w:color="auto"/>
          </w:divBdr>
          <w:divsChild>
            <w:div w:id="1648508065">
              <w:marLeft w:val="0"/>
              <w:marRight w:val="0"/>
              <w:marTop w:val="0"/>
              <w:marBottom w:val="0"/>
              <w:divBdr>
                <w:top w:val="none" w:sz="0" w:space="0" w:color="auto"/>
                <w:left w:val="none" w:sz="0" w:space="0" w:color="auto"/>
                <w:bottom w:val="none" w:sz="0" w:space="0" w:color="auto"/>
                <w:right w:val="none" w:sz="0" w:space="0" w:color="auto"/>
              </w:divBdr>
              <w:divsChild>
                <w:div w:id="3215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2397">
      <w:bodyDiv w:val="1"/>
      <w:marLeft w:val="0"/>
      <w:marRight w:val="0"/>
      <w:marTop w:val="0"/>
      <w:marBottom w:val="0"/>
      <w:divBdr>
        <w:top w:val="none" w:sz="0" w:space="0" w:color="auto"/>
        <w:left w:val="none" w:sz="0" w:space="0" w:color="auto"/>
        <w:bottom w:val="none" w:sz="0" w:space="0" w:color="auto"/>
        <w:right w:val="none" w:sz="0" w:space="0" w:color="auto"/>
      </w:divBdr>
    </w:div>
    <w:div w:id="256719147">
      <w:bodyDiv w:val="1"/>
      <w:marLeft w:val="0"/>
      <w:marRight w:val="0"/>
      <w:marTop w:val="0"/>
      <w:marBottom w:val="0"/>
      <w:divBdr>
        <w:top w:val="none" w:sz="0" w:space="0" w:color="auto"/>
        <w:left w:val="none" w:sz="0" w:space="0" w:color="auto"/>
        <w:bottom w:val="none" w:sz="0" w:space="0" w:color="auto"/>
        <w:right w:val="none" w:sz="0" w:space="0" w:color="auto"/>
      </w:divBdr>
    </w:div>
    <w:div w:id="277958700">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414209824">
      <w:bodyDiv w:val="1"/>
      <w:marLeft w:val="0"/>
      <w:marRight w:val="0"/>
      <w:marTop w:val="0"/>
      <w:marBottom w:val="0"/>
      <w:divBdr>
        <w:top w:val="none" w:sz="0" w:space="0" w:color="auto"/>
        <w:left w:val="none" w:sz="0" w:space="0" w:color="auto"/>
        <w:bottom w:val="none" w:sz="0" w:space="0" w:color="auto"/>
        <w:right w:val="none" w:sz="0" w:space="0" w:color="auto"/>
      </w:divBdr>
    </w:div>
    <w:div w:id="446434333">
      <w:bodyDiv w:val="1"/>
      <w:marLeft w:val="0"/>
      <w:marRight w:val="0"/>
      <w:marTop w:val="0"/>
      <w:marBottom w:val="0"/>
      <w:divBdr>
        <w:top w:val="none" w:sz="0" w:space="0" w:color="auto"/>
        <w:left w:val="none" w:sz="0" w:space="0" w:color="auto"/>
        <w:bottom w:val="none" w:sz="0" w:space="0" w:color="auto"/>
        <w:right w:val="none" w:sz="0" w:space="0" w:color="auto"/>
      </w:divBdr>
    </w:div>
    <w:div w:id="451291233">
      <w:bodyDiv w:val="1"/>
      <w:marLeft w:val="0"/>
      <w:marRight w:val="0"/>
      <w:marTop w:val="0"/>
      <w:marBottom w:val="0"/>
      <w:divBdr>
        <w:top w:val="none" w:sz="0" w:space="0" w:color="auto"/>
        <w:left w:val="none" w:sz="0" w:space="0" w:color="auto"/>
        <w:bottom w:val="none" w:sz="0" w:space="0" w:color="auto"/>
        <w:right w:val="none" w:sz="0" w:space="0" w:color="auto"/>
      </w:divBdr>
      <w:divsChild>
        <w:div w:id="792020544">
          <w:marLeft w:val="0"/>
          <w:marRight w:val="0"/>
          <w:marTop w:val="0"/>
          <w:marBottom w:val="0"/>
          <w:divBdr>
            <w:top w:val="none" w:sz="0" w:space="0" w:color="auto"/>
            <w:left w:val="none" w:sz="0" w:space="0" w:color="auto"/>
            <w:bottom w:val="none" w:sz="0" w:space="0" w:color="auto"/>
            <w:right w:val="none" w:sz="0" w:space="0" w:color="auto"/>
          </w:divBdr>
          <w:divsChild>
            <w:div w:id="350959801">
              <w:marLeft w:val="0"/>
              <w:marRight w:val="0"/>
              <w:marTop w:val="0"/>
              <w:marBottom w:val="0"/>
              <w:divBdr>
                <w:top w:val="none" w:sz="0" w:space="0" w:color="auto"/>
                <w:left w:val="none" w:sz="0" w:space="0" w:color="auto"/>
                <w:bottom w:val="none" w:sz="0" w:space="0" w:color="auto"/>
                <w:right w:val="none" w:sz="0" w:space="0" w:color="auto"/>
              </w:divBdr>
              <w:divsChild>
                <w:div w:id="9778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5678">
      <w:bodyDiv w:val="1"/>
      <w:marLeft w:val="0"/>
      <w:marRight w:val="0"/>
      <w:marTop w:val="0"/>
      <w:marBottom w:val="0"/>
      <w:divBdr>
        <w:top w:val="none" w:sz="0" w:space="0" w:color="auto"/>
        <w:left w:val="none" w:sz="0" w:space="0" w:color="auto"/>
        <w:bottom w:val="none" w:sz="0" w:space="0" w:color="auto"/>
        <w:right w:val="none" w:sz="0" w:space="0" w:color="auto"/>
      </w:divBdr>
    </w:div>
    <w:div w:id="575631541">
      <w:bodyDiv w:val="1"/>
      <w:marLeft w:val="0"/>
      <w:marRight w:val="0"/>
      <w:marTop w:val="0"/>
      <w:marBottom w:val="0"/>
      <w:divBdr>
        <w:top w:val="none" w:sz="0" w:space="0" w:color="auto"/>
        <w:left w:val="none" w:sz="0" w:space="0" w:color="auto"/>
        <w:bottom w:val="none" w:sz="0" w:space="0" w:color="auto"/>
        <w:right w:val="none" w:sz="0" w:space="0" w:color="auto"/>
      </w:divBdr>
    </w:div>
    <w:div w:id="580455181">
      <w:bodyDiv w:val="1"/>
      <w:marLeft w:val="0"/>
      <w:marRight w:val="0"/>
      <w:marTop w:val="0"/>
      <w:marBottom w:val="0"/>
      <w:divBdr>
        <w:top w:val="none" w:sz="0" w:space="0" w:color="auto"/>
        <w:left w:val="none" w:sz="0" w:space="0" w:color="auto"/>
        <w:bottom w:val="none" w:sz="0" w:space="0" w:color="auto"/>
        <w:right w:val="none" w:sz="0" w:space="0" w:color="auto"/>
      </w:divBdr>
    </w:div>
    <w:div w:id="628324124">
      <w:bodyDiv w:val="1"/>
      <w:marLeft w:val="0"/>
      <w:marRight w:val="0"/>
      <w:marTop w:val="0"/>
      <w:marBottom w:val="0"/>
      <w:divBdr>
        <w:top w:val="none" w:sz="0" w:space="0" w:color="auto"/>
        <w:left w:val="none" w:sz="0" w:space="0" w:color="auto"/>
        <w:bottom w:val="none" w:sz="0" w:space="0" w:color="auto"/>
        <w:right w:val="none" w:sz="0" w:space="0" w:color="auto"/>
      </w:divBdr>
    </w:div>
    <w:div w:id="635380138">
      <w:bodyDiv w:val="1"/>
      <w:marLeft w:val="0"/>
      <w:marRight w:val="0"/>
      <w:marTop w:val="0"/>
      <w:marBottom w:val="0"/>
      <w:divBdr>
        <w:top w:val="none" w:sz="0" w:space="0" w:color="auto"/>
        <w:left w:val="none" w:sz="0" w:space="0" w:color="auto"/>
        <w:bottom w:val="none" w:sz="0" w:space="0" w:color="auto"/>
        <w:right w:val="none" w:sz="0" w:space="0" w:color="auto"/>
      </w:divBdr>
    </w:div>
    <w:div w:id="701245729">
      <w:bodyDiv w:val="1"/>
      <w:marLeft w:val="0"/>
      <w:marRight w:val="0"/>
      <w:marTop w:val="0"/>
      <w:marBottom w:val="0"/>
      <w:divBdr>
        <w:top w:val="none" w:sz="0" w:space="0" w:color="auto"/>
        <w:left w:val="none" w:sz="0" w:space="0" w:color="auto"/>
        <w:bottom w:val="none" w:sz="0" w:space="0" w:color="auto"/>
        <w:right w:val="none" w:sz="0" w:space="0" w:color="auto"/>
      </w:divBdr>
    </w:div>
    <w:div w:id="708646344">
      <w:bodyDiv w:val="1"/>
      <w:marLeft w:val="0"/>
      <w:marRight w:val="0"/>
      <w:marTop w:val="0"/>
      <w:marBottom w:val="0"/>
      <w:divBdr>
        <w:top w:val="none" w:sz="0" w:space="0" w:color="auto"/>
        <w:left w:val="none" w:sz="0" w:space="0" w:color="auto"/>
        <w:bottom w:val="none" w:sz="0" w:space="0" w:color="auto"/>
        <w:right w:val="none" w:sz="0" w:space="0" w:color="auto"/>
      </w:divBdr>
    </w:div>
    <w:div w:id="795752550">
      <w:bodyDiv w:val="1"/>
      <w:marLeft w:val="0"/>
      <w:marRight w:val="0"/>
      <w:marTop w:val="0"/>
      <w:marBottom w:val="0"/>
      <w:divBdr>
        <w:top w:val="none" w:sz="0" w:space="0" w:color="auto"/>
        <w:left w:val="none" w:sz="0" w:space="0" w:color="auto"/>
        <w:bottom w:val="none" w:sz="0" w:space="0" w:color="auto"/>
        <w:right w:val="none" w:sz="0" w:space="0" w:color="auto"/>
      </w:divBdr>
    </w:div>
    <w:div w:id="850997757">
      <w:bodyDiv w:val="1"/>
      <w:marLeft w:val="0"/>
      <w:marRight w:val="0"/>
      <w:marTop w:val="0"/>
      <w:marBottom w:val="0"/>
      <w:divBdr>
        <w:top w:val="none" w:sz="0" w:space="0" w:color="auto"/>
        <w:left w:val="none" w:sz="0" w:space="0" w:color="auto"/>
        <w:bottom w:val="none" w:sz="0" w:space="0" w:color="auto"/>
        <w:right w:val="none" w:sz="0" w:space="0" w:color="auto"/>
      </w:divBdr>
    </w:div>
    <w:div w:id="853498418">
      <w:bodyDiv w:val="1"/>
      <w:marLeft w:val="0"/>
      <w:marRight w:val="0"/>
      <w:marTop w:val="0"/>
      <w:marBottom w:val="0"/>
      <w:divBdr>
        <w:top w:val="none" w:sz="0" w:space="0" w:color="auto"/>
        <w:left w:val="none" w:sz="0" w:space="0" w:color="auto"/>
        <w:bottom w:val="none" w:sz="0" w:space="0" w:color="auto"/>
        <w:right w:val="none" w:sz="0" w:space="0" w:color="auto"/>
      </w:divBdr>
    </w:div>
    <w:div w:id="871918819">
      <w:bodyDiv w:val="1"/>
      <w:marLeft w:val="0"/>
      <w:marRight w:val="0"/>
      <w:marTop w:val="0"/>
      <w:marBottom w:val="0"/>
      <w:divBdr>
        <w:top w:val="none" w:sz="0" w:space="0" w:color="auto"/>
        <w:left w:val="none" w:sz="0" w:space="0" w:color="auto"/>
        <w:bottom w:val="none" w:sz="0" w:space="0" w:color="auto"/>
        <w:right w:val="none" w:sz="0" w:space="0" w:color="auto"/>
      </w:divBdr>
      <w:divsChild>
        <w:div w:id="1158956235">
          <w:marLeft w:val="0"/>
          <w:marRight w:val="0"/>
          <w:marTop w:val="0"/>
          <w:marBottom w:val="0"/>
          <w:divBdr>
            <w:top w:val="none" w:sz="0" w:space="0" w:color="auto"/>
            <w:left w:val="none" w:sz="0" w:space="0" w:color="auto"/>
            <w:bottom w:val="none" w:sz="0" w:space="0" w:color="auto"/>
            <w:right w:val="none" w:sz="0" w:space="0" w:color="auto"/>
          </w:divBdr>
          <w:divsChild>
            <w:div w:id="1026249345">
              <w:marLeft w:val="0"/>
              <w:marRight w:val="0"/>
              <w:marTop w:val="0"/>
              <w:marBottom w:val="0"/>
              <w:divBdr>
                <w:top w:val="none" w:sz="0" w:space="0" w:color="auto"/>
                <w:left w:val="none" w:sz="0" w:space="0" w:color="auto"/>
                <w:bottom w:val="none" w:sz="0" w:space="0" w:color="auto"/>
                <w:right w:val="none" w:sz="0" w:space="0" w:color="auto"/>
              </w:divBdr>
              <w:divsChild>
                <w:div w:id="661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7209">
      <w:bodyDiv w:val="1"/>
      <w:marLeft w:val="0"/>
      <w:marRight w:val="0"/>
      <w:marTop w:val="0"/>
      <w:marBottom w:val="0"/>
      <w:divBdr>
        <w:top w:val="none" w:sz="0" w:space="0" w:color="auto"/>
        <w:left w:val="none" w:sz="0" w:space="0" w:color="auto"/>
        <w:bottom w:val="none" w:sz="0" w:space="0" w:color="auto"/>
        <w:right w:val="none" w:sz="0" w:space="0" w:color="auto"/>
      </w:divBdr>
      <w:divsChild>
        <w:div w:id="536310693">
          <w:marLeft w:val="0"/>
          <w:marRight w:val="0"/>
          <w:marTop w:val="0"/>
          <w:marBottom w:val="0"/>
          <w:divBdr>
            <w:top w:val="none" w:sz="0" w:space="0" w:color="auto"/>
            <w:left w:val="none" w:sz="0" w:space="0" w:color="auto"/>
            <w:bottom w:val="none" w:sz="0" w:space="0" w:color="auto"/>
            <w:right w:val="none" w:sz="0" w:space="0" w:color="auto"/>
          </w:divBdr>
          <w:divsChild>
            <w:div w:id="444036305">
              <w:marLeft w:val="0"/>
              <w:marRight w:val="0"/>
              <w:marTop w:val="0"/>
              <w:marBottom w:val="0"/>
              <w:divBdr>
                <w:top w:val="none" w:sz="0" w:space="0" w:color="auto"/>
                <w:left w:val="none" w:sz="0" w:space="0" w:color="auto"/>
                <w:bottom w:val="none" w:sz="0" w:space="0" w:color="auto"/>
                <w:right w:val="none" w:sz="0" w:space="0" w:color="auto"/>
              </w:divBdr>
              <w:divsChild>
                <w:div w:id="18639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3691">
      <w:bodyDiv w:val="1"/>
      <w:marLeft w:val="0"/>
      <w:marRight w:val="0"/>
      <w:marTop w:val="0"/>
      <w:marBottom w:val="0"/>
      <w:divBdr>
        <w:top w:val="none" w:sz="0" w:space="0" w:color="auto"/>
        <w:left w:val="none" w:sz="0" w:space="0" w:color="auto"/>
        <w:bottom w:val="none" w:sz="0" w:space="0" w:color="auto"/>
        <w:right w:val="none" w:sz="0" w:space="0" w:color="auto"/>
      </w:divBdr>
    </w:div>
    <w:div w:id="948976138">
      <w:bodyDiv w:val="1"/>
      <w:marLeft w:val="0"/>
      <w:marRight w:val="0"/>
      <w:marTop w:val="0"/>
      <w:marBottom w:val="0"/>
      <w:divBdr>
        <w:top w:val="none" w:sz="0" w:space="0" w:color="auto"/>
        <w:left w:val="none" w:sz="0" w:space="0" w:color="auto"/>
        <w:bottom w:val="none" w:sz="0" w:space="0" w:color="auto"/>
        <w:right w:val="none" w:sz="0" w:space="0" w:color="auto"/>
      </w:divBdr>
    </w:div>
    <w:div w:id="964656278">
      <w:bodyDiv w:val="1"/>
      <w:marLeft w:val="0"/>
      <w:marRight w:val="0"/>
      <w:marTop w:val="0"/>
      <w:marBottom w:val="0"/>
      <w:divBdr>
        <w:top w:val="none" w:sz="0" w:space="0" w:color="auto"/>
        <w:left w:val="none" w:sz="0" w:space="0" w:color="auto"/>
        <w:bottom w:val="none" w:sz="0" w:space="0" w:color="auto"/>
        <w:right w:val="none" w:sz="0" w:space="0" w:color="auto"/>
      </w:divBdr>
    </w:div>
    <w:div w:id="983897536">
      <w:bodyDiv w:val="1"/>
      <w:marLeft w:val="0"/>
      <w:marRight w:val="0"/>
      <w:marTop w:val="0"/>
      <w:marBottom w:val="0"/>
      <w:divBdr>
        <w:top w:val="none" w:sz="0" w:space="0" w:color="auto"/>
        <w:left w:val="none" w:sz="0" w:space="0" w:color="auto"/>
        <w:bottom w:val="none" w:sz="0" w:space="0" w:color="auto"/>
        <w:right w:val="none" w:sz="0" w:space="0" w:color="auto"/>
      </w:divBdr>
      <w:divsChild>
        <w:div w:id="1063334146">
          <w:marLeft w:val="0"/>
          <w:marRight w:val="0"/>
          <w:marTop w:val="0"/>
          <w:marBottom w:val="0"/>
          <w:divBdr>
            <w:top w:val="none" w:sz="0" w:space="0" w:color="auto"/>
            <w:left w:val="none" w:sz="0" w:space="0" w:color="auto"/>
            <w:bottom w:val="none" w:sz="0" w:space="0" w:color="auto"/>
            <w:right w:val="none" w:sz="0" w:space="0" w:color="auto"/>
          </w:divBdr>
          <w:divsChild>
            <w:div w:id="1161458728">
              <w:marLeft w:val="0"/>
              <w:marRight w:val="0"/>
              <w:marTop w:val="0"/>
              <w:marBottom w:val="0"/>
              <w:divBdr>
                <w:top w:val="none" w:sz="0" w:space="0" w:color="auto"/>
                <w:left w:val="none" w:sz="0" w:space="0" w:color="auto"/>
                <w:bottom w:val="none" w:sz="0" w:space="0" w:color="auto"/>
                <w:right w:val="none" w:sz="0" w:space="0" w:color="auto"/>
              </w:divBdr>
              <w:divsChild>
                <w:div w:id="15258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9691">
      <w:bodyDiv w:val="1"/>
      <w:marLeft w:val="0"/>
      <w:marRight w:val="0"/>
      <w:marTop w:val="0"/>
      <w:marBottom w:val="0"/>
      <w:divBdr>
        <w:top w:val="none" w:sz="0" w:space="0" w:color="auto"/>
        <w:left w:val="none" w:sz="0" w:space="0" w:color="auto"/>
        <w:bottom w:val="none" w:sz="0" w:space="0" w:color="auto"/>
        <w:right w:val="none" w:sz="0" w:space="0" w:color="auto"/>
      </w:divBdr>
    </w:div>
    <w:div w:id="993677873">
      <w:bodyDiv w:val="1"/>
      <w:marLeft w:val="0"/>
      <w:marRight w:val="0"/>
      <w:marTop w:val="0"/>
      <w:marBottom w:val="0"/>
      <w:divBdr>
        <w:top w:val="none" w:sz="0" w:space="0" w:color="auto"/>
        <w:left w:val="none" w:sz="0" w:space="0" w:color="auto"/>
        <w:bottom w:val="none" w:sz="0" w:space="0" w:color="auto"/>
        <w:right w:val="none" w:sz="0" w:space="0" w:color="auto"/>
      </w:divBdr>
    </w:div>
    <w:div w:id="1039165984">
      <w:bodyDiv w:val="1"/>
      <w:marLeft w:val="0"/>
      <w:marRight w:val="0"/>
      <w:marTop w:val="0"/>
      <w:marBottom w:val="0"/>
      <w:divBdr>
        <w:top w:val="none" w:sz="0" w:space="0" w:color="auto"/>
        <w:left w:val="none" w:sz="0" w:space="0" w:color="auto"/>
        <w:bottom w:val="none" w:sz="0" w:space="0" w:color="auto"/>
        <w:right w:val="none" w:sz="0" w:space="0" w:color="auto"/>
      </w:divBdr>
    </w:div>
    <w:div w:id="1074010087">
      <w:bodyDiv w:val="1"/>
      <w:marLeft w:val="0"/>
      <w:marRight w:val="0"/>
      <w:marTop w:val="0"/>
      <w:marBottom w:val="0"/>
      <w:divBdr>
        <w:top w:val="none" w:sz="0" w:space="0" w:color="auto"/>
        <w:left w:val="none" w:sz="0" w:space="0" w:color="auto"/>
        <w:bottom w:val="none" w:sz="0" w:space="0" w:color="auto"/>
        <w:right w:val="none" w:sz="0" w:space="0" w:color="auto"/>
      </w:divBdr>
    </w:div>
    <w:div w:id="1148129144">
      <w:bodyDiv w:val="1"/>
      <w:marLeft w:val="0"/>
      <w:marRight w:val="0"/>
      <w:marTop w:val="0"/>
      <w:marBottom w:val="0"/>
      <w:divBdr>
        <w:top w:val="none" w:sz="0" w:space="0" w:color="auto"/>
        <w:left w:val="none" w:sz="0" w:space="0" w:color="auto"/>
        <w:bottom w:val="none" w:sz="0" w:space="0" w:color="auto"/>
        <w:right w:val="none" w:sz="0" w:space="0" w:color="auto"/>
      </w:divBdr>
    </w:div>
    <w:div w:id="1209877473">
      <w:bodyDiv w:val="1"/>
      <w:marLeft w:val="0"/>
      <w:marRight w:val="0"/>
      <w:marTop w:val="0"/>
      <w:marBottom w:val="0"/>
      <w:divBdr>
        <w:top w:val="none" w:sz="0" w:space="0" w:color="auto"/>
        <w:left w:val="none" w:sz="0" w:space="0" w:color="auto"/>
        <w:bottom w:val="none" w:sz="0" w:space="0" w:color="auto"/>
        <w:right w:val="none" w:sz="0" w:space="0" w:color="auto"/>
      </w:divBdr>
    </w:div>
    <w:div w:id="1221283551">
      <w:bodyDiv w:val="1"/>
      <w:marLeft w:val="0"/>
      <w:marRight w:val="0"/>
      <w:marTop w:val="0"/>
      <w:marBottom w:val="0"/>
      <w:divBdr>
        <w:top w:val="none" w:sz="0" w:space="0" w:color="auto"/>
        <w:left w:val="none" w:sz="0" w:space="0" w:color="auto"/>
        <w:bottom w:val="none" w:sz="0" w:space="0" w:color="auto"/>
        <w:right w:val="none" w:sz="0" w:space="0" w:color="auto"/>
      </w:divBdr>
    </w:div>
    <w:div w:id="1357583138">
      <w:bodyDiv w:val="1"/>
      <w:marLeft w:val="0"/>
      <w:marRight w:val="0"/>
      <w:marTop w:val="0"/>
      <w:marBottom w:val="0"/>
      <w:divBdr>
        <w:top w:val="none" w:sz="0" w:space="0" w:color="auto"/>
        <w:left w:val="none" w:sz="0" w:space="0" w:color="auto"/>
        <w:bottom w:val="none" w:sz="0" w:space="0" w:color="auto"/>
        <w:right w:val="none" w:sz="0" w:space="0" w:color="auto"/>
      </w:divBdr>
    </w:div>
    <w:div w:id="1523089375">
      <w:bodyDiv w:val="1"/>
      <w:marLeft w:val="0"/>
      <w:marRight w:val="0"/>
      <w:marTop w:val="0"/>
      <w:marBottom w:val="0"/>
      <w:divBdr>
        <w:top w:val="none" w:sz="0" w:space="0" w:color="auto"/>
        <w:left w:val="none" w:sz="0" w:space="0" w:color="auto"/>
        <w:bottom w:val="none" w:sz="0" w:space="0" w:color="auto"/>
        <w:right w:val="none" w:sz="0" w:space="0" w:color="auto"/>
      </w:divBdr>
    </w:div>
    <w:div w:id="1626347534">
      <w:bodyDiv w:val="1"/>
      <w:marLeft w:val="0"/>
      <w:marRight w:val="0"/>
      <w:marTop w:val="0"/>
      <w:marBottom w:val="0"/>
      <w:divBdr>
        <w:top w:val="none" w:sz="0" w:space="0" w:color="auto"/>
        <w:left w:val="none" w:sz="0" w:space="0" w:color="auto"/>
        <w:bottom w:val="none" w:sz="0" w:space="0" w:color="auto"/>
        <w:right w:val="none" w:sz="0" w:space="0" w:color="auto"/>
      </w:divBdr>
    </w:div>
    <w:div w:id="1798141036">
      <w:bodyDiv w:val="1"/>
      <w:marLeft w:val="0"/>
      <w:marRight w:val="0"/>
      <w:marTop w:val="0"/>
      <w:marBottom w:val="0"/>
      <w:divBdr>
        <w:top w:val="none" w:sz="0" w:space="0" w:color="auto"/>
        <w:left w:val="none" w:sz="0" w:space="0" w:color="auto"/>
        <w:bottom w:val="none" w:sz="0" w:space="0" w:color="auto"/>
        <w:right w:val="none" w:sz="0" w:space="0" w:color="auto"/>
      </w:divBdr>
    </w:div>
    <w:div w:id="1878084299">
      <w:bodyDiv w:val="1"/>
      <w:marLeft w:val="0"/>
      <w:marRight w:val="0"/>
      <w:marTop w:val="0"/>
      <w:marBottom w:val="0"/>
      <w:divBdr>
        <w:top w:val="none" w:sz="0" w:space="0" w:color="auto"/>
        <w:left w:val="none" w:sz="0" w:space="0" w:color="auto"/>
        <w:bottom w:val="none" w:sz="0" w:space="0" w:color="auto"/>
        <w:right w:val="none" w:sz="0" w:space="0" w:color="auto"/>
      </w:divBdr>
    </w:div>
    <w:div w:id="1970285294">
      <w:bodyDiv w:val="1"/>
      <w:marLeft w:val="0"/>
      <w:marRight w:val="0"/>
      <w:marTop w:val="0"/>
      <w:marBottom w:val="0"/>
      <w:divBdr>
        <w:top w:val="none" w:sz="0" w:space="0" w:color="auto"/>
        <w:left w:val="none" w:sz="0" w:space="0" w:color="auto"/>
        <w:bottom w:val="none" w:sz="0" w:space="0" w:color="auto"/>
        <w:right w:val="none" w:sz="0" w:space="0" w:color="auto"/>
      </w:divBdr>
    </w:div>
    <w:div w:id="199540732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022313800">
      <w:bodyDiv w:val="1"/>
      <w:marLeft w:val="0"/>
      <w:marRight w:val="0"/>
      <w:marTop w:val="0"/>
      <w:marBottom w:val="0"/>
      <w:divBdr>
        <w:top w:val="none" w:sz="0" w:space="0" w:color="auto"/>
        <w:left w:val="none" w:sz="0" w:space="0" w:color="auto"/>
        <w:bottom w:val="none" w:sz="0" w:space="0" w:color="auto"/>
        <w:right w:val="none" w:sz="0" w:space="0" w:color="auto"/>
      </w:divBdr>
    </w:div>
    <w:div w:id="2052610720">
      <w:bodyDiv w:val="1"/>
      <w:marLeft w:val="0"/>
      <w:marRight w:val="0"/>
      <w:marTop w:val="0"/>
      <w:marBottom w:val="0"/>
      <w:divBdr>
        <w:top w:val="none" w:sz="0" w:space="0" w:color="auto"/>
        <w:left w:val="none" w:sz="0" w:space="0" w:color="auto"/>
        <w:bottom w:val="none" w:sz="0" w:space="0" w:color="auto"/>
        <w:right w:val="none" w:sz="0" w:space="0" w:color="auto"/>
      </w:divBdr>
    </w:div>
    <w:div w:id="2092311470">
      <w:bodyDiv w:val="1"/>
      <w:marLeft w:val="0"/>
      <w:marRight w:val="0"/>
      <w:marTop w:val="0"/>
      <w:marBottom w:val="0"/>
      <w:divBdr>
        <w:top w:val="none" w:sz="0" w:space="0" w:color="auto"/>
        <w:left w:val="none" w:sz="0" w:space="0" w:color="auto"/>
        <w:bottom w:val="none" w:sz="0" w:space="0" w:color="auto"/>
        <w:right w:val="none" w:sz="0" w:space="0" w:color="auto"/>
      </w:divBdr>
    </w:div>
    <w:div w:id="2099863308">
      <w:bodyDiv w:val="1"/>
      <w:marLeft w:val="0"/>
      <w:marRight w:val="0"/>
      <w:marTop w:val="0"/>
      <w:marBottom w:val="0"/>
      <w:divBdr>
        <w:top w:val="none" w:sz="0" w:space="0" w:color="auto"/>
        <w:left w:val="none" w:sz="0" w:space="0" w:color="auto"/>
        <w:bottom w:val="none" w:sz="0" w:space="0" w:color="auto"/>
        <w:right w:val="none" w:sz="0" w:space="0" w:color="auto"/>
      </w:divBdr>
    </w:div>
    <w:div w:id="213092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ity@ovic.vic.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tnews.com.au/news/leap-replacement-drops-off-victoria-polices-agenda-41927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1907-312C-1043-BE15-3034ECA8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2637</Words>
  <Characters>15033</Characters>
  <Application>Microsoft Office Word</Application>
  <DocSecurity>0</DocSecurity>
  <Lines>125</Lines>
  <Paragraphs>35</Paragraphs>
  <ScaleCrop>false</ScaleCrop>
  <Manager/>
  <Company/>
  <LinksUpToDate>false</LinksUpToDate>
  <CharactersWithSpaces>17635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2020-11-09T05:50:00Z</dcterms:created>
  <dcterms:modified xsi:type="dcterms:W3CDTF">2020-11-10T00:16:00Z</dcterms:modified>
  <cp:category/>
</cp:coreProperties>
</file>