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3A72F" w14:textId="77777777" w:rsidR="00F36C34" w:rsidRPr="00863040" w:rsidRDefault="00F36C34" w:rsidP="00F36C34">
      <w:pPr>
        <w:ind w:right="-7"/>
        <w:rPr>
          <w:color w:val="555559"/>
          <w:lang w:val="en-US"/>
        </w:rPr>
        <w:sectPr w:rsidR="00F36C34" w:rsidRPr="00863040" w:rsidSect="00C573CD">
          <w:footerReference w:type="even" r:id="rId8"/>
          <w:footerReference w:type="default" r:id="rId9"/>
          <w:headerReference w:type="first" r:id="rId10"/>
          <w:footerReference w:type="first" r:id="rId11"/>
          <w:pgSz w:w="11900" w:h="16840"/>
          <w:pgMar w:top="1134" w:right="1134" w:bottom="1134" w:left="1134" w:header="964" w:footer="510" w:gutter="0"/>
          <w:cols w:space="708"/>
          <w:titlePg/>
          <w:docGrid w:linePitch="360"/>
        </w:sectPr>
      </w:pPr>
    </w:p>
    <w:p w14:paraId="14740322" w14:textId="77777777" w:rsidR="00EE73E0" w:rsidRDefault="00EE73E0" w:rsidP="00115753">
      <w:pPr>
        <w:pStyle w:val="Intro"/>
        <w:rPr>
          <w:sz w:val="24"/>
        </w:rPr>
      </w:pPr>
      <w:r>
        <w:rPr>
          <w:noProof/>
        </w:rPr>
        <w:drawing>
          <wp:inline distT="0" distB="0" distL="0" distR="0" wp14:anchorId="5079FE43" wp14:editId="3B0966A6">
            <wp:extent cx="6162675" cy="34665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777" cy="3467125"/>
                    </a:xfrm>
                    <a:prstGeom prst="rect">
                      <a:avLst/>
                    </a:prstGeom>
                    <a:noFill/>
                    <a:ln>
                      <a:noFill/>
                    </a:ln>
                  </pic:spPr>
                </pic:pic>
              </a:graphicData>
            </a:graphic>
          </wp:inline>
        </w:drawing>
      </w:r>
      <w:r w:rsidR="00115753" w:rsidRPr="008905B5">
        <w:rPr>
          <w:sz w:val="24"/>
        </w:rPr>
        <w:t xml:space="preserve"> </w:t>
      </w:r>
    </w:p>
    <w:p w14:paraId="3CDDAF66" w14:textId="33105405" w:rsidR="00115753" w:rsidRPr="00EE73E0" w:rsidRDefault="00115753" w:rsidP="00115753">
      <w:pPr>
        <w:pStyle w:val="Intro"/>
        <w:rPr>
          <w:b/>
          <w:bCs/>
          <w:i/>
          <w:iCs/>
          <w:sz w:val="24"/>
        </w:rPr>
      </w:pPr>
      <w:r w:rsidRPr="00833684">
        <w:rPr>
          <w:b/>
          <w:bCs/>
          <w:i/>
          <w:iCs/>
          <w:sz w:val="25"/>
          <w:szCs w:val="25"/>
        </w:rPr>
        <w:t xml:space="preserve">“Breach uncovered – potentially significant number of job applicant personal details inappropriately disclosed” </w:t>
      </w:r>
      <w:r w:rsidR="006D100D" w:rsidRPr="00833684">
        <w:rPr>
          <w:sz w:val="25"/>
          <w:szCs w:val="25"/>
        </w:rPr>
        <w:t>….</w:t>
      </w:r>
      <w:r w:rsidR="006D100D">
        <w:rPr>
          <w:sz w:val="24"/>
        </w:rPr>
        <w:t xml:space="preserve"> </w:t>
      </w:r>
      <w:r w:rsidRPr="008905B5">
        <w:rPr>
          <w:sz w:val="24"/>
        </w:rPr>
        <w:t xml:space="preserve">blasted headlines </w:t>
      </w:r>
      <w:r w:rsidR="00325A36">
        <w:rPr>
          <w:sz w:val="24"/>
        </w:rPr>
        <w:t xml:space="preserve">in </w:t>
      </w:r>
      <w:r w:rsidRPr="008905B5">
        <w:rPr>
          <w:sz w:val="24"/>
        </w:rPr>
        <w:t xml:space="preserve">the major online publications. </w:t>
      </w:r>
      <w:proofErr w:type="gramStart"/>
      <w:r w:rsidRPr="008905B5">
        <w:rPr>
          <w:sz w:val="24"/>
        </w:rPr>
        <w:t>A number of</w:t>
      </w:r>
      <w:proofErr w:type="gramEnd"/>
      <w:r w:rsidRPr="008905B5">
        <w:rPr>
          <w:sz w:val="24"/>
        </w:rPr>
        <w:t xml:space="preserve"> organisations, both private and public relied on PeoplePages as an extension to their HR recruitment processes. With awareness of the breach increasing, what questions would get raised by senior management and what impact</w:t>
      </w:r>
      <w:r w:rsidR="003A107D">
        <w:rPr>
          <w:sz w:val="24"/>
        </w:rPr>
        <w:t>s</w:t>
      </w:r>
      <w:r w:rsidRPr="008905B5">
        <w:rPr>
          <w:sz w:val="24"/>
        </w:rPr>
        <w:t xml:space="preserve"> would it have </w:t>
      </w:r>
      <w:r w:rsidR="003A107D">
        <w:rPr>
          <w:sz w:val="24"/>
        </w:rPr>
        <w:t>on</w:t>
      </w:r>
      <w:r w:rsidR="003A107D" w:rsidRPr="008905B5">
        <w:rPr>
          <w:sz w:val="24"/>
        </w:rPr>
        <w:t xml:space="preserve"> </w:t>
      </w:r>
      <w:r w:rsidRPr="008905B5">
        <w:rPr>
          <w:sz w:val="24"/>
        </w:rPr>
        <w:t>us?</w:t>
      </w:r>
    </w:p>
    <w:p w14:paraId="1F9EBD3D" w14:textId="77777777" w:rsidR="00115753" w:rsidRDefault="00115753" w:rsidP="00115753">
      <w:pPr>
        <w:pStyle w:val="SectionHeading"/>
      </w:pPr>
      <w:r>
        <w:t>Synopsis</w:t>
      </w:r>
    </w:p>
    <w:p w14:paraId="27CE9731" w14:textId="204A39BD" w:rsidR="00115753" w:rsidRDefault="00115753" w:rsidP="00CF3A2F">
      <w:pPr>
        <w:pStyle w:val="BodyCopy"/>
      </w:pPr>
      <w:r>
        <w:t xml:space="preserve">The Department of Innovation leverages the use of PeoplePages – a Software as a Service </w:t>
      </w:r>
      <w:r w:rsidR="00BA27F9">
        <w:t>cloud-based</w:t>
      </w:r>
      <w:r>
        <w:t xml:space="preserve"> HR platform to improve its recruitment processes. Its usage becomes more pervasive over</w:t>
      </w:r>
      <w:r w:rsidR="002D5314">
        <w:t xml:space="preserve"> </w:t>
      </w:r>
      <w:r>
        <w:t xml:space="preserve">time including applicant onboarding and payroll setup. PeoplePages experiences a breach where information from the department has been disclosed in an unauthorised way. </w:t>
      </w:r>
      <w:r w:rsidR="002D5314">
        <w:t xml:space="preserve">When </w:t>
      </w:r>
      <w:r>
        <w:t xml:space="preserve">trying to determine what went wrong, senior management try and review if adequate risk management was conducted at initiation and throughout the usage of the service. This case study is modelled on a real breach that occurred with </w:t>
      </w:r>
      <w:proofErr w:type="spellStart"/>
      <w:r>
        <w:t>PageUp</w:t>
      </w:r>
      <w:proofErr w:type="spellEnd"/>
      <w:r>
        <w:t xml:space="preserve"> People in June 2018. </w:t>
      </w:r>
    </w:p>
    <w:p w14:paraId="7728D891" w14:textId="77777777" w:rsidR="00EE73E0" w:rsidRDefault="00EE73E0" w:rsidP="00115753">
      <w:pPr>
        <w:pStyle w:val="SectionHeading"/>
      </w:pPr>
    </w:p>
    <w:p w14:paraId="3B8AF7F6" w14:textId="72B3CF69" w:rsidR="00115753" w:rsidRDefault="00115753" w:rsidP="00115753">
      <w:pPr>
        <w:pStyle w:val="SectionHeading"/>
      </w:pPr>
      <w:r>
        <w:lastRenderedPageBreak/>
        <w:t>Background</w:t>
      </w:r>
    </w:p>
    <w:p w14:paraId="6B5EFFBC" w14:textId="0A676AA4" w:rsidR="002D5314" w:rsidRDefault="002D5314" w:rsidP="00C3100B">
      <w:pPr>
        <w:pStyle w:val="BodyCopy"/>
      </w:pPr>
      <w:r>
        <w:t>On</w:t>
      </w:r>
      <w:r w:rsidR="00115753">
        <w:t xml:space="preserve"> 8 June </w:t>
      </w:r>
      <w:r w:rsidR="0017235F">
        <w:t>2018 Remy</w:t>
      </w:r>
      <w:r w:rsidR="00115753">
        <w:t xml:space="preserve"> Novak – Chief Risk Officer of the Department of Innovation –walked through the front door when she was confronted with a sea of panic. </w:t>
      </w:r>
    </w:p>
    <w:p w14:paraId="46006403" w14:textId="77777777" w:rsidR="002D5314" w:rsidRDefault="00115753" w:rsidP="00C3100B">
      <w:pPr>
        <w:pStyle w:val="BodyCopy"/>
      </w:pPr>
      <w:r>
        <w:t xml:space="preserve">“Remy! Did you hear about the breach? What are we going to tell Terence?” asked John Wigley – Chief of Operations. </w:t>
      </w:r>
    </w:p>
    <w:p w14:paraId="6D100239" w14:textId="256327CB" w:rsidR="00C85D25" w:rsidRDefault="00115753" w:rsidP="00C3100B">
      <w:pPr>
        <w:pStyle w:val="BodyCopy"/>
      </w:pPr>
      <w:r>
        <w:t>Terence Klein, Secretary and sceptic of the adoption of cloud services within the department w</w:t>
      </w:r>
      <w:r w:rsidR="00C85D25">
        <w:t>ill</w:t>
      </w:r>
      <w:r>
        <w:t xml:space="preserve"> have a field day with this one. Remy knew that they had leapt straight into us</w:t>
      </w:r>
      <w:r w:rsidR="00C85D25">
        <w:t>ing</w:t>
      </w:r>
      <w:r>
        <w:t xml:space="preserve"> PeoplePages, based on pressure they had </w:t>
      </w:r>
      <w:r w:rsidR="00C85D25">
        <w:t xml:space="preserve">received </w:t>
      </w:r>
      <w:r>
        <w:t>from their HR function and the negative impact the legacy system had been causing them. But she wondered how diligent they had been through the initial risk assessment and subsequent governance of the service</w:t>
      </w:r>
      <w:r w:rsidRPr="006E0169">
        <w:rPr>
          <w:noProof/>
        </w:rPr>
        <w:t xml:space="preserve"> </w:t>
      </w:r>
      <w:r>
        <w:rPr>
          <w:noProof/>
        </w:rPr>
        <w:drawing>
          <wp:inline distT="0" distB="0" distL="0" distR="0" wp14:anchorId="602D5845" wp14:editId="46A038F1">
            <wp:extent cx="120316" cy="1533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1636453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16" cy="153323"/>
                    </a:xfrm>
                    <a:prstGeom prst="rect">
                      <a:avLst/>
                    </a:prstGeom>
                  </pic:spPr>
                </pic:pic>
              </a:graphicData>
            </a:graphic>
          </wp:inline>
        </w:drawing>
      </w:r>
      <w:hyperlink w:anchor="Flag1" w:history="1">
        <w:r w:rsidRPr="009469A8">
          <w:rPr>
            <w:rStyle w:val="Hyperlink"/>
            <w:b/>
            <w:noProof/>
            <w:vertAlign w:val="superscript"/>
          </w:rPr>
          <w:t>1</w:t>
        </w:r>
        <w:r w:rsidR="009469A8" w:rsidRPr="009469A8">
          <w:rPr>
            <w:rStyle w:val="Hyperlink"/>
          </w:rPr>
          <w:t>.</w:t>
        </w:r>
      </w:hyperlink>
    </w:p>
    <w:p w14:paraId="5D5764F1" w14:textId="1055875A" w:rsidR="00115753" w:rsidRDefault="00115753" w:rsidP="00C3100B">
      <w:pPr>
        <w:pStyle w:val="BodyCopy"/>
      </w:pPr>
      <w:r>
        <w:t xml:space="preserve">Even now, she </w:t>
      </w:r>
      <w:r w:rsidR="00C85D25">
        <w:t>was not</w:t>
      </w:r>
      <w:r>
        <w:t xml:space="preserve"> sure if she could answer </w:t>
      </w:r>
      <w:r w:rsidR="00580998">
        <w:t>how the Department was</w:t>
      </w:r>
      <w:r>
        <w:t xml:space="preserve"> affected and what information </w:t>
      </w:r>
      <w:r w:rsidR="00580998">
        <w:t xml:space="preserve">was </w:t>
      </w:r>
      <w:r>
        <w:t>potentially compromised</w:t>
      </w:r>
      <w:r w:rsidR="00580998">
        <w:t>.</w:t>
      </w:r>
    </w:p>
    <w:p w14:paraId="7CC863D0" w14:textId="77777777" w:rsidR="00115753" w:rsidRDefault="00115753" w:rsidP="00115753">
      <w:pPr>
        <w:pStyle w:val="SectionHeading"/>
      </w:pPr>
      <w:r>
        <w:t xml:space="preserve">Up, </w:t>
      </w:r>
      <w:r w:rsidR="00E733C2">
        <w:t>u</w:t>
      </w:r>
      <w:r>
        <w:t xml:space="preserve">p and </w:t>
      </w:r>
      <w:r w:rsidR="00E733C2">
        <w:t>a</w:t>
      </w:r>
      <w:r>
        <w:t>way</w:t>
      </w:r>
    </w:p>
    <w:p w14:paraId="2EAA22D7" w14:textId="2B98943F" w:rsidR="00115753" w:rsidRDefault="00115753" w:rsidP="00C3100B">
      <w:pPr>
        <w:pStyle w:val="BodyCopy"/>
      </w:pPr>
      <w:r>
        <w:t xml:space="preserve">“No, I’m telling you, our existing system has so many issues that it’s negatively impacting our recruitment and that is having a flow on effect to the department. Considering we’re the Department of Innovation, we sure aren’t very </w:t>
      </w:r>
      <w:r w:rsidR="00BA27F9">
        <w:t>innovative,</w:t>
      </w:r>
      <w:r>
        <w:t xml:space="preserve"> are we?!” bellowed Emma Lawrence, Head of People and Culture. “We’ve already done a market scan and PeoplePages is the most suitable solution for us. Besides, </w:t>
      </w:r>
      <w:proofErr w:type="gramStart"/>
      <w:r>
        <w:t>it’s</w:t>
      </w:r>
      <w:proofErr w:type="gramEnd"/>
      <w:r>
        <w:t xml:space="preserve"> in </w:t>
      </w:r>
      <w:r w:rsidR="00C85D25">
        <w:t>‘</w:t>
      </w:r>
      <w:r>
        <w:t>the cloud</w:t>
      </w:r>
      <w:r w:rsidR="00C85D25">
        <w:t>’</w:t>
      </w:r>
      <w:r>
        <w:t xml:space="preserve">, it’s not like we even need our own IT people to do anything. Procurement said it’s fine </w:t>
      </w:r>
      <w:r>
        <w:rPr>
          <w:noProof/>
        </w:rPr>
        <w:drawing>
          <wp:inline distT="0" distB="0" distL="0" distR="0" wp14:anchorId="0BB54248" wp14:editId="43BC77A2">
            <wp:extent cx="120316" cy="1533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1636453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16" cy="153323"/>
                    </a:xfrm>
                    <a:prstGeom prst="rect">
                      <a:avLst/>
                    </a:prstGeom>
                  </pic:spPr>
                </pic:pic>
              </a:graphicData>
            </a:graphic>
          </wp:inline>
        </w:drawing>
      </w:r>
      <w:hyperlink w:anchor="Flag2" w:history="1">
        <w:r w:rsidRPr="009469A8">
          <w:rPr>
            <w:rStyle w:val="Hyperlink"/>
            <w:b/>
            <w:vertAlign w:val="superscript"/>
          </w:rPr>
          <w:t>2</w:t>
        </w:r>
        <w:r w:rsidR="009469A8" w:rsidRPr="009469A8">
          <w:rPr>
            <w:rStyle w:val="Hyperlink"/>
          </w:rPr>
          <w:t>.</w:t>
        </w:r>
      </w:hyperlink>
      <w:r w:rsidR="009469A8">
        <w:t xml:space="preserve"> </w:t>
      </w:r>
      <w:r>
        <w:t xml:space="preserve">I don’t see what the big fuss is about.” She added, her patience completely depleted. </w:t>
      </w:r>
    </w:p>
    <w:p w14:paraId="50076ABF" w14:textId="54A82769" w:rsidR="00115753" w:rsidRDefault="00115753" w:rsidP="00C3100B">
      <w:pPr>
        <w:pStyle w:val="BodyCopy"/>
      </w:pPr>
      <w:r>
        <w:t>“Well, I’m not really comfortable going ahead unless we’ve done some due diligence and appropriate risk assessment.</w:t>
      </w:r>
      <w:r w:rsidRPr="006E0169">
        <w:rPr>
          <w:noProof/>
        </w:rPr>
        <w:t xml:space="preserve"> </w:t>
      </w:r>
      <w:r>
        <w:t>We need to at least understand what information we’re going to transfer and receive, what value this information is and what security measures this service has in place</w:t>
      </w:r>
      <w:r w:rsidRPr="00977A03">
        <w:rPr>
          <w:noProof/>
          <w:lang w:eastAsia="en-AU"/>
        </w:rPr>
        <w:t xml:space="preserve"> </w:t>
      </w:r>
      <w:r>
        <w:rPr>
          <w:noProof/>
        </w:rPr>
        <w:drawing>
          <wp:inline distT="0" distB="0" distL="0" distR="0" wp14:anchorId="30465386" wp14:editId="14FF1512">
            <wp:extent cx="120316" cy="1533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1636453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16" cy="153323"/>
                    </a:xfrm>
                    <a:prstGeom prst="rect">
                      <a:avLst/>
                    </a:prstGeom>
                  </pic:spPr>
                </pic:pic>
              </a:graphicData>
            </a:graphic>
          </wp:inline>
        </w:drawing>
      </w:r>
      <w:hyperlink w:anchor="Flag3" w:history="1">
        <w:r w:rsidRPr="009469A8">
          <w:rPr>
            <w:rStyle w:val="Hyperlink"/>
            <w:b/>
            <w:noProof/>
            <w:vertAlign w:val="superscript"/>
          </w:rPr>
          <w:t>3</w:t>
        </w:r>
        <w:r w:rsidRPr="009469A8">
          <w:rPr>
            <w:rStyle w:val="Hyperlink"/>
          </w:rPr>
          <w:t>”</w:t>
        </w:r>
        <w:r w:rsidR="009469A8" w:rsidRPr="009469A8">
          <w:rPr>
            <w:rStyle w:val="Hyperlink"/>
          </w:rPr>
          <w:t>.</w:t>
        </w:r>
      </w:hyperlink>
      <w:r>
        <w:t xml:space="preserve"> Remy </w:t>
      </w:r>
      <w:r w:rsidR="00C85D25">
        <w:t xml:space="preserve">replied </w:t>
      </w:r>
      <w:r>
        <w:t xml:space="preserve">– as </w:t>
      </w:r>
      <w:r w:rsidR="00BA27F9">
        <w:t>level</w:t>
      </w:r>
      <w:r w:rsidR="00C85D25">
        <w:t>-</w:t>
      </w:r>
      <w:r w:rsidR="00BA27F9">
        <w:t>headed</w:t>
      </w:r>
      <w:r>
        <w:t xml:space="preserve"> as any diligent risk professional could be.</w:t>
      </w:r>
    </w:p>
    <w:p w14:paraId="4796F6A8" w14:textId="4D7B144D" w:rsidR="00115753" w:rsidRDefault="00115753" w:rsidP="00C3100B">
      <w:pPr>
        <w:pStyle w:val="BodyCopy"/>
      </w:pPr>
      <w:r>
        <w:t>“Look Remy, I know we’ve all got a job to do here, but honestly, all we’re doing is switching from the old broken system we have</w:t>
      </w:r>
      <w:r w:rsidR="00C85D25">
        <w:t>,</w:t>
      </w:r>
      <w:r>
        <w:t xml:space="preserve"> where applicants apply for a job and using this new platform instead. </w:t>
      </w:r>
      <w:proofErr w:type="gramStart"/>
      <w:r>
        <w:t>It’s</w:t>
      </w:r>
      <w:proofErr w:type="gramEnd"/>
      <w:r>
        <w:t xml:space="preserve"> easier, it’s cost effective and they even do the preliminary screening for us. They </w:t>
      </w:r>
      <w:r w:rsidR="00C85D25">
        <w:t xml:space="preserve">give </w:t>
      </w:r>
      <w:r>
        <w:t>us the details of the short list of applicants so we can get on with recruiting instead of wasting our time with system issues. Terence already gave it the go ahead. I mean, it’s not like we’re sharing classified blue prints with them or something.” It was almost as if Emma was talking over her shoulder, half physically departed from the conversation already.</w:t>
      </w:r>
    </w:p>
    <w:p w14:paraId="33C01144" w14:textId="6240B096" w:rsidR="00C85D25" w:rsidRDefault="00115753" w:rsidP="00C3100B">
      <w:pPr>
        <w:pStyle w:val="BodyCopy"/>
      </w:pPr>
      <w:r>
        <w:t xml:space="preserve">Remy thought that more should be done. “Perhaps we should understand what controls we expect there to be in place. Aren’t they still a third party after all and subject to the same </w:t>
      </w:r>
      <w:proofErr w:type="gramStart"/>
      <w:r w:rsidR="00132CFF">
        <w:t>t</w:t>
      </w:r>
      <w:r>
        <w:t xml:space="preserve">hird </w:t>
      </w:r>
      <w:r w:rsidR="00132CFF">
        <w:t>p</w:t>
      </w:r>
      <w:r>
        <w:t>arty</w:t>
      </w:r>
      <w:proofErr w:type="gramEnd"/>
      <w:r>
        <w:t xml:space="preserve"> </w:t>
      </w:r>
      <w:r w:rsidR="00132CFF">
        <w:t>r</w:t>
      </w:r>
      <w:r>
        <w:t xml:space="preserve">isk </w:t>
      </w:r>
      <w:r w:rsidR="00132CFF">
        <w:t>m</w:t>
      </w:r>
      <w:r>
        <w:t>anagement approach?”</w:t>
      </w:r>
      <w:r w:rsidRPr="006E0169">
        <w:rPr>
          <w:noProof/>
        </w:rPr>
        <w:t xml:space="preserve"> </w:t>
      </w:r>
      <w:r>
        <w:rPr>
          <w:noProof/>
        </w:rPr>
        <w:drawing>
          <wp:inline distT="0" distB="0" distL="0" distR="0" wp14:anchorId="18D821C4" wp14:editId="369427F5">
            <wp:extent cx="120316" cy="1533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1636453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16" cy="153323"/>
                    </a:xfrm>
                    <a:prstGeom prst="rect">
                      <a:avLst/>
                    </a:prstGeom>
                  </pic:spPr>
                </pic:pic>
              </a:graphicData>
            </a:graphic>
          </wp:inline>
        </w:drawing>
      </w:r>
      <w:hyperlink w:anchor="Flag4" w:history="1">
        <w:r w:rsidRPr="009469A8">
          <w:rPr>
            <w:rStyle w:val="Hyperlink"/>
            <w:b/>
            <w:noProof/>
            <w:vertAlign w:val="superscript"/>
          </w:rPr>
          <w:t>4</w:t>
        </w:r>
      </w:hyperlink>
      <w:r>
        <w:t xml:space="preserve"> she pondered. </w:t>
      </w:r>
    </w:p>
    <w:p w14:paraId="474800F8" w14:textId="0115CBE1" w:rsidR="00E86569" w:rsidRDefault="00C85D25" w:rsidP="00C3100B">
      <w:pPr>
        <w:pStyle w:val="BodyCopy"/>
      </w:pPr>
      <w:r>
        <w:t xml:space="preserve">While </w:t>
      </w:r>
      <w:r w:rsidR="00115753">
        <w:t xml:space="preserve">she appreciated that the information may just be job applicant information, didn’t the department have some responsibility </w:t>
      </w:r>
      <w:r>
        <w:t xml:space="preserve">for </w:t>
      </w:r>
      <w:r w:rsidR="00115753">
        <w:t>that information once they received it?</w:t>
      </w:r>
      <w:r w:rsidR="00115753" w:rsidRPr="006E0169">
        <w:rPr>
          <w:noProof/>
        </w:rPr>
        <w:t xml:space="preserve"> </w:t>
      </w:r>
      <w:r w:rsidR="00115753">
        <w:rPr>
          <w:noProof/>
        </w:rPr>
        <w:drawing>
          <wp:inline distT="0" distB="0" distL="0" distR="0" wp14:anchorId="6CCDADFB" wp14:editId="29985711">
            <wp:extent cx="120316" cy="1533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1636453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16" cy="153323"/>
                    </a:xfrm>
                    <a:prstGeom prst="rect">
                      <a:avLst/>
                    </a:prstGeom>
                  </pic:spPr>
                </pic:pic>
              </a:graphicData>
            </a:graphic>
          </wp:inline>
        </w:drawing>
      </w:r>
      <w:hyperlink w:anchor="Flag5" w:history="1">
        <w:r w:rsidR="00115753" w:rsidRPr="009469A8">
          <w:rPr>
            <w:rStyle w:val="Hyperlink"/>
            <w:b/>
            <w:noProof/>
            <w:vertAlign w:val="superscript"/>
          </w:rPr>
          <w:t>5</w:t>
        </w:r>
      </w:hyperlink>
      <w:r w:rsidR="00115753">
        <w:t xml:space="preserve"> She had more questions than time to deal with</w:t>
      </w:r>
      <w:r>
        <w:t>,</w:t>
      </w:r>
      <w:r w:rsidR="00115753">
        <w:t xml:space="preserve">  and </w:t>
      </w:r>
      <w:r>
        <w:t>given</w:t>
      </w:r>
      <w:r w:rsidR="00115753">
        <w:t xml:space="preserve"> the Secretary had already decided to go ahead, she decided to prior</w:t>
      </w:r>
      <w:r w:rsidR="00132CFF">
        <w:t>i</w:t>
      </w:r>
      <w:r w:rsidR="00115753">
        <w:t xml:space="preserve">tise her focus on more pressing “watermelon risks” (risks that were being reported as green but clearly were in the red). </w:t>
      </w:r>
    </w:p>
    <w:p w14:paraId="058159A3" w14:textId="6184FE4F" w:rsidR="00115753" w:rsidRDefault="00115753" w:rsidP="00C3100B">
      <w:pPr>
        <w:pStyle w:val="BodyCopy"/>
      </w:pPr>
      <w:r>
        <w:t>It was January 2016, and it was way too early in the year to start a new confrontation unnecessarily.</w:t>
      </w:r>
    </w:p>
    <w:p w14:paraId="5FA3D039" w14:textId="77777777" w:rsidR="00833684" w:rsidRDefault="00833684" w:rsidP="00115753">
      <w:pPr>
        <w:pStyle w:val="SectionHeading"/>
      </w:pPr>
    </w:p>
    <w:p w14:paraId="4E586415" w14:textId="5F4470AF" w:rsidR="00115753" w:rsidRDefault="00115753" w:rsidP="00115753">
      <w:pPr>
        <w:pStyle w:val="SectionHeading"/>
      </w:pPr>
      <w:r>
        <w:lastRenderedPageBreak/>
        <w:t xml:space="preserve">Clouds </w:t>
      </w:r>
      <w:r w:rsidR="00E733C2">
        <w:t>d</w:t>
      </w:r>
      <w:r>
        <w:t xml:space="preserve">o </w:t>
      </w:r>
      <w:r w:rsidR="00E733C2">
        <w:t>m</w:t>
      </w:r>
      <w:r>
        <w:t xml:space="preserve">ove </w:t>
      </w:r>
      <w:r w:rsidR="00E733C2">
        <w:t>s</w:t>
      </w:r>
      <w:r>
        <w:t>ideways</w:t>
      </w:r>
    </w:p>
    <w:p w14:paraId="3004575E" w14:textId="6583203E" w:rsidR="00115753" w:rsidRDefault="00115753" w:rsidP="00C3100B">
      <w:pPr>
        <w:pStyle w:val="BodyCopy"/>
      </w:pPr>
      <w:r>
        <w:t xml:space="preserve">“Since we signed up PeoplePages, </w:t>
      </w:r>
      <w:proofErr w:type="gramStart"/>
      <w:r>
        <w:t>we’ve</w:t>
      </w:r>
      <w:proofErr w:type="gramEnd"/>
      <w:r>
        <w:t xml:space="preserve"> streamlined our recruitment process to get a new hire in from 3 months to 6 weeks, Terence. </w:t>
      </w:r>
      <w:proofErr w:type="gramStart"/>
      <w:r>
        <w:t>We’ve</w:t>
      </w:r>
      <w:proofErr w:type="gramEnd"/>
      <w:r>
        <w:t xml:space="preserve"> been able to meet 95% of outstanding recruitment requests, that’s a major improvement on our prior 50% rate. And now with the further integration</w:t>
      </w:r>
      <w:r w:rsidR="00E86569">
        <w:t>,</w:t>
      </w:r>
      <w:r>
        <w:t xml:space="preserve"> PeoplePages are suggesting where they will also perform security clearance checks, onboarding</w:t>
      </w:r>
      <w:r w:rsidR="00E86569">
        <w:t>,</w:t>
      </w:r>
      <w:r>
        <w:t xml:space="preserve"> and payroll setup, </w:t>
      </w:r>
      <w:r w:rsidR="00E86569">
        <w:t>we are</w:t>
      </w:r>
      <w:r>
        <w:t xml:space="preserve"> going to see further improvement. All we need to do is accept the extension of these services and uplift the current license”. Emma beamed with the amazing results she and the team had achieved. “It’s been one year, and the results are outstanding. This should be a no brainer.”</w:t>
      </w:r>
    </w:p>
    <w:p w14:paraId="31986D8B" w14:textId="7278E52E" w:rsidR="00115753" w:rsidRDefault="00115753" w:rsidP="00C3100B">
      <w:pPr>
        <w:pStyle w:val="BodyCopy"/>
      </w:pPr>
      <w:r>
        <w:t xml:space="preserve">“You know I’m not very comfortable with these cloud services, but your results are impressive. I agree, </w:t>
      </w:r>
      <w:proofErr w:type="gramStart"/>
      <w:r>
        <w:t>let’s</w:t>
      </w:r>
      <w:proofErr w:type="gramEnd"/>
      <w:r>
        <w:t xml:space="preserve"> go ahead if it’s going to continue to lead to further improvement” Terence endorsed. </w:t>
      </w:r>
    </w:p>
    <w:p w14:paraId="3FAF3068" w14:textId="33F23337" w:rsidR="00115753" w:rsidRDefault="00115753" w:rsidP="00C3100B">
      <w:pPr>
        <w:pStyle w:val="BodyCopy"/>
      </w:pPr>
      <w:r>
        <w:t>“Hang on, if we’re looking to integrate systems and share information at a system level, then we definitely need to do a more diligent risk assessment compared to when we first signed up</w:t>
      </w:r>
      <w:r w:rsidRPr="006E0169">
        <w:rPr>
          <w:noProof/>
        </w:rPr>
        <w:t xml:space="preserve"> </w:t>
      </w:r>
      <w:r>
        <w:rPr>
          <w:noProof/>
        </w:rPr>
        <w:drawing>
          <wp:inline distT="0" distB="0" distL="0" distR="0" wp14:anchorId="5450FBC5" wp14:editId="41D7912E">
            <wp:extent cx="120316" cy="1533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1636453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16" cy="153323"/>
                    </a:xfrm>
                    <a:prstGeom prst="rect">
                      <a:avLst/>
                    </a:prstGeom>
                  </pic:spPr>
                </pic:pic>
              </a:graphicData>
            </a:graphic>
          </wp:inline>
        </w:drawing>
      </w:r>
      <w:hyperlink w:anchor="Flag6" w:history="1">
        <w:r w:rsidRPr="009469A8">
          <w:rPr>
            <w:rStyle w:val="Hyperlink"/>
            <w:b/>
            <w:noProof/>
            <w:vertAlign w:val="superscript"/>
          </w:rPr>
          <w:t>6</w:t>
        </w:r>
        <w:r w:rsidR="009469A8" w:rsidRPr="009469A8">
          <w:rPr>
            <w:rStyle w:val="Hyperlink"/>
          </w:rPr>
          <w:t>.</w:t>
        </w:r>
      </w:hyperlink>
      <w:r w:rsidR="009469A8">
        <w:t xml:space="preserve"> </w:t>
      </w:r>
      <w:r>
        <w:t xml:space="preserve">I wouldn’t be comfortable with us proceeding, and I’m sure I can safely speak on behalf of Barry (the CIO) that he wouldn’t be either, until we have a really thorough understanding of what this integration is going to mean. We have obligations under the Victorian Protective Data Security Standards </w:t>
      </w:r>
      <w:r w:rsidR="00E86569">
        <w:t xml:space="preserve">to ensure </w:t>
      </w:r>
      <w:r>
        <w:t xml:space="preserve">that relevant controls exist at PeoplePages when we share information with them.” Remy stated, not backing down this time. </w:t>
      </w:r>
    </w:p>
    <w:p w14:paraId="3EE0E77D" w14:textId="77777777" w:rsidR="00115753" w:rsidRDefault="00115753" w:rsidP="00C3100B">
      <w:pPr>
        <w:pStyle w:val="BodyCopy"/>
      </w:pPr>
      <w:r>
        <w:t xml:space="preserve">Two weeks passed and Remy’s team had come back with the results of the more detailed assessment. “We’ve assessed the risk as high. Because </w:t>
      </w:r>
      <w:proofErr w:type="gramStart"/>
      <w:r>
        <w:t>it’s</w:t>
      </w:r>
      <w:proofErr w:type="gramEnd"/>
      <w:r>
        <w:t xml:space="preserve"> a Software as a Service, we don’t have any ability to directly manage the controls of the service, we can only largely rely on contractual clauses. You are aware, that even if we are just talking about personal data relating to job applicants - both prospective and hired - once we receive it from PeoplePages, we are now responsible for that data and need to protect it to the same level that we treat our own personal data.</w:t>
      </w:r>
      <w:r w:rsidRPr="006E0169">
        <w:rPr>
          <w:noProof/>
        </w:rPr>
        <w:t xml:space="preserve"> </w:t>
      </w:r>
      <w:r>
        <w:t xml:space="preserve">As a result, </w:t>
      </w:r>
      <w:proofErr w:type="gramStart"/>
      <w:r>
        <w:t>I’m</w:t>
      </w:r>
      <w:proofErr w:type="gramEnd"/>
      <w:r>
        <w:t xml:space="preserve"> suggesting that we don’t proceed until we have a more thorough review of PeoplePages’ controls and we are comfortable with how they protect information and more importantly, what happens if there’s an incident. We aren’t against the usage of Software as a Service cloud platforms by any means, but we need to understand that the way manage controls is different and we need to take that into consideration.” Remy relayed, pointing out the overall risk the department would be subject to.</w:t>
      </w:r>
    </w:p>
    <w:p w14:paraId="551D7ADA" w14:textId="060B3482" w:rsidR="00115753" w:rsidRDefault="00115753" w:rsidP="00C3100B">
      <w:pPr>
        <w:pStyle w:val="BodyCopy"/>
      </w:pPr>
      <w:r>
        <w:t xml:space="preserve">“Well, as the business owner I’m happy to sign off and accept the risk. I appreciate your input Remy, but Terence has already given us approval to proceed” </w:t>
      </w:r>
      <w:r>
        <w:rPr>
          <w:noProof/>
        </w:rPr>
        <w:drawing>
          <wp:inline distT="0" distB="0" distL="0" distR="0" wp14:anchorId="05E958AC" wp14:editId="63FB727C">
            <wp:extent cx="120316" cy="1533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1636453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16" cy="153323"/>
                    </a:xfrm>
                    <a:prstGeom prst="rect">
                      <a:avLst/>
                    </a:prstGeom>
                  </pic:spPr>
                </pic:pic>
              </a:graphicData>
            </a:graphic>
          </wp:inline>
        </w:drawing>
      </w:r>
      <w:hyperlink w:anchor="Flag7" w:history="1">
        <w:r w:rsidRPr="009469A8">
          <w:rPr>
            <w:rStyle w:val="Hyperlink"/>
            <w:b/>
            <w:noProof/>
            <w:vertAlign w:val="superscript"/>
          </w:rPr>
          <w:t>7</w:t>
        </w:r>
        <w:r w:rsidR="009469A8" w:rsidRPr="009469A8">
          <w:rPr>
            <w:rStyle w:val="Hyperlink"/>
            <w:b/>
            <w:noProof/>
          </w:rPr>
          <w:t>.</w:t>
        </w:r>
      </w:hyperlink>
      <w:r w:rsidR="009469A8">
        <w:rPr>
          <w:b/>
          <w:noProof/>
        </w:rPr>
        <w:t xml:space="preserve"> </w:t>
      </w:r>
      <w:r>
        <w:t xml:space="preserve">Emma, again, had already moved on from the point.   </w:t>
      </w:r>
    </w:p>
    <w:p w14:paraId="66FEF23B" w14:textId="77777777" w:rsidR="00115753" w:rsidRDefault="00115753" w:rsidP="00115753">
      <w:pPr>
        <w:pStyle w:val="SectionHeading"/>
      </w:pPr>
      <w:r>
        <w:t xml:space="preserve">Not </w:t>
      </w:r>
      <w:r w:rsidR="00E733C2">
        <w:t>a</w:t>
      </w:r>
      <w:r>
        <w:t xml:space="preserve">ll </w:t>
      </w:r>
      <w:r w:rsidR="00E733C2">
        <w:t>c</w:t>
      </w:r>
      <w:r>
        <w:t xml:space="preserve">louds </w:t>
      </w:r>
      <w:r w:rsidR="00E733C2">
        <w:t>h</w:t>
      </w:r>
      <w:r>
        <w:t xml:space="preserve">ave a </w:t>
      </w:r>
      <w:r w:rsidR="00E733C2">
        <w:t>s</w:t>
      </w:r>
      <w:r>
        <w:t xml:space="preserve">ilver </w:t>
      </w:r>
      <w:r w:rsidR="00E733C2">
        <w:t>l</w:t>
      </w:r>
      <w:r>
        <w:t>ining</w:t>
      </w:r>
    </w:p>
    <w:p w14:paraId="5D9FB6FF" w14:textId="5FFB80DB" w:rsidR="00C3100B" w:rsidRDefault="00E86569" w:rsidP="00C3100B">
      <w:pPr>
        <w:pStyle w:val="BodyCopy"/>
      </w:pPr>
      <w:r>
        <w:t>On</w:t>
      </w:r>
      <w:r w:rsidR="00115753">
        <w:t xml:space="preserve"> 8 June 2018, the leadership team were in a briefing session </w:t>
      </w:r>
      <w:r>
        <w:t>on</w:t>
      </w:r>
      <w:r w:rsidR="00115753">
        <w:t xml:space="preserve"> the PeoplePages breach. </w:t>
      </w:r>
    </w:p>
    <w:p w14:paraId="533C2E40" w14:textId="2E79A127" w:rsidR="00C3100B" w:rsidRDefault="00115753" w:rsidP="00C3100B">
      <w:pPr>
        <w:pStyle w:val="BodyCopy"/>
        <w:rPr>
          <w:noProof/>
          <w:vertAlign w:val="superscript"/>
        </w:rPr>
      </w:pPr>
      <w:r>
        <w:t xml:space="preserve">“Based on the risk assessment we performed prior to system integration, we </w:t>
      </w:r>
      <w:r w:rsidR="00281FCE">
        <w:t>were</w:t>
      </w:r>
      <w:r>
        <w:t xml:space="preserve"> aware of the information that we were sharing and would receive. As the business had accepted the risk, we agreed that we would continue to periodically monitor and assess the risk, but we </w:t>
      </w:r>
      <w:proofErr w:type="gramStart"/>
      <w:r>
        <w:t>haven’t</w:t>
      </w:r>
      <w:proofErr w:type="gramEnd"/>
      <w:r>
        <w:t xml:space="preserve"> done this prior to the breach. </w:t>
      </w:r>
      <w:r w:rsidR="00281FCE">
        <w:t>W</w:t>
      </w:r>
      <w:r>
        <w:t xml:space="preserve">e have little knowledge </w:t>
      </w:r>
      <w:r w:rsidR="00281FCE">
        <w:t>of</w:t>
      </w:r>
      <w:r>
        <w:t xml:space="preserve"> how many of the exposed records relate to us and what this means for us. </w:t>
      </w:r>
      <w:r w:rsidR="00281FCE">
        <w:t>When</w:t>
      </w:r>
      <w:r>
        <w:t xml:space="preserve"> the system</w:t>
      </w:r>
      <w:r w:rsidR="00281FCE">
        <w:t xml:space="preserve"> was </w:t>
      </w:r>
      <w:r>
        <w:t>shut</w:t>
      </w:r>
      <w:r w:rsidR="00281FCE">
        <w:t xml:space="preserve"> </w:t>
      </w:r>
      <w:r>
        <w:t xml:space="preserve">down </w:t>
      </w:r>
      <w:r w:rsidR="00281FCE">
        <w:t xml:space="preserve">while </w:t>
      </w:r>
      <w:r>
        <w:t xml:space="preserve">they investigated the breach, we had to resort to prior manual processes. </w:t>
      </w:r>
      <w:r w:rsidR="00281FCE">
        <w:t xml:space="preserve">While </w:t>
      </w:r>
      <w:r>
        <w:t xml:space="preserve">we responded to the incident once we had heard about it in the media, our incident response processes </w:t>
      </w:r>
      <w:r w:rsidR="00281FCE">
        <w:t>were not</w:t>
      </w:r>
      <w:r>
        <w:t xml:space="preserve"> up to scratch to identify and deal with the incident earlier on when it was first detected by PeoplePages </w:t>
      </w:r>
      <w:r>
        <w:rPr>
          <w:noProof/>
        </w:rPr>
        <w:drawing>
          <wp:inline distT="0" distB="0" distL="0" distR="0" wp14:anchorId="4063DB22" wp14:editId="51DA8A42">
            <wp:extent cx="120316" cy="1533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1636453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16" cy="153323"/>
                    </a:xfrm>
                    <a:prstGeom prst="rect">
                      <a:avLst/>
                    </a:prstGeom>
                  </pic:spPr>
                </pic:pic>
              </a:graphicData>
            </a:graphic>
          </wp:inline>
        </w:drawing>
      </w:r>
      <w:hyperlink w:anchor="Flag8" w:history="1">
        <w:r w:rsidRPr="009469A8">
          <w:rPr>
            <w:rStyle w:val="Hyperlink"/>
            <w:b/>
            <w:noProof/>
            <w:vertAlign w:val="superscript"/>
          </w:rPr>
          <w:t>8</w:t>
        </w:r>
        <w:r w:rsidR="009469A8" w:rsidRPr="009469A8">
          <w:rPr>
            <w:rStyle w:val="Hyperlink"/>
            <w:b/>
            <w:noProof/>
          </w:rPr>
          <w:t>.</w:t>
        </w:r>
      </w:hyperlink>
      <w:r>
        <w:rPr>
          <w:noProof/>
          <w:vertAlign w:val="superscript"/>
        </w:rPr>
        <w:t xml:space="preserve"> </w:t>
      </w:r>
    </w:p>
    <w:p w14:paraId="46C73061" w14:textId="31081D9A" w:rsidR="00C3100B" w:rsidRDefault="00115753" w:rsidP="00C3100B">
      <w:pPr>
        <w:pStyle w:val="BodyCopy"/>
      </w:pPr>
      <w:r w:rsidRPr="00977A03">
        <w:t>W</w:t>
      </w:r>
      <w:r w:rsidR="00DC5069">
        <w:t>hile w</w:t>
      </w:r>
      <w:r w:rsidRPr="00977A03">
        <w:t>e</w:t>
      </w:r>
      <w:r>
        <w:t xml:space="preserve"> appreciate the frequent updates </w:t>
      </w:r>
      <w:r w:rsidR="00A63DFF">
        <w:t>we have</w:t>
      </w:r>
      <w:r>
        <w:t xml:space="preserve"> received,</w:t>
      </w:r>
      <w:r w:rsidR="00F84DED" w:rsidRPr="00F84DED">
        <w:t xml:space="preserve"> </w:t>
      </w:r>
      <w:r w:rsidR="00F84DED">
        <w:t>PeoplePages</w:t>
      </w:r>
      <w:r w:rsidR="00F84DED" w:rsidDel="00F84DED">
        <w:t xml:space="preserve"> </w:t>
      </w:r>
      <w:r w:rsidR="00281FCE">
        <w:t>has not</w:t>
      </w:r>
      <w:r>
        <w:t xml:space="preserve"> been able to fully determine the impact yet. At this stage, </w:t>
      </w:r>
      <w:proofErr w:type="gramStart"/>
      <w:r>
        <w:t>we’re</w:t>
      </w:r>
      <w:proofErr w:type="gramEnd"/>
      <w:r>
        <w:t xml:space="preserve"> at an impasse. For all we know, this could be </w:t>
      </w:r>
      <w:proofErr w:type="gramStart"/>
      <w:r>
        <w:t>catastrophic</w:t>
      </w:r>
      <w:proofErr w:type="gramEnd"/>
      <w:r>
        <w:t xml:space="preserve"> </w:t>
      </w:r>
      <w:r>
        <w:lastRenderedPageBreak/>
        <w:t>and we could be facing a situation where we have unwillingly disclosed a number of personal records that we were responsible for protecting. Other departments such as the Department of Safety who did go through appreciate risk assessment and put specific controls in place</w:t>
      </w:r>
      <w:r w:rsidR="00DC5069">
        <w:t>,</w:t>
      </w:r>
      <w:r>
        <w:t xml:space="preserve"> have been able to make more effective recovery efforts and as a result have been less impacted</w:t>
      </w:r>
      <w:hyperlink w:anchor="Flag9" w:history="1">
        <w:r w:rsidRPr="00A41B57">
          <w:rPr>
            <w:rStyle w:val="Hyperlink"/>
            <w:noProof/>
          </w:rPr>
          <w:t xml:space="preserve"> </w:t>
        </w:r>
        <w:r w:rsidRPr="00A41B57">
          <w:rPr>
            <w:rStyle w:val="Hyperlink"/>
            <w:noProof/>
          </w:rPr>
          <w:drawing>
            <wp:inline distT="0" distB="0" distL="0" distR="0" wp14:anchorId="47F6D6D3" wp14:editId="639C361D">
              <wp:extent cx="120316" cy="1533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1636453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16" cy="153323"/>
                      </a:xfrm>
                      <a:prstGeom prst="rect">
                        <a:avLst/>
                      </a:prstGeom>
                    </pic:spPr>
                  </pic:pic>
                </a:graphicData>
              </a:graphic>
            </wp:inline>
          </w:drawing>
        </w:r>
        <w:r w:rsidRPr="00A41B57">
          <w:rPr>
            <w:rStyle w:val="Hyperlink"/>
            <w:b/>
            <w:noProof/>
            <w:vertAlign w:val="superscript"/>
          </w:rPr>
          <w:t>9</w:t>
        </w:r>
        <w:r w:rsidRPr="00A41B57">
          <w:rPr>
            <w:rStyle w:val="Hyperlink"/>
          </w:rPr>
          <w:t>”</w:t>
        </w:r>
        <w:r w:rsidR="009469A8" w:rsidRPr="00A41B57">
          <w:rPr>
            <w:rStyle w:val="Hyperlink"/>
          </w:rPr>
          <w:t>.</w:t>
        </w:r>
      </w:hyperlink>
      <w:r>
        <w:t xml:space="preserve"> </w:t>
      </w:r>
    </w:p>
    <w:p w14:paraId="6297DEFD" w14:textId="69623A43" w:rsidR="00115753" w:rsidRDefault="00115753" w:rsidP="00C3100B">
      <w:pPr>
        <w:pStyle w:val="BodyCopy"/>
      </w:pPr>
      <w:r>
        <w:t xml:space="preserve">Remy was doing her best to stay </w:t>
      </w:r>
      <w:r w:rsidR="00E733C2">
        <w:t>level</w:t>
      </w:r>
      <w:r w:rsidR="00DC5069">
        <w:t>-</w:t>
      </w:r>
      <w:r w:rsidR="00E733C2">
        <w:t>headed</w:t>
      </w:r>
      <w:r>
        <w:t xml:space="preserve"> and not dive into “I told you so” mode. After all, Emma’s team had been pulling long days as they resorted back to manual processes that – as everyone recalled – already had issues to try and alleviate the impact of the system outage. If not for anything else, Remy knew that from this point on, the department would be far more diligent for the next cloud service requirement.</w:t>
      </w:r>
    </w:p>
    <w:p w14:paraId="7752835F" w14:textId="77777777" w:rsidR="00115753" w:rsidRDefault="00115753" w:rsidP="00115753">
      <w:pPr>
        <w:pStyle w:val="SectionHeading"/>
      </w:pPr>
      <w:r>
        <w:t>Conclusion</w:t>
      </w:r>
    </w:p>
    <w:p w14:paraId="6E8C1C14" w14:textId="3306386F" w:rsidR="00580998" w:rsidRDefault="00115753" w:rsidP="00C3100B">
      <w:pPr>
        <w:pStyle w:val="BodyCopy"/>
      </w:pPr>
      <w:r>
        <w:t xml:space="preserve">A cloud service, despite its certifications and assurances, should be subject to an appropriate </w:t>
      </w:r>
      <w:r w:rsidR="00835C11">
        <w:t>third-party</w:t>
      </w:r>
      <w:r>
        <w:t xml:space="preserve"> </w:t>
      </w:r>
      <w:r w:rsidR="00E733C2">
        <w:t>r</w:t>
      </w:r>
      <w:r>
        <w:t xml:space="preserve">isk </w:t>
      </w:r>
      <w:r w:rsidR="00E733C2">
        <w:t>a</w:t>
      </w:r>
      <w:r>
        <w:t xml:space="preserve">ssessment, prior to </w:t>
      </w:r>
      <w:r w:rsidR="00AF6C3D">
        <w:t xml:space="preserve">engaging </w:t>
      </w:r>
      <w:r>
        <w:t xml:space="preserve">the service and </w:t>
      </w:r>
      <w:r w:rsidR="00AF6C3D">
        <w:t xml:space="preserve">on an </w:t>
      </w:r>
      <w:r>
        <w:t>ongoing</w:t>
      </w:r>
      <w:r w:rsidR="00AF6C3D">
        <w:t xml:space="preserve"> basis</w:t>
      </w:r>
      <w:r>
        <w:t xml:space="preserve">. </w:t>
      </w:r>
    </w:p>
    <w:p w14:paraId="11CEBECD" w14:textId="44963EFD" w:rsidR="00580998" w:rsidRDefault="00580998" w:rsidP="00C3100B">
      <w:pPr>
        <w:pStyle w:val="BodyCopy"/>
      </w:pPr>
      <w:r>
        <w:t>T</w:t>
      </w:r>
      <w:r w:rsidR="00115753">
        <w:t xml:space="preserve">here needs to be an understanding of the type of information that is shared and received, </w:t>
      </w:r>
      <w:r w:rsidR="00AF6C3D">
        <w:t xml:space="preserve">by </w:t>
      </w:r>
      <w:r w:rsidR="00115753">
        <w:t xml:space="preserve">undertaking a Business Impact Level assessment and determining the value of this information to determine how the information needs to be managed. </w:t>
      </w:r>
    </w:p>
    <w:p w14:paraId="3386D032" w14:textId="6BEA0985" w:rsidR="00115753" w:rsidRDefault="00115753" w:rsidP="00C3100B">
      <w:pPr>
        <w:pStyle w:val="BodyCopy"/>
      </w:pPr>
      <w:r>
        <w:t xml:space="preserve">Ongoing governance of the service is key, not just to validate the service is being used as it was initially designed, but that the controls stated by the service provider are valid. </w:t>
      </w:r>
      <w:r w:rsidR="00AF6C3D">
        <w:t>I</w:t>
      </w:r>
      <w:r>
        <w:t>ncidents may still occur, appropriate incident response plans linked in with the service provider a</w:t>
      </w:r>
      <w:r w:rsidR="007A249A">
        <w:t>nd</w:t>
      </w:r>
      <w:r>
        <w:t xml:space="preserve"> appropriate business continuity measures should be in place. Even if the business chooses the accept the risk, ongoing monitoring and re-assessment of the risk is critical especially if the risk is potentially high.</w:t>
      </w:r>
    </w:p>
    <w:p w14:paraId="55EDCB3B" w14:textId="77777777" w:rsidR="00115753" w:rsidRDefault="00115753" w:rsidP="00115753">
      <w:pPr>
        <w:pStyle w:val="SectionHeading"/>
        <w:outlineLvl w:val="1"/>
      </w:pPr>
      <w:r>
        <w:t xml:space="preserve">The </w:t>
      </w:r>
      <w:r w:rsidR="00C3100B">
        <w:t>f</w:t>
      </w:r>
      <w:r>
        <w:t>acts</w:t>
      </w:r>
    </w:p>
    <w:p w14:paraId="1E9A71B3" w14:textId="2FC38C92" w:rsidR="00115753" w:rsidRDefault="00115753" w:rsidP="00C3100B">
      <w:pPr>
        <w:pStyle w:val="BodyCopy"/>
      </w:pPr>
      <w:r>
        <w:t>Whil</w:t>
      </w:r>
      <w:r w:rsidR="007A249A">
        <w:t>e</w:t>
      </w:r>
      <w:r>
        <w:t xml:space="preserve"> the characters and events in this case study are fictional, it was </w:t>
      </w:r>
      <w:r w:rsidR="00AF6C3D">
        <w:t xml:space="preserve">based </w:t>
      </w:r>
      <w:r>
        <w:t xml:space="preserve">on the actual </w:t>
      </w:r>
      <w:proofErr w:type="spellStart"/>
      <w:r>
        <w:t>PageUp</w:t>
      </w:r>
      <w:proofErr w:type="spellEnd"/>
      <w:r>
        <w:t xml:space="preserve"> breach that occurred in June 2018. Whil</w:t>
      </w:r>
      <w:r w:rsidR="007A249A">
        <w:t>e</w:t>
      </w:r>
      <w:r>
        <w:t xml:space="preserve"> </w:t>
      </w:r>
      <w:proofErr w:type="spellStart"/>
      <w:r>
        <w:t>PageUp</w:t>
      </w:r>
      <w:proofErr w:type="spellEnd"/>
      <w:r>
        <w:t xml:space="preserve"> indicated that the breach did not result in information being exfiltrated, the information was accessed and viewed. </w:t>
      </w:r>
    </w:p>
    <w:p w14:paraId="26089CA5" w14:textId="6E6D2884" w:rsidR="00115753" w:rsidRDefault="007A249A" w:rsidP="00C3100B">
      <w:pPr>
        <w:pStyle w:val="BodyCopy"/>
      </w:pPr>
      <w:r>
        <w:t>Find m</w:t>
      </w:r>
      <w:r w:rsidR="00115753">
        <w:t>ore information about the breach here:</w:t>
      </w:r>
    </w:p>
    <w:p w14:paraId="336E3DC2" w14:textId="77777777" w:rsidR="00115753" w:rsidRDefault="00E53B3D" w:rsidP="00C3100B">
      <w:pPr>
        <w:pStyle w:val="BodyCopy"/>
      </w:pPr>
      <w:hyperlink r:id="rId14" w:history="1">
        <w:r w:rsidR="00115753" w:rsidRPr="00977A03">
          <w:rPr>
            <w:rStyle w:val="Hyperlink"/>
          </w:rPr>
          <w:t>https://www.cyber.gov.au/news/pageup-data-incident</w:t>
        </w:r>
      </w:hyperlink>
      <w:r w:rsidR="00115753" w:rsidRPr="00977A03" w:rsidDel="00977A03">
        <w:t xml:space="preserve"> </w:t>
      </w:r>
    </w:p>
    <w:p w14:paraId="274410D2" w14:textId="77777777" w:rsidR="00C3100B" w:rsidRPr="001F3DC9" w:rsidRDefault="00C3100B" w:rsidP="00C3100B">
      <w:pPr>
        <w:pStyle w:val="SectionHeading"/>
      </w:pPr>
      <w:r>
        <w:t xml:space="preserve">Impacts of poor </w:t>
      </w:r>
      <w:proofErr w:type="gramStart"/>
      <w:r>
        <w:t>third party</w:t>
      </w:r>
      <w:proofErr w:type="gramEnd"/>
      <w:r>
        <w:t xml:space="preserve"> security</w:t>
      </w:r>
    </w:p>
    <w:tbl>
      <w:tblPr>
        <w:tblStyle w:val="TableGrid"/>
        <w:tblW w:w="9519" w:type="dxa"/>
        <w:tblInd w:w="113"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AE5E3"/>
        <w:tblLayout w:type="fixed"/>
        <w:tblLook w:val="04A0" w:firstRow="1" w:lastRow="0" w:firstColumn="1" w:lastColumn="0" w:noHBand="0" w:noVBand="1"/>
      </w:tblPr>
      <w:tblGrid>
        <w:gridCol w:w="3008"/>
        <w:gridCol w:w="6511"/>
      </w:tblGrid>
      <w:tr w:rsidR="00C3100B" w:rsidRPr="00C3100B" w14:paraId="63092217" w14:textId="77777777" w:rsidTr="00C3100B">
        <w:trPr>
          <w:trHeight w:val="646"/>
        </w:trPr>
        <w:tc>
          <w:tcPr>
            <w:tcW w:w="3008" w:type="dxa"/>
            <w:shd w:val="clear" w:color="auto" w:fill="3D008D"/>
          </w:tcPr>
          <w:p w14:paraId="79461DDB" w14:textId="77777777" w:rsidR="00115753" w:rsidRPr="00C3100B" w:rsidRDefault="00115753" w:rsidP="004311EA">
            <w:pPr>
              <w:pStyle w:val="BodyCopy"/>
              <w:rPr>
                <w:b/>
                <w:color w:val="FFFFFF" w:themeColor="background1"/>
              </w:rPr>
            </w:pPr>
            <w:r w:rsidRPr="00C3100B">
              <w:rPr>
                <w:b/>
                <w:color w:val="FFFFFF" w:themeColor="background1"/>
              </w:rPr>
              <w:t>What was affected</w:t>
            </w:r>
          </w:p>
        </w:tc>
        <w:tc>
          <w:tcPr>
            <w:tcW w:w="6511" w:type="dxa"/>
            <w:shd w:val="clear" w:color="auto" w:fill="3D008D"/>
          </w:tcPr>
          <w:p w14:paraId="11F44509" w14:textId="77777777" w:rsidR="00115753" w:rsidRPr="00C3100B" w:rsidRDefault="00115753" w:rsidP="004311EA">
            <w:pPr>
              <w:pStyle w:val="BodyCopy"/>
              <w:rPr>
                <w:b/>
                <w:color w:val="FFFFFF" w:themeColor="background1"/>
              </w:rPr>
            </w:pPr>
            <w:r w:rsidRPr="00C3100B">
              <w:rPr>
                <w:b/>
                <w:color w:val="FFFFFF" w:themeColor="background1"/>
              </w:rPr>
              <w:t>Impact</w:t>
            </w:r>
          </w:p>
        </w:tc>
      </w:tr>
      <w:tr w:rsidR="00F650D8" w:rsidRPr="00A17370" w14:paraId="1C4F342B" w14:textId="77777777" w:rsidTr="000A6D33">
        <w:trPr>
          <w:trHeight w:val="557"/>
        </w:trPr>
        <w:tc>
          <w:tcPr>
            <w:tcW w:w="3008" w:type="dxa"/>
            <w:shd w:val="clear" w:color="auto" w:fill="EAE5E3"/>
          </w:tcPr>
          <w:p w14:paraId="706DB28E" w14:textId="77777777" w:rsidR="00F650D8" w:rsidRPr="00C3100B" w:rsidRDefault="00F650D8" w:rsidP="004311EA">
            <w:pPr>
              <w:pStyle w:val="BodyCopy"/>
              <w:rPr>
                <w:bCs/>
              </w:rPr>
            </w:pPr>
            <w:r w:rsidRPr="00C3100B">
              <w:rPr>
                <w:bCs/>
              </w:rPr>
              <w:t xml:space="preserve">Personal </w:t>
            </w:r>
            <w:r>
              <w:rPr>
                <w:bCs/>
              </w:rPr>
              <w:t xml:space="preserve">/ Injury </w:t>
            </w:r>
          </w:p>
        </w:tc>
        <w:tc>
          <w:tcPr>
            <w:tcW w:w="6511" w:type="dxa"/>
            <w:shd w:val="clear" w:color="auto" w:fill="EAE5E3"/>
          </w:tcPr>
          <w:p w14:paraId="3B67E87F" w14:textId="3798CF0B" w:rsidR="00F650D8" w:rsidRPr="00A17370" w:rsidRDefault="00F650D8" w:rsidP="00F650D8">
            <w:pPr>
              <w:pStyle w:val="BodyCopy"/>
            </w:pPr>
            <w:r>
              <w:t>Personal information of 45,000 job applicants (including those from 14 agencies) could lead to identity fraud.</w:t>
            </w:r>
          </w:p>
        </w:tc>
      </w:tr>
      <w:tr w:rsidR="00F650D8" w:rsidRPr="00A17370" w14:paraId="488B93FC" w14:textId="77777777" w:rsidTr="004C11CF">
        <w:trPr>
          <w:trHeight w:val="557"/>
        </w:trPr>
        <w:tc>
          <w:tcPr>
            <w:tcW w:w="3008" w:type="dxa"/>
            <w:shd w:val="clear" w:color="auto" w:fill="EAE5E3"/>
          </w:tcPr>
          <w:p w14:paraId="25911BE8" w14:textId="77777777" w:rsidR="00F650D8" w:rsidRPr="00F52743" w:rsidRDefault="00F650D8" w:rsidP="004311EA">
            <w:pPr>
              <w:pStyle w:val="BodyCopy"/>
            </w:pPr>
            <w:r>
              <w:t xml:space="preserve">Financial </w:t>
            </w:r>
          </w:p>
        </w:tc>
        <w:tc>
          <w:tcPr>
            <w:tcW w:w="6511" w:type="dxa"/>
            <w:shd w:val="clear" w:color="auto" w:fill="EAE5E3"/>
          </w:tcPr>
          <w:p w14:paraId="4AE8554B" w14:textId="77777777" w:rsidR="00F650D8" w:rsidRPr="00A17370" w:rsidRDefault="00F650D8" w:rsidP="004311EA">
            <w:pPr>
              <w:pStyle w:val="BodyCopy"/>
            </w:pPr>
            <w:r>
              <w:t>People hours required to respond to the incident on average, 3 full time staff for one week per affected agency.</w:t>
            </w:r>
          </w:p>
          <w:p w14:paraId="4E1CF90F" w14:textId="77777777" w:rsidR="00F650D8" w:rsidRPr="00A17370" w:rsidRDefault="00F650D8" w:rsidP="004311EA">
            <w:pPr>
              <w:pStyle w:val="BodyCopy"/>
            </w:pPr>
            <w:r>
              <w:t>This in turn leads to, business opportunity cost and additional labour cost.</w:t>
            </w:r>
          </w:p>
        </w:tc>
      </w:tr>
      <w:tr w:rsidR="00F650D8" w:rsidRPr="00A17370" w14:paraId="01B6A276" w14:textId="77777777" w:rsidTr="00220744">
        <w:trPr>
          <w:trHeight w:val="557"/>
        </w:trPr>
        <w:tc>
          <w:tcPr>
            <w:tcW w:w="3008" w:type="dxa"/>
            <w:shd w:val="clear" w:color="auto" w:fill="EAE5E3"/>
          </w:tcPr>
          <w:p w14:paraId="2DB8F4BA" w14:textId="77777777" w:rsidR="00F650D8" w:rsidRDefault="00F650D8" w:rsidP="004311EA">
            <w:pPr>
              <w:pStyle w:val="BodyCopy"/>
            </w:pPr>
            <w:r>
              <w:t>Service delivery</w:t>
            </w:r>
          </w:p>
        </w:tc>
        <w:tc>
          <w:tcPr>
            <w:tcW w:w="6511" w:type="dxa"/>
            <w:shd w:val="clear" w:color="auto" w:fill="EAE5E3"/>
          </w:tcPr>
          <w:p w14:paraId="2B9156AB" w14:textId="77777777" w:rsidR="00F650D8" w:rsidRPr="00A17370" w:rsidRDefault="00F650D8" w:rsidP="004311EA">
            <w:pPr>
              <w:pStyle w:val="BodyCopy"/>
            </w:pPr>
            <w:r>
              <w:t xml:space="preserve">On average, 3 full time staff for one month per affected agency are </w:t>
            </w:r>
            <w:r>
              <w:lastRenderedPageBreak/>
              <w:t>required to revert to and manage the manual process therefore a business disruption, opportunity cost and additional labour cost.</w:t>
            </w:r>
          </w:p>
        </w:tc>
      </w:tr>
    </w:tbl>
    <w:p w14:paraId="01B4E469" w14:textId="77777777" w:rsidR="00115753" w:rsidRDefault="00115753" w:rsidP="00115753">
      <w:pPr>
        <w:pStyle w:val="SectionHeading"/>
        <w:outlineLvl w:val="1"/>
      </w:pPr>
      <w:r>
        <w:lastRenderedPageBreak/>
        <w:t xml:space="preserve">Alignment to </w:t>
      </w:r>
      <w:r w:rsidR="00385D78">
        <w:t>r</w:t>
      </w:r>
      <w:r>
        <w:t>isk</w:t>
      </w:r>
    </w:p>
    <w:p w14:paraId="13AB3038" w14:textId="77777777" w:rsidR="00F650D8" w:rsidRDefault="00F650D8" w:rsidP="00F650D8">
      <w:pPr>
        <w:pStyle w:val="OVICQuote"/>
        <w:ind w:firstLine="720"/>
      </w:pPr>
      <w:r w:rsidRPr="00D929CA">
        <w:t>‘</w:t>
      </w:r>
      <w:r w:rsidRPr="00F6740A">
        <w:rPr>
          <w:b/>
          <w:bCs/>
        </w:rPr>
        <w:t>The risk of</w:t>
      </w:r>
      <w:r w:rsidRPr="00D929CA">
        <w:t xml:space="preserve"> </w:t>
      </w:r>
      <w:proofErr w:type="gramStart"/>
      <w:r w:rsidRPr="00D929CA">
        <w:t>….event</w:t>
      </w:r>
      <w:proofErr w:type="gramEnd"/>
      <w:r w:rsidRPr="00D929CA">
        <w:t xml:space="preserve">…. </w:t>
      </w:r>
      <w:r w:rsidRPr="00F6740A">
        <w:rPr>
          <w:b/>
          <w:bCs/>
        </w:rPr>
        <w:t xml:space="preserve">caused </w:t>
      </w:r>
      <w:proofErr w:type="gramStart"/>
      <w:r w:rsidRPr="00F6740A">
        <w:rPr>
          <w:b/>
          <w:bCs/>
        </w:rPr>
        <w:t>by</w:t>
      </w:r>
      <w:r w:rsidRPr="00D929CA">
        <w:t xml:space="preserve"> .</w:t>
      </w:r>
      <w:proofErr w:type="gramEnd"/>
      <w:r w:rsidRPr="00D929CA">
        <w:t xml:space="preserve">…how…. </w:t>
      </w:r>
      <w:r w:rsidRPr="00F6740A">
        <w:rPr>
          <w:b/>
          <w:bCs/>
        </w:rPr>
        <w:t>resulting in</w:t>
      </w:r>
      <w:r w:rsidRPr="00D929CA">
        <w:t xml:space="preserve"> </w:t>
      </w:r>
      <w:proofErr w:type="gramStart"/>
      <w:r w:rsidRPr="00D929CA">
        <w:t>….impact</w:t>
      </w:r>
      <w:proofErr w:type="gramEnd"/>
      <w:r w:rsidRPr="00D929CA">
        <w:t>(s)…’.</w:t>
      </w:r>
    </w:p>
    <w:p w14:paraId="29657DEF" w14:textId="77777777" w:rsidR="00E553E7" w:rsidRDefault="00E553E7" w:rsidP="00F650D8">
      <w:pPr>
        <w:pStyle w:val="OVICQuote"/>
        <w:ind w:firstLine="720"/>
      </w:pPr>
    </w:p>
    <w:p w14:paraId="359CFD09" w14:textId="77777777" w:rsidR="00115753" w:rsidRDefault="00115753" w:rsidP="00F650D8">
      <w:pPr>
        <w:pStyle w:val="BodyCopy"/>
      </w:pPr>
      <w:r>
        <w:t>This case study may manifest itself as the following risk statements in a risk register:</w:t>
      </w:r>
    </w:p>
    <w:tbl>
      <w:tblPr>
        <w:tblStyle w:val="GridTable4-Accent4"/>
        <w:tblW w:w="963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AE5E3"/>
        <w:tblLook w:val="04A0" w:firstRow="1" w:lastRow="0" w:firstColumn="1" w:lastColumn="0" w:noHBand="0" w:noVBand="1"/>
      </w:tblPr>
      <w:tblGrid>
        <w:gridCol w:w="3211"/>
        <w:gridCol w:w="3211"/>
        <w:gridCol w:w="3212"/>
      </w:tblGrid>
      <w:tr w:rsidR="00F650D8" w:rsidRPr="00075292" w14:paraId="00FCB10E" w14:textId="77777777" w:rsidTr="00DD167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1" w:type="dxa"/>
            <w:tcBorders>
              <w:top w:val="none" w:sz="0" w:space="0" w:color="auto"/>
              <w:left w:val="none" w:sz="0" w:space="0" w:color="auto"/>
              <w:bottom w:val="none" w:sz="0" w:space="0" w:color="auto"/>
              <w:right w:val="none" w:sz="0" w:space="0" w:color="auto"/>
            </w:tcBorders>
            <w:shd w:val="clear" w:color="auto" w:fill="420098"/>
          </w:tcPr>
          <w:p w14:paraId="62A4197C" w14:textId="77777777" w:rsidR="00F650D8" w:rsidRPr="00075292" w:rsidRDefault="00F650D8" w:rsidP="00F650D8">
            <w:pPr>
              <w:pStyle w:val="ListParagraph"/>
              <w:numPr>
                <w:ilvl w:val="0"/>
                <w:numId w:val="7"/>
              </w:numPr>
              <w:spacing w:before="120" w:after="120" w:line="240" w:lineRule="auto"/>
              <w:contextualSpacing w:val="0"/>
            </w:pPr>
            <w:r w:rsidRPr="00075292">
              <w:t>The risk of</w:t>
            </w:r>
          </w:p>
        </w:tc>
        <w:tc>
          <w:tcPr>
            <w:tcW w:w="3211" w:type="dxa"/>
            <w:tcBorders>
              <w:top w:val="none" w:sz="0" w:space="0" w:color="auto"/>
              <w:left w:val="none" w:sz="0" w:space="0" w:color="auto"/>
              <w:bottom w:val="none" w:sz="0" w:space="0" w:color="auto"/>
              <w:right w:val="none" w:sz="0" w:space="0" w:color="auto"/>
            </w:tcBorders>
            <w:shd w:val="clear" w:color="auto" w:fill="420098"/>
          </w:tcPr>
          <w:p w14:paraId="4C72945F" w14:textId="77777777" w:rsidR="00F650D8" w:rsidRPr="00075292" w:rsidRDefault="00F650D8" w:rsidP="00F650D8">
            <w:pPr>
              <w:pStyle w:val="ListParagraph"/>
              <w:numPr>
                <w:ilvl w:val="0"/>
                <w:numId w:val="7"/>
              </w:numPr>
              <w:spacing w:before="120" w:after="120" w:line="240" w:lineRule="auto"/>
              <w:contextualSpacing w:val="0"/>
              <w:cnfStyle w:val="100000000000" w:firstRow="1" w:lastRow="0" w:firstColumn="0" w:lastColumn="0" w:oddVBand="0" w:evenVBand="0" w:oddHBand="0" w:evenHBand="0" w:firstRowFirstColumn="0" w:firstRowLastColumn="0" w:lastRowFirstColumn="0" w:lastRowLastColumn="0"/>
            </w:pPr>
            <w:r w:rsidRPr="00075292">
              <w:t>Caused by</w:t>
            </w:r>
          </w:p>
        </w:tc>
        <w:tc>
          <w:tcPr>
            <w:tcW w:w="3212" w:type="dxa"/>
            <w:tcBorders>
              <w:top w:val="none" w:sz="0" w:space="0" w:color="auto"/>
              <w:left w:val="none" w:sz="0" w:space="0" w:color="auto"/>
              <w:bottom w:val="none" w:sz="0" w:space="0" w:color="auto"/>
              <w:right w:val="none" w:sz="0" w:space="0" w:color="auto"/>
            </w:tcBorders>
            <w:shd w:val="clear" w:color="auto" w:fill="420098"/>
          </w:tcPr>
          <w:p w14:paraId="62B2D0AF" w14:textId="77777777" w:rsidR="00F650D8" w:rsidRPr="00075292" w:rsidRDefault="00F650D8" w:rsidP="00F650D8">
            <w:pPr>
              <w:pStyle w:val="ListParagraph"/>
              <w:numPr>
                <w:ilvl w:val="0"/>
                <w:numId w:val="7"/>
              </w:numPr>
              <w:spacing w:before="120" w:after="120" w:line="240" w:lineRule="auto"/>
              <w:contextualSpacing w:val="0"/>
              <w:cnfStyle w:val="100000000000" w:firstRow="1" w:lastRow="0" w:firstColumn="0" w:lastColumn="0" w:oddVBand="0" w:evenVBand="0" w:oddHBand="0" w:evenHBand="0" w:firstRowFirstColumn="0" w:firstRowLastColumn="0" w:lastRowFirstColumn="0" w:lastRowLastColumn="0"/>
            </w:pPr>
            <w:r w:rsidRPr="00075292">
              <w:t>Resulting in</w:t>
            </w:r>
          </w:p>
        </w:tc>
      </w:tr>
      <w:tr w:rsidR="00F650D8" w:rsidRPr="00075292" w14:paraId="5EAC0759" w14:textId="77777777" w:rsidTr="00DD167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11" w:type="dxa"/>
            <w:shd w:val="clear" w:color="auto" w:fill="EAE5E3"/>
          </w:tcPr>
          <w:p w14:paraId="792113A4" w14:textId="1EE0F5CD" w:rsidR="00F650D8" w:rsidRPr="00E553E7" w:rsidRDefault="00F650D8" w:rsidP="00DD167E">
            <w:pPr>
              <w:pStyle w:val="BodyCopy"/>
              <w:rPr>
                <w:b w:val="0"/>
                <w:bCs w:val="0"/>
              </w:rPr>
            </w:pPr>
            <w:r w:rsidRPr="00E553E7">
              <w:rPr>
                <w:b w:val="0"/>
                <w:bCs w:val="0"/>
              </w:rPr>
              <w:t>Unauthorised access/disclosure of personal information</w:t>
            </w:r>
            <w:r w:rsidR="007A249A">
              <w:rPr>
                <w:b w:val="0"/>
                <w:bCs w:val="0"/>
              </w:rPr>
              <w:t>.</w:t>
            </w:r>
          </w:p>
        </w:tc>
        <w:tc>
          <w:tcPr>
            <w:tcW w:w="3211" w:type="dxa"/>
            <w:shd w:val="clear" w:color="auto" w:fill="EAE5E3"/>
          </w:tcPr>
          <w:p w14:paraId="04FB6535" w14:textId="387CBDB4" w:rsidR="00F650D8" w:rsidRPr="00075292" w:rsidRDefault="00793E08" w:rsidP="00DD167E">
            <w:pPr>
              <w:pStyle w:val="BodyCopy"/>
              <w:cnfStyle w:val="000000100000" w:firstRow="0" w:lastRow="0" w:firstColumn="0" w:lastColumn="0" w:oddVBand="0" w:evenVBand="0" w:oddHBand="1" w:evenHBand="0" w:firstRowFirstColumn="0" w:firstRowLastColumn="0" w:lastRowFirstColumn="0" w:lastRowLastColumn="0"/>
            </w:pPr>
            <w:r w:rsidRPr="00793E08">
              <w:t>Cybercriminal</w:t>
            </w:r>
            <w:r>
              <w:t>(s)</w:t>
            </w:r>
            <w:r w:rsidRPr="00793E08">
              <w:t xml:space="preserve"> targeting vulnerabilities in the application</w:t>
            </w:r>
          </w:p>
        </w:tc>
        <w:tc>
          <w:tcPr>
            <w:tcW w:w="3212" w:type="dxa"/>
            <w:shd w:val="clear" w:color="auto" w:fill="EAE5E3"/>
          </w:tcPr>
          <w:p w14:paraId="3B664D30" w14:textId="77777777" w:rsidR="00F650D8" w:rsidRPr="00075292" w:rsidRDefault="00F650D8" w:rsidP="00DD167E">
            <w:pPr>
              <w:pStyle w:val="BodyCopy"/>
              <w:cnfStyle w:val="000000100000" w:firstRow="0" w:lastRow="0" w:firstColumn="0" w:lastColumn="0" w:oddVBand="0" w:evenVBand="0" w:oddHBand="1" w:evenHBand="0" w:firstRowFirstColumn="0" w:firstRowLastColumn="0" w:lastRowFirstColumn="0" w:lastRowLastColumn="0"/>
            </w:pPr>
            <w:r w:rsidRPr="00075292">
              <w:t xml:space="preserve">Impact to individuals whose personal information was affected; </w:t>
            </w:r>
            <w:r w:rsidR="00E553E7">
              <w:t>service delivery;</w:t>
            </w:r>
            <w:r w:rsidRPr="00075292">
              <w:t xml:space="preserve"> and/or financial impact</w:t>
            </w:r>
            <w:r w:rsidR="00E553E7">
              <w:t>.</w:t>
            </w:r>
            <w:r w:rsidRPr="00075292">
              <w:t xml:space="preserve"> </w:t>
            </w:r>
          </w:p>
        </w:tc>
      </w:tr>
      <w:tr w:rsidR="00F650D8" w14:paraId="049EDBCC" w14:textId="77777777" w:rsidTr="00DD167E">
        <w:trPr>
          <w:cantSplit/>
        </w:trPr>
        <w:tc>
          <w:tcPr>
            <w:cnfStyle w:val="001000000000" w:firstRow="0" w:lastRow="0" w:firstColumn="1" w:lastColumn="0" w:oddVBand="0" w:evenVBand="0" w:oddHBand="0" w:evenHBand="0" w:firstRowFirstColumn="0" w:firstRowLastColumn="0" w:lastRowFirstColumn="0" w:lastRowLastColumn="0"/>
            <w:tcW w:w="3211" w:type="dxa"/>
            <w:shd w:val="clear" w:color="auto" w:fill="EAE5E3"/>
          </w:tcPr>
          <w:p w14:paraId="08A2C42B" w14:textId="37427305" w:rsidR="00F650D8" w:rsidRPr="00733049" w:rsidRDefault="00F650D8" w:rsidP="00DD167E">
            <w:pPr>
              <w:pStyle w:val="BodyCopy"/>
              <w:rPr>
                <w:b w:val="0"/>
                <w:bCs w:val="0"/>
              </w:rPr>
            </w:pPr>
            <w:r w:rsidRPr="00733049">
              <w:rPr>
                <w:b w:val="0"/>
                <w:bCs w:val="0"/>
              </w:rPr>
              <w:t>Intentional system disruption</w:t>
            </w:r>
            <w:r w:rsidR="007A249A">
              <w:rPr>
                <w:b w:val="0"/>
                <w:bCs w:val="0"/>
              </w:rPr>
              <w:t>.</w:t>
            </w:r>
            <w:r w:rsidRPr="00733049">
              <w:rPr>
                <w:b w:val="0"/>
                <w:bCs w:val="0"/>
              </w:rPr>
              <w:t xml:space="preserve"> </w:t>
            </w:r>
          </w:p>
        </w:tc>
        <w:tc>
          <w:tcPr>
            <w:tcW w:w="3211" w:type="dxa"/>
            <w:shd w:val="clear" w:color="auto" w:fill="EAE5E3"/>
          </w:tcPr>
          <w:p w14:paraId="674C4923" w14:textId="5769C8D2" w:rsidR="00F650D8" w:rsidRDefault="00F650D8" w:rsidP="00DD167E">
            <w:pPr>
              <w:pStyle w:val="BodyCopy"/>
              <w:cnfStyle w:val="000000000000" w:firstRow="0" w:lastRow="0" w:firstColumn="0" w:lastColumn="0" w:oddVBand="0" w:evenVBand="0" w:oddHBand="0" w:evenHBand="0" w:firstRowFirstColumn="0" w:firstRowLastColumn="0" w:lastRowFirstColumn="0" w:lastRowLastColumn="0"/>
            </w:pPr>
            <w:r>
              <w:t xml:space="preserve">Malicious </w:t>
            </w:r>
            <w:r w:rsidR="00E553E7">
              <w:t xml:space="preserve">external </w:t>
            </w:r>
            <w:r w:rsidR="000558C5">
              <w:t>actors</w:t>
            </w:r>
            <w:r w:rsidR="007A249A">
              <w:t>.</w:t>
            </w:r>
          </w:p>
        </w:tc>
        <w:tc>
          <w:tcPr>
            <w:tcW w:w="3212" w:type="dxa"/>
            <w:shd w:val="clear" w:color="auto" w:fill="EAE5E3"/>
          </w:tcPr>
          <w:p w14:paraId="749EA14C" w14:textId="0B0594C6" w:rsidR="00F650D8" w:rsidRPr="00C04DFC" w:rsidRDefault="00F650D8" w:rsidP="00DD167E">
            <w:pPr>
              <w:pStyle w:val="BodyCopy"/>
              <w:cnfStyle w:val="000000000000" w:firstRow="0" w:lastRow="0" w:firstColumn="0" w:lastColumn="0" w:oddVBand="0" w:evenVBand="0" w:oddHBand="0" w:evenHBand="0" w:firstRowFirstColumn="0" w:firstRowLastColumn="0" w:lastRowFirstColumn="0" w:lastRowLastColumn="0"/>
            </w:pPr>
            <w:r>
              <w:t>Financial impact and business disruption</w:t>
            </w:r>
            <w:r w:rsidR="007A249A">
              <w:t>.</w:t>
            </w:r>
          </w:p>
        </w:tc>
      </w:tr>
    </w:tbl>
    <w:p w14:paraId="5D62C5E6" w14:textId="77777777" w:rsidR="00E553E7" w:rsidRDefault="00E553E7" w:rsidP="00115753">
      <w:pPr>
        <w:pStyle w:val="SectionHeading"/>
        <w:outlineLvl w:val="1"/>
      </w:pPr>
    </w:p>
    <w:p w14:paraId="0BA1B237" w14:textId="1049F1D0" w:rsidR="00115753" w:rsidRDefault="00115753" w:rsidP="00115753">
      <w:pPr>
        <w:pStyle w:val="SectionHeading"/>
        <w:outlineLvl w:val="1"/>
      </w:pPr>
      <w:r>
        <w:t xml:space="preserve">Key </w:t>
      </w:r>
      <w:r w:rsidR="00132CFF">
        <w:t>f</w:t>
      </w:r>
      <w:r>
        <w:t xml:space="preserve">lags </w:t>
      </w:r>
      <w:r>
        <w:rPr>
          <w:noProof/>
          <w:lang w:val="en-US"/>
        </w:rPr>
        <w:drawing>
          <wp:inline distT="0" distB="0" distL="0" distR="0" wp14:anchorId="7AD4F217" wp14:editId="56584A59">
            <wp:extent cx="120316" cy="153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1636453_960_72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16" cy="153323"/>
                    </a:xfrm>
                    <a:prstGeom prst="rect">
                      <a:avLst/>
                    </a:prstGeom>
                  </pic:spPr>
                </pic:pic>
              </a:graphicData>
            </a:graphic>
          </wp:inline>
        </w:drawing>
      </w:r>
      <w:r>
        <w:t xml:space="preserve"> and </w:t>
      </w:r>
      <w:r w:rsidR="00005D2B">
        <w:t>c</w:t>
      </w:r>
      <w:r>
        <w:t xml:space="preserve">ontrol </w:t>
      </w:r>
      <w:r w:rsidR="00132CFF">
        <w:t>c</w:t>
      </w:r>
      <w:r>
        <w:t>onsiderations</w:t>
      </w:r>
    </w:p>
    <w:tbl>
      <w:tblPr>
        <w:tblStyle w:val="GridTable4-Accent4"/>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AE5E3"/>
        <w:tblLook w:val="0620" w:firstRow="1" w:lastRow="0" w:firstColumn="0" w:lastColumn="0" w:noHBand="1" w:noVBand="1"/>
      </w:tblPr>
      <w:tblGrid>
        <w:gridCol w:w="584"/>
        <w:gridCol w:w="2982"/>
        <w:gridCol w:w="2985"/>
        <w:gridCol w:w="2991"/>
      </w:tblGrid>
      <w:tr w:rsidR="00E553E7" w:rsidRPr="00E553E7" w14:paraId="76F867E4" w14:textId="77777777" w:rsidTr="00E553E7">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3D008D"/>
          </w:tcPr>
          <w:p w14:paraId="553E8CC5" w14:textId="77777777" w:rsidR="00E553E7" w:rsidRPr="00E553E7" w:rsidRDefault="00E553E7" w:rsidP="00E553E7">
            <w:pPr>
              <w:pStyle w:val="BodyCopy"/>
              <w:rPr>
                <w:color w:val="FFFFFF" w:themeColor="background1"/>
              </w:rPr>
            </w:pPr>
            <w:r w:rsidRPr="00E553E7">
              <w:rPr>
                <w:color w:val="FFFFFF" w:themeColor="background1"/>
              </w:rPr>
              <w:lastRenderedPageBreak/>
              <w:t>Flag</w:t>
            </w:r>
          </w:p>
        </w:tc>
        <w:tc>
          <w:tcPr>
            <w:tcW w:w="30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3D008D"/>
          </w:tcPr>
          <w:p w14:paraId="5BAB4286" w14:textId="77777777" w:rsidR="00E553E7" w:rsidRPr="00E553E7" w:rsidRDefault="00E553E7" w:rsidP="00E553E7">
            <w:pPr>
              <w:pStyle w:val="BodyCopy"/>
              <w:rPr>
                <w:color w:val="FFFFFF" w:themeColor="background1"/>
              </w:rPr>
            </w:pPr>
            <w:r w:rsidRPr="00E553E7">
              <w:rPr>
                <w:color w:val="FFFFFF" w:themeColor="background1"/>
              </w:rPr>
              <w:t>Issue</w:t>
            </w:r>
          </w:p>
        </w:tc>
        <w:tc>
          <w:tcPr>
            <w:tcW w:w="300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3D008D"/>
          </w:tcPr>
          <w:p w14:paraId="5423EA2B" w14:textId="77777777" w:rsidR="00E553E7" w:rsidRPr="00E553E7" w:rsidRDefault="00E553E7" w:rsidP="00E553E7">
            <w:pPr>
              <w:pStyle w:val="BodyCopy"/>
              <w:rPr>
                <w:color w:val="FFFFFF" w:themeColor="background1"/>
              </w:rPr>
            </w:pPr>
            <w:r w:rsidRPr="00E553E7">
              <w:rPr>
                <w:color w:val="FFFFFF" w:themeColor="background1"/>
              </w:rPr>
              <w:t>Control considerations</w:t>
            </w:r>
          </w:p>
        </w:tc>
        <w:tc>
          <w:tcPr>
            <w:tcW w:w="300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3D008D"/>
          </w:tcPr>
          <w:p w14:paraId="00DB4526" w14:textId="77777777" w:rsidR="00E553E7" w:rsidRPr="00E553E7" w:rsidRDefault="00E553E7" w:rsidP="00E553E7">
            <w:pPr>
              <w:pStyle w:val="BodyCopy"/>
              <w:rPr>
                <w:color w:val="FFFFFF" w:themeColor="background1"/>
              </w:rPr>
            </w:pPr>
            <w:r w:rsidRPr="00E553E7">
              <w:rPr>
                <w:color w:val="FFFFFF" w:themeColor="background1"/>
              </w:rPr>
              <w:t xml:space="preserve">Element </w:t>
            </w:r>
            <w:r>
              <w:rPr>
                <w:color w:val="FFFFFF" w:themeColor="background1"/>
              </w:rPr>
              <w:t>r</w:t>
            </w:r>
            <w:r w:rsidRPr="00E553E7">
              <w:rPr>
                <w:color w:val="FFFFFF" w:themeColor="background1"/>
              </w:rPr>
              <w:t>eference</w:t>
            </w:r>
          </w:p>
        </w:tc>
      </w:tr>
      <w:tr w:rsidR="001D5FD1" w14:paraId="74E2C80D" w14:textId="77777777" w:rsidTr="00E553E7">
        <w:trPr>
          <w:cantSplit/>
        </w:trPr>
        <w:tc>
          <w:tcPr>
            <w:tcW w:w="0" w:type="auto"/>
            <w:tcBorders>
              <w:top w:val="single" w:sz="36" w:space="0" w:color="FFFFFF" w:themeColor="background1"/>
            </w:tcBorders>
            <w:shd w:val="clear" w:color="auto" w:fill="EAE5E3"/>
          </w:tcPr>
          <w:p w14:paraId="32B692A9" w14:textId="77777777" w:rsidR="00E553E7" w:rsidRDefault="00E553E7" w:rsidP="00E553E7">
            <w:pPr>
              <w:pStyle w:val="BodyCopy"/>
            </w:pPr>
            <w:bookmarkStart w:id="0" w:name="Flag1"/>
            <w:r>
              <w:t>1</w:t>
            </w:r>
            <w:bookmarkEnd w:id="0"/>
          </w:p>
        </w:tc>
        <w:tc>
          <w:tcPr>
            <w:tcW w:w="3001" w:type="dxa"/>
            <w:tcBorders>
              <w:top w:val="single" w:sz="36" w:space="0" w:color="FFFFFF" w:themeColor="background1"/>
            </w:tcBorders>
            <w:shd w:val="clear" w:color="auto" w:fill="EAE5E3"/>
          </w:tcPr>
          <w:p w14:paraId="212533F0" w14:textId="77777777" w:rsidR="00E553E7" w:rsidRDefault="00E553E7" w:rsidP="00E553E7">
            <w:pPr>
              <w:pStyle w:val="BodyCopy"/>
            </w:pPr>
            <w:r>
              <w:t>Thoroughness of initial assessment in relation to cloud services.</w:t>
            </w:r>
          </w:p>
        </w:tc>
        <w:tc>
          <w:tcPr>
            <w:tcW w:w="3001" w:type="dxa"/>
            <w:tcBorders>
              <w:top w:val="single" w:sz="36" w:space="0" w:color="FFFFFF" w:themeColor="background1"/>
            </w:tcBorders>
            <w:shd w:val="clear" w:color="auto" w:fill="EAE5E3"/>
          </w:tcPr>
          <w:p w14:paraId="2B465029" w14:textId="77777777" w:rsidR="00E553E7" w:rsidRDefault="00E553E7" w:rsidP="00E553E7">
            <w:pPr>
              <w:pStyle w:val="BodyCopy"/>
            </w:pPr>
            <w:r>
              <w:t>A consistent method for identifying and assessing the risks of cloud services (Software, Platform and Infrastructure) is important to assist the business in determining the risks of adopting cloud services.</w:t>
            </w:r>
          </w:p>
          <w:p w14:paraId="437E03CB" w14:textId="77777777" w:rsidR="00E553E7" w:rsidRDefault="00E553E7" w:rsidP="00E553E7">
            <w:pPr>
              <w:pStyle w:val="BodyCopy"/>
            </w:pPr>
            <w:r w:rsidRPr="00DC674E">
              <w:rPr>
                <w:i/>
              </w:rPr>
              <w:t xml:space="preserve">Standard </w:t>
            </w:r>
            <w:r w:rsidR="00E848E9">
              <w:rPr>
                <w:i/>
              </w:rPr>
              <w:t>3</w:t>
            </w:r>
            <w:r w:rsidRPr="00DC674E">
              <w:rPr>
                <w:i/>
              </w:rPr>
              <w:t xml:space="preserve"> – Information Security Risk Management: E</w:t>
            </w:r>
            <w:r w:rsidR="00E848E9">
              <w:rPr>
                <w:i/>
              </w:rPr>
              <w:t>3.010</w:t>
            </w:r>
            <w:r>
              <w:rPr>
                <w:i/>
              </w:rPr>
              <w:t>, E</w:t>
            </w:r>
            <w:r w:rsidR="00E848E9">
              <w:rPr>
                <w:i/>
              </w:rPr>
              <w:t>3.020</w:t>
            </w:r>
          </w:p>
        </w:tc>
        <w:tc>
          <w:tcPr>
            <w:tcW w:w="3002" w:type="dxa"/>
            <w:tcBorders>
              <w:top w:val="single" w:sz="36" w:space="0" w:color="FFFFFF" w:themeColor="background1"/>
            </w:tcBorders>
            <w:shd w:val="clear" w:color="auto" w:fill="EAE5E3"/>
          </w:tcPr>
          <w:p w14:paraId="546466D9" w14:textId="77777777" w:rsidR="00E848E9" w:rsidRDefault="00E848E9" w:rsidP="00E848E9">
            <w:pPr>
              <w:pStyle w:val="BodyCopy"/>
              <w:rPr>
                <w:rFonts w:cstheme="minorHAnsi"/>
              </w:rPr>
            </w:pPr>
            <w:r w:rsidRPr="00E848E9">
              <w:rPr>
                <w:i/>
                <w:iCs/>
              </w:rPr>
              <w:t>E3.010 -</w:t>
            </w:r>
            <w:r>
              <w:t xml:space="preserve"> </w:t>
            </w:r>
            <w:r>
              <w:rPr>
                <w:rFonts w:cstheme="minorHAnsi"/>
              </w:rPr>
              <w:t>The o</w:t>
            </w:r>
            <w:r w:rsidRPr="003A601E">
              <w:rPr>
                <w:rFonts w:cstheme="minorHAnsi"/>
              </w:rPr>
              <w:t>rganisation conduct</w:t>
            </w:r>
            <w:r>
              <w:rPr>
                <w:rFonts w:cstheme="minorHAnsi"/>
              </w:rPr>
              <w:t>s</w:t>
            </w:r>
            <w:r w:rsidRPr="003A601E">
              <w:rPr>
                <w:rFonts w:cstheme="minorHAnsi"/>
              </w:rPr>
              <w:t xml:space="preserve"> security risk assessments </w:t>
            </w:r>
            <w:r>
              <w:rPr>
                <w:rFonts w:cstheme="minorHAnsi"/>
              </w:rPr>
              <w:t>and determines treatment plans in accordance with its risk management framework covering all the processes to manage</w:t>
            </w:r>
            <w:r w:rsidRPr="003A601E">
              <w:rPr>
                <w:rFonts w:cstheme="minorHAnsi"/>
              </w:rPr>
              <w:t xml:space="preserve"> </w:t>
            </w:r>
            <w:r>
              <w:rPr>
                <w:rFonts w:cstheme="minorHAnsi"/>
              </w:rPr>
              <w:t xml:space="preserve">information security </w:t>
            </w:r>
            <w:r w:rsidRPr="003A601E">
              <w:rPr>
                <w:rFonts w:cstheme="minorHAnsi"/>
              </w:rPr>
              <w:t>risk</w:t>
            </w:r>
            <w:r>
              <w:rPr>
                <w:rFonts w:cstheme="minorHAnsi"/>
              </w:rPr>
              <w:t>s including:</w:t>
            </w:r>
          </w:p>
          <w:p w14:paraId="2ACA8673" w14:textId="77777777" w:rsidR="00E848E9" w:rsidRDefault="00E848E9" w:rsidP="00E848E9">
            <w:pPr>
              <w:pStyle w:val="BodyCopy"/>
              <w:numPr>
                <w:ilvl w:val="0"/>
                <w:numId w:val="8"/>
              </w:numPr>
              <w:rPr>
                <w:rFonts w:cstheme="minorHAnsi"/>
              </w:rPr>
            </w:pPr>
            <w:r>
              <w:rPr>
                <w:rFonts w:cstheme="minorHAnsi"/>
              </w:rPr>
              <w:t>Risk identification;</w:t>
            </w:r>
          </w:p>
          <w:p w14:paraId="3694A7AB" w14:textId="77777777" w:rsidR="00E848E9" w:rsidRDefault="00E848E9" w:rsidP="00E848E9">
            <w:pPr>
              <w:pStyle w:val="BodyCopy"/>
              <w:numPr>
                <w:ilvl w:val="0"/>
                <w:numId w:val="8"/>
              </w:numPr>
              <w:rPr>
                <w:rFonts w:cstheme="minorHAnsi"/>
              </w:rPr>
            </w:pPr>
            <w:r>
              <w:rPr>
                <w:rFonts w:cstheme="minorHAnsi"/>
              </w:rPr>
              <w:t>Risk analysis;</w:t>
            </w:r>
          </w:p>
          <w:p w14:paraId="7FF1264E" w14:textId="77777777" w:rsidR="00E848E9" w:rsidRDefault="00E848E9" w:rsidP="00E848E9">
            <w:pPr>
              <w:pStyle w:val="BodyCopy"/>
              <w:numPr>
                <w:ilvl w:val="0"/>
                <w:numId w:val="8"/>
              </w:numPr>
              <w:rPr>
                <w:rFonts w:cstheme="minorHAnsi"/>
              </w:rPr>
            </w:pPr>
            <w:r>
              <w:rPr>
                <w:rFonts w:cstheme="minorHAnsi"/>
              </w:rPr>
              <w:t>Risk evaluation; and</w:t>
            </w:r>
          </w:p>
          <w:p w14:paraId="615780B6" w14:textId="77777777" w:rsidR="00E553E7" w:rsidRPr="00E848E9" w:rsidRDefault="00E848E9" w:rsidP="00E848E9">
            <w:pPr>
              <w:pStyle w:val="BodyCopy"/>
              <w:numPr>
                <w:ilvl w:val="0"/>
                <w:numId w:val="8"/>
              </w:numPr>
            </w:pPr>
            <w:r>
              <w:rPr>
                <w:rFonts w:cstheme="minorHAnsi"/>
              </w:rPr>
              <w:t>Risk treatment.</w:t>
            </w:r>
          </w:p>
          <w:p w14:paraId="74F1A20D" w14:textId="77777777" w:rsidR="00E848E9" w:rsidRDefault="00E848E9" w:rsidP="00E848E9">
            <w:pPr>
              <w:pStyle w:val="BodyCopy"/>
            </w:pPr>
            <w:r w:rsidRPr="00E848E9">
              <w:rPr>
                <w:rFonts w:cstheme="minorHAnsi"/>
                <w:i/>
                <w:iCs/>
              </w:rPr>
              <w:t>E3.020 -</w:t>
            </w:r>
            <w:r>
              <w:rPr>
                <w:rFonts w:cstheme="minorHAnsi"/>
              </w:rPr>
              <w:t xml:space="preserve"> </w:t>
            </w:r>
            <w:r w:rsidRPr="003A601E">
              <w:rPr>
                <w:rFonts w:cstheme="minorHAnsi"/>
              </w:rPr>
              <w:t xml:space="preserve">The organisation </w:t>
            </w:r>
            <w:r>
              <w:rPr>
                <w:rFonts w:cstheme="minorHAnsi"/>
              </w:rPr>
              <w:t xml:space="preserve">records the results of information security risk assessments and treatment plans in its </w:t>
            </w:r>
            <w:r w:rsidRPr="003A601E">
              <w:rPr>
                <w:rFonts w:cstheme="minorHAnsi"/>
              </w:rPr>
              <w:t>risk register.</w:t>
            </w:r>
          </w:p>
        </w:tc>
      </w:tr>
      <w:tr w:rsidR="001D5FD1" w14:paraId="20985E9E" w14:textId="77777777" w:rsidTr="00E553E7">
        <w:trPr>
          <w:cantSplit/>
        </w:trPr>
        <w:tc>
          <w:tcPr>
            <w:tcW w:w="0" w:type="auto"/>
            <w:shd w:val="clear" w:color="auto" w:fill="EAE5E3"/>
          </w:tcPr>
          <w:p w14:paraId="3B219A53" w14:textId="77777777" w:rsidR="00E553E7" w:rsidRDefault="00E553E7" w:rsidP="00E553E7">
            <w:pPr>
              <w:pStyle w:val="BodyCopy"/>
            </w:pPr>
            <w:bookmarkStart w:id="1" w:name="Flag2"/>
            <w:r>
              <w:lastRenderedPageBreak/>
              <w:t>2</w:t>
            </w:r>
            <w:bookmarkEnd w:id="1"/>
          </w:p>
        </w:tc>
        <w:tc>
          <w:tcPr>
            <w:tcW w:w="3001" w:type="dxa"/>
            <w:shd w:val="clear" w:color="auto" w:fill="EAE5E3"/>
          </w:tcPr>
          <w:p w14:paraId="132A48E2" w14:textId="77777777" w:rsidR="00E553E7" w:rsidRDefault="00E553E7" w:rsidP="00E553E7">
            <w:pPr>
              <w:pStyle w:val="BodyCopy"/>
            </w:pPr>
            <w:r>
              <w:t xml:space="preserve">Alignment of procurement and </w:t>
            </w:r>
            <w:proofErr w:type="gramStart"/>
            <w:r>
              <w:t>third party</w:t>
            </w:r>
            <w:proofErr w:type="gramEnd"/>
            <w:r>
              <w:t xml:space="preserve"> risk management practices.</w:t>
            </w:r>
          </w:p>
        </w:tc>
        <w:tc>
          <w:tcPr>
            <w:tcW w:w="3001" w:type="dxa"/>
            <w:shd w:val="clear" w:color="auto" w:fill="EAE5E3"/>
          </w:tcPr>
          <w:p w14:paraId="583ABAB3" w14:textId="3D45286C" w:rsidR="00E553E7" w:rsidRDefault="00E553E7" w:rsidP="00E553E7">
            <w:pPr>
              <w:pStyle w:val="BodyCopy"/>
            </w:pPr>
            <w:r>
              <w:t xml:space="preserve">With appropriate governance models, procurement can assist </w:t>
            </w:r>
            <w:r w:rsidR="008C3F4B">
              <w:t xml:space="preserve">with </w:t>
            </w:r>
            <w:r>
              <w:t xml:space="preserve">identifying </w:t>
            </w:r>
            <w:r w:rsidR="008C3F4B">
              <w:t>any</w:t>
            </w:r>
            <w:r>
              <w:t xml:space="preserve"> risk</w:t>
            </w:r>
            <w:r w:rsidR="008C3F4B">
              <w:t>s</w:t>
            </w:r>
            <w:r>
              <w:t xml:space="preserve">  of new cloud services</w:t>
            </w:r>
            <w:r w:rsidR="008C3F4B">
              <w:t xml:space="preserve"> and implementing any mitigations</w:t>
            </w:r>
            <w:r>
              <w:t xml:space="preserve"> before procuring the service.</w:t>
            </w:r>
            <w:r w:rsidR="008C3F4B">
              <w:t xml:space="preserve"> </w:t>
            </w:r>
            <w:r w:rsidR="008C3F4B" w:rsidRPr="008C3F4B">
              <w:t xml:space="preserve">Examples include adding/appending </w:t>
            </w:r>
            <w:r w:rsidR="008C3F4B">
              <w:t>relevant</w:t>
            </w:r>
            <w:r w:rsidR="008C3F4B" w:rsidRPr="008C3F4B">
              <w:t xml:space="preserve"> clauses in the contract for annual assurance/right to audit</w:t>
            </w:r>
            <w:r w:rsidR="008C3F4B">
              <w:t>.</w:t>
            </w:r>
          </w:p>
          <w:p w14:paraId="6019527F" w14:textId="77777777" w:rsidR="00E553E7" w:rsidRPr="00B50A85" w:rsidRDefault="00E553E7" w:rsidP="00E553E7">
            <w:pPr>
              <w:pStyle w:val="BodyCopy"/>
              <w:rPr>
                <w:i/>
              </w:rPr>
            </w:pPr>
            <w:r w:rsidRPr="00B50A85">
              <w:rPr>
                <w:i/>
              </w:rPr>
              <w:t xml:space="preserve">Standard </w:t>
            </w:r>
            <w:r w:rsidR="00E848E9">
              <w:rPr>
                <w:i/>
              </w:rPr>
              <w:t>8</w:t>
            </w:r>
            <w:r w:rsidRPr="00B50A85">
              <w:rPr>
                <w:i/>
              </w:rPr>
              <w:t xml:space="preserve"> – Third Party Arrangements: E</w:t>
            </w:r>
            <w:r w:rsidR="00E848E9">
              <w:rPr>
                <w:i/>
              </w:rPr>
              <w:t>8.020</w:t>
            </w:r>
            <w:r w:rsidRPr="00B50A85">
              <w:rPr>
                <w:i/>
              </w:rPr>
              <w:t>, E</w:t>
            </w:r>
            <w:r w:rsidR="00E848E9">
              <w:rPr>
                <w:i/>
              </w:rPr>
              <w:t>8.030</w:t>
            </w:r>
            <w:r w:rsidRPr="00B50A85">
              <w:rPr>
                <w:i/>
              </w:rPr>
              <w:t>, E</w:t>
            </w:r>
            <w:r w:rsidR="00E848E9">
              <w:rPr>
                <w:i/>
              </w:rPr>
              <w:t>8.040</w:t>
            </w:r>
            <w:r w:rsidRPr="00B50A85">
              <w:rPr>
                <w:i/>
              </w:rPr>
              <w:t xml:space="preserve"> </w:t>
            </w:r>
          </w:p>
        </w:tc>
        <w:tc>
          <w:tcPr>
            <w:tcW w:w="3002" w:type="dxa"/>
            <w:shd w:val="clear" w:color="auto" w:fill="EAE5E3"/>
          </w:tcPr>
          <w:p w14:paraId="467EBA70" w14:textId="6CB83CAC" w:rsidR="00E553E7" w:rsidRDefault="00E848E9" w:rsidP="00E553E7">
            <w:pPr>
              <w:pStyle w:val="BodyCopy"/>
              <w:rPr>
                <w:rFonts w:cstheme="minorHAnsi"/>
              </w:rPr>
            </w:pPr>
            <w:r w:rsidRPr="00E848E9">
              <w:rPr>
                <w:i/>
                <w:iCs/>
              </w:rPr>
              <w:t>E8.020 -</w:t>
            </w:r>
            <w:r>
              <w:t xml:space="preserve"> </w:t>
            </w:r>
            <w:r>
              <w:rPr>
                <w:rFonts w:cstheme="minorHAnsi"/>
              </w:rPr>
              <w:t>The organisation includes r</w:t>
            </w:r>
            <w:r w:rsidRPr="003A601E">
              <w:rPr>
                <w:rFonts w:cstheme="minorHAnsi"/>
              </w:rPr>
              <w:t xml:space="preserve">equirements from all security </w:t>
            </w:r>
            <w:r>
              <w:rPr>
                <w:rFonts w:cstheme="minorHAnsi"/>
              </w:rPr>
              <w:t>areas</w:t>
            </w:r>
            <w:r w:rsidRPr="003A601E">
              <w:rPr>
                <w:rFonts w:cstheme="minorHAnsi"/>
              </w:rPr>
              <w:t xml:space="preserve"> in </w:t>
            </w:r>
            <w:r>
              <w:rPr>
                <w:rFonts w:cstheme="minorHAnsi"/>
              </w:rPr>
              <w:t>third party</w:t>
            </w:r>
            <w:r w:rsidRPr="003A601E">
              <w:rPr>
                <w:rFonts w:cstheme="minorHAnsi"/>
              </w:rPr>
              <w:t xml:space="preserve"> arrangements</w:t>
            </w:r>
            <w:r>
              <w:rPr>
                <w:rFonts w:cstheme="minorHAnsi"/>
              </w:rPr>
              <w:t xml:space="preserve"> (e.g. contracts, MOUs and information sharing agreements)</w:t>
            </w:r>
            <w:r w:rsidRPr="00634D54">
              <w:rPr>
                <w:rFonts w:cstheme="minorHAnsi"/>
              </w:rPr>
              <w:t xml:space="preserve"> in accordance with the </w:t>
            </w:r>
            <w:r>
              <w:rPr>
                <w:rFonts w:cstheme="minorHAnsi"/>
              </w:rPr>
              <w:t xml:space="preserve">security </w:t>
            </w:r>
            <w:r w:rsidRPr="00634D54">
              <w:rPr>
                <w:rFonts w:cstheme="minorHAnsi"/>
              </w:rPr>
              <w:t>value</w:t>
            </w:r>
            <w:r>
              <w:rPr>
                <w:rFonts w:cstheme="minorHAnsi"/>
              </w:rPr>
              <w:t xml:space="preserve"> of the public sector information</w:t>
            </w:r>
            <w:r w:rsidRPr="003A601E">
              <w:rPr>
                <w:rFonts w:cstheme="minorHAnsi"/>
              </w:rPr>
              <w:t>.</w:t>
            </w:r>
          </w:p>
          <w:p w14:paraId="06C32E89" w14:textId="77777777" w:rsidR="00E848E9" w:rsidRDefault="00E848E9" w:rsidP="00E553E7">
            <w:pPr>
              <w:pStyle w:val="BodyCopy"/>
              <w:rPr>
                <w:rFonts w:cstheme="minorHAnsi"/>
              </w:rPr>
            </w:pPr>
            <w:r>
              <w:rPr>
                <w:rFonts w:cstheme="minorHAnsi"/>
              </w:rPr>
              <w:t xml:space="preserve">E8.030 - </w:t>
            </w:r>
            <w:r w:rsidRPr="00702316">
              <w:rPr>
                <w:rFonts w:cstheme="minorHAnsi"/>
              </w:rPr>
              <w:t xml:space="preserve">The organisation undertakes an information security risk assessment of the third party's service offering and </w:t>
            </w:r>
            <w:r>
              <w:rPr>
                <w:rFonts w:cstheme="minorHAnsi"/>
              </w:rPr>
              <w:t xml:space="preserve">addresses </w:t>
            </w:r>
            <w:r w:rsidRPr="00702316">
              <w:rPr>
                <w:rFonts w:cstheme="minorHAnsi"/>
              </w:rPr>
              <w:t xml:space="preserve">any residual risks prior to </w:t>
            </w:r>
            <w:proofErr w:type="spellStart"/>
            <w:r w:rsidRPr="00702316">
              <w:rPr>
                <w:rFonts w:cstheme="minorHAnsi"/>
              </w:rPr>
              <w:t>finalising</w:t>
            </w:r>
            <w:proofErr w:type="spellEnd"/>
            <w:r w:rsidRPr="00702316">
              <w:rPr>
                <w:rFonts w:cstheme="minorHAnsi"/>
              </w:rPr>
              <w:t xml:space="preserve"> the arrangement.</w:t>
            </w:r>
          </w:p>
          <w:p w14:paraId="08DCFB11" w14:textId="72FC81E6" w:rsidR="00E848E9" w:rsidRDefault="00E848E9" w:rsidP="00E553E7">
            <w:pPr>
              <w:pStyle w:val="BodyCopy"/>
            </w:pPr>
            <w:r w:rsidRPr="001D5FD1">
              <w:rPr>
                <w:rFonts w:cstheme="minorHAnsi"/>
                <w:i/>
                <w:iCs/>
              </w:rPr>
              <w:t>E8.040 -</w:t>
            </w:r>
            <w:r>
              <w:rPr>
                <w:rFonts w:cstheme="minorHAnsi"/>
              </w:rPr>
              <w:t xml:space="preserve"> </w:t>
            </w:r>
            <w:r w:rsidR="001D5FD1">
              <w:rPr>
                <w:rFonts w:cstheme="minorHAnsi"/>
              </w:rPr>
              <w:t>The o</w:t>
            </w:r>
            <w:r w:rsidR="001D5FD1" w:rsidRPr="003A601E">
              <w:rPr>
                <w:rFonts w:cstheme="minorHAnsi"/>
              </w:rPr>
              <w:t>rganisation identif</w:t>
            </w:r>
            <w:r w:rsidR="001D5FD1">
              <w:rPr>
                <w:rFonts w:cstheme="minorHAnsi"/>
              </w:rPr>
              <w:t>ies</w:t>
            </w:r>
            <w:r w:rsidR="001D5FD1" w:rsidRPr="003A601E">
              <w:rPr>
                <w:rFonts w:cstheme="minorHAnsi"/>
              </w:rPr>
              <w:t xml:space="preserve"> and assign</w:t>
            </w:r>
            <w:r w:rsidR="001D5FD1">
              <w:rPr>
                <w:rFonts w:cstheme="minorHAnsi"/>
              </w:rPr>
              <w:t>s</w:t>
            </w:r>
            <w:r w:rsidR="001D5FD1" w:rsidRPr="003A601E">
              <w:rPr>
                <w:rFonts w:cstheme="minorHAnsi"/>
              </w:rPr>
              <w:t xml:space="preserve"> </w:t>
            </w:r>
            <w:r w:rsidR="001D5FD1">
              <w:rPr>
                <w:rFonts w:cstheme="minorHAnsi"/>
              </w:rPr>
              <w:t>information</w:t>
            </w:r>
            <w:r w:rsidR="001D5FD1" w:rsidRPr="003A601E">
              <w:rPr>
                <w:rFonts w:cstheme="minorHAnsi"/>
              </w:rPr>
              <w:t xml:space="preserve"> security roles and responsibilities in </w:t>
            </w:r>
            <w:r w:rsidR="001D5FD1">
              <w:rPr>
                <w:rFonts w:cstheme="minorHAnsi"/>
              </w:rPr>
              <w:t>third party</w:t>
            </w:r>
            <w:r w:rsidR="001D5FD1" w:rsidRPr="003A601E">
              <w:rPr>
                <w:rFonts w:cstheme="minorHAnsi"/>
              </w:rPr>
              <w:t xml:space="preserve"> arrangements</w:t>
            </w:r>
            <w:r w:rsidR="001D5FD1">
              <w:rPr>
                <w:rFonts w:cstheme="minorHAnsi"/>
              </w:rPr>
              <w:t xml:space="preserve"> (e.g. contracts, MOUs and information sharing agreements)</w:t>
            </w:r>
            <w:r w:rsidR="001D5FD1" w:rsidRPr="003A601E">
              <w:rPr>
                <w:rFonts w:cstheme="minorHAnsi"/>
              </w:rPr>
              <w:t>.</w:t>
            </w:r>
          </w:p>
        </w:tc>
      </w:tr>
      <w:tr w:rsidR="001D5FD1" w14:paraId="5EAC2AB7" w14:textId="77777777" w:rsidTr="00E553E7">
        <w:trPr>
          <w:cantSplit/>
        </w:trPr>
        <w:tc>
          <w:tcPr>
            <w:tcW w:w="0" w:type="auto"/>
            <w:shd w:val="clear" w:color="auto" w:fill="EAE5E3"/>
          </w:tcPr>
          <w:p w14:paraId="1072AA05" w14:textId="77777777" w:rsidR="00E553E7" w:rsidRDefault="00E553E7" w:rsidP="00E553E7">
            <w:pPr>
              <w:pStyle w:val="BodyCopy"/>
            </w:pPr>
            <w:bookmarkStart w:id="2" w:name="Flag3"/>
            <w:r>
              <w:t>3</w:t>
            </w:r>
            <w:bookmarkEnd w:id="2"/>
          </w:p>
        </w:tc>
        <w:tc>
          <w:tcPr>
            <w:tcW w:w="3001" w:type="dxa"/>
            <w:shd w:val="clear" w:color="auto" w:fill="EAE5E3"/>
          </w:tcPr>
          <w:p w14:paraId="19F13465" w14:textId="77777777" w:rsidR="00E553E7" w:rsidRDefault="00E553E7" w:rsidP="00E553E7">
            <w:pPr>
              <w:pStyle w:val="BodyCopy"/>
            </w:pPr>
            <w:r>
              <w:t>Understanding the information assets being shared and the business context.</w:t>
            </w:r>
          </w:p>
        </w:tc>
        <w:tc>
          <w:tcPr>
            <w:tcW w:w="3001" w:type="dxa"/>
            <w:shd w:val="clear" w:color="auto" w:fill="EAE5E3"/>
          </w:tcPr>
          <w:p w14:paraId="5573D178" w14:textId="77777777" w:rsidR="00E553E7" w:rsidRDefault="00E553E7" w:rsidP="00E553E7">
            <w:pPr>
              <w:pStyle w:val="BodyCopy"/>
            </w:pPr>
            <w:r>
              <w:t>In order to appropriately assess the risk and determine what obligations may need to be considered, understanding what information will be shared and how it is used is critical.</w:t>
            </w:r>
          </w:p>
          <w:p w14:paraId="5737CD12" w14:textId="77777777" w:rsidR="00E553E7" w:rsidRPr="00B50A85" w:rsidRDefault="00E553E7" w:rsidP="00E553E7">
            <w:pPr>
              <w:pStyle w:val="BodyCopy"/>
              <w:rPr>
                <w:i/>
              </w:rPr>
            </w:pPr>
            <w:r w:rsidRPr="00B50A85">
              <w:rPr>
                <w:i/>
              </w:rPr>
              <w:t xml:space="preserve">Standard </w:t>
            </w:r>
            <w:r w:rsidR="001D5FD1">
              <w:rPr>
                <w:i/>
              </w:rPr>
              <w:t>2</w:t>
            </w:r>
            <w:r w:rsidRPr="00B50A85">
              <w:rPr>
                <w:i/>
              </w:rPr>
              <w:t xml:space="preserve"> – </w:t>
            </w:r>
            <w:r w:rsidR="001D5FD1">
              <w:rPr>
                <w:i/>
              </w:rPr>
              <w:t xml:space="preserve">Information </w:t>
            </w:r>
            <w:r w:rsidRPr="00B50A85">
              <w:rPr>
                <w:i/>
              </w:rPr>
              <w:t xml:space="preserve">Security </w:t>
            </w:r>
            <w:r w:rsidR="001D5FD1">
              <w:rPr>
                <w:i/>
              </w:rPr>
              <w:t>Value</w:t>
            </w:r>
            <w:r w:rsidRPr="00B50A85">
              <w:rPr>
                <w:i/>
              </w:rPr>
              <w:t>: E</w:t>
            </w:r>
            <w:r w:rsidR="001D5FD1">
              <w:rPr>
                <w:i/>
              </w:rPr>
              <w:t>2.020</w:t>
            </w:r>
            <w:r w:rsidRPr="00B50A85">
              <w:rPr>
                <w:i/>
              </w:rPr>
              <w:t>, E</w:t>
            </w:r>
            <w:r w:rsidR="001D5FD1">
              <w:rPr>
                <w:i/>
              </w:rPr>
              <w:t>2.040</w:t>
            </w:r>
            <w:r w:rsidRPr="00B50A85">
              <w:rPr>
                <w:i/>
              </w:rPr>
              <w:t>, E</w:t>
            </w:r>
            <w:r w:rsidR="001D5FD1">
              <w:rPr>
                <w:i/>
              </w:rPr>
              <w:t>2.0</w:t>
            </w:r>
            <w:r w:rsidRPr="00B50A85">
              <w:rPr>
                <w:i/>
              </w:rPr>
              <w:t>7</w:t>
            </w:r>
            <w:r w:rsidR="001D5FD1">
              <w:rPr>
                <w:i/>
              </w:rPr>
              <w:t>0</w:t>
            </w:r>
          </w:p>
        </w:tc>
        <w:tc>
          <w:tcPr>
            <w:tcW w:w="3002" w:type="dxa"/>
            <w:shd w:val="clear" w:color="auto" w:fill="EAE5E3"/>
          </w:tcPr>
          <w:p w14:paraId="12C31BA3" w14:textId="77777777" w:rsidR="00E553E7" w:rsidRDefault="001D5FD1" w:rsidP="00E553E7">
            <w:pPr>
              <w:pStyle w:val="BodyCopy"/>
              <w:rPr>
                <w:rFonts w:cstheme="minorHAnsi"/>
              </w:rPr>
            </w:pPr>
            <w:r w:rsidRPr="001D5FD1">
              <w:rPr>
                <w:i/>
                <w:iCs/>
              </w:rPr>
              <w:t>E2.020 -</w:t>
            </w:r>
            <w:r>
              <w:t xml:space="preserve"> </w:t>
            </w:r>
            <w:r>
              <w:rPr>
                <w:rFonts w:cstheme="minorHAnsi"/>
              </w:rPr>
              <w:t>The o</w:t>
            </w:r>
            <w:r w:rsidRPr="003A601E">
              <w:rPr>
                <w:rFonts w:cstheme="minorHAnsi"/>
              </w:rPr>
              <w:t xml:space="preserve">rganisation </w:t>
            </w:r>
            <w:r>
              <w:rPr>
                <w:rFonts w:cstheme="minorHAnsi"/>
              </w:rPr>
              <w:t>identifies, documents and maintains</w:t>
            </w:r>
            <w:r w:rsidRPr="003A601E">
              <w:rPr>
                <w:rFonts w:cstheme="minorHAnsi"/>
              </w:rPr>
              <w:t xml:space="preserve"> </w:t>
            </w:r>
            <w:r>
              <w:rPr>
                <w:rFonts w:cstheme="minorHAnsi"/>
              </w:rPr>
              <w:t>its</w:t>
            </w:r>
            <w:r w:rsidRPr="003A601E">
              <w:rPr>
                <w:rFonts w:cstheme="minorHAnsi"/>
              </w:rPr>
              <w:t xml:space="preserve"> information asset</w:t>
            </w:r>
            <w:r>
              <w:rPr>
                <w:rFonts w:cstheme="minorHAnsi"/>
              </w:rPr>
              <w:t>s in an information asset register (IAR) in consultation with its stakeholders</w:t>
            </w:r>
            <w:r w:rsidRPr="003A601E">
              <w:rPr>
                <w:rFonts w:cstheme="minorHAnsi"/>
              </w:rPr>
              <w:t>.</w:t>
            </w:r>
          </w:p>
          <w:p w14:paraId="6207E580" w14:textId="77777777" w:rsidR="001D5FD1" w:rsidRDefault="001D5FD1" w:rsidP="00E553E7">
            <w:pPr>
              <w:pStyle w:val="BodyCopy"/>
              <w:rPr>
                <w:rFonts w:cstheme="minorHAnsi"/>
              </w:rPr>
            </w:pPr>
            <w:r w:rsidRPr="001D5FD1">
              <w:rPr>
                <w:rFonts w:cstheme="minorHAnsi"/>
                <w:i/>
                <w:iCs/>
              </w:rPr>
              <w:t>E2.040 -</w:t>
            </w:r>
            <w:r>
              <w:rPr>
                <w:rFonts w:cstheme="minorHAnsi"/>
              </w:rPr>
              <w:t xml:space="preserve"> The o</w:t>
            </w:r>
            <w:r w:rsidRPr="003A601E">
              <w:rPr>
                <w:rFonts w:cstheme="minorHAnsi"/>
              </w:rPr>
              <w:t>rganisation identif</w:t>
            </w:r>
            <w:r>
              <w:rPr>
                <w:rFonts w:cstheme="minorHAnsi"/>
              </w:rPr>
              <w:t>ies</w:t>
            </w:r>
            <w:r w:rsidRPr="003A601E">
              <w:rPr>
                <w:rFonts w:cstheme="minorHAnsi"/>
              </w:rPr>
              <w:t xml:space="preserve"> and document</w:t>
            </w:r>
            <w:r>
              <w:rPr>
                <w:rFonts w:cstheme="minorHAnsi"/>
              </w:rPr>
              <w:t>s</w:t>
            </w:r>
            <w:r w:rsidRPr="003A601E">
              <w:rPr>
                <w:rFonts w:cstheme="minorHAnsi"/>
              </w:rPr>
              <w:t xml:space="preserve"> the security attributes </w:t>
            </w:r>
            <w:r>
              <w:rPr>
                <w:rFonts w:cstheme="minorHAnsi"/>
              </w:rPr>
              <w:t xml:space="preserve">(confidentiality, integrity and availability business impact levels) </w:t>
            </w:r>
            <w:r w:rsidRPr="003A601E">
              <w:rPr>
                <w:rFonts w:cstheme="minorHAnsi"/>
              </w:rPr>
              <w:t xml:space="preserve">of </w:t>
            </w:r>
            <w:r>
              <w:rPr>
                <w:rFonts w:cstheme="minorHAnsi"/>
              </w:rPr>
              <w:t>its</w:t>
            </w:r>
            <w:r w:rsidRPr="003A601E">
              <w:rPr>
                <w:rFonts w:cstheme="minorHAnsi"/>
              </w:rPr>
              <w:t xml:space="preserve"> information assets</w:t>
            </w:r>
            <w:r>
              <w:rPr>
                <w:rFonts w:cstheme="minorHAnsi"/>
              </w:rPr>
              <w:t xml:space="preserve"> in its information asset register</w:t>
            </w:r>
            <w:r w:rsidRPr="003A601E">
              <w:rPr>
                <w:rFonts w:cstheme="minorHAnsi"/>
              </w:rPr>
              <w:t>.</w:t>
            </w:r>
          </w:p>
          <w:p w14:paraId="63FC3C8F" w14:textId="77777777" w:rsidR="001D5FD1" w:rsidRDefault="001D5FD1" w:rsidP="00E553E7">
            <w:pPr>
              <w:pStyle w:val="BodyCopy"/>
            </w:pPr>
            <w:r w:rsidRPr="001D5FD1">
              <w:rPr>
                <w:rFonts w:cstheme="minorHAnsi"/>
                <w:i/>
                <w:iCs/>
              </w:rPr>
              <w:t>E2.070 -</w:t>
            </w:r>
            <w:r>
              <w:rPr>
                <w:rFonts w:cstheme="minorHAnsi"/>
              </w:rPr>
              <w:t xml:space="preserve"> The o</w:t>
            </w:r>
            <w:r w:rsidRPr="003A601E">
              <w:rPr>
                <w:rFonts w:cstheme="minorHAnsi"/>
              </w:rPr>
              <w:t>rganisation continually review</w:t>
            </w:r>
            <w:r>
              <w:rPr>
                <w:rFonts w:cstheme="minorHAnsi"/>
              </w:rPr>
              <w:t>s</w:t>
            </w:r>
            <w:r w:rsidRPr="003A601E">
              <w:rPr>
                <w:rFonts w:cstheme="minorHAnsi"/>
              </w:rPr>
              <w:t xml:space="preserve"> the </w:t>
            </w:r>
            <w:r>
              <w:rPr>
                <w:rFonts w:cstheme="minorHAnsi"/>
              </w:rPr>
              <w:t xml:space="preserve">security </w:t>
            </w:r>
            <w:r w:rsidRPr="003A601E">
              <w:rPr>
                <w:rFonts w:cstheme="minorHAnsi"/>
              </w:rPr>
              <w:t xml:space="preserve">value of </w:t>
            </w:r>
            <w:r>
              <w:rPr>
                <w:rFonts w:cstheme="minorHAnsi"/>
              </w:rPr>
              <w:t>public sector</w:t>
            </w:r>
            <w:r w:rsidRPr="003A601E">
              <w:rPr>
                <w:rFonts w:cstheme="minorHAnsi"/>
              </w:rPr>
              <w:t xml:space="preserve"> information across </w:t>
            </w:r>
            <w:r>
              <w:rPr>
                <w:rFonts w:cstheme="minorHAnsi"/>
              </w:rPr>
              <w:t>the information</w:t>
            </w:r>
            <w:r w:rsidRPr="003A601E">
              <w:rPr>
                <w:rFonts w:cstheme="minorHAnsi"/>
              </w:rPr>
              <w:t xml:space="preserve"> lifecycle.</w:t>
            </w:r>
          </w:p>
        </w:tc>
      </w:tr>
      <w:tr w:rsidR="001D5FD1" w14:paraId="1974C63D" w14:textId="77777777" w:rsidTr="00E553E7">
        <w:trPr>
          <w:cantSplit/>
        </w:trPr>
        <w:tc>
          <w:tcPr>
            <w:tcW w:w="0" w:type="auto"/>
            <w:shd w:val="clear" w:color="auto" w:fill="EAE5E3"/>
          </w:tcPr>
          <w:p w14:paraId="0DEF967C" w14:textId="77777777" w:rsidR="00E553E7" w:rsidRDefault="00E553E7" w:rsidP="00E553E7">
            <w:pPr>
              <w:pStyle w:val="BodyCopy"/>
            </w:pPr>
            <w:bookmarkStart w:id="3" w:name="Flag4"/>
            <w:r>
              <w:lastRenderedPageBreak/>
              <w:t>4</w:t>
            </w:r>
            <w:bookmarkEnd w:id="3"/>
          </w:p>
        </w:tc>
        <w:tc>
          <w:tcPr>
            <w:tcW w:w="3001" w:type="dxa"/>
            <w:shd w:val="clear" w:color="auto" w:fill="EAE5E3"/>
          </w:tcPr>
          <w:p w14:paraId="3B6CCB05" w14:textId="77777777" w:rsidR="00E553E7" w:rsidRDefault="00E553E7" w:rsidP="00E553E7">
            <w:pPr>
              <w:pStyle w:val="BodyCopy"/>
            </w:pPr>
            <w:r>
              <w:t xml:space="preserve">Consistent application of a </w:t>
            </w:r>
            <w:proofErr w:type="gramStart"/>
            <w:r>
              <w:t>third party</w:t>
            </w:r>
            <w:proofErr w:type="gramEnd"/>
            <w:r>
              <w:t xml:space="preserve"> risk management approach.</w:t>
            </w:r>
          </w:p>
        </w:tc>
        <w:tc>
          <w:tcPr>
            <w:tcW w:w="3001" w:type="dxa"/>
            <w:shd w:val="clear" w:color="auto" w:fill="EAE5E3"/>
          </w:tcPr>
          <w:p w14:paraId="57B54C97" w14:textId="4A8730C4" w:rsidR="00E553E7" w:rsidRDefault="00E553E7" w:rsidP="00E553E7">
            <w:pPr>
              <w:pStyle w:val="BodyCopy"/>
            </w:pPr>
            <w:r>
              <w:t xml:space="preserve">Cloud services are like any other third party and should be subject to the same </w:t>
            </w:r>
            <w:proofErr w:type="gramStart"/>
            <w:r>
              <w:t>third party</w:t>
            </w:r>
            <w:proofErr w:type="gramEnd"/>
            <w:r>
              <w:t xml:space="preserve"> risk manage</w:t>
            </w:r>
            <w:r w:rsidR="008C3F4B">
              <w:t>ment</w:t>
            </w:r>
            <w:r>
              <w:t xml:space="preserve"> and governance controls.</w:t>
            </w:r>
          </w:p>
          <w:p w14:paraId="61482B86" w14:textId="77777777" w:rsidR="00E553E7" w:rsidRDefault="00E553E7" w:rsidP="00E553E7">
            <w:pPr>
              <w:pStyle w:val="BodyCopy"/>
            </w:pPr>
            <w:r w:rsidRPr="00DC674E">
              <w:rPr>
                <w:i/>
              </w:rPr>
              <w:t xml:space="preserve">Standard </w:t>
            </w:r>
            <w:r w:rsidR="00E733C2">
              <w:rPr>
                <w:i/>
              </w:rPr>
              <w:t>8</w:t>
            </w:r>
            <w:r w:rsidRPr="00DC674E">
              <w:rPr>
                <w:i/>
              </w:rPr>
              <w:t xml:space="preserve"> – Third Party Arrangements: E</w:t>
            </w:r>
            <w:r w:rsidR="00E733C2">
              <w:rPr>
                <w:i/>
              </w:rPr>
              <w:t>8.030</w:t>
            </w:r>
          </w:p>
        </w:tc>
        <w:tc>
          <w:tcPr>
            <w:tcW w:w="3002" w:type="dxa"/>
            <w:shd w:val="clear" w:color="auto" w:fill="EAE5E3"/>
          </w:tcPr>
          <w:p w14:paraId="28BA9863" w14:textId="77777777" w:rsidR="00E553E7" w:rsidRPr="00E733C2" w:rsidRDefault="00E733C2" w:rsidP="00E553E7">
            <w:pPr>
              <w:pStyle w:val="BodyCopy"/>
              <w:rPr>
                <w:rFonts w:cstheme="minorHAnsi"/>
              </w:rPr>
            </w:pPr>
            <w:r w:rsidRPr="00E733C2">
              <w:rPr>
                <w:rFonts w:cstheme="minorHAnsi"/>
                <w:i/>
                <w:iCs/>
              </w:rPr>
              <w:t>E8.030 -</w:t>
            </w:r>
            <w:r>
              <w:rPr>
                <w:rFonts w:cstheme="minorHAnsi"/>
              </w:rPr>
              <w:t xml:space="preserve"> </w:t>
            </w:r>
            <w:r w:rsidRPr="00702316">
              <w:rPr>
                <w:rFonts w:cstheme="minorHAnsi"/>
              </w:rPr>
              <w:t xml:space="preserve">The organisation undertakes an information security risk assessment of the third party's service offering and </w:t>
            </w:r>
            <w:r>
              <w:rPr>
                <w:rFonts w:cstheme="minorHAnsi"/>
              </w:rPr>
              <w:t xml:space="preserve">addresses </w:t>
            </w:r>
            <w:r w:rsidRPr="00702316">
              <w:rPr>
                <w:rFonts w:cstheme="minorHAnsi"/>
              </w:rPr>
              <w:t xml:space="preserve">any residual risks prior to </w:t>
            </w:r>
            <w:proofErr w:type="spellStart"/>
            <w:r w:rsidRPr="00702316">
              <w:rPr>
                <w:rFonts w:cstheme="minorHAnsi"/>
              </w:rPr>
              <w:t>finalising</w:t>
            </w:r>
            <w:proofErr w:type="spellEnd"/>
            <w:r w:rsidRPr="00702316">
              <w:rPr>
                <w:rFonts w:cstheme="minorHAnsi"/>
              </w:rPr>
              <w:t xml:space="preserve"> the arrangement.</w:t>
            </w:r>
          </w:p>
        </w:tc>
      </w:tr>
      <w:tr w:rsidR="001D5FD1" w14:paraId="564AC62A" w14:textId="77777777" w:rsidTr="00E553E7">
        <w:trPr>
          <w:cantSplit/>
        </w:trPr>
        <w:tc>
          <w:tcPr>
            <w:tcW w:w="0" w:type="auto"/>
            <w:shd w:val="clear" w:color="auto" w:fill="EAE5E3"/>
          </w:tcPr>
          <w:p w14:paraId="2FE5D572" w14:textId="77777777" w:rsidR="00E553E7" w:rsidRDefault="00E553E7" w:rsidP="00E553E7">
            <w:pPr>
              <w:pStyle w:val="BodyCopy"/>
            </w:pPr>
            <w:bookmarkStart w:id="4" w:name="Flag5"/>
            <w:r>
              <w:t>5</w:t>
            </w:r>
            <w:bookmarkEnd w:id="4"/>
          </w:p>
        </w:tc>
        <w:tc>
          <w:tcPr>
            <w:tcW w:w="3001" w:type="dxa"/>
            <w:shd w:val="clear" w:color="auto" w:fill="EAE5E3"/>
          </w:tcPr>
          <w:p w14:paraId="1F3A549A" w14:textId="77777777" w:rsidR="00E553E7" w:rsidRDefault="00E553E7" w:rsidP="00E553E7">
            <w:pPr>
              <w:pStyle w:val="BodyCopy"/>
            </w:pPr>
            <w:r>
              <w:t>Information ownership and responsibilities.</w:t>
            </w:r>
          </w:p>
        </w:tc>
        <w:tc>
          <w:tcPr>
            <w:tcW w:w="3001" w:type="dxa"/>
            <w:shd w:val="clear" w:color="auto" w:fill="EAE5E3"/>
          </w:tcPr>
          <w:p w14:paraId="1BCC57C9" w14:textId="77777777" w:rsidR="00E553E7" w:rsidRDefault="00E553E7" w:rsidP="00E553E7">
            <w:pPr>
              <w:pStyle w:val="BodyCopy"/>
            </w:pPr>
            <w:r>
              <w:t>In relation to personal information, if an organisation receives that information (even via a service), then they become responsible for the protection of that information.</w:t>
            </w:r>
          </w:p>
          <w:p w14:paraId="09508A92" w14:textId="77777777" w:rsidR="00E553E7" w:rsidRDefault="00E553E7" w:rsidP="00E553E7">
            <w:pPr>
              <w:pStyle w:val="BodyCopy"/>
            </w:pPr>
            <w:r w:rsidRPr="00DC674E">
              <w:rPr>
                <w:i/>
              </w:rPr>
              <w:t xml:space="preserve">Standard </w:t>
            </w:r>
            <w:r w:rsidR="001D5FD1">
              <w:rPr>
                <w:i/>
              </w:rPr>
              <w:t>2</w:t>
            </w:r>
            <w:r w:rsidRPr="00DC674E">
              <w:rPr>
                <w:i/>
              </w:rPr>
              <w:t xml:space="preserve"> – </w:t>
            </w:r>
            <w:r w:rsidR="001D5FD1">
              <w:rPr>
                <w:i/>
              </w:rPr>
              <w:t xml:space="preserve">Information </w:t>
            </w:r>
            <w:r w:rsidRPr="00DC674E">
              <w:rPr>
                <w:i/>
              </w:rPr>
              <w:t xml:space="preserve">Security </w:t>
            </w:r>
            <w:r w:rsidR="001D5FD1">
              <w:rPr>
                <w:i/>
              </w:rPr>
              <w:t>Value</w:t>
            </w:r>
            <w:r w:rsidRPr="00DC674E">
              <w:rPr>
                <w:i/>
              </w:rPr>
              <w:t xml:space="preserve">: </w:t>
            </w:r>
            <w:r w:rsidR="001D5FD1">
              <w:rPr>
                <w:i/>
              </w:rPr>
              <w:t>E2.080</w:t>
            </w:r>
          </w:p>
        </w:tc>
        <w:tc>
          <w:tcPr>
            <w:tcW w:w="3002" w:type="dxa"/>
            <w:shd w:val="clear" w:color="auto" w:fill="EAE5E3"/>
          </w:tcPr>
          <w:p w14:paraId="71E0C0A1" w14:textId="77777777" w:rsidR="00E553E7" w:rsidRDefault="001D5FD1" w:rsidP="00E553E7">
            <w:pPr>
              <w:pStyle w:val="BodyCopy"/>
            </w:pPr>
            <w:r w:rsidRPr="001D5FD1">
              <w:rPr>
                <w:i/>
                <w:iCs/>
              </w:rPr>
              <w:t>E2.080 -</w:t>
            </w:r>
            <w:r>
              <w:t xml:space="preserve"> </w:t>
            </w:r>
            <w:r>
              <w:rPr>
                <w:rFonts w:cstheme="minorHAnsi"/>
              </w:rPr>
              <w:t>The o</w:t>
            </w:r>
            <w:r w:rsidRPr="003A601E">
              <w:rPr>
                <w:rFonts w:cstheme="minorHAnsi"/>
              </w:rPr>
              <w:t xml:space="preserve">rganisation </w:t>
            </w:r>
            <w:r>
              <w:rPr>
                <w:rFonts w:cstheme="minorHAnsi"/>
              </w:rPr>
              <w:t>manages</w:t>
            </w:r>
            <w:r w:rsidRPr="003A601E">
              <w:rPr>
                <w:rFonts w:cstheme="minorHAnsi"/>
              </w:rPr>
              <w:t xml:space="preserve"> </w:t>
            </w:r>
            <w:r>
              <w:rPr>
                <w:rFonts w:cstheme="minorHAnsi"/>
              </w:rPr>
              <w:t>externally generated</w:t>
            </w:r>
            <w:r w:rsidRPr="003A601E">
              <w:rPr>
                <w:rFonts w:cstheme="minorHAnsi"/>
              </w:rPr>
              <w:t xml:space="preserve"> information </w:t>
            </w:r>
            <w:r>
              <w:rPr>
                <w:rFonts w:cstheme="minorHAnsi"/>
              </w:rPr>
              <w:t>in accordance with the originator’s instructions</w:t>
            </w:r>
            <w:r w:rsidRPr="003A601E">
              <w:rPr>
                <w:rFonts w:cstheme="minorHAnsi"/>
              </w:rPr>
              <w:t>.</w:t>
            </w:r>
          </w:p>
        </w:tc>
      </w:tr>
      <w:tr w:rsidR="001D5FD1" w14:paraId="3BA2BFA7" w14:textId="77777777" w:rsidTr="00E553E7">
        <w:trPr>
          <w:cantSplit/>
        </w:trPr>
        <w:tc>
          <w:tcPr>
            <w:tcW w:w="0" w:type="auto"/>
            <w:shd w:val="clear" w:color="auto" w:fill="EAE5E3"/>
          </w:tcPr>
          <w:p w14:paraId="0DA125D5" w14:textId="77777777" w:rsidR="00E553E7" w:rsidRDefault="00E553E7" w:rsidP="00E553E7">
            <w:pPr>
              <w:pStyle w:val="BodyCopy"/>
            </w:pPr>
            <w:bookmarkStart w:id="5" w:name="Flag6"/>
            <w:r>
              <w:t>6</w:t>
            </w:r>
            <w:bookmarkEnd w:id="5"/>
          </w:p>
        </w:tc>
        <w:tc>
          <w:tcPr>
            <w:tcW w:w="3001" w:type="dxa"/>
            <w:shd w:val="clear" w:color="auto" w:fill="EAE5E3"/>
          </w:tcPr>
          <w:p w14:paraId="7A35176B" w14:textId="77777777" w:rsidR="00E553E7" w:rsidRDefault="00E553E7" w:rsidP="00E553E7">
            <w:pPr>
              <w:pStyle w:val="BodyCopy"/>
            </w:pPr>
            <w:r>
              <w:t>Cloud service usage scope may change quite dynamically and often without any form of reassessment.</w:t>
            </w:r>
          </w:p>
        </w:tc>
        <w:tc>
          <w:tcPr>
            <w:tcW w:w="3001" w:type="dxa"/>
            <w:shd w:val="clear" w:color="auto" w:fill="EAE5E3"/>
          </w:tcPr>
          <w:p w14:paraId="61D0692B" w14:textId="212C92B9" w:rsidR="00E553E7" w:rsidRDefault="00E553E7" w:rsidP="00E553E7">
            <w:pPr>
              <w:pStyle w:val="BodyCopy"/>
            </w:pPr>
            <w:r>
              <w:t xml:space="preserve">Establishing triggers is important </w:t>
            </w:r>
            <w:r w:rsidR="008C3F4B">
              <w:t>to</w:t>
            </w:r>
            <w:r>
              <w:t xml:space="preserve"> reassess the risk of how a cloud service is being used. This is especially the case when additional functionality is being introduced and/or additional forms of information may be shared.</w:t>
            </w:r>
            <w:r w:rsidR="008C3F4B">
              <w:t xml:space="preserve"> In addition to undertaking reviews based on certain</w:t>
            </w:r>
            <w:r w:rsidR="00E054BA">
              <w:t xml:space="preserve"> events</w:t>
            </w:r>
            <w:r w:rsidR="008C3F4B">
              <w:t xml:space="preserve"> </w:t>
            </w:r>
            <w:r w:rsidR="00E054BA">
              <w:t xml:space="preserve">being </w:t>
            </w:r>
            <w:r w:rsidR="008C3F4B">
              <w:t>trigge</w:t>
            </w:r>
            <w:r w:rsidR="00E054BA">
              <w:t>red</w:t>
            </w:r>
            <w:r w:rsidR="008C3F4B">
              <w:t xml:space="preserve">, </w:t>
            </w:r>
            <w:r w:rsidR="008C3F4B" w:rsidRPr="008C3F4B">
              <w:t>undertak</w:t>
            </w:r>
            <w:r w:rsidR="008C3F4B">
              <w:t>ing</w:t>
            </w:r>
            <w:r w:rsidR="008C3F4B" w:rsidRPr="008C3F4B">
              <w:t xml:space="preserve"> periodic revalidation of the third party’s security requirements where identified gaps are committed to be addressed by the third party</w:t>
            </w:r>
            <w:r w:rsidR="008C3F4B">
              <w:t xml:space="preserve"> will ensure continuous improvement</w:t>
            </w:r>
            <w:r w:rsidR="008C3F4B" w:rsidRPr="008C3F4B">
              <w:t>.</w:t>
            </w:r>
          </w:p>
          <w:p w14:paraId="135F75DC" w14:textId="460594BB" w:rsidR="001150F8" w:rsidRPr="00B50A85" w:rsidRDefault="001150F8" w:rsidP="00E553E7">
            <w:pPr>
              <w:pStyle w:val="BodyCopy"/>
              <w:rPr>
                <w:i/>
              </w:rPr>
            </w:pPr>
            <w:r w:rsidRPr="00DC674E">
              <w:rPr>
                <w:i/>
              </w:rPr>
              <w:t xml:space="preserve">Standard </w:t>
            </w:r>
            <w:r w:rsidR="00E054BA">
              <w:rPr>
                <w:i/>
              </w:rPr>
              <w:t>8</w:t>
            </w:r>
            <w:r w:rsidRPr="00DC674E">
              <w:rPr>
                <w:i/>
              </w:rPr>
              <w:t xml:space="preserve"> – Third Party Arrangements: </w:t>
            </w:r>
            <w:r>
              <w:rPr>
                <w:i/>
              </w:rPr>
              <w:t>E8.060</w:t>
            </w:r>
          </w:p>
        </w:tc>
        <w:tc>
          <w:tcPr>
            <w:tcW w:w="3002" w:type="dxa"/>
            <w:shd w:val="clear" w:color="auto" w:fill="EAE5E3"/>
          </w:tcPr>
          <w:p w14:paraId="5039273A" w14:textId="77777777" w:rsidR="001150F8" w:rsidRDefault="001150F8" w:rsidP="00E553E7">
            <w:pPr>
              <w:pStyle w:val="BodyCopy"/>
            </w:pPr>
            <w:r w:rsidRPr="001150F8">
              <w:rPr>
                <w:rFonts w:cstheme="minorHAnsi"/>
                <w:i/>
                <w:iCs/>
              </w:rPr>
              <w:t>E8.060 -</w:t>
            </w:r>
            <w:r>
              <w:rPr>
                <w:rFonts w:cstheme="minorHAnsi"/>
              </w:rPr>
              <w:t xml:space="preserve"> The o</w:t>
            </w:r>
            <w:r w:rsidRPr="003A601E">
              <w:rPr>
                <w:rFonts w:cstheme="minorHAnsi"/>
              </w:rPr>
              <w:t>rganisation monitor</w:t>
            </w:r>
            <w:r>
              <w:rPr>
                <w:rFonts w:cstheme="minorHAnsi"/>
              </w:rPr>
              <w:t>s</w:t>
            </w:r>
            <w:r w:rsidRPr="003A601E">
              <w:rPr>
                <w:rFonts w:cstheme="minorHAnsi"/>
              </w:rPr>
              <w:t>, review</w:t>
            </w:r>
            <w:r>
              <w:rPr>
                <w:rFonts w:cstheme="minorHAnsi"/>
              </w:rPr>
              <w:t>s</w:t>
            </w:r>
            <w:r w:rsidRPr="003A601E">
              <w:rPr>
                <w:rFonts w:cstheme="minorHAnsi"/>
              </w:rPr>
              <w:t>, validate</w:t>
            </w:r>
            <w:r>
              <w:rPr>
                <w:rFonts w:cstheme="minorHAnsi"/>
              </w:rPr>
              <w:t>s</w:t>
            </w:r>
            <w:r w:rsidRPr="003A601E">
              <w:rPr>
                <w:rFonts w:cstheme="minorHAnsi"/>
              </w:rPr>
              <w:t xml:space="preserve"> and update</w:t>
            </w:r>
            <w:r>
              <w:rPr>
                <w:rFonts w:cstheme="minorHAnsi"/>
              </w:rPr>
              <w:t>s</w:t>
            </w:r>
            <w:r w:rsidRPr="003A601E">
              <w:rPr>
                <w:rFonts w:cstheme="minorHAnsi"/>
              </w:rPr>
              <w:t xml:space="preserve"> the </w:t>
            </w:r>
            <w:r>
              <w:rPr>
                <w:rFonts w:cstheme="minorHAnsi"/>
              </w:rPr>
              <w:t xml:space="preserve">information </w:t>
            </w:r>
            <w:r w:rsidRPr="003A601E">
              <w:rPr>
                <w:rFonts w:cstheme="minorHAnsi"/>
              </w:rPr>
              <w:t xml:space="preserve">security requirements of </w:t>
            </w:r>
            <w:proofErr w:type="gramStart"/>
            <w:r>
              <w:rPr>
                <w:rFonts w:cstheme="minorHAnsi"/>
              </w:rPr>
              <w:t>third party</w:t>
            </w:r>
            <w:proofErr w:type="gramEnd"/>
            <w:r w:rsidRPr="003A601E">
              <w:rPr>
                <w:rFonts w:cstheme="minorHAnsi"/>
              </w:rPr>
              <w:t xml:space="preserve"> arrangements</w:t>
            </w:r>
            <w:r>
              <w:rPr>
                <w:rFonts w:cstheme="minorHAnsi"/>
              </w:rPr>
              <w:t xml:space="preserve"> and activities</w:t>
            </w:r>
            <w:r w:rsidRPr="003A601E">
              <w:rPr>
                <w:rFonts w:cstheme="minorHAnsi"/>
              </w:rPr>
              <w:t>.</w:t>
            </w:r>
          </w:p>
        </w:tc>
      </w:tr>
      <w:tr w:rsidR="001D5FD1" w14:paraId="64670048" w14:textId="77777777" w:rsidTr="00E553E7">
        <w:trPr>
          <w:cantSplit/>
        </w:trPr>
        <w:tc>
          <w:tcPr>
            <w:tcW w:w="0" w:type="auto"/>
            <w:shd w:val="clear" w:color="auto" w:fill="EAE5E3"/>
          </w:tcPr>
          <w:p w14:paraId="6D9F2C80" w14:textId="77777777" w:rsidR="00E553E7" w:rsidRDefault="00E553E7" w:rsidP="00E553E7">
            <w:pPr>
              <w:pStyle w:val="BodyCopy"/>
            </w:pPr>
            <w:bookmarkStart w:id="6" w:name="Flag7"/>
            <w:r>
              <w:lastRenderedPageBreak/>
              <w:t>7</w:t>
            </w:r>
            <w:bookmarkEnd w:id="6"/>
          </w:p>
        </w:tc>
        <w:tc>
          <w:tcPr>
            <w:tcW w:w="3001" w:type="dxa"/>
            <w:shd w:val="clear" w:color="auto" w:fill="EAE5E3"/>
          </w:tcPr>
          <w:p w14:paraId="0E7B2B9B" w14:textId="77777777" w:rsidR="00E553E7" w:rsidRDefault="00E553E7" w:rsidP="00E553E7">
            <w:pPr>
              <w:pStyle w:val="BodyCopy"/>
            </w:pPr>
            <w:r>
              <w:t>Acceptance of risk at a business level may lead to situations where the risk is not appropriately monitored and reassessed on an ongoing basis.</w:t>
            </w:r>
          </w:p>
        </w:tc>
        <w:tc>
          <w:tcPr>
            <w:tcW w:w="3001" w:type="dxa"/>
            <w:shd w:val="clear" w:color="auto" w:fill="EAE5E3"/>
          </w:tcPr>
          <w:p w14:paraId="26448B96" w14:textId="77777777" w:rsidR="00E553E7" w:rsidRDefault="00E553E7" w:rsidP="00E553E7">
            <w:pPr>
              <w:pStyle w:val="BodyCopy"/>
            </w:pPr>
            <w:r>
              <w:t>With appropriate information, business acceptance of a risk is an acceptable position. It is recommended that even when risks are accepted, if they are sufficiently high, they should be monitored on an ongoing basis and where need be, reassessed.</w:t>
            </w:r>
          </w:p>
          <w:p w14:paraId="2EABCEC3" w14:textId="77777777" w:rsidR="00E553E7" w:rsidRPr="001150F8" w:rsidRDefault="001150F8" w:rsidP="00E553E7">
            <w:pPr>
              <w:pStyle w:val="BodyCopy"/>
              <w:rPr>
                <w:i/>
              </w:rPr>
            </w:pPr>
            <w:r w:rsidRPr="00B50A85">
              <w:rPr>
                <w:i/>
              </w:rPr>
              <w:t xml:space="preserve">Standard </w:t>
            </w:r>
            <w:r>
              <w:rPr>
                <w:i/>
              </w:rPr>
              <w:t>3</w:t>
            </w:r>
            <w:r w:rsidRPr="00B50A85">
              <w:rPr>
                <w:i/>
              </w:rPr>
              <w:t xml:space="preserve"> – Information Security Risk Management: E</w:t>
            </w:r>
            <w:r>
              <w:rPr>
                <w:i/>
              </w:rPr>
              <w:t>3.050</w:t>
            </w:r>
          </w:p>
        </w:tc>
        <w:tc>
          <w:tcPr>
            <w:tcW w:w="3002" w:type="dxa"/>
            <w:shd w:val="clear" w:color="auto" w:fill="EAE5E3"/>
          </w:tcPr>
          <w:p w14:paraId="1027DD71" w14:textId="7A25E17F" w:rsidR="00E553E7" w:rsidRPr="001150F8" w:rsidRDefault="001150F8" w:rsidP="00E553E7">
            <w:pPr>
              <w:pStyle w:val="BodyCopy"/>
              <w:rPr>
                <w:rFonts w:cstheme="minorHAnsi"/>
              </w:rPr>
            </w:pPr>
            <w:r w:rsidRPr="001150F8">
              <w:rPr>
                <w:i/>
                <w:iCs/>
              </w:rPr>
              <w:t>E3.050 -</w:t>
            </w:r>
            <w:r>
              <w:t xml:space="preserve"> </w:t>
            </w:r>
            <w:r>
              <w:rPr>
                <w:rFonts w:cstheme="minorHAnsi"/>
              </w:rPr>
              <w:t>The o</w:t>
            </w:r>
            <w:r w:rsidRPr="003A601E">
              <w:rPr>
                <w:rFonts w:cstheme="minorHAnsi"/>
              </w:rPr>
              <w:t>rganisation govern</w:t>
            </w:r>
            <w:r>
              <w:rPr>
                <w:rFonts w:cstheme="minorHAnsi"/>
              </w:rPr>
              <w:t>s</w:t>
            </w:r>
            <w:r w:rsidRPr="003A601E">
              <w:rPr>
                <w:rFonts w:cstheme="minorHAnsi"/>
              </w:rPr>
              <w:t>, monitor</w:t>
            </w:r>
            <w:r>
              <w:rPr>
                <w:rFonts w:cstheme="minorHAnsi"/>
              </w:rPr>
              <w:t>s</w:t>
            </w:r>
            <w:r w:rsidRPr="003A601E">
              <w:rPr>
                <w:rFonts w:cstheme="minorHAnsi"/>
              </w:rPr>
              <w:t>, review</w:t>
            </w:r>
            <w:r>
              <w:rPr>
                <w:rFonts w:cstheme="minorHAnsi"/>
              </w:rPr>
              <w:t>s</w:t>
            </w:r>
            <w:r w:rsidRPr="003A601E">
              <w:rPr>
                <w:rFonts w:cstheme="minorHAnsi"/>
              </w:rPr>
              <w:t xml:space="preserve"> and report</w:t>
            </w:r>
            <w:r>
              <w:rPr>
                <w:rFonts w:cstheme="minorHAnsi"/>
              </w:rPr>
              <w:t>s</w:t>
            </w:r>
            <w:r w:rsidRPr="003A601E">
              <w:rPr>
                <w:rFonts w:cstheme="minorHAnsi"/>
              </w:rPr>
              <w:t xml:space="preserve"> on </w:t>
            </w:r>
            <w:r>
              <w:rPr>
                <w:rFonts w:cstheme="minorHAnsi"/>
              </w:rPr>
              <w:t xml:space="preserve">information </w:t>
            </w:r>
            <w:r w:rsidRPr="003A601E">
              <w:rPr>
                <w:rFonts w:cstheme="minorHAnsi"/>
              </w:rPr>
              <w:t xml:space="preserve">security risk </w:t>
            </w:r>
            <w:r>
              <w:rPr>
                <w:rFonts w:cstheme="minorHAnsi"/>
              </w:rPr>
              <w:t xml:space="preserve">(e.g. operational, tactical and strategic </w:t>
            </w:r>
            <w:r w:rsidRPr="003A601E">
              <w:rPr>
                <w:rFonts w:cstheme="minorHAnsi"/>
              </w:rPr>
              <w:t>through a</w:t>
            </w:r>
            <w:r>
              <w:rPr>
                <w:rFonts w:cstheme="minorHAnsi"/>
              </w:rPr>
              <w:t xml:space="preserve"> risk</w:t>
            </w:r>
            <w:r w:rsidRPr="003A601E">
              <w:rPr>
                <w:rFonts w:cstheme="minorHAnsi"/>
              </w:rPr>
              <w:t xml:space="preserve"> committee</w:t>
            </w:r>
            <w:r>
              <w:rPr>
                <w:rFonts w:cstheme="minorHAnsi"/>
              </w:rPr>
              <w:t xml:space="preserve"> (or equivalent, e.g. audit, finance, board, corporate governance))</w:t>
            </w:r>
            <w:r w:rsidRPr="003A601E">
              <w:rPr>
                <w:rFonts w:cstheme="minorHAnsi"/>
              </w:rPr>
              <w:t>.</w:t>
            </w:r>
          </w:p>
        </w:tc>
      </w:tr>
      <w:tr w:rsidR="001D5FD1" w14:paraId="3052B4CA" w14:textId="77777777" w:rsidTr="00E553E7">
        <w:trPr>
          <w:cantSplit/>
        </w:trPr>
        <w:tc>
          <w:tcPr>
            <w:tcW w:w="0" w:type="auto"/>
            <w:shd w:val="clear" w:color="auto" w:fill="EAE5E3"/>
          </w:tcPr>
          <w:p w14:paraId="5E82A7E4" w14:textId="77777777" w:rsidR="00E553E7" w:rsidRDefault="00E553E7" w:rsidP="00E553E7">
            <w:pPr>
              <w:pStyle w:val="BodyCopy"/>
            </w:pPr>
            <w:bookmarkStart w:id="7" w:name="Flag8"/>
            <w:r>
              <w:t>8</w:t>
            </w:r>
            <w:bookmarkEnd w:id="7"/>
          </w:p>
        </w:tc>
        <w:tc>
          <w:tcPr>
            <w:tcW w:w="3001" w:type="dxa"/>
            <w:shd w:val="clear" w:color="auto" w:fill="EAE5E3"/>
          </w:tcPr>
          <w:p w14:paraId="556FB895" w14:textId="77777777" w:rsidR="00E553E7" w:rsidRDefault="00E553E7" w:rsidP="00E553E7">
            <w:pPr>
              <w:pStyle w:val="BodyCopy"/>
            </w:pPr>
            <w:r>
              <w:t>Existing incident management processes may not necessarily provide coverage over incidents arising from cloud environments.</w:t>
            </w:r>
          </w:p>
        </w:tc>
        <w:tc>
          <w:tcPr>
            <w:tcW w:w="3001" w:type="dxa"/>
            <w:shd w:val="clear" w:color="auto" w:fill="EAE5E3"/>
          </w:tcPr>
          <w:p w14:paraId="3A091567" w14:textId="5F279563" w:rsidR="00E553E7" w:rsidRDefault="00E553E7" w:rsidP="00E553E7">
            <w:pPr>
              <w:pStyle w:val="BodyCopy"/>
            </w:pPr>
            <w:r>
              <w:t xml:space="preserve">When reviewing incident management processes, it is important to understand the roles and responsibilities should an incident arise with the cloud service provider </w:t>
            </w:r>
            <w:r w:rsidR="00B621C7">
              <w:t xml:space="preserve">including </w:t>
            </w:r>
            <w:r w:rsidR="00B621C7" w:rsidRPr="00B621C7">
              <w:t>how it engages with the service provider to receive notifications in a timely manner</w:t>
            </w:r>
            <w:r w:rsidR="00B621C7">
              <w:t xml:space="preserve"> and </w:t>
            </w:r>
            <w:r>
              <w:t>how the organisation can manage these incidents in the most effective manner.</w:t>
            </w:r>
          </w:p>
          <w:p w14:paraId="0986F221" w14:textId="77777777" w:rsidR="00E553E7" w:rsidRPr="00B50A85" w:rsidRDefault="00E553E7" w:rsidP="00E553E7">
            <w:pPr>
              <w:pStyle w:val="BodyCopy"/>
              <w:rPr>
                <w:i/>
              </w:rPr>
            </w:pPr>
            <w:r w:rsidRPr="00B50A85">
              <w:rPr>
                <w:i/>
              </w:rPr>
              <w:t xml:space="preserve">Standard </w:t>
            </w:r>
            <w:r w:rsidR="001150F8">
              <w:rPr>
                <w:i/>
              </w:rPr>
              <w:t>6</w:t>
            </w:r>
            <w:r w:rsidRPr="00B50A85">
              <w:rPr>
                <w:i/>
              </w:rPr>
              <w:t xml:space="preserve"> – Information Security Incident Management: </w:t>
            </w:r>
            <w:r w:rsidR="001150F8">
              <w:rPr>
                <w:i/>
              </w:rPr>
              <w:t xml:space="preserve">E6.020, </w:t>
            </w:r>
            <w:r w:rsidRPr="00B50A85">
              <w:rPr>
                <w:i/>
              </w:rPr>
              <w:t>E</w:t>
            </w:r>
            <w:r w:rsidR="001150F8">
              <w:rPr>
                <w:i/>
              </w:rPr>
              <w:t>6.030</w:t>
            </w:r>
          </w:p>
        </w:tc>
        <w:tc>
          <w:tcPr>
            <w:tcW w:w="3002" w:type="dxa"/>
            <w:shd w:val="clear" w:color="auto" w:fill="EAE5E3"/>
          </w:tcPr>
          <w:p w14:paraId="19038A12" w14:textId="77777777" w:rsidR="001150F8" w:rsidRDefault="001150F8" w:rsidP="001150F8">
            <w:pPr>
              <w:pStyle w:val="BodyCopy"/>
              <w:rPr>
                <w:rFonts w:cstheme="minorHAnsi"/>
              </w:rPr>
            </w:pPr>
            <w:r w:rsidRPr="001150F8">
              <w:rPr>
                <w:rFonts w:cstheme="minorHAnsi"/>
                <w:i/>
                <w:iCs/>
              </w:rPr>
              <w:t>E6.020 –</w:t>
            </w:r>
            <w:r>
              <w:rPr>
                <w:rFonts w:cstheme="minorHAnsi"/>
              </w:rPr>
              <w:t xml:space="preserve"> The o</w:t>
            </w:r>
            <w:r w:rsidRPr="003A601E">
              <w:rPr>
                <w:rFonts w:cstheme="minorHAnsi"/>
              </w:rPr>
              <w:t>rganisation articulate</w:t>
            </w:r>
            <w:r>
              <w:rPr>
                <w:rFonts w:cstheme="minorHAnsi"/>
              </w:rPr>
              <w:t>s</w:t>
            </w:r>
            <w:r w:rsidRPr="003A601E">
              <w:rPr>
                <w:rFonts w:cstheme="minorHAnsi"/>
              </w:rPr>
              <w:t xml:space="preserve"> roles and </w:t>
            </w:r>
            <w:r>
              <w:rPr>
                <w:rFonts w:cstheme="minorHAnsi"/>
              </w:rPr>
              <w:t>responsibilities</w:t>
            </w:r>
            <w:r w:rsidRPr="003A601E">
              <w:rPr>
                <w:rFonts w:cstheme="minorHAnsi"/>
              </w:rPr>
              <w:t xml:space="preserve"> </w:t>
            </w:r>
            <w:r>
              <w:rPr>
                <w:rFonts w:cstheme="minorHAnsi"/>
              </w:rPr>
              <w:t>for</w:t>
            </w:r>
            <w:r w:rsidRPr="003A601E">
              <w:rPr>
                <w:rFonts w:cstheme="minorHAnsi"/>
              </w:rPr>
              <w:t xml:space="preserve"> </w:t>
            </w:r>
            <w:r>
              <w:rPr>
                <w:rFonts w:cstheme="minorHAnsi"/>
              </w:rPr>
              <w:t xml:space="preserve">information </w:t>
            </w:r>
            <w:r w:rsidRPr="003A601E">
              <w:rPr>
                <w:rFonts w:cstheme="minorHAnsi"/>
              </w:rPr>
              <w:t>security incident management.</w:t>
            </w:r>
          </w:p>
          <w:p w14:paraId="37D4A337" w14:textId="77777777" w:rsidR="001150F8" w:rsidRDefault="001150F8" w:rsidP="001150F8">
            <w:pPr>
              <w:pStyle w:val="BodyCopy"/>
              <w:rPr>
                <w:rFonts w:cstheme="minorHAnsi"/>
              </w:rPr>
            </w:pPr>
            <w:r w:rsidRPr="001150F8">
              <w:rPr>
                <w:rFonts w:cstheme="minorHAnsi"/>
                <w:i/>
                <w:iCs/>
              </w:rPr>
              <w:t>E6.030 -</w:t>
            </w:r>
            <w:r>
              <w:rPr>
                <w:rFonts w:cstheme="minorHAnsi"/>
              </w:rPr>
              <w:t xml:space="preserve"> The organisation’s information s</w:t>
            </w:r>
            <w:r w:rsidRPr="003A601E">
              <w:rPr>
                <w:rFonts w:cstheme="minorHAnsi"/>
              </w:rPr>
              <w:t xml:space="preserve">ecurity incident management </w:t>
            </w:r>
            <w:r>
              <w:rPr>
                <w:rFonts w:cstheme="minorHAnsi"/>
              </w:rPr>
              <w:t>processes and plan(s)</w:t>
            </w:r>
            <w:r w:rsidRPr="003A601E">
              <w:rPr>
                <w:rFonts w:cstheme="minorHAnsi"/>
              </w:rPr>
              <w:t xml:space="preserve"> contain the five phases of:</w:t>
            </w:r>
          </w:p>
          <w:p w14:paraId="7386442D" w14:textId="77777777" w:rsidR="001150F8" w:rsidRDefault="001150F8" w:rsidP="001150F8">
            <w:pPr>
              <w:pStyle w:val="BodyCopy"/>
              <w:numPr>
                <w:ilvl w:val="0"/>
                <w:numId w:val="9"/>
              </w:numPr>
              <w:rPr>
                <w:rFonts w:cstheme="minorHAnsi"/>
              </w:rPr>
            </w:pPr>
            <w:r w:rsidRPr="003A601E">
              <w:rPr>
                <w:rFonts w:cstheme="minorHAnsi"/>
              </w:rPr>
              <w:t>Plan and prepare</w:t>
            </w:r>
            <w:r>
              <w:rPr>
                <w:rFonts w:cstheme="minorHAnsi"/>
              </w:rPr>
              <w:t>;</w:t>
            </w:r>
          </w:p>
          <w:p w14:paraId="00F27254" w14:textId="77777777" w:rsidR="001150F8" w:rsidRDefault="001150F8" w:rsidP="001150F8">
            <w:pPr>
              <w:pStyle w:val="BodyCopy"/>
              <w:numPr>
                <w:ilvl w:val="0"/>
                <w:numId w:val="9"/>
              </w:numPr>
              <w:rPr>
                <w:rFonts w:cstheme="minorHAnsi"/>
              </w:rPr>
            </w:pPr>
            <w:r w:rsidRPr="003A601E">
              <w:rPr>
                <w:rFonts w:cstheme="minorHAnsi"/>
              </w:rPr>
              <w:t>Detect and report</w:t>
            </w:r>
            <w:r>
              <w:rPr>
                <w:rFonts w:cstheme="minorHAnsi"/>
              </w:rPr>
              <w:t>;</w:t>
            </w:r>
          </w:p>
          <w:p w14:paraId="7018BD48" w14:textId="77777777" w:rsidR="001150F8" w:rsidRDefault="001150F8" w:rsidP="001150F8">
            <w:pPr>
              <w:pStyle w:val="BodyCopy"/>
              <w:numPr>
                <w:ilvl w:val="0"/>
                <w:numId w:val="9"/>
              </w:numPr>
              <w:rPr>
                <w:rFonts w:cstheme="minorHAnsi"/>
              </w:rPr>
            </w:pPr>
            <w:r w:rsidRPr="003A601E">
              <w:rPr>
                <w:rFonts w:cstheme="minorHAnsi"/>
              </w:rPr>
              <w:t>Assess and decide</w:t>
            </w:r>
            <w:r>
              <w:rPr>
                <w:rFonts w:cstheme="minorHAnsi"/>
              </w:rPr>
              <w:t>;</w:t>
            </w:r>
          </w:p>
          <w:p w14:paraId="002258EA" w14:textId="77777777" w:rsidR="001150F8" w:rsidRDefault="001150F8" w:rsidP="001150F8">
            <w:pPr>
              <w:pStyle w:val="BodyCopy"/>
              <w:numPr>
                <w:ilvl w:val="0"/>
                <w:numId w:val="9"/>
              </w:numPr>
              <w:rPr>
                <w:rFonts w:cstheme="minorHAnsi"/>
              </w:rPr>
            </w:pPr>
            <w:r w:rsidRPr="003A601E">
              <w:rPr>
                <w:rFonts w:cstheme="minorHAnsi"/>
              </w:rPr>
              <w:t>Respond</w:t>
            </w:r>
            <w:r>
              <w:rPr>
                <w:rFonts w:cstheme="minorHAnsi"/>
              </w:rPr>
              <w:t xml:space="preserve"> </w:t>
            </w:r>
            <w:r w:rsidRPr="00FD39C9">
              <w:rPr>
                <w:rFonts w:cstheme="minorHAnsi"/>
              </w:rPr>
              <w:t>(contain, eradicate</w:t>
            </w:r>
            <w:r>
              <w:rPr>
                <w:rFonts w:cstheme="minorHAnsi"/>
              </w:rPr>
              <w:t>,</w:t>
            </w:r>
            <w:r w:rsidRPr="00FD39C9">
              <w:rPr>
                <w:rFonts w:cstheme="minorHAnsi"/>
              </w:rPr>
              <w:t xml:space="preserve"> recover</w:t>
            </w:r>
            <w:r>
              <w:rPr>
                <w:rFonts w:cstheme="minorHAnsi"/>
              </w:rPr>
              <w:t>, notify</w:t>
            </w:r>
            <w:r w:rsidRPr="00FD39C9">
              <w:rPr>
                <w:rFonts w:cstheme="minorHAnsi"/>
              </w:rPr>
              <w:t>)</w:t>
            </w:r>
            <w:r>
              <w:rPr>
                <w:rFonts w:cstheme="minorHAnsi"/>
              </w:rPr>
              <w:t>; and</w:t>
            </w:r>
          </w:p>
          <w:p w14:paraId="40B9BB49" w14:textId="77777777" w:rsidR="00E553E7" w:rsidRDefault="001150F8" w:rsidP="001150F8">
            <w:pPr>
              <w:pStyle w:val="BodyCopy"/>
              <w:numPr>
                <w:ilvl w:val="0"/>
                <w:numId w:val="9"/>
              </w:numPr>
            </w:pPr>
            <w:r w:rsidRPr="003A601E">
              <w:rPr>
                <w:rFonts w:cstheme="minorHAnsi"/>
              </w:rPr>
              <w:t>Lessons learnt</w:t>
            </w:r>
            <w:r>
              <w:rPr>
                <w:rFonts w:cstheme="minorHAnsi"/>
              </w:rPr>
              <w:t>.</w:t>
            </w:r>
          </w:p>
        </w:tc>
      </w:tr>
      <w:tr w:rsidR="001D5FD1" w14:paraId="37B04700" w14:textId="77777777" w:rsidTr="00E553E7">
        <w:trPr>
          <w:cantSplit/>
        </w:trPr>
        <w:tc>
          <w:tcPr>
            <w:tcW w:w="0" w:type="auto"/>
            <w:shd w:val="clear" w:color="auto" w:fill="EAE5E3"/>
          </w:tcPr>
          <w:p w14:paraId="6FEE865E" w14:textId="77777777" w:rsidR="00E553E7" w:rsidRDefault="00E553E7" w:rsidP="00E553E7">
            <w:pPr>
              <w:pStyle w:val="BodyCopy"/>
            </w:pPr>
            <w:bookmarkStart w:id="8" w:name="Flag9"/>
            <w:r>
              <w:lastRenderedPageBreak/>
              <w:t>9</w:t>
            </w:r>
            <w:bookmarkEnd w:id="8"/>
          </w:p>
        </w:tc>
        <w:tc>
          <w:tcPr>
            <w:tcW w:w="3001" w:type="dxa"/>
            <w:shd w:val="clear" w:color="auto" w:fill="EAE5E3"/>
          </w:tcPr>
          <w:p w14:paraId="2CA5ADF3" w14:textId="77777777" w:rsidR="00E553E7" w:rsidRDefault="00E553E7" w:rsidP="00E553E7">
            <w:pPr>
              <w:pStyle w:val="BodyCopy"/>
            </w:pPr>
            <w:r>
              <w:t>Having identified risks aligned to appropriate business continuity management in order to recover from incidents.</w:t>
            </w:r>
          </w:p>
        </w:tc>
        <w:tc>
          <w:tcPr>
            <w:tcW w:w="3001" w:type="dxa"/>
            <w:shd w:val="clear" w:color="auto" w:fill="EAE5E3"/>
          </w:tcPr>
          <w:p w14:paraId="6B0F0909" w14:textId="3A13A8CC" w:rsidR="00E553E7" w:rsidRDefault="00E553E7" w:rsidP="00E553E7">
            <w:pPr>
              <w:pStyle w:val="BodyCopy"/>
            </w:pPr>
            <w:r>
              <w:t xml:space="preserve">The effective management of risk may require appropriate identification of business continuity management </w:t>
            </w:r>
            <w:r w:rsidR="00E054BA" w:rsidRPr="00E054BA">
              <w:t>policies and plans to allow for suitable recovery from the incident whilst keeping business operating with minimal impact</w:t>
            </w:r>
            <w:r>
              <w:t>.</w:t>
            </w:r>
          </w:p>
          <w:p w14:paraId="3ADA7C3B" w14:textId="77777777" w:rsidR="00E553E7" w:rsidRPr="00B50A85" w:rsidRDefault="00E553E7" w:rsidP="00E553E7">
            <w:pPr>
              <w:pStyle w:val="BodyCopy"/>
              <w:rPr>
                <w:i/>
              </w:rPr>
            </w:pPr>
            <w:r w:rsidRPr="00B50A85">
              <w:rPr>
                <w:i/>
              </w:rPr>
              <w:t>Standard 7 – Information Security Aspects of Business Continuity Management</w:t>
            </w:r>
            <w:r w:rsidR="001150F8">
              <w:rPr>
                <w:i/>
              </w:rPr>
              <w:t xml:space="preserve"> and Disaster Recovery</w:t>
            </w:r>
            <w:r w:rsidRPr="00B50A85">
              <w:rPr>
                <w:i/>
              </w:rPr>
              <w:t xml:space="preserve">: </w:t>
            </w:r>
            <w:r w:rsidR="001150F8">
              <w:rPr>
                <w:i/>
              </w:rPr>
              <w:t>E7.010, E7.020, E7.030</w:t>
            </w:r>
          </w:p>
        </w:tc>
        <w:tc>
          <w:tcPr>
            <w:tcW w:w="3002" w:type="dxa"/>
            <w:shd w:val="clear" w:color="auto" w:fill="EAE5E3"/>
          </w:tcPr>
          <w:p w14:paraId="6ADCB4E1" w14:textId="77777777" w:rsidR="001150F8" w:rsidRDefault="001150F8" w:rsidP="00E553E7">
            <w:pPr>
              <w:pStyle w:val="BodyCopy"/>
              <w:rPr>
                <w:i/>
              </w:rPr>
            </w:pPr>
            <w:r>
              <w:rPr>
                <w:i/>
              </w:rPr>
              <w:t xml:space="preserve">E7.010 – </w:t>
            </w:r>
            <w:r>
              <w:rPr>
                <w:rFonts w:cstheme="minorHAnsi"/>
              </w:rPr>
              <w:t>The o</w:t>
            </w:r>
            <w:r w:rsidRPr="00761CC2">
              <w:rPr>
                <w:rFonts w:cstheme="minorHAnsi"/>
              </w:rPr>
              <w:t xml:space="preserve">rganisation </w:t>
            </w:r>
            <w:r>
              <w:rPr>
                <w:rFonts w:cstheme="minorHAnsi"/>
              </w:rPr>
              <w:t xml:space="preserve">documents and communicates </w:t>
            </w:r>
            <w:r w:rsidRPr="00761CC2">
              <w:rPr>
                <w:rFonts w:cstheme="minorHAnsi"/>
              </w:rPr>
              <w:t xml:space="preserve">business continuity </w:t>
            </w:r>
            <w:r>
              <w:rPr>
                <w:rFonts w:cstheme="minorHAnsi"/>
              </w:rPr>
              <w:t>and disaster recovery processes and plans covering</w:t>
            </w:r>
            <w:r w:rsidRPr="00761CC2">
              <w:rPr>
                <w:rFonts w:cstheme="minorHAnsi"/>
              </w:rPr>
              <w:t xml:space="preserve"> all </w:t>
            </w:r>
            <w:r>
              <w:rPr>
                <w:rFonts w:cstheme="minorHAnsi"/>
              </w:rPr>
              <w:t>security areas</w:t>
            </w:r>
            <w:r w:rsidRPr="00761CC2">
              <w:rPr>
                <w:rFonts w:cstheme="minorHAnsi"/>
              </w:rPr>
              <w:t>.</w:t>
            </w:r>
          </w:p>
          <w:p w14:paraId="30140696" w14:textId="77777777" w:rsidR="001150F8" w:rsidRDefault="001150F8" w:rsidP="00E553E7">
            <w:pPr>
              <w:pStyle w:val="BodyCopy"/>
              <w:rPr>
                <w:i/>
              </w:rPr>
            </w:pPr>
            <w:r>
              <w:rPr>
                <w:i/>
              </w:rPr>
              <w:t xml:space="preserve">E7.020 – </w:t>
            </w:r>
            <w:r>
              <w:rPr>
                <w:rFonts w:cstheme="minorHAnsi"/>
              </w:rPr>
              <w:t>The o</w:t>
            </w:r>
            <w:r w:rsidRPr="003A601E">
              <w:rPr>
                <w:rFonts w:cstheme="minorHAnsi"/>
              </w:rPr>
              <w:t>rganisation identif</w:t>
            </w:r>
            <w:r>
              <w:rPr>
                <w:rFonts w:cstheme="minorHAnsi"/>
              </w:rPr>
              <w:t>ies</w:t>
            </w:r>
            <w:r w:rsidRPr="003A601E">
              <w:rPr>
                <w:rFonts w:cstheme="minorHAnsi"/>
              </w:rPr>
              <w:t xml:space="preserve"> and assign</w:t>
            </w:r>
            <w:r>
              <w:rPr>
                <w:rFonts w:cstheme="minorHAnsi"/>
              </w:rPr>
              <w:t>s</w:t>
            </w:r>
            <w:r w:rsidRPr="003A601E">
              <w:rPr>
                <w:rFonts w:cstheme="minorHAnsi"/>
              </w:rPr>
              <w:t xml:space="preserve"> roles and responsibilities for </w:t>
            </w:r>
            <w:r>
              <w:rPr>
                <w:rFonts w:cstheme="minorHAnsi"/>
              </w:rPr>
              <w:t>information</w:t>
            </w:r>
            <w:r w:rsidRPr="003A601E">
              <w:rPr>
                <w:rFonts w:cstheme="minorHAnsi"/>
              </w:rPr>
              <w:t xml:space="preserve"> security in business continuity </w:t>
            </w:r>
            <w:r>
              <w:rPr>
                <w:rFonts w:cstheme="minorHAnsi"/>
              </w:rPr>
              <w:t>and disaster recovery processes</w:t>
            </w:r>
            <w:r w:rsidRPr="003A601E">
              <w:rPr>
                <w:rFonts w:cstheme="minorHAnsi"/>
              </w:rPr>
              <w:t xml:space="preserve"> and plans.</w:t>
            </w:r>
          </w:p>
          <w:p w14:paraId="0B4D833C" w14:textId="77777777" w:rsidR="00E553E7" w:rsidRDefault="001150F8" w:rsidP="00E553E7">
            <w:pPr>
              <w:pStyle w:val="BodyCopy"/>
            </w:pPr>
            <w:r>
              <w:rPr>
                <w:i/>
              </w:rPr>
              <w:t xml:space="preserve">E7.030 - </w:t>
            </w:r>
            <w:r>
              <w:rPr>
                <w:rFonts w:cstheme="minorHAnsi"/>
              </w:rPr>
              <w:t xml:space="preserve">The organisation regularly tests </w:t>
            </w:r>
            <w:r w:rsidRPr="00964CBB">
              <w:rPr>
                <w:rFonts w:cstheme="minorHAnsi"/>
              </w:rPr>
              <w:t>(at least annually)</w:t>
            </w:r>
            <w:r>
              <w:rPr>
                <w:rFonts w:cstheme="minorHAnsi"/>
              </w:rPr>
              <w:t xml:space="preserve"> its business continuity and disaster recovery plan(s).</w:t>
            </w:r>
          </w:p>
        </w:tc>
      </w:tr>
    </w:tbl>
    <w:p w14:paraId="00A0994E" w14:textId="77777777" w:rsidR="00115753" w:rsidRDefault="00115753" w:rsidP="00115753"/>
    <w:p w14:paraId="4A9AC0A7" w14:textId="77777777" w:rsidR="00E86569" w:rsidRDefault="00E86569">
      <w:pPr>
        <w:rPr>
          <w:rFonts w:eastAsia="Times New Roman"/>
          <w:b/>
          <w:color w:val="5620A9"/>
          <w:sz w:val="32"/>
          <w:szCs w:val="32"/>
          <w:lang w:val="en-US"/>
        </w:rPr>
      </w:pPr>
      <w:r>
        <w:rPr>
          <w:lang w:val="en-US"/>
        </w:rPr>
        <w:br w:type="page"/>
      </w:r>
    </w:p>
    <w:p w14:paraId="2C25F1B2" w14:textId="26EC197E" w:rsidR="003C6DD4" w:rsidRPr="008327AB" w:rsidRDefault="003C6DD4" w:rsidP="003C6DD4">
      <w:pPr>
        <w:pStyle w:val="SectionHeading"/>
        <w:rPr>
          <w:lang w:val="en-US"/>
        </w:rPr>
      </w:pPr>
      <w:r>
        <w:rPr>
          <w:lang w:val="en-US"/>
        </w:rPr>
        <w:lastRenderedPageBreak/>
        <w:t>Suggested next steps</w:t>
      </w:r>
    </w:p>
    <w:p w14:paraId="46B60185" w14:textId="1F3F6F4E" w:rsidR="003C6DD4" w:rsidRPr="00835C11" w:rsidRDefault="00005D2B" w:rsidP="003C6DD4">
      <w:pPr>
        <w:rPr>
          <w:rFonts w:cs="National-Book"/>
          <w:color w:val="55565A"/>
          <w:sz w:val="22"/>
          <w:szCs w:val="22"/>
          <w:lang w:val="en-US"/>
        </w:rPr>
      </w:pPr>
      <w:r>
        <w:rPr>
          <w:rFonts w:cs="National-Book"/>
          <w:color w:val="55565A"/>
          <w:sz w:val="22"/>
          <w:szCs w:val="22"/>
          <w:lang w:val="en-US"/>
        </w:rPr>
        <w:t>Implementation or u</w:t>
      </w:r>
      <w:r w:rsidR="003C6DD4" w:rsidRPr="00835C11">
        <w:rPr>
          <w:rFonts w:cs="National-Book"/>
          <w:color w:val="55565A"/>
          <w:sz w:val="22"/>
          <w:szCs w:val="22"/>
          <w:lang w:val="en-US"/>
        </w:rPr>
        <w:t>plift of controls covering:</w:t>
      </w:r>
      <w:r w:rsidR="00580998">
        <w:rPr>
          <w:rFonts w:cs="National-Book"/>
          <w:color w:val="55565A"/>
          <w:sz w:val="22"/>
          <w:szCs w:val="22"/>
          <w:lang w:val="en-US"/>
        </w:rPr>
        <w:br/>
      </w:r>
    </w:p>
    <w:p w14:paraId="4F653813" w14:textId="726327F9" w:rsidR="003C6DD4" w:rsidRDefault="003C6DD4" w:rsidP="003C6DD4">
      <w:pPr>
        <w:pStyle w:val="ListParagraph"/>
        <w:numPr>
          <w:ilvl w:val="0"/>
          <w:numId w:val="10"/>
        </w:numPr>
        <w:spacing w:after="0" w:line="240" w:lineRule="auto"/>
        <w:rPr>
          <w:rFonts w:cs="National-Book"/>
          <w:color w:val="55565A"/>
          <w:lang w:val="en-US"/>
        </w:rPr>
      </w:pPr>
      <w:r w:rsidRPr="00835C11">
        <w:rPr>
          <w:rFonts w:cs="National-Book"/>
          <w:b/>
          <w:bCs/>
          <w:color w:val="55565A"/>
          <w:lang w:val="en-US"/>
        </w:rPr>
        <w:t>Risk management</w:t>
      </w:r>
      <w:r w:rsidRPr="008905B5">
        <w:rPr>
          <w:rFonts w:cs="National-Book"/>
          <w:color w:val="55565A"/>
          <w:lang w:val="en-US"/>
        </w:rPr>
        <w:t xml:space="preserve"> – </w:t>
      </w:r>
      <w:r w:rsidR="008772C3">
        <w:rPr>
          <w:rFonts w:cs="National-Book"/>
          <w:color w:val="55565A"/>
          <w:lang w:val="en-US"/>
        </w:rPr>
        <w:t>e</w:t>
      </w:r>
      <w:r>
        <w:rPr>
          <w:rFonts w:cs="National-Book"/>
          <w:color w:val="55565A"/>
          <w:lang w:val="en-US"/>
        </w:rPr>
        <w:t>nsuring the risks associated with cloud providers are identified and managed for the life of the arrangement</w:t>
      </w:r>
      <w:r w:rsidR="002D5314">
        <w:rPr>
          <w:rFonts w:cs="National-Book"/>
          <w:color w:val="55565A"/>
          <w:lang w:val="en-US"/>
        </w:rPr>
        <w:t>;</w:t>
      </w:r>
    </w:p>
    <w:p w14:paraId="79251082" w14:textId="08816200" w:rsidR="003C6DD4" w:rsidRDefault="003C6DD4" w:rsidP="003C6DD4">
      <w:pPr>
        <w:pStyle w:val="ListParagraph"/>
        <w:numPr>
          <w:ilvl w:val="0"/>
          <w:numId w:val="10"/>
        </w:numPr>
        <w:spacing w:after="0" w:line="240" w:lineRule="auto"/>
        <w:rPr>
          <w:rFonts w:cs="National-Book"/>
          <w:color w:val="55565A"/>
          <w:lang w:val="en-US"/>
        </w:rPr>
      </w:pPr>
      <w:r w:rsidRPr="00835C11">
        <w:rPr>
          <w:rFonts w:cs="National-Book"/>
          <w:b/>
          <w:bCs/>
          <w:color w:val="55565A"/>
          <w:lang w:val="en-US"/>
        </w:rPr>
        <w:t>Third party arrangements</w:t>
      </w:r>
      <w:r w:rsidR="00AF6C3D">
        <w:rPr>
          <w:rFonts w:cs="National-Book"/>
          <w:b/>
          <w:bCs/>
          <w:color w:val="55565A"/>
          <w:lang w:val="en-US"/>
        </w:rPr>
        <w:t xml:space="preserve"> </w:t>
      </w:r>
      <w:r w:rsidR="00AF6C3D">
        <w:rPr>
          <w:rFonts w:cs="National-Book"/>
          <w:color w:val="55565A"/>
          <w:lang w:val="en-US"/>
        </w:rPr>
        <w:t>–</w:t>
      </w:r>
      <w:r>
        <w:rPr>
          <w:rFonts w:cs="National-Book"/>
          <w:color w:val="55565A"/>
          <w:lang w:val="en-US"/>
        </w:rPr>
        <w:t xml:space="preserve"> </w:t>
      </w:r>
      <w:r w:rsidR="008772C3">
        <w:rPr>
          <w:rFonts w:cs="National-Book"/>
          <w:color w:val="55565A"/>
          <w:lang w:val="en-US"/>
        </w:rPr>
        <w:t>e</w:t>
      </w:r>
      <w:r>
        <w:rPr>
          <w:rFonts w:cs="National-Book"/>
          <w:color w:val="55565A"/>
          <w:lang w:val="en-US"/>
        </w:rPr>
        <w:t>nsuring the same methodology is applied to cloud providers as any other service</w:t>
      </w:r>
      <w:r w:rsidR="002D5314">
        <w:rPr>
          <w:rFonts w:cs="National-Book"/>
          <w:color w:val="55565A"/>
          <w:lang w:val="en-US"/>
        </w:rPr>
        <w:t>;</w:t>
      </w:r>
    </w:p>
    <w:p w14:paraId="1DF742BD" w14:textId="20AE84F8" w:rsidR="003C6DD4" w:rsidRDefault="003C6DD4" w:rsidP="003C6DD4">
      <w:pPr>
        <w:pStyle w:val="ListParagraph"/>
        <w:numPr>
          <w:ilvl w:val="0"/>
          <w:numId w:val="10"/>
        </w:numPr>
        <w:spacing w:after="0" w:line="240" w:lineRule="auto"/>
        <w:rPr>
          <w:rFonts w:cs="National-Book"/>
          <w:color w:val="55565A"/>
          <w:lang w:val="en-US"/>
        </w:rPr>
      </w:pPr>
      <w:r w:rsidRPr="00835C11">
        <w:rPr>
          <w:rFonts w:cs="National-Book"/>
          <w:b/>
          <w:bCs/>
          <w:color w:val="55565A"/>
          <w:lang w:val="en-US"/>
        </w:rPr>
        <w:t>Information management</w:t>
      </w:r>
      <w:r>
        <w:rPr>
          <w:rFonts w:cs="National-Book"/>
          <w:color w:val="55565A"/>
          <w:lang w:val="en-US"/>
        </w:rPr>
        <w:t xml:space="preserve"> – </w:t>
      </w:r>
      <w:r w:rsidR="008772C3">
        <w:rPr>
          <w:rFonts w:cs="National-Book"/>
          <w:color w:val="55565A"/>
          <w:lang w:val="en-US"/>
        </w:rPr>
        <w:t>k</w:t>
      </w:r>
      <w:r>
        <w:rPr>
          <w:rFonts w:cs="National-Book"/>
          <w:color w:val="55565A"/>
          <w:lang w:val="en-US"/>
        </w:rPr>
        <w:t>nowing where the organisation’s information is and who has access</w:t>
      </w:r>
      <w:r w:rsidR="002D5314">
        <w:rPr>
          <w:rFonts w:cs="National-Book"/>
          <w:color w:val="55565A"/>
          <w:lang w:val="en-US"/>
        </w:rPr>
        <w:t>; and</w:t>
      </w:r>
    </w:p>
    <w:p w14:paraId="31C81BB6" w14:textId="64D182CC" w:rsidR="003C6DD4" w:rsidRPr="003C6DD4" w:rsidRDefault="003C6DD4" w:rsidP="003C6DD4">
      <w:pPr>
        <w:pStyle w:val="ListParagraph"/>
        <w:numPr>
          <w:ilvl w:val="0"/>
          <w:numId w:val="10"/>
        </w:numPr>
        <w:spacing w:after="0" w:line="240" w:lineRule="auto"/>
        <w:rPr>
          <w:rFonts w:cs="National-Book"/>
          <w:color w:val="55565A"/>
          <w:lang w:val="en-US"/>
        </w:rPr>
      </w:pPr>
      <w:r w:rsidRPr="00835C11">
        <w:rPr>
          <w:rFonts w:cs="National-Book"/>
          <w:b/>
          <w:bCs/>
          <w:color w:val="55565A"/>
          <w:lang w:val="en-US"/>
        </w:rPr>
        <w:t>Incident management</w:t>
      </w:r>
      <w:r>
        <w:rPr>
          <w:rFonts w:cs="National-Book"/>
          <w:color w:val="55565A"/>
          <w:lang w:val="en-US"/>
        </w:rPr>
        <w:t xml:space="preserve"> </w:t>
      </w:r>
      <w:r w:rsidR="00AF6C3D">
        <w:rPr>
          <w:rFonts w:cs="National-Book"/>
          <w:color w:val="55565A"/>
          <w:lang w:val="en-US"/>
        </w:rPr>
        <w:t>–</w:t>
      </w:r>
      <w:r>
        <w:rPr>
          <w:rFonts w:cs="National-Book"/>
          <w:color w:val="55565A"/>
          <w:lang w:val="en-US"/>
        </w:rPr>
        <w:t xml:space="preserve"> </w:t>
      </w:r>
      <w:r w:rsidR="008772C3">
        <w:rPr>
          <w:rFonts w:cs="National-Book"/>
          <w:color w:val="55565A"/>
          <w:lang w:val="en-US"/>
        </w:rPr>
        <w:t>e</w:t>
      </w:r>
      <w:r>
        <w:rPr>
          <w:rFonts w:cs="National-Book"/>
          <w:color w:val="55565A"/>
          <w:lang w:val="en-US"/>
        </w:rPr>
        <w:t>nsuring appropriate incident detection and response processes and plans are in place regardless of where the organisation’s information is.</w:t>
      </w:r>
    </w:p>
    <w:p w14:paraId="64DBE0CB" w14:textId="77777777" w:rsidR="003C6DD4" w:rsidRDefault="003C6DD4" w:rsidP="003C6DD4">
      <w:pPr>
        <w:pStyle w:val="BodyCopy"/>
        <w:rPr>
          <w:b/>
          <w:bCs/>
        </w:rPr>
      </w:pPr>
    </w:p>
    <w:p w14:paraId="624BB71E" w14:textId="77777777" w:rsidR="00115753" w:rsidRPr="00787777" w:rsidRDefault="00115753" w:rsidP="00835C11">
      <w:pPr>
        <w:pStyle w:val="SectionHeading"/>
      </w:pPr>
      <w:r w:rsidRPr="00787777">
        <w:t>More information</w:t>
      </w:r>
    </w:p>
    <w:p w14:paraId="0DBCDEE8" w14:textId="4193F2F4" w:rsidR="001150F8" w:rsidRDefault="00115753" w:rsidP="00115753">
      <w:pPr>
        <w:pStyle w:val="BodyCopy"/>
      </w:pPr>
      <w:r w:rsidRPr="001F3DC9">
        <w:t xml:space="preserve">Contact OVIC at security@ovic.vic.gov.au if you </w:t>
      </w:r>
      <w:r>
        <w:t xml:space="preserve">would like to discuss </w:t>
      </w:r>
      <w:r w:rsidR="00E733C2">
        <w:t xml:space="preserve">this case study </w:t>
      </w:r>
      <w:r>
        <w:t xml:space="preserve">further. </w:t>
      </w:r>
    </w:p>
    <w:p w14:paraId="21C01811" w14:textId="77777777" w:rsidR="00C736EC" w:rsidRPr="0086734F" w:rsidRDefault="00C736EC" w:rsidP="00C736EC">
      <w:pPr>
        <w:pStyle w:val="FurtherInfo"/>
        <w:outlineLvl w:val="0"/>
      </w:pPr>
      <w:r w:rsidRPr="0086734F">
        <w:t>Further Infor</w:t>
      </w:r>
      <w:r w:rsidRPr="00372C3E">
        <w:t>mat</w:t>
      </w:r>
      <w:r w:rsidRPr="0086734F">
        <w:t>ion</w:t>
      </w:r>
    </w:p>
    <w:p w14:paraId="6167F6FA" w14:textId="77777777" w:rsidR="00C736EC" w:rsidRDefault="00C736EC" w:rsidP="00C736EC">
      <w:pPr>
        <w:pStyle w:val="BasicParagraph"/>
        <w:pBdr>
          <w:top w:val="single" w:sz="4" w:space="6" w:color="430098"/>
        </w:pBdr>
        <w:spacing w:after="170"/>
        <w:rPr>
          <w:rFonts w:ascii="PostGrotesk-Medium" w:hAnsi="PostGrotesk-Medium" w:cs="PostGrotesk-Medium"/>
          <w:color w:val="00A5B5"/>
        </w:rPr>
        <w:sectPr w:rsidR="00C736EC" w:rsidSect="00E45B00">
          <w:footerReference w:type="default" r:id="rId15"/>
          <w:headerReference w:type="first" r:id="rId16"/>
          <w:footerReference w:type="first" r:id="rId17"/>
          <w:type w:val="continuous"/>
          <w:pgSz w:w="11900" w:h="16840"/>
          <w:pgMar w:top="1134" w:right="1134" w:bottom="1134" w:left="1134" w:header="1134" w:footer="709" w:gutter="0"/>
          <w:cols w:space="720"/>
          <w:titlePg/>
          <w:docGrid w:linePitch="360"/>
        </w:sectPr>
      </w:pPr>
    </w:p>
    <w:p w14:paraId="6C7AB480" w14:textId="77777777" w:rsidR="00C736EC" w:rsidRPr="00780584" w:rsidRDefault="00C736EC" w:rsidP="00C736EC">
      <w:pPr>
        <w:widowControl w:val="0"/>
        <w:suppressAutoHyphens/>
        <w:autoSpaceDE w:val="0"/>
        <w:autoSpaceDN w:val="0"/>
        <w:adjustRightInd w:val="0"/>
        <w:spacing w:after="120" w:line="288" w:lineRule="auto"/>
        <w:textAlignment w:val="center"/>
        <w:outlineLvl w:val="0"/>
        <w:rPr>
          <w:rFonts w:cs="PostGrotesk-Medium"/>
          <w:b/>
          <w:color w:val="55565A"/>
        </w:rPr>
      </w:pPr>
      <w:r w:rsidRPr="00780584">
        <w:rPr>
          <w:rFonts w:cs="PostGrotesk-Medium"/>
          <w:b/>
          <w:color w:val="55565A"/>
        </w:rPr>
        <w:t>Contact Us</w:t>
      </w:r>
    </w:p>
    <w:p w14:paraId="3A6B90FB" w14:textId="77777777" w:rsidR="00C736EC" w:rsidRPr="00780584" w:rsidRDefault="00C736EC" w:rsidP="00C736EC">
      <w:pPr>
        <w:widowControl w:val="0"/>
        <w:tabs>
          <w:tab w:val="left" w:pos="284"/>
          <w:tab w:val="left" w:pos="709"/>
        </w:tabs>
        <w:suppressAutoHyphens/>
        <w:autoSpaceDE w:val="0"/>
        <w:autoSpaceDN w:val="0"/>
        <w:adjustRightInd w:val="0"/>
        <w:spacing w:after="240"/>
        <w:textAlignment w:val="center"/>
        <w:rPr>
          <w:rFonts w:cs="PostGrotesk-Book"/>
          <w:color w:val="55565A"/>
          <w:sz w:val="22"/>
          <w:szCs w:val="22"/>
        </w:rPr>
      </w:pPr>
      <w:r w:rsidRPr="00780584">
        <w:rPr>
          <w:rFonts w:cs="PostGrotesk-Book"/>
          <w:b/>
          <w:color w:val="430098"/>
          <w:sz w:val="22"/>
          <w:szCs w:val="22"/>
        </w:rPr>
        <w:t>t:</w:t>
      </w:r>
      <w:r w:rsidRPr="00780584">
        <w:rPr>
          <w:rFonts w:cs="PostGrotesk-Book"/>
          <w:color w:val="55565A"/>
          <w:sz w:val="22"/>
          <w:szCs w:val="22"/>
        </w:rPr>
        <w:tab/>
        <w:t xml:space="preserve">1300 00 6842 </w:t>
      </w:r>
      <w:r w:rsidRPr="00780584">
        <w:rPr>
          <w:rFonts w:cs="PostGrotesk-Book"/>
          <w:color w:val="55565A"/>
          <w:sz w:val="22"/>
          <w:szCs w:val="22"/>
        </w:rPr>
        <w:br/>
      </w:r>
      <w:r w:rsidRPr="00780584">
        <w:rPr>
          <w:rFonts w:cs="PostGrotesk-Book"/>
          <w:b/>
          <w:color w:val="430098"/>
          <w:sz w:val="22"/>
          <w:szCs w:val="22"/>
        </w:rPr>
        <w:t>e:</w:t>
      </w:r>
      <w:r w:rsidRPr="00780584">
        <w:rPr>
          <w:rFonts w:cs="PostGrotesk-Book"/>
          <w:color w:val="55565A"/>
          <w:sz w:val="22"/>
          <w:szCs w:val="22"/>
        </w:rPr>
        <w:tab/>
      </w:r>
      <w:r w:rsidR="00115753">
        <w:rPr>
          <w:rFonts w:cs="PostGrotesk-Book"/>
          <w:color w:val="55565A"/>
          <w:sz w:val="22"/>
          <w:szCs w:val="22"/>
        </w:rPr>
        <w:t>security</w:t>
      </w:r>
      <w:r w:rsidRPr="00780584">
        <w:rPr>
          <w:rFonts w:cs="PostGrotesk-Book"/>
          <w:color w:val="55565A"/>
          <w:sz w:val="22"/>
          <w:szCs w:val="22"/>
        </w:rPr>
        <w:t>@ovic.vic.gov.au</w:t>
      </w:r>
      <w:r w:rsidRPr="00780584">
        <w:rPr>
          <w:rFonts w:cs="PostGrotesk-Book"/>
          <w:color w:val="55565A"/>
          <w:sz w:val="22"/>
          <w:szCs w:val="22"/>
        </w:rPr>
        <w:br/>
      </w:r>
      <w:r w:rsidRPr="00780584">
        <w:rPr>
          <w:rFonts w:cs="PostGrotesk-Book"/>
          <w:b/>
          <w:color w:val="430098"/>
          <w:sz w:val="22"/>
          <w:szCs w:val="22"/>
        </w:rPr>
        <w:t>w:</w:t>
      </w:r>
      <w:r w:rsidRPr="00780584">
        <w:rPr>
          <w:rFonts w:cs="PostGrotesk-Book"/>
          <w:color w:val="55565A"/>
          <w:sz w:val="22"/>
          <w:szCs w:val="22"/>
        </w:rPr>
        <w:tab/>
        <w:t>ovic.vic.gov.au</w:t>
      </w:r>
      <w:r>
        <w:rPr>
          <w:rFonts w:cs="PostGrotesk-Book"/>
          <w:color w:val="55565A"/>
          <w:sz w:val="22"/>
          <w:szCs w:val="22"/>
        </w:rPr>
        <w:br w:type="column"/>
      </w:r>
      <w:r w:rsidRPr="00780584">
        <w:rPr>
          <w:rFonts w:cs="PostGrotesk-Medium"/>
          <w:b/>
          <w:color w:val="55565A"/>
        </w:rPr>
        <w:t xml:space="preserve">Disclaimer </w:t>
      </w:r>
    </w:p>
    <w:p w14:paraId="4BA5B809" w14:textId="77777777" w:rsidR="00C736EC" w:rsidRPr="00E733C2" w:rsidRDefault="00C736EC" w:rsidP="00C736EC">
      <w:pPr>
        <w:widowControl w:val="0"/>
        <w:suppressAutoHyphens/>
        <w:autoSpaceDE w:val="0"/>
        <w:autoSpaceDN w:val="0"/>
        <w:adjustRightInd w:val="0"/>
        <w:textAlignment w:val="center"/>
        <w:rPr>
          <w:rFonts w:cs="PostGrotesk-Book"/>
          <w:color w:val="55565A"/>
          <w:sz w:val="16"/>
          <w:szCs w:val="16"/>
        </w:rPr>
      </w:pPr>
      <w:r w:rsidRPr="00780584">
        <w:rPr>
          <w:rFonts w:cs="PostGrotesk-Book"/>
          <w:color w:val="55565A"/>
          <w:sz w:val="16"/>
          <w:szCs w:val="22"/>
        </w:rPr>
        <w:t xml:space="preserve">This </w:t>
      </w:r>
      <w:r w:rsidR="00D06EC6">
        <w:rPr>
          <w:rFonts w:cs="PostGrotesk-Book"/>
          <w:color w:val="55565A"/>
          <w:sz w:val="16"/>
          <w:szCs w:val="22"/>
        </w:rPr>
        <w:t>case study</w:t>
      </w:r>
      <w:r w:rsidRPr="00780584">
        <w:rPr>
          <w:rFonts w:cs="PostGrotesk-Book"/>
          <w:color w:val="55565A"/>
          <w:sz w:val="16"/>
          <w:szCs w:val="22"/>
        </w:rPr>
        <w:t xml:space="preserve"> does not constitute legal advice and should not be used as a substitute for applying the provisions of the </w:t>
      </w:r>
      <w:r w:rsidR="00E733C2">
        <w:rPr>
          <w:rFonts w:cs="PostGrotesk-Book"/>
          <w:color w:val="55565A"/>
          <w:sz w:val="16"/>
          <w:szCs w:val="22"/>
        </w:rPr>
        <w:t xml:space="preserve">Privacy and Data Protection </w:t>
      </w:r>
      <w:r w:rsidRPr="00780584">
        <w:rPr>
          <w:rFonts w:cs="PostGrotesk-Book"/>
          <w:color w:val="55565A"/>
          <w:sz w:val="16"/>
          <w:szCs w:val="22"/>
        </w:rPr>
        <w:t xml:space="preserve">Act </w:t>
      </w:r>
      <w:r w:rsidR="00E733C2">
        <w:rPr>
          <w:rFonts w:cs="PostGrotesk-Book"/>
          <w:color w:val="55565A"/>
          <w:sz w:val="16"/>
          <w:szCs w:val="22"/>
        </w:rPr>
        <w:t>2014</w:t>
      </w:r>
      <w:r w:rsidRPr="00780584">
        <w:rPr>
          <w:rFonts w:cs="PostGrotesk-Book"/>
          <w:color w:val="55565A"/>
          <w:sz w:val="16"/>
          <w:szCs w:val="22"/>
        </w:rPr>
        <w:t>, or any other legal requirement, to individual cases</w:t>
      </w:r>
      <w:r w:rsidRPr="00780584">
        <w:rPr>
          <w:rFonts w:cs="PostGrotesk-Book"/>
          <w:color w:val="55565A"/>
          <w:sz w:val="18"/>
          <w:szCs w:val="22"/>
        </w:rPr>
        <w:t>.</w:t>
      </w:r>
    </w:p>
    <w:p w14:paraId="2F921CB8" w14:textId="77777777" w:rsidR="00C736EC" w:rsidRPr="00E733C2" w:rsidRDefault="00C736EC" w:rsidP="00C736EC">
      <w:pPr>
        <w:pStyle w:val="Disclaimer"/>
        <w:rPr>
          <w:sz w:val="16"/>
          <w:szCs w:val="16"/>
        </w:rPr>
      </w:pPr>
    </w:p>
    <w:p w14:paraId="13648475" w14:textId="77777777" w:rsidR="00E733C2" w:rsidRPr="00E733C2" w:rsidRDefault="00E733C2" w:rsidP="00E733C2">
      <w:pPr>
        <w:pStyle w:val="BodyCopy"/>
        <w:rPr>
          <w:sz w:val="16"/>
          <w:szCs w:val="16"/>
        </w:rPr>
      </w:pPr>
      <w:r w:rsidRPr="00E733C2">
        <w:rPr>
          <w:sz w:val="16"/>
          <w:szCs w:val="16"/>
        </w:rPr>
        <w:t xml:space="preserve">Please note that the events depicted in this case study are </w:t>
      </w:r>
      <w:r>
        <w:rPr>
          <w:sz w:val="16"/>
          <w:szCs w:val="16"/>
        </w:rPr>
        <w:t xml:space="preserve">based on actual events, however the characters are </w:t>
      </w:r>
      <w:r w:rsidRPr="00E733C2">
        <w:rPr>
          <w:sz w:val="16"/>
          <w:szCs w:val="16"/>
        </w:rPr>
        <w:t>purely fictional and any similarity to any person living or dead is merely coincidental.</w:t>
      </w:r>
    </w:p>
    <w:p w14:paraId="123A262B" w14:textId="77777777" w:rsidR="00C736EC" w:rsidRDefault="00C736EC" w:rsidP="00C736EC">
      <w:pPr>
        <w:pStyle w:val="SectionHeading1"/>
        <w:outlineLvl w:val="0"/>
        <w:sectPr w:rsidR="00C736EC" w:rsidSect="00C736EC">
          <w:headerReference w:type="first" r:id="rId18"/>
          <w:footerReference w:type="first" r:id="rId19"/>
          <w:type w:val="continuous"/>
          <w:pgSz w:w="11900" w:h="16840"/>
          <w:pgMar w:top="1134" w:right="1134" w:bottom="1134" w:left="1134" w:header="1134" w:footer="510" w:gutter="0"/>
          <w:cols w:num="2" w:space="720"/>
          <w:titlePg/>
          <w:docGrid w:linePitch="360"/>
        </w:sectPr>
      </w:pPr>
    </w:p>
    <w:p w14:paraId="5BD6F2CC" w14:textId="77777777" w:rsidR="000677DA" w:rsidRDefault="000677DA" w:rsidP="00C736EC">
      <w:pPr>
        <w:pStyle w:val="SectionHeading1"/>
        <w:outlineLvl w:val="0"/>
      </w:pPr>
    </w:p>
    <w:sectPr w:rsidR="000677DA" w:rsidSect="009236D4">
      <w:type w:val="continuous"/>
      <w:pgSz w:w="11900" w:h="16840"/>
      <w:pgMar w:top="1134" w:right="1134" w:bottom="1134" w:left="1134" w:header="113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432721" w14:textId="77777777" w:rsidR="00DC3A3E" w:rsidRDefault="00DC3A3E" w:rsidP="00B53C78">
      <w:r>
        <w:separator/>
      </w:r>
    </w:p>
  </w:endnote>
  <w:endnote w:type="continuationSeparator" w:id="0">
    <w:p w14:paraId="225EC1D3" w14:textId="77777777" w:rsidR="00DC3A3E" w:rsidRDefault="00DC3A3E" w:rsidP="00B5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charset w:val="00"/>
    <w:family w:val="auto"/>
    <w:pitch w:val="variable"/>
    <w:sig w:usb0="00000001" w:usb1="00000001" w:usb2="00000000" w:usb3="00000000" w:csb0="0000019F" w:csb1="00000000"/>
  </w:font>
  <w:font w:name="PostGrotesk-Book">
    <w:altName w:val="Times New Roman"/>
    <w:charset w:val="00"/>
    <w:family w:val="auto"/>
    <w:pitch w:val="variable"/>
    <w:sig w:usb0="00000001" w:usb1="500160FB" w:usb2="00000000" w:usb3="00000000" w:csb0="0000009B" w:csb1="00000000"/>
  </w:font>
  <w:font w:name="PostGrotesk-Medium">
    <w:altName w:val="Times New Roman"/>
    <w:charset w:val="00"/>
    <w:family w:val="auto"/>
    <w:pitch w:val="variable"/>
    <w:sig w:usb0="00000001" w:usb1="5001607B" w:usb2="00000000" w:usb3="00000000" w:csb0="00000193" w:csb1="00000000"/>
  </w:font>
  <w:font w:name="Arial">
    <w:panose1 w:val="020B0604020202020204"/>
    <w:charset w:val="00"/>
    <w:family w:val="swiss"/>
    <w:pitch w:val="variable"/>
    <w:sig w:usb0="E0002EFF" w:usb1="C000785B" w:usb2="00000009" w:usb3="00000000" w:csb0="000001FF" w:csb1="00000000"/>
  </w:font>
  <w:font w:name="National-Book">
    <w:altName w:val="Times New Roman"/>
    <w:charset w:val="00"/>
    <w:family w:val="auto"/>
    <w:pitch w:val="variable"/>
    <w:sig w:usb0="00000001"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4546172"/>
      <w:docPartObj>
        <w:docPartGallery w:val="Page Numbers (Bottom of Page)"/>
        <w:docPartUnique/>
      </w:docPartObj>
    </w:sdtPr>
    <w:sdtEndPr>
      <w:rPr>
        <w:rStyle w:val="PageNumber"/>
      </w:rPr>
    </w:sdtEndPr>
    <w:sdtContent>
      <w:p w14:paraId="00FA56FB" w14:textId="77777777" w:rsidR="00CF3A2F" w:rsidRDefault="00CF3A2F" w:rsidP="009972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E78200" w14:textId="77777777" w:rsidR="00CF3A2F" w:rsidRDefault="00CF3A2F" w:rsidP="00CF3A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1788B" w14:textId="77777777" w:rsidR="008B4992" w:rsidRPr="00F4301B" w:rsidRDefault="00ED7EF6" w:rsidP="00F4301B">
    <w:pPr>
      <w:pStyle w:val="Footer"/>
      <w:jc w:val="right"/>
      <w:rPr>
        <w:sz w:val="22"/>
      </w:rPr>
    </w:pPr>
    <w:r w:rsidRPr="00F4301B">
      <w:rPr>
        <w:rFonts w:cs="Arial"/>
        <w:sz w:val="20"/>
      </w:rPr>
      <w:t xml:space="preserve">Freedom of Information </w:t>
    </w:r>
    <w:r w:rsidRPr="00F4301B">
      <w:rPr>
        <w:rFonts w:cs="Arial"/>
        <w:color w:val="E5007D"/>
        <w:sz w:val="20"/>
      </w:rPr>
      <w:t>|</w:t>
    </w:r>
    <w:r w:rsidRPr="00F4301B">
      <w:rPr>
        <w:rFonts w:cs="Arial"/>
        <w:sz w:val="20"/>
      </w:rPr>
      <w:t xml:space="preserve"> Privacy </w:t>
    </w:r>
    <w:r w:rsidRPr="00F4301B">
      <w:rPr>
        <w:rFonts w:cs="Arial"/>
        <w:color w:val="E5007D"/>
        <w:sz w:val="20"/>
      </w:rPr>
      <w:t>|</w:t>
    </w:r>
    <w:r w:rsidRPr="00F4301B">
      <w:rPr>
        <w:rFonts w:cs="Arial"/>
        <w:sz w:val="20"/>
      </w:rPr>
      <w:t xml:space="preserve"> Data Protection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93519" w14:textId="77777777" w:rsidR="00CE7458" w:rsidRPr="009C5614" w:rsidRDefault="00ED7EF6" w:rsidP="00CF3A2F">
    <w:pPr>
      <w:pStyle w:val="Footer"/>
      <w:spacing w:before="120"/>
    </w:pPr>
    <w:r w:rsidRPr="009C5614">
      <w:rPr>
        <w:rFonts w:cs="Arial"/>
        <w:sz w:val="20"/>
      </w:rPr>
      <w:t xml:space="preserve">Freedom of Information </w:t>
    </w:r>
    <w:r w:rsidRPr="009C5614">
      <w:rPr>
        <w:rFonts w:cs="Arial"/>
        <w:color w:val="E5007D"/>
        <w:sz w:val="20"/>
      </w:rPr>
      <w:t>|</w:t>
    </w:r>
    <w:r w:rsidRPr="009C5614">
      <w:rPr>
        <w:rFonts w:cs="Arial"/>
        <w:sz w:val="20"/>
      </w:rPr>
      <w:t xml:space="preserve"> Privacy </w:t>
    </w:r>
    <w:r w:rsidRPr="009C5614">
      <w:rPr>
        <w:rFonts w:cs="Arial"/>
        <w:color w:val="E5007D"/>
        <w:sz w:val="20"/>
      </w:rPr>
      <w:t>|</w:t>
    </w:r>
    <w:r w:rsidRPr="009C5614">
      <w:rPr>
        <w:rFonts w:cs="Arial"/>
        <w:sz w:val="20"/>
      </w:rPr>
      <w:t xml:space="preserve"> Data Protection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68107435"/>
      <w:docPartObj>
        <w:docPartGallery w:val="Page Numbers (Bottom of Page)"/>
        <w:docPartUnique/>
      </w:docPartObj>
    </w:sdtPr>
    <w:sdtEndPr>
      <w:rPr>
        <w:rStyle w:val="PageNumber"/>
        <w:sz w:val="20"/>
        <w:szCs w:val="20"/>
      </w:rPr>
    </w:sdtEndPr>
    <w:sdtContent>
      <w:p w14:paraId="409A9675" w14:textId="77777777" w:rsidR="00CF3A2F" w:rsidRPr="00CF3A2F" w:rsidRDefault="00CF3A2F" w:rsidP="00CF3A2F">
        <w:pPr>
          <w:pStyle w:val="Footer"/>
          <w:framePr w:wrap="none" w:vAnchor="text" w:hAnchor="margin" w:xAlign="right" w:y="1"/>
          <w:spacing w:before="120"/>
          <w:rPr>
            <w:rStyle w:val="PageNumber"/>
            <w:sz w:val="20"/>
            <w:szCs w:val="20"/>
          </w:rPr>
        </w:pPr>
        <w:r w:rsidRPr="00CF3A2F">
          <w:rPr>
            <w:rStyle w:val="PageNumber"/>
            <w:sz w:val="20"/>
            <w:szCs w:val="20"/>
          </w:rPr>
          <w:fldChar w:fldCharType="begin"/>
        </w:r>
        <w:r w:rsidRPr="00CF3A2F">
          <w:rPr>
            <w:rStyle w:val="PageNumber"/>
            <w:sz w:val="20"/>
            <w:szCs w:val="20"/>
          </w:rPr>
          <w:instrText xml:space="preserve"> PAGE </w:instrText>
        </w:r>
        <w:r w:rsidRPr="00CF3A2F">
          <w:rPr>
            <w:rStyle w:val="PageNumber"/>
            <w:sz w:val="20"/>
            <w:szCs w:val="20"/>
          </w:rPr>
          <w:fldChar w:fldCharType="separate"/>
        </w:r>
        <w:r w:rsidRPr="00CF3A2F">
          <w:rPr>
            <w:rStyle w:val="PageNumber"/>
            <w:noProof/>
            <w:sz w:val="20"/>
            <w:szCs w:val="20"/>
          </w:rPr>
          <w:t>2</w:t>
        </w:r>
        <w:r w:rsidRPr="00CF3A2F">
          <w:rPr>
            <w:rStyle w:val="PageNumber"/>
            <w:sz w:val="20"/>
            <w:szCs w:val="20"/>
          </w:rPr>
          <w:fldChar w:fldCharType="end"/>
        </w:r>
      </w:p>
    </w:sdtContent>
  </w:sdt>
  <w:p w14:paraId="058ACF7D" w14:textId="77777777" w:rsidR="00C736EC" w:rsidRDefault="00CF3A2F" w:rsidP="00CF3A2F">
    <w:pPr>
      <w:pStyle w:val="Footer"/>
      <w:spacing w:before="120"/>
      <w:ind w:right="360"/>
    </w:pPr>
    <w:r w:rsidRPr="009C5614">
      <w:rPr>
        <w:rFonts w:cs="Arial"/>
        <w:sz w:val="20"/>
      </w:rPr>
      <w:t xml:space="preserve">Freedom of Information </w:t>
    </w:r>
    <w:r w:rsidRPr="009C5614">
      <w:rPr>
        <w:rFonts w:cs="Arial"/>
        <w:color w:val="E5007D"/>
        <w:sz w:val="20"/>
      </w:rPr>
      <w:t>|</w:t>
    </w:r>
    <w:r w:rsidRPr="009C5614">
      <w:rPr>
        <w:rFonts w:cs="Arial"/>
        <w:sz w:val="20"/>
      </w:rPr>
      <w:t xml:space="preserve"> Privacy </w:t>
    </w:r>
    <w:r w:rsidRPr="009C5614">
      <w:rPr>
        <w:rFonts w:cs="Arial"/>
        <w:color w:val="E5007D"/>
        <w:sz w:val="20"/>
      </w:rPr>
      <w:t>|</w:t>
    </w:r>
    <w:r w:rsidRPr="009C5614">
      <w:rPr>
        <w:rFonts w:cs="Arial"/>
        <w:sz w:val="20"/>
      </w:rPr>
      <w:t xml:space="preserve"> Data Protection</w:t>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B68D4" w14:textId="77777777" w:rsidR="00C736EC" w:rsidRDefault="008536E9" w:rsidP="00D70A8A">
    <w:pPr>
      <w:pStyle w:val="Footer"/>
      <w:spacing w:before="120"/>
    </w:pPr>
    <w:r>
      <w:rPr>
        <w:noProof/>
        <w:lang w:val="en-AU" w:eastAsia="en-AU"/>
      </w:rPr>
      <w:drawing>
        <wp:inline distT="0" distB="0" distL="0" distR="0" wp14:anchorId="3B686638" wp14:editId="2F264E36">
          <wp:extent cx="3339465" cy="179070"/>
          <wp:effectExtent l="0" t="0" r="0" b="0"/>
          <wp:docPr id="26" name="Picture 26" descr="tagline_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gline_factshe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9465" cy="17907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8294A" w14:textId="77777777" w:rsidR="00BD07DC" w:rsidRDefault="00BD07DC" w:rsidP="00BD07DC">
    <w:pPr>
      <w:pStyle w:val="Footer"/>
      <w:spacing w:before="240"/>
    </w:pPr>
    <w:r w:rsidRPr="00B60B75">
      <w:t xml:space="preserve">Freedom of Information </w:t>
    </w:r>
    <w:r w:rsidRPr="006A02A9">
      <w:rPr>
        <w:color w:val="E5007D"/>
      </w:rPr>
      <w:t>|</w:t>
    </w:r>
    <w:r w:rsidRPr="00B60B75">
      <w:t xml:space="preserve"> Privacy </w:t>
    </w:r>
    <w:r w:rsidRPr="006A02A9">
      <w:rPr>
        <w:color w:val="E5007D"/>
      </w:rPr>
      <w:t>|</w:t>
    </w:r>
    <w:r w:rsidRPr="00B60B75">
      <w:t xml:space="preserve"> </w:t>
    </w:r>
    <w:r w:rsidRPr="00BD07DC">
      <w:t>Data Protection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92B0D" w14:textId="77777777" w:rsidR="00DC3A3E" w:rsidRDefault="00DC3A3E" w:rsidP="00B53C78">
      <w:r>
        <w:separator/>
      </w:r>
    </w:p>
  </w:footnote>
  <w:footnote w:type="continuationSeparator" w:id="0">
    <w:p w14:paraId="6AA3A11E" w14:textId="77777777" w:rsidR="00DC3A3E" w:rsidRDefault="00DC3A3E" w:rsidP="00B53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016A4" w14:textId="77777777" w:rsidR="00C736EC" w:rsidRPr="00D70A8A" w:rsidRDefault="008536E9" w:rsidP="00C736EC">
    <w:pPr>
      <w:pStyle w:val="Header"/>
      <w:tabs>
        <w:tab w:val="clear" w:pos="4513"/>
        <w:tab w:val="clear" w:pos="9026"/>
        <w:tab w:val="left" w:pos="6946"/>
      </w:tabs>
      <w:spacing w:after="180"/>
      <w:rPr>
        <w:color w:val="7F7F7F"/>
        <w:sz w:val="26"/>
        <w:szCs w:val="26"/>
      </w:rPr>
    </w:pPr>
    <w:r>
      <w:rPr>
        <w:noProof/>
        <w:color w:val="7F7F7F"/>
        <w:sz w:val="28"/>
        <w:szCs w:val="28"/>
        <w:lang w:val="en-AU" w:eastAsia="en-AU"/>
      </w:rPr>
      <w:drawing>
        <wp:anchor distT="0" distB="0" distL="114300" distR="114300" simplePos="0" relativeHeight="251658240" behindDoc="1" locked="0" layoutInCell="1" allowOverlap="1" wp14:anchorId="5F112DDA" wp14:editId="3118F437">
          <wp:simplePos x="0" y="0"/>
          <wp:positionH relativeFrom="column">
            <wp:posOffset>6350</wp:posOffset>
          </wp:positionH>
          <wp:positionV relativeFrom="paragraph">
            <wp:posOffset>-47625</wp:posOffset>
          </wp:positionV>
          <wp:extent cx="1565910" cy="720090"/>
          <wp:effectExtent l="0" t="0" r="0" b="3810"/>
          <wp:wrapThrough wrapText="bothSides">
            <wp:wrapPolygon edited="0">
              <wp:start x="0" y="0"/>
              <wp:lineTo x="0" y="21143"/>
              <wp:lineTo x="21285" y="21143"/>
              <wp:lineTo x="21285" y="0"/>
              <wp:lineTo x="0" y="0"/>
            </wp:wrapPolygon>
          </wp:wrapThrough>
          <wp:docPr id="6" name="Picture 6" descr="2056_OVIC_Logo_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56_OVIC_Logo_v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591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C78" w:rsidRPr="00B37C5F">
      <w:rPr>
        <w:color w:val="7F7F7F"/>
        <w:sz w:val="28"/>
        <w:szCs w:val="28"/>
      </w:rPr>
      <w:tab/>
    </w:r>
    <w:r w:rsidR="00C736EC" w:rsidRPr="00D70A8A">
      <w:rPr>
        <w:color w:val="555559"/>
        <w:sz w:val="26"/>
        <w:szCs w:val="26"/>
      </w:rPr>
      <w:t>INFORMATION FOR</w:t>
    </w:r>
    <w:r w:rsidR="00C736EC" w:rsidRPr="00D70A8A">
      <w:rPr>
        <w:color w:val="7F7F7F"/>
        <w:sz w:val="26"/>
        <w:szCs w:val="26"/>
      </w:rPr>
      <w:br/>
    </w:r>
    <w:r w:rsidR="00C736EC" w:rsidRPr="00D70A8A">
      <w:rPr>
        <w:color w:val="7F7F7F"/>
        <w:sz w:val="26"/>
        <w:szCs w:val="26"/>
      </w:rPr>
      <w:tab/>
    </w:r>
    <w:r w:rsidR="00C736EC" w:rsidRPr="00D70A8A">
      <w:rPr>
        <w:color w:val="430098"/>
        <w:sz w:val="26"/>
        <w:szCs w:val="26"/>
      </w:rPr>
      <w:t>A</w:t>
    </w:r>
    <w:r w:rsidR="00CF3A2F">
      <w:rPr>
        <w:color w:val="430098"/>
        <w:sz w:val="26"/>
        <w:szCs w:val="26"/>
      </w:rPr>
      <w:t>GENCIES</w:t>
    </w:r>
    <w:r w:rsidR="00115753">
      <w:rPr>
        <w:color w:val="430098"/>
        <w:sz w:val="26"/>
        <w:szCs w:val="26"/>
      </w:rPr>
      <w:t xml:space="preserve"> and </w:t>
    </w:r>
    <w:r w:rsidR="00D06EC6">
      <w:rPr>
        <w:color w:val="430098"/>
        <w:sz w:val="26"/>
        <w:szCs w:val="26"/>
      </w:rPr>
      <w:t>B</w:t>
    </w:r>
    <w:r w:rsidR="00CF3A2F">
      <w:rPr>
        <w:color w:val="430098"/>
        <w:sz w:val="26"/>
        <w:szCs w:val="26"/>
      </w:rPr>
      <w:t>ODIES</w:t>
    </w:r>
  </w:p>
  <w:p w14:paraId="55215F34" w14:textId="77777777" w:rsidR="00C736EC" w:rsidRPr="00B37C5F" w:rsidRDefault="00C736EC" w:rsidP="00C736EC">
    <w:pPr>
      <w:pStyle w:val="Header"/>
      <w:tabs>
        <w:tab w:val="clear" w:pos="4513"/>
        <w:tab w:val="left" w:pos="6946"/>
      </w:tabs>
      <w:spacing w:after="60"/>
      <w:rPr>
        <w:color w:val="7F7F7F"/>
        <w:sz w:val="20"/>
        <w:szCs w:val="20"/>
      </w:rPr>
    </w:pPr>
    <w:r w:rsidRPr="00B37C5F">
      <w:rPr>
        <w:color w:val="7F7F7F"/>
        <w:sz w:val="20"/>
        <w:szCs w:val="20"/>
      </w:rPr>
      <w:tab/>
    </w:r>
    <w:r w:rsidRPr="00B37C5F">
      <w:rPr>
        <w:color w:val="7F7F7F"/>
        <w:sz w:val="20"/>
        <w:szCs w:val="20"/>
      </w:rPr>
      <w:tab/>
    </w:r>
    <w:r w:rsidRPr="00064688">
      <w:rPr>
        <w:color w:val="555559"/>
        <w:sz w:val="20"/>
        <w:szCs w:val="20"/>
      </w:rPr>
      <w:t>1300 00 6842 | ovic.</w:t>
    </w:r>
    <w:r>
      <w:rPr>
        <w:color w:val="555559"/>
        <w:sz w:val="20"/>
        <w:szCs w:val="20"/>
      </w:rPr>
      <w:t>vic.gov</w:t>
    </w:r>
    <w:r w:rsidRPr="00064688">
      <w:rPr>
        <w:color w:val="555559"/>
        <w:sz w:val="20"/>
        <w:szCs w:val="20"/>
      </w:rPr>
      <w:t>.au</w:t>
    </w:r>
  </w:p>
  <w:p w14:paraId="7C4E2E9F" w14:textId="77777777" w:rsidR="00B53C78" w:rsidRPr="00B37C5F" w:rsidRDefault="008536E9" w:rsidP="00C736EC">
    <w:pPr>
      <w:pStyle w:val="Header"/>
      <w:tabs>
        <w:tab w:val="clear" w:pos="4513"/>
        <w:tab w:val="clear" w:pos="9026"/>
        <w:tab w:val="left" w:pos="6946"/>
      </w:tabs>
      <w:spacing w:after="180"/>
      <w:rPr>
        <w:color w:val="7F7F7F"/>
        <w:sz w:val="20"/>
        <w:szCs w:val="20"/>
      </w:rPr>
    </w:pPr>
    <w:r>
      <w:rPr>
        <w:noProof/>
        <w:lang w:val="en-AU" w:eastAsia="en-AU"/>
      </w:rPr>
      <w:drawing>
        <wp:anchor distT="0" distB="0" distL="114300" distR="114300" simplePos="0" relativeHeight="251657216" behindDoc="0" locked="0" layoutInCell="1" allowOverlap="1" wp14:anchorId="255DAAAA" wp14:editId="1568F694">
          <wp:simplePos x="0" y="0"/>
          <wp:positionH relativeFrom="column">
            <wp:posOffset>-20955</wp:posOffset>
          </wp:positionH>
          <wp:positionV relativeFrom="paragraph">
            <wp:posOffset>172085</wp:posOffset>
          </wp:positionV>
          <wp:extent cx="6119495" cy="70485"/>
          <wp:effectExtent l="0" t="0" r="0" b="5715"/>
          <wp:wrapNone/>
          <wp:docPr id="5" name="Picture 5" descr="gradient%20line_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20line_th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9495" cy="7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F76B5" w14:textId="77777777" w:rsidR="00C736EC" w:rsidRPr="002F0938" w:rsidRDefault="00F54C63" w:rsidP="00C736EC">
    <w:pPr>
      <w:pStyle w:val="DocumentTitle"/>
      <w:spacing w:before="475"/>
      <w:rPr>
        <w:sz w:val="36"/>
        <w:szCs w:val="36"/>
      </w:rPr>
    </w:pPr>
    <w:r>
      <w:rPr>
        <w:sz w:val="36"/>
        <w:szCs w:val="36"/>
      </w:rPr>
      <w:t>C</w:t>
    </w:r>
    <w:r w:rsidR="00115753">
      <w:rPr>
        <w:sz w:val="36"/>
        <w:szCs w:val="36"/>
      </w:rPr>
      <w:t xml:space="preserve">ase </w:t>
    </w:r>
    <w:r>
      <w:rPr>
        <w:sz w:val="36"/>
        <w:szCs w:val="36"/>
      </w:rPr>
      <w:t>s</w:t>
    </w:r>
    <w:r w:rsidR="00115753">
      <w:rPr>
        <w:sz w:val="36"/>
        <w:szCs w:val="36"/>
      </w:rPr>
      <w:t>tudy</w:t>
    </w:r>
    <w:r w:rsidR="00BA27F9">
      <w:rPr>
        <w:sz w:val="36"/>
        <w:szCs w:val="36"/>
      </w:rPr>
      <w:t xml:space="preserve"> – Cloud Security</w:t>
    </w:r>
  </w:p>
  <w:p w14:paraId="0F59DBCB" w14:textId="46B57C44" w:rsidR="00B53C78" w:rsidRPr="00F87792" w:rsidRDefault="00115753" w:rsidP="00115753">
    <w:pPr>
      <w:pStyle w:val="Header"/>
      <w:tabs>
        <w:tab w:val="left" w:pos="6946"/>
      </w:tabs>
      <w:spacing w:after="120"/>
      <w:rPr>
        <w:rFonts w:ascii="Arial" w:hAnsi="Arial" w:cs="Arial"/>
        <w:color w:val="555559"/>
        <w:sz w:val="30"/>
        <w:szCs w:val="30"/>
      </w:rPr>
    </w:pPr>
    <w:r w:rsidRPr="00115753">
      <w:rPr>
        <w:rFonts w:ascii="Arial" w:hAnsi="Arial" w:cs="Arial"/>
        <w:color w:val="555559"/>
        <w:sz w:val="30"/>
        <w:szCs w:val="30"/>
      </w:rPr>
      <w:t xml:space="preserve">When </w:t>
    </w:r>
    <w:r>
      <w:rPr>
        <w:rFonts w:ascii="Arial" w:hAnsi="Arial" w:cs="Arial"/>
        <w:color w:val="555559"/>
        <w:sz w:val="30"/>
        <w:szCs w:val="30"/>
      </w:rPr>
      <w:t>t</w:t>
    </w:r>
    <w:r w:rsidRPr="00115753">
      <w:rPr>
        <w:rFonts w:ascii="Arial" w:hAnsi="Arial" w:cs="Arial"/>
        <w:color w:val="555559"/>
        <w:sz w:val="30"/>
        <w:szCs w:val="30"/>
      </w:rPr>
      <w:t xml:space="preserve">he </w:t>
    </w:r>
    <w:r w:rsidR="006D100D">
      <w:rPr>
        <w:rFonts w:ascii="Arial" w:hAnsi="Arial" w:cs="Arial"/>
        <w:color w:val="555559"/>
        <w:sz w:val="30"/>
        <w:szCs w:val="30"/>
      </w:rPr>
      <w:t>c</w:t>
    </w:r>
    <w:r w:rsidR="006D100D" w:rsidRPr="00115753">
      <w:rPr>
        <w:rFonts w:ascii="Arial" w:hAnsi="Arial" w:cs="Arial"/>
        <w:color w:val="555559"/>
        <w:sz w:val="30"/>
        <w:szCs w:val="30"/>
      </w:rPr>
      <w:t>loud-based</w:t>
    </w:r>
    <w:r w:rsidRPr="00115753">
      <w:rPr>
        <w:rFonts w:ascii="Arial" w:hAnsi="Arial" w:cs="Arial"/>
        <w:color w:val="555559"/>
        <w:sz w:val="30"/>
        <w:szCs w:val="30"/>
      </w:rPr>
      <w:t xml:space="preserve"> </w:t>
    </w:r>
    <w:r>
      <w:rPr>
        <w:rFonts w:ascii="Arial" w:hAnsi="Arial" w:cs="Arial"/>
        <w:color w:val="555559"/>
        <w:sz w:val="30"/>
        <w:szCs w:val="30"/>
      </w:rPr>
      <w:t>s</w:t>
    </w:r>
    <w:r w:rsidRPr="00115753">
      <w:rPr>
        <w:rFonts w:ascii="Arial" w:hAnsi="Arial" w:cs="Arial"/>
        <w:color w:val="555559"/>
        <w:sz w:val="30"/>
        <w:szCs w:val="30"/>
      </w:rPr>
      <w:t xml:space="preserve">ervice </w:t>
    </w:r>
    <w:r>
      <w:rPr>
        <w:rFonts w:ascii="Arial" w:hAnsi="Arial" w:cs="Arial"/>
        <w:color w:val="555559"/>
        <w:sz w:val="30"/>
        <w:szCs w:val="30"/>
      </w:rPr>
      <w:t>y</w:t>
    </w:r>
    <w:r w:rsidRPr="00115753">
      <w:rPr>
        <w:rFonts w:ascii="Arial" w:hAnsi="Arial" w:cs="Arial"/>
        <w:color w:val="555559"/>
        <w:sz w:val="30"/>
        <w:szCs w:val="30"/>
      </w:rPr>
      <w:t xml:space="preserve">ou </w:t>
    </w:r>
    <w:r>
      <w:rPr>
        <w:rFonts w:ascii="Arial" w:hAnsi="Arial" w:cs="Arial"/>
        <w:color w:val="555559"/>
        <w:sz w:val="30"/>
        <w:szCs w:val="30"/>
      </w:rPr>
      <w:t>r</w:t>
    </w:r>
    <w:r w:rsidRPr="00115753">
      <w:rPr>
        <w:rFonts w:ascii="Arial" w:hAnsi="Arial" w:cs="Arial"/>
        <w:color w:val="555559"/>
        <w:sz w:val="30"/>
        <w:szCs w:val="30"/>
      </w:rPr>
      <w:t xml:space="preserve">ely </w:t>
    </w:r>
    <w:r>
      <w:rPr>
        <w:rFonts w:ascii="Arial" w:hAnsi="Arial" w:cs="Arial"/>
        <w:color w:val="555559"/>
        <w:sz w:val="30"/>
        <w:szCs w:val="30"/>
      </w:rPr>
      <w:t>o</w:t>
    </w:r>
    <w:r w:rsidRPr="00115753">
      <w:rPr>
        <w:rFonts w:ascii="Arial" w:hAnsi="Arial" w:cs="Arial"/>
        <w:color w:val="555559"/>
        <w:sz w:val="30"/>
        <w:szCs w:val="30"/>
      </w:rPr>
      <w:t xml:space="preserve">n </w:t>
    </w:r>
    <w:r>
      <w:rPr>
        <w:rFonts w:ascii="Arial" w:hAnsi="Arial" w:cs="Arial"/>
        <w:color w:val="555559"/>
        <w:sz w:val="30"/>
        <w:szCs w:val="30"/>
      </w:rPr>
      <w:t>h</w:t>
    </w:r>
    <w:r w:rsidRPr="00115753">
      <w:rPr>
        <w:rFonts w:ascii="Arial" w:hAnsi="Arial" w:cs="Arial"/>
        <w:color w:val="555559"/>
        <w:sz w:val="30"/>
        <w:szCs w:val="30"/>
      </w:rPr>
      <w:t xml:space="preserve">as a </w:t>
    </w:r>
    <w:r>
      <w:rPr>
        <w:rFonts w:ascii="Arial" w:hAnsi="Arial" w:cs="Arial"/>
        <w:color w:val="555559"/>
        <w:sz w:val="30"/>
        <w:szCs w:val="30"/>
      </w:rPr>
      <w:t>b</w:t>
    </w:r>
    <w:r w:rsidRPr="00115753">
      <w:rPr>
        <w:rFonts w:ascii="Arial" w:hAnsi="Arial" w:cs="Arial"/>
        <w:color w:val="555559"/>
        <w:sz w:val="30"/>
        <w:szCs w:val="30"/>
      </w:rPr>
      <w:t>reach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49891" w14:textId="77777777" w:rsidR="00C736EC" w:rsidRPr="00D70A8A" w:rsidRDefault="008536E9" w:rsidP="003768DA">
    <w:pPr>
      <w:pStyle w:val="Header"/>
      <w:tabs>
        <w:tab w:val="clear" w:pos="4513"/>
        <w:tab w:val="clear" w:pos="9026"/>
        <w:tab w:val="left" w:pos="6946"/>
      </w:tabs>
      <w:spacing w:after="180"/>
      <w:rPr>
        <w:color w:val="7F7F7F"/>
        <w:sz w:val="26"/>
        <w:szCs w:val="26"/>
      </w:rPr>
    </w:pPr>
    <w:r>
      <w:rPr>
        <w:noProof/>
        <w:color w:val="7F7F7F"/>
        <w:sz w:val="28"/>
        <w:szCs w:val="28"/>
        <w:lang w:val="en-AU" w:eastAsia="en-AU"/>
      </w:rPr>
      <w:drawing>
        <wp:anchor distT="0" distB="0" distL="114300" distR="114300" simplePos="0" relativeHeight="251661312" behindDoc="1" locked="0" layoutInCell="1" allowOverlap="1" wp14:anchorId="76C855CB" wp14:editId="7E903844">
          <wp:simplePos x="0" y="0"/>
          <wp:positionH relativeFrom="column">
            <wp:posOffset>6350</wp:posOffset>
          </wp:positionH>
          <wp:positionV relativeFrom="paragraph">
            <wp:posOffset>-104140</wp:posOffset>
          </wp:positionV>
          <wp:extent cx="1649095" cy="758190"/>
          <wp:effectExtent l="0" t="0" r="8255" b="3810"/>
          <wp:wrapThrough wrapText="bothSides">
            <wp:wrapPolygon edited="0">
              <wp:start x="0" y="0"/>
              <wp:lineTo x="0" y="21166"/>
              <wp:lineTo x="21459" y="21166"/>
              <wp:lineTo x="21459" y="0"/>
              <wp:lineTo x="0" y="0"/>
            </wp:wrapPolygon>
          </wp:wrapThrough>
          <wp:docPr id="12" name="Picture 12" descr="2056_OVIC_Logo_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56_OVIC_Logo_v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6EC" w:rsidRPr="0070388B">
      <w:rPr>
        <w:color w:val="7F7F7F"/>
        <w:sz w:val="28"/>
        <w:szCs w:val="28"/>
      </w:rPr>
      <w:tab/>
    </w:r>
    <w:r w:rsidR="00C736EC" w:rsidRPr="00D70A8A">
      <w:rPr>
        <w:color w:val="555559"/>
        <w:sz w:val="26"/>
        <w:szCs w:val="26"/>
      </w:rPr>
      <w:t>INFORMATION FOR</w:t>
    </w:r>
    <w:r w:rsidR="00C736EC" w:rsidRPr="00D70A8A">
      <w:rPr>
        <w:color w:val="7F7F7F"/>
        <w:sz w:val="26"/>
        <w:szCs w:val="26"/>
      </w:rPr>
      <w:br/>
    </w:r>
    <w:r w:rsidR="00C736EC" w:rsidRPr="00D70A8A">
      <w:rPr>
        <w:color w:val="7F7F7F"/>
        <w:sz w:val="26"/>
        <w:szCs w:val="26"/>
      </w:rPr>
      <w:tab/>
    </w:r>
    <w:r w:rsidR="00C736EC" w:rsidRPr="00D70A8A">
      <w:rPr>
        <w:color w:val="430098"/>
        <w:sz w:val="26"/>
        <w:szCs w:val="26"/>
      </w:rPr>
      <w:t>THE PUBLIC/AGENCIES</w:t>
    </w:r>
  </w:p>
  <w:p w14:paraId="139DDFB3" w14:textId="77777777" w:rsidR="00C736EC" w:rsidRPr="00B37C5F" w:rsidRDefault="00C736EC" w:rsidP="003768DA">
    <w:pPr>
      <w:pStyle w:val="Header"/>
      <w:tabs>
        <w:tab w:val="clear" w:pos="4513"/>
        <w:tab w:val="left" w:pos="6946"/>
      </w:tabs>
      <w:spacing w:after="60"/>
      <w:rPr>
        <w:color w:val="7F7F7F"/>
        <w:sz w:val="20"/>
        <w:szCs w:val="20"/>
      </w:rPr>
    </w:pPr>
    <w:r w:rsidRPr="00B37C5F">
      <w:rPr>
        <w:color w:val="7F7F7F"/>
        <w:sz w:val="20"/>
        <w:szCs w:val="20"/>
      </w:rPr>
      <w:tab/>
    </w:r>
    <w:r w:rsidRPr="00B37C5F">
      <w:rPr>
        <w:color w:val="7F7F7F"/>
        <w:sz w:val="20"/>
        <w:szCs w:val="20"/>
      </w:rPr>
      <w:tab/>
    </w:r>
    <w:r w:rsidRPr="00064688">
      <w:rPr>
        <w:color w:val="555559"/>
        <w:sz w:val="20"/>
        <w:szCs w:val="20"/>
      </w:rPr>
      <w:t>1300 00 6842 | ovic.</w:t>
    </w:r>
    <w:r>
      <w:rPr>
        <w:color w:val="555559"/>
        <w:sz w:val="20"/>
        <w:szCs w:val="20"/>
      </w:rPr>
      <w:t>vic.gov</w:t>
    </w:r>
    <w:r w:rsidRPr="00064688">
      <w:rPr>
        <w:color w:val="555559"/>
        <w:sz w:val="20"/>
        <w:szCs w:val="20"/>
      </w:rPr>
      <w:t>.au</w:t>
    </w:r>
  </w:p>
  <w:p w14:paraId="2A9B9485" w14:textId="77777777" w:rsidR="00C736EC" w:rsidRPr="0070388B" w:rsidRDefault="008536E9" w:rsidP="003768DA">
    <w:pPr>
      <w:pStyle w:val="Header"/>
      <w:tabs>
        <w:tab w:val="clear" w:pos="4513"/>
        <w:tab w:val="clear" w:pos="9026"/>
        <w:tab w:val="left" w:pos="6946"/>
      </w:tabs>
      <w:spacing w:before="120"/>
      <w:rPr>
        <w:color w:val="7F7F7F"/>
        <w:sz w:val="20"/>
        <w:szCs w:val="20"/>
      </w:rPr>
    </w:pPr>
    <w:r>
      <w:rPr>
        <w:noProof/>
        <w:color w:val="7F7F7F"/>
        <w:sz w:val="20"/>
        <w:szCs w:val="20"/>
        <w:lang w:val="en-AU" w:eastAsia="en-AU"/>
      </w:rPr>
      <w:drawing>
        <wp:anchor distT="0" distB="0" distL="114300" distR="114300" simplePos="0" relativeHeight="251660288" behindDoc="0" locked="0" layoutInCell="1" allowOverlap="1" wp14:anchorId="7DCB7BB7" wp14:editId="025614CB">
          <wp:simplePos x="0" y="0"/>
          <wp:positionH relativeFrom="column">
            <wp:posOffset>-20955</wp:posOffset>
          </wp:positionH>
          <wp:positionV relativeFrom="paragraph">
            <wp:posOffset>172085</wp:posOffset>
          </wp:positionV>
          <wp:extent cx="6119495" cy="70485"/>
          <wp:effectExtent l="0" t="0" r="0" b="5715"/>
          <wp:wrapThrough wrapText="bothSides">
            <wp:wrapPolygon edited="0">
              <wp:start x="0" y="0"/>
              <wp:lineTo x="0" y="17514"/>
              <wp:lineTo x="21517" y="17514"/>
              <wp:lineTo x="21517" y="0"/>
              <wp:lineTo x="0" y="0"/>
            </wp:wrapPolygon>
          </wp:wrapThrough>
          <wp:docPr id="11" name="Picture 11" descr="gradient%20line_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dient%20line_th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9495" cy="7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D7887" w14:textId="77777777" w:rsidR="00C736EC" w:rsidRPr="002F0938" w:rsidRDefault="00C736EC" w:rsidP="00D70A8A">
    <w:pPr>
      <w:pStyle w:val="DocumentTitle"/>
      <w:spacing w:before="475"/>
      <w:rPr>
        <w:sz w:val="36"/>
        <w:szCs w:val="36"/>
      </w:rPr>
    </w:pPr>
    <w:r w:rsidRPr="002F0938">
      <w:rPr>
        <w:sz w:val="36"/>
        <w:szCs w:val="36"/>
      </w:rPr>
      <w:t>Document Title</w:t>
    </w:r>
  </w:p>
  <w:p w14:paraId="0D258E17" w14:textId="77777777" w:rsidR="00C736EC" w:rsidRPr="002F0938" w:rsidRDefault="00C736EC" w:rsidP="003768DA">
    <w:pPr>
      <w:pStyle w:val="Header"/>
      <w:tabs>
        <w:tab w:val="left" w:pos="6946"/>
      </w:tabs>
      <w:spacing w:after="120"/>
      <w:rPr>
        <w:rFonts w:ascii="Arial" w:hAnsi="Arial" w:cs="Arial"/>
        <w:color w:val="555559"/>
        <w:sz w:val="30"/>
        <w:szCs w:val="30"/>
      </w:rPr>
    </w:pPr>
    <w:r w:rsidRPr="002F0938">
      <w:rPr>
        <w:rFonts w:ascii="Arial" w:hAnsi="Arial" w:cs="Arial"/>
        <w:color w:val="555559"/>
        <w:sz w:val="30"/>
        <w:szCs w:val="30"/>
      </w:rPr>
      <w:t>Document Subtitle</w:t>
    </w:r>
  </w:p>
  <w:p w14:paraId="74C8C0EC" w14:textId="77777777" w:rsidR="00C736EC" w:rsidRDefault="00C736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6377" w14:textId="77777777" w:rsidR="00BD07DC" w:rsidRPr="00B37C5F" w:rsidRDefault="00BD07DC" w:rsidP="00BD07DC">
    <w:pPr>
      <w:pStyle w:val="Header"/>
      <w:tabs>
        <w:tab w:val="clear" w:pos="4513"/>
        <w:tab w:val="clear" w:pos="9026"/>
        <w:tab w:val="left" w:pos="6946"/>
      </w:tabs>
      <w:spacing w:after="180"/>
      <w:rPr>
        <w:color w:val="7F7F7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B0BCE"/>
    <w:multiLevelType w:val="hybridMultilevel"/>
    <w:tmpl w:val="0172C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527B59"/>
    <w:multiLevelType w:val="hybridMultilevel"/>
    <w:tmpl w:val="F296154E"/>
    <w:lvl w:ilvl="0" w:tplc="66A40ECC">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C60ABB"/>
    <w:multiLevelType w:val="hybridMultilevel"/>
    <w:tmpl w:val="9C10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9252C"/>
    <w:multiLevelType w:val="hybridMultilevel"/>
    <w:tmpl w:val="6F72C12C"/>
    <w:lvl w:ilvl="0" w:tplc="447252F0">
      <w:start w:val="1"/>
      <w:numFmt w:val="bullet"/>
      <w:pStyle w:val="ColourfulListAccent11"/>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856D6D"/>
    <w:multiLevelType w:val="hybridMultilevel"/>
    <w:tmpl w:val="9056BF6A"/>
    <w:lvl w:ilvl="0" w:tplc="66A40ECC">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E1D5372"/>
    <w:multiLevelType w:val="hybridMultilevel"/>
    <w:tmpl w:val="1DBC1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3B85574"/>
    <w:multiLevelType w:val="hybridMultilevel"/>
    <w:tmpl w:val="FE7A4CD6"/>
    <w:lvl w:ilvl="0" w:tplc="66A40ECC">
      <w:numFmt w:val="bullet"/>
      <w:lvlText w:val=""/>
      <w:lvlJc w:val="left"/>
      <w:pPr>
        <w:ind w:left="360" w:hanging="360"/>
      </w:pPr>
      <w:rPr>
        <w:rFonts w:ascii="Symbol" w:eastAsia="Calibri"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CBA65E9"/>
    <w:multiLevelType w:val="hybridMultilevel"/>
    <w:tmpl w:val="F0F45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5C3520"/>
    <w:multiLevelType w:val="hybridMultilevel"/>
    <w:tmpl w:val="C0980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9FB5F24"/>
    <w:multiLevelType w:val="hybridMultilevel"/>
    <w:tmpl w:val="48F68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4"/>
  </w:num>
  <w:num w:numId="6">
    <w:abstractNumId w:val="7"/>
  </w:num>
  <w:num w:numId="7">
    <w:abstractNumId w:val="5"/>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753"/>
    <w:rsid w:val="00005D2B"/>
    <w:rsid w:val="000558C5"/>
    <w:rsid w:val="00064688"/>
    <w:rsid w:val="000677DA"/>
    <w:rsid w:val="00077961"/>
    <w:rsid w:val="00091CB4"/>
    <w:rsid w:val="000E7FAE"/>
    <w:rsid w:val="000F3A12"/>
    <w:rsid w:val="001150F8"/>
    <w:rsid w:val="00115753"/>
    <w:rsid w:val="001159CB"/>
    <w:rsid w:val="00132CFF"/>
    <w:rsid w:val="00150920"/>
    <w:rsid w:val="00164A42"/>
    <w:rsid w:val="0017235F"/>
    <w:rsid w:val="001D5FD1"/>
    <w:rsid w:val="0025217E"/>
    <w:rsid w:val="00281FCE"/>
    <w:rsid w:val="002A48A0"/>
    <w:rsid w:val="002D5314"/>
    <w:rsid w:val="00304809"/>
    <w:rsid w:val="00305D40"/>
    <w:rsid w:val="00322784"/>
    <w:rsid w:val="00325A36"/>
    <w:rsid w:val="00370F3D"/>
    <w:rsid w:val="00372C3E"/>
    <w:rsid w:val="00385D78"/>
    <w:rsid w:val="003A107D"/>
    <w:rsid w:val="003A7085"/>
    <w:rsid w:val="003C6DD4"/>
    <w:rsid w:val="0045397D"/>
    <w:rsid w:val="00457474"/>
    <w:rsid w:val="00496307"/>
    <w:rsid w:val="00555602"/>
    <w:rsid w:val="00580998"/>
    <w:rsid w:val="005870C5"/>
    <w:rsid w:val="005B22B5"/>
    <w:rsid w:val="00635E9F"/>
    <w:rsid w:val="006548D4"/>
    <w:rsid w:val="006713D1"/>
    <w:rsid w:val="006B1C0F"/>
    <w:rsid w:val="006D100D"/>
    <w:rsid w:val="00723ACA"/>
    <w:rsid w:val="00760DDC"/>
    <w:rsid w:val="00765158"/>
    <w:rsid w:val="00793E08"/>
    <w:rsid w:val="007A249A"/>
    <w:rsid w:val="007A3757"/>
    <w:rsid w:val="007A6964"/>
    <w:rsid w:val="00801FE8"/>
    <w:rsid w:val="00833684"/>
    <w:rsid w:val="00835C11"/>
    <w:rsid w:val="008536E9"/>
    <w:rsid w:val="00863040"/>
    <w:rsid w:val="0086734F"/>
    <w:rsid w:val="008772C3"/>
    <w:rsid w:val="008B4992"/>
    <w:rsid w:val="008B7923"/>
    <w:rsid w:val="008C3F4B"/>
    <w:rsid w:val="008F106C"/>
    <w:rsid w:val="009236D4"/>
    <w:rsid w:val="00940F43"/>
    <w:rsid w:val="009445F4"/>
    <w:rsid w:val="009469A8"/>
    <w:rsid w:val="009B32E9"/>
    <w:rsid w:val="009C24DB"/>
    <w:rsid w:val="009C5614"/>
    <w:rsid w:val="009C5BB7"/>
    <w:rsid w:val="009F4967"/>
    <w:rsid w:val="00A33D6F"/>
    <w:rsid w:val="00A41B57"/>
    <w:rsid w:val="00A462F8"/>
    <w:rsid w:val="00A63DFF"/>
    <w:rsid w:val="00A72779"/>
    <w:rsid w:val="00AC42E9"/>
    <w:rsid w:val="00AE13A1"/>
    <w:rsid w:val="00AF6C3D"/>
    <w:rsid w:val="00B177DA"/>
    <w:rsid w:val="00B37C5F"/>
    <w:rsid w:val="00B53C78"/>
    <w:rsid w:val="00B621C7"/>
    <w:rsid w:val="00BA27F9"/>
    <w:rsid w:val="00BD07DC"/>
    <w:rsid w:val="00BF4DD6"/>
    <w:rsid w:val="00C3100B"/>
    <w:rsid w:val="00C573CD"/>
    <w:rsid w:val="00C736EC"/>
    <w:rsid w:val="00C768D4"/>
    <w:rsid w:val="00C85D25"/>
    <w:rsid w:val="00CE7458"/>
    <w:rsid w:val="00CF1D75"/>
    <w:rsid w:val="00CF3A2F"/>
    <w:rsid w:val="00D06EC6"/>
    <w:rsid w:val="00D267EC"/>
    <w:rsid w:val="00D32D00"/>
    <w:rsid w:val="00D723C1"/>
    <w:rsid w:val="00DA234D"/>
    <w:rsid w:val="00DA7C81"/>
    <w:rsid w:val="00DB13A1"/>
    <w:rsid w:val="00DB55DB"/>
    <w:rsid w:val="00DC3A3E"/>
    <w:rsid w:val="00DC5069"/>
    <w:rsid w:val="00E054BA"/>
    <w:rsid w:val="00E45B00"/>
    <w:rsid w:val="00E53B3D"/>
    <w:rsid w:val="00E553E7"/>
    <w:rsid w:val="00E61AAE"/>
    <w:rsid w:val="00E733C2"/>
    <w:rsid w:val="00E848E9"/>
    <w:rsid w:val="00E86569"/>
    <w:rsid w:val="00E91DBD"/>
    <w:rsid w:val="00ED7EF6"/>
    <w:rsid w:val="00EE73E0"/>
    <w:rsid w:val="00EF06C1"/>
    <w:rsid w:val="00EF65B2"/>
    <w:rsid w:val="00F36C34"/>
    <w:rsid w:val="00F4301B"/>
    <w:rsid w:val="00F43118"/>
    <w:rsid w:val="00F54C63"/>
    <w:rsid w:val="00F650D8"/>
    <w:rsid w:val="00F834D4"/>
    <w:rsid w:val="00F84DED"/>
    <w:rsid w:val="00F857E3"/>
    <w:rsid w:val="00F8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815B42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link w:val="Heading1Char"/>
    <w:uiPriority w:val="9"/>
    <w:qFormat/>
    <w:rsid w:val="0011575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C78"/>
    <w:pPr>
      <w:tabs>
        <w:tab w:val="center" w:pos="4513"/>
        <w:tab w:val="right" w:pos="9026"/>
      </w:tabs>
    </w:pPr>
  </w:style>
  <w:style w:type="character" w:customStyle="1" w:styleId="HeaderChar">
    <w:name w:val="Header Char"/>
    <w:basedOn w:val="DefaultParagraphFont"/>
    <w:link w:val="Header"/>
    <w:uiPriority w:val="99"/>
    <w:rsid w:val="00B53C78"/>
  </w:style>
  <w:style w:type="paragraph" w:styleId="Footer">
    <w:name w:val="footer"/>
    <w:basedOn w:val="Normal"/>
    <w:link w:val="FooterChar"/>
    <w:uiPriority w:val="99"/>
    <w:unhideWhenUsed/>
    <w:rsid w:val="00BD07DC"/>
    <w:pPr>
      <w:tabs>
        <w:tab w:val="center" w:pos="4513"/>
        <w:tab w:val="right" w:pos="9026"/>
      </w:tabs>
    </w:pPr>
    <w:rPr>
      <w:color w:val="430098"/>
    </w:rPr>
  </w:style>
  <w:style w:type="character" w:customStyle="1" w:styleId="FooterChar">
    <w:name w:val="Footer Char"/>
    <w:link w:val="Footer"/>
    <w:uiPriority w:val="99"/>
    <w:rsid w:val="00BD07DC"/>
    <w:rPr>
      <w:color w:val="430098"/>
    </w:rPr>
  </w:style>
  <w:style w:type="paragraph" w:customStyle="1" w:styleId="BasicParagraph">
    <w:name w:val="[Basic Paragraph]"/>
    <w:basedOn w:val="Normal"/>
    <w:uiPriority w:val="99"/>
    <w:rsid w:val="00F36C3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
    <w:name w:val="Body"/>
    <w:basedOn w:val="BasicParagraph"/>
    <w:qFormat/>
    <w:rsid w:val="008B7923"/>
    <w:pPr>
      <w:suppressAutoHyphens/>
      <w:spacing w:after="240" w:line="240" w:lineRule="auto"/>
    </w:pPr>
    <w:rPr>
      <w:rFonts w:ascii="Calibri" w:hAnsi="Calibri" w:cs="PostGrotesk-Book"/>
      <w:color w:val="55565A"/>
      <w:sz w:val="22"/>
      <w:szCs w:val="22"/>
    </w:rPr>
  </w:style>
  <w:style w:type="paragraph" w:customStyle="1" w:styleId="SectionHeading1">
    <w:name w:val="Section Heading 1"/>
    <w:basedOn w:val="BasicParagraph"/>
    <w:qFormat/>
    <w:rsid w:val="008B7923"/>
    <w:pPr>
      <w:suppressAutoHyphens/>
      <w:spacing w:after="120"/>
    </w:pPr>
    <w:rPr>
      <w:rFonts w:ascii="Calibri" w:hAnsi="Calibri" w:cs="PostGrotesk-Medium"/>
      <w:color w:val="430098"/>
      <w:sz w:val="28"/>
      <w:szCs w:val="28"/>
    </w:rPr>
  </w:style>
  <w:style w:type="paragraph" w:customStyle="1" w:styleId="SectionHeading2">
    <w:name w:val="Section Heading 2"/>
    <w:basedOn w:val="BasicParagraph"/>
    <w:qFormat/>
    <w:rsid w:val="00372C3E"/>
    <w:pPr>
      <w:suppressAutoHyphens/>
      <w:spacing w:after="120"/>
    </w:pPr>
    <w:rPr>
      <w:rFonts w:ascii="Calibri" w:hAnsi="Calibri" w:cs="PostGrotesk-Medium"/>
      <w:b/>
      <w:color w:val="55565A"/>
    </w:rPr>
  </w:style>
  <w:style w:type="paragraph" w:customStyle="1" w:styleId="ColourfulListAccent11">
    <w:name w:val="Colourful List – Accent 11"/>
    <w:basedOn w:val="Body"/>
    <w:uiPriority w:val="34"/>
    <w:qFormat/>
    <w:rsid w:val="00064688"/>
    <w:pPr>
      <w:numPr>
        <w:numId w:val="2"/>
      </w:numPr>
      <w:spacing w:after="0"/>
      <w:ind w:left="284" w:hanging="284"/>
    </w:pPr>
  </w:style>
  <w:style w:type="paragraph" w:customStyle="1" w:styleId="Introduction">
    <w:name w:val="Introduction"/>
    <w:qFormat/>
    <w:rsid w:val="00B177DA"/>
    <w:pPr>
      <w:suppressAutoHyphens/>
      <w:spacing w:after="360"/>
      <w:ind w:right="1835"/>
    </w:pPr>
    <w:rPr>
      <w:rFonts w:cs="PostGrotesk-Book"/>
      <w:color w:val="7F7F7F"/>
      <w:sz w:val="28"/>
      <w:szCs w:val="28"/>
      <w:lang w:val="en-GB" w:eastAsia="en-US"/>
    </w:rPr>
  </w:style>
  <w:style w:type="paragraph" w:customStyle="1" w:styleId="Linebreak11pt">
    <w:name w:val="Line break 11pt"/>
    <w:basedOn w:val="BasicParagraph"/>
    <w:qFormat/>
    <w:rsid w:val="008B7923"/>
    <w:pPr>
      <w:suppressAutoHyphens/>
    </w:pPr>
    <w:rPr>
      <w:rFonts w:ascii="Calibri" w:hAnsi="Calibri" w:cs="PostGrotesk-Medium"/>
      <w:color w:val="55565A"/>
      <w:sz w:val="22"/>
      <w:szCs w:val="22"/>
    </w:rPr>
  </w:style>
  <w:style w:type="paragraph" w:customStyle="1" w:styleId="Disclaimer">
    <w:name w:val="Disclaimer"/>
    <w:basedOn w:val="Normal"/>
    <w:qFormat/>
    <w:rsid w:val="00064688"/>
    <w:pPr>
      <w:ind w:right="-7"/>
    </w:pPr>
    <w:rPr>
      <w:rFonts w:cs="PostGrotesk-Book"/>
      <w:color w:val="555559"/>
      <w:sz w:val="18"/>
      <w:szCs w:val="18"/>
    </w:rPr>
  </w:style>
  <w:style w:type="paragraph" w:customStyle="1" w:styleId="IntroductoryText">
    <w:name w:val="Introductory Text"/>
    <w:qFormat/>
    <w:rsid w:val="00863040"/>
    <w:pPr>
      <w:suppressAutoHyphens/>
      <w:spacing w:after="360"/>
      <w:ind w:right="1835"/>
    </w:pPr>
    <w:rPr>
      <w:rFonts w:cs="PostGrotesk-Book"/>
      <w:color w:val="555559"/>
      <w:sz w:val="28"/>
      <w:szCs w:val="28"/>
      <w:lang w:val="en-GB" w:eastAsia="en-US"/>
    </w:rPr>
  </w:style>
  <w:style w:type="paragraph" w:customStyle="1" w:styleId="DocumentTitle">
    <w:name w:val="Document Title"/>
    <w:basedOn w:val="Header"/>
    <w:qFormat/>
    <w:rsid w:val="00863040"/>
    <w:pPr>
      <w:tabs>
        <w:tab w:val="clear" w:pos="9026"/>
        <w:tab w:val="left" w:pos="6946"/>
      </w:tabs>
      <w:spacing w:before="840" w:after="120"/>
    </w:pPr>
    <w:rPr>
      <w:rFonts w:ascii="Arial" w:hAnsi="Arial" w:cs="Arial"/>
      <w:b/>
      <w:color w:val="430098"/>
      <w:sz w:val="40"/>
      <w:szCs w:val="40"/>
    </w:rPr>
  </w:style>
  <w:style w:type="paragraph" w:customStyle="1" w:styleId="DocumentSubtitle">
    <w:name w:val="Document Subtitle"/>
    <w:basedOn w:val="Header"/>
    <w:qFormat/>
    <w:rsid w:val="00863040"/>
    <w:pPr>
      <w:tabs>
        <w:tab w:val="left" w:pos="6946"/>
      </w:tabs>
      <w:spacing w:after="240"/>
    </w:pPr>
    <w:rPr>
      <w:rFonts w:ascii="Arial" w:hAnsi="Arial" w:cs="Arial"/>
      <w:color w:val="555559"/>
      <w:sz w:val="32"/>
      <w:szCs w:val="32"/>
    </w:rPr>
  </w:style>
  <w:style w:type="table" w:customStyle="1" w:styleId="PlainTable11">
    <w:name w:val="Plain Table 11"/>
    <w:basedOn w:val="TableNormal"/>
    <w:uiPriority w:val="41"/>
    <w:rsid w:val="008B792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Heading">
    <w:name w:val="Table Heading"/>
    <w:qFormat/>
    <w:rsid w:val="008B7923"/>
    <w:rPr>
      <w:rFonts w:cs="PostGrotesk-Book"/>
      <w:b/>
      <w:bCs/>
      <w:color w:val="55565A"/>
      <w:sz w:val="22"/>
      <w:szCs w:val="22"/>
      <w:lang w:val="en-GB" w:eastAsia="en-US"/>
    </w:rPr>
  </w:style>
  <w:style w:type="paragraph" w:customStyle="1" w:styleId="TableBody">
    <w:name w:val="Table Body"/>
    <w:qFormat/>
    <w:rsid w:val="008B7923"/>
    <w:rPr>
      <w:bCs/>
      <w:color w:val="55565A"/>
      <w:sz w:val="22"/>
      <w:szCs w:val="22"/>
      <w:lang w:val="en-GB" w:eastAsia="en-US"/>
    </w:rPr>
  </w:style>
  <w:style w:type="paragraph" w:customStyle="1" w:styleId="FurtherInfo">
    <w:name w:val="Further Info"/>
    <w:qFormat/>
    <w:rsid w:val="00372C3E"/>
    <w:pPr>
      <w:pBdr>
        <w:top w:val="single" w:sz="4" w:space="6" w:color="430098"/>
      </w:pBdr>
      <w:spacing w:before="480" w:after="200"/>
    </w:pPr>
    <w:rPr>
      <w:rFonts w:cs="PostGrotesk-Medium"/>
      <w:color w:val="430098"/>
      <w:sz w:val="28"/>
      <w:szCs w:val="28"/>
      <w:lang w:val="en-GB" w:eastAsia="en-US"/>
    </w:rPr>
  </w:style>
  <w:style w:type="paragraph" w:styleId="ListParagraph">
    <w:name w:val="List Paragraph"/>
    <w:basedOn w:val="Normal"/>
    <w:uiPriority w:val="34"/>
    <w:qFormat/>
    <w:rsid w:val="000677DA"/>
    <w:pPr>
      <w:spacing w:after="200" w:line="276" w:lineRule="auto"/>
      <w:ind w:left="720"/>
      <w:contextualSpacing/>
    </w:pPr>
    <w:rPr>
      <w:sz w:val="22"/>
      <w:szCs w:val="22"/>
      <w:lang w:val="en-AU"/>
    </w:rPr>
  </w:style>
  <w:style w:type="paragraph" w:customStyle="1" w:styleId="BodyCopy">
    <w:name w:val="Body Copy"/>
    <w:basedOn w:val="Normal"/>
    <w:uiPriority w:val="99"/>
    <w:qFormat/>
    <w:rsid w:val="00115753"/>
    <w:pPr>
      <w:widowControl w:val="0"/>
      <w:suppressAutoHyphens/>
      <w:autoSpaceDE w:val="0"/>
      <w:autoSpaceDN w:val="0"/>
      <w:adjustRightInd w:val="0"/>
      <w:spacing w:before="120" w:after="200" w:line="264" w:lineRule="auto"/>
      <w:textAlignment w:val="center"/>
    </w:pPr>
    <w:rPr>
      <w:rFonts w:asciiTheme="minorHAnsi" w:eastAsia="Times New Roman" w:hAnsiTheme="minorHAnsi" w:cs="National-Book"/>
      <w:color w:val="55565A"/>
      <w:sz w:val="22"/>
      <w:szCs w:val="22"/>
      <w:lang w:val="en-US"/>
    </w:rPr>
  </w:style>
  <w:style w:type="character" w:styleId="Hyperlink">
    <w:name w:val="Hyperlink"/>
    <w:uiPriority w:val="99"/>
    <w:rsid w:val="00115753"/>
    <w:rPr>
      <w:color w:val="430098"/>
      <w:w w:val="100"/>
      <w:u w:val="single" w:color="430098"/>
    </w:rPr>
  </w:style>
  <w:style w:type="paragraph" w:customStyle="1" w:styleId="Intro">
    <w:name w:val="Intro"/>
    <w:basedOn w:val="Normal"/>
    <w:uiPriority w:val="99"/>
    <w:qFormat/>
    <w:rsid w:val="00115753"/>
    <w:pPr>
      <w:widowControl w:val="0"/>
      <w:suppressAutoHyphens/>
      <w:autoSpaceDE w:val="0"/>
      <w:autoSpaceDN w:val="0"/>
      <w:adjustRightInd w:val="0"/>
      <w:spacing w:after="283" w:line="288" w:lineRule="auto"/>
      <w:textAlignment w:val="center"/>
    </w:pPr>
    <w:rPr>
      <w:rFonts w:asciiTheme="minorHAnsi" w:eastAsia="Times New Roman" w:hAnsiTheme="minorHAnsi" w:cs="National-Book"/>
      <w:color w:val="380094"/>
      <w:sz w:val="28"/>
      <w:szCs w:val="28"/>
      <w:lang w:val="en-US"/>
    </w:rPr>
  </w:style>
  <w:style w:type="paragraph" w:customStyle="1" w:styleId="ContentsSection1">
    <w:name w:val="Contents Section 1"/>
    <w:basedOn w:val="Normal"/>
    <w:uiPriority w:val="99"/>
    <w:rsid w:val="00115753"/>
    <w:pPr>
      <w:widowControl w:val="0"/>
      <w:tabs>
        <w:tab w:val="left" w:pos="360"/>
        <w:tab w:val="right" w:pos="6340"/>
      </w:tabs>
      <w:autoSpaceDE w:val="0"/>
      <w:autoSpaceDN w:val="0"/>
      <w:adjustRightInd w:val="0"/>
      <w:spacing w:line="288" w:lineRule="auto"/>
      <w:ind w:left="360" w:hanging="360"/>
      <w:textAlignment w:val="center"/>
    </w:pPr>
    <w:rPr>
      <w:rFonts w:asciiTheme="minorHAnsi" w:eastAsia="Times New Roman" w:hAnsiTheme="minorHAnsi" w:cs="Calibri-Bold"/>
      <w:b/>
      <w:bCs/>
      <w:color w:val="555559"/>
      <w:sz w:val="28"/>
      <w:szCs w:val="28"/>
      <w:lang w:val="en-AU"/>
    </w:rPr>
  </w:style>
  <w:style w:type="paragraph" w:customStyle="1" w:styleId="SectionHeading">
    <w:name w:val="Section Heading"/>
    <w:basedOn w:val="Heading1"/>
    <w:qFormat/>
    <w:rsid w:val="00115753"/>
    <w:pPr>
      <w:keepNext w:val="0"/>
      <w:keepLines w:val="0"/>
      <w:spacing w:before="120" w:after="160" w:line="264" w:lineRule="auto"/>
    </w:pPr>
    <w:rPr>
      <w:rFonts w:ascii="Calibri" w:eastAsia="Times New Roman" w:hAnsi="Calibri" w:cs="Times New Roman"/>
      <w:b/>
      <w:color w:val="5620A9"/>
      <w:lang w:val="en-AU"/>
    </w:rPr>
  </w:style>
  <w:style w:type="table" w:styleId="TableGrid">
    <w:name w:val="Table Grid"/>
    <w:basedOn w:val="TableNormal"/>
    <w:uiPriority w:val="59"/>
    <w:rsid w:val="00115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11575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1Char">
    <w:name w:val="Heading 1 Char"/>
    <w:basedOn w:val="DefaultParagraphFont"/>
    <w:link w:val="Heading1"/>
    <w:uiPriority w:val="9"/>
    <w:rsid w:val="00115753"/>
    <w:rPr>
      <w:rFonts w:asciiTheme="majorHAnsi" w:eastAsiaTheme="majorEastAsia" w:hAnsiTheme="majorHAnsi" w:cstheme="majorBidi"/>
      <w:color w:val="365F91" w:themeColor="accent1" w:themeShade="BF"/>
      <w:sz w:val="32"/>
      <w:szCs w:val="32"/>
      <w:lang w:val="en-GB" w:eastAsia="en-US"/>
    </w:rPr>
  </w:style>
  <w:style w:type="character" w:styleId="PageNumber">
    <w:name w:val="page number"/>
    <w:basedOn w:val="DefaultParagraphFont"/>
    <w:uiPriority w:val="99"/>
    <w:semiHidden/>
    <w:unhideWhenUsed/>
    <w:rsid w:val="00CF3A2F"/>
  </w:style>
  <w:style w:type="paragraph" w:customStyle="1" w:styleId="OVICQuote">
    <w:name w:val="OVIC Quote"/>
    <w:qFormat/>
    <w:rsid w:val="00F650D8"/>
    <w:rPr>
      <w:rFonts w:cs="National-Book"/>
      <w:color w:val="430098"/>
      <w:sz w:val="24"/>
      <w:szCs w:val="24"/>
      <w:lang w:val="en-US" w:eastAsia="en-US"/>
    </w:rPr>
  </w:style>
  <w:style w:type="paragraph" w:styleId="TOC3">
    <w:name w:val="toc 3"/>
    <w:basedOn w:val="Normal"/>
    <w:next w:val="Normal"/>
    <w:autoRedefine/>
    <w:uiPriority w:val="39"/>
    <w:unhideWhenUsed/>
    <w:rsid w:val="00E848E9"/>
    <w:pPr>
      <w:spacing w:after="100"/>
      <w:ind w:left="482"/>
    </w:pPr>
    <w:rPr>
      <w:rFonts w:asciiTheme="minorHAnsi" w:eastAsia="Times New Roman" w:hAnsiTheme="minorHAnsi"/>
      <w:sz w:val="22"/>
      <w:szCs w:val="22"/>
      <w:lang w:val="en-AU"/>
    </w:rPr>
  </w:style>
  <w:style w:type="paragraph" w:styleId="BalloonText">
    <w:name w:val="Balloon Text"/>
    <w:basedOn w:val="Normal"/>
    <w:link w:val="BalloonTextChar"/>
    <w:uiPriority w:val="99"/>
    <w:semiHidden/>
    <w:unhideWhenUsed/>
    <w:rsid w:val="006548D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548D4"/>
    <w:rPr>
      <w:rFonts w:ascii="Times New Roman" w:hAnsi="Times New Roman"/>
      <w:sz w:val="18"/>
      <w:szCs w:val="18"/>
      <w:lang w:val="en-GB" w:eastAsia="en-US"/>
    </w:rPr>
  </w:style>
  <w:style w:type="character" w:styleId="UnresolvedMention">
    <w:name w:val="Unresolved Mention"/>
    <w:basedOn w:val="DefaultParagraphFont"/>
    <w:uiPriority w:val="99"/>
    <w:semiHidden/>
    <w:unhideWhenUsed/>
    <w:rsid w:val="009469A8"/>
    <w:rPr>
      <w:color w:val="605E5C"/>
      <w:shd w:val="clear" w:color="auto" w:fill="E1DFDD"/>
    </w:rPr>
  </w:style>
  <w:style w:type="character" w:styleId="CommentReference">
    <w:name w:val="annotation reference"/>
    <w:basedOn w:val="DefaultParagraphFont"/>
    <w:uiPriority w:val="99"/>
    <w:semiHidden/>
    <w:unhideWhenUsed/>
    <w:rsid w:val="009469A8"/>
    <w:rPr>
      <w:sz w:val="16"/>
      <w:szCs w:val="16"/>
    </w:rPr>
  </w:style>
  <w:style w:type="paragraph" w:styleId="CommentText">
    <w:name w:val="annotation text"/>
    <w:basedOn w:val="Normal"/>
    <w:link w:val="CommentTextChar"/>
    <w:uiPriority w:val="99"/>
    <w:semiHidden/>
    <w:unhideWhenUsed/>
    <w:rsid w:val="009469A8"/>
    <w:rPr>
      <w:sz w:val="20"/>
      <w:szCs w:val="20"/>
    </w:rPr>
  </w:style>
  <w:style w:type="character" w:customStyle="1" w:styleId="CommentTextChar">
    <w:name w:val="Comment Text Char"/>
    <w:basedOn w:val="DefaultParagraphFont"/>
    <w:link w:val="CommentText"/>
    <w:uiPriority w:val="99"/>
    <w:semiHidden/>
    <w:rsid w:val="009469A8"/>
    <w:rPr>
      <w:lang w:val="en-GB" w:eastAsia="en-US"/>
    </w:rPr>
  </w:style>
  <w:style w:type="paragraph" w:styleId="CommentSubject">
    <w:name w:val="annotation subject"/>
    <w:basedOn w:val="CommentText"/>
    <w:next w:val="CommentText"/>
    <w:link w:val="CommentSubjectChar"/>
    <w:uiPriority w:val="99"/>
    <w:semiHidden/>
    <w:unhideWhenUsed/>
    <w:rsid w:val="009469A8"/>
    <w:rPr>
      <w:b/>
      <w:bCs/>
    </w:rPr>
  </w:style>
  <w:style w:type="character" w:customStyle="1" w:styleId="CommentSubjectChar">
    <w:name w:val="Comment Subject Char"/>
    <w:basedOn w:val="CommentTextChar"/>
    <w:link w:val="CommentSubject"/>
    <w:uiPriority w:val="99"/>
    <w:semiHidden/>
    <w:rsid w:val="009469A8"/>
    <w:rPr>
      <w:b/>
      <w:bCs/>
      <w:lang w:val="en-GB" w:eastAsia="en-US"/>
    </w:rPr>
  </w:style>
  <w:style w:type="character" w:styleId="FollowedHyperlink">
    <w:name w:val="FollowedHyperlink"/>
    <w:basedOn w:val="DefaultParagraphFont"/>
    <w:uiPriority w:val="99"/>
    <w:semiHidden/>
    <w:unhideWhenUsed/>
    <w:rsid w:val="00A41B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cyber.gov.au/news/pageup-data-incident"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DA77-7A08-1D4E-A8D5-99513B1F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2943</Words>
  <Characters>16777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2020-11-09T05:46:00Z</dcterms:created>
  <dcterms:modified xsi:type="dcterms:W3CDTF">2020-11-09T05:49:00Z</dcterms:modified>
</cp:coreProperties>
</file>