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348F" w14:textId="77777777" w:rsidR="00F36C34" w:rsidRPr="00863040" w:rsidRDefault="00F36C34" w:rsidP="00F36C34">
      <w:pPr>
        <w:ind w:right="-7"/>
        <w:rPr>
          <w:color w:val="555559"/>
          <w:lang w:val="en-US"/>
        </w:rPr>
        <w:sectPr w:rsidR="00F36C34" w:rsidRPr="00863040" w:rsidSect="00E74731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134" w:header="964" w:footer="1056" w:gutter="0"/>
          <w:cols w:space="708"/>
          <w:titlePg/>
          <w:docGrid w:linePitch="360"/>
        </w:sectPr>
      </w:pPr>
    </w:p>
    <w:p w14:paraId="6A5BC269" w14:textId="77777777" w:rsidR="008B7923" w:rsidRPr="000A3A47" w:rsidRDefault="008B7923" w:rsidP="000A3A47">
      <w:pPr>
        <w:pStyle w:val="Linebreak11pt"/>
        <w:sectPr w:rsidR="008B7923" w:rsidRPr="000A3A47" w:rsidSect="00E74731">
          <w:type w:val="continuous"/>
          <w:pgSz w:w="11900" w:h="16840"/>
          <w:pgMar w:top="1134" w:right="1134" w:bottom="1134" w:left="1134" w:header="1134" w:footer="1056" w:gutter="0"/>
          <w:cols w:num="2" w:space="720"/>
          <w:titlePg/>
          <w:docGrid w:linePitch="360"/>
        </w:sect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F851BA" w:rsidRPr="00F851BA" w14:paraId="009D2C7C" w14:textId="77777777" w:rsidTr="007B48A0">
        <w:tc>
          <w:tcPr>
            <w:tcW w:w="4531" w:type="dxa"/>
            <w:shd w:val="clear" w:color="auto" w:fill="auto"/>
          </w:tcPr>
          <w:p w14:paraId="358F0AE5" w14:textId="77777777" w:rsidR="007B48A0" w:rsidRPr="00F851BA" w:rsidRDefault="007B48A0" w:rsidP="008B7923">
            <w:pPr>
              <w:pStyle w:val="TableHeading"/>
              <w:rPr>
                <w:rFonts w:cs="Calibri"/>
                <w:bCs w:val="0"/>
              </w:rPr>
            </w:pPr>
            <w:r w:rsidRPr="00F851BA">
              <w:rPr>
                <w:rFonts w:cs="Calibri"/>
                <w:bCs w:val="0"/>
              </w:rPr>
              <w:t xml:space="preserve">Question </w:t>
            </w:r>
          </w:p>
          <w:p w14:paraId="4BA1B547" w14:textId="77777777" w:rsidR="007B48A0" w:rsidRPr="00F851BA" w:rsidRDefault="007B48A0" w:rsidP="008B7923">
            <w:pPr>
              <w:pStyle w:val="TableHeading"/>
              <w:rPr>
                <w:rFonts w:cs="Calibri"/>
                <w:bCs w:val="0"/>
              </w:rPr>
            </w:pPr>
          </w:p>
        </w:tc>
        <w:tc>
          <w:tcPr>
            <w:tcW w:w="5103" w:type="dxa"/>
            <w:shd w:val="clear" w:color="auto" w:fill="auto"/>
          </w:tcPr>
          <w:p w14:paraId="15B44694" w14:textId="77777777" w:rsidR="007B48A0" w:rsidRPr="00F851BA" w:rsidRDefault="007B48A0" w:rsidP="008B7923">
            <w:pPr>
              <w:pStyle w:val="Linebreak11pt"/>
              <w:rPr>
                <w:rFonts w:cs="Calibri"/>
                <w:b/>
                <w:bCs/>
              </w:rPr>
            </w:pPr>
            <w:r w:rsidRPr="00F851BA">
              <w:rPr>
                <w:rFonts w:cs="Calibri"/>
                <w:b/>
                <w:bCs/>
              </w:rPr>
              <w:t>Answer</w:t>
            </w:r>
          </w:p>
        </w:tc>
      </w:tr>
      <w:tr w:rsidR="00F851BA" w:rsidRPr="00F851BA" w14:paraId="0265C6E8" w14:textId="77777777" w:rsidTr="007B48A0">
        <w:trPr>
          <w:trHeight w:val="199"/>
        </w:trPr>
        <w:tc>
          <w:tcPr>
            <w:tcW w:w="9634" w:type="dxa"/>
            <w:gridSpan w:val="2"/>
            <w:shd w:val="clear" w:color="auto" w:fill="F2F2F2"/>
            <w:vAlign w:val="center"/>
          </w:tcPr>
          <w:p w14:paraId="74F5E18B" w14:textId="2EF5C6B3" w:rsidR="007B48A0" w:rsidRPr="00F851BA" w:rsidRDefault="0035232A" w:rsidP="007B48A0">
            <w:pPr>
              <w:pStyle w:val="SectionHeading2"/>
              <w:rPr>
                <w:rFonts w:cs="Calibri"/>
              </w:rPr>
            </w:pPr>
            <w:r w:rsidRPr="00F851BA">
              <w:rPr>
                <w:rFonts w:cs="Calibri"/>
              </w:rPr>
              <w:t xml:space="preserve">Information Security </w:t>
            </w:r>
            <w:r w:rsidR="007B48A0" w:rsidRPr="00F851BA">
              <w:rPr>
                <w:rFonts w:cs="Calibri"/>
              </w:rPr>
              <w:t>Incident Notification</w:t>
            </w:r>
            <w:r w:rsidRPr="00F851BA">
              <w:rPr>
                <w:rFonts w:cs="Calibri"/>
              </w:rPr>
              <w:t xml:space="preserve"> Scheme (ISINS)</w:t>
            </w:r>
          </w:p>
        </w:tc>
      </w:tr>
      <w:tr w:rsidR="00F851BA" w:rsidRPr="00F851BA" w14:paraId="6FE67A3C" w14:textId="77777777" w:rsidTr="007B48A0">
        <w:tc>
          <w:tcPr>
            <w:tcW w:w="4531" w:type="dxa"/>
            <w:shd w:val="clear" w:color="auto" w:fill="F2F2F2"/>
          </w:tcPr>
          <w:p w14:paraId="789B11C4" w14:textId="53158544" w:rsidR="007B48A0" w:rsidRPr="00F851BA" w:rsidRDefault="007B48A0" w:rsidP="006B1989">
            <w:pPr>
              <w:rPr>
                <w:rFonts w:cs="Calibri"/>
                <w:color w:val="55565A"/>
                <w:sz w:val="22"/>
                <w:szCs w:val="22"/>
                <w:lang w:eastAsia="en-GB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Are there any repercussions for reporting/ not reporting </w:t>
            </w:r>
            <w:r w:rsidR="00D749C8" w:rsidRPr="00F851BA">
              <w:rPr>
                <w:rFonts w:cs="Calibri"/>
                <w:color w:val="55565A"/>
                <w:sz w:val="22"/>
                <w:szCs w:val="22"/>
              </w:rPr>
              <w:t xml:space="preserve">information security 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>incidents</w:t>
            </w:r>
            <w:r w:rsidR="00D749C8" w:rsidRPr="00F851BA">
              <w:rPr>
                <w:rFonts w:cs="Calibri"/>
                <w:color w:val="55565A"/>
                <w:sz w:val="22"/>
                <w:szCs w:val="22"/>
              </w:rPr>
              <w:t xml:space="preserve"> under Element 9.010 of the Victorian Protective Data Security Standards (</w:t>
            </w:r>
            <w:r w:rsidR="002C5F4E" w:rsidRPr="002C5F4E">
              <w:rPr>
                <w:rFonts w:cs="Calibri"/>
                <w:b/>
                <w:bCs/>
                <w:color w:val="55565A"/>
                <w:sz w:val="22"/>
                <w:szCs w:val="22"/>
              </w:rPr>
              <w:t>VPDSS</w:t>
            </w:r>
            <w:r w:rsidR="00D749C8" w:rsidRPr="00F851BA">
              <w:rPr>
                <w:rFonts w:cs="Calibri"/>
                <w:color w:val="55565A"/>
                <w:sz w:val="22"/>
                <w:szCs w:val="22"/>
              </w:rPr>
              <w:t>)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>?</w:t>
            </w:r>
          </w:p>
        </w:tc>
        <w:tc>
          <w:tcPr>
            <w:tcW w:w="5103" w:type="dxa"/>
            <w:shd w:val="clear" w:color="auto" w:fill="F2F2F2"/>
          </w:tcPr>
          <w:p w14:paraId="34EDDCD5" w14:textId="4BAD4C8F" w:rsidR="007B48A0" w:rsidRPr="00F851BA" w:rsidRDefault="008F456C" w:rsidP="006B1989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Organisations must notify OVIC of an information security incident if it </w:t>
            </w:r>
            <w:r w:rsidR="000C2375">
              <w:rPr>
                <w:rFonts w:cs="Calibri"/>
              </w:rPr>
              <w:t>hits</w:t>
            </w:r>
            <w:r>
              <w:rPr>
                <w:rFonts w:cs="Calibri"/>
              </w:rPr>
              <w:t xml:space="preserve"> a Business Impact Level </w:t>
            </w:r>
            <w:r w:rsidR="000C2375">
              <w:rPr>
                <w:rFonts w:cs="Calibri"/>
              </w:rPr>
              <w:t xml:space="preserve">(BIL) of </w:t>
            </w:r>
            <w:r>
              <w:rPr>
                <w:rFonts w:cs="Calibri"/>
              </w:rPr>
              <w:t>2 or higher, no later than</w:t>
            </w:r>
            <w:r w:rsidR="00B40FEF" w:rsidRPr="00F851BA">
              <w:rPr>
                <w:rFonts w:cs="Calibri"/>
              </w:rPr>
              <w:t xml:space="preserve"> 30 days of </w:t>
            </w:r>
            <w:r>
              <w:rPr>
                <w:rFonts w:cs="Calibri"/>
              </w:rPr>
              <w:t xml:space="preserve">identification. For more information on the Information Security Incident Notification Scheme refer to our </w:t>
            </w:r>
            <w:hyperlink r:id="rId12" w:history="1">
              <w:r w:rsidRPr="008F456C">
                <w:rPr>
                  <w:rStyle w:val="Hyperlink"/>
                  <w:rFonts w:cs="Calibri"/>
                </w:rPr>
                <w:t>Information Sheet</w:t>
              </w:r>
            </w:hyperlink>
            <w:r>
              <w:rPr>
                <w:rFonts w:cs="Calibri"/>
              </w:rPr>
              <w:t>.</w:t>
            </w:r>
          </w:p>
          <w:p w14:paraId="189EFA9E" w14:textId="77777777" w:rsidR="00B40FEF" w:rsidRPr="00F851BA" w:rsidRDefault="00B40FEF" w:rsidP="006B1989">
            <w:pPr>
              <w:pStyle w:val="Linebreak11pt"/>
              <w:rPr>
                <w:rFonts w:cs="Calibri"/>
              </w:rPr>
            </w:pPr>
          </w:p>
          <w:p w14:paraId="005260EE" w14:textId="77EDEB12" w:rsidR="0000116C" w:rsidRDefault="008F456C" w:rsidP="006B1989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B40FEF" w:rsidRPr="00F851BA">
              <w:rPr>
                <w:rFonts w:cs="Calibri"/>
              </w:rPr>
              <w:t>rganisation</w:t>
            </w:r>
            <w:r>
              <w:rPr>
                <w:rFonts w:cs="Calibri"/>
              </w:rPr>
              <w:t>s</w:t>
            </w:r>
            <w:r w:rsidR="00B40FEF" w:rsidRPr="00F851BA">
              <w:rPr>
                <w:rFonts w:cs="Calibri"/>
              </w:rPr>
              <w:t xml:space="preserve"> found to have deliberately withheld </w:t>
            </w:r>
            <w:r>
              <w:rPr>
                <w:rFonts w:cs="Calibri"/>
              </w:rPr>
              <w:t xml:space="preserve">incident </w:t>
            </w:r>
            <w:r w:rsidR="00E3559D">
              <w:rPr>
                <w:rFonts w:cs="Calibri"/>
              </w:rPr>
              <w:t>notification</w:t>
            </w:r>
            <w:r>
              <w:rPr>
                <w:rFonts w:cs="Calibri"/>
              </w:rPr>
              <w:t xml:space="preserve"> from OVIC</w:t>
            </w:r>
            <w:r w:rsidR="00E3559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may face repercussions in line with </w:t>
            </w:r>
            <w:r w:rsidR="00B40FEF" w:rsidRPr="00F851BA">
              <w:rPr>
                <w:rFonts w:cs="Calibri"/>
              </w:rPr>
              <w:t xml:space="preserve"> </w:t>
            </w:r>
            <w:hyperlink r:id="rId13" w:history="1">
              <w:r w:rsidR="00B40FEF" w:rsidRPr="00F851BA">
                <w:rPr>
                  <w:rStyle w:val="Hyperlink"/>
                  <w:rFonts w:cs="Calibri"/>
                  <w:color w:val="55565A"/>
                </w:rPr>
                <w:t>OVIC’s Regulatory Action Plan</w:t>
              </w:r>
            </w:hyperlink>
            <w:r w:rsidR="00B40FEF" w:rsidRPr="00F851BA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14:paraId="70057819" w14:textId="3543AD0B" w:rsidR="008F456C" w:rsidRPr="00F851BA" w:rsidRDefault="008F456C" w:rsidP="006B1989">
            <w:pPr>
              <w:pStyle w:val="Linebreak11pt"/>
              <w:rPr>
                <w:rFonts w:cs="Calibri"/>
              </w:rPr>
            </w:pPr>
          </w:p>
        </w:tc>
      </w:tr>
      <w:tr w:rsidR="00F851BA" w:rsidRPr="00F851BA" w14:paraId="38067CC0" w14:textId="77777777" w:rsidTr="007B48A0">
        <w:tc>
          <w:tcPr>
            <w:tcW w:w="4531" w:type="dxa"/>
            <w:shd w:val="clear" w:color="auto" w:fill="F2F2F2"/>
          </w:tcPr>
          <w:p w14:paraId="1C8A34E6" w14:textId="73B6A284" w:rsidR="00B40FEF" w:rsidRPr="00F851BA" w:rsidRDefault="00B40FEF" w:rsidP="006B1989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Who </w:t>
            </w:r>
            <w:r w:rsidR="003472B9" w:rsidRPr="00F851BA">
              <w:rPr>
                <w:rFonts w:cs="Calibri"/>
                <w:color w:val="55565A"/>
                <w:sz w:val="22"/>
                <w:szCs w:val="22"/>
              </w:rPr>
              <w:t>reports information security incidents to OVIC?</w:t>
            </w:r>
          </w:p>
        </w:tc>
        <w:tc>
          <w:tcPr>
            <w:tcW w:w="5103" w:type="dxa"/>
            <w:shd w:val="clear" w:color="auto" w:fill="F2F2F2"/>
          </w:tcPr>
          <w:p w14:paraId="22C9A561" w14:textId="5ABB710C" w:rsidR="00B40FEF" w:rsidRPr="00F851BA" w:rsidRDefault="00CA1E31" w:rsidP="006B1989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OVIC will accept notification from anyone, however t</w:t>
            </w:r>
            <w:r w:rsidR="003472B9" w:rsidRPr="00F851BA">
              <w:rPr>
                <w:rFonts w:cs="Calibri"/>
              </w:rPr>
              <w:t xml:space="preserve">he information owner </w:t>
            </w:r>
            <w:r>
              <w:rPr>
                <w:rFonts w:cs="Calibri"/>
              </w:rPr>
              <w:t>is best placed to notify OVIC of the</w:t>
            </w:r>
            <w:r w:rsidR="003472B9" w:rsidRPr="00F851BA">
              <w:rPr>
                <w:rFonts w:cs="Calibri"/>
              </w:rPr>
              <w:t xml:space="preserve"> information security incident.</w:t>
            </w:r>
          </w:p>
          <w:p w14:paraId="4E7F38F2" w14:textId="77777777" w:rsidR="003472B9" w:rsidRPr="00F851BA" w:rsidRDefault="003472B9" w:rsidP="006B1989">
            <w:pPr>
              <w:pStyle w:val="Linebreak11pt"/>
              <w:rPr>
                <w:rFonts w:cs="Calibri"/>
              </w:rPr>
            </w:pPr>
          </w:p>
          <w:p w14:paraId="707FECB0" w14:textId="77777777" w:rsidR="0000116C" w:rsidRDefault="003472B9" w:rsidP="00CA1E31">
            <w:pPr>
              <w:pStyle w:val="Linebreak11pt"/>
              <w:rPr>
                <w:rFonts w:cs="Calibri"/>
              </w:rPr>
            </w:pPr>
            <w:r w:rsidRPr="00F851BA">
              <w:rPr>
                <w:rFonts w:cs="Calibri"/>
              </w:rPr>
              <w:t xml:space="preserve">If the incident is first </w:t>
            </w:r>
            <w:r w:rsidR="00CA1E31">
              <w:rPr>
                <w:rFonts w:cs="Calibri"/>
              </w:rPr>
              <w:t>identified</w:t>
            </w:r>
            <w:r w:rsidRPr="00F851BA">
              <w:rPr>
                <w:rFonts w:cs="Calibri"/>
              </w:rPr>
              <w:t xml:space="preserve"> by a contracted service provider</w:t>
            </w:r>
            <w:r w:rsidR="00CA1E31">
              <w:rPr>
                <w:rFonts w:cs="Calibri"/>
              </w:rPr>
              <w:t xml:space="preserve"> (CSP)</w:t>
            </w:r>
            <w:r w:rsidRPr="00F851BA">
              <w:rPr>
                <w:rFonts w:cs="Calibri"/>
              </w:rPr>
              <w:t>, the</w:t>
            </w:r>
            <w:r w:rsidR="00CA1E31">
              <w:rPr>
                <w:rFonts w:cs="Calibri"/>
              </w:rPr>
              <w:t xml:space="preserve"> CSP</w:t>
            </w:r>
            <w:r w:rsidRPr="00F851BA">
              <w:rPr>
                <w:rFonts w:cs="Calibri"/>
              </w:rPr>
              <w:t xml:space="preserve"> should infor</w:t>
            </w:r>
            <w:r w:rsidR="00DB1E77" w:rsidRPr="00F851BA">
              <w:rPr>
                <w:rFonts w:cs="Calibri"/>
              </w:rPr>
              <w:t>m the information owner</w:t>
            </w:r>
            <w:r w:rsidR="00CA1E31">
              <w:rPr>
                <w:rFonts w:cs="Calibri"/>
              </w:rPr>
              <w:t xml:space="preserve">, </w:t>
            </w:r>
            <w:r w:rsidR="00DB1E77" w:rsidRPr="00F851BA">
              <w:rPr>
                <w:rFonts w:cs="Calibri"/>
              </w:rPr>
              <w:t xml:space="preserve">who must </w:t>
            </w:r>
            <w:r w:rsidR="00CA1E31">
              <w:rPr>
                <w:rFonts w:cs="Calibri"/>
              </w:rPr>
              <w:t>notify OVIC of</w:t>
            </w:r>
            <w:r w:rsidR="00DB1E77" w:rsidRPr="00F851BA">
              <w:rPr>
                <w:rFonts w:cs="Calibri"/>
              </w:rPr>
              <w:t xml:space="preserve"> the incident</w:t>
            </w:r>
            <w:r w:rsidR="00CA1E31">
              <w:rPr>
                <w:rFonts w:cs="Calibri"/>
              </w:rPr>
              <w:t>.</w:t>
            </w:r>
          </w:p>
          <w:p w14:paraId="7D1C0C08" w14:textId="5DE9E195" w:rsidR="00CA1E31" w:rsidRPr="00F851BA" w:rsidRDefault="00CA1E31" w:rsidP="00CA1E31">
            <w:pPr>
              <w:pStyle w:val="Linebreak11pt"/>
              <w:rPr>
                <w:rFonts w:cs="Calibri"/>
              </w:rPr>
            </w:pPr>
          </w:p>
        </w:tc>
      </w:tr>
      <w:tr w:rsidR="00F851BA" w:rsidRPr="00F851BA" w14:paraId="08B35F92" w14:textId="77777777" w:rsidTr="007B48A0">
        <w:tc>
          <w:tcPr>
            <w:tcW w:w="4531" w:type="dxa"/>
            <w:shd w:val="clear" w:color="auto" w:fill="F2F2F2"/>
          </w:tcPr>
          <w:p w14:paraId="77EC328D" w14:textId="68235D22" w:rsidR="007B48A0" w:rsidRPr="00F851BA" w:rsidRDefault="00DB1E77" w:rsidP="006B1989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>Who do I report to?</w:t>
            </w:r>
          </w:p>
        </w:tc>
        <w:tc>
          <w:tcPr>
            <w:tcW w:w="5103" w:type="dxa"/>
            <w:shd w:val="clear" w:color="auto" w:fill="F2F2F2"/>
          </w:tcPr>
          <w:p w14:paraId="3E2CF006" w14:textId="6B82BF33" w:rsidR="00E9585E" w:rsidRDefault="00E9585E" w:rsidP="006B1989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The primary method to notify OVIC of information security incidents is via the OVIC incident notification form - </w:t>
            </w:r>
          </w:p>
          <w:p w14:paraId="1D043C4F" w14:textId="08F4D27C" w:rsidR="00E9585E" w:rsidRDefault="003F7303" w:rsidP="006B1989">
            <w:pPr>
              <w:pStyle w:val="Linebreak11pt"/>
              <w:rPr>
                <w:rFonts w:cs="Calibri"/>
              </w:rPr>
            </w:pPr>
            <w:hyperlink r:id="rId14" w:history="1">
              <w:r w:rsidR="00E9585E" w:rsidRPr="00AC2EAB">
                <w:rPr>
                  <w:rStyle w:val="Hyperlink"/>
                  <w:rFonts w:cs="Calibri"/>
                </w:rPr>
                <w:t>https://ovic.vic.gov.au/resource/ovic-incident-notification-form/</w:t>
              </w:r>
            </w:hyperlink>
            <w:r w:rsidR="00E9585E">
              <w:rPr>
                <w:rFonts w:cs="Calibri"/>
              </w:rPr>
              <w:t xml:space="preserve">. </w:t>
            </w:r>
          </w:p>
          <w:p w14:paraId="44F06452" w14:textId="77777777" w:rsidR="00E9585E" w:rsidRDefault="00E9585E" w:rsidP="006B1989">
            <w:pPr>
              <w:pStyle w:val="Linebreak11pt"/>
              <w:rPr>
                <w:rFonts w:cs="Calibri"/>
              </w:rPr>
            </w:pPr>
          </w:p>
          <w:p w14:paraId="5AD59C8F" w14:textId="6AABA3F1" w:rsidR="00DB1E77" w:rsidRPr="00F851BA" w:rsidRDefault="00DB1E77" w:rsidP="006B1989">
            <w:pPr>
              <w:pStyle w:val="Linebreak11pt"/>
              <w:rPr>
                <w:rFonts w:cs="Calibri"/>
              </w:rPr>
            </w:pPr>
            <w:r w:rsidRPr="00F851BA">
              <w:rPr>
                <w:rFonts w:cs="Calibri"/>
              </w:rPr>
              <w:t xml:space="preserve">OVIC </w:t>
            </w:r>
            <w:r w:rsidR="00E9585E">
              <w:rPr>
                <w:rFonts w:cs="Calibri"/>
              </w:rPr>
              <w:t>also accepts i</w:t>
            </w:r>
            <w:r w:rsidRPr="00F851BA">
              <w:rPr>
                <w:rFonts w:cs="Calibri"/>
              </w:rPr>
              <w:t>nformation security incidents via:</w:t>
            </w:r>
          </w:p>
          <w:p w14:paraId="55D53CB1" w14:textId="0CEAD42C" w:rsidR="00DB1E77" w:rsidRPr="00F851BA" w:rsidRDefault="00E9585E" w:rsidP="00DB1E77">
            <w:pPr>
              <w:pStyle w:val="Linebreak11pt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Phone calls to </w:t>
            </w:r>
            <w:r w:rsidR="00DB1E77" w:rsidRPr="00F851BA">
              <w:rPr>
                <w:rFonts w:cs="Calibri"/>
              </w:rPr>
              <w:t>OVIC’s Information Security Unit</w:t>
            </w:r>
            <w:r w:rsidR="007602C2" w:rsidRPr="00F851BA">
              <w:rPr>
                <w:rFonts w:cs="Calibri"/>
              </w:rPr>
              <w:t xml:space="preserve"> (</w:t>
            </w:r>
            <w:r w:rsidR="007602C2" w:rsidRPr="00F851BA">
              <w:rPr>
                <w:rFonts w:cs="Calibri"/>
                <w:b/>
                <w:bCs/>
              </w:rPr>
              <w:t>ISU</w:t>
            </w:r>
            <w:r w:rsidR="007602C2" w:rsidRPr="00F851BA">
              <w:rPr>
                <w:rFonts w:cs="Calibri"/>
              </w:rPr>
              <w:t>)</w:t>
            </w:r>
          </w:p>
          <w:p w14:paraId="7E40356C" w14:textId="5155EA53" w:rsidR="007B48A0" w:rsidRPr="00F851BA" w:rsidRDefault="00DB1E77" w:rsidP="00DB1E77">
            <w:pPr>
              <w:pStyle w:val="Linebreak11pt"/>
              <w:numPr>
                <w:ilvl w:val="0"/>
                <w:numId w:val="7"/>
              </w:numPr>
              <w:rPr>
                <w:rFonts w:cs="Calibri"/>
              </w:rPr>
            </w:pPr>
            <w:r w:rsidRPr="00F851BA">
              <w:rPr>
                <w:rFonts w:cs="Calibri"/>
              </w:rPr>
              <w:t xml:space="preserve">OVIC’s Privacy </w:t>
            </w:r>
            <w:r w:rsidR="007602C2" w:rsidRPr="00F851BA">
              <w:rPr>
                <w:rFonts w:cs="Calibri"/>
              </w:rPr>
              <w:t xml:space="preserve">and Guidance </w:t>
            </w:r>
            <w:r w:rsidRPr="00F851BA">
              <w:rPr>
                <w:rFonts w:cs="Calibri"/>
              </w:rPr>
              <w:t>Team</w:t>
            </w:r>
          </w:p>
          <w:p w14:paraId="209B3E86" w14:textId="5DE343AC" w:rsidR="0072299F" w:rsidRDefault="00DB1E77" w:rsidP="00DB1E77">
            <w:pPr>
              <w:pStyle w:val="Linebreak11pt"/>
              <w:numPr>
                <w:ilvl w:val="0"/>
                <w:numId w:val="7"/>
              </w:numPr>
              <w:rPr>
                <w:rFonts w:cs="Calibri"/>
              </w:rPr>
            </w:pPr>
            <w:r w:rsidRPr="00F851BA">
              <w:rPr>
                <w:rFonts w:cs="Calibri"/>
              </w:rPr>
              <w:lastRenderedPageBreak/>
              <w:t>DPC’s Cyber S</w:t>
            </w:r>
            <w:r w:rsidR="00F851BA">
              <w:rPr>
                <w:rFonts w:cs="Calibri"/>
              </w:rPr>
              <w:t>afety</w:t>
            </w:r>
            <w:r w:rsidRPr="00F851BA">
              <w:rPr>
                <w:rFonts w:cs="Calibri"/>
              </w:rPr>
              <w:t xml:space="preserve"> Unit</w:t>
            </w:r>
            <w:r w:rsidR="007602C2" w:rsidRPr="00F851BA">
              <w:rPr>
                <w:rFonts w:cs="Calibri"/>
              </w:rPr>
              <w:t xml:space="preserve"> (</w:t>
            </w:r>
            <w:r w:rsidR="007602C2" w:rsidRPr="00F851BA">
              <w:rPr>
                <w:rFonts w:cs="Calibri"/>
                <w:b/>
                <w:bCs/>
              </w:rPr>
              <w:t>CSU</w:t>
            </w:r>
            <w:r w:rsidR="007602C2" w:rsidRPr="00F851BA">
              <w:rPr>
                <w:rFonts w:cs="Calibri"/>
              </w:rPr>
              <w:t>)</w:t>
            </w:r>
          </w:p>
          <w:p w14:paraId="72A7F5D2" w14:textId="77777777" w:rsidR="00AF5D59" w:rsidRPr="0072299F" w:rsidRDefault="00AF5D59" w:rsidP="00AF5D59">
            <w:pPr>
              <w:pStyle w:val="Linebreak11pt"/>
              <w:ind w:left="720"/>
              <w:rPr>
                <w:rFonts w:cs="Calibri"/>
              </w:rPr>
            </w:pPr>
          </w:p>
          <w:p w14:paraId="506B7721" w14:textId="75A12229" w:rsidR="0072299F" w:rsidRDefault="00AF5D59" w:rsidP="00DB1E77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Organisations are reminded to contact CSU for any cyber incidents that</w:t>
            </w:r>
            <w:r w:rsidR="0072299F" w:rsidRPr="00F851BA">
              <w:rPr>
                <w:rFonts w:cs="Calibri"/>
              </w:rPr>
              <w:t xml:space="preserve"> may require onsite coordination</w:t>
            </w:r>
            <w:r w:rsidR="00E9585E">
              <w:rPr>
                <w:rFonts w:cs="Calibri"/>
              </w:rPr>
              <w:t>, as OVIC does not provide a 24/7 service</w:t>
            </w:r>
            <w:r>
              <w:rPr>
                <w:rFonts w:cs="Calibri"/>
              </w:rPr>
              <w:t>.</w:t>
            </w:r>
          </w:p>
          <w:p w14:paraId="3B705186" w14:textId="77777777" w:rsidR="0072299F" w:rsidRDefault="0072299F" w:rsidP="00DB1E77">
            <w:pPr>
              <w:pStyle w:val="Linebreak11pt"/>
              <w:rPr>
                <w:rFonts w:cs="Calibri"/>
              </w:rPr>
            </w:pPr>
          </w:p>
          <w:p w14:paraId="74079A08" w14:textId="77777777" w:rsidR="00DB1E77" w:rsidRDefault="0072299F" w:rsidP="00DB1E77">
            <w:pPr>
              <w:pStyle w:val="Linebreak11pt"/>
              <w:rPr>
                <w:rFonts w:cs="Calibri"/>
                <w:color w:val="0070C0"/>
              </w:rPr>
            </w:pPr>
            <w:r>
              <w:rPr>
                <w:rFonts w:cs="Calibri"/>
              </w:rPr>
              <w:t>M</w:t>
            </w:r>
            <w:r w:rsidR="00DB1E77" w:rsidRPr="00F851BA">
              <w:rPr>
                <w:rFonts w:cs="Calibri"/>
              </w:rPr>
              <w:t>ore information on how to report incidents</w:t>
            </w:r>
            <w:r>
              <w:rPr>
                <w:rFonts w:cs="Calibri"/>
              </w:rPr>
              <w:t xml:space="preserve"> to OVIC can be found on</w:t>
            </w:r>
            <w:r w:rsidR="00DB1E77" w:rsidRPr="00F851BA">
              <w:rPr>
                <w:rFonts w:cs="Calibri"/>
              </w:rPr>
              <w:t xml:space="preserve"> </w:t>
            </w:r>
            <w:hyperlink r:id="rId15" w:history="1">
              <w:r w:rsidR="00DB1E77" w:rsidRPr="00E9585E">
                <w:rPr>
                  <w:rStyle w:val="Hyperlink"/>
                  <w:rFonts w:cs="Calibri"/>
                  <w:color w:val="0070C0"/>
                </w:rPr>
                <w:t>OVIC’s website</w:t>
              </w:r>
            </w:hyperlink>
            <w:r w:rsidR="00DB1E77" w:rsidRPr="00E9585E">
              <w:rPr>
                <w:rFonts w:cs="Calibri"/>
                <w:color w:val="0070C0"/>
              </w:rPr>
              <w:t>.</w:t>
            </w:r>
          </w:p>
          <w:p w14:paraId="3B5C34A6" w14:textId="41A863C0" w:rsidR="00E9585E" w:rsidRPr="00F851BA" w:rsidRDefault="00E9585E" w:rsidP="00DB1E77">
            <w:pPr>
              <w:pStyle w:val="Linebreak11pt"/>
              <w:rPr>
                <w:rFonts w:cs="Calibri"/>
              </w:rPr>
            </w:pPr>
          </w:p>
        </w:tc>
      </w:tr>
      <w:tr w:rsidR="00220EFB" w:rsidRPr="00F851BA" w14:paraId="6EFA3A06" w14:textId="77777777" w:rsidTr="007B48A0">
        <w:tc>
          <w:tcPr>
            <w:tcW w:w="4531" w:type="dxa"/>
            <w:shd w:val="clear" w:color="auto" w:fill="F2F2F2"/>
          </w:tcPr>
          <w:p w14:paraId="610F5F49" w14:textId="59C58739" w:rsidR="00220EFB" w:rsidRPr="00F851BA" w:rsidRDefault="00F851BA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lastRenderedPageBreak/>
              <w:t>Our</w:t>
            </w:r>
            <w:r w:rsidR="00220EFB" w:rsidRPr="00F851BA">
              <w:rPr>
                <w:rFonts w:cs="Calibri"/>
                <w:color w:val="55565A"/>
                <w:sz w:val="22"/>
                <w:szCs w:val="22"/>
              </w:rPr>
              <w:t xml:space="preserve"> incident requires u</w:t>
            </w:r>
            <w:r>
              <w:rPr>
                <w:rFonts w:cs="Calibri"/>
                <w:color w:val="55565A"/>
                <w:sz w:val="22"/>
                <w:szCs w:val="22"/>
              </w:rPr>
              <w:t>s</w:t>
            </w:r>
            <w:r w:rsidR="00220EFB" w:rsidRPr="00F851BA">
              <w:rPr>
                <w:rFonts w:cs="Calibri"/>
                <w:color w:val="55565A"/>
                <w:sz w:val="22"/>
                <w:szCs w:val="22"/>
              </w:rPr>
              <w:t xml:space="preserve"> to notify </w:t>
            </w:r>
            <w:r w:rsidR="00F55318">
              <w:rPr>
                <w:rFonts w:cs="Calibri"/>
                <w:color w:val="55565A"/>
                <w:sz w:val="22"/>
                <w:szCs w:val="22"/>
              </w:rPr>
              <w:t>multiple agencies</w:t>
            </w:r>
            <w:r w:rsidR="00220EFB" w:rsidRPr="00F851BA">
              <w:rPr>
                <w:rFonts w:cs="Calibri"/>
                <w:color w:val="55565A"/>
                <w:sz w:val="22"/>
                <w:szCs w:val="22"/>
              </w:rPr>
              <w:t>.</w:t>
            </w:r>
            <w:r w:rsidR="00F55318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 w:rsidR="00220EFB" w:rsidRPr="00F851BA">
              <w:rPr>
                <w:rFonts w:cs="Calibri"/>
                <w:color w:val="55565A"/>
                <w:sz w:val="22"/>
                <w:szCs w:val="22"/>
              </w:rPr>
              <w:t>Who do I contact first?</w:t>
            </w:r>
          </w:p>
        </w:tc>
        <w:tc>
          <w:tcPr>
            <w:tcW w:w="5103" w:type="dxa"/>
            <w:shd w:val="clear" w:color="auto" w:fill="F2F2F2"/>
          </w:tcPr>
          <w:p w14:paraId="41D84692" w14:textId="251A0084" w:rsidR="008E4A19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If you </w:t>
            </w:r>
            <w:r w:rsidR="008E4A19" w:rsidRPr="00F851BA">
              <w:rPr>
                <w:rFonts w:cs="Calibri"/>
                <w:color w:val="55565A"/>
                <w:sz w:val="22"/>
                <w:szCs w:val="22"/>
              </w:rPr>
              <w:t xml:space="preserve">have just identified a cyber security incident and you require immediate assistance in coordinating a response, </w:t>
            </w:r>
            <w:r w:rsidR="002839CC">
              <w:rPr>
                <w:rFonts w:cs="Calibri"/>
                <w:color w:val="55565A"/>
                <w:sz w:val="22"/>
                <w:szCs w:val="22"/>
              </w:rPr>
              <w:t xml:space="preserve">the </w:t>
            </w:r>
            <w:r w:rsidR="008E4A19" w:rsidRPr="00F851BA">
              <w:rPr>
                <w:rFonts w:cs="Calibri"/>
                <w:color w:val="55565A"/>
                <w:sz w:val="22"/>
                <w:szCs w:val="22"/>
              </w:rPr>
              <w:t xml:space="preserve">CSU run a 24-hour 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Cyber Incident Response S</w:t>
            </w:r>
            <w:r w:rsidR="008E4A19" w:rsidRPr="00F851BA">
              <w:rPr>
                <w:rFonts w:cs="Calibri"/>
                <w:color w:val="55565A"/>
                <w:sz w:val="22"/>
                <w:szCs w:val="22"/>
              </w:rPr>
              <w:t xml:space="preserve">ervice 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(</w:t>
            </w:r>
            <w:r w:rsidR="00FC0FF1" w:rsidRPr="00FC0FF1">
              <w:rPr>
                <w:rFonts w:cs="Calibri"/>
                <w:b/>
                <w:bCs/>
                <w:color w:val="55565A"/>
                <w:sz w:val="22"/>
                <w:szCs w:val="22"/>
              </w:rPr>
              <w:t>CIRS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 xml:space="preserve">) </w:t>
            </w:r>
            <w:r w:rsidR="008E4A19" w:rsidRPr="00F851BA">
              <w:rPr>
                <w:rFonts w:cs="Calibri"/>
                <w:color w:val="55565A"/>
                <w:sz w:val="22"/>
                <w:szCs w:val="22"/>
              </w:rPr>
              <w:t>and should be contacted as a priority.</w:t>
            </w:r>
          </w:p>
          <w:p w14:paraId="362D19B0" w14:textId="77777777" w:rsidR="008E4A19" w:rsidRPr="00F851BA" w:rsidRDefault="008E4A19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372B8101" w14:textId="5583C575" w:rsidR="00220EFB" w:rsidRDefault="008E4A19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CSU </w:t>
            </w:r>
            <w:r w:rsidR="002839CC">
              <w:rPr>
                <w:rFonts w:cs="Calibri"/>
                <w:color w:val="55565A"/>
                <w:sz w:val="22"/>
                <w:szCs w:val="22"/>
              </w:rPr>
              <w:t>are able to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 notify OVIC on your behalf</w:t>
            </w:r>
            <w:r w:rsidR="002839CC">
              <w:rPr>
                <w:rFonts w:cs="Calibri"/>
                <w:color w:val="55565A"/>
                <w:sz w:val="22"/>
                <w:szCs w:val="22"/>
              </w:rPr>
              <w:t xml:space="preserve">, should 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>you reques</w:t>
            </w:r>
            <w:r w:rsidR="002839CC">
              <w:rPr>
                <w:rFonts w:cs="Calibri"/>
                <w:color w:val="55565A"/>
                <w:sz w:val="22"/>
                <w:szCs w:val="22"/>
              </w:rPr>
              <w:t>t this of them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,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 w:rsidRPr="002839CC">
              <w:rPr>
                <w:rFonts w:cs="Calibri"/>
                <w:color w:val="55565A"/>
                <w:sz w:val="22"/>
                <w:szCs w:val="22"/>
                <w:u w:val="single"/>
              </w:rPr>
              <w:t>or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 you can notify OVIC separately within 30-days of identifying the incident.</w:t>
            </w:r>
          </w:p>
          <w:p w14:paraId="25C76F01" w14:textId="153897FD" w:rsidR="0000116C" w:rsidRPr="00F851BA" w:rsidRDefault="0000116C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</w:tc>
      </w:tr>
      <w:tr w:rsidR="00F851BA" w:rsidRPr="00F851BA" w14:paraId="2022A87C" w14:textId="77777777" w:rsidTr="007B48A0">
        <w:tc>
          <w:tcPr>
            <w:tcW w:w="4531" w:type="dxa"/>
            <w:shd w:val="clear" w:color="auto" w:fill="F2F2F2"/>
          </w:tcPr>
          <w:p w14:paraId="440C5D68" w14:textId="242D5278" w:rsidR="00220EFB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Will </w:t>
            </w:r>
            <w:r w:rsidR="00F851BA">
              <w:rPr>
                <w:rFonts w:cs="Calibri"/>
                <w:color w:val="55565A"/>
                <w:sz w:val="22"/>
                <w:szCs w:val="22"/>
              </w:rPr>
              <w:t>CSU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 automatically report to OVIC (and vice versa)?</w:t>
            </w:r>
          </w:p>
        </w:tc>
        <w:tc>
          <w:tcPr>
            <w:tcW w:w="5103" w:type="dxa"/>
            <w:shd w:val="clear" w:color="auto" w:fill="F2F2F2"/>
          </w:tcPr>
          <w:p w14:paraId="54DB1D3D" w14:textId="53591561" w:rsidR="00220EFB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CSU runs a confidential </w:t>
            </w:r>
            <w:r w:rsidR="00014FAC" w:rsidRPr="00F851BA">
              <w:rPr>
                <w:rFonts w:cs="Calibri"/>
                <w:color w:val="55565A"/>
                <w:sz w:val="22"/>
                <w:szCs w:val="22"/>
              </w:rPr>
              <w:t>service</w:t>
            </w:r>
            <w:r w:rsidR="00014FAC">
              <w:rPr>
                <w:rFonts w:cs="Calibri"/>
                <w:color w:val="55565A"/>
                <w:sz w:val="22"/>
                <w:szCs w:val="22"/>
              </w:rPr>
              <w:t xml:space="preserve"> and 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will </w:t>
            </w:r>
            <w:r w:rsidR="00014FAC">
              <w:rPr>
                <w:rFonts w:cs="Calibri"/>
                <w:color w:val="55565A"/>
                <w:sz w:val="22"/>
                <w:szCs w:val="22"/>
              </w:rPr>
              <w:t>only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 notify OVIC of information security incidents </w:t>
            </w:r>
            <w:r w:rsidR="00014FAC">
              <w:rPr>
                <w:rFonts w:cs="Calibri"/>
                <w:color w:val="55565A"/>
                <w:sz w:val="22"/>
                <w:szCs w:val="22"/>
              </w:rPr>
              <w:t>with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 your permission.</w:t>
            </w:r>
            <w:r w:rsidR="00371C15">
              <w:rPr>
                <w:rFonts w:cs="Calibri"/>
                <w:color w:val="55565A"/>
                <w:sz w:val="22"/>
                <w:szCs w:val="22"/>
              </w:rPr>
              <w:t xml:space="preserve"> They will, however, 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remind you of your obligation to </w:t>
            </w:r>
            <w:r w:rsidR="00371C15">
              <w:rPr>
                <w:rFonts w:cs="Calibri"/>
                <w:color w:val="55565A"/>
                <w:sz w:val="22"/>
                <w:szCs w:val="22"/>
              </w:rPr>
              <w:t>notify OVIC of information security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 incidents under Element 9.010</w:t>
            </w:r>
            <w:r w:rsidR="00F851BA">
              <w:rPr>
                <w:rFonts w:cs="Calibri"/>
                <w:color w:val="55565A"/>
                <w:sz w:val="22"/>
                <w:szCs w:val="22"/>
              </w:rPr>
              <w:t xml:space="preserve"> of the </w:t>
            </w:r>
            <w:r w:rsidR="002C5F4E">
              <w:rPr>
                <w:rFonts w:cs="Calibri"/>
                <w:color w:val="55565A"/>
                <w:sz w:val="22"/>
                <w:szCs w:val="22"/>
              </w:rPr>
              <w:t>VPDSS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>.</w:t>
            </w:r>
          </w:p>
          <w:p w14:paraId="295E0EC8" w14:textId="77777777" w:rsidR="00220EFB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0955BB09" w14:textId="65B42A42" w:rsidR="00220EFB" w:rsidRDefault="00220EFB" w:rsidP="00220EFB">
            <w:pPr>
              <w:pStyle w:val="Linebreak11pt"/>
              <w:rPr>
                <w:rFonts w:cs="Calibri"/>
              </w:rPr>
            </w:pPr>
            <w:r w:rsidRPr="00F851BA">
              <w:rPr>
                <w:rFonts w:cs="Calibri"/>
              </w:rPr>
              <w:t xml:space="preserve">Similarly, OVIC will only pass along details of the incident if you request it. Please check the relevant boxes on the </w:t>
            </w:r>
            <w:hyperlink r:id="rId16" w:history="1">
              <w:r w:rsidRPr="00F851BA">
                <w:rPr>
                  <w:rStyle w:val="Hyperlink"/>
                  <w:rFonts w:cs="Calibri"/>
                  <w:color w:val="55565A"/>
                </w:rPr>
                <w:t>Information Security Incident Notification Form</w:t>
              </w:r>
            </w:hyperlink>
            <w:r w:rsidRPr="00F851BA">
              <w:rPr>
                <w:rFonts w:cs="Calibri"/>
              </w:rPr>
              <w:t xml:space="preserve"> if you require </w:t>
            </w:r>
            <w:r w:rsidR="00371C15">
              <w:rPr>
                <w:rFonts w:cs="Calibri"/>
              </w:rPr>
              <w:t xml:space="preserve">the OVIC </w:t>
            </w:r>
            <w:r w:rsidRPr="00F851BA">
              <w:rPr>
                <w:rFonts w:cs="Calibri"/>
              </w:rPr>
              <w:t>Privacy</w:t>
            </w:r>
            <w:r w:rsidR="00371C15">
              <w:rPr>
                <w:rFonts w:cs="Calibri"/>
              </w:rPr>
              <w:t xml:space="preserve"> team</w:t>
            </w:r>
            <w:r w:rsidRPr="00F851BA">
              <w:rPr>
                <w:rFonts w:cs="Calibri"/>
              </w:rPr>
              <w:t xml:space="preserve"> or </w:t>
            </w:r>
            <w:r w:rsidR="00371C15">
              <w:rPr>
                <w:rFonts w:cs="Calibri"/>
              </w:rPr>
              <w:t xml:space="preserve">assistance from </w:t>
            </w:r>
            <w:r w:rsidR="00FC0FF1">
              <w:rPr>
                <w:rFonts w:cs="Calibri"/>
              </w:rPr>
              <w:t>CIRS</w:t>
            </w:r>
            <w:r w:rsidR="00371C15">
              <w:rPr>
                <w:rFonts w:cs="Calibri"/>
              </w:rPr>
              <w:t xml:space="preserve"> team within the CSU</w:t>
            </w:r>
            <w:r w:rsidRPr="00F851BA">
              <w:rPr>
                <w:rFonts w:cs="Calibri"/>
              </w:rPr>
              <w:t>.</w:t>
            </w:r>
          </w:p>
          <w:p w14:paraId="296844C3" w14:textId="1B00D0C4" w:rsidR="0000116C" w:rsidRPr="00F851BA" w:rsidRDefault="0000116C" w:rsidP="00220EFB">
            <w:pPr>
              <w:pStyle w:val="Linebreak11pt"/>
              <w:rPr>
                <w:rFonts w:cs="Calibri"/>
              </w:rPr>
            </w:pPr>
          </w:p>
        </w:tc>
      </w:tr>
      <w:tr w:rsidR="00F851BA" w:rsidRPr="00F851BA" w14:paraId="1BB0CC3B" w14:textId="77777777" w:rsidTr="007B48A0">
        <w:tc>
          <w:tcPr>
            <w:tcW w:w="4531" w:type="dxa"/>
            <w:shd w:val="clear" w:color="auto" w:fill="F2F2F2"/>
          </w:tcPr>
          <w:p w14:paraId="37C067E1" w14:textId="3D0371E5" w:rsidR="00220EFB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  <w:lang w:eastAsia="en-GB"/>
              </w:rPr>
            </w:pPr>
            <w:r w:rsidRPr="00FD73B7">
              <w:rPr>
                <w:rFonts w:cs="Calibri"/>
                <w:color w:val="55565A"/>
                <w:sz w:val="22"/>
                <w:szCs w:val="22"/>
              </w:rPr>
              <w:t>Will OVIC share details of the breach with anyone else (</w:t>
            </w:r>
            <w:r w:rsidR="00FC0FF1" w:rsidRPr="00FD73B7">
              <w:rPr>
                <w:rFonts w:cs="Calibri"/>
                <w:color w:val="55565A"/>
                <w:sz w:val="22"/>
                <w:szCs w:val="22"/>
              </w:rPr>
              <w:t>e</w:t>
            </w:r>
            <w:r w:rsidRPr="00FD73B7">
              <w:rPr>
                <w:rFonts w:cs="Calibri"/>
                <w:color w:val="55565A"/>
                <w:sz w:val="22"/>
                <w:szCs w:val="22"/>
              </w:rPr>
              <w:t>.</w:t>
            </w:r>
            <w:r w:rsidR="00FC0FF1" w:rsidRPr="00FD73B7">
              <w:rPr>
                <w:rFonts w:cs="Calibri"/>
                <w:color w:val="55565A"/>
                <w:sz w:val="22"/>
                <w:szCs w:val="22"/>
              </w:rPr>
              <w:t>g</w:t>
            </w:r>
            <w:r w:rsidRPr="00FD73B7">
              <w:rPr>
                <w:rFonts w:cs="Calibri"/>
                <w:color w:val="55565A"/>
                <w:sz w:val="22"/>
                <w:szCs w:val="22"/>
              </w:rPr>
              <w:t>. a department or parent entity)?</w:t>
            </w:r>
          </w:p>
        </w:tc>
        <w:tc>
          <w:tcPr>
            <w:tcW w:w="5103" w:type="dxa"/>
            <w:shd w:val="clear" w:color="auto" w:fill="F2F2F2"/>
          </w:tcPr>
          <w:p w14:paraId="5607F2E8" w14:textId="0A8BC99D" w:rsidR="002E08CB" w:rsidRDefault="002E08CB" w:rsidP="00220EFB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OVIC will not share personal information captured in an incident notification without your consent. OVIC may however share de-identified outcomes of the analysis with Victorian government agencies and bodies, to help inform their own risk assessments. </w:t>
            </w:r>
          </w:p>
          <w:p w14:paraId="15E157B9" w14:textId="00EF1AF2" w:rsidR="002E08CB" w:rsidRDefault="002E08CB" w:rsidP="00220EFB">
            <w:pPr>
              <w:pStyle w:val="Linebreak11pt"/>
              <w:rPr>
                <w:rFonts w:cs="Calibri"/>
              </w:rPr>
            </w:pPr>
          </w:p>
          <w:p w14:paraId="3B87C58C" w14:textId="21B4FEAB" w:rsidR="00220EFB" w:rsidRDefault="00220EFB" w:rsidP="00220EFB">
            <w:pPr>
              <w:pStyle w:val="Linebreak11pt"/>
              <w:rPr>
                <w:rFonts w:cs="Calibri"/>
              </w:rPr>
            </w:pPr>
            <w:r w:rsidRPr="00F851BA">
              <w:rPr>
                <w:rFonts w:cs="Calibri"/>
              </w:rPr>
              <w:t xml:space="preserve">OVIC may </w:t>
            </w:r>
            <w:r w:rsidR="002E08CB">
              <w:rPr>
                <w:rFonts w:cs="Calibri"/>
              </w:rPr>
              <w:t xml:space="preserve">also </w:t>
            </w:r>
            <w:r w:rsidRPr="00F851BA">
              <w:rPr>
                <w:rFonts w:cs="Calibri"/>
              </w:rPr>
              <w:t xml:space="preserve">suggest that </w:t>
            </w:r>
            <w:r w:rsidR="00FD73B7">
              <w:rPr>
                <w:rFonts w:cs="Calibri"/>
              </w:rPr>
              <w:t>an</w:t>
            </w:r>
            <w:r w:rsidRPr="00F851BA">
              <w:rPr>
                <w:rFonts w:cs="Calibri"/>
              </w:rPr>
              <w:t xml:space="preserve"> organisation seek assistance/ advice from their </w:t>
            </w:r>
            <w:r w:rsidR="002E08CB">
              <w:rPr>
                <w:rFonts w:cs="Calibri"/>
              </w:rPr>
              <w:t>D</w:t>
            </w:r>
            <w:r w:rsidRPr="00F851BA">
              <w:rPr>
                <w:rFonts w:cs="Calibri"/>
              </w:rPr>
              <w:t>epartment or parent entity regarding the incident.</w:t>
            </w:r>
          </w:p>
          <w:p w14:paraId="6DE958BE" w14:textId="77777777" w:rsidR="0072299F" w:rsidRDefault="0072299F" w:rsidP="00220EFB">
            <w:pPr>
              <w:pStyle w:val="Linebreak11pt"/>
              <w:rPr>
                <w:rFonts w:cs="Calibri"/>
              </w:rPr>
            </w:pPr>
          </w:p>
          <w:p w14:paraId="28622BF5" w14:textId="41D07659" w:rsidR="0072299F" w:rsidRDefault="0072299F" w:rsidP="00220EFB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If notification </w:t>
            </w:r>
            <w:r w:rsidR="00FD73B7">
              <w:rPr>
                <w:rFonts w:cs="Calibri"/>
              </w:rPr>
              <w:t xml:space="preserve">of the incident </w:t>
            </w:r>
            <w:r>
              <w:rPr>
                <w:rFonts w:cs="Calibri"/>
              </w:rPr>
              <w:t xml:space="preserve">is received from a Third Party, OVIC may </w:t>
            </w:r>
            <w:r w:rsidR="002E08CB">
              <w:rPr>
                <w:rFonts w:cs="Calibri"/>
              </w:rPr>
              <w:t xml:space="preserve">also </w:t>
            </w:r>
            <w:r>
              <w:rPr>
                <w:rFonts w:cs="Calibri"/>
              </w:rPr>
              <w:t xml:space="preserve">follow up with the </w:t>
            </w:r>
            <w:r w:rsidR="00B66B3A">
              <w:rPr>
                <w:rFonts w:cs="Calibri"/>
              </w:rPr>
              <w:t xml:space="preserve">in-scope government </w:t>
            </w:r>
            <w:r w:rsidR="00FD73B7">
              <w:rPr>
                <w:rFonts w:cs="Calibri"/>
              </w:rPr>
              <w:t>organisation</w:t>
            </w:r>
            <w:r w:rsidR="00B66B3A">
              <w:rPr>
                <w:rFonts w:cs="Calibri"/>
              </w:rPr>
              <w:t xml:space="preserve"> regarding the notification. </w:t>
            </w:r>
          </w:p>
          <w:p w14:paraId="6B5DF65B" w14:textId="38F4F4DA" w:rsidR="0000116C" w:rsidRPr="00F851BA" w:rsidRDefault="0000116C" w:rsidP="00220EFB">
            <w:pPr>
              <w:pStyle w:val="Linebreak11pt"/>
              <w:rPr>
                <w:rFonts w:cs="Calibri"/>
              </w:rPr>
            </w:pPr>
          </w:p>
        </w:tc>
      </w:tr>
      <w:tr w:rsidR="00F851BA" w:rsidRPr="00F851BA" w14:paraId="4D037D3F" w14:textId="77777777" w:rsidTr="007B48A0">
        <w:tc>
          <w:tcPr>
            <w:tcW w:w="4531" w:type="dxa"/>
            <w:shd w:val="clear" w:color="auto" w:fill="F2F2F2"/>
          </w:tcPr>
          <w:p w14:paraId="6897A988" w14:textId="701D293B" w:rsidR="00220EFB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  <w:lang w:eastAsia="en-GB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lastRenderedPageBreak/>
              <w:t xml:space="preserve">Where will statistics from the </w:t>
            </w:r>
            <w:r w:rsidR="00C56096">
              <w:rPr>
                <w:rFonts w:cs="Calibri"/>
                <w:color w:val="55565A"/>
                <w:sz w:val="22"/>
                <w:szCs w:val="22"/>
              </w:rPr>
              <w:t>Information Security Incident Notification Scheme (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ISINS</w:t>
            </w:r>
            <w:r w:rsidR="00C56096">
              <w:rPr>
                <w:rFonts w:cs="Calibri"/>
                <w:color w:val="55565A"/>
                <w:sz w:val="22"/>
                <w:szCs w:val="22"/>
              </w:rPr>
              <w:t>)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 be published?</w:t>
            </w:r>
          </w:p>
        </w:tc>
        <w:tc>
          <w:tcPr>
            <w:tcW w:w="5103" w:type="dxa"/>
            <w:shd w:val="clear" w:color="auto" w:fill="F2F2F2"/>
          </w:tcPr>
          <w:p w14:paraId="1AA38BAE" w14:textId="76794897" w:rsidR="00220EFB" w:rsidRDefault="00220EFB" w:rsidP="00220EFB">
            <w:pPr>
              <w:pStyle w:val="Linebreak11pt"/>
              <w:rPr>
                <w:rFonts w:cs="Calibri"/>
              </w:rPr>
            </w:pPr>
            <w:r w:rsidRPr="007331B0">
              <w:rPr>
                <w:rFonts w:cs="Calibri"/>
              </w:rPr>
              <w:t xml:space="preserve">Statistics from the </w:t>
            </w:r>
            <w:r w:rsidR="00FC0FF1" w:rsidRPr="007331B0">
              <w:rPr>
                <w:rFonts w:cs="Calibri"/>
              </w:rPr>
              <w:t>ISINS</w:t>
            </w:r>
            <w:r w:rsidRPr="007331B0">
              <w:rPr>
                <w:rFonts w:cs="Calibri"/>
              </w:rPr>
              <w:t xml:space="preserve"> will be published on </w:t>
            </w:r>
            <w:r w:rsidR="00F851BA" w:rsidRPr="007331B0">
              <w:rPr>
                <w:rFonts w:cs="Calibri"/>
              </w:rPr>
              <w:t xml:space="preserve">the </w:t>
            </w:r>
            <w:r w:rsidR="00FC0FF1" w:rsidRPr="007331B0">
              <w:rPr>
                <w:rFonts w:cs="Calibri"/>
              </w:rPr>
              <w:t>Victorian Information Security Network (</w:t>
            </w:r>
            <w:r w:rsidR="00F851BA" w:rsidRPr="007331B0">
              <w:rPr>
                <w:rFonts w:cs="Calibri"/>
                <w:b/>
                <w:bCs/>
              </w:rPr>
              <w:t>VISN</w:t>
            </w:r>
            <w:r w:rsidR="00FC0FF1" w:rsidRPr="007331B0">
              <w:rPr>
                <w:rFonts w:cs="Calibri"/>
              </w:rPr>
              <w:t>)</w:t>
            </w:r>
            <w:r w:rsidR="00F851BA" w:rsidRPr="007331B0">
              <w:rPr>
                <w:rFonts w:cs="Calibri"/>
              </w:rPr>
              <w:t xml:space="preserve"> </w:t>
            </w:r>
            <w:r w:rsidR="00FC0FF1" w:rsidRPr="007331B0">
              <w:rPr>
                <w:rFonts w:cs="Calibri"/>
              </w:rPr>
              <w:t>on</w:t>
            </w:r>
            <w:r w:rsidR="00F851BA" w:rsidRPr="007331B0">
              <w:rPr>
                <w:rFonts w:cs="Calibri"/>
              </w:rPr>
              <w:t xml:space="preserve"> </w:t>
            </w:r>
            <w:r w:rsidRPr="007331B0">
              <w:rPr>
                <w:rFonts w:cs="Calibri"/>
              </w:rPr>
              <w:t>GovTEAMS</w:t>
            </w:r>
            <w:r w:rsidR="00F851BA" w:rsidRPr="007331B0">
              <w:rPr>
                <w:rFonts w:cs="Calibri"/>
              </w:rPr>
              <w:t xml:space="preserve"> and </w:t>
            </w:r>
            <w:r w:rsidR="0000116C" w:rsidRPr="007331B0">
              <w:rPr>
                <w:rFonts w:cs="Calibri"/>
              </w:rPr>
              <w:t xml:space="preserve">in </w:t>
            </w:r>
            <w:r w:rsidR="00F851BA" w:rsidRPr="007331B0">
              <w:rPr>
                <w:rFonts w:cs="Calibri"/>
              </w:rPr>
              <w:t xml:space="preserve">OVIC’s </w:t>
            </w:r>
            <w:r w:rsidR="0000116C" w:rsidRPr="007331B0">
              <w:rPr>
                <w:rFonts w:cs="Calibri"/>
              </w:rPr>
              <w:t>annual report</w:t>
            </w:r>
            <w:r w:rsidR="007331B0" w:rsidRPr="007331B0">
              <w:rPr>
                <w:rFonts w:cs="Calibri"/>
              </w:rPr>
              <w:t>, and quarterly incident reports.</w:t>
            </w:r>
          </w:p>
          <w:p w14:paraId="1D4FA5CB" w14:textId="593D2AE5" w:rsidR="0000116C" w:rsidRPr="00F851BA" w:rsidRDefault="0000116C" w:rsidP="00220EFB">
            <w:pPr>
              <w:pStyle w:val="Linebreak11pt"/>
              <w:rPr>
                <w:rFonts w:cs="Calibri"/>
              </w:rPr>
            </w:pPr>
          </w:p>
        </w:tc>
      </w:tr>
      <w:tr w:rsidR="00F851BA" w:rsidRPr="00F851BA" w14:paraId="438769D4" w14:textId="77777777" w:rsidTr="007B48A0">
        <w:tc>
          <w:tcPr>
            <w:tcW w:w="4531" w:type="dxa"/>
            <w:shd w:val="clear" w:color="auto" w:fill="F2F2F2"/>
          </w:tcPr>
          <w:p w14:paraId="19E8C3D7" w14:textId="3ABCD390" w:rsidR="00220EFB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How often will you be publishing statistics from the 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ISINS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>?</w:t>
            </w:r>
          </w:p>
        </w:tc>
        <w:tc>
          <w:tcPr>
            <w:tcW w:w="5103" w:type="dxa"/>
            <w:shd w:val="clear" w:color="auto" w:fill="F2F2F2"/>
          </w:tcPr>
          <w:p w14:paraId="171B3D70" w14:textId="142576A3" w:rsidR="00220EFB" w:rsidRDefault="00C22987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7331B0">
              <w:rPr>
                <w:rFonts w:cs="Calibri"/>
                <w:color w:val="55565A"/>
                <w:sz w:val="22"/>
                <w:szCs w:val="22"/>
              </w:rPr>
              <w:t>We expect t</w:t>
            </w:r>
            <w:r w:rsidR="007331B0" w:rsidRPr="007331B0">
              <w:rPr>
                <w:rFonts w:cs="Calibri"/>
                <w:color w:val="55565A"/>
                <w:sz w:val="22"/>
                <w:szCs w:val="22"/>
              </w:rPr>
              <w:t>h</w:t>
            </w:r>
            <w:r w:rsidRPr="007331B0">
              <w:rPr>
                <w:rFonts w:cs="Calibri"/>
                <w:color w:val="55565A"/>
                <w:sz w:val="22"/>
                <w:szCs w:val="22"/>
              </w:rPr>
              <w:t>e</w:t>
            </w:r>
            <w:r w:rsidR="00F851BA" w:rsidRPr="007331B0">
              <w:rPr>
                <w:rFonts w:cs="Calibri"/>
                <w:color w:val="55565A"/>
                <w:sz w:val="22"/>
                <w:szCs w:val="22"/>
              </w:rPr>
              <w:t xml:space="preserve"> first report on the ISINS will be published </w:t>
            </w:r>
            <w:r w:rsidR="007331B0" w:rsidRPr="007331B0">
              <w:rPr>
                <w:rFonts w:cs="Calibri"/>
                <w:color w:val="55565A"/>
                <w:sz w:val="22"/>
                <w:szCs w:val="22"/>
              </w:rPr>
              <w:t>mid</w:t>
            </w:r>
            <w:r w:rsidR="0000116C" w:rsidRPr="007331B0">
              <w:rPr>
                <w:rFonts w:cs="Calibri"/>
                <w:color w:val="55565A"/>
                <w:sz w:val="22"/>
                <w:szCs w:val="22"/>
              </w:rPr>
              <w:t xml:space="preserve"> 2020</w:t>
            </w:r>
            <w:r w:rsidR="00F851BA" w:rsidRPr="007331B0">
              <w:rPr>
                <w:rFonts w:cs="Calibri"/>
                <w:color w:val="55565A"/>
                <w:sz w:val="22"/>
                <w:szCs w:val="22"/>
              </w:rPr>
              <w:t xml:space="preserve"> with subsequent reports </w:t>
            </w:r>
            <w:r w:rsidR="00220EFB" w:rsidRPr="007331B0">
              <w:rPr>
                <w:rFonts w:cs="Calibri"/>
                <w:color w:val="55565A"/>
                <w:sz w:val="22"/>
                <w:szCs w:val="22"/>
              </w:rPr>
              <w:t xml:space="preserve">published </w:t>
            </w:r>
            <w:r w:rsidR="00F851BA" w:rsidRPr="007331B0">
              <w:rPr>
                <w:rFonts w:cs="Calibri"/>
                <w:color w:val="55565A"/>
                <w:sz w:val="22"/>
                <w:szCs w:val="22"/>
              </w:rPr>
              <w:t>quarterly.</w:t>
            </w:r>
            <w:r w:rsidR="00F851BA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</w:p>
          <w:p w14:paraId="11ADBC71" w14:textId="0F3248B0" w:rsidR="0000116C" w:rsidRPr="00F851BA" w:rsidRDefault="0000116C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</w:tc>
      </w:tr>
      <w:tr w:rsidR="00F851BA" w:rsidRPr="00F851BA" w14:paraId="7AA78C21" w14:textId="77777777" w:rsidTr="007B48A0">
        <w:tc>
          <w:tcPr>
            <w:tcW w:w="4531" w:type="dxa"/>
            <w:shd w:val="clear" w:color="auto" w:fill="F2F2F2"/>
          </w:tcPr>
          <w:p w14:paraId="3CF3BFE2" w14:textId="1FE614AF" w:rsidR="00220EFB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  <w:lang w:eastAsia="en-GB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>What constitutes an information security incident (as opposed to a privacy breach, etc)?</w:t>
            </w:r>
          </w:p>
        </w:tc>
        <w:tc>
          <w:tcPr>
            <w:tcW w:w="5103" w:type="dxa"/>
            <w:shd w:val="clear" w:color="auto" w:fill="F2F2F2"/>
          </w:tcPr>
          <w:p w14:paraId="6FE0F8EB" w14:textId="73B8F7FC" w:rsidR="00DD5274" w:rsidRDefault="00375412" w:rsidP="00DD5274">
            <w:pPr>
              <w:pStyle w:val="Linebreak11p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</w:t>
            </w:r>
            <w:r w:rsidR="00DD5274" w:rsidRPr="00DD5274">
              <w:rPr>
                <w:rFonts w:cs="Calibri"/>
                <w:lang w:val="en-US"/>
              </w:rPr>
              <w:t xml:space="preserve"> </w:t>
            </w:r>
            <w:r w:rsidR="00DD5274">
              <w:rPr>
                <w:rFonts w:cs="Calibri"/>
                <w:lang w:val="en-US"/>
              </w:rPr>
              <w:t xml:space="preserve">terms incident vs. breach </w:t>
            </w:r>
            <w:r w:rsidR="00DD5274" w:rsidRPr="00DD5274">
              <w:rPr>
                <w:rFonts w:cs="Calibri"/>
                <w:lang w:val="en-US"/>
              </w:rPr>
              <w:t>are quite distinct and have different meanings</w:t>
            </w:r>
            <w:r w:rsidR="00DD5274">
              <w:rPr>
                <w:rFonts w:cs="Calibri"/>
                <w:lang w:val="en-US"/>
              </w:rPr>
              <w:t>.</w:t>
            </w:r>
          </w:p>
          <w:p w14:paraId="7B249FC6" w14:textId="77777777" w:rsidR="00DD5274" w:rsidRDefault="00DD5274" w:rsidP="00DD5274">
            <w:pPr>
              <w:pStyle w:val="Linebreak11pt"/>
              <w:rPr>
                <w:rFonts w:cs="Calibri"/>
                <w:lang w:val="en-US"/>
              </w:rPr>
            </w:pPr>
          </w:p>
          <w:p w14:paraId="2712FE84" w14:textId="0FB533DB" w:rsidR="00572DAF" w:rsidRPr="00DD5274" w:rsidRDefault="00DD5274" w:rsidP="00DD5274">
            <w:pPr>
              <w:pStyle w:val="Linebreak11pt"/>
              <w:rPr>
                <w:rFonts w:cs="Calibri"/>
                <w:lang w:val="en-US"/>
              </w:rPr>
            </w:pPr>
            <w:r>
              <w:rPr>
                <w:rFonts w:cs="Calibri"/>
                <w:lang w:val="en-AU"/>
              </w:rPr>
              <w:t>A</w:t>
            </w:r>
            <w:r w:rsidRPr="00DD5274">
              <w:rPr>
                <w:rFonts w:cs="Calibri"/>
                <w:lang w:val="en-AU"/>
              </w:rPr>
              <w:t xml:space="preserve">n </w:t>
            </w:r>
            <w:r w:rsidRPr="00DD5274">
              <w:rPr>
                <w:rFonts w:cs="Calibri"/>
                <w:b/>
                <w:bCs/>
                <w:lang w:val="en-AU"/>
              </w:rPr>
              <w:t>incident</w:t>
            </w:r>
            <w:r w:rsidRPr="00DD5274">
              <w:rPr>
                <w:rFonts w:cs="Calibri"/>
                <w:lang w:val="en-AU"/>
              </w:rPr>
              <w:t xml:space="preserve"> </w:t>
            </w:r>
            <w:r w:rsidR="00DB7596">
              <w:rPr>
                <w:rFonts w:cs="Calibri"/>
                <w:lang w:val="en-AU"/>
              </w:rPr>
              <w:t>refers to</w:t>
            </w:r>
            <w:r w:rsidR="00375412">
              <w:rPr>
                <w:rFonts w:cs="Calibri"/>
                <w:lang w:val="en-AU"/>
              </w:rPr>
              <w:t xml:space="preserve"> </w:t>
            </w:r>
            <w:r w:rsidR="00DB7596">
              <w:rPr>
                <w:rFonts w:cs="Calibri"/>
                <w:lang w:val="en-AU"/>
              </w:rPr>
              <w:t xml:space="preserve">a compromise </w:t>
            </w:r>
            <w:r w:rsidR="00375412">
              <w:rPr>
                <w:rFonts w:cs="Calibri"/>
                <w:lang w:val="en-AU"/>
              </w:rPr>
              <w:t xml:space="preserve">to the </w:t>
            </w:r>
            <w:r w:rsidR="00572DAF">
              <w:rPr>
                <w:rFonts w:cs="Calibri"/>
                <w:lang w:val="en-AU"/>
              </w:rPr>
              <w:t>confidentiality, integrity and availab</w:t>
            </w:r>
            <w:r w:rsidR="00375412">
              <w:rPr>
                <w:rFonts w:cs="Calibri"/>
                <w:lang w:val="en-AU"/>
              </w:rPr>
              <w:t>ility of information or information systems</w:t>
            </w:r>
            <w:r w:rsidR="00572DAF">
              <w:rPr>
                <w:rFonts w:cs="Calibri"/>
                <w:lang w:val="en-US"/>
              </w:rPr>
              <w:t>.</w:t>
            </w:r>
            <w:r w:rsidR="00F21AE6">
              <w:rPr>
                <w:rFonts w:cs="Calibri"/>
                <w:lang w:val="en-US"/>
              </w:rPr>
              <w:t xml:space="preserve"> </w:t>
            </w:r>
            <w:r w:rsidR="00380CE2">
              <w:rPr>
                <w:rFonts w:cs="Calibri"/>
                <w:lang w:val="en-US"/>
              </w:rPr>
              <w:t>Whereas a</w:t>
            </w:r>
            <w:r w:rsidRPr="00DD5274">
              <w:rPr>
                <w:rFonts w:cs="Calibri"/>
                <w:lang w:val="en-US"/>
              </w:rPr>
              <w:t xml:space="preserve"> </w:t>
            </w:r>
            <w:r w:rsidRPr="00DD5274">
              <w:rPr>
                <w:rFonts w:cs="Calibri"/>
                <w:b/>
                <w:bCs/>
                <w:lang w:val="en-US"/>
              </w:rPr>
              <w:t>breach</w:t>
            </w:r>
            <w:r w:rsidR="00380CE2">
              <w:rPr>
                <w:rFonts w:cs="Calibri"/>
                <w:b/>
                <w:bCs/>
                <w:lang w:val="en-US"/>
              </w:rPr>
              <w:t xml:space="preserve"> </w:t>
            </w:r>
            <w:r w:rsidRPr="00DD5274">
              <w:rPr>
                <w:rFonts w:cs="Calibri"/>
                <w:lang w:val="en-US"/>
              </w:rPr>
              <w:t>primarily focuses on a compromise to the confidentiality of information</w:t>
            </w:r>
            <w:r w:rsidR="00572DAF">
              <w:rPr>
                <w:rFonts w:cs="Calibri"/>
                <w:lang w:val="en-US"/>
              </w:rPr>
              <w:t xml:space="preserve">. </w:t>
            </w:r>
          </w:p>
          <w:p w14:paraId="6356DCD1" w14:textId="77777777" w:rsidR="00940D43" w:rsidRDefault="00940D43" w:rsidP="00220EFB">
            <w:pPr>
              <w:pStyle w:val="Linebreak11pt"/>
              <w:rPr>
                <w:rFonts w:cs="Calibri"/>
              </w:rPr>
            </w:pPr>
          </w:p>
          <w:p w14:paraId="069BA33E" w14:textId="2FEB2DA3" w:rsidR="00C22987" w:rsidRPr="00F851BA" w:rsidRDefault="00220EFB" w:rsidP="00C22987">
            <w:pPr>
              <w:pStyle w:val="Linebreak11pt"/>
              <w:rPr>
                <w:rFonts w:cs="Calibri"/>
              </w:rPr>
            </w:pPr>
            <w:r w:rsidRPr="00F851BA">
              <w:rPr>
                <w:rFonts w:cs="Calibri"/>
              </w:rPr>
              <w:t>For more information about</w:t>
            </w:r>
            <w:r w:rsidR="00F21AE6">
              <w:rPr>
                <w:rFonts w:cs="Calibri"/>
              </w:rPr>
              <w:t xml:space="preserve">, the </w:t>
            </w:r>
            <w:hyperlink r:id="rId17" w:history="1">
              <w:r w:rsidR="00F21AE6" w:rsidRPr="00F21AE6">
                <w:rPr>
                  <w:rStyle w:val="Hyperlink"/>
                  <w:rFonts w:cs="Calibri"/>
                </w:rPr>
                <w:t>Information Security Incident Notification Scheme (ISINS)</w:t>
              </w:r>
            </w:hyperlink>
            <w:r w:rsidR="00F21AE6">
              <w:rPr>
                <w:rFonts w:cs="Calibri"/>
              </w:rPr>
              <w:t xml:space="preserve"> or</w:t>
            </w:r>
            <w:r w:rsidRPr="00F851BA">
              <w:rPr>
                <w:rFonts w:cs="Calibri"/>
              </w:rPr>
              <w:t xml:space="preserve"> </w:t>
            </w:r>
            <w:hyperlink r:id="rId18" w:history="1">
              <w:r w:rsidRPr="00F21AE6">
                <w:rPr>
                  <w:rStyle w:val="Hyperlink"/>
                  <w:rFonts w:cs="Calibri"/>
                  <w:color w:val="0070C0"/>
                </w:rPr>
                <w:t>privacy breaches</w:t>
              </w:r>
            </w:hyperlink>
            <w:r w:rsidRPr="00F21AE6">
              <w:rPr>
                <w:rFonts w:cs="Calibri"/>
                <w:color w:val="0070C0"/>
              </w:rPr>
              <w:t>,</w:t>
            </w:r>
            <w:r w:rsidR="00F21AE6" w:rsidRPr="00F21AE6">
              <w:rPr>
                <w:rFonts w:cs="Calibri"/>
                <w:color w:val="0070C0"/>
              </w:rPr>
              <w:t xml:space="preserve"> </w:t>
            </w:r>
            <w:r w:rsidRPr="00F851BA">
              <w:rPr>
                <w:rFonts w:cs="Calibri"/>
              </w:rPr>
              <w:t>please see OVIC’s website</w:t>
            </w:r>
            <w:r w:rsidR="00DD5274">
              <w:rPr>
                <w:rFonts w:cs="Calibri"/>
              </w:rPr>
              <w:t>.</w:t>
            </w:r>
          </w:p>
          <w:p w14:paraId="6E152115" w14:textId="080D1903" w:rsidR="00C22987" w:rsidRPr="00F851BA" w:rsidRDefault="00C22987" w:rsidP="00220EFB">
            <w:pPr>
              <w:pStyle w:val="Linebreak11pt"/>
              <w:rPr>
                <w:rFonts w:cs="Calibri"/>
              </w:rPr>
            </w:pPr>
          </w:p>
        </w:tc>
      </w:tr>
      <w:tr w:rsidR="00F851BA" w:rsidRPr="00F851BA" w14:paraId="662DDA3A" w14:textId="77777777" w:rsidTr="007B48A0">
        <w:tc>
          <w:tcPr>
            <w:tcW w:w="4531" w:type="dxa"/>
            <w:shd w:val="clear" w:color="auto" w:fill="F2F2F2"/>
          </w:tcPr>
          <w:p w14:paraId="08B7BAF0" w14:textId="5407D838" w:rsidR="00220EFB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  <w:lang w:eastAsia="en-GB"/>
              </w:rPr>
            </w:pPr>
            <w:r w:rsidRPr="00FC0FF1">
              <w:rPr>
                <w:rFonts w:cs="Calibri"/>
                <w:color w:val="55565A"/>
                <w:sz w:val="22"/>
                <w:szCs w:val="22"/>
              </w:rPr>
              <w:t>An incident has occurred during or since the release of the ISINS which</w:t>
            </w:r>
            <w:r w:rsidR="008E4A19" w:rsidRPr="00FC0FF1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 w:rsidRPr="00FC0FF1">
              <w:rPr>
                <w:rFonts w:cs="Calibri"/>
                <w:color w:val="55565A"/>
                <w:sz w:val="22"/>
                <w:szCs w:val="22"/>
              </w:rPr>
              <w:t xml:space="preserve">should have </w:t>
            </w:r>
            <w:r w:rsidR="008E4A19" w:rsidRPr="00FC0FF1">
              <w:rPr>
                <w:rFonts w:cs="Calibri"/>
                <w:color w:val="55565A"/>
                <w:sz w:val="22"/>
                <w:szCs w:val="22"/>
              </w:rPr>
              <w:t xml:space="preserve">been </w:t>
            </w:r>
            <w:r w:rsidRPr="00FC0FF1">
              <w:rPr>
                <w:rFonts w:cs="Calibri"/>
                <w:color w:val="55565A"/>
                <w:sz w:val="22"/>
                <w:szCs w:val="22"/>
              </w:rPr>
              <w:t xml:space="preserve">reported to OVIC, however </w:t>
            </w:r>
            <w:r w:rsidR="008E4A19" w:rsidRPr="00FC0FF1">
              <w:rPr>
                <w:rFonts w:cs="Calibri"/>
                <w:color w:val="55565A"/>
                <w:sz w:val="22"/>
                <w:szCs w:val="22"/>
              </w:rPr>
              <w:t>was</w:t>
            </w:r>
            <w:r w:rsidRPr="00FC0FF1">
              <w:rPr>
                <w:rFonts w:cs="Calibri"/>
                <w:color w:val="55565A"/>
                <w:sz w:val="22"/>
                <w:szCs w:val="22"/>
              </w:rPr>
              <w:t xml:space="preserve"> not.</w:t>
            </w:r>
            <w:r w:rsidRPr="00FC0FF1">
              <w:rPr>
                <w:rFonts w:cs="Calibri"/>
                <w:color w:val="55565A"/>
                <w:sz w:val="22"/>
                <w:szCs w:val="22"/>
              </w:rPr>
              <w:br/>
              <w:t>Is there any flexibility with the 30-day deadline?</w:t>
            </w:r>
          </w:p>
        </w:tc>
        <w:tc>
          <w:tcPr>
            <w:tcW w:w="5103" w:type="dxa"/>
            <w:shd w:val="clear" w:color="auto" w:fill="F2F2F2"/>
          </w:tcPr>
          <w:p w14:paraId="249259DE" w14:textId="28C0742C" w:rsidR="0000116C" w:rsidRDefault="00F21AE6" w:rsidP="00220EFB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00116C">
              <w:rPr>
                <w:rFonts w:cs="Calibri"/>
              </w:rPr>
              <w:t xml:space="preserve">s the </w:t>
            </w:r>
            <w:r>
              <w:rPr>
                <w:rFonts w:cs="Calibri"/>
              </w:rPr>
              <w:t xml:space="preserve">ISINS </w:t>
            </w:r>
            <w:r w:rsidR="0000116C">
              <w:rPr>
                <w:rFonts w:cs="Calibri"/>
              </w:rPr>
              <w:t xml:space="preserve">scheme is still </w:t>
            </w:r>
            <w:r>
              <w:rPr>
                <w:rFonts w:cs="Calibri"/>
              </w:rPr>
              <w:t xml:space="preserve">relatively </w:t>
            </w:r>
            <w:r w:rsidR="0000116C">
              <w:rPr>
                <w:rFonts w:cs="Calibri"/>
              </w:rPr>
              <w:t xml:space="preserve">new, </w:t>
            </w:r>
            <w:r>
              <w:rPr>
                <w:rFonts w:cs="Calibri"/>
              </w:rPr>
              <w:t xml:space="preserve">OVIC is </w:t>
            </w:r>
            <w:r w:rsidR="00614CFC">
              <w:rPr>
                <w:rFonts w:cs="Calibri"/>
              </w:rPr>
              <w:t>providing</w:t>
            </w:r>
            <w:r>
              <w:rPr>
                <w:rFonts w:cs="Calibri"/>
              </w:rPr>
              <w:t xml:space="preserve"> organisations</w:t>
            </w:r>
            <w:r w:rsidR="0000116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the opportunity </w:t>
            </w:r>
            <w:r w:rsidR="0000116C">
              <w:rPr>
                <w:rFonts w:cs="Calibri"/>
              </w:rPr>
              <w:t xml:space="preserve">to report </w:t>
            </w:r>
            <w:r w:rsidR="00614CFC">
              <w:rPr>
                <w:rFonts w:cs="Calibri"/>
              </w:rPr>
              <w:t>‘</w:t>
            </w:r>
            <w:r w:rsidR="0000116C">
              <w:rPr>
                <w:rFonts w:cs="Calibri"/>
              </w:rPr>
              <w:t>aged</w:t>
            </w:r>
            <w:r w:rsidR="00614CFC">
              <w:rPr>
                <w:rFonts w:cs="Calibri"/>
              </w:rPr>
              <w:t>’</w:t>
            </w:r>
            <w:r w:rsidR="0000116C">
              <w:rPr>
                <w:rFonts w:cs="Calibri"/>
              </w:rPr>
              <w:t xml:space="preserve"> information security incidents </w:t>
            </w:r>
            <w:r w:rsidR="00614CFC">
              <w:rPr>
                <w:rFonts w:cs="Calibri"/>
              </w:rPr>
              <w:t xml:space="preserve">that may have occurred </w:t>
            </w:r>
            <w:r w:rsidR="0000116C">
              <w:rPr>
                <w:rFonts w:cs="Calibri"/>
              </w:rPr>
              <w:t>since November 2019</w:t>
            </w:r>
            <w:r w:rsidR="00614CFC">
              <w:rPr>
                <w:rFonts w:cs="Calibri"/>
              </w:rPr>
              <w:t xml:space="preserve"> and are of</w:t>
            </w:r>
            <w:r w:rsidR="0000116C">
              <w:rPr>
                <w:rFonts w:cs="Calibri"/>
              </w:rPr>
              <w:t xml:space="preserve"> a BIL 2 or higher</w:t>
            </w:r>
            <w:r>
              <w:rPr>
                <w:rFonts w:cs="Calibri"/>
              </w:rPr>
              <w:t>. This amnesty will for aged incidents at the end of</w:t>
            </w:r>
            <w:r w:rsidR="0000116C">
              <w:rPr>
                <w:rFonts w:cs="Calibri"/>
              </w:rPr>
              <w:t xml:space="preserve"> </w:t>
            </w:r>
            <w:r w:rsidR="00FC0FF1">
              <w:rPr>
                <w:rFonts w:cs="Calibri"/>
              </w:rPr>
              <w:t>June</w:t>
            </w:r>
            <w:r w:rsidR="0000116C">
              <w:rPr>
                <w:rFonts w:cs="Calibri"/>
              </w:rPr>
              <w:t xml:space="preserve"> 2020.</w:t>
            </w:r>
          </w:p>
          <w:p w14:paraId="7A5951F4" w14:textId="77777777" w:rsidR="0000116C" w:rsidRPr="00F851BA" w:rsidRDefault="0000116C" w:rsidP="00220EFB">
            <w:pPr>
              <w:pStyle w:val="Linebreak11pt"/>
              <w:rPr>
                <w:rFonts w:cs="Calibri"/>
              </w:rPr>
            </w:pPr>
          </w:p>
          <w:p w14:paraId="1DAACF2E" w14:textId="08E110BE" w:rsidR="00220EFB" w:rsidRDefault="0000116C" w:rsidP="00614CF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After </w:t>
            </w:r>
            <w:r w:rsidR="00F21AE6">
              <w:rPr>
                <w:rFonts w:cs="Calibri"/>
              </w:rPr>
              <w:t>June 2020</w:t>
            </w:r>
            <w:r>
              <w:rPr>
                <w:rFonts w:cs="Calibri"/>
              </w:rPr>
              <w:t>, i</w:t>
            </w:r>
            <w:r w:rsidR="00220EFB" w:rsidRPr="00F851BA">
              <w:rPr>
                <w:rFonts w:cs="Calibri"/>
              </w:rPr>
              <w:t xml:space="preserve">f </w:t>
            </w:r>
            <w:r w:rsidR="00F21AE6">
              <w:rPr>
                <w:rFonts w:cs="Calibri"/>
              </w:rPr>
              <w:t>organisations fail to notify OVIC within 30 days of identifying an incident</w:t>
            </w:r>
            <w:r w:rsidR="00220EFB" w:rsidRPr="00F851BA">
              <w:rPr>
                <w:rFonts w:cs="Calibri"/>
              </w:rPr>
              <w:t>, OVIC</w:t>
            </w:r>
            <w:r w:rsidR="00614CFC">
              <w:rPr>
                <w:rFonts w:cs="Calibri"/>
              </w:rPr>
              <w:t xml:space="preserve"> will </w:t>
            </w:r>
            <w:r w:rsidR="00220EFB" w:rsidRPr="00F851BA">
              <w:rPr>
                <w:rFonts w:cs="Calibri"/>
              </w:rPr>
              <w:t>still accept the notification</w:t>
            </w:r>
            <w:r w:rsidR="00E366BB" w:rsidRPr="00F851BA">
              <w:rPr>
                <w:rFonts w:cs="Calibri"/>
              </w:rPr>
              <w:t xml:space="preserve"> and provide guidance if needed</w:t>
            </w:r>
            <w:r w:rsidR="00614CFC">
              <w:rPr>
                <w:rFonts w:cs="Calibri"/>
              </w:rPr>
              <w:t>, but d</w:t>
            </w:r>
            <w:r w:rsidR="00E366BB" w:rsidRPr="00614CFC">
              <w:rPr>
                <w:rFonts w:cs="Calibri"/>
              </w:rPr>
              <w:t>epending on the circumstances</w:t>
            </w:r>
            <w:r w:rsidR="00F21AE6" w:rsidRPr="00614CFC">
              <w:rPr>
                <w:rFonts w:cs="Calibri"/>
              </w:rPr>
              <w:t>,</w:t>
            </w:r>
            <w:r w:rsidR="00E366BB" w:rsidRPr="00614CFC">
              <w:rPr>
                <w:rFonts w:cs="Calibri"/>
              </w:rPr>
              <w:t xml:space="preserve"> may also decide that </w:t>
            </w:r>
            <w:r w:rsidR="00F851BA" w:rsidRPr="00614CFC">
              <w:rPr>
                <w:rFonts w:cs="Calibri"/>
              </w:rPr>
              <w:t xml:space="preserve">it is appropriate </w:t>
            </w:r>
            <w:r w:rsidR="00E366BB" w:rsidRPr="00614CFC">
              <w:rPr>
                <w:rFonts w:cs="Calibri"/>
              </w:rPr>
              <w:t xml:space="preserve">to activate </w:t>
            </w:r>
            <w:r w:rsidR="00F851BA" w:rsidRPr="00614CFC">
              <w:rPr>
                <w:rFonts w:cs="Calibri"/>
              </w:rPr>
              <w:t>its</w:t>
            </w:r>
            <w:r w:rsidR="00E366BB" w:rsidRPr="00614CFC">
              <w:rPr>
                <w:rFonts w:cs="Calibri"/>
              </w:rPr>
              <w:t xml:space="preserve"> Regulatory Action Plan.</w:t>
            </w:r>
          </w:p>
          <w:p w14:paraId="3D4BF588" w14:textId="26173833" w:rsidR="00614CFC" w:rsidRDefault="00614CFC" w:rsidP="00614CFC">
            <w:pPr>
              <w:pStyle w:val="Linebreak11pt"/>
              <w:rPr>
                <w:rFonts w:cs="Calibri"/>
              </w:rPr>
            </w:pPr>
          </w:p>
          <w:p w14:paraId="63D3D58A" w14:textId="1818F383" w:rsidR="00614CFC" w:rsidRPr="00614CFC" w:rsidRDefault="00614CFC" w:rsidP="00614CF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For more information about OVIC’s </w:t>
            </w:r>
            <w:hyperlink r:id="rId19" w:history="1">
              <w:r w:rsidRPr="00614CFC">
                <w:rPr>
                  <w:rStyle w:val="Hyperlink"/>
                  <w:rFonts w:cs="Calibri"/>
                </w:rPr>
                <w:t>Regulatory Action Plan</w:t>
              </w:r>
            </w:hyperlink>
            <w:r>
              <w:rPr>
                <w:rFonts w:cs="Calibri"/>
              </w:rPr>
              <w:t>, please see OVIC’s website.</w:t>
            </w:r>
          </w:p>
          <w:p w14:paraId="0B8B40DD" w14:textId="01CFD854" w:rsidR="0000116C" w:rsidRPr="00F851BA" w:rsidRDefault="0000116C" w:rsidP="00220EFB">
            <w:pPr>
              <w:pStyle w:val="Linebreak11pt"/>
              <w:rPr>
                <w:rFonts w:cs="Calibri"/>
              </w:rPr>
            </w:pPr>
          </w:p>
        </w:tc>
      </w:tr>
      <w:tr w:rsidR="00F851BA" w:rsidRPr="00F851BA" w14:paraId="0DD198AC" w14:textId="77777777" w:rsidTr="007B48A0">
        <w:tc>
          <w:tcPr>
            <w:tcW w:w="4531" w:type="dxa"/>
            <w:shd w:val="clear" w:color="auto" w:fill="F2F2F2"/>
          </w:tcPr>
          <w:p w14:paraId="2C9DD419" w14:textId="149555BB" w:rsidR="00220EFB" w:rsidRPr="00F851BA" w:rsidRDefault="00220EFB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Is 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i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ncident 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n</w:t>
            </w:r>
            <w:r w:rsidR="00E3559D">
              <w:rPr>
                <w:rFonts w:cs="Calibri"/>
                <w:color w:val="55565A"/>
                <w:sz w:val="22"/>
                <w:szCs w:val="22"/>
              </w:rPr>
              <w:t>otification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 purely for statistical analysis?</w:t>
            </w:r>
          </w:p>
        </w:tc>
        <w:tc>
          <w:tcPr>
            <w:tcW w:w="5103" w:type="dxa"/>
            <w:shd w:val="clear" w:color="auto" w:fill="F2F2F2"/>
          </w:tcPr>
          <w:p w14:paraId="6304D92F" w14:textId="77777777" w:rsidR="00E62706" w:rsidRDefault="00E3559D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 xml:space="preserve">Information 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s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ecurity 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i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ncident </w:t>
            </w:r>
            <w:r w:rsidR="00FC0FF1">
              <w:rPr>
                <w:rFonts w:cs="Calibri"/>
                <w:color w:val="55565A"/>
                <w:sz w:val="22"/>
                <w:szCs w:val="22"/>
              </w:rPr>
              <w:t>n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otification serves a number of purposes. </w:t>
            </w:r>
          </w:p>
          <w:p w14:paraId="2491DAA4" w14:textId="77777777" w:rsidR="00E62706" w:rsidRDefault="00E62706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673938C2" w14:textId="40EEA517" w:rsidR="00E62706" w:rsidRDefault="00D1002F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>N</w:t>
            </w:r>
            <w:r w:rsidR="00E62706">
              <w:rPr>
                <w:rFonts w:cs="Calibri"/>
                <w:color w:val="55565A"/>
                <w:sz w:val="22"/>
                <w:szCs w:val="22"/>
              </w:rPr>
              <w:t>otifications provide</w:t>
            </w:r>
            <w:r w:rsidR="00E3559D">
              <w:rPr>
                <w:rFonts w:cs="Calibri"/>
                <w:color w:val="55565A"/>
                <w:sz w:val="22"/>
                <w:szCs w:val="22"/>
              </w:rPr>
              <w:t xml:space="preserve"> OVI</w:t>
            </w:r>
            <w:r w:rsidR="00E62706">
              <w:rPr>
                <w:rFonts w:cs="Calibri"/>
                <w:color w:val="55565A"/>
                <w:sz w:val="22"/>
                <w:szCs w:val="22"/>
              </w:rPr>
              <w:t>C important insight into, and</w:t>
            </w:r>
            <w:r w:rsidR="00E3559D">
              <w:rPr>
                <w:rFonts w:cs="Calibri"/>
                <w:color w:val="55565A"/>
                <w:sz w:val="22"/>
                <w:szCs w:val="22"/>
              </w:rPr>
              <w:t xml:space="preserve"> oversight of</w:t>
            </w:r>
            <w:r w:rsidR="00E62706">
              <w:rPr>
                <w:rFonts w:cs="Calibri"/>
                <w:color w:val="55565A"/>
                <w:sz w:val="22"/>
                <w:szCs w:val="22"/>
              </w:rPr>
              <w:t>,</w:t>
            </w:r>
            <w:r w:rsidR="00E3559D">
              <w:rPr>
                <w:rFonts w:cs="Calibri"/>
                <w:color w:val="55565A"/>
                <w:sz w:val="22"/>
                <w:szCs w:val="22"/>
              </w:rPr>
              <w:t xml:space="preserve"> the </w:t>
            </w:r>
            <w:r w:rsidR="0057407F">
              <w:rPr>
                <w:rFonts w:cs="Calibri"/>
                <w:color w:val="55565A"/>
                <w:sz w:val="22"/>
                <w:szCs w:val="22"/>
              </w:rPr>
              <w:t xml:space="preserve">information security </w:t>
            </w:r>
            <w:r w:rsidR="00E3559D">
              <w:rPr>
                <w:rFonts w:cs="Calibri"/>
                <w:color w:val="55565A"/>
                <w:sz w:val="22"/>
                <w:szCs w:val="22"/>
              </w:rPr>
              <w:t xml:space="preserve">threat environment </w:t>
            </w:r>
            <w:r w:rsidR="00E62706">
              <w:rPr>
                <w:rFonts w:cs="Calibri"/>
                <w:color w:val="55565A"/>
                <w:sz w:val="22"/>
                <w:szCs w:val="22"/>
              </w:rPr>
              <w:t>across the</w:t>
            </w:r>
            <w:r w:rsidR="0000116C">
              <w:rPr>
                <w:rFonts w:cs="Calibri"/>
                <w:color w:val="55565A"/>
                <w:sz w:val="22"/>
                <w:szCs w:val="22"/>
              </w:rPr>
              <w:t xml:space="preserve"> Victorian government.</w:t>
            </w:r>
            <w:r w:rsidR="00E3559D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</w:p>
          <w:p w14:paraId="488BDBF6" w14:textId="77777777" w:rsidR="00E62706" w:rsidRDefault="00E62706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26AD2100" w14:textId="77777777" w:rsidR="00D1002F" w:rsidRDefault="0000116C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 xml:space="preserve">This insight allows </w:t>
            </w:r>
            <w:r w:rsidR="00D1002F">
              <w:rPr>
                <w:rFonts w:cs="Calibri"/>
                <w:color w:val="55565A"/>
                <w:sz w:val="22"/>
                <w:szCs w:val="22"/>
              </w:rPr>
              <w:t>OVIC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 to tailor</w:t>
            </w:r>
            <w:r w:rsidR="0057407F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guidance </w:t>
            </w:r>
            <w:r w:rsidR="0057407F">
              <w:rPr>
                <w:rFonts w:cs="Calibri"/>
                <w:color w:val="55565A"/>
                <w:sz w:val="22"/>
                <w:szCs w:val="22"/>
              </w:rPr>
              <w:t xml:space="preserve">material 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and </w:t>
            </w:r>
            <w:r w:rsidR="00D1002F">
              <w:rPr>
                <w:rFonts w:cs="Calibri"/>
                <w:color w:val="55565A"/>
                <w:sz w:val="22"/>
                <w:szCs w:val="22"/>
              </w:rPr>
              <w:t xml:space="preserve">develop 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resources to better assist </w:t>
            </w:r>
            <w:r w:rsidR="00D1002F">
              <w:rPr>
                <w:rFonts w:cs="Calibri"/>
                <w:color w:val="55565A"/>
                <w:sz w:val="22"/>
                <w:szCs w:val="22"/>
              </w:rPr>
              <w:t>organisations to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 meet these threats. </w:t>
            </w:r>
          </w:p>
          <w:p w14:paraId="213DB71D" w14:textId="77777777" w:rsidR="00D1002F" w:rsidRDefault="00D1002F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350A4710" w14:textId="269C67E2" w:rsidR="00220EFB" w:rsidRDefault="004559A5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>OVIC will also provide reports</w:t>
            </w:r>
            <w:r w:rsidR="00D1002F">
              <w:rPr>
                <w:rFonts w:cs="Calibri"/>
                <w:color w:val="55565A"/>
                <w:sz w:val="22"/>
                <w:szCs w:val="22"/>
              </w:rPr>
              <w:t xml:space="preserve"> back to organisations </w:t>
            </w:r>
            <w:r>
              <w:rPr>
                <w:rFonts w:cs="Calibri"/>
                <w:color w:val="55565A"/>
                <w:sz w:val="22"/>
                <w:szCs w:val="22"/>
              </w:rPr>
              <w:t>that will provide further</w:t>
            </w:r>
            <w:r w:rsidR="00D1002F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 w:rsidR="00220EFB" w:rsidRPr="00F851BA">
              <w:rPr>
                <w:rFonts w:cs="Calibri"/>
                <w:color w:val="55565A"/>
                <w:sz w:val="22"/>
                <w:szCs w:val="22"/>
              </w:rPr>
              <w:t xml:space="preserve">insight </w:t>
            </w:r>
            <w:r w:rsidR="0057407F">
              <w:rPr>
                <w:rFonts w:cs="Calibri"/>
                <w:color w:val="55565A"/>
                <w:sz w:val="22"/>
                <w:szCs w:val="22"/>
              </w:rPr>
              <w:t>into</w:t>
            </w:r>
            <w:r w:rsidR="00220EFB" w:rsidRPr="00F851BA">
              <w:rPr>
                <w:rFonts w:cs="Calibri"/>
                <w:color w:val="55565A"/>
                <w:sz w:val="22"/>
                <w:szCs w:val="22"/>
              </w:rPr>
              <w:t xml:space="preserve"> the</w:t>
            </w:r>
            <w:r w:rsidR="00D1002F">
              <w:rPr>
                <w:rFonts w:cs="Calibri"/>
                <w:color w:val="55565A"/>
                <w:sz w:val="22"/>
                <w:szCs w:val="22"/>
              </w:rPr>
              <w:t xml:space="preserve"> broader</w:t>
            </w:r>
            <w:r w:rsidR="00220EFB" w:rsidRPr="00F851BA">
              <w:rPr>
                <w:rFonts w:cs="Calibri"/>
                <w:color w:val="55565A"/>
                <w:sz w:val="22"/>
                <w:szCs w:val="22"/>
              </w:rPr>
              <w:t xml:space="preserve"> risk </w:t>
            </w:r>
            <w:r w:rsidR="0057407F">
              <w:rPr>
                <w:rFonts w:cs="Calibri"/>
                <w:color w:val="55565A"/>
                <w:sz w:val="22"/>
                <w:szCs w:val="22"/>
              </w:rPr>
              <w:t>landscape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 in which they are operating. </w:t>
            </w:r>
          </w:p>
          <w:p w14:paraId="1B9690B1" w14:textId="3CDAE830" w:rsidR="0000116C" w:rsidRPr="00F851BA" w:rsidRDefault="0000116C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</w:tc>
      </w:tr>
      <w:tr w:rsidR="00F851BA" w:rsidRPr="00F851BA" w14:paraId="17FCC025" w14:textId="77777777" w:rsidTr="007B48A0">
        <w:tc>
          <w:tcPr>
            <w:tcW w:w="4531" w:type="dxa"/>
            <w:shd w:val="clear" w:color="auto" w:fill="F2F2F2"/>
          </w:tcPr>
          <w:p w14:paraId="3CDAC358" w14:textId="0D368F8B" w:rsidR="00220EFB" w:rsidRPr="007F2B8D" w:rsidRDefault="00220EFB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7F2B8D">
              <w:rPr>
                <w:rFonts w:cs="Calibri"/>
                <w:color w:val="55565A"/>
                <w:sz w:val="22"/>
                <w:szCs w:val="22"/>
              </w:rPr>
              <w:lastRenderedPageBreak/>
              <w:t>What’s is OVIC’s advice on ‘highly’ sensitive material that has been compromised (</w:t>
            </w:r>
            <w:r w:rsidR="009052EB" w:rsidRPr="007F2B8D">
              <w:rPr>
                <w:rFonts w:cs="Calibri"/>
                <w:color w:val="55565A"/>
                <w:sz w:val="22"/>
                <w:szCs w:val="22"/>
              </w:rPr>
              <w:t>e</w:t>
            </w:r>
            <w:r w:rsidRPr="007F2B8D">
              <w:rPr>
                <w:rFonts w:cs="Calibri"/>
                <w:color w:val="55565A"/>
                <w:sz w:val="22"/>
                <w:szCs w:val="22"/>
              </w:rPr>
              <w:t>.</w:t>
            </w:r>
            <w:r w:rsidR="009052EB" w:rsidRPr="007F2B8D">
              <w:rPr>
                <w:rFonts w:cs="Calibri"/>
                <w:color w:val="55565A"/>
                <w:sz w:val="22"/>
                <w:szCs w:val="22"/>
              </w:rPr>
              <w:t>g</w:t>
            </w:r>
            <w:r w:rsidRPr="007F2B8D">
              <w:rPr>
                <w:rFonts w:cs="Calibri"/>
                <w:color w:val="55565A"/>
                <w:sz w:val="22"/>
                <w:szCs w:val="22"/>
              </w:rPr>
              <w:t xml:space="preserve">. </w:t>
            </w:r>
            <w:r w:rsidR="009052EB" w:rsidRPr="007F2B8D">
              <w:rPr>
                <w:rFonts w:cs="Calibri"/>
                <w:color w:val="55565A"/>
                <w:sz w:val="22"/>
                <w:szCs w:val="22"/>
              </w:rPr>
              <w:t xml:space="preserve">personal/ financial documents such as </w:t>
            </w:r>
            <w:r w:rsidRPr="007F2B8D">
              <w:rPr>
                <w:rFonts w:cs="Calibri"/>
                <w:color w:val="55565A"/>
                <w:sz w:val="22"/>
                <w:szCs w:val="22"/>
              </w:rPr>
              <w:t xml:space="preserve">Tax </w:t>
            </w:r>
            <w:r w:rsidR="009052EB" w:rsidRPr="007F2B8D">
              <w:rPr>
                <w:rFonts w:cs="Calibri"/>
                <w:color w:val="55565A"/>
                <w:sz w:val="22"/>
                <w:szCs w:val="22"/>
              </w:rPr>
              <w:t>F</w:t>
            </w:r>
            <w:r w:rsidRPr="007F2B8D">
              <w:rPr>
                <w:rFonts w:cs="Calibri"/>
                <w:color w:val="55565A"/>
                <w:sz w:val="22"/>
                <w:szCs w:val="22"/>
              </w:rPr>
              <w:t xml:space="preserve">ile </w:t>
            </w:r>
            <w:r w:rsidR="009052EB" w:rsidRPr="007F2B8D">
              <w:rPr>
                <w:rFonts w:cs="Calibri"/>
                <w:color w:val="55565A"/>
                <w:sz w:val="22"/>
                <w:szCs w:val="22"/>
              </w:rPr>
              <w:t>N</w:t>
            </w:r>
            <w:r w:rsidRPr="007F2B8D">
              <w:rPr>
                <w:rFonts w:cs="Calibri"/>
                <w:color w:val="55565A"/>
                <w:sz w:val="22"/>
                <w:szCs w:val="22"/>
              </w:rPr>
              <w:t>umbers)</w:t>
            </w:r>
            <w:r w:rsidR="009052EB" w:rsidRPr="007F2B8D">
              <w:rPr>
                <w:rFonts w:cs="Calibri"/>
                <w:color w:val="55565A"/>
                <w:sz w:val="22"/>
                <w:szCs w:val="22"/>
              </w:rPr>
              <w:t>?</w:t>
            </w:r>
          </w:p>
        </w:tc>
        <w:tc>
          <w:tcPr>
            <w:tcW w:w="5103" w:type="dxa"/>
            <w:shd w:val="clear" w:color="auto" w:fill="F2F2F2"/>
          </w:tcPr>
          <w:p w14:paraId="77C1450B" w14:textId="6E039468" w:rsidR="006330C9" w:rsidRPr="007F2B8D" w:rsidRDefault="00807A07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7F2B8D">
              <w:rPr>
                <w:rFonts w:cs="Calibri"/>
                <w:color w:val="55565A"/>
                <w:sz w:val="22"/>
                <w:szCs w:val="22"/>
              </w:rPr>
              <w:t xml:space="preserve">A range of different considerations come into play when managing an incident. These </w:t>
            </w:r>
            <w:r w:rsidR="0064798B" w:rsidRPr="007F2B8D">
              <w:rPr>
                <w:rFonts w:cs="Calibri"/>
                <w:color w:val="55565A"/>
                <w:sz w:val="22"/>
                <w:szCs w:val="22"/>
              </w:rPr>
              <w:t>considerations include but are not limited to</w:t>
            </w:r>
            <w:r w:rsidR="0057407F" w:rsidRPr="007F2B8D">
              <w:rPr>
                <w:rFonts w:cs="Calibri"/>
                <w:color w:val="55565A"/>
                <w:sz w:val="22"/>
                <w:szCs w:val="22"/>
              </w:rPr>
              <w:t xml:space="preserve"> the nature of information</w:t>
            </w:r>
            <w:r w:rsidR="00714499" w:rsidRPr="007F2B8D">
              <w:rPr>
                <w:rFonts w:cs="Calibri"/>
                <w:color w:val="55565A"/>
                <w:sz w:val="22"/>
                <w:szCs w:val="22"/>
              </w:rPr>
              <w:t xml:space="preserve"> and the potential consequences of the compromise</w:t>
            </w:r>
            <w:r w:rsidR="00BE4D40" w:rsidRPr="007F2B8D">
              <w:rPr>
                <w:rFonts w:cs="Calibri"/>
                <w:color w:val="55565A"/>
                <w:sz w:val="22"/>
                <w:szCs w:val="22"/>
              </w:rPr>
              <w:t>.</w:t>
            </w:r>
          </w:p>
          <w:p w14:paraId="71B1102A" w14:textId="7F228765" w:rsidR="009052EB" w:rsidRPr="007F2B8D" w:rsidRDefault="009052EB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6C946F0A" w14:textId="0D6DB975" w:rsidR="007F2B8D" w:rsidRPr="007F2B8D" w:rsidRDefault="007F2B8D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7F2B8D">
              <w:rPr>
                <w:rFonts w:cs="Calibri"/>
                <w:color w:val="55565A"/>
                <w:sz w:val="22"/>
                <w:szCs w:val="22"/>
              </w:rPr>
              <w:t xml:space="preserve">Different notifications may need to be made to regulating bodies, partnering entities and law enforcement agencies. </w:t>
            </w:r>
          </w:p>
          <w:p w14:paraId="457077A6" w14:textId="06AAF359" w:rsidR="007F2B8D" w:rsidRPr="007F2B8D" w:rsidRDefault="007F2B8D" w:rsidP="00220EFB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2F84DE09" w14:textId="1CC71EAA" w:rsidR="00220EFB" w:rsidRPr="007F2B8D" w:rsidRDefault="007F2B8D" w:rsidP="00220EFB">
            <w:pPr>
              <w:rPr>
                <w:rFonts w:cs="Calibri"/>
                <w:color w:val="55565A"/>
                <w:sz w:val="22"/>
                <w:szCs w:val="22"/>
              </w:rPr>
            </w:pPr>
            <w:r w:rsidRPr="007F2B8D">
              <w:rPr>
                <w:rFonts w:cs="Calibri"/>
                <w:color w:val="55565A"/>
                <w:sz w:val="22"/>
                <w:szCs w:val="22"/>
              </w:rPr>
              <w:t xml:space="preserve">Breaches that involve </w:t>
            </w:r>
            <w:r w:rsidR="0057407F" w:rsidRPr="007F2B8D">
              <w:rPr>
                <w:rFonts w:cs="Calibri"/>
                <w:color w:val="55565A"/>
                <w:sz w:val="22"/>
                <w:szCs w:val="22"/>
              </w:rPr>
              <w:t xml:space="preserve">personal information that </w:t>
            </w:r>
            <w:r w:rsidR="0064798B" w:rsidRPr="007F2B8D">
              <w:rPr>
                <w:rFonts w:cs="Calibri"/>
                <w:color w:val="55565A"/>
                <w:sz w:val="22"/>
                <w:szCs w:val="22"/>
              </w:rPr>
              <w:t>has been assessed as having the potential to</w:t>
            </w:r>
            <w:r w:rsidR="0057407F" w:rsidRPr="007F2B8D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 w:rsidR="0064798B" w:rsidRPr="007F2B8D">
              <w:rPr>
                <w:rFonts w:cs="Calibri"/>
                <w:color w:val="55565A"/>
                <w:sz w:val="22"/>
                <w:szCs w:val="22"/>
              </w:rPr>
              <w:t>cause</w:t>
            </w:r>
            <w:r w:rsidR="0057407F" w:rsidRPr="007F2B8D">
              <w:rPr>
                <w:rFonts w:cs="Calibri"/>
                <w:color w:val="55565A"/>
                <w:sz w:val="22"/>
                <w:szCs w:val="22"/>
              </w:rPr>
              <w:t xml:space="preserve"> serious harm to an individual</w:t>
            </w:r>
            <w:r w:rsidRPr="007F2B8D">
              <w:rPr>
                <w:rFonts w:cs="Calibri"/>
                <w:color w:val="55565A"/>
                <w:sz w:val="22"/>
                <w:szCs w:val="22"/>
              </w:rPr>
              <w:t>,</w:t>
            </w:r>
            <w:r w:rsidR="0064798B" w:rsidRPr="007F2B8D">
              <w:rPr>
                <w:rFonts w:cs="Calibri"/>
                <w:color w:val="55565A"/>
                <w:sz w:val="22"/>
                <w:szCs w:val="22"/>
              </w:rPr>
              <w:t xml:space="preserve"> and </w:t>
            </w:r>
            <w:r w:rsidRPr="007F2B8D">
              <w:rPr>
                <w:rFonts w:cs="Calibri"/>
                <w:color w:val="55565A"/>
                <w:sz w:val="22"/>
                <w:szCs w:val="22"/>
              </w:rPr>
              <w:t xml:space="preserve">meets the criteria for </w:t>
            </w:r>
            <w:r w:rsidR="0064798B" w:rsidRPr="007F2B8D">
              <w:rPr>
                <w:rFonts w:cs="Calibri"/>
                <w:color w:val="55565A"/>
                <w:sz w:val="22"/>
                <w:szCs w:val="22"/>
              </w:rPr>
              <w:t xml:space="preserve">the </w:t>
            </w:r>
            <w:hyperlink r:id="rId20" w:history="1">
              <w:r w:rsidR="00714499" w:rsidRPr="007F2B8D">
                <w:rPr>
                  <w:rStyle w:val="Hyperlink"/>
                  <w:rFonts w:cs="Calibri"/>
                  <w:sz w:val="22"/>
                  <w:szCs w:val="22"/>
                </w:rPr>
                <w:t>Notifiable Data Breaches Scheme</w:t>
              </w:r>
            </w:hyperlink>
            <w:r w:rsidR="00714499" w:rsidRPr="007F2B8D">
              <w:rPr>
                <w:rFonts w:cs="Calibri"/>
                <w:color w:val="55565A"/>
                <w:sz w:val="22"/>
                <w:szCs w:val="22"/>
              </w:rPr>
              <w:t xml:space="preserve"> (e.g. </w:t>
            </w:r>
            <w:r w:rsidR="0057407F" w:rsidRPr="007F2B8D">
              <w:rPr>
                <w:rFonts w:cs="Calibri"/>
                <w:color w:val="55565A"/>
                <w:sz w:val="22"/>
                <w:szCs w:val="22"/>
              </w:rPr>
              <w:t>Tax File Numbers</w:t>
            </w:r>
            <w:r w:rsidR="0064798B" w:rsidRPr="007F2B8D">
              <w:rPr>
                <w:rFonts w:cs="Calibri"/>
                <w:color w:val="55565A"/>
                <w:sz w:val="22"/>
                <w:szCs w:val="22"/>
              </w:rPr>
              <w:t>), should be reported to the Office of the Australian Information Commissioner’s (</w:t>
            </w:r>
            <w:r w:rsidR="0064798B" w:rsidRPr="007F2B8D">
              <w:rPr>
                <w:rFonts w:cs="Calibri"/>
                <w:b/>
                <w:bCs/>
                <w:color w:val="55565A"/>
                <w:sz w:val="22"/>
                <w:szCs w:val="22"/>
              </w:rPr>
              <w:t>OAIC</w:t>
            </w:r>
            <w:r w:rsidR="0064798B" w:rsidRPr="007F2B8D">
              <w:rPr>
                <w:rFonts w:cs="Calibri"/>
                <w:color w:val="55565A"/>
                <w:sz w:val="22"/>
                <w:szCs w:val="22"/>
              </w:rPr>
              <w:t>)</w:t>
            </w:r>
          </w:p>
          <w:p w14:paraId="2367594B" w14:textId="4ED951C9" w:rsidR="009052EB" w:rsidRPr="007F2B8D" w:rsidRDefault="009052EB" w:rsidP="00220EFB">
            <w:pPr>
              <w:pStyle w:val="Linebreak11pt"/>
              <w:rPr>
                <w:rFonts w:cs="Calibri"/>
              </w:rPr>
            </w:pPr>
          </w:p>
          <w:p w14:paraId="1746DBA9" w14:textId="52A0EA83" w:rsidR="00AF1A2D" w:rsidRPr="007F2B8D" w:rsidRDefault="007F2B8D" w:rsidP="00220EFB">
            <w:pPr>
              <w:pStyle w:val="Linebreak11pt"/>
              <w:rPr>
                <w:rFonts w:cs="Calibri"/>
              </w:rPr>
            </w:pPr>
            <w:r w:rsidRPr="007F2B8D">
              <w:rPr>
                <w:rFonts w:cs="Calibri"/>
              </w:rPr>
              <w:t>Organisations that fall under Part 4 of the PDP Act (2014)</w:t>
            </w:r>
            <w:r w:rsidR="009052EB" w:rsidRPr="007F2B8D">
              <w:rPr>
                <w:rFonts w:cs="Calibri"/>
              </w:rPr>
              <w:t xml:space="preserve"> are still required to notify OVIC of information security incidents</w:t>
            </w:r>
            <w:r w:rsidRPr="007F2B8D">
              <w:rPr>
                <w:rFonts w:cs="Calibri"/>
              </w:rPr>
              <w:t xml:space="preserve"> that meet the notification threshold of a BIL of 2 or higher. </w:t>
            </w:r>
          </w:p>
        </w:tc>
      </w:tr>
      <w:tr w:rsidR="00E14F9C" w:rsidRPr="00F851BA" w14:paraId="6E835066" w14:textId="77777777" w:rsidTr="007B48A0">
        <w:tc>
          <w:tcPr>
            <w:tcW w:w="4531" w:type="dxa"/>
            <w:shd w:val="clear" w:color="auto" w:fill="F2F2F2"/>
          </w:tcPr>
          <w:p w14:paraId="5D65F1FD" w14:textId="22F78B62" w:rsidR="00E14F9C" w:rsidRPr="00F851BA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>How are you going to protect sensitive information in incident reports when transmitted and stored?</w:t>
            </w:r>
          </w:p>
        </w:tc>
        <w:tc>
          <w:tcPr>
            <w:tcW w:w="5103" w:type="dxa"/>
            <w:shd w:val="clear" w:color="auto" w:fill="F2F2F2"/>
          </w:tcPr>
          <w:p w14:paraId="67FD8D84" w14:textId="77777777" w:rsidR="007F2B8D" w:rsidRDefault="007F2B8D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>OVIC handles any i</w:t>
            </w:r>
            <w:r w:rsidR="00E14F9C">
              <w:rPr>
                <w:rFonts w:cs="Calibri"/>
                <w:color w:val="55565A"/>
                <w:sz w:val="22"/>
                <w:szCs w:val="22"/>
              </w:rPr>
              <w:t xml:space="preserve">nformation 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s</w:t>
            </w:r>
            <w:r w:rsidR="00E14F9C">
              <w:rPr>
                <w:rFonts w:cs="Calibri"/>
                <w:color w:val="55565A"/>
                <w:sz w:val="22"/>
                <w:szCs w:val="22"/>
              </w:rPr>
              <w:t xml:space="preserve">ecurity 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i</w:t>
            </w:r>
            <w:r w:rsidR="00E14F9C">
              <w:rPr>
                <w:rFonts w:cs="Calibri"/>
                <w:color w:val="55565A"/>
                <w:sz w:val="22"/>
                <w:szCs w:val="22"/>
              </w:rPr>
              <w:t xml:space="preserve">ncidents </w:t>
            </w:r>
            <w:r>
              <w:rPr>
                <w:rFonts w:cs="Calibri"/>
                <w:color w:val="55565A"/>
                <w:sz w:val="22"/>
                <w:szCs w:val="22"/>
              </w:rPr>
              <w:t>notification in accordance with its</w:t>
            </w:r>
            <w:r w:rsidR="00E14F9C">
              <w:rPr>
                <w:rFonts w:cs="Calibri"/>
                <w:color w:val="55565A"/>
                <w:sz w:val="22"/>
                <w:szCs w:val="22"/>
              </w:rPr>
              <w:t xml:space="preserve"> protective marking</w:t>
            </w:r>
            <w:r w:rsidR="00D571A3">
              <w:rPr>
                <w:rFonts w:cs="Calibri"/>
                <w:color w:val="55565A"/>
                <w:sz w:val="22"/>
                <w:szCs w:val="22"/>
              </w:rPr>
              <w:t>.</w:t>
            </w:r>
          </w:p>
          <w:p w14:paraId="5D59B2E4" w14:textId="77777777" w:rsidR="007F2B8D" w:rsidRDefault="007F2B8D" w:rsidP="00E14F9C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116054A7" w14:textId="56B7E433" w:rsidR="00E14F9C" w:rsidRDefault="007F2B8D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 xml:space="preserve">Organisations submitting a notification to OVIC </w:t>
            </w:r>
            <w:r w:rsidR="00D571A3">
              <w:rPr>
                <w:rFonts w:cs="Calibri"/>
                <w:color w:val="55565A"/>
                <w:sz w:val="22"/>
                <w:szCs w:val="22"/>
              </w:rPr>
              <w:t xml:space="preserve">can apply a protective marking to the 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‘I</w:t>
            </w:r>
            <w:r w:rsidR="00D571A3">
              <w:rPr>
                <w:rFonts w:cs="Calibri"/>
                <w:color w:val="55565A"/>
                <w:sz w:val="22"/>
                <w:szCs w:val="22"/>
              </w:rPr>
              <w:t xml:space="preserve">nformation Security Incident Notification 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F</w:t>
            </w:r>
            <w:r w:rsidR="00D571A3">
              <w:rPr>
                <w:rFonts w:cs="Calibri"/>
                <w:color w:val="55565A"/>
                <w:sz w:val="22"/>
                <w:szCs w:val="22"/>
              </w:rPr>
              <w:t>orm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’</w:t>
            </w:r>
            <w:r w:rsidR="00D571A3">
              <w:rPr>
                <w:rFonts w:cs="Calibri"/>
                <w:color w:val="55565A"/>
                <w:sz w:val="22"/>
                <w:szCs w:val="22"/>
              </w:rPr>
              <w:t xml:space="preserve"> by clicking on the dropdown field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s</w:t>
            </w:r>
            <w:r w:rsidR="00D571A3">
              <w:rPr>
                <w:rFonts w:cs="Calibri"/>
                <w:color w:val="55565A"/>
                <w:sz w:val="22"/>
                <w:szCs w:val="22"/>
              </w:rPr>
              <w:t xml:space="preserve"> at the top or bottom of each page.</w:t>
            </w:r>
          </w:p>
          <w:p w14:paraId="7FDAE52E" w14:textId="77777777" w:rsidR="00D571A3" w:rsidRDefault="00D571A3" w:rsidP="00E14F9C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6F7447FC" w14:textId="2AA46C3C" w:rsidR="00D571A3" w:rsidRDefault="00D571A3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 xml:space="preserve">Alternatively, if specific handling requirements are required for the report, please </w:t>
            </w:r>
            <w:r w:rsidR="007F2B8D">
              <w:rPr>
                <w:rFonts w:cs="Calibri"/>
                <w:color w:val="55565A"/>
                <w:sz w:val="22"/>
                <w:szCs w:val="22"/>
              </w:rPr>
              <w:t xml:space="preserve">contact the Information Security Unit (ISU) at OVIC by emailing </w:t>
            </w:r>
            <w:hyperlink r:id="rId21" w:history="1">
              <w:r w:rsidR="007F2B8D" w:rsidRPr="008C05B7">
                <w:rPr>
                  <w:rStyle w:val="Hyperlink"/>
                  <w:rFonts w:cs="Calibri"/>
                  <w:sz w:val="22"/>
                  <w:szCs w:val="22"/>
                </w:rPr>
                <w:t>security@ovic.vic.gov.au</w:t>
              </w:r>
            </w:hyperlink>
            <w:r w:rsidR="007F2B8D">
              <w:rPr>
                <w:rFonts w:cs="Calibri"/>
                <w:color w:val="55565A"/>
                <w:sz w:val="22"/>
                <w:szCs w:val="22"/>
              </w:rPr>
              <w:t>.</w:t>
            </w:r>
          </w:p>
          <w:p w14:paraId="2B015E17" w14:textId="572CDF03" w:rsidR="00D571A3" w:rsidRDefault="00D571A3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</w:p>
        </w:tc>
      </w:tr>
      <w:tr w:rsidR="00E14F9C" w:rsidRPr="00F851BA" w14:paraId="46B10129" w14:textId="77777777" w:rsidTr="007B48A0">
        <w:tc>
          <w:tcPr>
            <w:tcW w:w="9634" w:type="dxa"/>
            <w:gridSpan w:val="2"/>
            <w:shd w:val="clear" w:color="auto" w:fill="F2F2F2"/>
            <w:vAlign w:val="center"/>
          </w:tcPr>
          <w:p w14:paraId="206908EF" w14:textId="77777777" w:rsidR="00E14F9C" w:rsidRPr="00F851BA" w:rsidRDefault="00E14F9C" w:rsidP="00E14F9C">
            <w:pPr>
              <w:pStyle w:val="SectionHeading2"/>
              <w:rPr>
                <w:rFonts w:cs="Calibri"/>
              </w:rPr>
            </w:pPr>
            <w:r w:rsidRPr="00F851BA">
              <w:rPr>
                <w:rFonts w:cs="Calibri"/>
              </w:rPr>
              <w:t>2020 Protective Data Security Plan (</w:t>
            </w:r>
            <w:r w:rsidRPr="00F851BA">
              <w:rPr>
                <w:rFonts w:cs="Calibri"/>
                <w:bCs/>
              </w:rPr>
              <w:t>PDSP</w:t>
            </w:r>
            <w:r w:rsidRPr="00F851BA">
              <w:rPr>
                <w:rFonts w:cs="Calibri"/>
              </w:rPr>
              <w:t>)</w:t>
            </w:r>
          </w:p>
        </w:tc>
      </w:tr>
      <w:tr w:rsidR="00E14F9C" w:rsidRPr="00F851BA" w14:paraId="41C91D70" w14:textId="77777777" w:rsidTr="007B48A0">
        <w:tc>
          <w:tcPr>
            <w:tcW w:w="4531" w:type="dxa"/>
            <w:shd w:val="clear" w:color="auto" w:fill="F2F2F2"/>
          </w:tcPr>
          <w:p w14:paraId="0A35C77F" w14:textId="77777777" w:rsidR="00E14F9C" w:rsidRPr="00F851BA" w:rsidRDefault="00E14F9C" w:rsidP="00E14F9C">
            <w:pPr>
              <w:rPr>
                <w:rFonts w:eastAsia="Times New Roman" w:cs="Calibri"/>
                <w:color w:val="55565A"/>
                <w:sz w:val="22"/>
                <w:szCs w:val="22"/>
                <w:lang w:eastAsia="en-GB"/>
              </w:rPr>
            </w:pPr>
            <w:r w:rsidRPr="00F851BA">
              <w:rPr>
                <w:rFonts w:eastAsia="Times New Roman" w:cs="Calibri"/>
                <w:color w:val="55565A"/>
                <w:sz w:val="22"/>
                <w:szCs w:val="22"/>
                <w:lang w:eastAsia="en-GB"/>
              </w:rPr>
              <w:t>Can we apply for an extension on the Aug 2020 reporting deadline?</w:t>
            </w:r>
          </w:p>
        </w:tc>
        <w:tc>
          <w:tcPr>
            <w:tcW w:w="5103" w:type="dxa"/>
            <w:shd w:val="clear" w:color="auto" w:fill="F2F2F2"/>
          </w:tcPr>
          <w:p w14:paraId="003322D5" w14:textId="322EF6FC" w:rsidR="00E14F9C" w:rsidRDefault="00E14F9C" w:rsidP="00E14F9C">
            <w:pPr>
              <w:pStyle w:val="Linebreak11pt"/>
            </w:pPr>
            <w:r>
              <w:t xml:space="preserve">OVIC cannot provide extensions or exemptions as there are no legislative provisions to do so under the </w:t>
            </w:r>
            <w:r w:rsidRPr="00422A96">
              <w:rPr>
                <w:i/>
                <w:iCs/>
              </w:rPr>
              <w:t>Privacy and Data Protection Act 2014</w:t>
            </w:r>
            <w:r>
              <w:rPr>
                <w:i/>
                <w:iCs/>
              </w:rPr>
              <w:t xml:space="preserve"> </w:t>
            </w:r>
            <w:r w:rsidRPr="0011096F">
              <w:t>(Vic)</w:t>
            </w:r>
            <w:r>
              <w:rPr>
                <w:i/>
                <w:iCs/>
              </w:rPr>
              <w:t xml:space="preserve"> </w:t>
            </w:r>
            <w:r w:rsidRPr="0011096F">
              <w:t>(</w:t>
            </w:r>
            <w:r w:rsidRPr="0011096F">
              <w:rPr>
                <w:b/>
                <w:bCs/>
              </w:rPr>
              <w:t>PDP Act</w:t>
            </w:r>
            <w:r w:rsidRPr="0011096F">
              <w:t>)</w:t>
            </w:r>
            <w:r>
              <w:t>.</w:t>
            </w:r>
          </w:p>
          <w:p w14:paraId="5EA58595" w14:textId="718D83A9" w:rsidR="00E14F9C" w:rsidRDefault="00E14F9C" w:rsidP="00E14F9C">
            <w:pPr>
              <w:pStyle w:val="Linebreak11pt"/>
              <w:rPr>
                <w:rFonts w:cs="Calibri"/>
              </w:rPr>
            </w:pPr>
          </w:p>
          <w:p w14:paraId="13BD7D16" w14:textId="77777777" w:rsidR="00C2709E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We understand that in this current environment, </w:t>
            </w:r>
            <w:r>
              <w:rPr>
                <w:rFonts w:cs="Calibri"/>
              </w:rPr>
              <w:lastRenderedPageBreak/>
              <w:t xml:space="preserve">certain programs of work supporting implementation of the VPDSS may be put on hold or will be noted as incomplete for this reporting period. </w:t>
            </w:r>
          </w:p>
          <w:p w14:paraId="7677052B" w14:textId="77777777" w:rsidR="00C2709E" w:rsidRDefault="00C2709E" w:rsidP="00E14F9C">
            <w:pPr>
              <w:pStyle w:val="Linebreak11pt"/>
              <w:rPr>
                <w:rFonts w:cs="Calibri"/>
              </w:rPr>
            </w:pPr>
          </w:p>
          <w:p w14:paraId="4C33124D" w14:textId="38F2F640" w:rsidR="00E14F9C" w:rsidRPr="00F851BA" w:rsidRDefault="00E14F9C" w:rsidP="00E14F9C">
            <w:pPr>
              <w:pStyle w:val="Linebreak11pt"/>
              <w:rPr>
                <w:rFonts w:cs="Calibri"/>
              </w:rPr>
            </w:pPr>
            <w:r w:rsidRPr="00B156F0">
              <w:rPr>
                <w:rFonts w:cs="Calibri"/>
              </w:rPr>
              <w:t>Keep in mind the PDSP is simply a reflection of your organisation’s current information security program and future planning</w:t>
            </w:r>
            <w:r w:rsidR="00CB4501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CB450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f you are experiencing challenges, please list these </w:t>
            </w:r>
            <w:r w:rsidR="00C2709E">
              <w:rPr>
                <w:rFonts w:cs="Calibri"/>
              </w:rPr>
              <w:t>on pg. 9 of the PDSP form.</w:t>
            </w:r>
          </w:p>
          <w:p w14:paraId="08D22E17" w14:textId="2C19F0B3" w:rsidR="00E14F9C" w:rsidRPr="00F851BA" w:rsidRDefault="00E14F9C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37443EFF" w14:textId="77777777" w:rsidTr="007B48A0">
        <w:tc>
          <w:tcPr>
            <w:tcW w:w="4531" w:type="dxa"/>
            <w:shd w:val="clear" w:color="auto" w:fill="F2F2F2"/>
          </w:tcPr>
          <w:p w14:paraId="65ED3F61" w14:textId="5029C0A9" w:rsidR="00E14F9C" w:rsidRPr="00F851BA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eastAsia="Times New Roman" w:cs="Calibri"/>
                <w:color w:val="55565A"/>
                <w:sz w:val="22"/>
                <w:szCs w:val="22"/>
                <w:lang w:eastAsia="en-GB"/>
              </w:rPr>
              <w:lastRenderedPageBreak/>
              <w:t>Do you intend to provide feedback to organisations who have submitted a PDSP?</w:t>
            </w:r>
          </w:p>
        </w:tc>
        <w:tc>
          <w:tcPr>
            <w:tcW w:w="5103" w:type="dxa"/>
            <w:shd w:val="clear" w:color="auto" w:fill="F2F2F2"/>
          </w:tcPr>
          <w:p w14:paraId="4475BB42" w14:textId="43CA85C6" w:rsidR="00C2709E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Yes</w:t>
            </w:r>
            <w:r w:rsidR="00C2709E">
              <w:rPr>
                <w:rFonts w:cs="Calibri"/>
              </w:rPr>
              <w:t xml:space="preserve"> - the ISU intend to provide ‘playback’</w:t>
            </w:r>
            <w:r>
              <w:rPr>
                <w:rFonts w:cs="Calibri"/>
              </w:rPr>
              <w:t xml:space="preserve"> reports </w:t>
            </w:r>
            <w:r w:rsidR="00C2709E">
              <w:rPr>
                <w:rFonts w:cs="Calibri"/>
              </w:rPr>
              <w:t>to</w:t>
            </w:r>
            <w:r>
              <w:rPr>
                <w:rFonts w:cs="Calibri"/>
              </w:rPr>
              <w:t xml:space="preserve"> </w:t>
            </w:r>
            <w:r w:rsidR="00C2709E">
              <w:rPr>
                <w:rFonts w:cs="Calibri"/>
              </w:rPr>
              <w:t>organisation’s that</w:t>
            </w:r>
            <w:r>
              <w:rPr>
                <w:rFonts w:cs="Calibri"/>
              </w:rPr>
              <w:t xml:space="preserve"> submit a PDSP for the 2020 reporting cycle. </w:t>
            </w:r>
          </w:p>
          <w:p w14:paraId="4B7AD14C" w14:textId="77777777" w:rsidR="00C2709E" w:rsidRDefault="00C2709E" w:rsidP="00E14F9C">
            <w:pPr>
              <w:pStyle w:val="Linebreak11pt"/>
              <w:rPr>
                <w:rFonts w:cs="Calibri"/>
              </w:rPr>
            </w:pPr>
          </w:p>
          <w:p w14:paraId="33C98E82" w14:textId="64E0A147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These high-level reports will provide a contextual snapshot of </w:t>
            </w:r>
            <w:r w:rsidR="00C2709E">
              <w:rPr>
                <w:rFonts w:cs="Calibri"/>
              </w:rPr>
              <w:t>the organisation’s</w:t>
            </w:r>
            <w:r>
              <w:rPr>
                <w:rFonts w:cs="Calibri"/>
              </w:rPr>
              <w:t xml:space="preserve"> PDSP against WoVG trends</w:t>
            </w:r>
            <w:r w:rsidR="00EA3165">
              <w:rPr>
                <w:rFonts w:cs="Calibri"/>
              </w:rPr>
              <w:t xml:space="preserve"> and common themes</w:t>
            </w:r>
            <w:r>
              <w:rPr>
                <w:rFonts w:cs="Calibri"/>
              </w:rPr>
              <w:t>. It is estimated Playback reports be sent out by November 2020.</w:t>
            </w:r>
          </w:p>
          <w:p w14:paraId="27ABA914" w14:textId="37C7BF28" w:rsidR="00E14F9C" w:rsidRDefault="00E14F9C" w:rsidP="00E14F9C">
            <w:pPr>
              <w:pStyle w:val="Linebreak11pt"/>
              <w:rPr>
                <w:rFonts w:cs="Calibri"/>
              </w:rPr>
            </w:pPr>
          </w:p>
          <w:p w14:paraId="04FD2139" w14:textId="6136866B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Please note that </w:t>
            </w:r>
            <w:r w:rsidR="00C2709E">
              <w:rPr>
                <w:rFonts w:cs="Calibri"/>
              </w:rPr>
              <w:t xml:space="preserve">organisations </w:t>
            </w:r>
            <w:r>
              <w:rPr>
                <w:rFonts w:cs="Calibri"/>
              </w:rPr>
              <w:t xml:space="preserve">who submit PDSPs late may not receive a Playback </w:t>
            </w:r>
            <w:r w:rsidR="00C2709E">
              <w:rPr>
                <w:rFonts w:cs="Calibri"/>
              </w:rPr>
              <w:t>report or</w:t>
            </w:r>
            <w:r>
              <w:rPr>
                <w:rFonts w:cs="Calibri"/>
              </w:rPr>
              <w:t xml:space="preserve"> may receive it later than </w:t>
            </w:r>
            <w:r w:rsidR="00C2709E">
              <w:rPr>
                <w:rFonts w:cs="Calibri"/>
              </w:rPr>
              <w:t>organisations</w:t>
            </w:r>
            <w:r>
              <w:rPr>
                <w:rFonts w:cs="Calibri"/>
              </w:rPr>
              <w:t xml:space="preserve"> who submitted on time.</w:t>
            </w:r>
          </w:p>
          <w:p w14:paraId="065FF1A0" w14:textId="77777777" w:rsidR="00E14F9C" w:rsidRDefault="00E14F9C" w:rsidP="00E14F9C">
            <w:pPr>
              <w:pStyle w:val="Linebreak11pt"/>
              <w:rPr>
                <w:rFonts w:cs="Calibri"/>
              </w:rPr>
            </w:pPr>
          </w:p>
          <w:p w14:paraId="411240B7" w14:textId="77777777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Follow up meetings may also be arranged on request.</w:t>
            </w:r>
          </w:p>
          <w:p w14:paraId="59A55895" w14:textId="2EB3837B" w:rsidR="00E14F9C" w:rsidRPr="00F851BA" w:rsidRDefault="00E14F9C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206F103C" w14:textId="77777777" w:rsidTr="007B48A0">
        <w:tc>
          <w:tcPr>
            <w:tcW w:w="4531" w:type="dxa"/>
            <w:shd w:val="clear" w:color="auto" w:fill="F2F2F2"/>
          </w:tcPr>
          <w:p w14:paraId="27076E74" w14:textId="16E05635" w:rsidR="00E14F9C" w:rsidRPr="00AF1A2D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AF1A2D">
              <w:rPr>
                <w:rFonts w:eastAsia="Times New Roman" w:cs="Calibri"/>
                <w:color w:val="55565A"/>
                <w:sz w:val="22"/>
                <w:szCs w:val="22"/>
                <w:lang w:eastAsia="en-GB"/>
              </w:rPr>
              <w:t>My agency is under resourced with limited capacity to complete the PDSP. What advice do you have for agencies like mine?</w:t>
            </w:r>
          </w:p>
        </w:tc>
        <w:tc>
          <w:tcPr>
            <w:tcW w:w="5103" w:type="dxa"/>
            <w:shd w:val="clear" w:color="auto" w:fill="F2F2F2"/>
          </w:tcPr>
          <w:p w14:paraId="28A6B350" w14:textId="2B67ED6E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The PDSP is intended to be a point-in-time </w:t>
            </w:r>
            <w:r w:rsidRPr="00B156F0">
              <w:rPr>
                <w:rFonts w:cs="Calibri"/>
              </w:rPr>
              <w:t>reflection of your organisation’s current information security program and future planning</w:t>
            </w:r>
            <w:r>
              <w:rPr>
                <w:rFonts w:cs="Calibri"/>
              </w:rPr>
              <w:t>.</w:t>
            </w:r>
            <w:r w:rsidR="00E7317A">
              <w:rPr>
                <w:rFonts w:cs="Calibri"/>
              </w:rPr>
              <w:t xml:space="preserve"> The PDSP must be submitted </w:t>
            </w:r>
            <w:r w:rsidR="00440994">
              <w:rPr>
                <w:rFonts w:cs="Calibri"/>
              </w:rPr>
              <w:t xml:space="preserve">to OVIC </w:t>
            </w:r>
            <w:r w:rsidR="00E7317A">
              <w:rPr>
                <w:rFonts w:cs="Calibri"/>
              </w:rPr>
              <w:t>by August 31, 2020.</w:t>
            </w:r>
          </w:p>
          <w:p w14:paraId="29316490" w14:textId="01BFFB2B" w:rsidR="00E14F9C" w:rsidRDefault="00E14F9C" w:rsidP="00E14F9C">
            <w:pPr>
              <w:pStyle w:val="Linebreak11pt"/>
              <w:rPr>
                <w:rFonts w:cs="Calibri"/>
              </w:rPr>
            </w:pPr>
          </w:p>
          <w:p w14:paraId="3D135F7D" w14:textId="5B70736B" w:rsidR="00E7317A" w:rsidRDefault="00440994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To assist in the development of the</w:t>
            </w:r>
            <w:r w:rsidR="009052EB">
              <w:rPr>
                <w:rFonts w:cs="Calibri"/>
              </w:rPr>
              <w:t xml:space="preserve"> PDSP</w:t>
            </w:r>
            <w:r>
              <w:rPr>
                <w:rFonts w:cs="Calibri"/>
              </w:rPr>
              <w:t xml:space="preserve">, OVIC encourages engagement with all areas of the business, as subject matter experts in different business units </w:t>
            </w:r>
            <w:r w:rsidR="00E7317A">
              <w:rPr>
                <w:rFonts w:cs="Calibri"/>
              </w:rPr>
              <w:t xml:space="preserve">that </w:t>
            </w:r>
            <w:r w:rsidR="009052EB">
              <w:rPr>
                <w:rFonts w:cs="Calibri"/>
              </w:rPr>
              <w:t xml:space="preserve">may </w:t>
            </w:r>
            <w:r>
              <w:rPr>
                <w:rFonts w:cs="Calibri"/>
              </w:rPr>
              <w:t xml:space="preserve">be able to offer unique insights and </w:t>
            </w:r>
            <w:r w:rsidR="00E7317A">
              <w:rPr>
                <w:rFonts w:cs="Calibri"/>
              </w:rPr>
              <w:t>understanding of the business context of certain Standards.</w:t>
            </w:r>
          </w:p>
          <w:p w14:paraId="448DFFE3" w14:textId="77777777" w:rsidR="00E7317A" w:rsidRDefault="00E7317A" w:rsidP="00E14F9C">
            <w:pPr>
              <w:pStyle w:val="Linebreak11pt"/>
              <w:rPr>
                <w:rFonts w:cs="Calibri"/>
              </w:rPr>
            </w:pPr>
          </w:p>
          <w:p w14:paraId="6A65E99D" w14:textId="160640CB" w:rsidR="00440994" w:rsidRDefault="00440994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OVIC also encourages organisations to plan well in advance, allowing enough time to submit their</w:t>
            </w:r>
            <w:r w:rsidR="00E7317A">
              <w:rPr>
                <w:rFonts w:cs="Calibri"/>
              </w:rPr>
              <w:t xml:space="preserve"> PDSP</w:t>
            </w:r>
            <w:r>
              <w:rPr>
                <w:rFonts w:cs="Calibri"/>
              </w:rPr>
              <w:t xml:space="preserve"> by the </w:t>
            </w:r>
            <w:r w:rsidR="00260362">
              <w:rPr>
                <w:rFonts w:cs="Calibri"/>
              </w:rPr>
              <w:t>due date</w:t>
            </w:r>
            <w:r w:rsidR="00E7317A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The VPDSF assurance cycle is well defined, with - </w:t>
            </w:r>
          </w:p>
          <w:p w14:paraId="67EEF312" w14:textId="3CA75CA3" w:rsidR="00440994" w:rsidRDefault="00440994" w:rsidP="00440994">
            <w:pPr>
              <w:pStyle w:val="Linebreak11pt"/>
              <w:numPr>
                <w:ilvl w:val="0"/>
                <w:numId w:val="11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submission of a PDSP is required every second year, and </w:t>
            </w:r>
          </w:p>
          <w:p w14:paraId="54447649" w14:textId="264CC5A7" w:rsidR="00440994" w:rsidRDefault="00440994" w:rsidP="00440994">
            <w:pPr>
              <w:pStyle w:val="Linebreak11pt"/>
              <w:numPr>
                <w:ilvl w:val="0"/>
                <w:numId w:val="11"/>
              </w:numPr>
              <w:rPr>
                <w:rFonts w:cs="Calibri"/>
              </w:rPr>
            </w:pPr>
            <w:r>
              <w:rPr>
                <w:rFonts w:cs="Calibri"/>
              </w:rPr>
              <w:t>attestation is required every year.</w:t>
            </w:r>
          </w:p>
          <w:p w14:paraId="32B23347" w14:textId="77777777" w:rsidR="00E7317A" w:rsidRDefault="00E7317A" w:rsidP="00E14F9C">
            <w:pPr>
              <w:pStyle w:val="Linebreak11pt"/>
              <w:rPr>
                <w:rFonts w:cs="Calibri"/>
              </w:rPr>
            </w:pPr>
          </w:p>
          <w:p w14:paraId="3E23C4F1" w14:textId="77777777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If resource constraints are an issue, </w:t>
            </w:r>
            <w:r w:rsidR="00260362">
              <w:rPr>
                <w:rFonts w:cs="Calibri"/>
              </w:rPr>
              <w:t>you may</w:t>
            </w:r>
            <w:r>
              <w:rPr>
                <w:rFonts w:cs="Calibri"/>
              </w:rPr>
              <w:t xml:space="preserve"> consider recording this in the ‘challenges and barriers’ section (pg.9</w:t>
            </w:r>
            <w:r w:rsidR="00440994">
              <w:rPr>
                <w:rFonts w:cs="Calibri"/>
              </w:rPr>
              <w:t xml:space="preserve"> of the PDSP form</w:t>
            </w:r>
            <w:r>
              <w:rPr>
                <w:rFonts w:cs="Calibri"/>
              </w:rPr>
              <w:t xml:space="preserve">). </w:t>
            </w:r>
            <w:r w:rsidR="00260362">
              <w:rPr>
                <w:rFonts w:cs="Calibri"/>
              </w:rPr>
              <w:t>Your feedback</w:t>
            </w:r>
            <w:r>
              <w:rPr>
                <w:rFonts w:cs="Calibri"/>
              </w:rPr>
              <w:t xml:space="preserve"> will help OVIC understand where to target future advice</w:t>
            </w:r>
            <w:r w:rsidR="00260362">
              <w:rPr>
                <w:rFonts w:cs="Calibri"/>
              </w:rPr>
              <w:t>. It may</w:t>
            </w:r>
            <w:r>
              <w:rPr>
                <w:rFonts w:cs="Calibri"/>
              </w:rPr>
              <w:t xml:space="preserve"> also highlight to your executive where potential </w:t>
            </w:r>
            <w:r w:rsidR="00260362">
              <w:rPr>
                <w:rFonts w:cs="Calibri"/>
              </w:rPr>
              <w:t>resource constraints</w:t>
            </w:r>
            <w:r>
              <w:rPr>
                <w:rFonts w:cs="Calibri"/>
              </w:rPr>
              <w:t xml:space="preserve"> are within your organisation.</w:t>
            </w:r>
          </w:p>
          <w:p w14:paraId="632513A2" w14:textId="2EA65551" w:rsidR="003F6130" w:rsidRPr="00F851BA" w:rsidRDefault="003F6130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13A1EF29" w14:textId="77777777" w:rsidTr="007B48A0">
        <w:tc>
          <w:tcPr>
            <w:tcW w:w="4531" w:type="dxa"/>
            <w:shd w:val="clear" w:color="auto" w:fill="F2F2F2"/>
          </w:tcPr>
          <w:p w14:paraId="37FD668A" w14:textId="4D139940" w:rsidR="00E14F9C" w:rsidRPr="00F851BA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eastAsia="Times New Roman" w:cs="Calibri"/>
                <w:color w:val="55565A"/>
                <w:sz w:val="22"/>
                <w:szCs w:val="22"/>
                <w:lang w:eastAsia="en-GB"/>
              </w:rPr>
              <w:lastRenderedPageBreak/>
              <w:t>My parent organisation wants to do a Multi-org PDSP, but we would prefer to submit separately. What should I do?</w:t>
            </w:r>
          </w:p>
        </w:tc>
        <w:tc>
          <w:tcPr>
            <w:tcW w:w="5103" w:type="dxa"/>
            <w:shd w:val="clear" w:color="auto" w:fill="F2F2F2"/>
          </w:tcPr>
          <w:p w14:paraId="0A224534" w14:textId="0CBADF38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Where possible, OVIC encourages </w:t>
            </w:r>
            <w:r w:rsidR="003F6130">
              <w:rPr>
                <w:rFonts w:cs="Calibri"/>
              </w:rPr>
              <w:t>organisations</w:t>
            </w:r>
            <w:r>
              <w:rPr>
                <w:rFonts w:cs="Calibri"/>
              </w:rPr>
              <w:t xml:space="preserve"> to submit a Single-Organisation PDSP. </w:t>
            </w:r>
            <w:r w:rsidR="003F6130">
              <w:rPr>
                <w:rFonts w:cs="Calibri"/>
              </w:rPr>
              <w:t xml:space="preserve">A Single-Organisation PDSP provides more detailed insight into the security plan of the specific organisation, rather than an aggregated view of the security activities of a combination of organisations. </w:t>
            </w:r>
          </w:p>
          <w:p w14:paraId="78120C5B" w14:textId="06481362" w:rsidR="003F6130" w:rsidRDefault="003F6130" w:rsidP="00E14F9C">
            <w:pPr>
              <w:pStyle w:val="Linebreak11pt"/>
              <w:rPr>
                <w:rFonts w:cs="Calibri"/>
              </w:rPr>
            </w:pPr>
          </w:p>
          <w:p w14:paraId="161C53AC" w14:textId="1335F041" w:rsidR="003F6130" w:rsidRDefault="003F6130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In some instances, an organisation may choose to assist with the submission of a consolidated PDSP (Multi-Organisation PDSP)</w:t>
            </w:r>
            <w:r w:rsidR="00780744">
              <w:rPr>
                <w:rFonts w:cs="Calibri"/>
              </w:rPr>
              <w:t xml:space="preserve">, based on a portfolio model or where organisations of a similar form of function choose to consolidate their reporting efforts. </w:t>
            </w:r>
          </w:p>
          <w:p w14:paraId="3B20E02F" w14:textId="3B4601A5" w:rsidR="003F6130" w:rsidRDefault="00780744" w:rsidP="00780744">
            <w:pPr>
              <w:pStyle w:val="Body"/>
              <w:spacing w:before="240"/>
              <w:rPr>
                <w:rFonts w:cs="Calibri"/>
              </w:rPr>
            </w:pPr>
            <w:r>
              <w:rPr>
                <w:rFonts w:cs="Calibri"/>
              </w:rPr>
              <w:t xml:space="preserve">To find out more about this process, consider the information sheet – </w:t>
            </w:r>
          </w:p>
          <w:p w14:paraId="07B9EC5D" w14:textId="01EEB0E2" w:rsidR="00780744" w:rsidRDefault="003F7303" w:rsidP="00780744">
            <w:pPr>
              <w:pStyle w:val="Body"/>
              <w:numPr>
                <w:ilvl w:val="0"/>
                <w:numId w:val="12"/>
              </w:numPr>
              <w:spacing w:before="240"/>
              <w:rPr>
                <w:rFonts w:cs="Calibri"/>
              </w:rPr>
            </w:pPr>
            <w:hyperlink r:id="rId22" w:history="1">
              <w:r w:rsidR="00780744" w:rsidRPr="00780744">
                <w:rPr>
                  <w:rStyle w:val="Hyperlink"/>
                  <w:rFonts w:cs="Calibri"/>
                </w:rPr>
                <w:t>Multi-Organisation Protective Data Security Plan</w:t>
              </w:r>
            </w:hyperlink>
          </w:p>
          <w:p w14:paraId="0F538F02" w14:textId="524EFCD3" w:rsidR="00780744" w:rsidRPr="00F851BA" w:rsidRDefault="003F7303" w:rsidP="00780744">
            <w:pPr>
              <w:pStyle w:val="Body"/>
              <w:numPr>
                <w:ilvl w:val="0"/>
                <w:numId w:val="12"/>
              </w:numPr>
              <w:spacing w:before="240"/>
              <w:rPr>
                <w:rFonts w:cs="Calibri"/>
              </w:rPr>
            </w:pPr>
            <w:hyperlink r:id="rId23" w:history="1">
              <w:r w:rsidR="00780744" w:rsidRPr="00780744">
                <w:rPr>
                  <w:rStyle w:val="Hyperlink"/>
                  <w:rFonts w:cs="Calibri"/>
                </w:rPr>
                <w:t>Protective Data Security Plan submission workflow</w:t>
              </w:r>
            </w:hyperlink>
          </w:p>
        </w:tc>
      </w:tr>
      <w:tr w:rsidR="00E14F9C" w:rsidRPr="00F851BA" w14:paraId="2B4065FB" w14:textId="77777777" w:rsidTr="007B48A0">
        <w:tc>
          <w:tcPr>
            <w:tcW w:w="4531" w:type="dxa"/>
            <w:shd w:val="clear" w:color="auto" w:fill="F2F2F2"/>
          </w:tcPr>
          <w:p w14:paraId="70EAFAB9" w14:textId="0FC9C652" w:rsidR="00E14F9C" w:rsidRPr="00F851BA" w:rsidRDefault="00E14F9C" w:rsidP="00E14F9C">
            <w:pPr>
              <w:rPr>
                <w:rFonts w:eastAsia="Times New Roman" w:cs="Calibri"/>
                <w:color w:val="55565A"/>
                <w:sz w:val="22"/>
                <w:szCs w:val="22"/>
                <w:lang w:eastAsia="en-GB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>What if two PDSPs are received from the same entity (e.g. via both Multi-</w:t>
            </w:r>
            <w:r w:rsidR="008C5291">
              <w:rPr>
                <w:rFonts w:cs="Calibri"/>
                <w:color w:val="55565A"/>
                <w:sz w:val="22"/>
                <w:szCs w:val="22"/>
              </w:rPr>
              <w:t>O</w:t>
            </w:r>
            <w:r>
              <w:rPr>
                <w:rFonts w:cs="Calibri"/>
                <w:color w:val="55565A"/>
                <w:sz w:val="22"/>
                <w:szCs w:val="22"/>
              </w:rPr>
              <w:t>rg and Single-</w:t>
            </w:r>
            <w:r w:rsidR="008C5291">
              <w:rPr>
                <w:rFonts w:cs="Calibri"/>
                <w:color w:val="55565A"/>
                <w:sz w:val="22"/>
                <w:szCs w:val="22"/>
              </w:rPr>
              <w:t>O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rg)? </w:t>
            </w:r>
          </w:p>
        </w:tc>
        <w:tc>
          <w:tcPr>
            <w:tcW w:w="5103" w:type="dxa"/>
            <w:shd w:val="clear" w:color="auto" w:fill="F2F2F2"/>
          </w:tcPr>
          <w:p w14:paraId="2F272245" w14:textId="77777777" w:rsidR="008C5291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If two PDSPs are received </w:t>
            </w:r>
            <w:r w:rsidR="008C5291">
              <w:rPr>
                <w:rFonts w:cs="Calibri"/>
              </w:rPr>
              <w:t>that reference</w:t>
            </w:r>
            <w:r>
              <w:rPr>
                <w:rFonts w:cs="Calibri"/>
              </w:rPr>
              <w:t xml:space="preserve"> the same </w:t>
            </w:r>
            <w:r w:rsidR="008C5291">
              <w:rPr>
                <w:rFonts w:cs="Calibri"/>
              </w:rPr>
              <w:t>organisation</w:t>
            </w:r>
            <w:r>
              <w:rPr>
                <w:rFonts w:cs="Calibri"/>
              </w:rPr>
              <w:t xml:space="preserve">, OVIC will </w:t>
            </w:r>
            <w:r w:rsidR="008C5291">
              <w:rPr>
                <w:rFonts w:cs="Calibri"/>
              </w:rPr>
              <w:t>reference</w:t>
            </w:r>
            <w:r>
              <w:rPr>
                <w:rFonts w:cs="Calibri"/>
              </w:rPr>
              <w:t xml:space="preserve"> the Single-</w:t>
            </w:r>
            <w:r w:rsidR="00260362">
              <w:rPr>
                <w:rFonts w:cs="Calibri"/>
              </w:rPr>
              <w:t>O</w:t>
            </w:r>
            <w:r>
              <w:rPr>
                <w:rFonts w:cs="Calibri"/>
              </w:rPr>
              <w:t>rg</w:t>
            </w:r>
            <w:r w:rsidR="00260362">
              <w:rPr>
                <w:rFonts w:cs="Calibri"/>
              </w:rPr>
              <w:t>anisation</w:t>
            </w:r>
            <w:r>
              <w:rPr>
                <w:rFonts w:cs="Calibri"/>
              </w:rPr>
              <w:t xml:space="preserve"> PDSP </w:t>
            </w:r>
            <w:r w:rsidR="008C5291">
              <w:rPr>
                <w:rFonts w:cs="Calibri"/>
              </w:rPr>
              <w:t>ahead of a Multi-Organisation PDSP</w:t>
            </w:r>
            <w:r>
              <w:rPr>
                <w:rFonts w:cs="Calibri"/>
              </w:rPr>
              <w:t xml:space="preserve">. </w:t>
            </w:r>
          </w:p>
          <w:p w14:paraId="27D562E4" w14:textId="77777777" w:rsidR="008C5291" w:rsidRDefault="008C5291" w:rsidP="00E14F9C">
            <w:pPr>
              <w:pStyle w:val="Linebreak11pt"/>
              <w:rPr>
                <w:rFonts w:cs="Calibri"/>
              </w:rPr>
            </w:pPr>
          </w:p>
          <w:p w14:paraId="4F9D75CA" w14:textId="2BE6123A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If the most current PDSP submitted exceeds the August 2020 deadline, OVIC will seek clarification from the </w:t>
            </w:r>
            <w:r w:rsidR="008C5291">
              <w:rPr>
                <w:rFonts w:cs="Calibri"/>
              </w:rPr>
              <w:t>organisation</w:t>
            </w:r>
            <w:r>
              <w:rPr>
                <w:rFonts w:cs="Calibri"/>
              </w:rPr>
              <w:t xml:space="preserve"> as to which one they would like to keep.</w:t>
            </w:r>
          </w:p>
          <w:p w14:paraId="01A17CE1" w14:textId="11F06D4A" w:rsidR="00E14F9C" w:rsidRPr="00F851BA" w:rsidRDefault="00E14F9C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34AA2F46" w14:textId="77777777" w:rsidTr="007B48A0">
        <w:tc>
          <w:tcPr>
            <w:tcW w:w="4531" w:type="dxa"/>
            <w:shd w:val="clear" w:color="auto" w:fill="F2F2F2"/>
          </w:tcPr>
          <w:p w14:paraId="701AB0AA" w14:textId="10B7BBCA" w:rsidR="00E14F9C" w:rsidRPr="00F851BA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Not all of the </w:t>
            </w:r>
            <w:r w:rsidR="006A622D">
              <w:rPr>
                <w:rFonts w:cs="Calibri"/>
                <w:color w:val="55565A"/>
                <w:sz w:val="22"/>
                <w:szCs w:val="22"/>
              </w:rPr>
              <w:t>E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>lements are applicable to my agency. Do I still need to fill them out on the PDSP?</w:t>
            </w:r>
          </w:p>
        </w:tc>
        <w:tc>
          <w:tcPr>
            <w:tcW w:w="5103" w:type="dxa"/>
            <w:shd w:val="clear" w:color="auto" w:fill="F2F2F2"/>
          </w:tcPr>
          <w:p w14:paraId="2E82B85A" w14:textId="77777777" w:rsidR="002B5EF4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If an element under the VPDSS is not applicable, </w:t>
            </w:r>
            <w:r w:rsidR="002B5EF4">
              <w:rPr>
                <w:rFonts w:cs="Calibri"/>
              </w:rPr>
              <w:t>the form provides</w:t>
            </w:r>
            <w:r>
              <w:rPr>
                <w:rFonts w:cs="Calibri"/>
              </w:rPr>
              <w:t xml:space="preserve"> an option to select ‘</w:t>
            </w:r>
            <w:r w:rsidRPr="002B5EF4">
              <w:rPr>
                <w:rFonts w:cs="Calibri"/>
                <w:i/>
                <w:iCs/>
              </w:rPr>
              <w:t>Not Applicable’</w:t>
            </w:r>
            <w:r>
              <w:rPr>
                <w:rFonts w:cs="Calibri"/>
              </w:rPr>
              <w:t xml:space="preserve"> for that element in the ‘Status’ column of Part B in the PDSP form.</w:t>
            </w:r>
          </w:p>
          <w:p w14:paraId="49E29764" w14:textId="77777777" w:rsidR="002B5EF4" w:rsidRDefault="002B5EF4" w:rsidP="00E14F9C">
            <w:pPr>
              <w:pStyle w:val="Linebreak11pt"/>
              <w:rPr>
                <w:rFonts w:cs="Calibri"/>
              </w:rPr>
            </w:pPr>
          </w:p>
          <w:p w14:paraId="3B478628" w14:textId="63ACDF10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If an element is ‘</w:t>
            </w:r>
            <w:r w:rsidRPr="002B5EF4">
              <w:rPr>
                <w:rFonts w:cs="Calibri"/>
                <w:i/>
                <w:iCs/>
              </w:rPr>
              <w:t>Not Applicable’</w:t>
            </w:r>
            <w:r>
              <w:rPr>
                <w:rFonts w:cs="Calibri"/>
              </w:rPr>
              <w:t xml:space="preserve">, you will be asked to enter a rationale for why </w:t>
            </w:r>
            <w:r w:rsidR="002B5EF4">
              <w:rPr>
                <w:rFonts w:cs="Calibri"/>
              </w:rPr>
              <w:t>the element</w:t>
            </w:r>
            <w:r>
              <w:rPr>
                <w:rFonts w:cs="Calibri"/>
              </w:rPr>
              <w:t xml:space="preserve"> does not apply </w:t>
            </w:r>
            <w:r>
              <w:rPr>
                <w:rFonts w:cs="Calibri"/>
              </w:rPr>
              <w:lastRenderedPageBreak/>
              <w:t>to you</w:t>
            </w:r>
            <w:r w:rsidR="002B5EF4">
              <w:rPr>
                <w:rFonts w:cs="Calibri"/>
              </w:rPr>
              <w:t>r organisation</w:t>
            </w:r>
            <w:r>
              <w:rPr>
                <w:rFonts w:cs="Calibri"/>
              </w:rPr>
              <w:t>.</w:t>
            </w:r>
          </w:p>
          <w:p w14:paraId="12A7D918" w14:textId="4C403221" w:rsidR="00260362" w:rsidRDefault="00260362" w:rsidP="00E14F9C">
            <w:pPr>
              <w:pStyle w:val="Linebreak11pt"/>
              <w:rPr>
                <w:rFonts w:cs="Calibri"/>
              </w:rPr>
            </w:pPr>
          </w:p>
          <w:p w14:paraId="55CFEF9B" w14:textId="2529F1C0" w:rsidR="00260362" w:rsidRDefault="00260362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In general, OVIC expects that the majority of </w:t>
            </w:r>
            <w:r w:rsidR="006A622D">
              <w:rPr>
                <w:rFonts w:cs="Calibri"/>
              </w:rPr>
              <w:t>E</w:t>
            </w:r>
            <w:r>
              <w:rPr>
                <w:rFonts w:cs="Calibri"/>
              </w:rPr>
              <w:t>lements will be applicable and only a few may not be.</w:t>
            </w:r>
          </w:p>
          <w:p w14:paraId="0187F258" w14:textId="5768DAEE" w:rsidR="00260362" w:rsidRDefault="00260362" w:rsidP="00E14F9C">
            <w:pPr>
              <w:pStyle w:val="Linebreak11pt"/>
              <w:rPr>
                <w:rFonts w:cs="Calibri"/>
              </w:rPr>
            </w:pPr>
          </w:p>
          <w:p w14:paraId="6CA3C8CE" w14:textId="0CE532FB" w:rsidR="00260362" w:rsidRDefault="009052EB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N.B. </w:t>
            </w:r>
            <w:r w:rsidR="002B5EF4">
              <w:rPr>
                <w:rFonts w:cs="Calibri"/>
              </w:rPr>
              <w:t>If</w:t>
            </w:r>
            <w:r w:rsidR="00260362">
              <w:rPr>
                <w:rFonts w:cs="Calibri"/>
              </w:rPr>
              <w:t xml:space="preserve"> an element is managed by a third party, </w:t>
            </w:r>
            <w:r w:rsidR="002B5EF4">
              <w:rPr>
                <w:rFonts w:cs="Calibri"/>
              </w:rPr>
              <w:t xml:space="preserve">that </w:t>
            </w:r>
            <w:r w:rsidR="00260362">
              <w:rPr>
                <w:rFonts w:cs="Calibri"/>
              </w:rPr>
              <w:t>does not mean that</w:t>
            </w:r>
            <w:r w:rsidR="002B5EF4">
              <w:rPr>
                <w:rFonts w:cs="Calibri"/>
              </w:rPr>
              <w:t xml:space="preserve"> the element</w:t>
            </w:r>
            <w:r w:rsidR="00260362">
              <w:rPr>
                <w:rFonts w:cs="Calibri"/>
              </w:rPr>
              <w:t xml:space="preserve"> is not applicable</w:t>
            </w:r>
            <w:r w:rsidR="002B5EF4">
              <w:rPr>
                <w:rFonts w:cs="Calibri"/>
              </w:rPr>
              <w:t xml:space="preserve"> to the organisation</w:t>
            </w:r>
            <w:r w:rsidR="00260362">
              <w:rPr>
                <w:rFonts w:cs="Calibri"/>
              </w:rPr>
              <w:t>. As the risk owner</w:t>
            </w:r>
            <w:r w:rsidR="00514277">
              <w:rPr>
                <w:rFonts w:cs="Calibri"/>
              </w:rPr>
              <w:t>,</w:t>
            </w:r>
            <w:r w:rsidR="002B5EF4">
              <w:rPr>
                <w:rFonts w:cs="Calibri"/>
              </w:rPr>
              <w:t xml:space="preserve"> the</w:t>
            </w:r>
            <w:r w:rsidR="00260362">
              <w:rPr>
                <w:rFonts w:cs="Calibri"/>
              </w:rPr>
              <w:t xml:space="preserve"> </w:t>
            </w:r>
            <w:r w:rsidR="002B5EF4">
              <w:rPr>
                <w:rFonts w:cs="Calibri"/>
              </w:rPr>
              <w:t>organisation needs to</w:t>
            </w:r>
            <w:r w:rsidR="00260362">
              <w:rPr>
                <w:rFonts w:cs="Calibri"/>
              </w:rPr>
              <w:t xml:space="preserve"> have a level of oversight over </w:t>
            </w:r>
            <w:r w:rsidR="002B5EF4">
              <w:rPr>
                <w:rFonts w:cs="Calibri"/>
              </w:rPr>
              <w:t>e</w:t>
            </w:r>
            <w:r w:rsidR="00260362">
              <w:rPr>
                <w:rFonts w:cs="Calibri"/>
              </w:rPr>
              <w:t xml:space="preserve">lements that are managed by third parties, </w:t>
            </w:r>
            <w:r w:rsidR="00514277">
              <w:rPr>
                <w:rFonts w:cs="Calibri"/>
              </w:rPr>
              <w:t>which</w:t>
            </w:r>
            <w:r w:rsidR="00260362">
              <w:rPr>
                <w:rFonts w:cs="Calibri"/>
              </w:rPr>
              <w:t xml:space="preserve"> </w:t>
            </w:r>
            <w:r w:rsidR="00514277">
              <w:rPr>
                <w:rFonts w:cs="Calibri"/>
              </w:rPr>
              <w:t>should</w:t>
            </w:r>
            <w:r w:rsidR="00260362">
              <w:rPr>
                <w:rFonts w:cs="Calibri"/>
              </w:rPr>
              <w:t xml:space="preserve"> be </w:t>
            </w:r>
            <w:r w:rsidR="004943C4">
              <w:rPr>
                <w:rFonts w:cs="Calibri"/>
              </w:rPr>
              <w:t>reflected in your PDSP</w:t>
            </w:r>
            <w:r w:rsidR="00260362">
              <w:rPr>
                <w:rFonts w:cs="Calibri"/>
              </w:rPr>
              <w:t>.</w:t>
            </w:r>
          </w:p>
          <w:p w14:paraId="4AF85A3A" w14:textId="7B9C6E7C" w:rsidR="00E14F9C" w:rsidRPr="00F851BA" w:rsidRDefault="00E14F9C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7842415E" w14:textId="77777777" w:rsidTr="007B48A0">
        <w:tc>
          <w:tcPr>
            <w:tcW w:w="4531" w:type="dxa"/>
            <w:shd w:val="clear" w:color="auto" w:fill="F2F2F2"/>
          </w:tcPr>
          <w:p w14:paraId="3EA5A19E" w14:textId="5E18EB9E" w:rsidR="00E14F9C" w:rsidRPr="0017456C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17456C">
              <w:rPr>
                <w:rFonts w:cs="Calibri"/>
                <w:color w:val="55565A"/>
                <w:sz w:val="22"/>
                <w:szCs w:val="22"/>
              </w:rPr>
              <w:lastRenderedPageBreak/>
              <w:t xml:space="preserve">Much of our IT functions are outsourced to contracted service providers. Does this mean we can mark the IT </w:t>
            </w:r>
            <w:r w:rsidR="006A622D" w:rsidRPr="0017456C">
              <w:rPr>
                <w:rFonts w:cs="Calibri"/>
                <w:color w:val="55565A"/>
                <w:sz w:val="22"/>
                <w:szCs w:val="22"/>
              </w:rPr>
              <w:t>E</w:t>
            </w:r>
            <w:r w:rsidRPr="0017456C">
              <w:rPr>
                <w:rFonts w:cs="Calibri"/>
                <w:color w:val="55565A"/>
                <w:sz w:val="22"/>
                <w:szCs w:val="22"/>
              </w:rPr>
              <w:t>lements as not applicable?</w:t>
            </w:r>
          </w:p>
        </w:tc>
        <w:tc>
          <w:tcPr>
            <w:tcW w:w="5103" w:type="dxa"/>
            <w:shd w:val="clear" w:color="auto" w:fill="F2F2F2"/>
          </w:tcPr>
          <w:p w14:paraId="391252A3" w14:textId="449893E5" w:rsidR="004943C4" w:rsidRPr="0017456C" w:rsidRDefault="00E14F9C" w:rsidP="00E14F9C">
            <w:pPr>
              <w:pStyle w:val="Linebreak11pt"/>
              <w:rPr>
                <w:rFonts w:cs="Calibri"/>
              </w:rPr>
            </w:pPr>
            <w:r w:rsidRPr="0017456C">
              <w:rPr>
                <w:rFonts w:cs="Calibri"/>
              </w:rPr>
              <w:t xml:space="preserve">No. Although you’ve contracted a </w:t>
            </w:r>
            <w:r w:rsidR="0017456C" w:rsidRPr="0017456C">
              <w:rPr>
                <w:rFonts w:cs="Calibri"/>
              </w:rPr>
              <w:t>service provider</w:t>
            </w:r>
            <w:r w:rsidRPr="0017456C">
              <w:rPr>
                <w:rFonts w:cs="Calibri"/>
              </w:rPr>
              <w:t xml:space="preserve"> to undertake certain business functions</w:t>
            </w:r>
            <w:r w:rsidR="0017456C" w:rsidRPr="0017456C">
              <w:rPr>
                <w:rFonts w:cs="Calibri"/>
              </w:rPr>
              <w:t xml:space="preserve"> on the organisation’s behalf</w:t>
            </w:r>
            <w:r w:rsidRPr="0017456C">
              <w:rPr>
                <w:rFonts w:cs="Calibri"/>
              </w:rPr>
              <w:t>, as the risk owner</w:t>
            </w:r>
            <w:r w:rsidR="0017456C" w:rsidRPr="0017456C">
              <w:rPr>
                <w:rFonts w:cs="Calibri"/>
              </w:rPr>
              <w:t>,</w:t>
            </w:r>
            <w:r w:rsidRPr="0017456C">
              <w:rPr>
                <w:rFonts w:cs="Calibri"/>
              </w:rPr>
              <w:t xml:space="preserve"> </w:t>
            </w:r>
            <w:r w:rsidR="0017456C" w:rsidRPr="0017456C">
              <w:rPr>
                <w:rFonts w:cs="Calibri"/>
              </w:rPr>
              <w:t>you</w:t>
            </w:r>
            <w:r w:rsidRPr="0017456C">
              <w:rPr>
                <w:rFonts w:cs="Calibri"/>
              </w:rPr>
              <w:t xml:space="preserve"> still </w:t>
            </w:r>
            <w:r w:rsidR="0017456C" w:rsidRPr="0017456C">
              <w:rPr>
                <w:rFonts w:cs="Calibri"/>
              </w:rPr>
              <w:t>need to maintain</w:t>
            </w:r>
            <w:r w:rsidRPr="0017456C">
              <w:rPr>
                <w:rFonts w:cs="Calibri"/>
              </w:rPr>
              <w:t xml:space="preserve"> a level of oversight to ensure that specific risks to the business are being addressed</w:t>
            </w:r>
            <w:r w:rsidR="0017456C" w:rsidRPr="0017456C">
              <w:rPr>
                <w:rFonts w:cs="Calibri"/>
              </w:rPr>
              <w:t xml:space="preserve"> by the provider.</w:t>
            </w:r>
          </w:p>
          <w:p w14:paraId="0080E0C2" w14:textId="77777777" w:rsidR="004943C4" w:rsidRPr="0017456C" w:rsidRDefault="004943C4" w:rsidP="00E14F9C">
            <w:pPr>
              <w:pStyle w:val="Linebreak11pt"/>
              <w:rPr>
                <w:rFonts w:cs="Calibri"/>
              </w:rPr>
            </w:pPr>
          </w:p>
          <w:p w14:paraId="3D184D58" w14:textId="77777777" w:rsidR="00E14F9C" w:rsidRDefault="004943C4" w:rsidP="00C732F5">
            <w:pPr>
              <w:pStyle w:val="Linebreak11pt"/>
              <w:rPr>
                <w:rFonts w:cs="Calibri"/>
              </w:rPr>
            </w:pPr>
            <w:r w:rsidRPr="00C732F5">
              <w:rPr>
                <w:rFonts w:cs="Calibri"/>
              </w:rPr>
              <w:t xml:space="preserve">Where business functions are outsourced, </w:t>
            </w:r>
            <w:r w:rsidR="0017456C" w:rsidRPr="00C732F5">
              <w:rPr>
                <w:rFonts w:cs="Calibri"/>
              </w:rPr>
              <w:t>organisations</w:t>
            </w:r>
            <w:r w:rsidRPr="00C732F5">
              <w:rPr>
                <w:rFonts w:cs="Calibri"/>
              </w:rPr>
              <w:t xml:space="preserve"> should ensure the intention of the element is being objectively met by the third party</w:t>
            </w:r>
            <w:r w:rsidR="00C732F5" w:rsidRPr="00C732F5">
              <w:rPr>
                <w:rFonts w:cs="Calibri"/>
              </w:rPr>
              <w:t>,</w:t>
            </w:r>
            <w:r w:rsidRPr="00C732F5">
              <w:rPr>
                <w:rFonts w:cs="Calibri"/>
              </w:rPr>
              <w:t xml:space="preserve"> and on-going assessments should</w:t>
            </w:r>
            <w:r w:rsidR="00C732F5" w:rsidRPr="00C732F5">
              <w:rPr>
                <w:rFonts w:cs="Calibri"/>
              </w:rPr>
              <w:t xml:space="preserve"> also</w:t>
            </w:r>
            <w:r w:rsidRPr="00C732F5">
              <w:rPr>
                <w:rFonts w:cs="Calibri"/>
              </w:rPr>
              <w:t xml:space="preserve"> be made</w:t>
            </w:r>
            <w:r w:rsidR="00C732F5" w:rsidRPr="00C732F5">
              <w:rPr>
                <w:rFonts w:cs="Calibri"/>
              </w:rPr>
              <w:t>.</w:t>
            </w:r>
          </w:p>
          <w:p w14:paraId="7335F699" w14:textId="6DF72376" w:rsidR="00C732F5" w:rsidRPr="0017456C" w:rsidRDefault="00C732F5" w:rsidP="00C732F5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21C7B64C" w14:textId="77777777" w:rsidTr="007B48A0">
        <w:tc>
          <w:tcPr>
            <w:tcW w:w="4531" w:type="dxa"/>
            <w:shd w:val="clear" w:color="auto" w:fill="F2F2F2"/>
          </w:tcPr>
          <w:p w14:paraId="12EC1237" w14:textId="39D59214" w:rsidR="00E14F9C" w:rsidRPr="00F851BA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We don't currently use any 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c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ontrol 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l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ibraries. Are there any 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c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ontrol </w:t>
            </w:r>
            <w:r w:rsidR="009052EB">
              <w:rPr>
                <w:rFonts w:cs="Calibri"/>
                <w:color w:val="55565A"/>
                <w:sz w:val="22"/>
                <w:szCs w:val="22"/>
              </w:rPr>
              <w:t>l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>ibraries that are more closely aligned with the PDSP for small organisations?</w:t>
            </w:r>
          </w:p>
        </w:tc>
        <w:tc>
          <w:tcPr>
            <w:tcW w:w="5103" w:type="dxa"/>
            <w:shd w:val="clear" w:color="auto" w:fill="F2F2F2"/>
          </w:tcPr>
          <w:p w14:paraId="718C55F5" w14:textId="77777777" w:rsidR="004F7E12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The VPDSS </w:t>
            </w:r>
            <w:r w:rsidR="006A622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lements themselves can be considered a </w:t>
            </w:r>
            <w:r w:rsidR="009052EB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ontrol </w:t>
            </w:r>
            <w:r w:rsidR="009052EB">
              <w:rPr>
                <w:rFonts w:cs="Calibri"/>
              </w:rPr>
              <w:t>l</w:t>
            </w:r>
            <w:r>
              <w:rPr>
                <w:rFonts w:cs="Calibri"/>
              </w:rPr>
              <w:t xml:space="preserve">ibrary. </w:t>
            </w:r>
          </w:p>
          <w:p w14:paraId="0A943720" w14:textId="77777777" w:rsidR="004F7E12" w:rsidRDefault="004F7E12" w:rsidP="00E14F9C">
            <w:pPr>
              <w:pStyle w:val="Linebreak11pt"/>
              <w:rPr>
                <w:rFonts w:cs="Calibri"/>
              </w:rPr>
            </w:pPr>
          </w:p>
          <w:p w14:paraId="19F53DE5" w14:textId="2FCA9A75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If</w:t>
            </w:r>
            <w:r w:rsidR="004F7E12">
              <w:rPr>
                <w:rFonts w:cs="Calibri"/>
              </w:rPr>
              <w:t xml:space="preserve"> you intend to use</w:t>
            </w:r>
            <w:r>
              <w:rPr>
                <w:rFonts w:cs="Calibri"/>
              </w:rPr>
              <w:t xml:space="preserve"> the </w:t>
            </w:r>
            <w:r w:rsidR="006A622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lements </w:t>
            </w:r>
            <w:r w:rsidR="006A622D">
              <w:rPr>
                <w:rFonts w:cs="Calibri"/>
              </w:rPr>
              <w:t xml:space="preserve">in support of a particular program of work, </w:t>
            </w:r>
            <w:r>
              <w:rPr>
                <w:rFonts w:cs="Calibri"/>
              </w:rPr>
              <w:t>please select ‘</w:t>
            </w:r>
            <w:r w:rsidRPr="004F7E12">
              <w:rPr>
                <w:rFonts w:cs="Calibri"/>
                <w:i/>
                <w:iCs/>
              </w:rPr>
              <w:t>VPDSSE’</w:t>
            </w:r>
            <w:r>
              <w:rPr>
                <w:rFonts w:cs="Calibri"/>
              </w:rPr>
              <w:t xml:space="preserve"> in the </w:t>
            </w:r>
            <w:r w:rsidR="006A622D">
              <w:rPr>
                <w:rFonts w:cs="Calibri"/>
              </w:rPr>
              <w:t>‘</w:t>
            </w:r>
            <w:r w:rsidR="004943C4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ontrol </w:t>
            </w:r>
            <w:r w:rsidR="004943C4">
              <w:rPr>
                <w:rFonts w:cs="Calibri"/>
              </w:rPr>
              <w:t>L</w:t>
            </w:r>
            <w:r>
              <w:rPr>
                <w:rFonts w:cs="Calibri"/>
              </w:rPr>
              <w:t>ibrary</w:t>
            </w:r>
            <w:r w:rsidR="006A622D">
              <w:rPr>
                <w:rFonts w:cs="Calibri"/>
              </w:rPr>
              <w:t>’</w:t>
            </w:r>
            <w:r>
              <w:rPr>
                <w:rFonts w:cs="Calibri"/>
              </w:rPr>
              <w:t xml:space="preserve"> column in Part B o</w:t>
            </w:r>
            <w:r w:rsidR="004943C4">
              <w:rPr>
                <w:rFonts w:cs="Calibri"/>
              </w:rPr>
              <w:t>f</w:t>
            </w:r>
            <w:r>
              <w:rPr>
                <w:rFonts w:cs="Calibri"/>
              </w:rPr>
              <w:t xml:space="preserve"> the PDSP.</w:t>
            </w:r>
          </w:p>
          <w:p w14:paraId="05838666" w14:textId="45C46220" w:rsidR="004943C4" w:rsidRPr="00F851BA" w:rsidRDefault="004943C4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27D7567D" w14:textId="77777777" w:rsidTr="007B48A0">
        <w:tc>
          <w:tcPr>
            <w:tcW w:w="4531" w:type="dxa"/>
            <w:shd w:val="clear" w:color="auto" w:fill="F2F2F2"/>
          </w:tcPr>
          <w:p w14:paraId="6F76B931" w14:textId="7E14840C" w:rsidR="00E14F9C" w:rsidRPr="00F851BA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Which 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business unit 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 xml:space="preserve">is responsible for managing the </w:t>
            </w:r>
            <w:r>
              <w:rPr>
                <w:rFonts w:cs="Calibri"/>
                <w:color w:val="55565A"/>
                <w:sz w:val="22"/>
                <w:szCs w:val="22"/>
              </w:rPr>
              <w:t>PDSP</w:t>
            </w:r>
            <w:r w:rsidRPr="00F851BA">
              <w:rPr>
                <w:rFonts w:cs="Calibri"/>
                <w:color w:val="55565A"/>
                <w:sz w:val="22"/>
                <w:szCs w:val="22"/>
              </w:rPr>
              <w:t>?</w:t>
            </w:r>
          </w:p>
        </w:tc>
        <w:tc>
          <w:tcPr>
            <w:tcW w:w="5103" w:type="dxa"/>
            <w:shd w:val="clear" w:color="auto" w:fill="F2F2F2"/>
          </w:tcPr>
          <w:p w14:paraId="4CF26C9C" w14:textId="77777777" w:rsidR="004F7E12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This very much depends on the organisation. Each business unit will be able to provide a unique insight into the information security arrangements of your organisation. </w:t>
            </w:r>
          </w:p>
          <w:p w14:paraId="4F575881" w14:textId="77777777" w:rsidR="004F7E12" w:rsidRDefault="004F7E12" w:rsidP="00E14F9C">
            <w:pPr>
              <w:pStyle w:val="Linebreak11pt"/>
              <w:rPr>
                <w:rFonts w:cs="Calibri"/>
              </w:rPr>
            </w:pPr>
          </w:p>
          <w:p w14:paraId="68408C9A" w14:textId="0B3D7252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Regardless of who manages the PDSP, OVIC encourages collaboration across all areas of the business to gain a better level of understanding and oversight in your PDSP.</w:t>
            </w:r>
          </w:p>
          <w:p w14:paraId="38AB89EF" w14:textId="70542C9E" w:rsidR="004943C4" w:rsidRPr="00F851BA" w:rsidRDefault="004943C4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7DF39592" w14:textId="77777777" w:rsidTr="007B48A0">
        <w:tc>
          <w:tcPr>
            <w:tcW w:w="4531" w:type="dxa"/>
            <w:shd w:val="clear" w:color="auto" w:fill="F2F2F2"/>
          </w:tcPr>
          <w:p w14:paraId="6C96F6AD" w14:textId="4150E09E" w:rsidR="00E14F9C" w:rsidRPr="00F851BA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>Would you accept a hard copy PDSP submission?</w:t>
            </w:r>
          </w:p>
        </w:tc>
        <w:tc>
          <w:tcPr>
            <w:tcW w:w="5103" w:type="dxa"/>
            <w:shd w:val="clear" w:color="auto" w:fill="F2F2F2"/>
          </w:tcPr>
          <w:p w14:paraId="4544551A" w14:textId="72726B59" w:rsidR="00E14F9C" w:rsidRDefault="00E14F9C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Yes. While the preference is to receive </w:t>
            </w:r>
            <w:r w:rsidR="004943C4">
              <w:rPr>
                <w:rFonts w:cs="Calibri"/>
              </w:rPr>
              <w:t xml:space="preserve">your </w:t>
            </w:r>
            <w:r>
              <w:rPr>
                <w:rFonts w:cs="Calibri"/>
              </w:rPr>
              <w:t xml:space="preserve">PDSP electronically, OVIC recognises this may not be possible in some instances. If you have any concerns </w:t>
            </w:r>
            <w:r>
              <w:rPr>
                <w:rFonts w:cs="Calibri"/>
              </w:rPr>
              <w:lastRenderedPageBreak/>
              <w:t xml:space="preserve">about submitting your PDSP, please contact a member of the </w:t>
            </w:r>
            <w:r w:rsidR="00E061F5">
              <w:rPr>
                <w:rFonts w:cs="Calibri"/>
              </w:rPr>
              <w:t>Information Security Unit</w:t>
            </w:r>
            <w:r w:rsidR="006A622D">
              <w:rPr>
                <w:rFonts w:cs="Calibri"/>
              </w:rPr>
              <w:t xml:space="preserve"> by emailing </w:t>
            </w:r>
            <w:hyperlink r:id="rId24" w:history="1">
              <w:r w:rsidR="006A622D" w:rsidRPr="00C5781D">
                <w:rPr>
                  <w:rStyle w:val="Hyperlink"/>
                  <w:rFonts w:cs="Calibri"/>
                </w:rPr>
                <w:t>security@ovic.vic.gov.au</w:t>
              </w:r>
            </w:hyperlink>
            <w:r>
              <w:rPr>
                <w:rFonts w:cs="Calibri"/>
              </w:rPr>
              <w:t>.</w:t>
            </w:r>
          </w:p>
          <w:p w14:paraId="7682408F" w14:textId="0F5EDCAB" w:rsidR="004943C4" w:rsidRPr="00F851BA" w:rsidRDefault="004943C4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7F235CD2" w14:textId="77777777" w:rsidTr="007B48A0">
        <w:tc>
          <w:tcPr>
            <w:tcW w:w="4531" w:type="dxa"/>
            <w:shd w:val="clear" w:color="auto" w:fill="F2F2F2"/>
          </w:tcPr>
          <w:p w14:paraId="1993F5CB" w14:textId="574422CD" w:rsidR="00E14F9C" w:rsidRPr="00F851BA" w:rsidRDefault="00E14F9C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lastRenderedPageBreak/>
              <w:t>How can we reflect a continuous improvement process in the PDSP? Our program of work each year will strive to improve, so we rarely would see anything completed?</w:t>
            </w:r>
          </w:p>
        </w:tc>
        <w:tc>
          <w:tcPr>
            <w:tcW w:w="5103" w:type="dxa"/>
            <w:shd w:val="clear" w:color="auto" w:fill="F2F2F2"/>
          </w:tcPr>
          <w:p w14:paraId="27167D4D" w14:textId="1341033D" w:rsidR="006A622D" w:rsidRPr="007A0E7F" w:rsidRDefault="000D5BD9" w:rsidP="007A0E7F">
            <w:pPr>
              <w:rPr>
                <w:color w:val="55565A"/>
                <w:sz w:val="22"/>
                <w:szCs w:val="22"/>
                <w:lang w:eastAsia="en-GB"/>
              </w:rPr>
            </w:pPr>
            <w:r w:rsidRPr="006A622D">
              <w:rPr>
                <w:rFonts w:cs="Calibri"/>
                <w:color w:val="55565A"/>
                <w:sz w:val="22"/>
                <w:szCs w:val="22"/>
              </w:rPr>
              <w:t xml:space="preserve">If there are </w:t>
            </w:r>
            <w:r w:rsidR="007A0E7F">
              <w:rPr>
                <w:rFonts w:cs="Calibri"/>
                <w:color w:val="55565A"/>
                <w:sz w:val="22"/>
                <w:szCs w:val="22"/>
              </w:rPr>
              <w:t>projects or processes</w:t>
            </w:r>
            <w:r w:rsidRPr="006A622D">
              <w:rPr>
                <w:rFonts w:cs="Calibri"/>
                <w:color w:val="55565A"/>
                <w:sz w:val="22"/>
                <w:szCs w:val="22"/>
              </w:rPr>
              <w:t xml:space="preserve"> that you’re particularly proud </w:t>
            </w:r>
            <w:r w:rsidR="007A0E7F" w:rsidRPr="006A622D">
              <w:rPr>
                <w:rFonts w:cs="Calibri"/>
                <w:color w:val="55565A"/>
                <w:sz w:val="22"/>
                <w:szCs w:val="22"/>
              </w:rPr>
              <w:t>of</w:t>
            </w:r>
            <w:r w:rsidR="007A0E7F">
              <w:rPr>
                <w:rFonts w:cs="Calibri"/>
                <w:color w:val="55565A"/>
                <w:sz w:val="22"/>
                <w:szCs w:val="22"/>
              </w:rPr>
              <w:t xml:space="preserve"> and have seen some improvement since the last reporting cycle</w:t>
            </w:r>
            <w:r w:rsidRPr="006A622D">
              <w:rPr>
                <w:rFonts w:cs="Calibri"/>
                <w:color w:val="55565A"/>
                <w:sz w:val="22"/>
                <w:szCs w:val="22"/>
              </w:rPr>
              <w:t xml:space="preserve"> we’d love to read </w:t>
            </w:r>
            <w:r w:rsidR="007A0E7F">
              <w:rPr>
                <w:rFonts w:cs="Calibri"/>
                <w:color w:val="55565A"/>
                <w:sz w:val="22"/>
                <w:szCs w:val="22"/>
              </w:rPr>
              <w:t>these</w:t>
            </w:r>
            <w:r w:rsidRPr="006A622D">
              <w:rPr>
                <w:rFonts w:cs="Calibri"/>
                <w:color w:val="55565A"/>
                <w:sz w:val="22"/>
                <w:szCs w:val="22"/>
              </w:rPr>
              <w:t xml:space="preserve"> in the </w:t>
            </w:r>
            <w:r w:rsidR="006A622D" w:rsidRPr="006A622D">
              <w:rPr>
                <w:rFonts w:cs="Calibri"/>
                <w:color w:val="55565A"/>
                <w:sz w:val="22"/>
                <w:szCs w:val="22"/>
              </w:rPr>
              <w:t>‘</w:t>
            </w:r>
            <w:r w:rsidR="006A622D" w:rsidRPr="007A0E7F">
              <w:rPr>
                <w:i/>
                <w:iCs/>
                <w:color w:val="55565A"/>
                <w:sz w:val="22"/>
                <w:szCs w:val="22"/>
              </w:rPr>
              <w:t>Security program executive summary from the past 24 months</w:t>
            </w:r>
            <w:r w:rsidR="006A622D" w:rsidRPr="006A622D">
              <w:rPr>
                <w:rFonts w:cs="Calibri"/>
                <w:color w:val="55565A"/>
                <w:sz w:val="22"/>
                <w:szCs w:val="22"/>
              </w:rPr>
              <w:t>’</w:t>
            </w:r>
            <w:r w:rsidRPr="006A622D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 w:rsidR="006A622D">
              <w:rPr>
                <w:rFonts w:cs="Calibri"/>
                <w:color w:val="55565A"/>
                <w:sz w:val="22"/>
                <w:szCs w:val="22"/>
              </w:rPr>
              <w:t xml:space="preserve">section </w:t>
            </w:r>
            <w:r w:rsidRPr="006A622D">
              <w:rPr>
                <w:rFonts w:cs="Calibri"/>
                <w:color w:val="55565A"/>
                <w:sz w:val="22"/>
                <w:szCs w:val="22"/>
              </w:rPr>
              <w:t>of your PDSP</w:t>
            </w:r>
            <w:r w:rsidR="006A622D">
              <w:rPr>
                <w:rFonts w:cs="Calibri"/>
                <w:color w:val="55565A"/>
                <w:sz w:val="22"/>
                <w:szCs w:val="22"/>
              </w:rPr>
              <w:t xml:space="preserve"> (pg.</w:t>
            </w:r>
            <w:r w:rsidR="007A0E7F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 w:rsidR="006A622D">
              <w:rPr>
                <w:rFonts w:cs="Calibri"/>
                <w:color w:val="55565A"/>
                <w:sz w:val="22"/>
                <w:szCs w:val="22"/>
              </w:rPr>
              <w:t>9</w:t>
            </w:r>
            <w:r w:rsidR="007A0E7F">
              <w:rPr>
                <w:rFonts w:cs="Calibri"/>
                <w:color w:val="55565A"/>
                <w:sz w:val="22"/>
                <w:szCs w:val="22"/>
              </w:rPr>
              <w:t xml:space="preserve"> of the PDSP form</w:t>
            </w:r>
            <w:r w:rsidR="006A622D">
              <w:rPr>
                <w:rFonts w:cs="Calibri"/>
                <w:color w:val="55565A"/>
                <w:sz w:val="22"/>
                <w:szCs w:val="22"/>
              </w:rPr>
              <w:t>)</w:t>
            </w:r>
            <w:r w:rsidRPr="006A622D">
              <w:rPr>
                <w:rFonts w:cs="Calibri"/>
                <w:color w:val="55565A"/>
                <w:sz w:val="22"/>
                <w:szCs w:val="22"/>
              </w:rPr>
              <w:t>.</w:t>
            </w:r>
            <w:r w:rsidRPr="006A622D">
              <w:rPr>
                <w:rFonts w:cs="Calibri"/>
                <w:color w:val="55565A"/>
                <w:sz w:val="22"/>
                <w:szCs w:val="22"/>
              </w:rPr>
              <w:br/>
            </w:r>
          </w:p>
          <w:p w14:paraId="104DEA9D" w14:textId="05F3B7F7" w:rsidR="006A622D" w:rsidRDefault="007A0E7F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The PDSP form also asks you to </w:t>
            </w:r>
            <w:r w:rsidR="00C85848">
              <w:rPr>
                <w:rFonts w:cs="Calibri"/>
              </w:rPr>
              <w:t xml:space="preserve">perform </w:t>
            </w:r>
            <w:r w:rsidR="004943C4">
              <w:rPr>
                <w:rFonts w:cs="Calibri"/>
              </w:rPr>
              <w:t xml:space="preserve">a </w:t>
            </w:r>
            <w:r w:rsidR="000D5BD9">
              <w:rPr>
                <w:rFonts w:cs="Calibri"/>
              </w:rPr>
              <w:t xml:space="preserve">maturity assessment </w:t>
            </w:r>
            <w:r>
              <w:rPr>
                <w:rFonts w:cs="Calibri"/>
              </w:rPr>
              <w:t>for each</w:t>
            </w:r>
            <w:r w:rsidR="00C85848">
              <w:rPr>
                <w:rFonts w:cs="Calibri"/>
              </w:rPr>
              <w:t xml:space="preserve"> </w:t>
            </w:r>
            <w:r w:rsidR="006A622D">
              <w:rPr>
                <w:rFonts w:cs="Calibri"/>
              </w:rPr>
              <w:t>S</w:t>
            </w:r>
            <w:r w:rsidR="00C85848">
              <w:rPr>
                <w:rFonts w:cs="Calibri"/>
              </w:rPr>
              <w:t>tandard</w:t>
            </w:r>
            <w:r>
              <w:rPr>
                <w:rFonts w:cs="Calibri"/>
              </w:rPr>
              <w:t xml:space="preserve"> (outlining a current, target and aspirational maturity level), which offers another opportunity to highlight continuous improvement in organisational security practices.</w:t>
            </w:r>
          </w:p>
          <w:p w14:paraId="5C493281" w14:textId="574BC192" w:rsidR="007A0E7F" w:rsidRPr="00F851BA" w:rsidRDefault="007A0E7F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45FD6743" w14:textId="77777777" w:rsidTr="007B48A0">
        <w:tc>
          <w:tcPr>
            <w:tcW w:w="4531" w:type="dxa"/>
            <w:shd w:val="clear" w:color="auto" w:fill="F2F2F2"/>
          </w:tcPr>
          <w:p w14:paraId="3E1F1DF1" w14:textId="041EC6E2" w:rsidR="00E14F9C" w:rsidRPr="00F851BA" w:rsidRDefault="00C85848" w:rsidP="00E14F9C">
            <w:pPr>
              <w:rPr>
                <w:rFonts w:cs="Calibri"/>
                <w:color w:val="55565A"/>
                <w:sz w:val="22"/>
                <w:szCs w:val="22"/>
                <w:lang w:eastAsia="en-GB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 xml:space="preserve">How were the </w:t>
            </w:r>
            <w:r w:rsidR="006A622D">
              <w:rPr>
                <w:rFonts w:cs="Calibri"/>
                <w:color w:val="55565A"/>
                <w:sz w:val="22"/>
                <w:szCs w:val="22"/>
              </w:rPr>
              <w:t>E</w:t>
            </w:r>
            <w:r>
              <w:rPr>
                <w:rFonts w:cs="Calibri"/>
                <w:color w:val="55565A"/>
                <w:sz w:val="22"/>
                <w:szCs w:val="22"/>
              </w:rPr>
              <w:t>lements derived?</w:t>
            </w:r>
          </w:p>
        </w:tc>
        <w:tc>
          <w:tcPr>
            <w:tcW w:w="5103" w:type="dxa"/>
            <w:shd w:val="clear" w:color="auto" w:fill="F2F2F2"/>
          </w:tcPr>
          <w:p w14:paraId="046CA286" w14:textId="06EF5E0D" w:rsidR="00E14F9C" w:rsidRDefault="00C85848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The VPDSS Elements have been derived from a number of sources including ISO standards, </w:t>
            </w:r>
            <w:r w:rsidR="00542061">
              <w:rPr>
                <w:rFonts w:cs="Calibri"/>
              </w:rPr>
              <w:t xml:space="preserve">Australian Standards, </w:t>
            </w:r>
            <w:r>
              <w:rPr>
                <w:rFonts w:cs="Calibri"/>
              </w:rPr>
              <w:t>Victorian Government publication</w:t>
            </w:r>
            <w:r w:rsidR="00542061">
              <w:rPr>
                <w:rFonts w:cs="Calibri"/>
              </w:rPr>
              <w:t>s, and best practice guidance.</w:t>
            </w:r>
          </w:p>
          <w:p w14:paraId="5FE54AE0" w14:textId="7A766A5C" w:rsidR="00C85848" w:rsidRDefault="00C85848" w:rsidP="00E14F9C">
            <w:pPr>
              <w:pStyle w:val="Linebreak11pt"/>
              <w:rPr>
                <w:rFonts w:cs="Calibri"/>
              </w:rPr>
            </w:pPr>
          </w:p>
          <w:p w14:paraId="2BDB3659" w14:textId="7E7D1B93" w:rsidR="00C85848" w:rsidRDefault="00C85848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For more information, please see the VPDSS implementation guide available from </w:t>
            </w:r>
            <w:hyperlink r:id="rId25" w:history="1">
              <w:r w:rsidRPr="00C85848">
                <w:rPr>
                  <w:rStyle w:val="Hyperlink"/>
                  <w:rFonts w:cs="Calibri"/>
                </w:rPr>
                <w:t>OVIC’s website</w:t>
              </w:r>
            </w:hyperlink>
            <w:r>
              <w:rPr>
                <w:rFonts w:cs="Calibri"/>
              </w:rPr>
              <w:t>.</w:t>
            </w:r>
          </w:p>
          <w:p w14:paraId="4ACC7AFF" w14:textId="56A3AB09" w:rsidR="00C85848" w:rsidRPr="00F851BA" w:rsidRDefault="00C85848" w:rsidP="00E14F9C">
            <w:pPr>
              <w:pStyle w:val="Linebreak11pt"/>
              <w:rPr>
                <w:rFonts w:cs="Calibri"/>
              </w:rPr>
            </w:pPr>
          </w:p>
        </w:tc>
      </w:tr>
      <w:tr w:rsidR="00E14F9C" w:rsidRPr="00F851BA" w14:paraId="683AC6E3" w14:textId="77777777" w:rsidTr="007B48A0">
        <w:tc>
          <w:tcPr>
            <w:tcW w:w="4531" w:type="dxa"/>
            <w:shd w:val="clear" w:color="auto" w:fill="F2F2F2"/>
          </w:tcPr>
          <w:p w14:paraId="256F4EF5" w14:textId="21F34CBC" w:rsidR="00E14F9C" w:rsidRPr="00F851BA" w:rsidRDefault="001755D4" w:rsidP="00E14F9C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>The PDSP form has changed significantly since the first reporting period in 2018. What changes can we expect in future?</w:t>
            </w:r>
          </w:p>
        </w:tc>
        <w:tc>
          <w:tcPr>
            <w:tcW w:w="5103" w:type="dxa"/>
            <w:shd w:val="clear" w:color="auto" w:fill="F2F2F2"/>
          </w:tcPr>
          <w:p w14:paraId="6559B91E" w14:textId="2257004D" w:rsidR="00C85848" w:rsidRDefault="006A622D" w:rsidP="00E14F9C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At OVIC, we</w:t>
            </w:r>
            <w:r w:rsidR="001755D4">
              <w:rPr>
                <w:rFonts w:cs="Calibri"/>
              </w:rPr>
              <w:t xml:space="preserve"> are cont</w:t>
            </w:r>
            <w:r w:rsidR="002E7C92">
              <w:rPr>
                <w:rFonts w:cs="Calibri"/>
              </w:rPr>
              <w:t xml:space="preserve">inually trying to improve the way we </w:t>
            </w:r>
            <w:r w:rsidR="00C85848">
              <w:rPr>
                <w:rFonts w:cs="Calibri"/>
              </w:rPr>
              <w:t xml:space="preserve">engage with </w:t>
            </w:r>
            <w:r w:rsidR="00542061">
              <w:rPr>
                <w:rFonts w:cs="Calibri"/>
              </w:rPr>
              <w:t>organisations</w:t>
            </w:r>
            <w:r w:rsidR="00C85848">
              <w:rPr>
                <w:rFonts w:cs="Calibri"/>
              </w:rPr>
              <w:t>.</w:t>
            </w:r>
          </w:p>
          <w:p w14:paraId="600860BB" w14:textId="77777777" w:rsidR="00C85848" w:rsidRDefault="00C85848" w:rsidP="00E14F9C">
            <w:pPr>
              <w:pStyle w:val="Linebreak11pt"/>
              <w:rPr>
                <w:rFonts w:cs="Calibri"/>
              </w:rPr>
            </w:pPr>
          </w:p>
          <w:p w14:paraId="6930FAE2" w14:textId="6BC848CA" w:rsidR="008707E8" w:rsidRDefault="00C85848" w:rsidP="00930F2E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The latest iteration of the PDSP </w:t>
            </w:r>
            <w:r w:rsidR="00542061">
              <w:rPr>
                <w:rFonts w:cs="Calibri"/>
              </w:rPr>
              <w:t>is presented</w:t>
            </w:r>
            <w:r>
              <w:rPr>
                <w:rFonts w:cs="Calibri"/>
              </w:rPr>
              <w:t xml:space="preserve"> in </w:t>
            </w:r>
            <w:r w:rsidR="00930F2E">
              <w:rPr>
                <w:rFonts w:cs="Calibri"/>
              </w:rPr>
              <w:t xml:space="preserve">PDF form, </w:t>
            </w:r>
            <w:r>
              <w:rPr>
                <w:rFonts w:cs="Calibri"/>
              </w:rPr>
              <w:t>simplify</w:t>
            </w:r>
            <w:r w:rsidR="00930F2E">
              <w:rPr>
                <w:rFonts w:cs="Calibri"/>
              </w:rPr>
              <w:t>ing</w:t>
            </w:r>
            <w:r>
              <w:rPr>
                <w:rFonts w:cs="Calibri"/>
              </w:rPr>
              <w:t xml:space="preserve"> the way </w:t>
            </w:r>
            <w:r w:rsidR="00930F2E">
              <w:rPr>
                <w:rFonts w:cs="Calibri"/>
              </w:rPr>
              <w:t>organisations can represent their security plans</w:t>
            </w:r>
            <w:r w:rsidR="00542061">
              <w:rPr>
                <w:rFonts w:cs="Calibri"/>
              </w:rPr>
              <w:t>,</w:t>
            </w:r>
            <w:r w:rsidR="00930F2E">
              <w:rPr>
                <w:rFonts w:cs="Calibri"/>
              </w:rPr>
              <w:t xml:space="preserve"> and</w:t>
            </w:r>
            <w:r w:rsidR="00542061">
              <w:rPr>
                <w:rFonts w:cs="Calibri"/>
              </w:rPr>
              <w:t xml:space="preserve"> assisting OVIC in analysing statistics that fall out of </w:t>
            </w:r>
            <w:r w:rsidR="00930F2E">
              <w:rPr>
                <w:rFonts w:cs="Calibri"/>
              </w:rPr>
              <w:t>this</w:t>
            </w:r>
            <w:r w:rsidR="00542061">
              <w:rPr>
                <w:rFonts w:cs="Calibri"/>
              </w:rPr>
              <w:t xml:space="preserve"> reporting period. </w:t>
            </w:r>
          </w:p>
          <w:p w14:paraId="3A34C9C5" w14:textId="15C2B1F0" w:rsidR="00930F2E" w:rsidRPr="00F851BA" w:rsidRDefault="00930F2E" w:rsidP="00930F2E">
            <w:pPr>
              <w:pStyle w:val="Linebreak11pt"/>
              <w:rPr>
                <w:rFonts w:cs="Calibri"/>
              </w:rPr>
            </w:pPr>
          </w:p>
        </w:tc>
      </w:tr>
      <w:tr w:rsidR="001755D4" w:rsidRPr="00F851BA" w14:paraId="3E08447C" w14:textId="77777777" w:rsidTr="007B48A0">
        <w:tc>
          <w:tcPr>
            <w:tcW w:w="4531" w:type="dxa"/>
            <w:shd w:val="clear" w:color="auto" w:fill="F2F2F2"/>
          </w:tcPr>
          <w:p w14:paraId="207072CE" w14:textId="7E1D1C9A" w:rsidR="001755D4" w:rsidRPr="00F851BA" w:rsidRDefault="001755D4" w:rsidP="001755D4">
            <w:pPr>
              <w:rPr>
                <w:rFonts w:cs="Calibri"/>
                <w:color w:val="55565A"/>
                <w:sz w:val="22"/>
                <w:szCs w:val="22"/>
                <w:lang w:eastAsia="en-GB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>Where can I find more information such as practitioner guides, factsheets, forms, and templates?</w:t>
            </w:r>
          </w:p>
        </w:tc>
        <w:tc>
          <w:tcPr>
            <w:tcW w:w="5103" w:type="dxa"/>
            <w:shd w:val="clear" w:color="auto" w:fill="F2F2F2"/>
          </w:tcPr>
          <w:p w14:paraId="774FC26D" w14:textId="278C4095" w:rsidR="006A622D" w:rsidRDefault="001755D4" w:rsidP="001755D4">
            <w:pPr>
              <w:rPr>
                <w:rFonts w:cs="Calibri"/>
                <w:color w:val="55565A"/>
                <w:sz w:val="22"/>
                <w:szCs w:val="22"/>
              </w:rPr>
            </w:pPr>
            <w:r w:rsidRPr="008707E8">
              <w:rPr>
                <w:rFonts w:cs="Calibri"/>
                <w:color w:val="55565A"/>
                <w:sz w:val="22"/>
                <w:szCs w:val="22"/>
              </w:rPr>
              <w:t xml:space="preserve">Visit the </w:t>
            </w:r>
            <w:hyperlink r:id="rId26" w:history="1">
              <w:r w:rsidRPr="00930F2E">
                <w:rPr>
                  <w:rStyle w:val="Hyperlink"/>
                  <w:rFonts w:cs="Calibri"/>
                  <w:sz w:val="22"/>
                  <w:szCs w:val="22"/>
                </w:rPr>
                <w:t>VPDSF resources</w:t>
              </w:r>
            </w:hyperlink>
            <w:r w:rsidRPr="008707E8">
              <w:rPr>
                <w:rFonts w:cs="Calibri"/>
                <w:color w:val="55565A"/>
                <w:sz w:val="22"/>
                <w:szCs w:val="22"/>
              </w:rPr>
              <w:t xml:space="preserve"> page of the OVIC website. </w:t>
            </w:r>
          </w:p>
          <w:p w14:paraId="1A903C93" w14:textId="77777777" w:rsidR="006A622D" w:rsidRDefault="006A622D" w:rsidP="001755D4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25808F74" w14:textId="0E9CD7DD" w:rsidR="006A622D" w:rsidRDefault="001755D4" w:rsidP="001755D4">
            <w:pPr>
              <w:rPr>
                <w:rFonts w:cs="Calibri"/>
                <w:color w:val="55565A"/>
                <w:sz w:val="22"/>
                <w:szCs w:val="22"/>
              </w:rPr>
            </w:pPr>
            <w:r w:rsidRPr="008707E8">
              <w:rPr>
                <w:rFonts w:cs="Calibri"/>
                <w:color w:val="55565A"/>
                <w:sz w:val="22"/>
                <w:szCs w:val="22"/>
              </w:rPr>
              <w:t xml:space="preserve">Additionally, if you’re an information security practitioner and would like to stay informed in relation to all things VPDSF you can join the </w:t>
            </w:r>
            <w:hyperlink r:id="rId27" w:history="1">
              <w:r w:rsidR="006A622D" w:rsidRPr="00930F2E">
                <w:rPr>
                  <w:rStyle w:val="Hyperlink"/>
                  <w:rFonts w:cs="Calibri"/>
                  <w:sz w:val="22"/>
                  <w:szCs w:val="22"/>
                </w:rPr>
                <w:t>VISN</w:t>
              </w:r>
            </w:hyperlink>
            <w:r w:rsidR="00930F2E">
              <w:rPr>
                <w:rFonts w:cs="Calibri"/>
                <w:color w:val="55565A"/>
                <w:sz w:val="22"/>
                <w:szCs w:val="22"/>
              </w:rPr>
              <w:t>.</w:t>
            </w:r>
          </w:p>
          <w:p w14:paraId="78F58418" w14:textId="77777777" w:rsidR="006A622D" w:rsidRDefault="006A622D" w:rsidP="001755D4">
            <w:pPr>
              <w:rPr>
                <w:rFonts w:cs="Calibri"/>
                <w:color w:val="55565A"/>
                <w:sz w:val="22"/>
                <w:szCs w:val="22"/>
              </w:rPr>
            </w:pPr>
          </w:p>
          <w:p w14:paraId="3DDF36A2" w14:textId="336008FE" w:rsidR="001755D4" w:rsidRPr="008707E8" w:rsidRDefault="001755D4" w:rsidP="001755D4">
            <w:pPr>
              <w:rPr>
                <w:rFonts w:cs="Calibri"/>
                <w:color w:val="55565A"/>
                <w:sz w:val="22"/>
                <w:szCs w:val="22"/>
              </w:rPr>
            </w:pPr>
            <w:r w:rsidRPr="008707E8">
              <w:rPr>
                <w:rFonts w:cs="Calibri"/>
                <w:color w:val="55565A"/>
                <w:sz w:val="22"/>
                <w:szCs w:val="22"/>
              </w:rPr>
              <w:t xml:space="preserve">As a member of </w:t>
            </w:r>
            <w:r w:rsidR="00930F2E">
              <w:rPr>
                <w:rFonts w:cs="Calibri"/>
                <w:color w:val="55565A"/>
                <w:sz w:val="22"/>
                <w:szCs w:val="22"/>
              </w:rPr>
              <w:t>the VISN</w:t>
            </w:r>
            <w:r w:rsidRPr="008707E8">
              <w:rPr>
                <w:rFonts w:cs="Calibri"/>
                <w:color w:val="55565A"/>
                <w:sz w:val="22"/>
                <w:szCs w:val="22"/>
              </w:rPr>
              <w:t>, you will receive correspondence of upcoming </w:t>
            </w:r>
            <w:r w:rsidR="00930F2E">
              <w:rPr>
                <w:color w:val="55565A"/>
                <w:sz w:val="22"/>
                <w:szCs w:val="22"/>
              </w:rPr>
              <w:t>information security</w:t>
            </w:r>
            <w:r w:rsidRPr="008707E8">
              <w:rPr>
                <w:rFonts w:cs="Calibri"/>
                <w:color w:val="55565A"/>
                <w:sz w:val="22"/>
                <w:szCs w:val="22"/>
              </w:rPr>
              <w:t xml:space="preserve"> events and </w:t>
            </w:r>
            <w:r w:rsidR="00577ABF" w:rsidRPr="008707E8">
              <w:rPr>
                <w:rFonts w:cs="Calibri"/>
                <w:color w:val="55565A"/>
                <w:sz w:val="22"/>
                <w:szCs w:val="22"/>
              </w:rPr>
              <w:t>forums and</w:t>
            </w:r>
            <w:r w:rsidRPr="008707E8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 w:rsidR="00930F2E">
              <w:rPr>
                <w:rFonts w:cs="Calibri"/>
                <w:color w:val="55565A"/>
                <w:sz w:val="22"/>
                <w:szCs w:val="22"/>
              </w:rPr>
              <w:t>can be added to the</w:t>
            </w:r>
            <w:r w:rsidRPr="008707E8">
              <w:rPr>
                <w:rFonts w:cs="Calibri"/>
                <w:color w:val="55565A"/>
                <w:sz w:val="22"/>
                <w:szCs w:val="22"/>
              </w:rPr>
              <w:t xml:space="preserve"> GovTEAMS </w:t>
            </w:r>
            <w:r w:rsidR="00930F2E">
              <w:rPr>
                <w:rFonts w:cs="Calibri"/>
                <w:color w:val="55565A"/>
                <w:sz w:val="22"/>
                <w:szCs w:val="22"/>
              </w:rPr>
              <w:t xml:space="preserve">online community where </w:t>
            </w:r>
            <w:r w:rsidRPr="008707E8">
              <w:rPr>
                <w:rFonts w:cs="Calibri"/>
                <w:color w:val="55565A"/>
                <w:sz w:val="22"/>
                <w:szCs w:val="22"/>
              </w:rPr>
              <w:t>you will find additional content including draft publications, guidance material, and the opportunity for collaboration</w:t>
            </w:r>
            <w:r w:rsidR="006A622D">
              <w:rPr>
                <w:rFonts w:cs="Calibri"/>
                <w:color w:val="55565A"/>
                <w:sz w:val="22"/>
                <w:szCs w:val="22"/>
              </w:rPr>
              <w:t xml:space="preserve"> </w:t>
            </w:r>
            <w:r w:rsidRPr="008707E8">
              <w:rPr>
                <w:rFonts w:cs="Calibri"/>
                <w:color w:val="55565A"/>
                <w:sz w:val="22"/>
                <w:szCs w:val="22"/>
              </w:rPr>
              <w:t>with </w:t>
            </w:r>
            <w:r w:rsidR="006A622D">
              <w:rPr>
                <w:rFonts w:cs="Calibri"/>
                <w:color w:val="55565A"/>
                <w:sz w:val="22"/>
                <w:szCs w:val="22"/>
              </w:rPr>
              <w:t>n</w:t>
            </w:r>
            <w:r w:rsidRPr="008707E8">
              <w:rPr>
                <w:rFonts w:cs="Calibri"/>
                <w:color w:val="55565A"/>
                <w:sz w:val="22"/>
                <w:szCs w:val="22"/>
              </w:rPr>
              <w:t>etwork members.</w:t>
            </w:r>
          </w:p>
          <w:p w14:paraId="6D8BFBAA" w14:textId="77777777" w:rsidR="001755D4" w:rsidRDefault="001755D4" w:rsidP="001755D4">
            <w:pPr>
              <w:pStyle w:val="Linebreak11pt"/>
              <w:rPr>
                <w:rFonts w:cs="Calibri"/>
              </w:rPr>
            </w:pPr>
          </w:p>
          <w:p w14:paraId="4C4D8EA7" w14:textId="41229577" w:rsidR="006A622D" w:rsidRDefault="006A622D" w:rsidP="001755D4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For more information about the VISN, please visit our </w:t>
            </w:r>
            <w:hyperlink r:id="rId28" w:history="1">
              <w:r w:rsidRPr="003334AC">
                <w:rPr>
                  <w:rStyle w:val="Hyperlink"/>
                  <w:rFonts w:cs="Calibri"/>
                </w:rPr>
                <w:t>website</w:t>
              </w:r>
            </w:hyperlink>
            <w:r w:rsidR="003334AC">
              <w:rPr>
                <w:rFonts w:cs="Calibri"/>
              </w:rPr>
              <w:t>.</w:t>
            </w:r>
          </w:p>
          <w:p w14:paraId="14F0FD24" w14:textId="2E429B53" w:rsidR="006A622D" w:rsidRPr="00F851BA" w:rsidRDefault="006A622D" w:rsidP="001755D4">
            <w:pPr>
              <w:pStyle w:val="Linebreak11pt"/>
              <w:rPr>
                <w:rFonts w:cs="Calibri"/>
              </w:rPr>
            </w:pPr>
          </w:p>
        </w:tc>
      </w:tr>
      <w:tr w:rsidR="001755D4" w:rsidRPr="00F851BA" w14:paraId="6642F40F" w14:textId="77777777" w:rsidTr="007B48A0">
        <w:tc>
          <w:tcPr>
            <w:tcW w:w="9634" w:type="dxa"/>
            <w:gridSpan w:val="2"/>
            <w:shd w:val="clear" w:color="auto" w:fill="F2F2F2"/>
            <w:vAlign w:val="center"/>
          </w:tcPr>
          <w:p w14:paraId="3F4E5114" w14:textId="77777777" w:rsidR="001755D4" w:rsidRPr="00F851BA" w:rsidRDefault="001755D4" w:rsidP="001755D4">
            <w:pPr>
              <w:pStyle w:val="SectionHeading2"/>
              <w:rPr>
                <w:rFonts w:cs="Calibri"/>
              </w:rPr>
            </w:pPr>
            <w:r w:rsidRPr="00F851BA">
              <w:rPr>
                <w:rFonts w:cs="Calibri"/>
              </w:rPr>
              <w:lastRenderedPageBreak/>
              <w:t>Other</w:t>
            </w:r>
          </w:p>
        </w:tc>
      </w:tr>
      <w:tr w:rsidR="001755D4" w:rsidRPr="00F851BA" w14:paraId="4C5C8D05" w14:textId="77777777" w:rsidTr="00D571A3">
        <w:tc>
          <w:tcPr>
            <w:tcW w:w="4531" w:type="dxa"/>
            <w:shd w:val="clear" w:color="auto" w:fill="F2F2F2"/>
          </w:tcPr>
          <w:p w14:paraId="0F414C8D" w14:textId="04395441" w:rsidR="001755D4" w:rsidRPr="00D571A3" w:rsidRDefault="001755D4" w:rsidP="001755D4">
            <w:pPr>
              <w:pStyle w:val="SectionHeading2"/>
              <w:rPr>
                <w:rFonts w:cs="Calibri"/>
                <w:b w:val="0"/>
                <w:bCs/>
                <w:sz w:val="22"/>
                <w:szCs w:val="22"/>
              </w:rPr>
            </w:pPr>
            <w:r w:rsidRPr="00D571A3">
              <w:rPr>
                <w:rFonts w:cs="Calibri"/>
                <w:b w:val="0"/>
                <w:bCs/>
                <w:sz w:val="22"/>
                <w:szCs w:val="22"/>
              </w:rPr>
              <w:t>Should not-for-profit/ non-government organisations also should follow the VPDSF?</w:t>
            </w:r>
          </w:p>
        </w:tc>
        <w:tc>
          <w:tcPr>
            <w:tcW w:w="5103" w:type="dxa"/>
            <w:shd w:val="clear" w:color="auto" w:fill="F2F2F2"/>
          </w:tcPr>
          <w:p w14:paraId="17FA6F7D" w14:textId="77777777" w:rsidR="00930F2E" w:rsidRDefault="008707E8" w:rsidP="001755D4">
            <w:pPr>
              <w:pStyle w:val="SectionHeading2"/>
              <w:rPr>
                <w:rFonts w:cs="Calibri"/>
                <w:b w:val="0"/>
                <w:bCs/>
                <w:sz w:val="22"/>
                <w:szCs w:val="22"/>
              </w:rPr>
            </w:pPr>
            <w:r>
              <w:rPr>
                <w:rFonts w:cs="Calibri"/>
                <w:b w:val="0"/>
                <w:bCs/>
                <w:sz w:val="22"/>
                <w:szCs w:val="22"/>
              </w:rPr>
              <w:t>Generally speaking, n</w:t>
            </w:r>
            <w:r w:rsidR="001755D4" w:rsidRPr="00D571A3">
              <w:rPr>
                <w:rFonts w:cs="Calibri"/>
                <w:b w:val="0"/>
                <w:bCs/>
                <w:sz w:val="22"/>
                <w:szCs w:val="22"/>
              </w:rPr>
              <w:t>o</w:t>
            </w:r>
            <w:r w:rsidR="001755D4">
              <w:rPr>
                <w:rFonts w:cs="Calibri"/>
                <w:b w:val="0"/>
                <w:bCs/>
                <w:sz w:val="22"/>
                <w:szCs w:val="22"/>
              </w:rPr>
              <w:t xml:space="preserve">t-for-profit/ non-government </w:t>
            </w:r>
            <w:r w:rsidR="00930F2E">
              <w:rPr>
                <w:rFonts w:cs="Calibri"/>
                <w:b w:val="0"/>
                <w:bCs/>
                <w:sz w:val="22"/>
                <w:szCs w:val="22"/>
              </w:rPr>
              <w:t>organisations</w:t>
            </w:r>
            <w:r w:rsidR="001755D4">
              <w:rPr>
                <w:rFonts w:cs="Calibri"/>
                <w:b w:val="0"/>
                <w:bCs/>
                <w:sz w:val="22"/>
                <w:szCs w:val="22"/>
              </w:rPr>
              <w:t xml:space="preserve"> are not bound by 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Part 4 of </w:t>
            </w:r>
            <w:r w:rsidR="001755D4">
              <w:rPr>
                <w:rFonts w:cs="Calibri"/>
                <w:b w:val="0"/>
                <w:bCs/>
                <w:sz w:val="22"/>
                <w:szCs w:val="22"/>
              </w:rPr>
              <w:t>the PDP Act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 and are under no legislative obligation to follow the VPDSF</w:t>
            </w:r>
            <w:r w:rsidR="001755D4">
              <w:rPr>
                <w:rFonts w:cs="Calibri"/>
                <w:b w:val="0"/>
                <w:bCs/>
                <w:sz w:val="22"/>
                <w:szCs w:val="22"/>
              </w:rPr>
              <w:t>.</w:t>
            </w:r>
            <w:r w:rsidR="00930F2E">
              <w:rPr>
                <w:rFonts w:cs="Calibri"/>
                <w:b w:val="0"/>
                <w:bCs/>
                <w:sz w:val="22"/>
                <w:szCs w:val="22"/>
              </w:rPr>
              <w:t xml:space="preserve"> We do however recommend uptake of the VPDSF as a best practice model. </w:t>
            </w:r>
          </w:p>
          <w:p w14:paraId="30FBF115" w14:textId="794305AA" w:rsidR="003334AC" w:rsidRPr="00D571A3" w:rsidRDefault="00930F2E" w:rsidP="001755D4">
            <w:pPr>
              <w:pStyle w:val="SectionHeading2"/>
              <w:rPr>
                <w:rFonts w:cs="Calibri"/>
                <w:b w:val="0"/>
                <w:bCs/>
                <w:sz w:val="22"/>
                <w:szCs w:val="22"/>
              </w:rPr>
            </w:pPr>
            <w:r>
              <w:rPr>
                <w:rFonts w:cs="Calibri"/>
                <w:b w:val="0"/>
                <w:bCs/>
                <w:sz w:val="22"/>
                <w:szCs w:val="22"/>
              </w:rPr>
              <w:t>N</w:t>
            </w:r>
            <w:r w:rsidRPr="00D571A3">
              <w:rPr>
                <w:rFonts w:cs="Calibri"/>
                <w:b w:val="0"/>
                <w:bCs/>
                <w:sz w:val="22"/>
                <w:szCs w:val="22"/>
              </w:rPr>
              <w:t>o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>t-for-profit/ Non-government organisations</w:t>
            </w:r>
            <w:r w:rsidR="008707E8">
              <w:rPr>
                <w:rFonts w:cs="Calibri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>who</w:t>
            </w:r>
            <w:r w:rsidR="001755D4">
              <w:rPr>
                <w:rFonts w:cs="Calibri"/>
                <w:b w:val="0"/>
                <w:bCs/>
                <w:sz w:val="22"/>
                <w:szCs w:val="22"/>
              </w:rPr>
              <w:t xml:space="preserve"> are providing a service 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or function </w:t>
            </w:r>
            <w:r w:rsidR="001755D4">
              <w:rPr>
                <w:rFonts w:cs="Calibri"/>
                <w:b w:val="0"/>
                <w:bCs/>
                <w:sz w:val="22"/>
                <w:szCs w:val="22"/>
              </w:rPr>
              <w:t xml:space="preserve">on behalf of a Victorian government 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>organisation,</w:t>
            </w:r>
            <w:r w:rsidR="001755D4">
              <w:rPr>
                <w:rFonts w:cs="Calibri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>may be asked the ‘in-scope’ organisation</w:t>
            </w:r>
            <w:r w:rsidR="001755D4">
              <w:rPr>
                <w:rFonts w:cs="Calibri"/>
                <w:b w:val="0"/>
                <w:bCs/>
                <w:sz w:val="22"/>
                <w:szCs w:val="22"/>
              </w:rPr>
              <w:t xml:space="preserve"> to comply with the VPDSF</w:t>
            </w:r>
            <w:r w:rsidR="008707E8">
              <w:rPr>
                <w:rFonts w:cs="Calibri"/>
                <w:b w:val="0"/>
                <w:bCs/>
                <w:sz w:val="22"/>
                <w:szCs w:val="22"/>
              </w:rPr>
              <w:t xml:space="preserve"> for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 their own</w:t>
            </w:r>
            <w:r w:rsidR="008707E8">
              <w:rPr>
                <w:rFonts w:cs="Calibri"/>
                <w:b w:val="0"/>
                <w:bCs/>
                <w:sz w:val="22"/>
                <w:szCs w:val="22"/>
              </w:rPr>
              <w:t xml:space="preserve"> assurance purposes</w:t>
            </w:r>
            <w:r w:rsidR="003334AC">
              <w:rPr>
                <w:rFonts w:cs="Calibri"/>
                <w:b w:val="0"/>
                <w:bCs/>
                <w:sz w:val="22"/>
                <w:szCs w:val="22"/>
              </w:rPr>
              <w:t xml:space="preserve">. This does not mean 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you must </w:t>
            </w:r>
            <w:r w:rsidR="003334AC">
              <w:rPr>
                <w:rFonts w:cs="Calibri"/>
                <w:b w:val="0"/>
                <w:bCs/>
                <w:sz w:val="22"/>
                <w:szCs w:val="22"/>
              </w:rPr>
              <w:t xml:space="preserve">report to </w:t>
            </w:r>
            <w:r w:rsidR="00806D84">
              <w:rPr>
                <w:rFonts w:cs="Calibri"/>
                <w:b w:val="0"/>
                <w:bCs/>
                <w:sz w:val="22"/>
                <w:szCs w:val="22"/>
              </w:rPr>
              <w:t>OVIC, you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 should seek clarification from the organisation about their assurance expectations. </w:t>
            </w:r>
          </w:p>
        </w:tc>
      </w:tr>
      <w:tr w:rsidR="001755D4" w:rsidRPr="00F851BA" w14:paraId="1A8F480E" w14:textId="77777777" w:rsidTr="007B48A0">
        <w:tc>
          <w:tcPr>
            <w:tcW w:w="4531" w:type="dxa"/>
            <w:shd w:val="clear" w:color="auto" w:fill="F2F2F2"/>
          </w:tcPr>
          <w:p w14:paraId="4C8CDBA0" w14:textId="79382C3A" w:rsidR="001755D4" w:rsidRPr="00F851BA" w:rsidRDefault="001755D4" w:rsidP="001755D4">
            <w:pPr>
              <w:rPr>
                <w:rFonts w:cs="Calibri"/>
                <w:color w:val="55565A"/>
                <w:sz w:val="22"/>
                <w:szCs w:val="22"/>
              </w:rPr>
            </w:pPr>
            <w:r w:rsidRPr="00F851BA">
              <w:rPr>
                <w:rFonts w:cs="Calibri"/>
                <w:color w:val="55565A"/>
                <w:sz w:val="22"/>
                <w:szCs w:val="22"/>
              </w:rPr>
              <w:t>What is the biggest change we should be aware of with the new Framework (V2.0)?</w:t>
            </w:r>
          </w:p>
        </w:tc>
        <w:tc>
          <w:tcPr>
            <w:tcW w:w="5103" w:type="dxa"/>
            <w:shd w:val="clear" w:color="auto" w:fill="F2F2F2"/>
          </w:tcPr>
          <w:p w14:paraId="46921A44" w14:textId="77777777" w:rsidR="00806D84" w:rsidRDefault="008707E8" w:rsidP="001755D4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The biggest changes to the VPDSF 2.0 is the </w:t>
            </w:r>
            <w:r w:rsidR="00806D84">
              <w:rPr>
                <w:rFonts w:cs="Calibri"/>
              </w:rPr>
              <w:t>refinement</w:t>
            </w:r>
            <w:r>
              <w:rPr>
                <w:rFonts w:cs="Calibri"/>
              </w:rPr>
              <w:t xml:space="preserve"> of the </w:t>
            </w:r>
            <w:r w:rsidR="00806D84">
              <w:rPr>
                <w:rFonts w:cs="Calibri"/>
              </w:rPr>
              <w:t>document to focus on assurance outcomes for OVIC, and organisations</w:t>
            </w:r>
            <w:r>
              <w:rPr>
                <w:rFonts w:cs="Calibri"/>
              </w:rPr>
              <w:t xml:space="preserve">. </w:t>
            </w:r>
          </w:p>
          <w:p w14:paraId="07CF7A20" w14:textId="77777777" w:rsidR="00806D84" w:rsidRDefault="00806D84" w:rsidP="001755D4">
            <w:pPr>
              <w:pStyle w:val="Linebreak11pt"/>
              <w:rPr>
                <w:rFonts w:cs="Calibri"/>
              </w:rPr>
            </w:pPr>
          </w:p>
          <w:p w14:paraId="30506D67" w14:textId="28B2DBAF" w:rsidR="00806D84" w:rsidRDefault="008707E8" w:rsidP="001755D4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Much of the language </w:t>
            </w:r>
            <w:r w:rsidR="00806D84">
              <w:rPr>
                <w:rFonts w:cs="Calibri"/>
              </w:rPr>
              <w:t xml:space="preserve">in the document </w:t>
            </w:r>
            <w:r>
              <w:rPr>
                <w:rFonts w:cs="Calibri"/>
              </w:rPr>
              <w:t xml:space="preserve">has been simplified and certain chapters have been </w:t>
            </w:r>
            <w:r w:rsidR="00806D84">
              <w:rPr>
                <w:rFonts w:cs="Calibri"/>
              </w:rPr>
              <w:t>extracted and made</w:t>
            </w:r>
            <w:r>
              <w:rPr>
                <w:rFonts w:cs="Calibri"/>
              </w:rPr>
              <w:t xml:space="preserve"> into stand-alone documents.</w:t>
            </w:r>
          </w:p>
          <w:p w14:paraId="52D25A92" w14:textId="594D9247" w:rsidR="00C5435F" w:rsidRPr="00F851BA" w:rsidRDefault="00C5435F" w:rsidP="001755D4">
            <w:pPr>
              <w:pStyle w:val="Linebreak11pt"/>
              <w:rPr>
                <w:rFonts w:cs="Calibri"/>
              </w:rPr>
            </w:pPr>
          </w:p>
        </w:tc>
      </w:tr>
      <w:tr w:rsidR="001755D4" w:rsidRPr="00F851BA" w14:paraId="1B52A159" w14:textId="77777777" w:rsidTr="007B48A0">
        <w:tc>
          <w:tcPr>
            <w:tcW w:w="4531" w:type="dxa"/>
            <w:shd w:val="clear" w:color="auto" w:fill="F2F2F2"/>
          </w:tcPr>
          <w:p w14:paraId="05CC0BCB" w14:textId="44B363E7" w:rsidR="001755D4" w:rsidRPr="00F851BA" w:rsidRDefault="003334AC" w:rsidP="001755D4">
            <w:pPr>
              <w:rPr>
                <w:rFonts w:cs="Calibri"/>
                <w:color w:val="55565A"/>
                <w:sz w:val="22"/>
                <w:szCs w:val="22"/>
              </w:rPr>
            </w:pPr>
            <w:r>
              <w:rPr>
                <w:rFonts w:cs="Calibri"/>
                <w:color w:val="55565A"/>
                <w:sz w:val="22"/>
                <w:szCs w:val="22"/>
              </w:rPr>
              <w:t>Where can I find more information about</w:t>
            </w:r>
            <w:r w:rsidR="001755D4" w:rsidRPr="00F851BA">
              <w:rPr>
                <w:rFonts w:cs="Calibri"/>
                <w:color w:val="55565A"/>
                <w:sz w:val="22"/>
                <w:szCs w:val="22"/>
              </w:rPr>
              <w:t xml:space="preserve"> best practice </w:t>
            </w:r>
            <w:r w:rsidR="00C5435F">
              <w:rPr>
                <w:rFonts w:cs="Calibri"/>
                <w:color w:val="55565A"/>
                <w:sz w:val="22"/>
                <w:szCs w:val="22"/>
              </w:rPr>
              <w:t xml:space="preserve">with </w:t>
            </w:r>
            <w:r>
              <w:rPr>
                <w:rFonts w:cs="Calibri"/>
                <w:color w:val="55565A"/>
                <w:sz w:val="22"/>
                <w:szCs w:val="22"/>
              </w:rPr>
              <w:t xml:space="preserve">regard to </w:t>
            </w:r>
            <w:r w:rsidR="00C5435F">
              <w:rPr>
                <w:rFonts w:cs="Calibri"/>
                <w:color w:val="55565A"/>
                <w:sz w:val="22"/>
                <w:szCs w:val="22"/>
              </w:rPr>
              <w:t>third party assurance</w:t>
            </w:r>
            <w:r w:rsidR="001755D4" w:rsidRPr="00F851BA">
              <w:rPr>
                <w:rFonts w:cs="Calibri"/>
                <w:color w:val="55565A"/>
                <w:sz w:val="22"/>
                <w:szCs w:val="22"/>
              </w:rPr>
              <w:t>?</w:t>
            </w:r>
          </w:p>
        </w:tc>
        <w:tc>
          <w:tcPr>
            <w:tcW w:w="5103" w:type="dxa"/>
            <w:shd w:val="clear" w:color="auto" w:fill="F2F2F2"/>
          </w:tcPr>
          <w:p w14:paraId="5CC450DB" w14:textId="70A28B2F" w:rsidR="001755D4" w:rsidRDefault="003334AC" w:rsidP="001755D4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>OVIC is currently developing material on this topic.</w:t>
            </w:r>
          </w:p>
          <w:p w14:paraId="3C2D5157" w14:textId="77777777" w:rsidR="003334AC" w:rsidRDefault="003334AC" w:rsidP="001755D4">
            <w:pPr>
              <w:pStyle w:val="Linebreak11pt"/>
              <w:rPr>
                <w:rFonts w:cs="Calibri"/>
              </w:rPr>
            </w:pPr>
          </w:p>
          <w:p w14:paraId="7FED21E4" w14:textId="47A5D090" w:rsidR="003334AC" w:rsidRPr="00F851BA" w:rsidRDefault="003334AC" w:rsidP="001755D4">
            <w:pPr>
              <w:pStyle w:val="Linebreak11pt"/>
              <w:rPr>
                <w:rFonts w:cs="Calibri"/>
              </w:rPr>
            </w:pPr>
            <w:r>
              <w:rPr>
                <w:rFonts w:cs="Calibri"/>
              </w:rPr>
              <w:t xml:space="preserve">If you have any specific questions, please feel free to get in touch with the ISU by emailing </w:t>
            </w:r>
            <w:hyperlink r:id="rId29" w:history="1">
              <w:r w:rsidRPr="00C5781D">
                <w:rPr>
                  <w:rStyle w:val="Hyperlink"/>
                  <w:rFonts w:cs="Calibri"/>
                </w:rPr>
                <w:t>security@ovic.vic.gov.au</w:t>
              </w:r>
            </w:hyperlink>
            <w:r>
              <w:rPr>
                <w:rFonts w:cs="Calibri"/>
              </w:rPr>
              <w:t>.</w:t>
            </w:r>
          </w:p>
        </w:tc>
      </w:tr>
    </w:tbl>
    <w:p w14:paraId="42744040" w14:textId="77777777" w:rsidR="00765158" w:rsidRDefault="00765158" w:rsidP="00765158">
      <w:pPr>
        <w:pStyle w:val="BasicParagraph"/>
        <w:spacing w:after="170"/>
        <w:rPr>
          <w:rFonts w:ascii="PostGrotesk-Medium" w:hAnsi="PostGrotesk-Medium" w:cs="PostGrotesk-Medium"/>
          <w:color w:val="E5007D"/>
        </w:rPr>
        <w:sectPr w:rsidR="00765158" w:rsidSect="00E74731">
          <w:type w:val="continuous"/>
          <w:pgSz w:w="11900" w:h="16840"/>
          <w:pgMar w:top="1134" w:right="1134" w:bottom="1134" w:left="1134" w:header="1134" w:footer="1056" w:gutter="0"/>
          <w:cols w:space="720"/>
          <w:titlePg/>
          <w:docGrid w:linePitch="360"/>
        </w:sectPr>
      </w:pPr>
    </w:p>
    <w:p w14:paraId="00D1B357" w14:textId="77777777" w:rsidR="00F36C34" w:rsidRPr="0086734F" w:rsidRDefault="00F36C34" w:rsidP="00EF06C1">
      <w:pPr>
        <w:pStyle w:val="FurtherInfo"/>
        <w:outlineLvl w:val="0"/>
      </w:pPr>
      <w:r w:rsidRPr="0086734F">
        <w:t>Further Infor</w:t>
      </w:r>
      <w:r w:rsidRPr="00372C3E">
        <w:t>mat</w:t>
      </w:r>
      <w:r w:rsidRPr="0086734F">
        <w:t>ion</w:t>
      </w:r>
    </w:p>
    <w:p w14:paraId="07D9CD27" w14:textId="77777777" w:rsidR="00765158" w:rsidRDefault="00765158" w:rsidP="00863040">
      <w:pPr>
        <w:pStyle w:val="BasicParagraph"/>
        <w:pBdr>
          <w:top w:val="single" w:sz="4" w:space="6" w:color="430098"/>
        </w:pBdr>
        <w:spacing w:after="170"/>
        <w:rPr>
          <w:rFonts w:ascii="PostGrotesk-Medium" w:hAnsi="PostGrotesk-Medium" w:cs="PostGrotesk-Medium"/>
          <w:color w:val="00A5B5"/>
        </w:rPr>
        <w:sectPr w:rsidR="00765158" w:rsidSect="00E74731">
          <w:type w:val="continuous"/>
          <w:pgSz w:w="11900" w:h="16840"/>
          <w:pgMar w:top="1134" w:right="1134" w:bottom="1134" w:left="1134" w:header="1134" w:footer="1056" w:gutter="0"/>
          <w:cols w:space="720"/>
          <w:titlePg/>
          <w:docGrid w:linePitch="360"/>
        </w:sectPr>
      </w:pPr>
    </w:p>
    <w:p w14:paraId="499FFBA7" w14:textId="77777777" w:rsidR="00780584" w:rsidRPr="00780584" w:rsidRDefault="00780584" w:rsidP="00780584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outlineLvl w:val="0"/>
        <w:rPr>
          <w:rFonts w:cs="PostGrotesk-Medium"/>
          <w:b/>
          <w:color w:val="55565A"/>
        </w:rPr>
      </w:pPr>
      <w:r w:rsidRPr="00780584">
        <w:rPr>
          <w:rFonts w:cs="PostGrotesk-Medium"/>
          <w:b/>
          <w:color w:val="55565A"/>
        </w:rPr>
        <w:t>Contact Us</w:t>
      </w:r>
    </w:p>
    <w:p w14:paraId="19861AA3" w14:textId="77777777" w:rsidR="00780584" w:rsidRPr="00780584" w:rsidRDefault="00780584" w:rsidP="00780584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240"/>
        <w:textAlignment w:val="center"/>
        <w:rPr>
          <w:rFonts w:cs="PostGrotesk-Book"/>
          <w:color w:val="55565A"/>
          <w:sz w:val="22"/>
          <w:szCs w:val="22"/>
        </w:rPr>
      </w:pPr>
      <w:r w:rsidRPr="00780584">
        <w:rPr>
          <w:rFonts w:cs="PostGrotesk-Book"/>
          <w:b/>
          <w:color w:val="430098"/>
          <w:sz w:val="22"/>
          <w:szCs w:val="22"/>
        </w:rPr>
        <w:t>t:</w:t>
      </w:r>
      <w:r w:rsidRPr="00780584">
        <w:rPr>
          <w:rFonts w:cs="PostGrotesk-Book"/>
          <w:color w:val="55565A"/>
          <w:sz w:val="22"/>
          <w:szCs w:val="22"/>
        </w:rPr>
        <w:tab/>
        <w:t xml:space="preserve">1300 00 6842 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e:</w:t>
      </w:r>
      <w:r w:rsidRPr="00780584">
        <w:rPr>
          <w:rFonts w:cs="PostGrotesk-Book"/>
          <w:color w:val="55565A"/>
          <w:sz w:val="22"/>
          <w:szCs w:val="22"/>
        </w:rPr>
        <w:tab/>
        <w:t>enquiries@ovic.vic.gov.au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w:</w:t>
      </w:r>
      <w:r w:rsidRPr="00780584">
        <w:rPr>
          <w:rFonts w:cs="PostGrotesk-Book"/>
          <w:color w:val="55565A"/>
          <w:sz w:val="22"/>
          <w:szCs w:val="22"/>
        </w:rPr>
        <w:tab/>
        <w:t>ovic.vic.gov.au</w:t>
      </w:r>
      <w:r>
        <w:rPr>
          <w:rFonts w:cs="PostGrotesk-Book"/>
          <w:color w:val="55565A"/>
          <w:sz w:val="22"/>
          <w:szCs w:val="22"/>
        </w:rPr>
        <w:br w:type="column"/>
      </w:r>
      <w:r w:rsidRPr="00780584">
        <w:rPr>
          <w:rFonts w:cs="PostGrotesk-Medium"/>
          <w:b/>
          <w:color w:val="55565A"/>
        </w:rPr>
        <w:t xml:space="preserve">Disclaimer </w:t>
      </w:r>
    </w:p>
    <w:p w14:paraId="48B89CA8" w14:textId="77777777" w:rsidR="00BD07DC" w:rsidRPr="00212F1B" w:rsidRDefault="00780584" w:rsidP="00212F1B">
      <w:pPr>
        <w:widowControl w:val="0"/>
        <w:suppressAutoHyphens/>
        <w:autoSpaceDE w:val="0"/>
        <w:autoSpaceDN w:val="0"/>
        <w:adjustRightInd w:val="0"/>
        <w:textAlignment w:val="center"/>
        <w:rPr>
          <w:rFonts w:cs="PostGrotesk-Book"/>
          <w:color w:val="55565A"/>
          <w:sz w:val="18"/>
          <w:szCs w:val="22"/>
        </w:rPr>
        <w:sectPr w:rsidR="00BD07DC" w:rsidRPr="00212F1B" w:rsidSect="00E74731">
          <w:type w:val="continuous"/>
          <w:pgSz w:w="11900" w:h="16840"/>
          <w:pgMar w:top="1134" w:right="1134" w:bottom="1134" w:left="1134" w:header="1134" w:footer="1056" w:gutter="0"/>
          <w:cols w:num="2" w:space="720"/>
          <w:titlePg/>
          <w:docGrid w:linePitch="360"/>
        </w:sectPr>
      </w:pPr>
      <w:r w:rsidRPr="00780584">
        <w:rPr>
          <w:rFonts w:cs="PostGrotesk-Book"/>
          <w:color w:val="55565A"/>
          <w:sz w:val="16"/>
          <w:szCs w:val="22"/>
        </w:rPr>
        <w:t xml:space="preserve">This fact sheet does not constitute legal advice and should not be used as a substitute for applying the provisions of the Freedom of Information Act 1982, </w:t>
      </w:r>
      <w:r w:rsidR="00212F1B">
        <w:rPr>
          <w:rFonts w:cs="PostGrotesk-Book"/>
          <w:color w:val="55565A"/>
          <w:sz w:val="16"/>
          <w:szCs w:val="22"/>
        </w:rPr>
        <w:t xml:space="preserve">or Privacy and Data Protection Act 2014 </w:t>
      </w:r>
      <w:r w:rsidRPr="00780584">
        <w:rPr>
          <w:rFonts w:cs="PostGrotesk-Book"/>
          <w:color w:val="55565A"/>
          <w:sz w:val="16"/>
          <w:szCs w:val="22"/>
        </w:rPr>
        <w:t>or any other legal requirement, to individual cases</w:t>
      </w:r>
      <w:r w:rsidR="00212F1B">
        <w:rPr>
          <w:rFonts w:cs="PostGrotesk-Book"/>
          <w:color w:val="55565A"/>
          <w:sz w:val="18"/>
          <w:szCs w:val="22"/>
        </w:rPr>
        <w:t xml:space="preserve">. </w:t>
      </w:r>
    </w:p>
    <w:p w14:paraId="6D5EB0C5" w14:textId="77777777" w:rsidR="00F36C34" w:rsidRPr="00F36C34" w:rsidRDefault="00F36C34" w:rsidP="00F36C34">
      <w:pPr>
        <w:ind w:right="-7"/>
        <w:rPr>
          <w:lang w:val="en-US"/>
        </w:rPr>
      </w:pPr>
    </w:p>
    <w:sectPr w:rsidR="00F36C34" w:rsidRPr="00F36C34" w:rsidSect="00E74731">
      <w:headerReference w:type="first" r:id="rId30"/>
      <w:footerReference w:type="first" r:id="rId31"/>
      <w:type w:val="continuous"/>
      <w:pgSz w:w="11900" w:h="16840"/>
      <w:pgMar w:top="1134" w:right="1134" w:bottom="1134" w:left="1134" w:header="1134" w:footer="105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6078" w14:textId="77777777" w:rsidR="00915CB8" w:rsidRDefault="00915CB8" w:rsidP="00B53C78">
      <w:r>
        <w:separator/>
      </w:r>
    </w:p>
  </w:endnote>
  <w:endnote w:type="continuationSeparator" w:id="0">
    <w:p w14:paraId="63EC85C0" w14:textId="77777777" w:rsidR="00915CB8" w:rsidRDefault="00915CB8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9103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523EE" w14:textId="52E678BD" w:rsidR="00DF152A" w:rsidRDefault="00DF152A" w:rsidP="004652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BC303" w14:textId="77777777" w:rsidR="00DF152A" w:rsidRDefault="00DF152A" w:rsidP="00DF15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21695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1573C" w14:textId="55C97C8A" w:rsidR="00DF152A" w:rsidRDefault="00DF152A" w:rsidP="004652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10895B1" w14:textId="77777777" w:rsidR="008B4992" w:rsidRDefault="00F402B9" w:rsidP="00DF152A">
    <w:pPr>
      <w:pStyle w:val="Footer"/>
      <w:spacing w:before="120"/>
      <w:ind w:right="360"/>
      <w:jc w:val="right"/>
    </w:pPr>
    <w:r w:rsidRPr="00F402B9">
      <w:rPr>
        <w:rFonts w:cs="Arial"/>
        <w:sz w:val="22"/>
      </w:rPr>
      <w:t xml:space="preserve">Freedom of Information </w:t>
    </w:r>
    <w:r w:rsidRPr="00F402B9">
      <w:rPr>
        <w:rFonts w:cs="Arial"/>
        <w:color w:val="E5007D"/>
        <w:sz w:val="22"/>
      </w:rPr>
      <w:t>|</w:t>
    </w:r>
    <w:r w:rsidRPr="00F402B9">
      <w:rPr>
        <w:rFonts w:cs="Arial"/>
        <w:sz w:val="22"/>
      </w:rPr>
      <w:t xml:space="preserve"> Privacy </w:t>
    </w:r>
    <w:r w:rsidRPr="00F402B9">
      <w:rPr>
        <w:rFonts w:cs="Arial"/>
        <w:color w:val="E5007D"/>
        <w:sz w:val="22"/>
      </w:rPr>
      <w:t>|</w:t>
    </w:r>
    <w:r w:rsidRPr="00F402B9">
      <w:rPr>
        <w:rFonts w:cs="Arial"/>
        <w:sz w:val="22"/>
      </w:rPr>
      <w:t xml:space="preserve"> Data Protection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F981" w14:textId="77777777" w:rsidR="00CE7458" w:rsidRPr="00780584" w:rsidRDefault="00F402B9" w:rsidP="00780584">
    <w:pPr>
      <w:pStyle w:val="Footer"/>
      <w:spacing w:before="120"/>
      <w:jc w:val="right"/>
      <w:rPr>
        <w:sz w:val="22"/>
      </w:rPr>
    </w:pPr>
    <w:r w:rsidRPr="00780584">
      <w:rPr>
        <w:rFonts w:cs="Arial"/>
        <w:sz w:val="20"/>
      </w:rPr>
      <w:t xml:space="preserve">Freedom of Information </w:t>
    </w:r>
    <w:r w:rsidRPr="00780584">
      <w:rPr>
        <w:rFonts w:cs="Arial"/>
        <w:color w:val="E5007D"/>
        <w:sz w:val="20"/>
      </w:rPr>
      <w:t>|</w:t>
    </w:r>
    <w:r w:rsidRPr="00780584">
      <w:rPr>
        <w:rFonts w:cs="Arial"/>
        <w:sz w:val="20"/>
      </w:rPr>
      <w:t xml:space="preserve"> Privacy </w:t>
    </w:r>
    <w:r w:rsidRPr="00780584">
      <w:rPr>
        <w:rFonts w:cs="Arial"/>
        <w:color w:val="E5007D"/>
        <w:sz w:val="20"/>
      </w:rPr>
      <w:t>|</w:t>
    </w:r>
    <w:r w:rsidRPr="00780584">
      <w:rPr>
        <w:rFonts w:cs="Arial"/>
        <w:sz w:val="20"/>
      </w:rPr>
      <w:t xml:space="preserve"> Data Protection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C25C" w14:textId="77777777" w:rsidR="00BD07DC" w:rsidRPr="00662FFB" w:rsidRDefault="00BD07DC" w:rsidP="00662FFB">
    <w:pPr>
      <w:pStyle w:val="Footer"/>
      <w:spacing w:before="240"/>
      <w:jc w:val="right"/>
      <w:rPr>
        <w:sz w:val="20"/>
      </w:rPr>
    </w:pPr>
    <w:r w:rsidRPr="00662FFB">
      <w:rPr>
        <w:sz w:val="20"/>
      </w:rPr>
      <w:t xml:space="preserve">Freedom of Information </w:t>
    </w:r>
    <w:r w:rsidRPr="00662FFB">
      <w:rPr>
        <w:color w:val="E5007D"/>
        <w:sz w:val="20"/>
      </w:rPr>
      <w:t>|</w:t>
    </w:r>
    <w:r w:rsidRPr="00662FFB">
      <w:rPr>
        <w:sz w:val="20"/>
      </w:rPr>
      <w:t xml:space="preserve"> Privacy </w:t>
    </w:r>
    <w:r w:rsidRPr="00662FFB">
      <w:rPr>
        <w:color w:val="E5007D"/>
        <w:sz w:val="20"/>
      </w:rPr>
      <w:t>|</w:t>
    </w:r>
    <w:r w:rsidRPr="00662FFB">
      <w:rPr>
        <w:sz w:val="20"/>
      </w:rPr>
      <w:t xml:space="preserve"> 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7D43" w14:textId="77777777" w:rsidR="00915CB8" w:rsidRDefault="00915CB8" w:rsidP="00B53C78">
      <w:r>
        <w:separator/>
      </w:r>
    </w:p>
  </w:footnote>
  <w:footnote w:type="continuationSeparator" w:id="0">
    <w:p w14:paraId="3D90764F" w14:textId="77777777" w:rsidR="00915CB8" w:rsidRDefault="00915CB8" w:rsidP="00B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731A" w14:textId="77777777" w:rsidR="00B53C78" w:rsidRPr="00EF06C1" w:rsidRDefault="00E74731" w:rsidP="000F3A12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0D59971" wp14:editId="5D6C684E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0"/>
          <wp:wrapThrough wrapText="bothSides">
            <wp:wrapPolygon edited="0">
              <wp:start x="0" y="0"/>
              <wp:lineTo x="0" y="20571"/>
              <wp:lineTo x="21372" y="20571"/>
              <wp:lineTo x="21372" y="0"/>
              <wp:lineTo x="0" y="0"/>
            </wp:wrapPolygon>
          </wp:wrapThrough>
          <wp:docPr id="6" name="Picture 6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78" w:rsidRPr="00B37C5F">
      <w:rPr>
        <w:color w:val="7F7F7F"/>
        <w:sz w:val="28"/>
        <w:szCs w:val="28"/>
      </w:rPr>
      <w:tab/>
    </w:r>
    <w:r w:rsidR="00B53C78" w:rsidRPr="00EF06C1">
      <w:rPr>
        <w:color w:val="555559"/>
        <w:sz w:val="26"/>
        <w:szCs w:val="26"/>
      </w:rPr>
      <w:t>INFORMATION FOR</w:t>
    </w:r>
    <w:r w:rsidR="00B53C78" w:rsidRPr="00EF06C1">
      <w:rPr>
        <w:color w:val="7F7F7F"/>
        <w:sz w:val="26"/>
        <w:szCs w:val="26"/>
      </w:rPr>
      <w:br/>
    </w:r>
    <w:r w:rsidR="00B53C78" w:rsidRPr="00EF06C1">
      <w:rPr>
        <w:color w:val="7F7F7F"/>
        <w:sz w:val="26"/>
        <w:szCs w:val="26"/>
      </w:rPr>
      <w:tab/>
    </w:r>
    <w:r w:rsidR="00635E9F" w:rsidRPr="00EF06C1">
      <w:rPr>
        <w:color w:val="430098"/>
        <w:sz w:val="26"/>
        <w:szCs w:val="26"/>
      </w:rPr>
      <w:t>AGENCIES</w:t>
    </w:r>
  </w:p>
  <w:p w14:paraId="18889799" w14:textId="77777777" w:rsidR="00B53C78" w:rsidRPr="00B37C5F" w:rsidRDefault="00B53C78" w:rsidP="00E45B00">
    <w:pPr>
      <w:pStyle w:val="Header"/>
      <w:tabs>
        <w:tab w:val="clear" w:pos="4513"/>
        <w:tab w:val="left" w:pos="6946"/>
      </w:tabs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</w:t>
    </w:r>
    <w:r w:rsidR="00B177DA" w:rsidRPr="00064688">
      <w:rPr>
        <w:color w:val="555559"/>
        <w:sz w:val="20"/>
        <w:szCs w:val="20"/>
      </w:rPr>
      <w:t xml:space="preserve"> </w:t>
    </w:r>
    <w:r w:rsidRPr="00064688">
      <w:rPr>
        <w:color w:val="555559"/>
        <w:sz w:val="20"/>
        <w:szCs w:val="20"/>
      </w:rPr>
      <w:t>ovic.</w:t>
    </w:r>
    <w:r w:rsidR="00305D40">
      <w:rPr>
        <w:color w:val="555559"/>
        <w:sz w:val="20"/>
        <w:szCs w:val="20"/>
      </w:rPr>
      <w:t>vic.</w:t>
    </w:r>
    <w:r w:rsidR="000F3A12">
      <w:rPr>
        <w:color w:val="555559"/>
        <w:sz w:val="20"/>
        <w:szCs w:val="20"/>
      </w:rPr>
      <w:t>gov</w:t>
    </w:r>
    <w:r w:rsidRPr="00064688">
      <w:rPr>
        <w:color w:val="555559"/>
        <w:sz w:val="20"/>
        <w:szCs w:val="20"/>
      </w:rPr>
      <w:t>.au</w:t>
    </w:r>
  </w:p>
  <w:p w14:paraId="4B2C7DC8" w14:textId="77777777" w:rsidR="00B53C78" w:rsidRPr="00B37C5F" w:rsidRDefault="00E74731" w:rsidP="00F36C34">
    <w:pPr>
      <w:pStyle w:val="Header"/>
      <w:tabs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2EA5387" wp14:editId="129317B2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0"/>
          <wp:wrapNone/>
          <wp:docPr id="5" name="Picture 5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23A27" w14:textId="77777777" w:rsidR="00B53C78" w:rsidRPr="00F87792" w:rsidRDefault="000A3A47" w:rsidP="00780584">
    <w:pPr>
      <w:pStyle w:val="DocumentTitle"/>
      <w:tabs>
        <w:tab w:val="clear" w:pos="4513"/>
      </w:tabs>
      <w:spacing w:before="360"/>
      <w:rPr>
        <w:sz w:val="36"/>
        <w:szCs w:val="36"/>
      </w:rPr>
    </w:pPr>
    <w:r>
      <w:rPr>
        <w:sz w:val="36"/>
        <w:szCs w:val="36"/>
      </w:rPr>
      <w:t>Victorian Information Security Network (VISN) Forum</w:t>
    </w:r>
  </w:p>
  <w:p w14:paraId="75DD8B22" w14:textId="77777777" w:rsidR="00B53C78" w:rsidRPr="00F87792" w:rsidRDefault="000A3A47" w:rsidP="00E45B00">
    <w:pPr>
      <w:pStyle w:val="Header"/>
      <w:tabs>
        <w:tab w:val="left" w:pos="6946"/>
      </w:tabs>
      <w:spacing w:after="240"/>
      <w:rPr>
        <w:rFonts w:ascii="Arial" w:hAnsi="Arial" w:cs="Arial"/>
        <w:color w:val="555559"/>
        <w:sz w:val="30"/>
        <w:szCs w:val="30"/>
      </w:rPr>
    </w:pPr>
    <w:r>
      <w:rPr>
        <w:rFonts w:ascii="Arial" w:hAnsi="Arial" w:cs="Arial"/>
        <w:color w:val="555559"/>
        <w:sz w:val="30"/>
        <w:szCs w:val="30"/>
      </w:rPr>
      <w:t>Questions and Answers</w:t>
    </w:r>
    <w:r w:rsidR="001C4898">
      <w:rPr>
        <w:rFonts w:ascii="Arial" w:hAnsi="Arial" w:cs="Arial"/>
        <w:color w:val="555559"/>
        <w:sz w:val="30"/>
        <w:szCs w:val="30"/>
      </w:rPr>
      <w:t xml:space="preserve"> – </w:t>
    </w:r>
    <w:r w:rsidR="006B1989">
      <w:rPr>
        <w:rFonts w:ascii="Arial" w:hAnsi="Arial" w:cs="Arial"/>
        <w:color w:val="555559"/>
        <w:sz w:val="30"/>
        <w:szCs w:val="30"/>
      </w:rPr>
      <w:t>February</w:t>
    </w:r>
    <w:r w:rsidR="001C4898">
      <w:rPr>
        <w:rFonts w:ascii="Arial" w:hAnsi="Arial" w:cs="Arial"/>
        <w:color w:val="555559"/>
        <w:sz w:val="30"/>
        <w:szCs w:val="30"/>
      </w:rPr>
      <w:t xml:space="preserve"> 20</w:t>
    </w:r>
    <w:r w:rsidR="006B1989">
      <w:rPr>
        <w:rFonts w:ascii="Arial" w:hAnsi="Arial" w:cs="Arial"/>
        <w:color w:val="555559"/>
        <w:sz w:val="30"/>
        <w:szCs w:val="30"/>
      </w:rPr>
      <w:t>20</w:t>
    </w:r>
    <w:r w:rsidR="001C4898">
      <w:rPr>
        <w:rFonts w:ascii="Arial" w:hAnsi="Arial" w:cs="Arial"/>
        <w:color w:val="555559"/>
        <w:sz w:val="30"/>
        <w:szCs w:val="3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34F" w14:textId="77777777" w:rsidR="00BD07DC" w:rsidRPr="00B37C5F" w:rsidRDefault="00BD07DC" w:rsidP="00BD07D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3973"/>
    <w:multiLevelType w:val="hybridMultilevel"/>
    <w:tmpl w:val="5C4A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31C2"/>
    <w:multiLevelType w:val="multilevel"/>
    <w:tmpl w:val="2DD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208C5"/>
    <w:multiLevelType w:val="hybridMultilevel"/>
    <w:tmpl w:val="2ABCD3D8"/>
    <w:lvl w:ilvl="0" w:tplc="938A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68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A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80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9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C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8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36DDD"/>
    <w:multiLevelType w:val="hybridMultilevel"/>
    <w:tmpl w:val="F146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C2552"/>
    <w:multiLevelType w:val="hybridMultilevel"/>
    <w:tmpl w:val="DA0EDAC8"/>
    <w:lvl w:ilvl="0" w:tplc="BDE6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0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E3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EF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2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C6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8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E3766A"/>
    <w:multiLevelType w:val="hybridMultilevel"/>
    <w:tmpl w:val="223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05F1B"/>
    <w:multiLevelType w:val="hybridMultilevel"/>
    <w:tmpl w:val="9DBA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7DE8"/>
    <w:multiLevelType w:val="hybridMultilevel"/>
    <w:tmpl w:val="13587D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17938F5"/>
    <w:multiLevelType w:val="hybridMultilevel"/>
    <w:tmpl w:val="90C8D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F4544"/>
    <w:multiLevelType w:val="hybridMultilevel"/>
    <w:tmpl w:val="201A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47"/>
    <w:rsid w:val="0000116C"/>
    <w:rsid w:val="00014FAC"/>
    <w:rsid w:val="00031757"/>
    <w:rsid w:val="00064688"/>
    <w:rsid w:val="00077961"/>
    <w:rsid w:val="00091CB4"/>
    <w:rsid w:val="00097B4D"/>
    <w:rsid w:val="000A33F4"/>
    <w:rsid w:val="000A3A47"/>
    <w:rsid w:val="000B7494"/>
    <w:rsid w:val="000C2375"/>
    <w:rsid w:val="000D5BD9"/>
    <w:rsid w:val="000E7FAE"/>
    <w:rsid w:val="000F3A12"/>
    <w:rsid w:val="00105680"/>
    <w:rsid w:val="001159CB"/>
    <w:rsid w:val="00164A42"/>
    <w:rsid w:val="0017456C"/>
    <w:rsid w:val="001755D4"/>
    <w:rsid w:val="00176189"/>
    <w:rsid w:val="001B1FBB"/>
    <w:rsid w:val="001C4898"/>
    <w:rsid w:val="001D24F9"/>
    <w:rsid w:val="001E1132"/>
    <w:rsid w:val="00212F1B"/>
    <w:rsid w:val="00220EFB"/>
    <w:rsid w:val="0025217E"/>
    <w:rsid w:val="00260362"/>
    <w:rsid w:val="002658E9"/>
    <w:rsid w:val="002839CC"/>
    <w:rsid w:val="00290F68"/>
    <w:rsid w:val="002A48A0"/>
    <w:rsid w:val="002A622A"/>
    <w:rsid w:val="002B5EF4"/>
    <w:rsid w:val="002C5F4E"/>
    <w:rsid w:val="002E08CB"/>
    <w:rsid w:val="002E1220"/>
    <w:rsid w:val="002E1E57"/>
    <w:rsid w:val="002E7C92"/>
    <w:rsid w:val="00305D40"/>
    <w:rsid w:val="00315371"/>
    <w:rsid w:val="00322784"/>
    <w:rsid w:val="00326E58"/>
    <w:rsid w:val="003334AC"/>
    <w:rsid w:val="003472B9"/>
    <w:rsid w:val="0035232A"/>
    <w:rsid w:val="00370F3D"/>
    <w:rsid w:val="00371C15"/>
    <w:rsid w:val="00372C3E"/>
    <w:rsid w:val="00375412"/>
    <w:rsid w:val="00377068"/>
    <w:rsid w:val="00380CE2"/>
    <w:rsid w:val="00384F15"/>
    <w:rsid w:val="00397381"/>
    <w:rsid w:val="003A7085"/>
    <w:rsid w:val="003C6D10"/>
    <w:rsid w:val="003C7659"/>
    <w:rsid w:val="003F6130"/>
    <w:rsid w:val="003F7303"/>
    <w:rsid w:val="00437A7F"/>
    <w:rsid w:val="00440994"/>
    <w:rsid w:val="004559A5"/>
    <w:rsid w:val="004943C4"/>
    <w:rsid w:val="004E6F2F"/>
    <w:rsid w:val="004F7E12"/>
    <w:rsid w:val="00502CD1"/>
    <w:rsid w:val="00514277"/>
    <w:rsid w:val="00531832"/>
    <w:rsid w:val="00542061"/>
    <w:rsid w:val="00555602"/>
    <w:rsid w:val="005705F2"/>
    <w:rsid w:val="00570B71"/>
    <w:rsid w:val="00572DAF"/>
    <w:rsid w:val="0057407F"/>
    <w:rsid w:val="00577ABF"/>
    <w:rsid w:val="005870C5"/>
    <w:rsid w:val="005D6B71"/>
    <w:rsid w:val="005F2E43"/>
    <w:rsid w:val="00607826"/>
    <w:rsid w:val="00614CFC"/>
    <w:rsid w:val="006330C9"/>
    <w:rsid w:val="00635E9F"/>
    <w:rsid w:val="00642609"/>
    <w:rsid w:val="0064798B"/>
    <w:rsid w:val="006504B1"/>
    <w:rsid w:val="00662FFB"/>
    <w:rsid w:val="006713D1"/>
    <w:rsid w:val="00687BBE"/>
    <w:rsid w:val="006931D7"/>
    <w:rsid w:val="006A622D"/>
    <w:rsid w:val="006B1989"/>
    <w:rsid w:val="006B1C0F"/>
    <w:rsid w:val="006B6BCF"/>
    <w:rsid w:val="006D3F43"/>
    <w:rsid w:val="006E1A07"/>
    <w:rsid w:val="00714499"/>
    <w:rsid w:val="0072299F"/>
    <w:rsid w:val="00723ACA"/>
    <w:rsid w:val="007331B0"/>
    <w:rsid w:val="007602C2"/>
    <w:rsid w:val="00760DDC"/>
    <w:rsid w:val="00765158"/>
    <w:rsid w:val="00780584"/>
    <w:rsid w:val="00780744"/>
    <w:rsid w:val="007A0E7F"/>
    <w:rsid w:val="007A6964"/>
    <w:rsid w:val="007B3358"/>
    <w:rsid w:val="007B48A0"/>
    <w:rsid w:val="007F2B8D"/>
    <w:rsid w:val="007F6E62"/>
    <w:rsid w:val="00806D84"/>
    <w:rsid w:val="00807A07"/>
    <w:rsid w:val="00812296"/>
    <w:rsid w:val="00863040"/>
    <w:rsid w:val="0086734F"/>
    <w:rsid w:val="008707E8"/>
    <w:rsid w:val="008A5193"/>
    <w:rsid w:val="008B4992"/>
    <w:rsid w:val="008B7923"/>
    <w:rsid w:val="008C5291"/>
    <w:rsid w:val="008D3CA2"/>
    <w:rsid w:val="008E4A19"/>
    <w:rsid w:val="008F106C"/>
    <w:rsid w:val="008F456C"/>
    <w:rsid w:val="009052EB"/>
    <w:rsid w:val="00915CB8"/>
    <w:rsid w:val="00930F2E"/>
    <w:rsid w:val="00940D43"/>
    <w:rsid w:val="00940F43"/>
    <w:rsid w:val="00954141"/>
    <w:rsid w:val="00967599"/>
    <w:rsid w:val="00982DF3"/>
    <w:rsid w:val="009C2057"/>
    <w:rsid w:val="009C2111"/>
    <w:rsid w:val="00A320DC"/>
    <w:rsid w:val="00A33D6F"/>
    <w:rsid w:val="00A50D04"/>
    <w:rsid w:val="00A515D6"/>
    <w:rsid w:val="00A718B5"/>
    <w:rsid w:val="00A77A04"/>
    <w:rsid w:val="00AB4EC9"/>
    <w:rsid w:val="00AE13A1"/>
    <w:rsid w:val="00AF1A2D"/>
    <w:rsid w:val="00AF3A80"/>
    <w:rsid w:val="00AF422B"/>
    <w:rsid w:val="00AF5D59"/>
    <w:rsid w:val="00B177DA"/>
    <w:rsid w:val="00B35373"/>
    <w:rsid w:val="00B37C5F"/>
    <w:rsid w:val="00B40FEF"/>
    <w:rsid w:val="00B53C78"/>
    <w:rsid w:val="00B66B3A"/>
    <w:rsid w:val="00BA2F51"/>
    <w:rsid w:val="00BD07DC"/>
    <w:rsid w:val="00BE4D40"/>
    <w:rsid w:val="00C22987"/>
    <w:rsid w:val="00C2709E"/>
    <w:rsid w:val="00C33D8E"/>
    <w:rsid w:val="00C43D77"/>
    <w:rsid w:val="00C473B0"/>
    <w:rsid w:val="00C5435F"/>
    <w:rsid w:val="00C56096"/>
    <w:rsid w:val="00C732F5"/>
    <w:rsid w:val="00C85848"/>
    <w:rsid w:val="00CA1E31"/>
    <w:rsid w:val="00CB4501"/>
    <w:rsid w:val="00CD69DC"/>
    <w:rsid w:val="00CE7458"/>
    <w:rsid w:val="00D01EAD"/>
    <w:rsid w:val="00D1002F"/>
    <w:rsid w:val="00D267EC"/>
    <w:rsid w:val="00D26977"/>
    <w:rsid w:val="00D32D00"/>
    <w:rsid w:val="00D571A3"/>
    <w:rsid w:val="00D723C1"/>
    <w:rsid w:val="00D749C8"/>
    <w:rsid w:val="00D85D70"/>
    <w:rsid w:val="00D9789D"/>
    <w:rsid w:val="00DA234D"/>
    <w:rsid w:val="00DB13A1"/>
    <w:rsid w:val="00DB1E77"/>
    <w:rsid w:val="00DB55DB"/>
    <w:rsid w:val="00DB7596"/>
    <w:rsid w:val="00DD5274"/>
    <w:rsid w:val="00DD6CFA"/>
    <w:rsid w:val="00DE04AA"/>
    <w:rsid w:val="00DF152A"/>
    <w:rsid w:val="00E061F5"/>
    <w:rsid w:val="00E14F9C"/>
    <w:rsid w:val="00E3559D"/>
    <w:rsid w:val="00E366BB"/>
    <w:rsid w:val="00E45B00"/>
    <w:rsid w:val="00E54CE5"/>
    <w:rsid w:val="00E62706"/>
    <w:rsid w:val="00E7317A"/>
    <w:rsid w:val="00E74731"/>
    <w:rsid w:val="00E9585E"/>
    <w:rsid w:val="00EA17AE"/>
    <w:rsid w:val="00EA3165"/>
    <w:rsid w:val="00EF06C1"/>
    <w:rsid w:val="00EF2B58"/>
    <w:rsid w:val="00EF43C3"/>
    <w:rsid w:val="00EF65B2"/>
    <w:rsid w:val="00F06806"/>
    <w:rsid w:val="00F17578"/>
    <w:rsid w:val="00F21AE6"/>
    <w:rsid w:val="00F24318"/>
    <w:rsid w:val="00F3592F"/>
    <w:rsid w:val="00F36C34"/>
    <w:rsid w:val="00F402B9"/>
    <w:rsid w:val="00F55318"/>
    <w:rsid w:val="00F83814"/>
    <w:rsid w:val="00F851BA"/>
    <w:rsid w:val="00F87792"/>
    <w:rsid w:val="00FC0FF1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8A221"/>
  <w14:defaultImageDpi w14:val="32767"/>
  <w15:chartTrackingRefBased/>
  <w15:docId w15:val="{07EAF576-1F5C-414F-9F1C-A46B238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styleId="PlainTable1">
    <w:name w:val="Plain Table 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eastAsia="en-US"/>
    </w:rPr>
  </w:style>
  <w:style w:type="paragraph" w:customStyle="1" w:styleId="ProtectiveMarkings">
    <w:name w:val="Protective Markings"/>
    <w:basedOn w:val="Normal"/>
    <w:qFormat/>
    <w:rsid w:val="00E74731"/>
    <w:rPr>
      <w:b/>
      <w:color w:val="FF0000"/>
      <w:sz w:val="44"/>
      <w:szCs w:val="44"/>
      <w:lang w:val="en-AU"/>
    </w:rPr>
  </w:style>
  <w:style w:type="character" w:styleId="Hyperlink">
    <w:name w:val="Hyperlink"/>
    <w:basedOn w:val="DefaultParagraphFont"/>
    <w:uiPriority w:val="99"/>
    <w:unhideWhenUsed/>
    <w:rsid w:val="000A3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3A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77"/>
    <w:rPr>
      <w:rFonts w:ascii="Times New Roman" w:hAnsi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67599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DF152A"/>
  </w:style>
  <w:style w:type="character" w:styleId="CommentReference">
    <w:name w:val="annotation reference"/>
    <w:basedOn w:val="DefaultParagraphFont"/>
    <w:uiPriority w:val="99"/>
    <w:semiHidden/>
    <w:unhideWhenUsed/>
    <w:rsid w:val="00B4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F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vic.vic.gov.au/regulatory-action-policy/?highlight=regulatory%20action%20plan" TargetMode="External"/><Relationship Id="rId18" Type="http://schemas.openxmlformats.org/officeDocument/2006/relationships/hyperlink" Target="https://ovic.vic.gov.au/privacy/for-agencies/responding-to-data-breaches/?highlight=privacy%20incident%20reporting" TargetMode="External"/><Relationship Id="rId26" Type="http://schemas.openxmlformats.org/officeDocument/2006/relationships/hyperlink" Target="https://ovic.vic.gov.au/data-protection/for-agencies/vpdsf-resources/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urity@ovic.vic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ic.vic.gov.au/data-protection/agency-reporting-obligations/incident-notification/" TargetMode="External"/><Relationship Id="rId17" Type="http://schemas.openxmlformats.org/officeDocument/2006/relationships/hyperlink" Target="https://ovic.vic.gov.au/data-protection/agency-reporting-obligations/incident-notification/" TargetMode="External"/><Relationship Id="rId25" Type="http://schemas.openxmlformats.org/officeDocument/2006/relationships/hyperlink" Target="https://ovic.vic.gov.au/data-protection/standard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vic.vic.gov.au/resource/ovic-incident-notification-form/" TargetMode="External"/><Relationship Id="rId20" Type="http://schemas.openxmlformats.org/officeDocument/2006/relationships/hyperlink" Target="https://www.oaic.gov.au/privacy/notifiable-data-breaches/about-the-notifiable-data-breaches-scheme/" TargetMode="External"/><Relationship Id="rId29" Type="http://schemas.openxmlformats.org/officeDocument/2006/relationships/hyperlink" Target="mailto:security@ovic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mailto:security@ovic.vic.gov.a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vic.vic.gov.au/data-protection/agency-reporting-obligations/incident-notification/" TargetMode="External"/><Relationship Id="rId23" Type="http://schemas.openxmlformats.org/officeDocument/2006/relationships/hyperlink" Target="https://ovic.vic.gov.au/wp-content/uploads/2020/02/Information-Sheet-Protective-Data-Security-Plan-Submission-Workflow.pdf" TargetMode="External"/><Relationship Id="rId28" Type="http://schemas.openxmlformats.org/officeDocument/2006/relationships/hyperlink" Target="https://ovic.vic.gov.au/data-protection/for-agencies/victorian-information-security-network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ovic.vic.gov.au/regulatory-action-policy/?highlight=Regulatory%20action%20policy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ovic.vic.gov.au/resource/ovic-incident-notification-form/" TargetMode="External"/><Relationship Id="rId22" Type="http://schemas.openxmlformats.org/officeDocument/2006/relationships/hyperlink" Target="https://ovic.vic.gov.au/wp-content/uploads/2020/02/Information-Sheet-Multiple-Organisation-Reporting-Process-V1.0.pdf" TargetMode="External"/><Relationship Id="rId27" Type="http://schemas.openxmlformats.org/officeDocument/2006/relationships/hyperlink" Target="https://ovic.vic.gov.au/data-protection/for-agencies/victorian-information-security-network/" TargetMode="External"/><Relationship Id="rId30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0CEB-0BFF-4D58-A42B-0A7B2693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2808</Words>
  <Characters>16012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Harriet Lade</cp:lastModifiedBy>
  <cp:revision>2</cp:revision>
  <cp:lastPrinted>2020-05-15T05:21:00Z</cp:lastPrinted>
  <dcterms:created xsi:type="dcterms:W3CDTF">2020-06-30T06:33:00Z</dcterms:created>
  <dcterms:modified xsi:type="dcterms:W3CDTF">2020-06-30T06:33:00Z</dcterms:modified>
</cp:coreProperties>
</file>