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9F05" w14:textId="182D9DC4" w:rsidR="00EF7313" w:rsidRPr="00923BB3" w:rsidRDefault="00EF7313" w:rsidP="00CF24AF">
      <w:pPr>
        <w:pStyle w:val="MainTitle"/>
        <w:spacing w:after="200"/>
      </w:pPr>
      <w:r w:rsidRPr="00923BB3">
        <w:t>Application for public interest determination</w:t>
      </w:r>
      <w:r w:rsidR="00EA511B" w:rsidRPr="00923BB3">
        <w:t xml:space="preserve"> – </w:t>
      </w:r>
      <w:r w:rsidRPr="00923BB3">
        <w:t xml:space="preserve">Notice pursuant to section </w:t>
      </w:r>
      <w:r w:rsidR="00712903" w:rsidRPr="00923BB3">
        <w:t>29</w:t>
      </w:r>
      <w:r w:rsidRPr="00923BB3">
        <w:t xml:space="preserve">(4) of the </w:t>
      </w:r>
      <w:r w:rsidRPr="00923BB3">
        <w:rPr>
          <w:i/>
          <w:iCs/>
        </w:rPr>
        <w:t>Privacy and Data Protection Act 2014</w:t>
      </w:r>
    </w:p>
    <w:p w14:paraId="39D97A4F" w14:textId="7B6D9DF0" w:rsidR="007A738D" w:rsidRPr="007A738D" w:rsidRDefault="007A738D" w:rsidP="007A738D">
      <w:pPr>
        <w:pStyle w:val="Body"/>
        <w:spacing w:after="120" w:line="240" w:lineRule="auto"/>
        <w:rPr>
          <w:b/>
          <w:color w:val="000000" w:themeColor="text1"/>
          <w:sz w:val="28"/>
          <w:szCs w:val="26"/>
          <w:lang w:val="en-AU"/>
        </w:rPr>
      </w:pPr>
      <w:r w:rsidRPr="007A738D">
        <w:rPr>
          <w:b/>
          <w:color w:val="000000" w:themeColor="text1"/>
          <w:sz w:val="28"/>
          <w:szCs w:val="26"/>
          <w:lang w:val="en-AU"/>
        </w:rPr>
        <w:t xml:space="preserve">Information Commissioner may make a </w:t>
      </w:r>
      <w:r w:rsidR="00CF24AF">
        <w:rPr>
          <w:b/>
          <w:color w:val="000000" w:themeColor="text1"/>
          <w:sz w:val="28"/>
          <w:szCs w:val="26"/>
          <w:lang w:val="en-AU"/>
        </w:rPr>
        <w:t>determination</w:t>
      </w:r>
    </w:p>
    <w:p w14:paraId="52007F29" w14:textId="09C75AB6" w:rsidR="00CF24AF" w:rsidRPr="007A738D" w:rsidRDefault="00CF24AF" w:rsidP="00CF24AF">
      <w:pPr>
        <w:pStyle w:val="Body"/>
        <w:spacing w:after="120" w:line="240" w:lineRule="auto"/>
        <w:rPr>
          <w:iCs/>
          <w:color w:val="000000" w:themeColor="text1"/>
          <w:lang w:val="en-AU"/>
        </w:rPr>
      </w:pPr>
      <w:r w:rsidRPr="00E921E8">
        <w:rPr>
          <w:color w:val="000000" w:themeColor="text1"/>
          <w:lang w:val="en-AU"/>
        </w:rPr>
        <w:t xml:space="preserve">On </w:t>
      </w:r>
      <w:r w:rsidR="0050106E">
        <w:rPr>
          <w:color w:val="000000" w:themeColor="text1"/>
          <w:lang w:val="en-AU"/>
        </w:rPr>
        <w:t>25 June 2020</w:t>
      </w:r>
      <w:r w:rsidRPr="00E921E8">
        <w:rPr>
          <w:color w:val="000000" w:themeColor="text1"/>
          <w:lang w:val="en-AU"/>
        </w:rPr>
        <w:t>, Victoria Police and the Department of Justice and Community Safety (</w:t>
      </w:r>
      <w:r w:rsidRPr="00E921E8">
        <w:rPr>
          <w:b/>
          <w:color w:val="000000" w:themeColor="text1"/>
          <w:lang w:val="en-AU"/>
        </w:rPr>
        <w:t>DJCS</w:t>
      </w:r>
      <w:r w:rsidRPr="00E921E8">
        <w:rPr>
          <w:color w:val="000000" w:themeColor="text1"/>
          <w:lang w:val="en-AU"/>
        </w:rPr>
        <w:t>) applied to the Information Commissioner (</w:t>
      </w:r>
      <w:r w:rsidRPr="00E921E8">
        <w:rPr>
          <w:b/>
          <w:bCs/>
          <w:color w:val="000000" w:themeColor="text1"/>
          <w:lang w:val="en-AU"/>
        </w:rPr>
        <w:t>the application</w:t>
      </w:r>
      <w:r w:rsidRPr="00E921E8">
        <w:rPr>
          <w:color w:val="000000" w:themeColor="text1"/>
          <w:lang w:val="en-AU"/>
        </w:rPr>
        <w:t xml:space="preserve">) for </w:t>
      </w:r>
      <w:r>
        <w:rPr>
          <w:color w:val="000000" w:themeColor="text1"/>
          <w:lang w:val="en-AU"/>
        </w:rPr>
        <w:t xml:space="preserve">a </w:t>
      </w:r>
      <w:r w:rsidRPr="00E921E8">
        <w:rPr>
          <w:color w:val="000000" w:themeColor="text1"/>
          <w:lang w:val="en-AU"/>
        </w:rPr>
        <w:t>public interest determination (</w:t>
      </w:r>
      <w:r w:rsidRPr="00E921E8">
        <w:rPr>
          <w:b/>
          <w:color w:val="000000" w:themeColor="text1"/>
          <w:lang w:val="en-AU"/>
        </w:rPr>
        <w:t>PID</w:t>
      </w:r>
      <w:r>
        <w:rPr>
          <w:bCs/>
          <w:color w:val="000000" w:themeColor="text1"/>
          <w:lang w:val="en-AU"/>
        </w:rPr>
        <w:t>)</w:t>
      </w:r>
      <w:r>
        <w:rPr>
          <w:color w:val="000000" w:themeColor="text1"/>
          <w:lang w:val="en-AU"/>
        </w:rPr>
        <w:t xml:space="preserve"> </w:t>
      </w:r>
      <w:r w:rsidRPr="00E921E8">
        <w:rPr>
          <w:color w:val="000000" w:themeColor="text1"/>
          <w:lang w:val="en-AU"/>
        </w:rPr>
        <w:t>under section 29(1) of the</w:t>
      </w:r>
      <w:r>
        <w:rPr>
          <w:i/>
          <w:color w:val="000000" w:themeColor="text1"/>
          <w:lang w:val="en-AU"/>
        </w:rPr>
        <w:t xml:space="preserve"> </w:t>
      </w:r>
      <w:r w:rsidRPr="00E921E8">
        <w:rPr>
          <w:i/>
          <w:color w:val="000000" w:themeColor="text1"/>
          <w:lang w:val="en-AU"/>
        </w:rPr>
        <w:t>Privacy and Data Protection Act 2014</w:t>
      </w:r>
      <w:r w:rsidRPr="00E921E8">
        <w:rPr>
          <w:color w:val="000000" w:themeColor="text1"/>
          <w:lang w:val="en-AU"/>
        </w:rPr>
        <w:t xml:space="preserve"> (</w:t>
      </w:r>
      <w:r w:rsidRPr="00E921E8">
        <w:rPr>
          <w:b/>
          <w:color w:val="000000" w:themeColor="text1"/>
          <w:lang w:val="en-AU"/>
        </w:rPr>
        <w:t>PDP Act</w:t>
      </w:r>
      <w:r w:rsidRPr="00E921E8">
        <w:rPr>
          <w:color w:val="000000" w:themeColor="text1"/>
          <w:lang w:val="en-AU"/>
        </w:rPr>
        <w:t>)</w:t>
      </w:r>
      <w:r>
        <w:rPr>
          <w:color w:val="000000" w:themeColor="text1"/>
          <w:lang w:val="en-AU"/>
        </w:rPr>
        <w:t>.</w:t>
      </w:r>
    </w:p>
    <w:p w14:paraId="6735EC5B" w14:textId="1B54E6D2" w:rsidR="007A738D" w:rsidRPr="007A738D" w:rsidRDefault="007A738D" w:rsidP="007A738D">
      <w:pPr>
        <w:pStyle w:val="Body"/>
        <w:spacing w:after="120" w:line="240" w:lineRule="auto"/>
        <w:rPr>
          <w:color w:val="000000" w:themeColor="text1"/>
          <w:lang w:val="en-AU"/>
        </w:rPr>
      </w:pPr>
      <w:r w:rsidRPr="007A738D">
        <w:rPr>
          <w:color w:val="000000" w:themeColor="text1"/>
          <w:lang w:val="en-AU"/>
        </w:rPr>
        <w:t xml:space="preserve">Under section 31(1) of the </w:t>
      </w:r>
      <w:r w:rsidR="00CF24AF">
        <w:rPr>
          <w:iCs/>
          <w:color w:val="000000" w:themeColor="text1"/>
          <w:lang w:val="en-AU"/>
        </w:rPr>
        <w:t>PDP Act,</w:t>
      </w:r>
      <w:r w:rsidR="00CF24AF" w:rsidRPr="007A738D">
        <w:rPr>
          <w:color w:val="000000" w:themeColor="text1"/>
          <w:lang w:val="en-AU"/>
        </w:rPr>
        <w:t xml:space="preserve"> </w:t>
      </w:r>
      <w:r w:rsidRPr="007A738D">
        <w:rPr>
          <w:color w:val="000000" w:themeColor="text1"/>
          <w:lang w:val="en-AU"/>
        </w:rPr>
        <w:t>the Information Commissioner may make a</w:t>
      </w:r>
      <w:r w:rsidR="00CF24AF">
        <w:rPr>
          <w:color w:val="000000" w:themeColor="text1"/>
          <w:lang w:val="en-AU"/>
        </w:rPr>
        <w:t xml:space="preserve"> PID</w:t>
      </w:r>
      <w:r w:rsidRPr="007A738D">
        <w:rPr>
          <w:color w:val="000000" w:themeColor="text1"/>
          <w:lang w:val="en-AU"/>
        </w:rPr>
        <w:t xml:space="preserve"> if satisfied that the public interest in </w:t>
      </w:r>
      <w:r>
        <w:rPr>
          <w:color w:val="000000" w:themeColor="text1"/>
          <w:lang w:val="en-AU"/>
        </w:rPr>
        <w:t>an</w:t>
      </w:r>
      <w:r w:rsidRPr="007A738D">
        <w:rPr>
          <w:color w:val="000000" w:themeColor="text1"/>
          <w:lang w:val="en-AU"/>
        </w:rPr>
        <w:t xml:space="preserve"> organisation doing </w:t>
      </w:r>
      <w:r>
        <w:rPr>
          <w:color w:val="000000" w:themeColor="text1"/>
          <w:lang w:val="en-AU"/>
        </w:rPr>
        <w:t>an</w:t>
      </w:r>
      <w:r w:rsidRPr="007A738D">
        <w:rPr>
          <w:color w:val="000000" w:themeColor="text1"/>
          <w:lang w:val="en-AU"/>
        </w:rPr>
        <w:t xml:space="preserve"> act or engaging in </w:t>
      </w:r>
      <w:r>
        <w:rPr>
          <w:color w:val="000000" w:themeColor="text1"/>
          <w:lang w:val="en-AU"/>
        </w:rPr>
        <w:t>a</w:t>
      </w:r>
      <w:r w:rsidRPr="007A738D">
        <w:rPr>
          <w:color w:val="000000" w:themeColor="text1"/>
          <w:lang w:val="en-AU"/>
        </w:rPr>
        <w:t xml:space="preserve"> practice substantially outweighs the public interest in complying with </w:t>
      </w:r>
      <w:r>
        <w:rPr>
          <w:color w:val="000000" w:themeColor="text1"/>
          <w:lang w:val="en-AU"/>
        </w:rPr>
        <w:t>a specified</w:t>
      </w:r>
      <w:r w:rsidRPr="007A738D">
        <w:rPr>
          <w:color w:val="000000" w:themeColor="text1"/>
          <w:lang w:val="en-AU"/>
        </w:rPr>
        <w:t xml:space="preserve"> </w:t>
      </w:r>
      <w:r w:rsidRPr="00544067">
        <w:rPr>
          <w:color w:val="000000" w:themeColor="text1"/>
          <w:lang w:val="en-AU"/>
        </w:rPr>
        <w:t>Information Privacy Principle</w:t>
      </w:r>
      <w:r>
        <w:rPr>
          <w:color w:val="000000" w:themeColor="text1"/>
          <w:lang w:val="en-AU"/>
        </w:rPr>
        <w:t xml:space="preserve"> (</w:t>
      </w:r>
      <w:r w:rsidRPr="007A738D">
        <w:rPr>
          <w:b/>
          <w:bCs/>
          <w:color w:val="000000" w:themeColor="text1"/>
          <w:lang w:val="en-AU"/>
        </w:rPr>
        <w:t>IPP</w:t>
      </w:r>
      <w:r>
        <w:rPr>
          <w:color w:val="000000" w:themeColor="text1"/>
          <w:lang w:val="en-AU"/>
        </w:rPr>
        <w:t>)</w:t>
      </w:r>
      <w:r>
        <w:rPr>
          <w:rStyle w:val="FootnoteReference"/>
          <w:color w:val="000000" w:themeColor="text1"/>
          <w:lang w:val="en-AU"/>
        </w:rPr>
        <w:footnoteReference w:id="2"/>
      </w:r>
      <w:r w:rsidRPr="007A738D">
        <w:rPr>
          <w:color w:val="000000" w:themeColor="text1"/>
          <w:lang w:val="en-AU"/>
        </w:rPr>
        <w:t>. The Information Commissioner must have regard to:</w:t>
      </w:r>
    </w:p>
    <w:p w14:paraId="1AB96016" w14:textId="77777777" w:rsidR="007A738D" w:rsidRPr="007A738D" w:rsidRDefault="007A738D" w:rsidP="0065658B">
      <w:pPr>
        <w:pStyle w:val="Body"/>
        <w:numPr>
          <w:ilvl w:val="0"/>
          <w:numId w:val="2"/>
        </w:numPr>
        <w:spacing w:after="120" w:line="240" w:lineRule="auto"/>
        <w:rPr>
          <w:color w:val="000000" w:themeColor="text1"/>
          <w:lang w:val="en-AU"/>
        </w:rPr>
      </w:pPr>
      <w:r w:rsidRPr="007A738D">
        <w:rPr>
          <w:color w:val="000000" w:themeColor="text1"/>
          <w:lang w:val="en-AU"/>
        </w:rPr>
        <w:t>whether or not permitting the organisation to do the act or engage in the practice is in the public interest;</w:t>
      </w:r>
    </w:p>
    <w:p w14:paraId="54A7FD97" w14:textId="77777777" w:rsidR="007A738D" w:rsidRPr="007A738D" w:rsidRDefault="007A738D" w:rsidP="0065658B">
      <w:pPr>
        <w:pStyle w:val="Body"/>
        <w:numPr>
          <w:ilvl w:val="0"/>
          <w:numId w:val="2"/>
        </w:numPr>
        <w:spacing w:after="120" w:line="240" w:lineRule="auto"/>
        <w:rPr>
          <w:color w:val="000000" w:themeColor="text1"/>
          <w:lang w:val="en-AU"/>
        </w:rPr>
      </w:pPr>
      <w:r w:rsidRPr="007A738D">
        <w:rPr>
          <w:color w:val="000000" w:themeColor="text1"/>
          <w:lang w:val="en-AU"/>
        </w:rPr>
        <w:t>the objects of the PDP Act; and</w:t>
      </w:r>
    </w:p>
    <w:p w14:paraId="62322C47" w14:textId="72E1B5BD" w:rsidR="007A738D" w:rsidRPr="007A738D" w:rsidRDefault="007A738D" w:rsidP="00CF24AF">
      <w:pPr>
        <w:pStyle w:val="Body"/>
        <w:numPr>
          <w:ilvl w:val="0"/>
          <w:numId w:val="2"/>
        </w:numPr>
        <w:spacing w:line="240" w:lineRule="auto"/>
        <w:rPr>
          <w:color w:val="000000" w:themeColor="text1"/>
          <w:lang w:val="en-AU"/>
        </w:rPr>
      </w:pPr>
      <w:r w:rsidRPr="007A738D">
        <w:rPr>
          <w:color w:val="000000" w:themeColor="text1"/>
          <w:lang w:val="en-AU"/>
        </w:rPr>
        <w:t>any submission received from parties who would be affected by the making of the proposed PID.</w:t>
      </w:r>
    </w:p>
    <w:p w14:paraId="42622FF7" w14:textId="06DACA50" w:rsidR="00EA511B" w:rsidRPr="00544067" w:rsidRDefault="00BA46C7" w:rsidP="007A738D">
      <w:pPr>
        <w:pStyle w:val="Body"/>
        <w:spacing w:after="120" w:line="240" w:lineRule="auto"/>
        <w:rPr>
          <w:b/>
          <w:bCs/>
          <w:color w:val="000000" w:themeColor="text1"/>
          <w:sz w:val="28"/>
          <w:szCs w:val="26"/>
          <w:lang w:val="en-AU"/>
        </w:rPr>
      </w:pPr>
      <w:r>
        <w:rPr>
          <w:b/>
          <w:bCs/>
          <w:color w:val="000000" w:themeColor="text1"/>
          <w:sz w:val="28"/>
          <w:szCs w:val="26"/>
          <w:lang w:val="en-AU"/>
        </w:rPr>
        <w:t>Background</w:t>
      </w:r>
      <w:r w:rsidR="007A738D">
        <w:rPr>
          <w:b/>
          <w:bCs/>
          <w:color w:val="000000" w:themeColor="text1"/>
          <w:sz w:val="28"/>
          <w:szCs w:val="26"/>
          <w:lang w:val="en-AU"/>
        </w:rPr>
        <w:t xml:space="preserve"> to the application</w:t>
      </w:r>
    </w:p>
    <w:p w14:paraId="5FBE800D" w14:textId="422E64EA" w:rsidR="0097545C" w:rsidRPr="00E921E8" w:rsidRDefault="0097545C" w:rsidP="007A738D">
      <w:pPr>
        <w:pStyle w:val="Body"/>
        <w:spacing w:after="120" w:line="240" w:lineRule="auto"/>
        <w:rPr>
          <w:color w:val="000000" w:themeColor="text1"/>
          <w:lang w:val="en-AU"/>
        </w:rPr>
      </w:pPr>
      <w:r w:rsidRPr="00E921E8">
        <w:rPr>
          <w:color w:val="000000" w:themeColor="text1"/>
          <w:lang w:val="en-AU"/>
        </w:rPr>
        <w:t>DJCS administers the Restorative Engagement and Redress Scheme (</w:t>
      </w:r>
      <w:r w:rsidRPr="00E921E8">
        <w:rPr>
          <w:b/>
          <w:bCs/>
          <w:color w:val="000000" w:themeColor="text1"/>
          <w:lang w:val="en-AU"/>
        </w:rPr>
        <w:t>the Scheme</w:t>
      </w:r>
      <w:r w:rsidRPr="00E921E8">
        <w:rPr>
          <w:color w:val="000000" w:themeColor="text1"/>
          <w:lang w:val="en-AU"/>
        </w:rPr>
        <w:t xml:space="preserve">). The Scheme allows current and former Victoria Police employees to </w:t>
      </w:r>
      <w:r w:rsidR="00E921E8">
        <w:rPr>
          <w:color w:val="000000" w:themeColor="text1"/>
          <w:lang w:val="en-AU"/>
        </w:rPr>
        <w:t xml:space="preserve">apply to </w:t>
      </w:r>
      <w:r w:rsidRPr="00E921E8">
        <w:rPr>
          <w:color w:val="000000" w:themeColor="text1"/>
          <w:lang w:val="en-AU"/>
        </w:rPr>
        <w:t>access counselling and wellbeing support</w:t>
      </w:r>
      <w:r w:rsidR="00E921E8">
        <w:rPr>
          <w:color w:val="000000" w:themeColor="text1"/>
          <w:lang w:val="en-AU"/>
        </w:rPr>
        <w:t>,</w:t>
      </w:r>
      <w:r w:rsidRPr="00E921E8">
        <w:rPr>
          <w:color w:val="000000" w:themeColor="text1"/>
          <w:lang w:val="en-AU"/>
        </w:rPr>
        <w:t xml:space="preserve"> participate in restorative engagement</w:t>
      </w:r>
      <w:r w:rsidR="00E921E8">
        <w:rPr>
          <w:color w:val="000000" w:themeColor="text1"/>
          <w:lang w:val="en-AU"/>
        </w:rPr>
        <w:t>,</w:t>
      </w:r>
      <w:r w:rsidRPr="00E921E8">
        <w:rPr>
          <w:color w:val="000000" w:themeColor="text1"/>
          <w:lang w:val="en-AU"/>
        </w:rPr>
        <w:t xml:space="preserve"> and seek compensation</w:t>
      </w:r>
      <w:r w:rsidR="00E921E8">
        <w:rPr>
          <w:color w:val="000000" w:themeColor="text1"/>
          <w:lang w:val="en-AU"/>
        </w:rPr>
        <w:t>,</w:t>
      </w:r>
      <w:r w:rsidRPr="00E921E8">
        <w:rPr>
          <w:color w:val="000000" w:themeColor="text1"/>
          <w:lang w:val="en-AU"/>
        </w:rPr>
        <w:t xml:space="preserve"> where they have experienced workplace sex discrimination, sexual harassment, or predatory behaviour.</w:t>
      </w:r>
    </w:p>
    <w:p w14:paraId="34AB3B56" w14:textId="0E91FDA6" w:rsidR="001D1A20" w:rsidRDefault="0097545C" w:rsidP="007A738D">
      <w:pPr>
        <w:pStyle w:val="Body"/>
        <w:spacing w:after="120" w:line="240" w:lineRule="auto"/>
        <w:rPr>
          <w:color w:val="000000" w:themeColor="text1"/>
          <w:lang w:val="en-AU"/>
        </w:rPr>
      </w:pPr>
      <w:r w:rsidRPr="00E921E8">
        <w:rPr>
          <w:color w:val="000000" w:themeColor="text1"/>
          <w:lang w:val="en-AU"/>
        </w:rPr>
        <w:t>The Scheme was developed in response to Recommendation 1 of the Victorian Equal Opportunity and Human Rights Commission’s Independent review of sex discrimination and sexual harassment, including predatory behaviour in Victoria Police.</w:t>
      </w:r>
      <w:r w:rsidRPr="00E921E8">
        <w:rPr>
          <w:rStyle w:val="FootnoteReference"/>
          <w:color w:val="000000" w:themeColor="text1"/>
          <w:lang w:val="en-AU"/>
        </w:rPr>
        <w:footnoteReference w:id="3"/>
      </w:r>
    </w:p>
    <w:p w14:paraId="11BC931D" w14:textId="77606693" w:rsidR="001D1A20" w:rsidRDefault="001D1A20" w:rsidP="007A738D">
      <w:pPr>
        <w:pStyle w:val="Body"/>
        <w:spacing w:after="120" w:line="240" w:lineRule="auto"/>
        <w:rPr>
          <w:color w:val="000000" w:themeColor="text1"/>
          <w:lang w:val="en-AU"/>
        </w:rPr>
      </w:pPr>
      <w:r>
        <w:rPr>
          <w:color w:val="000000" w:themeColor="text1"/>
          <w:lang w:val="en-AU"/>
        </w:rPr>
        <w:t>T</w:t>
      </w:r>
      <w:r w:rsidRPr="00544067">
        <w:rPr>
          <w:color w:val="000000" w:themeColor="text1"/>
          <w:lang w:val="en-AU"/>
        </w:rPr>
        <w:t xml:space="preserve">he Scheme </w:t>
      </w:r>
      <w:r>
        <w:rPr>
          <w:color w:val="000000" w:themeColor="text1"/>
          <w:lang w:val="en-AU"/>
        </w:rPr>
        <w:t xml:space="preserve">is administered by DJCS </w:t>
      </w:r>
      <w:r w:rsidRPr="00544067">
        <w:rPr>
          <w:color w:val="000000" w:themeColor="text1"/>
          <w:lang w:val="en-AU"/>
        </w:rPr>
        <w:t xml:space="preserve">to ensure it is operated externally from Victoria Police, and applicants are provided anonymity from Victoria Police. This is required to ensure </w:t>
      </w:r>
      <w:r>
        <w:rPr>
          <w:color w:val="000000" w:themeColor="text1"/>
          <w:lang w:val="en-AU"/>
        </w:rPr>
        <w:t xml:space="preserve">individuals </w:t>
      </w:r>
      <w:r w:rsidRPr="00544067">
        <w:rPr>
          <w:color w:val="000000" w:themeColor="text1"/>
          <w:lang w:val="en-AU"/>
        </w:rPr>
        <w:t>do not fear personal or career implications by accessing the Scheme.</w:t>
      </w:r>
    </w:p>
    <w:p w14:paraId="00559970" w14:textId="4FA743DF" w:rsidR="00086E25" w:rsidRPr="00E921E8" w:rsidRDefault="00086E25" w:rsidP="007A738D">
      <w:pPr>
        <w:pStyle w:val="Body"/>
        <w:spacing w:after="120" w:line="240" w:lineRule="auto"/>
        <w:rPr>
          <w:color w:val="000000" w:themeColor="text1"/>
          <w:lang w:val="en-AU"/>
        </w:rPr>
      </w:pPr>
      <w:r w:rsidRPr="00E921E8">
        <w:rPr>
          <w:color w:val="000000" w:themeColor="text1"/>
          <w:lang w:val="en-AU"/>
        </w:rPr>
        <w:t>Victoria Police intends the provide DJCS with the following</w:t>
      </w:r>
      <w:r>
        <w:rPr>
          <w:color w:val="000000" w:themeColor="text1"/>
          <w:lang w:val="en-AU"/>
        </w:rPr>
        <w:t xml:space="preserve"> personal</w:t>
      </w:r>
      <w:r w:rsidRPr="00E921E8">
        <w:rPr>
          <w:color w:val="000000" w:themeColor="text1"/>
          <w:lang w:val="en-AU"/>
        </w:rPr>
        <w:t xml:space="preserve"> information (</w:t>
      </w:r>
      <w:r w:rsidRPr="00E921E8">
        <w:rPr>
          <w:b/>
          <w:bCs/>
          <w:color w:val="000000" w:themeColor="text1"/>
          <w:lang w:val="en-AU"/>
        </w:rPr>
        <w:t>Employee Information</w:t>
      </w:r>
      <w:r w:rsidRPr="00E921E8">
        <w:rPr>
          <w:color w:val="000000" w:themeColor="text1"/>
          <w:lang w:val="en-AU"/>
        </w:rPr>
        <w:t xml:space="preserve">) of </w:t>
      </w:r>
      <w:r w:rsidRPr="00E921E8">
        <w:rPr>
          <w:i/>
          <w:iCs/>
          <w:color w:val="000000" w:themeColor="text1"/>
          <w:lang w:val="en-AU"/>
        </w:rPr>
        <w:t>all</w:t>
      </w:r>
      <w:r w:rsidRPr="00E921E8">
        <w:rPr>
          <w:color w:val="000000" w:themeColor="text1"/>
          <w:lang w:val="en-AU"/>
        </w:rPr>
        <w:t xml:space="preserve"> former and current (as of 12 December 2019) Victoria Police employees:</w:t>
      </w:r>
    </w:p>
    <w:p w14:paraId="6EEC14E8"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First name; and</w:t>
      </w:r>
    </w:p>
    <w:p w14:paraId="71EB0376"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Middle name; and</w:t>
      </w:r>
    </w:p>
    <w:p w14:paraId="5FF0C5C5"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Surname; and</w:t>
      </w:r>
    </w:p>
    <w:p w14:paraId="32DFF2CE"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Date of birth; and</w:t>
      </w:r>
    </w:p>
    <w:p w14:paraId="54729350"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Registered number and for Victorian Public Sector employees, their V number; and</w:t>
      </w:r>
    </w:p>
    <w:p w14:paraId="4A8A5308"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Month and year when they commenced employment with Victoria Police; and</w:t>
      </w:r>
    </w:p>
    <w:p w14:paraId="37A0341F" w14:textId="77777777" w:rsidR="00086E25" w:rsidRPr="00E921E8"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Last, or as at 12 December 2019, rank or pay classification; and</w:t>
      </w:r>
    </w:p>
    <w:p w14:paraId="3FAA38E6" w14:textId="47D5E376" w:rsidR="00086E25" w:rsidRDefault="00086E25" w:rsidP="0065658B">
      <w:pPr>
        <w:pStyle w:val="Body"/>
        <w:numPr>
          <w:ilvl w:val="0"/>
          <w:numId w:val="4"/>
        </w:numPr>
        <w:spacing w:after="120"/>
        <w:ind w:left="426" w:hanging="426"/>
        <w:rPr>
          <w:bCs/>
          <w:color w:val="000000" w:themeColor="text1"/>
          <w:lang w:val="en-AU"/>
        </w:rPr>
      </w:pPr>
      <w:r w:rsidRPr="00E921E8">
        <w:rPr>
          <w:bCs/>
          <w:color w:val="000000" w:themeColor="text1"/>
          <w:lang w:val="en-AU"/>
        </w:rPr>
        <w:t>Last, or as at 12 December 2019, the Police station, or business unit within Victoria Police they worked</w:t>
      </w:r>
      <w:r>
        <w:rPr>
          <w:bCs/>
          <w:color w:val="000000" w:themeColor="text1"/>
          <w:lang w:val="en-AU"/>
        </w:rPr>
        <w:t>.</w:t>
      </w:r>
    </w:p>
    <w:p w14:paraId="738402DA" w14:textId="652BFC80" w:rsidR="001D1A20" w:rsidRDefault="001D1A20" w:rsidP="007A738D">
      <w:pPr>
        <w:pStyle w:val="Body"/>
        <w:spacing w:after="120" w:line="240" w:lineRule="auto"/>
        <w:rPr>
          <w:color w:val="000000" w:themeColor="text1"/>
          <w:lang w:val="en-AU"/>
        </w:rPr>
      </w:pPr>
      <w:r w:rsidRPr="00544067">
        <w:rPr>
          <w:color w:val="000000" w:themeColor="text1"/>
          <w:lang w:val="en-AU"/>
        </w:rPr>
        <w:lastRenderedPageBreak/>
        <w:t xml:space="preserve">DJCS requires the </w:t>
      </w:r>
      <w:r>
        <w:rPr>
          <w:color w:val="000000" w:themeColor="text1"/>
          <w:lang w:val="en-AU"/>
        </w:rPr>
        <w:t>E</w:t>
      </w:r>
      <w:r w:rsidRPr="00544067">
        <w:rPr>
          <w:color w:val="000000" w:themeColor="text1"/>
          <w:lang w:val="en-AU"/>
        </w:rPr>
        <w:t xml:space="preserve">mployee </w:t>
      </w:r>
      <w:r>
        <w:rPr>
          <w:color w:val="000000" w:themeColor="text1"/>
          <w:lang w:val="en-AU"/>
        </w:rPr>
        <w:t>I</w:t>
      </w:r>
      <w:r w:rsidRPr="00544067">
        <w:rPr>
          <w:color w:val="000000" w:themeColor="text1"/>
          <w:lang w:val="en-AU"/>
        </w:rPr>
        <w:t xml:space="preserve">nformation from Victoria Police to be able to verify that an applicant is a former or current Victoria Police employee, and is therefore eligible for redress under the Scheme. </w:t>
      </w:r>
    </w:p>
    <w:p w14:paraId="5E9977F3" w14:textId="6340AE73" w:rsidR="001D1A20" w:rsidRDefault="001D1A20" w:rsidP="007A738D">
      <w:pPr>
        <w:pStyle w:val="Body"/>
        <w:spacing w:after="120" w:line="240" w:lineRule="auto"/>
        <w:rPr>
          <w:color w:val="000000" w:themeColor="text1"/>
          <w:lang w:val="en-AU"/>
        </w:rPr>
      </w:pPr>
      <w:r>
        <w:rPr>
          <w:color w:val="000000" w:themeColor="text1"/>
          <w:lang w:val="en-AU"/>
        </w:rPr>
        <w:t xml:space="preserve">While the Employee Information of every Victoria Police employee is to be provided to DJCS, </w:t>
      </w:r>
      <w:r w:rsidRPr="004D4636">
        <w:rPr>
          <w:i/>
          <w:iCs/>
          <w:color w:val="000000" w:themeColor="text1"/>
          <w:lang w:val="en-AU"/>
        </w:rPr>
        <w:t>only</w:t>
      </w:r>
      <w:r>
        <w:rPr>
          <w:color w:val="000000" w:themeColor="text1"/>
          <w:lang w:val="en-AU"/>
        </w:rPr>
        <w:t xml:space="preserve"> the Employee Information of </w:t>
      </w:r>
      <w:r w:rsidR="0090242F">
        <w:rPr>
          <w:color w:val="000000" w:themeColor="text1"/>
          <w:lang w:val="en-AU"/>
        </w:rPr>
        <w:t>those who make an application</w:t>
      </w:r>
      <w:r>
        <w:rPr>
          <w:color w:val="000000" w:themeColor="text1"/>
          <w:lang w:val="en-AU"/>
        </w:rPr>
        <w:t xml:space="preserve"> to the Scheme will used by DJCS. </w:t>
      </w:r>
    </w:p>
    <w:p w14:paraId="39A7EBE4" w14:textId="65F8CC94" w:rsidR="001D1A20" w:rsidRPr="001D1A20" w:rsidRDefault="001D1A20" w:rsidP="007A738D">
      <w:pPr>
        <w:pStyle w:val="Body"/>
        <w:spacing w:after="120" w:line="240" w:lineRule="auto"/>
        <w:rPr>
          <w:color w:val="000000" w:themeColor="text1"/>
          <w:lang w:val="en-AU"/>
        </w:rPr>
      </w:pPr>
      <w:r>
        <w:rPr>
          <w:color w:val="000000" w:themeColor="text1"/>
          <w:lang w:val="en-AU"/>
        </w:rPr>
        <w:t>When a Victoria Police employee applies to access the</w:t>
      </w:r>
      <w:r w:rsidRPr="00E921E8">
        <w:rPr>
          <w:color w:val="000000" w:themeColor="text1"/>
          <w:lang w:val="en-AU"/>
        </w:rPr>
        <w:t xml:space="preserve"> Scheme</w:t>
      </w:r>
      <w:r>
        <w:rPr>
          <w:color w:val="000000" w:themeColor="text1"/>
          <w:lang w:val="en-AU"/>
        </w:rPr>
        <w:t>,</w:t>
      </w:r>
      <w:r w:rsidRPr="00E921E8">
        <w:rPr>
          <w:color w:val="000000" w:themeColor="text1"/>
          <w:lang w:val="en-AU"/>
        </w:rPr>
        <w:t xml:space="preserve"> </w:t>
      </w:r>
      <w:r>
        <w:rPr>
          <w:color w:val="000000" w:themeColor="text1"/>
          <w:lang w:val="en-AU"/>
        </w:rPr>
        <w:t>a</w:t>
      </w:r>
      <w:r w:rsidRPr="00E921E8">
        <w:rPr>
          <w:color w:val="000000" w:themeColor="text1"/>
          <w:lang w:val="en-AU"/>
        </w:rPr>
        <w:t xml:space="preserve"> case management system </w:t>
      </w:r>
      <w:r>
        <w:rPr>
          <w:color w:val="000000" w:themeColor="text1"/>
          <w:lang w:val="en-AU"/>
        </w:rPr>
        <w:t xml:space="preserve">will </w:t>
      </w:r>
      <w:r w:rsidRPr="00E921E8">
        <w:rPr>
          <w:color w:val="000000" w:themeColor="text1"/>
          <w:lang w:val="en-AU"/>
        </w:rPr>
        <w:t>undertake</w:t>
      </w:r>
      <w:r>
        <w:rPr>
          <w:color w:val="000000" w:themeColor="text1"/>
          <w:lang w:val="en-AU"/>
        </w:rPr>
        <w:t xml:space="preserve"> an</w:t>
      </w:r>
      <w:r w:rsidRPr="00E921E8">
        <w:rPr>
          <w:color w:val="000000" w:themeColor="text1"/>
          <w:lang w:val="en-AU"/>
        </w:rPr>
        <w:t xml:space="preserve"> automat</w:t>
      </w:r>
      <w:r>
        <w:rPr>
          <w:color w:val="000000" w:themeColor="text1"/>
          <w:lang w:val="en-AU"/>
        </w:rPr>
        <w:t>ed</w:t>
      </w:r>
      <w:r w:rsidRPr="00E921E8">
        <w:rPr>
          <w:color w:val="000000" w:themeColor="text1"/>
          <w:lang w:val="en-AU"/>
        </w:rPr>
        <w:t xml:space="preserve"> check</w:t>
      </w:r>
      <w:r>
        <w:rPr>
          <w:color w:val="000000" w:themeColor="text1"/>
          <w:lang w:val="en-AU"/>
        </w:rPr>
        <w:t xml:space="preserve"> using the Employee Information</w:t>
      </w:r>
      <w:r w:rsidRPr="00E921E8">
        <w:rPr>
          <w:color w:val="000000" w:themeColor="text1"/>
          <w:lang w:val="en-AU"/>
        </w:rPr>
        <w:t xml:space="preserve"> to verify </w:t>
      </w:r>
      <w:r>
        <w:rPr>
          <w:color w:val="000000" w:themeColor="text1"/>
          <w:lang w:val="en-AU"/>
        </w:rPr>
        <w:t>the</w:t>
      </w:r>
      <w:r w:rsidRPr="00E921E8">
        <w:rPr>
          <w:color w:val="000000" w:themeColor="text1"/>
          <w:lang w:val="en-AU"/>
        </w:rPr>
        <w:t xml:space="preserve"> applicant’s employmen</w:t>
      </w:r>
      <w:r>
        <w:rPr>
          <w:color w:val="000000" w:themeColor="text1"/>
          <w:lang w:val="en-AU"/>
        </w:rPr>
        <w:t>t</w:t>
      </w:r>
      <w:r w:rsidRPr="00E921E8">
        <w:rPr>
          <w:color w:val="000000" w:themeColor="text1"/>
          <w:lang w:val="en-AU"/>
        </w:rPr>
        <w:t xml:space="preserve"> with Victoria Police.</w:t>
      </w:r>
    </w:p>
    <w:p w14:paraId="6705467B" w14:textId="1739864D" w:rsidR="00BA46C7" w:rsidRPr="00544067" w:rsidRDefault="007A738D" w:rsidP="007A738D">
      <w:pPr>
        <w:pStyle w:val="SectionHeading2"/>
        <w:spacing w:line="240" w:lineRule="auto"/>
        <w:rPr>
          <w:color w:val="000000" w:themeColor="text1"/>
          <w:sz w:val="28"/>
          <w:szCs w:val="26"/>
          <w:lang w:val="en-AU"/>
        </w:rPr>
      </w:pPr>
      <w:r>
        <w:rPr>
          <w:color w:val="000000" w:themeColor="text1"/>
          <w:sz w:val="28"/>
          <w:szCs w:val="26"/>
          <w:lang w:val="en-AU"/>
        </w:rPr>
        <w:t xml:space="preserve">What the </w:t>
      </w:r>
      <w:r w:rsidR="00BA46C7" w:rsidRPr="00544067">
        <w:rPr>
          <w:color w:val="000000" w:themeColor="text1"/>
          <w:sz w:val="28"/>
          <w:szCs w:val="26"/>
          <w:lang w:val="en-AU"/>
        </w:rPr>
        <w:t>application</w:t>
      </w:r>
      <w:r>
        <w:rPr>
          <w:color w:val="000000" w:themeColor="text1"/>
          <w:sz w:val="28"/>
          <w:szCs w:val="26"/>
          <w:lang w:val="en-AU"/>
        </w:rPr>
        <w:t xml:space="preserve"> seeks</w:t>
      </w:r>
    </w:p>
    <w:p w14:paraId="1AB848B0" w14:textId="1806804D" w:rsidR="00086E25" w:rsidRPr="00544067" w:rsidRDefault="005041B7" w:rsidP="007A738D">
      <w:pPr>
        <w:pStyle w:val="Body"/>
        <w:spacing w:after="120" w:line="240" w:lineRule="auto"/>
        <w:rPr>
          <w:color w:val="000000" w:themeColor="text1"/>
          <w:lang w:val="en-AU"/>
        </w:rPr>
      </w:pPr>
      <w:r>
        <w:rPr>
          <w:color w:val="000000" w:themeColor="text1"/>
          <w:lang w:val="en-AU"/>
        </w:rPr>
        <w:t>To facilitate</w:t>
      </w:r>
      <w:r w:rsidR="00B22C12">
        <w:rPr>
          <w:color w:val="000000" w:themeColor="text1"/>
          <w:lang w:val="en-AU"/>
        </w:rPr>
        <w:t xml:space="preserve"> the Scheme</w:t>
      </w:r>
      <w:r>
        <w:rPr>
          <w:color w:val="000000" w:themeColor="text1"/>
          <w:lang w:val="en-AU"/>
        </w:rPr>
        <w:t xml:space="preserve">, the </w:t>
      </w:r>
      <w:r w:rsidR="00086E25">
        <w:rPr>
          <w:color w:val="000000" w:themeColor="text1"/>
          <w:lang w:val="en-AU"/>
        </w:rPr>
        <w:t>application seeks</w:t>
      </w:r>
      <w:r w:rsidR="00371CBD">
        <w:rPr>
          <w:color w:val="000000" w:themeColor="text1"/>
          <w:lang w:val="en-AU"/>
        </w:rPr>
        <w:t xml:space="preserve"> </w:t>
      </w:r>
      <w:r w:rsidR="00086E25" w:rsidRPr="00544067">
        <w:rPr>
          <w:color w:val="000000" w:themeColor="text1"/>
          <w:lang w:val="en-AU"/>
        </w:rPr>
        <w:t>departure from</w:t>
      </w:r>
      <w:r>
        <w:rPr>
          <w:color w:val="000000" w:themeColor="text1"/>
          <w:lang w:val="en-AU"/>
        </w:rPr>
        <w:t xml:space="preserve"> compliance with </w:t>
      </w:r>
      <w:r w:rsidR="000F7DD2">
        <w:rPr>
          <w:color w:val="000000" w:themeColor="text1"/>
          <w:lang w:val="en-AU"/>
        </w:rPr>
        <w:t>the following</w:t>
      </w:r>
      <w:r>
        <w:rPr>
          <w:color w:val="000000" w:themeColor="text1"/>
          <w:lang w:val="en-AU"/>
        </w:rPr>
        <w:t xml:space="preserve"> </w:t>
      </w:r>
      <w:r w:rsidR="007A738D">
        <w:rPr>
          <w:color w:val="000000" w:themeColor="text1"/>
          <w:lang w:val="en-AU"/>
        </w:rPr>
        <w:t>IPPs</w:t>
      </w:r>
      <w:r w:rsidR="00086E25" w:rsidRPr="00544067">
        <w:rPr>
          <w:color w:val="000000" w:themeColor="text1"/>
          <w:lang w:val="en-AU"/>
        </w:rPr>
        <w:t>:</w:t>
      </w:r>
    </w:p>
    <w:p w14:paraId="6EC1C34C" w14:textId="7EB3B25E" w:rsidR="0090242F" w:rsidRDefault="00086E25" w:rsidP="0065658B">
      <w:pPr>
        <w:pStyle w:val="Body"/>
        <w:numPr>
          <w:ilvl w:val="0"/>
          <w:numId w:val="3"/>
        </w:numPr>
        <w:spacing w:after="120" w:line="240" w:lineRule="auto"/>
        <w:rPr>
          <w:color w:val="000000" w:themeColor="text1"/>
          <w:lang w:val="en-AU"/>
        </w:rPr>
      </w:pPr>
      <w:r w:rsidRPr="00544067">
        <w:rPr>
          <w:color w:val="000000" w:themeColor="text1"/>
          <w:lang w:val="en-AU"/>
        </w:rPr>
        <w:t xml:space="preserve">Victoria Police from IPP 2.1. IPP 2.1 requires organisations </w:t>
      </w:r>
      <w:r w:rsidR="0090242F">
        <w:rPr>
          <w:color w:val="000000" w:themeColor="text1"/>
          <w:lang w:val="en-AU"/>
        </w:rPr>
        <w:t>to</w:t>
      </w:r>
      <w:r w:rsidRPr="00544067">
        <w:rPr>
          <w:color w:val="000000" w:themeColor="text1"/>
          <w:lang w:val="en-AU"/>
        </w:rPr>
        <w:t xml:space="preserve"> not use or disclose personal information about an individual for a purpose other than the primary purpose of collection. </w:t>
      </w:r>
    </w:p>
    <w:p w14:paraId="2AC94AC6" w14:textId="0EAC326A" w:rsidR="00086E25" w:rsidRPr="00544067" w:rsidRDefault="00086E25" w:rsidP="0090242F">
      <w:pPr>
        <w:pStyle w:val="Body"/>
        <w:spacing w:after="120" w:line="240" w:lineRule="auto"/>
        <w:ind w:left="360"/>
        <w:rPr>
          <w:color w:val="000000" w:themeColor="text1"/>
          <w:lang w:val="en-AU"/>
        </w:rPr>
      </w:pPr>
      <w:r w:rsidRPr="00544067">
        <w:rPr>
          <w:color w:val="000000" w:themeColor="text1"/>
          <w:lang w:val="en-AU"/>
        </w:rPr>
        <w:t xml:space="preserve">Without a PID, IPP 2.1 would not allow Victoria Police to disclose the </w:t>
      </w:r>
      <w:r w:rsidR="00371CBD">
        <w:rPr>
          <w:color w:val="000000" w:themeColor="text1"/>
          <w:lang w:val="en-AU"/>
        </w:rPr>
        <w:t>Employee Information</w:t>
      </w:r>
      <w:r w:rsidRPr="00544067">
        <w:rPr>
          <w:color w:val="000000" w:themeColor="text1"/>
          <w:lang w:val="en-AU"/>
        </w:rPr>
        <w:t xml:space="preserve"> to DJCS for the purposes described</w:t>
      </w:r>
      <w:r w:rsidR="0090242F">
        <w:rPr>
          <w:color w:val="000000" w:themeColor="text1"/>
          <w:lang w:val="en-AU"/>
        </w:rPr>
        <w:t xml:space="preserve"> in</w:t>
      </w:r>
      <w:r w:rsidRPr="00544067">
        <w:rPr>
          <w:color w:val="000000" w:themeColor="text1"/>
          <w:lang w:val="en-AU"/>
        </w:rPr>
        <w:t xml:space="preserve"> above</w:t>
      </w:r>
      <w:r w:rsidR="0090242F">
        <w:rPr>
          <w:color w:val="000000" w:themeColor="text1"/>
          <w:lang w:val="en-AU"/>
        </w:rPr>
        <w:t xml:space="preserve"> background</w:t>
      </w:r>
      <w:r w:rsidRPr="00544067">
        <w:rPr>
          <w:color w:val="000000" w:themeColor="text1"/>
          <w:lang w:val="en-AU"/>
        </w:rPr>
        <w:t>.</w:t>
      </w:r>
      <w:r w:rsidRPr="00544067">
        <w:rPr>
          <w:rStyle w:val="FootnoteReference"/>
          <w:color w:val="000000" w:themeColor="text1"/>
          <w:lang w:val="en-AU"/>
        </w:rPr>
        <w:footnoteReference w:id="4"/>
      </w:r>
      <w:r w:rsidRPr="00544067">
        <w:rPr>
          <w:color w:val="000000" w:themeColor="text1"/>
          <w:lang w:val="en-AU"/>
        </w:rPr>
        <w:t xml:space="preserve"> </w:t>
      </w:r>
    </w:p>
    <w:p w14:paraId="1065FFA9" w14:textId="77777777" w:rsidR="0090242F" w:rsidRDefault="00086E25" w:rsidP="0065658B">
      <w:pPr>
        <w:pStyle w:val="Body"/>
        <w:numPr>
          <w:ilvl w:val="0"/>
          <w:numId w:val="3"/>
        </w:numPr>
        <w:spacing w:after="120" w:line="240" w:lineRule="auto"/>
        <w:rPr>
          <w:color w:val="000000" w:themeColor="text1"/>
          <w:lang w:val="en-AU"/>
        </w:rPr>
      </w:pPr>
      <w:r w:rsidRPr="00544067">
        <w:rPr>
          <w:color w:val="000000" w:themeColor="text1"/>
          <w:lang w:val="en-AU"/>
        </w:rPr>
        <w:t xml:space="preserve">DJCS from IPP 1.5. IPP 1.5 requires an organisation that collects personal information about an individual from someone else to take reasonable steps to notify the individual of the matters noted in IPP 1.3. </w:t>
      </w:r>
    </w:p>
    <w:p w14:paraId="41D976D1" w14:textId="1A6E314C" w:rsidR="005041B7" w:rsidRDefault="00086E25" w:rsidP="0090242F">
      <w:pPr>
        <w:pStyle w:val="Body"/>
        <w:spacing w:after="120" w:line="240" w:lineRule="auto"/>
        <w:ind w:left="360"/>
        <w:rPr>
          <w:color w:val="000000" w:themeColor="text1"/>
          <w:lang w:val="en-AU"/>
        </w:rPr>
      </w:pPr>
      <w:r w:rsidRPr="00544067">
        <w:rPr>
          <w:color w:val="000000" w:themeColor="text1"/>
          <w:lang w:val="en-AU"/>
        </w:rPr>
        <w:t>Without a PID</w:t>
      </w:r>
      <w:r w:rsidR="005041B7">
        <w:rPr>
          <w:color w:val="000000" w:themeColor="text1"/>
          <w:lang w:val="en-AU"/>
        </w:rPr>
        <w:t>:</w:t>
      </w:r>
    </w:p>
    <w:p w14:paraId="0EFF22D3" w14:textId="7F16C779" w:rsidR="005041B7" w:rsidRDefault="00086E25" w:rsidP="0065658B">
      <w:pPr>
        <w:pStyle w:val="Body"/>
        <w:numPr>
          <w:ilvl w:val="1"/>
          <w:numId w:val="6"/>
        </w:numPr>
        <w:spacing w:after="120" w:line="240" w:lineRule="auto"/>
        <w:rPr>
          <w:color w:val="000000" w:themeColor="text1"/>
          <w:lang w:val="en-AU"/>
        </w:rPr>
      </w:pPr>
      <w:r w:rsidRPr="00544067">
        <w:rPr>
          <w:color w:val="000000" w:themeColor="text1"/>
          <w:lang w:val="en-AU"/>
        </w:rPr>
        <w:t>DJCS would be required to notify every Victoria Police employee that their</w:t>
      </w:r>
      <w:r>
        <w:rPr>
          <w:color w:val="000000" w:themeColor="text1"/>
          <w:lang w:val="en-AU"/>
        </w:rPr>
        <w:t xml:space="preserve"> Employee Information</w:t>
      </w:r>
      <w:r w:rsidRPr="00544067">
        <w:rPr>
          <w:color w:val="000000" w:themeColor="text1"/>
          <w:lang w:val="en-AU"/>
        </w:rPr>
        <w:t xml:space="preserve"> </w:t>
      </w:r>
      <w:r>
        <w:rPr>
          <w:color w:val="000000" w:themeColor="text1"/>
          <w:lang w:val="en-AU"/>
        </w:rPr>
        <w:t xml:space="preserve">has </w:t>
      </w:r>
      <w:r w:rsidRPr="00544067">
        <w:rPr>
          <w:color w:val="000000" w:themeColor="text1"/>
          <w:lang w:val="en-AU"/>
        </w:rPr>
        <w:t>be</w:t>
      </w:r>
      <w:r>
        <w:rPr>
          <w:color w:val="000000" w:themeColor="text1"/>
          <w:lang w:val="en-AU"/>
        </w:rPr>
        <w:t>en</w:t>
      </w:r>
      <w:r w:rsidRPr="00544067">
        <w:rPr>
          <w:color w:val="000000" w:themeColor="text1"/>
          <w:lang w:val="en-AU"/>
        </w:rPr>
        <w:t xml:space="preserve"> collected by DJCS. This in turn would require additional contact information to be provided to DJCS by Victoria Police to make this notification. It would also require DJCS employees to have direct access to the personal information.</w:t>
      </w:r>
    </w:p>
    <w:p w14:paraId="2020FD22" w14:textId="52F34228" w:rsidR="00371CBD" w:rsidRDefault="00086E25" w:rsidP="0065658B">
      <w:pPr>
        <w:pStyle w:val="Body"/>
        <w:numPr>
          <w:ilvl w:val="1"/>
          <w:numId w:val="6"/>
        </w:numPr>
        <w:spacing w:after="120" w:line="240" w:lineRule="auto"/>
        <w:rPr>
          <w:color w:val="000000" w:themeColor="text1"/>
          <w:lang w:val="en-AU"/>
        </w:rPr>
      </w:pPr>
      <w:r w:rsidRPr="005041B7">
        <w:rPr>
          <w:color w:val="000000" w:themeColor="text1"/>
          <w:lang w:val="en-AU"/>
        </w:rPr>
        <w:t>DJCS may be required to notify a</w:t>
      </w:r>
      <w:r w:rsidR="005041B7">
        <w:rPr>
          <w:color w:val="000000" w:themeColor="text1"/>
          <w:lang w:val="en-AU"/>
        </w:rPr>
        <w:t xml:space="preserve"> third party (for example, an</w:t>
      </w:r>
      <w:r w:rsidRPr="005041B7">
        <w:rPr>
          <w:color w:val="000000" w:themeColor="text1"/>
          <w:lang w:val="en-AU"/>
        </w:rPr>
        <w:t xml:space="preserve"> alleged perpetrator</w:t>
      </w:r>
      <w:r w:rsidR="005041B7">
        <w:rPr>
          <w:color w:val="000000" w:themeColor="text1"/>
          <w:lang w:val="en-AU"/>
        </w:rPr>
        <w:t>)</w:t>
      </w:r>
      <w:r w:rsidRPr="005041B7">
        <w:rPr>
          <w:color w:val="000000" w:themeColor="text1"/>
          <w:lang w:val="en-AU"/>
        </w:rPr>
        <w:t xml:space="preserve"> whose </w:t>
      </w:r>
      <w:r w:rsidR="000F7DD2">
        <w:rPr>
          <w:color w:val="000000" w:themeColor="text1"/>
          <w:lang w:val="en-AU"/>
        </w:rPr>
        <w:t xml:space="preserve">personal </w:t>
      </w:r>
      <w:r w:rsidRPr="005041B7">
        <w:rPr>
          <w:color w:val="000000" w:themeColor="text1"/>
          <w:lang w:val="en-AU"/>
        </w:rPr>
        <w:t>information is contained in an individual’s application to the Scheme</w:t>
      </w:r>
      <w:r w:rsidR="005041B7">
        <w:rPr>
          <w:color w:val="000000" w:themeColor="text1"/>
          <w:lang w:val="en-AU"/>
        </w:rPr>
        <w:t>.</w:t>
      </w:r>
      <w:r w:rsidR="000F7DD2">
        <w:rPr>
          <w:color w:val="000000" w:themeColor="text1"/>
          <w:lang w:val="en-AU"/>
        </w:rPr>
        <w:t xml:space="preserve"> </w:t>
      </w:r>
    </w:p>
    <w:p w14:paraId="36E9D396" w14:textId="53A0D16F" w:rsidR="00B22C12" w:rsidRDefault="00B22C12" w:rsidP="007A738D">
      <w:pPr>
        <w:pStyle w:val="Body"/>
        <w:spacing w:after="120" w:line="240" w:lineRule="auto"/>
        <w:rPr>
          <w:color w:val="000000" w:themeColor="text1"/>
          <w:lang w:val="en-AU"/>
        </w:rPr>
      </w:pPr>
      <w:r>
        <w:rPr>
          <w:color w:val="000000" w:themeColor="text1"/>
          <w:lang w:val="en-AU"/>
        </w:rPr>
        <w:t>In summary, if the Information Commissioner grants the PID, the following acts or practices will be permitted:</w:t>
      </w:r>
    </w:p>
    <w:p w14:paraId="4366EB85" w14:textId="75314068" w:rsidR="00B22C12" w:rsidRDefault="00B22C12" w:rsidP="0065658B">
      <w:pPr>
        <w:pStyle w:val="Body"/>
        <w:numPr>
          <w:ilvl w:val="0"/>
          <w:numId w:val="5"/>
        </w:numPr>
        <w:spacing w:after="120" w:line="240" w:lineRule="auto"/>
        <w:ind w:left="426" w:hanging="426"/>
        <w:rPr>
          <w:color w:val="000000" w:themeColor="text1"/>
          <w:lang w:val="en-AU"/>
        </w:rPr>
      </w:pPr>
      <w:r w:rsidRPr="00544067">
        <w:rPr>
          <w:color w:val="000000" w:themeColor="text1"/>
          <w:lang w:val="en-AU"/>
        </w:rPr>
        <w:t>Victoria Police</w:t>
      </w:r>
      <w:r>
        <w:rPr>
          <w:color w:val="000000" w:themeColor="text1"/>
          <w:lang w:val="en-AU"/>
        </w:rPr>
        <w:t xml:space="preserve"> will be permitted to </w:t>
      </w:r>
      <w:r w:rsidRPr="00544067">
        <w:rPr>
          <w:color w:val="000000" w:themeColor="text1"/>
          <w:lang w:val="en-AU"/>
        </w:rPr>
        <w:t>transfer</w:t>
      </w:r>
      <w:r>
        <w:rPr>
          <w:color w:val="000000" w:themeColor="text1"/>
          <w:lang w:val="en-AU"/>
        </w:rPr>
        <w:t xml:space="preserve"> </w:t>
      </w:r>
      <w:r w:rsidRPr="00544067">
        <w:rPr>
          <w:color w:val="000000" w:themeColor="text1"/>
          <w:lang w:val="en-AU"/>
        </w:rPr>
        <w:t>the Employee Information to DJCS</w:t>
      </w:r>
      <w:r>
        <w:rPr>
          <w:color w:val="000000" w:themeColor="text1"/>
          <w:lang w:val="en-AU"/>
        </w:rPr>
        <w:t>; and</w:t>
      </w:r>
    </w:p>
    <w:p w14:paraId="5E6638D6" w14:textId="75C56FAC" w:rsidR="00B22C12" w:rsidRDefault="00B22C12" w:rsidP="0065658B">
      <w:pPr>
        <w:pStyle w:val="Body"/>
        <w:numPr>
          <w:ilvl w:val="0"/>
          <w:numId w:val="5"/>
        </w:numPr>
        <w:spacing w:after="120" w:line="240" w:lineRule="auto"/>
        <w:ind w:left="426" w:hanging="426"/>
        <w:rPr>
          <w:color w:val="000000" w:themeColor="text1"/>
          <w:lang w:val="en-AU"/>
        </w:rPr>
      </w:pPr>
      <w:r>
        <w:rPr>
          <w:color w:val="000000" w:themeColor="text1"/>
          <w:lang w:val="en-AU"/>
        </w:rPr>
        <w:t>DJCS will not be required to provide notice of collection to:</w:t>
      </w:r>
    </w:p>
    <w:p w14:paraId="129F5CAF" w14:textId="77777777" w:rsidR="00B22C12" w:rsidRDefault="00B22C12" w:rsidP="0065658B">
      <w:pPr>
        <w:pStyle w:val="Body"/>
        <w:numPr>
          <w:ilvl w:val="1"/>
          <w:numId w:val="5"/>
        </w:numPr>
        <w:spacing w:after="120" w:line="240" w:lineRule="auto"/>
        <w:ind w:left="851" w:hanging="426"/>
        <w:rPr>
          <w:color w:val="000000" w:themeColor="text1"/>
          <w:lang w:val="en-AU"/>
        </w:rPr>
      </w:pPr>
      <w:r>
        <w:rPr>
          <w:color w:val="000000" w:themeColor="text1"/>
          <w:lang w:val="en-AU"/>
        </w:rPr>
        <w:t xml:space="preserve">employees of Victoria Police as a result of the collection of the Employee Information; and </w:t>
      </w:r>
    </w:p>
    <w:p w14:paraId="593DE793" w14:textId="63612340" w:rsidR="00B22C12" w:rsidRPr="00B22C12" w:rsidRDefault="00B22C12" w:rsidP="0065658B">
      <w:pPr>
        <w:pStyle w:val="Body"/>
        <w:numPr>
          <w:ilvl w:val="1"/>
          <w:numId w:val="5"/>
        </w:numPr>
        <w:spacing w:after="240" w:line="240" w:lineRule="auto"/>
        <w:ind w:left="851" w:hanging="426"/>
        <w:rPr>
          <w:color w:val="000000" w:themeColor="text1"/>
          <w:lang w:val="en-AU"/>
        </w:rPr>
      </w:pPr>
      <w:r>
        <w:rPr>
          <w:color w:val="000000" w:themeColor="text1"/>
          <w:lang w:val="en-AU"/>
        </w:rPr>
        <w:t xml:space="preserve">third parties whose personal information may be collected as a result of it being contained in an application to the Scheme. </w:t>
      </w:r>
    </w:p>
    <w:p w14:paraId="19C4A905" w14:textId="4219C270" w:rsidR="00A11E5C" w:rsidRPr="00B22C12" w:rsidRDefault="00A11E5C" w:rsidP="007A738D">
      <w:pPr>
        <w:pStyle w:val="Body"/>
        <w:spacing w:after="120" w:line="240" w:lineRule="auto"/>
        <w:rPr>
          <w:b/>
          <w:color w:val="000000" w:themeColor="text1"/>
          <w:sz w:val="28"/>
          <w:szCs w:val="26"/>
          <w:lang w:val="en-AU"/>
        </w:rPr>
      </w:pPr>
      <w:r w:rsidRPr="00B22C12">
        <w:rPr>
          <w:b/>
          <w:color w:val="000000" w:themeColor="text1"/>
          <w:sz w:val="28"/>
          <w:szCs w:val="26"/>
          <w:lang w:val="en-AU"/>
        </w:rPr>
        <w:t>The public interest</w:t>
      </w:r>
    </w:p>
    <w:p w14:paraId="71450A17" w14:textId="2F359FA0" w:rsidR="00A11E5C" w:rsidRPr="00B22C12" w:rsidRDefault="00A11E5C" w:rsidP="007A738D">
      <w:pPr>
        <w:pStyle w:val="Body"/>
        <w:spacing w:after="120" w:line="240" w:lineRule="auto"/>
        <w:rPr>
          <w:b/>
          <w:color w:val="000000" w:themeColor="text1"/>
          <w:lang w:val="en-AU"/>
        </w:rPr>
      </w:pPr>
      <w:r w:rsidRPr="00B22C12">
        <w:rPr>
          <w:b/>
          <w:color w:val="000000" w:themeColor="text1"/>
          <w:lang w:val="en-AU"/>
        </w:rPr>
        <w:t>Victoria Police’s non-compliance with IPP 2.1</w:t>
      </w:r>
    </w:p>
    <w:p w14:paraId="26F3B2F4" w14:textId="77777777" w:rsidR="0090242F" w:rsidRDefault="00DE78AB" w:rsidP="007A738D">
      <w:pPr>
        <w:pStyle w:val="Body"/>
        <w:spacing w:after="120" w:line="240" w:lineRule="auto"/>
        <w:rPr>
          <w:bCs/>
          <w:color w:val="000000" w:themeColor="text1"/>
          <w:lang w:val="en-AU"/>
        </w:rPr>
      </w:pPr>
      <w:r w:rsidRPr="00B22C12">
        <w:rPr>
          <w:bCs/>
          <w:color w:val="000000" w:themeColor="text1"/>
          <w:lang w:val="en-AU"/>
        </w:rPr>
        <w:t xml:space="preserve">The application </w:t>
      </w:r>
      <w:r w:rsidR="00E35C0F" w:rsidRPr="00B22C12">
        <w:rPr>
          <w:bCs/>
          <w:color w:val="000000" w:themeColor="text1"/>
          <w:lang w:val="en-AU"/>
        </w:rPr>
        <w:t xml:space="preserve">claims </w:t>
      </w:r>
      <w:r w:rsidRPr="00B22C12">
        <w:rPr>
          <w:bCs/>
          <w:color w:val="000000" w:themeColor="text1"/>
          <w:lang w:val="en-AU"/>
        </w:rPr>
        <w:t>that the public interest in Victoria Police providing the employee information to DJCS substantially outweighs the public interest in adhering to IPP 2.1 is the right for an applicant to the Scheme to remain anonymous from Victoria Police.</w:t>
      </w:r>
    </w:p>
    <w:p w14:paraId="4F8A4D35" w14:textId="3FEFAA78" w:rsidR="00DE78AB" w:rsidRDefault="00DE78AB" w:rsidP="007A738D">
      <w:pPr>
        <w:pStyle w:val="Body"/>
        <w:spacing w:after="120" w:line="240" w:lineRule="auto"/>
        <w:rPr>
          <w:color w:val="000000" w:themeColor="text1"/>
        </w:rPr>
      </w:pPr>
      <w:r w:rsidRPr="00B22C12">
        <w:rPr>
          <w:color w:val="000000" w:themeColor="text1"/>
        </w:rPr>
        <w:t>The Scheme is underpinned by victim-centric guiding principles, including victim safety, victim choice, control, consent and confidentiality.</w:t>
      </w:r>
      <w:r w:rsidR="00A762E6" w:rsidRPr="00B22C12">
        <w:rPr>
          <w:color w:val="000000" w:themeColor="text1"/>
        </w:rPr>
        <w:t xml:space="preserve"> If an applicant’s identity is disclosed or revealed to Victoria Police during restorative engagement process, this could deter an individual from </w:t>
      </w:r>
      <w:r w:rsidR="007B6F40" w:rsidRPr="00B22C12">
        <w:rPr>
          <w:color w:val="000000" w:themeColor="text1"/>
        </w:rPr>
        <w:t xml:space="preserve">applying </w:t>
      </w:r>
      <w:r w:rsidR="00A762E6" w:rsidRPr="00B22C12">
        <w:rPr>
          <w:color w:val="000000" w:themeColor="text1"/>
        </w:rPr>
        <w:t xml:space="preserve">for fear of personal or career implications. </w:t>
      </w:r>
    </w:p>
    <w:p w14:paraId="686B99D4" w14:textId="77777777" w:rsidR="0050106E" w:rsidRPr="00B22C12" w:rsidRDefault="0050106E" w:rsidP="007A738D">
      <w:pPr>
        <w:pStyle w:val="Body"/>
        <w:spacing w:after="120" w:line="240" w:lineRule="auto"/>
        <w:rPr>
          <w:bCs/>
          <w:color w:val="000000" w:themeColor="text1"/>
          <w:lang w:val="en-AU"/>
        </w:rPr>
      </w:pPr>
    </w:p>
    <w:p w14:paraId="75980DDA" w14:textId="522BE375" w:rsidR="00A11E5C" w:rsidRPr="00B22C12" w:rsidRDefault="00A11E5C" w:rsidP="007A738D">
      <w:pPr>
        <w:pStyle w:val="Body"/>
        <w:spacing w:after="120" w:line="240" w:lineRule="auto"/>
        <w:rPr>
          <w:b/>
          <w:color w:val="000000" w:themeColor="text1"/>
          <w:lang w:val="en-AU"/>
        </w:rPr>
      </w:pPr>
      <w:r w:rsidRPr="00B22C12">
        <w:rPr>
          <w:b/>
          <w:color w:val="000000" w:themeColor="text1"/>
          <w:lang w:val="en-AU"/>
        </w:rPr>
        <w:lastRenderedPageBreak/>
        <w:t>DJCS’s non-compliance with IPP 1.5</w:t>
      </w:r>
    </w:p>
    <w:p w14:paraId="37B073D4" w14:textId="405425E9" w:rsidR="00B22C12" w:rsidRDefault="00DE78AB" w:rsidP="007A738D">
      <w:pPr>
        <w:pStyle w:val="Body"/>
        <w:spacing w:after="120" w:line="240" w:lineRule="auto"/>
        <w:rPr>
          <w:bCs/>
          <w:color w:val="000000" w:themeColor="text1"/>
          <w:lang w:val="en-AU"/>
        </w:rPr>
      </w:pPr>
      <w:r w:rsidRPr="00B22C12">
        <w:rPr>
          <w:bCs/>
          <w:color w:val="000000" w:themeColor="text1"/>
          <w:lang w:val="en-AU"/>
        </w:rPr>
        <w:t xml:space="preserve">The </w:t>
      </w:r>
      <w:r w:rsidR="00A762E6" w:rsidRPr="00B22C12">
        <w:rPr>
          <w:bCs/>
          <w:color w:val="000000" w:themeColor="text1"/>
          <w:lang w:val="en-AU"/>
        </w:rPr>
        <w:t>a</w:t>
      </w:r>
      <w:r w:rsidRPr="00B22C12">
        <w:rPr>
          <w:bCs/>
          <w:color w:val="000000" w:themeColor="text1"/>
          <w:lang w:val="en-AU"/>
        </w:rPr>
        <w:t>pplication</w:t>
      </w:r>
      <w:r w:rsidR="00A762E6" w:rsidRPr="00B22C12">
        <w:rPr>
          <w:bCs/>
          <w:color w:val="000000" w:themeColor="text1"/>
          <w:lang w:val="en-AU"/>
        </w:rPr>
        <w:t xml:space="preserve"> </w:t>
      </w:r>
      <w:r w:rsidR="00E35C0F" w:rsidRPr="00B22C12">
        <w:rPr>
          <w:bCs/>
          <w:color w:val="000000" w:themeColor="text1"/>
          <w:lang w:val="en-AU"/>
        </w:rPr>
        <w:t xml:space="preserve">claims </w:t>
      </w:r>
      <w:r w:rsidR="00A762E6" w:rsidRPr="00B22C12">
        <w:rPr>
          <w:bCs/>
          <w:color w:val="000000" w:themeColor="text1"/>
          <w:lang w:val="en-AU"/>
        </w:rPr>
        <w:t>that the public interest in not requiring DJCS to provide a collection notice to third parties whose personal information has been collected substantially outweighs the public interest in adhering to IPP 1.5</w:t>
      </w:r>
      <w:r w:rsidR="00923BB3" w:rsidRPr="00B22C12">
        <w:rPr>
          <w:bCs/>
          <w:color w:val="000000" w:themeColor="text1"/>
          <w:lang w:val="en-AU"/>
        </w:rPr>
        <w:t xml:space="preserve"> </w:t>
      </w:r>
      <w:r w:rsidR="0090242F">
        <w:rPr>
          <w:bCs/>
          <w:color w:val="000000" w:themeColor="text1"/>
          <w:lang w:val="en-AU"/>
        </w:rPr>
        <w:t>is</w:t>
      </w:r>
      <w:r w:rsidR="00B22C12">
        <w:rPr>
          <w:bCs/>
          <w:color w:val="000000" w:themeColor="text1"/>
          <w:lang w:val="en-AU"/>
        </w:rPr>
        <w:t xml:space="preserve">: </w:t>
      </w:r>
    </w:p>
    <w:p w14:paraId="7A6D9A13" w14:textId="6F82D57A" w:rsidR="00B22C12" w:rsidRPr="00B22C12" w:rsidRDefault="00B22C12" w:rsidP="0065658B">
      <w:pPr>
        <w:pStyle w:val="Body"/>
        <w:numPr>
          <w:ilvl w:val="0"/>
          <w:numId w:val="7"/>
        </w:numPr>
        <w:spacing w:after="120" w:line="240" w:lineRule="auto"/>
        <w:rPr>
          <w:bCs/>
          <w:color w:val="000000" w:themeColor="text1"/>
          <w:lang w:val="en-AU"/>
        </w:rPr>
      </w:pPr>
      <w:r w:rsidRPr="00B22C12">
        <w:rPr>
          <w:bCs/>
          <w:color w:val="000000" w:themeColor="text1"/>
          <w:lang w:val="en-AU"/>
        </w:rPr>
        <w:t xml:space="preserve">the practical limitations </w:t>
      </w:r>
      <w:r>
        <w:rPr>
          <w:bCs/>
          <w:color w:val="000000" w:themeColor="text1"/>
          <w:lang w:val="en-AU"/>
        </w:rPr>
        <w:t>of</w:t>
      </w:r>
      <w:r w:rsidRPr="00B22C12">
        <w:rPr>
          <w:bCs/>
          <w:color w:val="000000" w:themeColor="text1"/>
          <w:lang w:val="en-AU"/>
        </w:rPr>
        <w:t xml:space="preserve"> providing notice to every Victoria Police employee </w:t>
      </w:r>
      <w:r>
        <w:rPr>
          <w:bCs/>
          <w:color w:val="000000" w:themeColor="text1"/>
          <w:lang w:val="en-AU"/>
        </w:rPr>
        <w:t xml:space="preserve">as a result of the collection of the Employee Information, </w:t>
      </w:r>
      <w:r w:rsidRPr="00B22C12">
        <w:rPr>
          <w:bCs/>
          <w:color w:val="000000" w:themeColor="text1"/>
          <w:lang w:val="en-AU"/>
        </w:rPr>
        <w:t>including:</w:t>
      </w:r>
    </w:p>
    <w:p w14:paraId="39D754BA" w14:textId="1D88669C" w:rsidR="00B22C12" w:rsidRPr="00B22C12" w:rsidRDefault="00B22C12" w:rsidP="0065658B">
      <w:pPr>
        <w:pStyle w:val="Body"/>
        <w:numPr>
          <w:ilvl w:val="0"/>
          <w:numId w:val="8"/>
        </w:numPr>
        <w:spacing w:after="120" w:line="240" w:lineRule="auto"/>
        <w:rPr>
          <w:bCs/>
          <w:color w:val="000000" w:themeColor="text1"/>
          <w:lang w:val="en-AU"/>
        </w:rPr>
      </w:pPr>
      <w:r>
        <w:rPr>
          <w:bCs/>
          <w:color w:val="000000" w:themeColor="text1"/>
          <w:lang w:val="en-AU"/>
        </w:rPr>
        <w:t>t</w:t>
      </w:r>
      <w:r w:rsidRPr="00B22C12">
        <w:rPr>
          <w:bCs/>
          <w:color w:val="000000" w:themeColor="text1"/>
          <w:lang w:val="en-AU"/>
        </w:rPr>
        <w:t>he Employee Information does not contain contact information</w:t>
      </w:r>
      <w:r w:rsidR="002A67C7">
        <w:rPr>
          <w:bCs/>
          <w:color w:val="000000" w:themeColor="text1"/>
          <w:lang w:val="en-AU"/>
        </w:rPr>
        <w:t>,</w:t>
      </w:r>
      <w:r>
        <w:rPr>
          <w:bCs/>
          <w:color w:val="000000" w:themeColor="text1"/>
          <w:lang w:val="en-AU"/>
        </w:rPr>
        <w:t xml:space="preserve"> and additional personal information (contact details) would be required to enable notification to occur;</w:t>
      </w:r>
    </w:p>
    <w:p w14:paraId="59BCCDBA" w14:textId="52A4B2ED" w:rsidR="00B22C12" w:rsidRPr="00B22C12" w:rsidRDefault="00B22C12" w:rsidP="0065658B">
      <w:pPr>
        <w:pStyle w:val="Body"/>
        <w:numPr>
          <w:ilvl w:val="0"/>
          <w:numId w:val="8"/>
        </w:numPr>
        <w:spacing w:after="120" w:line="240" w:lineRule="auto"/>
        <w:rPr>
          <w:bCs/>
          <w:color w:val="000000" w:themeColor="text1"/>
          <w:lang w:val="en-AU"/>
        </w:rPr>
      </w:pPr>
      <w:r>
        <w:rPr>
          <w:bCs/>
          <w:color w:val="000000" w:themeColor="text1"/>
          <w:lang w:val="en-AU"/>
        </w:rPr>
        <w:t>t</w:t>
      </w:r>
      <w:r w:rsidRPr="00B22C12">
        <w:rPr>
          <w:bCs/>
          <w:color w:val="000000" w:themeColor="text1"/>
          <w:lang w:val="en-AU"/>
        </w:rPr>
        <w:t xml:space="preserve">he large number of current and former Victoria Police employees who would have to be contacted; </w:t>
      </w:r>
      <w:r>
        <w:rPr>
          <w:bCs/>
          <w:color w:val="000000" w:themeColor="text1"/>
          <w:lang w:val="en-AU"/>
        </w:rPr>
        <w:t xml:space="preserve">and </w:t>
      </w:r>
    </w:p>
    <w:p w14:paraId="3B2D381B" w14:textId="76D4CCD6" w:rsidR="00B22C12" w:rsidRPr="00B22C12" w:rsidRDefault="0090242F" w:rsidP="0065658B">
      <w:pPr>
        <w:pStyle w:val="Body"/>
        <w:numPr>
          <w:ilvl w:val="0"/>
          <w:numId w:val="8"/>
        </w:numPr>
        <w:spacing w:after="120" w:line="240" w:lineRule="auto"/>
        <w:rPr>
          <w:bCs/>
          <w:color w:val="000000" w:themeColor="text1"/>
          <w:lang w:val="en-AU"/>
        </w:rPr>
      </w:pPr>
      <w:r>
        <w:rPr>
          <w:bCs/>
          <w:color w:val="000000" w:themeColor="text1"/>
          <w:lang w:val="en-AU"/>
        </w:rPr>
        <w:t xml:space="preserve">by design, </w:t>
      </w:r>
      <w:r w:rsidR="00B22C12" w:rsidRPr="00B22C12">
        <w:rPr>
          <w:bCs/>
          <w:color w:val="000000" w:themeColor="text1"/>
          <w:lang w:val="en-AU"/>
        </w:rPr>
        <w:t>DJCS employees will not have direct access to the Employee Information</w:t>
      </w:r>
      <w:r w:rsidR="00B22C12">
        <w:rPr>
          <w:bCs/>
          <w:color w:val="000000" w:themeColor="text1"/>
          <w:lang w:val="en-AU"/>
        </w:rPr>
        <w:t>.</w:t>
      </w:r>
    </w:p>
    <w:p w14:paraId="738C59AB" w14:textId="4C647BEB" w:rsidR="00B22C12" w:rsidRDefault="00923BB3" w:rsidP="0065658B">
      <w:pPr>
        <w:pStyle w:val="Body"/>
        <w:numPr>
          <w:ilvl w:val="0"/>
          <w:numId w:val="7"/>
        </w:numPr>
        <w:spacing w:after="120" w:line="240" w:lineRule="auto"/>
        <w:rPr>
          <w:bCs/>
          <w:color w:val="000000" w:themeColor="text1"/>
          <w:lang w:val="en-AU"/>
        </w:rPr>
      </w:pPr>
      <w:r w:rsidRPr="00B22C12">
        <w:rPr>
          <w:bCs/>
          <w:color w:val="000000" w:themeColor="text1"/>
          <w:lang w:val="en-AU"/>
        </w:rPr>
        <w:t xml:space="preserve">the right </w:t>
      </w:r>
      <w:r w:rsidR="002A5C6C" w:rsidRPr="00B22C12">
        <w:rPr>
          <w:bCs/>
          <w:color w:val="000000" w:themeColor="text1"/>
          <w:lang w:val="en-AU"/>
        </w:rPr>
        <w:t>of</w:t>
      </w:r>
      <w:r w:rsidRPr="00B22C12">
        <w:rPr>
          <w:bCs/>
          <w:color w:val="000000" w:themeColor="text1"/>
          <w:lang w:val="en-AU"/>
        </w:rPr>
        <w:t xml:space="preserve"> an applicant to the Scheme to remain anonymous from Victoria Police</w:t>
      </w:r>
      <w:r w:rsidR="00B22C12">
        <w:rPr>
          <w:bCs/>
          <w:color w:val="000000" w:themeColor="text1"/>
          <w:lang w:val="en-AU"/>
        </w:rPr>
        <w:t xml:space="preserve"> which may be compromised if a notice of collection is </w:t>
      </w:r>
      <w:r w:rsidR="00080A36">
        <w:rPr>
          <w:bCs/>
          <w:color w:val="000000" w:themeColor="text1"/>
          <w:lang w:val="en-AU"/>
        </w:rPr>
        <w:t>provided</w:t>
      </w:r>
      <w:r w:rsidR="00B22C12">
        <w:rPr>
          <w:bCs/>
          <w:color w:val="000000" w:themeColor="text1"/>
          <w:lang w:val="en-AU"/>
        </w:rPr>
        <w:t xml:space="preserve"> in relation to</w:t>
      </w:r>
      <w:r w:rsidR="00080A36">
        <w:rPr>
          <w:bCs/>
          <w:color w:val="000000" w:themeColor="text1"/>
          <w:lang w:val="en-AU"/>
        </w:rPr>
        <w:t xml:space="preserve"> the collection of</w:t>
      </w:r>
      <w:r w:rsidR="00B22C12">
        <w:rPr>
          <w:bCs/>
          <w:color w:val="000000" w:themeColor="text1"/>
          <w:lang w:val="en-AU"/>
        </w:rPr>
        <w:t xml:space="preserve"> third part</w:t>
      </w:r>
      <w:r w:rsidR="00080A36">
        <w:rPr>
          <w:bCs/>
          <w:color w:val="000000" w:themeColor="text1"/>
          <w:lang w:val="en-AU"/>
        </w:rPr>
        <w:t>y information</w:t>
      </w:r>
      <w:r w:rsidRPr="00B22C12">
        <w:rPr>
          <w:bCs/>
          <w:color w:val="000000" w:themeColor="text1"/>
          <w:lang w:val="en-AU"/>
        </w:rPr>
        <w:t xml:space="preserve">. For example, if a current Victoria Police employee who has experienced workplace sexual discrimination or harassment makes an application under the Scheme whilst continuing to work with their alleged perpetrator – to require DJCS to provide a collection notice to the perpetrator could escalate a risk of harm to the </w:t>
      </w:r>
      <w:r w:rsidR="00F305A5" w:rsidRPr="00B22C12">
        <w:rPr>
          <w:bCs/>
          <w:color w:val="000000" w:themeColor="text1"/>
          <w:lang w:val="en-AU"/>
        </w:rPr>
        <w:t>a</w:t>
      </w:r>
      <w:r w:rsidRPr="00B22C12">
        <w:rPr>
          <w:bCs/>
          <w:color w:val="000000" w:themeColor="text1"/>
          <w:lang w:val="en-AU"/>
        </w:rPr>
        <w:t xml:space="preserve">pplicant. </w:t>
      </w:r>
    </w:p>
    <w:p w14:paraId="48DF21C5" w14:textId="729358DA" w:rsidR="00A1079D" w:rsidRPr="00B22C12" w:rsidRDefault="00A1079D" w:rsidP="007A738D">
      <w:pPr>
        <w:pStyle w:val="Body"/>
        <w:spacing w:after="120" w:line="240" w:lineRule="auto"/>
        <w:rPr>
          <w:b/>
          <w:color w:val="000000" w:themeColor="text1"/>
          <w:sz w:val="28"/>
          <w:szCs w:val="26"/>
          <w:lang w:val="en-AU"/>
        </w:rPr>
      </w:pPr>
      <w:r w:rsidRPr="00B22C12">
        <w:rPr>
          <w:b/>
          <w:color w:val="000000" w:themeColor="text1"/>
          <w:sz w:val="28"/>
          <w:szCs w:val="26"/>
          <w:lang w:val="en-AU"/>
        </w:rPr>
        <w:t xml:space="preserve">Duration of the PID </w:t>
      </w:r>
    </w:p>
    <w:p w14:paraId="09F7942A" w14:textId="05E48C70" w:rsidR="008C4708" w:rsidRPr="00B22C12" w:rsidRDefault="00712903" w:rsidP="007A738D">
      <w:pPr>
        <w:pStyle w:val="Body"/>
        <w:spacing w:after="120" w:line="240" w:lineRule="auto"/>
        <w:rPr>
          <w:color w:val="000000" w:themeColor="text1"/>
          <w:lang w:val="en-AU"/>
        </w:rPr>
      </w:pPr>
      <w:r w:rsidRPr="00B22C12">
        <w:rPr>
          <w:color w:val="000000" w:themeColor="text1"/>
          <w:lang w:val="en-AU"/>
        </w:rPr>
        <w:t xml:space="preserve">The application seeks the PID to continue for </w:t>
      </w:r>
      <w:r w:rsidR="00A1079D" w:rsidRPr="00B22C12">
        <w:rPr>
          <w:color w:val="000000" w:themeColor="text1"/>
          <w:lang w:val="en-AU"/>
        </w:rPr>
        <w:t>four</w:t>
      </w:r>
      <w:r w:rsidRPr="00B22C12">
        <w:rPr>
          <w:color w:val="000000" w:themeColor="text1"/>
          <w:lang w:val="en-AU"/>
        </w:rPr>
        <w:t xml:space="preserve"> years</w:t>
      </w:r>
      <w:r w:rsidR="009E2942" w:rsidRPr="00B22C12">
        <w:rPr>
          <w:color w:val="000000" w:themeColor="text1"/>
          <w:lang w:val="en-AU"/>
        </w:rPr>
        <w:t xml:space="preserve"> </w:t>
      </w:r>
      <w:r w:rsidR="00B34378">
        <w:rPr>
          <w:color w:val="000000" w:themeColor="text1"/>
          <w:lang w:val="en-AU"/>
        </w:rPr>
        <w:t xml:space="preserve">until 30 June 2024 </w:t>
      </w:r>
      <w:r w:rsidR="009E2942" w:rsidRPr="00B22C12">
        <w:rPr>
          <w:color w:val="000000" w:themeColor="text1"/>
          <w:lang w:val="en-AU"/>
        </w:rPr>
        <w:t>– the period for which the Scheme will operate.</w:t>
      </w:r>
      <w:r w:rsidR="00A1079D" w:rsidRPr="00B22C12">
        <w:rPr>
          <w:color w:val="000000" w:themeColor="text1"/>
          <w:lang w:val="en-AU"/>
        </w:rPr>
        <w:t xml:space="preserve"> </w:t>
      </w:r>
    </w:p>
    <w:p w14:paraId="1EF8E273" w14:textId="4A20EA67" w:rsidR="00C42D2A" w:rsidRPr="00B22C12" w:rsidRDefault="00C42D2A" w:rsidP="007A738D">
      <w:pPr>
        <w:pStyle w:val="Body"/>
        <w:spacing w:after="120" w:line="240" w:lineRule="auto"/>
        <w:rPr>
          <w:b/>
          <w:color w:val="000000" w:themeColor="text1"/>
          <w:sz w:val="28"/>
          <w:szCs w:val="26"/>
          <w:lang w:val="en-AU"/>
        </w:rPr>
      </w:pPr>
      <w:r w:rsidRPr="00B22C12">
        <w:rPr>
          <w:b/>
          <w:color w:val="000000" w:themeColor="text1"/>
          <w:sz w:val="28"/>
          <w:szCs w:val="26"/>
          <w:lang w:val="en-AU"/>
        </w:rPr>
        <w:t xml:space="preserve">Submissions </w:t>
      </w:r>
      <w:r w:rsidR="00EA511B" w:rsidRPr="00B22C12">
        <w:rPr>
          <w:b/>
          <w:color w:val="000000" w:themeColor="text1"/>
          <w:sz w:val="28"/>
          <w:szCs w:val="26"/>
          <w:lang w:val="en-AU"/>
        </w:rPr>
        <w:t>may be made in relation to the application</w:t>
      </w:r>
    </w:p>
    <w:p w14:paraId="0A98F97B" w14:textId="7314B33A" w:rsidR="00C42D2A" w:rsidRPr="00B22C12" w:rsidRDefault="00C42D2A" w:rsidP="007A738D">
      <w:pPr>
        <w:pStyle w:val="Body"/>
        <w:spacing w:after="120" w:line="240" w:lineRule="auto"/>
        <w:rPr>
          <w:bCs/>
          <w:color w:val="000000" w:themeColor="text1"/>
          <w:lang w:val="en-AU"/>
        </w:rPr>
      </w:pPr>
      <w:r w:rsidRPr="00B22C12">
        <w:rPr>
          <w:bCs/>
          <w:color w:val="000000" w:themeColor="text1"/>
          <w:lang w:val="en-AU"/>
        </w:rPr>
        <w:t>In accordance with section 29(4)(b) of the PDP Act, the Information Commissioner invites any persons whose interests would be affected b</w:t>
      </w:r>
      <w:r w:rsidR="008F4D7D">
        <w:rPr>
          <w:bCs/>
          <w:color w:val="000000" w:themeColor="text1"/>
          <w:lang w:val="en-AU"/>
        </w:rPr>
        <w:t>y</w:t>
      </w:r>
      <w:bookmarkStart w:id="0" w:name="_GoBack"/>
      <w:bookmarkEnd w:id="0"/>
      <w:r w:rsidRPr="00B22C12">
        <w:rPr>
          <w:bCs/>
          <w:color w:val="000000" w:themeColor="text1"/>
          <w:lang w:val="en-AU"/>
        </w:rPr>
        <w:t xml:space="preserve"> the making of the requested PID to make a submission in relation to the application. </w:t>
      </w:r>
    </w:p>
    <w:p w14:paraId="0B3406C4" w14:textId="335CC5A3" w:rsidR="00C42D2A" w:rsidRPr="00B22C12" w:rsidRDefault="00C42D2A" w:rsidP="007A738D">
      <w:pPr>
        <w:pStyle w:val="Body"/>
        <w:spacing w:after="120" w:line="240" w:lineRule="auto"/>
        <w:rPr>
          <w:b/>
          <w:color w:val="000000" w:themeColor="text1"/>
          <w:lang w:val="en-AU"/>
        </w:rPr>
      </w:pPr>
      <w:r w:rsidRPr="00B22C12">
        <w:rPr>
          <w:bCs/>
          <w:color w:val="000000" w:themeColor="text1"/>
          <w:lang w:val="en-AU"/>
        </w:rPr>
        <w:t xml:space="preserve">Submissions are invited from the date of this notice and must be received by </w:t>
      </w:r>
      <w:r w:rsidR="0050106E">
        <w:rPr>
          <w:b/>
          <w:color w:val="000000" w:themeColor="text1"/>
          <w:lang w:val="en-AU"/>
        </w:rPr>
        <w:t>6 July 2020</w:t>
      </w:r>
      <w:r w:rsidRPr="00B22C12">
        <w:rPr>
          <w:b/>
          <w:color w:val="000000" w:themeColor="text1"/>
          <w:lang w:val="en-AU"/>
        </w:rPr>
        <w:t xml:space="preserve">. </w:t>
      </w:r>
    </w:p>
    <w:p w14:paraId="2B69F635" w14:textId="5F2D13D4" w:rsidR="00C42D2A" w:rsidRPr="00B22C12" w:rsidRDefault="00C42D2A" w:rsidP="007A738D">
      <w:pPr>
        <w:pStyle w:val="Body"/>
        <w:spacing w:after="120" w:line="240" w:lineRule="auto"/>
        <w:rPr>
          <w:bCs/>
          <w:color w:val="000000" w:themeColor="text1"/>
          <w:lang w:val="en-AU"/>
        </w:rPr>
      </w:pPr>
      <w:r w:rsidRPr="00B22C12">
        <w:rPr>
          <w:bCs/>
          <w:color w:val="000000" w:themeColor="text1"/>
          <w:lang w:val="en-AU"/>
        </w:rPr>
        <w:t xml:space="preserve">Submissions must be emailed to </w:t>
      </w:r>
      <w:hyperlink r:id="rId8" w:history="1">
        <w:r w:rsidRPr="001458B1">
          <w:rPr>
            <w:rStyle w:val="Hyperlink"/>
            <w:bCs/>
            <w:lang w:val="en-AU"/>
          </w:rPr>
          <w:t>policyteam@ovic.vic.gov.au</w:t>
        </w:r>
      </w:hyperlink>
      <w:r w:rsidRPr="00B22C12">
        <w:rPr>
          <w:bCs/>
          <w:color w:val="000000" w:themeColor="text1"/>
          <w:lang w:val="en-AU"/>
        </w:rPr>
        <w:t xml:space="preserve">. If a submission cannot be sent by email, please contact this office on 1300 006 842 to discuss alternative options. </w:t>
      </w:r>
    </w:p>
    <w:p w14:paraId="563BFD69" w14:textId="77777777" w:rsidR="007A738D" w:rsidRPr="00B22C12" w:rsidRDefault="007A738D">
      <w:pPr>
        <w:pStyle w:val="Body"/>
        <w:spacing w:after="120" w:line="240" w:lineRule="auto"/>
        <w:rPr>
          <w:bCs/>
          <w:color w:val="000000" w:themeColor="text1"/>
          <w:lang w:val="en-AU"/>
        </w:rPr>
      </w:pPr>
    </w:p>
    <w:sectPr w:rsidR="007A738D" w:rsidRPr="00B22C12" w:rsidSect="005754A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0DC9" w14:textId="77777777" w:rsidR="00786738" w:rsidRDefault="00786738" w:rsidP="00B53C78">
      <w:r>
        <w:separator/>
      </w:r>
    </w:p>
  </w:endnote>
  <w:endnote w:type="continuationSeparator" w:id="0">
    <w:p w14:paraId="26F453A3" w14:textId="77777777" w:rsidR="00786738" w:rsidRDefault="00786738"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8E19" w14:textId="77777777" w:rsidR="00A15797" w:rsidRDefault="00A1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ECED"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C9E0"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234B" w14:textId="77777777" w:rsidR="00786738" w:rsidRPr="002330E8" w:rsidRDefault="00786738">
      <w:pPr>
        <w:rPr>
          <w:color w:val="55565A"/>
          <w:sz w:val="22"/>
          <w:szCs w:val="22"/>
        </w:rPr>
      </w:pPr>
      <w:r w:rsidRPr="002330E8">
        <w:rPr>
          <w:color w:val="55565A"/>
          <w:sz w:val="22"/>
          <w:szCs w:val="22"/>
        </w:rPr>
        <w:separator/>
      </w:r>
    </w:p>
  </w:footnote>
  <w:footnote w:type="continuationSeparator" w:id="0">
    <w:p w14:paraId="5F98BDB1" w14:textId="77777777" w:rsidR="00786738" w:rsidRDefault="00786738" w:rsidP="00B53C78">
      <w:r>
        <w:continuationSeparator/>
      </w:r>
    </w:p>
  </w:footnote>
  <w:footnote w:type="continuationNotice" w:id="1">
    <w:p w14:paraId="2B42A022" w14:textId="77777777" w:rsidR="00786738" w:rsidRDefault="00786738"/>
  </w:footnote>
  <w:footnote w:id="2">
    <w:p w14:paraId="25494D75" w14:textId="77777777" w:rsidR="007A738D" w:rsidRPr="00371CBD" w:rsidRDefault="007A738D" w:rsidP="007A738D">
      <w:pPr>
        <w:pStyle w:val="FootnoteText"/>
        <w:rPr>
          <w:lang w:val="en-AU"/>
        </w:rPr>
      </w:pPr>
      <w:r w:rsidRPr="00371CBD">
        <w:rPr>
          <w:rStyle w:val="FootnoteReference"/>
          <w:sz w:val="16"/>
          <w:szCs w:val="16"/>
        </w:rPr>
        <w:footnoteRef/>
      </w:r>
      <w:r w:rsidRPr="00371CBD">
        <w:rPr>
          <w:sz w:val="16"/>
          <w:szCs w:val="16"/>
        </w:rPr>
        <w:t xml:space="preserve"> Contained in </w:t>
      </w:r>
      <w:r w:rsidRPr="00371CBD">
        <w:rPr>
          <w:color w:val="000000" w:themeColor="text1"/>
          <w:sz w:val="16"/>
          <w:szCs w:val="16"/>
          <w:lang w:val="en-AU"/>
        </w:rPr>
        <w:t>Schedule 1 of the PDP Act.</w:t>
      </w:r>
    </w:p>
  </w:footnote>
  <w:footnote w:id="3">
    <w:p w14:paraId="2DAC309D" w14:textId="77777777" w:rsidR="0097545C" w:rsidRPr="00A11E5C" w:rsidRDefault="0097545C" w:rsidP="0097545C">
      <w:pPr>
        <w:rPr>
          <w:sz w:val="16"/>
          <w:szCs w:val="16"/>
          <w:lang w:val="en-AU" w:eastAsia="en-GB"/>
        </w:rPr>
      </w:pPr>
      <w:r w:rsidRPr="00A11E5C">
        <w:rPr>
          <w:rStyle w:val="FootnoteReference"/>
          <w:sz w:val="16"/>
          <w:szCs w:val="16"/>
        </w:rPr>
        <w:footnoteRef/>
      </w:r>
      <w:r w:rsidRPr="00A11E5C">
        <w:rPr>
          <w:sz w:val="16"/>
          <w:szCs w:val="16"/>
        </w:rPr>
        <w:t xml:space="preserve"> </w:t>
      </w:r>
      <w:hyperlink r:id="rId1" w:history="1">
        <w:r w:rsidRPr="00A11E5C">
          <w:rPr>
            <w:rStyle w:val="Hyperlink"/>
            <w:sz w:val="16"/>
            <w:szCs w:val="16"/>
          </w:rPr>
          <w:t>https://www.humanrightscommission.vic.gov.au/home/our-projects-a-initiatives/independent-review-victoria-police</w:t>
        </w:r>
      </w:hyperlink>
      <w:r>
        <w:rPr>
          <w:sz w:val="16"/>
          <w:szCs w:val="16"/>
        </w:rPr>
        <w:t>.</w:t>
      </w:r>
    </w:p>
  </w:footnote>
  <w:footnote w:id="4">
    <w:p w14:paraId="6691ECE1" w14:textId="77777777" w:rsidR="00086E25" w:rsidRPr="000F7DD2" w:rsidRDefault="00086E25" w:rsidP="00086E25">
      <w:pPr>
        <w:pStyle w:val="FootnoteText"/>
        <w:rPr>
          <w:lang w:val="en-AU"/>
        </w:rPr>
      </w:pPr>
      <w:r w:rsidRPr="00A11E5C">
        <w:rPr>
          <w:rStyle w:val="FootnoteReference"/>
          <w:sz w:val="16"/>
          <w:szCs w:val="16"/>
        </w:rPr>
        <w:footnoteRef/>
      </w:r>
      <w:r w:rsidRPr="00A11E5C">
        <w:rPr>
          <w:sz w:val="16"/>
          <w:szCs w:val="16"/>
        </w:rPr>
        <w:t xml:space="preserve"> Note: The law enforcement exemption in section 15 of the PDP Act, allowing a law enforcement agency to not comply with certain IPPs, does not apply as the sharing of personal information in the context of the Scheme is not for a law enforcement purpose or activity.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8553" w14:textId="369EF4C1" w:rsidR="008F203F" w:rsidRDefault="008F2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C399" w14:textId="0B20592C" w:rsidR="008F203F" w:rsidRDefault="008F2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6189" w14:textId="778EA6B9" w:rsidR="005754AC" w:rsidRPr="00D0311E"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8"/>
        <w:szCs w:val="18"/>
      </w:rPr>
    </w:pPr>
    <w:r>
      <w:rPr>
        <w:noProof/>
        <w:color w:val="7F7F7F"/>
        <w:sz w:val="28"/>
        <w:szCs w:val="28"/>
        <w:lang w:val="en-AU" w:eastAsia="en-AU"/>
      </w:rPr>
      <w:drawing>
        <wp:anchor distT="0" distB="0" distL="114300" distR="114300" simplePos="0" relativeHeight="251659264" behindDoc="1" locked="0" layoutInCell="1" allowOverlap="1" wp14:anchorId="6A3017E6" wp14:editId="5211C86B">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3576B071" w14:textId="09F6218A" w:rsidR="005754AC" w:rsidRPr="008C301D"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p>
  <w:p w14:paraId="255BB991" w14:textId="77777777" w:rsidR="005754AC" w:rsidRDefault="005754AC"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8C301D">
      <w:rPr>
        <w:rFonts w:asciiTheme="minorHAnsi" w:hAnsiTheme="minorHAnsi" w:cstheme="minorHAnsi"/>
        <w:color w:val="555559"/>
        <w:sz w:val="18"/>
        <w:szCs w:val="18"/>
      </w:rPr>
      <w:t>ovic.vic.gov.au |</w:t>
    </w:r>
    <w:r>
      <w:rPr>
        <w:rFonts w:asciiTheme="minorHAnsi" w:hAnsiTheme="minorHAnsi" w:cstheme="minorHAnsi"/>
        <w:color w:val="555559"/>
        <w:sz w:val="18"/>
        <w:szCs w:val="18"/>
      </w:rPr>
      <w:t xml:space="preserve"> </w:t>
    </w:r>
    <w:r w:rsidRPr="008C301D">
      <w:rPr>
        <w:rFonts w:asciiTheme="minorHAnsi" w:hAnsiTheme="minorHAnsi" w:cstheme="minorHAnsi"/>
        <w:color w:val="7F7F7F"/>
        <w:sz w:val="18"/>
        <w:szCs w:val="18"/>
      </w:rPr>
      <w:tab/>
    </w:r>
    <w:r w:rsidRPr="00D0311E">
      <w:rPr>
        <w:rFonts w:asciiTheme="minorHAnsi" w:hAnsiTheme="minorHAnsi" w:cstheme="minorHAnsi"/>
        <w:color w:val="55565A"/>
        <w:sz w:val="18"/>
        <w:szCs w:val="18"/>
      </w:rPr>
      <w:t>enquiries</w:t>
    </w:r>
    <w:r w:rsidRPr="008C301D">
      <w:rPr>
        <w:rFonts w:asciiTheme="minorHAnsi" w:hAnsiTheme="minorHAnsi" w:cstheme="minorHAnsi"/>
        <w:color w:val="55565A"/>
        <w:sz w:val="18"/>
        <w:szCs w:val="18"/>
      </w:rPr>
      <w:t>@ovic.vic.gov.au</w:t>
    </w:r>
    <w:r w:rsidRPr="008C301D">
      <w:rPr>
        <w:rFonts w:asciiTheme="minorHAnsi" w:hAnsiTheme="minorHAnsi" w:cstheme="minorHAnsi"/>
        <w:color w:val="555559"/>
        <w:sz w:val="18"/>
        <w:szCs w:val="18"/>
      </w:rPr>
      <w:t xml:space="preserve"> | 1300 006 842</w:t>
    </w:r>
  </w:p>
  <w:p w14:paraId="4AEAB356"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0F428000" wp14:editId="05352C49">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629B"/>
    <w:multiLevelType w:val="hybridMultilevel"/>
    <w:tmpl w:val="218C8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B376D"/>
    <w:multiLevelType w:val="hybridMultilevel"/>
    <w:tmpl w:val="8E2CC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F188A"/>
    <w:multiLevelType w:val="hybridMultilevel"/>
    <w:tmpl w:val="4226F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07A3B"/>
    <w:multiLevelType w:val="hybridMultilevel"/>
    <w:tmpl w:val="4CC822AC"/>
    <w:lvl w:ilvl="0" w:tplc="0809000F">
      <w:start w:val="1"/>
      <w:numFmt w:val="decimal"/>
      <w:lvlText w:val="%1."/>
      <w:lvlJc w:val="left"/>
      <w:pPr>
        <w:ind w:left="360" w:hanging="360"/>
      </w:pPr>
      <w:rPr>
        <w:rFonts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5955C56"/>
    <w:multiLevelType w:val="hybridMultilevel"/>
    <w:tmpl w:val="4FAE3B9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B344CE"/>
    <w:multiLevelType w:val="hybridMultilevel"/>
    <w:tmpl w:val="AB462BA6"/>
    <w:lvl w:ilvl="0" w:tplc="0809000F">
      <w:start w:val="1"/>
      <w:numFmt w:val="decimal"/>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70E141F2"/>
    <w:multiLevelType w:val="hybridMultilevel"/>
    <w:tmpl w:val="25D0EAB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F7"/>
    <w:rsid w:val="00001D44"/>
    <w:rsid w:val="0000219C"/>
    <w:rsid w:val="0000219E"/>
    <w:rsid w:val="00004603"/>
    <w:rsid w:val="000114D7"/>
    <w:rsid w:val="00011A14"/>
    <w:rsid w:val="000151E3"/>
    <w:rsid w:val="000153F2"/>
    <w:rsid w:val="000172A1"/>
    <w:rsid w:val="00024779"/>
    <w:rsid w:val="00025D2E"/>
    <w:rsid w:val="00044728"/>
    <w:rsid w:val="00044937"/>
    <w:rsid w:val="00055978"/>
    <w:rsid w:val="000612DA"/>
    <w:rsid w:val="0006141A"/>
    <w:rsid w:val="00064688"/>
    <w:rsid w:val="00066B6C"/>
    <w:rsid w:val="00072E6F"/>
    <w:rsid w:val="000756FF"/>
    <w:rsid w:val="00077961"/>
    <w:rsid w:val="00080A36"/>
    <w:rsid w:val="00082F2D"/>
    <w:rsid w:val="00086E25"/>
    <w:rsid w:val="00091CB4"/>
    <w:rsid w:val="00092393"/>
    <w:rsid w:val="0009418E"/>
    <w:rsid w:val="000969F1"/>
    <w:rsid w:val="0009739C"/>
    <w:rsid w:val="000A1C6D"/>
    <w:rsid w:val="000A46D4"/>
    <w:rsid w:val="000B06A7"/>
    <w:rsid w:val="000B0727"/>
    <w:rsid w:val="000B130E"/>
    <w:rsid w:val="000B50AA"/>
    <w:rsid w:val="000C09CC"/>
    <w:rsid w:val="000C230D"/>
    <w:rsid w:val="000C65ED"/>
    <w:rsid w:val="000C6A35"/>
    <w:rsid w:val="000D62E8"/>
    <w:rsid w:val="000E026C"/>
    <w:rsid w:val="000E1F69"/>
    <w:rsid w:val="000E4B16"/>
    <w:rsid w:val="000E4EA8"/>
    <w:rsid w:val="000E5875"/>
    <w:rsid w:val="000E6D30"/>
    <w:rsid w:val="000E7FAE"/>
    <w:rsid w:val="000F176F"/>
    <w:rsid w:val="000F2DDD"/>
    <w:rsid w:val="000F3A12"/>
    <w:rsid w:val="000F6AE6"/>
    <w:rsid w:val="000F7DD2"/>
    <w:rsid w:val="001159CB"/>
    <w:rsid w:val="0012130C"/>
    <w:rsid w:val="001218AA"/>
    <w:rsid w:val="0012374C"/>
    <w:rsid w:val="001408A6"/>
    <w:rsid w:val="00143CBD"/>
    <w:rsid w:val="00151EB1"/>
    <w:rsid w:val="00155D55"/>
    <w:rsid w:val="00156DB4"/>
    <w:rsid w:val="00164A42"/>
    <w:rsid w:val="001716C9"/>
    <w:rsid w:val="00173F40"/>
    <w:rsid w:val="00174BA4"/>
    <w:rsid w:val="001763AD"/>
    <w:rsid w:val="00177440"/>
    <w:rsid w:val="0017786A"/>
    <w:rsid w:val="00181816"/>
    <w:rsid w:val="00185B25"/>
    <w:rsid w:val="00185FD6"/>
    <w:rsid w:val="0019036B"/>
    <w:rsid w:val="00192BCA"/>
    <w:rsid w:val="00192DCC"/>
    <w:rsid w:val="001967FD"/>
    <w:rsid w:val="001A3B16"/>
    <w:rsid w:val="001B2307"/>
    <w:rsid w:val="001B67D6"/>
    <w:rsid w:val="001C0B36"/>
    <w:rsid w:val="001C51CF"/>
    <w:rsid w:val="001C6E4B"/>
    <w:rsid w:val="001D03D8"/>
    <w:rsid w:val="001D1A20"/>
    <w:rsid w:val="001D1FE7"/>
    <w:rsid w:val="001D3203"/>
    <w:rsid w:val="001D4792"/>
    <w:rsid w:val="001D5263"/>
    <w:rsid w:val="001D5F74"/>
    <w:rsid w:val="001D7C7F"/>
    <w:rsid w:val="001E06AF"/>
    <w:rsid w:val="001E0F8C"/>
    <w:rsid w:val="001E287B"/>
    <w:rsid w:val="001E7ADF"/>
    <w:rsid w:val="001F1B47"/>
    <w:rsid w:val="001F1C63"/>
    <w:rsid w:val="001F3A8B"/>
    <w:rsid w:val="001F4011"/>
    <w:rsid w:val="001F521C"/>
    <w:rsid w:val="001F6D00"/>
    <w:rsid w:val="001F748E"/>
    <w:rsid w:val="0020194D"/>
    <w:rsid w:val="00207F91"/>
    <w:rsid w:val="002139AF"/>
    <w:rsid w:val="00225181"/>
    <w:rsid w:val="00231E2A"/>
    <w:rsid w:val="00232824"/>
    <w:rsid w:val="002330E8"/>
    <w:rsid w:val="00234B08"/>
    <w:rsid w:val="0023715C"/>
    <w:rsid w:val="0024071F"/>
    <w:rsid w:val="00242C9C"/>
    <w:rsid w:val="00250F11"/>
    <w:rsid w:val="0025217E"/>
    <w:rsid w:val="00252833"/>
    <w:rsid w:val="00256988"/>
    <w:rsid w:val="00256C51"/>
    <w:rsid w:val="00260668"/>
    <w:rsid w:val="00261684"/>
    <w:rsid w:val="00263FB3"/>
    <w:rsid w:val="00264805"/>
    <w:rsid w:val="00270CA3"/>
    <w:rsid w:val="00274A77"/>
    <w:rsid w:val="0027522A"/>
    <w:rsid w:val="002779C7"/>
    <w:rsid w:val="00283E64"/>
    <w:rsid w:val="002876EF"/>
    <w:rsid w:val="00287F4D"/>
    <w:rsid w:val="00291F0F"/>
    <w:rsid w:val="00292300"/>
    <w:rsid w:val="0029274F"/>
    <w:rsid w:val="00293DDA"/>
    <w:rsid w:val="00296E3E"/>
    <w:rsid w:val="002A1A5E"/>
    <w:rsid w:val="002A246C"/>
    <w:rsid w:val="002A48A0"/>
    <w:rsid w:val="002A5C6C"/>
    <w:rsid w:val="002A67C7"/>
    <w:rsid w:val="002A76BC"/>
    <w:rsid w:val="002B3EFE"/>
    <w:rsid w:val="002B614D"/>
    <w:rsid w:val="002C03F5"/>
    <w:rsid w:val="002C1CB6"/>
    <w:rsid w:val="002C5701"/>
    <w:rsid w:val="002D1E6A"/>
    <w:rsid w:val="002D402E"/>
    <w:rsid w:val="002E193F"/>
    <w:rsid w:val="002E22BE"/>
    <w:rsid w:val="002E71BC"/>
    <w:rsid w:val="002E76A8"/>
    <w:rsid w:val="002F0252"/>
    <w:rsid w:val="002F12C7"/>
    <w:rsid w:val="003020DA"/>
    <w:rsid w:val="00305D40"/>
    <w:rsid w:val="003135A1"/>
    <w:rsid w:val="00313EFF"/>
    <w:rsid w:val="0031417A"/>
    <w:rsid w:val="00317D92"/>
    <w:rsid w:val="00320B70"/>
    <w:rsid w:val="00320F88"/>
    <w:rsid w:val="0032216B"/>
    <w:rsid w:val="00322784"/>
    <w:rsid w:val="00324E4A"/>
    <w:rsid w:val="00326E58"/>
    <w:rsid w:val="00327D39"/>
    <w:rsid w:val="00330030"/>
    <w:rsid w:val="00330B40"/>
    <w:rsid w:val="00336FDC"/>
    <w:rsid w:val="0034513D"/>
    <w:rsid w:val="0034520D"/>
    <w:rsid w:val="00345731"/>
    <w:rsid w:val="0034703B"/>
    <w:rsid w:val="003472B7"/>
    <w:rsid w:val="0034763C"/>
    <w:rsid w:val="0035211D"/>
    <w:rsid w:val="0035236F"/>
    <w:rsid w:val="00352C0D"/>
    <w:rsid w:val="00353621"/>
    <w:rsid w:val="00356BFA"/>
    <w:rsid w:val="00360775"/>
    <w:rsid w:val="00370F3D"/>
    <w:rsid w:val="0037118D"/>
    <w:rsid w:val="00371CBD"/>
    <w:rsid w:val="00372C3E"/>
    <w:rsid w:val="00376ADC"/>
    <w:rsid w:val="00382AAD"/>
    <w:rsid w:val="003836D8"/>
    <w:rsid w:val="00384F15"/>
    <w:rsid w:val="00386AE9"/>
    <w:rsid w:val="00387376"/>
    <w:rsid w:val="00392FFA"/>
    <w:rsid w:val="003A0F3A"/>
    <w:rsid w:val="003A110C"/>
    <w:rsid w:val="003A16CA"/>
    <w:rsid w:val="003A1858"/>
    <w:rsid w:val="003A5CB9"/>
    <w:rsid w:val="003A7085"/>
    <w:rsid w:val="003A77C2"/>
    <w:rsid w:val="003B0050"/>
    <w:rsid w:val="003B36F1"/>
    <w:rsid w:val="003B4EBE"/>
    <w:rsid w:val="003B63FD"/>
    <w:rsid w:val="003B6DEE"/>
    <w:rsid w:val="003C6D10"/>
    <w:rsid w:val="003D0F18"/>
    <w:rsid w:val="003E4D2F"/>
    <w:rsid w:val="003E6B0C"/>
    <w:rsid w:val="003E7512"/>
    <w:rsid w:val="003F10A9"/>
    <w:rsid w:val="00404DD7"/>
    <w:rsid w:val="00406248"/>
    <w:rsid w:val="00413A20"/>
    <w:rsid w:val="00420310"/>
    <w:rsid w:val="0042224B"/>
    <w:rsid w:val="00424309"/>
    <w:rsid w:val="00426B6D"/>
    <w:rsid w:val="00426D86"/>
    <w:rsid w:val="00427790"/>
    <w:rsid w:val="00427F66"/>
    <w:rsid w:val="0043156F"/>
    <w:rsid w:val="00431F2B"/>
    <w:rsid w:val="00434971"/>
    <w:rsid w:val="00436C00"/>
    <w:rsid w:val="004459B3"/>
    <w:rsid w:val="004478E7"/>
    <w:rsid w:val="00452A92"/>
    <w:rsid w:val="00453B44"/>
    <w:rsid w:val="004634A1"/>
    <w:rsid w:val="00465B05"/>
    <w:rsid w:val="00470E39"/>
    <w:rsid w:val="0047248D"/>
    <w:rsid w:val="00476315"/>
    <w:rsid w:val="00481203"/>
    <w:rsid w:val="00481C59"/>
    <w:rsid w:val="00482CA9"/>
    <w:rsid w:val="0049259B"/>
    <w:rsid w:val="00493112"/>
    <w:rsid w:val="00495C9A"/>
    <w:rsid w:val="00496DDD"/>
    <w:rsid w:val="004A0C6F"/>
    <w:rsid w:val="004A0E73"/>
    <w:rsid w:val="004A0F0C"/>
    <w:rsid w:val="004A263A"/>
    <w:rsid w:val="004A33DA"/>
    <w:rsid w:val="004A42BF"/>
    <w:rsid w:val="004A4E6B"/>
    <w:rsid w:val="004A7581"/>
    <w:rsid w:val="004A7AE6"/>
    <w:rsid w:val="004B4F8F"/>
    <w:rsid w:val="004C10C4"/>
    <w:rsid w:val="004C2090"/>
    <w:rsid w:val="004C3451"/>
    <w:rsid w:val="004C36DE"/>
    <w:rsid w:val="004C4EB6"/>
    <w:rsid w:val="004D1C82"/>
    <w:rsid w:val="004D1EA8"/>
    <w:rsid w:val="004D4448"/>
    <w:rsid w:val="004D4636"/>
    <w:rsid w:val="004D580B"/>
    <w:rsid w:val="004D62F9"/>
    <w:rsid w:val="004E3734"/>
    <w:rsid w:val="004E57F1"/>
    <w:rsid w:val="004E7560"/>
    <w:rsid w:val="004E7FBE"/>
    <w:rsid w:val="004F3628"/>
    <w:rsid w:val="004F65EE"/>
    <w:rsid w:val="0050106E"/>
    <w:rsid w:val="00501460"/>
    <w:rsid w:val="00502CD1"/>
    <w:rsid w:val="00503321"/>
    <w:rsid w:val="005041B7"/>
    <w:rsid w:val="00506D09"/>
    <w:rsid w:val="00510A7D"/>
    <w:rsid w:val="005141AA"/>
    <w:rsid w:val="005178FE"/>
    <w:rsid w:val="00517C32"/>
    <w:rsid w:val="005219A2"/>
    <w:rsid w:val="00521FC2"/>
    <w:rsid w:val="00522CE6"/>
    <w:rsid w:val="00527C91"/>
    <w:rsid w:val="00532AF7"/>
    <w:rsid w:val="00534A5D"/>
    <w:rsid w:val="005350B9"/>
    <w:rsid w:val="00542947"/>
    <w:rsid w:val="00544067"/>
    <w:rsid w:val="0054461E"/>
    <w:rsid w:val="00544878"/>
    <w:rsid w:val="0054493C"/>
    <w:rsid w:val="00544977"/>
    <w:rsid w:val="00546F0D"/>
    <w:rsid w:val="00553402"/>
    <w:rsid w:val="005553B0"/>
    <w:rsid w:val="00555602"/>
    <w:rsid w:val="00557B92"/>
    <w:rsid w:val="00561944"/>
    <w:rsid w:val="00561C61"/>
    <w:rsid w:val="005647FF"/>
    <w:rsid w:val="005754AC"/>
    <w:rsid w:val="00575CD1"/>
    <w:rsid w:val="00583B11"/>
    <w:rsid w:val="005861F1"/>
    <w:rsid w:val="005870C5"/>
    <w:rsid w:val="00591472"/>
    <w:rsid w:val="00595704"/>
    <w:rsid w:val="005A49D0"/>
    <w:rsid w:val="005A594F"/>
    <w:rsid w:val="005B04CB"/>
    <w:rsid w:val="005B175E"/>
    <w:rsid w:val="005B7FD1"/>
    <w:rsid w:val="005C633A"/>
    <w:rsid w:val="005D01F3"/>
    <w:rsid w:val="005D0CAE"/>
    <w:rsid w:val="005D3E8A"/>
    <w:rsid w:val="005D4BAF"/>
    <w:rsid w:val="005D6544"/>
    <w:rsid w:val="005D74A8"/>
    <w:rsid w:val="005E0F33"/>
    <w:rsid w:val="005E0F55"/>
    <w:rsid w:val="005E5E50"/>
    <w:rsid w:val="005F61BA"/>
    <w:rsid w:val="006002D4"/>
    <w:rsid w:val="006022EF"/>
    <w:rsid w:val="00606F19"/>
    <w:rsid w:val="00607FAE"/>
    <w:rsid w:val="00610A8F"/>
    <w:rsid w:val="006120B5"/>
    <w:rsid w:val="0061634E"/>
    <w:rsid w:val="00620FD8"/>
    <w:rsid w:val="0062177B"/>
    <w:rsid w:val="00621C1F"/>
    <w:rsid w:val="00624C03"/>
    <w:rsid w:val="00624D61"/>
    <w:rsid w:val="0062698B"/>
    <w:rsid w:val="00626B42"/>
    <w:rsid w:val="00630E32"/>
    <w:rsid w:val="00635022"/>
    <w:rsid w:val="00635E9F"/>
    <w:rsid w:val="00651FD8"/>
    <w:rsid w:val="00652D6F"/>
    <w:rsid w:val="0065658B"/>
    <w:rsid w:val="00656F19"/>
    <w:rsid w:val="0066159F"/>
    <w:rsid w:val="00662FFB"/>
    <w:rsid w:val="006641A2"/>
    <w:rsid w:val="006673CD"/>
    <w:rsid w:val="006675C5"/>
    <w:rsid w:val="006713D1"/>
    <w:rsid w:val="00674485"/>
    <w:rsid w:val="006873C9"/>
    <w:rsid w:val="006876B7"/>
    <w:rsid w:val="00697BB4"/>
    <w:rsid w:val="006A0169"/>
    <w:rsid w:val="006A0813"/>
    <w:rsid w:val="006A31C3"/>
    <w:rsid w:val="006A63E4"/>
    <w:rsid w:val="006B0B98"/>
    <w:rsid w:val="006B1C0F"/>
    <w:rsid w:val="006B247C"/>
    <w:rsid w:val="006B7561"/>
    <w:rsid w:val="006C532D"/>
    <w:rsid w:val="006D1F1F"/>
    <w:rsid w:val="006D3638"/>
    <w:rsid w:val="006D38D5"/>
    <w:rsid w:val="006D66F3"/>
    <w:rsid w:val="006F4F81"/>
    <w:rsid w:val="006F6AAE"/>
    <w:rsid w:val="007043EC"/>
    <w:rsid w:val="007103A2"/>
    <w:rsid w:val="00712903"/>
    <w:rsid w:val="00713E9C"/>
    <w:rsid w:val="007140E5"/>
    <w:rsid w:val="00714CC3"/>
    <w:rsid w:val="00717657"/>
    <w:rsid w:val="00717CAE"/>
    <w:rsid w:val="007209A9"/>
    <w:rsid w:val="00720D30"/>
    <w:rsid w:val="0072130E"/>
    <w:rsid w:val="00723ACA"/>
    <w:rsid w:val="007247F1"/>
    <w:rsid w:val="0072634C"/>
    <w:rsid w:val="007303B6"/>
    <w:rsid w:val="00731FD3"/>
    <w:rsid w:val="0073498A"/>
    <w:rsid w:val="00740BE1"/>
    <w:rsid w:val="00743861"/>
    <w:rsid w:val="007453AE"/>
    <w:rsid w:val="00757709"/>
    <w:rsid w:val="00760DDC"/>
    <w:rsid w:val="007622A5"/>
    <w:rsid w:val="00765062"/>
    <w:rsid w:val="00765158"/>
    <w:rsid w:val="00770163"/>
    <w:rsid w:val="00770F1E"/>
    <w:rsid w:val="00775FA1"/>
    <w:rsid w:val="00776737"/>
    <w:rsid w:val="00780584"/>
    <w:rsid w:val="0078105A"/>
    <w:rsid w:val="00782EB6"/>
    <w:rsid w:val="007862E0"/>
    <w:rsid w:val="00786738"/>
    <w:rsid w:val="00786837"/>
    <w:rsid w:val="007877AC"/>
    <w:rsid w:val="007900EE"/>
    <w:rsid w:val="00792C7A"/>
    <w:rsid w:val="00794820"/>
    <w:rsid w:val="0079543E"/>
    <w:rsid w:val="007964E0"/>
    <w:rsid w:val="007973AB"/>
    <w:rsid w:val="007A019C"/>
    <w:rsid w:val="007A4A9F"/>
    <w:rsid w:val="007A6964"/>
    <w:rsid w:val="007A738D"/>
    <w:rsid w:val="007B24B5"/>
    <w:rsid w:val="007B3475"/>
    <w:rsid w:val="007B369A"/>
    <w:rsid w:val="007B41EC"/>
    <w:rsid w:val="007B4DE2"/>
    <w:rsid w:val="007B5948"/>
    <w:rsid w:val="007B6F40"/>
    <w:rsid w:val="007C3E32"/>
    <w:rsid w:val="007C52FE"/>
    <w:rsid w:val="007C7104"/>
    <w:rsid w:val="007C7F3D"/>
    <w:rsid w:val="007D0294"/>
    <w:rsid w:val="007D096C"/>
    <w:rsid w:val="007D0973"/>
    <w:rsid w:val="007D6E0F"/>
    <w:rsid w:val="007D7F94"/>
    <w:rsid w:val="008002ED"/>
    <w:rsid w:val="008032AE"/>
    <w:rsid w:val="008046F8"/>
    <w:rsid w:val="00806B62"/>
    <w:rsid w:val="00811E49"/>
    <w:rsid w:val="00813558"/>
    <w:rsid w:val="00813645"/>
    <w:rsid w:val="00816FCA"/>
    <w:rsid w:val="0082342A"/>
    <w:rsid w:val="00825710"/>
    <w:rsid w:val="00825914"/>
    <w:rsid w:val="00831EB3"/>
    <w:rsid w:val="0083368D"/>
    <w:rsid w:val="008347FA"/>
    <w:rsid w:val="0085264D"/>
    <w:rsid w:val="00853C6B"/>
    <w:rsid w:val="008541AF"/>
    <w:rsid w:val="00854716"/>
    <w:rsid w:val="00856EDC"/>
    <w:rsid w:val="00861703"/>
    <w:rsid w:val="00863040"/>
    <w:rsid w:val="008645D9"/>
    <w:rsid w:val="0086734F"/>
    <w:rsid w:val="008721FC"/>
    <w:rsid w:val="00873FC6"/>
    <w:rsid w:val="00875F06"/>
    <w:rsid w:val="00876DB1"/>
    <w:rsid w:val="00883E74"/>
    <w:rsid w:val="0088604A"/>
    <w:rsid w:val="00891F4C"/>
    <w:rsid w:val="00894323"/>
    <w:rsid w:val="008A2B27"/>
    <w:rsid w:val="008A5511"/>
    <w:rsid w:val="008A6CD4"/>
    <w:rsid w:val="008A6F5B"/>
    <w:rsid w:val="008A7FC7"/>
    <w:rsid w:val="008B2D26"/>
    <w:rsid w:val="008B4992"/>
    <w:rsid w:val="008B7923"/>
    <w:rsid w:val="008C116F"/>
    <w:rsid w:val="008C301D"/>
    <w:rsid w:val="008C3189"/>
    <w:rsid w:val="008C4708"/>
    <w:rsid w:val="008C6E77"/>
    <w:rsid w:val="008D05D2"/>
    <w:rsid w:val="008D7B12"/>
    <w:rsid w:val="008D7D0A"/>
    <w:rsid w:val="008E70B4"/>
    <w:rsid w:val="008F0D3E"/>
    <w:rsid w:val="008F106C"/>
    <w:rsid w:val="008F203F"/>
    <w:rsid w:val="008F4D7D"/>
    <w:rsid w:val="008F5B49"/>
    <w:rsid w:val="00900419"/>
    <w:rsid w:val="0090242F"/>
    <w:rsid w:val="00903534"/>
    <w:rsid w:val="009121A0"/>
    <w:rsid w:val="0092276F"/>
    <w:rsid w:val="00922C7A"/>
    <w:rsid w:val="00923BB3"/>
    <w:rsid w:val="00940F43"/>
    <w:rsid w:val="0094322B"/>
    <w:rsid w:val="00943998"/>
    <w:rsid w:val="00951113"/>
    <w:rsid w:val="00952B24"/>
    <w:rsid w:val="00956159"/>
    <w:rsid w:val="009606BC"/>
    <w:rsid w:val="00960D56"/>
    <w:rsid w:val="0097060A"/>
    <w:rsid w:val="00971F56"/>
    <w:rsid w:val="00974113"/>
    <w:rsid w:val="0097545C"/>
    <w:rsid w:val="00976031"/>
    <w:rsid w:val="00980F4E"/>
    <w:rsid w:val="009838F4"/>
    <w:rsid w:val="00985BB0"/>
    <w:rsid w:val="00995E9F"/>
    <w:rsid w:val="0099637B"/>
    <w:rsid w:val="00997370"/>
    <w:rsid w:val="009A076C"/>
    <w:rsid w:val="009B14FF"/>
    <w:rsid w:val="009B4174"/>
    <w:rsid w:val="009C1AFD"/>
    <w:rsid w:val="009C269B"/>
    <w:rsid w:val="009C7779"/>
    <w:rsid w:val="009D0535"/>
    <w:rsid w:val="009D26D9"/>
    <w:rsid w:val="009D5E0A"/>
    <w:rsid w:val="009E1B37"/>
    <w:rsid w:val="009E2942"/>
    <w:rsid w:val="009E5F59"/>
    <w:rsid w:val="009E6039"/>
    <w:rsid w:val="009E7207"/>
    <w:rsid w:val="009E7C0D"/>
    <w:rsid w:val="009F251E"/>
    <w:rsid w:val="009F30CE"/>
    <w:rsid w:val="009F30E4"/>
    <w:rsid w:val="009F331D"/>
    <w:rsid w:val="009F59EF"/>
    <w:rsid w:val="009F770F"/>
    <w:rsid w:val="00A01A74"/>
    <w:rsid w:val="00A1079D"/>
    <w:rsid w:val="00A11E5C"/>
    <w:rsid w:val="00A15797"/>
    <w:rsid w:val="00A16A4B"/>
    <w:rsid w:val="00A177B6"/>
    <w:rsid w:val="00A2265C"/>
    <w:rsid w:val="00A26740"/>
    <w:rsid w:val="00A30C36"/>
    <w:rsid w:val="00A31747"/>
    <w:rsid w:val="00A33D6F"/>
    <w:rsid w:val="00A37BE1"/>
    <w:rsid w:val="00A429A1"/>
    <w:rsid w:val="00A51DAA"/>
    <w:rsid w:val="00A531B5"/>
    <w:rsid w:val="00A56072"/>
    <w:rsid w:val="00A618A1"/>
    <w:rsid w:val="00A65DD4"/>
    <w:rsid w:val="00A73872"/>
    <w:rsid w:val="00A73E45"/>
    <w:rsid w:val="00A762E6"/>
    <w:rsid w:val="00A7668A"/>
    <w:rsid w:val="00A8002F"/>
    <w:rsid w:val="00A831C0"/>
    <w:rsid w:val="00A83F6E"/>
    <w:rsid w:val="00A92625"/>
    <w:rsid w:val="00AA75A1"/>
    <w:rsid w:val="00AA76E6"/>
    <w:rsid w:val="00AA7959"/>
    <w:rsid w:val="00AA79A6"/>
    <w:rsid w:val="00AA79F0"/>
    <w:rsid w:val="00AB26C2"/>
    <w:rsid w:val="00AB5803"/>
    <w:rsid w:val="00AB7F89"/>
    <w:rsid w:val="00AC002C"/>
    <w:rsid w:val="00AC1D10"/>
    <w:rsid w:val="00AC35A9"/>
    <w:rsid w:val="00AC4D77"/>
    <w:rsid w:val="00AC6B52"/>
    <w:rsid w:val="00AD0014"/>
    <w:rsid w:val="00AD4482"/>
    <w:rsid w:val="00AD457E"/>
    <w:rsid w:val="00AD7E6C"/>
    <w:rsid w:val="00AE13A1"/>
    <w:rsid w:val="00AE1B7F"/>
    <w:rsid w:val="00AE262F"/>
    <w:rsid w:val="00AF7FAC"/>
    <w:rsid w:val="00B01E08"/>
    <w:rsid w:val="00B0288B"/>
    <w:rsid w:val="00B04B43"/>
    <w:rsid w:val="00B04D3D"/>
    <w:rsid w:val="00B079B3"/>
    <w:rsid w:val="00B12296"/>
    <w:rsid w:val="00B1650A"/>
    <w:rsid w:val="00B177DA"/>
    <w:rsid w:val="00B205DC"/>
    <w:rsid w:val="00B215CA"/>
    <w:rsid w:val="00B22C12"/>
    <w:rsid w:val="00B2360E"/>
    <w:rsid w:val="00B316BE"/>
    <w:rsid w:val="00B32753"/>
    <w:rsid w:val="00B339BB"/>
    <w:rsid w:val="00B34378"/>
    <w:rsid w:val="00B35047"/>
    <w:rsid w:val="00B35376"/>
    <w:rsid w:val="00B37C5F"/>
    <w:rsid w:val="00B51D9A"/>
    <w:rsid w:val="00B53C78"/>
    <w:rsid w:val="00B55B17"/>
    <w:rsid w:val="00B56172"/>
    <w:rsid w:val="00B56F23"/>
    <w:rsid w:val="00B61929"/>
    <w:rsid w:val="00B66C2F"/>
    <w:rsid w:val="00B738DB"/>
    <w:rsid w:val="00B7679E"/>
    <w:rsid w:val="00B76A26"/>
    <w:rsid w:val="00B82A98"/>
    <w:rsid w:val="00B82C59"/>
    <w:rsid w:val="00B9369A"/>
    <w:rsid w:val="00BA0989"/>
    <w:rsid w:val="00BA2CB1"/>
    <w:rsid w:val="00BA46C7"/>
    <w:rsid w:val="00BA770C"/>
    <w:rsid w:val="00BB3729"/>
    <w:rsid w:val="00BB4A81"/>
    <w:rsid w:val="00BB7298"/>
    <w:rsid w:val="00BC0D4E"/>
    <w:rsid w:val="00BC1972"/>
    <w:rsid w:val="00BC27BC"/>
    <w:rsid w:val="00BC2DFB"/>
    <w:rsid w:val="00BC47C7"/>
    <w:rsid w:val="00BC7A4C"/>
    <w:rsid w:val="00BD07DC"/>
    <w:rsid w:val="00BD10B1"/>
    <w:rsid w:val="00BD2C4E"/>
    <w:rsid w:val="00BD4E38"/>
    <w:rsid w:val="00BD5AE9"/>
    <w:rsid w:val="00BE1CFF"/>
    <w:rsid w:val="00BE3022"/>
    <w:rsid w:val="00BE714C"/>
    <w:rsid w:val="00BE760B"/>
    <w:rsid w:val="00BF13CC"/>
    <w:rsid w:val="00BF5056"/>
    <w:rsid w:val="00BF57AF"/>
    <w:rsid w:val="00C0124D"/>
    <w:rsid w:val="00C03DAC"/>
    <w:rsid w:val="00C061C9"/>
    <w:rsid w:val="00C06AEA"/>
    <w:rsid w:val="00C11AB8"/>
    <w:rsid w:val="00C167CD"/>
    <w:rsid w:val="00C22CE3"/>
    <w:rsid w:val="00C23E99"/>
    <w:rsid w:val="00C24C15"/>
    <w:rsid w:val="00C30089"/>
    <w:rsid w:val="00C34199"/>
    <w:rsid w:val="00C42986"/>
    <w:rsid w:val="00C42D2A"/>
    <w:rsid w:val="00C445D3"/>
    <w:rsid w:val="00C4475B"/>
    <w:rsid w:val="00C473B0"/>
    <w:rsid w:val="00C47776"/>
    <w:rsid w:val="00C47B78"/>
    <w:rsid w:val="00C529FA"/>
    <w:rsid w:val="00C55D65"/>
    <w:rsid w:val="00C62A45"/>
    <w:rsid w:val="00C62BEA"/>
    <w:rsid w:val="00C66257"/>
    <w:rsid w:val="00C6748D"/>
    <w:rsid w:val="00C803E3"/>
    <w:rsid w:val="00C904EA"/>
    <w:rsid w:val="00C9198C"/>
    <w:rsid w:val="00C9204F"/>
    <w:rsid w:val="00C922DD"/>
    <w:rsid w:val="00CA00BE"/>
    <w:rsid w:val="00CA2D3D"/>
    <w:rsid w:val="00CA695C"/>
    <w:rsid w:val="00CA7CE6"/>
    <w:rsid w:val="00CB4387"/>
    <w:rsid w:val="00CB491B"/>
    <w:rsid w:val="00CD2A3C"/>
    <w:rsid w:val="00CD6BDB"/>
    <w:rsid w:val="00CD7DAF"/>
    <w:rsid w:val="00CE0113"/>
    <w:rsid w:val="00CE2BF7"/>
    <w:rsid w:val="00CE3B3E"/>
    <w:rsid w:val="00CE44AF"/>
    <w:rsid w:val="00CE7458"/>
    <w:rsid w:val="00CF24AF"/>
    <w:rsid w:val="00CF4846"/>
    <w:rsid w:val="00CF6E7E"/>
    <w:rsid w:val="00D02655"/>
    <w:rsid w:val="00D0311E"/>
    <w:rsid w:val="00D037AB"/>
    <w:rsid w:val="00D04F7D"/>
    <w:rsid w:val="00D068DE"/>
    <w:rsid w:val="00D1388E"/>
    <w:rsid w:val="00D13C96"/>
    <w:rsid w:val="00D21034"/>
    <w:rsid w:val="00D214C2"/>
    <w:rsid w:val="00D25D08"/>
    <w:rsid w:val="00D267EC"/>
    <w:rsid w:val="00D3108A"/>
    <w:rsid w:val="00D32D00"/>
    <w:rsid w:val="00D3374E"/>
    <w:rsid w:val="00D33BA4"/>
    <w:rsid w:val="00D4064D"/>
    <w:rsid w:val="00D408A5"/>
    <w:rsid w:val="00D41272"/>
    <w:rsid w:val="00D44778"/>
    <w:rsid w:val="00D475FB"/>
    <w:rsid w:val="00D5202D"/>
    <w:rsid w:val="00D56518"/>
    <w:rsid w:val="00D64F08"/>
    <w:rsid w:val="00D711D6"/>
    <w:rsid w:val="00D718EC"/>
    <w:rsid w:val="00D723C1"/>
    <w:rsid w:val="00D762AC"/>
    <w:rsid w:val="00D77B3C"/>
    <w:rsid w:val="00D77E01"/>
    <w:rsid w:val="00D80FF5"/>
    <w:rsid w:val="00D827DD"/>
    <w:rsid w:val="00D82CFB"/>
    <w:rsid w:val="00D82F32"/>
    <w:rsid w:val="00D85B93"/>
    <w:rsid w:val="00D93DFB"/>
    <w:rsid w:val="00D943B9"/>
    <w:rsid w:val="00D94D2C"/>
    <w:rsid w:val="00D964B6"/>
    <w:rsid w:val="00D96C49"/>
    <w:rsid w:val="00DA0035"/>
    <w:rsid w:val="00DA234D"/>
    <w:rsid w:val="00DA3432"/>
    <w:rsid w:val="00DA5088"/>
    <w:rsid w:val="00DA64C4"/>
    <w:rsid w:val="00DA7DE7"/>
    <w:rsid w:val="00DB02D5"/>
    <w:rsid w:val="00DB0AE6"/>
    <w:rsid w:val="00DB13A1"/>
    <w:rsid w:val="00DB1DC8"/>
    <w:rsid w:val="00DB2D3F"/>
    <w:rsid w:val="00DB3F77"/>
    <w:rsid w:val="00DB4FC6"/>
    <w:rsid w:val="00DB55DB"/>
    <w:rsid w:val="00DC2A06"/>
    <w:rsid w:val="00DC42BA"/>
    <w:rsid w:val="00DC450F"/>
    <w:rsid w:val="00DC6445"/>
    <w:rsid w:val="00DD2B4B"/>
    <w:rsid w:val="00DD327E"/>
    <w:rsid w:val="00DD3A8A"/>
    <w:rsid w:val="00DD5FA2"/>
    <w:rsid w:val="00DD69FC"/>
    <w:rsid w:val="00DD729D"/>
    <w:rsid w:val="00DE6FF6"/>
    <w:rsid w:val="00DE73F6"/>
    <w:rsid w:val="00DE78AB"/>
    <w:rsid w:val="00DF1268"/>
    <w:rsid w:val="00DF2F67"/>
    <w:rsid w:val="00DF300C"/>
    <w:rsid w:val="00DF4577"/>
    <w:rsid w:val="00E022A6"/>
    <w:rsid w:val="00E03B29"/>
    <w:rsid w:val="00E115AF"/>
    <w:rsid w:val="00E14951"/>
    <w:rsid w:val="00E20031"/>
    <w:rsid w:val="00E304A5"/>
    <w:rsid w:val="00E32355"/>
    <w:rsid w:val="00E34E1C"/>
    <w:rsid w:val="00E35C0F"/>
    <w:rsid w:val="00E40ACD"/>
    <w:rsid w:val="00E43524"/>
    <w:rsid w:val="00E45643"/>
    <w:rsid w:val="00E45B00"/>
    <w:rsid w:val="00E4600D"/>
    <w:rsid w:val="00E46058"/>
    <w:rsid w:val="00E46FBE"/>
    <w:rsid w:val="00E51198"/>
    <w:rsid w:val="00E54BBD"/>
    <w:rsid w:val="00E5581C"/>
    <w:rsid w:val="00E55C61"/>
    <w:rsid w:val="00E606BA"/>
    <w:rsid w:val="00E66BA5"/>
    <w:rsid w:val="00E77DEE"/>
    <w:rsid w:val="00E8055D"/>
    <w:rsid w:val="00E80A19"/>
    <w:rsid w:val="00E80E70"/>
    <w:rsid w:val="00E86019"/>
    <w:rsid w:val="00E86EF9"/>
    <w:rsid w:val="00E921E8"/>
    <w:rsid w:val="00E94D00"/>
    <w:rsid w:val="00E95AAA"/>
    <w:rsid w:val="00E97A95"/>
    <w:rsid w:val="00EA1600"/>
    <w:rsid w:val="00EA1B53"/>
    <w:rsid w:val="00EA46D1"/>
    <w:rsid w:val="00EA511B"/>
    <w:rsid w:val="00EA7885"/>
    <w:rsid w:val="00EB03B3"/>
    <w:rsid w:val="00EB7FC0"/>
    <w:rsid w:val="00EC005E"/>
    <w:rsid w:val="00EC2809"/>
    <w:rsid w:val="00EC55C1"/>
    <w:rsid w:val="00EC5E82"/>
    <w:rsid w:val="00EC74D8"/>
    <w:rsid w:val="00ED101C"/>
    <w:rsid w:val="00ED771B"/>
    <w:rsid w:val="00EE29CC"/>
    <w:rsid w:val="00EE38F2"/>
    <w:rsid w:val="00EE3901"/>
    <w:rsid w:val="00EF06C1"/>
    <w:rsid w:val="00EF0D24"/>
    <w:rsid w:val="00EF1BEA"/>
    <w:rsid w:val="00EF553E"/>
    <w:rsid w:val="00EF64FE"/>
    <w:rsid w:val="00EF65B2"/>
    <w:rsid w:val="00EF6FEC"/>
    <w:rsid w:val="00EF7213"/>
    <w:rsid w:val="00EF7313"/>
    <w:rsid w:val="00F02FE2"/>
    <w:rsid w:val="00F12B8F"/>
    <w:rsid w:val="00F14BDA"/>
    <w:rsid w:val="00F17578"/>
    <w:rsid w:val="00F23842"/>
    <w:rsid w:val="00F305A5"/>
    <w:rsid w:val="00F3077B"/>
    <w:rsid w:val="00F312E9"/>
    <w:rsid w:val="00F31C44"/>
    <w:rsid w:val="00F34180"/>
    <w:rsid w:val="00F3585C"/>
    <w:rsid w:val="00F35A65"/>
    <w:rsid w:val="00F3674C"/>
    <w:rsid w:val="00F36C34"/>
    <w:rsid w:val="00F37F8B"/>
    <w:rsid w:val="00F402B9"/>
    <w:rsid w:val="00F41B22"/>
    <w:rsid w:val="00F43843"/>
    <w:rsid w:val="00F44808"/>
    <w:rsid w:val="00F452AB"/>
    <w:rsid w:val="00F463F2"/>
    <w:rsid w:val="00F52C66"/>
    <w:rsid w:val="00F53549"/>
    <w:rsid w:val="00F5377F"/>
    <w:rsid w:val="00F54D17"/>
    <w:rsid w:val="00F5533F"/>
    <w:rsid w:val="00F576E0"/>
    <w:rsid w:val="00F83814"/>
    <w:rsid w:val="00F84E38"/>
    <w:rsid w:val="00F85E58"/>
    <w:rsid w:val="00F86356"/>
    <w:rsid w:val="00F87792"/>
    <w:rsid w:val="00F9129E"/>
    <w:rsid w:val="00F923C3"/>
    <w:rsid w:val="00F923FB"/>
    <w:rsid w:val="00F94C80"/>
    <w:rsid w:val="00FA1557"/>
    <w:rsid w:val="00FA1F8E"/>
    <w:rsid w:val="00FA3985"/>
    <w:rsid w:val="00FA3EE1"/>
    <w:rsid w:val="00FA6535"/>
    <w:rsid w:val="00FB0370"/>
    <w:rsid w:val="00FB2882"/>
    <w:rsid w:val="00FC0FDF"/>
    <w:rsid w:val="00FC113C"/>
    <w:rsid w:val="00FC140D"/>
    <w:rsid w:val="00FC1760"/>
    <w:rsid w:val="00FC2848"/>
    <w:rsid w:val="00FC5D92"/>
    <w:rsid w:val="00FC651C"/>
    <w:rsid w:val="00FD18CC"/>
    <w:rsid w:val="00FD18DC"/>
    <w:rsid w:val="00FD4B6E"/>
    <w:rsid w:val="00FD4D92"/>
    <w:rsid w:val="00FD5D94"/>
    <w:rsid w:val="00FD6310"/>
    <w:rsid w:val="00FE1785"/>
    <w:rsid w:val="00FE4F49"/>
    <w:rsid w:val="00FF0F77"/>
    <w:rsid w:val="00FF2C72"/>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A7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B04B43"/>
    <w:pPr>
      <w:suppressAutoHyphens/>
      <w:spacing w:after="200" w:line="264" w:lineRule="auto"/>
    </w:pPr>
    <w:rPr>
      <w:rFonts w:ascii="Calibri" w:hAnsi="Calibri" w:cs="PostGrotesk-Book"/>
      <w:color w:val="55565A"/>
      <w:sz w:val="22"/>
      <w:szCs w:val="22"/>
    </w:rPr>
  </w:style>
  <w:style w:type="paragraph" w:customStyle="1" w:styleId="Heading-1">
    <w:name w:val="Heading-1"/>
    <w:basedOn w:val="BasicParagraph"/>
    <w:autoRedefine/>
    <w:qFormat/>
    <w:rsid w:val="00DD69FC"/>
    <w:pPr>
      <w:suppressAutoHyphens/>
      <w:spacing w:after="200" w:line="264" w:lineRule="auto"/>
    </w:pPr>
    <w:rPr>
      <w:rFonts w:ascii="Calibri" w:hAnsi="Calibri" w:cs="PostGrotesk-Medium"/>
      <w:color w:val="430098"/>
      <w:sz w:val="26"/>
      <w:szCs w:val="28"/>
      <w:lang w:val="en-AU"/>
    </w:rPr>
  </w:style>
  <w:style w:type="paragraph" w:customStyle="1" w:styleId="Heading-2">
    <w:name w:val="Heading-2"/>
    <w:basedOn w:val="BasicParagraph"/>
    <w:qFormat/>
    <w:rsid w:val="00B04B43"/>
    <w:pPr>
      <w:suppressAutoHyphens/>
      <w:spacing w:after="20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923BB3"/>
    <w:pPr>
      <w:tabs>
        <w:tab w:val="clear" w:pos="9026"/>
        <w:tab w:val="left" w:pos="6946"/>
      </w:tabs>
      <w:spacing w:after="120"/>
    </w:pPr>
    <w:rPr>
      <w:rFonts w:asciiTheme="minorHAnsi" w:hAnsiTheme="minorHAnsi" w:cs="Arial"/>
      <w:b/>
      <w:color w:val="430098"/>
      <w:sz w:val="32"/>
      <w:szCs w:val="32"/>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qFormat/>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styleId="ListParagraph">
    <w:name w:val="List Paragraph"/>
    <w:basedOn w:val="Normal"/>
    <w:uiPriority w:val="72"/>
    <w:rsid w:val="00055978"/>
    <w:pPr>
      <w:ind w:left="720"/>
      <w:contextualSpacing/>
    </w:pPr>
  </w:style>
  <w:style w:type="character" w:styleId="Hyperlink">
    <w:name w:val="Hyperlink"/>
    <w:basedOn w:val="DefaultParagraphFont"/>
    <w:uiPriority w:val="99"/>
    <w:unhideWhenUsed/>
    <w:rsid w:val="00630E32"/>
    <w:rPr>
      <w:color w:val="0000FF" w:themeColor="hyperlink"/>
      <w:u w:val="single"/>
    </w:rPr>
  </w:style>
  <w:style w:type="character" w:styleId="UnresolvedMention">
    <w:name w:val="Unresolved Mention"/>
    <w:basedOn w:val="DefaultParagraphFont"/>
    <w:uiPriority w:val="99"/>
    <w:semiHidden/>
    <w:unhideWhenUsed/>
    <w:rsid w:val="00630E32"/>
    <w:rPr>
      <w:color w:val="605E5C"/>
      <w:shd w:val="clear" w:color="auto" w:fill="E1DFDD"/>
    </w:rPr>
  </w:style>
  <w:style w:type="character" w:styleId="FollowedHyperlink">
    <w:name w:val="FollowedHyperlink"/>
    <w:basedOn w:val="DefaultParagraphFont"/>
    <w:uiPriority w:val="99"/>
    <w:semiHidden/>
    <w:unhideWhenUsed/>
    <w:rsid w:val="00DC2A06"/>
    <w:rPr>
      <w:color w:val="800080" w:themeColor="followedHyperlink"/>
      <w:u w:val="single"/>
    </w:rPr>
  </w:style>
  <w:style w:type="paragraph" w:customStyle="1" w:styleId="SectionHeading2">
    <w:name w:val="Section Heading 2"/>
    <w:basedOn w:val="BasicParagraph"/>
    <w:qFormat/>
    <w:rsid w:val="00EF7313"/>
    <w:pPr>
      <w:suppressAutoHyphens/>
      <w:spacing w:after="120"/>
    </w:pPr>
    <w:rPr>
      <w:rFonts w:ascii="Calibri" w:hAnsi="Calibri" w:cs="PostGrotesk-Medium"/>
      <w:b/>
      <w:color w:val="55565A"/>
    </w:rPr>
  </w:style>
  <w:style w:type="paragraph" w:customStyle="1" w:styleId="DJCSbody">
    <w:name w:val="DJCS body"/>
    <w:qFormat/>
    <w:rsid w:val="00A762E6"/>
    <w:pPr>
      <w:spacing w:after="120" w:line="270" w:lineRule="atLeast"/>
    </w:pPr>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4954">
      <w:bodyDiv w:val="1"/>
      <w:marLeft w:val="0"/>
      <w:marRight w:val="0"/>
      <w:marTop w:val="0"/>
      <w:marBottom w:val="0"/>
      <w:divBdr>
        <w:top w:val="none" w:sz="0" w:space="0" w:color="auto"/>
        <w:left w:val="none" w:sz="0" w:space="0" w:color="auto"/>
        <w:bottom w:val="none" w:sz="0" w:space="0" w:color="auto"/>
        <w:right w:val="none" w:sz="0" w:space="0" w:color="auto"/>
      </w:divBdr>
    </w:div>
    <w:div w:id="552429174">
      <w:bodyDiv w:val="1"/>
      <w:marLeft w:val="0"/>
      <w:marRight w:val="0"/>
      <w:marTop w:val="0"/>
      <w:marBottom w:val="0"/>
      <w:divBdr>
        <w:top w:val="none" w:sz="0" w:space="0" w:color="auto"/>
        <w:left w:val="none" w:sz="0" w:space="0" w:color="auto"/>
        <w:bottom w:val="none" w:sz="0" w:space="0" w:color="auto"/>
        <w:right w:val="none" w:sz="0" w:space="0" w:color="auto"/>
      </w:divBdr>
      <w:divsChild>
        <w:div w:id="453598619">
          <w:marLeft w:val="0"/>
          <w:marRight w:val="0"/>
          <w:marTop w:val="0"/>
          <w:marBottom w:val="0"/>
          <w:divBdr>
            <w:top w:val="none" w:sz="0" w:space="0" w:color="auto"/>
            <w:left w:val="none" w:sz="0" w:space="0" w:color="auto"/>
            <w:bottom w:val="none" w:sz="0" w:space="0" w:color="auto"/>
            <w:right w:val="none" w:sz="0" w:space="0" w:color="auto"/>
          </w:divBdr>
          <w:divsChild>
            <w:div w:id="729421676">
              <w:marLeft w:val="0"/>
              <w:marRight w:val="0"/>
              <w:marTop w:val="0"/>
              <w:marBottom w:val="0"/>
              <w:divBdr>
                <w:top w:val="none" w:sz="0" w:space="0" w:color="auto"/>
                <w:left w:val="none" w:sz="0" w:space="0" w:color="auto"/>
                <w:bottom w:val="none" w:sz="0" w:space="0" w:color="auto"/>
                <w:right w:val="none" w:sz="0" w:space="0" w:color="auto"/>
              </w:divBdr>
              <w:divsChild>
                <w:div w:id="686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0344">
      <w:bodyDiv w:val="1"/>
      <w:marLeft w:val="0"/>
      <w:marRight w:val="0"/>
      <w:marTop w:val="0"/>
      <w:marBottom w:val="0"/>
      <w:divBdr>
        <w:top w:val="none" w:sz="0" w:space="0" w:color="auto"/>
        <w:left w:val="none" w:sz="0" w:space="0" w:color="auto"/>
        <w:bottom w:val="none" w:sz="0" w:space="0" w:color="auto"/>
        <w:right w:val="none" w:sz="0" w:space="0" w:color="auto"/>
      </w:divBdr>
      <w:divsChild>
        <w:div w:id="224147631">
          <w:marLeft w:val="0"/>
          <w:marRight w:val="0"/>
          <w:marTop w:val="0"/>
          <w:marBottom w:val="0"/>
          <w:divBdr>
            <w:top w:val="none" w:sz="0" w:space="0" w:color="auto"/>
            <w:left w:val="none" w:sz="0" w:space="0" w:color="auto"/>
            <w:bottom w:val="none" w:sz="0" w:space="0" w:color="auto"/>
            <w:right w:val="none" w:sz="0" w:space="0" w:color="auto"/>
          </w:divBdr>
          <w:divsChild>
            <w:div w:id="360320154">
              <w:marLeft w:val="0"/>
              <w:marRight w:val="0"/>
              <w:marTop w:val="0"/>
              <w:marBottom w:val="0"/>
              <w:divBdr>
                <w:top w:val="none" w:sz="0" w:space="0" w:color="auto"/>
                <w:left w:val="none" w:sz="0" w:space="0" w:color="auto"/>
                <w:bottom w:val="none" w:sz="0" w:space="0" w:color="auto"/>
                <w:right w:val="none" w:sz="0" w:space="0" w:color="auto"/>
              </w:divBdr>
              <w:divsChild>
                <w:div w:id="834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1317">
      <w:bodyDiv w:val="1"/>
      <w:marLeft w:val="0"/>
      <w:marRight w:val="0"/>
      <w:marTop w:val="0"/>
      <w:marBottom w:val="0"/>
      <w:divBdr>
        <w:top w:val="none" w:sz="0" w:space="0" w:color="auto"/>
        <w:left w:val="none" w:sz="0" w:space="0" w:color="auto"/>
        <w:bottom w:val="none" w:sz="0" w:space="0" w:color="auto"/>
        <w:right w:val="none" w:sz="0" w:space="0" w:color="auto"/>
      </w:divBdr>
      <w:divsChild>
        <w:div w:id="590817245">
          <w:marLeft w:val="0"/>
          <w:marRight w:val="0"/>
          <w:marTop w:val="0"/>
          <w:marBottom w:val="0"/>
          <w:divBdr>
            <w:top w:val="none" w:sz="0" w:space="0" w:color="auto"/>
            <w:left w:val="none" w:sz="0" w:space="0" w:color="auto"/>
            <w:bottom w:val="none" w:sz="0" w:space="0" w:color="auto"/>
            <w:right w:val="none" w:sz="0" w:space="0" w:color="auto"/>
          </w:divBdr>
          <w:divsChild>
            <w:div w:id="1429275589">
              <w:marLeft w:val="0"/>
              <w:marRight w:val="0"/>
              <w:marTop w:val="0"/>
              <w:marBottom w:val="0"/>
              <w:divBdr>
                <w:top w:val="none" w:sz="0" w:space="0" w:color="auto"/>
                <w:left w:val="none" w:sz="0" w:space="0" w:color="auto"/>
                <w:bottom w:val="none" w:sz="0" w:space="0" w:color="auto"/>
                <w:right w:val="none" w:sz="0" w:space="0" w:color="auto"/>
              </w:divBdr>
              <w:divsChild>
                <w:div w:id="604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team@ovi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commission.vic.gov.au/home/our-projects-a-initiatives/independent-review-victoria-pol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C234-99D5-E841-BA54-4ACD9EAD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2020-06-25T04:53:00Z</dcterms:created>
  <dcterms:modified xsi:type="dcterms:W3CDTF">2020-06-25T04:54:00Z</dcterms:modified>
</cp:coreProperties>
</file>