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658A5" w14:textId="77777777" w:rsidR="00F36C34" w:rsidRPr="00863040" w:rsidRDefault="00F36C34" w:rsidP="00F36C34">
      <w:pPr>
        <w:ind w:right="-7"/>
        <w:rPr>
          <w:color w:val="555559"/>
          <w:lang w:val="en-US"/>
        </w:rPr>
        <w:sectPr w:rsidR="00F36C34" w:rsidRPr="00863040" w:rsidSect="00BC6B6F">
          <w:footerReference w:type="default" r:id="rId8"/>
          <w:headerReference w:type="first" r:id="rId9"/>
          <w:footerReference w:type="first" r:id="rId10"/>
          <w:pgSz w:w="11900" w:h="16840"/>
          <w:pgMar w:top="1134" w:right="1134" w:bottom="1134" w:left="1134" w:header="964" w:footer="510" w:gutter="0"/>
          <w:cols w:space="708"/>
          <w:titlePg/>
          <w:docGrid w:linePitch="360"/>
        </w:sectPr>
      </w:pPr>
    </w:p>
    <w:p w14:paraId="12237AB3" w14:textId="6E8FF9E6" w:rsidR="00C736EC" w:rsidRDefault="00A14089" w:rsidP="00044686">
      <w:pPr>
        <w:pStyle w:val="SectionHeading1"/>
        <w:spacing w:line="240" w:lineRule="auto"/>
      </w:pPr>
      <w:r>
        <w:t>Overview</w:t>
      </w:r>
    </w:p>
    <w:p w14:paraId="4820C416" w14:textId="000CB0CF" w:rsidR="00B87010" w:rsidRDefault="00B87010" w:rsidP="00044686">
      <w:pPr>
        <w:pStyle w:val="SectionHeading1"/>
        <w:spacing w:line="240" w:lineRule="auto"/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</w:pPr>
      <w:r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 xml:space="preserve">This information sheet provides guidance </w:t>
      </w:r>
      <w:r w:rsidR="00DA27BE"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>on</w:t>
      </w:r>
      <w:r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 xml:space="preserve"> </w:t>
      </w:r>
      <w:r w:rsidR="00DA27BE"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 xml:space="preserve">the role of </w:t>
      </w:r>
      <w:r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 xml:space="preserve">information security leads </w:t>
      </w:r>
      <w:r w:rsidR="00DA27BE"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>and</w:t>
      </w:r>
      <w:r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 xml:space="preserve"> implementing the Victorian Protective Data Security Framework and Standards. </w:t>
      </w:r>
    </w:p>
    <w:p w14:paraId="12C43092" w14:textId="77777777" w:rsidR="00044686" w:rsidRDefault="006E3707" w:rsidP="00044686">
      <w:pPr>
        <w:pStyle w:val="SectionHeading1"/>
        <w:spacing w:line="240" w:lineRule="auto"/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</w:pPr>
      <w:r w:rsidRPr="00212CF2"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 xml:space="preserve">Part 4 of the </w:t>
      </w:r>
      <w:r w:rsidRPr="001D6862">
        <w:rPr>
          <w:rFonts w:asciiTheme="minorHAnsi" w:eastAsia="Times New Roman" w:hAnsiTheme="minorHAnsi" w:cs="National-Book"/>
          <w:i/>
          <w:iCs/>
          <w:color w:val="55565A"/>
          <w:sz w:val="22"/>
          <w:szCs w:val="22"/>
          <w:lang w:val="en-US"/>
        </w:rPr>
        <w:t>P</w:t>
      </w:r>
      <w:r w:rsidR="00DC60CF" w:rsidRPr="001D6862">
        <w:rPr>
          <w:rFonts w:asciiTheme="minorHAnsi" w:eastAsia="Times New Roman" w:hAnsiTheme="minorHAnsi" w:cs="National-Book"/>
          <w:i/>
          <w:iCs/>
          <w:color w:val="55565A"/>
          <w:sz w:val="22"/>
          <w:szCs w:val="22"/>
          <w:lang w:val="en-US"/>
        </w:rPr>
        <w:t>rivacy and Data Protection Act 2014</w:t>
      </w:r>
      <w:r w:rsidR="00DC60CF"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 xml:space="preserve"> (Vic) (</w:t>
      </w:r>
      <w:r w:rsidR="00DC60CF" w:rsidRPr="001D6862">
        <w:rPr>
          <w:rFonts w:asciiTheme="minorHAnsi" w:eastAsia="Times New Roman" w:hAnsiTheme="minorHAnsi" w:cs="National-Book"/>
          <w:b/>
          <w:bCs/>
          <w:color w:val="55565A"/>
          <w:sz w:val="22"/>
          <w:szCs w:val="22"/>
          <w:lang w:val="en-US"/>
        </w:rPr>
        <w:t>P</w:t>
      </w:r>
      <w:r w:rsidRPr="001D6862">
        <w:rPr>
          <w:rFonts w:asciiTheme="minorHAnsi" w:eastAsia="Times New Roman" w:hAnsiTheme="minorHAnsi" w:cs="National-Book"/>
          <w:b/>
          <w:bCs/>
          <w:color w:val="55565A"/>
          <w:sz w:val="22"/>
          <w:szCs w:val="22"/>
          <w:lang w:val="en-US"/>
        </w:rPr>
        <w:t>DP Act</w:t>
      </w:r>
      <w:r w:rsidR="00DC60CF"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>)</w:t>
      </w:r>
      <w:r w:rsidR="002554C8"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 xml:space="preserve"> </w:t>
      </w:r>
      <w:r w:rsidR="00DC60CF"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>applies to</w:t>
      </w:r>
      <w:r w:rsidRPr="00212CF2"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 xml:space="preserve"> </w:t>
      </w:r>
      <w:r w:rsidR="00290CAD"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>thousands of Victorian Public Sector (</w:t>
      </w:r>
      <w:r w:rsidR="00290CAD" w:rsidRPr="00290CAD">
        <w:rPr>
          <w:rFonts w:asciiTheme="minorHAnsi" w:eastAsia="Times New Roman" w:hAnsiTheme="minorHAnsi" w:cs="National-Book"/>
          <w:b/>
          <w:bCs/>
          <w:color w:val="55565A"/>
          <w:sz w:val="22"/>
          <w:szCs w:val="22"/>
          <w:lang w:val="en-US"/>
        </w:rPr>
        <w:t>VPS</w:t>
      </w:r>
      <w:r w:rsidR="00290CAD"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>)</w:t>
      </w:r>
      <w:r w:rsidRPr="00212CF2"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 xml:space="preserve"> organisations</w:t>
      </w:r>
      <w:r w:rsidR="008F2C70"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 xml:space="preserve"> that</w:t>
      </w:r>
      <w:r w:rsidRPr="00212CF2"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 xml:space="preserve"> deliver different services or functions on behalf of the </w:t>
      </w:r>
      <w:r w:rsidR="00290CAD"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>g</w:t>
      </w:r>
      <w:r w:rsidRPr="00212CF2"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>overnment</w:t>
      </w:r>
      <w:r w:rsidR="009F1202"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>.</w:t>
      </w:r>
    </w:p>
    <w:p w14:paraId="0C7F060D" w14:textId="0B87FA54" w:rsidR="00CA6644" w:rsidRPr="00044686" w:rsidRDefault="00290CAD" w:rsidP="00044686">
      <w:pPr>
        <w:pStyle w:val="SectionHeading1"/>
        <w:spacing w:line="240" w:lineRule="auto"/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</w:pPr>
      <w:r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>Each</w:t>
      </w:r>
      <w:r w:rsidR="009F1202"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 xml:space="preserve"> </w:t>
      </w:r>
      <w:proofErr w:type="spellStart"/>
      <w:r w:rsidR="009F1202"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>organisation</w:t>
      </w:r>
      <w:proofErr w:type="spellEnd"/>
      <w:r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 xml:space="preserve"> will</w:t>
      </w:r>
      <w:r w:rsidR="009F1202"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 xml:space="preserve"> employ a range of management structures </w:t>
      </w:r>
      <w:r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>to</w:t>
      </w:r>
      <w:r w:rsidR="009F1202"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 xml:space="preserve"> govern and protect public sector information</w:t>
      </w:r>
      <w:r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>, and</w:t>
      </w:r>
      <w:r w:rsidR="009F1202"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 xml:space="preserve"> support the delivery of efficient, effective and economic information security practices</w:t>
      </w:r>
      <w:r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 xml:space="preserve">. </w:t>
      </w:r>
    </w:p>
    <w:p w14:paraId="43294113" w14:textId="683B91DC" w:rsidR="006E3707" w:rsidRPr="003A4F03" w:rsidRDefault="00290CAD" w:rsidP="00044686">
      <w:pPr>
        <w:pStyle w:val="Heading3"/>
        <w:spacing w:before="120" w:after="120" w:line="240" w:lineRule="auto"/>
        <w:ind w:left="0"/>
        <w:rPr>
          <w:rFonts w:eastAsia="Arial Unicode MS"/>
          <w:sz w:val="10"/>
          <w:szCs w:val="10"/>
        </w:rPr>
      </w:pPr>
      <w:r>
        <w:rPr>
          <w:rFonts w:asciiTheme="minorHAnsi" w:hAnsiTheme="minorHAnsi" w:cs="National-Book"/>
          <w:color w:val="55565A"/>
          <w:sz w:val="22"/>
          <w:szCs w:val="22"/>
          <w:lang w:val="en-US"/>
        </w:rPr>
        <w:t>Whil</w:t>
      </w:r>
      <w:r w:rsidR="008F2C70">
        <w:rPr>
          <w:rFonts w:asciiTheme="minorHAnsi" w:hAnsiTheme="minorHAnsi" w:cs="National-Book"/>
          <w:color w:val="55565A"/>
          <w:sz w:val="22"/>
          <w:szCs w:val="22"/>
          <w:lang w:val="en-US"/>
        </w:rPr>
        <w:t>e</w:t>
      </w:r>
      <w:r>
        <w:rPr>
          <w:rFonts w:asciiTheme="minorHAnsi" w:hAnsiTheme="minorHAnsi" w:cs="National-Book"/>
          <w:color w:val="55565A"/>
          <w:sz w:val="22"/>
          <w:szCs w:val="22"/>
          <w:lang w:val="en-US"/>
        </w:rPr>
        <w:t xml:space="preserve"> accountability for </w:t>
      </w:r>
      <w:r w:rsidR="003A4F03">
        <w:rPr>
          <w:rFonts w:asciiTheme="minorHAnsi" w:hAnsiTheme="minorHAnsi" w:cs="National-Book"/>
          <w:color w:val="55565A"/>
          <w:sz w:val="22"/>
          <w:szCs w:val="22"/>
          <w:lang w:val="en-US"/>
        </w:rPr>
        <w:t xml:space="preserve">adhering to </w:t>
      </w:r>
      <w:r>
        <w:rPr>
          <w:rFonts w:asciiTheme="minorHAnsi" w:hAnsiTheme="minorHAnsi" w:cs="National-Book"/>
          <w:color w:val="55565A"/>
          <w:sz w:val="22"/>
          <w:szCs w:val="22"/>
          <w:lang w:val="en-US"/>
        </w:rPr>
        <w:t xml:space="preserve">the Victorian Protective Data Security Standards (the </w:t>
      </w:r>
      <w:r w:rsidRPr="00A426EC">
        <w:rPr>
          <w:rFonts w:asciiTheme="minorHAnsi" w:hAnsiTheme="minorHAnsi" w:cs="National-Book"/>
          <w:b/>
          <w:bCs/>
          <w:color w:val="55565A"/>
          <w:sz w:val="22"/>
          <w:szCs w:val="22"/>
          <w:lang w:val="en-US"/>
        </w:rPr>
        <w:t>Standards</w:t>
      </w:r>
      <w:r>
        <w:rPr>
          <w:rFonts w:asciiTheme="minorHAnsi" w:hAnsiTheme="minorHAnsi" w:cs="National-Book"/>
          <w:color w:val="55565A"/>
          <w:sz w:val="22"/>
          <w:szCs w:val="22"/>
          <w:lang w:val="en-US"/>
        </w:rPr>
        <w:t xml:space="preserve">) rests with the public sector body Head, they need to be supported by </w:t>
      </w:r>
      <w:r w:rsidR="009F1202">
        <w:rPr>
          <w:rFonts w:asciiTheme="minorHAnsi" w:hAnsiTheme="minorHAnsi" w:cs="National-Book"/>
          <w:color w:val="55565A"/>
          <w:sz w:val="22"/>
          <w:szCs w:val="22"/>
          <w:lang w:val="en-US"/>
        </w:rPr>
        <w:t xml:space="preserve">personnel </w:t>
      </w:r>
      <w:r>
        <w:rPr>
          <w:rFonts w:asciiTheme="minorHAnsi" w:hAnsiTheme="minorHAnsi" w:cs="National-Book"/>
          <w:color w:val="55565A"/>
          <w:sz w:val="22"/>
          <w:szCs w:val="22"/>
          <w:lang w:val="en-US"/>
        </w:rPr>
        <w:t>who are</w:t>
      </w:r>
      <w:r w:rsidR="009F1202">
        <w:rPr>
          <w:rFonts w:asciiTheme="minorHAnsi" w:hAnsiTheme="minorHAnsi" w:cs="National-Book"/>
          <w:color w:val="55565A"/>
          <w:sz w:val="22"/>
          <w:szCs w:val="22"/>
          <w:lang w:val="en-US"/>
        </w:rPr>
        <w:t xml:space="preserve"> appropriately skilled, resourced and empowered. </w:t>
      </w:r>
      <w:bookmarkStart w:id="0" w:name="_Toc18594244"/>
      <w:r w:rsidR="00044686">
        <w:rPr>
          <w:rFonts w:asciiTheme="minorHAnsi" w:hAnsiTheme="minorHAnsi" w:cs="National-Book"/>
          <w:color w:val="55565A"/>
          <w:sz w:val="22"/>
          <w:szCs w:val="22"/>
          <w:lang w:val="en-US"/>
        </w:rPr>
        <w:br/>
      </w:r>
    </w:p>
    <w:p w14:paraId="78890F9F" w14:textId="4BD60BB8" w:rsidR="00290CAD" w:rsidRDefault="00290CAD" w:rsidP="00044686">
      <w:pPr>
        <w:pStyle w:val="SectionHeading1"/>
        <w:spacing w:line="240" w:lineRule="auto"/>
        <w:rPr>
          <w:lang w:val="en-US"/>
        </w:rPr>
      </w:pPr>
      <w:r w:rsidRPr="006F3E6B">
        <w:t>Managing</w:t>
      </w:r>
      <w:r>
        <w:t xml:space="preserve"> an </w:t>
      </w:r>
      <w:r w:rsidR="008F2C70">
        <w:t>i</w:t>
      </w:r>
      <w:r>
        <w:t xml:space="preserve">nformation </w:t>
      </w:r>
      <w:r w:rsidR="008F2C70">
        <w:t>s</w:t>
      </w:r>
      <w:r>
        <w:t xml:space="preserve">ecurity </w:t>
      </w:r>
      <w:r w:rsidR="008F2C70">
        <w:t>w</w:t>
      </w:r>
      <w:r>
        <w:t xml:space="preserve">ork </w:t>
      </w:r>
      <w:r w:rsidR="008F2C70">
        <w:t>p</w:t>
      </w:r>
      <w:r>
        <w:t xml:space="preserve">rogram and </w:t>
      </w:r>
      <w:r w:rsidR="008F2C70">
        <w:t>o</w:t>
      </w:r>
      <w:r>
        <w:t>rganisational</w:t>
      </w:r>
      <w:r w:rsidRPr="006F3E6B">
        <w:t xml:space="preserve"> </w:t>
      </w:r>
      <w:r w:rsidR="008F2C70">
        <w:t>r</w:t>
      </w:r>
      <w:r w:rsidRPr="006F3E6B">
        <w:t>eporting</w:t>
      </w:r>
    </w:p>
    <w:p w14:paraId="59ADFD30" w14:textId="0E1E9A0B" w:rsidR="003A4F03" w:rsidRDefault="00290CAD" w:rsidP="00044686">
      <w:pPr>
        <w:ind w:right="-6"/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</w:pPr>
      <w:r w:rsidRPr="00212CF2"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 xml:space="preserve">Given the diverse nature of the VPS, OVIC </w:t>
      </w:r>
      <w:r w:rsidR="000A1167"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>does not</w:t>
      </w:r>
      <w:r w:rsidRPr="00212CF2"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 xml:space="preserve"> prescribe </w:t>
      </w:r>
      <w:r w:rsidR="000A1167"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 xml:space="preserve">a </w:t>
      </w:r>
      <w:r w:rsidRPr="00212CF2"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 xml:space="preserve">specific role or group that should be tasked with managing </w:t>
      </w:r>
      <w:r w:rsidR="008F2C70"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>information security</w:t>
      </w:r>
      <w:r w:rsidR="000A1167"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>, or organisation</w:t>
      </w:r>
      <w:r w:rsidR="008F2C70"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>al</w:t>
      </w:r>
      <w:r w:rsidR="000A1167"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 xml:space="preserve"> reporting obligations</w:t>
      </w:r>
      <w:r w:rsidRPr="00212CF2"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>. Instead</w:t>
      </w:r>
      <w:r w:rsidR="008F2C70"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>,</w:t>
      </w:r>
      <w:r w:rsidRPr="00212CF2"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 xml:space="preserve"> OVIC </w:t>
      </w:r>
      <w:r w:rsidR="008F2C70"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>recommends</w:t>
      </w:r>
      <w:r w:rsidR="008F2C70" w:rsidRPr="00212CF2"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 xml:space="preserve"> </w:t>
      </w:r>
      <w:r w:rsidRPr="00212CF2"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 xml:space="preserve">organisations adopt a collective effort </w:t>
      </w:r>
      <w:r w:rsidR="008F2C70"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 xml:space="preserve">to </w:t>
      </w:r>
      <w:r w:rsidRPr="00212CF2"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>manag</w:t>
      </w:r>
      <w:r w:rsidR="008F2C70"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>e</w:t>
      </w:r>
      <w:r w:rsidRPr="00212CF2"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 xml:space="preserve"> the internal security program, drawing </w:t>
      </w:r>
      <w:r w:rsidR="003A4F03"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 xml:space="preserve">insights and </w:t>
      </w:r>
      <w:r w:rsidRPr="00212CF2"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>representati</w:t>
      </w:r>
      <w:r w:rsidR="003A4F03"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>on</w:t>
      </w:r>
      <w:r w:rsidRPr="00212CF2"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 xml:space="preserve"> from all areas of the business.</w:t>
      </w:r>
    </w:p>
    <w:p w14:paraId="124756D8" w14:textId="02D70BE2" w:rsidR="00290CAD" w:rsidRDefault="00290CAD" w:rsidP="00044686">
      <w:pPr>
        <w:ind w:right="-7"/>
      </w:pPr>
      <w:r w:rsidRPr="00212CF2"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 xml:space="preserve"> </w:t>
      </w:r>
    </w:p>
    <w:p w14:paraId="20B253F1" w14:textId="5361BA33" w:rsidR="006E3707" w:rsidRPr="006F3E6B" w:rsidRDefault="008F2C70" w:rsidP="00044686">
      <w:pPr>
        <w:pStyle w:val="SectionHeading1"/>
        <w:spacing w:line="240" w:lineRule="auto"/>
      </w:pPr>
      <w:r>
        <w:t>Establishing a</w:t>
      </w:r>
      <w:r w:rsidR="00FD36C2">
        <w:t xml:space="preserve"> </w:t>
      </w:r>
      <w:r>
        <w:t>c</w:t>
      </w:r>
      <w:r w:rsidR="006E3707" w:rsidRPr="006F3E6B">
        <w:t>ross-functional information security committee or workgroup</w:t>
      </w:r>
      <w:bookmarkEnd w:id="0"/>
    </w:p>
    <w:p w14:paraId="7B9DD6AC" w14:textId="30FE958E" w:rsidR="00044686" w:rsidRDefault="000A1167" w:rsidP="00044686">
      <w:pPr>
        <w:ind w:right="-6"/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</w:pPr>
      <w:r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 xml:space="preserve">OVIC recommends </w:t>
      </w:r>
      <w:r w:rsidR="008F2C70"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>establishing</w:t>
      </w:r>
      <w:r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 xml:space="preserve"> a </w:t>
      </w:r>
      <w:r w:rsidR="006E3707" w:rsidRPr="00212CF2"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 xml:space="preserve">cross-functional work group, </w:t>
      </w:r>
      <w:r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>with representatives from across the business</w:t>
      </w:r>
      <w:r w:rsidR="00646244"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 xml:space="preserve"> who can bring insights from their respective areas and help with communicating to a range of stakeholders</w:t>
      </w:r>
      <w:r w:rsidR="003A4F03">
        <w:rPr>
          <w:rStyle w:val="FootnoteReference"/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footnoteReference w:id="1"/>
      </w:r>
      <w:r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 xml:space="preserve">. </w:t>
      </w:r>
    </w:p>
    <w:p w14:paraId="31BC40ED" w14:textId="77777777" w:rsidR="00044686" w:rsidRDefault="00044686" w:rsidP="00044686">
      <w:pPr>
        <w:ind w:right="-6"/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</w:pPr>
    </w:p>
    <w:p w14:paraId="744AF673" w14:textId="7B43F1D2" w:rsidR="006E3707" w:rsidRPr="00212CF2" w:rsidRDefault="00646244" w:rsidP="00044686">
      <w:pPr>
        <w:ind w:right="-6"/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</w:pPr>
      <w:r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>R</w:t>
      </w:r>
      <w:r w:rsidR="000A1167"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>epresentatives</w:t>
      </w:r>
      <w:r w:rsidR="006E3707" w:rsidRPr="00212CF2"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 xml:space="preserve"> may include</w:t>
      </w:r>
      <w:r w:rsidR="000A1167"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 xml:space="preserve"> personnel from</w:t>
      </w:r>
      <w:r w:rsidR="006E3707" w:rsidRPr="00212CF2"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 xml:space="preserve">:  </w:t>
      </w:r>
    </w:p>
    <w:p w14:paraId="7ADD98ED" w14:textId="2B7B7B5A" w:rsidR="006E3707" w:rsidRPr="00212CF2" w:rsidRDefault="006E3707" w:rsidP="00044686">
      <w:pPr>
        <w:pStyle w:val="ListParagraph"/>
        <w:numPr>
          <w:ilvl w:val="0"/>
          <w:numId w:val="26"/>
        </w:numPr>
        <w:spacing w:line="240" w:lineRule="auto"/>
        <w:ind w:right="-6"/>
        <w:rPr>
          <w:rFonts w:asciiTheme="minorHAnsi" w:eastAsia="Times New Roman" w:hAnsiTheme="minorHAnsi" w:cs="National-Book"/>
          <w:color w:val="55565A"/>
          <w:lang w:val="en-US"/>
        </w:rPr>
      </w:pPr>
      <w:r w:rsidRPr="00212CF2">
        <w:rPr>
          <w:rFonts w:asciiTheme="minorHAnsi" w:eastAsia="Times New Roman" w:hAnsiTheme="minorHAnsi" w:cs="National-Book"/>
          <w:color w:val="55565A"/>
          <w:lang w:val="en-US"/>
        </w:rPr>
        <w:t xml:space="preserve">Executive, corporate, legal or procurement groups </w:t>
      </w:r>
      <w:r w:rsidR="00B87010">
        <w:rPr>
          <w:rFonts w:asciiTheme="minorHAnsi" w:eastAsia="Times New Roman" w:hAnsiTheme="minorHAnsi" w:cs="National-Book"/>
          <w:color w:val="55565A"/>
          <w:lang w:val="en-US"/>
        </w:rPr>
        <w:t xml:space="preserve">responsible for </w:t>
      </w:r>
      <w:r w:rsidRPr="00212CF2">
        <w:rPr>
          <w:rFonts w:asciiTheme="minorHAnsi" w:eastAsia="Times New Roman" w:hAnsiTheme="minorHAnsi" w:cs="National-Book"/>
          <w:color w:val="55565A"/>
          <w:lang w:val="en-US"/>
        </w:rPr>
        <w:t>address</w:t>
      </w:r>
      <w:r w:rsidR="00B87010">
        <w:rPr>
          <w:rFonts w:asciiTheme="minorHAnsi" w:eastAsia="Times New Roman" w:hAnsiTheme="minorHAnsi" w:cs="National-Book"/>
          <w:color w:val="55565A"/>
          <w:lang w:val="en-US"/>
        </w:rPr>
        <w:t>ing</w:t>
      </w:r>
      <w:r w:rsidRPr="00212CF2">
        <w:rPr>
          <w:rFonts w:asciiTheme="minorHAnsi" w:eastAsia="Times New Roman" w:hAnsiTheme="minorHAnsi" w:cs="National-Book"/>
          <w:color w:val="55565A"/>
          <w:lang w:val="en-US"/>
        </w:rPr>
        <w:t xml:space="preserve"> security governance requirements, third-party arrangements and contractual arrangements;</w:t>
      </w:r>
    </w:p>
    <w:p w14:paraId="2240C5BE" w14:textId="3B380323" w:rsidR="006E3707" w:rsidRPr="00212CF2" w:rsidRDefault="006E3707" w:rsidP="00044686">
      <w:pPr>
        <w:pStyle w:val="ListParagraph"/>
        <w:numPr>
          <w:ilvl w:val="0"/>
          <w:numId w:val="26"/>
        </w:numPr>
        <w:spacing w:line="240" w:lineRule="auto"/>
        <w:ind w:right="-6"/>
        <w:rPr>
          <w:rFonts w:asciiTheme="minorHAnsi" w:eastAsia="Times New Roman" w:hAnsiTheme="minorHAnsi" w:cs="National-Book"/>
          <w:color w:val="55565A"/>
          <w:lang w:val="en-US"/>
        </w:rPr>
      </w:pPr>
      <w:r w:rsidRPr="00212CF2">
        <w:rPr>
          <w:rFonts w:asciiTheme="minorHAnsi" w:eastAsia="Times New Roman" w:hAnsiTheme="minorHAnsi" w:cs="National-Book"/>
          <w:color w:val="55565A"/>
          <w:lang w:val="en-US"/>
        </w:rPr>
        <w:t>Risk managers</w:t>
      </w:r>
      <w:r w:rsidR="00FD36C2">
        <w:rPr>
          <w:rFonts w:asciiTheme="minorHAnsi" w:eastAsia="Times New Roman" w:hAnsiTheme="minorHAnsi" w:cs="National-Book"/>
          <w:color w:val="55565A"/>
          <w:lang w:val="en-US"/>
        </w:rPr>
        <w:t xml:space="preserve"> who assist with</w:t>
      </w:r>
      <w:r w:rsidRPr="00212CF2">
        <w:rPr>
          <w:rFonts w:asciiTheme="minorHAnsi" w:eastAsia="Times New Roman" w:hAnsiTheme="minorHAnsi" w:cs="National-Book"/>
          <w:color w:val="55565A"/>
          <w:lang w:val="en-US"/>
        </w:rPr>
        <w:t xml:space="preserve"> integrating information security risks into the organisation’s overall risk management framework</w:t>
      </w:r>
      <w:r w:rsidR="0034012C">
        <w:rPr>
          <w:rFonts w:asciiTheme="minorHAnsi" w:eastAsia="Times New Roman" w:hAnsiTheme="minorHAnsi" w:cs="National-Book"/>
          <w:color w:val="55565A"/>
          <w:lang w:val="en-US"/>
        </w:rPr>
        <w:t>;</w:t>
      </w:r>
    </w:p>
    <w:p w14:paraId="29EED76D" w14:textId="6EDD2E94" w:rsidR="006E3707" w:rsidRPr="00212CF2" w:rsidRDefault="00BC6B6F" w:rsidP="00044686">
      <w:pPr>
        <w:pStyle w:val="ListParagraph"/>
        <w:numPr>
          <w:ilvl w:val="0"/>
          <w:numId w:val="26"/>
        </w:numPr>
        <w:spacing w:line="240" w:lineRule="auto"/>
        <w:ind w:right="-6"/>
        <w:rPr>
          <w:rFonts w:asciiTheme="minorHAnsi" w:eastAsia="Times New Roman" w:hAnsiTheme="minorHAnsi" w:cs="National-Book"/>
          <w:color w:val="55565A"/>
          <w:lang w:val="en-US"/>
        </w:rPr>
      </w:pPr>
      <w:r>
        <w:rPr>
          <w:rFonts w:asciiTheme="minorHAnsi" w:eastAsia="Times New Roman" w:hAnsiTheme="minorHAnsi" w:cs="National-Book"/>
          <w:color w:val="55565A"/>
          <w:lang w:val="en-US"/>
        </w:rPr>
        <w:t>Chief Information Officers (CIOs)</w:t>
      </w:r>
      <w:r w:rsidR="006E3707" w:rsidRPr="00212CF2">
        <w:rPr>
          <w:rFonts w:asciiTheme="minorHAnsi" w:eastAsia="Times New Roman" w:hAnsiTheme="minorHAnsi" w:cs="National-Book"/>
          <w:color w:val="55565A"/>
          <w:lang w:val="en-US"/>
        </w:rPr>
        <w:t>, information or records managers</w:t>
      </w:r>
      <w:r w:rsidR="00FD36C2">
        <w:rPr>
          <w:rFonts w:asciiTheme="minorHAnsi" w:eastAsia="Times New Roman" w:hAnsiTheme="minorHAnsi" w:cs="National-Book"/>
          <w:color w:val="55565A"/>
          <w:lang w:val="en-US"/>
        </w:rPr>
        <w:t xml:space="preserve"> who assist with</w:t>
      </w:r>
      <w:r w:rsidR="006E3707" w:rsidRPr="00212CF2">
        <w:rPr>
          <w:rFonts w:asciiTheme="minorHAnsi" w:eastAsia="Times New Roman" w:hAnsiTheme="minorHAnsi" w:cs="National-Book"/>
          <w:color w:val="55565A"/>
          <w:lang w:val="en-US"/>
        </w:rPr>
        <w:t xml:space="preserve"> identifying information holdings across the organisation;</w:t>
      </w:r>
    </w:p>
    <w:p w14:paraId="4ACB3C6D" w14:textId="54F958DD" w:rsidR="006E3707" w:rsidRPr="00212CF2" w:rsidRDefault="006E3707" w:rsidP="00044686">
      <w:pPr>
        <w:pStyle w:val="ListParagraph"/>
        <w:numPr>
          <w:ilvl w:val="0"/>
          <w:numId w:val="26"/>
        </w:numPr>
        <w:spacing w:line="240" w:lineRule="auto"/>
        <w:ind w:right="-6"/>
        <w:rPr>
          <w:rFonts w:asciiTheme="minorHAnsi" w:eastAsia="Times New Roman" w:hAnsiTheme="minorHAnsi" w:cs="National-Book"/>
          <w:color w:val="55565A"/>
          <w:lang w:val="en-US"/>
        </w:rPr>
      </w:pPr>
      <w:r w:rsidRPr="00212CF2">
        <w:rPr>
          <w:rFonts w:asciiTheme="minorHAnsi" w:eastAsia="Times New Roman" w:hAnsiTheme="minorHAnsi" w:cs="National-Book"/>
          <w:color w:val="55565A"/>
          <w:lang w:val="en-US"/>
        </w:rPr>
        <w:t>HR representatives</w:t>
      </w:r>
      <w:r w:rsidR="00DA27BE">
        <w:rPr>
          <w:rFonts w:asciiTheme="minorHAnsi" w:eastAsia="Times New Roman" w:hAnsiTheme="minorHAnsi" w:cs="National-Book"/>
          <w:color w:val="55565A"/>
          <w:lang w:val="en-US"/>
        </w:rPr>
        <w:t xml:space="preserve"> who provide</w:t>
      </w:r>
      <w:r w:rsidRPr="00212CF2">
        <w:rPr>
          <w:rFonts w:asciiTheme="minorHAnsi" w:eastAsia="Times New Roman" w:hAnsiTheme="minorHAnsi" w:cs="National-Book"/>
          <w:color w:val="55565A"/>
          <w:lang w:val="en-US"/>
        </w:rPr>
        <w:t xml:space="preserve"> advice and input into personnel security matters;</w:t>
      </w:r>
    </w:p>
    <w:p w14:paraId="71D9F48A" w14:textId="0FE5BDBC" w:rsidR="006E3707" w:rsidRPr="00212CF2" w:rsidRDefault="006E3707" w:rsidP="00044686">
      <w:pPr>
        <w:pStyle w:val="ListParagraph"/>
        <w:numPr>
          <w:ilvl w:val="0"/>
          <w:numId w:val="26"/>
        </w:numPr>
        <w:spacing w:line="240" w:lineRule="auto"/>
        <w:ind w:right="-6"/>
        <w:rPr>
          <w:rFonts w:asciiTheme="minorHAnsi" w:eastAsia="Times New Roman" w:hAnsiTheme="minorHAnsi" w:cs="National-Book"/>
          <w:color w:val="55565A"/>
          <w:lang w:val="en-US"/>
        </w:rPr>
      </w:pPr>
      <w:r w:rsidRPr="00212CF2">
        <w:rPr>
          <w:rFonts w:asciiTheme="minorHAnsi" w:eastAsia="Times New Roman" w:hAnsiTheme="minorHAnsi" w:cs="National-Book"/>
          <w:color w:val="55565A"/>
          <w:lang w:val="en-US"/>
        </w:rPr>
        <w:t xml:space="preserve">IT teams </w:t>
      </w:r>
      <w:r w:rsidR="00DA27BE">
        <w:rPr>
          <w:rFonts w:asciiTheme="minorHAnsi" w:eastAsia="Times New Roman" w:hAnsiTheme="minorHAnsi" w:cs="National-Book"/>
          <w:color w:val="55565A"/>
          <w:lang w:val="en-US"/>
        </w:rPr>
        <w:t xml:space="preserve">that </w:t>
      </w:r>
      <w:r w:rsidRPr="00212CF2">
        <w:rPr>
          <w:rFonts w:asciiTheme="minorHAnsi" w:eastAsia="Times New Roman" w:hAnsiTheme="minorHAnsi" w:cs="National-Book"/>
          <w:color w:val="55565A"/>
          <w:lang w:val="en-US"/>
        </w:rPr>
        <w:t xml:space="preserve">support the delivery of ICT security initiatives; </w:t>
      </w:r>
    </w:p>
    <w:p w14:paraId="51875542" w14:textId="41E5BDB9" w:rsidR="006E3707" w:rsidRPr="00212CF2" w:rsidRDefault="006E3707" w:rsidP="00044686">
      <w:pPr>
        <w:pStyle w:val="ListParagraph"/>
        <w:numPr>
          <w:ilvl w:val="0"/>
          <w:numId w:val="26"/>
        </w:numPr>
        <w:spacing w:line="240" w:lineRule="auto"/>
        <w:ind w:right="-7"/>
        <w:rPr>
          <w:rFonts w:asciiTheme="minorHAnsi" w:eastAsia="Times New Roman" w:hAnsiTheme="minorHAnsi" w:cs="National-Book"/>
          <w:color w:val="55565A"/>
          <w:lang w:val="en-US"/>
        </w:rPr>
      </w:pPr>
      <w:r w:rsidRPr="00212CF2">
        <w:rPr>
          <w:rFonts w:asciiTheme="minorHAnsi" w:eastAsia="Times New Roman" w:hAnsiTheme="minorHAnsi" w:cs="National-Book"/>
          <w:color w:val="55565A"/>
          <w:lang w:val="en-US"/>
        </w:rPr>
        <w:t>Internal auditors</w:t>
      </w:r>
      <w:r w:rsidR="00DA27BE">
        <w:rPr>
          <w:rFonts w:asciiTheme="minorHAnsi" w:eastAsia="Times New Roman" w:hAnsiTheme="minorHAnsi" w:cs="National-Book"/>
          <w:color w:val="55565A"/>
          <w:lang w:val="en-US"/>
        </w:rPr>
        <w:t xml:space="preserve"> responsible for</w:t>
      </w:r>
      <w:r w:rsidRPr="00212CF2">
        <w:rPr>
          <w:rFonts w:asciiTheme="minorHAnsi" w:eastAsia="Times New Roman" w:hAnsiTheme="minorHAnsi" w:cs="National-Book"/>
          <w:color w:val="55565A"/>
          <w:lang w:val="en-US"/>
        </w:rPr>
        <w:t xml:space="preserve"> manag</w:t>
      </w:r>
      <w:r w:rsidR="00DA27BE">
        <w:rPr>
          <w:rFonts w:asciiTheme="minorHAnsi" w:eastAsia="Times New Roman" w:hAnsiTheme="minorHAnsi" w:cs="National-Book"/>
          <w:color w:val="55565A"/>
          <w:lang w:val="en-US"/>
        </w:rPr>
        <w:t>ing</w:t>
      </w:r>
      <w:r w:rsidRPr="00212CF2">
        <w:rPr>
          <w:rFonts w:asciiTheme="minorHAnsi" w:eastAsia="Times New Roman" w:hAnsiTheme="minorHAnsi" w:cs="National-Book"/>
          <w:color w:val="55565A"/>
          <w:lang w:val="en-US"/>
        </w:rPr>
        <w:t xml:space="preserve"> assurance programs on behalf of the organisation; and</w:t>
      </w:r>
    </w:p>
    <w:p w14:paraId="4FDE9A05" w14:textId="6731172F" w:rsidR="006E3707" w:rsidRPr="00212CF2" w:rsidRDefault="006E3707" w:rsidP="00044686">
      <w:pPr>
        <w:pStyle w:val="ListParagraph"/>
        <w:numPr>
          <w:ilvl w:val="0"/>
          <w:numId w:val="26"/>
        </w:numPr>
        <w:spacing w:line="240" w:lineRule="auto"/>
        <w:ind w:right="-6"/>
        <w:rPr>
          <w:rFonts w:asciiTheme="minorHAnsi" w:eastAsia="Times New Roman" w:hAnsiTheme="minorHAnsi" w:cs="National-Book"/>
          <w:color w:val="55565A"/>
          <w:lang w:val="en-US"/>
        </w:rPr>
      </w:pPr>
      <w:r w:rsidRPr="00212CF2">
        <w:rPr>
          <w:rFonts w:asciiTheme="minorHAnsi" w:eastAsia="Times New Roman" w:hAnsiTheme="minorHAnsi" w:cs="National-Book"/>
          <w:color w:val="55565A"/>
          <w:lang w:val="en-US"/>
        </w:rPr>
        <w:lastRenderedPageBreak/>
        <w:t>Fa</w:t>
      </w:r>
      <w:bookmarkStart w:id="1" w:name="_GoBack"/>
      <w:bookmarkEnd w:id="1"/>
      <w:r w:rsidRPr="00212CF2">
        <w:rPr>
          <w:rFonts w:asciiTheme="minorHAnsi" w:eastAsia="Times New Roman" w:hAnsiTheme="minorHAnsi" w:cs="National-Book"/>
          <w:color w:val="55565A"/>
          <w:lang w:val="en-US"/>
        </w:rPr>
        <w:t xml:space="preserve">cilities managers </w:t>
      </w:r>
      <w:r w:rsidR="00DA27BE">
        <w:rPr>
          <w:rFonts w:asciiTheme="minorHAnsi" w:eastAsia="Times New Roman" w:hAnsiTheme="minorHAnsi" w:cs="National-Book"/>
          <w:color w:val="55565A"/>
          <w:lang w:val="en-US"/>
        </w:rPr>
        <w:t xml:space="preserve">who provide </w:t>
      </w:r>
      <w:r w:rsidRPr="00212CF2">
        <w:rPr>
          <w:rFonts w:asciiTheme="minorHAnsi" w:eastAsia="Times New Roman" w:hAnsiTheme="minorHAnsi" w:cs="National-Book"/>
          <w:color w:val="55565A"/>
          <w:lang w:val="en-US"/>
        </w:rPr>
        <w:t xml:space="preserve">advice and input into the physical security needs of the business. </w:t>
      </w:r>
    </w:p>
    <w:p w14:paraId="6B8D4954" w14:textId="77777777" w:rsidR="00044686" w:rsidRDefault="00DA27BE" w:rsidP="00044686">
      <w:pPr>
        <w:ind w:right="-6"/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</w:pPr>
      <w:r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 xml:space="preserve">Involving representatives from across the organisation </w:t>
      </w:r>
      <w:r w:rsidR="000A1167" w:rsidRPr="00212CF2"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>can help develop and subsequently deliver information security programs</w:t>
      </w:r>
      <w:r w:rsidR="000A1167"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 xml:space="preserve"> that</w:t>
      </w:r>
      <w:r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 xml:space="preserve"> </w:t>
      </w:r>
      <w:r w:rsidR="000A1167"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>reflect the varying operational needs of the organisation</w:t>
      </w:r>
      <w:r w:rsidR="000A1167" w:rsidRPr="00212CF2"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>.</w:t>
      </w:r>
      <w:r w:rsidR="000A1167" w:rsidRPr="000A1167"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 xml:space="preserve"> </w:t>
      </w:r>
    </w:p>
    <w:p w14:paraId="737D8259" w14:textId="77777777" w:rsidR="00044686" w:rsidRDefault="00044686" w:rsidP="00044686">
      <w:pPr>
        <w:ind w:right="-6"/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</w:pPr>
    </w:p>
    <w:p w14:paraId="13CD8939" w14:textId="264300AC" w:rsidR="000A1167" w:rsidRDefault="000A1167" w:rsidP="00044686">
      <w:pPr>
        <w:ind w:right="-6"/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</w:pPr>
      <w:proofErr w:type="spellStart"/>
      <w:r w:rsidRPr="00212CF2"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>Organisations</w:t>
      </w:r>
      <w:proofErr w:type="spellEnd"/>
      <w:r w:rsidRPr="00212CF2"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 xml:space="preserve"> </w:t>
      </w:r>
      <w:r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>should</w:t>
      </w:r>
      <w:r w:rsidRPr="00212CF2"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 xml:space="preserve"> take a holistic approach in </w:t>
      </w:r>
      <w:r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>scoping their information security</w:t>
      </w:r>
      <w:r w:rsidRPr="00212CF2"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 xml:space="preserve"> program, </w:t>
      </w:r>
      <w:r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>to</w:t>
      </w:r>
      <w:r w:rsidRPr="00212CF2"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 xml:space="preserve"> properly manage their information security risks.</w:t>
      </w:r>
    </w:p>
    <w:p w14:paraId="450C6F88" w14:textId="091F9179" w:rsidR="00E269C0" w:rsidRPr="004327E8" w:rsidRDefault="00E269C0" w:rsidP="00044686">
      <w:pPr>
        <w:pStyle w:val="SectionHeading1"/>
        <w:spacing w:line="240" w:lineRule="auto"/>
        <w:rPr>
          <w:rFonts w:asciiTheme="minorHAnsi" w:eastAsia="Times New Roman" w:hAnsiTheme="minorHAnsi" w:cs="National-Book"/>
          <w:color w:val="55565A"/>
          <w:sz w:val="10"/>
          <w:szCs w:val="10"/>
          <w:lang w:val="en-US"/>
        </w:rPr>
      </w:pPr>
    </w:p>
    <w:p w14:paraId="1B1C7300" w14:textId="7C1A6849" w:rsidR="00E269C0" w:rsidRPr="00E269C0" w:rsidRDefault="00B87010" w:rsidP="00044686">
      <w:pPr>
        <w:pStyle w:val="SectionHeading1"/>
        <w:spacing w:line="240" w:lineRule="auto"/>
      </w:pPr>
      <w:r>
        <w:t>Nominating</w:t>
      </w:r>
      <w:r w:rsidR="001362A0">
        <w:t xml:space="preserve"> an </w:t>
      </w:r>
      <w:r w:rsidR="008F2C70">
        <w:t>i</w:t>
      </w:r>
      <w:r w:rsidR="001362A0">
        <w:t xml:space="preserve">nformation </w:t>
      </w:r>
      <w:r w:rsidR="008F2C70">
        <w:t>s</w:t>
      </w:r>
      <w:r w:rsidR="001362A0">
        <w:t xml:space="preserve">ecurity </w:t>
      </w:r>
      <w:r w:rsidR="008F2C70">
        <w:t>l</w:t>
      </w:r>
      <w:r w:rsidR="001362A0">
        <w:t>ead</w:t>
      </w:r>
    </w:p>
    <w:p w14:paraId="4CBEC344" w14:textId="17C03F52" w:rsidR="000A71A2" w:rsidRDefault="00A426EC" w:rsidP="00044686">
      <w:pPr>
        <w:pStyle w:val="SectionHeading1"/>
        <w:spacing w:line="240" w:lineRule="auto"/>
      </w:pPr>
      <w:r w:rsidRPr="000A71A2">
        <w:rPr>
          <w:rFonts w:asciiTheme="minorHAnsi" w:eastAsia="Times New Roman" w:hAnsiTheme="minorHAnsi" w:cs="National-Book"/>
          <w:b/>
          <w:bCs/>
          <w:color w:val="55565A"/>
          <w:sz w:val="22"/>
          <w:szCs w:val="22"/>
          <w:lang w:val="en-US"/>
        </w:rPr>
        <w:t>Element E1.050</w:t>
      </w:r>
      <w:r>
        <w:rPr>
          <w:rStyle w:val="FootnoteReference"/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footnoteReference w:id="2"/>
      </w:r>
      <w:r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 xml:space="preserve"> of the </w:t>
      </w:r>
      <w:r w:rsidR="00290CAD"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>Standards</w:t>
      </w:r>
      <w:r w:rsidR="00FE276F" w:rsidRPr="00FE276F"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 xml:space="preserve"> </w:t>
      </w:r>
      <w:r w:rsidR="00E269C0"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 xml:space="preserve">requires </w:t>
      </w:r>
      <w:r w:rsidR="00FB1808"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>each</w:t>
      </w:r>
      <w:r w:rsidR="00E269C0"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 xml:space="preserve"> </w:t>
      </w:r>
      <w:r w:rsidR="000243CA"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>public sector body Head</w:t>
      </w:r>
      <w:r w:rsidR="00E269C0"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 xml:space="preserve"> </w:t>
      </w:r>
      <w:r w:rsidR="000521A7"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 xml:space="preserve">to </w:t>
      </w:r>
      <w:r w:rsidR="00FE276F" w:rsidRPr="00FE276F"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 xml:space="preserve">nominate an </w:t>
      </w:r>
      <w:r w:rsidR="00FE276F" w:rsidRPr="00E269C0">
        <w:rPr>
          <w:rFonts w:asciiTheme="minorHAnsi" w:eastAsia="Times New Roman" w:hAnsiTheme="minorHAnsi" w:cs="National-Book"/>
          <w:i/>
          <w:iCs/>
          <w:color w:val="55565A"/>
          <w:sz w:val="22"/>
          <w:szCs w:val="22"/>
          <w:lang w:val="en-US"/>
        </w:rPr>
        <w:t>information security lead</w:t>
      </w:r>
      <w:r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 xml:space="preserve"> </w:t>
      </w:r>
      <w:r w:rsidR="00E269C0"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>(</w:t>
      </w:r>
      <w:r w:rsidR="00E269C0" w:rsidRPr="00E269C0">
        <w:rPr>
          <w:rFonts w:asciiTheme="minorHAnsi" w:eastAsia="Times New Roman" w:hAnsiTheme="minorHAnsi" w:cs="National-Book"/>
          <w:b/>
          <w:bCs/>
          <w:color w:val="55565A"/>
          <w:sz w:val="22"/>
          <w:szCs w:val="22"/>
          <w:lang w:val="en-US"/>
        </w:rPr>
        <w:t>lead</w:t>
      </w:r>
      <w:r w:rsidR="00E269C0"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 xml:space="preserve">) </w:t>
      </w:r>
      <w:r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>for their organisation</w:t>
      </w:r>
      <w:r w:rsidR="00E269C0"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 xml:space="preserve">. </w:t>
      </w:r>
      <w:r w:rsidR="00FB1808"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>E1.050</w:t>
      </w:r>
      <w:r w:rsidR="00E269C0"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 xml:space="preserve"> also </w:t>
      </w:r>
      <w:r w:rsidR="00FB1808"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>requires an</w:t>
      </w:r>
      <w:r w:rsidR="00E269C0"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 xml:space="preserve"> </w:t>
      </w:r>
      <w:r w:rsidR="000521A7"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 xml:space="preserve">organisation to notify </w:t>
      </w:r>
      <w:r w:rsidR="00FB1808"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 xml:space="preserve">OVIC </w:t>
      </w:r>
      <w:r w:rsidR="00FE276F" w:rsidRPr="00FE276F"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>of any changes to th</w:t>
      </w:r>
      <w:r w:rsidR="00E269C0"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>e lead, providing an alternative</w:t>
      </w:r>
      <w:r w:rsidR="00FE276F" w:rsidRPr="00FE276F"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 xml:space="preserve"> point of contact</w:t>
      </w:r>
      <w:r w:rsidR="00E269C0"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 xml:space="preserve"> if they move roles or cease working for the organisation. </w:t>
      </w:r>
      <w:bookmarkStart w:id="2" w:name="_Toc18594245"/>
    </w:p>
    <w:bookmarkEnd w:id="2"/>
    <w:p w14:paraId="08B998A2" w14:textId="5D37FE7C" w:rsidR="001362A0" w:rsidRPr="00E269C0" w:rsidRDefault="001362A0" w:rsidP="00044686">
      <w:pPr>
        <w:pStyle w:val="SectionHeading1"/>
        <w:spacing w:line="240" w:lineRule="auto"/>
      </w:pPr>
      <w:r>
        <w:t xml:space="preserve">Role of an </w:t>
      </w:r>
      <w:r w:rsidR="00DA27BE">
        <w:t>i</w:t>
      </w:r>
      <w:r>
        <w:t xml:space="preserve">nformation </w:t>
      </w:r>
      <w:r w:rsidR="00DA27BE">
        <w:t>s</w:t>
      </w:r>
      <w:r>
        <w:t xml:space="preserve">ecurity </w:t>
      </w:r>
      <w:r w:rsidR="00DA27BE">
        <w:t>l</w:t>
      </w:r>
      <w:r>
        <w:t>ead</w:t>
      </w:r>
    </w:p>
    <w:p w14:paraId="7EE9E141" w14:textId="77777777" w:rsidR="00044686" w:rsidRDefault="001362A0" w:rsidP="00044686">
      <w:pPr>
        <w:ind w:right="-6"/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</w:pPr>
      <w:r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>An information security</w:t>
      </w:r>
      <w:r w:rsidR="00142FDF" w:rsidRPr="00212CF2"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 xml:space="preserve"> lead acts as </w:t>
      </w:r>
      <w:r w:rsidRPr="00212CF2"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>a</w:t>
      </w:r>
      <w:r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 xml:space="preserve"> central</w:t>
      </w:r>
      <w:r w:rsidR="00142FDF" w:rsidRPr="00212CF2"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 xml:space="preserve"> </w:t>
      </w:r>
      <w:r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 xml:space="preserve">point of contact for </w:t>
      </w:r>
      <w:r w:rsidR="00142FDF" w:rsidRPr="00212CF2"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>OVI</w:t>
      </w:r>
      <w:r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>C, helping</w:t>
      </w:r>
      <w:r w:rsidR="00142FDF" w:rsidRPr="00212CF2"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 xml:space="preserve"> deliver important information security messages and updates relating to the </w:t>
      </w:r>
      <w:r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>Framework</w:t>
      </w:r>
      <w:r w:rsidR="00142FDF" w:rsidRPr="00212CF2"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 xml:space="preserve"> and </w:t>
      </w:r>
      <w:r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>Standards</w:t>
      </w:r>
      <w:r w:rsidR="00142FDF" w:rsidRPr="00212CF2"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 xml:space="preserve">. They can also help coordinate or guide the implementation of the Standards on behalf of the organisation. </w:t>
      </w:r>
    </w:p>
    <w:p w14:paraId="2CADA1DE" w14:textId="77777777" w:rsidR="00044686" w:rsidRDefault="00044686" w:rsidP="00044686">
      <w:pPr>
        <w:ind w:right="-6"/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</w:pPr>
    </w:p>
    <w:p w14:paraId="69739C0A" w14:textId="4877881D" w:rsidR="00044686" w:rsidRDefault="00885422" w:rsidP="00044686">
      <w:pPr>
        <w:ind w:right="-6"/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</w:pPr>
      <w:r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 xml:space="preserve">In addition, </w:t>
      </w:r>
      <w:r w:rsidR="0034012C"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>i</w:t>
      </w:r>
      <w:r w:rsidR="0034012C" w:rsidRPr="00212CF2"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 xml:space="preserve">nformation </w:t>
      </w:r>
      <w:r w:rsidR="00142FDF" w:rsidRPr="00212CF2"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 xml:space="preserve">security leads </w:t>
      </w:r>
      <w:r w:rsidR="00DA27BE"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 xml:space="preserve">may </w:t>
      </w:r>
      <w:r w:rsidR="00142FDF" w:rsidRPr="00212CF2"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>receive invites from OVIC</w:t>
      </w:r>
      <w:r w:rsidR="006E3707"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 xml:space="preserve"> for</w:t>
      </w:r>
      <w:r w:rsidR="00142FDF" w:rsidRPr="00212CF2"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 xml:space="preserve"> targeted training and awareness sessions, access to </w:t>
      </w:r>
      <w:r w:rsidR="006E3707"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>Special Interest Groups (</w:t>
      </w:r>
      <w:r w:rsidR="006E3707" w:rsidRPr="00BC6B6F">
        <w:rPr>
          <w:rFonts w:asciiTheme="minorHAnsi" w:eastAsia="Times New Roman" w:hAnsiTheme="minorHAnsi" w:cs="National-Book"/>
          <w:b/>
          <w:bCs/>
          <w:color w:val="55565A"/>
          <w:sz w:val="22"/>
          <w:szCs w:val="22"/>
          <w:lang w:val="en-US"/>
        </w:rPr>
        <w:t>SIGs</w:t>
      </w:r>
      <w:r w:rsidR="006E3707"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>)</w:t>
      </w:r>
      <w:r w:rsidR="00142FDF" w:rsidRPr="00212CF2"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 xml:space="preserve"> and other outreach initiatives led by the OVIC Information Security team.</w:t>
      </w:r>
    </w:p>
    <w:p w14:paraId="1E98D54C" w14:textId="77777777" w:rsidR="00044686" w:rsidRDefault="00044686" w:rsidP="00044686">
      <w:pPr>
        <w:ind w:right="-7"/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</w:pPr>
    </w:p>
    <w:p w14:paraId="495A87DD" w14:textId="133620E6" w:rsidR="007B16C2" w:rsidRPr="00044686" w:rsidRDefault="00FB00D2" w:rsidP="00044686">
      <w:pPr>
        <w:ind w:right="-7"/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</w:pPr>
      <w:r w:rsidRPr="00FB00D2">
        <w:rPr>
          <w:rFonts w:cs="PostGrotesk-Medium"/>
          <w:color w:val="430098"/>
          <w:sz w:val="28"/>
          <w:szCs w:val="28"/>
        </w:rPr>
        <w:t>Management structures and responsibilities</w:t>
      </w:r>
    </w:p>
    <w:p w14:paraId="31388FB2" w14:textId="77777777" w:rsidR="00FB00D2" w:rsidRDefault="00FB00D2" w:rsidP="00044686">
      <w:pPr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</w:pPr>
    </w:p>
    <w:p w14:paraId="758DE264" w14:textId="04270C39" w:rsidR="00FB00D2" w:rsidRPr="00FB00D2" w:rsidRDefault="00C3451D" w:rsidP="00044686">
      <w:pPr>
        <w:rPr>
          <w:rFonts w:ascii="AppleSystemUIFont" w:eastAsia="Museo Sans" w:hAnsi="AppleSystemUIFont" w:cs="AppleSystemUIFont"/>
          <w:color w:val="353535"/>
          <w:sz w:val="18"/>
          <w:szCs w:val="18"/>
          <w:lang w:val="en-US" w:bidi="en-US"/>
        </w:rPr>
      </w:pPr>
      <w:r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 xml:space="preserve">To find out more about potential management structures and security roles and responsibilities of organisations, refer to the advice outlined </w:t>
      </w:r>
      <w:r w:rsidRPr="004327E8">
        <w:rPr>
          <w:rFonts w:asciiTheme="minorHAnsi" w:eastAsia="Times New Roman" w:hAnsiTheme="minorHAnsi" w:cs="National-Book"/>
          <w:i/>
          <w:iCs/>
          <w:color w:val="55565A"/>
          <w:sz w:val="22"/>
          <w:szCs w:val="22"/>
          <w:lang w:val="en-US"/>
        </w:rPr>
        <w:t>Policy 2 of the Commonwealth Protective Security Policy Framework (PSPF) – Management structures and responsibilities</w:t>
      </w:r>
      <w:r>
        <w:rPr>
          <w:rStyle w:val="FootnoteReference"/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footnoteReference w:id="3"/>
      </w:r>
      <w:r>
        <w:rPr>
          <w:rFonts w:asciiTheme="minorHAnsi" w:eastAsia="Times New Roman" w:hAnsiTheme="minorHAnsi" w:cs="National-Book"/>
          <w:color w:val="55565A"/>
          <w:sz w:val="22"/>
          <w:szCs w:val="22"/>
          <w:lang w:val="en-US"/>
        </w:rPr>
        <w:t>.</w:t>
      </w:r>
    </w:p>
    <w:p w14:paraId="24632DB2" w14:textId="77777777" w:rsidR="00C736EC" w:rsidRPr="0086734F" w:rsidRDefault="00C736EC" w:rsidP="00C736EC">
      <w:pPr>
        <w:pStyle w:val="FurtherInfo"/>
        <w:outlineLvl w:val="0"/>
      </w:pPr>
      <w:r w:rsidRPr="0086734F">
        <w:t>Further Infor</w:t>
      </w:r>
      <w:r w:rsidRPr="00372C3E">
        <w:t>mat</w:t>
      </w:r>
      <w:r w:rsidRPr="0086734F">
        <w:t>ion</w:t>
      </w:r>
    </w:p>
    <w:p w14:paraId="0BDCC056" w14:textId="77777777" w:rsidR="00C736EC" w:rsidRDefault="00C736EC" w:rsidP="00C736EC">
      <w:pPr>
        <w:pStyle w:val="BasicParagraph"/>
        <w:pBdr>
          <w:top w:val="single" w:sz="4" w:space="6" w:color="430098"/>
        </w:pBdr>
        <w:spacing w:after="170"/>
        <w:rPr>
          <w:rFonts w:ascii="PostGrotesk-Medium" w:hAnsi="PostGrotesk-Medium" w:cs="PostGrotesk-Medium"/>
          <w:color w:val="00A5B5"/>
        </w:rPr>
        <w:sectPr w:rsidR="00C736EC" w:rsidSect="00E45B00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0" w:h="16840"/>
          <w:pgMar w:top="1134" w:right="1134" w:bottom="1134" w:left="1134" w:header="1134" w:footer="709" w:gutter="0"/>
          <w:cols w:space="720"/>
          <w:titlePg/>
          <w:docGrid w:linePitch="360"/>
        </w:sectPr>
      </w:pPr>
    </w:p>
    <w:p w14:paraId="2ECB5F56" w14:textId="77777777" w:rsidR="00C736EC" w:rsidRPr="00780584" w:rsidRDefault="00C736EC" w:rsidP="00C736EC">
      <w:pPr>
        <w:widowControl w:val="0"/>
        <w:suppressAutoHyphens/>
        <w:autoSpaceDE w:val="0"/>
        <w:autoSpaceDN w:val="0"/>
        <w:adjustRightInd w:val="0"/>
        <w:spacing w:after="120" w:line="288" w:lineRule="auto"/>
        <w:textAlignment w:val="center"/>
        <w:outlineLvl w:val="0"/>
        <w:rPr>
          <w:rFonts w:cs="PostGrotesk-Medium"/>
          <w:b/>
          <w:color w:val="55565A"/>
        </w:rPr>
      </w:pPr>
      <w:r w:rsidRPr="00780584">
        <w:rPr>
          <w:rFonts w:cs="PostGrotesk-Medium"/>
          <w:b/>
          <w:color w:val="55565A"/>
        </w:rPr>
        <w:t>Contact Us</w:t>
      </w:r>
    </w:p>
    <w:p w14:paraId="4B1533A5" w14:textId="1BA62CDC" w:rsidR="00C736EC" w:rsidRPr="00780584" w:rsidRDefault="00C736EC" w:rsidP="00C736EC">
      <w:pPr>
        <w:widowControl w:val="0"/>
        <w:tabs>
          <w:tab w:val="left" w:pos="284"/>
          <w:tab w:val="left" w:pos="709"/>
        </w:tabs>
        <w:suppressAutoHyphens/>
        <w:autoSpaceDE w:val="0"/>
        <w:autoSpaceDN w:val="0"/>
        <w:adjustRightInd w:val="0"/>
        <w:spacing w:after="240"/>
        <w:textAlignment w:val="center"/>
        <w:rPr>
          <w:rFonts w:cs="PostGrotesk-Book"/>
          <w:color w:val="55565A"/>
          <w:sz w:val="22"/>
          <w:szCs w:val="22"/>
        </w:rPr>
      </w:pPr>
      <w:r w:rsidRPr="00780584">
        <w:rPr>
          <w:rFonts w:cs="PostGrotesk-Book"/>
          <w:b/>
          <w:color w:val="430098"/>
          <w:sz w:val="22"/>
          <w:szCs w:val="22"/>
        </w:rPr>
        <w:t>t:</w:t>
      </w:r>
      <w:r w:rsidRPr="00780584">
        <w:rPr>
          <w:rFonts w:cs="PostGrotesk-Book"/>
          <w:color w:val="55565A"/>
          <w:sz w:val="22"/>
          <w:szCs w:val="22"/>
        </w:rPr>
        <w:tab/>
        <w:t xml:space="preserve">1300 00 6842 </w:t>
      </w:r>
      <w:r w:rsidRPr="00780584">
        <w:rPr>
          <w:rFonts w:cs="PostGrotesk-Book"/>
          <w:color w:val="55565A"/>
          <w:sz w:val="22"/>
          <w:szCs w:val="22"/>
        </w:rPr>
        <w:br/>
      </w:r>
      <w:r w:rsidRPr="00780584">
        <w:rPr>
          <w:rFonts w:cs="PostGrotesk-Book"/>
          <w:b/>
          <w:color w:val="430098"/>
          <w:sz w:val="22"/>
          <w:szCs w:val="22"/>
        </w:rPr>
        <w:t>e:</w:t>
      </w:r>
      <w:r w:rsidRPr="00780584">
        <w:rPr>
          <w:rFonts w:cs="PostGrotesk-Book"/>
          <w:color w:val="55565A"/>
          <w:sz w:val="22"/>
          <w:szCs w:val="22"/>
        </w:rPr>
        <w:tab/>
      </w:r>
      <w:r w:rsidR="00CA6644">
        <w:rPr>
          <w:rFonts w:cs="PostGrotesk-Book"/>
          <w:color w:val="55565A"/>
          <w:sz w:val="22"/>
          <w:szCs w:val="22"/>
        </w:rPr>
        <w:t>security</w:t>
      </w:r>
      <w:r w:rsidRPr="00780584">
        <w:rPr>
          <w:rFonts w:cs="PostGrotesk-Book"/>
          <w:color w:val="55565A"/>
          <w:sz w:val="22"/>
          <w:szCs w:val="22"/>
        </w:rPr>
        <w:t>@ovic.vic.gov.au</w:t>
      </w:r>
      <w:r w:rsidRPr="00780584">
        <w:rPr>
          <w:rFonts w:cs="PostGrotesk-Book"/>
          <w:color w:val="55565A"/>
          <w:sz w:val="22"/>
          <w:szCs w:val="22"/>
        </w:rPr>
        <w:br/>
      </w:r>
      <w:r w:rsidRPr="00780584">
        <w:rPr>
          <w:rFonts w:cs="PostGrotesk-Book"/>
          <w:b/>
          <w:color w:val="430098"/>
          <w:sz w:val="22"/>
          <w:szCs w:val="22"/>
        </w:rPr>
        <w:t>w:</w:t>
      </w:r>
      <w:r w:rsidRPr="00780584">
        <w:rPr>
          <w:rFonts w:cs="PostGrotesk-Book"/>
          <w:color w:val="55565A"/>
          <w:sz w:val="22"/>
          <w:szCs w:val="22"/>
        </w:rPr>
        <w:tab/>
        <w:t>ovic.vic.gov.au</w:t>
      </w:r>
      <w:r>
        <w:rPr>
          <w:rFonts w:cs="PostGrotesk-Book"/>
          <w:color w:val="55565A"/>
          <w:sz w:val="22"/>
          <w:szCs w:val="22"/>
        </w:rPr>
        <w:br w:type="column"/>
      </w:r>
      <w:r w:rsidRPr="00780584">
        <w:rPr>
          <w:rFonts w:cs="PostGrotesk-Medium"/>
          <w:b/>
          <w:color w:val="55565A"/>
        </w:rPr>
        <w:t xml:space="preserve">Disclaimer </w:t>
      </w:r>
    </w:p>
    <w:p w14:paraId="117AE25B" w14:textId="7A93BF84" w:rsidR="00C736EC" w:rsidRDefault="00C736EC" w:rsidP="00C736EC">
      <w:pPr>
        <w:pStyle w:val="SectionHeading1"/>
        <w:outlineLvl w:val="0"/>
        <w:sectPr w:rsidR="00C736EC" w:rsidSect="00C736EC">
          <w:headerReference w:type="even" r:id="rId16"/>
          <w:headerReference w:type="default" r:id="rId17"/>
          <w:headerReference w:type="first" r:id="rId18"/>
          <w:footerReference w:type="first" r:id="rId19"/>
          <w:type w:val="continuous"/>
          <w:pgSz w:w="11900" w:h="16840"/>
          <w:pgMar w:top="1134" w:right="1134" w:bottom="1134" w:left="1134" w:header="1134" w:footer="510" w:gutter="0"/>
          <w:cols w:num="2" w:space="720"/>
          <w:titlePg/>
          <w:docGrid w:linePitch="360"/>
        </w:sectPr>
      </w:pPr>
      <w:r w:rsidRPr="00780584">
        <w:rPr>
          <w:rFonts w:cs="PostGrotesk-Book"/>
          <w:color w:val="55565A"/>
          <w:sz w:val="16"/>
          <w:szCs w:val="22"/>
        </w:rPr>
        <w:t>This fact sheet does not constitute legal advice and should not be used as a substitute for applying the provisions of the Freedom of Information Act 1982</w:t>
      </w:r>
      <w:r w:rsidR="00A14089">
        <w:rPr>
          <w:rFonts w:cs="PostGrotesk-Book"/>
          <w:color w:val="55565A"/>
          <w:sz w:val="16"/>
          <w:szCs w:val="22"/>
        </w:rPr>
        <w:t xml:space="preserve"> Privacy and Data Protection Act 2014</w:t>
      </w:r>
      <w:r w:rsidRPr="00780584">
        <w:rPr>
          <w:rFonts w:cs="PostGrotesk-Book"/>
          <w:color w:val="55565A"/>
          <w:sz w:val="16"/>
          <w:szCs w:val="22"/>
        </w:rPr>
        <w:t>, or any other legal requirement, to individual cases</w:t>
      </w:r>
      <w:r w:rsidRPr="00780584">
        <w:rPr>
          <w:rFonts w:cs="PostGrotesk-Book"/>
          <w:color w:val="55565A"/>
          <w:sz w:val="18"/>
          <w:szCs w:val="22"/>
        </w:rPr>
        <w:t>.</w:t>
      </w:r>
    </w:p>
    <w:p w14:paraId="324A6B97" w14:textId="77777777" w:rsidR="000677DA" w:rsidRDefault="000677DA" w:rsidP="00C736EC">
      <w:pPr>
        <w:pStyle w:val="SectionHeading1"/>
        <w:outlineLvl w:val="0"/>
      </w:pPr>
    </w:p>
    <w:sectPr w:rsidR="000677DA" w:rsidSect="009236D4">
      <w:type w:val="continuous"/>
      <w:pgSz w:w="11900" w:h="16840"/>
      <w:pgMar w:top="1134" w:right="1134" w:bottom="1134" w:left="1134" w:header="1134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96E46" w14:textId="77777777" w:rsidR="00FA407A" w:rsidRDefault="00FA407A" w:rsidP="00B53C78">
      <w:r>
        <w:separator/>
      </w:r>
    </w:p>
  </w:endnote>
  <w:endnote w:type="continuationSeparator" w:id="0">
    <w:p w14:paraId="7A7900A1" w14:textId="77777777" w:rsidR="00FA407A" w:rsidRDefault="00FA407A" w:rsidP="00B53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PostGrotesk-Book">
    <w:altName w:val="Times New Roman"/>
    <w:charset w:val="00"/>
    <w:family w:val="auto"/>
    <w:pitch w:val="variable"/>
    <w:sig w:usb0="00000001" w:usb1="500160FB" w:usb2="00000000" w:usb3="00000000" w:csb0="0000009B" w:csb1="00000000"/>
  </w:font>
  <w:font w:name="PostGrotesk-Medium">
    <w:altName w:val="Times New Roman"/>
    <w:charset w:val="00"/>
    <w:family w:val="auto"/>
    <w:pitch w:val="variable"/>
    <w:sig w:usb0="00000001" w:usb1="50016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">
    <w:altName w:val="Calibri"/>
    <w:charset w:val="00"/>
    <w:family w:val="auto"/>
    <w:pitch w:val="variable"/>
    <w:sig w:usb0="A000002F" w:usb1="4000004B" w:usb2="00000000" w:usb3="00000000" w:csb0="00000093" w:csb1="00000000"/>
  </w:font>
  <w:font w:name="National-Book">
    <w:altName w:val="Times New Roman"/>
    <w:panose1 w:val="02000503000000020004"/>
    <w:charset w:val="00"/>
    <w:family w:val="auto"/>
    <w:pitch w:val="variable"/>
    <w:sig w:usb0="A00000FF" w:usb1="5000207B" w:usb2="00000010" w:usb3="00000000" w:csb0="0000009B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BEB41" w14:textId="77777777" w:rsidR="008B4992" w:rsidRPr="00F4301B" w:rsidRDefault="00ED7EF6" w:rsidP="00F4301B">
    <w:pPr>
      <w:pStyle w:val="Footer"/>
      <w:jc w:val="right"/>
      <w:rPr>
        <w:sz w:val="22"/>
      </w:rPr>
    </w:pPr>
    <w:r w:rsidRPr="00F4301B">
      <w:rPr>
        <w:rFonts w:cs="Arial"/>
        <w:sz w:val="20"/>
      </w:rPr>
      <w:t xml:space="preserve">Freedom of Information </w:t>
    </w:r>
    <w:r w:rsidRPr="00F4301B">
      <w:rPr>
        <w:rFonts w:cs="Arial"/>
        <w:color w:val="E5007D"/>
        <w:sz w:val="20"/>
      </w:rPr>
      <w:t>|</w:t>
    </w:r>
    <w:r w:rsidRPr="00F4301B">
      <w:rPr>
        <w:rFonts w:cs="Arial"/>
        <w:sz w:val="20"/>
      </w:rPr>
      <w:t xml:space="preserve"> Privacy </w:t>
    </w:r>
    <w:r w:rsidRPr="00F4301B">
      <w:rPr>
        <w:rFonts w:cs="Arial"/>
        <w:color w:val="E5007D"/>
        <w:sz w:val="20"/>
      </w:rPr>
      <w:t>|</w:t>
    </w:r>
    <w:r w:rsidRPr="00F4301B">
      <w:rPr>
        <w:rFonts w:cs="Arial"/>
        <w:sz w:val="20"/>
      </w:rPr>
      <w:t xml:space="preserve"> Data Protection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19E63" w14:textId="22D8E043" w:rsidR="00A14089" w:rsidRPr="00A14089" w:rsidRDefault="00E55B23" w:rsidP="00A14089">
    <w:pPr>
      <w:pStyle w:val="Footer"/>
      <w:spacing w:before="120"/>
      <w:rPr>
        <w:rFonts w:cs="Arial"/>
        <w:i/>
        <w:iCs/>
        <w:sz w:val="20"/>
      </w:rPr>
    </w:pPr>
    <w:r w:rsidRPr="00D6040B">
      <w:rPr>
        <w:rFonts w:cs="Arial"/>
        <w:i/>
        <w:iCs/>
        <w:sz w:val="20"/>
      </w:rPr>
      <w:t>April</w:t>
    </w:r>
    <w:r w:rsidR="00A14089" w:rsidRPr="00D6040B">
      <w:rPr>
        <w:rFonts w:cs="Arial"/>
        <w:i/>
        <w:iCs/>
        <w:sz w:val="20"/>
      </w:rPr>
      <w:t xml:space="preserve"> 2020 – Version </w:t>
    </w:r>
    <w:r w:rsidR="00D6040B" w:rsidRPr="00D6040B">
      <w:rPr>
        <w:rFonts w:cs="Arial"/>
        <w:i/>
        <w:iCs/>
        <w:sz w:val="20"/>
      </w:rPr>
      <w:t>1.0</w:t>
    </w:r>
  </w:p>
  <w:p w14:paraId="37C19C43" w14:textId="6E19E2E0" w:rsidR="00CE7458" w:rsidRPr="009C5614" w:rsidRDefault="00ED7EF6" w:rsidP="009C5614">
    <w:pPr>
      <w:pStyle w:val="Footer"/>
      <w:spacing w:before="120"/>
      <w:jc w:val="right"/>
    </w:pPr>
    <w:r w:rsidRPr="009C5614">
      <w:rPr>
        <w:rFonts w:cs="Arial"/>
        <w:sz w:val="20"/>
      </w:rPr>
      <w:t xml:space="preserve">Freedom of Information </w:t>
    </w:r>
    <w:r w:rsidRPr="009C5614">
      <w:rPr>
        <w:rFonts w:cs="Arial"/>
        <w:color w:val="E5007D"/>
        <w:sz w:val="20"/>
      </w:rPr>
      <w:t>|</w:t>
    </w:r>
    <w:r w:rsidRPr="009C5614">
      <w:rPr>
        <w:rFonts w:cs="Arial"/>
        <w:sz w:val="20"/>
      </w:rPr>
      <w:t xml:space="preserve"> Privacy </w:t>
    </w:r>
    <w:r w:rsidRPr="009C5614">
      <w:rPr>
        <w:rFonts w:cs="Arial"/>
        <w:color w:val="E5007D"/>
        <w:sz w:val="20"/>
      </w:rPr>
      <w:t>|</w:t>
    </w:r>
    <w:r w:rsidRPr="009C5614">
      <w:rPr>
        <w:rFonts w:cs="Arial"/>
        <w:sz w:val="20"/>
      </w:rPr>
      <w:t xml:space="preserve"> Data Protection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8AF69" w14:textId="2B458D9C" w:rsidR="00A14089" w:rsidRPr="00A14089" w:rsidRDefault="001D1F36" w:rsidP="006612A9">
    <w:pPr>
      <w:pStyle w:val="Footer"/>
      <w:spacing w:before="120"/>
      <w:rPr>
        <w:rFonts w:cs="Arial"/>
        <w:i/>
        <w:iCs/>
        <w:sz w:val="20"/>
      </w:rPr>
    </w:pPr>
    <w:r w:rsidRPr="00D6040B">
      <w:rPr>
        <w:rFonts w:cs="Arial"/>
        <w:i/>
        <w:iCs/>
        <w:sz w:val="20"/>
      </w:rPr>
      <w:t>April</w:t>
    </w:r>
    <w:r w:rsidR="00A14089" w:rsidRPr="00D6040B">
      <w:rPr>
        <w:rFonts w:cs="Arial"/>
        <w:i/>
        <w:iCs/>
        <w:sz w:val="20"/>
      </w:rPr>
      <w:t xml:space="preserve"> 2020 – Version </w:t>
    </w:r>
    <w:r w:rsidR="00D6040B" w:rsidRPr="00D6040B">
      <w:rPr>
        <w:rFonts w:cs="Arial"/>
        <w:i/>
        <w:iCs/>
        <w:sz w:val="20"/>
      </w:rPr>
      <w:t>1.0</w:t>
    </w:r>
  </w:p>
  <w:p w14:paraId="72B6EE87" w14:textId="43AE7F5B" w:rsidR="00C736EC" w:rsidRDefault="008536E9" w:rsidP="006612A9">
    <w:pPr>
      <w:pStyle w:val="Footer"/>
      <w:spacing w:before="120"/>
    </w:pPr>
    <w:r>
      <w:rPr>
        <w:noProof/>
        <w:lang w:val="en-AU" w:eastAsia="en-AU"/>
      </w:rPr>
      <w:drawing>
        <wp:inline distT="0" distB="0" distL="0" distR="0" wp14:anchorId="0519E2F1" wp14:editId="4D23EB8D">
          <wp:extent cx="3339465" cy="179070"/>
          <wp:effectExtent l="0" t="0" r="0" b="0"/>
          <wp:docPr id="25" name="Picture 25" descr="tagline_factshe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tagline_factshe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465" cy="179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F4A51" w14:textId="77777777" w:rsidR="00C736EC" w:rsidRDefault="008536E9" w:rsidP="006612A9">
    <w:pPr>
      <w:pStyle w:val="Footer"/>
      <w:spacing w:before="120"/>
    </w:pPr>
    <w:r>
      <w:rPr>
        <w:noProof/>
        <w:lang w:val="en-AU" w:eastAsia="en-AU"/>
      </w:rPr>
      <w:drawing>
        <wp:inline distT="0" distB="0" distL="0" distR="0" wp14:anchorId="28C662B4" wp14:editId="5DC556E6">
          <wp:extent cx="3339465" cy="179070"/>
          <wp:effectExtent l="0" t="0" r="0" b="0"/>
          <wp:docPr id="26" name="Picture 26" descr="tagline_factshe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tagline_factshe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465" cy="179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BA3B5" w14:textId="77777777" w:rsidR="00BD07DC" w:rsidRDefault="00BD07DC" w:rsidP="00BD07DC">
    <w:pPr>
      <w:pStyle w:val="Footer"/>
      <w:spacing w:before="240"/>
    </w:pPr>
    <w:r w:rsidRPr="00B60B75">
      <w:t xml:space="preserve">Freedom of Information </w:t>
    </w:r>
    <w:r w:rsidRPr="006A02A9">
      <w:rPr>
        <w:color w:val="E5007D"/>
      </w:rPr>
      <w:t>|</w:t>
    </w:r>
    <w:r w:rsidRPr="00B60B75">
      <w:t xml:space="preserve"> Privacy </w:t>
    </w:r>
    <w:r w:rsidRPr="006A02A9">
      <w:rPr>
        <w:color w:val="E5007D"/>
      </w:rPr>
      <w:t>|</w:t>
    </w:r>
    <w:r w:rsidRPr="00B60B75">
      <w:t xml:space="preserve"> </w:t>
    </w:r>
    <w:r w:rsidRPr="00BD07DC">
      <w:t>Data Protection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067E9" w14:textId="77777777" w:rsidR="00FA407A" w:rsidRDefault="00FA407A" w:rsidP="00B53C78">
      <w:r>
        <w:separator/>
      </w:r>
    </w:p>
  </w:footnote>
  <w:footnote w:type="continuationSeparator" w:id="0">
    <w:p w14:paraId="27152093" w14:textId="77777777" w:rsidR="00FA407A" w:rsidRDefault="00FA407A" w:rsidP="00B53C78">
      <w:r>
        <w:continuationSeparator/>
      </w:r>
    </w:p>
  </w:footnote>
  <w:footnote w:id="1">
    <w:p w14:paraId="35E359D5" w14:textId="59EFAF2C" w:rsidR="003A4F03" w:rsidRPr="003A4F03" w:rsidRDefault="003A4F0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For smaller organisations, a cross-functional committee or workgroup may not be appropriate, given the limited number of personnel available to participate. In these instances, the information security lead should coordinate these activities.</w:t>
      </w:r>
    </w:p>
  </w:footnote>
  <w:footnote w:id="2">
    <w:p w14:paraId="06478C37" w14:textId="4E06DE29" w:rsidR="00A426EC" w:rsidRPr="00A426EC" w:rsidRDefault="00A426E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A426EC">
        <w:rPr>
          <w:rFonts w:cs="National-Book"/>
          <w:color w:val="55565A"/>
          <w:sz w:val="16"/>
          <w:szCs w:val="16"/>
          <w:lang w:val="en-US"/>
        </w:rPr>
        <w:t>Standard 1 (Information Security Management Framework), Element E1.050</w:t>
      </w:r>
    </w:p>
  </w:footnote>
  <w:footnote w:id="3">
    <w:p w14:paraId="690CAA5D" w14:textId="2DA09AC5" w:rsidR="00C3451D" w:rsidRPr="00C3451D" w:rsidRDefault="00C3451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3451D">
        <w:rPr>
          <w:rFonts w:cs="National-Book"/>
          <w:color w:val="55565A"/>
          <w:sz w:val="16"/>
          <w:szCs w:val="16"/>
          <w:lang w:val="en-US"/>
        </w:rPr>
        <w:t xml:space="preserve">Refer to </w:t>
      </w:r>
      <w:hyperlink r:id="rId1" w:history="1">
        <w:r w:rsidRPr="00C3451D">
          <w:rPr>
            <w:rFonts w:cs="National-Book"/>
            <w:color w:val="55565A"/>
            <w:sz w:val="16"/>
            <w:szCs w:val="16"/>
            <w:lang w:val="en-US"/>
          </w:rPr>
          <w:t>https://www.protectivesecurity.gov.au/governance/management-structures-and-responsibilities/Pages/default.aspx</w:t>
        </w:r>
      </w:hyperlink>
      <w:r>
        <w:rPr>
          <w:rFonts w:cs="National-Book"/>
          <w:color w:val="55565A"/>
          <w:sz w:val="16"/>
          <w:szCs w:val="16"/>
          <w:lang w:val="en-US"/>
        </w:rPr>
        <w:t xml:space="preserve"> </w:t>
      </w:r>
      <w:r w:rsidRPr="00C3451D">
        <w:rPr>
          <w:rFonts w:cs="National-Book"/>
          <w:color w:val="55565A"/>
          <w:sz w:val="16"/>
          <w:szCs w:val="16"/>
          <w:lang w:val="en-US"/>
        </w:rPr>
        <w:t xml:space="preserve"> for more information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DCDEE" w14:textId="41199413" w:rsidR="00C736EC" w:rsidRPr="00D70A8A" w:rsidRDefault="008536E9" w:rsidP="00BC6B6F">
    <w:pPr>
      <w:pStyle w:val="Header"/>
      <w:tabs>
        <w:tab w:val="clear" w:pos="4513"/>
        <w:tab w:val="clear" w:pos="9026"/>
        <w:tab w:val="left" w:pos="6946"/>
      </w:tabs>
      <w:rPr>
        <w:color w:val="7F7F7F"/>
        <w:sz w:val="26"/>
        <w:szCs w:val="26"/>
      </w:rPr>
    </w:pPr>
    <w:r>
      <w:rPr>
        <w:noProof/>
        <w:color w:val="7F7F7F"/>
        <w:sz w:val="28"/>
        <w:szCs w:val="28"/>
        <w:lang w:val="en-AU" w:eastAsia="en-AU"/>
      </w:rPr>
      <w:drawing>
        <wp:anchor distT="0" distB="0" distL="114300" distR="114300" simplePos="0" relativeHeight="251658240" behindDoc="1" locked="0" layoutInCell="1" allowOverlap="1" wp14:anchorId="27D0EB20" wp14:editId="14D8E453">
          <wp:simplePos x="0" y="0"/>
          <wp:positionH relativeFrom="column">
            <wp:posOffset>6350</wp:posOffset>
          </wp:positionH>
          <wp:positionV relativeFrom="paragraph">
            <wp:posOffset>-47625</wp:posOffset>
          </wp:positionV>
          <wp:extent cx="1565910" cy="720090"/>
          <wp:effectExtent l="0" t="0" r="0" b="3810"/>
          <wp:wrapThrough wrapText="bothSides">
            <wp:wrapPolygon edited="0">
              <wp:start x="0" y="0"/>
              <wp:lineTo x="0" y="21143"/>
              <wp:lineTo x="21285" y="21143"/>
              <wp:lineTo x="21285" y="0"/>
              <wp:lineTo x="0" y="0"/>
            </wp:wrapPolygon>
          </wp:wrapThrough>
          <wp:docPr id="8" name="Picture 8" descr="2056_OVIC_Logo_v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2056_OVIC_Logo_v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3C78" w:rsidRPr="00B37C5F">
      <w:rPr>
        <w:color w:val="7F7F7F"/>
        <w:sz w:val="28"/>
        <w:szCs w:val="28"/>
      </w:rPr>
      <w:tab/>
    </w:r>
    <w:r w:rsidR="00C736EC" w:rsidRPr="00D70A8A">
      <w:rPr>
        <w:color w:val="555559"/>
        <w:sz w:val="26"/>
        <w:szCs w:val="26"/>
      </w:rPr>
      <w:t>INFORMATION FOR</w:t>
    </w:r>
    <w:r w:rsidR="00C736EC" w:rsidRPr="00D70A8A">
      <w:rPr>
        <w:color w:val="7F7F7F"/>
        <w:sz w:val="26"/>
        <w:szCs w:val="26"/>
      </w:rPr>
      <w:br/>
    </w:r>
    <w:r w:rsidR="00C736EC" w:rsidRPr="00D70A8A">
      <w:rPr>
        <w:color w:val="7F7F7F"/>
        <w:sz w:val="26"/>
        <w:szCs w:val="26"/>
      </w:rPr>
      <w:tab/>
    </w:r>
    <w:r w:rsidR="000E6BDD">
      <w:rPr>
        <w:color w:val="430098"/>
        <w:sz w:val="26"/>
        <w:szCs w:val="26"/>
      </w:rPr>
      <w:t>AGENCIES and BODIES</w:t>
    </w:r>
  </w:p>
  <w:p w14:paraId="49488B76" w14:textId="77777777" w:rsidR="00646244" w:rsidRDefault="00C736EC" w:rsidP="00646244">
    <w:pPr>
      <w:pStyle w:val="Header"/>
      <w:tabs>
        <w:tab w:val="clear" w:pos="4513"/>
        <w:tab w:val="left" w:pos="6946"/>
      </w:tabs>
      <w:rPr>
        <w:color w:val="555559"/>
        <w:sz w:val="20"/>
        <w:szCs w:val="20"/>
      </w:rPr>
    </w:pPr>
    <w:r w:rsidRPr="00B37C5F">
      <w:rPr>
        <w:color w:val="7F7F7F"/>
        <w:sz w:val="20"/>
        <w:szCs w:val="20"/>
      </w:rPr>
      <w:tab/>
    </w:r>
    <w:r w:rsidRPr="00B37C5F">
      <w:rPr>
        <w:color w:val="7F7F7F"/>
        <w:sz w:val="20"/>
        <w:szCs w:val="20"/>
      </w:rPr>
      <w:tab/>
    </w:r>
    <w:r w:rsidRPr="00064688">
      <w:rPr>
        <w:color w:val="555559"/>
        <w:sz w:val="20"/>
        <w:szCs w:val="20"/>
      </w:rPr>
      <w:t>1300 00 6842 | ovic.</w:t>
    </w:r>
    <w:r>
      <w:rPr>
        <w:color w:val="555559"/>
        <w:sz w:val="20"/>
        <w:szCs w:val="20"/>
      </w:rPr>
      <w:t>vic.gov</w:t>
    </w:r>
    <w:r w:rsidRPr="00064688">
      <w:rPr>
        <w:color w:val="555559"/>
        <w:sz w:val="20"/>
        <w:szCs w:val="20"/>
      </w:rPr>
      <w:t>.au</w:t>
    </w:r>
  </w:p>
  <w:p w14:paraId="4D968A6A" w14:textId="797DACC9" w:rsidR="00646244" w:rsidRPr="00646244" w:rsidRDefault="00646244" w:rsidP="00646244">
    <w:pPr>
      <w:pStyle w:val="DocumentTitle"/>
      <w:rPr>
        <w:color w:val="7F7F7F"/>
        <w:sz w:val="20"/>
        <w:szCs w:val="20"/>
      </w:rPr>
    </w:pPr>
    <w:r>
      <w:rPr>
        <w:noProof/>
        <w:lang w:val="en-AU" w:eastAsia="en-AU"/>
      </w:rPr>
      <w:drawing>
        <wp:anchor distT="0" distB="0" distL="114300" distR="114300" simplePos="0" relativeHeight="251657216" behindDoc="0" locked="0" layoutInCell="1" allowOverlap="1" wp14:anchorId="5FBBF262" wp14:editId="5E958BE7">
          <wp:simplePos x="0" y="0"/>
          <wp:positionH relativeFrom="column">
            <wp:posOffset>-68580</wp:posOffset>
          </wp:positionH>
          <wp:positionV relativeFrom="paragraph">
            <wp:posOffset>330366</wp:posOffset>
          </wp:positionV>
          <wp:extent cx="6119495" cy="70485"/>
          <wp:effectExtent l="0" t="0" r="0" b="5715"/>
          <wp:wrapNone/>
          <wp:docPr id="9" name="Picture 9" descr="gradient%20line_th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radient%20line_th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70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  <w:t>Information Security Leads</w:t>
    </w:r>
  </w:p>
  <w:p w14:paraId="78E66F59" w14:textId="74F84F60" w:rsidR="00B53C78" w:rsidRPr="00F87792" w:rsidRDefault="007B16C2">
    <w:pPr>
      <w:pStyle w:val="Header"/>
      <w:tabs>
        <w:tab w:val="left" w:pos="6946"/>
      </w:tabs>
      <w:spacing w:after="120"/>
      <w:rPr>
        <w:rFonts w:ascii="Arial" w:hAnsi="Arial" w:cs="Arial"/>
        <w:color w:val="555559"/>
        <w:sz w:val="30"/>
        <w:szCs w:val="30"/>
      </w:rPr>
    </w:pPr>
    <w:r>
      <w:rPr>
        <w:rFonts w:ascii="Arial" w:hAnsi="Arial" w:cs="Arial"/>
        <w:color w:val="555559"/>
        <w:sz w:val="30"/>
        <w:szCs w:val="30"/>
      </w:rPr>
      <w:t>Victorian Protective Data Security Framework and Standards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34D76" w14:textId="3E6ED0B7" w:rsidR="002867F0" w:rsidRDefault="002867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6895F" w14:textId="3C49C277" w:rsidR="002867F0" w:rsidRDefault="002867F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A3FE1" w14:textId="1C31D2C0" w:rsidR="00C736EC" w:rsidRPr="00D70A8A" w:rsidRDefault="008536E9" w:rsidP="006612A9">
    <w:pPr>
      <w:pStyle w:val="Header"/>
      <w:tabs>
        <w:tab w:val="clear" w:pos="4513"/>
        <w:tab w:val="clear" w:pos="9026"/>
        <w:tab w:val="left" w:pos="6946"/>
      </w:tabs>
      <w:spacing w:after="180"/>
      <w:rPr>
        <w:color w:val="7F7F7F"/>
        <w:sz w:val="26"/>
        <w:szCs w:val="26"/>
      </w:rPr>
    </w:pPr>
    <w:r>
      <w:rPr>
        <w:noProof/>
        <w:color w:val="7F7F7F"/>
        <w:sz w:val="28"/>
        <w:szCs w:val="28"/>
        <w:lang w:val="en-AU" w:eastAsia="en-AU"/>
      </w:rPr>
      <w:drawing>
        <wp:anchor distT="0" distB="0" distL="114300" distR="114300" simplePos="0" relativeHeight="251661312" behindDoc="1" locked="0" layoutInCell="1" allowOverlap="1" wp14:anchorId="76105C4E" wp14:editId="6CB2259A">
          <wp:simplePos x="0" y="0"/>
          <wp:positionH relativeFrom="column">
            <wp:posOffset>6350</wp:posOffset>
          </wp:positionH>
          <wp:positionV relativeFrom="paragraph">
            <wp:posOffset>-104140</wp:posOffset>
          </wp:positionV>
          <wp:extent cx="1649095" cy="758190"/>
          <wp:effectExtent l="0" t="0" r="8255" b="3810"/>
          <wp:wrapThrough wrapText="bothSides">
            <wp:wrapPolygon edited="0">
              <wp:start x="0" y="0"/>
              <wp:lineTo x="0" y="21166"/>
              <wp:lineTo x="21459" y="21166"/>
              <wp:lineTo x="21459" y="0"/>
              <wp:lineTo x="0" y="0"/>
            </wp:wrapPolygon>
          </wp:wrapThrough>
          <wp:docPr id="12" name="Picture 12" descr="2056_OVIC_Logo_v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2056_OVIC_Logo_v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36EC" w:rsidRPr="0070388B">
      <w:rPr>
        <w:color w:val="7F7F7F"/>
        <w:sz w:val="28"/>
        <w:szCs w:val="28"/>
      </w:rPr>
      <w:tab/>
    </w:r>
    <w:r w:rsidR="00C736EC" w:rsidRPr="00D70A8A">
      <w:rPr>
        <w:color w:val="555559"/>
        <w:sz w:val="26"/>
        <w:szCs w:val="26"/>
      </w:rPr>
      <w:t>INFORMATION FOR</w:t>
    </w:r>
    <w:r w:rsidR="00C736EC" w:rsidRPr="00D70A8A">
      <w:rPr>
        <w:color w:val="7F7F7F"/>
        <w:sz w:val="26"/>
        <w:szCs w:val="26"/>
      </w:rPr>
      <w:br/>
    </w:r>
    <w:r w:rsidR="00C736EC" w:rsidRPr="00D70A8A">
      <w:rPr>
        <w:color w:val="7F7F7F"/>
        <w:sz w:val="26"/>
        <w:szCs w:val="26"/>
      </w:rPr>
      <w:tab/>
    </w:r>
    <w:r w:rsidR="00C736EC" w:rsidRPr="00D70A8A">
      <w:rPr>
        <w:color w:val="430098"/>
        <w:sz w:val="26"/>
        <w:szCs w:val="26"/>
      </w:rPr>
      <w:t>THE PUBLIC/AGENCIES</w:t>
    </w:r>
  </w:p>
  <w:p w14:paraId="13D145D3" w14:textId="77777777" w:rsidR="00C736EC" w:rsidRPr="00B37C5F" w:rsidRDefault="00C736EC" w:rsidP="006612A9">
    <w:pPr>
      <w:pStyle w:val="Header"/>
      <w:tabs>
        <w:tab w:val="clear" w:pos="4513"/>
        <w:tab w:val="left" w:pos="6946"/>
      </w:tabs>
      <w:spacing w:after="60"/>
      <w:rPr>
        <w:color w:val="7F7F7F"/>
        <w:sz w:val="20"/>
        <w:szCs w:val="20"/>
      </w:rPr>
    </w:pPr>
    <w:r w:rsidRPr="00B37C5F">
      <w:rPr>
        <w:color w:val="7F7F7F"/>
        <w:sz w:val="20"/>
        <w:szCs w:val="20"/>
      </w:rPr>
      <w:tab/>
    </w:r>
    <w:r w:rsidRPr="00B37C5F">
      <w:rPr>
        <w:color w:val="7F7F7F"/>
        <w:sz w:val="20"/>
        <w:szCs w:val="20"/>
      </w:rPr>
      <w:tab/>
    </w:r>
    <w:r w:rsidRPr="00064688">
      <w:rPr>
        <w:color w:val="555559"/>
        <w:sz w:val="20"/>
        <w:szCs w:val="20"/>
      </w:rPr>
      <w:t>1300 00 6842 | ovic.</w:t>
    </w:r>
    <w:r>
      <w:rPr>
        <w:color w:val="555559"/>
        <w:sz w:val="20"/>
        <w:szCs w:val="20"/>
      </w:rPr>
      <w:t>vic.gov</w:t>
    </w:r>
    <w:r w:rsidRPr="00064688">
      <w:rPr>
        <w:color w:val="555559"/>
        <w:sz w:val="20"/>
        <w:szCs w:val="20"/>
      </w:rPr>
      <w:t>.au</w:t>
    </w:r>
  </w:p>
  <w:p w14:paraId="5E707423" w14:textId="77777777" w:rsidR="00C736EC" w:rsidRPr="0070388B" w:rsidRDefault="008536E9" w:rsidP="006612A9">
    <w:pPr>
      <w:pStyle w:val="Header"/>
      <w:tabs>
        <w:tab w:val="clear" w:pos="4513"/>
        <w:tab w:val="clear" w:pos="9026"/>
        <w:tab w:val="left" w:pos="6946"/>
      </w:tabs>
      <w:spacing w:before="120"/>
      <w:rPr>
        <w:color w:val="7F7F7F"/>
        <w:sz w:val="20"/>
        <w:szCs w:val="20"/>
      </w:rPr>
    </w:pPr>
    <w:r>
      <w:rPr>
        <w:noProof/>
        <w:color w:val="7F7F7F"/>
        <w:sz w:val="20"/>
        <w:szCs w:val="20"/>
        <w:lang w:val="en-AU" w:eastAsia="en-AU"/>
      </w:rPr>
      <w:drawing>
        <wp:anchor distT="0" distB="0" distL="114300" distR="114300" simplePos="0" relativeHeight="251660288" behindDoc="0" locked="0" layoutInCell="1" allowOverlap="1" wp14:anchorId="09597C29" wp14:editId="48FCE412">
          <wp:simplePos x="0" y="0"/>
          <wp:positionH relativeFrom="column">
            <wp:posOffset>-20955</wp:posOffset>
          </wp:positionH>
          <wp:positionV relativeFrom="paragraph">
            <wp:posOffset>172085</wp:posOffset>
          </wp:positionV>
          <wp:extent cx="6119495" cy="70485"/>
          <wp:effectExtent l="0" t="0" r="0" b="5715"/>
          <wp:wrapThrough wrapText="bothSides">
            <wp:wrapPolygon edited="0">
              <wp:start x="0" y="0"/>
              <wp:lineTo x="0" y="17514"/>
              <wp:lineTo x="21517" y="17514"/>
              <wp:lineTo x="21517" y="0"/>
              <wp:lineTo x="0" y="0"/>
            </wp:wrapPolygon>
          </wp:wrapThrough>
          <wp:docPr id="11" name="Picture 11" descr="gradient%20line_th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gradient%20line_th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70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243D4E" w14:textId="77777777" w:rsidR="00C736EC" w:rsidRPr="002F0938" w:rsidRDefault="00C736EC" w:rsidP="006612A9">
    <w:pPr>
      <w:pStyle w:val="DocumentTitle"/>
      <w:spacing w:before="475"/>
      <w:rPr>
        <w:sz w:val="36"/>
        <w:szCs w:val="36"/>
      </w:rPr>
    </w:pPr>
    <w:r w:rsidRPr="002F0938">
      <w:rPr>
        <w:sz w:val="36"/>
        <w:szCs w:val="36"/>
      </w:rPr>
      <w:t>Document Title</w:t>
    </w:r>
  </w:p>
  <w:p w14:paraId="5850A3F7" w14:textId="77777777" w:rsidR="00C736EC" w:rsidRPr="002F0938" w:rsidRDefault="00C736EC" w:rsidP="006612A9">
    <w:pPr>
      <w:pStyle w:val="Header"/>
      <w:tabs>
        <w:tab w:val="left" w:pos="6946"/>
      </w:tabs>
      <w:spacing w:after="120"/>
      <w:rPr>
        <w:rFonts w:ascii="Arial" w:hAnsi="Arial" w:cs="Arial"/>
        <w:color w:val="555559"/>
        <w:sz w:val="30"/>
        <w:szCs w:val="30"/>
      </w:rPr>
    </w:pPr>
    <w:r w:rsidRPr="002F0938">
      <w:rPr>
        <w:rFonts w:ascii="Arial" w:hAnsi="Arial" w:cs="Arial"/>
        <w:color w:val="555559"/>
        <w:sz w:val="30"/>
        <w:szCs w:val="30"/>
      </w:rPr>
      <w:t>Document Subtitle</w:t>
    </w:r>
  </w:p>
  <w:p w14:paraId="28AF1146" w14:textId="77777777" w:rsidR="00C736EC" w:rsidRDefault="00C736E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E550B" w14:textId="0952C03C" w:rsidR="002867F0" w:rsidRDefault="002867F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398AA" w14:textId="46A57578" w:rsidR="002867F0" w:rsidRDefault="002867F0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5D3A9" w14:textId="74B61BBB" w:rsidR="00BD07DC" w:rsidRPr="00B37C5F" w:rsidRDefault="00BD07DC" w:rsidP="00BD07DC">
    <w:pPr>
      <w:pStyle w:val="Header"/>
      <w:tabs>
        <w:tab w:val="clear" w:pos="4513"/>
        <w:tab w:val="clear" w:pos="9026"/>
        <w:tab w:val="left" w:pos="6946"/>
      </w:tabs>
      <w:spacing w:after="180"/>
      <w:rPr>
        <w:color w:val="7F7F7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5672"/>
    <w:multiLevelType w:val="hybridMultilevel"/>
    <w:tmpl w:val="3306D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953E0"/>
    <w:multiLevelType w:val="hybridMultilevel"/>
    <w:tmpl w:val="0344A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A56D7"/>
    <w:multiLevelType w:val="multilevel"/>
    <w:tmpl w:val="B3729A46"/>
    <w:numStyleLink w:val="111111"/>
  </w:abstractNum>
  <w:abstractNum w:abstractNumId="3" w15:restartNumberingAfterBreak="0">
    <w:nsid w:val="10DC0C01"/>
    <w:multiLevelType w:val="hybridMultilevel"/>
    <w:tmpl w:val="8D463B6C"/>
    <w:lvl w:ilvl="0" w:tplc="08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12C07EE1"/>
    <w:multiLevelType w:val="hybridMultilevel"/>
    <w:tmpl w:val="1CECF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02E7D"/>
    <w:multiLevelType w:val="hybridMultilevel"/>
    <w:tmpl w:val="48683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25B1C"/>
    <w:multiLevelType w:val="hybridMultilevel"/>
    <w:tmpl w:val="3424A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27B59"/>
    <w:multiLevelType w:val="hybridMultilevel"/>
    <w:tmpl w:val="F296154E"/>
    <w:lvl w:ilvl="0" w:tplc="66A40E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25376"/>
    <w:multiLevelType w:val="multilevel"/>
    <w:tmpl w:val="B3729A46"/>
    <w:styleLink w:val="111111"/>
    <w:lvl w:ilvl="0">
      <w:start w:val="1"/>
      <w:numFmt w:val="decimal"/>
      <w:pStyle w:val="SectionHeading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ectionSubhead"/>
      <w:suff w:val="space"/>
      <w:lvlText w:val="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F214F8"/>
    <w:multiLevelType w:val="hybridMultilevel"/>
    <w:tmpl w:val="0D54B64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C3448E6E">
      <w:start w:val="1"/>
      <w:numFmt w:val="decimal"/>
      <w:lvlText w:val="%2."/>
      <w:lvlJc w:val="left"/>
      <w:pPr>
        <w:ind w:left="360" w:hanging="360"/>
      </w:pPr>
      <w:rPr>
        <w:b/>
        <w:bCs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6004D3F"/>
    <w:multiLevelType w:val="hybridMultilevel"/>
    <w:tmpl w:val="59E28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04FE0"/>
    <w:multiLevelType w:val="hybridMultilevel"/>
    <w:tmpl w:val="01A8D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620A7"/>
    <w:multiLevelType w:val="hybridMultilevel"/>
    <w:tmpl w:val="BEE4A8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60ABB"/>
    <w:multiLevelType w:val="hybridMultilevel"/>
    <w:tmpl w:val="9C109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9252C"/>
    <w:multiLevelType w:val="hybridMultilevel"/>
    <w:tmpl w:val="6F72C12C"/>
    <w:lvl w:ilvl="0" w:tplc="447252F0">
      <w:start w:val="1"/>
      <w:numFmt w:val="bullet"/>
      <w:pStyle w:val="ColourfulListAccent11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56D6D"/>
    <w:multiLevelType w:val="hybridMultilevel"/>
    <w:tmpl w:val="9056BF6A"/>
    <w:lvl w:ilvl="0" w:tplc="66A40E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94303"/>
    <w:multiLevelType w:val="hybridMultilevel"/>
    <w:tmpl w:val="FDE49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91A4A"/>
    <w:multiLevelType w:val="hybridMultilevel"/>
    <w:tmpl w:val="61DA6D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046E3B"/>
    <w:multiLevelType w:val="hybridMultilevel"/>
    <w:tmpl w:val="DE749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15FB9"/>
    <w:multiLevelType w:val="multilevel"/>
    <w:tmpl w:val="7B701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5C5C5C"/>
      </w:rPr>
    </w:lvl>
    <w:lvl w:ilvl="1">
      <w:start w:val="1"/>
      <w:numFmt w:val="lowerLetter"/>
      <w:lvlText w:val="%2"/>
      <w:lvlJc w:val="left"/>
      <w:pPr>
        <w:ind w:left="426" w:hanging="360"/>
      </w:pPr>
      <w:rPr>
        <w:rFonts w:hint="default"/>
        <w:color w:val="463A70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252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B85574"/>
    <w:multiLevelType w:val="hybridMultilevel"/>
    <w:tmpl w:val="FE7A4CD6"/>
    <w:lvl w:ilvl="0" w:tplc="66A40ECC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6E65E0"/>
    <w:multiLevelType w:val="hybridMultilevel"/>
    <w:tmpl w:val="3DAE9A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CC34E8D"/>
    <w:multiLevelType w:val="hybridMultilevel"/>
    <w:tmpl w:val="9A7E6B3A"/>
    <w:lvl w:ilvl="0" w:tplc="08090001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23" w15:restartNumberingAfterBreak="0">
    <w:nsid w:val="71E41750"/>
    <w:multiLevelType w:val="multilevel"/>
    <w:tmpl w:val="3646AC2E"/>
    <w:lvl w:ilvl="0">
      <w:start w:val="1"/>
      <w:numFmt w:val="decimal"/>
      <w:lvlText w:val="%1."/>
      <w:lvlJc w:val="left"/>
      <w:pPr>
        <w:ind w:left="1777" w:hanging="360"/>
      </w:pPr>
      <w:rPr>
        <w:rFonts w:hint="default"/>
        <w:color w:val="17365D" w:themeColor="text2" w:themeShade="BF"/>
      </w:rPr>
    </w:lvl>
    <w:lvl w:ilvl="1">
      <w:start w:val="5"/>
      <w:numFmt w:val="decimal"/>
      <w:isLgl/>
      <w:lvlText w:val="%1.%2"/>
      <w:lvlJc w:val="left"/>
      <w:pPr>
        <w:ind w:left="2337" w:hanging="9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7" w:hanging="9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37" w:hanging="2520"/>
      </w:pPr>
      <w:rPr>
        <w:rFonts w:hint="default"/>
      </w:rPr>
    </w:lvl>
  </w:abstractNum>
  <w:abstractNum w:abstractNumId="24" w15:restartNumberingAfterBreak="0">
    <w:nsid w:val="74680ED9"/>
    <w:multiLevelType w:val="hybridMultilevel"/>
    <w:tmpl w:val="760C4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CE2C5F"/>
    <w:multiLevelType w:val="hybridMultilevel"/>
    <w:tmpl w:val="E684E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20"/>
  </w:num>
  <w:num w:numId="5">
    <w:abstractNumId w:val="15"/>
  </w:num>
  <w:num w:numId="6">
    <w:abstractNumId w:val="16"/>
  </w:num>
  <w:num w:numId="7">
    <w:abstractNumId w:val="3"/>
  </w:num>
  <w:num w:numId="8">
    <w:abstractNumId w:val="8"/>
  </w:num>
  <w:num w:numId="9">
    <w:abstractNumId w:val="2"/>
  </w:num>
  <w:num w:numId="10">
    <w:abstractNumId w:val="4"/>
  </w:num>
  <w:num w:numId="11">
    <w:abstractNumId w:val="6"/>
  </w:num>
  <w:num w:numId="12">
    <w:abstractNumId w:val="25"/>
  </w:num>
  <w:num w:numId="13">
    <w:abstractNumId w:val="10"/>
  </w:num>
  <w:num w:numId="14">
    <w:abstractNumId w:val="5"/>
  </w:num>
  <w:num w:numId="15">
    <w:abstractNumId w:val="18"/>
  </w:num>
  <w:num w:numId="16">
    <w:abstractNumId w:val="1"/>
  </w:num>
  <w:num w:numId="17">
    <w:abstractNumId w:val="2"/>
    <w:lvlOverride w:ilvl="0">
      <w:lvl w:ilvl="0">
        <w:start w:val="1"/>
        <w:numFmt w:val="decimal"/>
        <w:pStyle w:val="SectionHeading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SectionSubhead"/>
        <w:suff w:val="space"/>
        <w:lvlText w:val="%1.%2."/>
        <w:lvlJc w:val="left"/>
        <w:pPr>
          <w:ind w:left="357" w:firstLine="3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9"/>
  </w:num>
  <w:num w:numId="19">
    <w:abstractNumId w:val="11"/>
  </w:num>
  <w:num w:numId="20">
    <w:abstractNumId w:val="17"/>
  </w:num>
  <w:num w:numId="21">
    <w:abstractNumId w:val="21"/>
  </w:num>
  <w:num w:numId="22">
    <w:abstractNumId w:val="12"/>
  </w:num>
  <w:num w:numId="23">
    <w:abstractNumId w:val="22"/>
  </w:num>
  <w:num w:numId="24">
    <w:abstractNumId w:val="24"/>
  </w:num>
  <w:num w:numId="25">
    <w:abstractNumId w:val="23"/>
  </w:num>
  <w:num w:numId="26">
    <w:abstractNumId w:val="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793"/>
    <w:rsid w:val="00010E45"/>
    <w:rsid w:val="000243CA"/>
    <w:rsid w:val="00044686"/>
    <w:rsid w:val="000521A7"/>
    <w:rsid w:val="00064688"/>
    <w:rsid w:val="000677DA"/>
    <w:rsid w:val="00077961"/>
    <w:rsid w:val="00091CB4"/>
    <w:rsid w:val="00097FEE"/>
    <w:rsid w:val="000A1167"/>
    <w:rsid w:val="000A71A2"/>
    <w:rsid w:val="000E6BDD"/>
    <w:rsid w:val="000E7FAE"/>
    <w:rsid w:val="000F3A12"/>
    <w:rsid w:val="000F52EA"/>
    <w:rsid w:val="001016BA"/>
    <w:rsid w:val="00106E95"/>
    <w:rsid w:val="00112391"/>
    <w:rsid w:val="001159CB"/>
    <w:rsid w:val="0013002E"/>
    <w:rsid w:val="001362A0"/>
    <w:rsid w:val="00142FDF"/>
    <w:rsid w:val="00144792"/>
    <w:rsid w:val="00164A42"/>
    <w:rsid w:val="00176B1A"/>
    <w:rsid w:val="001A661D"/>
    <w:rsid w:val="001B56EF"/>
    <w:rsid w:val="001D060E"/>
    <w:rsid w:val="001D1F36"/>
    <w:rsid w:val="001D6862"/>
    <w:rsid w:val="00212CF2"/>
    <w:rsid w:val="0022333C"/>
    <w:rsid w:val="0023641B"/>
    <w:rsid w:val="00237CCF"/>
    <w:rsid w:val="002502B2"/>
    <w:rsid w:val="0025217E"/>
    <w:rsid w:val="00252342"/>
    <w:rsid w:val="002554C8"/>
    <w:rsid w:val="002867F0"/>
    <w:rsid w:val="00290CAD"/>
    <w:rsid w:val="002A36A6"/>
    <w:rsid w:val="002A48A0"/>
    <w:rsid w:val="002E112D"/>
    <w:rsid w:val="002F5093"/>
    <w:rsid w:val="0030127F"/>
    <w:rsid w:val="00305D40"/>
    <w:rsid w:val="00322784"/>
    <w:rsid w:val="00323B7A"/>
    <w:rsid w:val="0034012C"/>
    <w:rsid w:val="003447E4"/>
    <w:rsid w:val="0036085D"/>
    <w:rsid w:val="00365A31"/>
    <w:rsid w:val="00370F3D"/>
    <w:rsid w:val="00372C3E"/>
    <w:rsid w:val="00376609"/>
    <w:rsid w:val="003A4F03"/>
    <w:rsid w:val="003A7085"/>
    <w:rsid w:val="003B648E"/>
    <w:rsid w:val="003F5DA4"/>
    <w:rsid w:val="003F7D9E"/>
    <w:rsid w:val="00402C2E"/>
    <w:rsid w:val="004155F4"/>
    <w:rsid w:val="0041597C"/>
    <w:rsid w:val="004327E8"/>
    <w:rsid w:val="00436652"/>
    <w:rsid w:val="004534C9"/>
    <w:rsid w:val="004716B4"/>
    <w:rsid w:val="00545285"/>
    <w:rsid w:val="00555602"/>
    <w:rsid w:val="005870C5"/>
    <w:rsid w:val="005A7D4B"/>
    <w:rsid w:val="0061581B"/>
    <w:rsid w:val="006205EA"/>
    <w:rsid w:val="00620D36"/>
    <w:rsid w:val="00635E9F"/>
    <w:rsid w:val="00646244"/>
    <w:rsid w:val="006612A9"/>
    <w:rsid w:val="006713D1"/>
    <w:rsid w:val="006A73CB"/>
    <w:rsid w:val="006B1C0F"/>
    <w:rsid w:val="006D60FD"/>
    <w:rsid w:val="006E3707"/>
    <w:rsid w:val="006F16AE"/>
    <w:rsid w:val="00706D7F"/>
    <w:rsid w:val="00723ACA"/>
    <w:rsid w:val="00760DDC"/>
    <w:rsid w:val="00765158"/>
    <w:rsid w:val="0078024B"/>
    <w:rsid w:val="00790F28"/>
    <w:rsid w:val="007A3757"/>
    <w:rsid w:val="007A6964"/>
    <w:rsid w:val="007B16C2"/>
    <w:rsid w:val="007B268F"/>
    <w:rsid w:val="007C4B36"/>
    <w:rsid w:val="00801FE8"/>
    <w:rsid w:val="008536E9"/>
    <w:rsid w:val="00863040"/>
    <w:rsid w:val="0086734F"/>
    <w:rsid w:val="00870FF3"/>
    <w:rsid w:val="00885422"/>
    <w:rsid w:val="008B2028"/>
    <w:rsid w:val="008B4992"/>
    <w:rsid w:val="008B7923"/>
    <w:rsid w:val="008F106C"/>
    <w:rsid w:val="008F2C70"/>
    <w:rsid w:val="009236D4"/>
    <w:rsid w:val="00940F43"/>
    <w:rsid w:val="009445F4"/>
    <w:rsid w:val="00991204"/>
    <w:rsid w:val="009947EE"/>
    <w:rsid w:val="009B32E9"/>
    <w:rsid w:val="009C24DB"/>
    <w:rsid w:val="009C5614"/>
    <w:rsid w:val="009F1202"/>
    <w:rsid w:val="009F4967"/>
    <w:rsid w:val="00A14089"/>
    <w:rsid w:val="00A33D6F"/>
    <w:rsid w:val="00A426EC"/>
    <w:rsid w:val="00A97476"/>
    <w:rsid w:val="00AA3540"/>
    <w:rsid w:val="00AC1C6A"/>
    <w:rsid w:val="00AC42E9"/>
    <w:rsid w:val="00AC4FE4"/>
    <w:rsid w:val="00AE13A1"/>
    <w:rsid w:val="00AE17AE"/>
    <w:rsid w:val="00AF7D1F"/>
    <w:rsid w:val="00B177DA"/>
    <w:rsid w:val="00B369FA"/>
    <w:rsid w:val="00B37C5F"/>
    <w:rsid w:val="00B53C78"/>
    <w:rsid w:val="00B87010"/>
    <w:rsid w:val="00BC6B6F"/>
    <w:rsid w:val="00BD07DC"/>
    <w:rsid w:val="00BD3962"/>
    <w:rsid w:val="00BD7D42"/>
    <w:rsid w:val="00C3451D"/>
    <w:rsid w:val="00C573CD"/>
    <w:rsid w:val="00C70965"/>
    <w:rsid w:val="00C730E0"/>
    <w:rsid w:val="00C736EC"/>
    <w:rsid w:val="00CA6644"/>
    <w:rsid w:val="00CE7458"/>
    <w:rsid w:val="00D16793"/>
    <w:rsid w:val="00D267EC"/>
    <w:rsid w:val="00D32D00"/>
    <w:rsid w:val="00D34079"/>
    <w:rsid w:val="00D41EFF"/>
    <w:rsid w:val="00D6040B"/>
    <w:rsid w:val="00D723C1"/>
    <w:rsid w:val="00D910F9"/>
    <w:rsid w:val="00DA234D"/>
    <w:rsid w:val="00DA27BE"/>
    <w:rsid w:val="00DB13A1"/>
    <w:rsid w:val="00DB55DB"/>
    <w:rsid w:val="00DC60CF"/>
    <w:rsid w:val="00DD5F93"/>
    <w:rsid w:val="00E143C7"/>
    <w:rsid w:val="00E269C0"/>
    <w:rsid w:val="00E4386B"/>
    <w:rsid w:val="00E45B00"/>
    <w:rsid w:val="00E55B23"/>
    <w:rsid w:val="00E61AAE"/>
    <w:rsid w:val="00E77EAC"/>
    <w:rsid w:val="00E91DBD"/>
    <w:rsid w:val="00ED7EF6"/>
    <w:rsid w:val="00EF06C1"/>
    <w:rsid w:val="00EF65B2"/>
    <w:rsid w:val="00F36C34"/>
    <w:rsid w:val="00F4301B"/>
    <w:rsid w:val="00F509DE"/>
    <w:rsid w:val="00F53D57"/>
    <w:rsid w:val="00F6039B"/>
    <w:rsid w:val="00F87792"/>
    <w:rsid w:val="00FA407A"/>
    <w:rsid w:val="00FB00D2"/>
    <w:rsid w:val="00FB1808"/>
    <w:rsid w:val="00FD36C2"/>
    <w:rsid w:val="00FD73CD"/>
    <w:rsid w:val="00FE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1D64DA"/>
  <w14:defaultImageDpi w14:val="32767"/>
  <w15:docId w15:val="{733A0017-4117-BF45-B04B-3EC5CB61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40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40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42FDF"/>
    <w:pPr>
      <w:spacing w:line="387" w:lineRule="exact"/>
      <w:ind w:left="2133"/>
      <w:outlineLvl w:val="2"/>
    </w:pPr>
    <w:rPr>
      <w:rFonts w:ascii="Arial Unicode MS" w:eastAsia="Times New Roman" w:hAnsi="Arial Unicode MS"/>
      <w:color w:val="7F7F7F" w:themeColor="text1" w:themeTint="80"/>
      <w:sz w:val="30"/>
      <w:szCs w:val="30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C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C78"/>
  </w:style>
  <w:style w:type="paragraph" w:styleId="Footer">
    <w:name w:val="footer"/>
    <w:basedOn w:val="Normal"/>
    <w:link w:val="FooterChar"/>
    <w:uiPriority w:val="99"/>
    <w:unhideWhenUsed/>
    <w:rsid w:val="00BD07DC"/>
    <w:pPr>
      <w:tabs>
        <w:tab w:val="center" w:pos="4513"/>
        <w:tab w:val="right" w:pos="9026"/>
      </w:tabs>
    </w:pPr>
    <w:rPr>
      <w:color w:val="430098"/>
    </w:rPr>
  </w:style>
  <w:style w:type="character" w:customStyle="1" w:styleId="FooterChar">
    <w:name w:val="Footer Char"/>
    <w:link w:val="Footer"/>
    <w:uiPriority w:val="99"/>
    <w:rsid w:val="00BD07DC"/>
    <w:rPr>
      <w:color w:val="430098"/>
    </w:rPr>
  </w:style>
  <w:style w:type="paragraph" w:customStyle="1" w:styleId="BasicParagraph">
    <w:name w:val="[Basic Paragraph]"/>
    <w:basedOn w:val="Normal"/>
    <w:uiPriority w:val="99"/>
    <w:rsid w:val="00F36C3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ody">
    <w:name w:val="Body"/>
    <w:basedOn w:val="BasicParagraph"/>
    <w:qFormat/>
    <w:rsid w:val="008B7923"/>
    <w:pPr>
      <w:suppressAutoHyphens/>
      <w:spacing w:after="240" w:line="240" w:lineRule="auto"/>
    </w:pPr>
    <w:rPr>
      <w:rFonts w:ascii="Calibri" w:hAnsi="Calibri" w:cs="PostGrotesk-Book"/>
      <w:color w:val="55565A"/>
      <w:sz w:val="22"/>
      <w:szCs w:val="22"/>
    </w:rPr>
  </w:style>
  <w:style w:type="paragraph" w:customStyle="1" w:styleId="SectionHeading1">
    <w:name w:val="Section Heading 1"/>
    <w:basedOn w:val="BasicParagraph"/>
    <w:qFormat/>
    <w:rsid w:val="008B7923"/>
    <w:pPr>
      <w:suppressAutoHyphens/>
      <w:spacing w:after="120"/>
    </w:pPr>
    <w:rPr>
      <w:rFonts w:ascii="Calibri" w:hAnsi="Calibri" w:cs="PostGrotesk-Medium"/>
      <w:color w:val="430098"/>
      <w:sz w:val="28"/>
      <w:szCs w:val="28"/>
    </w:rPr>
  </w:style>
  <w:style w:type="paragraph" w:customStyle="1" w:styleId="SectionHeading2">
    <w:name w:val="Section Heading 2"/>
    <w:basedOn w:val="BasicParagraph"/>
    <w:qFormat/>
    <w:rsid w:val="00372C3E"/>
    <w:pPr>
      <w:suppressAutoHyphens/>
      <w:spacing w:after="120"/>
    </w:pPr>
    <w:rPr>
      <w:rFonts w:ascii="Calibri" w:hAnsi="Calibri" w:cs="PostGrotesk-Medium"/>
      <w:b/>
      <w:color w:val="55565A"/>
    </w:rPr>
  </w:style>
  <w:style w:type="paragraph" w:customStyle="1" w:styleId="ColourfulListAccent11">
    <w:name w:val="Colourful List – Accent 11"/>
    <w:basedOn w:val="Body"/>
    <w:uiPriority w:val="34"/>
    <w:qFormat/>
    <w:rsid w:val="00064688"/>
    <w:pPr>
      <w:numPr>
        <w:numId w:val="2"/>
      </w:numPr>
      <w:spacing w:after="0"/>
      <w:ind w:left="284" w:hanging="284"/>
    </w:pPr>
  </w:style>
  <w:style w:type="paragraph" w:customStyle="1" w:styleId="Introduction">
    <w:name w:val="Introduction"/>
    <w:qFormat/>
    <w:rsid w:val="00B177DA"/>
    <w:pPr>
      <w:suppressAutoHyphens/>
      <w:spacing w:after="360"/>
      <w:ind w:right="1835"/>
    </w:pPr>
    <w:rPr>
      <w:rFonts w:cs="PostGrotesk-Book"/>
      <w:color w:val="7F7F7F"/>
      <w:sz w:val="28"/>
      <w:szCs w:val="28"/>
      <w:lang w:val="en-GB" w:eastAsia="en-US"/>
    </w:rPr>
  </w:style>
  <w:style w:type="paragraph" w:customStyle="1" w:styleId="Linebreak11pt">
    <w:name w:val="Line break 11pt"/>
    <w:basedOn w:val="BasicParagraph"/>
    <w:qFormat/>
    <w:rsid w:val="008B7923"/>
    <w:pPr>
      <w:suppressAutoHyphens/>
    </w:pPr>
    <w:rPr>
      <w:rFonts w:ascii="Calibri" w:hAnsi="Calibri" w:cs="PostGrotesk-Medium"/>
      <w:color w:val="55565A"/>
      <w:sz w:val="22"/>
      <w:szCs w:val="22"/>
    </w:rPr>
  </w:style>
  <w:style w:type="paragraph" w:customStyle="1" w:styleId="Disclaimer">
    <w:name w:val="Disclaimer"/>
    <w:basedOn w:val="Normal"/>
    <w:qFormat/>
    <w:rsid w:val="00064688"/>
    <w:pPr>
      <w:ind w:right="-7"/>
    </w:pPr>
    <w:rPr>
      <w:rFonts w:cs="PostGrotesk-Book"/>
      <w:color w:val="555559"/>
      <w:sz w:val="18"/>
      <w:szCs w:val="18"/>
    </w:rPr>
  </w:style>
  <w:style w:type="paragraph" w:customStyle="1" w:styleId="IntroductoryText">
    <w:name w:val="Introductory Text"/>
    <w:qFormat/>
    <w:rsid w:val="00863040"/>
    <w:pPr>
      <w:suppressAutoHyphens/>
      <w:spacing w:after="360"/>
      <w:ind w:right="1835"/>
    </w:pPr>
    <w:rPr>
      <w:rFonts w:cs="PostGrotesk-Book"/>
      <w:color w:val="555559"/>
      <w:sz w:val="28"/>
      <w:szCs w:val="28"/>
      <w:lang w:val="en-GB" w:eastAsia="en-US"/>
    </w:rPr>
  </w:style>
  <w:style w:type="paragraph" w:customStyle="1" w:styleId="DocumentTitle">
    <w:name w:val="Document Title"/>
    <w:basedOn w:val="Header"/>
    <w:qFormat/>
    <w:rsid w:val="00863040"/>
    <w:pPr>
      <w:tabs>
        <w:tab w:val="clear" w:pos="9026"/>
        <w:tab w:val="left" w:pos="6946"/>
      </w:tabs>
      <w:spacing w:before="840" w:after="120"/>
    </w:pPr>
    <w:rPr>
      <w:rFonts w:ascii="Arial" w:hAnsi="Arial" w:cs="Arial"/>
      <w:b/>
      <w:color w:val="430098"/>
      <w:sz w:val="40"/>
      <w:szCs w:val="40"/>
    </w:rPr>
  </w:style>
  <w:style w:type="paragraph" w:customStyle="1" w:styleId="DocumentSubtitle">
    <w:name w:val="Document Subtitle"/>
    <w:basedOn w:val="Header"/>
    <w:qFormat/>
    <w:rsid w:val="00863040"/>
    <w:pPr>
      <w:tabs>
        <w:tab w:val="left" w:pos="6946"/>
      </w:tabs>
      <w:spacing w:after="240"/>
    </w:pPr>
    <w:rPr>
      <w:rFonts w:ascii="Arial" w:hAnsi="Arial" w:cs="Arial"/>
      <w:color w:val="555559"/>
      <w:sz w:val="32"/>
      <w:szCs w:val="32"/>
    </w:rPr>
  </w:style>
  <w:style w:type="table" w:customStyle="1" w:styleId="PlainTable11">
    <w:name w:val="Plain Table 11"/>
    <w:basedOn w:val="TableNormal"/>
    <w:uiPriority w:val="41"/>
    <w:rsid w:val="008B7923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TableHeading">
    <w:name w:val="Table Heading"/>
    <w:qFormat/>
    <w:rsid w:val="008B7923"/>
    <w:rPr>
      <w:rFonts w:cs="PostGrotesk-Book"/>
      <w:b/>
      <w:bCs/>
      <w:color w:val="55565A"/>
      <w:sz w:val="22"/>
      <w:szCs w:val="22"/>
      <w:lang w:val="en-GB" w:eastAsia="en-US"/>
    </w:rPr>
  </w:style>
  <w:style w:type="paragraph" w:customStyle="1" w:styleId="TableBody">
    <w:name w:val="Table Body"/>
    <w:qFormat/>
    <w:rsid w:val="008B7923"/>
    <w:rPr>
      <w:bCs/>
      <w:color w:val="55565A"/>
      <w:sz w:val="22"/>
      <w:szCs w:val="22"/>
      <w:lang w:val="en-GB" w:eastAsia="en-US"/>
    </w:rPr>
  </w:style>
  <w:style w:type="paragraph" w:customStyle="1" w:styleId="FurtherInfo">
    <w:name w:val="Further Info"/>
    <w:qFormat/>
    <w:rsid w:val="00372C3E"/>
    <w:pPr>
      <w:pBdr>
        <w:top w:val="single" w:sz="4" w:space="6" w:color="430098"/>
      </w:pBdr>
      <w:spacing w:before="480" w:after="200"/>
    </w:pPr>
    <w:rPr>
      <w:rFonts w:cs="PostGrotesk-Medium"/>
      <w:color w:val="430098"/>
      <w:sz w:val="28"/>
      <w:szCs w:val="28"/>
      <w:lang w:val="en-GB" w:eastAsia="en-US"/>
    </w:rPr>
  </w:style>
  <w:style w:type="paragraph" w:styleId="ListParagraph">
    <w:name w:val="List Paragraph"/>
    <w:basedOn w:val="Normal"/>
    <w:uiPriority w:val="72"/>
    <w:qFormat/>
    <w:rsid w:val="000677DA"/>
    <w:pPr>
      <w:spacing w:after="200" w:line="276" w:lineRule="auto"/>
      <w:ind w:left="720"/>
      <w:contextualSpacing/>
    </w:pPr>
    <w:rPr>
      <w:sz w:val="22"/>
      <w:szCs w:val="22"/>
      <w:lang w:val="en-AU"/>
    </w:rPr>
  </w:style>
  <w:style w:type="table" w:styleId="TableGrid">
    <w:name w:val="Table Grid"/>
    <w:basedOn w:val="TableNormal"/>
    <w:uiPriority w:val="39"/>
    <w:unhideWhenUsed/>
    <w:rsid w:val="00D16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4">
    <w:name w:val="Grid Table 1 Light Accent 4"/>
    <w:basedOn w:val="TableNormal"/>
    <w:uiPriority w:val="46"/>
    <w:rsid w:val="00D1679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uiPriority w:val="99"/>
    <w:rsid w:val="0061581B"/>
    <w:rPr>
      <w:color w:val="430098"/>
      <w:w w:val="100"/>
      <w:u w:val="single" w:color="43009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581B"/>
    <w:rPr>
      <w:rFonts w:asciiTheme="minorHAnsi" w:eastAsia="Times New Roman" w:hAnsiTheme="minorHAnsi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581B"/>
    <w:rPr>
      <w:rFonts w:asciiTheme="minorHAnsi" w:eastAsia="Times New Roman" w:hAnsiTheme="minorHAns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61581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089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089"/>
    <w:rPr>
      <w:rFonts w:ascii="Times New Roman" w:hAnsi="Times New Roman"/>
      <w:sz w:val="18"/>
      <w:szCs w:val="18"/>
      <w:lang w:val="en-GB" w:eastAsia="en-US"/>
    </w:rPr>
  </w:style>
  <w:style w:type="character" w:styleId="CommentReference">
    <w:name w:val="annotation reference"/>
    <w:uiPriority w:val="99"/>
    <w:rsid w:val="00A14089"/>
    <w:rPr>
      <w:w w:val="100"/>
      <w:sz w:val="16"/>
      <w:szCs w:val="16"/>
    </w:rPr>
  </w:style>
  <w:style w:type="numbering" w:styleId="111111">
    <w:name w:val="Outline List 2"/>
    <w:basedOn w:val="NoList"/>
    <w:uiPriority w:val="99"/>
    <w:semiHidden/>
    <w:unhideWhenUsed/>
    <w:rsid w:val="00A14089"/>
    <w:pPr>
      <w:numPr>
        <w:numId w:val="8"/>
      </w:numPr>
    </w:pPr>
  </w:style>
  <w:style w:type="paragraph" w:customStyle="1" w:styleId="SectionHeading">
    <w:name w:val="Section Heading"/>
    <w:basedOn w:val="Heading1"/>
    <w:qFormat/>
    <w:rsid w:val="00A14089"/>
    <w:pPr>
      <w:keepNext w:val="0"/>
      <w:keepLines w:val="0"/>
      <w:numPr>
        <w:numId w:val="9"/>
      </w:numPr>
      <w:spacing w:before="120" w:after="160" w:line="264" w:lineRule="auto"/>
      <w:ind w:left="720"/>
    </w:pPr>
    <w:rPr>
      <w:rFonts w:ascii="Calibri" w:eastAsia="Times New Roman" w:hAnsi="Calibri" w:cs="Times New Roman"/>
      <w:b/>
      <w:color w:val="5620A9"/>
      <w:sz w:val="22"/>
    </w:rPr>
  </w:style>
  <w:style w:type="paragraph" w:customStyle="1" w:styleId="SectionSubhead">
    <w:name w:val="Section Subhead"/>
    <w:basedOn w:val="Heading2"/>
    <w:qFormat/>
    <w:rsid w:val="00A14089"/>
    <w:pPr>
      <w:keepNext w:val="0"/>
      <w:keepLines w:val="0"/>
      <w:numPr>
        <w:ilvl w:val="1"/>
        <w:numId w:val="9"/>
      </w:numPr>
      <w:spacing w:before="120" w:after="160" w:line="264" w:lineRule="auto"/>
      <w:ind w:left="1440" w:hanging="360"/>
    </w:pPr>
    <w:rPr>
      <w:rFonts w:ascii="Calibri" w:eastAsia="Times New Roman" w:hAnsi="Calibri" w:cs="Times New Roman"/>
      <w:b/>
      <w:color w:val="55565A"/>
      <w:sz w:val="22"/>
    </w:rPr>
  </w:style>
  <w:style w:type="paragraph" w:styleId="CommentText">
    <w:name w:val="annotation text"/>
    <w:basedOn w:val="Normal"/>
    <w:link w:val="CommentTextChar"/>
    <w:uiPriority w:val="99"/>
    <w:unhideWhenUsed/>
    <w:rsid w:val="00A14089"/>
    <w:pPr>
      <w:widowControl w:val="0"/>
      <w:autoSpaceDE w:val="0"/>
      <w:autoSpaceDN w:val="0"/>
    </w:pPr>
    <w:rPr>
      <w:rFonts w:ascii="Museo Sans" w:eastAsia="Museo Sans" w:hAnsi="Museo Sans" w:cs="Museo Sans"/>
      <w:sz w:val="20"/>
      <w:szCs w:val="20"/>
      <w:lang w:val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4089"/>
    <w:rPr>
      <w:rFonts w:ascii="Museo Sans" w:eastAsia="Museo Sans" w:hAnsi="Museo Sans" w:cs="Museo Sans"/>
      <w:lang w:val="en-US" w:eastAsia="en-US" w:bidi="en-US"/>
    </w:rPr>
  </w:style>
  <w:style w:type="paragraph" w:customStyle="1" w:styleId="TableParagraph">
    <w:name w:val="Table Paragraph"/>
    <w:basedOn w:val="Normal"/>
    <w:uiPriority w:val="1"/>
    <w:qFormat/>
    <w:rsid w:val="00A14089"/>
    <w:pPr>
      <w:widowControl w:val="0"/>
      <w:autoSpaceDE w:val="0"/>
      <w:autoSpaceDN w:val="0"/>
    </w:pPr>
    <w:rPr>
      <w:rFonts w:ascii="Museo Sans" w:eastAsia="Museo Sans" w:hAnsi="Museo Sans" w:cs="Museo Sans"/>
      <w:sz w:val="22"/>
      <w:szCs w:val="22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1408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408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paragraph" w:styleId="BodyText">
    <w:name w:val="Body Text"/>
    <w:basedOn w:val="Normal"/>
    <w:link w:val="BodyTextChar"/>
    <w:uiPriority w:val="1"/>
    <w:qFormat/>
    <w:rsid w:val="007B16C2"/>
    <w:pPr>
      <w:widowControl w:val="0"/>
      <w:autoSpaceDE w:val="0"/>
      <w:autoSpaceDN w:val="0"/>
    </w:pPr>
    <w:rPr>
      <w:rFonts w:ascii="Museo Sans" w:eastAsia="Museo Sans" w:hAnsi="Museo Sans" w:cs="Museo Sans"/>
      <w:sz w:val="18"/>
      <w:szCs w:val="18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B16C2"/>
    <w:rPr>
      <w:rFonts w:ascii="Museo Sans" w:eastAsia="Museo Sans" w:hAnsi="Museo Sans" w:cs="Museo Sans"/>
      <w:sz w:val="18"/>
      <w:szCs w:val="18"/>
      <w:lang w:val="en-US" w:eastAsia="en-US" w:bidi="en-US"/>
    </w:rPr>
  </w:style>
  <w:style w:type="character" w:styleId="Emphasis">
    <w:name w:val="Emphasis"/>
    <w:basedOn w:val="DefaultParagraphFont"/>
    <w:uiPriority w:val="20"/>
    <w:qFormat/>
    <w:rsid w:val="007B16C2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B36"/>
    <w:pPr>
      <w:widowControl/>
      <w:autoSpaceDE/>
      <w:autoSpaceDN/>
    </w:pPr>
    <w:rPr>
      <w:rFonts w:ascii="Calibri" w:eastAsia="Calibri" w:hAnsi="Calibri" w:cs="Times New Roman"/>
      <w:b/>
      <w:bCs/>
      <w:lang w:val="en-GB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B36"/>
    <w:rPr>
      <w:rFonts w:ascii="Museo Sans" w:eastAsia="Museo Sans" w:hAnsi="Museo Sans" w:cs="Museo Sans"/>
      <w:b/>
      <w:bCs/>
      <w:lang w:val="en-GB" w:eastAsia="en-US"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D396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142FDF"/>
    <w:rPr>
      <w:rFonts w:ascii="Arial Unicode MS" w:eastAsia="Times New Roman" w:hAnsi="Arial Unicode MS"/>
      <w:color w:val="7F7F7F" w:themeColor="text1" w:themeTint="80"/>
      <w:sz w:val="30"/>
      <w:szCs w:val="30"/>
      <w:lang w:eastAsia="en-GB"/>
    </w:rPr>
  </w:style>
  <w:style w:type="paragraph" w:customStyle="1" w:styleId="Listbullet1">
    <w:name w:val="List bullet 1"/>
    <w:basedOn w:val="ListBullet2"/>
    <w:autoRedefine/>
    <w:qFormat/>
    <w:rsid w:val="00E269C0"/>
    <w:pPr>
      <w:spacing w:before="120" w:after="120"/>
      <w:ind w:left="720"/>
      <w:contextualSpacing w:val="0"/>
    </w:pPr>
    <w:rPr>
      <w:rFonts w:cs="Calibri"/>
      <w:w w:val="105"/>
      <w:sz w:val="22"/>
      <w:szCs w:val="22"/>
      <w:lang w:val="en-AU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ListBullet2">
    <w:name w:val="List Bullet 2"/>
    <w:basedOn w:val="Normal"/>
    <w:uiPriority w:val="99"/>
    <w:semiHidden/>
    <w:unhideWhenUsed/>
    <w:rsid w:val="00E269C0"/>
    <w:pPr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3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rotectivesecurity.gov.au/governance/management-structures-and-responsibilities/Pages/default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56F5D-82D6-46D0-ABF7-0A8773943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Jessica Brackin</cp:lastModifiedBy>
  <cp:revision>2</cp:revision>
  <cp:lastPrinted>2017-12-19T01:45:00Z</cp:lastPrinted>
  <dcterms:created xsi:type="dcterms:W3CDTF">2020-04-08T23:24:00Z</dcterms:created>
  <dcterms:modified xsi:type="dcterms:W3CDTF">2020-04-08T23:24:00Z</dcterms:modified>
</cp:coreProperties>
</file>