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E9BA" w14:textId="31CC563F" w:rsidR="005A3431" w:rsidRDefault="00BA703F" w:rsidP="00083D87">
      <w:pPr>
        <w:pStyle w:val="Body"/>
        <w:spacing w:after="120"/>
        <w:rPr>
          <w:lang w:val="en-AU"/>
        </w:rPr>
      </w:pPr>
      <w:bookmarkStart w:id="0" w:name="_Hlk38379326"/>
      <w:bookmarkStart w:id="1" w:name="_Hlk38319799"/>
      <w:bookmarkStart w:id="2" w:name="_Hlk33193902"/>
      <w:r>
        <w:rPr>
          <w:lang w:val="en-AU"/>
        </w:rPr>
        <w:t>T</w:t>
      </w:r>
      <w:r w:rsidR="00083D87">
        <w:rPr>
          <w:lang w:val="en-AU"/>
        </w:rPr>
        <w:t xml:space="preserve">he Tribunal </w:t>
      </w:r>
      <w:r>
        <w:rPr>
          <w:lang w:val="en-AU"/>
        </w:rPr>
        <w:t xml:space="preserve">found </w:t>
      </w:r>
      <w:r>
        <w:rPr>
          <w:lang w:val="en-AU"/>
        </w:rPr>
        <w:t xml:space="preserve">that </w:t>
      </w:r>
      <w:r w:rsidR="00090437">
        <w:rPr>
          <w:lang w:val="en-AU"/>
        </w:rPr>
        <w:t>when releasing emails</w:t>
      </w:r>
      <w:r w:rsidR="00963114">
        <w:rPr>
          <w:lang w:val="en-AU"/>
        </w:rPr>
        <w:t xml:space="preserve"> to an applicant,</w:t>
      </w:r>
      <w:r w:rsidR="00090437">
        <w:rPr>
          <w:lang w:val="en-AU"/>
        </w:rPr>
        <w:t xml:space="preserve"> </w:t>
      </w:r>
      <w:r w:rsidR="00083D87">
        <w:rPr>
          <w:lang w:val="en-AU"/>
        </w:rPr>
        <w:t>an agency can</w:t>
      </w:r>
      <w:r>
        <w:rPr>
          <w:lang w:val="en-AU"/>
        </w:rPr>
        <w:t>not</w:t>
      </w:r>
      <w:r w:rsidR="00083D87">
        <w:rPr>
          <w:lang w:val="en-AU"/>
        </w:rPr>
        <w:t xml:space="preserve"> charge for search time</w:t>
      </w:r>
      <w:r w:rsidR="00083D87">
        <w:rPr>
          <w:rStyle w:val="FootnoteReference"/>
          <w:lang w:val="en-AU"/>
        </w:rPr>
        <w:footnoteReference w:id="1"/>
      </w:r>
      <w:r w:rsidR="00083D87">
        <w:rPr>
          <w:lang w:val="en-AU"/>
        </w:rPr>
        <w:t xml:space="preserve"> or charge for providing </w:t>
      </w:r>
      <w:r>
        <w:rPr>
          <w:lang w:val="en-AU"/>
        </w:rPr>
        <w:t xml:space="preserve">emails </w:t>
      </w:r>
      <w:r w:rsidR="00090437">
        <w:rPr>
          <w:lang w:val="en-AU"/>
        </w:rPr>
        <w:t>‘</w:t>
      </w:r>
      <w:r>
        <w:rPr>
          <w:lang w:val="en-AU"/>
        </w:rPr>
        <w:t xml:space="preserve">as </w:t>
      </w:r>
      <w:r w:rsidR="00083D87">
        <w:rPr>
          <w:lang w:val="en-AU"/>
        </w:rPr>
        <w:t>written document</w:t>
      </w:r>
      <w:r w:rsidR="00090437">
        <w:rPr>
          <w:lang w:val="en-AU"/>
        </w:rPr>
        <w:t>’</w:t>
      </w:r>
      <w:r w:rsidR="00083D87">
        <w:rPr>
          <w:rStyle w:val="FootnoteReference"/>
          <w:lang w:val="en-AU"/>
        </w:rPr>
        <w:footnoteReference w:id="2"/>
      </w:r>
      <w:r w:rsidR="00083D87">
        <w:rPr>
          <w:lang w:val="en-AU"/>
        </w:rPr>
        <w:t xml:space="preserve"> </w:t>
      </w:r>
      <w:r>
        <w:rPr>
          <w:lang w:val="en-AU"/>
        </w:rPr>
        <w:t xml:space="preserve">because those documents are </w:t>
      </w:r>
      <w:r w:rsidR="005A3431">
        <w:rPr>
          <w:lang w:val="en-AU"/>
        </w:rPr>
        <w:t xml:space="preserve">electronically </w:t>
      </w:r>
      <w:r w:rsidR="00083D87">
        <w:rPr>
          <w:lang w:val="en-AU"/>
        </w:rPr>
        <w:t>‘available in discrete form in documents of the agency’.</w:t>
      </w:r>
      <w:r w:rsidR="00083D87">
        <w:rPr>
          <w:rStyle w:val="FootnoteReference"/>
          <w:lang w:val="en-AU"/>
        </w:rPr>
        <w:footnoteReference w:id="3"/>
      </w:r>
      <w:r w:rsidR="00083D87">
        <w:rPr>
          <w:lang w:val="en-AU"/>
        </w:rPr>
        <w:t xml:space="preserve">  </w:t>
      </w:r>
    </w:p>
    <w:p w14:paraId="5859A9A6" w14:textId="5CD3D0C4" w:rsidR="005F6E99" w:rsidRDefault="00FC1B38" w:rsidP="0072337E">
      <w:pPr>
        <w:pStyle w:val="Body"/>
        <w:spacing w:after="120"/>
        <w:rPr>
          <w:bCs/>
          <w:lang w:val="en-AU"/>
        </w:rPr>
      </w:pPr>
      <w:r>
        <w:rPr>
          <w:lang w:val="en-AU"/>
        </w:rPr>
        <w:t xml:space="preserve">The Tribunal set aside the </w:t>
      </w:r>
      <w:r w:rsidR="001C2389">
        <w:rPr>
          <w:lang w:val="en-AU"/>
        </w:rPr>
        <w:t>a</w:t>
      </w:r>
      <w:r>
        <w:rPr>
          <w:lang w:val="en-AU"/>
        </w:rPr>
        <w:t>gency’s decision to impose access charges</w:t>
      </w:r>
      <w:r w:rsidR="00185002">
        <w:rPr>
          <w:lang w:val="en-AU"/>
        </w:rPr>
        <w:t xml:space="preserve"> and so it </w:t>
      </w:r>
      <w:r>
        <w:rPr>
          <w:lang w:val="en-AU"/>
        </w:rPr>
        <w:t xml:space="preserve">ordered the </w:t>
      </w:r>
      <w:r w:rsidR="001C2389">
        <w:rPr>
          <w:lang w:val="en-AU"/>
        </w:rPr>
        <w:t>a</w:t>
      </w:r>
      <w:r>
        <w:rPr>
          <w:lang w:val="en-AU"/>
        </w:rPr>
        <w:t>gency to refund the sum of $658.87 to the Applicant.</w:t>
      </w:r>
      <w:bookmarkEnd w:id="0"/>
      <w:r w:rsidR="00143D68">
        <w:rPr>
          <w:lang w:val="en-AU"/>
        </w:rPr>
        <w:t xml:space="preserve"> </w:t>
      </w:r>
      <w:r>
        <w:rPr>
          <w:bCs/>
          <w:lang w:val="en-AU"/>
        </w:rPr>
        <w:t xml:space="preserve">You can read the Tribunal’s decision </w:t>
      </w:r>
      <w:hyperlink r:id="rId8" w:history="1">
        <w:r>
          <w:rPr>
            <w:rStyle w:val="Hyperlink"/>
            <w:bCs/>
            <w:lang w:val="en-AU"/>
          </w:rPr>
          <w:t>here.</w:t>
        </w:r>
      </w:hyperlink>
      <w:r>
        <w:rPr>
          <w:bCs/>
          <w:lang w:val="en-AU"/>
        </w:rPr>
        <w:t xml:space="preserve"> </w:t>
      </w:r>
      <w:bookmarkEnd w:id="1"/>
    </w:p>
    <w:bookmarkEnd w:id="2"/>
    <w:p w14:paraId="562669A8" w14:textId="7354EAF4" w:rsidR="00BA7390" w:rsidRDefault="000A404E" w:rsidP="005954DF">
      <w:pPr>
        <w:pStyle w:val="SectionHeading1"/>
        <w:spacing w:before="120"/>
        <w:outlineLvl w:val="0"/>
        <w:rPr>
          <w:lang w:val="en-AU"/>
        </w:rPr>
      </w:pPr>
      <w:r>
        <w:rPr>
          <w:lang w:val="en-AU"/>
        </w:rPr>
        <w:t>Facts</w:t>
      </w:r>
      <w:r w:rsidR="008F6987">
        <w:rPr>
          <w:lang w:val="en-AU"/>
        </w:rPr>
        <w:t xml:space="preserve"> and Background </w:t>
      </w:r>
    </w:p>
    <w:p w14:paraId="1A2AE0B8" w14:textId="197946E3" w:rsidR="007F2E6C" w:rsidRDefault="005F6E99" w:rsidP="00A170AF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EBT (the </w:t>
      </w:r>
      <w:r w:rsidRPr="005F6E99">
        <w:rPr>
          <w:b/>
          <w:bCs/>
          <w:lang w:val="en-AU"/>
        </w:rPr>
        <w:t>Applicant</w:t>
      </w:r>
      <w:r>
        <w:rPr>
          <w:lang w:val="en-AU"/>
        </w:rPr>
        <w:t>)</w:t>
      </w:r>
      <w:r w:rsidR="00E47693">
        <w:rPr>
          <w:lang w:val="en-AU"/>
        </w:rPr>
        <w:t>,</w:t>
      </w:r>
      <w:r>
        <w:rPr>
          <w:lang w:val="en-AU"/>
        </w:rPr>
        <w:t xml:space="preserve"> a former employee of Monash University (the </w:t>
      </w:r>
      <w:r w:rsidRPr="005F6E99">
        <w:rPr>
          <w:b/>
          <w:bCs/>
          <w:lang w:val="en-AU"/>
        </w:rPr>
        <w:t>Respondent</w:t>
      </w:r>
      <w:r>
        <w:rPr>
          <w:lang w:val="en-AU"/>
        </w:rPr>
        <w:t>)</w:t>
      </w:r>
      <w:r w:rsidR="00E47693">
        <w:rPr>
          <w:lang w:val="en-AU"/>
        </w:rPr>
        <w:t>,</w:t>
      </w:r>
      <w:r>
        <w:rPr>
          <w:lang w:val="en-AU"/>
        </w:rPr>
        <w:t xml:space="preserve"> made a request under </w:t>
      </w:r>
      <w:r w:rsidRPr="00083D87">
        <w:rPr>
          <w:lang w:val="en-AU"/>
        </w:rPr>
        <w:t xml:space="preserve">the </w:t>
      </w:r>
      <w:r w:rsidR="0039698B" w:rsidRPr="0072337E">
        <w:rPr>
          <w:i/>
          <w:iCs/>
          <w:lang w:val="en-AU"/>
        </w:rPr>
        <w:t>Freedom of Information Act 1982</w:t>
      </w:r>
      <w:r w:rsidR="0039698B">
        <w:rPr>
          <w:lang w:val="en-AU"/>
        </w:rPr>
        <w:t xml:space="preserve"> (Vic) (the </w:t>
      </w:r>
      <w:r w:rsidRPr="0072337E">
        <w:rPr>
          <w:b/>
          <w:bCs/>
          <w:lang w:val="en-AU"/>
        </w:rPr>
        <w:t>FOI Act</w:t>
      </w:r>
      <w:r w:rsidR="0039698B">
        <w:rPr>
          <w:lang w:val="en-AU"/>
        </w:rPr>
        <w:t>)</w:t>
      </w:r>
      <w:r>
        <w:rPr>
          <w:lang w:val="en-AU"/>
        </w:rPr>
        <w:t xml:space="preserve"> </w:t>
      </w:r>
      <w:r w:rsidR="001C2389">
        <w:rPr>
          <w:lang w:val="en-AU"/>
        </w:rPr>
        <w:t>for</w:t>
      </w:r>
      <w:r>
        <w:rPr>
          <w:lang w:val="en-AU"/>
        </w:rPr>
        <w:t xml:space="preserve"> a variety of documents, including emails sent to or received by staff of the Respondent relating to the Applicant. </w:t>
      </w:r>
    </w:p>
    <w:p w14:paraId="43FBCA58" w14:textId="15FBFC6B" w:rsidR="007F2E6C" w:rsidRDefault="00083D87" w:rsidP="00956C57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Respondent </w:t>
      </w:r>
      <w:r w:rsidR="00793289">
        <w:rPr>
          <w:lang w:val="en-AU"/>
        </w:rPr>
        <w:t>release</w:t>
      </w:r>
      <w:r w:rsidR="00185002">
        <w:rPr>
          <w:lang w:val="en-AU"/>
        </w:rPr>
        <w:t>d</w:t>
      </w:r>
      <w:r w:rsidR="00793289">
        <w:rPr>
          <w:lang w:val="en-AU"/>
        </w:rPr>
        <w:t xml:space="preserve"> </w:t>
      </w:r>
      <w:r w:rsidR="001C2389">
        <w:rPr>
          <w:lang w:val="en-AU"/>
        </w:rPr>
        <w:t xml:space="preserve">to the Applicant </w:t>
      </w:r>
      <w:r w:rsidR="007F2E6C">
        <w:rPr>
          <w:lang w:val="en-AU"/>
        </w:rPr>
        <w:t xml:space="preserve">3 </w:t>
      </w:r>
      <w:r w:rsidR="00793289">
        <w:rPr>
          <w:lang w:val="en-AU"/>
        </w:rPr>
        <w:t xml:space="preserve">documents in full, </w:t>
      </w:r>
      <w:r w:rsidR="007F2E6C">
        <w:rPr>
          <w:lang w:val="en-AU"/>
        </w:rPr>
        <w:t xml:space="preserve">9 </w:t>
      </w:r>
      <w:r w:rsidR="00793289">
        <w:rPr>
          <w:lang w:val="en-AU"/>
        </w:rPr>
        <w:t>documents in part, 13 documents outside of the FOI Act and refuse</w:t>
      </w:r>
      <w:r w:rsidR="00185002">
        <w:rPr>
          <w:lang w:val="en-AU"/>
        </w:rPr>
        <w:t>d</w:t>
      </w:r>
      <w:r w:rsidR="00793289">
        <w:rPr>
          <w:lang w:val="en-AU"/>
        </w:rPr>
        <w:t xml:space="preserve"> access </w:t>
      </w:r>
      <w:r w:rsidR="00A170AF">
        <w:rPr>
          <w:lang w:val="en-AU"/>
        </w:rPr>
        <w:t xml:space="preserve">to </w:t>
      </w:r>
      <w:r w:rsidR="00793289">
        <w:rPr>
          <w:lang w:val="en-AU"/>
        </w:rPr>
        <w:t xml:space="preserve">25 documents in full. </w:t>
      </w:r>
    </w:p>
    <w:p w14:paraId="06DCAB9B" w14:textId="0916342F" w:rsidR="00185002" w:rsidRDefault="00793289" w:rsidP="00A170AF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Respondent </w:t>
      </w:r>
      <w:r w:rsidR="00185002">
        <w:rPr>
          <w:lang w:val="en-AU"/>
        </w:rPr>
        <w:t xml:space="preserve">also </w:t>
      </w:r>
      <w:r w:rsidR="007F2E6C">
        <w:rPr>
          <w:lang w:val="en-AU"/>
        </w:rPr>
        <w:t xml:space="preserve">imposed </w:t>
      </w:r>
      <w:r w:rsidR="0080715B">
        <w:rPr>
          <w:lang w:val="en-AU"/>
        </w:rPr>
        <w:t xml:space="preserve">charges totalling $658.87 for access to the </w:t>
      </w:r>
      <w:r w:rsidR="000F2476">
        <w:rPr>
          <w:lang w:val="en-AU"/>
        </w:rPr>
        <w:t xml:space="preserve">requested </w:t>
      </w:r>
      <w:r w:rsidR="0080715B">
        <w:rPr>
          <w:lang w:val="en-AU"/>
        </w:rPr>
        <w:t xml:space="preserve">documents (the </w:t>
      </w:r>
      <w:r w:rsidR="0080715B" w:rsidRPr="0080715B">
        <w:rPr>
          <w:b/>
          <w:bCs/>
          <w:lang w:val="en-AU"/>
        </w:rPr>
        <w:t>Access Charges</w:t>
      </w:r>
      <w:r w:rsidR="0080715B">
        <w:rPr>
          <w:lang w:val="en-AU"/>
        </w:rPr>
        <w:t>)</w:t>
      </w:r>
      <w:r w:rsidR="000F2476">
        <w:rPr>
          <w:lang w:val="en-AU"/>
        </w:rPr>
        <w:t xml:space="preserve">, </w:t>
      </w:r>
      <w:r w:rsidR="0080715B">
        <w:rPr>
          <w:lang w:val="en-AU"/>
        </w:rPr>
        <w:t>calculated in accordance with item 7</w:t>
      </w:r>
      <w:r w:rsidR="00A170AF">
        <w:rPr>
          <w:lang w:val="en-AU"/>
        </w:rPr>
        <w:t xml:space="preserve"> of the </w:t>
      </w:r>
      <w:r w:rsidR="00185002">
        <w:rPr>
          <w:i/>
          <w:iCs/>
          <w:lang w:val="en-AU"/>
        </w:rPr>
        <w:t>Freedom of Information (Access Charges) Regulations 2014</w:t>
      </w:r>
      <w:r w:rsidR="00185002">
        <w:rPr>
          <w:lang w:val="en-AU"/>
        </w:rPr>
        <w:t xml:space="preserve"> (the</w:t>
      </w:r>
      <w:r w:rsidR="00185002">
        <w:rPr>
          <w:b/>
          <w:lang w:val="en-AU"/>
        </w:rPr>
        <w:t xml:space="preserve"> Regulations</w:t>
      </w:r>
      <w:r w:rsidR="00185002">
        <w:rPr>
          <w:lang w:val="en-AU"/>
        </w:rPr>
        <w:t>)</w:t>
      </w:r>
      <w:r w:rsidR="00A170AF">
        <w:rPr>
          <w:lang w:val="en-AU"/>
        </w:rPr>
        <w:t xml:space="preserve">. </w:t>
      </w:r>
    </w:p>
    <w:p w14:paraId="5CBA8AEB" w14:textId="33DC91B1" w:rsidR="007F2E6C" w:rsidRDefault="000F2476" w:rsidP="00A170AF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Applicant paid the Access </w:t>
      </w:r>
      <w:proofErr w:type="gramStart"/>
      <w:r>
        <w:rPr>
          <w:lang w:val="en-AU"/>
        </w:rPr>
        <w:t xml:space="preserve">Charges, </w:t>
      </w:r>
      <w:r w:rsidR="007F2E6C">
        <w:rPr>
          <w:lang w:val="en-AU"/>
        </w:rPr>
        <w:t>but</w:t>
      </w:r>
      <w:proofErr w:type="gramEnd"/>
      <w:r w:rsidR="007F2E6C">
        <w:rPr>
          <w:lang w:val="en-AU"/>
        </w:rPr>
        <w:t xml:space="preserve"> sought this review after OVIC issued the required certificate.</w:t>
      </w:r>
    </w:p>
    <w:p w14:paraId="263CDD90" w14:textId="3CDB4EF7" w:rsidR="00F07D2E" w:rsidRPr="00492370" w:rsidRDefault="00F07D2E" w:rsidP="00956C57">
      <w:pPr>
        <w:pStyle w:val="Body"/>
        <w:spacing w:after="120"/>
        <w:rPr>
          <w:b/>
          <w:bCs/>
          <w:lang w:val="en-AU"/>
        </w:rPr>
      </w:pPr>
      <w:bookmarkStart w:id="3" w:name="_Hlk38303704"/>
      <w:r w:rsidRPr="00492370">
        <w:rPr>
          <w:b/>
          <w:bCs/>
          <w:lang w:val="en-AU"/>
        </w:rPr>
        <w:t xml:space="preserve">The </w:t>
      </w:r>
      <w:r w:rsidR="00492370" w:rsidRPr="00492370">
        <w:rPr>
          <w:b/>
          <w:bCs/>
          <w:lang w:val="en-AU"/>
        </w:rPr>
        <w:t>storage and processing of disputed documents</w:t>
      </w:r>
      <w:r w:rsidR="00537B20" w:rsidRPr="00492370">
        <w:rPr>
          <w:b/>
          <w:bCs/>
          <w:lang w:val="en-AU"/>
        </w:rPr>
        <w:t xml:space="preserve"> </w:t>
      </w:r>
    </w:p>
    <w:p w14:paraId="24C5FC79" w14:textId="3C9D8104" w:rsidR="000E580B" w:rsidRDefault="00492370" w:rsidP="00956C57">
      <w:pPr>
        <w:pStyle w:val="Body"/>
        <w:spacing w:after="120"/>
        <w:rPr>
          <w:lang w:val="en-AU"/>
        </w:rPr>
      </w:pPr>
      <w:r w:rsidRPr="00492370">
        <w:rPr>
          <w:lang w:val="en-AU"/>
        </w:rPr>
        <w:t xml:space="preserve">The disputed </w:t>
      </w:r>
      <w:r w:rsidR="007F2E6C">
        <w:rPr>
          <w:lang w:val="en-AU"/>
        </w:rPr>
        <w:t>emails</w:t>
      </w:r>
      <w:r w:rsidR="007B5D97" w:rsidRPr="00492370">
        <w:rPr>
          <w:lang w:val="en-AU"/>
        </w:rPr>
        <w:t xml:space="preserve"> were </w:t>
      </w:r>
      <w:r w:rsidR="000E580B">
        <w:rPr>
          <w:lang w:val="en-AU"/>
        </w:rPr>
        <w:t xml:space="preserve">electronically </w:t>
      </w:r>
      <w:r w:rsidR="007B5D97" w:rsidRPr="00492370">
        <w:rPr>
          <w:lang w:val="en-AU"/>
        </w:rPr>
        <w:t xml:space="preserve">stored </w:t>
      </w:r>
      <w:r w:rsidR="000E580B">
        <w:rPr>
          <w:lang w:val="en-AU"/>
        </w:rPr>
        <w:t xml:space="preserve">in </w:t>
      </w:r>
      <w:r w:rsidR="007F2E6C">
        <w:rPr>
          <w:lang w:val="en-AU"/>
        </w:rPr>
        <w:t xml:space="preserve">different </w:t>
      </w:r>
      <w:r w:rsidR="000E580B">
        <w:rPr>
          <w:lang w:val="en-AU"/>
        </w:rPr>
        <w:t>areas –</w:t>
      </w:r>
      <w:r w:rsidR="007F2E6C">
        <w:rPr>
          <w:lang w:val="en-AU"/>
        </w:rPr>
        <w:t xml:space="preserve"> </w:t>
      </w:r>
      <w:r w:rsidR="000E580B">
        <w:rPr>
          <w:lang w:val="en-AU"/>
        </w:rPr>
        <w:t xml:space="preserve">on </w:t>
      </w:r>
      <w:r w:rsidR="00737CA4" w:rsidRPr="00492370">
        <w:rPr>
          <w:lang w:val="en-AU"/>
        </w:rPr>
        <w:t>individual computer</w:t>
      </w:r>
      <w:r w:rsidR="00F07D2E" w:rsidRPr="00492370">
        <w:rPr>
          <w:lang w:val="en-AU"/>
        </w:rPr>
        <w:t>s</w:t>
      </w:r>
      <w:r w:rsidR="00737CA4" w:rsidRPr="00492370">
        <w:rPr>
          <w:lang w:val="en-AU"/>
        </w:rPr>
        <w:t>, shared drives and Gmail</w:t>
      </w:r>
      <w:r w:rsidR="000E580B">
        <w:rPr>
          <w:lang w:val="en-AU"/>
        </w:rPr>
        <w:t xml:space="preserve">, but </w:t>
      </w:r>
      <w:r w:rsidR="000E580B" w:rsidRPr="00492370">
        <w:rPr>
          <w:lang w:val="en-AU"/>
        </w:rPr>
        <w:t xml:space="preserve">accessible </w:t>
      </w:r>
      <w:r w:rsidR="000E580B">
        <w:rPr>
          <w:lang w:val="en-AU"/>
        </w:rPr>
        <w:t>to</w:t>
      </w:r>
      <w:r w:rsidR="000E580B" w:rsidRPr="00492370">
        <w:rPr>
          <w:lang w:val="en-AU"/>
        </w:rPr>
        <w:t xml:space="preserve"> the staff member who created or received the </w:t>
      </w:r>
      <w:r w:rsidR="000E580B">
        <w:rPr>
          <w:lang w:val="en-AU"/>
        </w:rPr>
        <w:t>email.</w:t>
      </w:r>
    </w:p>
    <w:p w14:paraId="3952D806" w14:textId="245F68E6" w:rsidR="000E580B" w:rsidRDefault="000E580B" w:rsidP="000E580B">
      <w:pPr>
        <w:pStyle w:val="Body"/>
        <w:spacing w:after="120"/>
        <w:rPr>
          <w:lang w:val="en-AU"/>
        </w:rPr>
      </w:pPr>
      <w:r>
        <w:rPr>
          <w:lang w:val="en-AU"/>
        </w:rPr>
        <w:t>T</w:t>
      </w:r>
      <w:r w:rsidRPr="00492370">
        <w:rPr>
          <w:lang w:val="en-AU"/>
        </w:rPr>
        <w:t>he Respondent directed the relevant staff members (including a consultant and six employees)</w:t>
      </w:r>
      <w:r>
        <w:rPr>
          <w:lang w:val="en-AU"/>
        </w:rPr>
        <w:t xml:space="preserve"> </w:t>
      </w:r>
      <w:r w:rsidRPr="00492370">
        <w:rPr>
          <w:lang w:val="en-AU"/>
        </w:rPr>
        <w:t>to conduct a ‘thorough and diligent search’</w:t>
      </w:r>
      <w:r>
        <w:rPr>
          <w:lang w:val="en-AU"/>
        </w:rPr>
        <w:t xml:space="preserve"> for relevant emails and forward them </w:t>
      </w:r>
      <w:r w:rsidRPr="00492370">
        <w:rPr>
          <w:lang w:val="en-AU"/>
        </w:rPr>
        <w:t>to the Respondent’s FOI Officer, who then printed out the documents</w:t>
      </w:r>
      <w:r>
        <w:rPr>
          <w:lang w:val="en-AU"/>
        </w:rPr>
        <w:t xml:space="preserve"> and gave them to the </w:t>
      </w:r>
      <w:r w:rsidRPr="00492370">
        <w:rPr>
          <w:lang w:val="en-AU"/>
        </w:rPr>
        <w:t>Applicant</w:t>
      </w:r>
      <w:r>
        <w:rPr>
          <w:lang w:val="en-AU"/>
        </w:rPr>
        <w:t>.</w:t>
      </w:r>
    </w:p>
    <w:p w14:paraId="6D5036A2" w14:textId="5A845342" w:rsidR="00737CA4" w:rsidRDefault="00D20455" w:rsidP="00956C57">
      <w:pPr>
        <w:pStyle w:val="Body"/>
        <w:spacing w:after="120"/>
        <w:rPr>
          <w:b/>
          <w:bCs/>
          <w:lang w:val="en-AU"/>
        </w:rPr>
      </w:pPr>
      <w:r>
        <w:rPr>
          <w:b/>
          <w:bCs/>
          <w:lang w:val="en-AU"/>
        </w:rPr>
        <w:t xml:space="preserve">Calculation of Access Charges </w:t>
      </w:r>
    </w:p>
    <w:p w14:paraId="3EE3AEF2" w14:textId="5AD819D6" w:rsidR="004B2625" w:rsidRPr="0072337E" w:rsidRDefault="00143D68" w:rsidP="0072337E">
      <w:pPr>
        <w:pStyle w:val="Body"/>
        <w:spacing w:after="120"/>
        <w:rPr>
          <w:lang w:val="en-AU"/>
        </w:rPr>
      </w:pPr>
      <w:r>
        <w:rPr>
          <w:lang w:val="en-AU"/>
        </w:rPr>
        <w:t>The Respondent</w:t>
      </w:r>
      <w:r w:rsidR="004B2625">
        <w:rPr>
          <w:lang w:val="en-AU"/>
        </w:rPr>
        <w:t xml:space="preserve"> calculated the </w:t>
      </w:r>
      <w:r>
        <w:rPr>
          <w:lang w:val="en-AU"/>
        </w:rPr>
        <w:t xml:space="preserve">Access Charges </w:t>
      </w:r>
      <w:r w:rsidR="004B2625">
        <w:rPr>
          <w:lang w:val="en-AU"/>
        </w:rPr>
        <w:t>as follows:</w:t>
      </w: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086"/>
        <w:gridCol w:w="1752"/>
        <w:gridCol w:w="1752"/>
      </w:tblGrid>
      <w:tr w:rsidR="004B2625" w:rsidRPr="004B2625" w14:paraId="279B7270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3FBB4E82" w14:textId="77777777" w:rsidR="004B2625" w:rsidRPr="0072337E" w:rsidRDefault="004B2625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Staff Member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FBFADD7" w14:textId="77777777" w:rsidR="004B2625" w:rsidRPr="0072337E" w:rsidRDefault="004B2625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Search Time (hours)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477CD810" w14:textId="2F63FF15" w:rsidR="004B2625" w:rsidRPr="0072337E" w:rsidRDefault="006F7C2D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 xml:space="preserve">Hourly </w:t>
            </w:r>
            <w:r w:rsidR="004B2625"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Pay grade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1B79B82E" w14:textId="77777777" w:rsidR="004B2625" w:rsidRPr="0072337E" w:rsidRDefault="004B2625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Total Charges</w:t>
            </w:r>
          </w:p>
        </w:tc>
      </w:tr>
      <w:tr w:rsidR="004B2625" w:rsidRPr="004B2625" w14:paraId="1B41E8A3" w14:textId="77777777" w:rsidTr="0072337E">
        <w:trPr>
          <w:trHeight w:val="25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1181EF3C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40C37B48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65D529F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$55.39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653772F4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$55.39</w:t>
            </w:r>
          </w:p>
        </w:tc>
      </w:tr>
      <w:tr w:rsidR="004B2625" w:rsidRPr="004B2625" w14:paraId="2B664CB6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4A868191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525750A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1.5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907C08C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$200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9729261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$300</w:t>
            </w:r>
          </w:p>
        </w:tc>
      </w:tr>
      <w:tr w:rsidR="004B2625" w:rsidRPr="004B2625" w14:paraId="4E50B903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E99A1CF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36E144D0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1.5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7B19A564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$286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1EAF89F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$429</w:t>
            </w:r>
          </w:p>
        </w:tc>
      </w:tr>
      <w:tr w:rsidR="004B2625" w:rsidRPr="004B2625" w14:paraId="14D0144C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9D68C59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6D2E729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1.5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63FAC58B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$62.73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2679416F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$94.10</w:t>
            </w:r>
          </w:p>
        </w:tc>
      </w:tr>
      <w:tr w:rsidR="004B2625" w:rsidRPr="004B2625" w14:paraId="57131BF8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DA75A57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68416DF5" w14:textId="77777777" w:rsidR="004B2625" w:rsidRPr="0072337E" w:rsidRDefault="004B2625" w:rsidP="0072337E">
            <w:pPr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br/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31242C3E" w14:textId="77777777" w:rsidR="004B2625" w:rsidRPr="0072337E" w:rsidRDefault="004B2625" w:rsidP="0072337E">
            <w:pPr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br/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53C21100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$878.49</w:t>
            </w:r>
          </w:p>
        </w:tc>
      </w:tr>
      <w:tr w:rsidR="004B2625" w:rsidRPr="004B2625" w14:paraId="70C6E1A9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1324D34F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Less 25% discount for administratively released documents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06CB4BDA" w14:textId="77777777" w:rsidR="004B2625" w:rsidRPr="0072337E" w:rsidRDefault="004B2625" w:rsidP="0072337E">
            <w:pPr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br/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4029AEFB" w14:textId="77777777" w:rsidR="004B2625" w:rsidRPr="0072337E" w:rsidRDefault="004B2625" w:rsidP="0072337E">
            <w:pPr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br/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  <w:hideMark/>
          </w:tcPr>
          <w:p w14:paraId="1A2AA349" w14:textId="77777777" w:rsidR="004B2625" w:rsidRPr="0072337E" w:rsidRDefault="004B2625" w:rsidP="0072337E">
            <w:pPr>
              <w:jc w:val="center"/>
              <w:rPr>
                <w:rFonts w:cs="PostGrotesk-Book"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color w:val="55565A"/>
                <w:sz w:val="22"/>
                <w:szCs w:val="22"/>
                <w:lang w:val="en-AU"/>
              </w:rPr>
              <w:t>-$219.62</w:t>
            </w:r>
          </w:p>
        </w:tc>
      </w:tr>
      <w:tr w:rsidR="004B2625" w:rsidRPr="004B2625" w14:paraId="5C082CE2" w14:textId="77777777" w:rsidTr="0072337E">
        <w:trPr>
          <w:trHeight w:val="2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</w:tcPr>
          <w:p w14:paraId="3605213D" w14:textId="71A0FED3" w:rsidR="004B2625" w:rsidRPr="0072337E" w:rsidRDefault="004B2625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Total access charges payable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</w:tcPr>
          <w:p w14:paraId="7DD8FEE4" w14:textId="77777777" w:rsidR="004B2625" w:rsidRPr="0072337E" w:rsidRDefault="004B2625" w:rsidP="0072337E">
            <w:pPr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</w:tcPr>
          <w:p w14:paraId="08B779F3" w14:textId="77777777" w:rsidR="004B2625" w:rsidRPr="0072337E" w:rsidRDefault="004B2625" w:rsidP="0072337E">
            <w:pPr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180" w:type="dxa"/>
            </w:tcMar>
          </w:tcPr>
          <w:p w14:paraId="01CE2258" w14:textId="188A2DA0" w:rsidR="004B2625" w:rsidRPr="0072337E" w:rsidRDefault="004B2625" w:rsidP="0072337E">
            <w:pPr>
              <w:jc w:val="center"/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</w:pPr>
            <w:r w:rsidRPr="0072337E">
              <w:rPr>
                <w:rFonts w:cs="PostGrotesk-Book"/>
                <w:b/>
                <w:bCs/>
                <w:color w:val="55565A"/>
                <w:sz w:val="22"/>
                <w:szCs w:val="22"/>
                <w:lang w:val="en-AU"/>
              </w:rPr>
              <w:t>$658.87</w:t>
            </w:r>
          </w:p>
        </w:tc>
      </w:tr>
    </w:tbl>
    <w:p w14:paraId="688B62A9" w14:textId="77777777" w:rsidR="0039698B" w:rsidRDefault="0039698B" w:rsidP="001B48EA">
      <w:pPr>
        <w:pStyle w:val="Body"/>
        <w:spacing w:after="120"/>
        <w:rPr>
          <w:lang w:val="en-AU"/>
        </w:rPr>
      </w:pPr>
    </w:p>
    <w:p w14:paraId="6B714706" w14:textId="1A71BD0D" w:rsidR="00143D68" w:rsidRDefault="00143D68" w:rsidP="001B48EA">
      <w:pPr>
        <w:pStyle w:val="Body"/>
        <w:spacing w:after="120"/>
        <w:rPr>
          <w:lang w:val="en-AU"/>
        </w:rPr>
      </w:pPr>
      <w:r>
        <w:rPr>
          <w:lang w:val="en-AU"/>
        </w:rPr>
        <w:lastRenderedPageBreak/>
        <w:t xml:space="preserve">The Respondent </w:t>
      </w:r>
      <w:r w:rsidR="004B2625">
        <w:rPr>
          <w:lang w:val="en-AU"/>
        </w:rPr>
        <w:t xml:space="preserve">explained to the Applicant </w:t>
      </w:r>
      <w:r>
        <w:rPr>
          <w:lang w:val="en-AU"/>
        </w:rPr>
        <w:t xml:space="preserve">that the Access Charges: </w:t>
      </w:r>
    </w:p>
    <w:p w14:paraId="72DDDBA4" w14:textId="5DC3E7F6" w:rsidR="00143D68" w:rsidRDefault="004B2625" w:rsidP="001B48EA">
      <w:pPr>
        <w:pStyle w:val="Body"/>
        <w:numPr>
          <w:ilvl w:val="0"/>
          <w:numId w:val="41"/>
        </w:numPr>
        <w:spacing w:after="120"/>
        <w:rPr>
          <w:lang w:val="en-AU"/>
        </w:rPr>
      </w:pPr>
      <w:r>
        <w:rPr>
          <w:lang w:val="en-AU"/>
        </w:rPr>
        <w:t>d</w:t>
      </w:r>
      <w:r w:rsidR="00143D68">
        <w:rPr>
          <w:lang w:val="en-AU"/>
        </w:rPr>
        <w:t xml:space="preserve">id not include a charge for three of the Respondent’s </w:t>
      </w:r>
      <w:r w:rsidR="00316D28">
        <w:rPr>
          <w:lang w:val="en-AU"/>
        </w:rPr>
        <w:t>o</w:t>
      </w:r>
      <w:r w:rsidR="00143D68">
        <w:rPr>
          <w:lang w:val="en-AU"/>
        </w:rPr>
        <w:t xml:space="preserve">fficers where their search duplicated that of another staff </w:t>
      </w:r>
      <w:proofErr w:type="gramStart"/>
      <w:r w:rsidR="00143D68">
        <w:rPr>
          <w:lang w:val="en-AU"/>
        </w:rPr>
        <w:t>members;</w:t>
      </w:r>
      <w:proofErr w:type="gramEnd"/>
      <w:r w:rsidR="00143D68">
        <w:rPr>
          <w:lang w:val="en-AU"/>
        </w:rPr>
        <w:t xml:space="preserve"> </w:t>
      </w:r>
    </w:p>
    <w:p w14:paraId="397E0A49" w14:textId="02FD8544" w:rsidR="001B48EA" w:rsidRPr="00143D68" w:rsidRDefault="001B48EA" w:rsidP="00143D68">
      <w:pPr>
        <w:pStyle w:val="Body"/>
        <w:numPr>
          <w:ilvl w:val="0"/>
          <w:numId w:val="41"/>
        </w:numPr>
        <w:spacing w:after="120"/>
        <w:rPr>
          <w:lang w:val="en-AU"/>
        </w:rPr>
      </w:pPr>
      <w:r w:rsidRPr="00143D68">
        <w:rPr>
          <w:lang w:val="en-AU"/>
        </w:rPr>
        <w:t xml:space="preserve">included a 25% discount for the documents released outside of the FOI </w:t>
      </w:r>
      <w:proofErr w:type="gramStart"/>
      <w:r w:rsidRPr="00143D68">
        <w:rPr>
          <w:lang w:val="en-AU"/>
        </w:rPr>
        <w:t>Act;</w:t>
      </w:r>
      <w:proofErr w:type="gramEnd"/>
      <w:r w:rsidRPr="00143D68">
        <w:rPr>
          <w:lang w:val="en-AU"/>
        </w:rPr>
        <w:t xml:space="preserve"> and </w:t>
      </w:r>
    </w:p>
    <w:p w14:paraId="5322D854" w14:textId="3FA6B0D1" w:rsidR="00120BCD" w:rsidRPr="00047E39" w:rsidRDefault="001B48EA" w:rsidP="00120BCD">
      <w:pPr>
        <w:pStyle w:val="Body"/>
        <w:numPr>
          <w:ilvl w:val="0"/>
          <w:numId w:val="41"/>
        </w:numPr>
        <w:spacing w:after="120"/>
        <w:rPr>
          <w:lang w:val="en-AU"/>
        </w:rPr>
      </w:pPr>
      <w:r>
        <w:rPr>
          <w:lang w:val="en-AU"/>
        </w:rPr>
        <w:t>did not include a charge for a full hour if the time taken was less than an hour</w:t>
      </w:r>
      <w:r w:rsidR="00185002">
        <w:rPr>
          <w:lang w:val="en-AU"/>
        </w:rPr>
        <w:t>.</w:t>
      </w:r>
      <w:r>
        <w:rPr>
          <w:rStyle w:val="FootnoteReference"/>
          <w:lang w:val="en-AU"/>
        </w:rPr>
        <w:footnoteReference w:id="4"/>
      </w:r>
    </w:p>
    <w:p w14:paraId="2EDD2F2B" w14:textId="0828A3AE" w:rsidR="00143D68" w:rsidRPr="0072337E" w:rsidRDefault="00143D68" w:rsidP="00143D68">
      <w:pPr>
        <w:pStyle w:val="Body"/>
        <w:spacing w:after="120"/>
        <w:rPr>
          <w:b/>
          <w:bCs/>
          <w:highlight w:val="yellow"/>
          <w:lang w:val="en-AU"/>
        </w:rPr>
      </w:pPr>
      <w:r w:rsidRPr="000E580B">
        <w:rPr>
          <w:b/>
          <w:bCs/>
          <w:lang w:val="en-AU"/>
        </w:rPr>
        <w:t>Submissions</w:t>
      </w:r>
      <w:r w:rsidR="00316D28">
        <w:rPr>
          <w:b/>
          <w:bCs/>
          <w:highlight w:val="yellow"/>
          <w:lang w:val="en-AU"/>
        </w:rPr>
        <w:t xml:space="preserve"> </w:t>
      </w:r>
    </w:p>
    <w:p w14:paraId="0223DF91" w14:textId="3E0A5AAD" w:rsidR="00143D68" w:rsidRPr="004B2A29" w:rsidRDefault="00143D68" w:rsidP="00143D68">
      <w:pPr>
        <w:pStyle w:val="Body"/>
        <w:spacing w:after="120"/>
        <w:rPr>
          <w:u w:val="single"/>
          <w:lang w:val="en-AU"/>
        </w:rPr>
      </w:pPr>
      <w:r w:rsidRPr="004B2A29">
        <w:rPr>
          <w:u w:val="single"/>
          <w:lang w:val="en-AU"/>
        </w:rPr>
        <w:t xml:space="preserve">The Respondent </w:t>
      </w:r>
    </w:p>
    <w:p w14:paraId="58F2792F" w14:textId="6F752CAC" w:rsidR="000E580B" w:rsidRPr="0072337E" w:rsidRDefault="00143D68" w:rsidP="00967E02">
      <w:pPr>
        <w:pStyle w:val="Body"/>
        <w:spacing w:after="120"/>
        <w:rPr>
          <w:lang w:val="en-AU"/>
        </w:rPr>
      </w:pPr>
      <w:r w:rsidRPr="004B2A29">
        <w:rPr>
          <w:lang w:val="en-AU"/>
        </w:rPr>
        <w:t xml:space="preserve">The </w:t>
      </w:r>
      <w:r w:rsidR="009D05D6" w:rsidRPr="004B2A29">
        <w:rPr>
          <w:lang w:val="en-AU"/>
        </w:rPr>
        <w:t xml:space="preserve">Respondent </w:t>
      </w:r>
      <w:r w:rsidR="0039698B" w:rsidRPr="004B2A29">
        <w:rPr>
          <w:lang w:val="en-AU"/>
        </w:rPr>
        <w:t xml:space="preserve">contended </w:t>
      </w:r>
      <w:r w:rsidR="009D05D6" w:rsidRPr="004B2A29">
        <w:rPr>
          <w:lang w:val="en-AU"/>
        </w:rPr>
        <w:t xml:space="preserve">that </w:t>
      </w:r>
      <w:r w:rsidR="00316D28" w:rsidRPr="004B2A29">
        <w:rPr>
          <w:lang w:val="en-AU"/>
        </w:rPr>
        <w:t>in accordance with</w:t>
      </w:r>
      <w:r w:rsidR="009D05D6" w:rsidRPr="004B2A29">
        <w:rPr>
          <w:lang w:val="en-AU"/>
        </w:rPr>
        <w:t xml:space="preserve"> </w:t>
      </w:r>
      <w:r w:rsidR="009D05D6" w:rsidRPr="004B2A29">
        <w:rPr>
          <w:i/>
          <w:iCs/>
          <w:lang w:val="en-AU"/>
        </w:rPr>
        <w:t>Re Halliday and Corporate Affairs</w:t>
      </w:r>
      <w:r w:rsidR="00587D63" w:rsidRPr="004B2A29">
        <w:rPr>
          <w:rStyle w:val="FootnoteReference"/>
          <w:lang w:val="en-AU"/>
        </w:rPr>
        <w:footnoteReference w:id="5"/>
      </w:r>
      <w:r w:rsidR="00316D28" w:rsidRPr="004B2A29">
        <w:rPr>
          <w:lang w:val="en-AU"/>
        </w:rPr>
        <w:t>,</w:t>
      </w:r>
      <w:r w:rsidR="00587D63" w:rsidRPr="004B2A29">
        <w:rPr>
          <w:lang w:val="en-AU"/>
        </w:rPr>
        <w:t xml:space="preserve"> </w:t>
      </w:r>
      <w:r w:rsidR="009D05D6" w:rsidRPr="004B2A29">
        <w:rPr>
          <w:lang w:val="en-AU"/>
        </w:rPr>
        <w:t xml:space="preserve">section 19 </w:t>
      </w:r>
      <w:r w:rsidR="0039698B" w:rsidRPr="004B2A29">
        <w:rPr>
          <w:lang w:val="en-AU"/>
        </w:rPr>
        <w:t>of the FOI Act applie</w:t>
      </w:r>
      <w:r w:rsidR="000E580B" w:rsidRPr="0072337E">
        <w:rPr>
          <w:lang w:val="en-AU"/>
        </w:rPr>
        <w:t>d</w:t>
      </w:r>
      <w:r w:rsidR="0039698B" w:rsidRPr="004B2A29">
        <w:rPr>
          <w:lang w:val="en-AU"/>
        </w:rPr>
        <w:t xml:space="preserve"> to</w:t>
      </w:r>
      <w:r w:rsidR="009D05D6" w:rsidRPr="004B2A29">
        <w:rPr>
          <w:lang w:val="en-AU"/>
        </w:rPr>
        <w:t xml:space="preserve"> information stored electronically</w:t>
      </w:r>
      <w:r w:rsidR="000E580B" w:rsidRPr="0072337E">
        <w:rPr>
          <w:lang w:val="en-AU"/>
        </w:rPr>
        <w:t xml:space="preserve"> in contradistinction to ‘a document in writing’</w:t>
      </w:r>
      <w:r w:rsidR="00316D28" w:rsidRPr="004B2A29">
        <w:rPr>
          <w:lang w:val="en-AU"/>
        </w:rPr>
        <w:t xml:space="preserve">. </w:t>
      </w:r>
      <w:r w:rsidR="004B2A29" w:rsidRPr="0072337E">
        <w:rPr>
          <w:lang w:val="en-AU"/>
        </w:rPr>
        <w:t xml:space="preserve">Further, </w:t>
      </w:r>
      <w:r w:rsidR="000E580B" w:rsidRPr="0072337E">
        <w:rPr>
          <w:lang w:val="en-AU"/>
        </w:rPr>
        <w:t xml:space="preserve">the emails were stored on </w:t>
      </w:r>
      <w:r w:rsidR="004B2A29" w:rsidRPr="0072337E">
        <w:rPr>
          <w:lang w:val="en-AU"/>
        </w:rPr>
        <w:t xml:space="preserve">a disc that </w:t>
      </w:r>
      <w:r w:rsidR="000E580B" w:rsidRPr="0072337E">
        <w:rPr>
          <w:lang w:val="en-AU"/>
        </w:rPr>
        <w:t>contained other information</w:t>
      </w:r>
      <w:r w:rsidR="004B2A29" w:rsidRPr="0072337E">
        <w:rPr>
          <w:lang w:val="en-AU"/>
        </w:rPr>
        <w:t xml:space="preserve">. Consequently, </w:t>
      </w:r>
      <w:r w:rsidR="000E580B" w:rsidRPr="0072337E">
        <w:rPr>
          <w:lang w:val="en-AU"/>
        </w:rPr>
        <w:t>the Respondent was required to produce a new disc containing the information sought.</w:t>
      </w:r>
    </w:p>
    <w:p w14:paraId="4B2F34AB" w14:textId="382BBAE1" w:rsidR="00120BCD" w:rsidRPr="004B2A29" w:rsidRDefault="00120BCD" w:rsidP="00967E02">
      <w:pPr>
        <w:pStyle w:val="Body"/>
        <w:spacing w:after="120"/>
        <w:rPr>
          <w:lang w:val="en-AU"/>
        </w:rPr>
      </w:pPr>
      <w:r w:rsidRPr="004B2A29">
        <w:rPr>
          <w:lang w:val="en-AU"/>
        </w:rPr>
        <w:t>Further, t</w:t>
      </w:r>
      <w:r w:rsidR="00967E02" w:rsidRPr="004B2A29">
        <w:rPr>
          <w:lang w:val="en-AU"/>
        </w:rPr>
        <w:t xml:space="preserve">he Respondent </w:t>
      </w:r>
      <w:r w:rsidR="004B2A29" w:rsidRPr="0072337E">
        <w:rPr>
          <w:lang w:val="en-AU"/>
        </w:rPr>
        <w:t xml:space="preserve">submitted </w:t>
      </w:r>
      <w:r w:rsidR="00967E02" w:rsidRPr="004B2A29">
        <w:rPr>
          <w:lang w:val="en-AU"/>
        </w:rPr>
        <w:t xml:space="preserve">that although the Applicant </w:t>
      </w:r>
      <w:r w:rsidR="00316D28" w:rsidRPr="004B2A29">
        <w:rPr>
          <w:lang w:val="en-AU"/>
        </w:rPr>
        <w:t>was</w:t>
      </w:r>
      <w:r w:rsidR="00967E02" w:rsidRPr="004B2A29">
        <w:rPr>
          <w:lang w:val="en-AU"/>
        </w:rPr>
        <w:t xml:space="preserve"> seeking ‘personal affairs information’, section 22(1)(h)(iii) </w:t>
      </w:r>
      <w:r w:rsidR="0039698B" w:rsidRPr="004B2A29">
        <w:rPr>
          <w:lang w:val="en-AU"/>
        </w:rPr>
        <w:t xml:space="preserve">of the FOI Act </w:t>
      </w:r>
      <w:r w:rsidR="00967E02" w:rsidRPr="004B2A29">
        <w:rPr>
          <w:lang w:val="en-AU"/>
        </w:rPr>
        <w:t>d</w:t>
      </w:r>
      <w:r w:rsidR="00316D28" w:rsidRPr="004B2A29">
        <w:rPr>
          <w:lang w:val="en-AU"/>
        </w:rPr>
        <w:t>id</w:t>
      </w:r>
      <w:r w:rsidR="00967E02" w:rsidRPr="004B2A29">
        <w:rPr>
          <w:lang w:val="en-AU"/>
        </w:rPr>
        <w:t xml:space="preserve"> not apply</w:t>
      </w:r>
      <w:r w:rsidRPr="004B2A29">
        <w:rPr>
          <w:lang w:val="en-AU"/>
        </w:rPr>
        <w:t xml:space="preserve"> </w:t>
      </w:r>
      <w:r w:rsidR="00FC2DEB" w:rsidRPr="004B2A29">
        <w:rPr>
          <w:lang w:val="en-AU"/>
        </w:rPr>
        <w:t xml:space="preserve">due to the carve-out </w:t>
      </w:r>
      <w:r w:rsidR="00AC6C23" w:rsidRPr="004B2A29">
        <w:rPr>
          <w:lang w:val="en-AU"/>
        </w:rPr>
        <w:t>for</w:t>
      </w:r>
      <w:r w:rsidR="00FC2DEB" w:rsidRPr="004B2A29">
        <w:rPr>
          <w:lang w:val="en-AU"/>
        </w:rPr>
        <w:t xml:space="preserve"> documents produced under section 19. </w:t>
      </w:r>
      <w:r w:rsidR="000E580B" w:rsidRPr="0072337E">
        <w:rPr>
          <w:lang w:val="en-AU"/>
        </w:rPr>
        <w:t>T</w:t>
      </w:r>
      <w:r w:rsidRPr="004B2A29">
        <w:rPr>
          <w:lang w:val="en-AU"/>
        </w:rPr>
        <w:t xml:space="preserve">he Respondent </w:t>
      </w:r>
      <w:r w:rsidR="000E580B" w:rsidRPr="0072337E">
        <w:rPr>
          <w:lang w:val="en-AU"/>
        </w:rPr>
        <w:t xml:space="preserve">also </w:t>
      </w:r>
      <w:r w:rsidRPr="004B2A29">
        <w:rPr>
          <w:lang w:val="en-AU"/>
        </w:rPr>
        <w:t>submit</w:t>
      </w:r>
      <w:r w:rsidR="0039698B" w:rsidRPr="004B2A29">
        <w:rPr>
          <w:lang w:val="en-AU"/>
        </w:rPr>
        <w:t>ted</w:t>
      </w:r>
      <w:r w:rsidRPr="004B2A29">
        <w:rPr>
          <w:lang w:val="en-AU"/>
        </w:rPr>
        <w:t xml:space="preserve"> the Access Charges </w:t>
      </w:r>
      <w:r w:rsidR="00316D28" w:rsidRPr="004B2A29">
        <w:rPr>
          <w:lang w:val="en-AU"/>
        </w:rPr>
        <w:t>were</w:t>
      </w:r>
      <w:r w:rsidRPr="004B2A29">
        <w:rPr>
          <w:lang w:val="en-AU"/>
        </w:rPr>
        <w:t xml:space="preserve"> reasonable given the information provided. </w:t>
      </w:r>
    </w:p>
    <w:p w14:paraId="0D07B542" w14:textId="65695316" w:rsidR="0083414E" w:rsidRPr="004B2A29" w:rsidRDefault="0083414E" w:rsidP="00D20455">
      <w:pPr>
        <w:pStyle w:val="Body"/>
        <w:spacing w:after="120"/>
        <w:rPr>
          <w:u w:val="single"/>
          <w:lang w:val="en-AU"/>
        </w:rPr>
      </w:pPr>
      <w:r w:rsidRPr="004B2A29">
        <w:rPr>
          <w:u w:val="single"/>
          <w:lang w:val="en-AU"/>
        </w:rPr>
        <w:t xml:space="preserve">The Applicant </w:t>
      </w:r>
    </w:p>
    <w:p w14:paraId="0032E6AA" w14:textId="37ABA404" w:rsidR="009613C6" w:rsidRPr="004B2A29" w:rsidRDefault="00120BCD" w:rsidP="00D20455">
      <w:pPr>
        <w:pStyle w:val="Body"/>
        <w:spacing w:after="120"/>
        <w:rPr>
          <w:lang w:val="en-AU"/>
        </w:rPr>
      </w:pPr>
      <w:r w:rsidRPr="004B2A29">
        <w:rPr>
          <w:lang w:val="en-AU"/>
        </w:rPr>
        <w:t xml:space="preserve">The Applicant </w:t>
      </w:r>
      <w:r w:rsidR="00185796" w:rsidRPr="004B2A29">
        <w:rPr>
          <w:lang w:val="en-AU"/>
        </w:rPr>
        <w:t xml:space="preserve">argued </w:t>
      </w:r>
      <w:r w:rsidRPr="004B2A29">
        <w:rPr>
          <w:lang w:val="en-AU"/>
        </w:rPr>
        <w:t xml:space="preserve">that a </w:t>
      </w:r>
      <w:r w:rsidR="004B2A29">
        <w:rPr>
          <w:lang w:val="en-AU"/>
        </w:rPr>
        <w:t>‘</w:t>
      </w:r>
      <w:r w:rsidRPr="004B2A29">
        <w:rPr>
          <w:lang w:val="en-AU"/>
        </w:rPr>
        <w:t>document in writing</w:t>
      </w:r>
      <w:r w:rsidR="004B2A29">
        <w:rPr>
          <w:lang w:val="en-AU"/>
        </w:rPr>
        <w:t>’</w:t>
      </w:r>
      <w:r w:rsidRPr="004B2A29">
        <w:rPr>
          <w:lang w:val="en-AU"/>
        </w:rPr>
        <w:t xml:space="preserve"> need not be in a hardcopy </w:t>
      </w:r>
      <w:proofErr w:type="gramStart"/>
      <w:r w:rsidRPr="004B2A29">
        <w:rPr>
          <w:lang w:val="en-AU"/>
        </w:rPr>
        <w:t>form</w:t>
      </w:r>
      <w:r w:rsidR="004B2A29">
        <w:rPr>
          <w:lang w:val="en-AU"/>
        </w:rPr>
        <w:t xml:space="preserve">, </w:t>
      </w:r>
      <w:r w:rsidRPr="004B2A29">
        <w:rPr>
          <w:lang w:val="en-AU"/>
        </w:rPr>
        <w:t>and</w:t>
      </w:r>
      <w:proofErr w:type="gramEnd"/>
      <w:r w:rsidRPr="004B2A29">
        <w:rPr>
          <w:lang w:val="en-AU"/>
        </w:rPr>
        <w:t xml:space="preserve"> </w:t>
      </w:r>
      <w:r w:rsidR="004B2A29">
        <w:rPr>
          <w:lang w:val="en-AU"/>
        </w:rPr>
        <w:t xml:space="preserve">could </w:t>
      </w:r>
      <w:r w:rsidRPr="004B2A29">
        <w:rPr>
          <w:lang w:val="en-AU"/>
        </w:rPr>
        <w:t>be</w:t>
      </w:r>
      <w:r w:rsidR="00963114">
        <w:rPr>
          <w:lang w:val="en-AU"/>
        </w:rPr>
        <w:t xml:space="preserve"> </w:t>
      </w:r>
      <w:r w:rsidR="00CB1EBB">
        <w:rPr>
          <w:lang w:val="en-AU"/>
        </w:rPr>
        <w:t xml:space="preserve">electronically </w:t>
      </w:r>
      <w:r w:rsidRPr="004B2A29">
        <w:rPr>
          <w:lang w:val="en-AU"/>
        </w:rPr>
        <w:t xml:space="preserve">stored </w:t>
      </w:r>
      <w:r w:rsidR="00CB1EBB">
        <w:rPr>
          <w:lang w:val="en-AU"/>
        </w:rPr>
        <w:t xml:space="preserve">if it was </w:t>
      </w:r>
      <w:r w:rsidRPr="004B2A29">
        <w:rPr>
          <w:lang w:val="en-AU"/>
        </w:rPr>
        <w:t xml:space="preserve">appropriately described. The Applicant </w:t>
      </w:r>
      <w:r w:rsidR="00963114">
        <w:rPr>
          <w:lang w:val="en-AU"/>
        </w:rPr>
        <w:t xml:space="preserve">referred </w:t>
      </w:r>
      <w:r w:rsidRPr="004B2A29">
        <w:rPr>
          <w:lang w:val="en-AU"/>
        </w:rPr>
        <w:t xml:space="preserve">to OVIC guidance which </w:t>
      </w:r>
      <w:r w:rsidR="00316D28" w:rsidRPr="004B2A29">
        <w:rPr>
          <w:lang w:val="en-AU"/>
        </w:rPr>
        <w:t>state</w:t>
      </w:r>
      <w:r w:rsidR="004B2A29">
        <w:rPr>
          <w:lang w:val="en-AU"/>
        </w:rPr>
        <w:t>d</w:t>
      </w:r>
      <w:r w:rsidR="00316D28" w:rsidRPr="004B2A29">
        <w:rPr>
          <w:lang w:val="en-AU"/>
        </w:rPr>
        <w:t xml:space="preserve"> </w:t>
      </w:r>
      <w:r w:rsidRPr="004B2A29">
        <w:rPr>
          <w:lang w:val="en-AU"/>
        </w:rPr>
        <w:t xml:space="preserve">that </w:t>
      </w:r>
      <w:r w:rsidR="00185796" w:rsidRPr="004B2A29">
        <w:rPr>
          <w:lang w:val="en-AU"/>
        </w:rPr>
        <w:t>an email is</w:t>
      </w:r>
      <w:r w:rsidRPr="004B2A29">
        <w:rPr>
          <w:lang w:val="en-AU"/>
        </w:rPr>
        <w:t xml:space="preserve"> </w:t>
      </w:r>
      <w:r w:rsidR="00185796" w:rsidRPr="004B2A29">
        <w:rPr>
          <w:lang w:val="en-AU"/>
        </w:rPr>
        <w:t>an</w:t>
      </w:r>
      <w:r w:rsidRPr="004B2A29">
        <w:rPr>
          <w:lang w:val="en-AU"/>
        </w:rPr>
        <w:t xml:space="preserve"> example of a document</w:t>
      </w:r>
      <w:r w:rsidR="009613C6" w:rsidRPr="004B2A29">
        <w:rPr>
          <w:rStyle w:val="FootnoteReference"/>
          <w:lang w:val="en-AU"/>
        </w:rPr>
        <w:footnoteReference w:id="6"/>
      </w:r>
      <w:r w:rsidR="0083218A" w:rsidRPr="004B2A29">
        <w:rPr>
          <w:lang w:val="en-AU"/>
        </w:rPr>
        <w:t xml:space="preserve"> </w:t>
      </w:r>
      <w:r w:rsidRPr="004B2A29">
        <w:rPr>
          <w:lang w:val="en-AU"/>
        </w:rPr>
        <w:t xml:space="preserve">and that documents held </w:t>
      </w:r>
      <w:r w:rsidR="00185796" w:rsidRPr="004B2A29">
        <w:rPr>
          <w:lang w:val="en-AU"/>
        </w:rPr>
        <w:t xml:space="preserve">in TRIM, </w:t>
      </w:r>
      <w:r w:rsidRPr="004B2A29">
        <w:rPr>
          <w:lang w:val="en-AU"/>
        </w:rPr>
        <w:t>on a shared drive</w:t>
      </w:r>
      <w:r w:rsidR="00185796" w:rsidRPr="004B2A29">
        <w:rPr>
          <w:lang w:val="en-AU"/>
        </w:rPr>
        <w:t>,</w:t>
      </w:r>
      <w:r w:rsidRPr="004B2A29">
        <w:rPr>
          <w:lang w:val="en-AU"/>
        </w:rPr>
        <w:t xml:space="preserve"> are in </w:t>
      </w:r>
      <w:r w:rsidR="00963114">
        <w:rPr>
          <w:lang w:val="en-AU"/>
        </w:rPr>
        <w:t xml:space="preserve">the </w:t>
      </w:r>
      <w:r w:rsidRPr="004B2A29">
        <w:rPr>
          <w:lang w:val="en-AU"/>
        </w:rPr>
        <w:t xml:space="preserve">possession of an </w:t>
      </w:r>
      <w:r w:rsidR="00185796" w:rsidRPr="004B2A29">
        <w:rPr>
          <w:lang w:val="en-AU"/>
        </w:rPr>
        <w:t>a</w:t>
      </w:r>
      <w:r w:rsidRPr="004B2A29">
        <w:rPr>
          <w:lang w:val="en-AU"/>
        </w:rPr>
        <w:t>gency</w:t>
      </w:r>
      <w:r w:rsidR="0083218A" w:rsidRPr="004B2A29">
        <w:rPr>
          <w:rStyle w:val="FootnoteReference"/>
          <w:lang w:val="en-AU"/>
        </w:rPr>
        <w:footnoteReference w:id="7"/>
      </w:r>
      <w:r w:rsidR="0083218A" w:rsidRPr="004B2A29">
        <w:rPr>
          <w:lang w:val="en-AU"/>
        </w:rPr>
        <w:t xml:space="preserve">. </w:t>
      </w:r>
    </w:p>
    <w:p w14:paraId="21237FC4" w14:textId="520949B8" w:rsidR="00CB1EBB" w:rsidRDefault="00120BCD" w:rsidP="00956C57">
      <w:pPr>
        <w:pStyle w:val="Body"/>
        <w:spacing w:after="120"/>
        <w:rPr>
          <w:lang w:val="en-AU"/>
        </w:rPr>
      </w:pPr>
      <w:r w:rsidRPr="004B2A29">
        <w:rPr>
          <w:lang w:val="en-AU"/>
        </w:rPr>
        <w:t xml:space="preserve">The Applicant </w:t>
      </w:r>
      <w:r w:rsidR="00185796" w:rsidRPr="004B2A29">
        <w:rPr>
          <w:lang w:val="en-AU"/>
        </w:rPr>
        <w:t xml:space="preserve">submitted </w:t>
      </w:r>
      <w:r w:rsidRPr="004B2A29">
        <w:rPr>
          <w:lang w:val="en-AU"/>
        </w:rPr>
        <w:t xml:space="preserve">that the Respondent’s contention </w:t>
      </w:r>
      <w:r w:rsidR="004B2A29">
        <w:rPr>
          <w:lang w:val="en-AU"/>
        </w:rPr>
        <w:t xml:space="preserve">meant any </w:t>
      </w:r>
      <w:r w:rsidR="00047E39" w:rsidRPr="004B2A29">
        <w:rPr>
          <w:lang w:val="en-AU"/>
        </w:rPr>
        <w:t>hard-</w:t>
      </w:r>
      <w:r w:rsidR="004B2A29">
        <w:rPr>
          <w:lang w:val="en-AU"/>
        </w:rPr>
        <w:t xml:space="preserve">copy </w:t>
      </w:r>
      <w:r w:rsidRPr="004B2A29">
        <w:rPr>
          <w:lang w:val="en-AU"/>
        </w:rPr>
        <w:t xml:space="preserve">document scanned into </w:t>
      </w:r>
      <w:r w:rsidR="00316D28" w:rsidRPr="004B2A29">
        <w:rPr>
          <w:lang w:val="en-AU"/>
        </w:rPr>
        <w:t>an electronic document management system (such as TRIM)</w:t>
      </w:r>
      <w:r w:rsidRPr="004B2A29">
        <w:rPr>
          <w:lang w:val="en-AU"/>
        </w:rPr>
        <w:t xml:space="preserve"> would cease </w:t>
      </w:r>
      <w:r w:rsidR="004B2A29">
        <w:rPr>
          <w:lang w:val="en-AU"/>
        </w:rPr>
        <w:t xml:space="preserve">to be </w:t>
      </w:r>
      <w:r w:rsidRPr="004B2A29">
        <w:rPr>
          <w:lang w:val="en-AU"/>
        </w:rPr>
        <w:t xml:space="preserve">a document </w:t>
      </w:r>
      <w:r w:rsidR="004B2A29">
        <w:rPr>
          <w:lang w:val="en-AU"/>
        </w:rPr>
        <w:t xml:space="preserve">once it was filed in an electronic equivalent of a filing cabinet. </w:t>
      </w:r>
      <w:r w:rsidR="00047E39" w:rsidRPr="004B2A29">
        <w:rPr>
          <w:lang w:val="en-AU"/>
        </w:rPr>
        <w:t>The Applicant assert</w:t>
      </w:r>
      <w:r w:rsidR="00185796" w:rsidRPr="004B2A29">
        <w:rPr>
          <w:lang w:val="en-AU"/>
        </w:rPr>
        <w:t>ed</w:t>
      </w:r>
      <w:r w:rsidR="00047E39" w:rsidRPr="004B2A29">
        <w:rPr>
          <w:lang w:val="en-AU"/>
        </w:rPr>
        <w:t xml:space="preserve"> </w:t>
      </w:r>
      <w:r w:rsidR="00CB1EBB">
        <w:rPr>
          <w:lang w:val="en-AU"/>
        </w:rPr>
        <w:t xml:space="preserve">this approach did </w:t>
      </w:r>
      <w:r w:rsidR="00047E39" w:rsidRPr="004B2A29">
        <w:rPr>
          <w:lang w:val="en-AU"/>
        </w:rPr>
        <w:t xml:space="preserve">not support the object of the FOI Act or facilitate disclosure of information at the lowest reasonable cost. </w:t>
      </w:r>
    </w:p>
    <w:p w14:paraId="3D393494" w14:textId="0DB7972C" w:rsidR="00120BCD" w:rsidRDefault="00047E39" w:rsidP="00956C57">
      <w:pPr>
        <w:pStyle w:val="Body"/>
        <w:spacing w:after="120"/>
        <w:rPr>
          <w:lang w:val="en-AU"/>
        </w:rPr>
      </w:pPr>
      <w:r w:rsidRPr="004B2A29">
        <w:rPr>
          <w:lang w:val="en-AU"/>
        </w:rPr>
        <w:t>Lastly, the Applicant</w:t>
      </w:r>
      <w:r w:rsidR="00867788" w:rsidRPr="004B2A29">
        <w:rPr>
          <w:lang w:val="en-AU"/>
        </w:rPr>
        <w:t xml:space="preserve"> </w:t>
      </w:r>
      <w:r w:rsidRPr="004B2A29">
        <w:rPr>
          <w:lang w:val="en-AU"/>
        </w:rPr>
        <w:t>submi</w:t>
      </w:r>
      <w:r w:rsidR="00CB1EBB">
        <w:rPr>
          <w:lang w:val="en-AU"/>
        </w:rPr>
        <w:t>t</w:t>
      </w:r>
      <w:r w:rsidRPr="004B2A29">
        <w:rPr>
          <w:lang w:val="en-AU"/>
        </w:rPr>
        <w:t>t</w:t>
      </w:r>
      <w:r w:rsidR="00CB1EBB">
        <w:rPr>
          <w:lang w:val="en-AU"/>
        </w:rPr>
        <w:t>ed</w:t>
      </w:r>
      <w:r w:rsidRPr="004B2A29">
        <w:rPr>
          <w:lang w:val="en-AU"/>
        </w:rPr>
        <w:t xml:space="preserve"> that section 19</w:t>
      </w:r>
      <w:r w:rsidR="0083218A" w:rsidRPr="004B2A29">
        <w:rPr>
          <w:lang w:val="en-AU"/>
        </w:rPr>
        <w:t xml:space="preserve"> ‘only applie</w:t>
      </w:r>
      <w:r w:rsidR="00CB1EBB">
        <w:rPr>
          <w:lang w:val="en-AU"/>
        </w:rPr>
        <w:t>d</w:t>
      </w:r>
      <w:r w:rsidR="0083218A" w:rsidRPr="004B2A29">
        <w:rPr>
          <w:lang w:val="en-AU"/>
        </w:rPr>
        <w:t xml:space="preserve"> when the agency </w:t>
      </w:r>
      <w:r w:rsidR="00CB1EBB">
        <w:rPr>
          <w:lang w:val="en-AU"/>
        </w:rPr>
        <w:t xml:space="preserve">had </w:t>
      </w:r>
      <w:r w:rsidR="0083218A" w:rsidRPr="004B2A29">
        <w:rPr>
          <w:lang w:val="en-AU"/>
        </w:rPr>
        <w:t>to</w:t>
      </w:r>
      <w:r w:rsidR="0083218A" w:rsidRPr="004B2A29">
        <w:rPr>
          <w:i/>
          <w:iCs/>
          <w:lang w:val="en-AU"/>
        </w:rPr>
        <w:t xml:space="preserve"> create </w:t>
      </w:r>
      <w:r w:rsidR="0083218A" w:rsidRPr="004B2A29">
        <w:rPr>
          <w:lang w:val="en-AU"/>
        </w:rPr>
        <w:t>a document that did not already exist in a written form’</w:t>
      </w:r>
      <w:r w:rsidR="00867788" w:rsidRPr="004B2A29">
        <w:rPr>
          <w:lang w:val="en-AU"/>
        </w:rPr>
        <w:t xml:space="preserve">, such as a </w:t>
      </w:r>
      <w:r w:rsidRPr="004B2A29">
        <w:rPr>
          <w:lang w:val="en-AU"/>
        </w:rPr>
        <w:t xml:space="preserve">document created from </w:t>
      </w:r>
      <w:r w:rsidR="00867788" w:rsidRPr="004B2A29">
        <w:rPr>
          <w:lang w:val="en-AU"/>
        </w:rPr>
        <w:t>various</w:t>
      </w:r>
      <w:r w:rsidRPr="004B2A29">
        <w:rPr>
          <w:lang w:val="en-AU"/>
        </w:rPr>
        <w:t xml:space="preserve"> spreadsheets</w:t>
      </w:r>
      <w:r w:rsidRPr="004B2A29">
        <w:rPr>
          <w:rStyle w:val="FootnoteReference"/>
          <w:lang w:val="en-AU"/>
        </w:rPr>
        <w:footnoteReference w:id="8"/>
      </w:r>
      <w:r w:rsidRPr="004B2A29">
        <w:rPr>
          <w:lang w:val="en-AU"/>
        </w:rPr>
        <w:t>.</w:t>
      </w:r>
      <w:bookmarkEnd w:id="3"/>
    </w:p>
    <w:p w14:paraId="6197E420" w14:textId="2FCAF391" w:rsidR="0065352B" w:rsidRPr="0083218A" w:rsidRDefault="002A3D5B" w:rsidP="0083218A">
      <w:pPr>
        <w:pStyle w:val="SectionHeading1"/>
        <w:spacing w:before="120"/>
        <w:rPr>
          <w:lang w:val="en-AU"/>
        </w:rPr>
      </w:pPr>
      <w:r>
        <w:rPr>
          <w:lang w:val="en-AU"/>
        </w:rPr>
        <w:t>Tribunal</w:t>
      </w:r>
      <w:r w:rsidRPr="00362F36">
        <w:rPr>
          <w:lang w:val="en-AU"/>
        </w:rPr>
        <w:t xml:space="preserve"> </w:t>
      </w:r>
      <w:r w:rsidR="00AC1F6A" w:rsidRPr="00362F36">
        <w:rPr>
          <w:lang w:val="en-AU"/>
        </w:rPr>
        <w:t xml:space="preserve">Decision </w:t>
      </w:r>
    </w:p>
    <w:p w14:paraId="4451C06C" w14:textId="5806A1F2" w:rsidR="000E580B" w:rsidRDefault="0074321B" w:rsidP="00077BA6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Although the </w:t>
      </w:r>
      <w:r w:rsidR="004C6BF0" w:rsidRPr="0074321B">
        <w:rPr>
          <w:lang w:val="en-AU"/>
        </w:rPr>
        <w:t>Tribunal</w:t>
      </w:r>
      <w:r w:rsidR="004C6BF0">
        <w:rPr>
          <w:lang w:val="en-AU"/>
        </w:rPr>
        <w:t xml:space="preserve"> accepted information stored electronically, on a computer or disc, is not stored discretely</w:t>
      </w:r>
      <w:r>
        <w:rPr>
          <w:lang w:val="en-AU"/>
        </w:rPr>
        <w:t>, it found documents like emails could still be available in a discrete form.</w:t>
      </w:r>
      <w:r w:rsidR="00094DE9">
        <w:rPr>
          <w:lang w:val="en-AU"/>
        </w:rPr>
        <w:t xml:space="preserve"> </w:t>
      </w:r>
    </w:p>
    <w:p w14:paraId="07A695FC" w14:textId="72C0525B" w:rsidR="0074321B" w:rsidRDefault="00867788" w:rsidP="00CB1EBB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Tribunal </w:t>
      </w:r>
      <w:r w:rsidR="0074321B">
        <w:rPr>
          <w:lang w:val="en-AU"/>
        </w:rPr>
        <w:t xml:space="preserve">found </w:t>
      </w:r>
      <w:r w:rsidR="00094DE9">
        <w:rPr>
          <w:lang w:val="en-AU"/>
        </w:rPr>
        <w:t>email</w:t>
      </w:r>
      <w:r w:rsidR="0074321B">
        <w:rPr>
          <w:lang w:val="en-AU"/>
        </w:rPr>
        <w:t>s</w:t>
      </w:r>
      <w:r w:rsidR="00094DE9">
        <w:rPr>
          <w:lang w:val="en-AU"/>
        </w:rPr>
        <w:t xml:space="preserve"> ha</w:t>
      </w:r>
      <w:r w:rsidR="0074321B">
        <w:rPr>
          <w:lang w:val="en-AU"/>
        </w:rPr>
        <w:t>d</w:t>
      </w:r>
      <w:r w:rsidR="00094DE9">
        <w:rPr>
          <w:lang w:val="en-AU"/>
        </w:rPr>
        <w:t xml:space="preserve"> unique identifying features such as </w:t>
      </w:r>
      <w:r w:rsidR="0074321B">
        <w:rPr>
          <w:lang w:val="en-AU"/>
        </w:rPr>
        <w:t xml:space="preserve">a </w:t>
      </w:r>
      <w:r w:rsidR="00094DE9">
        <w:rPr>
          <w:lang w:val="en-AU"/>
        </w:rPr>
        <w:t>sender, recipient(s) and date</w:t>
      </w:r>
      <w:r w:rsidR="00CB1EBB">
        <w:rPr>
          <w:lang w:val="en-AU"/>
        </w:rPr>
        <w:t xml:space="preserve">. Consequently, even </w:t>
      </w:r>
      <w:r w:rsidR="00094DE9">
        <w:rPr>
          <w:lang w:val="en-AU"/>
        </w:rPr>
        <w:t xml:space="preserve">if an email is </w:t>
      </w:r>
      <w:r w:rsidR="0074321B">
        <w:rPr>
          <w:lang w:val="en-AU"/>
        </w:rPr>
        <w:t xml:space="preserve">electronically </w:t>
      </w:r>
      <w:r w:rsidR="00094DE9">
        <w:rPr>
          <w:lang w:val="en-AU"/>
        </w:rPr>
        <w:t xml:space="preserve">stored, once retrieved it still remains in a discrete form. </w:t>
      </w:r>
      <w:r>
        <w:rPr>
          <w:lang w:val="en-AU"/>
        </w:rPr>
        <w:t>The Tribunal noted</w:t>
      </w:r>
      <w:r w:rsidR="00094DE9">
        <w:rPr>
          <w:lang w:val="en-AU"/>
        </w:rPr>
        <w:t xml:space="preserve"> an email cannot be altered unless it is forwarded to another person, in which case the original email develops into a different email. </w:t>
      </w:r>
      <w:r>
        <w:rPr>
          <w:lang w:val="en-AU"/>
        </w:rPr>
        <w:t>It held t</w:t>
      </w:r>
      <w:r w:rsidR="00094DE9">
        <w:rPr>
          <w:lang w:val="en-AU"/>
        </w:rPr>
        <w:t>his interpretation is consistent with the object of the FOI Act and the requirement to interpret such legislation to facilitate and promote the disclosure</w:t>
      </w:r>
      <w:r w:rsidR="0074321B">
        <w:rPr>
          <w:lang w:val="en-AU"/>
        </w:rPr>
        <w:t>.</w:t>
      </w:r>
    </w:p>
    <w:p w14:paraId="3F6AA9B8" w14:textId="57246159" w:rsidR="00CB1EBB" w:rsidRDefault="00CB1EBB" w:rsidP="00CB1EBB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Tribunal concluded that emails maintained electronically by the Respondent remained available in discrete form as documents of the agency. It noted that while some of emails were held by a contractor, that consultant was an ‘officer of the agency’ and consequently his emails were held by the Respondent. </w:t>
      </w:r>
    </w:p>
    <w:p w14:paraId="19D42A5C" w14:textId="41F0BCC1" w:rsidR="00094DE9" w:rsidRDefault="00094DE9" w:rsidP="00077BA6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Tribunal </w:t>
      </w:r>
      <w:r w:rsidR="00CB1EBB">
        <w:rPr>
          <w:lang w:val="en-AU"/>
        </w:rPr>
        <w:t xml:space="preserve">found </w:t>
      </w:r>
      <w:r>
        <w:rPr>
          <w:lang w:val="en-AU"/>
        </w:rPr>
        <w:t xml:space="preserve">that if </w:t>
      </w:r>
      <w:r w:rsidR="00CB1EBB">
        <w:rPr>
          <w:lang w:val="en-AU"/>
        </w:rPr>
        <w:t xml:space="preserve">agency </w:t>
      </w:r>
      <w:r>
        <w:rPr>
          <w:lang w:val="en-AU"/>
        </w:rPr>
        <w:t xml:space="preserve">officers </w:t>
      </w:r>
      <w:r w:rsidR="00CB1EBB">
        <w:rPr>
          <w:lang w:val="en-AU"/>
        </w:rPr>
        <w:t xml:space="preserve">were </w:t>
      </w:r>
      <w:r>
        <w:rPr>
          <w:lang w:val="en-AU"/>
        </w:rPr>
        <w:t xml:space="preserve">required to retrieve their own emails in order to </w:t>
      </w:r>
      <w:r w:rsidR="00CB1EBB">
        <w:rPr>
          <w:lang w:val="en-AU"/>
        </w:rPr>
        <w:t xml:space="preserve">facilitate </w:t>
      </w:r>
      <w:r>
        <w:rPr>
          <w:lang w:val="en-AU"/>
        </w:rPr>
        <w:t>a</w:t>
      </w:r>
      <w:r w:rsidR="00587D4C">
        <w:rPr>
          <w:lang w:val="en-AU"/>
        </w:rPr>
        <w:t xml:space="preserve"> ‘thorough and diligent search’, </w:t>
      </w:r>
      <w:r>
        <w:rPr>
          <w:lang w:val="en-AU"/>
        </w:rPr>
        <w:t xml:space="preserve">the cost of recovery should not exceed the 1.5 units specified by item 1 of </w:t>
      </w:r>
      <w:r>
        <w:rPr>
          <w:lang w:val="en-AU"/>
        </w:rPr>
        <w:lastRenderedPageBreak/>
        <w:t xml:space="preserve">the Regulations. </w:t>
      </w:r>
    </w:p>
    <w:p w14:paraId="28475A71" w14:textId="6441F87F" w:rsidR="00847A45" w:rsidRDefault="002A6624" w:rsidP="000A404E">
      <w:pPr>
        <w:pStyle w:val="Body"/>
        <w:spacing w:after="120"/>
        <w:rPr>
          <w:lang w:val="en-AU"/>
        </w:rPr>
      </w:pPr>
      <w:r>
        <w:rPr>
          <w:lang w:val="en-AU"/>
        </w:rPr>
        <w:t>Given</w:t>
      </w:r>
      <w:r w:rsidR="00A170AF">
        <w:rPr>
          <w:lang w:val="en-AU"/>
        </w:rPr>
        <w:t xml:space="preserve"> the emails and other information sought by the Applicant related to </w:t>
      </w:r>
      <w:r w:rsidR="006235AB">
        <w:rPr>
          <w:lang w:val="en-AU"/>
        </w:rPr>
        <w:t>their</w:t>
      </w:r>
      <w:r w:rsidR="00A170AF">
        <w:rPr>
          <w:lang w:val="en-AU"/>
        </w:rPr>
        <w:t xml:space="preserve"> personal affairs</w:t>
      </w:r>
      <w:r>
        <w:rPr>
          <w:lang w:val="en-AU"/>
        </w:rPr>
        <w:t xml:space="preserve"> information</w:t>
      </w:r>
      <w:r w:rsidR="00A170AF">
        <w:rPr>
          <w:lang w:val="en-AU"/>
        </w:rPr>
        <w:t xml:space="preserve">, </w:t>
      </w:r>
      <w:r>
        <w:rPr>
          <w:lang w:val="en-AU"/>
        </w:rPr>
        <w:t xml:space="preserve">the Tribunal found that the Respondent should not have asked the Applicant to pay the Access Charges due to </w:t>
      </w:r>
      <w:r w:rsidR="00077BA6">
        <w:rPr>
          <w:lang w:val="en-AU"/>
        </w:rPr>
        <w:t xml:space="preserve">section 22(1)(h) of the FOI Act. </w:t>
      </w:r>
      <w:r>
        <w:rPr>
          <w:lang w:val="en-AU"/>
        </w:rPr>
        <w:t>To that end,</w:t>
      </w:r>
      <w:r w:rsidR="00A170AF">
        <w:rPr>
          <w:lang w:val="en-AU"/>
        </w:rPr>
        <w:t xml:space="preserve"> </w:t>
      </w:r>
      <w:r w:rsidR="00316D28">
        <w:rPr>
          <w:lang w:val="en-AU"/>
        </w:rPr>
        <w:t xml:space="preserve">the </w:t>
      </w:r>
      <w:r w:rsidR="00A170AF">
        <w:rPr>
          <w:lang w:val="en-AU"/>
        </w:rPr>
        <w:t>Tribunal ordered that the decision of the Respondent to impose the Access Charges be set aside and the Access Charges be refunded in full to the Applicant.</w:t>
      </w:r>
    </w:p>
    <w:p w14:paraId="688CA6EC" w14:textId="77777777" w:rsidR="0065352B" w:rsidRPr="00797D2D" w:rsidRDefault="0065352B" w:rsidP="000A404E">
      <w:pPr>
        <w:pStyle w:val="Body"/>
        <w:spacing w:after="120"/>
        <w:rPr>
          <w:lang w:val="en-AU"/>
        </w:rPr>
      </w:pPr>
    </w:p>
    <w:p w14:paraId="559968F5" w14:textId="77777777" w:rsidR="00BA7390" w:rsidRPr="005F0419" w:rsidRDefault="00BA7390" w:rsidP="002456A2">
      <w:pPr>
        <w:keepNext/>
        <w:keepLines/>
        <w:pBdr>
          <w:top w:val="single" w:sz="4" w:space="6" w:color="430098"/>
        </w:pBdr>
        <w:spacing w:before="120" w:after="120"/>
        <w:outlineLvl w:val="0"/>
        <w:rPr>
          <w:rFonts w:cs="PostGrotesk-Medium"/>
          <w:color w:val="430098"/>
          <w:sz w:val="28"/>
          <w:szCs w:val="28"/>
          <w:lang w:val="en-AU"/>
        </w:rPr>
      </w:pPr>
      <w:r w:rsidRPr="005F0419">
        <w:rPr>
          <w:rFonts w:cs="PostGrotesk-Medium"/>
          <w:color w:val="430098"/>
          <w:sz w:val="28"/>
          <w:szCs w:val="28"/>
          <w:lang w:val="en-AU"/>
        </w:rPr>
        <w:t>Further Information</w:t>
      </w:r>
    </w:p>
    <w:p w14:paraId="795C66A0" w14:textId="77777777" w:rsidR="00BA7390" w:rsidRPr="005F0419" w:rsidRDefault="00BA7390" w:rsidP="00BA7390">
      <w:pPr>
        <w:keepNext/>
        <w:keepLines/>
        <w:pBdr>
          <w:top w:val="single" w:sz="4" w:space="6" w:color="430098"/>
        </w:pBdr>
        <w:spacing w:before="120" w:after="240"/>
        <w:outlineLvl w:val="0"/>
        <w:rPr>
          <w:rFonts w:cs="PostGrotesk-Medium"/>
          <w:color w:val="430098"/>
          <w:sz w:val="28"/>
          <w:szCs w:val="28"/>
          <w:lang w:val="en-AU"/>
        </w:rPr>
        <w:sectPr w:rsidR="00BA7390" w:rsidRPr="005F0419" w:rsidSect="002456A2">
          <w:footerReference w:type="default" r:id="rId9"/>
          <w:headerReference w:type="first" r:id="rId10"/>
          <w:type w:val="continuous"/>
          <w:pgSz w:w="11900" w:h="16840"/>
          <w:pgMar w:top="896" w:right="1134" w:bottom="709" w:left="1134" w:header="510" w:footer="510" w:gutter="0"/>
          <w:cols w:space="720"/>
          <w:titlePg/>
          <w:docGrid w:linePitch="360"/>
        </w:sectPr>
      </w:pPr>
    </w:p>
    <w:p w14:paraId="439F5EB8" w14:textId="460E964C" w:rsidR="00795CCC" w:rsidRPr="005F0419" w:rsidRDefault="00BA7390" w:rsidP="0063763C">
      <w:pPr>
        <w:pStyle w:val="Disclaimer"/>
        <w:rPr>
          <w:lang w:val="en-AU"/>
        </w:rPr>
      </w:pPr>
      <w:r w:rsidRPr="005F0419">
        <w:rPr>
          <w:b/>
          <w:color w:val="430098"/>
          <w:lang w:val="en-AU"/>
        </w:rPr>
        <w:t>t:</w:t>
      </w:r>
      <w:r w:rsidRPr="005F0419">
        <w:rPr>
          <w:lang w:val="en-AU"/>
        </w:rPr>
        <w:tab/>
        <w:t xml:space="preserve">1300 00 6842 </w:t>
      </w:r>
      <w:r w:rsidRPr="005F0419">
        <w:rPr>
          <w:lang w:val="en-AU"/>
        </w:rPr>
        <w:br/>
      </w:r>
      <w:r w:rsidRPr="005F0419">
        <w:rPr>
          <w:b/>
          <w:color w:val="430098"/>
          <w:lang w:val="en-AU"/>
        </w:rPr>
        <w:t>e:</w:t>
      </w:r>
      <w:r w:rsidRPr="005F0419">
        <w:rPr>
          <w:lang w:val="en-AU"/>
        </w:rPr>
        <w:tab/>
        <w:t>enquiries@ovic.vic.gov.au</w:t>
      </w:r>
      <w:r w:rsidRPr="005F0419">
        <w:rPr>
          <w:lang w:val="en-AU"/>
        </w:rPr>
        <w:br/>
      </w:r>
      <w:r w:rsidRPr="005F0419">
        <w:rPr>
          <w:b/>
          <w:color w:val="430098"/>
          <w:lang w:val="en-AU"/>
        </w:rPr>
        <w:t>w:</w:t>
      </w:r>
      <w:r w:rsidRPr="005F0419">
        <w:rPr>
          <w:lang w:val="en-AU"/>
        </w:rPr>
        <w:tab/>
        <w:t>ovic.vic.gov.au</w:t>
      </w:r>
      <w:r w:rsidRPr="005F0419">
        <w:rPr>
          <w:rFonts w:cs="PostGrotesk-Medium"/>
          <w:b/>
          <w:lang w:val="en-AU"/>
        </w:rPr>
        <w:t xml:space="preserve"> </w:t>
      </w:r>
      <w:r w:rsidRPr="005F0419">
        <w:rPr>
          <w:rFonts w:cs="PostGrotesk-Medium"/>
          <w:b/>
          <w:lang w:val="en-AU"/>
        </w:rPr>
        <w:br w:type="column"/>
      </w:r>
      <w:r w:rsidRPr="005F0419">
        <w:rPr>
          <w:lang w:val="en-AU"/>
        </w:rPr>
        <w:t>This case note is general in nature and does not constitute legal advice.</w:t>
      </w:r>
    </w:p>
    <w:sectPr w:rsidR="00795CCC" w:rsidRPr="005F0419" w:rsidSect="00BA008A">
      <w:headerReference w:type="first" r:id="rId11"/>
      <w:footerReference w:type="first" r:id="rId12"/>
      <w:type w:val="continuous"/>
      <w:pgSz w:w="11900" w:h="16840"/>
      <w:pgMar w:top="1134" w:right="1134" w:bottom="1134" w:left="1134" w:header="1134" w:footer="113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9156" w14:textId="77777777" w:rsidR="00B26389" w:rsidRDefault="00B26389" w:rsidP="00190E33">
      <w:r>
        <w:separator/>
      </w:r>
    </w:p>
  </w:endnote>
  <w:endnote w:type="continuationSeparator" w:id="0">
    <w:p w14:paraId="350C69C8" w14:textId="77777777" w:rsidR="00B26389" w:rsidRDefault="00B26389" w:rsidP="001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994D" w14:textId="735D2B49" w:rsidR="003E2061" w:rsidRPr="003B6B6A" w:rsidRDefault="003E2061" w:rsidP="00BA008A">
    <w:pPr>
      <w:tabs>
        <w:tab w:val="center" w:pos="4513"/>
        <w:tab w:val="right" w:pos="9639"/>
      </w:tabs>
      <w:spacing w:before="120"/>
      <w:rPr>
        <w:color w:val="430098"/>
        <w:sz w:val="22"/>
      </w:rPr>
    </w:pPr>
    <w:r w:rsidRPr="00065C95">
      <w:rPr>
        <w:rFonts w:cs="Arial"/>
        <w:color w:val="430098"/>
        <w:sz w:val="20"/>
      </w:rPr>
      <w:t xml:space="preserve">Freedom of Information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Privacy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Data Protection</w:t>
    </w:r>
    <w:r>
      <w:rPr>
        <w:rFonts w:cs="Arial"/>
        <w:color w:val="430098"/>
        <w:sz w:val="20"/>
      </w:rPr>
      <w:tab/>
    </w:r>
    <w:r>
      <w:rPr>
        <w:rFonts w:cs="Arial"/>
        <w:color w:val="430098"/>
        <w:sz w:val="20"/>
      </w:rPr>
      <w:tab/>
    </w:r>
    <w:r w:rsidRPr="00065C95">
      <w:rPr>
        <w:rFonts w:cs="Arial"/>
        <w:color w:val="430098"/>
        <w:sz w:val="20"/>
      </w:rPr>
      <w:fldChar w:fldCharType="begin"/>
    </w:r>
    <w:r w:rsidRPr="00065C95">
      <w:rPr>
        <w:rFonts w:cs="Arial"/>
        <w:color w:val="430098"/>
        <w:sz w:val="20"/>
      </w:rPr>
      <w:instrText xml:space="preserve"> PAGE   \* MERGEFORMAT </w:instrText>
    </w:r>
    <w:r w:rsidRPr="00065C95">
      <w:rPr>
        <w:rFonts w:cs="Arial"/>
        <w:color w:val="430098"/>
        <w:sz w:val="20"/>
      </w:rPr>
      <w:fldChar w:fldCharType="separate"/>
    </w:r>
    <w:r>
      <w:rPr>
        <w:rFonts w:cs="Arial"/>
        <w:noProof/>
        <w:color w:val="430098"/>
        <w:sz w:val="20"/>
      </w:rPr>
      <w:t>2</w:t>
    </w:r>
    <w:r w:rsidRPr="00065C95">
      <w:rPr>
        <w:rFonts w:cs="Arial"/>
        <w:color w:val="43009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9DDD" w14:textId="77777777" w:rsidR="003E2061" w:rsidRDefault="003E2061" w:rsidP="00BA008A">
    <w:pPr>
      <w:pStyle w:val="Footer"/>
    </w:pPr>
    <w:r w:rsidRPr="00B60B75">
      <w:t xml:space="preserve">Freedom of Information </w:t>
    </w:r>
    <w:r w:rsidRPr="0070388B">
      <w:rPr>
        <w:color w:val="E5007D"/>
      </w:rPr>
      <w:t>|</w:t>
    </w:r>
    <w:r w:rsidRPr="00B60B75">
      <w:t xml:space="preserve"> Privacy</w:t>
    </w:r>
    <w:r w:rsidRPr="0070388B">
      <w:rPr>
        <w:color w:val="E5007D"/>
      </w:rPr>
      <w:t xml:space="preserve"> | </w:t>
    </w:r>
    <w:r w:rsidRPr="008D16A7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CE10" w14:textId="77777777" w:rsidR="00B26389" w:rsidRDefault="00B26389" w:rsidP="00190E33">
      <w:r>
        <w:separator/>
      </w:r>
    </w:p>
  </w:footnote>
  <w:footnote w:type="continuationSeparator" w:id="0">
    <w:p w14:paraId="3804D9C9" w14:textId="77777777" w:rsidR="00B26389" w:rsidRDefault="00B26389" w:rsidP="00190E33">
      <w:r>
        <w:continuationSeparator/>
      </w:r>
    </w:p>
  </w:footnote>
  <w:footnote w:id="1">
    <w:p w14:paraId="0BD6934C" w14:textId="77777777" w:rsidR="00083D87" w:rsidRPr="008D128A" w:rsidRDefault="00083D87" w:rsidP="00083D87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8D128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8D128A">
        <w:rPr>
          <w:rFonts w:asciiTheme="majorHAnsi" w:hAnsiTheme="majorHAnsi" w:cstheme="majorHAnsi"/>
          <w:sz w:val="18"/>
          <w:szCs w:val="18"/>
        </w:rPr>
        <w:t xml:space="preserve"> </w:t>
      </w:r>
      <w:r w:rsidRPr="008D128A">
        <w:rPr>
          <w:rFonts w:asciiTheme="majorHAnsi" w:hAnsiTheme="majorHAnsi" w:cstheme="majorHAnsi"/>
          <w:i/>
          <w:iCs/>
          <w:sz w:val="18"/>
          <w:szCs w:val="18"/>
        </w:rPr>
        <w:t xml:space="preserve">The </w:t>
      </w:r>
      <w:r w:rsidRPr="008D128A">
        <w:rPr>
          <w:rFonts w:asciiTheme="majorHAnsi" w:hAnsiTheme="majorHAnsi" w:cstheme="majorHAnsi"/>
          <w:bCs/>
          <w:i/>
          <w:iCs/>
          <w:sz w:val="18"/>
          <w:szCs w:val="18"/>
          <w:lang w:val="en-AU"/>
        </w:rPr>
        <w:t>Freedom of Information (Access Charges) Regulations 2014 (Vic),</w:t>
      </w:r>
      <w:r w:rsidRPr="008D128A">
        <w:rPr>
          <w:rFonts w:asciiTheme="majorHAnsi" w:hAnsiTheme="majorHAnsi" w:cstheme="majorHAnsi"/>
          <w:bCs/>
          <w:sz w:val="18"/>
          <w:szCs w:val="18"/>
          <w:lang w:val="en-AU"/>
        </w:rPr>
        <w:t xml:space="preserve"> </w:t>
      </w:r>
      <w:r w:rsidRPr="008D128A">
        <w:rPr>
          <w:rFonts w:asciiTheme="majorHAnsi" w:hAnsiTheme="majorHAnsi" w:cstheme="majorHAnsi"/>
          <w:sz w:val="18"/>
          <w:szCs w:val="18"/>
          <w:lang w:val="en-AU"/>
        </w:rPr>
        <w:t>Item 1.</w:t>
      </w:r>
    </w:p>
  </w:footnote>
  <w:footnote w:id="2">
    <w:p w14:paraId="41DD7FF5" w14:textId="77777777" w:rsidR="00083D87" w:rsidRPr="008D128A" w:rsidRDefault="00083D87" w:rsidP="00083D87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8D128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8D128A">
        <w:rPr>
          <w:rFonts w:asciiTheme="majorHAnsi" w:hAnsiTheme="majorHAnsi" w:cstheme="majorHAnsi"/>
          <w:sz w:val="18"/>
          <w:szCs w:val="18"/>
        </w:rPr>
        <w:t xml:space="preserve"> </w:t>
      </w:r>
      <w:r w:rsidRPr="008D128A">
        <w:rPr>
          <w:rFonts w:asciiTheme="majorHAnsi" w:hAnsiTheme="majorHAnsi" w:cstheme="majorHAnsi"/>
          <w:sz w:val="18"/>
          <w:szCs w:val="18"/>
          <w:lang w:val="en-AU"/>
        </w:rPr>
        <w:t>Ibid Item 7.</w:t>
      </w:r>
    </w:p>
  </w:footnote>
  <w:footnote w:id="3">
    <w:p w14:paraId="6982C06E" w14:textId="77777777" w:rsidR="00083D87" w:rsidRPr="008D128A" w:rsidRDefault="00083D87" w:rsidP="00083D87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8D128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8D128A">
        <w:rPr>
          <w:rFonts w:asciiTheme="majorHAnsi" w:hAnsiTheme="majorHAnsi" w:cstheme="majorHAnsi"/>
          <w:sz w:val="18"/>
          <w:szCs w:val="18"/>
        </w:rPr>
        <w:t xml:space="preserve"> </w:t>
      </w:r>
      <w:r w:rsidRPr="008D128A">
        <w:rPr>
          <w:rFonts w:asciiTheme="majorHAnsi" w:hAnsiTheme="majorHAnsi" w:cstheme="majorHAnsi"/>
          <w:i/>
          <w:iCs/>
          <w:sz w:val="18"/>
          <w:szCs w:val="18"/>
          <w:lang w:val="en-AU"/>
        </w:rPr>
        <w:t>The Freedom of Information Act 1982</w:t>
      </w:r>
      <w:r w:rsidRPr="008D128A">
        <w:rPr>
          <w:rFonts w:asciiTheme="majorHAnsi" w:hAnsiTheme="majorHAnsi" w:cstheme="majorHAnsi"/>
          <w:sz w:val="18"/>
          <w:szCs w:val="18"/>
          <w:lang w:val="en-AU"/>
        </w:rPr>
        <w:t xml:space="preserve"> (Vic), section 19(1)(b). </w:t>
      </w:r>
    </w:p>
  </w:footnote>
  <w:footnote w:id="4">
    <w:p w14:paraId="4E4EFF01" w14:textId="7245BBBA" w:rsidR="003E2061" w:rsidRPr="0010429A" w:rsidRDefault="003E2061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10429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0429A">
        <w:rPr>
          <w:rFonts w:asciiTheme="majorHAnsi" w:hAnsiTheme="majorHAnsi" w:cstheme="majorHAnsi"/>
          <w:sz w:val="18"/>
          <w:szCs w:val="18"/>
        </w:rPr>
        <w:t xml:space="preserve"> 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 xml:space="preserve">Cf. Item 1 of the Schedule to the Regulations which provides a rate per hour or part of an hour. </w:t>
      </w:r>
    </w:p>
  </w:footnote>
  <w:footnote w:id="5">
    <w:p w14:paraId="5F12EE91" w14:textId="77BFD0FD" w:rsidR="003E2061" w:rsidRPr="0010429A" w:rsidRDefault="003E2061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10429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0429A">
        <w:rPr>
          <w:rFonts w:asciiTheme="majorHAnsi" w:hAnsiTheme="majorHAnsi" w:cstheme="majorHAnsi"/>
          <w:sz w:val="18"/>
          <w:szCs w:val="18"/>
        </w:rPr>
        <w:t xml:space="preserve"> 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 xml:space="preserve">(1991) 4 VAR 327. </w:t>
      </w:r>
    </w:p>
  </w:footnote>
  <w:footnote w:id="6">
    <w:p w14:paraId="1D7275DB" w14:textId="01EA6281" w:rsidR="003E2061" w:rsidRPr="0010429A" w:rsidRDefault="003E2061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10429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0429A">
        <w:rPr>
          <w:rFonts w:asciiTheme="majorHAnsi" w:hAnsiTheme="majorHAnsi" w:cstheme="majorHAnsi"/>
          <w:sz w:val="18"/>
          <w:szCs w:val="18"/>
        </w:rPr>
        <w:t xml:space="preserve"> 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 xml:space="preserve">OVIC, </w:t>
      </w:r>
      <w:proofErr w:type="gramStart"/>
      <w:r w:rsidRPr="0010429A">
        <w:rPr>
          <w:rFonts w:asciiTheme="majorHAnsi" w:hAnsiTheme="majorHAnsi" w:cstheme="majorHAnsi"/>
          <w:i/>
          <w:iCs/>
          <w:sz w:val="18"/>
          <w:szCs w:val="18"/>
          <w:lang w:val="en-AU"/>
        </w:rPr>
        <w:t>What</w:t>
      </w:r>
      <w:proofErr w:type="gramEnd"/>
      <w:r w:rsidRPr="0010429A">
        <w:rPr>
          <w:rFonts w:asciiTheme="majorHAnsi" w:hAnsiTheme="majorHAnsi" w:cstheme="majorHAnsi"/>
          <w:i/>
          <w:iCs/>
          <w:sz w:val="18"/>
          <w:szCs w:val="18"/>
          <w:lang w:val="en-AU"/>
        </w:rPr>
        <w:t xml:space="preserve"> is a document, and what is actual or constructive possession?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 xml:space="preserve"> December 2019 (Agency Practice Note 9: D19/8746), page 1. </w:t>
      </w:r>
    </w:p>
  </w:footnote>
  <w:footnote w:id="7">
    <w:p w14:paraId="55EC90CA" w14:textId="1BFD9C56" w:rsidR="003E2061" w:rsidRPr="0083218A" w:rsidRDefault="003E2061">
      <w:pPr>
        <w:pStyle w:val="FootnoteText"/>
        <w:rPr>
          <w:lang w:val="en-AU"/>
        </w:rPr>
      </w:pPr>
      <w:r w:rsidRPr="0010429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0429A">
        <w:rPr>
          <w:rFonts w:asciiTheme="majorHAnsi" w:hAnsiTheme="majorHAnsi" w:cstheme="majorHAnsi"/>
          <w:sz w:val="18"/>
          <w:szCs w:val="18"/>
        </w:rPr>
        <w:t xml:space="preserve"> 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>Ibid, page 2.</w:t>
      </w:r>
      <w:r>
        <w:rPr>
          <w:lang w:val="en-AU"/>
        </w:rPr>
        <w:t xml:space="preserve"> </w:t>
      </w:r>
    </w:p>
  </w:footnote>
  <w:footnote w:id="8">
    <w:p w14:paraId="403CCEC6" w14:textId="7E46855F" w:rsidR="00047E39" w:rsidRPr="0010429A" w:rsidRDefault="00047E39">
      <w:pPr>
        <w:pStyle w:val="FootnoteText"/>
        <w:rPr>
          <w:rFonts w:asciiTheme="majorHAnsi" w:hAnsiTheme="majorHAnsi" w:cstheme="majorHAnsi"/>
          <w:sz w:val="18"/>
          <w:szCs w:val="18"/>
          <w:lang w:val="en-AU"/>
        </w:rPr>
      </w:pPr>
      <w:r w:rsidRPr="0010429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10429A">
        <w:rPr>
          <w:rFonts w:asciiTheme="majorHAnsi" w:hAnsiTheme="majorHAnsi" w:cstheme="majorHAnsi"/>
          <w:sz w:val="18"/>
          <w:szCs w:val="18"/>
        </w:rPr>
        <w:t xml:space="preserve"> </w:t>
      </w:r>
      <w:r w:rsidRPr="0010429A">
        <w:rPr>
          <w:rFonts w:asciiTheme="majorHAnsi" w:hAnsiTheme="majorHAnsi" w:cstheme="majorHAnsi"/>
          <w:sz w:val="18"/>
          <w:szCs w:val="18"/>
          <w:lang w:val="en-AU"/>
        </w:rPr>
        <w:t xml:space="preserve">Ibid.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5899" w14:textId="3AF83D07" w:rsidR="003E2061" w:rsidRPr="00D70A8A" w:rsidRDefault="003E2061" w:rsidP="009B4FB5">
    <w:pPr>
      <w:pStyle w:val="Header"/>
      <w:tabs>
        <w:tab w:val="clear" w:pos="4513"/>
        <w:tab w:val="clear" w:pos="9026"/>
        <w:tab w:val="left" w:pos="6946"/>
      </w:tabs>
      <w:spacing w:after="180"/>
      <w:jc w:val="right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D9C210B" wp14:editId="59AC66F4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1" name="Picture 1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A8A">
      <w:rPr>
        <w:color w:val="7F7F7F"/>
        <w:sz w:val="26"/>
        <w:szCs w:val="26"/>
      </w:rPr>
      <w:br/>
    </w:r>
    <w:r w:rsidRPr="00D70A8A">
      <w:rPr>
        <w:color w:val="7F7F7F"/>
        <w:sz w:val="26"/>
        <w:szCs w:val="26"/>
      </w:rPr>
      <w:tab/>
    </w:r>
    <w:r>
      <w:rPr>
        <w:color w:val="430098"/>
        <w:sz w:val="26"/>
        <w:szCs w:val="26"/>
      </w:rPr>
      <w:t>CASE NOTE</w:t>
    </w:r>
  </w:p>
  <w:p w14:paraId="15DFAA71" w14:textId="785CB7ED" w:rsidR="003E2061" w:rsidRDefault="003E2061" w:rsidP="005954DF">
    <w:pPr>
      <w:pStyle w:val="Header"/>
      <w:tabs>
        <w:tab w:val="clear" w:pos="4513"/>
        <w:tab w:val="left" w:pos="6946"/>
      </w:tabs>
      <w:spacing w:after="60"/>
      <w:jc w:val="right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5F6952D" wp14:editId="573A11B1">
          <wp:simplePos x="0" y="0"/>
          <wp:positionH relativeFrom="margin">
            <wp:align>left</wp:align>
          </wp:positionH>
          <wp:positionV relativeFrom="paragraph">
            <wp:posOffset>277661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2" name="Picture 2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09AF4541" w14:textId="0D68095C" w:rsidR="003E2061" w:rsidRPr="00956C57" w:rsidRDefault="003E2061" w:rsidP="00362F36">
    <w:pPr>
      <w:pStyle w:val="DocumentTitle"/>
      <w:spacing w:before="0"/>
      <w:rPr>
        <w:color w:val="555559"/>
        <w:sz w:val="30"/>
        <w:szCs w:val="30"/>
      </w:rPr>
    </w:pPr>
    <w:r>
      <w:rPr>
        <w:rFonts w:ascii="Calibri" w:hAnsi="Calibri"/>
        <w:bCs/>
        <w:i/>
        <w:iCs/>
        <w:sz w:val="36"/>
        <w:szCs w:val="36"/>
        <w:lang w:val="en"/>
      </w:rPr>
      <w:t>EBT v Monash University</w:t>
    </w:r>
    <w:r w:rsidRPr="008F6987">
      <w:rPr>
        <w:rFonts w:ascii="Calibri" w:hAnsi="Calibri"/>
        <w:bCs/>
        <w:i/>
        <w:iCs/>
        <w:sz w:val="36"/>
        <w:szCs w:val="36"/>
        <w:lang w:val="en"/>
      </w:rPr>
      <w:t xml:space="preserve"> (Review and Regulation)</w:t>
    </w:r>
    <w:r>
      <w:rPr>
        <w:rFonts w:ascii="Calibri" w:hAnsi="Calibri"/>
        <w:bCs/>
        <w:sz w:val="36"/>
        <w:szCs w:val="36"/>
        <w:lang w:val="en"/>
      </w:rPr>
      <w:t xml:space="preserve"> [2020] VCAT 440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687F" w14:textId="77777777" w:rsidR="003E2061" w:rsidRPr="0070388B" w:rsidRDefault="003E2061" w:rsidP="00BA008A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976"/>
    <w:multiLevelType w:val="hybridMultilevel"/>
    <w:tmpl w:val="402C5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7FF"/>
    <w:multiLevelType w:val="multilevel"/>
    <w:tmpl w:val="EC06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B558D"/>
    <w:multiLevelType w:val="hybridMultilevel"/>
    <w:tmpl w:val="BCA244A4"/>
    <w:lvl w:ilvl="0" w:tplc="A72CC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0E83"/>
    <w:multiLevelType w:val="hybridMultilevel"/>
    <w:tmpl w:val="EA5452E6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C247A7D"/>
    <w:multiLevelType w:val="hybridMultilevel"/>
    <w:tmpl w:val="9A645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5AB3"/>
    <w:multiLevelType w:val="hybridMultilevel"/>
    <w:tmpl w:val="B05684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2717A"/>
    <w:multiLevelType w:val="hybridMultilevel"/>
    <w:tmpl w:val="493E5C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F40D6"/>
    <w:multiLevelType w:val="hybridMultilevel"/>
    <w:tmpl w:val="20D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380"/>
    <w:multiLevelType w:val="hybridMultilevel"/>
    <w:tmpl w:val="7BB8CF50"/>
    <w:lvl w:ilvl="0" w:tplc="371A462C">
      <w:start w:val="1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7002D"/>
    <w:multiLevelType w:val="hybridMultilevel"/>
    <w:tmpl w:val="2E42F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2AFD"/>
    <w:multiLevelType w:val="hybridMultilevel"/>
    <w:tmpl w:val="BA304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442A"/>
    <w:multiLevelType w:val="hybridMultilevel"/>
    <w:tmpl w:val="99829A4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25096"/>
    <w:multiLevelType w:val="hybridMultilevel"/>
    <w:tmpl w:val="A6D47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B1E94"/>
    <w:multiLevelType w:val="hybridMultilevel"/>
    <w:tmpl w:val="AA3685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5BEA"/>
    <w:multiLevelType w:val="hybridMultilevel"/>
    <w:tmpl w:val="DE12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9166A"/>
    <w:multiLevelType w:val="hybridMultilevel"/>
    <w:tmpl w:val="DC9AA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6B2C"/>
    <w:multiLevelType w:val="hybridMultilevel"/>
    <w:tmpl w:val="6A0A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7202"/>
    <w:multiLevelType w:val="hybridMultilevel"/>
    <w:tmpl w:val="A45E216E"/>
    <w:lvl w:ilvl="0" w:tplc="93A23FC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PostGrotesk-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8F13C6"/>
    <w:multiLevelType w:val="hybridMultilevel"/>
    <w:tmpl w:val="A74243D8"/>
    <w:lvl w:ilvl="0" w:tplc="B322B42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PostGrotesk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000B2"/>
    <w:multiLevelType w:val="hybridMultilevel"/>
    <w:tmpl w:val="2F040CF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324D1B"/>
    <w:multiLevelType w:val="multilevel"/>
    <w:tmpl w:val="AFE4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523C5"/>
    <w:multiLevelType w:val="hybridMultilevel"/>
    <w:tmpl w:val="1A0206F8"/>
    <w:lvl w:ilvl="0" w:tplc="2FF2E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947EC"/>
    <w:multiLevelType w:val="hybridMultilevel"/>
    <w:tmpl w:val="DB12C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2CA8"/>
    <w:multiLevelType w:val="hybridMultilevel"/>
    <w:tmpl w:val="CBD6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33AB"/>
    <w:multiLevelType w:val="hybridMultilevel"/>
    <w:tmpl w:val="A6EC3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632D53"/>
    <w:multiLevelType w:val="hybridMultilevel"/>
    <w:tmpl w:val="17C66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1EA9"/>
    <w:multiLevelType w:val="hybridMultilevel"/>
    <w:tmpl w:val="59B85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058D0"/>
    <w:multiLevelType w:val="hybridMultilevel"/>
    <w:tmpl w:val="DC9AA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64576"/>
    <w:multiLevelType w:val="hybridMultilevel"/>
    <w:tmpl w:val="0B0E8BF8"/>
    <w:lvl w:ilvl="0" w:tplc="34609220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4D2E30F6"/>
    <w:multiLevelType w:val="hybridMultilevel"/>
    <w:tmpl w:val="18304E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61175"/>
    <w:multiLevelType w:val="hybridMultilevel"/>
    <w:tmpl w:val="BB3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B7421"/>
    <w:multiLevelType w:val="hybridMultilevel"/>
    <w:tmpl w:val="B4CA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C7D07"/>
    <w:multiLevelType w:val="hybridMultilevel"/>
    <w:tmpl w:val="8FE6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BA3699"/>
    <w:multiLevelType w:val="hybridMultilevel"/>
    <w:tmpl w:val="AEBCD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A468E"/>
    <w:multiLevelType w:val="hybridMultilevel"/>
    <w:tmpl w:val="E8EE7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C823A6"/>
    <w:multiLevelType w:val="hybridMultilevel"/>
    <w:tmpl w:val="1A0206F8"/>
    <w:lvl w:ilvl="0" w:tplc="2FF2E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B2DDB"/>
    <w:multiLevelType w:val="hybridMultilevel"/>
    <w:tmpl w:val="FFCCF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0B1D"/>
    <w:multiLevelType w:val="hybridMultilevel"/>
    <w:tmpl w:val="1AC2E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0E3709"/>
    <w:multiLevelType w:val="multilevel"/>
    <w:tmpl w:val="EC06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D2AC8"/>
    <w:multiLevelType w:val="hybridMultilevel"/>
    <w:tmpl w:val="E408C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48FF"/>
    <w:multiLevelType w:val="hybridMultilevel"/>
    <w:tmpl w:val="4F9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82894"/>
    <w:multiLevelType w:val="hybridMultilevel"/>
    <w:tmpl w:val="9B1A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9293A"/>
    <w:multiLevelType w:val="hybridMultilevel"/>
    <w:tmpl w:val="13808EDA"/>
    <w:lvl w:ilvl="0" w:tplc="5FF8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23F53"/>
    <w:multiLevelType w:val="hybridMultilevel"/>
    <w:tmpl w:val="16A4D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B4A44"/>
    <w:multiLevelType w:val="hybridMultilevel"/>
    <w:tmpl w:val="90CC5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208B9"/>
    <w:multiLevelType w:val="hybridMultilevel"/>
    <w:tmpl w:val="8528D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CE6AC5"/>
    <w:multiLevelType w:val="hybridMultilevel"/>
    <w:tmpl w:val="40706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5"/>
  </w:num>
  <w:num w:numId="5">
    <w:abstractNumId w:val="31"/>
  </w:num>
  <w:num w:numId="6">
    <w:abstractNumId w:val="37"/>
  </w:num>
  <w:num w:numId="7">
    <w:abstractNumId w:val="34"/>
  </w:num>
  <w:num w:numId="8">
    <w:abstractNumId w:val="45"/>
  </w:num>
  <w:num w:numId="9">
    <w:abstractNumId w:val="16"/>
  </w:num>
  <w:num w:numId="10">
    <w:abstractNumId w:val="14"/>
  </w:num>
  <w:num w:numId="11">
    <w:abstractNumId w:val="21"/>
  </w:num>
  <w:num w:numId="12">
    <w:abstractNumId w:val="35"/>
  </w:num>
  <w:num w:numId="13">
    <w:abstractNumId w:val="7"/>
  </w:num>
  <w:num w:numId="14">
    <w:abstractNumId w:val="40"/>
  </w:num>
  <w:num w:numId="15">
    <w:abstractNumId w:val="41"/>
  </w:num>
  <w:num w:numId="16">
    <w:abstractNumId w:val="12"/>
  </w:num>
  <w:num w:numId="17">
    <w:abstractNumId w:val="11"/>
  </w:num>
  <w:num w:numId="18">
    <w:abstractNumId w:val="29"/>
  </w:num>
  <w:num w:numId="19">
    <w:abstractNumId w:val="42"/>
  </w:num>
  <w:num w:numId="20">
    <w:abstractNumId w:val="6"/>
  </w:num>
  <w:num w:numId="21">
    <w:abstractNumId w:val="13"/>
  </w:num>
  <w:num w:numId="22">
    <w:abstractNumId w:val="27"/>
  </w:num>
  <w:num w:numId="23">
    <w:abstractNumId w:val="15"/>
  </w:num>
  <w:num w:numId="24">
    <w:abstractNumId w:val="46"/>
  </w:num>
  <w:num w:numId="25">
    <w:abstractNumId w:val="4"/>
  </w:num>
  <w:num w:numId="26">
    <w:abstractNumId w:val="0"/>
  </w:num>
  <w:num w:numId="27">
    <w:abstractNumId w:val="3"/>
  </w:num>
  <w:num w:numId="28">
    <w:abstractNumId w:val="23"/>
  </w:num>
  <w:num w:numId="29">
    <w:abstractNumId w:val="22"/>
  </w:num>
  <w:num w:numId="30">
    <w:abstractNumId w:val="10"/>
  </w:num>
  <w:num w:numId="31">
    <w:abstractNumId w:val="9"/>
  </w:num>
  <w:num w:numId="32">
    <w:abstractNumId w:val="39"/>
  </w:num>
  <w:num w:numId="33">
    <w:abstractNumId w:val="43"/>
  </w:num>
  <w:num w:numId="34">
    <w:abstractNumId w:val="30"/>
  </w:num>
  <w:num w:numId="35">
    <w:abstractNumId w:val="8"/>
  </w:num>
  <w:num w:numId="36">
    <w:abstractNumId w:val="44"/>
  </w:num>
  <w:num w:numId="37">
    <w:abstractNumId w:val="36"/>
  </w:num>
  <w:num w:numId="38">
    <w:abstractNumId w:val="17"/>
  </w:num>
  <w:num w:numId="39">
    <w:abstractNumId w:val="18"/>
  </w:num>
  <w:num w:numId="40">
    <w:abstractNumId w:val="24"/>
  </w:num>
  <w:num w:numId="41">
    <w:abstractNumId w:val="32"/>
  </w:num>
  <w:num w:numId="42">
    <w:abstractNumId w:val="25"/>
  </w:num>
  <w:num w:numId="43">
    <w:abstractNumId w:val="26"/>
  </w:num>
  <w:num w:numId="44">
    <w:abstractNumId w:val="33"/>
  </w:num>
  <w:num w:numId="45">
    <w:abstractNumId w:val="1"/>
    <w:lvlOverride w:ilvl="0">
      <w:startOverride w:val="20"/>
    </w:lvlOverride>
  </w:num>
  <w:num w:numId="46">
    <w:abstractNumId w:val="20"/>
    <w:lvlOverride w:ilvl="0">
      <w:startOverride w:val="2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0"/>
    <w:rsid w:val="00000B4B"/>
    <w:rsid w:val="000072E4"/>
    <w:rsid w:val="000125B0"/>
    <w:rsid w:val="000130A0"/>
    <w:rsid w:val="00021D9E"/>
    <w:rsid w:val="00023034"/>
    <w:rsid w:val="00026145"/>
    <w:rsid w:val="00031C97"/>
    <w:rsid w:val="0003391E"/>
    <w:rsid w:val="0003541D"/>
    <w:rsid w:val="000367C3"/>
    <w:rsid w:val="00040801"/>
    <w:rsid w:val="00041076"/>
    <w:rsid w:val="00042D6F"/>
    <w:rsid w:val="00043F22"/>
    <w:rsid w:val="000459CC"/>
    <w:rsid w:val="00047E39"/>
    <w:rsid w:val="00051C03"/>
    <w:rsid w:val="000521AD"/>
    <w:rsid w:val="00052EAC"/>
    <w:rsid w:val="000649BD"/>
    <w:rsid w:val="000730E0"/>
    <w:rsid w:val="000732A6"/>
    <w:rsid w:val="00077A18"/>
    <w:rsid w:val="00077B85"/>
    <w:rsid w:val="00077BA6"/>
    <w:rsid w:val="00083D87"/>
    <w:rsid w:val="00084613"/>
    <w:rsid w:val="000858B8"/>
    <w:rsid w:val="00086730"/>
    <w:rsid w:val="0009032A"/>
    <w:rsid w:val="00090437"/>
    <w:rsid w:val="000904A2"/>
    <w:rsid w:val="00094AC4"/>
    <w:rsid w:val="00094DE9"/>
    <w:rsid w:val="000952CB"/>
    <w:rsid w:val="00097648"/>
    <w:rsid w:val="00097E01"/>
    <w:rsid w:val="000A0B4F"/>
    <w:rsid w:val="000A32D3"/>
    <w:rsid w:val="000A404E"/>
    <w:rsid w:val="000B716F"/>
    <w:rsid w:val="000C05EE"/>
    <w:rsid w:val="000C34FC"/>
    <w:rsid w:val="000D1050"/>
    <w:rsid w:val="000D7E4C"/>
    <w:rsid w:val="000E580B"/>
    <w:rsid w:val="000F2103"/>
    <w:rsid w:val="000F2476"/>
    <w:rsid w:val="000F43CD"/>
    <w:rsid w:val="001017A1"/>
    <w:rsid w:val="0010429A"/>
    <w:rsid w:val="001048F1"/>
    <w:rsid w:val="00107C68"/>
    <w:rsid w:val="00111486"/>
    <w:rsid w:val="00113125"/>
    <w:rsid w:val="001153CC"/>
    <w:rsid w:val="00120BCD"/>
    <w:rsid w:val="00131BEC"/>
    <w:rsid w:val="00132563"/>
    <w:rsid w:val="00132AF5"/>
    <w:rsid w:val="0013393D"/>
    <w:rsid w:val="00135250"/>
    <w:rsid w:val="0013766C"/>
    <w:rsid w:val="001401DB"/>
    <w:rsid w:val="00141ED1"/>
    <w:rsid w:val="00143D68"/>
    <w:rsid w:val="00146A73"/>
    <w:rsid w:val="00150162"/>
    <w:rsid w:val="0015484F"/>
    <w:rsid w:val="001558A4"/>
    <w:rsid w:val="00157B94"/>
    <w:rsid w:val="00162AC5"/>
    <w:rsid w:val="00165ACA"/>
    <w:rsid w:val="00167A14"/>
    <w:rsid w:val="00167E59"/>
    <w:rsid w:val="001702C9"/>
    <w:rsid w:val="00177E18"/>
    <w:rsid w:val="0018095A"/>
    <w:rsid w:val="00180FCF"/>
    <w:rsid w:val="00185002"/>
    <w:rsid w:val="00185796"/>
    <w:rsid w:val="00190CEB"/>
    <w:rsid w:val="00190E33"/>
    <w:rsid w:val="00193319"/>
    <w:rsid w:val="001936AA"/>
    <w:rsid w:val="00194900"/>
    <w:rsid w:val="001953BE"/>
    <w:rsid w:val="00195AB2"/>
    <w:rsid w:val="001964C0"/>
    <w:rsid w:val="001A09C6"/>
    <w:rsid w:val="001A191D"/>
    <w:rsid w:val="001A6E2B"/>
    <w:rsid w:val="001B48EA"/>
    <w:rsid w:val="001B6155"/>
    <w:rsid w:val="001B6646"/>
    <w:rsid w:val="001C2389"/>
    <w:rsid w:val="001C2BD6"/>
    <w:rsid w:val="001C635F"/>
    <w:rsid w:val="001D0C1F"/>
    <w:rsid w:val="001D112D"/>
    <w:rsid w:val="001D21B9"/>
    <w:rsid w:val="001D3811"/>
    <w:rsid w:val="001D6E62"/>
    <w:rsid w:val="001E000E"/>
    <w:rsid w:val="001E3CAD"/>
    <w:rsid w:val="001E6A95"/>
    <w:rsid w:val="001E74CE"/>
    <w:rsid w:val="001F02F8"/>
    <w:rsid w:val="001F0DC1"/>
    <w:rsid w:val="001F1A1B"/>
    <w:rsid w:val="002007F8"/>
    <w:rsid w:val="00211C96"/>
    <w:rsid w:val="00213613"/>
    <w:rsid w:val="00216F46"/>
    <w:rsid w:val="002201C4"/>
    <w:rsid w:val="0023000B"/>
    <w:rsid w:val="0023072D"/>
    <w:rsid w:val="002370E9"/>
    <w:rsid w:val="002377A6"/>
    <w:rsid w:val="00241667"/>
    <w:rsid w:val="00242777"/>
    <w:rsid w:val="00242DAD"/>
    <w:rsid w:val="002456A2"/>
    <w:rsid w:val="00246F4F"/>
    <w:rsid w:val="002523B1"/>
    <w:rsid w:val="00254D33"/>
    <w:rsid w:val="002575F7"/>
    <w:rsid w:val="00262D56"/>
    <w:rsid w:val="002637D4"/>
    <w:rsid w:val="00266157"/>
    <w:rsid w:val="00274299"/>
    <w:rsid w:val="002760A9"/>
    <w:rsid w:val="00281C14"/>
    <w:rsid w:val="00290829"/>
    <w:rsid w:val="00293A87"/>
    <w:rsid w:val="00294719"/>
    <w:rsid w:val="00296CAD"/>
    <w:rsid w:val="002A0650"/>
    <w:rsid w:val="002A3D5B"/>
    <w:rsid w:val="002A4833"/>
    <w:rsid w:val="002A62EE"/>
    <w:rsid w:val="002A6624"/>
    <w:rsid w:val="002B0525"/>
    <w:rsid w:val="002B3EC9"/>
    <w:rsid w:val="002B49E3"/>
    <w:rsid w:val="002B53AE"/>
    <w:rsid w:val="002B627E"/>
    <w:rsid w:val="002B79B4"/>
    <w:rsid w:val="002C51DA"/>
    <w:rsid w:val="002D1FDC"/>
    <w:rsid w:val="002E1835"/>
    <w:rsid w:val="002E3523"/>
    <w:rsid w:val="002E3644"/>
    <w:rsid w:val="002E4D0D"/>
    <w:rsid w:val="002E75FE"/>
    <w:rsid w:val="002E79AF"/>
    <w:rsid w:val="002F0D33"/>
    <w:rsid w:val="002F17FF"/>
    <w:rsid w:val="002F1A8D"/>
    <w:rsid w:val="002F2498"/>
    <w:rsid w:val="002F4EC6"/>
    <w:rsid w:val="002F7AEC"/>
    <w:rsid w:val="0030296C"/>
    <w:rsid w:val="00306748"/>
    <w:rsid w:val="00316357"/>
    <w:rsid w:val="00316D28"/>
    <w:rsid w:val="003248CC"/>
    <w:rsid w:val="00326F1A"/>
    <w:rsid w:val="00330A97"/>
    <w:rsid w:val="00331450"/>
    <w:rsid w:val="003353AA"/>
    <w:rsid w:val="0033667A"/>
    <w:rsid w:val="00344F97"/>
    <w:rsid w:val="00347483"/>
    <w:rsid w:val="00352322"/>
    <w:rsid w:val="00357470"/>
    <w:rsid w:val="00362F36"/>
    <w:rsid w:val="00364C63"/>
    <w:rsid w:val="00371B4B"/>
    <w:rsid w:val="0037332A"/>
    <w:rsid w:val="00373488"/>
    <w:rsid w:val="003800C9"/>
    <w:rsid w:val="003808D7"/>
    <w:rsid w:val="00383B17"/>
    <w:rsid w:val="00385DD2"/>
    <w:rsid w:val="0039698B"/>
    <w:rsid w:val="00396C50"/>
    <w:rsid w:val="00397095"/>
    <w:rsid w:val="003B0FEF"/>
    <w:rsid w:val="003B3A0C"/>
    <w:rsid w:val="003B4A2D"/>
    <w:rsid w:val="003B712B"/>
    <w:rsid w:val="003C53E3"/>
    <w:rsid w:val="003C588D"/>
    <w:rsid w:val="003D12F6"/>
    <w:rsid w:val="003D22A8"/>
    <w:rsid w:val="003D30C7"/>
    <w:rsid w:val="003D5C28"/>
    <w:rsid w:val="003E2061"/>
    <w:rsid w:val="003E43DD"/>
    <w:rsid w:val="003E55CD"/>
    <w:rsid w:val="003F1F0B"/>
    <w:rsid w:val="003F20F3"/>
    <w:rsid w:val="003F22F7"/>
    <w:rsid w:val="003F4C16"/>
    <w:rsid w:val="003F4DEC"/>
    <w:rsid w:val="003F5539"/>
    <w:rsid w:val="003F688A"/>
    <w:rsid w:val="004010F0"/>
    <w:rsid w:val="004028AF"/>
    <w:rsid w:val="0040615A"/>
    <w:rsid w:val="00425D5B"/>
    <w:rsid w:val="00426DB1"/>
    <w:rsid w:val="004311E9"/>
    <w:rsid w:val="00434EC7"/>
    <w:rsid w:val="00436440"/>
    <w:rsid w:val="00440454"/>
    <w:rsid w:val="00440466"/>
    <w:rsid w:val="004412CA"/>
    <w:rsid w:val="004422B2"/>
    <w:rsid w:val="00445431"/>
    <w:rsid w:val="004512B9"/>
    <w:rsid w:val="00461BBF"/>
    <w:rsid w:val="00462F3C"/>
    <w:rsid w:val="00463499"/>
    <w:rsid w:val="00475C10"/>
    <w:rsid w:val="00480B0D"/>
    <w:rsid w:val="00483321"/>
    <w:rsid w:val="00490A66"/>
    <w:rsid w:val="00492370"/>
    <w:rsid w:val="004957C4"/>
    <w:rsid w:val="004A1D74"/>
    <w:rsid w:val="004A4AF3"/>
    <w:rsid w:val="004A505B"/>
    <w:rsid w:val="004A7394"/>
    <w:rsid w:val="004B152E"/>
    <w:rsid w:val="004B2625"/>
    <w:rsid w:val="004B2A29"/>
    <w:rsid w:val="004B2A46"/>
    <w:rsid w:val="004B3D1C"/>
    <w:rsid w:val="004B4CDB"/>
    <w:rsid w:val="004C6BF0"/>
    <w:rsid w:val="004D38AA"/>
    <w:rsid w:val="004D46F0"/>
    <w:rsid w:val="004D4D49"/>
    <w:rsid w:val="004E2BBE"/>
    <w:rsid w:val="004F014A"/>
    <w:rsid w:val="004F1F77"/>
    <w:rsid w:val="004F3DC7"/>
    <w:rsid w:val="00502942"/>
    <w:rsid w:val="005035FE"/>
    <w:rsid w:val="00514901"/>
    <w:rsid w:val="00521745"/>
    <w:rsid w:val="00526DF9"/>
    <w:rsid w:val="00534FB8"/>
    <w:rsid w:val="00537B20"/>
    <w:rsid w:val="00542E9E"/>
    <w:rsid w:val="00543908"/>
    <w:rsid w:val="00544A03"/>
    <w:rsid w:val="00547BF4"/>
    <w:rsid w:val="00554281"/>
    <w:rsid w:val="005542C6"/>
    <w:rsid w:val="00564E87"/>
    <w:rsid w:val="00565B41"/>
    <w:rsid w:val="005717E8"/>
    <w:rsid w:val="005733E6"/>
    <w:rsid w:val="00577F27"/>
    <w:rsid w:val="0058604A"/>
    <w:rsid w:val="00587101"/>
    <w:rsid w:val="00587D4C"/>
    <w:rsid w:val="00587D63"/>
    <w:rsid w:val="00590985"/>
    <w:rsid w:val="00591476"/>
    <w:rsid w:val="005954DF"/>
    <w:rsid w:val="00597E4E"/>
    <w:rsid w:val="005A31E9"/>
    <w:rsid w:val="005A3431"/>
    <w:rsid w:val="005A3CB9"/>
    <w:rsid w:val="005A3F86"/>
    <w:rsid w:val="005A3F8C"/>
    <w:rsid w:val="005A51A9"/>
    <w:rsid w:val="005B19AC"/>
    <w:rsid w:val="005B28A1"/>
    <w:rsid w:val="005B599F"/>
    <w:rsid w:val="005B59C8"/>
    <w:rsid w:val="005C0112"/>
    <w:rsid w:val="005C3088"/>
    <w:rsid w:val="005C65AC"/>
    <w:rsid w:val="005C7B01"/>
    <w:rsid w:val="005D343A"/>
    <w:rsid w:val="005D5751"/>
    <w:rsid w:val="005F0419"/>
    <w:rsid w:val="005F4548"/>
    <w:rsid w:val="005F455F"/>
    <w:rsid w:val="005F59B3"/>
    <w:rsid w:val="005F6E99"/>
    <w:rsid w:val="0060001B"/>
    <w:rsid w:val="00601E5A"/>
    <w:rsid w:val="00607478"/>
    <w:rsid w:val="00610369"/>
    <w:rsid w:val="00610FB5"/>
    <w:rsid w:val="006235AB"/>
    <w:rsid w:val="00624DEE"/>
    <w:rsid w:val="00633285"/>
    <w:rsid w:val="00635D32"/>
    <w:rsid w:val="00637343"/>
    <w:rsid w:val="0063763C"/>
    <w:rsid w:val="00640B5B"/>
    <w:rsid w:val="00646D61"/>
    <w:rsid w:val="006479F3"/>
    <w:rsid w:val="006504A3"/>
    <w:rsid w:val="00650EC4"/>
    <w:rsid w:val="0065176B"/>
    <w:rsid w:val="00651F5C"/>
    <w:rsid w:val="0065352B"/>
    <w:rsid w:val="006546F2"/>
    <w:rsid w:val="00655184"/>
    <w:rsid w:val="00663C02"/>
    <w:rsid w:val="00664C22"/>
    <w:rsid w:val="00672265"/>
    <w:rsid w:val="006744B0"/>
    <w:rsid w:val="00684802"/>
    <w:rsid w:val="0068499A"/>
    <w:rsid w:val="00685C41"/>
    <w:rsid w:val="00687CD6"/>
    <w:rsid w:val="00693ADB"/>
    <w:rsid w:val="00693E6E"/>
    <w:rsid w:val="006975B3"/>
    <w:rsid w:val="00697AF4"/>
    <w:rsid w:val="006A554D"/>
    <w:rsid w:val="006B095A"/>
    <w:rsid w:val="006B6A64"/>
    <w:rsid w:val="006B6C29"/>
    <w:rsid w:val="006C5646"/>
    <w:rsid w:val="006C5B84"/>
    <w:rsid w:val="006C5BFD"/>
    <w:rsid w:val="006C5ED9"/>
    <w:rsid w:val="006D0795"/>
    <w:rsid w:val="006D1420"/>
    <w:rsid w:val="006D16D5"/>
    <w:rsid w:val="006E1A2E"/>
    <w:rsid w:val="006E2809"/>
    <w:rsid w:val="006F2434"/>
    <w:rsid w:val="006F2AAB"/>
    <w:rsid w:val="006F7A5C"/>
    <w:rsid w:val="006F7C2D"/>
    <w:rsid w:val="007019AC"/>
    <w:rsid w:val="0070469D"/>
    <w:rsid w:val="007052BA"/>
    <w:rsid w:val="007129E9"/>
    <w:rsid w:val="00717C15"/>
    <w:rsid w:val="007222AD"/>
    <w:rsid w:val="0072337E"/>
    <w:rsid w:val="007234E0"/>
    <w:rsid w:val="00724B37"/>
    <w:rsid w:val="00726840"/>
    <w:rsid w:val="007306D8"/>
    <w:rsid w:val="007360FD"/>
    <w:rsid w:val="00737CA4"/>
    <w:rsid w:val="0074182B"/>
    <w:rsid w:val="00742C17"/>
    <w:rsid w:val="0074321B"/>
    <w:rsid w:val="00743CCC"/>
    <w:rsid w:val="00745A6E"/>
    <w:rsid w:val="00745DA3"/>
    <w:rsid w:val="00745E69"/>
    <w:rsid w:val="00751FF5"/>
    <w:rsid w:val="00752D69"/>
    <w:rsid w:val="007560D2"/>
    <w:rsid w:val="00761212"/>
    <w:rsid w:val="007614F1"/>
    <w:rsid w:val="007640B6"/>
    <w:rsid w:val="0076561C"/>
    <w:rsid w:val="00767B2F"/>
    <w:rsid w:val="007869C6"/>
    <w:rsid w:val="00793289"/>
    <w:rsid w:val="007948C0"/>
    <w:rsid w:val="00795CCC"/>
    <w:rsid w:val="00795D7A"/>
    <w:rsid w:val="00797D2D"/>
    <w:rsid w:val="007A3F3D"/>
    <w:rsid w:val="007A60B4"/>
    <w:rsid w:val="007B2E46"/>
    <w:rsid w:val="007B3286"/>
    <w:rsid w:val="007B37B7"/>
    <w:rsid w:val="007B5D97"/>
    <w:rsid w:val="007B6D98"/>
    <w:rsid w:val="007B747A"/>
    <w:rsid w:val="007C027D"/>
    <w:rsid w:val="007C151E"/>
    <w:rsid w:val="007C3AE6"/>
    <w:rsid w:val="007C7E34"/>
    <w:rsid w:val="007D2A93"/>
    <w:rsid w:val="007D7BE5"/>
    <w:rsid w:val="007E1EF3"/>
    <w:rsid w:val="007E49DC"/>
    <w:rsid w:val="007F0B7A"/>
    <w:rsid w:val="007F2E6C"/>
    <w:rsid w:val="007F4393"/>
    <w:rsid w:val="007F6BB6"/>
    <w:rsid w:val="008002C3"/>
    <w:rsid w:val="008003D1"/>
    <w:rsid w:val="00800E3A"/>
    <w:rsid w:val="0080189E"/>
    <w:rsid w:val="00804CC3"/>
    <w:rsid w:val="0080715B"/>
    <w:rsid w:val="00814810"/>
    <w:rsid w:val="00820647"/>
    <w:rsid w:val="0082206E"/>
    <w:rsid w:val="008247CB"/>
    <w:rsid w:val="008270A6"/>
    <w:rsid w:val="00831675"/>
    <w:rsid w:val="0083218A"/>
    <w:rsid w:val="0083414E"/>
    <w:rsid w:val="00840673"/>
    <w:rsid w:val="00843928"/>
    <w:rsid w:val="00847A45"/>
    <w:rsid w:val="008553B8"/>
    <w:rsid w:val="00855A92"/>
    <w:rsid w:val="00856FDB"/>
    <w:rsid w:val="00860AEC"/>
    <w:rsid w:val="008629FC"/>
    <w:rsid w:val="00867788"/>
    <w:rsid w:val="00870A18"/>
    <w:rsid w:val="00871E4F"/>
    <w:rsid w:val="0087257F"/>
    <w:rsid w:val="00872F35"/>
    <w:rsid w:val="008804BE"/>
    <w:rsid w:val="008809FF"/>
    <w:rsid w:val="00880DDA"/>
    <w:rsid w:val="008849CF"/>
    <w:rsid w:val="008A0478"/>
    <w:rsid w:val="008A05DC"/>
    <w:rsid w:val="008A466D"/>
    <w:rsid w:val="008B4777"/>
    <w:rsid w:val="008C0952"/>
    <w:rsid w:val="008C18C0"/>
    <w:rsid w:val="008D128A"/>
    <w:rsid w:val="008D3171"/>
    <w:rsid w:val="008D381B"/>
    <w:rsid w:val="008D449F"/>
    <w:rsid w:val="008D765C"/>
    <w:rsid w:val="008E1E36"/>
    <w:rsid w:val="008E3E21"/>
    <w:rsid w:val="008E74EB"/>
    <w:rsid w:val="008F5146"/>
    <w:rsid w:val="008F6987"/>
    <w:rsid w:val="00901786"/>
    <w:rsid w:val="00902AC5"/>
    <w:rsid w:val="009077D5"/>
    <w:rsid w:val="00907F98"/>
    <w:rsid w:val="00907FD8"/>
    <w:rsid w:val="00910C92"/>
    <w:rsid w:val="009119F4"/>
    <w:rsid w:val="00913E7C"/>
    <w:rsid w:val="00916C80"/>
    <w:rsid w:val="009228DF"/>
    <w:rsid w:val="009271C0"/>
    <w:rsid w:val="009325F6"/>
    <w:rsid w:val="00933D88"/>
    <w:rsid w:val="00942646"/>
    <w:rsid w:val="00944E78"/>
    <w:rsid w:val="0094685B"/>
    <w:rsid w:val="009475BE"/>
    <w:rsid w:val="00950C4C"/>
    <w:rsid w:val="00951AC0"/>
    <w:rsid w:val="0095271A"/>
    <w:rsid w:val="00953EBD"/>
    <w:rsid w:val="0095515F"/>
    <w:rsid w:val="00956C57"/>
    <w:rsid w:val="009613C6"/>
    <w:rsid w:val="009618BD"/>
    <w:rsid w:val="00962B38"/>
    <w:rsid w:val="00963114"/>
    <w:rsid w:val="009639E1"/>
    <w:rsid w:val="00963F9B"/>
    <w:rsid w:val="00966E48"/>
    <w:rsid w:val="00967E02"/>
    <w:rsid w:val="009743A8"/>
    <w:rsid w:val="00975049"/>
    <w:rsid w:val="00981E84"/>
    <w:rsid w:val="009879CC"/>
    <w:rsid w:val="009905A2"/>
    <w:rsid w:val="00991AEE"/>
    <w:rsid w:val="009931E4"/>
    <w:rsid w:val="009940C7"/>
    <w:rsid w:val="009A087F"/>
    <w:rsid w:val="009A1D15"/>
    <w:rsid w:val="009A44BF"/>
    <w:rsid w:val="009B3203"/>
    <w:rsid w:val="009B4FB5"/>
    <w:rsid w:val="009B72FE"/>
    <w:rsid w:val="009C01B0"/>
    <w:rsid w:val="009C326E"/>
    <w:rsid w:val="009D05D6"/>
    <w:rsid w:val="009D2BDF"/>
    <w:rsid w:val="009D5B50"/>
    <w:rsid w:val="009D5F0F"/>
    <w:rsid w:val="009D7541"/>
    <w:rsid w:val="009E16C4"/>
    <w:rsid w:val="009E40F7"/>
    <w:rsid w:val="009E5A9F"/>
    <w:rsid w:val="009F07F4"/>
    <w:rsid w:val="009F4DE7"/>
    <w:rsid w:val="009F63D1"/>
    <w:rsid w:val="009F7622"/>
    <w:rsid w:val="00A0199A"/>
    <w:rsid w:val="00A01BB3"/>
    <w:rsid w:val="00A03825"/>
    <w:rsid w:val="00A06FE3"/>
    <w:rsid w:val="00A07F2F"/>
    <w:rsid w:val="00A1292C"/>
    <w:rsid w:val="00A14967"/>
    <w:rsid w:val="00A16562"/>
    <w:rsid w:val="00A170AF"/>
    <w:rsid w:val="00A17AC0"/>
    <w:rsid w:val="00A25054"/>
    <w:rsid w:val="00A30B6A"/>
    <w:rsid w:val="00A33C2E"/>
    <w:rsid w:val="00A377B5"/>
    <w:rsid w:val="00A44144"/>
    <w:rsid w:val="00A4708C"/>
    <w:rsid w:val="00A4749A"/>
    <w:rsid w:val="00A47600"/>
    <w:rsid w:val="00A52DDF"/>
    <w:rsid w:val="00A5438F"/>
    <w:rsid w:val="00A61B68"/>
    <w:rsid w:val="00A63A5B"/>
    <w:rsid w:val="00A752B2"/>
    <w:rsid w:val="00A76E8D"/>
    <w:rsid w:val="00A83BD2"/>
    <w:rsid w:val="00A914C2"/>
    <w:rsid w:val="00A934D8"/>
    <w:rsid w:val="00AA0D55"/>
    <w:rsid w:val="00AA18D4"/>
    <w:rsid w:val="00AA425F"/>
    <w:rsid w:val="00AA7177"/>
    <w:rsid w:val="00AB2067"/>
    <w:rsid w:val="00AB74C0"/>
    <w:rsid w:val="00AB7B11"/>
    <w:rsid w:val="00AC0071"/>
    <w:rsid w:val="00AC1F6A"/>
    <w:rsid w:val="00AC472D"/>
    <w:rsid w:val="00AC6C23"/>
    <w:rsid w:val="00AD5598"/>
    <w:rsid w:val="00AE09AA"/>
    <w:rsid w:val="00AE09D1"/>
    <w:rsid w:val="00AE376C"/>
    <w:rsid w:val="00AE5E33"/>
    <w:rsid w:val="00B02431"/>
    <w:rsid w:val="00B13E1C"/>
    <w:rsid w:val="00B22688"/>
    <w:rsid w:val="00B24EB6"/>
    <w:rsid w:val="00B26389"/>
    <w:rsid w:val="00B27B2E"/>
    <w:rsid w:val="00B34051"/>
    <w:rsid w:val="00B406CD"/>
    <w:rsid w:val="00B52280"/>
    <w:rsid w:val="00B533DF"/>
    <w:rsid w:val="00B551E8"/>
    <w:rsid w:val="00B619FF"/>
    <w:rsid w:val="00B65714"/>
    <w:rsid w:val="00B66460"/>
    <w:rsid w:val="00B665F6"/>
    <w:rsid w:val="00B67649"/>
    <w:rsid w:val="00B71A0E"/>
    <w:rsid w:val="00B7302F"/>
    <w:rsid w:val="00B91C96"/>
    <w:rsid w:val="00B94BD6"/>
    <w:rsid w:val="00B959DA"/>
    <w:rsid w:val="00B97117"/>
    <w:rsid w:val="00BA008A"/>
    <w:rsid w:val="00BA2C94"/>
    <w:rsid w:val="00BA4D9B"/>
    <w:rsid w:val="00BA5B19"/>
    <w:rsid w:val="00BA703F"/>
    <w:rsid w:val="00BA7390"/>
    <w:rsid w:val="00BC0F7F"/>
    <w:rsid w:val="00BC165A"/>
    <w:rsid w:val="00BC4DA2"/>
    <w:rsid w:val="00BC5109"/>
    <w:rsid w:val="00BD3B14"/>
    <w:rsid w:val="00BD40A3"/>
    <w:rsid w:val="00BE1BBF"/>
    <w:rsid w:val="00BE33E3"/>
    <w:rsid w:val="00BE6C69"/>
    <w:rsid w:val="00BF1B1B"/>
    <w:rsid w:val="00BF2646"/>
    <w:rsid w:val="00BF3042"/>
    <w:rsid w:val="00BF4632"/>
    <w:rsid w:val="00BF4ECB"/>
    <w:rsid w:val="00BF50EE"/>
    <w:rsid w:val="00C07FDF"/>
    <w:rsid w:val="00C10B76"/>
    <w:rsid w:val="00C10CEF"/>
    <w:rsid w:val="00C11C42"/>
    <w:rsid w:val="00C126F0"/>
    <w:rsid w:val="00C15199"/>
    <w:rsid w:val="00C16DBE"/>
    <w:rsid w:val="00C2145D"/>
    <w:rsid w:val="00C23681"/>
    <w:rsid w:val="00C24CFB"/>
    <w:rsid w:val="00C25CB3"/>
    <w:rsid w:val="00C261CB"/>
    <w:rsid w:val="00C27017"/>
    <w:rsid w:val="00C27604"/>
    <w:rsid w:val="00C32447"/>
    <w:rsid w:val="00C32EF7"/>
    <w:rsid w:val="00C340FA"/>
    <w:rsid w:val="00C34C58"/>
    <w:rsid w:val="00C3628B"/>
    <w:rsid w:val="00C41E2D"/>
    <w:rsid w:val="00C468F6"/>
    <w:rsid w:val="00C5049C"/>
    <w:rsid w:val="00C52BAF"/>
    <w:rsid w:val="00C53463"/>
    <w:rsid w:val="00C546B4"/>
    <w:rsid w:val="00C54E3E"/>
    <w:rsid w:val="00C56897"/>
    <w:rsid w:val="00C602AB"/>
    <w:rsid w:val="00C60AE4"/>
    <w:rsid w:val="00C60E4E"/>
    <w:rsid w:val="00C65EFF"/>
    <w:rsid w:val="00C72121"/>
    <w:rsid w:val="00C72353"/>
    <w:rsid w:val="00C74995"/>
    <w:rsid w:val="00C76972"/>
    <w:rsid w:val="00C80AA0"/>
    <w:rsid w:val="00C837EE"/>
    <w:rsid w:val="00C8598F"/>
    <w:rsid w:val="00C86D72"/>
    <w:rsid w:val="00C9433B"/>
    <w:rsid w:val="00CA1F61"/>
    <w:rsid w:val="00CA3A3B"/>
    <w:rsid w:val="00CA502A"/>
    <w:rsid w:val="00CA5BB4"/>
    <w:rsid w:val="00CB1EBB"/>
    <w:rsid w:val="00CB3349"/>
    <w:rsid w:val="00CB3D3B"/>
    <w:rsid w:val="00CB731F"/>
    <w:rsid w:val="00CC189F"/>
    <w:rsid w:val="00CE6406"/>
    <w:rsid w:val="00CF5CF8"/>
    <w:rsid w:val="00CF7CC2"/>
    <w:rsid w:val="00D01A60"/>
    <w:rsid w:val="00D06D76"/>
    <w:rsid w:val="00D12D0D"/>
    <w:rsid w:val="00D12FD5"/>
    <w:rsid w:val="00D16DC1"/>
    <w:rsid w:val="00D16F48"/>
    <w:rsid w:val="00D17719"/>
    <w:rsid w:val="00D20455"/>
    <w:rsid w:val="00D21F6F"/>
    <w:rsid w:val="00D24F3E"/>
    <w:rsid w:val="00D277F6"/>
    <w:rsid w:val="00D30C33"/>
    <w:rsid w:val="00D319C2"/>
    <w:rsid w:val="00D37C50"/>
    <w:rsid w:val="00D4541F"/>
    <w:rsid w:val="00D45DFB"/>
    <w:rsid w:val="00D47533"/>
    <w:rsid w:val="00D4794B"/>
    <w:rsid w:val="00D61D7F"/>
    <w:rsid w:val="00D70975"/>
    <w:rsid w:val="00D717DE"/>
    <w:rsid w:val="00D7222B"/>
    <w:rsid w:val="00D73DDF"/>
    <w:rsid w:val="00D73FA1"/>
    <w:rsid w:val="00D8022A"/>
    <w:rsid w:val="00D82DF7"/>
    <w:rsid w:val="00D83AF3"/>
    <w:rsid w:val="00D917CA"/>
    <w:rsid w:val="00D94326"/>
    <w:rsid w:val="00D95FC0"/>
    <w:rsid w:val="00DB0A8E"/>
    <w:rsid w:val="00DB62D6"/>
    <w:rsid w:val="00DC3AD7"/>
    <w:rsid w:val="00DC48CB"/>
    <w:rsid w:val="00DD283B"/>
    <w:rsid w:val="00DD3A06"/>
    <w:rsid w:val="00DD7576"/>
    <w:rsid w:val="00DE25CE"/>
    <w:rsid w:val="00DE3D2A"/>
    <w:rsid w:val="00DE4353"/>
    <w:rsid w:val="00DE48ED"/>
    <w:rsid w:val="00DE5A10"/>
    <w:rsid w:val="00DE5C7A"/>
    <w:rsid w:val="00DF10B8"/>
    <w:rsid w:val="00DF4628"/>
    <w:rsid w:val="00DF7FA4"/>
    <w:rsid w:val="00E00346"/>
    <w:rsid w:val="00E046EE"/>
    <w:rsid w:val="00E1193D"/>
    <w:rsid w:val="00E14AA5"/>
    <w:rsid w:val="00E21E3E"/>
    <w:rsid w:val="00E22C85"/>
    <w:rsid w:val="00E26F8B"/>
    <w:rsid w:val="00E31736"/>
    <w:rsid w:val="00E35013"/>
    <w:rsid w:val="00E4012B"/>
    <w:rsid w:val="00E4248F"/>
    <w:rsid w:val="00E428BE"/>
    <w:rsid w:val="00E429C3"/>
    <w:rsid w:val="00E43D96"/>
    <w:rsid w:val="00E4620F"/>
    <w:rsid w:val="00E47693"/>
    <w:rsid w:val="00E52648"/>
    <w:rsid w:val="00E54BE6"/>
    <w:rsid w:val="00E565A1"/>
    <w:rsid w:val="00E57AA4"/>
    <w:rsid w:val="00E62FFC"/>
    <w:rsid w:val="00E67561"/>
    <w:rsid w:val="00E71329"/>
    <w:rsid w:val="00E72989"/>
    <w:rsid w:val="00E76185"/>
    <w:rsid w:val="00E80390"/>
    <w:rsid w:val="00E810FF"/>
    <w:rsid w:val="00E8114E"/>
    <w:rsid w:val="00E81BD2"/>
    <w:rsid w:val="00E86152"/>
    <w:rsid w:val="00E92B54"/>
    <w:rsid w:val="00EA18BC"/>
    <w:rsid w:val="00EA2107"/>
    <w:rsid w:val="00EA6B82"/>
    <w:rsid w:val="00EB1E23"/>
    <w:rsid w:val="00EB2076"/>
    <w:rsid w:val="00EB27A3"/>
    <w:rsid w:val="00EB3A33"/>
    <w:rsid w:val="00EC4D23"/>
    <w:rsid w:val="00ED0FB7"/>
    <w:rsid w:val="00ED7BC0"/>
    <w:rsid w:val="00EE5DD4"/>
    <w:rsid w:val="00EF202A"/>
    <w:rsid w:val="00EF292C"/>
    <w:rsid w:val="00EF2AA4"/>
    <w:rsid w:val="00EF7ACE"/>
    <w:rsid w:val="00F019D6"/>
    <w:rsid w:val="00F047EF"/>
    <w:rsid w:val="00F058D5"/>
    <w:rsid w:val="00F07D2E"/>
    <w:rsid w:val="00F11ACB"/>
    <w:rsid w:val="00F13970"/>
    <w:rsid w:val="00F14B20"/>
    <w:rsid w:val="00F15626"/>
    <w:rsid w:val="00F23930"/>
    <w:rsid w:val="00F24570"/>
    <w:rsid w:val="00F2464E"/>
    <w:rsid w:val="00F35B64"/>
    <w:rsid w:val="00F370ED"/>
    <w:rsid w:val="00F54C48"/>
    <w:rsid w:val="00F5510C"/>
    <w:rsid w:val="00F63323"/>
    <w:rsid w:val="00F65EE6"/>
    <w:rsid w:val="00F6626E"/>
    <w:rsid w:val="00F7053B"/>
    <w:rsid w:val="00F70B50"/>
    <w:rsid w:val="00F72709"/>
    <w:rsid w:val="00F73F7F"/>
    <w:rsid w:val="00F851EC"/>
    <w:rsid w:val="00F85B25"/>
    <w:rsid w:val="00F85C44"/>
    <w:rsid w:val="00F907D7"/>
    <w:rsid w:val="00FA3DFE"/>
    <w:rsid w:val="00FB3136"/>
    <w:rsid w:val="00FB79D3"/>
    <w:rsid w:val="00FC0178"/>
    <w:rsid w:val="00FC1B38"/>
    <w:rsid w:val="00FC2266"/>
    <w:rsid w:val="00FC2DEB"/>
    <w:rsid w:val="00FC4759"/>
    <w:rsid w:val="00FC5356"/>
    <w:rsid w:val="00FC603E"/>
    <w:rsid w:val="00FC7AC7"/>
    <w:rsid w:val="00FD098C"/>
    <w:rsid w:val="00FD1D92"/>
    <w:rsid w:val="00FD545F"/>
    <w:rsid w:val="00FE0C95"/>
    <w:rsid w:val="00FE282A"/>
    <w:rsid w:val="00FE53ED"/>
    <w:rsid w:val="00FE69F2"/>
    <w:rsid w:val="00FF032A"/>
    <w:rsid w:val="00FF04E3"/>
    <w:rsid w:val="00FF2E5A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DA8DB6"/>
  <w15:chartTrackingRefBased/>
  <w15:docId w15:val="{7359BB6B-9541-4001-9770-78DA1F3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90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90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390"/>
    <w:pPr>
      <w:tabs>
        <w:tab w:val="center" w:pos="4513"/>
        <w:tab w:val="right" w:pos="9026"/>
      </w:tabs>
      <w:spacing w:before="240"/>
    </w:pPr>
    <w:rPr>
      <w:color w:val="430098"/>
    </w:rPr>
  </w:style>
  <w:style w:type="character" w:customStyle="1" w:styleId="FooterChar">
    <w:name w:val="Footer Char"/>
    <w:basedOn w:val="DefaultParagraphFont"/>
    <w:link w:val="Footer"/>
    <w:uiPriority w:val="99"/>
    <w:rsid w:val="00BA7390"/>
    <w:rPr>
      <w:rFonts w:ascii="Calibri" w:eastAsia="Calibri" w:hAnsi="Calibri" w:cs="Times New Roman"/>
      <w:color w:val="430098"/>
      <w:sz w:val="24"/>
      <w:szCs w:val="24"/>
      <w:lang w:val="en-GB"/>
    </w:rPr>
  </w:style>
  <w:style w:type="paragraph" w:customStyle="1" w:styleId="Body">
    <w:name w:val="Body"/>
    <w:basedOn w:val="Normal"/>
    <w:qFormat/>
    <w:rsid w:val="00BA7390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cs="PostGrotesk-Book"/>
      <w:color w:val="55565A"/>
      <w:sz w:val="22"/>
      <w:szCs w:val="22"/>
    </w:rPr>
  </w:style>
  <w:style w:type="paragraph" w:customStyle="1" w:styleId="SectionHeading1">
    <w:name w:val="Section Heading 1"/>
    <w:basedOn w:val="Normal"/>
    <w:qFormat/>
    <w:rsid w:val="00BA7390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cs="PostGrotesk-Medium"/>
      <w:color w:val="430098"/>
      <w:sz w:val="28"/>
      <w:szCs w:val="28"/>
    </w:rPr>
  </w:style>
  <w:style w:type="paragraph" w:customStyle="1" w:styleId="Disclaimer">
    <w:name w:val="Disclaimer"/>
    <w:basedOn w:val="Normal"/>
    <w:qFormat/>
    <w:rsid w:val="00BA7390"/>
    <w:pPr>
      <w:ind w:right="-7"/>
    </w:pPr>
    <w:rPr>
      <w:rFonts w:cs="PostGrotesk-Book"/>
      <w:color w:val="55565A"/>
      <w:sz w:val="18"/>
      <w:szCs w:val="18"/>
    </w:rPr>
  </w:style>
  <w:style w:type="paragraph" w:customStyle="1" w:styleId="DocumentTitle">
    <w:name w:val="Document Title"/>
    <w:basedOn w:val="Header"/>
    <w:qFormat/>
    <w:rsid w:val="00BA739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character" w:styleId="Hyperlink">
    <w:name w:val="Hyperlink"/>
    <w:uiPriority w:val="99"/>
    <w:unhideWhenUsed/>
    <w:rsid w:val="00BA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2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F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F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FC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8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89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89E"/>
    <w:rPr>
      <w:vertAlign w:val="superscript"/>
    </w:rPr>
  </w:style>
  <w:style w:type="paragraph" w:styleId="Revision">
    <w:name w:val="Revision"/>
    <w:hidden/>
    <w:uiPriority w:val="99"/>
    <w:semiHidden/>
    <w:rsid w:val="002F4EC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2A46"/>
    <w:pPr>
      <w:ind w:left="720"/>
    </w:pPr>
    <w:rPr>
      <w:rFonts w:eastAsiaTheme="minorHAnsi" w:cs="Calibri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19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vic/VCAT/2020/440.html?context=1;query=%22review%20and%20regulation%20list%22;mask_path=au/cases/vic/V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5BA8-E347-4474-9A83-8068A26A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Crossman</dc:creator>
  <cp:keywords/>
  <dc:description/>
  <cp:lastModifiedBy>Tessa Micucci</cp:lastModifiedBy>
  <cp:revision>4</cp:revision>
  <cp:lastPrinted>2018-11-26T23:04:00Z</cp:lastPrinted>
  <dcterms:created xsi:type="dcterms:W3CDTF">2020-04-28T05:00:00Z</dcterms:created>
  <dcterms:modified xsi:type="dcterms:W3CDTF">2020-04-28T05:20:00Z</dcterms:modified>
</cp:coreProperties>
</file>