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B1E6" w14:textId="77777777" w:rsidR="00472682" w:rsidRDefault="00DF398F" w:rsidP="00472682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Third party consultation record</w:t>
      </w:r>
    </w:p>
    <w:p w14:paraId="51A896F1" w14:textId="2DBE7D21" w:rsidR="00472682" w:rsidRPr="00472682" w:rsidRDefault="00C27D7B" w:rsidP="00472682">
      <w:pPr>
        <w:rPr>
          <w:b/>
          <w:bCs/>
          <w:color w:val="000000" w:themeColor="text1"/>
          <w:sz w:val="24"/>
          <w:szCs w:val="24"/>
        </w:rPr>
      </w:pPr>
      <w:r w:rsidRPr="00DA2C05">
        <w:rPr>
          <w:b/>
          <w:bCs/>
          <w:color w:val="000000" w:themeColor="text1"/>
        </w:rPr>
        <w:t>Applicant name</w:t>
      </w:r>
      <w:r w:rsidRPr="00762B15">
        <w:rPr>
          <w:color w:val="000000" w:themeColor="text1"/>
        </w:rPr>
        <w:t xml:space="preserve">: </w:t>
      </w:r>
      <w:r w:rsidR="0042423B">
        <w:rPr>
          <w:color w:val="000000" w:themeColor="text1"/>
        </w:rPr>
        <w:t>[</w:t>
      </w:r>
      <w:r w:rsidR="0042423B" w:rsidRPr="0042423B">
        <w:rPr>
          <w:color w:val="000000" w:themeColor="text1"/>
          <w:highlight w:val="yellow"/>
        </w:rPr>
        <w:t>Insert applicant’s name</w:t>
      </w:r>
      <w:r w:rsidR="0042423B">
        <w:rPr>
          <w:color w:val="000000" w:themeColor="text1"/>
        </w:rPr>
        <w:t>]</w:t>
      </w:r>
      <w:r w:rsidR="00472682">
        <w:rPr>
          <w:b/>
          <w:bCs/>
          <w:color w:val="000000" w:themeColor="text1"/>
          <w:sz w:val="24"/>
          <w:szCs w:val="24"/>
        </w:rPr>
        <w:br/>
      </w:r>
      <w:r w:rsidRPr="00494EA3">
        <w:rPr>
          <w:b/>
          <w:bCs/>
          <w:color w:val="000000" w:themeColor="text1"/>
        </w:rPr>
        <w:t>Agency ref</w:t>
      </w:r>
      <w:r>
        <w:rPr>
          <w:color w:val="000000" w:themeColor="text1"/>
        </w:rPr>
        <w:t xml:space="preserve">: </w:t>
      </w:r>
      <w:r w:rsidR="0042423B">
        <w:rPr>
          <w:color w:val="000000" w:themeColor="text1"/>
        </w:rPr>
        <w:t>[</w:t>
      </w:r>
      <w:r w:rsidR="0042423B" w:rsidRPr="0042423B">
        <w:rPr>
          <w:color w:val="000000" w:themeColor="text1"/>
          <w:highlight w:val="yellow"/>
        </w:rPr>
        <w:t>Insert agency reference</w:t>
      </w:r>
      <w:r w:rsidR="0042423B">
        <w:rPr>
          <w:color w:val="000000" w:themeColor="text1"/>
        </w:rPr>
        <w:t>]</w:t>
      </w:r>
      <w:bookmarkStart w:id="0" w:name="_GoBack"/>
      <w:bookmarkEnd w:id="0"/>
    </w:p>
    <w:p w14:paraId="68A251D8" w14:textId="66EA9FBA" w:rsidR="00E575AE" w:rsidRPr="00AB72AF" w:rsidRDefault="00472682" w:rsidP="00472682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inline distT="0" distB="0" distL="0" distR="0" wp14:anchorId="17318475" wp14:editId="38D63C56">
                <wp:extent cx="5727700" cy="532627"/>
                <wp:effectExtent l="0" t="0" r="19050" b="1460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5326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30098"/>
                          </a:solidFill>
                        </a:ln>
                      </wps:spPr>
                      <wps:txbx>
                        <w:txbxContent>
                          <w:p w14:paraId="312E389D" w14:textId="679E535B" w:rsidR="00472682" w:rsidRDefault="001E66D3" w:rsidP="00472682">
                            <w:pPr>
                              <w:spacing w:after="120"/>
                              <w:rPr>
                                <w:color w:val="4300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30098"/>
                                <w:sz w:val="20"/>
                                <w:szCs w:val="20"/>
                              </w:rPr>
                              <w:t xml:space="preserve">Under </w:t>
                            </w:r>
                            <w:r>
                              <w:rPr>
                                <w:i/>
                                <w:iCs/>
                                <w:color w:val="430098"/>
                                <w:sz w:val="20"/>
                                <w:szCs w:val="20"/>
                              </w:rPr>
                              <w:t>Professional Standard 7.3</w:t>
                            </w:r>
                            <w:r>
                              <w:rPr>
                                <w:color w:val="430098"/>
                                <w:sz w:val="20"/>
                                <w:szCs w:val="20"/>
                              </w:rPr>
                              <w:t>, w</w:t>
                            </w:r>
                            <w:r w:rsidR="00472682" w:rsidRPr="00741C81">
                              <w:rPr>
                                <w:color w:val="430098"/>
                                <w:sz w:val="20"/>
                                <w:szCs w:val="20"/>
                              </w:rPr>
                              <w:t>here a</w:t>
                            </w:r>
                            <w:r w:rsidR="00472682">
                              <w:rPr>
                                <w:color w:val="430098"/>
                                <w:sz w:val="20"/>
                                <w:szCs w:val="20"/>
                              </w:rPr>
                              <w:t xml:space="preserve">n agency notifies and seeks the views of a third party, it must ensure it keeps a record of: </w:t>
                            </w:r>
                          </w:p>
                          <w:p w14:paraId="361DBF1A" w14:textId="106D4DBF" w:rsidR="00472682" w:rsidRDefault="00472682" w:rsidP="004726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color w:val="4300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30098"/>
                                <w:sz w:val="20"/>
                                <w:szCs w:val="20"/>
                              </w:rPr>
                              <w:t>who was notified;</w:t>
                            </w:r>
                          </w:p>
                          <w:p w14:paraId="4C4C5D52" w14:textId="7FBA07F9" w:rsidR="00472682" w:rsidRDefault="00472682" w:rsidP="004726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color w:val="4300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30098"/>
                                <w:sz w:val="20"/>
                                <w:szCs w:val="20"/>
                              </w:rPr>
                              <w:t>whether the third party did or did not respond to the notification;</w:t>
                            </w:r>
                          </w:p>
                          <w:p w14:paraId="1ED0D55E" w14:textId="752F85AF" w:rsidR="00472682" w:rsidRDefault="00472682" w:rsidP="004726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color w:val="4300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30098"/>
                                <w:sz w:val="20"/>
                                <w:szCs w:val="20"/>
                              </w:rPr>
                              <w:t>if the third party responded, whether they consented or objected to disclosure of the information or document; and</w:t>
                            </w:r>
                          </w:p>
                          <w:p w14:paraId="7FCA6707" w14:textId="3FF0C5D7" w:rsidR="001E66D3" w:rsidRDefault="00472682" w:rsidP="001E66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color w:val="4300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30098"/>
                                <w:sz w:val="20"/>
                                <w:szCs w:val="20"/>
                              </w:rPr>
                              <w:t xml:space="preserve">where provided, the third party’s reasons for objecting. </w:t>
                            </w:r>
                          </w:p>
                          <w:p w14:paraId="20048A7E" w14:textId="135D2D02" w:rsidR="001E66D3" w:rsidRPr="001E66D3" w:rsidRDefault="001E66D3" w:rsidP="001E66D3">
                            <w:pPr>
                              <w:spacing w:after="120"/>
                              <w:rPr>
                                <w:color w:val="4300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30098"/>
                                <w:sz w:val="20"/>
                                <w:szCs w:val="20"/>
                              </w:rPr>
                              <w:t xml:space="preserve">Under </w:t>
                            </w:r>
                            <w:r>
                              <w:rPr>
                                <w:i/>
                                <w:iCs/>
                                <w:color w:val="430098"/>
                                <w:sz w:val="20"/>
                                <w:szCs w:val="20"/>
                              </w:rPr>
                              <w:t>Professional Standard 7.2</w:t>
                            </w:r>
                            <w:r>
                              <w:rPr>
                                <w:color w:val="430098"/>
                                <w:sz w:val="20"/>
                                <w:szCs w:val="20"/>
                              </w:rPr>
                              <w:t>, if an agency determines it is not practicable to notify and seek the views of a third party, it must keep a record of why it is not practicable.</w:t>
                            </w:r>
                            <w:r w:rsidR="00862F18">
                              <w:rPr>
                                <w:color w:val="430098"/>
                                <w:sz w:val="20"/>
                                <w:szCs w:val="20"/>
                              </w:rPr>
                              <w:t xml:space="preserve"> However, a record does not need to specify every individual third party and may be general in nature.</w:t>
                            </w:r>
                          </w:p>
                          <w:p w14:paraId="553E9FEC" w14:textId="77777777" w:rsidR="00472682" w:rsidRPr="00741C81" w:rsidRDefault="00472682" w:rsidP="00472682">
                            <w:pPr>
                              <w:spacing w:after="120"/>
                              <w:rPr>
                                <w:color w:val="430098"/>
                                <w:sz w:val="20"/>
                                <w:szCs w:val="20"/>
                              </w:rPr>
                            </w:pPr>
                            <w:r w:rsidRPr="00741C81">
                              <w:rPr>
                                <w:color w:val="430098"/>
                                <w:sz w:val="20"/>
                                <w:szCs w:val="20"/>
                              </w:rPr>
                              <w:t>An example is included in the table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3184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51pt;height:41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" filled="f" strokecolor="#430098" strokeweight=".5pt">
                <v:textbox style="mso-fit-shape-to-text:t">
                  <w:txbxContent>
                    <w:p w14:paraId="312E389D" w14:textId="679E535B" w:rsidR="00472682" w:rsidRDefault="001E66D3" w:rsidP="00472682">
                      <w:pPr>
                        <w:spacing w:after="120"/>
                        <w:rPr>
                          <w:color w:val="430098"/>
                          <w:sz w:val="20"/>
                          <w:szCs w:val="20"/>
                        </w:rPr>
                      </w:pPr>
                      <w:r>
                        <w:rPr>
                          <w:color w:val="430098"/>
                          <w:sz w:val="20"/>
                          <w:szCs w:val="20"/>
                        </w:rPr>
                        <w:t xml:space="preserve">Under </w:t>
                      </w:r>
                      <w:r>
                        <w:rPr>
                          <w:i/>
                          <w:iCs/>
                          <w:color w:val="430098"/>
                          <w:sz w:val="20"/>
                          <w:szCs w:val="20"/>
                        </w:rPr>
                        <w:t>Professional Standard 7.3</w:t>
                      </w:r>
                      <w:r>
                        <w:rPr>
                          <w:color w:val="430098"/>
                          <w:sz w:val="20"/>
                          <w:szCs w:val="20"/>
                        </w:rPr>
                        <w:t>, w</w:t>
                      </w:r>
                      <w:r w:rsidR="00472682" w:rsidRPr="00741C81">
                        <w:rPr>
                          <w:color w:val="430098"/>
                          <w:sz w:val="20"/>
                          <w:szCs w:val="20"/>
                        </w:rPr>
                        <w:t>here a</w:t>
                      </w:r>
                      <w:r w:rsidR="00472682">
                        <w:rPr>
                          <w:color w:val="430098"/>
                          <w:sz w:val="20"/>
                          <w:szCs w:val="20"/>
                        </w:rPr>
                        <w:t xml:space="preserve">n agency notifies and seeks the views of a third party, it must ensure it keeps a record of: </w:t>
                      </w:r>
                    </w:p>
                    <w:p w14:paraId="361DBF1A" w14:textId="106D4DBF" w:rsidR="00472682" w:rsidRDefault="00472682" w:rsidP="004726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color w:val="430098"/>
                          <w:sz w:val="20"/>
                          <w:szCs w:val="20"/>
                        </w:rPr>
                      </w:pPr>
                      <w:r>
                        <w:rPr>
                          <w:color w:val="430098"/>
                          <w:sz w:val="20"/>
                          <w:szCs w:val="20"/>
                        </w:rPr>
                        <w:t>who was notified;</w:t>
                      </w:r>
                    </w:p>
                    <w:p w14:paraId="4C4C5D52" w14:textId="7FBA07F9" w:rsidR="00472682" w:rsidRDefault="00472682" w:rsidP="004726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color w:val="430098"/>
                          <w:sz w:val="20"/>
                          <w:szCs w:val="20"/>
                        </w:rPr>
                      </w:pPr>
                      <w:r>
                        <w:rPr>
                          <w:color w:val="430098"/>
                          <w:sz w:val="20"/>
                          <w:szCs w:val="20"/>
                        </w:rPr>
                        <w:t>whether the third party did or did not respond to the notification;</w:t>
                      </w:r>
                    </w:p>
                    <w:p w14:paraId="1ED0D55E" w14:textId="752F85AF" w:rsidR="00472682" w:rsidRDefault="00472682" w:rsidP="004726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color w:val="430098"/>
                          <w:sz w:val="20"/>
                          <w:szCs w:val="20"/>
                        </w:rPr>
                      </w:pPr>
                      <w:r>
                        <w:rPr>
                          <w:color w:val="430098"/>
                          <w:sz w:val="20"/>
                          <w:szCs w:val="20"/>
                        </w:rPr>
                        <w:t>if the third party responded, whether they consented or objected to disclosure of the information or document; and</w:t>
                      </w:r>
                    </w:p>
                    <w:p w14:paraId="7FCA6707" w14:textId="3FF0C5D7" w:rsidR="001E66D3" w:rsidRDefault="00472682" w:rsidP="001E66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color w:val="430098"/>
                          <w:sz w:val="20"/>
                          <w:szCs w:val="20"/>
                        </w:rPr>
                      </w:pPr>
                      <w:r>
                        <w:rPr>
                          <w:color w:val="430098"/>
                          <w:sz w:val="20"/>
                          <w:szCs w:val="20"/>
                        </w:rPr>
                        <w:t xml:space="preserve">where provided, the third party’s reasons for objecting. </w:t>
                      </w:r>
                    </w:p>
                    <w:p w14:paraId="20048A7E" w14:textId="135D2D02" w:rsidR="001E66D3" w:rsidRPr="001E66D3" w:rsidRDefault="001E66D3" w:rsidP="001E66D3">
                      <w:pPr>
                        <w:spacing w:after="120"/>
                        <w:rPr>
                          <w:color w:val="430098"/>
                          <w:sz w:val="20"/>
                          <w:szCs w:val="20"/>
                        </w:rPr>
                      </w:pPr>
                      <w:r>
                        <w:rPr>
                          <w:color w:val="430098"/>
                          <w:sz w:val="20"/>
                          <w:szCs w:val="20"/>
                        </w:rPr>
                        <w:t xml:space="preserve">Under </w:t>
                      </w:r>
                      <w:r>
                        <w:rPr>
                          <w:i/>
                          <w:iCs/>
                          <w:color w:val="430098"/>
                          <w:sz w:val="20"/>
                          <w:szCs w:val="20"/>
                        </w:rPr>
                        <w:t>Professional Standard 7.2</w:t>
                      </w:r>
                      <w:r>
                        <w:rPr>
                          <w:color w:val="430098"/>
                          <w:sz w:val="20"/>
                          <w:szCs w:val="20"/>
                        </w:rPr>
                        <w:t>, if an agency determines it is not practicable to notify and seek the views of a third party, it must keep a record of why it is not practicable.</w:t>
                      </w:r>
                      <w:r w:rsidR="00862F18">
                        <w:rPr>
                          <w:color w:val="430098"/>
                          <w:sz w:val="20"/>
                          <w:szCs w:val="20"/>
                        </w:rPr>
                        <w:t xml:space="preserve"> However, a record does not need to specify every individual third party and may be general in nature.</w:t>
                      </w:r>
                    </w:p>
                    <w:p w14:paraId="553E9FEC" w14:textId="77777777" w:rsidR="00472682" w:rsidRPr="00741C81" w:rsidRDefault="00472682" w:rsidP="00472682">
                      <w:pPr>
                        <w:spacing w:after="120"/>
                        <w:rPr>
                          <w:color w:val="430098"/>
                          <w:sz w:val="20"/>
                          <w:szCs w:val="20"/>
                        </w:rPr>
                      </w:pPr>
                      <w:r w:rsidRPr="00741C81">
                        <w:rPr>
                          <w:color w:val="430098"/>
                          <w:sz w:val="20"/>
                          <w:szCs w:val="20"/>
                        </w:rPr>
                        <w:t>An example is included in the table below.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11"/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000" w:firstRow="0" w:lastRow="0" w:firstColumn="0" w:lastColumn="0" w:noHBand="0" w:noVBand="0"/>
      </w:tblPr>
      <w:tblGrid>
        <w:gridCol w:w="1183"/>
        <w:gridCol w:w="9"/>
        <w:gridCol w:w="957"/>
        <w:gridCol w:w="1140"/>
        <w:gridCol w:w="1407"/>
        <w:gridCol w:w="382"/>
        <w:gridCol w:w="1161"/>
        <w:gridCol w:w="476"/>
        <w:gridCol w:w="978"/>
        <w:gridCol w:w="1213"/>
        <w:gridCol w:w="68"/>
      </w:tblGrid>
      <w:tr w:rsidR="00385A1D" w:rsidRPr="00495726" w14:paraId="1DCF2695" w14:textId="77777777" w:rsidTr="00472682">
        <w:trPr>
          <w:trHeight w:val="595"/>
        </w:trPr>
        <w:tc>
          <w:tcPr>
            <w:tcW w:w="5000" w:type="pct"/>
            <w:gridSpan w:val="11"/>
            <w:shd w:val="clear" w:color="auto" w:fill="D0CECE" w:themeFill="background2" w:themeFillShade="E6"/>
          </w:tcPr>
          <w:p w14:paraId="34F7B45D" w14:textId="73F9FEC0" w:rsidR="00385A1D" w:rsidRPr="00495726" w:rsidRDefault="00385A1D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eastAsia="MS Gothic" w:cstheme="minorHAnsi"/>
                <w:b/>
                <w:bCs/>
                <w:color w:val="auto"/>
                <w:lang w:val="en-AU"/>
              </w:rPr>
              <w:t xml:space="preserve">Record of third party consultation under </w:t>
            </w:r>
            <w:r w:rsidRPr="0089196F">
              <w:rPr>
                <w:rFonts w:eastAsia="MS Gothic" w:cstheme="minorHAnsi"/>
                <w:b/>
                <w:bCs/>
                <w:color w:val="auto"/>
                <w:lang w:val="en-AU"/>
              </w:rPr>
              <w:t xml:space="preserve">the </w:t>
            </w:r>
            <w:r w:rsidRPr="0089196F">
              <w:rPr>
                <w:rFonts w:eastAsia="MS Gothic" w:cstheme="minorHAnsi"/>
                <w:b/>
                <w:bCs/>
                <w:i/>
                <w:iCs/>
                <w:color w:val="auto"/>
                <w:lang w:val="en-AU"/>
              </w:rPr>
              <w:t>Freedom of Information Act 1982</w:t>
            </w:r>
            <w:r w:rsidRPr="0089196F">
              <w:rPr>
                <w:rFonts w:eastAsia="MS Gothic" w:cstheme="minorHAnsi"/>
                <w:b/>
                <w:bCs/>
                <w:color w:val="auto"/>
                <w:lang w:val="en-AU"/>
              </w:rPr>
              <w:t xml:space="preserve"> (Vic)</w:t>
            </w:r>
            <w:r>
              <w:rPr>
                <w:rFonts w:eastAsia="MS Gothic" w:cstheme="minorHAnsi"/>
                <w:b/>
                <w:bCs/>
                <w:color w:val="auto"/>
                <w:lang w:val="en-AU"/>
              </w:rPr>
              <w:t xml:space="preserve"> </w:t>
            </w:r>
            <w:r w:rsidRPr="0089196F">
              <w:rPr>
                <w:rFonts w:ascii="MS Gothic" w:eastAsia="MS Gothic" w:hAnsi="MS Gothic" w:cs="MS Gothic" w:hint="eastAsia"/>
                <w:b/>
                <w:bCs/>
                <w:color w:val="auto"/>
                <w:lang w:val="en-AU"/>
              </w:rPr>
              <w:t> </w:t>
            </w:r>
          </w:p>
        </w:tc>
      </w:tr>
      <w:tr w:rsidR="00472682" w:rsidRPr="00495726" w14:paraId="28DE20ED" w14:textId="77777777" w:rsidTr="006F6018">
        <w:trPr>
          <w:trHeight w:val="595"/>
        </w:trPr>
        <w:tc>
          <w:tcPr>
            <w:tcW w:w="664" w:type="pct"/>
            <w:gridSpan w:val="2"/>
            <w:shd w:val="clear" w:color="auto" w:fill="D0CECE" w:themeFill="background2" w:themeFillShade="E6"/>
          </w:tcPr>
          <w:p w14:paraId="2F07F0F4" w14:textId="77777777" w:rsidR="00385A1D" w:rsidRPr="00495726" w:rsidRDefault="00385A1D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cstheme="minorHAnsi"/>
                <w:color w:val="auto"/>
                <w:sz w:val="20"/>
                <w:szCs w:val="20"/>
                <w:lang w:val="en-AU"/>
              </w:rPr>
            </w:pPr>
            <w:r w:rsidRPr="00495726">
              <w:rPr>
                <w:rFonts w:cstheme="minorHAnsi"/>
                <w:b/>
                <w:bCs/>
                <w:color w:val="auto"/>
                <w:sz w:val="20"/>
                <w:szCs w:val="20"/>
                <w:lang w:val="en-AU"/>
              </w:rPr>
              <w:t>Applicant:</w:t>
            </w:r>
          </w:p>
        </w:tc>
        <w:tc>
          <w:tcPr>
            <w:tcW w:w="2165" w:type="pct"/>
            <w:gridSpan w:val="4"/>
            <w:shd w:val="clear" w:color="auto" w:fill="F2F2F2" w:themeFill="background1" w:themeFillShade="F2"/>
          </w:tcPr>
          <w:p w14:paraId="5EB39DC6" w14:textId="4AAE925B" w:rsidR="00385A1D" w:rsidRPr="00495726" w:rsidRDefault="00E738AE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cstheme="minorHAnsi"/>
                <w:color w:val="auto"/>
                <w:sz w:val="20"/>
                <w:szCs w:val="20"/>
                <w:lang w:val="en-AU"/>
              </w:rPr>
            </w:pPr>
            <w:r>
              <w:rPr>
                <w:rFonts w:cstheme="minorHAnsi"/>
                <w:color w:val="auto"/>
                <w:sz w:val="20"/>
                <w:szCs w:val="20"/>
                <w:highlight w:val="yellow"/>
                <w:lang w:val="en-AU"/>
              </w:rPr>
              <w:t>John</w:t>
            </w:r>
            <w:r w:rsidR="00385A1D" w:rsidRPr="009B0F9D">
              <w:rPr>
                <w:rFonts w:cstheme="minorHAnsi"/>
                <w:color w:val="auto"/>
                <w:sz w:val="20"/>
                <w:szCs w:val="20"/>
                <w:highlight w:val="yellow"/>
                <w:lang w:val="en-AU"/>
              </w:rPr>
              <w:t xml:space="preserve"> Smith</w:t>
            </w:r>
          </w:p>
        </w:tc>
        <w:tc>
          <w:tcPr>
            <w:tcW w:w="912" w:type="pct"/>
            <w:gridSpan w:val="2"/>
            <w:shd w:val="clear" w:color="auto" w:fill="D0CECE" w:themeFill="background2" w:themeFillShade="E6"/>
          </w:tcPr>
          <w:p w14:paraId="2BB8ACAB" w14:textId="77777777" w:rsidR="00385A1D" w:rsidRPr="00495726" w:rsidRDefault="00385A1D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val="en-AU"/>
              </w:rPr>
            </w:pPr>
            <w:r w:rsidRPr="00495726">
              <w:rPr>
                <w:rFonts w:cstheme="minorHAnsi"/>
                <w:b/>
                <w:bCs/>
                <w:color w:val="auto"/>
                <w:sz w:val="20"/>
                <w:szCs w:val="20"/>
                <w:lang w:val="en-AU"/>
              </w:rPr>
              <w:t>Date valid request received:</w:t>
            </w:r>
          </w:p>
        </w:tc>
        <w:tc>
          <w:tcPr>
            <w:tcW w:w="1259" w:type="pct"/>
            <w:gridSpan w:val="3"/>
            <w:shd w:val="clear" w:color="auto" w:fill="F2F2F2" w:themeFill="background1" w:themeFillShade="F2"/>
          </w:tcPr>
          <w:p w14:paraId="66C4D9A3" w14:textId="565CB264" w:rsidR="00385A1D" w:rsidRPr="00495726" w:rsidRDefault="00E738AE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val="en-AU"/>
              </w:rPr>
            </w:pPr>
            <w:r>
              <w:rPr>
                <w:rFonts w:cstheme="minorHAnsi"/>
                <w:color w:val="auto"/>
                <w:sz w:val="20"/>
                <w:szCs w:val="20"/>
                <w:highlight w:val="yellow"/>
                <w:lang w:val="en-AU"/>
              </w:rPr>
              <w:t>4 January 2019</w:t>
            </w:r>
          </w:p>
        </w:tc>
      </w:tr>
      <w:tr w:rsidR="00472682" w:rsidRPr="00495726" w14:paraId="2D9E06AB" w14:textId="77777777" w:rsidTr="006F6018">
        <w:trPr>
          <w:trHeight w:val="595"/>
        </w:trPr>
        <w:tc>
          <w:tcPr>
            <w:tcW w:w="664" w:type="pct"/>
            <w:gridSpan w:val="2"/>
            <w:shd w:val="clear" w:color="auto" w:fill="D0CECE" w:themeFill="background2" w:themeFillShade="E6"/>
          </w:tcPr>
          <w:p w14:paraId="6CA1EE59" w14:textId="77777777" w:rsidR="00385A1D" w:rsidRPr="00495726" w:rsidRDefault="00385A1D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cstheme="minorHAnsi"/>
                <w:b/>
                <w:bCs/>
                <w:color w:val="auto"/>
                <w:sz w:val="20"/>
                <w:szCs w:val="20"/>
                <w:lang w:val="en-AU"/>
              </w:rPr>
            </w:pPr>
            <w:r w:rsidRPr="00495726">
              <w:rPr>
                <w:rFonts w:cstheme="minorHAnsi"/>
                <w:b/>
                <w:bCs/>
                <w:color w:val="auto"/>
                <w:sz w:val="20"/>
                <w:szCs w:val="20"/>
                <w:lang w:val="en-AU"/>
              </w:rPr>
              <w:t>Agency reference:</w:t>
            </w:r>
          </w:p>
        </w:tc>
        <w:tc>
          <w:tcPr>
            <w:tcW w:w="2165" w:type="pct"/>
            <w:gridSpan w:val="4"/>
            <w:shd w:val="clear" w:color="auto" w:fill="F2F2F2" w:themeFill="background1" w:themeFillShade="F2"/>
          </w:tcPr>
          <w:p w14:paraId="1B41CCC3" w14:textId="46E3ADDE" w:rsidR="00385A1D" w:rsidRPr="00495726" w:rsidRDefault="00385A1D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cstheme="minorHAnsi"/>
                <w:color w:val="auto"/>
                <w:sz w:val="20"/>
                <w:szCs w:val="20"/>
                <w:lang w:val="en-AU"/>
              </w:rPr>
            </w:pPr>
            <w:r w:rsidRPr="009B0F9D">
              <w:rPr>
                <w:rFonts w:cstheme="minorHAnsi"/>
                <w:color w:val="auto"/>
                <w:sz w:val="20"/>
                <w:szCs w:val="20"/>
                <w:highlight w:val="yellow"/>
                <w:lang w:val="en-AU"/>
              </w:rPr>
              <w:t>FO</w:t>
            </w:r>
            <w:r w:rsidRPr="00E738AE">
              <w:rPr>
                <w:rFonts w:cstheme="minorHAnsi"/>
                <w:color w:val="auto"/>
                <w:sz w:val="20"/>
                <w:szCs w:val="20"/>
                <w:highlight w:val="yellow"/>
                <w:lang w:val="en-AU"/>
              </w:rPr>
              <w:t>I</w:t>
            </w:r>
            <w:r w:rsidR="00E738AE" w:rsidRPr="00E738AE">
              <w:rPr>
                <w:rFonts w:cstheme="minorHAnsi"/>
                <w:color w:val="auto"/>
                <w:sz w:val="20"/>
                <w:szCs w:val="20"/>
                <w:highlight w:val="yellow"/>
                <w:lang w:val="en-AU"/>
              </w:rPr>
              <w:t>6789</w:t>
            </w:r>
          </w:p>
        </w:tc>
        <w:tc>
          <w:tcPr>
            <w:tcW w:w="912" w:type="pct"/>
            <w:gridSpan w:val="2"/>
            <w:shd w:val="clear" w:color="auto" w:fill="D0CECE" w:themeFill="background2" w:themeFillShade="E6"/>
          </w:tcPr>
          <w:p w14:paraId="46591534" w14:textId="77777777" w:rsidR="00385A1D" w:rsidRPr="00495726" w:rsidRDefault="00385A1D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  <w:color w:val="auto"/>
                <w:sz w:val="20"/>
                <w:szCs w:val="20"/>
                <w:lang w:val="en-AU"/>
              </w:rPr>
            </w:pPr>
            <w:r w:rsidRPr="00495726">
              <w:rPr>
                <w:rFonts w:cstheme="minorHAnsi"/>
                <w:b/>
                <w:bCs/>
                <w:color w:val="auto"/>
                <w:sz w:val="20"/>
                <w:szCs w:val="20"/>
                <w:lang w:val="en-AU"/>
              </w:rPr>
              <w:t>Decision due date:</w:t>
            </w:r>
          </w:p>
        </w:tc>
        <w:tc>
          <w:tcPr>
            <w:tcW w:w="1259" w:type="pct"/>
            <w:gridSpan w:val="3"/>
            <w:shd w:val="clear" w:color="auto" w:fill="F2F2F2" w:themeFill="background1" w:themeFillShade="F2"/>
          </w:tcPr>
          <w:p w14:paraId="628F46DA" w14:textId="4ECAE6D8" w:rsidR="00385A1D" w:rsidRPr="00495726" w:rsidRDefault="00E738AE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val="en-AU"/>
              </w:rPr>
            </w:pPr>
            <w:r w:rsidRPr="00E738AE">
              <w:rPr>
                <w:rFonts w:cstheme="minorHAnsi"/>
                <w:color w:val="auto"/>
                <w:sz w:val="20"/>
                <w:szCs w:val="20"/>
                <w:highlight w:val="yellow"/>
                <w:lang w:val="en-AU"/>
              </w:rPr>
              <w:t>4 February 2019</w:t>
            </w:r>
          </w:p>
        </w:tc>
      </w:tr>
      <w:tr w:rsidR="00385A1D" w:rsidRPr="00495726" w14:paraId="3CA717E7" w14:textId="77777777" w:rsidTr="006F6018">
        <w:tc>
          <w:tcPr>
            <w:tcW w:w="664" w:type="pct"/>
            <w:gridSpan w:val="2"/>
            <w:shd w:val="clear" w:color="auto" w:fill="D0CECE" w:themeFill="background2" w:themeFillShade="E6"/>
          </w:tcPr>
          <w:p w14:paraId="2272900F" w14:textId="77777777" w:rsidR="00385A1D" w:rsidRPr="00495726" w:rsidRDefault="00385A1D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cstheme="minorHAnsi"/>
                <w:color w:val="auto"/>
                <w:sz w:val="20"/>
                <w:szCs w:val="20"/>
                <w:lang w:val="en-AU"/>
              </w:rPr>
            </w:pPr>
            <w:r w:rsidRPr="00495726">
              <w:rPr>
                <w:rFonts w:cstheme="minorHAnsi"/>
                <w:b/>
                <w:bCs/>
                <w:color w:val="auto"/>
                <w:sz w:val="20"/>
                <w:szCs w:val="20"/>
                <w:lang w:val="en-AU"/>
              </w:rPr>
              <w:t>FOI officer:</w:t>
            </w:r>
          </w:p>
        </w:tc>
        <w:tc>
          <w:tcPr>
            <w:tcW w:w="4336" w:type="pct"/>
            <w:gridSpan w:val="9"/>
            <w:shd w:val="clear" w:color="auto" w:fill="F2F2F2" w:themeFill="background1" w:themeFillShade="F2"/>
          </w:tcPr>
          <w:p w14:paraId="200D634C" w14:textId="77777777" w:rsidR="00385A1D" w:rsidRPr="00495726" w:rsidRDefault="00385A1D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val="en-AU"/>
              </w:rPr>
            </w:pPr>
            <w:r w:rsidRPr="009B0F9D">
              <w:rPr>
                <w:rFonts w:cstheme="minorHAnsi"/>
                <w:color w:val="auto"/>
                <w:sz w:val="20"/>
                <w:szCs w:val="20"/>
                <w:highlight w:val="yellow"/>
                <w:lang w:val="en-AU"/>
              </w:rPr>
              <w:t>Morgan Grey</w:t>
            </w:r>
          </w:p>
        </w:tc>
      </w:tr>
      <w:tr w:rsidR="00A64C7D" w:rsidRPr="00495726" w14:paraId="66F8E7B2" w14:textId="77777777" w:rsidTr="006F6018">
        <w:trPr>
          <w:gridAfter w:val="1"/>
          <w:wAfter w:w="38" w:type="pct"/>
          <w:trHeight w:val="1267"/>
        </w:trPr>
        <w:tc>
          <w:tcPr>
            <w:tcW w:w="659" w:type="pct"/>
            <w:shd w:val="clear" w:color="auto" w:fill="D0CECE" w:themeFill="background2" w:themeFillShade="E6"/>
          </w:tcPr>
          <w:p w14:paraId="714CC2B8" w14:textId="3B21FF8C" w:rsidR="00A64C7D" w:rsidRPr="00D86FB2" w:rsidRDefault="00472682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A64C7D" w:rsidRPr="00D86FB2">
              <w:rPr>
                <w:b/>
                <w:bCs/>
                <w:color w:val="000000" w:themeColor="text1"/>
                <w:sz w:val="20"/>
                <w:szCs w:val="20"/>
              </w:rPr>
              <w:t>ate</w:t>
            </w:r>
          </w:p>
        </w:tc>
        <w:tc>
          <w:tcPr>
            <w:tcW w:w="538" w:type="pct"/>
            <w:gridSpan w:val="2"/>
            <w:shd w:val="clear" w:color="auto" w:fill="D0CECE" w:themeFill="background2" w:themeFillShade="E6"/>
          </w:tcPr>
          <w:p w14:paraId="28D709D3" w14:textId="7F3034EE" w:rsidR="00A64C7D" w:rsidRPr="00D86FB2" w:rsidRDefault="00A64C7D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Third party </w:t>
            </w:r>
          </w:p>
        </w:tc>
        <w:tc>
          <w:tcPr>
            <w:tcW w:w="635" w:type="pct"/>
            <w:shd w:val="clear" w:color="auto" w:fill="D0CECE" w:themeFill="background2" w:themeFillShade="E6"/>
          </w:tcPr>
          <w:p w14:paraId="5CA0BC97" w14:textId="73288A5D" w:rsidR="00A64C7D" w:rsidRPr="00D86FB2" w:rsidRDefault="00A64C7D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auto"/>
                <w:sz w:val="20"/>
                <w:szCs w:val="20"/>
              </w:rPr>
              <w:t>Were they consulted?</w:t>
            </w:r>
          </w:p>
        </w:tc>
        <w:tc>
          <w:tcPr>
            <w:tcW w:w="784" w:type="pct"/>
            <w:shd w:val="clear" w:color="auto" w:fill="D0CECE" w:themeFill="background2" w:themeFillShade="E6"/>
          </w:tcPr>
          <w:p w14:paraId="1D6FDE00" w14:textId="6D3656AE" w:rsidR="00A64C7D" w:rsidRPr="00D35169" w:rsidRDefault="00D35169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A64C7D">
              <w:rPr>
                <w:b/>
                <w:bCs/>
                <w:color w:val="000000" w:themeColor="text1"/>
                <w:sz w:val="20"/>
                <w:szCs w:val="20"/>
              </w:rPr>
              <w:t>hy consultation was not practicable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if applicable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60" w:type="pct"/>
            <w:gridSpan w:val="2"/>
            <w:shd w:val="clear" w:color="auto" w:fill="D0CECE" w:themeFill="background2" w:themeFillShade="E6"/>
          </w:tcPr>
          <w:p w14:paraId="67A4641D" w14:textId="6D0D007A" w:rsidR="00A64C7D" w:rsidRPr="00D86FB2" w:rsidRDefault="00D35169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auto"/>
                <w:sz w:val="20"/>
                <w:szCs w:val="20"/>
              </w:rPr>
              <w:t>W</w:t>
            </w:r>
            <w:r w:rsidR="00A64C7D">
              <w:rPr>
                <w:rFonts w:cstheme="minorHAnsi"/>
                <w:b/>
                <w:bCs/>
                <w:color w:val="auto"/>
                <w:sz w:val="20"/>
                <w:szCs w:val="20"/>
              </w:rPr>
              <w:t>hether the third party responded</w:t>
            </w:r>
            <w:r>
              <w:rPr>
                <w:rFonts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if applicable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10" w:type="pct"/>
            <w:gridSpan w:val="2"/>
            <w:shd w:val="clear" w:color="auto" w:fill="D0CECE" w:themeFill="background2" w:themeFillShade="E6"/>
          </w:tcPr>
          <w:p w14:paraId="28A19CA1" w14:textId="68237424" w:rsidR="00A64C7D" w:rsidRPr="00D35169" w:rsidRDefault="00D35169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A64C7D">
              <w:rPr>
                <w:b/>
                <w:bCs/>
                <w:color w:val="000000" w:themeColor="text1"/>
                <w:sz w:val="20"/>
                <w:szCs w:val="20"/>
              </w:rPr>
              <w:t>hether the third party consented or objected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to disclosure (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if applicable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76" w:type="pct"/>
            <w:shd w:val="clear" w:color="auto" w:fill="D0CECE" w:themeFill="background2" w:themeFillShade="E6"/>
          </w:tcPr>
          <w:p w14:paraId="5B029C23" w14:textId="3A63C42B" w:rsidR="00A64C7D" w:rsidRPr="00D86FB2" w:rsidRDefault="00D35169" w:rsidP="004C785E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</w:t>
            </w:r>
            <w:r w:rsidR="00A64C7D">
              <w:rPr>
                <w:b/>
                <w:bCs/>
                <w:color w:val="000000" w:themeColor="text1"/>
                <w:sz w:val="20"/>
                <w:szCs w:val="20"/>
              </w:rPr>
              <w:t>he third party’s reasons for objecting</w:t>
            </w:r>
            <w:r w:rsidR="00A64C7D" w:rsidRPr="00D86FB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if applicable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A64C7D" w:rsidRPr="00495726" w14:paraId="0C9DEA71" w14:textId="77777777" w:rsidTr="006F6018">
        <w:trPr>
          <w:gridAfter w:val="1"/>
          <w:wAfter w:w="38" w:type="pct"/>
          <w:trHeight w:val="484"/>
        </w:trPr>
        <w:tc>
          <w:tcPr>
            <w:tcW w:w="659" w:type="pct"/>
            <w:shd w:val="clear" w:color="auto" w:fill="F2F2F2" w:themeFill="background1" w:themeFillShade="F2"/>
          </w:tcPr>
          <w:p w14:paraId="75DD7FA9" w14:textId="222F4221" w:rsidR="00A64C7D" w:rsidRPr="006F6018" w:rsidRDefault="00472682" w:rsidP="00472682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F6018">
              <w:rPr>
                <w:color w:val="000000" w:themeColor="text1"/>
                <w:sz w:val="20"/>
                <w:szCs w:val="20"/>
                <w:highlight w:val="yellow"/>
              </w:rPr>
              <w:t>11/01/2019</w:t>
            </w:r>
          </w:p>
        </w:tc>
        <w:tc>
          <w:tcPr>
            <w:tcW w:w="538" w:type="pct"/>
            <w:gridSpan w:val="2"/>
            <w:shd w:val="clear" w:color="auto" w:fill="F2F2F2" w:themeFill="background1" w:themeFillShade="F2"/>
          </w:tcPr>
          <w:p w14:paraId="4D777B18" w14:textId="562D1F74" w:rsidR="00A64C7D" w:rsidRPr="006F6018" w:rsidRDefault="00472682" w:rsidP="00472682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F6018">
              <w:rPr>
                <w:color w:val="000000" w:themeColor="text1"/>
                <w:sz w:val="20"/>
                <w:szCs w:val="20"/>
                <w:highlight w:val="yellow"/>
              </w:rPr>
              <w:t>Joe Smith</w:t>
            </w:r>
          </w:p>
        </w:tc>
        <w:tc>
          <w:tcPr>
            <w:tcW w:w="635" w:type="pct"/>
            <w:shd w:val="clear" w:color="auto" w:fill="F2F2F2" w:themeFill="background1" w:themeFillShade="F2"/>
          </w:tcPr>
          <w:p w14:paraId="7BBA1591" w14:textId="5E6A39EA" w:rsidR="00A64C7D" w:rsidRPr="006F6018" w:rsidRDefault="00472682" w:rsidP="00472682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F6018">
              <w:rPr>
                <w:color w:val="000000" w:themeColor="text1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784" w:type="pct"/>
            <w:shd w:val="clear" w:color="auto" w:fill="F2F2F2" w:themeFill="background1" w:themeFillShade="F2"/>
          </w:tcPr>
          <w:p w14:paraId="4E6E4ACB" w14:textId="3297C4E5" w:rsidR="00A64C7D" w:rsidRPr="006F6018" w:rsidRDefault="00472682" w:rsidP="00472682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F6018">
              <w:rPr>
                <w:color w:val="000000" w:themeColor="text1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60" w:type="pct"/>
            <w:gridSpan w:val="2"/>
            <w:shd w:val="clear" w:color="auto" w:fill="F2F2F2" w:themeFill="background1" w:themeFillShade="F2"/>
          </w:tcPr>
          <w:p w14:paraId="78383AB0" w14:textId="3CA13E6E" w:rsidR="00A64C7D" w:rsidRPr="006F6018" w:rsidRDefault="00472682" w:rsidP="00472682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F6018">
              <w:rPr>
                <w:color w:val="000000" w:themeColor="text1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810" w:type="pct"/>
            <w:gridSpan w:val="2"/>
            <w:shd w:val="clear" w:color="auto" w:fill="F2F2F2" w:themeFill="background1" w:themeFillShade="F2"/>
          </w:tcPr>
          <w:p w14:paraId="0587B84C" w14:textId="4E48A0B8" w:rsidR="00A64C7D" w:rsidRPr="006F6018" w:rsidRDefault="006F6018" w:rsidP="00472682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F6018">
              <w:rPr>
                <w:color w:val="000000" w:themeColor="text1"/>
                <w:sz w:val="20"/>
                <w:szCs w:val="20"/>
                <w:highlight w:val="yellow"/>
              </w:rPr>
              <w:t>Consented</w:t>
            </w:r>
          </w:p>
        </w:tc>
        <w:tc>
          <w:tcPr>
            <w:tcW w:w="676" w:type="pct"/>
            <w:shd w:val="clear" w:color="auto" w:fill="F2F2F2" w:themeFill="background1" w:themeFillShade="F2"/>
          </w:tcPr>
          <w:p w14:paraId="570CA2E6" w14:textId="534A83FE" w:rsidR="00A64C7D" w:rsidRPr="006F6018" w:rsidRDefault="006F6018" w:rsidP="00472682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F6018">
              <w:rPr>
                <w:color w:val="000000" w:themeColor="text1"/>
                <w:sz w:val="20"/>
                <w:szCs w:val="20"/>
                <w:highlight w:val="yellow"/>
              </w:rPr>
              <w:t>-</w:t>
            </w:r>
          </w:p>
        </w:tc>
      </w:tr>
      <w:tr w:rsidR="00A64C7D" w:rsidRPr="00495726" w14:paraId="6A77E221" w14:textId="77777777" w:rsidTr="006F6018">
        <w:trPr>
          <w:gridAfter w:val="1"/>
          <w:wAfter w:w="38" w:type="pct"/>
          <w:trHeight w:val="484"/>
        </w:trPr>
        <w:tc>
          <w:tcPr>
            <w:tcW w:w="659" w:type="pct"/>
            <w:shd w:val="clear" w:color="auto" w:fill="F2F2F2" w:themeFill="background1" w:themeFillShade="F2"/>
          </w:tcPr>
          <w:p w14:paraId="2137BAA2" w14:textId="40F2858C" w:rsidR="00A64C7D" w:rsidRPr="00C6681D" w:rsidRDefault="00A64C7D" w:rsidP="00472682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shd w:val="clear" w:color="auto" w:fill="F2F2F2" w:themeFill="background1" w:themeFillShade="F2"/>
          </w:tcPr>
          <w:p w14:paraId="71FF9A90" w14:textId="77777777" w:rsidR="00A64C7D" w:rsidRDefault="00A64C7D" w:rsidP="00472682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2F2F2" w:themeFill="background1" w:themeFillShade="F2"/>
          </w:tcPr>
          <w:p w14:paraId="75D96B9D" w14:textId="77777777" w:rsidR="00A64C7D" w:rsidRDefault="00A64C7D" w:rsidP="00472682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F2F2F2" w:themeFill="background1" w:themeFillShade="F2"/>
          </w:tcPr>
          <w:p w14:paraId="3102560E" w14:textId="77777777" w:rsidR="00A64C7D" w:rsidRDefault="00A64C7D" w:rsidP="00472682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pct"/>
            <w:gridSpan w:val="2"/>
            <w:shd w:val="clear" w:color="auto" w:fill="F2F2F2" w:themeFill="background1" w:themeFillShade="F2"/>
          </w:tcPr>
          <w:p w14:paraId="41AC1FD7" w14:textId="77777777" w:rsidR="00A64C7D" w:rsidRDefault="00A64C7D" w:rsidP="00472682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pct"/>
            <w:gridSpan w:val="2"/>
            <w:shd w:val="clear" w:color="auto" w:fill="F2F2F2" w:themeFill="background1" w:themeFillShade="F2"/>
          </w:tcPr>
          <w:p w14:paraId="034E6343" w14:textId="77777777" w:rsidR="00A64C7D" w:rsidRDefault="00A64C7D" w:rsidP="00472682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F2F2F2" w:themeFill="background1" w:themeFillShade="F2"/>
          </w:tcPr>
          <w:p w14:paraId="7142A0E2" w14:textId="77777777" w:rsidR="00A64C7D" w:rsidRDefault="00A64C7D" w:rsidP="00472682">
            <w:pPr>
              <w:keepNext w:val="0"/>
              <w:keepLines w:val="0"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18352D2" w14:textId="77777777" w:rsidR="006F6018" w:rsidRPr="00990FAD" w:rsidRDefault="006F6018" w:rsidP="006F6018">
      <w:pPr>
        <w:pStyle w:val="Body"/>
        <w:spacing w:before="120" w:line="288" w:lineRule="auto"/>
        <w:jc w:val="right"/>
        <w:rPr>
          <w:color w:val="000000" w:themeColor="text1"/>
          <w:sz w:val="20"/>
          <w:szCs w:val="18"/>
        </w:rPr>
      </w:pPr>
      <w:r w:rsidRPr="00990FAD">
        <w:rPr>
          <w:rFonts w:cs="PostGrotesk-Medium"/>
          <w:i/>
          <w:iCs/>
          <w:color w:val="000000" w:themeColor="text1"/>
          <w:sz w:val="20"/>
          <w:szCs w:val="20"/>
        </w:rPr>
        <w:t xml:space="preserve">Repeat as necessary </w:t>
      </w:r>
    </w:p>
    <w:p w14:paraId="2AB63016" w14:textId="77777777" w:rsidR="00FD3ADB" w:rsidRDefault="00FD3ADB"/>
    <w:sectPr w:rsidR="00FD3ADB" w:rsidSect="00DF3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B7A4F" w14:textId="77777777" w:rsidR="00B96B98" w:rsidRDefault="00B96B98">
      <w:pPr>
        <w:spacing w:before="0" w:after="0" w:line="240" w:lineRule="auto"/>
      </w:pPr>
      <w:r>
        <w:separator/>
      </w:r>
    </w:p>
  </w:endnote>
  <w:endnote w:type="continuationSeparator" w:id="0">
    <w:p w14:paraId="3647F96F" w14:textId="77777777" w:rsidR="00B96B98" w:rsidRDefault="00B96B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stGrotesk-Book">
    <w:altName w:val="Times New Roman"/>
    <w:panose1 w:val="020B0604020202020204"/>
    <w:charset w:val="00"/>
    <w:family w:val="auto"/>
    <w:pitch w:val="variable"/>
    <w:sig w:usb0="00000001" w:usb1="500160F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stGrotesk-Medium">
    <w:altName w:val="Times New Roman"/>
    <w:panose1 w:val="020B0604020202020204"/>
    <w:charset w:val="00"/>
    <w:family w:val="auto"/>
    <w:pitch w:val="variable"/>
    <w:sig w:usb0="00000001" w:usb1="50016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762408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46CE94" w14:textId="77777777" w:rsidR="00822BB8" w:rsidRDefault="00705515" w:rsidP="002A16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6FED0B" w14:textId="77777777" w:rsidR="00822BB8" w:rsidRDefault="00B96B98" w:rsidP="00822B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714732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93300C" w14:textId="77777777" w:rsidR="00822BB8" w:rsidRDefault="00705515" w:rsidP="002A16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CA73179" w14:textId="77777777" w:rsidR="00822BB8" w:rsidRDefault="00B96B98" w:rsidP="00822BB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A7DDB" w14:textId="77777777" w:rsidR="00822BB8" w:rsidRDefault="00705515" w:rsidP="00822BB8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5FEF7" w14:textId="77777777" w:rsidR="00B96B98" w:rsidRDefault="00B96B98">
      <w:pPr>
        <w:spacing w:before="0" w:after="0" w:line="240" w:lineRule="auto"/>
      </w:pPr>
      <w:r>
        <w:separator/>
      </w:r>
    </w:p>
  </w:footnote>
  <w:footnote w:type="continuationSeparator" w:id="0">
    <w:p w14:paraId="309154D1" w14:textId="77777777" w:rsidR="00B96B98" w:rsidRDefault="00B96B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9B391" w14:textId="77777777" w:rsidR="000930FE" w:rsidRDefault="00B96B98">
    <w:pPr>
      <w:pStyle w:val="Header"/>
    </w:pPr>
    <w:r>
      <w:rPr>
        <w:noProof/>
      </w:rPr>
      <w:pict w14:anchorId="02972D70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360218046" o:spid="_x0000_s2050" type="#_x0000_t202" style="position:absolute;margin-left:0;margin-top:0;width:476.9pt;height:158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" o:allowincell="f" filled="f" stroked="f">
          <o:lock v:ext="edit" rotation="t" aspectratio="t" verticies="t" adjusthandles="t" grouping="t" shapetype="t"/>
          <v:textbox>
            <w:txbxContent>
              <w:p w14:paraId="03432890" w14:textId="77777777" w:rsidR="00DD5606" w:rsidRDefault="00705515" w:rsidP="00DD5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color w:val="C0C0C0"/>
                    <w:sz w:val="72"/>
                    <w:szCs w:val="72"/>
                    <w:lang w:val="en-GB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D79CF" w14:textId="77777777" w:rsidR="000930FE" w:rsidRDefault="00B96B98">
    <w:pPr>
      <w:pStyle w:val="Header"/>
    </w:pPr>
    <w:r>
      <w:rPr>
        <w:noProof/>
      </w:rPr>
      <w:pict w14:anchorId="51E4CE70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360218047" o:spid="_x0000_s2049" type="#_x0000_t202" style="position:absolute;margin-left:0;margin-top:0;width:476.9pt;height:158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" o:allowincell="f" filled="f" stroked="f">
          <o:lock v:ext="edit" rotation="t" aspectratio="t" verticies="t" adjusthandles="t" grouping="t" shapetype="t"/>
          <v:textbox>
            <w:txbxContent>
              <w:p w14:paraId="07CA7CD0" w14:textId="77777777" w:rsidR="00DD5606" w:rsidRDefault="00705515" w:rsidP="00DD56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color w:val="C0C0C0"/>
                    <w:sz w:val="72"/>
                    <w:szCs w:val="72"/>
                    <w:lang w:val="en-GB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7EC5" w14:textId="3425C0F1" w:rsidR="00DF398F" w:rsidRPr="003D0058" w:rsidRDefault="003D0058" w:rsidP="00372D53">
    <w:pPr>
      <w:rPr>
        <w:b/>
        <w:bCs/>
        <w:color w:val="430098"/>
        <w:sz w:val="24"/>
        <w:szCs w:val="24"/>
      </w:rPr>
    </w:pPr>
    <w:r w:rsidRPr="003D0058">
      <w:rPr>
        <w:b/>
        <w:bCs/>
        <w:color w:val="430098"/>
        <w:sz w:val="24"/>
        <w:szCs w:val="24"/>
      </w:rPr>
      <w:t xml:space="preserve">Template 4 – </w:t>
    </w:r>
    <w:r w:rsidR="00DF398F" w:rsidRPr="003D0058">
      <w:rPr>
        <w:b/>
        <w:bCs/>
        <w:color w:val="430098"/>
        <w:sz w:val="24"/>
        <w:szCs w:val="24"/>
      </w:rPr>
      <w:t>Third party consultation record</w:t>
    </w:r>
    <w:r w:rsidRPr="003D0058">
      <w:rPr>
        <w:b/>
        <w:bCs/>
        <w:color w:val="430098"/>
        <w:sz w:val="24"/>
        <w:szCs w:val="24"/>
      </w:rPr>
      <w:t xml:space="preserve"> </w:t>
    </w:r>
    <w:r w:rsidR="00613DEE">
      <w:rPr>
        <w:b/>
        <w:bCs/>
        <w:color w:val="430098"/>
        <w:sz w:val="24"/>
        <w:szCs w:val="24"/>
      </w:rPr>
      <w:t>– D20/5533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E38F8"/>
    <w:multiLevelType w:val="hybridMultilevel"/>
    <w:tmpl w:val="49A833AC"/>
    <w:lvl w:ilvl="0" w:tplc="909C44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C220D"/>
    <w:multiLevelType w:val="hybridMultilevel"/>
    <w:tmpl w:val="F40ABC5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7B"/>
    <w:rsid w:val="00021CBF"/>
    <w:rsid w:val="000E1F4A"/>
    <w:rsid w:val="0013129B"/>
    <w:rsid w:val="001954F4"/>
    <w:rsid w:val="001A6995"/>
    <w:rsid w:val="001E66D3"/>
    <w:rsid w:val="00262D6F"/>
    <w:rsid w:val="002C0F9E"/>
    <w:rsid w:val="002F6213"/>
    <w:rsid w:val="003239D7"/>
    <w:rsid w:val="00365F87"/>
    <w:rsid w:val="00372D53"/>
    <w:rsid w:val="00385A1D"/>
    <w:rsid w:val="003D0058"/>
    <w:rsid w:val="0042423B"/>
    <w:rsid w:val="00472682"/>
    <w:rsid w:val="00497273"/>
    <w:rsid w:val="00524B06"/>
    <w:rsid w:val="0054486B"/>
    <w:rsid w:val="005A30CF"/>
    <w:rsid w:val="005D380D"/>
    <w:rsid w:val="00613DEE"/>
    <w:rsid w:val="006F6018"/>
    <w:rsid w:val="00705515"/>
    <w:rsid w:val="00740CA5"/>
    <w:rsid w:val="007635DC"/>
    <w:rsid w:val="0079375D"/>
    <w:rsid w:val="00851399"/>
    <w:rsid w:val="00862F18"/>
    <w:rsid w:val="00876FD8"/>
    <w:rsid w:val="00950C78"/>
    <w:rsid w:val="009A3621"/>
    <w:rsid w:val="00A34467"/>
    <w:rsid w:val="00A64C7D"/>
    <w:rsid w:val="00AB72AF"/>
    <w:rsid w:val="00AD3176"/>
    <w:rsid w:val="00B3095C"/>
    <w:rsid w:val="00B75DCD"/>
    <w:rsid w:val="00B96B98"/>
    <w:rsid w:val="00BD492F"/>
    <w:rsid w:val="00C27D7B"/>
    <w:rsid w:val="00CC4F0B"/>
    <w:rsid w:val="00CF488A"/>
    <w:rsid w:val="00D25431"/>
    <w:rsid w:val="00D35169"/>
    <w:rsid w:val="00DF398F"/>
    <w:rsid w:val="00E06E77"/>
    <w:rsid w:val="00E575AE"/>
    <w:rsid w:val="00E65894"/>
    <w:rsid w:val="00E738AE"/>
    <w:rsid w:val="00E8609C"/>
    <w:rsid w:val="00F75C25"/>
    <w:rsid w:val="00F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DBF382D"/>
  <w15:chartTrackingRefBased/>
  <w15:docId w15:val="{005D673A-B45A-2446-9181-2D356F68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D7B"/>
    <w:pPr>
      <w:keepNext/>
      <w:keepLines/>
      <w:spacing w:before="120" w:after="240" w:line="276" w:lineRule="auto"/>
    </w:pPr>
    <w:rPr>
      <w:color w:val="55565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D7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7B"/>
    <w:rPr>
      <w:color w:val="55565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7D7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7B"/>
    <w:rPr>
      <w:color w:val="55565A"/>
      <w:sz w:val="22"/>
      <w:szCs w:val="22"/>
    </w:rPr>
  </w:style>
  <w:style w:type="paragraph" w:styleId="ListParagraph">
    <w:name w:val="List Paragraph"/>
    <w:basedOn w:val="Normal"/>
    <w:uiPriority w:val="34"/>
    <w:qFormat/>
    <w:rsid w:val="00C27D7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27D7B"/>
  </w:style>
  <w:style w:type="table" w:customStyle="1" w:styleId="TableGrid11">
    <w:name w:val="Table Grid11"/>
    <w:basedOn w:val="TableNormal"/>
    <w:next w:val="TableGrid"/>
    <w:uiPriority w:val="59"/>
    <w:rsid w:val="00C27D7B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2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86B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6B"/>
    <w:rPr>
      <w:rFonts w:ascii="Times New Roman" w:hAnsi="Times New Roman" w:cs="Times New Roman"/>
      <w:color w:val="55565A"/>
      <w:sz w:val="18"/>
      <w:szCs w:val="18"/>
    </w:rPr>
  </w:style>
  <w:style w:type="paragraph" w:customStyle="1" w:styleId="Body">
    <w:name w:val="Body"/>
    <w:basedOn w:val="Normal"/>
    <w:qFormat/>
    <w:rsid w:val="006F6018"/>
    <w:pPr>
      <w:keepNext w:val="0"/>
      <w:keepLines w:val="0"/>
      <w:widowControl w:val="0"/>
      <w:suppressAutoHyphens/>
      <w:autoSpaceDE w:val="0"/>
      <w:autoSpaceDN w:val="0"/>
      <w:adjustRightInd w:val="0"/>
      <w:spacing w:before="0" w:line="240" w:lineRule="auto"/>
      <w:textAlignment w:val="center"/>
    </w:pPr>
    <w:rPr>
      <w:rFonts w:ascii="Calibri" w:eastAsia="Calibri" w:hAnsi="Calibri" w:cs="PostGrotesk-Book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Crossman</dc:creator>
  <cp:keywords/>
  <dc:description/>
  <cp:lastModifiedBy>Sarah Crossman</cp:lastModifiedBy>
  <cp:revision>39</cp:revision>
  <dcterms:created xsi:type="dcterms:W3CDTF">2019-09-04T00:48:00Z</dcterms:created>
  <dcterms:modified xsi:type="dcterms:W3CDTF">2020-03-24T00:35:00Z</dcterms:modified>
</cp:coreProperties>
</file>