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B43F" w14:textId="671E131B" w:rsidR="00282B14" w:rsidRPr="00F3226A" w:rsidRDefault="005A66F3" w:rsidP="00282B14">
      <w:pPr>
        <w:rPr>
          <w:lang w:val="en-US"/>
        </w:rPr>
        <w:sectPr w:rsidR="00282B14" w:rsidRPr="00F3226A" w:rsidSect="003A116B">
          <w:headerReference w:type="default" r:id="rId8"/>
          <w:footerReference w:type="even" r:id="rId9"/>
          <w:footerReference w:type="default" r:id="rId10"/>
          <w:headerReference w:type="first" r:id="rId11"/>
          <w:footerReference w:type="first" r:id="rId12"/>
          <w:type w:val="nextColumn"/>
          <w:pgSz w:w="11906" w:h="16838"/>
          <w:pgMar w:top="794" w:right="1134" w:bottom="1134" w:left="1134" w:header="720" w:footer="510" w:gutter="0"/>
          <w:cols w:space="720"/>
          <w:noEndnote/>
          <w:titlePg/>
          <w:docGrid w:linePitch="326"/>
        </w:sectPr>
      </w:pPr>
      <w:r>
        <w:rPr>
          <w:lang w:val="en-US"/>
        </w:rPr>
        <w:tab/>
      </w:r>
    </w:p>
    <w:p w14:paraId="2028A235" w14:textId="51E38CD1" w:rsidR="001932E1" w:rsidRDefault="001932E1" w:rsidP="00FD1834">
      <w:pPr>
        <w:pStyle w:val="BodyCopy"/>
        <w:spacing w:before="0" w:after="0"/>
        <w:rPr>
          <w:sz w:val="24"/>
          <w:szCs w:val="24"/>
        </w:rPr>
      </w:pPr>
    </w:p>
    <w:p w14:paraId="219E054B" w14:textId="463DE025" w:rsidR="001932E1" w:rsidRDefault="001932E1" w:rsidP="00FD1834">
      <w:pPr>
        <w:pStyle w:val="BodyCopy"/>
        <w:spacing w:before="0" w:after="0"/>
        <w:rPr>
          <w:sz w:val="24"/>
          <w:szCs w:val="24"/>
        </w:rPr>
      </w:pPr>
    </w:p>
    <w:p w14:paraId="4ECCB35F" w14:textId="1E0A2BBD" w:rsidR="001932E1" w:rsidRDefault="001932E1" w:rsidP="00FD1834">
      <w:pPr>
        <w:pStyle w:val="BodyCopy"/>
        <w:spacing w:before="0" w:after="0"/>
        <w:rPr>
          <w:sz w:val="24"/>
          <w:szCs w:val="24"/>
        </w:rPr>
      </w:pPr>
    </w:p>
    <w:p w14:paraId="073CBE8A" w14:textId="4066758C" w:rsidR="001932E1" w:rsidRDefault="001932E1" w:rsidP="00FD1834">
      <w:pPr>
        <w:pStyle w:val="BodyCopy"/>
        <w:spacing w:before="0" w:after="0"/>
        <w:rPr>
          <w:sz w:val="24"/>
          <w:szCs w:val="24"/>
        </w:rPr>
      </w:pPr>
    </w:p>
    <w:p w14:paraId="35B8454A" w14:textId="79470205" w:rsidR="001932E1" w:rsidRDefault="001932E1" w:rsidP="00FD1834">
      <w:pPr>
        <w:pStyle w:val="BodyCopy"/>
        <w:spacing w:before="0" w:after="0"/>
        <w:rPr>
          <w:sz w:val="24"/>
          <w:szCs w:val="24"/>
        </w:rPr>
      </w:pPr>
    </w:p>
    <w:p w14:paraId="3425675D" w14:textId="19FB23D8" w:rsidR="001932E1" w:rsidRDefault="001932E1" w:rsidP="00FD1834">
      <w:pPr>
        <w:pStyle w:val="BodyCopy"/>
        <w:spacing w:before="0" w:after="0"/>
        <w:rPr>
          <w:sz w:val="24"/>
          <w:szCs w:val="24"/>
        </w:rPr>
      </w:pPr>
    </w:p>
    <w:p w14:paraId="529ACCC4" w14:textId="17AE56FE" w:rsidR="001932E1" w:rsidRDefault="001932E1" w:rsidP="00FD1834">
      <w:pPr>
        <w:pStyle w:val="BodyCopy"/>
        <w:spacing w:before="0" w:after="0"/>
        <w:rPr>
          <w:sz w:val="24"/>
          <w:szCs w:val="24"/>
        </w:rPr>
      </w:pPr>
    </w:p>
    <w:p w14:paraId="164C154F" w14:textId="7FDA32AA" w:rsidR="001932E1" w:rsidRDefault="001932E1" w:rsidP="00FD1834">
      <w:pPr>
        <w:pStyle w:val="BodyCopy"/>
        <w:spacing w:before="0" w:after="0"/>
        <w:rPr>
          <w:sz w:val="24"/>
          <w:szCs w:val="24"/>
        </w:rPr>
      </w:pPr>
    </w:p>
    <w:p w14:paraId="70D6A216" w14:textId="7515096B" w:rsidR="001932E1" w:rsidRDefault="001932E1" w:rsidP="00FD1834">
      <w:pPr>
        <w:pStyle w:val="BodyCopy"/>
        <w:spacing w:before="0" w:after="0"/>
        <w:rPr>
          <w:sz w:val="24"/>
          <w:szCs w:val="24"/>
        </w:rPr>
      </w:pPr>
    </w:p>
    <w:p w14:paraId="43174F92" w14:textId="70547E0F" w:rsidR="001932E1" w:rsidRDefault="001932E1" w:rsidP="00FD1834">
      <w:pPr>
        <w:pStyle w:val="BodyCopy"/>
        <w:spacing w:before="0" w:after="0"/>
        <w:rPr>
          <w:sz w:val="24"/>
          <w:szCs w:val="24"/>
        </w:rPr>
      </w:pPr>
    </w:p>
    <w:p w14:paraId="74750679" w14:textId="48864811" w:rsidR="001932E1" w:rsidRDefault="001932E1" w:rsidP="00FD1834">
      <w:pPr>
        <w:pStyle w:val="BodyCopy"/>
        <w:spacing w:before="0" w:after="0"/>
        <w:rPr>
          <w:sz w:val="24"/>
          <w:szCs w:val="24"/>
        </w:rPr>
      </w:pPr>
    </w:p>
    <w:p w14:paraId="6287949B" w14:textId="065CF5C0" w:rsidR="001932E1" w:rsidRDefault="001932E1" w:rsidP="00FD1834">
      <w:pPr>
        <w:pStyle w:val="BodyCopy"/>
        <w:spacing w:before="0" w:after="0"/>
        <w:rPr>
          <w:sz w:val="24"/>
          <w:szCs w:val="24"/>
        </w:rPr>
      </w:pPr>
    </w:p>
    <w:p w14:paraId="374C6865" w14:textId="094DB386" w:rsidR="001932E1" w:rsidRDefault="001932E1" w:rsidP="00FD1834">
      <w:pPr>
        <w:pStyle w:val="BodyCopy"/>
        <w:spacing w:before="0" w:after="0"/>
        <w:rPr>
          <w:sz w:val="24"/>
          <w:szCs w:val="24"/>
        </w:rPr>
      </w:pPr>
    </w:p>
    <w:p w14:paraId="04ECE470" w14:textId="0F045E7A" w:rsidR="001932E1" w:rsidRDefault="001932E1" w:rsidP="00FD1834">
      <w:pPr>
        <w:pStyle w:val="BodyCopy"/>
        <w:spacing w:before="0" w:after="0"/>
        <w:rPr>
          <w:sz w:val="24"/>
          <w:szCs w:val="24"/>
        </w:rPr>
      </w:pPr>
    </w:p>
    <w:p w14:paraId="35A9343B" w14:textId="374580F8" w:rsidR="001932E1" w:rsidRDefault="001932E1" w:rsidP="00FD1834">
      <w:pPr>
        <w:pStyle w:val="BodyCopy"/>
        <w:spacing w:before="0" w:after="0"/>
        <w:rPr>
          <w:sz w:val="24"/>
          <w:szCs w:val="24"/>
        </w:rPr>
      </w:pPr>
    </w:p>
    <w:p w14:paraId="00717327" w14:textId="1B5B5678" w:rsidR="001932E1" w:rsidRDefault="001932E1" w:rsidP="00FD1834">
      <w:pPr>
        <w:pStyle w:val="BodyCopy"/>
        <w:spacing w:before="0" w:after="0"/>
        <w:rPr>
          <w:sz w:val="24"/>
          <w:szCs w:val="24"/>
        </w:rPr>
      </w:pPr>
    </w:p>
    <w:p w14:paraId="1A10EF05" w14:textId="16AE655A" w:rsidR="001932E1" w:rsidRDefault="001932E1" w:rsidP="00FD1834">
      <w:pPr>
        <w:pStyle w:val="BodyCopy"/>
        <w:spacing w:before="0" w:after="0"/>
        <w:rPr>
          <w:sz w:val="24"/>
          <w:szCs w:val="24"/>
        </w:rPr>
      </w:pPr>
    </w:p>
    <w:p w14:paraId="3B72F750" w14:textId="44869071" w:rsidR="001932E1" w:rsidRDefault="001932E1" w:rsidP="00FD1834">
      <w:pPr>
        <w:pStyle w:val="BodyCopy"/>
        <w:spacing w:before="0" w:after="0"/>
        <w:rPr>
          <w:sz w:val="24"/>
          <w:szCs w:val="24"/>
        </w:rPr>
      </w:pPr>
    </w:p>
    <w:p w14:paraId="79600F12" w14:textId="752F2570" w:rsidR="001932E1" w:rsidRDefault="001932E1" w:rsidP="00FD1834">
      <w:pPr>
        <w:pStyle w:val="BodyCopy"/>
        <w:spacing w:before="0" w:after="0"/>
        <w:rPr>
          <w:sz w:val="24"/>
          <w:szCs w:val="24"/>
        </w:rPr>
      </w:pPr>
    </w:p>
    <w:p w14:paraId="2CBC3C4A" w14:textId="4C61AD70" w:rsidR="001932E1" w:rsidRDefault="001932E1" w:rsidP="00FD1834">
      <w:pPr>
        <w:pStyle w:val="BodyCopy"/>
        <w:spacing w:before="0" w:after="0"/>
        <w:rPr>
          <w:sz w:val="24"/>
          <w:szCs w:val="24"/>
        </w:rPr>
      </w:pPr>
    </w:p>
    <w:p w14:paraId="5A477143" w14:textId="01D0ED70" w:rsidR="001932E1" w:rsidRDefault="001932E1" w:rsidP="00FD1834">
      <w:pPr>
        <w:pStyle w:val="BodyCopy"/>
        <w:spacing w:before="0" w:after="0"/>
        <w:rPr>
          <w:sz w:val="24"/>
          <w:szCs w:val="24"/>
        </w:rPr>
      </w:pPr>
    </w:p>
    <w:p w14:paraId="473189D9" w14:textId="52823176" w:rsidR="001932E1" w:rsidRDefault="001932E1" w:rsidP="00FD1834">
      <w:pPr>
        <w:pStyle w:val="BodyCopy"/>
        <w:spacing w:before="0" w:after="0"/>
        <w:rPr>
          <w:sz w:val="24"/>
          <w:szCs w:val="24"/>
        </w:rPr>
      </w:pPr>
    </w:p>
    <w:p w14:paraId="67B04E5C" w14:textId="71BB1F19" w:rsidR="001932E1" w:rsidRDefault="001932E1" w:rsidP="00FD1834">
      <w:pPr>
        <w:pStyle w:val="BodyCopy"/>
        <w:spacing w:before="0" w:after="0"/>
        <w:rPr>
          <w:sz w:val="24"/>
          <w:szCs w:val="24"/>
        </w:rPr>
      </w:pPr>
    </w:p>
    <w:p w14:paraId="32A4EFB4" w14:textId="7C8C9C56" w:rsidR="001932E1" w:rsidRDefault="001932E1" w:rsidP="00FD1834">
      <w:pPr>
        <w:pStyle w:val="BodyCopy"/>
        <w:spacing w:before="0" w:after="0"/>
        <w:rPr>
          <w:sz w:val="24"/>
          <w:szCs w:val="24"/>
        </w:rPr>
      </w:pPr>
    </w:p>
    <w:p w14:paraId="3956882D" w14:textId="47B306C8" w:rsidR="001932E1" w:rsidRDefault="001932E1" w:rsidP="00FD1834">
      <w:pPr>
        <w:pStyle w:val="BodyCopy"/>
        <w:spacing w:before="0" w:after="0"/>
        <w:rPr>
          <w:sz w:val="24"/>
          <w:szCs w:val="24"/>
        </w:rPr>
      </w:pPr>
    </w:p>
    <w:p w14:paraId="1E9D4E62" w14:textId="77777777" w:rsidR="001932E1" w:rsidRDefault="001932E1" w:rsidP="00FD1834">
      <w:pPr>
        <w:pStyle w:val="BodyCopy"/>
        <w:spacing w:before="0" w:after="0"/>
        <w:rPr>
          <w:sz w:val="24"/>
          <w:szCs w:val="24"/>
        </w:rPr>
      </w:pPr>
    </w:p>
    <w:p w14:paraId="44E8A5E7" w14:textId="746B7D03" w:rsidR="00FD1834" w:rsidRPr="005C6F0B" w:rsidRDefault="00367B0F" w:rsidP="00FD1834">
      <w:pPr>
        <w:pStyle w:val="BodyCopy"/>
        <w:spacing w:before="0" w:after="0"/>
      </w:pPr>
      <w:r w:rsidRPr="005C6F0B">
        <w:t xml:space="preserve">Published by the Office of the Victorian Information Commissioner </w:t>
      </w:r>
      <w:r w:rsidR="00FD1834" w:rsidRPr="005C6F0B">
        <w:br/>
      </w:r>
      <w:r w:rsidRPr="005C6F0B">
        <w:t>PO Box 24274</w:t>
      </w:r>
      <w:r w:rsidR="00FD1834" w:rsidRPr="005C6F0B">
        <w:br/>
      </w:r>
      <w:r w:rsidRPr="005C6F0B">
        <w:t>Melbourne Victoria 3001</w:t>
      </w:r>
      <w:r w:rsidR="00FD1834" w:rsidRPr="005C6F0B">
        <w:br/>
      </w:r>
      <w:r w:rsidRPr="005C6F0B">
        <w:t xml:space="preserve">First published June 2016 </w:t>
      </w:r>
      <w:r w:rsidR="00FD1834" w:rsidRPr="005C6F0B">
        <w:br/>
      </w:r>
      <w:r w:rsidRPr="005C6F0B">
        <w:t xml:space="preserve">Amended </w:t>
      </w:r>
      <w:r w:rsidR="00335BF6" w:rsidRPr="005C6F0B">
        <w:t>February</w:t>
      </w:r>
      <w:r w:rsidRPr="005C6F0B">
        <w:t xml:space="preserve"> 20</w:t>
      </w:r>
      <w:r w:rsidR="00335BF6" w:rsidRPr="005C6F0B">
        <w:t>20</w:t>
      </w:r>
      <w:r w:rsidR="00FD1834" w:rsidRPr="005C6F0B">
        <w:br/>
      </w:r>
      <w:r w:rsidRPr="005C6F0B">
        <w:t xml:space="preserve">Also published on:  </w:t>
      </w:r>
      <w:hyperlink r:id="rId13" w:history="1">
        <w:r w:rsidRPr="005C6F0B">
          <w:rPr>
            <w:rStyle w:val="Hyperlink"/>
          </w:rPr>
          <w:t>https://ovic.vic.gov.au</w:t>
        </w:r>
      </w:hyperlink>
      <w:r w:rsidR="00FD1834" w:rsidRPr="005C6F0B">
        <w:rPr>
          <w:rStyle w:val="Hyperlink"/>
          <w:color w:val="55565A"/>
          <w:u w:val="none"/>
        </w:rPr>
        <w:br/>
      </w:r>
      <w:r w:rsidR="006B6DB6" w:rsidRPr="00EE2D52">
        <w:t xml:space="preserve">ISBN </w:t>
      </w:r>
      <w:r w:rsidR="00EE2D52" w:rsidRPr="00EE2D52">
        <w:t>978-0-6486723-6-4</w:t>
      </w:r>
    </w:p>
    <w:p w14:paraId="0C10DCEA" w14:textId="7DF7C097" w:rsidR="00E80FD0" w:rsidRPr="005C6F0B" w:rsidRDefault="00E80FD0" w:rsidP="00FD1834">
      <w:pPr>
        <w:pStyle w:val="BodyCopy"/>
        <w:spacing w:before="0" w:after="0"/>
      </w:pPr>
    </w:p>
    <w:p w14:paraId="24A45AEA" w14:textId="515A0E49" w:rsidR="00E80FD0" w:rsidRPr="005C6F0B" w:rsidRDefault="00E80FD0" w:rsidP="00FD1834">
      <w:pPr>
        <w:pStyle w:val="BodyCopy"/>
        <w:spacing w:before="0" w:after="0"/>
      </w:pPr>
      <w:r w:rsidRPr="005C6F0B">
        <w:rPr>
          <w:noProof/>
        </w:rPr>
        <w:drawing>
          <wp:inline distT="0" distB="0" distL="0" distR="0" wp14:anchorId="1DE23CEF" wp14:editId="73EF2118">
            <wp:extent cx="406400" cy="40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pn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rsidRPr="005C6F0B">
        <w:t xml:space="preserve"> </w:t>
      </w:r>
      <w:r w:rsidRPr="005C6F0B">
        <w:rPr>
          <w:noProof/>
        </w:rPr>
        <w:drawing>
          <wp:inline distT="0" distB="0" distL="0" distR="0" wp14:anchorId="4F6602FD" wp14:editId="283B1626">
            <wp:extent cx="4064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y.png"/>
                    <pic:cNvPicPr/>
                  </pic:nvPicPr>
                  <pic:blipFill>
                    <a:blip r:embed="rId15">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p w14:paraId="4EE660E4" w14:textId="77777777" w:rsidR="00E80FD0" w:rsidRPr="005C6F0B" w:rsidRDefault="00E80FD0" w:rsidP="00E80FD0">
      <w:pPr>
        <w:pStyle w:val="BodyCopy"/>
      </w:pPr>
      <w:r w:rsidRPr="005C6F0B">
        <w:t xml:space="preserve">You are free to re-use this work under a Creative Commons Attribution 4.0 </w:t>
      </w:r>
      <w:proofErr w:type="spellStart"/>
      <w:r w:rsidRPr="005C6F0B">
        <w:t>licence</w:t>
      </w:r>
      <w:proofErr w:type="spellEnd"/>
      <w:r w:rsidRPr="005C6F0B">
        <w:t xml:space="preserve">, provided you credit the State of Victoria (Office of the Victorian Information Commissioner) as author, indicate if changes were made and comply with the other </w:t>
      </w:r>
      <w:proofErr w:type="spellStart"/>
      <w:r w:rsidRPr="005C6F0B">
        <w:t>licence</w:t>
      </w:r>
      <w:proofErr w:type="spellEnd"/>
      <w:r w:rsidRPr="005C6F0B">
        <w:t xml:space="preserve"> terms. The </w:t>
      </w:r>
      <w:proofErr w:type="spellStart"/>
      <w:r w:rsidRPr="005C6F0B">
        <w:t>licence</w:t>
      </w:r>
      <w:proofErr w:type="spellEnd"/>
      <w:r w:rsidRPr="005C6F0B">
        <w:t xml:space="preserve"> does not apply to any branding, including Government logos.</w:t>
      </w:r>
    </w:p>
    <w:p w14:paraId="06E2E276" w14:textId="77777777" w:rsidR="00E80FD0" w:rsidRPr="00FD1834" w:rsidRDefault="00E80FD0" w:rsidP="00FD1834">
      <w:pPr>
        <w:pStyle w:val="BodyCopy"/>
        <w:spacing w:before="0" w:after="0"/>
        <w:rPr>
          <w:sz w:val="24"/>
          <w:szCs w:val="24"/>
          <w:highlight w:val="yellow"/>
        </w:rPr>
      </w:pPr>
    </w:p>
    <w:p w14:paraId="2070DA6E" w14:textId="77777777" w:rsidR="00FD1834" w:rsidRPr="00FD1834" w:rsidRDefault="00FD1834">
      <w:pPr>
        <w:rPr>
          <w:rFonts w:ascii="Arial Unicode MS" w:eastAsia="Arial Unicode MS" w:hAnsi="Arial Unicode MS" w:cs="Arial Unicode MS"/>
          <w:color w:val="41009A"/>
          <w:highlight w:val="yellow"/>
          <w:lang w:val="en-US" w:bidi="en-US"/>
        </w:rPr>
      </w:pPr>
      <w:r w:rsidRPr="00FD1834">
        <w:rPr>
          <w:rFonts w:ascii="Arial Unicode MS" w:eastAsia="Arial Unicode MS" w:hAnsi="Arial Unicode MS" w:cs="Arial Unicode MS"/>
          <w:color w:val="41009A"/>
          <w:highlight w:val="yellow"/>
        </w:rPr>
        <w:br w:type="page"/>
      </w:r>
    </w:p>
    <w:p w14:paraId="688C2EE9" w14:textId="357BE33C" w:rsidR="00367B0F" w:rsidRPr="00FD1834" w:rsidRDefault="00335BF6" w:rsidP="00FD1834">
      <w:pPr>
        <w:pStyle w:val="SectionHeading"/>
        <w:numPr>
          <w:ilvl w:val="0"/>
          <w:numId w:val="0"/>
        </w:numPr>
        <w:rPr>
          <w:rFonts w:eastAsia="Arial Unicode MS"/>
        </w:rPr>
      </w:pPr>
      <w:bookmarkStart w:id="0" w:name="_Toc19696290"/>
      <w:bookmarkStart w:id="1" w:name="_Toc33019505"/>
      <w:r>
        <w:rPr>
          <w:rFonts w:eastAsia="Arial Unicode MS"/>
        </w:rPr>
        <w:lastRenderedPageBreak/>
        <w:t>Document</w:t>
      </w:r>
      <w:r w:rsidR="00367B0F" w:rsidRPr="00FD1834">
        <w:rPr>
          <w:rFonts w:eastAsia="Arial Unicode MS"/>
        </w:rPr>
        <w:t xml:space="preserve"> Details</w:t>
      </w:r>
      <w:bookmarkEnd w:id="0"/>
      <w:bookmarkEnd w:id="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3"/>
        <w:gridCol w:w="5670"/>
      </w:tblGrid>
      <w:tr w:rsidR="00367B0F" w:rsidRPr="00367B0F" w14:paraId="184C6239" w14:textId="77777777" w:rsidTr="006E6CB1">
        <w:trPr>
          <w:trHeight w:val="20"/>
        </w:trPr>
        <w:tc>
          <w:tcPr>
            <w:tcW w:w="9493" w:type="dxa"/>
            <w:gridSpan w:val="2"/>
            <w:shd w:val="clear" w:color="auto" w:fill="auto"/>
            <w:vAlign w:val="center"/>
          </w:tcPr>
          <w:p w14:paraId="46111481" w14:textId="1683A593" w:rsidR="00367B0F" w:rsidRPr="006E6CB1" w:rsidRDefault="00335BF6" w:rsidP="006E6CB1">
            <w:pPr>
              <w:pStyle w:val="BodyCopy"/>
              <w:spacing w:before="60" w:after="60"/>
              <w:ind w:left="170"/>
              <w:rPr>
                <w:rStyle w:val="SubtleEmphasis"/>
                <w:sz w:val="18"/>
                <w:szCs w:val="18"/>
              </w:rPr>
            </w:pPr>
            <w:r w:rsidRPr="006E6CB1">
              <w:rPr>
                <w:rStyle w:val="Strong"/>
                <w:sz w:val="18"/>
                <w:szCs w:val="18"/>
              </w:rPr>
              <w:t>Victorian Protective Data Security Framework</w:t>
            </w:r>
            <w:r w:rsidR="00367B0F" w:rsidRPr="006E6CB1">
              <w:rPr>
                <w:rStyle w:val="SubtleEmphasis"/>
                <w:sz w:val="18"/>
                <w:szCs w:val="18"/>
              </w:rPr>
              <w:t xml:space="preserve"> </w:t>
            </w:r>
          </w:p>
        </w:tc>
      </w:tr>
      <w:tr w:rsidR="00367B0F" w:rsidRPr="00367B0F" w14:paraId="2E0F2C82" w14:textId="77777777" w:rsidTr="006E6CB1">
        <w:trPr>
          <w:trHeight w:val="20"/>
        </w:trPr>
        <w:tc>
          <w:tcPr>
            <w:tcW w:w="3823" w:type="dxa"/>
            <w:shd w:val="clear" w:color="auto" w:fill="auto"/>
            <w:vAlign w:val="center"/>
          </w:tcPr>
          <w:p w14:paraId="4560D184" w14:textId="77777777" w:rsidR="00367B0F" w:rsidRPr="006E6CB1" w:rsidRDefault="00367B0F" w:rsidP="006E6CB1">
            <w:pPr>
              <w:pStyle w:val="BodyCopy"/>
              <w:spacing w:before="60" w:after="60"/>
              <w:ind w:left="170"/>
              <w:rPr>
                <w:sz w:val="18"/>
                <w:szCs w:val="18"/>
              </w:rPr>
            </w:pPr>
            <w:r w:rsidRPr="006E6CB1">
              <w:rPr>
                <w:w w:val="105"/>
                <w:sz w:val="18"/>
                <w:szCs w:val="18"/>
              </w:rPr>
              <w:t>Protective Marking</w:t>
            </w:r>
          </w:p>
        </w:tc>
        <w:tc>
          <w:tcPr>
            <w:tcW w:w="5670" w:type="dxa"/>
            <w:shd w:val="clear" w:color="auto" w:fill="auto"/>
            <w:vAlign w:val="center"/>
          </w:tcPr>
          <w:p w14:paraId="2E528042" w14:textId="6B5BC28F" w:rsidR="00367B0F" w:rsidRPr="006E6CB1" w:rsidRDefault="00DA4E48" w:rsidP="006E6CB1">
            <w:pPr>
              <w:pStyle w:val="BodyCopy"/>
              <w:spacing w:before="60" w:after="60"/>
              <w:ind w:left="170"/>
              <w:rPr>
                <w:sz w:val="18"/>
                <w:szCs w:val="18"/>
              </w:rPr>
            </w:pPr>
            <w:r w:rsidRPr="006E6CB1">
              <w:rPr>
                <w:sz w:val="18"/>
                <w:szCs w:val="18"/>
              </w:rPr>
              <w:t>N/A</w:t>
            </w:r>
          </w:p>
        </w:tc>
      </w:tr>
      <w:tr w:rsidR="00DA4E48" w:rsidRPr="00367B0F" w14:paraId="645FE692" w14:textId="77777777" w:rsidTr="006E6CB1">
        <w:trPr>
          <w:trHeight w:val="20"/>
        </w:trPr>
        <w:tc>
          <w:tcPr>
            <w:tcW w:w="3823" w:type="dxa"/>
            <w:shd w:val="clear" w:color="auto" w:fill="auto"/>
            <w:vAlign w:val="center"/>
          </w:tcPr>
          <w:p w14:paraId="5A590533" w14:textId="715AB9CD" w:rsidR="00DA4E48" w:rsidRPr="006E6CB1" w:rsidRDefault="00DA4E48" w:rsidP="006E6CB1">
            <w:pPr>
              <w:pStyle w:val="BodyCopy"/>
              <w:spacing w:before="60" w:after="60"/>
              <w:ind w:left="170"/>
              <w:rPr>
                <w:sz w:val="18"/>
                <w:szCs w:val="18"/>
              </w:rPr>
            </w:pPr>
            <w:r w:rsidRPr="006E6CB1">
              <w:rPr>
                <w:sz w:val="18"/>
                <w:szCs w:val="18"/>
              </w:rPr>
              <w:t>Approved for unlimited public release</w:t>
            </w:r>
          </w:p>
        </w:tc>
        <w:tc>
          <w:tcPr>
            <w:tcW w:w="5670" w:type="dxa"/>
            <w:shd w:val="clear" w:color="auto" w:fill="auto"/>
            <w:vAlign w:val="center"/>
          </w:tcPr>
          <w:p w14:paraId="24296DA4" w14:textId="763BE072" w:rsidR="00DA4E48" w:rsidRPr="006E6CB1" w:rsidRDefault="00DA4E48" w:rsidP="006E6CB1">
            <w:pPr>
              <w:pStyle w:val="BodyCopy"/>
              <w:spacing w:before="60" w:after="60"/>
              <w:ind w:left="170"/>
              <w:rPr>
                <w:sz w:val="18"/>
                <w:szCs w:val="18"/>
              </w:rPr>
            </w:pPr>
            <w:r w:rsidRPr="006E6CB1">
              <w:rPr>
                <w:i/>
                <w:iCs/>
                <w:sz w:val="18"/>
                <w:szCs w:val="18"/>
              </w:rPr>
              <w:t>Yes – Authorised for release</w:t>
            </w:r>
          </w:p>
        </w:tc>
      </w:tr>
      <w:tr w:rsidR="00367B0F" w:rsidRPr="00367B0F" w14:paraId="6A2B59D7" w14:textId="77777777" w:rsidTr="006E6CB1">
        <w:trPr>
          <w:trHeight w:val="20"/>
        </w:trPr>
        <w:tc>
          <w:tcPr>
            <w:tcW w:w="3823" w:type="dxa"/>
            <w:shd w:val="clear" w:color="auto" w:fill="auto"/>
            <w:vAlign w:val="center"/>
          </w:tcPr>
          <w:p w14:paraId="172B4A7A" w14:textId="77777777" w:rsidR="00367B0F" w:rsidRPr="006E6CB1" w:rsidRDefault="00367B0F" w:rsidP="006E6CB1">
            <w:pPr>
              <w:pStyle w:val="BodyCopy"/>
              <w:spacing w:before="60" w:after="60"/>
              <w:ind w:left="170"/>
              <w:rPr>
                <w:sz w:val="18"/>
                <w:szCs w:val="18"/>
              </w:rPr>
            </w:pPr>
            <w:r w:rsidRPr="006E6CB1">
              <w:rPr>
                <w:sz w:val="18"/>
                <w:szCs w:val="18"/>
              </w:rPr>
              <w:t>Release Date</w:t>
            </w:r>
          </w:p>
        </w:tc>
        <w:tc>
          <w:tcPr>
            <w:tcW w:w="5670" w:type="dxa"/>
            <w:shd w:val="clear" w:color="auto" w:fill="auto"/>
            <w:vAlign w:val="center"/>
          </w:tcPr>
          <w:p w14:paraId="72D4D63A" w14:textId="29DD4DB4" w:rsidR="00367B0F" w:rsidRPr="006E6CB1" w:rsidRDefault="00335BF6" w:rsidP="006E6CB1">
            <w:pPr>
              <w:pStyle w:val="BodyCopy"/>
              <w:spacing w:before="60" w:after="60"/>
              <w:ind w:left="170"/>
              <w:rPr>
                <w:sz w:val="18"/>
                <w:szCs w:val="18"/>
              </w:rPr>
            </w:pPr>
            <w:r w:rsidRPr="006E6CB1">
              <w:rPr>
                <w:sz w:val="18"/>
                <w:szCs w:val="18"/>
              </w:rPr>
              <w:t>February</w:t>
            </w:r>
            <w:r w:rsidR="00FE2D24" w:rsidRPr="006E6CB1">
              <w:rPr>
                <w:sz w:val="18"/>
                <w:szCs w:val="18"/>
              </w:rPr>
              <w:t xml:space="preserve"> </w:t>
            </w:r>
            <w:r w:rsidR="00367B0F" w:rsidRPr="006E6CB1">
              <w:rPr>
                <w:sz w:val="18"/>
                <w:szCs w:val="18"/>
              </w:rPr>
              <w:t>20</w:t>
            </w:r>
            <w:r w:rsidRPr="006E6CB1">
              <w:rPr>
                <w:sz w:val="18"/>
                <w:szCs w:val="18"/>
              </w:rPr>
              <w:t>20</w:t>
            </w:r>
          </w:p>
        </w:tc>
      </w:tr>
      <w:tr w:rsidR="00367B0F" w:rsidRPr="00367B0F" w14:paraId="15ABE7DF" w14:textId="77777777" w:rsidTr="006E6CB1">
        <w:trPr>
          <w:trHeight w:val="20"/>
        </w:trPr>
        <w:tc>
          <w:tcPr>
            <w:tcW w:w="3823" w:type="dxa"/>
            <w:shd w:val="clear" w:color="auto" w:fill="auto"/>
            <w:vAlign w:val="center"/>
          </w:tcPr>
          <w:p w14:paraId="1C22872B" w14:textId="77777777" w:rsidR="00367B0F" w:rsidRPr="006E6CB1" w:rsidRDefault="00367B0F" w:rsidP="006E6CB1">
            <w:pPr>
              <w:pStyle w:val="BodyCopy"/>
              <w:spacing w:before="60" w:after="60"/>
              <w:ind w:left="170"/>
              <w:rPr>
                <w:sz w:val="18"/>
                <w:szCs w:val="18"/>
              </w:rPr>
            </w:pPr>
            <w:r w:rsidRPr="006E6CB1">
              <w:rPr>
                <w:w w:val="105"/>
                <w:sz w:val="18"/>
                <w:szCs w:val="18"/>
              </w:rPr>
              <w:t>Review Date</w:t>
            </w:r>
          </w:p>
        </w:tc>
        <w:tc>
          <w:tcPr>
            <w:tcW w:w="5670" w:type="dxa"/>
            <w:shd w:val="clear" w:color="auto" w:fill="auto"/>
            <w:vAlign w:val="center"/>
          </w:tcPr>
          <w:p w14:paraId="73A82BF9" w14:textId="26209720" w:rsidR="00367B0F" w:rsidRPr="006E6CB1" w:rsidRDefault="00335BF6" w:rsidP="006E6CB1">
            <w:pPr>
              <w:pStyle w:val="BodyCopy"/>
              <w:spacing w:before="60" w:after="60"/>
              <w:ind w:left="170"/>
              <w:rPr>
                <w:sz w:val="18"/>
                <w:szCs w:val="18"/>
              </w:rPr>
            </w:pPr>
            <w:r w:rsidRPr="006E6CB1">
              <w:rPr>
                <w:sz w:val="18"/>
                <w:szCs w:val="18"/>
              </w:rPr>
              <w:t>February</w:t>
            </w:r>
            <w:r w:rsidR="00FE2D24" w:rsidRPr="006E6CB1">
              <w:rPr>
                <w:sz w:val="18"/>
                <w:szCs w:val="18"/>
              </w:rPr>
              <w:t xml:space="preserve"> </w:t>
            </w:r>
            <w:r w:rsidR="00367B0F" w:rsidRPr="006E6CB1">
              <w:rPr>
                <w:sz w:val="18"/>
                <w:szCs w:val="18"/>
              </w:rPr>
              <w:t>20</w:t>
            </w:r>
            <w:r w:rsidRPr="006E6CB1">
              <w:rPr>
                <w:sz w:val="18"/>
                <w:szCs w:val="18"/>
              </w:rPr>
              <w:t>21</w:t>
            </w:r>
          </w:p>
        </w:tc>
      </w:tr>
      <w:tr w:rsidR="00367B0F" w:rsidRPr="00367B0F" w14:paraId="2155C6DB" w14:textId="77777777" w:rsidTr="006E6CB1">
        <w:trPr>
          <w:trHeight w:val="20"/>
        </w:trPr>
        <w:tc>
          <w:tcPr>
            <w:tcW w:w="3823" w:type="dxa"/>
            <w:shd w:val="clear" w:color="auto" w:fill="auto"/>
            <w:vAlign w:val="center"/>
          </w:tcPr>
          <w:p w14:paraId="7EEB0596" w14:textId="77777777" w:rsidR="00367B0F" w:rsidRPr="006E6CB1" w:rsidRDefault="00367B0F" w:rsidP="006E6CB1">
            <w:pPr>
              <w:pStyle w:val="BodyCopy"/>
              <w:spacing w:before="60" w:after="60"/>
              <w:ind w:left="170"/>
              <w:rPr>
                <w:sz w:val="18"/>
                <w:szCs w:val="18"/>
              </w:rPr>
            </w:pPr>
            <w:r w:rsidRPr="006E6CB1">
              <w:rPr>
                <w:w w:val="105"/>
                <w:sz w:val="18"/>
                <w:szCs w:val="18"/>
              </w:rPr>
              <w:t>Document Version</w:t>
            </w:r>
          </w:p>
        </w:tc>
        <w:tc>
          <w:tcPr>
            <w:tcW w:w="5670" w:type="dxa"/>
            <w:shd w:val="clear" w:color="auto" w:fill="auto"/>
            <w:vAlign w:val="center"/>
          </w:tcPr>
          <w:p w14:paraId="194258CF" w14:textId="77777777" w:rsidR="00367B0F" w:rsidRPr="006E6CB1" w:rsidRDefault="00367B0F" w:rsidP="006E6CB1">
            <w:pPr>
              <w:pStyle w:val="BodyCopy"/>
              <w:spacing w:before="60" w:after="60"/>
              <w:ind w:left="170"/>
              <w:rPr>
                <w:sz w:val="18"/>
                <w:szCs w:val="18"/>
              </w:rPr>
            </w:pPr>
            <w:r w:rsidRPr="006E6CB1">
              <w:rPr>
                <w:sz w:val="18"/>
                <w:szCs w:val="18"/>
              </w:rPr>
              <w:t>2.0</w:t>
            </w:r>
          </w:p>
        </w:tc>
      </w:tr>
      <w:tr w:rsidR="00367B0F" w:rsidRPr="00367B0F" w14:paraId="79B49312" w14:textId="77777777" w:rsidTr="006E6CB1">
        <w:trPr>
          <w:trHeight w:val="20"/>
        </w:trPr>
        <w:tc>
          <w:tcPr>
            <w:tcW w:w="3823" w:type="dxa"/>
            <w:shd w:val="clear" w:color="auto" w:fill="auto"/>
            <w:vAlign w:val="center"/>
          </w:tcPr>
          <w:p w14:paraId="72BA883C" w14:textId="77777777" w:rsidR="00367B0F" w:rsidRPr="006E6CB1" w:rsidRDefault="00367B0F" w:rsidP="006E6CB1">
            <w:pPr>
              <w:pStyle w:val="BodyCopy"/>
              <w:spacing w:before="60" w:after="60"/>
              <w:ind w:left="170"/>
              <w:rPr>
                <w:sz w:val="18"/>
                <w:szCs w:val="18"/>
              </w:rPr>
            </w:pPr>
            <w:r w:rsidRPr="006E6CB1">
              <w:rPr>
                <w:w w:val="110"/>
                <w:sz w:val="18"/>
                <w:szCs w:val="18"/>
              </w:rPr>
              <w:t>Authority</w:t>
            </w:r>
          </w:p>
        </w:tc>
        <w:tc>
          <w:tcPr>
            <w:tcW w:w="5670" w:type="dxa"/>
            <w:shd w:val="clear" w:color="auto" w:fill="auto"/>
            <w:vAlign w:val="center"/>
          </w:tcPr>
          <w:p w14:paraId="79096D57" w14:textId="77777777" w:rsidR="00367B0F" w:rsidRPr="006E6CB1" w:rsidRDefault="00367B0F" w:rsidP="006E6CB1">
            <w:pPr>
              <w:pStyle w:val="BodyCopy"/>
              <w:spacing w:before="60" w:after="60"/>
              <w:ind w:left="170"/>
              <w:rPr>
                <w:sz w:val="18"/>
                <w:szCs w:val="18"/>
              </w:rPr>
            </w:pPr>
            <w:r w:rsidRPr="006E6CB1">
              <w:rPr>
                <w:sz w:val="18"/>
                <w:szCs w:val="18"/>
              </w:rPr>
              <w:t>Office of the Victorian Information Commissioner (OVIC)</w:t>
            </w:r>
          </w:p>
        </w:tc>
      </w:tr>
      <w:tr w:rsidR="00367B0F" w:rsidRPr="00367B0F" w14:paraId="7432A0D2" w14:textId="77777777" w:rsidTr="006E6CB1">
        <w:trPr>
          <w:trHeight w:val="20"/>
        </w:trPr>
        <w:tc>
          <w:tcPr>
            <w:tcW w:w="3823" w:type="dxa"/>
            <w:shd w:val="clear" w:color="auto" w:fill="auto"/>
            <w:vAlign w:val="center"/>
          </w:tcPr>
          <w:p w14:paraId="1F7B0C1B" w14:textId="77777777" w:rsidR="00367B0F" w:rsidRPr="006E6CB1" w:rsidRDefault="00367B0F" w:rsidP="006E6CB1">
            <w:pPr>
              <w:pStyle w:val="BodyCopy"/>
              <w:spacing w:before="60" w:after="60"/>
              <w:ind w:left="170"/>
              <w:rPr>
                <w:sz w:val="18"/>
                <w:szCs w:val="18"/>
              </w:rPr>
            </w:pPr>
            <w:r w:rsidRPr="006E6CB1">
              <w:rPr>
                <w:w w:val="110"/>
                <w:sz w:val="18"/>
                <w:szCs w:val="18"/>
              </w:rPr>
              <w:t>Author</w:t>
            </w:r>
          </w:p>
        </w:tc>
        <w:tc>
          <w:tcPr>
            <w:tcW w:w="5670" w:type="dxa"/>
            <w:shd w:val="clear" w:color="auto" w:fill="auto"/>
            <w:vAlign w:val="center"/>
          </w:tcPr>
          <w:p w14:paraId="4E8C374F" w14:textId="77777777" w:rsidR="00367B0F" w:rsidRPr="006E6CB1" w:rsidRDefault="00367B0F" w:rsidP="006E6CB1">
            <w:pPr>
              <w:pStyle w:val="BodyCopy"/>
              <w:spacing w:before="60" w:after="60"/>
              <w:ind w:left="170"/>
              <w:rPr>
                <w:sz w:val="18"/>
                <w:szCs w:val="18"/>
              </w:rPr>
            </w:pPr>
            <w:r w:rsidRPr="006E6CB1">
              <w:rPr>
                <w:sz w:val="18"/>
                <w:szCs w:val="18"/>
              </w:rPr>
              <w:t>Information Security Unit – OVIC</w:t>
            </w:r>
          </w:p>
        </w:tc>
      </w:tr>
    </w:tbl>
    <w:p w14:paraId="372C1E2B" w14:textId="7783DCAD" w:rsidR="00367B0F" w:rsidRPr="00FD1834" w:rsidRDefault="00367B0F" w:rsidP="006E6CB1">
      <w:pPr>
        <w:pStyle w:val="BodyCopy"/>
        <w:spacing w:before="240" w:after="360"/>
      </w:pPr>
      <w:r w:rsidRPr="00FD1834">
        <w:t xml:space="preserve">For further information, please contact the Information Security Unit on </w:t>
      </w:r>
      <w:hyperlink r:id="rId16" w:history="1">
        <w:r w:rsidR="00067F1D" w:rsidRPr="00067F1D">
          <w:rPr>
            <w:rStyle w:val="Hyperlink"/>
          </w:rPr>
          <w:t>security@ovic.vic.gov.au</w:t>
        </w:r>
      </w:hyperlink>
    </w:p>
    <w:p w14:paraId="4F712E68" w14:textId="5C8C124E" w:rsidR="00645E64" w:rsidRPr="00FD1834" w:rsidRDefault="00645E64" w:rsidP="00645E64">
      <w:pPr>
        <w:pStyle w:val="SectionHeading"/>
        <w:numPr>
          <w:ilvl w:val="0"/>
          <w:numId w:val="0"/>
        </w:numPr>
        <w:rPr>
          <w:rFonts w:eastAsia="Arial Unicode MS"/>
        </w:rPr>
      </w:pPr>
      <w:bookmarkStart w:id="2" w:name="_Toc33019506"/>
      <w:r>
        <w:rPr>
          <w:rFonts w:eastAsia="Arial Unicode MS"/>
        </w:rPr>
        <w:t>Change log</w:t>
      </w:r>
      <w:bookmarkEnd w:id="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0"/>
        <w:gridCol w:w="1701"/>
        <w:gridCol w:w="6804"/>
      </w:tblGrid>
      <w:tr w:rsidR="00645E64" w14:paraId="124B3150" w14:textId="77777777" w:rsidTr="006E6CB1">
        <w:trPr>
          <w:trHeight w:val="170"/>
        </w:trPr>
        <w:tc>
          <w:tcPr>
            <w:tcW w:w="990" w:type="dxa"/>
            <w:shd w:val="clear" w:color="auto" w:fill="FFFFFF" w:themeFill="background1"/>
            <w:vAlign w:val="center"/>
          </w:tcPr>
          <w:p w14:paraId="12F83C88" w14:textId="77777777" w:rsidR="00645E64" w:rsidRPr="006E6CB1" w:rsidRDefault="00645E64" w:rsidP="006E6CB1">
            <w:pPr>
              <w:pStyle w:val="BodyCopy"/>
              <w:spacing w:before="60" w:after="60"/>
              <w:rPr>
                <w:b/>
                <w:bCs/>
                <w:sz w:val="18"/>
                <w:szCs w:val="18"/>
              </w:rPr>
            </w:pPr>
            <w:r w:rsidRPr="006E6CB1">
              <w:rPr>
                <w:b/>
                <w:bCs/>
                <w:sz w:val="18"/>
                <w:szCs w:val="18"/>
              </w:rPr>
              <w:t>Version</w:t>
            </w:r>
          </w:p>
        </w:tc>
        <w:tc>
          <w:tcPr>
            <w:tcW w:w="1701" w:type="dxa"/>
            <w:shd w:val="clear" w:color="auto" w:fill="FFFFFF" w:themeFill="background1"/>
            <w:vAlign w:val="center"/>
          </w:tcPr>
          <w:p w14:paraId="5836E9CC" w14:textId="77777777" w:rsidR="00645E64" w:rsidRPr="006E6CB1" w:rsidRDefault="00645E64" w:rsidP="006E6CB1">
            <w:pPr>
              <w:pStyle w:val="BodyCopy"/>
              <w:spacing w:before="60" w:after="60"/>
              <w:rPr>
                <w:b/>
                <w:bCs/>
                <w:sz w:val="18"/>
                <w:szCs w:val="18"/>
              </w:rPr>
            </w:pPr>
            <w:r w:rsidRPr="006E6CB1">
              <w:rPr>
                <w:b/>
                <w:bCs/>
                <w:sz w:val="18"/>
                <w:szCs w:val="18"/>
              </w:rPr>
              <w:t>Publish Date</w:t>
            </w:r>
          </w:p>
        </w:tc>
        <w:tc>
          <w:tcPr>
            <w:tcW w:w="6804" w:type="dxa"/>
            <w:shd w:val="clear" w:color="auto" w:fill="FFFFFF" w:themeFill="background1"/>
            <w:vAlign w:val="center"/>
          </w:tcPr>
          <w:p w14:paraId="4DB42062" w14:textId="77777777" w:rsidR="00645E64" w:rsidRPr="006E6CB1" w:rsidRDefault="00645E64" w:rsidP="006E6CB1">
            <w:pPr>
              <w:pStyle w:val="BodyCopy"/>
              <w:spacing w:before="60" w:after="60"/>
              <w:rPr>
                <w:b/>
                <w:bCs/>
                <w:sz w:val="18"/>
                <w:szCs w:val="18"/>
              </w:rPr>
            </w:pPr>
            <w:r w:rsidRPr="006E6CB1">
              <w:rPr>
                <w:b/>
                <w:bCs/>
                <w:sz w:val="18"/>
                <w:szCs w:val="18"/>
              </w:rPr>
              <w:t>Amendments in this version</w:t>
            </w:r>
          </w:p>
        </w:tc>
      </w:tr>
      <w:tr w:rsidR="00645E64" w14:paraId="03F5F0B3" w14:textId="77777777" w:rsidTr="006E6CB1">
        <w:trPr>
          <w:trHeight w:val="20"/>
        </w:trPr>
        <w:tc>
          <w:tcPr>
            <w:tcW w:w="990" w:type="dxa"/>
            <w:shd w:val="clear" w:color="auto" w:fill="FFFFFF" w:themeFill="background1"/>
          </w:tcPr>
          <w:p w14:paraId="69AF7824" w14:textId="77777777" w:rsidR="00645E64" w:rsidRPr="006E6CB1" w:rsidRDefault="00645E64" w:rsidP="006E6CB1">
            <w:pPr>
              <w:pStyle w:val="BodyCopy"/>
              <w:spacing w:before="60" w:after="60"/>
              <w:rPr>
                <w:w w:val="105"/>
                <w:sz w:val="18"/>
                <w:szCs w:val="18"/>
              </w:rPr>
            </w:pPr>
            <w:r w:rsidRPr="006E6CB1">
              <w:rPr>
                <w:w w:val="105"/>
                <w:sz w:val="18"/>
                <w:szCs w:val="18"/>
              </w:rPr>
              <w:t>1.0</w:t>
            </w:r>
          </w:p>
        </w:tc>
        <w:tc>
          <w:tcPr>
            <w:tcW w:w="1701" w:type="dxa"/>
            <w:shd w:val="clear" w:color="auto" w:fill="FFFFFF" w:themeFill="background1"/>
          </w:tcPr>
          <w:p w14:paraId="0BA0F21F" w14:textId="77777777" w:rsidR="00645E64" w:rsidRPr="006E6CB1" w:rsidRDefault="00645E64" w:rsidP="006E6CB1">
            <w:pPr>
              <w:pStyle w:val="BodyCopy"/>
              <w:spacing w:before="60" w:after="60"/>
              <w:rPr>
                <w:w w:val="105"/>
                <w:sz w:val="18"/>
                <w:szCs w:val="18"/>
              </w:rPr>
            </w:pPr>
            <w:r w:rsidRPr="006E6CB1">
              <w:rPr>
                <w:w w:val="105"/>
                <w:sz w:val="18"/>
                <w:szCs w:val="18"/>
              </w:rPr>
              <w:t>June 2016</w:t>
            </w:r>
          </w:p>
        </w:tc>
        <w:tc>
          <w:tcPr>
            <w:tcW w:w="6804" w:type="dxa"/>
            <w:shd w:val="clear" w:color="auto" w:fill="FFFFFF" w:themeFill="background1"/>
          </w:tcPr>
          <w:p w14:paraId="38753819" w14:textId="77777777" w:rsidR="00645E64" w:rsidRPr="006E6CB1" w:rsidRDefault="00645E64" w:rsidP="006E6CB1">
            <w:pPr>
              <w:pStyle w:val="BodyCopy"/>
              <w:spacing w:before="60" w:after="60"/>
              <w:rPr>
                <w:w w:val="105"/>
                <w:sz w:val="18"/>
                <w:szCs w:val="18"/>
              </w:rPr>
            </w:pPr>
            <w:r w:rsidRPr="006E6CB1">
              <w:rPr>
                <w:w w:val="105"/>
                <w:sz w:val="18"/>
                <w:szCs w:val="18"/>
              </w:rPr>
              <w:t>N/A</w:t>
            </w:r>
          </w:p>
        </w:tc>
      </w:tr>
      <w:tr w:rsidR="00645E64" w14:paraId="77936FDA" w14:textId="77777777" w:rsidTr="006E6CB1">
        <w:trPr>
          <w:trHeight w:val="20"/>
        </w:trPr>
        <w:tc>
          <w:tcPr>
            <w:tcW w:w="990" w:type="dxa"/>
            <w:shd w:val="clear" w:color="auto" w:fill="FFFFFF" w:themeFill="background1"/>
          </w:tcPr>
          <w:p w14:paraId="0D1FBFCC" w14:textId="77777777" w:rsidR="00645E64" w:rsidRPr="006E6CB1" w:rsidRDefault="00645E64" w:rsidP="006E6CB1">
            <w:pPr>
              <w:pStyle w:val="BodyCopy"/>
              <w:spacing w:before="60" w:after="60"/>
              <w:rPr>
                <w:w w:val="105"/>
                <w:sz w:val="18"/>
                <w:szCs w:val="18"/>
              </w:rPr>
            </w:pPr>
            <w:r w:rsidRPr="006E6CB1">
              <w:rPr>
                <w:w w:val="105"/>
                <w:sz w:val="18"/>
                <w:szCs w:val="18"/>
              </w:rPr>
              <w:t>1.1</w:t>
            </w:r>
          </w:p>
        </w:tc>
        <w:tc>
          <w:tcPr>
            <w:tcW w:w="1701" w:type="dxa"/>
            <w:shd w:val="clear" w:color="auto" w:fill="FFFFFF" w:themeFill="background1"/>
          </w:tcPr>
          <w:p w14:paraId="160DB480" w14:textId="77777777" w:rsidR="00645E64" w:rsidRPr="006E6CB1" w:rsidRDefault="00645E64" w:rsidP="006E6CB1">
            <w:pPr>
              <w:pStyle w:val="BodyCopy"/>
              <w:spacing w:before="60" w:after="60"/>
              <w:rPr>
                <w:w w:val="105"/>
                <w:sz w:val="18"/>
                <w:szCs w:val="18"/>
              </w:rPr>
            </w:pPr>
            <w:r w:rsidRPr="006E6CB1">
              <w:rPr>
                <w:w w:val="105"/>
                <w:sz w:val="18"/>
                <w:szCs w:val="18"/>
              </w:rPr>
              <w:t>March 2018</w:t>
            </w:r>
          </w:p>
        </w:tc>
        <w:tc>
          <w:tcPr>
            <w:tcW w:w="6804" w:type="dxa"/>
            <w:shd w:val="clear" w:color="auto" w:fill="FFFFFF" w:themeFill="background1"/>
          </w:tcPr>
          <w:p w14:paraId="6FAA6D43" w14:textId="69752542"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Change references of ‘Commissioner for</w:t>
            </w:r>
            <w:r w:rsidR="00067F1D" w:rsidRPr="006E6CB1">
              <w:rPr>
                <w:w w:val="105"/>
                <w:sz w:val="18"/>
                <w:szCs w:val="18"/>
              </w:rPr>
              <w:t xml:space="preserve"> </w:t>
            </w:r>
            <w:r w:rsidRPr="006E6CB1">
              <w:rPr>
                <w:w w:val="105"/>
                <w:sz w:val="18"/>
                <w:szCs w:val="18"/>
              </w:rPr>
              <w:t xml:space="preserve">Privacy and Data Protection’ to </w:t>
            </w:r>
            <w:r w:rsidR="00067F1D" w:rsidRPr="006E6CB1">
              <w:rPr>
                <w:w w:val="105"/>
                <w:sz w:val="18"/>
                <w:szCs w:val="18"/>
              </w:rPr>
              <w:t>‘</w:t>
            </w:r>
            <w:r w:rsidRPr="006E6CB1">
              <w:rPr>
                <w:w w:val="105"/>
                <w:sz w:val="18"/>
                <w:szCs w:val="18"/>
              </w:rPr>
              <w:t>Office of the Victorian Information Commissioner’</w:t>
            </w:r>
          </w:p>
          <w:p w14:paraId="782E86C4" w14:textId="0C654DE3"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 xml:space="preserve">Change references of ‘CPDP’ to </w:t>
            </w:r>
            <w:r w:rsidR="00067F1D" w:rsidRPr="006E6CB1">
              <w:rPr>
                <w:w w:val="105"/>
                <w:sz w:val="18"/>
                <w:szCs w:val="18"/>
              </w:rPr>
              <w:t>‘</w:t>
            </w:r>
            <w:r w:rsidRPr="006E6CB1">
              <w:rPr>
                <w:w w:val="105"/>
                <w:sz w:val="18"/>
                <w:szCs w:val="18"/>
              </w:rPr>
              <w:t>OVIC’</w:t>
            </w:r>
          </w:p>
          <w:p w14:paraId="2BF50EE8"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Change references of ‘PDPA’ to ‘PDP Act’</w:t>
            </w:r>
          </w:p>
          <w:p w14:paraId="6A3D0136" w14:textId="4E6507ED"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Replace ‘Foreword’ with new Deputy</w:t>
            </w:r>
            <w:r w:rsidR="00067F1D" w:rsidRPr="006E6CB1">
              <w:rPr>
                <w:w w:val="105"/>
                <w:sz w:val="18"/>
                <w:szCs w:val="18"/>
              </w:rPr>
              <w:t xml:space="preserve"> </w:t>
            </w:r>
            <w:r w:rsidRPr="006E6CB1">
              <w:rPr>
                <w:w w:val="105"/>
                <w:sz w:val="18"/>
                <w:szCs w:val="18"/>
              </w:rPr>
              <w:t>Commissioner’s foreword</w:t>
            </w:r>
          </w:p>
          <w:p w14:paraId="41646CBA"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Insert new section on Victoria Police and the Crime Statistics Agency</w:t>
            </w:r>
          </w:p>
          <w:p w14:paraId="14ECA391" w14:textId="3E5F18EC"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Removed reference to annual security</w:t>
            </w:r>
            <w:r w:rsidR="00067F1D" w:rsidRPr="006E6CB1">
              <w:rPr>
                <w:w w:val="105"/>
                <w:sz w:val="18"/>
                <w:szCs w:val="18"/>
              </w:rPr>
              <w:t xml:space="preserve"> </w:t>
            </w:r>
            <w:r w:rsidRPr="006E6CB1">
              <w:rPr>
                <w:w w:val="105"/>
                <w:sz w:val="18"/>
                <w:szCs w:val="18"/>
              </w:rPr>
              <w:t>attestation in section 12</w:t>
            </w:r>
          </w:p>
          <w:p w14:paraId="554BBDCD"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Change ‘protocol’ descriptor</w:t>
            </w:r>
          </w:p>
          <w:p w14:paraId="55BD504A"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Insert reference to ‘elements’</w:t>
            </w:r>
          </w:p>
          <w:p w14:paraId="5ABE1986"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Insert reference to Part 5 – Assurance Model in section 17 for more information</w:t>
            </w:r>
          </w:p>
          <w:p w14:paraId="49E60012"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Insert reference to Enterprise Solutions Branch in Section 19</w:t>
            </w:r>
          </w:p>
          <w:p w14:paraId="179D9CF1"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Remove ‘sensitive and significant (valuable)’ in section 20</w:t>
            </w:r>
          </w:p>
          <w:p w14:paraId="149A7A55"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Updates to some control references</w:t>
            </w:r>
          </w:p>
          <w:p w14:paraId="0553CBE0"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Change Part 5 – Assurance Model – various including revised reporting obligations</w:t>
            </w:r>
          </w:p>
          <w:p w14:paraId="7AC0FE4E" w14:textId="77777777"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Insert new section on single/multiple organisation reporting</w:t>
            </w:r>
          </w:p>
          <w:p w14:paraId="7883E920" w14:textId="21BD4CEF" w:rsidR="00645E64" w:rsidRPr="006E6CB1" w:rsidRDefault="00645E64" w:rsidP="006E6CB1">
            <w:pPr>
              <w:pStyle w:val="BodyCopy"/>
              <w:numPr>
                <w:ilvl w:val="0"/>
                <w:numId w:val="38"/>
              </w:numPr>
              <w:spacing w:before="60" w:after="60"/>
              <w:ind w:left="417"/>
              <w:rPr>
                <w:w w:val="105"/>
                <w:sz w:val="18"/>
                <w:szCs w:val="18"/>
              </w:rPr>
            </w:pPr>
            <w:r w:rsidRPr="006E6CB1">
              <w:rPr>
                <w:w w:val="105"/>
                <w:sz w:val="18"/>
                <w:szCs w:val="18"/>
              </w:rPr>
              <w:t>Insert new section on the 5-step action plan</w:t>
            </w:r>
          </w:p>
        </w:tc>
      </w:tr>
      <w:tr w:rsidR="00645E64" w14:paraId="370D219D" w14:textId="77777777" w:rsidTr="006E6CB1">
        <w:trPr>
          <w:trHeight w:val="20"/>
        </w:trPr>
        <w:tc>
          <w:tcPr>
            <w:tcW w:w="990" w:type="dxa"/>
            <w:shd w:val="clear" w:color="auto" w:fill="FFFFFF" w:themeFill="background1"/>
          </w:tcPr>
          <w:p w14:paraId="6E36E884" w14:textId="4F4C469B" w:rsidR="00645E64" w:rsidRPr="006E6CB1" w:rsidRDefault="00645E64" w:rsidP="006E6CB1">
            <w:pPr>
              <w:pStyle w:val="BodyCopy"/>
              <w:spacing w:before="60" w:after="60"/>
              <w:rPr>
                <w:w w:val="105"/>
                <w:sz w:val="18"/>
                <w:szCs w:val="18"/>
              </w:rPr>
            </w:pPr>
            <w:r w:rsidRPr="006E6CB1">
              <w:rPr>
                <w:w w:val="105"/>
                <w:sz w:val="18"/>
                <w:szCs w:val="18"/>
              </w:rPr>
              <w:t>2.0</w:t>
            </w:r>
          </w:p>
        </w:tc>
        <w:tc>
          <w:tcPr>
            <w:tcW w:w="1701" w:type="dxa"/>
            <w:shd w:val="clear" w:color="auto" w:fill="FFFFFF" w:themeFill="background1"/>
          </w:tcPr>
          <w:p w14:paraId="4B830690" w14:textId="1D4AB2BB" w:rsidR="00645E64" w:rsidRPr="006E6CB1" w:rsidRDefault="00645E64" w:rsidP="006E6CB1">
            <w:pPr>
              <w:pStyle w:val="BodyCopy"/>
              <w:spacing w:before="60" w:after="60"/>
              <w:rPr>
                <w:w w:val="105"/>
                <w:sz w:val="18"/>
                <w:szCs w:val="18"/>
              </w:rPr>
            </w:pPr>
            <w:r w:rsidRPr="006E6CB1">
              <w:rPr>
                <w:w w:val="105"/>
                <w:sz w:val="18"/>
                <w:szCs w:val="18"/>
              </w:rPr>
              <w:t>February 2020</w:t>
            </w:r>
          </w:p>
        </w:tc>
        <w:tc>
          <w:tcPr>
            <w:tcW w:w="6804" w:type="dxa"/>
            <w:shd w:val="clear" w:color="auto" w:fill="FFFFFF" w:themeFill="background1"/>
          </w:tcPr>
          <w:p w14:paraId="2CCF42F8" w14:textId="24A67BE4" w:rsidR="00645E64" w:rsidRPr="006E6CB1" w:rsidRDefault="0076606E" w:rsidP="006E6CB1">
            <w:pPr>
              <w:pStyle w:val="BodyCopy"/>
              <w:spacing w:before="60" w:after="60"/>
              <w:rPr>
                <w:w w:val="105"/>
                <w:sz w:val="18"/>
                <w:szCs w:val="18"/>
              </w:rPr>
            </w:pPr>
            <w:r w:rsidRPr="006E6CB1">
              <w:rPr>
                <w:w w:val="105"/>
                <w:sz w:val="18"/>
                <w:szCs w:val="18"/>
              </w:rPr>
              <w:t xml:space="preserve">Content amended to reflect the monitoring and assurance activities of </w:t>
            </w:r>
            <w:r w:rsidR="00654FE1" w:rsidRPr="006E6CB1">
              <w:rPr>
                <w:w w:val="105"/>
                <w:sz w:val="18"/>
                <w:szCs w:val="18"/>
              </w:rPr>
              <w:t xml:space="preserve">VPS </w:t>
            </w:r>
            <w:r w:rsidRPr="006E6CB1">
              <w:rPr>
                <w:w w:val="105"/>
                <w:sz w:val="18"/>
                <w:szCs w:val="18"/>
              </w:rPr>
              <w:t xml:space="preserve">organisations and </w:t>
            </w:r>
            <w:r w:rsidR="00654FE1" w:rsidRPr="006E6CB1">
              <w:rPr>
                <w:w w:val="105"/>
                <w:sz w:val="18"/>
                <w:szCs w:val="18"/>
              </w:rPr>
              <w:t>OVIC.</w:t>
            </w:r>
          </w:p>
          <w:p w14:paraId="246AFA32" w14:textId="7D287E1C" w:rsidR="0076606E" w:rsidRPr="006E6CB1" w:rsidRDefault="0076606E" w:rsidP="006E6CB1">
            <w:pPr>
              <w:pStyle w:val="BodyCopy"/>
              <w:spacing w:before="60" w:after="60"/>
              <w:rPr>
                <w:sz w:val="18"/>
                <w:szCs w:val="18"/>
              </w:rPr>
            </w:pPr>
            <w:r w:rsidRPr="006E6CB1">
              <w:rPr>
                <w:w w:val="105"/>
                <w:sz w:val="18"/>
                <w:szCs w:val="18"/>
              </w:rPr>
              <w:t xml:space="preserve">Relevant content from V1.0 of the Framework </w:t>
            </w:r>
            <w:r w:rsidR="00654FE1" w:rsidRPr="006E6CB1">
              <w:rPr>
                <w:w w:val="105"/>
                <w:sz w:val="18"/>
                <w:szCs w:val="18"/>
              </w:rPr>
              <w:t>is</w:t>
            </w:r>
            <w:r w:rsidRPr="006E6CB1">
              <w:rPr>
                <w:w w:val="105"/>
                <w:sz w:val="18"/>
                <w:szCs w:val="18"/>
              </w:rPr>
              <w:t xml:space="preserve"> available </w:t>
            </w:r>
            <w:r w:rsidR="00654FE1" w:rsidRPr="006E6CB1">
              <w:rPr>
                <w:w w:val="105"/>
                <w:sz w:val="18"/>
                <w:szCs w:val="18"/>
              </w:rPr>
              <w:t xml:space="preserve">under the </w:t>
            </w:r>
            <w:hyperlink r:id="rId17" w:history="1">
              <w:r w:rsidR="00654FE1" w:rsidRPr="006E6CB1">
                <w:rPr>
                  <w:rStyle w:val="Hyperlink"/>
                  <w:color w:val="A2A2A2"/>
                  <w:w w:val="105"/>
                  <w:sz w:val="18"/>
                  <w:szCs w:val="18"/>
                </w:rPr>
                <w:t>VPDSF Resources</w:t>
              </w:r>
            </w:hyperlink>
            <w:r w:rsidR="00654FE1" w:rsidRPr="006E6CB1">
              <w:rPr>
                <w:w w:val="105"/>
                <w:sz w:val="18"/>
                <w:szCs w:val="18"/>
              </w:rPr>
              <w:t xml:space="preserve"> section of</w:t>
            </w:r>
            <w:r w:rsidRPr="006E6CB1">
              <w:rPr>
                <w:w w:val="105"/>
                <w:sz w:val="18"/>
                <w:szCs w:val="18"/>
              </w:rPr>
              <w:t xml:space="preserve"> the OVIC website.</w:t>
            </w:r>
          </w:p>
        </w:tc>
      </w:tr>
    </w:tbl>
    <w:p w14:paraId="0DCF4886" w14:textId="77777777" w:rsidR="00645E64" w:rsidRPr="003043E0" w:rsidRDefault="00645E64" w:rsidP="00645E64">
      <w:pPr>
        <w:pStyle w:val="ContentsSection1"/>
        <w:tabs>
          <w:tab w:val="clear" w:pos="360"/>
          <w:tab w:val="clear" w:pos="6340"/>
        </w:tabs>
        <w:ind w:left="0" w:right="-291" w:firstLine="0"/>
        <w:rPr>
          <w:rFonts w:asciiTheme="minorHAnsi" w:eastAsia="Arial Unicode MS" w:hAnsiTheme="minorHAnsi" w:cstheme="minorHAnsi"/>
          <w:color w:val="000000" w:themeColor="text1"/>
          <w:sz w:val="24"/>
          <w:szCs w:val="24"/>
        </w:rPr>
      </w:pPr>
    </w:p>
    <w:p w14:paraId="641DF0E7" w14:textId="77777777" w:rsidR="00645E64" w:rsidRDefault="00645E64" w:rsidP="00645E64">
      <w:pPr>
        <w:pStyle w:val="ContentsSection1"/>
        <w:rPr>
          <w:rFonts w:ascii="Calibri" w:hAnsi="Calibri"/>
          <w:b w:val="0"/>
          <w:color w:val="FF0000"/>
          <w:sz w:val="22"/>
        </w:rPr>
      </w:pPr>
    </w:p>
    <w:p w14:paraId="4BD11700" w14:textId="2A171E14" w:rsidR="00367B0F" w:rsidRPr="00F3226A" w:rsidRDefault="00367B0F" w:rsidP="00367B0F">
      <w:pPr>
        <w:pStyle w:val="ContentsSection1"/>
        <w:ind w:left="0" w:firstLine="0"/>
        <w:rPr>
          <w:rFonts w:ascii="Calibri" w:hAnsi="Calibri"/>
          <w:b w:val="0"/>
          <w:color w:val="430098"/>
          <w:sz w:val="22"/>
        </w:rPr>
        <w:sectPr w:rsidR="00367B0F" w:rsidRPr="00F3226A" w:rsidSect="0087351B">
          <w:pgSz w:w="11900" w:h="16840"/>
          <w:pgMar w:top="794" w:right="1134" w:bottom="1134" w:left="1134" w:header="680" w:footer="510" w:gutter="0"/>
          <w:cols w:space="708"/>
          <w:docGrid w:linePitch="360"/>
        </w:sectPr>
      </w:pPr>
    </w:p>
    <w:sdt>
      <w:sdtPr>
        <w:rPr>
          <w:rFonts w:ascii="Calibri" w:eastAsia="Calibri" w:hAnsi="Calibri" w:cs="Times New Roman"/>
          <w:b w:val="0"/>
          <w:bCs w:val="0"/>
          <w:color w:val="auto"/>
          <w:sz w:val="24"/>
          <w:szCs w:val="24"/>
          <w:lang w:val="en-GB" w:eastAsia="en-GB"/>
        </w:rPr>
        <w:id w:val="349152495"/>
        <w:docPartObj>
          <w:docPartGallery w:val="Table of Contents"/>
          <w:docPartUnique/>
        </w:docPartObj>
      </w:sdtPr>
      <w:sdtEndPr>
        <w:rPr>
          <w:rFonts w:asciiTheme="minorHAnsi" w:eastAsia="Times New Roman" w:hAnsiTheme="minorHAnsi" w:cstheme="minorHAnsi"/>
          <w:i/>
          <w:iCs/>
          <w:noProof/>
          <w:lang w:val="en-AU"/>
        </w:rPr>
      </w:sdtEndPr>
      <w:sdtContent>
        <w:p w14:paraId="2F6C3571" w14:textId="77777777" w:rsidR="008E7579" w:rsidRPr="005735A4" w:rsidRDefault="008E7579" w:rsidP="00F858FE">
          <w:pPr>
            <w:pStyle w:val="TOCHeading"/>
            <w:spacing w:after="240"/>
            <w:ind w:right="1270"/>
            <w:rPr>
              <w:rFonts w:ascii="Calibri" w:hAnsi="Calibri"/>
              <w:b w:val="0"/>
              <w:bCs w:val="0"/>
              <w:color w:val="5620A9"/>
            </w:rPr>
          </w:pPr>
          <w:r w:rsidRPr="00F3226A">
            <w:rPr>
              <w:rFonts w:ascii="Calibri" w:hAnsi="Calibri"/>
              <w:color w:val="5620A9"/>
            </w:rPr>
            <w:t>Table of Contents</w:t>
          </w:r>
        </w:p>
        <w:p w14:paraId="66735526" w14:textId="685C1E84" w:rsidR="0076606E" w:rsidRPr="005F6E81" w:rsidRDefault="008E7579">
          <w:pPr>
            <w:pStyle w:val="TOC1"/>
            <w:rPr>
              <w:rFonts w:eastAsiaTheme="minorEastAsia" w:cstheme="minorBidi"/>
              <w:b w:val="0"/>
              <w:bCs w:val="0"/>
              <w:i w:val="0"/>
              <w:iCs w:val="0"/>
              <w:noProof/>
              <w:lang w:val="en-AU" w:eastAsia="en-GB"/>
            </w:rPr>
          </w:pPr>
          <w:r w:rsidRPr="003C434D">
            <w:fldChar w:fldCharType="begin"/>
          </w:r>
          <w:r w:rsidRPr="003C434D">
            <w:instrText xml:space="preserve"> TOC \o "1-3" \h \z \u </w:instrText>
          </w:r>
          <w:r w:rsidRPr="003C434D">
            <w:fldChar w:fldCharType="separate"/>
          </w:r>
          <w:hyperlink w:anchor="_Toc33019505" w:history="1">
            <w:r w:rsidR="0076606E" w:rsidRPr="005F6E81">
              <w:rPr>
                <w:rStyle w:val="Hyperlink"/>
                <w:rFonts w:eastAsia="Arial Unicode MS"/>
                <w:b w:val="0"/>
                <w:bCs w:val="0"/>
                <w:i w:val="0"/>
                <w:iCs w:val="0"/>
                <w:noProof/>
              </w:rPr>
              <w:t>Document Details</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_Toc33019505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3</w:t>
            </w:r>
            <w:r w:rsidR="0076606E" w:rsidRPr="005F6E81">
              <w:rPr>
                <w:b w:val="0"/>
                <w:bCs w:val="0"/>
                <w:i w:val="0"/>
                <w:iCs w:val="0"/>
                <w:noProof/>
                <w:webHidden/>
              </w:rPr>
              <w:fldChar w:fldCharType="end"/>
            </w:r>
          </w:hyperlink>
        </w:p>
        <w:p w14:paraId="719691CE" w14:textId="5D76B00B" w:rsidR="0076606E" w:rsidRPr="005F6E81" w:rsidRDefault="00162F99">
          <w:pPr>
            <w:pStyle w:val="TOC1"/>
            <w:rPr>
              <w:rFonts w:eastAsiaTheme="minorEastAsia" w:cstheme="minorBidi"/>
              <w:b w:val="0"/>
              <w:bCs w:val="0"/>
              <w:i w:val="0"/>
              <w:iCs w:val="0"/>
              <w:noProof/>
              <w:lang w:val="en-AU" w:eastAsia="en-GB"/>
            </w:rPr>
          </w:pPr>
          <w:hyperlink w:anchor="_Toc33019506" w:history="1">
            <w:r w:rsidR="0076606E" w:rsidRPr="005F6E81">
              <w:rPr>
                <w:rStyle w:val="Hyperlink"/>
                <w:rFonts w:eastAsia="Arial Unicode MS"/>
                <w:b w:val="0"/>
                <w:bCs w:val="0"/>
                <w:i w:val="0"/>
                <w:iCs w:val="0"/>
                <w:noProof/>
              </w:rPr>
              <w:t>Change log</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_Toc33019506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3</w:t>
            </w:r>
            <w:r w:rsidR="0076606E" w:rsidRPr="005F6E81">
              <w:rPr>
                <w:b w:val="0"/>
                <w:bCs w:val="0"/>
                <w:i w:val="0"/>
                <w:iCs w:val="0"/>
                <w:noProof/>
                <w:webHidden/>
              </w:rPr>
              <w:fldChar w:fldCharType="end"/>
            </w:r>
          </w:hyperlink>
        </w:p>
        <w:p w14:paraId="38648778" w14:textId="51DA6811" w:rsidR="0076606E" w:rsidRPr="005F6E81" w:rsidRDefault="00162F99">
          <w:pPr>
            <w:pStyle w:val="TOC1"/>
            <w:rPr>
              <w:b w:val="0"/>
              <w:bCs w:val="0"/>
              <w:i w:val="0"/>
              <w:iCs w:val="0"/>
              <w:noProof/>
            </w:rPr>
          </w:pPr>
          <w:hyperlink w:anchor="_Toc33019507" w:history="1">
            <w:r w:rsidR="0076606E" w:rsidRPr="005F6E81">
              <w:rPr>
                <w:rStyle w:val="Hyperlink"/>
                <w:b w:val="0"/>
                <w:bCs w:val="0"/>
                <w:i w:val="0"/>
                <w:iCs w:val="0"/>
                <w:noProof/>
              </w:rPr>
              <w:t xml:space="preserve">Commissioner’s </w:t>
            </w:r>
            <w:r w:rsidR="0076606E" w:rsidRPr="005F6E81">
              <w:rPr>
                <w:rStyle w:val="Hyperlink"/>
                <w:rFonts w:eastAsia="Arial Unicode MS"/>
                <w:b w:val="0"/>
                <w:bCs w:val="0"/>
                <w:i w:val="0"/>
                <w:iCs w:val="0"/>
                <w:noProof/>
              </w:rPr>
              <w:t>foreword</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_Toc33019507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7</w:t>
            </w:r>
            <w:r w:rsidR="0076606E" w:rsidRPr="005F6E81">
              <w:rPr>
                <w:b w:val="0"/>
                <w:bCs w:val="0"/>
                <w:i w:val="0"/>
                <w:iCs w:val="0"/>
                <w:noProof/>
                <w:webHidden/>
              </w:rPr>
              <w:fldChar w:fldCharType="end"/>
            </w:r>
          </w:hyperlink>
        </w:p>
        <w:p w14:paraId="42D73C8D" w14:textId="6E28B9F2" w:rsidR="00070899" w:rsidRPr="005F6E81" w:rsidRDefault="00070899" w:rsidP="00070899">
          <w:pPr>
            <w:rPr>
              <w:rFonts w:eastAsiaTheme="minorEastAsia"/>
              <w:color w:val="430098"/>
              <w:lang w:val="en-GB" w:eastAsia="en-US"/>
            </w:rPr>
          </w:pPr>
          <w:r>
            <w:rPr>
              <w:rFonts w:eastAsiaTheme="minorEastAsia"/>
              <w:lang w:val="en-GB" w:eastAsia="en-US"/>
            </w:rPr>
            <w:br/>
          </w:r>
          <w:r w:rsidRPr="005F6E81">
            <w:rPr>
              <w:rFonts w:asciiTheme="minorHAnsi" w:eastAsiaTheme="minorEastAsia" w:hAnsiTheme="minorHAnsi"/>
              <w:b/>
              <w:bCs/>
              <w:color w:val="430098"/>
              <w:sz w:val="28"/>
              <w:szCs w:val="28"/>
              <w:lang w:val="en-GB" w:eastAsia="en-US"/>
            </w:rPr>
            <w:t>Part One – Introduction to the Framework</w:t>
          </w:r>
        </w:p>
        <w:p w14:paraId="03ADD559" w14:textId="6C72D47F" w:rsidR="0076606E" w:rsidRPr="005F6E81" w:rsidRDefault="00162F99">
          <w:pPr>
            <w:pStyle w:val="TOC1"/>
            <w:rPr>
              <w:rFonts w:eastAsiaTheme="minorEastAsia" w:cstheme="minorBidi"/>
              <w:b w:val="0"/>
              <w:bCs w:val="0"/>
              <w:i w:val="0"/>
              <w:iCs w:val="0"/>
              <w:noProof/>
              <w:lang w:val="en-AU" w:eastAsia="en-GB"/>
            </w:rPr>
          </w:pPr>
          <w:hyperlink w:anchor="_Toc33019508" w:history="1">
            <w:r w:rsidR="0076606E" w:rsidRPr="005F6E81">
              <w:rPr>
                <w:rStyle w:val="Hyperlink"/>
                <w:rFonts w:eastAsia="Arial Unicode MS"/>
                <w:b w:val="0"/>
                <w:bCs w:val="0"/>
                <w:i w:val="0"/>
                <w:iCs w:val="0"/>
                <w:noProof/>
              </w:rPr>
              <w:t>1. Commencement of the PDP Act</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_Toc33019508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8</w:t>
            </w:r>
            <w:r w:rsidR="0076606E" w:rsidRPr="005F6E81">
              <w:rPr>
                <w:b w:val="0"/>
                <w:bCs w:val="0"/>
                <w:i w:val="0"/>
                <w:iCs w:val="0"/>
                <w:noProof/>
                <w:webHidden/>
              </w:rPr>
              <w:fldChar w:fldCharType="end"/>
            </w:r>
          </w:hyperlink>
        </w:p>
        <w:p w14:paraId="3EDE6723" w14:textId="71EC5BA1" w:rsidR="0076606E" w:rsidRPr="005F6E81" w:rsidRDefault="00162F99">
          <w:pPr>
            <w:pStyle w:val="TOC1"/>
            <w:rPr>
              <w:rFonts w:eastAsiaTheme="minorEastAsia" w:cstheme="minorBidi"/>
              <w:b w:val="0"/>
              <w:bCs w:val="0"/>
              <w:i w:val="0"/>
              <w:iCs w:val="0"/>
              <w:noProof/>
              <w:lang w:val="en-AU" w:eastAsia="en-GB"/>
            </w:rPr>
          </w:pPr>
          <w:hyperlink w:anchor="_Toc33019509" w:history="1">
            <w:r w:rsidR="0076606E" w:rsidRPr="005F6E81">
              <w:rPr>
                <w:rStyle w:val="Hyperlink"/>
                <w:rFonts w:eastAsia="Arial Unicode MS"/>
                <w:b w:val="0"/>
                <w:bCs w:val="0"/>
                <w:i w:val="0"/>
                <w:iCs w:val="0"/>
                <w:noProof/>
              </w:rPr>
              <w:t>2. What is protective data security?</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_Toc33019509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8</w:t>
            </w:r>
            <w:r w:rsidR="0076606E" w:rsidRPr="005F6E81">
              <w:rPr>
                <w:b w:val="0"/>
                <w:bCs w:val="0"/>
                <w:i w:val="0"/>
                <w:iCs w:val="0"/>
                <w:noProof/>
                <w:webHidden/>
              </w:rPr>
              <w:fldChar w:fldCharType="end"/>
            </w:r>
          </w:hyperlink>
        </w:p>
        <w:p w14:paraId="75277F35" w14:textId="68703615" w:rsidR="0076606E" w:rsidRPr="005F6E81" w:rsidRDefault="00162F99">
          <w:pPr>
            <w:pStyle w:val="TOC1"/>
            <w:rPr>
              <w:rFonts w:eastAsiaTheme="minorEastAsia" w:cstheme="minorBidi"/>
              <w:b w:val="0"/>
              <w:bCs w:val="0"/>
              <w:i w:val="0"/>
              <w:iCs w:val="0"/>
              <w:noProof/>
              <w:lang w:val="en-AU" w:eastAsia="en-GB"/>
            </w:rPr>
          </w:pPr>
          <w:hyperlink w:anchor="_Toc33019510" w:history="1">
            <w:r w:rsidR="0076606E" w:rsidRPr="005F6E81">
              <w:rPr>
                <w:rStyle w:val="Hyperlink"/>
                <w:rFonts w:eastAsia="Arial Unicode MS"/>
                <w:b w:val="0"/>
                <w:bCs w:val="0"/>
                <w:i w:val="0"/>
                <w:iCs w:val="0"/>
                <w:noProof/>
              </w:rPr>
              <w:t>3. What is the Framework?</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_Toc33019510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8</w:t>
            </w:r>
            <w:r w:rsidR="0076606E" w:rsidRPr="005F6E81">
              <w:rPr>
                <w:b w:val="0"/>
                <w:bCs w:val="0"/>
                <w:i w:val="0"/>
                <w:iCs w:val="0"/>
                <w:noProof/>
                <w:webHidden/>
              </w:rPr>
              <w:fldChar w:fldCharType="end"/>
            </w:r>
          </w:hyperlink>
        </w:p>
        <w:p w14:paraId="0747F7C3" w14:textId="4C4DD6A8" w:rsidR="0076606E" w:rsidRPr="005F6E81" w:rsidRDefault="00162F99">
          <w:pPr>
            <w:pStyle w:val="TOC1"/>
            <w:rPr>
              <w:rFonts w:eastAsiaTheme="minorEastAsia" w:cstheme="minorBidi"/>
              <w:b w:val="0"/>
              <w:bCs w:val="0"/>
              <w:i w:val="0"/>
              <w:iCs w:val="0"/>
              <w:noProof/>
              <w:lang w:val="en-AU" w:eastAsia="en-GB"/>
            </w:rPr>
          </w:pPr>
          <w:hyperlink w:anchor="_Toc33019517" w:history="1">
            <w:r w:rsidR="0076606E" w:rsidRPr="005F6E81">
              <w:rPr>
                <w:rStyle w:val="Hyperlink"/>
                <w:b w:val="0"/>
                <w:bCs w:val="0"/>
                <w:i w:val="0"/>
                <w:iCs w:val="0"/>
                <w:noProof/>
              </w:rPr>
              <w:t>4.</w:t>
            </w:r>
            <w:r w:rsidR="0076606E" w:rsidRPr="005F6E81">
              <w:rPr>
                <w:rStyle w:val="Hyperlink"/>
                <w:rFonts w:eastAsia="Arial Unicode MS"/>
                <w:b w:val="0"/>
                <w:bCs w:val="0"/>
                <w:i w:val="0"/>
                <w:iCs w:val="0"/>
                <w:noProof/>
              </w:rPr>
              <w:t xml:space="preserve"> Applicability of the Framework</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_Toc33019517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9</w:t>
            </w:r>
            <w:r w:rsidR="0076606E" w:rsidRPr="005F6E81">
              <w:rPr>
                <w:b w:val="0"/>
                <w:bCs w:val="0"/>
                <w:i w:val="0"/>
                <w:iCs w:val="0"/>
                <w:noProof/>
                <w:webHidden/>
              </w:rPr>
              <w:fldChar w:fldCharType="end"/>
            </w:r>
          </w:hyperlink>
        </w:p>
        <w:p w14:paraId="32318BF0" w14:textId="425C12BC" w:rsidR="0076606E" w:rsidRPr="005F6E81" w:rsidRDefault="00162F99">
          <w:pPr>
            <w:pStyle w:val="TOC1"/>
            <w:rPr>
              <w:rFonts w:eastAsiaTheme="minorEastAsia" w:cstheme="minorBidi"/>
              <w:b w:val="0"/>
              <w:bCs w:val="0"/>
              <w:i w:val="0"/>
              <w:iCs w:val="0"/>
              <w:noProof/>
              <w:lang w:val="en-AU" w:eastAsia="en-GB"/>
            </w:rPr>
          </w:pPr>
          <w:hyperlink w:anchor="_Toc33019522" w:history="1">
            <w:r w:rsidR="0076606E" w:rsidRPr="005F6E81">
              <w:rPr>
                <w:rStyle w:val="Hyperlink"/>
                <w:rFonts w:eastAsia="Arial Unicode MS"/>
                <w:b w:val="0"/>
                <w:bCs w:val="0"/>
                <w:i w:val="0"/>
                <w:iCs w:val="0"/>
                <w:noProof/>
              </w:rPr>
              <w:t>5. The Framework in context</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_Toc33019522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12</w:t>
            </w:r>
            <w:r w:rsidR="0076606E" w:rsidRPr="005F6E81">
              <w:rPr>
                <w:b w:val="0"/>
                <w:bCs w:val="0"/>
                <w:i w:val="0"/>
                <w:iCs w:val="0"/>
                <w:noProof/>
                <w:webHidden/>
              </w:rPr>
              <w:fldChar w:fldCharType="end"/>
            </w:r>
          </w:hyperlink>
        </w:p>
        <w:p w14:paraId="6977EF31" w14:textId="274406DE" w:rsidR="0076606E" w:rsidRPr="005F6E81" w:rsidRDefault="00162F99">
          <w:pPr>
            <w:pStyle w:val="TOC1"/>
            <w:rPr>
              <w:b w:val="0"/>
              <w:bCs w:val="0"/>
              <w:i w:val="0"/>
              <w:iCs w:val="0"/>
              <w:noProof/>
            </w:rPr>
          </w:pPr>
          <w:hyperlink w:anchor="_Toc33019524" w:history="1">
            <w:r w:rsidR="0076606E" w:rsidRPr="005F6E81">
              <w:rPr>
                <w:rStyle w:val="Hyperlink"/>
                <w:b w:val="0"/>
                <w:bCs w:val="0"/>
                <w:i w:val="0"/>
                <w:iCs w:val="0"/>
                <w:noProof/>
              </w:rPr>
              <w:t xml:space="preserve">6. Roles, responsibilities and relationships </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_Toc33019524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12</w:t>
            </w:r>
            <w:r w:rsidR="0076606E" w:rsidRPr="005F6E81">
              <w:rPr>
                <w:b w:val="0"/>
                <w:bCs w:val="0"/>
                <w:i w:val="0"/>
                <w:iCs w:val="0"/>
                <w:noProof/>
                <w:webHidden/>
              </w:rPr>
              <w:fldChar w:fldCharType="end"/>
            </w:r>
          </w:hyperlink>
        </w:p>
        <w:p w14:paraId="77C84C56" w14:textId="4D47A285" w:rsidR="00070899" w:rsidRPr="005F6E81" w:rsidRDefault="00070899" w:rsidP="00070899">
          <w:pPr>
            <w:rPr>
              <w:rFonts w:eastAsiaTheme="minorEastAsia"/>
              <w:lang w:val="en-GB" w:eastAsia="en-US"/>
            </w:rPr>
          </w:pPr>
          <w:r w:rsidRPr="005F6E81">
            <w:rPr>
              <w:rFonts w:eastAsiaTheme="minorEastAsia"/>
              <w:lang w:val="en-GB" w:eastAsia="en-US"/>
            </w:rPr>
            <w:br/>
          </w:r>
          <w:r w:rsidRPr="005F6E81">
            <w:rPr>
              <w:rFonts w:asciiTheme="minorHAnsi" w:eastAsiaTheme="minorEastAsia" w:hAnsiTheme="minorHAnsi"/>
              <w:b/>
              <w:bCs/>
              <w:color w:val="430098"/>
              <w:sz w:val="28"/>
              <w:szCs w:val="28"/>
              <w:lang w:val="en-GB" w:eastAsia="en-US"/>
            </w:rPr>
            <w:t>Part Two – Monitoring and Assurance by VPS organisations</w:t>
          </w:r>
        </w:p>
        <w:p w14:paraId="7DBA8A57" w14:textId="2034E9D6" w:rsidR="0076606E" w:rsidRPr="005F6E81" w:rsidRDefault="00162F99">
          <w:pPr>
            <w:pStyle w:val="TOC1"/>
            <w:rPr>
              <w:rFonts w:eastAsiaTheme="minorEastAsia" w:cstheme="minorBidi"/>
              <w:b w:val="0"/>
              <w:bCs w:val="0"/>
              <w:i w:val="0"/>
              <w:iCs w:val="0"/>
              <w:noProof/>
              <w:lang w:val="en-AU" w:eastAsia="en-GB"/>
            </w:rPr>
          </w:pPr>
          <w:hyperlink w:anchor="_Toc33019528" w:history="1">
            <w:r w:rsidR="0076606E" w:rsidRPr="005F6E81">
              <w:rPr>
                <w:rStyle w:val="Hyperlink"/>
                <w:b w:val="0"/>
                <w:bCs w:val="0"/>
                <w:i w:val="0"/>
                <w:iCs w:val="0"/>
                <w:noProof/>
              </w:rPr>
              <w:t>7. VPS organisations obligations</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_Toc33019528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15</w:t>
            </w:r>
            <w:r w:rsidR="0076606E" w:rsidRPr="005F6E81">
              <w:rPr>
                <w:b w:val="0"/>
                <w:bCs w:val="0"/>
                <w:i w:val="0"/>
                <w:iCs w:val="0"/>
                <w:noProof/>
                <w:webHidden/>
              </w:rPr>
              <w:fldChar w:fldCharType="end"/>
            </w:r>
          </w:hyperlink>
        </w:p>
        <w:p w14:paraId="785A219D" w14:textId="3E70B7CA" w:rsidR="0076606E" w:rsidRPr="005F6E81" w:rsidRDefault="00162F99">
          <w:pPr>
            <w:pStyle w:val="TOC1"/>
            <w:rPr>
              <w:rFonts w:eastAsiaTheme="minorEastAsia" w:cstheme="minorBidi"/>
              <w:b w:val="0"/>
              <w:bCs w:val="0"/>
              <w:i w:val="0"/>
              <w:iCs w:val="0"/>
              <w:noProof/>
              <w:lang w:val="en-AU" w:eastAsia="en-GB"/>
            </w:rPr>
          </w:pPr>
          <w:hyperlink w:anchor="_Toc33019529" w:history="1">
            <w:r w:rsidR="0076606E" w:rsidRPr="005F6E81">
              <w:rPr>
                <w:rStyle w:val="Hyperlink"/>
                <w:b w:val="0"/>
                <w:bCs w:val="0"/>
                <w:i w:val="0"/>
                <w:iCs w:val="0"/>
                <w:noProof/>
              </w:rPr>
              <w:t>8. Accountability of the public sector body Head</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_Toc33019529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15</w:t>
            </w:r>
            <w:r w:rsidR="0076606E" w:rsidRPr="005F6E81">
              <w:rPr>
                <w:b w:val="0"/>
                <w:bCs w:val="0"/>
                <w:i w:val="0"/>
                <w:iCs w:val="0"/>
                <w:noProof/>
                <w:webHidden/>
              </w:rPr>
              <w:fldChar w:fldCharType="end"/>
            </w:r>
          </w:hyperlink>
        </w:p>
        <w:p w14:paraId="34C88789" w14:textId="5032A4ED" w:rsidR="0076606E" w:rsidRPr="005F6E81" w:rsidRDefault="00162F99">
          <w:pPr>
            <w:pStyle w:val="TOC1"/>
            <w:rPr>
              <w:b w:val="0"/>
              <w:bCs w:val="0"/>
              <w:i w:val="0"/>
              <w:iCs w:val="0"/>
              <w:noProof/>
            </w:rPr>
          </w:pPr>
          <w:hyperlink w:anchor="_Toc33019530" w:history="1">
            <w:r w:rsidR="0076606E" w:rsidRPr="005F6E81">
              <w:rPr>
                <w:rStyle w:val="Hyperlink"/>
                <w:b w:val="0"/>
                <w:bCs w:val="0"/>
                <w:i w:val="0"/>
                <w:iCs w:val="0"/>
                <w:noProof/>
              </w:rPr>
              <w:t>9. Compliance obligations of VPS organisations</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_Toc33019530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16</w:t>
            </w:r>
            <w:r w:rsidR="0076606E" w:rsidRPr="005F6E81">
              <w:rPr>
                <w:b w:val="0"/>
                <w:bCs w:val="0"/>
                <w:i w:val="0"/>
                <w:iCs w:val="0"/>
                <w:noProof/>
                <w:webHidden/>
              </w:rPr>
              <w:fldChar w:fldCharType="end"/>
            </w:r>
          </w:hyperlink>
        </w:p>
        <w:p w14:paraId="41EE056B" w14:textId="2708422F" w:rsidR="00070899" w:rsidRPr="005F6E81" w:rsidRDefault="00070899" w:rsidP="00070899">
          <w:pPr>
            <w:rPr>
              <w:rFonts w:eastAsiaTheme="minorEastAsia"/>
              <w:lang w:val="en-GB" w:eastAsia="en-US"/>
            </w:rPr>
          </w:pPr>
          <w:r>
            <w:rPr>
              <w:rFonts w:eastAsiaTheme="minorEastAsia"/>
              <w:lang w:val="en-GB" w:eastAsia="en-US"/>
            </w:rPr>
            <w:br/>
          </w:r>
          <w:r w:rsidRPr="005F6E81">
            <w:rPr>
              <w:rFonts w:asciiTheme="minorHAnsi" w:eastAsiaTheme="minorEastAsia" w:hAnsiTheme="minorHAnsi"/>
              <w:b/>
              <w:bCs/>
              <w:color w:val="430098"/>
              <w:sz w:val="28"/>
              <w:szCs w:val="28"/>
              <w:lang w:val="en-GB" w:eastAsia="en-US"/>
            </w:rPr>
            <w:t>Part Three – OVIC Monitoring and Assurance</w:t>
          </w:r>
        </w:p>
        <w:p w14:paraId="6A4E23EF" w14:textId="18189194" w:rsidR="0076606E" w:rsidRPr="005F6E81" w:rsidRDefault="00162F99">
          <w:pPr>
            <w:pStyle w:val="TOC1"/>
            <w:rPr>
              <w:rFonts w:eastAsiaTheme="minorEastAsia" w:cstheme="minorBidi"/>
              <w:b w:val="0"/>
              <w:bCs w:val="0"/>
              <w:i w:val="0"/>
              <w:iCs w:val="0"/>
              <w:noProof/>
              <w:lang w:val="en-AU" w:eastAsia="en-GB"/>
            </w:rPr>
          </w:pPr>
          <w:hyperlink w:anchor="_Toc33019534" w:history="1">
            <w:r w:rsidR="0076606E" w:rsidRPr="005F6E81">
              <w:rPr>
                <w:rStyle w:val="Hyperlink"/>
                <w:b w:val="0"/>
                <w:bCs w:val="0"/>
                <w:i w:val="0"/>
                <w:iCs w:val="0"/>
                <w:noProof/>
              </w:rPr>
              <w:t>10.</w:t>
            </w:r>
            <w:r w:rsidR="0076606E" w:rsidRPr="005F6E81">
              <w:rPr>
                <w:rStyle w:val="Hyperlink"/>
                <w:rFonts w:eastAsia="Arial Unicode MS"/>
                <w:b w:val="0"/>
                <w:bCs w:val="0"/>
                <w:i w:val="0"/>
                <w:iCs w:val="0"/>
                <w:noProof/>
              </w:rPr>
              <w:t xml:space="preserve"> Developing an organisational monitoring and assurance program</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_Toc33019534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17</w:t>
            </w:r>
            <w:r w:rsidR="0076606E" w:rsidRPr="005F6E81">
              <w:rPr>
                <w:b w:val="0"/>
                <w:bCs w:val="0"/>
                <w:i w:val="0"/>
                <w:iCs w:val="0"/>
                <w:noProof/>
                <w:webHidden/>
              </w:rPr>
              <w:fldChar w:fldCharType="end"/>
            </w:r>
          </w:hyperlink>
        </w:p>
        <w:p w14:paraId="5478522E" w14:textId="0008A68E" w:rsidR="0076606E" w:rsidRPr="005F6E81" w:rsidRDefault="00162F99">
          <w:pPr>
            <w:pStyle w:val="TOC1"/>
            <w:rPr>
              <w:rFonts w:eastAsiaTheme="minorEastAsia" w:cstheme="minorBidi"/>
              <w:b w:val="0"/>
              <w:bCs w:val="0"/>
              <w:i w:val="0"/>
              <w:iCs w:val="0"/>
              <w:noProof/>
              <w:lang w:val="en-AU" w:eastAsia="en-GB"/>
            </w:rPr>
          </w:pPr>
          <w:hyperlink w:anchor="_Toc33019537" w:history="1">
            <w:r w:rsidR="0076606E" w:rsidRPr="005F6E81">
              <w:rPr>
                <w:rStyle w:val="Hyperlink"/>
                <w:rFonts w:eastAsia="Arial Unicode MS"/>
                <w:b w:val="0"/>
                <w:bCs w:val="0"/>
                <w:i w:val="0"/>
                <w:iCs w:val="0"/>
                <w:noProof/>
              </w:rPr>
              <w:t>11. Undertaking organisational monitoring and assurance activities</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_Toc33019537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18</w:t>
            </w:r>
            <w:r w:rsidR="0076606E" w:rsidRPr="005F6E81">
              <w:rPr>
                <w:b w:val="0"/>
                <w:bCs w:val="0"/>
                <w:i w:val="0"/>
                <w:iCs w:val="0"/>
                <w:noProof/>
                <w:webHidden/>
              </w:rPr>
              <w:fldChar w:fldCharType="end"/>
            </w:r>
          </w:hyperlink>
        </w:p>
        <w:p w14:paraId="26F592E4" w14:textId="7B6B873B" w:rsidR="0076606E" w:rsidRPr="005F6E81" w:rsidRDefault="00162F99">
          <w:pPr>
            <w:pStyle w:val="TOC1"/>
            <w:rPr>
              <w:rFonts w:eastAsiaTheme="minorEastAsia" w:cstheme="minorBidi"/>
              <w:b w:val="0"/>
              <w:bCs w:val="0"/>
              <w:i w:val="0"/>
              <w:iCs w:val="0"/>
              <w:noProof/>
              <w:lang w:val="en-AU" w:eastAsia="en-GB"/>
            </w:rPr>
          </w:pPr>
          <w:hyperlink w:anchor="_Toc33019538" w:history="1">
            <w:r w:rsidR="0076606E" w:rsidRPr="005F6E81">
              <w:rPr>
                <w:rStyle w:val="Hyperlink"/>
                <w:b w:val="0"/>
                <w:bCs w:val="0"/>
                <w:i w:val="0"/>
                <w:iCs w:val="0"/>
                <w:noProof/>
              </w:rPr>
              <w:t>12. OVIC’s regulatory approach</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_Toc33019538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20</w:t>
            </w:r>
            <w:r w:rsidR="0076606E" w:rsidRPr="005F6E81">
              <w:rPr>
                <w:b w:val="0"/>
                <w:bCs w:val="0"/>
                <w:i w:val="0"/>
                <w:iCs w:val="0"/>
                <w:noProof/>
                <w:webHidden/>
              </w:rPr>
              <w:fldChar w:fldCharType="end"/>
            </w:r>
          </w:hyperlink>
        </w:p>
        <w:p w14:paraId="3611090C" w14:textId="1B81699E" w:rsidR="0076606E" w:rsidRPr="005F6E81" w:rsidRDefault="00162F99">
          <w:pPr>
            <w:pStyle w:val="TOC1"/>
            <w:rPr>
              <w:rFonts w:eastAsiaTheme="minorEastAsia" w:cstheme="minorBidi"/>
              <w:b w:val="0"/>
              <w:bCs w:val="0"/>
              <w:i w:val="0"/>
              <w:iCs w:val="0"/>
              <w:noProof/>
              <w:lang w:val="en-AU" w:eastAsia="en-GB"/>
            </w:rPr>
          </w:pPr>
          <w:hyperlink w:anchor="_Toc33019539" w:history="1">
            <w:r w:rsidR="0076606E" w:rsidRPr="005F6E81">
              <w:rPr>
                <w:rStyle w:val="Hyperlink"/>
                <w:rFonts w:eastAsia="Arial Unicode MS"/>
                <w:b w:val="0"/>
                <w:bCs w:val="0"/>
                <w:i w:val="0"/>
                <w:iCs w:val="0"/>
                <w:noProof/>
              </w:rPr>
              <w:t>13. Overview of OVIC’s monitoring and assurance activities</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_Toc33019539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20</w:t>
            </w:r>
            <w:r w:rsidR="0076606E" w:rsidRPr="005F6E81">
              <w:rPr>
                <w:b w:val="0"/>
                <w:bCs w:val="0"/>
                <w:i w:val="0"/>
                <w:iCs w:val="0"/>
                <w:noProof/>
                <w:webHidden/>
              </w:rPr>
              <w:fldChar w:fldCharType="end"/>
            </w:r>
          </w:hyperlink>
        </w:p>
        <w:p w14:paraId="4694F17E" w14:textId="7F4FFF5F" w:rsidR="0076606E" w:rsidRPr="005F6E81" w:rsidRDefault="00162F99">
          <w:pPr>
            <w:pStyle w:val="TOC1"/>
            <w:rPr>
              <w:rFonts w:eastAsiaTheme="minorEastAsia" w:cstheme="minorBidi"/>
              <w:b w:val="0"/>
              <w:bCs w:val="0"/>
              <w:i w:val="0"/>
              <w:iCs w:val="0"/>
              <w:noProof/>
              <w:lang w:val="en-AU" w:eastAsia="en-GB"/>
            </w:rPr>
          </w:pPr>
          <w:hyperlink w:anchor="_Toc33019540" w:history="1">
            <w:r w:rsidR="0076606E" w:rsidRPr="005F6E81">
              <w:rPr>
                <w:rStyle w:val="Hyperlink"/>
                <w:rFonts w:eastAsia="Arial Unicode MS"/>
                <w:b w:val="0"/>
                <w:bCs w:val="0"/>
                <w:i w:val="0"/>
                <w:iCs w:val="0"/>
                <w:noProof/>
              </w:rPr>
              <w:t>14. Outline of OVIC’s monitoring activities</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_Toc33019540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21</w:t>
            </w:r>
            <w:r w:rsidR="0076606E" w:rsidRPr="005F6E81">
              <w:rPr>
                <w:b w:val="0"/>
                <w:bCs w:val="0"/>
                <w:i w:val="0"/>
                <w:iCs w:val="0"/>
                <w:noProof/>
                <w:webHidden/>
              </w:rPr>
              <w:fldChar w:fldCharType="end"/>
            </w:r>
          </w:hyperlink>
        </w:p>
        <w:p w14:paraId="5B8D9DBB" w14:textId="6D2243ED" w:rsidR="0076606E" w:rsidRPr="005F6E81" w:rsidRDefault="00162F99" w:rsidP="00070899">
          <w:pPr>
            <w:pStyle w:val="TOC1"/>
            <w:rPr>
              <w:rFonts w:eastAsiaTheme="minorEastAsia" w:cstheme="minorBidi"/>
              <w:b w:val="0"/>
              <w:bCs w:val="0"/>
              <w:i w:val="0"/>
              <w:iCs w:val="0"/>
              <w:noProof/>
              <w:lang w:val="en-AU" w:eastAsia="en-GB"/>
            </w:rPr>
          </w:pPr>
          <w:hyperlink w:anchor="_Toc33019541" w:history="1">
            <w:r w:rsidR="0076606E" w:rsidRPr="005F6E81">
              <w:rPr>
                <w:rStyle w:val="Hyperlink"/>
                <w:rFonts w:eastAsia="Arial Unicode MS"/>
                <w:b w:val="0"/>
                <w:bCs w:val="0"/>
                <w:i w:val="0"/>
                <w:iCs w:val="0"/>
                <w:noProof/>
              </w:rPr>
              <w:t>15. Risk-prioritised monitoring and assurance activities</w:t>
            </w:r>
            <w:r w:rsidR="0076606E" w:rsidRPr="005F6E81">
              <w:rPr>
                <w:b w:val="0"/>
                <w:bCs w:val="0"/>
                <w:i w:val="0"/>
                <w:iCs w:val="0"/>
                <w:noProof/>
                <w:webHidden/>
              </w:rPr>
              <w:tab/>
            </w:r>
            <w:r w:rsidR="0076606E" w:rsidRPr="005F6E81">
              <w:rPr>
                <w:b w:val="0"/>
                <w:bCs w:val="0"/>
                <w:i w:val="0"/>
                <w:iCs w:val="0"/>
                <w:noProof/>
                <w:webHidden/>
              </w:rPr>
              <w:fldChar w:fldCharType="begin"/>
            </w:r>
            <w:r w:rsidR="0076606E" w:rsidRPr="005F6E81">
              <w:rPr>
                <w:b w:val="0"/>
                <w:bCs w:val="0"/>
                <w:i w:val="0"/>
                <w:iCs w:val="0"/>
                <w:noProof/>
                <w:webHidden/>
              </w:rPr>
              <w:instrText xml:space="preserve"> PAGEREF _Toc33019541 \h </w:instrText>
            </w:r>
            <w:r w:rsidR="0076606E" w:rsidRPr="005F6E81">
              <w:rPr>
                <w:b w:val="0"/>
                <w:bCs w:val="0"/>
                <w:i w:val="0"/>
                <w:iCs w:val="0"/>
                <w:noProof/>
                <w:webHidden/>
              </w:rPr>
            </w:r>
            <w:r w:rsidR="0076606E" w:rsidRPr="005F6E81">
              <w:rPr>
                <w:b w:val="0"/>
                <w:bCs w:val="0"/>
                <w:i w:val="0"/>
                <w:iCs w:val="0"/>
                <w:noProof/>
                <w:webHidden/>
              </w:rPr>
              <w:fldChar w:fldCharType="separate"/>
            </w:r>
            <w:r w:rsidR="0076606E" w:rsidRPr="005F6E81">
              <w:rPr>
                <w:b w:val="0"/>
                <w:bCs w:val="0"/>
                <w:i w:val="0"/>
                <w:iCs w:val="0"/>
                <w:noProof/>
                <w:webHidden/>
              </w:rPr>
              <w:t>21</w:t>
            </w:r>
            <w:r w:rsidR="0076606E" w:rsidRPr="005F6E81">
              <w:rPr>
                <w:b w:val="0"/>
                <w:bCs w:val="0"/>
                <w:i w:val="0"/>
                <w:iCs w:val="0"/>
                <w:noProof/>
                <w:webHidden/>
              </w:rPr>
              <w:fldChar w:fldCharType="end"/>
            </w:r>
          </w:hyperlink>
          <w:hyperlink w:anchor="_Toc33019542" w:history="1"/>
        </w:p>
        <w:p w14:paraId="551C4380" w14:textId="5694CB1D" w:rsidR="008E7579" w:rsidRPr="00070899" w:rsidRDefault="008E7579" w:rsidP="00070899">
          <w:pPr>
            <w:tabs>
              <w:tab w:val="right" w:leader="dot" w:pos="9498"/>
            </w:tabs>
            <w:ind w:right="1271"/>
            <w:rPr>
              <w:rFonts w:asciiTheme="minorHAnsi" w:hAnsiTheme="minorHAnsi" w:cstheme="minorHAnsi"/>
            </w:rPr>
          </w:pPr>
          <w:r w:rsidRPr="003C434D">
            <w:rPr>
              <w:rFonts w:asciiTheme="minorHAnsi" w:hAnsiTheme="minorHAnsi" w:cstheme="minorHAnsi"/>
              <w:i/>
              <w:iCs/>
              <w:noProof/>
            </w:rPr>
            <w:fldChar w:fldCharType="end"/>
          </w:r>
        </w:p>
      </w:sdtContent>
    </w:sdt>
    <w:p w14:paraId="764E34B0" w14:textId="272BD035" w:rsidR="00367B0F" w:rsidRPr="00E136E1" w:rsidRDefault="008E7579" w:rsidP="00E136E1">
      <w:pPr>
        <w:pStyle w:val="SectionHeading"/>
        <w:numPr>
          <w:ilvl w:val="0"/>
          <w:numId w:val="0"/>
        </w:numPr>
        <w:spacing w:before="0" w:after="360"/>
        <w:ind w:left="360" w:hanging="360"/>
        <w:rPr>
          <w:rFonts w:eastAsia="Arial Unicode MS"/>
          <w:sz w:val="36"/>
          <w:szCs w:val="36"/>
        </w:rPr>
      </w:pPr>
      <w:r w:rsidRPr="00F3226A">
        <w:br w:type="page"/>
      </w:r>
      <w:bookmarkStart w:id="3" w:name="_Toc33019507"/>
      <w:r w:rsidR="005A5DF9" w:rsidRPr="00E136E1">
        <w:rPr>
          <w:sz w:val="36"/>
          <w:szCs w:val="36"/>
        </w:rPr>
        <w:lastRenderedPageBreak/>
        <w:t xml:space="preserve">Commissioner’s </w:t>
      </w:r>
      <w:r w:rsidR="005A5DF9" w:rsidRPr="00E136E1">
        <w:rPr>
          <w:rFonts w:eastAsia="Arial Unicode MS"/>
          <w:sz w:val="36"/>
          <w:szCs w:val="36"/>
        </w:rPr>
        <w:t>f</w:t>
      </w:r>
      <w:r w:rsidR="00335BF6" w:rsidRPr="00E136E1">
        <w:rPr>
          <w:rFonts w:eastAsia="Arial Unicode MS"/>
          <w:sz w:val="36"/>
          <w:szCs w:val="36"/>
        </w:rPr>
        <w:t>oreword</w:t>
      </w:r>
      <w:bookmarkEnd w:id="3"/>
    </w:p>
    <w:p w14:paraId="0F3EE172" w14:textId="3E976A66" w:rsidR="00335BF6" w:rsidRPr="00335BF6" w:rsidRDefault="00335BF6" w:rsidP="00432ABD">
      <w:pPr>
        <w:pStyle w:val="Body"/>
        <w:rPr>
          <w:rFonts w:eastAsia="Calibri"/>
          <w:lang w:eastAsia="en-US"/>
        </w:rPr>
      </w:pPr>
      <w:r w:rsidRPr="00335BF6">
        <w:rPr>
          <w:rFonts w:eastAsia="Calibri"/>
          <w:lang w:eastAsia="en-US"/>
        </w:rPr>
        <w:t>The Victorian Protective Data Security Framework (</w:t>
      </w:r>
      <w:r w:rsidR="00094FD4" w:rsidRPr="0076606E">
        <w:rPr>
          <w:rFonts w:eastAsia="Calibri"/>
          <w:lang w:eastAsia="en-US"/>
        </w:rPr>
        <w:t>the</w:t>
      </w:r>
      <w:r w:rsidR="00094FD4" w:rsidRPr="00094FD4">
        <w:rPr>
          <w:rFonts w:eastAsia="Calibri"/>
          <w:b/>
          <w:bCs/>
          <w:lang w:eastAsia="en-US"/>
        </w:rPr>
        <w:t xml:space="preserve"> Framework</w:t>
      </w:r>
      <w:r w:rsidRPr="00335BF6">
        <w:rPr>
          <w:rFonts w:eastAsia="Calibri"/>
          <w:lang w:eastAsia="en-US"/>
        </w:rPr>
        <w:t xml:space="preserve">) and accompanying </w:t>
      </w:r>
      <w:r w:rsidR="00094FD4">
        <w:rPr>
          <w:rFonts w:eastAsia="Calibri"/>
          <w:lang w:eastAsia="en-US"/>
        </w:rPr>
        <w:t xml:space="preserve">Victorian Protective Data Security </w:t>
      </w:r>
      <w:r w:rsidRPr="00335BF6">
        <w:rPr>
          <w:rFonts w:eastAsia="Calibri"/>
          <w:lang w:eastAsia="en-US"/>
        </w:rPr>
        <w:t xml:space="preserve">Standards </w:t>
      </w:r>
      <w:r w:rsidR="00094FD4">
        <w:rPr>
          <w:rFonts w:eastAsia="Calibri"/>
          <w:lang w:eastAsia="en-US"/>
        </w:rPr>
        <w:t>(</w:t>
      </w:r>
      <w:r w:rsidR="00094FD4" w:rsidRPr="0076606E">
        <w:rPr>
          <w:rFonts w:eastAsia="Calibri"/>
          <w:lang w:eastAsia="en-US"/>
        </w:rPr>
        <w:t>the</w:t>
      </w:r>
      <w:r w:rsidR="00094FD4" w:rsidRPr="00094FD4">
        <w:rPr>
          <w:rFonts w:eastAsia="Calibri"/>
          <w:b/>
          <w:bCs/>
          <w:lang w:eastAsia="en-US"/>
        </w:rPr>
        <w:t xml:space="preserve"> Standards</w:t>
      </w:r>
      <w:r w:rsidR="00094FD4">
        <w:rPr>
          <w:rFonts w:eastAsia="Calibri"/>
          <w:lang w:eastAsia="en-US"/>
        </w:rPr>
        <w:t xml:space="preserve">) </w:t>
      </w:r>
      <w:r w:rsidRPr="00335BF6">
        <w:rPr>
          <w:rFonts w:eastAsia="Calibri"/>
          <w:lang w:eastAsia="en-US"/>
        </w:rPr>
        <w:t xml:space="preserve">were </w:t>
      </w:r>
      <w:r w:rsidR="00F9362E">
        <w:rPr>
          <w:rFonts w:eastAsia="Calibri"/>
          <w:lang w:eastAsia="en-US"/>
        </w:rPr>
        <w:t>released and</w:t>
      </w:r>
      <w:r w:rsidRPr="00335BF6">
        <w:rPr>
          <w:rFonts w:eastAsia="Calibri"/>
          <w:lang w:eastAsia="en-US"/>
        </w:rPr>
        <w:t xml:space="preserve"> issued to Victorian Public Sector </w:t>
      </w:r>
      <w:r w:rsidR="00735B1F">
        <w:rPr>
          <w:rFonts w:eastAsia="Calibri"/>
          <w:lang w:eastAsia="en-US"/>
        </w:rPr>
        <w:t>(</w:t>
      </w:r>
      <w:r w:rsidR="00735B1F" w:rsidRPr="00735B1F">
        <w:rPr>
          <w:rFonts w:eastAsia="Calibri"/>
          <w:b/>
          <w:bCs/>
          <w:lang w:eastAsia="en-US"/>
        </w:rPr>
        <w:t>VPS</w:t>
      </w:r>
      <w:r w:rsidR="00735B1F">
        <w:rPr>
          <w:rFonts w:eastAsia="Calibri"/>
          <w:lang w:eastAsia="en-US"/>
        </w:rPr>
        <w:t xml:space="preserve">) </w:t>
      </w:r>
      <w:r w:rsidRPr="00335BF6">
        <w:rPr>
          <w:rFonts w:eastAsia="Calibri"/>
          <w:lang w:eastAsia="en-US"/>
        </w:rPr>
        <w:t xml:space="preserve">agencies and bodies </w:t>
      </w:r>
      <w:r w:rsidR="00650AEA">
        <w:rPr>
          <w:rFonts w:eastAsia="Calibri"/>
          <w:lang w:eastAsia="en-US"/>
        </w:rPr>
        <w:t>(</w:t>
      </w:r>
      <w:r w:rsidR="00BD6439" w:rsidRPr="00A13EAF">
        <w:rPr>
          <w:rFonts w:eastAsia="Calibri"/>
          <w:b/>
          <w:bCs/>
          <w:lang w:eastAsia="en-US"/>
        </w:rPr>
        <w:t xml:space="preserve">VPS </w:t>
      </w:r>
      <w:r w:rsidR="00650AEA" w:rsidRPr="00650AEA">
        <w:rPr>
          <w:rFonts w:eastAsia="Calibri"/>
          <w:b/>
          <w:bCs/>
        </w:rPr>
        <w:t>organisations</w:t>
      </w:r>
      <w:r w:rsidR="00650AEA">
        <w:rPr>
          <w:rFonts w:eastAsia="Calibri"/>
        </w:rPr>
        <w:t xml:space="preserve">) </w:t>
      </w:r>
      <w:r w:rsidRPr="00335BF6">
        <w:rPr>
          <w:rFonts w:eastAsia="Calibri"/>
          <w:lang w:eastAsia="en-US"/>
        </w:rPr>
        <w:t>in 2016</w:t>
      </w:r>
      <w:r w:rsidR="002C095C">
        <w:rPr>
          <w:rFonts w:eastAsia="Calibri"/>
          <w:lang w:eastAsia="en-US"/>
        </w:rPr>
        <w:t>.</w:t>
      </w:r>
      <w:r w:rsidR="002C095C" w:rsidRPr="00335BF6">
        <w:rPr>
          <w:rFonts w:eastAsia="Calibri"/>
          <w:lang w:eastAsia="en-US"/>
        </w:rPr>
        <w:t xml:space="preserve"> </w:t>
      </w:r>
      <w:r w:rsidR="00EA4D01">
        <w:rPr>
          <w:rFonts w:eastAsia="Calibri"/>
          <w:lang w:eastAsia="en-US"/>
        </w:rPr>
        <w:t>A</w:t>
      </w:r>
      <w:r w:rsidR="00F9362E">
        <w:rPr>
          <w:rFonts w:eastAsia="Calibri"/>
          <w:lang w:eastAsia="en-US"/>
        </w:rPr>
        <w:t xml:space="preserve">dherence to the </w:t>
      </w:r>
      <w:r w:rsidR="00735B1F">
        <w:rPr>
          <w:rFonts w:eastAsia="Calibri"/>
          <w:lang w:eastAsia="en-US"/>
        </w:rPr>
        <w:t>Standards</w:t>
      </w:r>
      <w:r w:rsidRPr="00335BF6">
        <w:rPr>
          <w:rFonts w:eastAsia="Calibri"/>
          <w:lang w:eastAsia="en-US"/>
        </w:rPr>
        <w:t xml:space="preserve"> </w:t>
      </w:r>
      <w:r w:rsidR="00F9362E">
        <w:rPr>
          <w:rFonts w:eastAsia="Calibri"/>
          <w:lang w:eastAsia="en-US"/>
        </w:rPr>
        <w:t>is</w:t>
      </w:r>
      <w:r w:rsidRPr="00335BF6">
        <w:rPr>
          <w:rFonts w:eastAsia="Calibri"/>
          <w:lang w:eastAsia="en-US"/>
        </w:rPr>
        <w:t xml:space="preserve"> mandatory for all </w:t>
      </w:r>
      <w:r w:rsidR="00650AEA" w:rsidRPr="00650AEA">
        <w:rPr>
          <w:rFonts w:eastAsia="Calibri"/>
        </w:rPr>
        <w:t>organisations</w:t>
      </w:r>
      <w:r w:rsidR="00650AEA">
        <w:rPr>
          <w:rFonts w:eastAsia="Calibri"/>
        </w:rPr>
        <w:t xml:space="preserve"> </w:t>
      </w:r>
      <w:r w:rsidRPr="00335BF6">
        <w:rPr>
          <w:rFonts w:eastAsia="Calibri"/>
          <w:lang w:eastAsia="en-US"/>
        </w:rPr>
        <w:t xml:space="preserve">within the </w:t>
      </w:r>
      <w:r w:rsidRPr="00335BF6">
        <w:rPr>
          <w:rFonts w:eastAsia="Calibri"/>
          <w:lang w:eastAsia="en-US"/>
        </w:rPr>
        <w:fldChar w:fldCharType="begin"/>
      </w:r>
      <w:r w:rsidR="00156B23">
        <w:rPr>
          <w:rFonts w:eastAsia="Calibri"/>
          <w:lang w:eastAsia="en-US"/>
        </w:rPr>
        <w:instrText xml:space="preserve"> INCLUDEPICTURE "C:\\var\\folders\\_v\\j_gjsz393qzfvhkyn46jv3qsbf59y7\\T\\com.microsoft.Word\\WebArchiveCopyPasteTempFiles\\page6image15000" \* MERGEFORMAT </w:instrText>
      </w:r>
      <w:r w:rsidRPr="00335BF6">
        <w:rPr>
          <w:rFonts w:eastAsia="Calibri"/>
          <w:lang w:eastAsia="en-US"/>
        </w:rPr>
        <w:fldChar w:fldCharType="end"/>
      </w:r>
      <w:r w:rsidRPr="00335BF6">
        <w:rPr>
          <w:rFonts w:eastAsia="Calibri"/>
          <w:lang w:eastAsia="en-US"/>
        </w:rPr>
        <w:t xml:space="preserve">scope of Parts 4 and 5 of the </w:t>
      </w:r>
      <w:r w:rsidRPr="006248EB">
        <w:rPr>
          <w:rFonts w:eastAsia="Calibri"/>
          <w:i/>
          <w:iCs/>
          <w:lang w:eastAsia="en-US"/>
        </w:rPr>
        <w:t>Privacy and Data Protection Act 2014</w:t>
      </w:r>
      <w:r w:rsidR="005A5DF9">
        <w:rPr>
          <w:rFonts w:eastAsia="Calibri"/>
          <w:i/>
          <w:iCs/>
          <w:lang w:eastAsia="en-US"/>
        </w:rPr>
        <w:t xml:space="preserve"> </w:t>
      </w:r>
      <w:r w:rsidR="005A5DF9" w:rsidRPr="006248EB">
        <w:rPr>
          <w:rFonts w:eastAsia="Calibri"/>
          <w:lang w:eastAsia="en-US"/>
        </w:rPr>
        <w:t>(Vic)</w:t>
      </w:r>
      <w:r w:rsidR="009933FD">
        <w:rPr>
          <w:rFonts w:eastAsia="Calibri"/>
          <w:lang w:eastAsia="en-US"/>
        </w:rPr>
        <w:t xml:space="preserve"> (</w:t>
      </w:r>
      <w:r w:rsidR="009933FD" w:rsidRPr="009933FD">
        <w:rPr>
          <w:rFonts w:eastAsia="Calibri"/>
          <w:b/>
          <w:bCs/>
          <w:lang w:eastAsia="en-US"/>
        </w:rPr>
        <w:t>PDP Act</w:t>
      </w:r>
      <w:r w:rsidR="009933FD">
        <w:rPr>
          <w:rFonts w:eastAsia="Calibri"/>
          <w:lang w:eastAsia="en-US"/>
        </w:rPr>
        <w:t xml:space="preserve">). </w:t>
      </w:r>
    </w:p>
    <w:p w14:paraId="7A5B88BC" w14:textId="1C76993E" w:rsidR="00335BF6" w:rsidRPr="00335BF6" w:rsidRDefault="00335BF6" w:rsidP="00432ABD">
      <w:pPr>
        <w:pStyle w:val="Body"/>
        <w:rPr>
          <w:rFonts w:eastAsia="Calibri"/>
          <w:lang w:eastAsia="en-US"/>
        </w:rPr>
      </w:pPr>
      <w:r w:rsidRPr="00335BF6">
        <w:rPr>
          <w:rFonts w:eastAsia="Calibri"/>
          <w:lang w:eastAsia="en-US"/>
        </w:rPr>
        <w:t xml:space="preserve">In 2018, </w:t>
      </w:r>
      <w:r w:rsidR="00EA4D01">
        <w:rPr>
          <w:rFonts w:eastAsia="Calibri"/>
          <w:lang w:eastAsia="en-US"/>
        </w:rPr>
        <w:t xml:space="preserve">VPS </w:t>
      </w:r>
      <w:r w:rsidR="00650AEA">
        <w:rPr>
          <w:rFonts w:eastAsia="Calibri"/>
          <w:lang w:eastAsia="en-US"/>
        </w:rPr>
        <w:t>organisations</w:t>
      </w:r>
      <w:r w:rsidRPr="00335BF6">
        <w:rPr>
          <w:rFonts w:eastAsia="Calibri"/>
          <w:lang w:eastAsia="en-US"/>
        </w:rPr>
        <w:t xml:space="preserve"> submit</w:t>
      </w:r>
      <w:r w:rsidR="00F9362E">
        <w:rPr>
          <w:rFonts w:eastAsia="Calibri"/>
          <w:lang w:eastAsia="en-US"/>
        </w:rPr>
        <w:t>ted</w:t>
      </w:r>
      <w:r w:rsidRPr="00335BF6">
        <w:rPr>
          <w:rFonts w:eastAsia="Calibri"/>
          <w:lang w:eastAsia="en-US"/>
        </w:rPr>
        <w:t xml:space="preserve"> their first Protective Data Security Plans and Attestations to my office. These plans </w:t>
      </w:r>
      <w:r w:rsidR="00A71EDD">
        <w:rPr>
          <w:rFonts w:eastAsia="Calibri"/>
          <w:lang w:eastAsia="en-US"/>
        </w:rPr>
        <w:t>provide</w:t>
      </w:r>
      <w:r w:rsidR="00A71EDD" w:rsidRPr="00335BF6">
        <w:rPr>
          <w:rFonts w:eastAsia="Calibri"/>
          <w:lang w:eastAsia="en-US"/>
        </w:rPr>
        <w:t xml:space="preserve"> </w:t>
      </w:r>
      <w:r w:rsidRPr="00335BF6">
        <w:rPr>
          <w:rFonts w:eastAsia="Calibri"/>
          <w:lang w:eastAsia="en-US"/>
        </w:rPr>
        <w:t xml:space="preserve">important insights into the information security practices of </w:t>
      </w:r>
      <w:r w:rsidR="00F9362E">
        <w:rPr>
          <w:rFonts w:eastAsia="Calibri"/>
          <w:lang w:eastAsia="en-US"/>
        </w:rPr>
        <w:t>the VPS</w:t>
      </w:r>
      <w:r w:rsidRPr="00335BF6">
        <w:rPr>
          <w:rFonts w:eastAsia="Calibri"/>
          <w:lang w:eastAsia="en-US"/>
        </w:rPr>
        <w:t xml:space="preserve"> and </w:t>
      </w:r>
      <w:r w:rsidR="00A71EDD">
        <w:rPr>
          <w:rFonts w:eastAsia="Calibri"/>
          <w:lang w:eastAsia="en-US"/>
        </w:rPr>
        <w:t>describe</w:t>
      </w:r>
      <w:r w:rsidR="00A71EDD" w:rsidRPr="00335BF6">
        <w:rPr>
          <w:rFonts w:eastAsia="Calibri"/>
          <w:lang w:eastAsia="en-US"/>
        </w:rPr>
        <w:t xml:space="preserve"> </w:t>
      </w:r>
      <w:r w:rsidRPr="00335BF6">
        <w:rPr>
          <w:rFonts w:eastAsia="Calibri"/>
          <w:lang w:eastAsia="en-US"/>
        </w:rPr>
        <w:t xml:space="preserve">future work programs to enhance efforts in protecting public sector information. </w:t>
      </w:r>
    </w:p>
    <w:p w14:paraId="24998896" w14:textId="3B6DFC4F" w:rsidR="00335BF6" w:rsidRPr="00335BF6" w:rsidRDefault="00335BF6" w:rsidP="00127C50">
      <w:pPr>
        <w:pStyle w:val="Body"/>
        <w:rPr>
          <w:rFonts w:eastAsia="Calibri"/>
          <w:lang w:eastAsia="en-US"/>
        </w:rPr>
      </w:pPr>
      <w:r w:rsidRPr="00335BF6">
        <w:rPr>
          <w:rFonts w:eastAsia="Calibri"/>
          <w:lang w:eastAsia="en-US"/>
        </w:rPr>
        <w:t xml:space="preserve">The </w:t>
      </w:r>
      <w:r w:rsidR="00F9362E">
        <w:rPr>
          <w:rFonts w:eastAsia="Calibri"/>
          <w:lang w:eastAsia="en-US"/>
        </w:rPr>
        <w:t>VPS</w:t>
      </w:r>
      <w:r w:rsidRPr="00335BF6">
        <w:rPr>
          <w:rFonts w:eastAsia="Calibri"/>
          <w:lang w:eastAsia="en-US"/>
        </w:rPr>
        <w:t xml:space="preserve"> operates in an increasingly interconnected and complex world, facing new risks and managing competing priorities. The threat landscape in which the Framework was initially released, and the Standards were first issued, continues to evolve. Given this context, </w:t>
      </w:r>
      <w:r w:rsidR="00C8091B" w:rsidRPr="00490859">
        <w:rPr>
          <w:rFonts w:eastAsia="Calibri"/>
          <w:lang w:eastAsia="en-US"/>
        </w:rPr>
        <w:t>OVIC</w:t>
      </w:r>
      <w:r w:rsidR="00C8091B" w:rsidRPr="0012200B">
        <w:rPr>
          <w:rFonts w:eastAsia="Calibri"/>
          <w:lang w:eastAsia="en-US"/>
        </w:rPr>
        <w:t xml:space="preserve"> </w:t>
      </w:r>
      <w:r w:rsidRPr="00335BF6">
        <w:rPr>
          <w:rFonts w:eastAsia="Calibri"/>
          <w:lang w:eastAsia="en-US"/>
        </w:rPr>
        <w:t>commissioned an external review of the Framework and Standards</w:t>
      </w:r>
      <w:r w:rsidR="00F9362E">
        <w:rPr>
          <w:rFonts w:eastAsia="Calibri"/>
          <w:lang w:eastAsia="en-US"/>
        </w:rPr>
        <w:t xml:space="preserve"> in 2017</w:t>
      </w:r>
      <w:r w:rsidRPr="00335BF6">
        <w:rPr>
          <w:rFonts w:eastAsia="Calibri"/>
          <w:lang w:eastAsia="en-US"/>
        </w:rPr>
        <w:t xml:space="preserve">, to assess </w:t>
      </w:r>
      <w:r w:rsidR="00547D9C" w:rsidRPr="00335BF6">
        <w:rPr>
          <w:rFonts w:eastAsia="Calibri"/>
          <w:lang w:eastAsia="en-US"/>
        </w:rPr>
        <w:t>their</w:t>
      </w:r>
      <w:r w:rsidR="00A71EDD" w:rsidRPr="00335BF6">
        <w:rPr>
          <w:rFonts w:eastAsia="Calibri"/>
          <w:lang w:eastAsia="en-US"/>
        </w:rPr>
        <w:t xml:space="preserve"> </w:t>
      </w:r>
      <w:r w:rsidRPr="00335BF6">
        <w:rPr>
          <w:rFonts w:eastAsia="Calibri"/>
          <w:lang w:eastAsia="en-US"/>
        </w:rPr>
        <w:t xml:space="preserve">effectiveness and identify areas for improvement. </w:t>
      </w:r>
    </w:p>
    <w:p w14:paraId="3119B8BC" w14:textId="55181B88" w:rsidR="00335BF6" w:rsidRPr="00335BF6" w:rsidRDefault="003C46EF" w:rsidP="00127C50">
      <w:pPr>
        <w:pStyle w:val="Body"/>
        <w:rPr>
          <w:rFonts w:eastAsia="Calibri"/>
          <w:lang w:eastAsia="en-US"/>
        </w:rPr>
      </w:pPr>
      <w:r>
        <w:rPr>
          <w:rFonts w:eastAsia="Calibri"/>
          <w:lang w:eastAsia="en-US"/>
        </w:rPr>
        <w:t>Th</w:t>
      </w:r>
      <w:r w:rsidR="00C8091B">
        <w:rPr>
          <w:rFonts w:eastAsia="Calibri"/>
          <w:lang w:eastAsia="en-US"/>
        </w:rPr>
        <w:t>is r</w:t>
      </w:r>
      <w:r>
        <w:rPr>
          <w:rFonts w:eastAsia="Calibri"/>
          <w:lang w:eastAsia="en-US"/>
        </w:rPr>
        <w:t>eview</w:t>
      </w:r>
      <w:r w:rsidR="00335BF6" w:rsidRPr="00335BF6">
        <w:rPr>
          <w:rFonts w:eastAsia="Calibri"/>
          <w:lang w:eastAsia="en-US"/>
        </w:rPr>
        <w:t xml:space="preserve"> found that the Framework</w:t>
      </w:r>
      <w:r w:rsidR="006321BD">
        <w:rPr>
          <w:rFonts w:eastAsia="Calibri"/>
          <w:lang w:eastAsia="en-US"/>
        </w:rPr>
        <w:t xml:space="preserve"> and Standards</w:t>
      </w:r>
      <w:r w:rsidR="00335BF6" w:rsidRPr="00335BF6">
        <w:rPr>
          <w:rFonts w:eastAsia="Calibri"/>
          <w:lang w:eastAsia="en-US"/>
        </w:rPr>
        <w:t xml:space="preserve"> had an overwhelming positive impact for Victorian government, and that the attestation process substantially contributed to executive awareness of information security. These were both welcome findings. </w:t>
      </w:r>
      <w:r w:rsidR="00C8091B">
        <w:rPr>
          <w:rFonts w:eastAsia="Calibri"/>
          <w:lang w:eastAsia="en-US"/>
        </w:rPr>
        <w:t>It</w:t>
      </w:r>
      <w:r w:rsidR="00335BF6" w:rsidRPr="00335BF6">
        <w:rPr>
          <w:rFonts w:eastAsia="Calibri"/>
          <w:lang w:eastAsia="en-US"/>
        </w:rPr>
        <w:t xml:space="preserve"> also identified opportunities for improvement by</w:t>
      </w:r>
      <w:r w:rsidR="00A71EDD">
        <w:rPr>
          <w:rFonts w:eastAsia="Calibri"/>
          <w:lang w:eastAsia="en-US"/>
        </w:rPr>
        <w:t xml:space="preserve"> recommending</w:t>
      </w:r>
      <w:r w:rsidR="00335BF6" w:rsidRPr="00335BF6">
        <w:rPr>
          <w:rFonts w:eastAsia="Calibri"/>
          <w:lang w:eastAsia="en-US"/>
        </w:rPr>
        <w:t>:</w:t>
      </w:r>
    </w:p>
    <w:p w14:paraId="42D0E0C2" w14:textId="67F84B7B" w:rsidR="00335BF6" w:rsidRPr="00335BF6" w:rsidRDefault="003C46EF" w:rsidP="00973A5E">
      <w:pPr>
        <w:pStyle w:val="Bullet2"/>
      </w:pPr>
      <w:r>
        <w:t>simplification of</w:t>
      </w:r>
      <w:r w:rsidRPr="00335BF6">
        <w:t xml:space="preserve"> </w:t>
      </w:r>
      <w:r w:rsidR="00335BF6" w:rsidRPr="00335BF6">
        <w:t xml:space="preserve">communications </w:t>
      </w:r>
      <w:r w:rsidR="006321BD">
        <w:t>surround</w:t>
      </w:r>
      <w:r>
        <w:t>ing</w:t>
      </w:r>
      <w:r w:rsidR="006321BD">
        <w:t xml:space="preserve"> the Framework </w:t>
      </w:r>
      <w:r w:rsidR="00335BF6" w:rsidRPr="00335BF6">
        <w:t xml:space="preserve">and </w:t>
      </w:r>
      <w:r w:rsidR="00094FD4">
        <w:t>Standards</w:t>
      </w:r>
      <w:r w:rsidR="00335BF6" w:rsidRPr="00335BF6">
        <w:t>;</w:t>
      </w:r>
    </w:p>
    <w:p w14:paraId="624B51DC" w14:textId="3B7493A9" w:rsidR="00335BF6" w:rsidRPr="00335BF6" w:rsidRDefault="003C46EF" w:rsidP="00973A5E">
      <w:pPr>
        <w:pStyle w:val="Bullet2"/>
      </w:pPr>
      <w:r>
        <w:t>clarification of</w:t>
      </w:r>
      <w:r w:rsidRPr="00335BF6">
        <w:t xml:space="preserve"> </w:t>
      </w:r>
      <w:r w:rsidR="00335BF6" w:rsidRPr="00335BF6">
        <w:t>roles and responsibilities as they relate to information security; and</w:t>
      </w:r>
    </w:p>
    <w:p w14:paraId="7E904786" w14:textId="32294594" w:rsidR="00335BF6" w:rsidRPr="00335BF6" w:rsidRDefault="003C46EF" w:rsidP="00973A5E">
      <w:pPr>
        <w:pStyle w:val="Bullet2"/>
      </w:pPr>
      <w:r>
        <w:t xml:space="preserve">enhancement </w:t>
      </w:r>
      <w:r w:rsidR="00547D9C">
        <w:t xml:space="preserve">of </w:t>
      </w:r>
      <w:r w:rsidR="00547D9C" w:rsidRPr="00335BF6">
        <w:t>guidance</w:t>
      </w:r>
      <w:r w:rsidR="00335BF6" w:rsidRPr="00335BF6">
        <w:t xml:space="preserve"> material to accommodate the varying size and diverse nature of the </w:t>
      </w:r>
      <w:r w:rsidR="002E1D94">
        <w:t xml:space="preserve">VPS </w:t>
      </w:r>
      <w:r w:rsidR="00650AEA">
        <w:t xml:space="preserve">organisations </w:t>
      </w:r>
      <w:r w:rsidR="00335BF6" w:rsidRPr="00335BF6">
        <w:t xml:space="preserve">operating under </w:t>
      </w:r>
      <w:r w:rsidR="006321BD">
        <w:t>the</w:t>
      </w:r>
      <w:r w:rsidR="00335BF6" w:rsidRPr="00335BF6">
        <w:t xml:space="preserve"> scheme. </w:t>
      </w:r>
    </w:p>
    <w:p w14:paraId="108600F1" w14:textId="05C5FDF0" w:rsidR="003C46EF" w:rsidRDefault="00335BF6" w:rsidP="003C46EF">
      <w:pPr>
        <w:pStyle w:val="Body"/>
        <w:rPr>
          <w:rFonts w:eastAsia="Calibri"/>
          <w:lang w:eastAsia="en-US"/>
        </w:rPr>
      </w:pPr>
      <w:r w:rsidRPr="00335BF6">
        <w:rPr>
          <w:rFonts w:eastAsia="Calibri"/>
          <w:lang w:eastAsia="en-US"/>
        </w:rPr>
        <w:t xml:space="preserve">With these </w:t>
      </w:r>
      <w:r w:rsidR="003C46EF" w:rsidRPr="00335BF6">
        <w:rPr>
          <w:rFonts w:eastAsia="Calibri"/>
          <w:lang w:eastAsia="en-US"/>
        </w:rPr>
        <w:t>improvements</w:t>
      </w:r>
      <w:r w:rsidRPr="00335BF6">
        <w:rPr>
          <w:rFonts w:eastAsia="Calibri"/>
          <w:lang w:eastAsia="en-US"/>
        </w:rPr>
        <w:t xml:space="preserve"> in mind, OVIC’s Information Security team sought input from a wide variety of stakeholders before and during the drafting of the revised </w:t>
      </w:r>
      <w:r w:rsidR="006321BD">
        <w:rPr>
          <w:rFonts w:eastAsia="Calibri"/>
          <w:lang w:eastAsia="en-US"/>
        </w:rPr>
        <w:t>S</w:t>
      </w:r>
      <w:r w:rsidRPr="00335BF6">
        <w:rPr>
          <w:rFonts w:eastAsia="Calibri"/>
          <w:lang w:eastAsia="en-US"/>
        </w:rPr>
        <w:t xml:space="preserve">tandards, </w:t>
      </w:r>
      <w:r w:rsidR="005A5DF9">
        <w:rPr>
          <w:rFonts w:eastAsia="Calibri"/>
          <w:lang w:eastAsia="en-US"/>
        </w:rPr>
        <w:t>resulting</w:t>
      </w:r>
      <w:r w:rsidRPr="00335BF6">
        <w:rPr>
          <w:rFonts w:eastAsia="Calibri"/>
          <w:lang w:eastAsia="en-US"/>
        </w:rPr>
        <w:t xml:space="preserve"> in a streamlined and easier-to-understand </w:t>
      </w:r>
      <w:r w:rsidR="00094FD4">
        <w:rPr>
          <w:rFonts w:eastAsia="Calibri"/>
          <w:lang w:eastAsia="en-US"/>
        </w:rPr>
        <w:t>set of requirements</w:t>
      </w:r>
      <w:r w:rsidRPr="00335BF6">
        <w:rPr>
          <w:rFonts w:eastAsia="Calibri"/>
          <w:lang w:eastAsia="en-US"/>
        </w:rPr>
        <w:t xml:space="preserve">. </w:t>
      </w:r>
      <w:r w:rsidR="00D55AF4">
        <w:rPr>
          <w:rFonts w:eastAsia="Calibri"/>
          <w:lang w:eastAsia="en-US"/>
        </w:rPr>
        <w:t>The revised</w:t>
      </w:r>
      <w:r w:rsidR="00094FD4">
        <w:rPr>
          <w:rFonts w:eastAsia="Calibri"/>
          <w:lang w:eastAsia="en-US"/>
        </w:rPr>
        <w:t xml:space="preserve"> Standards </w:t>
      </w:r>
      <w:r w:rsidR="00615A55">
        <w:rPr>
          <w:rFonts w:eastAsia="Calibri"/>
          <w:lang w:eastAsia="en-US"/>
        </w:rPr>
        <w:t>were</w:t>
      </w:r>
      <w:r w:rsidR="00615A55" w:rsidRPr="00335BF6">
        <w:rPr>
          <w:rFonts w:eastAsia="Calibri"/>
          <w:lang w:eastAsia="en-US"/>
        </w:rPr>
        <w:t xml:space="preserve"> </w:t>
      </w:r>
      <w:r w:rsidRPr="00335BF6">
        <w:rPr>
          <w:rFonts w:eastAsia="Calibri"/>
          <w:lang w:eastAsia="en-US"/>
        </w:rPr>
        <w:t>agreed to by the Special Minister of State</w:t>
      </w:r>
      <w:r w:rsidR="005A5DF9">
        <w:rPr>
          <w:rFonts w:eastAsia="Calibri"/>
          <w:lang w:eastAsia="en-US"/>
        </w:rPr>
        <w:t>, The Honourable Gavin Jennings MLC</w:t>
      </w:r>
      <w:r w:rsidRPr="00335BF6">
        <w:rPr>
          <w:rFonts w:eastAsia="Calibri"/>
          <w:lang w:eastAsia="en-US"/>
        </w:rPr>
        <w:t xml:space="preserve"> in </w:t>
      </w:r>
      <w:r w:rsidR="006321BD" w:rsidRPr="00335BF6">
        <w:rPr>
          <w:rFonts w:eastAsia="Calibri"/>
          <w:lang w:eastAsia="en-US"/>
        </w:rPr>
        <w:t>October 2019</w:t>
      </w:r>
      <w:r w:rsidR="006321BD">
        <w:rPr>
          <w:rFonts w:eastAsia="Calibri"/>
          <w:lang w:eastAsia="en-US"/>
        </w:rPr>
        <w:t xml:space="preserve"> and</w:t>
      </w:r>
      <w:r w:rsidRPr="00335BF6">
        <w:rPr>
          <w:rFonts w:eastAsia="Calibri"/>
          <w:lang w:eastAsia="en-US"/>
        </w:rPr>
        <w:t xml:space="preserve"> ha</w:t>
      </w:r>
      <w:r w:rsidR="005A5DF9">
        <w:rPr>
          <w:rFonts w:eastAsia="Calibri"/>
          <w:lang w:eastAsia="en-US"/>
        </w:rPr>
        <w:t>ve</w:t>
      </w:r>
      <w:r w:rsidRPr="00335BF6">
        <w:rPr>
          <w:rFonts w:eastAsia="Calibri"/>
          <w:lang w:eastAsia="en-US"/>
        </w:rPr>
        <w:t xml:space="preserve"> been issued in accordance with my powers under the </w:t>
      </w:r>
      <w:r w:rsidR="009933FD">
        <w:rPr>
          <w:rFonts w:eastAsia="Calibri"/>
          <w:lang w:eastAsia="en-US"/>
        </w:rPr>
        <w:t>PDP Act.</w:t>
      </w:r>
      <w:r w:rsidRPr="00335BF6">
        <w:rPr>
          <w:rFonts w:eastAsia="Calibri"/>
          <w:lang w:eastAsia="en-US"/>
        </w:rPr>
        <w:t xml:space="preserve">  Th</w:t>
      </w:r>
      <w:r w:rsidR="00094FD4">
        <w:rPr>
          <w:rFonts w:eastAsia="Calibri"/>
          <w:lang w:eastAsia="en-US"/>
        </w:rPr>
        <w:t>e latest</w:t>
      </w:r>
      <w:r w:rsidRPr="00335BF6">
        <w:rPr>
          <w:rFonts w:eastAsia="Calibri"/>
          <w:lang w:eastAsia="en-US"/>
        </w:rPr>
        <w:t xml:space="preserve"> </w:t>
      </w:r>
      <w:r w:rsidR="006321BD">
        <w:rPr>
          <w:rFonts w:eastAsia="Calibri"/>
          <w:lang w:eastAsia="en-US"/>
        </w:rPr>
        <w:t>version</w:t>
      </w:r>
      <w:r w:rsidRPr="00335BF6">
        <w:rPr>
          <w:rFonts w:eastAsia="Calibri"/>
          <w:lang w:eastAsia="en-US"/>
        </w:rPr>
        <w:t xml:space="preserve"> of the </w:t>
      </w:r>
      <w:r w:rsidR="00094FD4">
        <w:rPr>
          <w:rFonts w:eastAsia="Calibri"/>
          <w:lang w:eastAsia="en-US"/>
        </w:rPr>
        <w:t>S</w:t>
      </w:r>
      <w:r w:rsidRPr="00335BF6">
        <w:rPr>
          <w:rFonts w:eastAsia="Calibri"/>
          <w:lang w:eastAsia="en-US"/>
        </w:rPr>
        <w:t xml:space="preserve">tandards </w:t>
      </w:r>
      <w:r w:rsidR="006321BD">
        <w:rPr>
          <w:rFonts w:eastAsia="Calibri"/>
          <w:lang w:eastAsia="en-US"/>
        </w:rPr>
        <w:t xml:space="preserve">contains </w:t>
      </w:r>
      <w:r w:rsidR="00094FD4">
        <w:rPr>
          <w:rFonts w:eastAsia="Calibri"/>
          <w:lang w:eastAsia="en-US"/>
        </w:rPr>
        <w:t>reference</w:t>
      </w:r>
      <w:r w:rsidR="006321BD">
        <w:rPr>
          <w:rFonts w:eastAsia="Calibri"/>
          <w:lang w:eastAsia="en-US"/>
        </w:rPr>
        <w:t>s</w:t>
      </w:r>
      <w:r w:rsidR="00094FD4" w:rsidRPr="00335BF6">
        <w:rPr>
          <w:rFonts w:eastAsia="Calibri"/>
          <w:lang w:eastAsia="en-US"/>
        </w:rPr>
        <w:t xml:space="preserve"> </w:t>
      </w:r>
      <w:r w:rsidR="006321BD">
        <w:rPr>
          <w:rFonts w:eastAsia="Calibri"/>
          <w:lang w:eastAsia="en-US"/>
        </w:rPr>
        <w:t xml:space="preserve">to </w:t>
      </w:r>
      <w:r w:rsidR="00927AB9">
        <w:rPr>
          <w:rFonts w:eastAsia="Calibri"/>
          <w:lang w:eastAsia="en-US"/>
        </w:rPr>
        <w:t>s</w:t>
      </w:r>
      <w:r w:rsidR="00927AB9" w:rsidRPr="00335BF6">
        <w:rPr>
          <w:rFonts w:eastAsia="Calibri"/>
          <w:lang w:eastAsia="en-US"/>
        </w:rPr>
        <w:t>upporting</w:t>
      </w:r>
      <w:r w:rsidR="00094FD4" w:rsidRPr="00335BF6">
        <w:rPr>
          <w:rFonts w:eastAsia="Calibri"/>
          <w:lang w:eastAsia="en-US"/>
        </w:rPr>
        <w:t xml:space="preserve"> material </w:t>
      </w:r>
      <w:r w:rsidR="006321BD">
        <w:rPr>
          <w:rFonts w:eastAsia="Calibri"/>
          <w:lang w:eastAsia="en-US"/>
        </w:rPr>
        <w:t>to</w:t>
      </w:r>
      <w:r w:rsidR="00094FD4">
        <w:rPr>
          <w:rFonts w:eastAsia="Calibri"/>
          <w:lang w:eastAsia="en-US"/>
        </w:rPr>
        <w:t xml:space="preserve"> help</w:t>
      </w:r>
      <w:r w:rsidR="006321BD">
        <w:rPr>
          <w:rFonts w:eastAsia="Calibri"/>
          <w:lang w:eastAsia="en-US"/>
        </w:rPr>
        <w:t xml:space="preserve"> </w:t>
      </w:r>
      <w:r w:rsidR="002E1D94">
        <w:rPr>
          <w:rFonts w:eastAsia="Calibri"/>
          <w:lang w:eastAsia="en-US"/>
        </w:rPr>
        <w:t xml:space="preserve">VPS </w:t>
      </w:r>
      <w:r w:rsidR="00650AEA">
        <w:rPr>
          <w:rFonts w:eastAsia="Calibri"/>
          <w:lang w:eastAsia="en-US"/>
        </w:rPr>
        <w:t>organisations</w:t>
      </w:r>
      <w:r w:rsidR="00094FD4">
        <w:rPr>
          <w:rFonts w:eastAsia="Calibri"/>
          <w:lang w:eastAsia="en-US"/>
        </w:rPr>
        <w:t xml:space="preserve"> map their existing security efforts to the updated requirements</w:t>
      </w:r>
      <w:r w:rsidRPr="00335BF6">
        <w:rPr>
          <w:rFonts w:eastAsia="Calibri"/>
          <w:lang w:eastAsia="en-US"/>
        </w:rPr>
        <w:t xml:space="preserve">, as well as </w:t>
      </w:r>
      <w:r w:rsidR="00094FD4">
        <w:rPr>
          <w:rFonts w:eastAsia="Calibri"/>
          <w:lang w:eastAsia="en-US"/>
        </w:rPr>
        <w:t>providing</w:t>
      </w:r>
      <w:r w:rsidRPr="00335BF6">
        <w:rPr>
          <w:rFonts w:eastAsia="Calibri"/>
          <w:lang w:eastAsia="en-US"/>
        </w:rPr>
        <w:t xml:space="preserve"> </w:t>
      </w:r>
      <w:r w:rsidR="00094FD4">
        <w:rPr>
          <w:rFonts w:eastAsia="Calibri"/>
          <w:lang w:eastAsia="en-US"/>
        </w:rPr>
        <w:t xml:space="preserve">the basis for these information security </w:t>
      </w:r>
      <w:r w:rsidR="006321BD">
        <w:rPr>
          <w:rFonts w:eastAsia="Calibri"/>
          <w:lang w:eastAsia="en-US"/>
        </w:rPr>
        <w:t>obligations</w:t>
      </w:r>
      <w:r w:rsidRPr="00335BF6">
        <w:rPr>
          <w:rFonts w:eastAsia="Calibri"/>
          <w:lang w:eastAsia="en-US"/>
        </w:rPr>
        <w:t>.</w:t>
      </w:r>
    </w:p>
    <w:p w14:paraId="18C67512" w14:textId="6151DB62" w:rsidR="003C46EF" w:rsidRPr="00335BF6" w:rsidRDefault="003C46EF" w:rsidP="00127C50">
      <w:pPr>
        <w:pStyle w:val="Body"/>
        <w:rPr>
          <w:rFonts w:eastAsia="Calibri"/>
          <w:lang w:eastAsia="en-US"/>
        </w:rPr>
      </w:pPr>
      <w:r>
        <w:rPr>
          <w:rFonts w:eastAsia="Calibri"/>
          <w:lang w:eastAsia="en-US"/>
        </w:rPr>
        <w:t xml:space="preserve">In addition, the Framework </w:t>
      </w:r>
      <w:r w:rsidR="00EA4D01">
        <w:rPr>
          <w:rFonts w:eastAsia="Calibri"/>
          <w:lang w:eastAsia="en-US"/>
        </w:rPr>
        <w:t>has been</w:t>
      </w:r>
      <w:r>
        <w:rPr>
          <w:rFonts w:eastAsia="Calibri"/>
          <w:lang w:eastAsia="en-US"/>
        </w:rPr>
        <w:t xml:space="preserve"> updated to address the recommendations from the Review.</w:t>
      </w:r>
    </w:p>
    <w:p w14:paraId="60A35501" w14:textId="2DBACE27" w:rsidR="00335BF6" w:rsidRDefault="00335BF6" w:rsidP="00127C50">
      <w:pPr>
        <w:pStyle w:val="Body"/>
        <w:rPr>
          <w:rFonts w:eastAsia="Calibri"/>
          <w:lang w:eastAsia="en-US"/>
        </w:rPr>
      </w:pPr>
      <w:r w:rsidRPr="00335BF6">
        <w:rPr>
          <w:rFonts w:eastAsia="Calibri"/>
          <w:lang w:eastAsia="en-US"/>
        </w:rPr>
        <w:t xml:space="preserve">I encourage VPS organisations to continue to build resilient business practices, supported by a strong information security culture. By doing so, we </w:t>
      </w:r>
      <w:r w:rsidR="00D32E66">
        <w:rPr>
          <w:rFonts w:eastAsia="Calibri"/>
          <w:lang w:eastAsia="en-US"/>
        </w:rPr>
        <w:t xml:space="preserve">help </w:t>
      </w:r>
      <w:r w:rsidRPr="00335BF6">
        <w:rPr>
          <w:rFonts w:eastAsia="Calibri"/>
          <w:lang w:eastAsia="en-US"/>
        </w:rPr>
        <w:t xml:space="preserve">build public trust and ensure a </w:t>
      </w:r>
      <w:r w:rsidR="00094FD4">
        <w:rPr>
          <w:rFonts w:eastAsia="Calibri"/>
          <w:lang w:eastAsia="en-US"/>
        </w:rPr>
        <w:t>solid</w:t>
      </w:r>
      <w:r w:rsidRPr="00335BF6">
        <w:rPr>
          <w:rFonts w:eastAsia="Calibri"/>
          <w:lang w:eastAsia="en-US"/>
        </w:rPr>
        <w:t xml:space="preserve"> future for all Victorians. OVIC will continue to develop support </w:t>
      </w:r>
      <w:r w:rsidR="003C46EF">
        <w:rPr>
          <w:rFonts w:eastAsia="Calibri"/>
          <w:lang w:eastAsia="en-US"/>
        </w:rPr>
        <w:t xml:space="preserve">for </w:t>
      </w:r>
      <w:r w:rsidR="002E1D94">
        <w:rPr>
          <w:rFonts w:eastAsia="Calibri"/>
          <w:lang w:eastAsia="en-US"/>
        </w:rPr>
        <w:t xml:space="preserve">VPS </w:t>
      </w:r>
      <w:r w:rsidR="00650AEA">
        <w:rPr>
          <w:rFonts w:eastAsia="Calibri"/>
          <w:lang w:eastAsia="en-US"/>
        </w:rPr>
        <w:t>organisations</w:t>
      </w:r>
      <w:r w:rsidRPr="00335BF6">
        <w:rPr>
          <w:rFonts w:eastAsia="Calibri"/>
          <w:lang w:eastAsia="en-US"/>
        </w:rPr>
        <w:t xml:space="preserve"> by developing resources to assist in implementing the Standards. My office looks forward to working with the VPS to deliver efficient, effective and secure outcomes for all. </w:t>
      </w:r>
    </w:p>
    <w:p w14:paraId="7500E698" w14:textId="42906352" w:rsidR="00335BF6" w:rsidRPr="00067F0F" w:rsidRDefault="00067F0F" w:rsidP="00067F0F">
      <w:pPr>
        <w:pStyle w:val="Body"/>
        <w:spacing w:before="360"/>
        <w:ind w:left="-340"/>
        <w:rPr>
          <w:rFonts w:eastAsia="Calibri"/>
          <w:lang w:eastAsia="en-US"/>
        </w:rPr>
      </w:pPr>
      <w:r>
        <w:rPr>
          <w:rFonts w:eastAsia="Calibri"/>
          <w:noProof/>
          <w:lang w:eastAsia="en-US"/>
        </w:rPr>
        <w:drawing>
          <wp:inline distT="0" distB="0" distL="0" distR="0" wp14:anchorId="15472349" wp14:editId="4F670F5F">
            <wp:extent cx="1473200" cy="876300"/>
            <wp:effectExtent l="0" t="0" r="0" b="0"/>
            <wp:docPr id="9" name="Picture 9"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en's Signature.png"/>
                    <pic:cNvPicPr/>
                  </pic:nvPicPr>
                  <pic:blipFill>
                    <a:blip r:embed="rId18">
                      <a:extLst>
                        <a:ext uri="{28A0092B-C50C-407E-A947-70E740481C1C}">
                          <a14:useLocalDpi xmlns:a14="http://schemas.microsoft.com/office/drawing/2010/main" val="0"/>
                        </a:ext>
                      </a:extLst>
                    </a:blip>
                    <a:stretch>
                      <a:fillRect/>
                    </a:stretch>
                  </pic:blipFill>
                  <pic:spPr>
                    <a:xfrm>
                      <a:off x="0" y="0"/>
                      <a:ext cx="1473200" cy="876300"/>
                    </a:xfrm>
                    <a:prstGeom prst="rect">
                      <a:avLst/>
                    </a:prstGeom>
                  </pic:spPr>
                </pic:pic>
              </a:graphicData>
            </a:graphic>
          </wp:inline>
        </w:drawing>
      </w:r>
    </w:p>
    <w:p w14:paraId="3E9B5040" w14:textId="2F3F4FF9" w:rsidR="00335BF6" w:rsidRPr="00067F0F" w:rsidRDefault="000E3042" w:rsidP="00067F0F">
      <w:pPr>
        <w:pStyle w:val="BodyText"/>
        <w:spacing w:before="2"/>
        <w:rPr>
          <w:rFonts w:asciiTheme="minorHAnsi" w:eastAsia="Arial Unicode MS" w:hAnsiTheme="minorHAnsi" w:cs="Arial Unicode MS"/>
          <w:color w:val="7F7F7F" w:themeColor="text1" w:themeTint="80"/>
        </w:rPr>
      </w:pPr>
      <w:r w:rsidRPr="00067F0F">
        <w:rPr>
          <w:rFonts w:asciiTheme="minorHAnsi" w:eastAsia="Arial Unicode MS" w:hAnsiTheme="minorHAnsi" w:cs="Arial Unicode MS"/>
          <w:color w:val="7F7F7F" w:themeColor="text1" w:themeTint="80"/>
        </w:rPr>
        <w:t xml:space="preserve">Sven </w:t>
      </w:r>
      <w:proofErr w:type="spellStart"/>
      <w:r w:rsidRPr="00067F0F">
        <w:rPr>
          <w:rFonts w:asciiTheme="minorHAnsi" w:eastAsia="Arial Unicode MS" w:hAnsiTheme="minorHAnsi" w:cs="Arial Unicode MS"/>
          <w:color w:val="7F7F7F" w:themeColor="text1" w:themeTint="80"/>
        </w:rPr>
        <w:t>Bluemmel</w:t>
      </w:r>
      <w:proofErr w:type="spellEnd"/>
    </w:p>
    <w:p w14:paraId="2AEBC612" w14:textId="56F4510A" w:rsidR="00067F0F" w:rsidRPr="00067F0F" w:rsidRDefault="00067F0F" w:rsidP="00067F0F">
      <w:pPr>
        <w:pStyle w:val="BodyText"/>
        <w:spacing w:before="2"/>
        <w:rPr>
          <w:rFonts w:asciiTheme="minorHAnsi" w:eastAsia="Arial Unicode MS" w:hAnsiTheme="minorHAnsi" w:cs="Arial Unicode MS"/>
          <w:color w:val="7F7F7F" w:themeColor="text1" w:themeTint="80"/>
        </w:rPr>
      </w:pPr>
      <w:r w:rsidRPr="00067F0F">
        <w:rPr>
          <w:rFonts w:asciiTheme="minorHAnsi" w:eastAsia="Arial Unicode MS" w:hAnsiTheme="minorHAnsi" w:cs="Arial Unicode MS"/>
          <w:color w:val="7F7F7F" w:themeColor="text1" w:themeTint="80"/>
        </w:rPr>
        <w:t>Information Commissioner</w:t>
      </w:r>
    </w:p>
    <w:p w14:paraId="75D5CF16" w14:textId="67641307" w:rsidR="00067F0F" w:rsidRPr="00067F0F" w:rsidRDefault="00067F0F" w:rsidP="00067F0F">
      <w:pPr>
        <w:pStyle w:val="BodyText"/>
        <w:spacing w:before="2"/>
        <w:rPr>
          <w:rFonts w:asciiTheme="minorHAnsi" w:eastAsia="Arial Unicode MS" w:hAnsiTheme="minorHAnsi" w:cs="Arial Unicode MS"/>
          <w:color w:val="7F7F7F" w:themeColor="text1" w:themeTint="80"/>
        </w:rPr>
      </w:pPr>
      <w:r w:rsidRPr="00067F0F">
        <w:rPr>
          <w:rFonts w:asciiTheme="minorHAnsi" w:eastAsia="Arial Unicode MS" w:hAnsiTheme="minorHAnsi" w:cs="Arial Unicode MS"/>
          <w:color w:val="7F7F7F" w:themeColor="text1" w:themeTint="80"/>
        </w:rPr>
        <w:t>February 2020</w:t>
      </w:r>
    </w:p>
    <w:p w14:paraId="231C7372" w14:textId="77777777" w:rsidR="00432ABD" w:rsidRDefault="00432ABD">
      <w:pPr>
        <w:rPr>
          <w:rFonts w:ascii="Arial" w:eastAsia="Calibri" w:hAnsi="Arial" w:cs="Arial"/>
          <w:b/>
          <w:color w:val="430098"/>
          <w:sz w:val="40"/>
          <w:szCs w:val="40"/>
          <w:lang w:val="en-GB" w:eastAsia="en-US"/>
        </w:rPr>
      </w:pPr>
      <w:r>
        <w:br w:type="page"/>
      </w:r>
    </w:p>
    <w:p w14:paraId="10267637" w14:textId="015F2F92" w:rsidR="00925519" w:rsidRPr="00E136E1" w:rsidRDefault="008218F2" w:rsidP="008218F2">
      <w:pPr>
        <w:pStyle w:val="DocumentTitle"/>
        <w:rPr>
          <w:rFonts w:asciiTheme="minorHAnsi" w:hAnsiTheme="minorHAnsi"/>
        </w:rPr>
      </w:pPr>
      <w:r w:rsidRPr="00E136E1">
        <w:rPr>
          <w:rFonts w:asciiTheme="minorHAnsi" w:hAnsiTheme="minorHAnsi"/>
        </w:rPr>
        <w:lastRenderedPageBreak/>
        <w:t>Part One</w:t>
      </w:r>
    </w:p>
    <w:p w14:paraId="6812BE63" w14:textId="2D6ED678" w:rsidR="008218F2" w:rsidRPr="00E136E1" w:rsidRDefault="008218F2" w:rsidP="00925519">
      <w:pPr>
        <w:pStyle w:val="DocumentTitle"/>
        <w:spacing w:after="360"/>
        <w:rPr>
          <w:rFonts w:asciiTheme="minorHAnsi" w:hAnsiTheme="minorHAnsi"/>
        </w:rPr>
      </w:pPr>
      <w:r w:rsidRPr="00E136E1">
        <w:rPr>
          <w:rFonts w:asciiTheme="minorHAnsi" w:hAnsiTheme="minorHAnsi"/>
        </w:rPr>
        <w:t>Introduction</w:t>
      </w:r>
      <w:r w:rsidR="00476E5E" w:rsidRPr="00E136E1">
        <w:rPr>
          <w:rFonts w:asciiTheme="minorHAnsi" w:hAnsiTheme="minorHAnsi"/>
        </w:rPr>
        <w:t xml:space="preserve"> to the Framework</w:t>
      </w:r>
    </w:p>
    <w:p w14:paraId="044723E7" w14:textId="0A205F9B" w:rsidR="009254A3" w:rsidRPr="007560B3" w:rsidRDefault="009254A3" w:rsidP="009254A3">
      <w:pPr>
        <w:pStyle w:val="Body"/>
      </w:pPr>
      <w:bookmarkStart w:id="4" w:name="_Toc25069503"/>
      <w:r w:rsidRPr="007560B3">
        <w:t xml:space="preserve">This document is intended for </w:t>
      </w:r>
      <w:r w:rsidRPr="00A13EAF">
        <w:t>VPS organisation</w:t>
      </w:r>
      <w:r w:rsidRPr="00D32E66">
        <w:t>s</w:t>
      </w:r>
      <w:r w:rsidRPr="007560B3">
        <w:t xml:space="preserve"> (including employees, contractors and external parties) that are subject to the protective data security provisions under Part </w:t>
      </w:r>
      <w:r w:rsidR="006248EB">
        <w:t>4</w:t>
      </w:r>
      <w:r w:rsidR="006248EB" w:rsidRPr="007560B3">
        <w:t xml:space="preserve"> </w:t>
      </w:r>
      <w:r w:rsidRPr="007560B3">
        <w:t xml:space="preserve">of Victoria’s </w:t>
      </w:r>
      <w:r>
        <w:t>PDP Act.</w:t>
      </w:r>
    </w:p>
    <w:p w14:paraId="383907A5" w14:textId="18FFB4E8" w:rsidR="009254A3" w:rsidRDefault="009254A3" w:rsidP="009254A3">
      <w:pPr>
        <w:pStyle w:val="Body"/>
      </w:pPr>
      <w:r w:rsidRPr="007560B3">
        <w:t xml:space="preserve">This </w:t>
      </w:r>
      <w:r>
        <w:t>document</w:t>
      </w:r>
      <w:r w:rsidRPr="007560B3">
        <w:t xml:space="preserve"> is </w:t>
      </w:r>
      <w:r w:rsidR="00D32E66">
        <w:t xml:space="preserve">primarily </w:t>
      </w:r>
      <w:r>
        <w:t xml:space="preserve">written </w:t>
      </w:r>
      <w:r w:rsidR="00D32E66">
        <w:t xml:space="preserve">to inform </w:t>
      </w:r>
      <w:r>
        <w:t>executives and</w:t>
      </w:r>
      <w:r w:rsidRPr="007560B3">
        <w:t xml:space="preserve"> </w:t>
      </w:r>
      <w:r>
        <w:t xml:space="preserve">designed </w:t>
      </w:r>
      <w:r w:rsidRPr="007560B3">
        <w:t>to support</w:t>
      </w:r>
      <w:r>
        <w:t xml:space="preserve"> information security </w:t>
      </w:r>
      <w:r w:rsidRPr="007560B3">
        <w:t>practitioners</w:t>
      </w:r>
      <w:r>
        <w:t xml:space="preserve">. </w:t>
      </w:r>
    </w:p>
    <w:p w14:paraId="52C069ED" w14:textId="2928D339" w:rsidR="00692598" w:rsidRPr="00067F0F" w:rsidRDefault="000D1C5C" w:rsidP="00067F0F">
      <w:pPr>
        <w:pStyle w:val="SectionHeading"/>
        <w:rPr>
          <w:rFonts w:eastAsia="Arial Unicode MS"/>
        </w:rPr>
      </w:pPr>
      <w:bookmarkStart w:id="5" w:name="_Toc33019508"/>
      <w:r w:rsidRPr="00067F0F">
        <w:rPr>
          <w:rFonts w:eastAsia="Arial Unicode MS"/>
        </w:rPr>
        <w:t>Commencement of the PDP Act</w:t>
      </w:r>
      <w:bookmarkEnd w:id="5"/>
    </w:p>
    <w:p w14:paraId="3AAC8689" w14:textId="17AB98E9" w:rsidR="00692598" w:rsidRDefault="00692598" w:rsidP="00692598">
      <w:pPr>
        <w:pStyle w:val="Body"/>
        <w:rPr>
          <w:rFonts w:eastAsia="Calibri"/>
        </w:rPr>
      </w:pPr>
      <w:r>
        <w:rPr>
          <w:rFonts w:eastAsia="Calibri"/>
        </w:rPr>
        <w:t>In 2014</w:t>
      </w:r>
      <w:r w:rsidR="006A3BD4">
        <w:rPr>
          <w:rFonts w:eastAsia="Calibri"/>
        </w:rPr>
        <w:t>,</w:t>
      </w:r>
      <w:r>
        <w:rPr>
          <w:rFonts w:eastAsia="Calibri"/>
        </w:rPr>
        <w:t xml:space="preserve"> the</w:t>
      </w:r>
      <w:r w:rsidRPr="00D56549">
        <w:rPr>
          <w:rFonts w:eastAsia="Calibri"/>
        </w:rPr>
        <w:t xml:space="preserve"> </w:t>
      </w:r>
      <w:r>
        <w:rPr>
          <w:rFonts w:eastAsia="Calibri"/>
        </w:rPr>
        <w:t xml:space="preserve">PDP Act was </w:t>
      </w:r>
      <w:r w:rsidR="00615A55">
        <w:rPr>
          <w:rFonts w:eastAsia="Calibri"/>
        </w:rPr>
        <w:t>passed by the Parliament</w:t>
      </w:r>
      <w:r>
        <w:rPr>
          <w:rFonts w:eastAsia="Calibri"/>
        </w:rPr>
        <w:t>, ushering in Australia’s first</w:t>
      </w:r>
      <w:r w:rsidR="00D32E66">
        <w:rPr>
          <w:rFonts w:eastAsia="Calibri"/>
        </w:rPr>
        <w:t xml:space="preserve"> broad-based</w:t>
      </w:r>
      <w:r>
        <w:rPr>
          <w:rFonts w:eastAsia="Calibri"/>
        </w:rPr>
        <w:t xml:space="preserve"> legislated information security requirements. </w:t>
      </w:r>
    </w:p>
    <w:p w14:paraId="07B1FCA8" w14:textId="50556426" w:rsidR="00692598" w:rsidRPr="00D56549" w:rsidRDefault="00692598" w:rsidP="00692598">
      <w:pPr>
        <w:pStyle w:val="Body"/>
        <w:rPr>
          <w:rFonts w:eastAsia="Calibri"/>
        </w:rPr>
      </w:pPr>
      <w:r>
        <w:rPr>
          <w:rFonts w:eastAsia="Calibri"/>
        </w:rPr>
        <w:t xml:space="preserve">The </w:t>
      </w:r>
      <w:r w:rsidR="005A5DF9">
        <w:rPr>
          <w:rFonts w:eastAsia="Calibri"/>
        </w:rPr>
        <w:t xml:space="preserve">PDP </w:t>
      </w:r>
      <w:r>
        <w:rPr>
          <w:rFonts w:eastAsia="Calibri"/>
        </w:rPr>
        <w:t>Act</w:t>
      </w:r>
      <w:r w:rsidRPr="00D56549">
        <w:rPr>
          <w:rFonts w:eastAsia="Calibri"/>
        </w:rPr>
        <w:t xml:space="preserve"> </w:t>
      </w:r>
      <w:r>
        <w:rPr>
          <w:rFonts w:eastAsia="Calibri"/>
        </w:rPr>
        <w:t>s</w:t>
      </w:r>
      <w:r w:rsidRPr="00D56549">
        <w:rPr>
          <w:rFonts w:eastAsia="Calibri"/>
        </w:rPr>
        <w:t>ignificantly change</w:t>
      </w:r>
      <w:r>
        <w:rPr>
          <w:rFonts w:eastAsia="Calibri"/>
        </w:rPr>
        <w:t>d</w:t>
      </w:r>
      <w:r w:rsidRPr="00D56549">
        <w:rPr>
          <w:rFonts w:eastAsia="Calibri"/>
        </w:rPr>
        <w:t xml:space="preserve"> the </w:t>
      </w:r>
      <w:r>
        <w:rPr>
          <w:rFonts w:eastAsia="Calibri"/>
        </w:rPr>
        <w:t xml:space="preserve">information security </w:t>
      </w:r>
      <w:r w:rsidRPr="00D56549">
        <w:rPr>
          <w:rFonts w:eastAsia="Calibri"/>
        </w:rPr>
        <w:t>regulatory landscape</w:t>
      </w:r>
      <w:r>
        <w:rPr>
          <w:rFonts w:eastAsia="Calibri"/>
        </w:rPr>
        <w:t>, empowering</w:t>
      </w:r>
      <w:r>
        <w:rPr>
          <w:rStyle w:val="FootnoteReference"/>
          <w:rFonts w:eastAsia="Calibri"/>
        </w:rPr>
        <w:footnoteReference w:id="1"/>
      </w:r>
      <w:r>
        <w:rPr>
          <w:rFonts w:eastAsia="Calibri"/>
        </w:rPr>
        <w:t xml:space="preserve"> the </w:t>
      </w:r>
      <w:r w:rsidRPr="00D56549">
        <w:rPr>
          <w:rFonts w:eastAsia="Calibri"/>
        </w:rPr>
        <w:t>Victorian Information Commissioner</w:t>
      </w:r>
      <w:r>
        <w:rPr>
          <w:rFonts w:eastAsia="Calibri"/>
        </w:rPr>
        <w:t xml:space="preserve"> </w:t>
      </w:r>
      <w:r w:rsidRPr="00D56549">
        <w:rPr>
          <w:rFonts w:eastAsia="Calibri"/>
        </w:rPr>
        <w:t>to:</w:t>
      </w:r>
    </w:p>
    <w:p w14:paraId="52366610" w14:textId="7AF70B4F" w:rsidR="00692598" w:rsidRPr="00D56549" w:rsidRDefault="00692598" w:rsidP="00973A5E">
      <w:pPr>
        <w:pStyle w:val="Bullet2"/>
      </w:pPr>
      <w:r w:rsidRPr="00D56549">
        <w:t>develop the</w:t>
      </w:r>
      <w:r>
        <w:t xml:space="preserve"> </w:t>
      </w:r>
      <w:r w:rsidR="00D20334" w:rsidRPr="0076606E">
        <w:rPr>
          <w:bCs/>
        </w:rPr>
        <w:t>Framework</w:t>
      </w:r>
      <w:r w:rsidR="00D20334" w:rsidRPr="000D1C5C">
        <w:rPr>
          <w:bCs/>
        </w:rPr>
        <w:t xml:space="preserve"> </w:t>
      </w:r>
      <w:r w:rsidRPr="000D1C5C">
        <w:rPr>
          <w:bCs/>
        </w:rPr>
        <w:t>for</w:t>
      </w:r>
      <w:r w:rsidRPr="00D56549">
        <w:t xml:space="preserve"> monitoring and assuring public sector data security</w:t>
      </w:r>
      <w:r>
        <w:t>; and</w:t>
      </w:r>
    </w:p>
    <w:p w14:paraId="127EBD6F" w14:textId="61CF218F" w:rsidR="00692598" w:rsidRDefault="00692598" w:rsidP="00973A5E">
      <w:pPr>
        <w:pStyle w:val="Bullet2"/>
        <w:rPr>
          <w:bCs/>
        </w:rPr>
      </w:pPr>
      <w:r w:rsidRPr="00D56549">
        <w:t>issue the</w:t>
      </w:r>
      <w:r>
        <w:t xml:space="preserve"> </w:t>
      </w:r>
      <w:r w:rsidR="001E27B8" w:rsidRPr="001E27B8">
        <w:rPr>
          <w:bCs/>
        </w:rPr>
        <w:t>Standards</w:t>
      </w:r>
      <w:r w:rsidR="001E27B8" w:rsidRPr="001E27B8">
        <w:rPr>
          <w:rStyle w:val="FootnoteReference"/>
          <w:bCs/>
        </w:rPr>
        <w:footnoteReference w:id="2"/>
      </w:r>
      <w:r w:rsidRPr="001E27B8">
        <w:rPr>
          <w:bCs/>
        </w:rPr>
        <w:t>.</w:t>
      </w:r>
      <w:bookmarkEnd w:id="4"/>
    </w:p>
    <w:p w14:paraId="31AD2F2C" w14:textId="096D1DBC" w:rsidR="00CF2C0F" w:rsidRPr="00A13EAF" w:rsidRDefault="00CF2C0F" w:rsidP="006248EB">
      <w:pPr>
        <w:pStyle w:val="SectionHeading"/>
        <w:rPr>
          <w:rFonts w:eastAsia="Arial Unicode MS"/>
        </w:rPr>
      </w:pPr>
      <w:bookmarkStart w:id="6" w:name="_Toc33019509"/>
      <w:r w:rsidRPr="006248EB">
        <w:rPr>
          <w:rFonts w:eastAsia="Arial Unicode MS"/>
        </w:rPr>
        <w:t xml:space="preserve">What is </w:t>
      </w:r>
      <w:r w:rsidR="005A5DF9">
        <w:rPr>
          <w:rFonts w:eastAsia="Arial Unicode MS"/>
        </w:rPr>
        <w:t>p</w:t>
      </w:r>
      <w:r w:rsidRPr="006248EB">
        <w:rPr>
          <w:rFonts w:eastAsia="Arial Unicode MS"/>
        </w:rPr>
        <w:t xml:space="preserve">rotective </w:t>
      </w:r>
      <w:r w:rsidR="005A5DF9">
        <w:rPr>
          <w:rFonts w:eastAsia="Arial Unicode MS"/>
        </w:rPr>
        <w:t>d</w:t>
      </w:r>
      <w:r w:rsidRPr="006248EB">
        <w:rPr>
          <w:rFonts w:eastAsia="Arial Unicode MS"/>
        </w:rPr>
        <w:t xml:space="preserve">ata </w:t>
      </w:r>
      <w:r w:rsidR="005A5DF9">
        <w:rPr>
          <w:rFonts w:eastAsia="Arial Unicode MS"/>
        </w:rPr>
        <w:t>s</w:t>
      </w:r>
      <w:r w:rsidRPr="006248EB">
        <w:rPr>
          <w:rFonts w:eastAsia="Arial Unicode MS"/>
        </w:rPr>
        <w:t>ecurity</w:t>
      </w:r>
      <w:r w:rsidRPr="00A13EAF">
        <w:rPr>
          <w:rFonts w:eastAsia="Arial Unicode MS"/>
        </w:rPr>
        <w:t>?</w:t>
      </w:r>
      <w:bookmarkEnd w:id="6"/>
    </w:p>
    <w:p w14:paraId="5BF78040" w14:textId="77777777" w:rsidR="00CF2C0F" w:rsidRDefault="00CF2C0F" w:rsidP="00A13EAF">
      <w:pPr>
        <w:pStyle w:val="Body"/>
        <w:rPr>
          <w:rFonts w:eastAsia="Museo Sans"/>
          <w:lang w:eastAsia="en-US" w:bidi="en-US"/>
        </w:rPr>
      </w:pPr>
      <w:r w:rsidRPr="007B4016">
        <w:rPr>
          <w:rFonts w:eastAsia="Museo Sans"/>
          <w:lang w:eastAsia="en-US" w:bidi="en-US"/>
        </w:rPr>
        <w:t xml:space="preserve">Protective data security </w:t>
      </w:r>
      <w:r>
        <w:rPr>
          <w:rFonts w:eastAsia="Museo Sans"/>
          <w:lang w:eastAsia="en-US" w:bidi="en-US"/>
        </w:rPr>
        <w:t>is</w:t>
      </w:r>
      <w:r w:rsidRPr="007B4016">
        <w:rPr>
          <w:rFonts w:eastAsia="Museo Sans"/>
          <w:lang w:eastAsia="en-US" w:bidi="en-US"/>
        </w:rPr>
        <w:t xml:space="preserve"> a risk management process designed to safeguard information assets and systems in a way that is proportionate to threats and supportive of business outcomes. </w:t>
      </w:r>
    </w:p>
    <w:p w14:paraId="41000C37" w14:textId="170A2F51" w:rsidR="00CF2C0F" w:rsidRDefault="00CF2C0F" w:rsidP="00A13EAF">
      <w:pPr>
        <w:pStyle w:val="Body"/>
        <w:rPr>
          <w:rFonts w:eastAsia="Museo Sans"/>
          <w:lang w:eastAsia="en-US" w:bidi="en-US"/>
        </w:rPr>
      </w:pPr>
      <w:r>
        <w:rPr>
          <w:rFonts w:eastAsia="Museo Sans"/>
          <w:lang w:eastAsia="en-US" w:bidi="en-US"/>
        </w:rPr>
        <w:t xml:space="preserve">A combination of </w:t>
      </w:r>
      <w:r w:rsidRPr="007B4016">
        <w:rPr>
          <w:rFonts w:eastAsia="Museo Sans"/>
          <w:lang w:eastAsia="en-US" w:bidi="en-US"/>
        </w:rPr>
        <w:t xml:space="preserve">procedural, </w:t>
      </w:r>
      <w:r w:rsidR="0076606E" w:rsidRPr="007B4016">
        <w:rPr>
          <w:rFonts w:eastAsia="Museo Sans"/>
          <w:lang w:eastAsia="en-US" w:bidi="en-US"/>
        </w:rPr>
        <w:t>information</w:t>
      </w:r>
      <w:r w:rsidR="0076606E">
        <w:rPr>
          <w:rFonts w:eastAsia="Museo Sans"/>
          <w:lang w:eastAsia="en-US" w:bidi="en-US"/>
        </w:rPr>
        <w:t>, personnel</w:t>
      </w:r>
      <w:r w:rsidRPr="007B4016">
        <w:rPr>
          <w:rFonts w:eastAsia="Museo Sans"/>
          <w:lang w:eastAsia="en-US" w:bidi="en-US"/>
        </w:rPr>
        <w:t xml:space="preserve">, </w:t>
      </w:r>
      <w:r w:rsidR="00CA678F">
        <w:rPr>
          <w:rFonts w:eastAsia="Museo Sans"/>
          <w:lang w:eastAsia="en-US" w:bidi="en-US"/>
        </w:rPr>
        <w:t>information communications technology</w:t>
      </w:r>
      <w:r w:rsidRPr="007B4016">
        <w:rPr>
          <w:rFonts w:eastAsia="Museo Sans"/>
          <w:lang w:eastAsia="en-US" w:bidi="en-US"/>
        </w:rPr>
        <w:t xml:space="preserve"> </w:t>
      </w:r>
      <w:r w:rsidR="0076606E">
        <w:rPr>
          <w:rFonts w:eastAsia="Museo Sans"/>
          <w:lang w:eastAsia="en-US" w:bidi="en-US"/>
        </w:rPr>
        <w:t>and physical</w:t>
      </w:r>
      <w:r w:rsidR="0076606E" w:rsidRPr="007B4016">
        <w:rPr>
          <w:rFonts w:eastAsia="Museo Sans"/>
          <w:lang w:eastAsia="en-US" w:bidi="en-US"/>
        </w:rPr>
        <w:t xml:space="preserve"> </w:t>
      </w:r>
      <w:r w:rsidRPr="007B4016">
        <w:rPr>
          <w:rFonts w:eastAsia="Museo Sans"/>
          <w:lang w:eastAsia="en-US" w:bidi="en-US"/>
        </w:rPr>
        <w:t>security measures</w:t>
      </w:r>
      <w:r>
        <w:rPr>
          <w:rFonts w:eastAsia="Museo Sans"/>
          <w:lang w:eastAsia="en-US" w:bidi="en-US"/>
        </w:rPr>
        <w:t xml:space="preserve"> are used to protect information assets </w:t>
      </w:r>
      <w:r w:rsidRPr="007B4016">
        <w:rPr>
          <w:rFonts w:eastAsia="Museo Sans"/>
          <w:lang w:eastAsia="en-US" w:bidi="en-US"/>
        </w:rPr>
        <w:t xml:space="preserve">against </w:t>
      </w:r>
      <w:r>
        <w:rPr>
          <w:rFonts w:eastAsia="Museo Sans"/>
          <w:lang w:eastAsia="en-US" w:bidi="en-US"/>
        </w:rPr>
        <w:t xml:space="preserve">a range of </w:t>
      </w:r>
      <w:r w:rsidRPr="007B4016">
        <w:rPr>
          <w:rFonts w:eastAsia="Museo Sans"/>
          <w:lang w:eastAsia="en-US" w:bidi="en-US"/>
        </w:rPr>
        <w:t>security threat</w:t>
      </w:r>
      <w:r>
        <w:rPr>
          <w:rFonts w:eastAsia="Museo Sans"/>
          <w:lang w:eastAsia="en-US" w:bidi="en-US"/>
        </w:rPr>
        <w:t xml:space="preserve">s. </w:t>
      </w:r>
    </w:p>
    <w:p w14:paraId="39E16236" w14:textId="77777777" w:rsidR="00CF2C0F" w:rsidRDefault="00CF2C0F" w:rsidP="00A13EAF">
      <w:pPr>
        <w:pStyle w:val="Body"/>
        <w:rPr>
          <w:rFonts w:eastAsia="Museo Sans"/>
          <w:lang w:eastAsia="en-US" w:bidi="en-US"/>
        </w:rPr>
      </w:pPr>
      <w:r>
        <w:rPr>
          <w:rFonts w:eastAsia="Museo Sans"/>
          <w:lang w:eastAsia="en-US" w:bidi="en-US"/>
        </w:rPr>
        <w:t xml:space="preserve">The Framework and the Standards rely on protective data security principles, to maintain the confidentiality, integrity and availability of public sector information. </w:t>
      </w:r>
    </w:p>
    <w:p w14:paraId="3E2F1773" w14:textId="2456E802" w:rsidR="00CF2C0F" w:rsidRDefault="00CF2C0F" w:rsidP="00A13EAF">
      <w:pPr>
        <w:pStyle w:val="Body"/>
        <w:rPr>
          <w:rFonts w:eastAsia="Calibri"/>
          <w:bCs/>
        </w:rPr>
      </w:pPr>
      <w:r w:rsidRPr="007F65C2">
        <w:rPr>
          <w:rFonts w:eastAsia="Museo Sans"/>
          <w:lang w:eastAsia="en-US" w:bidi="en-US"/>
        </w:rPr>
        <w:t xml:space="preserve">In this document, protective data security </w:t>
      </w:r>
      <w:r w:rsidR="00D32E66">
        <w:rPr>
          <w:rFonts w:eastAsia="Museo Sans"/>
          <w:lang w:eastAsia="en-US" w:bidi="en-US"/>
        </w:rPr>
        <w:t>and information security are used interchangeably.</w:t>
      </w:r>
    </w:p>
    <w:p w14:paraId="6137440F" w14:textId="75EF2E74" w:rsidR="00692598" w:rsidRDefault="00692598" w:rsidP="00692598">
      <w:pPr>
        <w:pStyle w:val="SectionHeading"/>
        <w:rPr>
          <w:rFonts w:eastAsia="Arial Unicode MS"/>
        </w:rPr>
      </w:pPr>
      <w:bookmarkStart w:id="7" w:name="_Toc33019510"/>
      <w:r>
        <w:rPr>
          <w:rFonts w:eastAsia="Arial Unicode MS"/>
        </w:rPr>
        <w:t>What is the Framework?</w:t>
      </w:r>
      <w:bookmarkEnd w:id="7"/>
    </w:p>
    <w:p w14:paraId="147F09A1" w14:textId="5693C726" w:rsidR="00003FDE" w:rsidRPr="00AA25FA" w:rsidRDefault="00003FDE" w:rsidP="00F82E2C">
      <w:pPr>
        <w:pStyle w:val="Body"/>
        <w:rPr>
          <w:rFonts w:eastAsia="Calibri"/>
          <w:color w:val="000000" w:themeColor="text1"/>
        </w:rPr>
      </w:pPr>
      <w:r w:rsidRPr="00AA25FA">
        <w:rPr>
          <w:rFonts w:eastAsia="Calibri"/>
          <w:color w:val="000000" w:themeColor="text1"/>
        </w:rPr>
        <w:t xml:space="preserve">Established under Part 4 of the </w:t>
      </w:r>
      <w:r w:rsidR="00D32E66">
        <w:rPr>
          <w:rFonts w:eastAsia="Calibri"/>
          <w:color w:val="000000" w:themeColor="text1"/>
        </w:rPr>
        <w:t>PDP Act,</w:t>
      </w:r>
      <w:r w:rsidRPr="00AA25FA">
        <w:rPr>
          <w:rFonts w:eastAsia="Calibri"/>
          <w:color w:val="000000" w:themeColor="text1"/>
        </w:rPr>
        <w:t xml:space="preserve"> the </w:t>
      </w:r>
      <w:r w:rsidR="00D20334" w:rsidRPr="00AA25FA">
        <w:rPr>
          <w:rFonts w:eastAsia="Calibri"/>
          <w:color w:val="000000" w:themeColor="text1"/>
        </w:rPr>
        <w:t>Framework</w:t>
      </w:r>
      <w:r w:rsidRPr="00AA25FA">
        <w:rPr>
          <w:rFonts w:eastAsia="Calibri"/>
          <w:color w:val="000000" w:themeColor="text1"/>
        </w:rPr>
        <w:t xml:space="preserve"> has been developed to monitor and assure the security of public sector information</w:t>
      </w:r>
      <w:r w:rsidR="00E320EB" w:rsidRPr="00AA25FA">
        <w:rPr>
          <w:rFonts w:eastAsia="Calibri"/>
          <w:color w:val="000000" w:themeColor="text1"/>
        </w:rPr>
        <w:t>, and information systems,</w:t>
      </w:r>
      <w:r w:rsidRPr="00AA25FA">
        <w:rPr>
          <w:rFonts w:eastAsia="Calibri"/>
          <w:color w:val="000000" w:themeColor="text1"/>
        </w:rPr>
        <w:t xml:space="preserve"> across the </w:t>
      </w:r>
      <w:r w:rsidR="00D32E66">
        <w:rPr>
          <w:rFonts w:eastAsia="Calibri"/>
          <w:color w:val="000000" w:themeColor="text1"/>
        </w:rPr>
        <w:t>VPS.</w:t>
      </w:r>
      <w:r w:rsidR="00E320EB" w:rsidRPr="00AA25FA">
        <w:rPr>
          <w:rFonts w:eastAsia="Calibri"/>
          <w:color w:val="000000" w:themeColor="text1"/>
        </w:rPr>
        <w:t xml:space="preserve"> </w:t>
      </w:r>
    </w:p>
    <w:p w14:paraId="4E32EA3D" w14:textId="7E4BEBC5" w:rsidR="00F82E2C" w:rsidRPr="00AA25FA" w:rsidRDefault="00F82E2C" w:rsidP="00F82E2C">
      <w:pPr>
        <w:pStyle w:val="Body"/>
        <w:rPr>
          <w:color w:val="000000" w:themeColor="text1"/>
        </w:rPr>
      </w:pPr>
      <w:r w:rsidRPr="00AA25FA">
        <w:rPr>
          <w:color w:val="000000" w:themeColor="text1"/>
        </w:rPr>
        <w:t xml:space="preserve">The monitoring and assurance activities outlined in </w:t>
      </w:r>
      <w:r w:rsidR="00E320EB" w:rsidRPr="00AA25FA">
        <w:rPr>
          <w:color w:val="000000" w:themeColor="text1"/>
        </w:rPr>
        <w:t>the</w:t>
      </w:r>
      <w:r w:rsidRPr="00AA25FA">
        <w:rPr>
          <w:color w:val="000000" w:themeColor="text1"/>
        </w:rPr>
        <w:t xml:space="preserve"> Framework are </w:t>
      </w:r>
      <w:r w:rsidR="006C20AE">
        <w:rPr>
          <w:color w:val="000000" w:themeColor="text1"/>
        </w:rPr>
        <w:t>based on</w:t>
      </w:r>
      <w:r w:rsidRPr="00AA25FA">
        <w:rPr>
          <w:color w:val="000000" w:themeColor="text1"/>
        </w:rPr>
        <w:t xml:space="preserve">: </w:t>
      </w:r>
    </w:p>
    <w:p w14:paraId="12511069" w14:textId="1A2926C8" w:rsidR="00F82E2C" w:rsidRPr="00AA25FA" w:rsidRDefault="00F82E2C" w:rsidP="00973A5E">
      <w:pPr>
        <w:pStyle w:val="Bullet2"/>
      </w:pPr>
      <w:r w:rsidRPr="00AA25FA">
        <w:t>the compliance requirements</w:t>
      </w:r>
      <w:r w:rsidRPr="00AA25FA">
        <w:rPr>
          <w:rStyle w:val="FootnoteReference"/>
          <w:color w:val="000000" w:themeColor="text1"/>
        </w:rPr>
        <w:footnoteReference w:id="3"/>
      </w:r>
      <w:r w:rsidRPr="00AA25FA">
        <w:t xml:space="preserve"> of </w:t>
      </w:r>
      <w:r w:rsidR="002E1D94">
        <w:t xml:space="preserve">VPS </w:t>
      </w:r>
      <w:r w:rsidRPr="00AA25FA">
        <w:t>organisations; and</w:t>
      </w:r>
    </w:p>
    <w:p w14:paraId="58F871CF" w14:textId="64B340CA" w:rsidR="00F82E2C" w:rsidRPr="00AA25FA" w:rsidRDefault="00F82E2C" w:rsidP="00973A5E">
      <w:pPr>
        <w:pStyle w:val="Bullet2"/>
      </w:pPr>
      <w:r w:rsidRPr="00AA25FA">
        <w:t>OVIC’s responsibilities, powers and functions</w:t>
      </w:r>
      <w:r w:rsidRPr="00AA25FA">
        <w:rPr>
          <w:rStyle w:val="FootnoteReference"/>
          <w:color w:val="000000" w:themeColor="text1"/>
        </w:rPr>
        <w:footnoteReference w:id="4"/>
      </w:r>
      <w:r w:rsidRPr="00AA25FA">
        <w:t xml:space="preserve">. </w:t>
      </w:r>
    </w:p>
    <w:p w14:paraId="2BC9DA23" w14:textId="77777777" w:rsidR="00067F0F" w:rsidRDefault="00067F0F">
      <w:pPr>
        <w:rPr>
          <w:rFonts w:ascii="Calibri" w:eastAsia="Calibri" w:hAnsi="Calibri"/>
          <w:color w:val="000000"/>
          <w:sz w:val="22"/>
          <w:lang w:val="en-GB"/>
        </w:rPr>
      </w:pPr>
      <w:r>
        <w:rPr>
          <w:rFonts w:eastAsia="Calibri"/>
        </w:rPr>
        <w:br w:type="page"/>
      </w:r>
    </w:p>
    <w:p w14:paraId="3F0E582E" w14:textId="5024B894" w:rsidR="00B66F23" w:rsidRPr="000E7A53" w:rsidRDefault="00A21F15" w:rsidP="000E7A53">
      <w:pPr>
        <w:pStyle w:val="Body"/>
        <w:keepNext/>
        <w:rPr>
          <w:rFonts w:eastAsia="Calibri"/>
          <w:color w:val="FF0000"/>
        </w:rPr>
      </w:pPr>
      <w:r>
        <w:rPr>
          <w:rFonts w:eastAsia="Calibri"/>
        </w:rPr>
        <w:lastRenderedPageBreak/>
        <w:t xml:space="preserve">The Framework </w:t>
      </w:r>
      <w:r w:rsidRPr="007B4016">
        <w:rPr>
          <w:rFonts w:eastAsia="Calibri"/>
        </w:rPr>
        <w:t xml:space="preserve">provides a model to monitor and measure </w:t>
      </w:r>
      <w:r w:rsidR="006C20AE">
        <w:rPr>
          <w:rFonts w:eastAsia="Calibri"/>
        </w:rPr>
        <w:t xml:space="preserve">the extent to which </w:t>
      </w:r>
      <w:r w:rsidRPr="007B4016">
        <w:rPr>
          <w:rFonts w:eastAsia="Calibri"/>
        </w:rPr>
        <w:t xml:space="preserve">VPS organisations </w:t>
      </w:r>
      <w:r w:rsidR="006C20AE">
        <w:rPr>
          <w:rFonts w:eastAsia="Calibri"/>
        </w:rPr>
        <w:t>implement the</w:t>
      </w:r>
      <w:r w:rsidRPr="007B4016">
        <w:rPr>
          <w:rFonts w:eastAsia="Calibri"/>
        </w:rPr>
        <w:t xml:space="preserve"> Standards and </w:t>
      </w:r>
      <w:r w:rsidR="006C20AE">
        <w:rPr>
          <w:rFonts w:eastAsia="Calibri"/>
        </w:rPr>
        <w:t>comply</w:t>
      </w:r>
      <w:r w:rsidRPr="007B4016">
        <w:rPr>
          <w:rFonts w:eastAsia="Calibri"/>
        </w:rPr>
        <w:t xml:space="preserve"> with the requirements </w:t>
      </w:r>
      <w:r w:rsidR="006C6BCC">
        <w:rPr>
          <w:rFonts w:eastAsia="Calibri"/>
        </w:rPr>
        <w:t>under</w:t>
      </w:r>
      <w:r w:rsidR="006C6BCC" w:rsidRPr="007B4016">
        <w:rPr>
          <w:rFonts w:eastAsia="Calibri"/>
        </w:rPr>
        <w:t xml:space="preserve"> </w:t>
      </w:r>
      <w:r w:rsidRPr="007B4016">
        <w:rPr>
          <w:rFonts w:eastAsia="Calibri"/>
        </w:rPr>
        <w:t>the PDP Act.</w:t>
      </w:r>
      <w:r>
        <w:rPr>
          <w:rFonts w:eastAsia="Calibri"/>
        </w:rPr>
        <w:t xml:space="preserve"> It</w:t>
      </w:r>
      <w:r w:rsidRPr="00C81BB1">
        <w:rPr>
          <w:rFonts w:eastAsia="Calibri"/>
        </w:rPr>
        <w:t xml:space="preserve"> </w:t>
      </w:r>
      <w:r>
        <w:rPr>
          <w:rFonts w:eastAsia="Calibri"/>
        </w:rPr>
        <w:t>employs</w:t>
      </w:r>
      <w:r w:rsidRPr="00C81BB1">
        <w:rPr>
          <w:rFonts w:eastAsia="Calibri"/>
        </w:rPr>
        <w:t xml:space="preserve"> a risk-based approach, seeking to </w:t>
      </w:r>
      <w:r>
        <w:rPr>
          <w:rFonts w:eastAsia="Calibri"/>
        </w:rPr>
        <w:t>enhance</w:t>
      </w:r>
      <w:r w:rsidRPr="00C81BB1">
        <w:rPr>
          <w:rFonts w:eastAsia="Calibri"/>
        </w:rPr>
        <w:t xml:space="preserve"> information security capability and maturity of VPS </w:t>
      </w:r>
      <w:r>
        <w:rPr>
          <w:rFonts w:eastAsia="Calibri"/>
        </w:rPr>
        <w:t>organisations</w:t>
      </w:r>
      <w:r w:rsidRPr="00C81BB1">
        <w:rPr>
          <w:rFonts w:eastAsia="Calibri"/>
        </w:rPr>
        <w:t>, through the use of existing risk management principles and guidelines.</w:t>
      </w:r>
      <w:r w:rsidRPr="00A21F15">
        <w:rPr>
          <w:rFonts w:eastAsia="Calibri"/>
        </w:rPr>
        <w:t xml:space="preserve"> </w:t>
      </w:r>
    </w:p>
    <w:p w14:paraId="3DCD2621" w14:textId="49B269E4" w:rsidR="00054B20" w:rsidRDefault="001E27B8" w:rsidP="00A21F15">
      <w:pPr>
        <w:pStyle w:val="Body"/>
        <w:rPr>
          <w:rFonts w:eastAsia="Calibri"/>
        </w:rPr>
      </w:pPr>
      <w:r>
        <w:rPr>
          <w:rFonts w:eastAsia="Calibri"/>
        </w:rPr>
        <w:t xml:space="preserve">The Framework </w:t>
      </w:r>
      <w:r w:rsidR="00054B20">
        <w:rPr>
          <w:rFonts w:eastAsia="Calibri"/>
        </w:rPr>
        <w:t xml:space="preserve">is based on an </w:t>
      </w:r>
      <w:r w:rsidR="00054B20" w:rsidRPr="00836932">
        <w:rPr>
          <w:rFonts w:eastAsia="Calibri"/>
        </w:rPr>
        <w:t xml:space="preserve">outcome focused regulatory model that concentrates on high-level assurance principles, supported by risk-informed monitoring activities. </w:t>
      </w:r>
      <w:r w:rsidR="00054B20">
        <w:rPr>
          <w:rFonts w:eastAsia="Calibri"/>
        </w:rPr>
        <w:t xml:space="preserve">It </w:t>
      </w:r>
      <w:r w:rsidR="00304AA7">
        <w:rPr>
          <w:rFonts w:eastAsia="Calibri"/>
        </w:rPr>
        <w:t>is</w:t>
      </w:r>
      <w:r w:rsidR="00054B20">
        <w:rPr>
          <w:rFonts w:eastAsia="Calibri"/>
        </w:rPr>
        <w:t xml:space="preserve"> </w:t>
      </w:r>
      <w:r w:rsidR="00D32E66">
        <w:rPr>
          <w:rFonts w:eastAsia="Calibri"/>
        </w:rPr>
        <w:t xml:space="preserve">intended </w:t>
      </w:r>
      <w:r w:rsidR="00054B20">
        <w:rPr>
          <w:rFonts w:eastAsia="Calibri"/>
        </w:rPr>
        <w:t xml:space="preserve">to reflect </w:t>
      </w:r>
      <w:r w:rsidR="00054B20" w:rsidRPr="00C81BB1">
        <w:rPr>
          <w:rFonts w:eastAsia="Calibri"/>
        </w:rPr>
        <w:t>the sector’s unique operating requirements</w:t>
      </w:r>
      <w:r w:rsidR="00054B20">
        <w:rPr>
          <w:rFonts w:eastAsia="Calibri"/>
        </w:rPr>
        <w:t xml:space="preserve"> and </w:t>
      </w:r>
      <w:r w:rsidR="00054B20" w:rsidRPr="00836932">
        <w:rPr>
          <w:rFonts w:eastAsia="Calibri"/>
        </w:rPr>
        <w:t>deliv</w:t>
      </w:r>
      <w:r w:rsidR="00054B20">
        <w:rPr>
          <w:rFonts w:eastAsia="Calibri"/>
        </w:rPr>
        <w:t>ers</w:t>
      </w:r>
      <w:r w:rsidR="00054B20" w:rsidRPr="00836932">
        <w:rPr>
          <w:rFonts w:eastAsia="Calibri"/>
        </w:rPr>
        <w:t xml:space="preserve"> scalable</w:t>
      </w:r>
      <w:r w:rsidR="00054B20">
        <w:rPr>
          <w:rFonts w:eastAsia="Calibri"/>
        </w:rPr>
        <w:t xml:space="preserve">, </w:t>
      </w:r>
      <w:r w:rsidR="00054B20" w:rsidRPr="00836932">
        <w:rPr>
          <w:rFonts w:eastAsia="Calibri"/>
        </w:rPr>
        <w:t>efficient, effective and economic security outcomes</w:t>
      </w:r>
      <w:r w:rsidR="00054B20">
        <w:rPr>
          <w:rFonts w:eastAsia="Calibri"/>
        </w:rPr>
        <w:t>.</w:t>
      </w:r>
    </w:p>
    <w:p w14:paraId="28B2511C" w14:textId="2E189667" w:rsidR="00054B20" w:rsidRDefault="00A21F15" w:rsidP="00A21F15">
      <w:pPr>
        <w:pStyle w:val="Body"/>
        <w:keepNext/>
        <w:rPr>
          <w:rFonts w:eastAsia="Calibri"/>
        </w:rPr>
      </w:pPr>
      <w:r>
        <w:t xml:space="preserve">The monitoring and assurance activities set out in the Framework are formulated from statutory obligations of </w:t>
      </w:r>
      <w:r w:rsidR="002E1D94">
        <w:t xml:space="preserve">VPS </w:t>
      </w:r>
      <w:r>
        <w:t>organisations</w:t>
      </w:r>
      <w:r w:rsidRPr="00310057">
        <w:rPr>
          <w:rStyle w:val="FootnoteReference"/>
          <w:color w:val="000000" w:themeColor="text1"/>
        </w:rPr>
        <w:footnoteReference w:id="5"/>
      </w:r>
      <w:r>
        <w:t xml:space="preserve"> and OVIC’s</w:t>
      </w:r>
      <w:r w:rsidRPr="00DB10F6">
        <w:t xml:space="preserve"> </w:t>
      </w:r>
      <w:r>
        <w:t xml:space="preserve">statutory responsibilities, </w:t>
      </w:r>
      <w:r w:rsidRPr="00DB10F6">
        <w:t>powers and functions</w:t>
      </w:r>
      <w:r w:rsidRPr="00DB10F6">
        <w:rPr>
          <w:rStyle w:val="FootnoteReference"/>
        </w:rPr>
        <w:footnoteReference w:id="6"/>
      </w:r>
      <w:r>
        <w:t xml:space="preserve"> in the PDP Act. </w:t>
      </w:r>
      <w:r w:rsidR="00692598" w:rsidRPr="00B66F23">
        <w:rPr>
          <w:rFonts w:eastAsia="Calibri"/>
        </w:rPr>
        <w:t>The</w:t>
      </w:r>
      <w:r>
        <w:rPr>
          <w:rFonts w:eastAsia="Calibri"/>
        </w:rPr>
        <w:t xml:space="preserve">y </w:t>
      </w:r>
      <w:r w:rsidR="00692598" w:rsidRPr="00B66F23">
        <w:rPr>
          <w:rFonts w:eastAsia="Calibri"/>
        </w:rPr>
        <w:t xml:space="preserve">are designed to assist VPS organisations mitigate information security risks and </w:t>
      </w:r>
      <w:r w:rsidR="00304AA7">
        <w:rPr>
          <w:rFonts w:eastAsia="Calibri"/>
        </w:rPr>
        <w:t xml:space="preserve">provides </w:t>
      </w:r>
      <w:r w:rsidR="00692598" w:rsidRPr="00B66F23">
        <w:rPr>
          <w:rFonts w:eastAsia="Calibri"/>
        </w:rPr>
        <w:t xml:space="preserve">OVIC </w:t>
      </w:r>
      <w:r w:rsidR="00304AA7">
        <w:rPr>
          <w:rFonts w:eastAsia="Calibri"/>
        </w:rPr>
        <w:t xml:space="preserve">with </w:t>
      </w:r>
      <w:r w:rsidR="00E94DC8">
        <w:rPr>
          <w:rFonts w:eastAsia="Calibri"/>
        </w:rPr>
        <w:t>insight into</w:t>
      </w:r>
      <w:r w:rsidR="00692598" w:rsidRPr="00B66F23">
        <w:rPr>
          <w:rFonts w:eastAsia="Calibri"/>
        </w:rPr>
        <w:t xml:space="preserve"> information security practices across the VPS.</w:t>
      </w:r>
      <w:r w:rsidR="00692598">
        <w:rPr>
          <w:rFonts w:eastAsia="Calibri"/>
        </w:rPr>
        <w:t xml:space="preserve"> </w:t>
      </w:r>
    </w:p>
    <w:p w14:paraId="7B8B411D" w14:textId="004EB1FB" w:rsidR="00F82E2C" w:rsidRPr="009628F7" w:rsidRDefault="00F82E2C" w:rsidP="009628F7">
      <w:pPr>
        <w:pStyle w:val="Body"/>
        <w:keepNext/>
        <w:rPr>
          <w:color w:val="000000" w:themeColor="text1"/>
        </w:rPr>
      </w:pPr>
      <w:r w:rsidRPr="009628F7">
        <w:rPr>
          <w:rFonts w:eastAsia="Calibri"/>
          <w:color w:val="000000" w:themeColor="text1"/>
        </w:rPr>
        <w:t xml:space="preserve">The Framework draws on intelligence feeds and insights from information security incidents, research projects, enquiries and referrals. OVIC uses these insights </w:t>
      </w:r>
      <w:r w:rsidR="009628F7" w:rsidRPr="009628F7">
        <w:rPr>
          <w:rFonts w:eastAsia="Calibri"/>
          <w:color w:val="000000" w:themeColor="text1"/>
        </w:rPr>
        <w:t xml:space="preserve">to </w:t>
      </w:r>
      <w:r w:rsidR="009628F7" w:rsidRPr="009628F7">
        <w:rPr>
          <w:color w:val="000000" w:themeColor="text1"/>
        </w:rPr>
        <w:t xml:space="preserve">report </w:t>
      </w:r>
      <w:r w:rsidRPr="009628F7">
        <w:rPr>
          <w:color w:val="000000" w:themeColor="text1"/>
        </w:rPr>
        <w:t xml:space="preserve">back to Government. </w:t>
      </w:r>
    </w:p>
    <w:p w14:paraId="46E401A3" w14:textId="007A7624" w:rsidR="0044165A" w:rsidRDefault="00EE2D52" w:rsidP="00D01271">
      <w:pPr>
        <w:pStyle w:val="Body"/>
        <w:spacing w:before="360" w:after="240"/>
      </w:pPr>
      <w:r>
        <w:rPr>
          <w:noProof/>
        </w:rPr>
        <w:drawing>
          <wp:inline distT="0" distB="0" distL="0" distR="0" wp14:anchorId="7512E29F" wp14:editId="7ABE77F0">
            <wp:extent cx="6116320" cy="3919220"/>
            <wp:effectExtent l="12700" t="12700" r="17780" b="17780"/>
            <wp:docPr id="1"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ic-monitoring-assurance.png"/>
                    <pic:cNvPicPr/>
                  </pic:nvPicPr>
                  <pic:blipFill>
                    <a:blip r:embed="rId19">
                      <a:extLst>
                        <a:ext uri="{28A0092B-C50C-407E-A947-70E740481C1C}">
                          <a14:useLocalDpi xmlns:a14="http://schemas.microsoft.com/office/drawing/2010/main" val="0"/>
                        </a:ext>
                      </a:extLst>
                    </a:blip>
                    <a:stretch>
                      <a:fillRect/>
                    </a:stretch>
                  </pic:blipFill>
                  <pic:spPr>
                    <a:xfrm>
                      <a:off x="0" y="0"/>
                      <a:ext cx="6116320" cy="3919220"/>
                    </a:xfrm>
                    <a:prstGeom prst="rect">
                      <a:avLst/>
                    </a:prstGeom>
                    <a:ln>
                      <a:solidFill>
                        <a:schemeClr val="bg1">
                          <a:lumMod val="85000"/>
                        </a:schemeClr>
                      </a:solidFill>
                    </a:ln>
                  </pic:spPr>
                </pic:pic>
              </a:graphicData>
            </a:graphic>
          </wp:inline>
        </w:drawing>
      </w:r>
      <w:bookmarkStart w:id="8" w:name="_GoBack"/>
      <w:bookmarkEnd w:id="8"/>
    </w:p>
    <w:p w14:paraId="376E0B60" w14:textId="79C2386B" w:rsidR="0044165A" w:rsidRPr="005A6C31" w:rsidRDefault="0044165A" w:rsidP="005A6C31">
      <w:pPr>
        <w:pStyle w:val="imagecaption"/>
      </w:pPr>
      <w:r w:rsidRPr="005A6C31">
        <w:t xml:space="preserve">Figure </w:t>
      </w:r>
      <w:r w:rsidR="00C3505F" w:rsidRPr="005A6C31">
        <w:t>1 -</w:t>
      </w:r>
      <w:r w:rsidRPr="005A6C31">
        <w:t xml:space="preserve"> Depiction of the monitoring and assurance activities of the </w:t>
      </w:r>
      <w:r w:rsidR="00E81B38" w:rsidRPr="005A6C31">
        <w:t>Framework</w:t>
      </w:r>
    </w:p>
    <w:p w14:paraId="2AFB5A8E" w14:textId="07CDD2D4" w:rsidR="00067F0F" w:rsidRDefault="00067F0F">
      <w:pPr>
        <w:rPr>
          <w:rFonts w:ascii="Calibri" w:hAnsi="Calibri"/>
          <w:i/>
          <w:iCs/>
          <w:color w:val="000000"/>
          <w:sz w:val="18"/>
          <w:szCs w:val="18"/>
          <w:lang w:val="en-GB"/>
        </w:rPr>
      </w:pPr>
      <w:r>
        <w:rPr>
          <w:i/>
          <w:iCs/>
          <w:sz w:val="18"/>
          <w:szCs w:val="18"/>
        </w:rPr>
        <w:br w:type="page"/>
      </w:r>
    </w:p>
    <w:p w14:paraId="52814F15" w14:textId="2E5E4392" w:rsidR="006C211D" w:rsidRPr="00476E5E" w:rsidRDefault="006C211D" w:rsidP="006C211D">
      <w:pPr>
        <w:pStyle w:val="SectionHeading"/>
      </w:pPr>
      <w:bookmarkStart w:id="9" w:name="_Toc31975348"/>
      <w:bookmarkStart w:id="10" w:name="_Toc33019511"/>
      <w:bookmarkStart w:id="11" w:name="_Toc31975349"/>
      <w:bookmarkStart w:id="12" w:name="_Toc33019512"/>
      <w:bookmarkStart w:id="13" w:name="_Toc31975350"/>
      <w:bookmarkStart w:id="14" w:name="_Toc33019513"/>
      <w:bookmarkStart w:id="15" w:name="_Toc31975351"/>
      <w:bookmarkStart w:id="16" w:name="_Toc33019514"/>
      <w:bookmarkStart w:id="17" w:name="_Toc31975352"/>
      <w:bookmarkStart w:id="18" w:name="_Toc33019515"/>
      <w:bookmarkStart w:id="19" w:name="_Toc31975353"/>
      <w:bookmarkStart w:id="20" w:name="_Toc33019516"/>
      <w:bookmarkStart w:id="21" w:name="_Toc33019517"/>
      <w:bookmarkEnd w:id="9"/>
      <w:bookmarkEnd w:id="10"/>
      <w:bookmarkEnd w:id="11"/>
      <w:bookmarkEnd w:id="12"/>
      <w:bookmarkEnd w:id="13"/>
      <w:bookmarkEnd w:id="14"/>
      <w:bookmarkEnd w:id="15"/>
      <w:bookmarkEnd w:id="16"/>
      <w:bookmarkEnd w:id="17"/>
      <w:bookmarkEnd w:id="18"/>
      <w:bookmarkEnd w:id="19"/>
      <w:bookmarkEnd w:id="20"/>
      <w:r>
        <w:rPr>
          <w:rFonts w:eastAsia="Arial Unicode MS"/>
        </w:rPr>
        <w:lastRenderedPageBreak/>
        <w:t>Applicability</w:t>
      </w:r>
      <w:r w:rsidR="001C0D4C">
        <w:rPr>
          <w:rFonts w:eastAsia="Arial Unicode MS"/>
        </w:rPr>
        <w:t xml:space="preserve"> of the Framework</w:t>
      </w:r>
      <w:bookmarkEnd w:id="21"/>
    </w:p>
    <w:p w14:paraId="4525C5B1" w14:textId="1BE5B7C8" w:rsidR="00476E5E" w:rsidRPr="00476E5E" w:rsidRDefault="00476E5E" w:rsidP="00973A5E">
      <w:pPr>
        <w:pStyle w:val="SectionSubhead"/>
        <w:ind w:left="0"/>
      </w:pPr>
      <w:bookmarkStart w:id="22" w:name="_Toc33019518"/>
      <w:r>
        <w:rPr>
          <w:rFonts w:eastAsia="Calibri"/>
        </w:rPr>
        <w:t xml:space="preserve">Information </w:t>
      </w:r>
      <w:r w:rsidR="00D32E66">
        <w:rPr>
          <w:rFonts w:eastAsia="Calibri"/>
        </w:rPr>
        <w:t xml:space="preserve">covered </w:t>
      </w:r>
      <w:r>
        <w:rPr>
          <w:rFonts w:eastAsia="Calibri"/>
        </w:rPr>
        <w:t>by the Framework</w:t>
      </w:r>
      <w:bookmarkEnd w:id="22"/>
    </w:p>
    <w:p w14:paraId="0436DE57" w14:textId="5B34840A" w:rsidR="00476E5E" w:rsidRPr="00403110" w:rsidRDefault="00476E5E" w:rsidP="00973A5E">
      <w:pPr>
        <w:pStyle w:val="Body"/>
        <w:rPr>
          <w:rFonts w:eastAsia="Calibri"/>
        </w:rPr>
      </w:pPr>
      <w:r>
        <w:rPr>
          <w:rFonts w:eastAsia="Calibri"/>
        </w:rPr>
        <w:t xml:space="preserve">The Framework captures ‘public sector data’ which is broadly defined by section 3 of the PDP Act as:  </w:t>
      </w:r>
    </w:p>
    <w:p w14:paraId="47FC5F1C" w14:textId="54C41A64" w:rsidR="00476E5E" w:rsidRPr="00973A5E" w:rsidRDefault="00476E5E" w:rsidP="00973A5E">
      <w:pPr>
        <w:pStyle w:val="Body"/>
        <w:ind w:left="567"/>
        <w:rPr>
          <w:rFonts w:eastAsia="Calibri"/>
          <w:b/>
          <w:i/>
          <w:iCs/>
          <w:color w:val="595959" w:themeColor="text1" w:themeTint="A6"/>
          <w:lang w:eastAsia="en-US"/>
        </w:rPr>
      </w:pPr>
      <w:r w:rsidRPr="00973A5E">
        <w:rPr>
          <w:rFonts w:eastAsia="Calibri"/>
          <w:i/>
          <w:iCs/>
          <w:color w:val="595959" w:themeColor="text1" w:themeTint="A6"/>
          <w:lang w:eastAsia="en-US"/>
        </w:rPr>
        <w:t>any information (including persona</w:t>
      </w:r>
      <w:r w:rsidR="00D32E66" w:rsidRPr="00973A5E">
        <w:rPr>
          <w:rFonts w:eastAsia="Calibri"/>
          <w:i/>
          <w:iCs/>
          <w:color w:val="595959" w:themeColor="text1" w:themeTint="A6"/>
          <w:lang w:eastAsia="en-US"/>
        </w:rPr>
        <w:t>l information</w:t>
      </w:r>
      <w:r w:rsidRPr="00973A5E">
        <w:rPr>
          <w:rFonts w:eastAsia="Calibri"/>
          <w:i/>
          <w:iCs/>
          <w:color w:val="595959" w:themeColor="text1" w:themeTint="A6"/>
          <w:lang w:eastAsia="en-US"/>
        </w:rPr>
        <w:t>) obtained, received or held by an agency or body which Part 4 applies, whether or not the agency or body obtained, received or holds that information in connection with the functions of that agency or body</w:t>
      </w:r>
      <w:r w:rsidR="00A13EAF" w:rsidRPr="00973A5E">
        <w:rPr>
          <w:rStyle w:val="FootnoteReference"/>
          <w:rFonts w:eastAsia="Calibri"/>
          <w:i/>
          <w:iCs/>
          <w:color w:val="595959" w:themeColor="text1" w:themeTint="A6"/>
          <w:lang w:eastAsia="en-US"/>
        </w:rPr>
        <w:footnoteReference w:id="7"/>
      </w:r>
      <w:r w:rsidRPr="00973A5E">
        <w:rPr>
          <w:rFonts w:eastAsia="Calibri"/>
          <w:i/>
          <w:iCs/>
          <w:color w:val="595959" w:themeColor="text1" w:themeTint="A6"/>
          <w:lang w:eastAsia="en-US"/>
        </w:rPr>
        <w:t>.</w:t>
      </w:r>
    </w:p>
    <w:p w14:paraId="37D99528" w14:textId="0CD22D82" w:rsidR="00476E5E" w:rsidRPr="00403110" w:rsidRDefault="007C3A34" w:rsidP="00973A5E">
      <w:pPr>
        <w:pStyle w:val="Body"/>
        <w:rPr>
          <w:rFonts w:eastAsia="Calibri"/>
        </w:rPr>
      </w:pPr>
      <w:r>
        <w:rPr>
          <w:rFonts w:eastAsia="Calibri"/>
        </w:rPr>
        <w:t>Th</w:t>
      </w:r>
      <w:r w:rsidR="00985281">
        <w:rPr>
          <w:rFonts w:eastAsia="Calibri"/>
        </w:rPr>
        <w:t xml:space="preserve">e definition of public sector data </w:t>
      </w:r>
      <w:r w:rsidR="00476E5E">
        <w:rPr>
          <w:rFonts w:eastAsia="Calibri"/>
        </w:rPr>
        <w:t>is broad</w:t>
      </w:r>
      <w:r w:rsidR="0012200B">
        <w:rPr>
          <w:rFonts w:eastAsia="Calibri"/>
        </w:rPr>
        <w:t>,</w:t>
      </w:r>
      <w:r>
        <w:rPr>
          <w:rFonts w:eastAsia="Calibri"/>
        </w:rPr>
        <w:t xml:space="preserve"> as it </w:t>
      </w:r>
      <w:r w:rsidR="00D32E66">
        <w:rPr>
          <w:rFonts w:eastAsia="Calibri"/>
        </w:rPr>
        <w:t>includes</w:t>
      </w:r>
      <w:r w:rsidR="00476E5E">
        <w:rPr>
          <w:rFonts w:eastAsia="Calibri"/>
        </w:rPr>
        <w:t xml:space="preserve">: </w:t>
      </w:r>
    </w:p>
    <w:p w14:paraId="313BED28" w14:textId="057530EE" w:rsidR="00476E5E" w:rsidRPr="00973A5E" w:rsidRDefault="00476E5E" w:rsidP="00973A5E">
      <w:pPr>
        <w:pStyle w:val="Bullet2"/>
      </w:pPr>
      <w:r w:rsidRPr="00973A5E">
        <w:t xml:space="preserve">any information received by or on behalf of the </w:t>
      </w:r>
      <w:r w:rsidR="002E1D94" w:rsidRPr="00973A5E">
        <w:t xml:space="preserve">VPS </w:t>
      </w:r>
      <w:r w:rsidRPr="00973A5E">
        <w:t xml:space="preserve">organisation, not just information connected to </w:t>
      </w:r>
      <w:r w:rsidR="002E1D94" w:rsidRPr="00973A5E">
        <w:t xml:space="preserve">their </w:t>
      </w:r>
      <w:r w:rsidRPr="00973A5E">
        <w:t>functions;</w:t>
      </w:r>
    </w:p>
    <w:p w14:paraId="6305F843" w14:textId="0ED24E15" w:rsidR="00476E5E" w:rsidRPr="00973A5E" w:rsidRDefault="00476E5E" w:rsidP="00973A5E">
      <w:pPr>
        <w:pStyle w:val="Bullet2"/>
      </w:pPr>
      <w:r w:rsidRPr="00973A5E">
        <w:t xml:space="preserve">information collected or held by contracted service providers of the </w:t>
      </w:r>
      <w:r w:rsidR="002E1D94" w:rsidRPr="00973A5E">
        <w:t xml:space="preserve">VPS </w:t>
      </w:r>
      <w:r w:rsidRPr="00973A5E">
        <w:t>organisation such as contractors and consultants; and</w:t>
      </w:r>
    </w:p>
    <w:p w14:paraId="0AE14169" w14:textId="45BE361B" w:rsidR="00476E5E" w:rsidRPr="00973A5E" w:rsidRDefault="00476E5E" w:rsidP="00973A5E">
      <w:pPr>
        <w:pStyle w:val="Bullet2"/>
      </w:pPr>
      <w:r w:rsidRPr="00973A5E">
        <w:t>health information.</w:t>
      </w:r>
    </w:p>
    <w:p w14:paraId="3AD9808F" w14:textId="6750DF3F" w:rsidR="00476E5E" w:rsidRDefault="000E7A53" w:rsidP="00973A5E">
      <w:pPr>
        <w:pStyle w:val="Body"/>
        <w:rPr>
          <w:rFonts w:eastAsia="Calibri"/>
        </w:rPr>
      </w:pPr>
      <w:r w:rsidRPr="000E7A53">
        <w:rPr>
          <w:rFonts w:eastAsia="Calibri"/>
        </w:rPr>
        <w:t xml:space="preserve">In this document, public sector data is </w:t>
      </w:r>
      <w:r w:rsidR="0012200B">
        <w:rPr>
          <w:rFonts w:eastAsia="Calibri"/>
        </w:rPr>
        <w:t xml:space="preserve">also </w:t>
      </w:r>
      <w:r w:rsidRPr="000E7A53">
        <w:rPr>
          <w:rFonts w:eastAsia="Calibri"/>
        </w:rPr>
        <w:t>referred to as public sector information or information.</w:t>
      </w:r>
    </w:p>
    <w:p w14:paraId="45C3A7FA" w14:textId="31A5E8CA" w:rsidR="006C211D" w:rsidRPr="00AC1EE0" w:rsidRDefault="002E1D94" w:rsidP="00973A5E">
      <w:pPr>
        <w:pStyle w:val="SectionSubhead"/>
        <w:ind w:left="0"/>
        <w:rPr>
          <w:rFonts w:eastAsia="Calibri"/>
        </w:rPr>
      </w:pPr>
      <w:bookmarkStart w:id="23" w:name="_Toc33019519"/>
      <w:r>
        <w:rPr>
          <w:rFonts w:eastAsia="Calibri"/>
        </w:rPr>
        <w:t xml:space="preserve">VPS </w:t>
      </w:r>
      <w:r w:rsidR="00476E5E" w:rsidRPr="00476E5E">
        <w:rPr>
          <w:rFonts w:eastAsia="Calibri"/>
        </w:rPr>
        <w:t xml:space="preserve">Organisations </w:t>
      </w:r>
      <w:r w:rsidR="005D7CC2">
        <w:rPr>
          <w:rFonts w:eastAsia="Calibri"/>
        </w:rPr>
        <w:t>covered</w:t>
      </w:r>
      <w:r w:rsidR="00476E5E" w:rsidRPr="00476E5E">
        <w:rPr>
          <w:rFonts w:eastAsia="Calibri"/>
        </w:rPr>
        <w:t xml:space="preserve"> by the Framework (Part 4 of the PDP Act)</w:t>
      </w:r>
      <w:bookmarkEnd w:id="23"/>
    </w:p>
    <w:p w14:paraId="48445C66" w14:textId="5B0998CF" w:rsidR="006C211D" w:rsidRDefault="006C211D" w:rsidP="00973A5E">
      <w:pPr>
        <w:pStyle w:val="Body"/>
        <w:rPr>
          <w:rFonts w:eastAsia="Calibri"/>
        </w:rPr>
      </w:pPr>
      <w:r w:rsidRPr="007560B3">
        <w:rPr>
          <w:rFonts w:eastAsia="Calibri"/>
        </w:rPr>
        <w:t>Section 84 of the PDP Act define</w:t>
      </w:r>
      <w:r>
        <w:rPr>
          <w:rFonts w:eastAsia="Calibri"/>
        </w:rPr>
        <w:t>s</w:t>
      </w:r>
      <w:r w:rsidRPr="007560B3">
        <w:rPr>
          <w:rFonts w:eastAsia="Calibri"/>
        </w:rPr>
        <w:t xml:space="preserve"> the </w:t>
      </w:r>
      <w:r w:rsidR="002E1D94">
        <w:rPr>
          <w:rFonts w:eastAsia="Calibri"/>
        </w:rPr>
        <w:t xml:space="preserve">VPS </w:t>
      </w:r>
      <w:r w:rsidRPr="007560B3">
        <w:rPr>
          <w:rFonts w:eastAsia="Calibri"/>
        </w:rPr>
        <w:t>organisations that are covered by the Framework and the Standards as well as those that are exempt</w:t>
      </w:r>
      <w:r>
        <w:rPr>
          <w:rFonts w:eastAsia="Calibri"/>
        </w:rPr>
        <w:t xml:space="preserve">. </w:t>
      </w:r>
    </w:p>
    <w:p w14:paraId="30AA9EA2" w14:textId="0FE6642D" w:rsidR="00BD5637" w:rsidRPr="0046353B" w:rsidRDefault="00BD5637" w:rsidP="00973A5E">
      <w:pPr>
        <w:pStyle w:val="Body"/>
        <w:spacing w:after="360"/>
        <w:rPr>
          <w:rFonts w:eastAsia="Calibri"/>
        </w:rPr>
      </w:pPr>
      <w:r w:rsidRPr="0046353B">
        <w:rPr>
          <w:rFonts w:eastAsia="Calibri"/>
          <w:lang w:val="en-AU"/>
        </w:rPr>
        <w:t>The Framework regulates Victorian public sector agencies and bodies defined in section 84 of the PDP Act. This includes including departments, public entities</w:t>
      </w:r>
      <w:r w:rsidRPr="0046353B">
        <w:rPr>
          <w:rFonts w:eastAsia="Calibri"/>
          <w:vertAlign w:val="superscript"/>
          <w:lang w:val="en-AU"/>
        </w:rPr>
        <w:footnoteReference w:id="8"/>
      </w:r>
      <w:r w:rsidRPr="0046353B">
        <w:rPr>
          <w:rFonts w:eastAsia="Calibri"/>
          <w:lang w:val="en-AU"/>
        </w:rPr>
        <w:t xml:space="preserve"> and Victoria Police</w:t>
      </w:r>
      <w:r w:rsidR="00AC1EE0">
        <w:rPr>
          <w:rFonts w:eastAsia="Calibri"/>
          <w:lang w:val="en-AU"/>
        </w:rPr>
        <w:t xml:space="preserve"> and the Crime Statistics Agency</w:t>
      </w:r>
      <w:r w:rsidRPr="0046353B">
        <w:rPr>
          <w:rFonts w:eastAsia="Calibri"/>
          <w:lang w:val="en-AU"/>
        </w:rPr>
        <w:t>.</w:t>
      </w:r>
      <w:r w:rsidRPr="0046353B">
        <w:rPr>
          <w:rFonts w:eastAsia="Calibri"/>
          <w:vertAlign w:val="superscript"/>
          <w:lang w:val="en-AU"/>
        </w:rPr>
        <w:footnoteReference w:id="9"/>
      </w:r>
      <w:r w:rsidRPr="0046353B">
        <w:rPr>
          <w:rFonts w:eastAsia="Calibri"/>
          <w:vertAlign w:val="superscript"/>
          <w:lang w:val="en-AU"/>
        </w:rPr>
        <w:t xml:space="preserve"> </w:t>
      </w:r>
      <w:r w:rsidRPr="0046353B">
        <w:rPr>
          <w:rFonts w:eastAsia="Calibri"/>
        </w:rPr>
        <w:t xml:space="preserve">The Framework </w:t>
      </w:r>
      <w:r w:rsidR="00615A55">
        <w:rPr>
          <w:rFonts w:eastAsia="Calibri"/>
        </w:rPr>
        <w:t xml:space="preserve">generally </w:t>
      </w:r>
      <w:r w:rsidRPr="0046353B">
        <w:rPr>
          <w:rFonts w:eastAsia="Calibri"/>
        </w:rPr>
        <w:t>excludes</w:t>
      </w:r>
      <w:r>
        <w:rPr>
          <w:rStyle w:val="FootnoteReference"/>
          <w:rFonts w:eastAsia="Calibri"/>
        </w:rPr>
        <w:footnoteReference w:id="10"/>
      </w:r>
      <w:r w:rsidRPr="0046353B">
        <w:rPr>
          <w:rFonts w:eastAsia="Calibri"/>
        </w:rPr>
        <w:t xml:space="preserve"> councils, universities, ambulance services, public hospitals, public health services and multipurpose services under the </w:t>
      </w:r>
      <w:r w:rsidRPr="002F6C85">
        <w:rPr>
          <w:rFonts w:eastAsia="Calibri"/>
          <w:i/>
          <w:iCs/>
        </w:rPr>
        <w:t>Health Services Act 1988</w:t>
      </w:r>
      <w:r w:rsidRPr="0046353B">
        <w:rPr>
          <w:rFonts w:eastAsia="Calibri"/>
        </w:rPr>
        <w:t xml:space="preserve"> (Vic).</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9E5E2"/>
        <w:tblLayout w:type="fixed"/>
        <w:tblCellMar>
          <w:left w:w="284" w:type="dxa"/>
          <w:right w:w="284" w:type="dxa"/>
        </w:tblCellMar>
        <w:tblLook w:val="01E0" w:firstRow="1" w:lastRow="1" w:firstColumn="1" w:lastColumn="1" w:noHBand="0" w:noVBand="0"/>
      </w:tblPr>
      <w:tblGrid>
        <w:gridCol w:w="708"/>
        <w:gridCol w:w="8648"/>
      </w:tblGrid>
      <w:tr w:rsidR="006C211D" w:rsidRPr="0094563D" w14:paraId="7CF462E0" w14:textId="77777777" w:rsidTr="00E136E1">
        <w:trPr>
          <w:trHeight w:val="686"/>
          <w:tblHeader/>
        </w:trPr>
        <w:tc>
          <w:tcPr>
            <w:tcW w:w="9356" w:type="dxa"/>
            <w:gridSpan w:val="2"/>
            <w:tcBorders>
              <w:top w:val="nil"/>
              <w:left w:val="nil"/>
            </w:tcBorders>
            <w:shd w:val="clear" w:color="auto" w:fill="430098"/>
            <w:vAlign w:val="center"/>
          </w:tcPr>
          <w:p w14:paraId="01999BA3" w14:textId="77777777" w:rsidR="006C211D" w:rsidRPr="0094563D" w:rsidRDefault="006C211D" w:rsidP="00FE78A9">
            <w:pPr>
              <w:pStyle w:val="TableParagraph"/>
              <w:ind w:left="110"/>
              <w:rPr>
                <w:rFonts w:asciiTheme="minorHAnsi" w:eastAsia="Arial Unicode MS" w:hAnsiTheme="minorHAnsi" w:cstheme="minorHAnsi"/>
                <w:sz w:val="20"/>
              </w:rPr>
            </w:pPr>
            <w:r>
              <w:rPr>
                <w:rFonts w:asciiTheme="minorHAnsi" w:eastAsia="Arial Unicode MS" w:hAnsiTheme="minorHAnsi" w:cstheme="minorHAnsi"/>
                <w:color w:val="FFFFFF"/>
                <w:sz w:val="20"/>
              </w:rPr>
              <w:t>Extract of Part 4, Section 84, PDP Act</w:t>
            </w:r>
          </w:p>
        </w:tc>
      </w:tr>
      <w:tr w:rsidR="006C211D" w:rsidRPr="00B56571" w14:paraId="59ECCC50" w14:textId="77777777" w:rsidTr="00973A5E">
        <w:trPr>
          <w:trHeight w:val="20"/>
        </w:trPr>
        <w:tc>
          <w:tcPr>
            <w:tcW w:w="708" w:type="dxa"/>
            <w:tcBorders>
              <w:left w:val="nil"/>
            </w:tcBorders>
            <w:shd w:val="clear" w:color="auto" w:fill="E9E5E2"/>
            <w:vAlign w:val="center"/>
          </w:tcPr>
          <w:p w14:paraId="46822117" w14:textId="77777777" w:rsidR="006C211D" w:rsidRPr="0094563D" w:rsidRDefault="006C211D" w:rsidP="00FE78A9">
            <w:pPr>
              <w:pStyle w:val="TableParagraph"/>
              <w:ind w:left="-150"/>
              <w:jc w:val="center"/>
              <w:rPr>
                <w:rFonts w:asciiTheme="minorHAnsi" w:eastAsia="Arial Unicode MS" w:hAnsiTheme="minorHAnsi" w:cstheme="minorHAnsi"/>
                <w:sz w:val="20"/>
              </w:rPr>
            </w:pPr>
            <w:r>
              <w:rPr>
                <w:rFonts w:asciiTheme="minorHAnsi" w:eastAsia="Arial Unicode MS" w:hAnsiTheme="minorHAnsi" w:cstheme="minorHAnsi"/>
                <w:sz w:val="20"/>
              </w:rPr>
              <w:t>(1)</w:t>
            </w:r>
          </w:p>
        </w:tc>
        <w:tc>
          <w:tcPr>
            <w:tcW w:w="8648" w:type="dxa"/>
            <w:tcBorders>
              <w:right w:val="nil"/>
            </w:tcBorders>
            <w:shd w:val="clear" w:color="auto" w:fill="E9E5E2"/>
            <w:vAlign w:val="center"/>
          </w:tcPr>
          <w:p w14:paraId="093C3C29" w14:textId="0716ED29" w:rsidR="006C211D" w:rsidRDefault="006C211D" w:rsidP="00973A5E">
            <w:pPr>
              <w:spacing w:before="160" w:after="160"/>
              <w:rPr>
                <w:rFonts w:ascii="Calibri" w:eastAsia="Calibri" w:hAnsi="Calibri" w:cs="National-Book"/>
                <w:color w:val="55565A"/>
                <w:sz w:val="22"/>
                <w:szCs w:val="22"/>
                <w:lang w:val="en-US" w:eastAsia="en-US"/>
              </w:rPr>
            </w:pPr>
            <w:r>
              <w:rPr>
                <w:rFonts w:ascii="Calibri" w:eastAsia="Calibri" w:hAnsi="Calibri" w:cs="National-Book"/>
                <w:color w:val="55565A"/>
                <w:sz w:val="22"/>
                <w:szCs w:val="22"/>
                <w:lang w:val="en-US" w:eastAsia="en-US"/>
              </w:rPr>
              <w:t>Subject to sub</w:t>
            </w:r>
            <w:r w:rsidR="00067F1D">
              <w:rPr>
                <w:rFonts w:ascii="Calibri" w:eastAsia="Calibri" w:hAnsi="Calibri" w:cs="National-Book"/>
                <w:color w:val="55565A"/>
                <w:sz w:val="22"/>
                <w:szCs w:val="22"/>
                <w:lang w:val="en-US" w:eastAsia="en-US"/>
              </w:rPr>
              <w:t>s</w:t>
            </w:r>
            <w:r>
              <w:rPr>
                <w:rFonts w:ascii="Calibri" w:eastAsia="Calibri" w:hAnsi="Calibri" w:cs="National-Book"/>
                <w:color w:val="55565A"/>
                <w:sz w:val="22"/>
                <w:szCs w:val="22"/>
                <w:lang w:val="en-US" w:eastAsia="en-US"/>
              </w:rPr>
              <w:t xml:space="preserve">ection (2), this Part applies to – </w:t>
            </w:r>
          </w:p>
          <w:p w14:paraId="66DCAB56" w14:textId="3190837C" w:rsidR="006C211D" w:rsidRDefault="006C211D" w:rsidP="00973A5E">
            <w:pPr>
              <w:pStyle w:val="ListParagraph"/>
              <w:numPr>
                <w:ilvl w:val="0"/>
                <w:numId w:val="9"/>
              </w:numPr>
              <w:spacing w:before="160" w:after="160"/>
              <w:rPr>
                <w:rFonts w:cs="National-Book"/>
                <w:color w:val="55565A"/>
                <w:sz w:val="22"/>
                <w:szCs w:val="22"/>
                <w:lang w:val="en-US"/>
              </w:rPr>
            </w:pPr>
            <w:r>
              <w:rPr>
                <w:rFonts w:cs="National-Book"/>
                <w:color w:val="55565A"/>
                <w:sz w:val="22"/>
                <w:szCs w:val="22"/>
                <w:lang w:val="en-US"/>
              </w:rPr>
              <w:t>a public sector agency</w:t>
            </w:r>
            <w:r w:rsidR="00067F1D">
              <w:rPr>
                <w:rFonts w:cs="National-Book"/>
                <w:color w:val="55565A"/>
                <w:sz w:val="22"/>
                <w:szCs w:val="22"/>
                <w:lang w:val="en-US"/>
              </w:rPr>
              <w:t>;</w:t>
            </w:r>
            <w:r>
              <w:rPr>
                <w:rFonts w:cs="National-Book"/>
                <w:color w:val="55565A"/>
                <w:sz w:val="22"/>
                <w:szCs w:val="22"/>
                <w:lang w:val="en-US"/>
              </w:rPr>
              <w:t xml:space="preserve"> and</w:t>
            </w:r>
          </w:p>
          <w:p w14:paraId="3AA5F628" w14:textId="77777777" w:rsidR="006C211D" w:rsidRDefault="006C211D" w:rsidP="00973A5E">
            <w:pPr>
              <w:pStyle w:val="ListParagraph"/>
              <w:numPr>
                <w:ilvl w:val="0"/>
                <w:numId w:val="9"/>
              </w:numPr>
              <w:spacing w:before="160" w:after="160"/>
              <w:rPr>
                <w:rFonts w:cs="National-Book"/>
                <w:color w:val="55565A"/>
                <w:sz w:val="22"/>
                <w:szCs w:val="22"/>
                <w:lang w:val="en-US"/>
              </w:rPr>
            </w:pPr>
            <w:r>
              <w:rPr>
                <w:rFonts w:cs="National-Book"/>
                <w:color w:val="55565A"/>
                <w:sz w:val="22"/>
                <w:szCs w:val="22"/>
                <w:lang w:val="en-US"/>
              </w:rPr>
              <w:t xml:space="preserve">a body that is a special body, within the meaning of section 6 of the </w:t>
            </w:r>
            <w:r w:rsidRPr="00931BEA">
              <w:rPr>
                <w:rFonts w:cs="National-Book"/>
                <w:i/>
                <w:iCs/>
                <w:color w:val="55565A"/>
                <w:sz w:val="22"/>
                <w:szCs w:val="22"/>
                <w:lang w:val="en-US"/>
              </w:rPr>
              <w:t>Public Administration Act 2004</w:t>
            </w:r>
            <w:r>
              <w:rPr>
                <w:rFonts w:cs="National-Book"/>
                <w:color w:val="55565A"/>
                <w:sz w:val="22"/>
                <w:szCs w:val="22"/>
                <w:lang w:val="en-US"/>
              </w:rPr>
              <w:t>; and</w:t>
            </w:r>
          </w:p>
          <w:p w14:paraId="0BE1364D" w14:textId="77777777" w:rsidR="006C211D" w:rsidRPr="00335BF6" w:rsidRDefault="006C211D" w:rsidP="00973A5E">
            <w:pPr>
              <w:pStyle w:val="ListParagraph"/>
              <w:numPr>
                <w:ilvl w:val="0"/>
                <w:numId w:val="9"/>
              </w:numPr>
              <w:spacing w:before="160" w:after="160"/>
              <w:rPr>
                <w:rFonts w:cs="National-Book"/>
                <w:color w:val="55565A"/>
                <w:sz w:val="22"/>
                <w:szCs w:val="22"/>
                <w:lang w:val="en-US"/>
              </w:rPr>
            </w:pPr>
            <w:r>
              <w:rPr>
                <w:rFonts w:cs="National-Book"/>
                <w:color w:val="55565A"/>
                <w:sz w:val="22"/>
                <w:szCs w:val="22"/>
                <w:lang w:val="en-US"/>
              </w:rPr>
              <w:t>a body declared under subsection (3) to be a body to which this Part applies.</w:t>
            </w:r>
          </w:p>
        </w:tc>
      </w:tr>
      <w:tr w:rsidR="006C211D" w:rsidRPr="00B56571" w14:paraId="5F315193" w14:textId="77777777" w:rsidTr="00973A5E">
        <w:trPr>
          <w:trHeight w:val="20"/>
        </w:trPr>
        <w:tc>
          <w:tcPr>
            <w:tcW w:w="708" w:type="dxa"/>
            <w:tcBorders>
              <w:left w:val="nil"/>
            </w:tcBorders>
            <w:shd w:val="clear" w:color="auto" w:fill="E9E5E2"/>
            <w:vAlign w:val="center"/>
          </w:tcPr>
          <w:p w14:paraId="6C66F692" w14:textId="77777777" w:rsidR="006C211D" w:rsidRDefault="006C211D" w:rsidP="00FE78A9">
            <w:pPr>
              <w:pStyle w:val="TableParagraph"/>
              <w:ind w:left="-150"/>
              <w:jc w:val="center"/>
              <w:rPr>
                <w:rFonts w:asciiTheme="minorHAnsi" w:eastAsia="Arial Unicode MS" w:hAnsiTheme="minorHAnsi" w:cstheme="minorHAnsi"/>
                <w:sz w:val="20"/>
              </w:rPr>
            </w:pPr>
            <w:r>
              <w:rPr>
                <w:rFonts w:asciiTheme="minorHAnsi" w:eastAsia="Arial Unicode MS" w:hAnsiTheme="minorHAnsi" w:cstheme="minorHAnsi"/>
                <w:sz w:val="20"/>
              </w:rPr>
              <w:t>(2)</w:t>
            </w:r>
          </w:p>
        </w:tc>
        <w:tc>
          <w:tcPr>
            <w:tcW w:w="8648" w:type="dxa"/>
            <w:tcBorders>
              <w:right w:val="nil"/>
            </w:tcBorders>
            <w:shd w:val="clear" w:color="auto" w:fill="E9E5E2"/>
            <w:vAlign w:val="center"/>
          </w:tcPr>
          <w:p w14:paraId="450E3341" w14:textId="77777777" w:rsidR="006C211D" w:rsidRDefault="006C211D" w:rsidP="00973A5E">
            <w:pPr>
              <w:spacing w:before="160" w:after="160"/>
              <w:rPr>
                <w:rFonts w:ascii="Calibri" w:eastAsia="Calibri" w:hAnsi="Calibri" w:cs="National-Book"/>
                <w:color w:val="55565A"/>
                <w:sz w:val="22"/>
                <w:szCs w:val="22"/>
                <w:lang w:val="en-US" w:eastAsia="en-US"/>
              </w:rPr>
            </w:pPr>
            <w:r>
              <w:rPr>
                <w:rFonts w:ascii="Calibri" w:eastAsia="Calibri" w:hAnsi="Calibri" w:cs="National-Book"/>
                <w:color w:val="55565A"/>
                <w:sz w:val="22"/>
                <w:szCs w:val="22"/>
                <w:lang w:val="en-US" w:eastAsia="en-US"/>
              </w:rPr>
              <w:t xml:space="preserve">This Part does not apply to the following – </w:t>
            </w:r>
          </w:p>
          <w:p w14:paraId="4CD113F6" w14:textId="77777777" w:rsidR="006C211D" w:rsidRDefault="006C211D" w:rsidP="00973A5E">
            <w:pPr>
              <w:pStyle w:val="ListParagraph"/>
              <w:numPr>
                <w:ilvl w:val="0"/>
                <w:numId w:val="10"/>
              </w:numPr>
              <w:spacing w:before="160" w:after="160"/>
              <w:rPr>
                <w:rFonts w:cs="National-Book"/>
                <w:color w:val="55565A"/>
                <w:sz w:val="22"/>
                <w:szCs w:val="22"/>
                <w:lang w:val="en-US"/>
              </w:rPr>
            </w:pPr>
            <w:r>
              <w:rPr>
                <w:rFonts w:cs="National-Book"/>
                <w:color w:val="55565A"/>
                <w:sz w:val="22"/>
                <w:szCs w:val="22"/>
                <w:lang w:val="en-US"/>
              </w:rPr>
              <w:t xml:space="preserve">a Council; </w:t>
            </w:r>
          </w:p>
          <w:p w14:paraId="0BF7ABEC" w14:textId="77777777" w:rsidR="006C211D" w:rsidRDefault="006C211D" w:rsidP="00973A5E">
            <w:pPr>
              <w:pStyle w:val="ListParagraph"/>
              <w:numPr>
                <w:ilvl w:val="0"/>
                <w:numId w:val="10"/>
              </w:numPr>
              <w:spacing w:before="160" w:after="160"/>
              <w:rPr>
                <w:rFonts w:cs="National-Book"/>
                <w:color w:val="55565A"/>
                <w:sz w:val="22"/>
                <w:szCs w:val="22"/>
                <w:lang w:val="en-US"/>
              </w:rPr>
            </w:pPr>
            <w:r>
              <w:rPr>
                <w:rFonts w:cs="National-Book"/>
                <w:color w:val="55565A"/>
                <w:sz w:val="22"/>
                <w:szCs w:val="22"/>
                <w:lang w:val="en-US"/>
              </w:rPr>
              <w:lastRenderedPageBreak/>
              <w:t xml:space="preserve">a university within the meaning of the </w:t>
            </w:r>
            <w:r w:rsidRPr="00931BEA">
              <w:rPr>
                <w:rFonts w:cs="National-Book"/>
                <w:i/>
                <w:iCs/>
                <w:color w:val="55565A"/>
                <w:sz w:val="22"/>
                <w:szCs w:val="22"/>
                <w:lang w:val="en-US"/>
              </w:rPr>
              <w:t>Education and Training Reform Act 2006</w:t>
            </w:r>
            <w:r>
              <w:rPr>
                <w:rFonts w:cs="National-Book"/>
                <w:color w:val="55565A"/>
                <w:sz w:val="22"/>
                <w:szCs w:val="22"/>
                <w:lang w:val="en-US"/>
              </w:rPr>
              <w:t xml:space="preserve">; </w:t>
            </w:r>
          </w:p>
          <w:p w14:paraId="378B3143" w14:textId="77777777" w:rsidR="006C211D" w:rsidRDefault="006C211D" w:rsidP="00973A5E">
            <w:pPr>
              <w:pStyle w:val="ListParagraph"/>
              <w:numPr>
                <w:ilvl w:val="0"/>
                <w:numId w:val="10"/>
              </w:numPr>
              <w:spacing w:before="160" w:after="160"/>
              <w:rPr>
                <w:rFonts w:cs="National-Book"/>
                <w:color w:val="55565A"/>
                <w:sz w:val="22"/>
                <w:szCs w:val="22"/>
                <w:lang w:val="en-US"/>
              </w:rPr>
            </w:pPr>
            <w:r>
              <w:rPr>
                <w:rFonts w:cs="National-Book"/>
                <w:color w:val="55565A"/>
                <w:sz w:val="22"/>
                <w:szCs w:val="22"/>
                <w:lang w:val="en-US"/>
              </w:rPr>
              <w:t xml:space="preserve">a body to which, or to the governing body of which, the government of another jurisdiction, or a person appointed, or body established under the law of another jurisdiction, has the right to appoint a member, irrespective of how that right arises; </w:t>
            </w:r>
          </w:p>
          <w:p w14:paraId="71ED977A" w14:textId="77777777" w:rsidR="006C211D" w:rsidRDefault="006C211D" w:rsidP="00973A5E">
            <w:pPr>
              <w:pStyle w:val="ListParagraph"/>
              <w:numPr>
                <w:ilvl w:val="0"/>
                <w:numId w:val="10"/>
              </w:numPr>
              <w:spacing w:before="160" w:after="160"/>
              <w:rPr>
                <w:rFonts w:cs="National-Book"/>
                <w:color w:val="55565A"/>
                <w:sz w:val="22"/>
                <w:szCs w:val="22"/>
                <w:lang w:val="en-US"/>
              </w:rPr>
            </w:pPr>
            <w:r>
              <w:rPr>
                <w:rFonts w:cs="National-Book"/>
                <w:color w:val="55565A"/>
                <w:sz w:val="22"/>
                <w:szCs w:val="22"/>
                <w:lang w:val="en-US"/>
              </w:rPr>
              <w:t xml:space="preserve">a public hospital within the meaning of the </w:t>
            </w:r>
            <w:r w:rsidRPr="00931BEA">
              <w:rPr>
                <w:rFonts w:cs="National-Book"/>
                <w:i/>
                <w:iCs/>
                <w:color w:val="55565A"/>
                <w:sz w:val="22"/>
                <w:szCs w:val="22"/>
                <w:lang w:val="en-US"/>
              </w:rPr>
              <w:t>Health Services Act 1988</w:t>
            </w:r>
            <w:r>
              <w:rPr>
                <w:rFonts w:cs="National-Book"/>
                <w:color w:val="55565A"/>
                <w:sz w:val="22"/>
                <w:szCs w:val="22"/>
                <w:lang w:val="en-US"/>
              </w:rPr>
              <w:t xml:space="preserve">; </w:t>
            </w:r>
          </w:p>
          <w:p w14:paraId="42D90FBE" w14:textId="77777777" w:rsidR="006C211D" w:rsidRDefault="006C211D" w:rsidP="00973A5E">
            <w:pPr>
              <w:pStyle w:val="ListParagraph"/>
              <w:numPr>
                <w:ilvl w:val="0"/>
                <w:numId w:val="10"/>
              </w:numPr>
              <w:spacing w:before="160" w:after="160"/>
              <w:rPr>
                <w:rFonts w:cs="National-Book"/>
                <w:color w:val="55565A"/>
                <w:sz w:val="22"/>
                <w:szCs w:val="22"/>
                <w:lang w:val="en-US"/>
              </w:rPr>
            </w:pPr>
            <w:r>
              <w:rPr>
                <w:rFonts w:cs="National-Book"/>
                <w:color w:val="55565A"/>
                <w:sz w:val="22"/>
                <w:szCs w:val="22"/>
                <w:lang w:val="en-US"/>
              </w:rPr>
              <w:t xml:space="preserve">a public health service within the meaning of the </w:t>
            </w:r>
            <w:r w:rsidRPr="00931BEA">
              <w:rPr>
                <w:rFonts w:cs="National-Book"/>
                <w:i/>
                <w:iCs/>
                <w:color w:val="55565A"/>
                <w:sz w:val="22"/>
                <w:szCs w:val="22"/>
                <w:lang w:val="en-US"/>
              </w:rPr>
              <w:t>Health Services Act 1988</w:t>
            </w:r>
            <w:r>
              <w:rPr>
                <w:rFonts w:cs="National-Book"/>
                <w:color w:val="55565A"/>
                <w:sz w:val="22"/>
                <w:szCs w:val="22"/>
                <w:lang w:val="en-US"/>
              </w:rPr>
              <w:t xml:space="preserve">; </w:t>
            </w:r>
          </w:p>
          <w:p w14:paraId="1C3DBF92" w14:textId="77777777" w:rsidR="006C211D" w:rsidRDefault="006C211D" w:rsidP="00973A5E">
            <w:pPr>
              <w:pStyle w:val="ListParagraph"/>
              <w:numPr>
                <w:ilvl w:val="0"/>
                <w:numId w:val="10"/>
              </w:numPr>
              <w:spacing w:before="160" w:after="160"/>
              <w:rPr>
                <w:rFonts w:cs="National-Book"/>
                <w:color w:val="55565A"/>
                <w:sz w:val="22"/>
                <w:szCs w:val="22"/>
                <w:lang w:val="en-US"/>
              </w:rPr>
            </w:pPr>
            <w:r>
              <w:rPr>
                <w:rFonts w:cs="National-Book"/>
                <w:color w:val="55565A"/>
                <w:sz w:val="22"/>
                <w:szCs w:val="22"/>
                <w:lang w:val="en-US"/>
              </w:rPr>
              <w:t xml:space="preserve">a multi-purpose service within the meaning of the </w:t>
            </w:r>
            <w:r w:rsidRPr="00931BEA">
              <w:rPr>
                <w:rFonts w:cs="National-Book"/>
                <w:i/>
                <w:iCs/>
                <w:color w:val="55565A"/>
                <w:sz w:val="22"/>
                <w:szCs w:val="22"/>
                <w:lang w:val="en-US"/>
              </w:rPr>
              <w:t>Health Services Act 1988</w:t>
            </w:r>
            <w:r>
              <w:rPr>
                <w:rFonts w:cs="National-Book"/>
                <w:color w:val="55565A"/>
                <w:sz w:val="22"/>
                <w:szCs w:val="22"/>
                <w:lang w:val="en-US"/>
              </w:rPr>
              <w:t xml:space="preserve">; </w:t>
            </w:r>
          </w:p>
          <w:p w14:paraId="07EB0BD3" w14:textId="77777777" w:rsidR="006C211D" w:rsidRPr="00335BF6" w:rsidRDefault="006C211D" w:rsidP="00973A5E">
            <w:pPr>
              <w:pStyle w:val="ListParagraph"/>
              <w:numPr>
                <w:ilvl w:val="0"/>
                <w:numId w:val="10"/>
              </w:numPr>
              <w:spacing w:before="160" w:after="160"/>
              <w:rPr>
                <w:rFonts w:cs="National-Book"/>
                <w:color w:val="55565A"/>
                <w:sz w:val="22"/>
                <w:szCs w:val="22"/>
                <w:lang w:val="en-US"/>
              </w:rPr>
            </w:pPr>
            <w:r>
              <w:rPr>
                <w:rFonts w:cs="National-Book"/>
                <w:color w:val="55565A"/>
                <w:sz w:val="22"/>
                <w:szCs w:val="22"/>
                <w:lang w:val="en-US"/>
              </w:rPr>
              <w:t xml:space="preserve">an ambulance service, within the meaning of the </w:t>
            </w:r>
            <w:r w:rsidRPr="00931BEA">
              <w:rPr>
                <w:rFonts w:cs="National-Book"/>
                <w:i/>
                <w:iCs/>
                <w:color w:val="55565A"/>
                <w:sz w:val="22"/>
                <w:szCs w:val="22"/>
                <w:lang w:val="en-US"/>
              </w:rPr>
              <w:t>Ambulance Services Act 1986</w:t>
            </w:r>
            <w:r>
              <w:rPr>
                <w:rFonts w:cs="National-Book"/>
                <w:color w:val="55565A"/>
                <w:sz w:val="22"/>
                <w:szCs w:val="22"/>
                <w:lang w:val="en-US"/>
              </w:rPr>
              <w:t>.</w:t>
            </w:r>
          </w:p>
        </w:tc>
      </w:tr>
      <w:tr w:rsidR="006C211D" w:rsidRPr="00B56571" w14:paraId="37827A77" w14:textId="77777777" w:rsidTr="00973A5E">
        <w:trPr>
          <w:trHeight w:val="20"/>
        </w:trPr>
        <w:tc>
          <w:tcPr>
            <w:tcW w:w="708" w:type="dxa"/>
            <w:tcBorders>
              <w:left w:val="nil"/>
            </w:tcBorders>
            <w:shd w:val="clear" w:color="auto" w:fill="E9E5E2"/>
            <w:vAlign w:val="center"/>
          </w:tcPr>
          <w:p w14:paraId="02136FE3" w14:textId="77777777" w:rsidR="006C211D" w:rsidRDefault="006C211D" w:rsidP="00FE78A9">
            <w:pPr>
              <w:pStyle w:val="TableParagraph"/>
              <w:ind w:left="-150"/>
              <w:jc w:val="center"/>
              <w:rPr>
                <w:rFonts w:asciiTheme="minorHAnsi" w:eastAsia="Arial Unicode MS" w:hAnsiTheme="minorHAnsi" w:cstheme="minorHAnsi"/>
                <w:sz w:val="20"/>
              </w:rPr>
            </w:pPr>
            <w:r>
              <w:rPr>
                <w:rFonts w:asciiTheme="minorHAnsi" w:eastAsia="Arial Unicode MS" w:hAnsiTheme="minorHAnsi" w:cstheme="minorHAnsi"/>
                <w:sz w:val="20"/>
              </w:rPr>
              <w:lastRenderedPageBreak/>
              <w:t xml:space="preserve">(3) </w:t>
            </w:r>
          </w:p>
        </w:tc>
        <w:tc>
          <w:tcPr>
            <w:tcW w:w="8648" w:type="dxa"/>
            <w:tcBorders>
              <w:right w:val="nil"/>
            </w:tcBorders>
            <w:shd w:val="clear" w:color="auto" w:fill="E9E5E2"/>
            <w:vAlign w:val="center"/>
          </w:tcPr>
          <w:p w14:paraId="3EB81821" w14:textId="77777777" w:rsidR="006C211D" w:rsidRDefault="006C211D" w:rsidP="00973A5E">
            <w:pPr>
              <w:spacing w:before="160" w:after="160"/>
              <w:rPr>
                <w:rFonts w:ascii="Calibri" w:eastAsia="Calibri" w:hAnsi="Calibri" w:cs="National-Book"/>
                <w:color w:val="55565A"/>
                <w:sz w:val="22"/>
                <w:szCs w:val="22"/>
                <w:lang w:val="en-US" w:eastAsia="en-US"/>
              </w:rPr>
            </w:pPr>
            <w:r>
              <w:rPr>
                <w:rFonts w:ascii="Calibri" w:eastAsia="Calibri" w:hAnsi="Calibri" w:cs="National-Book"/>
                <w:color w:val="55565A"/>
                <w:sz w:val="22"/>
                <w:szCs w:val="22"/>
                <w:lang w:val="en-US" w:eastAsia="en-US"/>
              </w:rPr>
              <w:t xml:space="preserve">The Governor in Council, by Order published in the Government Gazette, may declare a body to be a body to which this Part applies. </w:t>
            </w:r>
          </w:p>
        </w:tc>
      </w:tr>
    </w:tbl>
    <w:p w14:paraId="6B4FB832" w14:textId="412472DC" w:rsidR="0047232C" w:rsidRDefault="0047232C" w:rsidP="00973A5E">
      <w:pPr>
        <w:pStyle w:val="Body"/>
        <w:spacing w:before="240"/>
      </w:pPr>
      <w:r w:rsidRPr="00DD5478">
        <w:t xml:space="preserve">For more information on whether the </w:t>
      </w:r>
      <w:r>
        <w:t>Framework and Standards</w:t>
      </w:r>
      <w:r w:rsidRPr="00DD5478">
        <w:t xml:space="preserve"> appl</w:t>
      </w:r>
      <w:r>
        <w:t xml:space="preserve">y </w:t>
      </w:r>
      <w:r w:rsidRPr="00DD5478">
        <w:t>to your</w:t>
      </w:r>
      <w:r w:rsidR="002E1D94">
        <w:t xml:space="preserve"> VPS</w:t>
      </w:r>
      <w:r w:rsidRPr="00DD5478">
        <w:t xml:space="preserve"> organisation, refer to the</w:t>
      </w:r>
      <w:r w:rsidR="00432AFE">
        <w:t xml:space="preserve"> </w:t>
      </w:r>
      <w:hyperlink r:id="rId20" w:history="1">
        <w:r w:rsidR="00432AFE" w:rsidRPr="00432AFE">
          <w:rPr>
            <w:rStyle w:val="Hyperlink"/>
          </w:rPr>
          <w:t>VPDSF resources</w:t>
        </w:r>
      </w:hyperlink>
      <w:r w:rsidR="00432AFE">
        <w:t xml:space="preserve"> section </w:t>
      </w:r>
      <w:r w:rsidRPr="00DD5478">
        <w:t xml:space="preserve">of </w:t>
      </w:r>
      <w:r>
        <w:t>the OVIC</w:t>
      </w:r>
      <w:r w:rsidRPr="00DD5478">
        <w:t xml:space="preserve"> website</w:t>
      </w:r>
      <w:r>
        <w:t>.</w:t>
      </w:r>
    </w:p>
    <w:p w14:paraId="7167400C" w14:textId="34A8AB82" w:rsidR="006C211D" w:rsidRPr="00B96378" w:rsidRDefault="00476E5E" w:rsidP="00973A5E">
      <w:pPr>
        <w:pStyle w:val="SectionSubhead"/>
        <w:ind w:left="0"/>
        <w:rPr>
          <w:rFonts w:eastAsia="Calibri"/>
        </w:rPr>
      </w:pPr>
      <w:bookmarkStart w:id="24" w:name="_Toc33019520"/>
      <w:r>
        <w:rPr>
          <w:rFonts w:eastAsia="Calibri"/>
        </w:rPr>
        <w:t>Victoria Police and Crime Statistics Agency (</w:t>
      </w:r>
      <w:r w:rsidR="006C211D" w:rsidRPr="00685C86">
        <w:rPr>
          <w:rFonts w:eastAsia="Calibri"/>
        </w:rPr>
        <w:t xml:space="preserve">Part </w:t>
      </w:r>
      <w:r w:rsidR="006C211D">
        <w:rPr>
          <w:rFonts w:eastAsia="Calibri"/>
        </w:rPr>
        <w:t>5</w:t>
      </w:r>
      <w:r w:rsidR="006C211D" w:rsidRPr="00685C86">
        <w:rPr>
          <w:rFonts w:eastAsia="Calibri"/>
        </w:rPr>
        <w:t xml:space="preserve"> of the PDP Act</w:t>
      </w:r>
      <w:r>
        <w:rPr>
          <w:rFonts w:eastAsia="Calibri"/>
        </w:rPr>
        <w:t>)</w:t>
      </w:r>
      <w:bookmarkEnd w:id="24"/>
    </w:p>
    <w:p w14:paraId="21110AFE" w14:textId="77777777" w:rsidR="006C211D" w:rsidRDefault="006C211D" w:rsidP="00973A5E">
      <w:pPr>
        <w:pStyle w:val="Body"/>
      </w:pPr>
      <w:r w:rsidRPr="00685C86">
        <w:t>Part 5 of the PDP Act describes the information security responsibilities of Victoria Police</w:t>
      </w:r>
      <w:r>
        <w:t xml:space="preserve"> </w:t>
      </w:r>
      <w:r w:rsidRPr="00685C86">
        <w:t>and the Crime Statistics Agency.</w:t>
      </w:r>
    </w:p>
    <w:p w14:paraId="7F4D39EF" w14:textId="6BE97387" w:rsidR="006C211D" w:rsidRPr="00685C86" w:rsidRDefault="005D7CC2" w:rsidP="00973A5E">
      <w:pPr>
        <w:pStyle w:val="Body"/>
      </w:pPr>
      <w:r>
        <w:t xml:space="preserve">From </w:t>
      </w:r>
      <w:r w:rsidR="006C211D">
        <w:t>2017, Victoria Police</w:t>
      </w:r>
      <w:r w:rsidR="00F43939">
        <w:t xml:space="preserve"> and the</w:t>
      </w:r>
      <w:r w:rsidR="00F43939" w:rsidRPr="00F43939">
        <w:t xml:space="preserve"> </w:t>
      </w:r>
      <w:r w:rsidR="00F43939" w:rsidRPr="00853C14">
        <w:t xml:space="preserve">Crime Statistics </w:t>
      </w:r>
      <w:r w:rsidR="00F43939">
        <w:t>Agency</w:t>
      </w:r>
      <w:r>
        <w:t xml:space="preserve"> are covered by</w:t>
      </w:r>
      <w:r w:rsidR="00F43939">
        <w:t xml:space="preserve"> </w:t>
      </w:r>
      <w:r w:rsidR="00F43939" w:rsidRPr="00853C14">
        <w:t xml:space="preserve">the </w:t>
      </w:r>
      <w:r w:rsidR="00F43939">
        <w:t>Framework and Standards</w:t>
      </w:r>
      <w:r>
        <w:t>,</w:t>
      </w:r>
      <w:r w:rsidR="006C211D">
        <w:t xml:space="preserve"> in line with other </w:t>
      </w:r>
      <w:r w:rsidR="002E1D94">
        <w:t>VPS</w:t>
      </w:r>
      <w:r w:rsidR="006C211D">
        <w:t xml:space="preserve"> organisations to which Part 4 of the PDP Act applies.</w:t>
      </w:r>
    </w:p>
    <w:p w14:paraId="5B198F32" w14:textId="7C9B83B1" w:rsidR="0029238A" w:rsidRPr="00B96378" w:rsidRDefault="0029238A" w:rsidP="00973A5E">
      <w:pPr>
        <w:pStyle w:val="SectionSubhead"/>
        <w:ind w:left="0"/>
        <w:rPr>
          <w:rFonts w:eastAsia="Calibri"/>
        </w:rPr>
      </w:pPr>
      <w:bookmarkStart w:id="25" w:name="_Toc33019521"/>
      <w:r>
        <w:rPr>
          <w:rFonts w:eastAsia="Calibri"/>
        </w:rPr>
        <w:t>Contracted Service Providers / Third Parties</w:t>
      </w:r>
      <w:bookmarkEnd w:id="25"/>
    </w:p>
    <w:p w14:paraId="3B24D91C" w14:textId="7601E505" w:rsidR="0029238A" w:rsidRPr="0029238A" w:rsidRDefault="0029238A" w:rsidP="00973A5E">
      <w:pPr>
        <w:pStyle w:val="Body"/>
      </w:pPr>
      <w:r w:rsidRPr="0029238A">
        <w:t xml:space="preserve">Part 4 of the PDP Act applies to all staﬀ, contractors and consultants of </w:t>
      </w:r>
      <w:r w:rsidR="002E1D94">
        <w:t>VPS</w:t>
      </w:r>
      <w:r w:rsidRPr="0029238A">
        <w:t xml:space="preserve"> organisations identified in Section 84(1) of the PDP Act</w:t>
      </w:r>
      <w:r w:rsidR="00356982">
        <w:t>.</w:t>
      </w:r>
    </w:p>
    <w:p w14:paraId="1E1625CC" w14:textId="41BBEF12" w:rsidR="00356982" w:rsidRDefault="00356982" w:rsidP="00973A5E">
      <w:pPr>
        <w:pStyle w:val="Body"/>
        <w:tabs>
          <w:tab w:val="left" w:pos="1701"/>
        </w:tabs>
      </w:pPr>
      <w:r w:rsidRPr="00AD119F">
        <w:t>Section 88 (</w:t>
      </w:r>
      <w:r w:rsidR="005D7CC2" w:rsidRPr="00B96378">
        <w:t>2</w:t>
      </w:r>
      <w:r w:rsidRPr="00AD119F">
        <w:t>)</w:t>
      </w:r>
      <w:r>
        <w:t xml:space="preserve"> of the PDP Act extends the information security obligations of VPS organisations to </w:t>
      </w:r>
      <w:r w:rsidRPr="0029238A">
        <w:t>contracted service provider</w:t>
      </w:r>
      <w:r>
        <w:t>s</w:t>
      </w:r>
      <w:r w:rsidRPr="0029238A">
        <w:t xml:space="preserve"> (</w:t>
      </w:r>
      <w:r w:rsidRPr="00356982">
        <w:rPr>
          <w:b/>
          <w:bCs/>
        </w:rPr>
        <w:t>CSPs</w:t>
      </w:r>
      <w:r w:rsidRPr="0029238A">
        <w:t>)</w:t>
      </w:r>
      <w:r>
        <w:t>, which states:</w:t>
      </w:r>
    </w:p>
    <w:p w14:paraId="5D4C6DA2" w14:textId="5A4B6810" w:rsidR="00356982" w:rsidRPr="002F6C85" w:rsidRDefault="00356982" w:rsidP="00973A5E">
      <w:pPr>
        <w:pStyle w:val="Quote1"/>
      </w:pPr>
      <w:r w:rsidRPr="002F6C85">
        <w:t xml:space="preserve">A public sector body Head for an agency or a body to which this Part applies must ensure that </w:t>
      </w:r>
      <w:r w:rsidR="005D7CC2">
        <w:t>a contracted service provider of the agency or bod</w:t>
      </w:r>
      <w:r w:rsidRPr="002F6C85">
        <w:t xml:space="preserve">  does not do an act or engage in a practice that contravenes a protective data security standard, in respect of</w:t>
      </w:r>
      <w:r>
        <w:t xml:space="preserve"> </w:t>
      </w:r>
      <w:r w:rsidRPr="002F6C85">
        <w:t>public sector data collected, held, used</w:t>
      </w:r>
      <w:r w:rsidR="005D7CC2" w:rsidRPr="002F6C85">
        <w:t>,</w:t>
      </w:r>
      <w:r w:rsidR="005D7CC2">
        <w:t xml:space="preserve"> managed, </w:t>
      </w:r>
      <w:r w:rsidRPr="002F6C85">
        <w:t xml:space="preserve">disclosed or transferred by </w:t>
      </w:r>
      <w:r w:rsidR="005D7CC2">
        <w:t>the contracted service provider for the agency or body.</w:t>
      </w:r>
    </w:p>
    <w:p w14:paraId="623A257F" w14:textId="3F92B36F" w:rsidR="00067F0F" w:rsidRDefault="00356982" w:rsidP="00973A5E">
      <w:pPr>
        <w:pStyle w:val="Body"/>
      </w:pPr>
      <w:r>
        <w:t>VPS organisations must include assessments of</w:t>
      </w:r>
      <w:r w:rsidR="0029238A" w:rsidRPr="0029238A">
        <w:t xml:space="preserve"> </w:t>
      </w:r>
      <w:r>
        <w:t>CSPs</w:t>
      </w:r>
      <w:r w:rsidR="0029238A" w:rsidRPr="0029238A">
        <w:t xml:space="preserve"> </w:t>
      </w:r>
      <w:r>
        <w:t xml:space="preserve">in their </w:t>
      </w:r>
      <w:r w:rsidR="00931BEA">
        <w:t>Security Risk Profile Assessment (</w:t>
      </w:r>
      <w:r w:rsidR="00931BEA" w:rsidRPr="00B96378">
        <w:rPr>
          <w:b/>
          <w:bCs/>
        </w:rPr>
        <w:t>SRPA</w:t>
      </w:r>
      <w:r w:rsidR="00931BEA">
        <w:t xml:space="preserve">) </w:t>
      </w:r>
      <w:r>
        <w:t>process</w:t>
      </w:r>
      <w:r>
        <w:rPr>
          <w:rStyle w:val="FootnoteReference"/>
        </w:rPr>
        <w:footnoteReference w:id="11"/>
      </w:r>
      <w:r>
        <w:t xml:space="preserve">. </w:t>
      </w:r>
    </w:p>
    <w:p w14:paraId="79FA8290" w14:textId="77777777" w:rsidR="00067F0F" w:rsidRDefault="00067F0F">
      <w:pPr>
        <w:rPr>
          <w:rFonts w:ascii="Calibri" w:hAnsi="Calibri"/>
          <w:color w:val="000000"/>
          <w:sz w:val="22"/>
          <w:lang w:val="en-GB"/>
        </w:rPr>
      </w:pPr>
      <w:r>
        <w:br w:type="page"/>
      </w:r>
    </w:p>
    <w:p w14:paraId="5653E390" w14:textId="4CAD679E" w:rsidR="00EF7654" w:rsidRPr="00EF7654" w:rsidRDefault="00737513" w:rsidP="00EF7654">
      <w:pPr>
        <w:pStyle w:val="SectionHeading"/>
        <w:rPr>
          <w:rFonts w:eastAsia="Arial Unicode MS"/>
        </w:rPr>
      </w:pPr>
      <w:bookmarkStart w:id="26" w:name="_Toc33019522"/>
      <w:r>
        <w:rPr>
          <w:rFonts w:eastAsia="Arial Unicode MS"/>
        </w:rPr>
        <w:lastRenderedPageBreak/>
        <w:t xml:space="preserve">The Framework in </w:t>
      </w:r>
      <w:r w:rsidR="007715B6">
        <w:rPr>
          <w:rFonts w:eastAsia="Arial Unicode MS"/>
        </w:rPr>
        <w:t>c</w:t>
      </w:r>
      <w:r>
        <w:rPr>
          <w:rFonts w:eastAsia="Arial Unicode MS"/>
        </w:rPr>
        <w:t>ontext</w:t>
      </w:r>
      <w:bookmarkEnd w:id="26"/>
      <w:r>
        <w:rPr>
          <w:rFonts w:eastAsia="Arial Unicode MS"/>
        </w:rPr>
        <w:t xml:space="preserve"> </w:t>
      </w:r>
    </w:p>
    <w:p w14:paraId="6E5A11FA" w14:textId="77777777" w:rsidR="00CA0960" w:rsidRDefault="005407F9" w:rsidP="00716417">
      <w:pPr>
        <w:pStyle w:val="Body"/>
      </w:pPr>
      <w:r>
        <w:t>The Framework has been developed to monitor and assure the security of public sector information</w:t>
      </w:r>
      <w:r>
        <w:rPr>
          <w:rStyle w:val="FootnoteReference"/>
        </w:rPr>
        <w:footnoteReference w:id="12"/>
      </w:r>
      <w:r>
        <w:t xml:space="preserve">. </w:t>
      </w:r>
    </w:p>
    <w:p w14:paraId="7339F1B8" w14:textId="2089A285" w:rsidR="00F0351E" w:rsidRDefault="00CA0960" w:rsidP="00716417">
      <w:pPr>
        <w:pStyle w:val="Body"/>
      </w:pPr>
      <w:r>
        <w:t xml:space="preserve">To do this, OVIC’s </w:t>
      </w:r>
      <w:r w:rsidR="00215D7E">
        <w:t>monitor</w:t>
      </w:r>
      <w:r>
        <w:t>s</w:t>
      </w:r>
      <w:r w:rsidR="00215D7E">
        <w:t xml:space="preserve"> and measure</w:t>
      </w:r>
      <w:r>
        <w:t>s</w:t>
      </w:r>
      <w:r w:rsidR="00215D7E">
        <w:t xml:space="preserve"> VPS organisations</w:t>
      </w:r>
      <w:r w:rsidR="00AD119F">
        <w:t>’</w:t>
      </w:r>
      <w:r w:rsidR="00F0351E">
        <w:t>:</w:t>
      </w:r>
    </w:p>
    <w:p w14:paraId="05C0990E" w14:textId="26784ACE" w:rsidR="00F0351E" w:rsidRPr="00973A5E" w:rsidRDefault="00F0351E" w:rsidP="00973A5E">
      <w:pPr>
        <w:pStyle w:val="Bullet2"/>
      </w:pPr>
      <w:r w:rsidRPr="00973A5E">
        <w:t>implementation of the Standards; and</w:t>
      </w:r>
    </w:p>
    <w:p w14:paraId="2E0450C2" w14:textId="0CD4F37D" w:rsidR="00F0351E" w:rsidRPr="00973A5E" w:rsidRDefault="00F0351E" w:rsidP="00973A5E">
      <w:pPr>
        <w:pStyle w:val="Bullet2"/>
      </w:pPr>
      <w:r w:rsidRPr="00973A5E">
        <w:t xml:space="preserve">compliance with the PDP Act. </w:t>
      </w:r>
    </w:p>
    <w:p w14:paraId="51BC14F6" w14:textId="6502C70A" w:rsidR="00CB101D" w:rsidRDefault="00CD3913" w:rsidP="00543C5A">
      <w:pPr>
        <w:pStyle w:val="Body"/>
        <w:spacing w:before="360"/>
        <w:jc w:val="center"/>
      </w:pPr>
      <w:r>
        <w:rPr>
          <w:noProof/>
        </w:rPr>
        <w:drawing>
          <wp:inline distT="0" distB="0" distL="0" distR="0" wp14:anchorId="534A3E4E" wp14:editId="77DBC70E">
            <wp:extent cx="4097886" cy="2472267"/>
            <wp:effectExtent l="0" t="0" r="0" b="0"/>
            <wp:docPr id="14" name="Picture 14"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PDSS ACT VPDSF.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3090" cy="2481440"/>
                    </a:xfrm>
                    <a:prstGeom prst="rect">
                      <a:avLst/>
                    </a:prstGeom>
                  </pic:spPr>
                </pic:pic>
              </a:graphicData>
            </a:graphic>
          </wp:inline>
        </w:drawing>
      </w:r>
    </w:p>
    <w:p w14:paraId="0DDE4ADE" w14:textId="19D74FF0" w:rsidR="00C759F9" w:rsidRPr="00C3505F" w:rsidRDefault="00C759F9" w:rsidP="00543C5A">
      <w:pPr>
        <w:pStyle w:val="imagecaption"/>
        <w:jc w:val="center"/>
      </w:pPr>
      <w:r w:rsidRPr="00C3505F">
        <w:t xml:space="preserve">Figure </w:t>
      </w:r>
      <w:r w:rsidR="00C3505F" w:rsidRPr="00C3505F">
        <w:t>2</w:t>
      </w:r>
      <w:r w:rsidRPr="00C3505F">
        <w:t xml:space="preserve"> – Visual representation of the interlinked nature of the </w:t>
      </w:r>
      <w:r w:rsidR="009100AE" w:rsidRPr="00C3505F">
        <w:t>PDP Act, Standards and Framework</w:t>
      </w:r>
    </w:p>
    <w:p w14:paraId="6AC766E6" w14:textId="49EF3E8A" w:rsidR="005D3BFB" w:rsidRDefault="00F0351E" w:rsidP="0022248B">
      <w:pPr>
        <w:pStyle w:val="Body"/>
      </w:pPr>
      <w:r>
        <w:t xml:space="preserve">The </w:t>
      </w:r>
      <w:r w:rsidR="000E2898">
        <w:t>monitoring and assurance</w:t>
      </w:r>
      <w:r>
        <w:t xml:space="preserve"> </w:t>
      </w:r>
      <w:r w:rsidR="000E2898">
        <w:t>activities</w:t>
      </w:r>
      <w:r>
        <w:t xml:space="preserve"> outlined in this Framework are complemented by </w:t>
      </w:r>
      <w:r w:rsidR="000E2898">
        <w:t xml:space="preserve">the regulatory actions outlined in </w:t>
      </w:r>
      <w:r w:rsidR="00034521">
        <w:t xml:space="preserve">OVIC’s </w:t>
      </w:r>
      <w:hyperlink r:id="rId22" w:history="1">
        <w:r w:rsidR="00271579" w:rsidRPr="00750B25">
          <w:rPr>
            <w:rStyle w:val="Hyperlink"/>
            <w:i/>
            <w:iCs/>
          </w:rPr>
          <w:t>Regulatory Action Policy</w:t>
        </w:r>
      </w:hyperlink>
      <w:r>
        <w:t xml:space="preserve">, </w:t>
      </w:r>
      <w:r w:rsidR="00271579">
        <w:t xml:space="preserve">available on </w:t>
      </w:r>
      <w:r w:rsidR="00FE28DF" w:rsidRPr="007560B3">
        <w:t>the OVIC website.</w:t>
      </w:r>
    </w:p>
    <w:p w14:paraId="1D5C1457" w14:textId="50C55DC6" w:rsidR="006467D9" w:rsidRDefault="006467D9" w:rsidP="005D3BFB">
      <w:pPr>
        <w:pStyle w:val="SectionSubhead"/>
        <w:ind w:left="0"/>
      </w:pPr>
      <w:bookmarkStart w:id="27" w:name="_Toc33019523"/>
      <w:r>
        <w:t xml:space="preserve">How the Framework </w:t>
      </w:r>
      <w:r w:rsidR="007715B6">
        <w:t>i</w:t>
      </w:r>
      <w:r>
        <w:t xml:space="preserve">nteracts with </w:t>
      </w:r>
      <w:r w:rsidR="007715B6">
        <w:t>o</w:t>
      </w:r>
      <w:r>
        <w:t xml:space="preserve">ther </w:t>
      </w:r>
      <w:r w:rsidR="007715B6">
        <w:t>l</w:t>
      </w:r>
      <w:r>
        <w:t xml:space="preserve">egal </w:t>
      </w:r>
      <w:r w:rsidR="007715B6">
        <w:t>o</w:t>
      </w:r>
      <w:r>
        <w:t>bligations</w:t>
      </w:r>
      <w:bookmarkEnd w:id="27"/>
    </w:p>
    <w:p w14:paraId="708507AC" w14:textId="5B975C36" w:rsidR="006467D9" w:rsidRPr="00BB2853" w:rsidRDefault="006467D9" w:rsidP="005D3BFB">
      <w:pPr>
        <w:pStyle w:val="Body"/>
        <w:rPr>
          <w:rFonts w:eastAsia="Calibri"/>
        </w:rPr>
      </w:pPr>
      <w:r w:rsidRPr="00BB2853">
        <w:rPr>
          <w:rFonts w:eastAsia="Calibri"/>
        </w:rPr>
        <w:t xml:space="preserve">VPS organisations </w:t>
      </w:r>
      <w:r w:rsidR="00E83BAA">
        <w:rPr>
          <w:rFonts w:eastAsia="Calibri"/>
        </w:rPr>
        <w:t>have</w:t>
      </w:r>
      <w:r w:rsidRPr="00BB2853">
        <w:rPr>
          <w:rFonts w:eastAsia="Calibri"/>
        </w:rPr>
        <w:t xml:space="preserve"> a </w:t>
      </w:r>
      <w:r w:rsidR="00547D9C" w:rsidRPr="00BB2853">
        <w:rPr>
          <w:rFonts w:eastAsia="Calibri"/>
        </w:rPr>
        <w:t>variety</w:t>
      </w:r>
      <w:r w:rsidRPr="00BB2853">
        <w:rPr>
          <w:rFonts w:eastAsia="Calibri"/>
        </w:rPr>
        <w:t xml:space="preserve"> of legal, regulatory and administrative obligations governing </w:t>
      </w:r>
      <w:r>
        <w:rPr>
          <w:rFonts w:eastAsia="Calibri"/>
        </w:rPr>
        <w:t>the</w:t>
      </w:r>
      <w:r w:rsidRPr="00BB2853">
        <w:rPr>
          <w:rFonts w:eastAsia="Calibri"/>
        </w:rPr>
        <w:t xml:space="preserve"> access, use, secur</w:t>
      </w:r>
      <w:r>
        <w:rPr>
          <w:rFonts w:eastAsia="Calibri"/>
        </w:rPr>
        <w:t>ity</w:t>
      </w:r>
      <w:r w:rsidRPr="00BB2853">
        <w:rPr>
          <w:rFonts w:eastAsia="Calibri"/>
        </w:rPr>
        <w:t xml:space="preserve"> and </w:t>
      </w:r>
      <w:r>
        <w:rPr>
          <w:rFonts w:eastAsia="Calibri"/>
        </w:rPr>
        <w:t>preservation of</w:t>
      </w:r>
      <w:r w:rsidRPr="00BB2853">
        <w:rPr>
          <w:rFonts w:eastAsia="Calibri"/>
        </w:rPr>
        <w:t xml:space="preserve"> </w:t>
      </w:r>
      <w:r>
        <w:rPr>
          <w:rFonts w:eastAsia="Calibri"/>
        </w:rPr>
        <w:t>their</w:t>
      </w:r>
      <w:r w:rsidRPr="00BB2853">
        <w:rPr>
          <w:rFonts w:eastAsia="Calibri"/>
        </w:rPr>
        <w:t xml:space="preserve"> information. As such, </w:t>
      </w:r>
      <w:r w:rsidR="00D730D5">
        <w:rPr>
          <w:rFonts w:eastAsia="Calibri"/>
        </w:rPr>
        <w:t xml:space="preserve">VPS organisations should read the </w:t>
      </w:r>
      <w:r w:rsidRPr="00BB2853">
        <w:rPr>
          <w:rFonts w:eastAsia="Calibri"/>
        </w:rPr>
        <w:t>Framework and accompanying Standards in conjunction with</w:t>
      </w:r>
      <w:r w:rsidR="00D730D5" w:rsidRPr="00BB2853">
        <w:rPr>
          <w:rFonts w:eastAsia="Calibri"/>
        </w:rPr>
        <w:t xml:space="preserve"> </w:t>
      </w:r>
      <w:r w:rsidRPr="00BB2853">
        <w:rPr>
          <w:rFonts w:eastAsia="Calibri"/>
        </w:rPr>
        <w:t xml:space="preserve">existing </w:t>
      </w:r>
      <w:r w:rsidR="00615A55" w:rsidRPr="00BB2853">
        <w:rPr>
          <w:rFonts w:eastAsia="Calibri"/>
        </w:rPr>
        <w:t>requirements</w:t>
      </w:r>
      <w:r w:rsidR="00615A55">
        <w:rPr>
          <w:rFonts w:eastAsia="Calibri"/>
        </w:rPr>
        <w:t xml:space="preserve"> and</w:t>
      </w:r>
      <w:r w:rsidR="00D730D5">
        <w:rPr>
          <w:rFonts w:eastAsia="Calibri"/>
        </w:rPr>
        <w:t xml:space="preserve"> </w:t>
      </w:r>
      <w:r w:rsidRPr="00BB2853">
        <w:rPr>
          <w:rFonts w:eastAsia="Calibri"/>
        </w:rPr>
        <w:t xml:space="preserve">consider how </w:t>
      </w:r>
      <w:r w:rsidR="00D730D5">
        <w:rPr>
          <w:rFonts w:eastAsia="Calibri"/>
        </w:rPr>
        <w:t>these may</w:t>
      </w:r>
      <w:r w:rsidRPr="00BB2853">
        <w:rPr>
          <w:rFonts w:eastAsia="Calibri"/>
        </w:rPr>
        <w:t xml:space="preserve"> intersect with obligations under Part 4 of the PDP Act. </w:t>
      </w:r>
    </w:p>
    <w:p w14:paraId="6BA908CE" w14:textId="362BEFBC" w:rsidR="00E202D9" w:rsidRPr="005326EE" w:rsidRDefault="006467D9" w:rsidP="005D3BFB">
      <w:pPr>
        <w:pStyle w:val="Body"/>
        <w:rPr>
          <w:rFonts w:eastAsia="Calibri"/>
        </w:rPr>
      </w:pPr>
      <w:r w:rsidRPr="002429D7">
        <w:rPr>
          <w:rFonts w:eastAsia="Calibri"/>
        </w:rPr>
        <w:t xml:space="preserve">Where relevant legislation mandates lower </w:t>
      </w:r>
      <w:r>
        <w:rPr>
          <w:rFonts w:eastAsia="Calibri"/>
        </w:rPr>
        <w:t>requirements</w:t>
      </w:r>
      <w:r w:rsidRPr="002429D7">
        <w:rPr>
          <w:rFonts w:eastAsia="Calibri"/>
        </w:rPr>
        <w:t xml:space="preserve"> than those of the </w:t>
      </w:r>
      <w:r>
        <w:rPr>
          <w:rFonts w:eastAsia="Calibri"/>
        </w:rPr>
        <w:t>Framework or Standards</w:t>
      </w:r>
      <w:r w:rsidRPr="002429D7">
        <w:rPr>
          <w:rFonts w:eastAsia="Calibri"/>
        </w:rPr>
        <w:t xml:space="preserve">, </w:t>
      </w:r>
      <w:r w:rsidR="002E1D94">
        <w:rPr>
          <w:rFonts w:eastAsia="Calibri"/>
        </w:rPr>
        <w:t xml:space="preserve">VPS </w:t>
      </w:r>
      <w:r>
        <w:rPr>
          <w:rFonts w:eastAsia="Calibri"/>
        </w:rPr>
        <w:t>organisations</w:t>
      </w:r>
      <w:r w:rsidRPr="002429D7">
        <w:rPr>
          <w:rFonts w:eastAsia="Calibri"/>
        </w:rPr>
        <w:t xml:space="preserve"> are encouraged to meet </w:t>
      </w:r>
      <w:r>
        <w:rPr>
          <w:rFonts w:eastAsia="Calibri"/>
        </w:rPr>
        <w:t>t</w:t>
      </w:r>
      <w:r w:rsidRPr="005326EE">
        <w:rPr>
          <w:rFonts w:eastAsia="Calibri"/>
        </w:rPr>
        <w:t>he highest applicable standard.</w:t>
      </w:r>
      <w:r w:rsidRPr="005326EE" w:rsidDel="000505E8">
        <w:rPr>
          <w:rFonts w:eastAsia="Calibri"/>
        </w:rPr>
        <w:t xml:space="preserve"> </w:t>
      </w:r>
    </w:p>
    <w:p w14:paraId="742EFA98" w14:textId="3E576BB6" w:rsidR="006467D9" w:rsidRPr="00BB2853" w:rsidRDefault="006467D9" w:rsidP="005D3BFB">
      <w:pPr>
        <w:pStyle w:val="Body"/>
        <w:rPr>
          <w:rFonts w:eastAsia="Calibri"/>
        </w:rPr>
      </w:pPr>
      <w:r w:rsidRPr="00BB2853">
        <w:rPr>
          <w:rFonts w:eastAsia="Calibri"/>
        </w:rPr>
        <w:t>Where VPS organisations handle information of “national interest”, the Commonwealth Protective Security Policy Framework (</w:t>
      </w:r>
      <w:r w:rsidRPr="00931BEA">
        <w:rPr>
          <w:rFonts w:eastAsia="Calibri"/>
          <w:b/>
          <w:bCs/>
        </w:rPr>
        <w:t>PSPF</w:t>
      </w:r>
      <w:r w:rsidRPr="00BB2853">
        <w:rPr>
          <w:rFonts w:eastAsia="Calibri"/>
        </w:rPr>
        <w:t>) requirements remain mandator</w:t>
      </w:r>
      <w:r w:rsidR="009C5174">
        <w:rPr>
          <w:rFonts w:eastAsia="Calibri"/>
        </w:rPr>
        <w:t>y.</w:t>
      </w:r>
    </w:p>
    <w:p w14:paraId="5B3A0084" w14:textId="776DF816" w:rsidR="005B0D41" w:rsidRPr="00EF7654" w:rsidRDefault="006467D9" w:rsidP="005D3BFB">
      <w:pPr>
        <w:autoSpaceDE w:val="0"/>
        <w:autoSpaceDN w:val="0"/>
        <w:adjustRightInd w:val="0"/>
      </w:pPr>
      <w:r>
        <w:rPr>
          <w:rFonts w:ascii="Calibri" w:eastAsia="Calibri" w:hAnsi="Calibri"/>
          <w:color w:val="000000"/>
          <w:sz w:val="22"/>
          <w:lang w:val="en-GB"/>
        </w:rPr>
        <w:t xml:space="preserve">To access a current copy of the Standards and guidance material, refer to the </w:t>
      </w:r>
      <w:hyperlink r:id="rId23" w:history="1">
        <w:r w:rsidRPr="00750B25">
          <w:rPr>
            <w:rStyle w:val="Hyperlink"/>
            <w:rFonts w:ascii="Calibri" w:eastAsia="Calibri" w:hAnsi="Calibri"/>
            <w:sz w:val="22"/>
            <w:lang w:val="en-GB"/>
          </w:rPr>
          <w:t xml:space="preserve">VPDSF </w:t>
        </w:r>
        <w:r w:rsidR="00432AFE">
          <w:rPr>
            <w:rStyle w:val="Hyperlink"/>
            <w:rFonts w:ascii="Calibri" w:eastAsia="Calibri" w:hAnsi="Calibri"/>
            <w:sz w:val="22"/>
            <w:lang w:val="en-GB"/>
          </w:rPr>
          <w:t>r</w:t>
        </w:r>
        <w:r w:rsidRPr="00750B25">
          <w:rPr>
            <w:rStyle w:val="Hyperlink"/>
            <w:rFonts w:ascii="Calibri" w:eastAsia="Calibri" w:hAnsi="Calibri"/>
            <w:sz w:val="22"/>
            <w:lang w:val="en-GB"/>
          </w:rPr>
          <w:t>esources</w:t>
        </w:r>
      </w:hyperlink>
      <w:r>
        <w:rPr>
          <w:rFonts w:ascii="Calibri" w:eastAsia="Calibri" w:hAnsi="Calibri"/>
          <w:color w:val="000000"/>
          <w:sz w:val="22"/>
          <w:lang w:val="en-GB"/>
        </w:rPr>
        <w:t xml:space="preserve"> section of the OVIC website. </w:t>
      </w:r>
    </w:p>
    <w:p w14:paraId="4D041688" w14:textId="01D1D62F" w:rsidR="00EF7654" w:rsidRPr="00F04890" w:rsidRDefault="00F04890" w:rsidP="00F04890">
      <w:pPr>
        <w:pStyle w:val="SectionHeading"/>
      </w:pPr>
      <w:bookmarkStart w:id="28" w:name="_Toc33019524"/>
      <w:r>
        <w:t xml:space="preserve">Roles, </w:t>
      </w:r>
      <w:r w:rsidR="007715B6">
        <w:t>r</w:t>
      </w:r>
      <w:r>
        <w:t xml:space="preserve">esponsibilities and </w:t>
      </w:r>
      <w:r w:rsidR="007715B6">
        <w:t>r</w:t>
      </w:r>
      <w:r>
        <w:t>elationships</w:t>
      </w:r>
      <w:r w:rsidR="00C3484A">
        <w:t xml:space="preserve"> </w:t>
      </w:r>
      <w:bookmarkEnd w:id="28"/>
    </w:p>
    <w:p w14:paraId="775DB784" w14:textId="2944535E" w:rsidR="005235D4" w:rsidRPr="00C3484A" w:rsidRDefault="00615A55" w:rsidP="005235D4">
      <w:pPr>
        <w:pStyle w:val="Body"/>
        <w:rPr>
          <w:rFonts w:eastAsia="Calibri"/>
        </w:rPr>
      </w:pPr>
      <w:r>
        <w:t xml:space="preserve">The </w:t>
      </w:r>
      <w:r w:rsidR="00F577B0">
        <w:t xml:space="preserve">Victorian </w:t>
      </w:r>
      <w:r>
        <w:t>Public Sector</w:t>
      </w:r>
      <w:r w:rsidRPr="00B3188A">
        <w:t xml:space="preserve"> </w:t>
      </w:r>
      <w:r w:rsidR="005235D4" w:rsidRPr="00B3188A">
        <w:t xml:space="preserve">is </w:t>
      </w:r>
      <w:r w:rsidR="0009040A">
        <w:t>made up</w:t>
      </w:r>
      <w:r w:rsidR="00EC1365">
        <w:t xml:space="preserve"> of</w:t>
      </w:r>
      <w:r w:rsidR="005235D4" w:rsidRPr="00B3188A">
        <w:t xml:space="preserve"> a </w:t>
      </w:r>
      <w:r w:rsidR="005235D4">
        <w:t xml:space="preserve">diverse </w:t>
      </w:r>
      <w:r w:rsidR="005235D4" w:rsidRPr="00B3188A">
        <w:t>range of</w:t>
      </w:r>
      <w:r w:rsidR="002E1D94">
        <w:t xml:space="preserve"> VPS</w:t>
      </w:r>
      <w:r w:rsidR="005235D4" w:rsidRPr="00B3188A">
        <w:t xml:space="preserve"> organisations, each </w:t>
      </w:r>
      <w:r w:rsidR="005235D4">
        <w:t xml:space="preserve">delivering </w:t>
      </w:r>
      <w:r w:rsidR="0009040A">
        <w:t>specific</w:t>
      </w:r>
      <w:r w:rsidR="005235D4" w:rsidRPr="00B3188A">
        <w:t xml:space="preserve"> services or functions. </w:t>
      </w:r>
      <w:r w:rsidR="0009040A">
        <w:t>Due to the</w:t>
      </w:r>
      <w:r w:rsidR="00EC1365">
        <w:t xml:space="preserve"> distinct nature of these services and functions</w:t>
      </w:r>
      <w:r w:rsidR="0009040A">
        <w:t>, different VPS</w:t>
      </w:r>
      <w:r w:rsidR="00EC1365">
        <w:t xml:space="preserve"> organisation</w:t>
      </w:r>
      <w:r w:rsidR="0009040A">
        <w:t>s face</w:t>
      </w:r>
      <w:r w:rsidR="005235D4">
        <w:t xml:space="preserve"> </w:t>
      </w:r>
      <w:r w:rsidR="004643ED">
        <w:t xml:space="preserve">different </w:t>
      </w:r>
      <w:r w:rsidR="005235D4">
        <w:t xml:space="preserve">threats to </w:t>
      </w:r>
      <w:r w:rsidR="00EC1365">
        <w:t xml:space="preserve">their </w:t>
      </w:r>
      <w:r w:rsidR="005235D4">
        <w:t xml:space="preserve">information assets and information systems. </w:t>
      </w:r>
      <w:r w:rsidR="00C3484A">
        <w:rPr>
          <w:rFonts w:eastAsia="Calibri"/>
        </w:rPr>
        <w:t xml:space="preserve">The Framework recognises that these threats cannot be entirely eliminated and that VPS organisations have operational responsibilities </w:t>
      </w:r>
      <w:r w:rsidR="00C3484A">
        <w:rPr>
          <w:rFonts w:eastAsia="Calibri"/>
        </w:rPr>
        <w:lastRenderedPageBreak/>
        <w:t>and finite resources</w:t>
      </w:r>
      <w:r w:rsidR="00E84C09">
        <w:rPr>
          <w:rFonts w:eastAsia="Calibri"/>
        </w:rPr>
        <w:t xml:space="preserve"> to draw on</w:t>
      </w:r>
      <w:r w:rsidR="00C3484A">
        <w:rPr>
          <w:rFonts w:eastAsia="Calibri"/>
        </w:rPr>
        <w:t>. The Framework assis</w:t>
      </w:r>
      <w:r w:rsidR="00B07FA9">
        <w:rPr>
          <w:rFonts w:eastAsia="Calibri"/>
        </w:rPr>
        <w:t>ts</w:t>
      </w:r>
      <w:r w:rsidR="00C3484A">
        <w:rPr>
          <w:rFonts w:eastAsia="Calibri"/>
        </w:rPr>
        <w:t xml:space="preserve"> VPS organisations mitigate information security risks as much as possible</w:t>
      </w:r>
      <w:r w:rsidR="007715B6">
        <w:rPr>
          <w:rFonts w:eastAsia="Calibri"/>
        </w:rPr>
        <w:t xml:space="preserve"> by</w:t>
      </w:r>
      <w:r w:rsidR="00C3484A">
        <w:rPr>
          <w:rFonts w:eastAsia="Calibri"/>
        </w:rPr>
        <w:t xml:space="preserve"> </w:t>
      </w:r>
      <w:r w:rsidR="007715B6">
        <w:rPr>
          <w:rFonts w:eastAsia="Calibri"/>
        </w:rPr>
        <w:t>using</w:t>
      </w:r>
      <w:r w:rsidR="00C3484A" w:rsidRPr="00C81BB1">
        <w:rPr>
          <w:rFonts w:eastAsia="Calibri"/>
        </w:rPr>
        <w:t xml:space="preserve"> risk management principles and guidelines.</w:t>
      </w:r>
    </w:p>
    <w:p w14:paraId="0E9ECA9F" w14:textId="06B85ABD" w:rsidR="005235D4" w:rsidRDefault="00EC1365" w:rsidP="005235D4">
      <w:pPr>
        <w:pStyle w:val="Body"/>
      </w:pPr>
      <w:r>
        <w:t>Given</w:t>
      </w:r>
      <w:r w:rsidR="005235D4">
        <w:t xml:space="preserve"> </w:t>
      </w:r>
      <w:r w:rsidR="00C3484A">
        <w:t>this</w:t>
      </w:r>
      <w:r w:rsidR="005235D4">
        <w:t xml:space="preserve"> complex</w:t>
      </w:r>
      <w:r w:rsidR="0040151D">
        <w:t xml:space="preserve"> operational</w:t>
      </w:r>
      <w:r>
        <w:t xml:space="preserve"> landscape, </w:t>
      </w:r>
      <w:r w:rsidR="0040151D">
        <w:t xml:space="preserve">coupled with </w:t>
      </w:r>
      <w:r>
        <w:t>the varied</w:t>
      </w:r>
      <w:r w:rsidR="005235D4">
        <w:t xml:space="preserve"> nature of the</w:t>
      </w:r>
      <w:r>
        <w:t xml:space="preserve"> </w:t>
      </w:r>
      <w:r w:rsidR="005235D4">
        <w:t>threats</w:t>
      </w:r>
      <w:r>
        <w:t xml:space="preserve"> facing </w:t>
      </w:r>
      <w:r w:rsidR="0040151D">
        <w:t>VPS</w:t>
      </w:r>
      <w:r>
        <w:t xml:space="preserve"> organisations</w:t>
      </w:r>
      <w:r w:rsidR="005235D4">
        <w:t xml:space="preserve">, it is essential that all parties work together to </w:t>
      </w:r>
      <w:r>
        <w:t>foster a strong information security culture based on</w:t>
      </w:r>
      <w:r w:rsidR="005235D4" w:rsidRPr="005235D4">
        <w:t xml:space="preserve"> robust information security work practices</w:t>
      </w:r>
      <w:r>
        <w:t>. By building these relationships,</w:t>
      </w:r>
      <w:r w:rsidR="00F06BDA">
        <w:t xml:space="preserve"> </w:t>
      </w:r>
      <w:r>
        <w:t xml:space="preserve">we can establish </w:t>
      </w:r>
      <w:r w:rsidR="00F06BDA">
        <w:t xml:space="preserve">governance arrangements that support the protection of public sector information. </w:t>
      </w:r>
    </w:p>
    <w:p w14:paraId="01564E20" w14:textId="59ED593F" w:rsidR="00DB50A5" w:rsidRDefault="00DB50A5" w:rsidP="00334C88">
      <w:pPr>
        <w:pStyle w:val="Body"/>
      </w:pPr>
      <w:r>
        <w:t>In</w:t>
      </w:r>
      <w:r w:rsidR="00EC1365">
        <w:t xml:space="preserve"> support</w:t>
      </w:r>
      <w:r>
        <w:t xml:space="preserve"> of</w:t>
      </w:r>
      <w:r w:rsidR="00EC1365">
        <w:t xml:space="preserve"> these efforts and</w:t>
      </w:r>
      <w:r>
        <w:t xml:space="preserve"> to</w:t>
      </w:r>
      <w:r w:rsidR="00EC1365">
        <w:t xml:space="preserve"> illustrate these connections, the following</w:t>
      </w:r>
      <w:r>
        <w:t xml:space="preserve"> section describes the</w:t>
      </w:r>
      <w:r w:rsidR="00EC1365">
        <w:t xml:space="preserve"> roles and responsibilities of</w:t>
      </w:r>
      <w:r>
        <w:t>:</w:t>
      </w:r>
    </w:p>
    <w:p w14:paraId="787650A3" w14:textId="628C95E6" w:rsidR="00DB50A5" w:rsidRDefault="00EC1365" w:rsidP="005D3BFB">
      <w:pPr>
        <w:pStyle w:val="Bullet2"/>
      </w:pPr>
      <w:r>
        <w:t>OVIC</w:t>
      </w:r>
      <w:r w:rsidR="00DB50A5">
        <w:t>;</w:t>
      </w:r>
    </w:p>
    <w:p w14:paraId="4FA082F0" w14:textId="7BBA1105" w:rsidR="00DB50A5" w:rsidRDefault="002E1D94" w:rsidP="005D3BFB">
      <w:pPr>
        <w:pStyle w:val="Bullet2"/>
      </w:pPr>
      <w:r>
        <w:t xml:space="preserve">VPS </w:t>
      </w:r>
      <w:r w:rsidR="00EC1365">
        <w:t>organisations</w:t>
      </w:r>
      <w:r w:rsidR="00EC1365">
        <w:rPr>
          <w:rStyle w:val="FootnoteReference"/>
        </w:rPr>
        <w:footnoteReference w:id="13"/>
      </w:r>
      <w:r w:rsidR="00DB50A5">
        <w:t xml:space="preserve">; </w:t>
      </w:r>
      <w:r w:rsidR="00EC1365">
        <w:t xml:space="preserve">and </w:t>
      </w:r>
    </w:p>
    <w:p w14:paraId="1E44E192" w14:textId="7A91B69A" w:rsidR="00EC1365" w:rsidRDefault="00EC1365" w:rsidP="005D3BFB">
      <w:pPr>
        <w:pStyle w:val="Bullet2"/>
      </w:pPr>
      <w:r>
        <w:t xml:space="preserve">partnering entities. </w:t>
      </w:r>
    </w:p>
    <w:p w14:paraId="190477D1" w14:textId="77777777" w:rsidR="0023045E" w:rsidRDefault="0023045E" w:rsidP="005D3BFB">
      <w:pPr>
        <w:pStyle w:val="SectionSubhead"/>
        <w:ind w:left="0"/>
      </w:pPr>
      <w:bookmarkStart w:id="29" w:name="_Toc33019525"/>
      <w:r>
        <w:t>Office of the Victorian Information Commissioner</w:t>
      </w:r>
      <w:bookmarkEnd w:id="29"/>
    </w:p>
    <w:p w14:paraId="48BFE6F7" w14:textId="2DC038AA" w:rsidR="00602A28" w:rsidRDefault="00602A28" w:rsidP="005D3BFB">
      <w:pPr>
        <w:pStyle w:val="Body"/>
      </w:pPr>
      <w:r>
        <w:t xml:space="preserve">Part 6 of the PDP Act details the functions and powers of OVIC </w:t>
      </w:r>
      <w:r w:rsidR="00224DFB">
        <w:t xml:space="preserve">as </w:t>
      </w:r>
      <w:r w:rsidR="006C6BCC">
        <w:t xml:space="preserve">they </w:t>
      </w:r>
      <w:r w:rsidR="00224DFB">
        <w:t>relate to the</w:t>
      </w:r>
      <w:r>
        <w:t xml:space="preserve"> monitoring and assur</w:t>
      </w:r>
      <w:r w:rsidR="00224DFB">
        <w:t>ance activities for</w:t>
      </w:r>
      <w:r>
        <w:t xml:space="preserve"> the security of public sector information. These functions and powers include:</w:t>
      </w:r>
    </w:p>
    <w:p w14:paraId="050C7324" w14:textId="7B27607D" w:rsidR="00602A28" w:rsidRDefault="000E0EE1" w:rsidP="005D3BFB">
      <w:pPr>
        <w:pStyle w:val="Bullet2"/>
      </w:pPr>
      <w:r>
        <w:t>develop</w:t>
      </w:r>
      <w:r w:rsidR="006C6BCC">
        <w:t>ing</w:t>
      </w:r>
      <w:r>
        <w:t xml:space="preserve"> a protective data security</w:t>
      </w:r>
      <w:r w:rsidR="00602A28">
        <w:t xml:space="preserve"> framework for monitoring and assuring the security of public sector information</w:t>
      </w:r>
      <w:r w:rsidR="00C637FF">
        <w:t>;</w:t>
      </w:r>
    </w:p>
    <w:p w14:paraId="49A9E4A6" w14:textId="424A9558" w:rsidR="00602A28" w:rsidRDefault="00602A28" w:rsidP="005D3BFB">
      <w:pPr>
        <w:pStyle w:val="Bullet2"/>
      </w:pPr>
      <w:r>
        <w:t>promot</w:t>
      </w:r>
      <w:r w:rsidR="006C6BCC">
        <w:t>ing</w:t>
      </w:r>
      <w:r>
        <w:t xml:space="preserve"> responsible information security practices in the public sector</w:t>
      </w:r>
      <w:r w:rsidR="00C637FF">
        <w:t>;</w:t>
      </w:r>
    </w:p>
    <w:p w14:paraId="643E46AF" w14:textId="0173E1F9" w:rsidR="00CC2982" w:rsidRDefault="00602A28" w:rsidP="005D3BFB">
      <w:pPr>
        <w:pStyle w:val="Bullet2"/>
      </w:pPr>
      <w:r>
        <w:t>conduct</w:t>
      </w:r>
      <w:r w:rsidR="006C6BCC">
        <w:t>ing</w:t>
      </w:r>
      <w:r>
        <w:t xml:space="preserve"> monitoring and assurance activities, including audits, to ascertain compliance with information security standards</w:t>
      </w:r>
      <w:r w:rsidR="00CC2982">
        <w:t>;</w:t>
      </w:r>
    </w:p>
    <w:p w14:paraId="71E709EE" w14:textId="349571DF" w:rsidR="00602A28" w:rsidRDefault="00602A28" w:rsidP="005D3BFB">
      <w:pPr>
        <w:pStyle w:val="Bullet2"/>
      </w:pPr>
      <w:r>
        <w:t>formal reporting and recommendations regarding information security</w:t>
      </w:r>
      <w:r w:rsidR="00C637FF">
        <w:t>;</w:t>
      </w:r>
    </w:p>
    <w:p w14:paraId="4774D729" w14:textId="7CD0D9DE" w:rsidR="00602A28" w:rsidRDefault="00602A28" w:rsidP="005D3BFB">
      <w:pPr>
        <w:pStyle w:val="Bullet2"/>
      </w:pPr>
      <w:r>
        <w:t>refe</w:t>
      </w:r>
      <w:r w:rsidR="006C6BCC">
        <w:t>r</w:t>
      </w:r>
      <w:r>
        <w:t>r</w:t>
      </w:r>
      <w:r w:rsidR="006C6BCC">
        <w:t>ing</w:t>
      </w:r>
      <w:r>
        <w:t xml:space="preserve"> findings of monitoring and assurance activities, including audits, to an appropriate person or body for further action</w:t>
      </w:r>
      <w:r w:rsidR="00C637FF">
        <w:t>;</w:t>
      </w:r>
    </w:p>
    <w:p w14:paraId="686F28B8" w14:textId="7D5F15D5" w:rsidR="00602A28" w:rsidRDefault="00602A28" w:rsidP="005D3BFB">
      <w:pPr>
        <w:pStyle w:val="Bullet2"/>
      </w:pPr>
      <w:r>
        <w:t>undertak</w:t>
      </w:r>
      <w:r w:rsidR="006C6BCC">
        <w:t>ing</w:t>
      </w:r>
      <w:r>
        <w:t xml:space="preserve"> research relevant to information security in the</w:t>
      </w:r>
      <w:r w:rsidR="007715B6">
        <w:t xml:space="preserve"> VPS</w:t>
      </w:r>
      <w:r w:rsidR="00C637FF">
        <w:t>; and</w:t>
      </w:r>
    </w:p>
    <w:p w14:paraId="0B79F91B" w14:textId="658DFECA" w:rsidR="00602A28" w:rsidRDefault="00602A28" w:rsidP="005D3BFB">
      <w:pPr>
        <w:pStyle w:val="Bullet2"/>
      </w:pPr>
      <w:r>
        <w:t>retai</w:t>
      </w:r>
      <w:r w:rsidR="000E0EE1">
        <w:t>n</w:t>
      </w:r>
      <w:r w:rsidR="006C6BCC">
        <w:t>ing</w:t>
      </w:r>
      <w:r>
        <w:t xml:space="preserve"> copies of protective data security plans.</w:t>
      </w:r>
    </w:p>
    <w:p w14:paraId="25AE5543" w14:textId="3F44115E" w:rsidR="00602A28" w:rsidRDefault="00602A28" w:rsidP="005D3BFB">
      <w:pPr>
        <w:pStyle w:val="Body"/>
      </w:pPr>
      <w:r>
        <w:t xml:space="preserve">These functions and powers enable OVIC to provide reasonable assurance to Government that </w:t>
      </w:r>
      <w:r w:rsidR="00623F08">
        <w:t>VPS</w:t>
      </w:r>
      <w:r>
        <w:t xml:space="preserve"> organisations’ information security risks are being managed eﬀectively, whilst still providing </w:t>
      </w:r>
      <w:r w:rsidR="00623F08">
        <w:t>them</w:t>
      </w:r>
      <w:r>
        <w:t xml:space="preserve"> the autonomy to determine how to achieve their business objectives in an eﬃcient</w:t>
      </w:r>
      <w:r w:rsidR="009064D0">
        <w:t xml:space="preserve">, effective </w:t>
      </w:r>
      <w:r>
        <w:t>and economic manner.</w:t>
      </w:r>
    </w:p>
    <w:p w14:paraId="658E404C" w14:textId="3A6DB064" w:rsidR="00602A28" w:rsidRDefault="006A4E3B" w:rsidP="005D3BFB">
      <w:pPr>
        <w:pStyle w:val="SectionSubhead"/>
        <w:ind w:left="0"/>
      </w:pPr>
      <w:bookmarkStart w:id="30" w:name="_Toc33019526"/>
      <w:r>
        <w:t>VPS</w:t>
      </w:r>
      <w:r w:rsidR="00602A28">
        <w:t xml:space="preserve"> </w:t>
      </w:r>
      <w:r w:rsidR="007715B6">
        <w:t>o</w:t>
      </w:r>
      <w:r w:rsidR="00602A28">
        <w:t>rganisations</w:t>
      </w:r>
      <w:bookmarkEnd w:id="30"/>
    </w:p>
    <w:p w14:paraId="1DD21D49" w14:textId="5B70518F" w:rsidR="006D0F42" w:rsidRDefault="006D0F42" w:rsidP="005D3BFB">
      <w:pPr>
        <w:pStyle w:val="Body"/>
      </w:pPr>
      <w:r>
        <w:t xml:space="preserve">When </w:t>
      </w:r>
      <w:r w:rsidR="003D27D5">
        <w:t>implementing the</w:t>
      </w:r>
      <w:r>
        <w:t xml:space="preserve"> Standards</w:t>
      </w:r>
      <w:r w:rsidR="00F97398">
        <w:t xml:space="preserve"> and </w:t>
      </w:r>
      <w:r w:rsidR="0062662C">
        <w:t>performing</w:t>
      </w:r>
      <w:r w:rsidR="00F97398">
        <w:t xml:space="preserve"> assurance activities </w:t>
      </w:r>
      <w:r w:rsidR="0062662C">
        <w:t>in accordance with</w:t>
      </w:r>
      <w:r w:rsidR="00DC202A">
        <w:t xml:space="preserve"> the Framework</w:t>
      </w:r>
      <w:r>
        <w:t xml:space="preserve">, VPS organisations </w:t>
      </w:r>
      <w:r w:rsidR="00DC202A">
        <w:t>should</w:t>
      </w:r>
      <w:r>
        <w:t xml:space="preserve"> remain mindful of the broader context in which they operate, and how these requirements intersect with </w:t>
      </w:r>
      <w:r w:rsidR="00DC202A">
        <w:t xml:space="preserve">their obligations under </w:t>
      </w:r>
      <w:r>
        <w:t xml:space="preserve">Part 4 of the PDP Act. </w:t>
      </w:r>
    </w:p>
    <w:p w14:paraId="20BA2D99" w14:textId="7D9CD43B" w:rsidR="006D0F42" w:rsidRDefault="006D0F42" w:rsidP="005D3BFB">
      <w:pPr>
        <w:pStyle w:val="Body"/>
      </w:pPr>
      <w:r>
        <w:t xml:space="preserve">All </w:t>
      </w:r>
      <w:r w:rsidR="00E64E4A">
        <w:t xml:space="preserve">VPS </w:t>
      </w:r>
      <w:r>
        <w:t>organisations identified in</w:t>
      </w:r>
      <w:r w:rsidR="00914861">
        <w:t xml:space="preserve"> section 84 </w:t>
      </w:r>
      <w:r>
        <w:t xml:space="preserve">of the PDP Act </w:t>
      </w:r>
      <w:r w:rsidR="00914861">
        <w:t>must</w:t>
      </w:r>
      <w:r>
        <w:t xml:space="preserve"> monitor their information security practices and provide assurance around the measures they </w:t>
      </w:r>
      <w:r w:rsidR="00914861">
        <w:t>take</w:t>
      </w:r>
      <w:r>
        <w:t xml:space="preserve"> to protect public sector information. </w:t>
      </w:r>
    </w:p>
    <w:p w14:paraId="12F32F4B" w14:textId="794B21C8" w:rsidR="006D0F42" w:rsidRDefault="006D0F42" w:rsidP="005D3BFB">
      <w:pPr>
        <w:pStyle w:val="Body"/>
        <w:keepNext/>
      </w:pPr>
      <w:r>
        <w:t>Under the PDP Act, VPS organisations are specifically required to:</w:t>
      </w:r>
    </w:p>
    <w:p w14:paraId="3894F3F7" w14:textId="379375B9" w:rsidR="00A259E3" w:rsidRDefault="00832944" w:rsidP="005D3BFB">
      <w:pPr>
        <w:pStyle w:val="Bullet2"/>
      </w:pPr>
      <w:r>
        <w:t xml:space="preserve">adhere to the </w:t>
      </w:r>
      <w:r w:rsidR="001F20ED">
        <w:t>Standards</w:t>
      </w:r>
      <w:r>
        <w:t xml:space="preserve">; </w:t>
      </w:r>
    </w:p>
    <w:p w14:paraId="7AAE7336" w14:textId="23276724" w:rsidR="006D0F42" w:rsidRDefault="006D0F42" w:rsidP="005D3BFB">
      <w:pPr>
        <w:pStyle w:val="Bullet2"/>
      </w:pPr>
      <w:r>
        <w:t>undertake a</w:t>
      </w:r>
      <w:r w:rsidR="00CA678F">
        <w:t xml:space="preserve"> SRPA</w:t>
      </w:r>
      <w:r>
        <w:t>;</w:t>
      </w:r>
    </w:p>
    <w:p w14:paraId="7A46F854" w14:textId="4CB5249C" w:rsidR="006D0F42" w:rsidRDefault="006D0F42" w:rsidP="005D3BFB">
      <w:pPr>
        <w:pStyle w:val="Bullet2"/>
      </w:pPr>
      <w:r>
        <w:t>develop, implement and maintain a Protective Data Security Plan (</w:t>
      </w:r>
      <w:r w:rsidRPr="00931BEA">
        <w:rPr>
          <w:b/>
          <w:bCs/>
        </w:rPr>
        <w:t>PDSP</w:t>
      </w:r>
      <w:r>
        <w:t>);</w:t>
      </w:r>
    </w:p>
    <w:p w14:paraId="6BE79BEE" w14:textId="20BE2EF2" w:rsidR="00A259E3" w:rsidRDefault="006D0F42" w:rsidP="005D3BFB">
      <w:pPr>
        <w:pStyle w:val="Bullet2"/>
      </w:pPr>
      <w:r>
        <w:lastRenderedPageBreak/>
        <w:t>provide OVIC free and full access to public sector information or information systems, when requested</w:t>
      </w:r>
      <w:r w:rsidR="00A259E3">
        <w:t>, including participating in any monitoring and assurance activities conducted by OVIC</w:t>
      </w:r>
      <w:r>
        <w:rPr>
          <w:rStyle w:val="FootnoteReference"/>
        </w:rPr>
        <w:footnoteReference w:id="14"/>
      </w:r>
      <w:r>
        <w:t>;</w:t>
      </w:r>
      <w:r w:rsidR="00A259E3" w:rsidRPr="00A259E3">
        <w:t xml:space="preserve"> </w:t>
      </w:r>
      <w:r w:rsidR="004643ED">
        <w:t>and</w:t>
      </w:r>
    </w:p>
    <w:p w14:paraId="2ACE09C6" w14:textId="0486E442" w:rsidR="006D0F42" w:rsidRDefault="00832944" w:rsidP="005D3BFB">
      <w:pPr>
        <w:pStyle w:val="Bullet2"/>
      </w:pPr>
      <w:r>
        <w:t xml:space="preserve">ensure that a CSP of </w:t>
      </w:r>
      <w:r w:rsidR="00E64E4A">
        <w:t xml:space="preserve">a VPS </w:t>
      </w:r>
      <w:r>
        <w:t xml:space="preserve">organisation, does not do an act or engage in a practice that contravenes the </w:t>
      </w:r>
      <w:r w:rsidR="009064D0">
        <w:t>Standards</w:t>
      </w:r>
      <w:r>
        <w:t>, regarding public sector information collected, held, used, managed, disclosed or transferred by the provider for the</w:t>
      </w:r>
      <w:r w:rsidR="00E64E4A">
        <w:t xml:space="preserve"> VPS</w:t>
      </w:r>
      <w:r>
        <w:t xml:space="preserve"> organisation.</w:t>
      </w:r>
    </w:p>
    <w:p w14:paraId="0C12D3C4" w14:textId="18A479DC" w:rsidR="006D0F42" w:rsidRDefault="00A259E3" w:rsidP="005D3BFB">
      <w:pPr>
        <w:pStyle w:val="Bullet2"/>
      </w:pPr>
      <w:r>
        <w:t>Further</w:t>
      </w:r>
      <w:r w:rsidR="004643ED">
        <w:t>,</w:t>
      </w:r>
      <w:r>
        <w:t xml:space="preserve"> </w:t>
      </w:r>
      <w:r w:rsidR="006D0F42">
        <w:t>the Standards</w:t>
      </w:r>
      <w:r>
        <w:t xml:space="preserve"> require </w:t>
      </w:r>
      <w:r w:rsidR="006D0F42">
        <w:t>VPS organisations to:</w:t>
      </w:r>
    </w:p>
    <w:p w14:paraId="0FB19E89" w14:textId="4595A33F" w:rsidR="006D0F42" w:rsidRDefault="006D0F42" w:rsidP="005D3BFB">
      <w:pPr>
        <w:pStyle w:val="Bullet2"/>
      </w:pPr>
      <w:r>
        <w:t>provide an annual attestation to OVIC;</w:t>
      </w:r>
      <w:r w:rsidR="004643ED">
        <w:t xml:space="preserve"> and</w:t>
      </w:r>
    </w:p>
    <w:p w14:paraId="6194F22A" w14:textId="46D985D0" w:rsidR="005D3BFB" w:rsidRDefault="00A259E3" w:rsidP="005D3BFB">
      <w:pPr>
        <w:pStyle w:val="Bullet2"/>
      </w:pPr>
      <w:r>
        <w:t>notify OVIC of information security incidents</w:t>
      </w:r>
      <w:r>
        <w:rPr>
          <w:rStyle w:val="FootnoteReference"/>
        </w:rPr>
        <w:footnoteReference w:id="15"/>
      </w:r>
      <w:r w:rsidR="00C637FF">
        <w:t>.</w:t>
      </w:r>
    </w:p>
    <w:p w14:paraId="01B8C8B1" w14:textId="52D3057A" w:rsidR="00602A28" w:rsidRDefault="00602A28" w:rsidP="005D3BFB">
      <w:pPr>
        <w:pStyle w:val="SectionSubhead"/>
        <w:ind w:left="0"/>
      </w:pPr>
      <w:bookmarkStart w:id="31" w:name="_Toc33019527"/>
      <w:r>
        <w:t xml:space="preserve">Partnering entities </w:t>
      </w:r>
      <w:r w:rsidR="006C6BCC">
        <w:t xml:space="preserve">that also have a role to play in </w:t>
      </w:r>
      <w:r w:rsidR="007715B6">
        <w:t>i</w:t>
      </w:r>
      <w:r w:rsidR="006C6BCC">
        <w:t xml:space="preserve">nformation </w:t>
      </w:r>
      <w:r w:rsidR="007715B6">
        <w:t>s</w:t>
      </w:r>
      <w:r w:rsidR="006C6BCC">
        <w:t>ecurity</w:t>
      </w:r>
      <w:bookmarkEnd w:id="31"/>
    </w:p>
    <w:p w14:paraId="5527022B" w14:textId="64718B88" w:rsidR="0023045E" w:rsidRDefault="00E22654" w:rsidP="005D3BFB">
      <w:pPr>
        <w:pStyle w:val="Body"/>
      </w:pPr>
      <w:r>
        <w:t>OVIC’s</w:t>
      </w:r>
      <w:r w:rsidR="004C614E">
        <w:t xml:space="preserve"> information security efforts are supported by a range of partnering</w:t>
      </w:r>
      <w:r w:rsidR="009064D0">
        <w:t xml:space="preserve"> </w:t>
      </w:r>
      <w:r w:rsidR="00ED7965">
        <w:t>entities</w:t>
      </w:r>
      <w:r w:rsidR="004C614E">
        <w:t xml:space="preserve">. </w:t>
      </w:r>
      <w:r w:rsidR="004559C6">
        <w:t xml:space="preserve">A </w:t>
      </w:r>
      <w:r>
        <w:t>brief outline of t</w:t>
      </w:r>
      <w:r w:rsidR="004E64D3">
        <w:t>hese entities</w:t>
      </w:r>
      <w:r w:rsidR="00931BEA">
        <w:t xml:space="preserve"> </w:t>
      </w:r>
      <w:r w:rsidR="004559C6">
        <w:t xml:space="preserve">is </w:t>
      </w:r>
      <w:r w:rsidR="006C6BCC">
        <w:t>depicted below</w:t>
      </w:r>
      <w:r>
        <w:t xml:space="preserve">. </w:t>
      </w:r>
    </w:p>
    <w:p w14:paraId="1668688F" w14:textId="2EBA53B2" w:rsidR="004E64D3" w:rsidRPr="00C15972" w:rsidRDefault="004E64D3" w:rsidP="005D3BFB">
      <w:pPr>
        <w:pStyle w:val="Body"/>
        <w:rPr>
          <w:rFonts w:eastAsia="Arial Unicode MS"/>
        </w:rPr>
      </w:pPr>
      <w:r>
        <w:t>For</w:t>
      </w:r>
      <w:r w:rsidR="00CB1E6A">
        <w:t xml:space="preserve"> more information on</w:t>
      </w:r>
      <w:r>
        <w:t xml:space="preserve"> </w:t>
      </w:r>
      <w:r w:rsidR="00CB1E6A">
        <w:t xml:space="preserve">the relationship between </w:t>
      </w:r>
      <w:r>
        <w:t xml:space="preserve">these </w:t>
      </w:r>
      <w:r w:rsidR="00ED50E6">
        <w:t>entities</w:t>
      </w:r>
      <w:r>
        <w:t xml:space="preserve"> </w:t>
      </w:r>
      <w:r w:rsidR="00CB1E6A">
        <w:t xml:space="preserve">and </w:t>
      </w:r>
      <w:r>
        <w:t>the Framework and Standards, refer to</w:t>
      </w:r>
      <w:r w:rsidR="0012200B">
        <w:t xml:space="preserve"> </w:t>
      </w:r>
      <w:r w:rsidR="0012200B" w:rsidRPr="009E5244">
        <w:t>the</w:t>
      </w:r>
      <w:r w:rsidRPr="009E5244">
        <w:t xml:space="preserve"> </w:t>
      </w:r>
      <w:r w:rsidR="00C15972">
        <w:t xml:space="preserve">Info Sheet </w:t>
      </w:r>
      <w:r w:rsidRPr="009E5244">
        <w:rPr>
          <w:i/>
          <w:iCs/>
        </w:rPr>
        <w:t>Partnering Entities</w:t>
      </w:r>
      <w:r>
        <w:rPr>
          <w:rStyle w:val="FootnoteReference"/>
        </w:rPr>
        <w:footnoteReference w:id="16"/>
      </w:r>
      <w:r>
        <w:t xml:space="preserve"> </w:t>
      </w:r>
      <w:r w:rsidR="00C15972">
        <w:rPr>
          <w:rFonts w:eastAsia="Arial Unicode MS"/>
        </w:rPr>
        <w:t xml:space="preserve">refer to the </w:t>
      </w:r>
      <w:hyperlink r:id="rId24" w:history="1">
        <w:r w:rsidR="00C15972" w:rsidRPr="00931BEA">
          <w:rPr>
            <w:rStyle w:val="Hyperlink"/>
            <w:rFonts w:eastAsia="Arial Unicode MS"/>
          </w:rPr>
          <w:t xml:space="preserve">VPDSF </w:t>
        </w:r>
        <w:r w:rsidR="00C15972">
          <w:rPr>
            <w:rStyle w:val="Hyperlink"/>
            <w:rFonts w:eastAsia="Arial Unicode MS"/>
          </w:rPr>
          <w:t>r</w:t>
        </w:r>
        <w:r w:rsidR="00C15972" w:rsidRPr="00931BEA">
          <w:rPr>
            <w:rStyle w:val="Hyperlink"/>
            <w:rFonts w:eastAsia="Arial Unicode MS"/>
          </w:rPr>
          <w:t>esources</w:t>
        </w:r>
      </w:hyperlink>
      <w:r w:rsidR="00C15972">
        <w:rPr>
          <w:rFonts w:eastAsia="Arial Unicode MS"/>
        </w:rPr>
        <w:t xml:space="preserve"> section of the OVIC website.</w:t>
      </w:r>
    </w:p>
    <w:p w14:paraId="7351EBB3" w14:textId="3C8EE3E3" w:rsidR="00C3505F" w:rsidRDefault="005D3BFB" w:rsidP="0021770B">
      <w:pPr>
        <w:pStyle w:val="DocumentTitle"/>
        <w:spacing w:before="360"/>
        <w:ind w:left="-426"/>
        <w:jc w:val="center"/>
      </w:pPr>
      <w:r>
        <w:rPr>
          <w:noProof/>
          <w:color w:val="FF0000"/>
        </w:rPr>
        <w:drawing>
          <wp:inline distT="0" distB="0" distL="0" distR="0" wp14:anchorId="2026631E" wp14:editId="55A04361">
            <wp:extent cx="6035537" cy="4325509"/>
            <wp:effectExtent l="0" t="0" r="0" b="0"/>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ZOO.png"/>
                    <pic:cNvPicPr/>
                  </pic:nvPicPr>
                  <pic:blipFill>
                    <a:blip r:embed="rId25">
                      <a:extLst>
                        <a:ext uri="{28A0092B-C50C-407E-A947-70E740481C1C}">
                          <a14:useLocalDpi xmlns:a14="http://schemas.microsoft.com/office/drawing/2010/main" val="0"/>
                        </a:ext>
                      </a:extLst>
                    </a:blip>
                    <a:stretch>
                      <a:fillRect/>
                    </a:stretch>
                  </pic:blipFill>
                  <pic:spPr>
                    <a:xfrm>
                      <a:off x="0" y="0"/>
                      <a:ext cx="6121838" cy="4387358"/>
                    </a:xfrm>
                    <a:prstGeom prst="rect">
                      <a:avLst/>
                    </a:prstGeom>
                  </pic:spPr>
                </pic:pic>
              </a:graphicData>
            </a:graphic>
          </wp:inline>
        </w:drawing>
      </w:r>
    </w:p>
    <w:p w14:paraId="687E0434" w14:textId="7254A80A" w:rsidR="00C3505F" w:rsidRPr="00C3505F" w:rsidRDefault="00C3505F" w:rsidP="005D3BFB">
      <w:pPr>
        <w:pStyle w:val="imagecaption"/>
        <w:sectPr w:rsidR="00C3505F" w:rsidRPr="00C3505F" w:rsidSect="00CB6AB0">
          <w:headerReference w:type="default" r:id="rId26"/>
          <w:pgSz w:w="11900" w:h="16840"/>
          <w:pgMar w:top="1134" w:right="1134" w:bottom="1134" w:left="1134" w:header="680" w:footer="567" w:gutter="0"/>
          <w:cols w:space="708"/>
          <w:docGrid w:linePitch="360"/>
        </w:sectPr>
      </w:pPr>
      <w:r w:rsidRPr="00C3505F">
        <w:t>Figure 3- Partnering entities</w:t>
      </w:r>
    </w:p>
    <w:p w14:paraId="60707DB2" w14:textId="77777777" w:rsidR="00925519" w:rsidRPr="00E136E1" w:rsidRDefault="00D269B7" w:rsidP="00D269B7">
      <w:pPr>
        <w:pStyle w:val="DocumentTitle"/>
        <w:rPr>
          <w:rFonts w:asciiTheme="minorHAnsi" w:hAnsiTheme="minorHAnsi"/>
        </w:rPr>
      </w:pPr>
      <w:r w:rsidRPr="00E136E1">
        <w:rPr>
          <w:rFonts w:asciiTheme="minorHAnsi" w:hAnsiTheme="minorHAnsi"/>
        </w:rPr>
        <w:lastRenderedPageBreak/>
        <w:t xml:space="preserve">Part </w:t>
      </w:r>
      <w:r w:rsidR="00AA25FA" w:rsidRPr="00E136E1">
        <w:rPr>
          <w:rFonts w:asciiTheme="minorHAnsi" w:hAnsiTheme="minorHAnsi"/>
        </w:rPr>
        <w:t>Two</w:t>
      </w:r>
    </w:p>
    <w:p w14:paraId="260E5340" w14:textId="642E549A" w:rsidR="00D269B7" w:rsidRPr="00E136E1" w:rsidRDefault="00D269B7" w:rsidP="00925519">
      <w:pPr>
        <w:pStyle w:val="DocumentTitle"/>
        <w:spacing w:after="360"/>
        <w:rPr>
          <w:rFonts w:asciiTheme="minorHAnsi" w:hAnsiTheme="minorHAnsi"/>
        </w:rPr>
      </w:pPr>
      <w:r w:rsidRPr="00E136E1">
        <w:rPr>
          <w:rFonts w:asciiTheme="minorHAnsi" w:hAnsiTheme="minorHAnsi"/>
        </w:rPr>
        <w:t>Monitoring</w:t>
      </w:r>
      <w:r w:rsidR="00C3714F" w:rsidRPr="00E136E1">
        <w:rPr>
          <w:rFonts w:asciiTheme="minorHAnsi" w:hAnsiTheme="minorHAnsi"/>
        </w:rPr>
        <w:t xml:space="preserve"> and Assurance</w:t>
      </w:r>
      <w:r w:rsidR="004C79E2" w:rsidRPr="00E136E1">
        <w:rPr>
          <w:rFonts w:asciiTheme="minorHAnsi" w:hAnsiTheme="minorHAnsi"/>
        </w:rPr>
        <w:t xml:space="preserve"> by VPS </w:t>
      </w:r>
      <w:r w:rsidR="00CB1E6A" w:rsidRPr="00E136E1">
        <w:rPr>
          <w:rFonts w:asciiTheme="minorHAnsi" w:hAnsiTheme="minorHAnsi"/>
        </w:rPr>
        <w:t>o</w:t>
      </w:r>
      <w:r w:rsidR="004C79E2" w:rsidRPr="00E136E1">
        <w:rPr>
          <w:rFonts w:asciiTheme="minorHAnsi" w:hAnsiTheme="minorHAnsi"/>
        </w:rPr>
        <w:t>rganisations</w:t>
      </w:r>
    </w:p>
    <w:p w14:paraId="55C8EE4B" w14:textId="06F1C9BB" w:rsidR="00090067" w:rsidRPr="00B96378" w:rsidRDefault="00090067" w:rsidP="00B96378">
      <w:pPr>
        <w:pStyle w:val="SectionHeading"/>
      </w:pPr>
      <w:bookmarkStart w:id="32" w:name="_Toc33019528"/>
      <w:r w:rsidRPr="00B96378">
        <w:t>VPS organisations</w:t>
      </w:r>
      <w:r w:rsidR="00615A55">
        <w:t>’</w:t>
      </w:r>
      <w:r w:rsidRPr="00B96378">
        <w:t xml:space="preserve"> obligations</w:t>
      </w:r>
      <w:bookmarkEnd w:id="32"/>
      <w:r w:rsidRPr="00B96378">
        <w:t xml:space="preserve"> </w:t>
      </w:r>
    </w:p>
    <w:p w14:paraId="6FDDF459" w14:textId="7BE2BFD9" w:rsidR="00AA25FA" w:rsidRPr="00663732" w:rsidRDefault="00E64E4A" w:rsidP="009254A3">
      <w:pPr>
        <w:pStyle w:val="Body"/>
        <w:rPr>
          <w:lang w:eastAsia="en-AU"/>
        </w:rPr>
      </w:pPr>
      <w:r>
        <w:rPr>
          <w:lang w:eastAsia="en-AU"/>
        </w:rPr>
        <w:t>VPS o</w:t>
      </w:r>
      <w:r w:rsidR="00AA25FA" w:rsidRPr="00663732">
        <w:rPr>
          <w:lang w:eastAsia="en-AU"/>
        </w:rPr>
        <w:t>rganisations are required to conduct their own monitoring and assurance activities in accordance with:</w:t>
      </w:r>
    </w:p>
    <w:p w14:paraId="30F3DA8B" w14:textId="4962ACDB" w:rsidR="00AA25FA" w:rsidRDefault="0012200B" w:rsidP="005D3BFB">
      <w:pPr>
        <w:pStyle w:val="Bullet2"/>
      </w:pPr>
      <w:r>
        <w:t xml:space="preserve">the </w:t>
      </w:r>
      <w:r w:rsidR="00AA25FA">
        <w:t>PDP Act</w:t>
      </w:r>
      <w:r w:rsidR="00AA25FA">
        <w:rPr>
          <w:rStyle w:val="FootnoteReference"/>
          <w:rFonts w:eastAsia="Arial Unicode MS"/>
        </w:rPr>
        <w:footnoteReference w:id="17"/>
      </w:r>
      <w:r w:rsidR="00AA25FA">
        <w:t>;</w:t>
      </w:r>
    </w:p>
    <w:p w14:paraId="1613C2AB" w14:textId="5510483F" w:rsidR="00AA25FA" w:rsidRDefault="0012200B" w:rsidP="005D3BFB">
      <w:pPr>
        <w:pStyle w:val="Bullet2"/>
      </w:pPr>
      <w:r>
        <w:t xml:space="preserve">the </w:t>
      </w:r>
      <w:r w:rsidR="00AA25FA">
        <w:t>Standards</w:t>
      </w:r>
      <w:r w:rsidR="00AA25FA">
        <w:rPr>
          <w:rStyle w:val="FootnoteReference"/>
          <w:rFonts w:eastAsia="Arial Unicode MS"/>
        </w:rPr>
        <w:footnoteReference w:id="18"/>
      </w:r>
      <w:r w:rsidR="00AA25FA">
        <w:t xml:space="preserve">; and </w:t>
      </w:r>
    </w:p>
    <w:p w14:paraId="0F1FC821" w14:textId="77EF0DE9" w:rsidR="00AA25FA" w:rsidRDefault="0012200B" w:rsidP="005D3BFB">
      <w:pPr>
        <w:pStyle w:val="Bullet2"/>
      </w:pPr>
      <w:r>
        <w:t xml:space="preserve">the </w:t>
      </w:r>
      <w:r w:rsidR="00AA25FA">
        <w:t>Framework.</w:t>
      </w:r>
    </w:p>
    <w:p w14:paraId="514D61B2" w14:textId="3C9AEB2E" w:rsidR="00AA25FA" w:rsidRPr="007D483B" w:rsidRDefault="00AA25FA" w:rsidP="00AA25FA">
      <w:pPr>
        <w:pStyle w:val="Body"/>
        <w:rPr>
          <w:rFonts w:eastAsia="Arial Unicode MS"/>
        </w:rPr>
      </w:pPr>
      <w:r>
        <w:rPr>
          <w:rFonts w:eastAsia="Arial Unicode MS"/>
        </w:rPr>
        <w:t>These monitoring and assurance activities</w:t>
      </w:r>
      <w:r w:rsidRPr="00BC5C76">
        <w:rPr>
          <w:rFonts w:cstheme="minorHAnsi"/>
          <w:lang w:eastAsia="en-AU"/>
        </w:rPr>
        <w:t xml:space="preserve"> </w:t>
      </w:r>
      <w:r w:rsidR="00914861">
        <w:rPr>
          <w:rFonts w:cstheme="minorHAnsi"/>
          <w:lang w:eastAsia="en-AU"/>
        </w:rPr>
        <w:t>track</w:t>
      </w:r>
      <w:r w:rsidRPr="003A601E">
        <w:rPr>
          <w:rFonts w:cstheme="minorHAnsi"/>
          <w:lang w:eastAsia="en-AU"/>
        </w:rPr>
        <w:t xml:space="preserve"> </w:t>
      </w:r>
      <w:r>
        <w:rPr>
          <w:rFonts w:cstheme="minorHAnsi"/>
          <w:lang w:eastAsia="en-AU"/>
        </w:rPr>
        <w:t>a</w:t>
      </w:r>
      <w:r w:rsidR="00E64E4A">
        <w:rPr>
          <w:rFonts w:cstheme="minorHAnsi"/>
          <w:lang w:eastAsia="en-AU"/>
        </w:rPr>
        <w:t xml:space="preserve"> VPS</w:t>
      </w:r>
      <w:r>
        <w:rPr>
          <w:rFonts w:cstheme="minorHAnsi"/>
          <w:lang w:eastAsia="en-AU"/>
        </w:rPr>
        <w:t xml:space="preserve"> organisation’s</w:t>
      </w:r>
      <w:r w:rsidRPr="003A601E">
        <w:rPr>
          <w:rFonts w:cstheme="minorHAnsi"/>
          <w:lang w:eastAsia="en-AU"/>
        </w:rPr>
        <w:t xml:space="preserve"> </w:t>
      </w:r>
      <w:r>
        <w:rPr>
          <w:rFonts w:cstheme="minorHAnsi"/>
          <w:lang w:eastAsia="en-AU"/>
        </w:rPr>
        <w:t>exposure to</w:t>
      </w:r>
      <w:r w:rsidRPr="003A601E">
        <w:rPr>
          <w:rFonts w:cstheme="minorHAnsi"/>
          <w:lang w:eastAsia="en-AU"/>
        </w:rPr>
        <w:t xml:space="preserve"> </w:t>
      </w:r>
      <w:r>
        <w:rPr>
          <w:rFonts w:cstheme="minorHAnsi"/>
          <w:lang w:eastAsia="en-AU"/>
        </w:rPr>
        <w:t>information security risks and articulate</w:t>
      </w:r>
      <w:r w:rsidR="00CB1E6A">
        <w:rPr>
          <w:rFonts w:cstheme="minorHAnsi"/>
          <w:lang w:eastAsia="en-AU"/>
        </w:rPr>
        <w:t xml:space="preserve"> how</w:t>
      </w:r>
      <w:r>
        <w:rPr>
          <w:rFonts w:cstheme="minorHAnsi"/>
          <w:lang w:eastAsia="en-AU"/>
        </w:rPr>
        <w:t xml:space="preserve"> the</w:t>
      </w:r>
      <w:r w:rsidR="00E64E4A">
        <w:rPr>
          <w:rFonts w:cstheme="minorHAnsi"/>
          <w:lang w:eastAsia="en-AU"/>
        </w:rPr>
        <w:t>y plan t</w:t>
      </w:r>
      <w:r>
        <w:rPr>
          <w:rFonts w:cstheme="minorHAnsi"/>
          <w:lang w:eastAsia="en-AU"/>
        </w:rPr>
        <w:t xml:space="preserve">o </w:t>
      </w:r>
      <w:r w:rsidR="00026663">
        <w:rPr>
          <w:rFonts w:cstheme="minorHAnsi"/>
          <w:lang w:eastAsia="en-AU"/>
        </w:rPr>
        <w:t xml:space="preserve">identify, </w:t>
      </w:r>
      <w:r>
        <w:rPr>
          <w:rFonts w:cstheme="minorHAnsi"/>
          <w:lang w:eastAsia="en-AU"/>
        </w:rPr>
        <w:t xml:space="preserve">mitigate or manage these risks. </w:t>
      </w:r>
    </w:p>
    <w:p w14:paraId="4F7344BE" w14:textId="6516F284" w:rsidR="000935B9" w:rsidRDefault="00AA25FA" w:rsidP="00AA25FA">
      <w:pPr>
        <w:pStyle w:val="Body"/>
        <w:rPr>
          <w:rFonts w:eastAsia="Arial Unicode MS"/>
        </w:rPr>
      </w:pPr>
      <w:r>
        <w:rPr>
          <w:rFonts w:eastAsia="Arial Unicode MS"/>
        </w:rPr>
        <w:t>The monitoring and assurance activities outlined in this Framework are based upon a capability maturity model (</w:t>
      </w:r>
      <w:r w:rsidRPr="00931BEA">
        <w:rPr>
          <w:rFonts w:eastAsia="Arial Unicode MS"/>
          <w:b/>
          <w:bCs/>
        </w:rPr>
        <w:t>CMM</w:t>
      </w:r>
      <w:r>
        <w:rPr>
          <w:rFonts w:eastAsia="Arial Unicode MS"/>
        </w:rPr>
        <w:t xml:space="preserve">). Using CMM, </w:t>
      </w:r>
      <w:r w:rsidR="00026663">
        <w:rPr>
          <w:rFonts w:eastAsia="Arial Unicode MS"/>
        </w:rPr>
        <w:t xml:space="preserve">OVIC expects </w:t>
      </w:r>
      <w:r w:rsidR="00E64E4A">
        <w:rPr>
          <w:rFonts w:eastAsia="Arial Unicode MS"/>
        </w:rPr>
        <w:t xml:space="preserve">VPS </w:t>
      </w:r>
      <w:r>
        <w:rPr>
          <w:rFonts w:eastAsia="Arial Unicode MS"/>
        </w:rPr>
        <w:t xml:space="preserve">organisations to monitor their progress, and assess their adherence to the Standards, nominating both a current and target maturity </w:t>
      </w:r>
      <w:r w:rsidR="00547D9C">
        <w:rPr>
          <w:rFonts w:eastAsia="Arial Unicode MS"/>
        </w:rPr>
        <w:t>rating</w:t>
      </w:r>
      <w:r>
        <w:rPr>
          <w:rFonts w:eastAsia="Arial Unicode MS"/>
        </w:rPr>
        <w:t xml:space="preserve">. </w:t>
      </w:r>
    </w:p>
    <w:p w14:paraId="02E5A9C6" w14:textId="65924BAC" w:rsidR="00026663" w:rsidRDefault="00026663" w:rsidP="00AA25FA">
      <w:pPr>
        <w:pStyle w:val="Body"/>
        <w:rPr>
          <w:rFonts w:eastAsia="Arial Unicode MS"/>
        </w:rPr>
      </w:pPr>
      <w:r>
        <w:rPr>
          <w:rFonts w:eastAsia="Arial Unicode MS"/>
        </w:rPr>
        <w:t xml:space="preserve">This model helps VPS organisations assess their existing information security capabilities, as well as identify opportunities to improve through the nomination of target maturity ratings. </w:t>
      </w:r>
    </w:p>
    <w:p w14:paraId="41EF4E6A" w14:textId="462EAF2B" w:rsidR="009254A3" w:rsidRDefault="009254A3" w:rsidP="009254A3">
      <w:pPr>
        <w:pStyle w:val="SectionHeading"/>
      </w:pPr>
      <w:bookmarkStart w:id="33" w:name="_Toc33019529"/>
      <w:r>
        <w:t xml:space="preserve">Accountability of the </w:t>
      </w:r>
      <w:r w:rsidR="00CB1E6A">
        <w:t>p</w:t>
      </w:r>
      <w:r>
        <w:t xml:space="preserve">ublic </w:t>
      </w:r>
      <w:r w:rsidR="00CB1E6A">
        <w:t>s</w:t>
      </w:r>
      <w:r>
        <w:t xml:space="preserve">ector </w:t>
      </w:r>
      <w:r w:rsidR="00CB1E6A">
        <w:t>b</w:t>
      </w:r>
      <w:r>
        <w:t>ody Head</w:t>
      </w:r>
      <w:bookmarkEnd w:id="33"/>
    </w:p>
    <w:p w14:paraId="149FFDD2" w14:textId="058598EE" w:rsidR="009254A3" w:rsidRDefault="009254A3" w:rsidP="009254A3">
      <w:pPr>
        <w:pStyle w:val="Body"/>
      </w:pPr>
      <w:r>
        <w:t xml:space="preserve">Public sector body Heads are ultimately accountable for the monitoring and assurance activities of their </w:t>
      </w:r>
      <w:r w:rsidR="00E64E4A">
        <w:t xml:space="preserve">VPS </w:t>
      </w:r>
      <w:r>
        <w:t xml:space="preserve">organisation. </w:t>
      </w:r>
    </w:p>
    <w:p w14:paraId="58D91570" w14:textId="0781BC4D" w:rsidR="009254A3" w:rsidRDefault="00026663" w:rsidP="009254A3">
      <w:pPr>
        <w:pStyle w:val="Body"/>
      </w:pPr>
      <w:r>
        <w:t>The</w:t>
      </w:r>
      <w:r w:rsidR="009254A3">
        <w:t xml:space="preserve"> public sector body Head</w:t>
      </w:r>
      <w:r>
        <w:t xml:space="preserve"> is also required </w:t>
      </w:r>
      <w:r w:rsidR="009254A3">
        <w:t xml:space="preserve">to seek their own form of assurance from any </w:t>
      </w:r>
      <w:r w:rsidR="00CA678F">
        <w:t>CSP</w:t>
      </w:r>
      <w:r w:rsidR="009254A3">
        <w:t>/ third party with access to</w:t>
      </w:r>
      <w:r w:rsidR="009254A3">
        <w:rPr>
          <w:rStyle w:val="FootnoteReference"/>
        </w:rPr>
        <w:footnoteReference w:id="19"/>
      </w:r>
      <w:r w:rsidR="009254A3">
        <w:t xml:space="preserve"> </w:t>
      </w:r>
      <w:r w:rsidR="00E64E4A">
        <w:t xml:space="preserve">the VPS </w:t>
      </w:r>
      <w:r w:rsidR="009254A3">
        <w:t xml:space="preserve">organisation’s public sector information. </w:t>
      </w:r>
    </w:p>
    <w:p w14:paraId="1B1853B7" w14:textId="17218D7F" w:rsidR="009254A3" w:rsidRDefault="009254A3" w:rsidP="009254A3">
      <w:pPr>
        <w:pStyle w:val="Body"/>
      </w:pPr>
      <w:r>
        <w:t xml:space="preserve">When developing a monitoring and assurance program, the public sector body </w:t>
      </w:r>
      <w:r w:rsidR="00CB1E6A">
        <w:t>H</w:t>
      </w:r>
      <w:r>
        <w:t xml:space="preserve">ead (or delegate) should seek input from internal subject matter experts and relevant external stakeholders. These stakeholders could include: </w:t>
      </w:r>
    </w:p>
    <w:p w14:paraId="15DE9542" w14:textId="504AB543" w:rsidR="009254A3" w:rsidRDefault="009254A3" w:rsidP="005D3BFB">
      <w:pPr>
        <w:pStyle w:val="Bullet2"/>
      </w:pPr>
      <w:r>
        <w:t>originators of information assets</w:t>
      </w:r>
      <w:r w:rsidR="00026663">
        <w:t xml:space="preserve">, </w:t>
      </w:r>
      <w:r>
        <w:t>information owners, stewards, custodians, users or administrators;</w:t>
      </w:r>
    </w:p>
    <w:p w14:paraId="1710B10A" w14:textId="77777777" w:rsidR="009254A3" w:rsidRDefault="009254A3" w:rsidP="005D3BFB">
      <w:pPr>
        <w:pStyle w:val="Bullet2"/>
      </w:pPr>
      <w:r>
        <w:t>local work unit managers;</w:t>
      </w:r>
    </w:p>
    <w:p w14:paraId="7664789D" w14:textId="77777777" w:rsidR="009254A3" w:rsidRDefault="009254A3" w:rsidP="005D3BFB">
      <w:pPr>
        <w:pStyle w:val="Bullet2"/>
      </w:pPr>
      <w:r>
        <w:t>procurement teams / managers;</w:t>
      </w:r>
    </w:p>
    <w:p w14:paraId="0AB471F2" w14:textId="16D31862" w:rsidR="009254A3" w:rsidRDefault="009254A3" w:rsidP="005D3BFB">
      <w:pPr>
        <w:pStyle w:val="Bullet2"/>
      </w:pPr>
      <w:r>
        <w:t>risk managers</w:t>
      </w:r>
      <w:r w:rsidR="00CB1E6A">
        <w:t>;</w:t>
      </w:r>
      <w:r w:rsidR="00026663">
        <w:t xml:space="preserve"> </w:t>
      </w:r>
      <w:r>
        <w:t>internal / external auditors;</w:t>
      </w:r>
    </w:p>
    <w:p w14:paraId="2F24DC71" w14:textId="6677462A" w:rsidR="009254A3" w:rsidRDefault="009254A3" w:rsidP="005D3BFB">
      <w:pPr>
        <w:pStyle w:val="Bullet2"/>
      </w:pPr>
      <w:r>
        <w:t>information security practitioners</w:t>
      </w:r>
      <w:r w:rsidR="00CB1E6A">
        <w:t xml:space="preserve">; </w:t>
      </w:r>
      <w:r>
        <w:t>information security leads;</w:t>
      </w:r>
    </w:p>
    <w:p w14:paraId="34299CB0" w14:textId="77777777" w:rsidR="009254A3" w:rsidRDefault="009254A3" w:rsidP="005D3BFB">
      <w:pPr>
        <w:pStyle w:val="Bullet2"/>
      </w:pPr>
      <w:r>
        <w:t>contracted service providers; and</w:t>
      </w:r>
    </w:p>
    <w:p w14:paraId="5F82E9AB" w14:textId="1106D484" w:rsidR="005D3BFB" w:rsidRDefault="009254A3" w:rsidP="005D3BFB">
      <w:pPr>
        <w:pStyle w:val="Bullet2"/>
      </w:pPr>
      <w:r>
        <w:t>partnering organisations.</w:t>
      </w:r>
    </w:p>
    <w:p w14:paraId="4E138712" w14:textId="77777777" w:rsidR="005D3BFB" w:rsidRDefault="005D3BFB">
      <w:pPr>
        <w:rPr>
          <w:rFonts w:ascii="Calibri" w:eastAsia="Calibri" w:hAnsi="Calibri"/>
          <w:color w:val="000000"/>
          <w:sz w:val="22"/>
          <w:lang w:val="en-GB" w:eastAsia="en-US"/>
        </w:rPr>
      </w:pPr>
      <w:r>
        <w:br w:type="page"/>
      </w:r>
    </w:p>
    <w:p w14:paraId="4448D909" w14:textId="6F2D6A17" w:rsidR="000935B9" w:rsidRDefault="00B4628E" w:rsidP="00B82E06">
      <w:pPr>
        <w:pStyle w:val="SectionHeading"/>
      </w:pPr>
      <w:bookmarkStart w:id="34" w:name="_Toc33019530"/>
      <w:r>
        <w:lastRenderedPageBreak/>
        <w:t xml:space="preserve">Compliance </w:t>
      </w:r>
      <w:r w:rsidR="00CB1E6A">
        <w:t>o</w:t>
      </w:r>
      <w:r>
        <w:t xml:space="preserve">bligations of VPS </w:t>
      </w:r>
      <w:r w:rsidR="00CB1E6A">
        <w:t>o</w:t>
      </w:r>
      <w:r>
        <w:t>rganisations</w:t>
      </w:r>
      <w:bookmarkEnd w:id="34"/>
    </w:p>
    <w:p w14:paraId="74463BD5" w14:textId="46C98E56" w:rsidR="00B82E06" w:rsidRPr="002C47EB" w:rsidRDefault="00B05A05" w:rsidP="00B82E06">
      <w:pPr>
        <w:pStyle w:val="Body"/>
      </w:pPr>
      <w:r w:rsidRPr="00CE2196">
        <w:t>Section</w:t>
      </w:r>
      <w:r w:rsidR="00B4628E">
        <w:t>s</w:t>
      </w:r>
      <w:r w:rsidRPr="00CE2196">
        <w:t xml:space="preserve"> 88</w:t>
      </w:r>
      <w:r>
        <w:t xml:space="preserve"> and Section 89</w:t>
      </w:r>
      <w:r w:rsidRPr="00CE2196">
        <w:t xml:space="preserve"> of the PDP Act outline the compliance obligations of VPS organisations </w:t>
      </w:r>
      <w:r>
        <w:t>with respect</w:t>
      </w:r>
      <w:r w:rsidRPr="00CE2196">
        <w:t xml:space="preserve"> to the Standard</w:t>
      </w:r>
      <w:r>
        <w:t xml:space="preserve">s, and </w:t>
      </w:r>
      <w:r w:rsidR="00B4628E">
        <w:t xml:space="preserve">require </w:t>
      </w:r>
      <w:r w:rsidR="00E64E4A">
        <w:t xml:space="preserve">VPS </w:t>
      </w:r>
      <w:r>
        <w:t>organisati</w:t>
      </w:r>
      <w:r w:rsidR="00B4628E">
        <w:t xml:space="preserve">ons to: </w:t>
      </w:r>
    </w:p>
    <w:p w14:paraId="45724706" w14:textId="3D664B5D" w:rsidR="00B82E06" w:rsidRDefault="00B82E06" w:rsidP="00804A2D">
      <w:pPr>
        <w:pStyle w:val="Body"/>
        <w:numPr>
          <w:ilvl w:val="0"/>
          <w:numId w:val="29"/>
        </w:numPr>
        <w:rPr>
          <w:rFonts w:eastAsia="Arial Unicode MS"/>
        </w:rPr>
      </w:pPr>
      <w:r>
        <w:rPr>
          <w:rFonts w:eastAsia="Arial Unicode MS"/>
        </w:rPr>
        <w:t>undertak</w:t>
      </w:r>
      <w:r w:rsidR="00B4628E">
        <w:rPr>
          <w:rFonts w:eastAsia="Arial Unicode MS"/>
        </w:rPr>
        <w:t>e</w:t>
      </w:r>
      <w:r>
        <w:rPr>
          <w:rFonts w:eastAsia="Arial Unicode MS"/>
        </w:rPr>
        <w:t xml:space="preserve"> a </w:t>
      </w:r>
      <w:r w:rsidR="00CA678F">
        <w:rPr>
          <w:rFonts w:eastAsia="Arial Unicode MS"/>
        </w:rPr>
        <w:t>SRPA</w:t>
      </w:r>
      <w:r>
        <w:rPr>
          <w:rFonts w:eastAsia="Arial Unicode MS"/>
        </w:rPr>
        <w:t xml:space="preserve">; </w:t>
      </w:r>
      <w:r w:rsidR="00B4628E">
        <w:rPr>
          <w:rFonts w:eastAsia="Arial Unicode MS"/>
        </w:rPr>
        <w:t>and</w:t>
      </w:r>
    </w:p>
    <w:p w14:paraId="4C1B99B4" w14:textId="6F694AC2" w:rsidR="00B82E06" w:rsidRDefault="00B82E06" w:rsidP="00804A2D">
      <w:pPr>
        <w:pStyle w:val="Body"/>
        <w:numPr>
          <w:ilvl w:val="0"/>
          <w:numId w:val="29"/>
        </w:numPr>
        <w:rPr>
          <w:rFonts w:eastAsia="Arial Unicode MS"/>
        </w:rPr>
      </w:pPr>
      <w:r>
        <w:rPr>
          <w:rFonts w:eastAsia="Arial Unicode MS"/>
        </w:rPr>
        <w:t xml:space="preserve">develop a </w:t>
      </w:r>
      <w:r w:rsidRPr="00C15972">
        <w:rPr>
          <w:rFonts w:eastAsia="Arial Unicode MS"/>
        </w:rPr>
        <w:t>PDSP</w:t>
      </w:r>
      <w:r>
        <w:rPr>
          <w:rFonts w:eastAsia="Arial Unicode MS"/>
        </w:rPr>
        <w:t xml:space="preserve"> and submit a copy to OVIC</w:t>
      </w:r>
      <w:r w:rsidR="00B4628E">
        <w:rPr>
          <w:rFonts w:eastAsia="Arial Unicode MS"/>
        </w:rPr>
        <w:t xml:space="preserve">. </w:t>
      </w:r>
    </w:p>
    <w:p w14:paraId="59E47724" w14:textId="2B29E60D" w:rsidR="00B82E06" w:rsidRPr="007D483B" w:rsidRDefault="004B2419" w:rsidP="00B96378">
      <w:pPr>
        <w:pStyle w:val="Body"/>
        <w:rPr>
          <w:rFonts w:eastAsia="Arial Unicode MS"/>
        </w:rPr>
      </w:pPr>
      <w:r>
        <w:rPr>
          <w:rFonts w:eastAsia="Arial Unicode MS"/>
        </w:rPr>
        <w:t xml:space="preserve">OVIC also requires </w:t>
      </w:r>
      <w:r w:rsidR="00B4628E">
        <w:rPr>
          <w:rFonts w:eastAsia="Arial Unicode MS"/>
        </w:rPr>
        <w:t xml:space="preserve">VPS </w:t>
      </w:r>
      <w:r w:rsidR="006B1F27">
        <w:rPr>
          <w:rFonts w:eastAsia="Arial Unicode MS"/>
        </w:rPr>
        <w:t>organisations</w:t>
      </w:r>
      <w:r w:rsidR="00B4628E">
        <w:rPr>
          <w:rFonts w:eastAsia="Arial Unicode MS"/>
        </w:rPr>
        <w:t xml:space="preserve"> to </w:t>
      </w:r>
      <w:r w:rsidR="003371F1">
        <w:rPr>
          <w:rFonts w:eastAsia="Arial Unicode MS"/>
        </w:rPr>
        <w:t>constructively assist</w:t>
      </w:r>
      <w:r w:rsidR="00B82E06">
        <w:rPr>
          <w:rFonts w:eastAsia="Arial Unicode MS"/>
        </w:rPr>
        <w:t xml:space="preserve"> OVIC </w:t>
      </w:r>
      <w:r w:rsidR="003371F1">
        <w:rPr>
          <w:rFonts w:eastAsia="Arial Unicode MS"/>
        </w:rPr>
        <w:t xml:space="preserve">in performing any </w:t>
      </w:r>
      <w:r w:rsidR="00B82E06">
        <w:rPr>
          <w:rFonts w:eastAsia="Arial Unicode MS"/>
        </w:rPr>
        <w:t xml:space="preserve">monitoring and assurance activities. </w:t>
      </w:r>
      <w:r>
        <w:rPr>
          <w:rFonts w:eastAsia="Arial Unicode MS"/>
        </w:rPr>
        <w:t xml:space="preserve">This includes assisting OVIC by providing </w:t>
      </w:r>
      <w:r w:rsidR="00730541">
        <w:rPr>
          <w:rFonts w:eastAsia="Arial Unicode MS"/>
        </w:rPr>
        <w:t>free and full access</w:t>
      </w:r>
      <w:r>
        <w:rPr>
          <w:rFonts w:eastAsia="Arial Unicode MS"/>
        </w:rPr>
        <w:t>,</w:t>
      </w:r>
      <w:r w:rsidR="00730541">
        <w:rPr>
          <w:rFonts w:eastAsia="Arial Unicode MS"/>
        </w:rPr>
        <w:t xml:space="preserve"> at all reasonable times</w:t>
      </w:r>
      <w:r>
        <w:rPr>
          <w:rFonts w:eastAsia="Arial Unicode MS"/>
        </w:rPr>
        <w:t>,</w:t>
      </w:r>
      <w:r w:rsidR="00730541">
        <w:rPr>
          <w:rFonts w:eastAsia="Arial Unicode MS"/>
        </w:rPr>
        <w:t xml:space="preserve"> to public sector information or systems</w:t>
      </w:r>
      <w:r w:rsidR="00730541">
        <w:rPr>
          <w:rStyle w:val="FootnoteReference"/>
          <w:rFonts w:eastAsia="Arial Unicode MS"/>
        </w:rPr>
        <w:footnoteReference w:id="20"/>
      </w:r>
      <w:r w:rsidR="00730541">
        <w:rPr>
          <w:rFonts w:eastAsia="Arial Unicode MS"/>
        </w:rPr>
        <w:t>.</w:t>
      </w:r>
    </w:p>
    <w:p w14:paraId="14EDFFBD" w14:textId="3B9ECBE7" w:rsidR="00B05A05" w:rsidRDefault="00B05A05" w:rsidP="005D3BFB">
      <w:pPr>
        <w:pStyle w:val="SectionSubhead"/>
        <w:ind w:left="0"/>
      </w:pPr>
      <w:bookmarkStart w:id="35" w:name="_Toc33019531"/>
      <w:r>
        <w:t xml:space="preserve">What is a </w:t>
      </w:r>
      <w:r w:rsidRPr="00321457">
        <w:t>Security Risk Profile Assessment</w:t>
      </w:r>
      <w:r>
        <w:t xml:space="preserve"> (SRPA)?</w:t>
      </w:r>
      <w:bookmarkEnd w:id="35"/>
    </w:p>
    <w:p w14:paraId="5A3DB1AC" w14:textId="624D102B" w:rsidR="009C26B8" w:rsidRPr="00B96378" w:rsidRDefault="009C26B8" w:rsidP="005D3BFB">
      <w:pPr>
        <w:pStyle w:val="Body"/>
      </w:pPr>
      <w:r w:rsidRPr="006E7BC4">
        <w:t xml:space="preserve">A SRPA is a </w:t>
      </w:r>
      <w:r w:rsidRPr="00B96378">
        <w:t xml:space="preserve">four-stage </w:t>
      </w:r>
      <w:r w:rsidRPr="006E7BC4">
        <w:t xml:space="preserve">process that enables VPS organisations to identify, </w:t>
      </w:r>
      <w:r w:rsidRPr="00B96378">
        <w:t>analyse</w:t>
      </w:r>
      <w:r w:rsidR="00BF5FC6">
        <w:t xml:space="preserve">, </w:t>
      </w:r>
      <w:r w:rsidRPr="00B96378">
        <w:t>evaluate and treat</w:t>
      </w:r>
      <w:r w:rsidRPr="006E7BC4">
        <w:t xml:space="preserve"> information security risks</w:t>
      </w:r>
      <w:r w:rsidRPr="00B96378">
        <w:t xml:space="preserve">. </w:t>
      </w:r>
    </w:p>
    <w:p w14:paraId="0124CEAD" w14:textId="2CAF60A6" w:rsidR="009C26B8" w:rsidRPr="00F51C27" w:rsidRDefault="009C26B8" w:rsidP="005D3BFB">
      <w:pPr>
        <w:pStyle w:val="body0"/>
        <w:spacing w:before="0" w:beforeAutospacing="0" w:after="120" w:afterAutospacing="0"/>
      </w:pPr>
      <w:r w:rsidRPr="00B96378">
        <w:rPr>
          <w:rFonts w:ascii="Calibri" w:hAnsi="Calibri"/>
          <w:color w:val="000000"/>
          <w:sz w:val="22"/>
          <w:lang w:val="en-GB"/>
        </w:rPr>
        <w:t xml:space="preserve">A VPS </w:t>
      </w:r>
      <w:r w:rsidR="00C32D68" w:rsidRPr="00B96378">
        <w:rPr>
          <w:rFonts w:ascii="Calibri" w:hAnsi="Calibri"/>
          <w:color w:val="000000"/>
          <w:sz w:val="22"/>
          <w:lang w:val="en-GB"/>
        </w:rPr>
        <w:t>organisation</w:t>
      </w:r>
      <w:r w:rsidRPr="00B96378">
        <w:rPr>
          <w:rFonts w:ascii="Calibri" w:hAnsi="Calibri"/>
          <w:color w:val="000000"/>
          <w:sz w:val="22"/>
          <w:lang w:val="en-GB"/>
        </w:rPr>
        <w:t xml:space="preserve"> </w:t>
      </w:r>
      <w:r w:rsidR="00BF5FC6">
        <w:rPr>
          <w:rFonts w:ascii="Calibri" w:hAnsi="Calibri"/>
          <w:color w:val="000000"/>
          <w:sz w:val="22"/>
          <w:lang w:val="en-GB"/>
        </w:rPr>
        <w:t>should</w:t>
      </w:r>
      <w:r w:rsidRPr="00B96378">
        <w:rPr>
          <w:rFonts w:ascii="Calibri" w:hAnsi="Calibri"/>
          <w:color w:val="000000"/>
          <w:sz w:val="22"/>
          <w:lang w:val="en-GB"/>
        </w:rPr>
        <w:t xml:space="preserve"> undertake a SRPA</w:t>
      </w:r>
      <w:r w:rsidR="00BF5FC6">
        <w:rPr>
          <w:rFonts w:ascii="Calibri" w:hAnsi="Calibri"/>
          <w:color w:val="000000"/>
          <w:sz w:val="22"/>
          <w:lang w:val="en-GB"/>
        </w:rPr>
        <w:t xml:space="preserve"> regularly (</w:t>
      </w:r>
      <w:r w:rsidRPr="00B96378">
        <w:rPr>
          <w:rFonts w:ascii="Calibri" w:hAnsi="Calibri"/>
          <w:color w:val="000000"/>
          <w:sz w:val="22"/>
          <w:lang w:val="en-GB"/>
        </w:rPr>
        <w:t xml:space="preserve">at least </w:t>
      </w:r>
      <w:r w:rsidR="00BF5FC6">
        <w:rPr>
          <w:rFonts w:ascii="Calibri" w:hAnsi="Calibri"/>
          <w:color w:val="000000"/>
          <w:sz w:val="22"/>
          <w:lang w:val="en-GB"/>
        </w:rPr>
        <w:t>annually)</w:t>
      </w:r>
      <w:r w:rsidRPr="00B96378">
        <w:rPr>
          <w:rFonts w:ascii="Calibri" w:hAnsi="Calibri"/>
          <w:color w:val="000000"/>
          <w:sz w:val="22"/>
          <w:lang w:val="en-GB"/>
        </w:rPr>
        <w:t>. Th</w:t>
      </w:r>
      <w:r w:rsidR="00C32D68" w:rsidRPr="00B96378">
        <w:rPr>
          <w:rFonts w:ascii="Calibri" w:hAnsi="Calibri"/>
          <w:color w:val="000000"/>
          <w:sz w:val="22"/>
          <w:lang w:val="en-GB"/>
        </w:rPr>
        <w:t xml:space="preserve">e SRPA </w:t>
      </w:r>
      <w:r w:rsidRPr="00B96378">
        <w:rPr>
          <w:rFonts w:ascii="Calibri" w:hAnsi="Calibri"/>
          <w:color w:val="000000"/>
          <w:sz w:val="22"/>
          <w:lang w:val="en-GB"/>
        </w:rPr>
        <w:t xml:space="preserve">process must include assessments of third parties that deal with public sector </w:t>
      </w:r>
      <w:r w:rsidR="00C32D68" w:rsidRPr="00B96378">
        <w:rPr>
          <w:rFonts w:ascii="Calibri" w:hAnsi="Calibri"/>
          <w:color w:val="000000"/>
          <w:sz w:val="22"/>
          <w:lang w:val="en-GB"/>
        </w:rPr>
        <w:t>information</w:t>
      </w:r>
      <w:r w:rsidRPr="00B96378">
        <w:rPr>
          <w:rFonts w:ascii="Calibri" w:hAnsi="Calibri"/>
          <w:color w:val="000000"/>
          <w:sz w:val="22"/>
          <w:lang w:val="en-GB"/>
        </w:rPr>
        <w:t xml:space="preserve"> for the VPS organisation, for example, contracted service providers</w:t>
      </w:r>
      <w:r w:rsidRPr="00B96378">
        <w:rPr>
          <w:rStyle w:val="FootnoteReference"/>
          <w:rFonts w:ascii="Museo Sans" w:eastAsia="Museo Sans" w:hAnsi="Museo Sans" w:cs="Museo Sans"/>
          <w:sz w:val="20"/>
          <w:szCs w:val="20"/>
          <w:lang w:val="en-US" w:eastAsia="en-US" w:bidi="en-US"/>
        </w:rPr>
        <w:footnoteReference w:id="21"/>
      </w:r>
      <w:r w:rsidR="00F51C27">
        <w:rPr>
          <w:rFonts w:ascii="Calibri" w:hAnsi="Calibri"/>
          <w:color w:val="000000"/>
          <w:sz w:val="22"/>
          <w:lang w:val="en-GB"/>
        </w:rPr>
        <w:t>.</w:t>
      </w:r>
    </w:p>
    <w:p w14:paraId="09E70E02" w14:textId="27211EFD" w:rsidR="009C26B8" w:rsidRPr="00B96378" w:rsidRDefault="009C26B8" w:rsidP="005D3BFB">
      <w:pPr>
        <w:pStyle w:val="body0"/>
        <w:spacing w:before="0" w:beforeAutospacing="0" w:after="120" w:afterAutospacing="0"/>
        <w:rPr>
          <w:rFonts w:ascii="Calibri" w:hAnsi="Calibri"/>
          <w:color w:val="000000"/>
          <w:sz w:val="22"/>
          <w:lang w:val="en-GB"/>
        </w:rPr>
      </w:pPr>
      <w:r w:rsidRPr="00B96378">
        <w:rPr>
          <w:rFonts w:ascii="Calibri" w:hAnsi="Calibri"/>
          <w:color w:val="000000"/>
          <w:sz w:val="22"/>
          <w:lang w:val="en-GB"/>
        </w:rPr>
        <w:t xml:space="preserve">The outcomes of a SRPA </w:t>
      </w:r>
      <w:r w:rsidR="00BF5FC6">
        <w:rPr>
          <w:rFonts w:ascii="Calibri" w:hAnsi="Calibri"/>
          <w:color w:val="000000"/>
          <w:sz w:val="22"/>
          <w:lang w:val="en-GB"/>
        </w:rPr>
        <w:t>should</w:t>
      </w:r>
      <w:r w:rsidR="00C32D68" w:rsidRPr="00B96378">
        <w:rPr>
          <w:rFonts w:ascii="Calibri" w:hAnsi="Calibri"/>
          <w:color w:val="000000"/>
          <w:sz w:val="22"/>
          <w:lang w:val="en-GB"/>
        </w:rPr>
        <w:t xml:space="preserve"> be documented in a VPS organisation’s </w:t>
      </w:r>
      <w:r w:rsidRPr="00B96378">
        <w:rPr>
          <w:rFonts w:ascii="Calibri" w:hAnsi="Calibri"/>
          <w:color w:val="000000"/>
          <w:sz w:val="22"/>
          <w:lang w:val="en-GB"/>
        </w:rPr>
        <w:t>risk register</w:t>
      </w:r>
      <w:r w:rsidR="00C32D68" w:rsidRPr="00B96378">
        <w:rPr>
          <w:rFonts w:ascii="Calibri" w:hAnsi="Calibri"/>
          <w:color w:val="000000"/>
          <w:sz w:val="22"/>
          <w:lang w:val="en-GB"/>
        </w:rPr>
        <w:t xml:space="preserve">. </w:t>
      </w:r>
    </w:p>
    <w:p w14:paraId="00110AE4" w14:textId="3880B540" w:rsidR="009C26B8" w:rsidRPr="006E7BC4" w:rsidRDefault="00C32D68" w:rsidP="005D3BFB">
      <w:pPr>
        <w:pStyle w:val="Body"/>
      </w:pPr>
      <w:r w:rsidRPr="00B96378">
        <w:t>The SPRA process facilitates efficient, effective and economic investment decisions</w:t>
      </w:r>
      <w:r w:rsidR="00BF5FC6">
        <w:t xml:space="preserve"> to meet both business objectives and</w:t>
      </w:r>
      <w:r w:rsidRPr="00B96378">
        <w:t xml:space="preserve"> in </w:t>
      </w:r>
      <w:r w:rsidR="00095DA3" w:rsidRPr="00B96378">
        <w:t xml:space="preserve">the selection and implementation of </w:t>
      </w:r>
      <w:r w:rsidRPr="00B96378">
        <w:t xml:space="preserve">controls. </w:t>
      </w:r>
    </w:p>
    <w:p w14:paraId="28DB8E18" w14:textId="3565DA15" w:rsidR="009C26B8" w:rsidRPr="00B96378" w:rsidRDefault="009C26B8" w:rsidP="005D3BFB">
      <w:pPr>
        <w:pStyle w:val="body0"/>
        <w:spacing w:before="0" w:beforeAutospacing="0" w:after="120" w:afterAutospacing="0"/>
        <w:rPr>
          <w:rFonts w:ascii="Calibri" w:hAnsi="Calibri"/>
          <w:color w:val="000000"/>
          <w:sz w:val="22"/>
          <w:lang w:val="en-GB"/>
        </w:rPr>
      </w:pPr>
      <w:r w:rsidRPr="00B96378">
        <w:rPr>
          <w:rFonts w:ascii="Calibri" w:hAnsi="Calibri"/>
          <w:color w:val="000000"/>
          <w:sz w:val="22"/>
          <w:lang w:val="en-GB"/>
        </w:rPr>
        <w:t xml:space="preserve">For more information about how to undertake </w:t>
      </w:r>
      <w:r w:rsidR="00095DA3" w:rsidRPr="00B96378">
        <w:rPr>
          <w:rFonts w:ascii="Calibri" w:hAnsi="Calibri"/>
          <w:color w:val="000000"/>
          <w:sz w:val="22"/>
          <w:lang w:val="en-GB"/>
        </w:rPr>
        <w:t xml:space="preserve">the </w:t>
      </w:r>
      <w:r w:rsidRPr="00B96378">
        <w:rPr>
          <w:rFonts w:ascii="Calibri" w:hAnsi="Calibri"/>
          <w:color w:val="000000"/>
          <w:sz w:val="22"/>
          <w:lang w:val="en-GB"/>
        </w:rPr>
        <w:t>SRPA</w:t>
      </w:r>
      <w:r w:rsidR="00095DA3" w:rsidRPr="00B96378">
        <w:rPr>
          <w:rFonts w:ascii="Calibri" w:hAnsi="Calibri"/>
          <w:color w:val="000000"/>
          <w:sz w:val="22"/>
          <w:lang w:val="en-GB"/>
        </w:rPr>
        <w:t xml:space="preserve"> process</w:t>
      </w:r>
      <w:r w:rsidRPr="00B96378">
        <w:rPr>
          <w:rFonts w:ascii="Calibri" w:hAnsi="Calibri"/>
          <w:color w:val="000000"/>
          <w:sz w:val="22"/>
          <w:lang w:val="en-GB"/>
        </w:rPr>
        <w:t>, refer to</w:t>
      </w:r>
      <w:r w:rsidRPr="00B96378">
        <w:rPr>
          <w:rFonts w:ascii="Calibri" w:hAnsi="Calibri"/>
          <w:color w:val="000000"/>
        </w:rPr>
        <w:t> </w:t>
      </w:r>
      <w:r w:rsidRPr="00B96378">
        <w:rPr>
          <w:rFonts w:ascii="Calibri" w:hAnsi="Calibri"/>
          <w:i/>
          <w:iCs/>
          <w:color w:val="000000"/>
          <w:sz w:val="22"/>
          <w:lang w:val="en-GB"/>
        </w:rPr>
        <w:t>Practitioner Guide: Information Security Risk Management</w:t>
      </w:r>
      <w:r w:rsidRPr="00B96378">
        <w:rPr>
          <w:rFonts w:ascii="Calibri" w:hAnsi="Calibri"/>
          <w:color w:val="000000"/>
        </w:rPr>
        <w:t> </w:t>
      </w:r>
      <w:r w:rsidRPr="00B96378">
        <w:rPr>
          <w:rFonts w:ascii="Calibri" w:hAnsi="Calibri"/>
          <w:color w:val="000000"/>
          <w:sz w:val="22"/>
          <w:lang w:val="en-GB"/>
        </w:rPr>
        <w:t xml:space="preserve">available under the </w:t>
      </w:r>
      <w:hyperlink r:id="rId27" w:history="1">
        <w:r w:rsidRPr="00AE1D66">
          <w:rPr>
            <w:rStyle w:val="Hyperlink"/>
            <w:rFonts w:ascii="Calibri" w:hAnsi="Calibri"/>
            <w:sz w:val="22"/>
            <w:lang w:val="en-GB"/>
          </w:rPr>
          <w:t xml:space="preserve">VPDSF </w:t>
        </w:r>
        <w:r w:rsidR="00432AFE">
          <w:rPr>
            <w:rStyle w:val="Hyperlink"/>
            <w:rFonts w:ascii="Calibri" w:hAnsi="Calibri"/>
            <w:sz w:val="22"/>
            <w:lang w:val="en-GB"/>
          </w:rPr>
          <w:t>r</w:t>
        </w:r>
        <w:r w:rsidRPr="00AE1D66">
          <w:rPr>
            <w:rStyle w:val="Hyperlink"/>
            <w:rFonts w:ascii="Calibri" w:hAnsi="Calibri"/>
            <w:sz w:val="22"/>
            <w:lang w:val="en-GB"/>
          </w:rPr>
          <w:t>esources</w:t>
        </w:r>
      </w:hyperlink>
      <w:r w:rsidRPr="00B96378">
        <w:rPr>
          <w:rFonts w:ascii="Calibri" w:hAnsi="Calibri"/>
          <w:color w:val="000000"/>
          <w:sz w:val="22"/>
          <w:lang w:val="en-GB"/>
        </w:rPr>
        <w:t xml:space="preserve"> </w:t>
      </w:r>
      <w:r w:rsidR="00432AFE">
        <w:rPr>
          <w:rFonts w:ascii="Calibri" w:hAnsi="Calibri"/>
          <w:color w:val="000000"/>
          <w:sz w:val="22"/>
          <w:lang w:val="en-GB"/>
        </w:rPr>
        <w:t>section of</w:t>
      </w:r>
      <w:r w:rsidR="00432AFE" w:rsidRPr="00B96378">
        <w:rPr>
          <w:rFonts w:ascii="Calibri" w:hAnsi="Calibri"/>
          <w:color w:val="000000"/>
          <w:sz w:val="22"/>
          <w:lang w:val="en-GB"/>
        </w:rPr>
        <w:t xml:space="preserve"> </w:t>
      </w:r>
      <w:r w:rsidRPr="00B96378">
        <w:rPr>
          <w:rFonts w:ascii="Calibri" w:hAnsi="Calibri"/>
          <w:color w:val="000000"/>
          <w:sz w:val="22"/>
          <w:lang w:val="en-GB"/>
        </w:rPr>
        <w:t>the OVIC website. </w:t>
      </w:r>
    </w:p>
    <w:p w14:paraId="404F57AA" w14:textId="77777777" w:rsidR="00B05A05" w:rsidRDefault="00B05A05" w:rsidP="005D3BFB">
      <w:pPr>
        <w:pStyle w:val="SectionSubhead"/>
        <w:ind w:left="0"/>
      </w:pPr>
      <w:bookmarkStart w:id="36" w:name="_Toc33019532"/>
      <w:r>
        <w:t>What is a Protective Data Security Plan (PDSP)?</w:t>
      </w:r>
      <w:bookmarkEnd w:id="36"/>
    </w:p>
    <w:p w14:paraId="589D8B9C" w14:textId="77777777" w:rsidR="00F51C27" w:rsidRPr="00B96378" w:rsidRDefault="00F51C27" w:rsidP="005D3BFB">
      <w:pPr>
        <w:pStyle w:val="Body"/>
      </w:pPr>
      <w:r w:rsidRPr="00B96378">
        <w:t>A PDSP is a reporting tool, used by VPS organisations to:</w:t>
      </w:r>
    </w:p>
    <w:p w14:paraId="2F01B6F7" w14:textId="746FA3FD" w:rsidR="00F51C27" w:rsidRPr="005D3BFB" w:rsidRDefault="00F51C27" w:rsidP="005D3BFB">
      <w:pPr>
        <w:pStyle w:val="Bullet2"/>
      </w:pPr>
      <w:r w:rsidRPr="005D3BFB">
        <w:t xml:space="preserve">advise OVIC of their </w:t>
      </w:r>
      <w:r w:rsidR="00BF5FC6" w:rsidRPr="005D3BFB">
        <w:t xml:space="preserve">maturity level, and </w:t>
      </w:r>
      <w:r w:rsidRPr="005D3BFB">
        <w:t>implementation status of the Standards, referencing information security risks as identified as part of the SRPA process;</w:t>
      </w:r>
    </w:p>
    <w:p w14:paraId="6FD4ECA8" w14:textId="49BA821A" w:rsidR="00F51C27" w:rsidRPr="005D3BFB" w:rsidRDefault="00F51C27" w:rsidP="005D3BFB">
      <w:pPr>
        <w:pStyle w:val="Bullet2"/>
      </w:pPr>
      <w:r w:rsidRPr="005D3BFB">
        <w:t>articulate the VPS organisation’s security profile</w:t>
      </w:r>
      <w:r w:rsidRPr="005D3BFB">
        <w:rPr>
          <w:rStyle w:val="FootnoteReference"/>
        </w:rPr>
        <w:footnoteReference w:id="22"/>
      </w:r>
      <w:r w:rsidRPr="005D3BFB">
        <w:t>;</w:t>
      </w:r>
      <w:r w:rsidR="001A4031" w:rsidRPr="005D3BFB">
        <w:t xml:space="preserve"> and</w:t>
      </w:r>
    </w:p>
    <w:p w14:paraId="5687DB72" w14:textId="77777777" w:rsidR="00F51C27" w:rsidRPr="005D3BFB" w:rsidRDefault="00F51C27" w:rsidP="005D3BFB">
      <w:pPr>
        <w:pStyle w:val="Bullet2"/>
      </w:pPr>
      <w:r w:rsidRPr="005D3BFB">
        <w:t>attest to the implementation activities as required by the Standards.</w:t>
      </w:r>
    </w:p>
    <w:p w14:paraId="34FA8C57" w14:textId="4FDA8943" w:rsidR="00F51C27" w:rsidRPr="00B96378" w:rsidRDefault="00F51C27" w:rsidP="005D3BFB">
      <w:pPr>
        <w:pStyle w:val="Body"/>
      </w:pPr>
      <w:r w:rsidRPr="00B96378">
        <w:t>This forma</w:t>
      </w:r>
      <w:r w:rsidR="00BF5FC6">
        <w:t>l</w:t>
      </w:r>
      <w:r w:rsidRPr="00B96378">
        <w:t>l</w:t>
      </w:r>
      <w:r w:rsidR="00BF5FC6">
        <w:t>y</w:t>
      </w:r>
      <w:r w:rsidRPr="00B96378">
        <w:t xml:space="preserve"> endorsed document is OVIC’s primary information source, to assess the state of information security across the VPS. Consequently, it is essential for VPS organisations to accurately self-report in their PDSPs. </w:t>
      </w:r>
    </w:p>
    <w:p w14:paraId="0AE6BCFA" w14:textId="11DE6AA3" w:rsidR="00795F1D" w:rsidRDefault="00F51C27" w:rsidP="005D3BFB">
      <w:pPr>
        <w:pStyle w:val="Body"/>
      </w:pPr>
      <w:r w:rsidRPr="00B96378">
        <w:t>To download a current copy of the PDSP template</w:t>
      </w:r>
      <w:r w:rsidR="00BF5FC6">
        <w:t xml:space="preserve">, </w:t>
      </w:r>
      <w:r w:rsidR="00016DB7">
        <w:t xml:space="preserve">please </w:t>
      </w:r>
      <w:r w:rsidRPr="00B96378">
        <w:t xml:space="preserve">refer to the </w:t>
      </w:r>
      <w:hyperlink r:id="rId28" w:history="1">
        <w:r w:rsidR="00931BEA">
          <w:rPr>
            <w:rStyle w:val="Hyperlink"/>
          </w:rPr>
          <w:t>Agency reporting obligations</w:t>
        </w:r>
      </w:hyperlink>
      <w:r w:rsidRPr="00B96378">
        <w:t xml:space="preserve"> </w:t>
      </w:r>
      <w:r w:rsidR="00931BEA">
        <w:t>page</w:t>
      </w:r>
      <w:r w:rsidRPr="00B96378">
        <w:t xml:space="preserve"> o</w:t>
      </w:r>
      <w:r w:rsidR="00931BEA">
        <w:t>n</w:t>
      </w:r>
      <w:r w:rsidRPr="00B96378">
        <w:t xml:space="preserve"> the OVIC website. </w:t>
      </w:r>
    </w:p>
    <w:p w14:paraId="1CAD9C40" w14:textId="77777777" w:rsidR="00795F1D" w:rsidRDefault="00795F1D">
      <w:pPr>
        <w:rPr>
          <w:rFonts w:ascii="Calibri" w:hAnsi="Calibri"/>
          <w:color w:val="000000"/>
          <w:sz w:val="22"/>
          <w:lang w:val="en-GB"/>
        </w:rPr>
      </w:pPr>
      <w:r>
        <w:br w:type="page"/>
      </w:r>
    </w:p>
    <w:p w14:paraId="054C5379" w14:textId="7727CA79" w:rsidR="00E40B5C" w:rsidRPr="00942302" w:rsidRDefault="00E40B5C" w:rsidP="005D3BFB">
      <w:pPr>
        <w:pStyle w:val="SectionSubhead"/>
        <w:keepNext/>
        <w:ind w:left="0"/>
        <w:rPr>
          <w:rFonts w:eastAsia="Arial Unicode MS"/>
        </w:rPr>
      </w:pPr>
      <w:bookmarkStart w:id="37" w:name="_Toc31974147"/>
      <w:bookmarkStart w:id="38" w:name="_Toc31975370"/>
      <w:bookmarkStart w:id="39" w:name="_Toc31974148"/>
      <w:bookmarkStart w:id="40" w:name="_Toc31975371"/>
      <w:bookmarkStart w:id="41" w:name="_Toc31974149"/>
      <w:bookmarkStart w:id="42" w:name="_Toc31975372"/>
      <w:bookmarkStart w:id="43" w:name="_Toc31974150"/>
      <w:bookmarkStart w:id="44" w:name="_Toc31975373"/>
      <w:bookmarkStart w:id="45" w:name="_Toc31974151"/>
      <w:bookmarkStart w:id="46" w:name="_Toc31975374"/>
      <w:bookmarkStart w:id="47" w:name="_Toc31974152"/>
      <w:bookmarkStart w:id="48" w:name="_Toc31975375"/>
      <w:bookmarkStart w:id="49" w:name="_Toc31974153"/>
      <w:bookmarkStart w:id="50" w:name="_Toc31975376"/>
      <w:bookmarkStart w:id="51" w:name="_Toc31974164"/>
      <w:bookmarkStart w:id="52" w:name="_Toc31975387"/>
      <w:bookmarkStart w:id="53" w:name="_Toc31974165"/>
      <w:bookmarkStart w:id="54" w:name="_Toc31975388"/>
      <w:bookmarkStart w:id="55" w:name="_Toc31974166"/>
      <w:bookmarkStart w:id="56" w:name="_Toc31975389"/>
      <w:bookmarkStart w:id="57" w:name="_Toc31974188"/>
      <w:bookmarkStart w:id="58" w:name="_Toc31975411"/>
      <w:bookmarkStart w:id="59" w:name="_Toc3301953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eastAsia="Arial Unicode MS"/>
        </w:rPr>
        <w:lastRenderedPageBreak/>
        <w:t xml:space="preserve">Timeframes and </w:t>
      </w:r>
      <w:r w:rsidR="00CB1E6A">
        <w:rPr>
          <w:rFonts w:eastAsia="Arial Unicode MS"/>
        </w:rPr>
        <w:t>d</w:t>
      </w:r>
      <w:r>
        <w:rPr>
          <w:rFonts w:eastAsia="Arial Unicode MS"/>
        </w:rPr>
        <w:t xml:space="preserve">eliverables in </w:t>
      </w:r>
      <w:r w:rsidR="00CB1E6A">
        <w:rPr>
          <w:rFonts w:eastAsia="Arial Unicode MS"/>
        </w:rPr>
        <w:t>p</w:t>
      </w:r>
      <w:r>
        <w:rPr>
          <w:rFonts w:eastAsia="Arial Unicode MS"/>
        </w:rPr>
        <w:t>ractice</w:t>
      </w:r>
      <w:bookmarkEnd w:id="59"/>
    </w:p>
    <w:p w14:paraId="5C2B0B7E" w14:textId="664D0954" w:rsidR="00E40B5C" w:rsidRPr="00093318" w:rsidRDefault="00E64E4A" w:rsidP="00795F1D">
      <w:pPr>
        <w:pStyle w:val="Body"/>
        <w:spacing w:after="360"/>
      </w:pPr>
      <w:r>
        <w:t>VPS o</w:t>
      </w:r>
      <w:r w:rsidR="00E40B5C">
        <w:t xml:space="preserve">rganisations operate </w:t>
      </w:r>
      <w:r w:rsidR="00312AA0">
        <w:t xml:space="preserve">under a </w:t>
      </w:r>
      <w:r w:rsidR="00E40B5C">
        <w:t xml:space="preserve">reporting </w:t>
      </w:r>
      <w:r w:rsidR="00E40B5C" w:rsidRPr="00942302">
        <w:t xml:space="preserve">cycle </w:t>
      </w:r>
      <w:r w:rsidR="00312AA0">
        <w:t>that p</w:t>
      </w:r>
      <w:r w:rsidR="00E40B5C" w:rsidRPr="00942302">
        <w:t>rovide</w:t>
      </w:r>
      <w:r w:rsidR="00E40B5C">
        <w:t>s</w:t>
      </w:r>
      <w:r w:rsidR="00E40B5C" w:rsidRPr="00942302">
        <w:t xml:space="preserve"> </w:t>
      </w:r>
      <w:r>
        <w:t xml:space="preserve">VPS </w:t>
      </w:r>
      <w:r w:rsidR="00E40B5C" w:rsidRPr="00942302">
        <w:t>organisations time to</w:t>
      </w:r>
      <w:r w:rsidR="00E40B5C">
        <w:t xml:space="preserve"> complete the necessary deliverables in accordance with the PDP Act and the Standards</w:t>
      </w:r>
      <w:r w:rsidR="00312AA0">
        <w:t xml:space="preserve">. </w:t>
      </w:r>
      <w:r w:rsidR="00E40B5C">
        <w:t xml:space="preserve">The </w:t>
      </w:r>
      <w:r>
        <w:t xml:space="preserve">following table sets out the </w:t>
      </w:r>
      <w:r w:rsidR="00E40B5C">
        <w:t>r</w:t>
      </w:r>
      <w:r w:rsidR="00E40B5C" w:rsidRPr="00942302">
        <w:t xml:space="preserve">eporting </w:t>
      </w:r>
      <w:r w:rsidR="00E40B5C">
        <w:t xml:space="preserve">cycle with associated </w:t>
      </w:r>
      <w:r w:rsidR="00E40B5C" w:rsidRPr="00942302">
        <w:t>timeframes and deliverables</w:t>
      </w:r>
      <w:r w:rsidR="00E40B5C">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9E5E2"/>
        <w:tblLayout w:type="fixed"/>
        <w:tblCellMar>
          <w:left w:w="284" w:type="dxa"/>
          <w:right w:w="284" w:type="dxa"/>
        </w:tblCellMar>
        <w:tblLook w:val="01E0" w:firstRow="1" w:lastRow="1" w:firstColumn="1" w:lastColumn="1" w:noHBand="0" w:noVBand="0"/>
      </w:tblPr>
      <w:tblGrid>
        <w:gridCol w:w="6935"/>
        <w:gridCol w:w="2137"/>
      </w:tblGrid>
      <w:tr w:rsidR="009D0AF7" w:rsidRPr="0094563D" w14:paraId="73B8A0FE" w14:textId="77777777" w:rsidTr="00E136E1">
        <w:trPr>
          <w:trHeight w:val="686"/>
          <w:tblHeader/>
        </w:trPr>
        <w:tc>
          <w:tcPr>
            <w:tcW w:w="6935" w:type="dxa"/>
            <w:tcBorders>
              <w:top w:val="nil"/>
              <w:left w:val="nil"/>
            </w:tcBorders>
            <w:shd w:val="clear" w:color="auto" w:fill="430098"/>
            <w:vAlign w:val="center"/>
          </w:tcPr>
          <w:p w14:paraId="7B8F7848" w14:textId="3E154DCE" w:rsidR="009D0AF7" w:rsidRPr="00FB2163" w:rsidRDefault="009D0AF7" w:rsidP="00356982">
            <w:pPr>
              <w:pStyle w:val="TableParagraph"/>
              <w:ind w:left="110" w:hanging="263"/>
              <w:rPr>
                <w:rFonts w:asciiTheme="minorHAnsi" w:eastAsia="Arial Unicode MS" w:hAnsiTheme="minorHAnsi" w:cstheme="minorHAnsi"/>
                <w:b/>
                <w:bCs/>
                <w:color w:val="FFFFFF" w:themeColor="background1"/>
                <w:sz w:val="20"/>
              </w:rPr>
            </w:pPr>
            <w:r>
              <w:rPr>
                <w:rFonts w:asciiTheme="minorHAnsi" w:eastAsia="Arial Unicode MS" w:hAnsiTheme="minorHAnsi" w:cstheme="minorHAnsi"/>
                <w:b/>
                <w:bCs/>
                <w:color w:val="FFFFFF" w:themeColor="background1"/>
                <w:sz w:val="20"/>
              </w:rPr>
              <w:t>Deliverable</w:t>
            </w:r>
            <w:r w:rsidRPr="00FB2163">
              <w:rPr>
                <w:rFonts w:asciiTheme="minorHAnsi" w:eastAsia="Arial Unicode MS" w:hAnsiTheme="minorHAnsi" w:cstheme="minorHAnsi"/>
                <w:b/>
                <w:bCs/>
                <w:color w:val="FFFFFF" w:themeColor="background1"/>
                <w:sz w:val="20"/>
              </w:rPr>
              <w:t xml:space="preserve"> </w:t>
            </w:r>
          </w:p>
        </w:tc>
        <w:tc>
          <w:tcPr>
            <w:tcW w:w="2137" w:type="dxa"/>
            <w:tcBorders>
              <w:top w:val="nil"/>
              <w:left w:val="nil"/>
            </w:tcBorders>
            <w:shd w:val="clear" w:color="auto" w:fill="430098"/>
            <w:vAlign w:val="center"/>
          </w:tcPr>
          <w:p w14:paraId="4A066E0C" w14:textId="7E37E6E6" w:rsidR="009D0AF7" w:rsidRPr="00FB2163" w:rsidRDefault="009D0AF7" w:rsidP="005D3BFB">
            <w:pPr>
              <w:pStyle w:val="TableParagraph"/>
              <w:ind w:left="110" w:hanging="263"/>
              <w:jc w:val="center"/>
              <w:rPr>
                <w:rFonts w:asciiTheme="minorHAnsi" w:eastAsia="Arial Unicode MS" w:hAnsiTheme="minorHAnsi" w:cstheme="minorHAnsi"/>
                <w:b/>
                <w:bCs/>
                <w:color w:val="FFFFFF" w:themeColor="background1"/>
                <w:sz w:val="20"/>
              </w:rPr>
            </w:pPr>
            <w:r>
              <w:rPr>
                <w:rFonts w:asciiTheme="minorHAnsi" w:eastAsia="Arial Unicode MS" w:hAnsiTheme="minorHAnsi" w:cstheme="minorHAnsi"/>
                <w:b/>
                <w:bCs/>
                <w:color w:val="FFFFFF" w:themeColor="background1"/>
                <w:sz w:val="20"/>
              </w:rPr>
              <w:t>Timeframe</w:t>
            </w:r>
          </w:p>
        </w:tc>
      </w:tr>
      <w:tr w:rsidR="009D0AF7" w:rsidRPr="00FE78A9" w14:paraId="4D8704BB" w14:textId="77777777" w:rsidTr="005D3BFB">
        <w:trPr>
          <w:trHeight w:val="20"/>
        </w:trPr>
        <w:tc>
          <w:tcPr>
            <w:tcW w:w="6935" w:type="dxa"/>
            <w:tcBorders>
              <w:left w:val="nil"/>
            </w:tcBorders>
            <w:shd w:val="clear" w:color="auto" w:fill="E9E5E2"/>
            <w:vAlign w:val="center"/>
          </w:tcPr>
          <w:p w14:paraId="0D0519ED" w14:textId="774DFCF2" w:rsidR="009D0AF7" w:rsidRPr="009254A3" w:rsidRDefault="009D0AF7" w:rsidP="005D3BFB">
            <w:pPr>
              <w:pStyle w:val="Body"/>
              <w:spacing w:before="160" w:after="160"/>
              <w:rPr>
                <w:b/>
                <w:bCs/>
                <w:color w:val="595959" w:themeColor="text1" w:themeTint="A6"/>
              </w:rPr>
            </w:pPr>
            <w:r w:rsidRPr="009254A3">
              <w:rPr>
                <w:color w:val="595959" w:themeColor="text1" w:themeTint="A6"/>
              </w:rPr>
              <w:t>Undertake (and/or) update a SRPA for the organisation.</w:t>
            </w:r>
          </w:p>
        </w:tc>
        <w:tc>
          <w:tcPr>
            <w:tcW w:w="2137" w:type="dxa"/>
            <w:tcBorders>
              <w:right w:val="nil"/>
            </w:tcBorders>
            <w:shd w:val="clear" w:color="auto" w:fill="E9E5E2"/>
            <w:vAlign w:val="center"/>
          </w:tcPr>
          <w:p w14:paraId="47F2ED51" w14:textId="129F0763" w:rsidR="009D0AF7" w:rsidRPr="009254A3" w:rsidRDefault="009D0AF7" w:rsidP="005D3BFB">
            <w:pPr>
              <w:pStyle w:val="Body"/>
              <w:spacing w:before="160" w:after="160"/>
              <w:jc w:val="center"/>
              <w:rPr>
                <w:b/>
                <w:bCs/>
                <w:color w:val="595959" w:themeColor="text1" w:themeTint="A6"/>
              </w:rPr>
            </w:pPr>
            <w:r w:rsidRPr="009254A3">
              <w:rPr>
                <w:b/>
                <w:bCs/>
                <w:color w:val="595959" w:themeColor="text1" w:themeTint="A6"/>
              </w:rPr>
              <w:t xml:space="preserve">Annual </w:t>
            </w:r>
            <w:r w:rsidR="00092BFE">
              <w:rPr>
                <w:b/>
                <w:bCs/>
                <w:color w:val="595959" w:themeColor="text1" w:themeTint="A6"/>
              </w:rPr>
              <w:br/>
            </w:r>
            <w:r w:rsidRPr="009254A3">
              <w:rPr>
                <w:i/>
                <w:iCs/>
                <w:color w:val="595959" w:themeColor="text1" w:themeTint="A6"/>
              </w:rPr>
              <w:t>(at least)</w:t>
            </w:r>
          </w:p>
        </w:tc>
      </w:tr>
      <w:tr w:rsidR="009D0AF7" w:rsidRPr="00FE78A9" w14:paraId="0E9B25AC" w14:textId="77777777" w:rsidTr="005D3BFB">
        <w:trPr>
          <w:trHeight w:val="20"/>
        </w:trPr>
        <w:tc>
          <w:tcPr>
            <w:tcW w:w="6935" w:type="dxa"/>
            <w:tcBorders>
              <w:left w:val="nil"/>
            </w:tcBorders>
            <w:shd w:val="clear" w:color="auto" w:fill="E9E5E2"/>
            <w:vAlign w:val="center"/>
          </w:tcPr>
          <w:p w14:paraId="070174A1" w14:textId="3A3AA80E" w:rsidR="009D0AF7" w:rsidRPr="009254A3" w:rsidRDefault="009D0AF7" w:rsidP="005D3BFB">
            <w:pPr>
              <w:pStyle w:val="Body"/>
              <w:spacing w:before="160" w:after="160"/>
              <w:rPr>
                <w:b/>
                <w:bCs/>
                <w:color w:val="595959" w:themeColor="text1" w:themeTint="A6"/>
              </w:rPr>
            </w:pPr>
            <w:r w:rsidRPr="009254A3">
              <w:rPr>
                <w:color w:val="595959" w:themeColor="text1" w:themeTint="A6"/>
              </w:rPr>
              <w:t>Provide OVIC with an Attestation by the public sector body Head.</w:t>
            </w:r>
          </w:p>
        </w:tc>
        <w:tc>
          <w:tcPr>
            <w:tcW w:w="2137" w:type="dxa"/>
            <w:tcBorders>
              <w:right w:val="nil"/>
            </w:tcBorders>
            <w:shd w:val="clear" w:color="auto" w:fill="E9E5E2"/>
            <w:vAlign w:val="center"/>
          </w:tcPr>
          <w:p w14:paraId="5DE3FE2E" w14:textId="73FCF517" w:rsidR="009D0AF7" w:rsidRPr="009254A3" w:rsidRDefault="009D0AF7" w:rsidP="005D3BFB">
            <w:pPr>
              <w:pStyle w:val="Body"/>
              <w:spacing w:before="160" w:after="160"/>
              <w:jc w:val="center"/>
              <w:rPr>
                <w:b/>
                <w:bCs/>
                <w:color w:val="595959" w:themeColor="text1" w:themeTint="A6"/>
              </w:rPr>
            </w:pPr>
            <w:r w:rsidRPr="009254A3">
              <w:rPr>
                <w:b/>
                <w:bCs/>
                <w:color w:val="595959" w:themeColor="text1" w:themeTint="A6"/>
              </w:rPr>
              <w:t>Annual</w:t>
            </w:r>
          </w:p>
        </w:tc>
      </w:tr>
      <w:tr w:rsidR="009D0AF7" w:rsidRPr="00FE78A9" w14:paraId="108459DB" w14:textId="77777777" w:rsidTr="005D3BFB">
        <w:trPr>
          <w:trHeight w:val="20"/>
        </w:trPr>
        <w:tc>
          <w:tcPr>
            <w:tcW w:w="6935" w:type="dxa"/>
            <w:tcBorders>
              <w:left w:val="nil"/>
            </w:tcBorders>
            <w:shd w:val="clear" w:color="auto" w:fill="E9E5E2"/>
            <w:vAlign w:val="center"/>
          </w:tcPr>
          <w:p w14:paraId="14B471DA" w14:textId="4A6CA078" w:rsidR="009D0AF7" w:rsidRPr="009254A3" w:rsidRDefault="009D0AF7" w:rsidP="005D3BFB">
            <w:pPr>
              <w:pStyle w:val="Body"/>
              <w:spacing w:before="160" w:after="160"/>
              <w:rPr>
                <w:b/>
                <w:bCs/>
                <w:color w:val="595959" w:themeColor="text1" w:themeTint="A6"/>
              </w:rPr>
            </w:pPr>
            <w:r w:rsidRPr="009254A3">
              <w:rPr>
                <w:color w:val="595959" w:themeColor="text1" w:themeTint="A6"/>
              </w:rPr>
              <w:t>Submit a PDSP (including an Attestation) by the public sector body Head.</w:t>
            </w:r>
          </w:p>
        </w:tc>
        <w:tc>
          <w:tcPr>
            <w:tcW w:w="2137" w:type="dxa"/>
            <w:tcBorders>
              <w:right w:val="nil"/>
            </w:tcBorders>
            <w:shd w:val="clear" w:color="auto" w:fill="E9E5E2"/>
            <w:vAlign w:val="center"/>
          </w:tcPr>
          <w:p w14:paraId="010DFBDF" w14:textId="246F151A" w:rsidR="009D0AF7" w:rsidRPr="009254A3" w:rsidRDefault="009D0AF7" w:rsidP="005D3BFB">
            <w:pPr>
              <w:pStyle w:val="Body"/>
              <w:spacing w:before="160" w:after="160"/>
              <w:jc w:val="center"/>
              <w:rPr>
                <w:b/>
                <w:bCs/>
                <w:color w:val="595959" w:themeColor="text1" w:themeTint="A6"/>
              </w:rPr>
            </w:pPr>
            <w:r w:rsidRPr="009254A3">
              <w:rPr>
                <w:b/>
                <w:bCs/>
                <w:color w:val="595959" w:themeColor="text1" w:themeTint="A6"/>
              </w:rPr>
              <w:t xml:space="preserve">Biennial </w:t>
            </w:r>
            <w:r w:rsidR="00092BFE">
              <w:rPr>
                <w:b/>
                <w:bCs/>
                <w:color w:val="595959" w:themeColor="text1" w:themeTint="A6"/>
              </w:rPr>
              <w:br/>
            </w:r>
            <w:r w:rsidRPr="009254A3">
              <w:rPr>
                <w:i/>
                <w:iCs/>
                <w:color w:val="595959" w:themeColor="text1" w:themeTint="A6"/>
              </w:rPr>
              <w:t>(every 2 years)</w:t>
            </w:r>
          </w:p>
        </w:tc>
      </w:tr>
      <w:tr w:rsidR="009D0AF7" w:rsidRPr="00FE78A9" w14:paraId="31CFFDFB" w14:textId="77777777" w:rsidTr="005D3BFB">
        <w:trPr>
          <w:trHeight w:val="20"/>
        </w:trPr>
        <w:tc>
          <w:tcPr>
            <w:tcW w:w="6935" w:type="dxa"/>
            <w:tcBorders>
              <w:left w:val="nil"/>
            </w:tcBorders>
            <w:shd w:val="clear" w:color="auto" w:fill="E9E5E2"/>
            <w:vAlign w:val="center"/>
          </w:tcPr>
          <w:p w14:paraId="232A195B" w14:textId="05EDC448" w:rsidR="009D0AF7" w:rsidRPr="009254A3" w:rsidRDefault="009D0AF7" w:rsidP="005D3BFB">
            <w:pPr>
              <w:pStyle w:val="Body"/>
              <w:spacing w:before="160" w:after="160"/>
              <w:rPr>
                <w:color w:val="595959" w:themeColor="text1" w:themeTint="A6"/>
              </w:rPr>
            </w:pPr>
            <w:r w:rsidRPr="009254A3">
              <w:rPr>
                <w:color w:val="595959" w:themeColor="text1" w:themeTint="A6"/>
              </w:rPr>
              <w:t>Submit an updated PDSP to OVIC within an agreed timeframe, if there is significant change to the:</w:t>
            </w:r>
          </w:p>
          <w:p w14:paraId="211B81D4" w14:textId="0751FA6D" w:rsidR="009D0AF7" w:rsidRPr="009254A3" w:rsidRDefault="009D0AF7" w:rsidP="005D3BFB">
            <w:pPr>
              <w:pStyle w:val="Body"/>
              <w:numPr>
                <w:ilvl w:val="0"/>
                <w:numId w:val="34"/>
              </w:numPr>
              <w:spacing w:before="160" w:after="160"/>
              <w:ind w:left="571"/>
              <w:rPr>
                <w:color w:val="595959" w:themeColor="text1" w:themeTint="A6"/>
              </w:rPr>
            </w:pPr>
            <w:r w:rsidRPr="009254A3">
              <w:rPr>
                <w:color w:val="595959" w:themeColor="text1" w:themeTint="A6"/>
              </w:rPr>
              <w:t xml:space="preserve">operating environment of the </w:t>
            </w:r>
            <w:r w:rsidR="00E64E4A">
              <w:rPr>
                <w:color w:val="595959" w:themeColor="text1" w:themeTint="A6"/>
              </w:rPr>
              <w:t xml:space="preserve">VPS </w:t>
            </w:r>
            <w:r w:rsidRPr="009254A3">
              <w:rPr>
                <w:color w:val="595959" w:themeColor="text1" w:themeTint="A6"/>
              </w:rPr>
              <w:t xml:space="preserve">organisation; or </w:t>
            </w:r>
          </w:p>
          <w:p w14:paraId="4077D0BF" w14:textId="105B712B" w:rsidR="009D0AF7" w:rsidRPr="009254A3" w:rsidRDefault="009D0AF7" w:rsidP="005D3BFB">
            <w:pPr>
              <w:pStyle w:val="Body"/>
              <w:numPr>
                <w:ilvl w:val="0"/>
                <w:numId w:val="34"/>
              </w:numPr>
              <w:spacing w:before="160" w:after="160"/>
              <w:ind w:left="571"/>
              <w:rPr>
                <w:color w:val="595959" w:themeColor="text1" w:themeTint="A6"/>
              </w:rPr>
            </w:pPr>
            <w:r w:rsidRPr="009254A3">
              <w:rPr>
                <w:color w:val="595959" w:themeColor="text1" w:themeTint="A6"/>
              </w:rPr>
              <w:t xml:space="preserve">security risks relevant to the </w:t>
            </w:r>
            <w:r w:rsidR="00E64E4A">
              <w:rPr>
                <w:color w:val="595959" w:themeColor="text1" w:themeTint="A6"/>
              </w:rPr>
              <w:t xml:space="preserve">VPS </w:t>
            </w:r>
            <w:r w:rsidRPr="009254A3">
              <w:rPr>
                <w:color w:val="595959" w:themeColor="text1" w:themeTint="A6"/>
              </w:rPr>
              <w:t>organisation.</w:t>
            </w:r>
          </w:p>
        </w:tc>
        <w:tc>
          <w:tcPr>
            <w:tcW w:w="2137" w:type="dxa"/>
            <w:tcBorders>
              <w:right w:val="nil"/>
            </w:tcBorders>
            <w:shd w:val="clear" w:color="auto" w:fill="E9E5E2"/>
            <w:vAlign w:val="center"/>
          </w:tcPr>
          <w:p w14:paraId="65BD7F78" w14:textId="346BCA09" w:rsidR="009D0AF7" w:rsidRPr="009254A3" w:rsidRDefault="00092BFE" w:rsidP="005D3BFB">
            <w:pPr>
              <w:pStyle w:val="Body"/>
              <w:spacing w:before="160" w:after="160"/>
              <w:jc w:val="center"/>
              <w:rPr>
                <w:color w:val="595959" w:themeColor="text1" w:themeTint="A6"/>
              </w:rPr>
            </w:pPr>
            <w:r>
              <w:rPr>
                <w:b/>
                <w:bCs/>
                <w:i/>
                <w:iCs/>
                <w:color w:val="595959" w:themeColor="text1" w:themeTint="A6"/>
              </w:rPr>
              <w:t>In consultation with OVIC</w:t>
            </w:r>
          </w:p>
        </w:tc>
      </w:tr>
      <w:tr w:rsidR="009D0AF7" w:rsidRPr="00FE78A9" w14:paraId="34DFFCC6" w14:textId="77777777" w:rsidTr="005D3BFB">
        <w:trPr>
          <w:trHeight w:val="20"/>
        </w:trPr>
        <w:tc>
          <w:tcPr>
            <w:tcW w:w="6935" w:type="dxa"/>
            <w:tcBorders>
              <w:left w:val="nil"/>
            </w:tcBorders>
            <w:shd w:val="clear" w:color="auto" w:fill="E9E5E2"/>
            <w:vAlign w:val="center"/>
          </w:tcPr>
          <w:p w14:paraId="134F426E" w14:textId="1CD5F070" w:rsidR="009D0AF7" w:rsidRPr="009254A3" w:rsidRDefault="009D0AF7" w:rsidP="005D3BFB">
            <w:pPr>
              <w:pStyle w:val="Body"/>
              <w:spacing w:before="160" w:after="160"/>
              <w:rPr>
                <w:b/>
                <w:bCs/>
                <w:i/>
                <w:iCs/>
                <w:color w:val="595959" w:themeColor="text1" w:themeTint="A6"/>
              </w:rPr>
            </w:pPr>
            <w:r w:rsidRPr="009254A3">
              <w:rPr>
                <w:color w:val="595959" w:themeColor="text1" w:themeTint="A6"/>
              </w:rPr>
              <w:t>Notify OVIC of any information security incidents that compromise the confidentiality, integrity or availability of public sector information, with a ‘limited’ business impact or higher, on government operations, organisations or individuals</w:t>
            </w:r>
            <w:r w:rsidRPr="009254A3">
              <w:rPr>
                <w:rStyle w:val="FootnoteReference"/>
                <w:color w:val="595959" w:themeColor="text1" w:themeTint="A6"/>
              </w:rPr>
              <w:footnoteReference w:id="23"/>
            </w:r>
            <w:r w:rsidRPr="009254A3">
              <w:rPr>
                <w:color w:val="595959" w:themeColor="text1" w:themeTint="A6"/>
              </w:rPr>
              <w:t xml:space="preserve">.  </w:t>
            </w:r>
          </w:p>
        </w:tc>
        <w:tc>
          <w:tcPr>
            <w:tcW w:w="2137" w:type="dxa"/>
            <w:tcBorders>
              <w:right w:val="nil"/>
            </w:tcBorders>
            <w:shd w:val="clear" w:color="auto" w:fill="E9E5E2"/>
            <w:vAlign w:val="center"/>
          </w:tcPr>
          <w:p w14:paraId="62B42AEF" w14:textId="20DE237F" w:rsidR="009D0AF7" w:rsidRPr="009254A3" w:rsidRDefault="009D0AF7" w:rsidP="005D3BFB">
            <w:pPr>
              <w:pStyle w:val="Body"/>
              <w:spacing w:before="160" w:after="160"/>
              <w:jc w:val="center"/>
              <w:rPr>
                <w:color w:val="595959" w:themeColor="text1" w:themeTint="A6"/>
              </w:rPr>
            </w:pPr>
            <w:r w:rsidRPr="009254A3">
              <w:rPr>
                <w:b/>
                <w:bCs/>
                <w:i/>
                <w:iCs/>
                <w:color w:val="595959" w:themeColor="text1" w:themeTint="A6"/>
              </w:rPr>
              <w:t>As required</w:t>
            </w:r>
          </w:p>
        </w:tc>
      </w:tr>
    </w:tbl>
    <w:p w14:paraId="27778E22" w14:textId="194EFDED" w:rsidR="00DF7D81" w:rsidRPr="00DF7D81" w:rsidRDefault="00DF7D81" w:rsidP="005D3BFB">
      <w:pPr>
        <w:pStyle w:val="SectionHeading"/>
        <w:spacing w:before="360"/>
      </w:pPr>
      <w:bookmarkStart w:id="60" w:name="_Toc33019534"/>
      <w:r>
        <w:rPr>
          <w:rFonts w:eastAsia="Arial Unicode MS"/>
        </w:rPr>
        <w:t xml:space="preserve">Developing an </w:t>
      </w:r>
      <w:r w:rsidR="009D3138">
        <w:rPr>
          <w:rFonts w:eastAsia="Arial Unicode MS"/>
        </w:rPr>
        <w:t>o</w:t>
      </w:r>
      <w:r>
        <w:rPr>
          <w:rFonts w:eastAsia="Arial Unicode MS"/>
        </w:rPr>
        <w:t xml:space="preserve">rganisational </w:t>
      </w:r>
      <w:r w:rsidR="009D3138">
        <w:rPr>
          <w:rFonts w:eastAsia="Arial Unicode MS"/>
        </w:rPr>
        <w:t>m</w:t>
      </w:r>
      <w:r>
        <w:rPr>
          <w:rFonts w:eastAsia="Arial Unicode MS"/>
        </w:rPr>
        <w:t xml:space="preserve">onitoring and </w:t>
      </w:r>
      <w:r w:rsidR="009D3138">
        <w:rPr>
          <w:rFonts w:eastAsia="Arial Unicode MS"/>
        </w:rPr>
        <w:t>a</w:t>
      </w:r>
      <w:r>
        <w:rPr>
          <w:rFonts w:eastAsia="Arial Unicode MS"/>
        </w:rPr>
        <w:t xml:space="preserve">ssurance </w:t>
      </w:r>
      <w:r w:rsidR="009D3138">
        <w:rPr>
          <w:rFonts w:eastAsia="Arial Unicode MS"/>
        </w:rPr>
        <w:t>p</w:t>
      </w:r>
      <w:r>
        <w:rPr>
          <w:rFonts w:eastAsia="Arial Unicode MS"/>
        </w:rPr>
        <w:t>rogram</w:t>
      </w:r>
      <w:bookmarkEnd w:id="60"/>
    </w:p>
    <w:p w14:paraId="658D7C07" w14:textId="54EBBF9E" w:rsidR="00795F1D" w:rsidRDefault="00DF7D81" w:rsidP="00DF7D81">
      <w:pPr>
        <w:pStyle w:val="Body"/>
      </w:pPr>
      <w:r>
        <w:t xml:space="preserve">Information security monitoring and assurance programs will differ </w:t>
      </w:r>
      <w:r w:rsidR="00E64E4A">
        <w:t>depending on the</w:t>
      </w:r>
      <w:r>
        <w:t xml:space="preserve"> </w:t>
      </w:r>
      <w:r w:rsidR="00E64E4A">
        <w:t xml:space="preserve">VPS </w:t>
      </w:r>
      <w:r>
        <w:t xml:space="preserve">organisation. There are a variety of factors that can influence the </w:t>
      </w:r>
      <w:r w:rsidR="009D3138">
        <w:t xml:space="preserve">scope </w:t>
      </w:r>
      <w:r>
        <w:t xml:space="preserve">and subsequent delivery of these activities, including the size, nature and complexity of </w:t>
      </w:r>
      <w:r w:rsidR="00E64E4A">
        <w:t>the</w:t>
      </w:r>
      <w:r>
        <w:t xml:space="preserve"> </w:t>
      </w:r>
      <w:r w:rsidR="00E64E4A">
        <w:t xml:space="preserve">VPS </w:t>
      </w:r>
      <w:r>
        <w:t xml:space="preserve">organisation. </w:t>
      </w:r>
    </w:p>
    <w:p w14:paraId="7322FE77" w14:textId="77777777" w:rsidR="00795F1D" w:rsidRDefault="00795F1D">
      <w:pPr>
        <w:rPr>
          <w:rFonts w:ascii="Calibri" w:hAnsi="Calibri"/>
          <w:color w:val="000000"/>
          <w:sz w:val="22"/>
          <w:lang w:val="en-GB"/>
        </w:rPr>
      </w:pPr>
      <w:r>
        <w:br w:type="page"/>
      </w:r>
    </w:p>
    <w:p w14:paraId="1885FB48" w14:textId="78BB7CAF" w:rsidR="00672871" w:rsidRDefault="00672871" w:rsidP="005D3BFB">
      <w:pPr>
        <w:pStyle w:val="SectionSubhead"/>
        <w:ind w:left="0"/>
        <w:rPr>
          <w:rFonts w:eastAsia="Arial Unicode MS"/>
        </w:rPr>
      </w:pPr>
      <w:bookmarkStart w:id="61" w:name="_Toc33019535"/>
      <w:r>
        <w:rPr>
          <w:rFonts w:eastAsia="Arial Unicode MS"/>
        </w:rPr>
        <w:lastRenderedPageBreak/>
        <w:t xml:space="preserve">Scoping an </w:t>
      </w:r>
      <w:r w:rsidR="009D3138">
        <w:rPr>
          <w:rFonts w:eastAsia="Arial Unicode MS"/>
        </w:rPr>
        <w:t>o</w:t>
      </w:r>
      <w:r>
        <w:rPr>
          <w:rFonts w:eastAsia="Arial Unicode MS"/>
        </w:rPr>
        <w:t xml:space="preserve">rganisational </w:t>
      </w:r>
      <w:r w:rsidR="009D3138">
        <w:rPr>
          <w:rFonts w:eastAsia="Arial Unicode MS"/>
        </w:rPr>
        <w:t>m</w:t>
      </w:r>
      <w:r>
        <w:rPr>
          <w:rFonts w:eastAsia="Arial Unicode MS"/>
        </w:rPr>
        <w:t xml:space="preserve">onitoring and </w:t>
      </w:r>
      <w:r w:rsidR="009D3138">
        <w:rPr>
          <w:rFonts w:eastAsia="Arial Unicode MS"/>
        </w:rPr>
        <w:t>a</w:t>
      </w:r>
      <w:r>
        <w:rPr>
          <w:rFonts w:eastAsia="Arial Unicode MS"/>
        </w:rPr>
        <w:t xml:space="preserve">ssurance </w:t>
      </w:r>
      <w:r w:rsidR="009D3138">
        <w:rPr>
          <w:rFonts w:eastAsia="Arial Unicode MS"/>
        </w:rPr>
        <w:t>p</w:t>
      </w:r>
      <w:r>
        <w:rPr>
          <w:rFonts w:eastAsia="Arial Unicode MS"/>
        </w:rPr>
        <w:t>rogram</w:t>
      </w:r>
      <w:bookmarkEnd w:id="61"/>
    </w:p>
    <w:p w14:paraId="77CBFC13" w14:textId="2E5CDC9B" w:rsidR="00DF7D81" w:rsidRDefault="00547D9C" w:rsidP="005D3BFB">
      <w:pPr>
        <w:pStyle w:val="Body"/>
        <w:rPr>
          <w:rFonts w:eastAsia="Arial Unicode MS"/>
        </w:rPr>
      </w:pPr>
      <w:r>
        <w:rPr>
          <w:rFonts w:eastAsia="Arial Unicode MS"/>
        </w:rPr>
        <w:t>In order for a</w:t>
      </w:r>
      <w:r w:rsidR="00E64E4A">
        <w:rPr>
          <w:rFonts w:eastAsia="Arial Unicode MS"/>
        </w:rPr>
        <w:t xml:space="preserve"> VPS</w:t>
      </w:r>
      <w:r>
        <w:rPr>
          <w:rFonts w:eastAsia="Arial Unicode MS"/>
        </w:rPr>
        <w:t xml:space="preserve"> organisation to develop a robust plan to mitigate or manage these, </w:t>
      </w:r>
      <w:r w:rsidR="00E64E4A">
        <w:rPr>
          <w:rFonts w:eastAsia="Arial Unicode MS"/>
        </w:rPr>
        <w:t>they</w:t>
      </w:r>
      <w:r>
        <w:rPr>
          <w:rFonts w:eastAsia="Arial Unicode MS"/>
        </w:rPr>
        <w:t xml:space="preserve"> must first establish a detailed appreciation of:</w:t>
      </w:r>
    </w:p>
    <w:p w14:paraId="6792567E" w14:textId="79A15BDA" w:rsidR="00DF7D81" w:rsidRPr="005D3BFB" w:rsidRDefault="0012200B" w:rsidP="00D01271">
      <w:pPr>
        <w:pStyle w:val="Bullet2"/>
        <w:spacing w:after="100"/>
        <w:ind w:left="714" w:hanging="357"/>
      </w:pPr>
      <w:r w:rsidRPr="005D3BFB">
        <w:t xml:space="preserve">the </w:t>
      </w:r>
      <w:r w:rsidR="00DF7D81" w:rsidRPr="005D3BFB">
        <w:t>security value</w:t>
      </w:r>
      <w:r w:rsidR="00DF7D81" w:rsidRPr="005D3BFB">
        <w:rPr>
          <w:rStyle w:val="FootnoteReference"/>
        </w:rPr>
        <w:footnoteReference w:id="24"/>
      </w:r>
      <w:r w:rsidR="00DF7D81" w:rsidRPr="005D3BFB">
        <w:t xml:space="preserve"> of their information assets; </w:t>
      </w:r>
    </w:p>
    <w:p w14:paraId="740D07B2" w14:textId="2CEB2DA4" w:rsidR="00DF7D81" w:rsidRPr="005D3BFB" w:rsidRDefault="0012200B" w:rsidP="00D01271">
      <w:pPr>
        <w:pStyle w:val="Bullet2"/>
        <w:spacing w:after="100"/>
        <w:ind w:left="714" w:hanging="357"/>
      </w:pPr>
      <w:r w:rsidRPr="005D3BFB">
        <w:t xml:space="preserve">the </w:t>
      </w:r>
      <w:r w:rsidR="00DF7D81" w:rsidRPr="005D3BFB">
        <w:t>risks posed to these information assets; and</w:t>
      </w:r>
    </w:p>
    <w:p w14:paraId="70BE6433" w14:textId="543D6E0D" w:rsidR="00DF7D81" w:rsidRPr="005D3BFB" w:rsidRDefault="0012200B" w:rsidP="00D01271">
      <w:pPr>
        <w:pStyle w:val="Bullet2"/>
        <w:spacing w:after="100"/>
        <w:ind w:left="714" w:hanging="357"/>
      </w:pPr>
      <w:r w:rsidRPr="005D3BFB">
        <w:t xml:space="preserve">the </w:t>
      </w:r>
      <w:r w:rsidR="00DF7D81" w:rsidRPr="005D3BFB">
        <w:t>effectiveness of the security controls that are currently in place.</w:t>
      </w:r>
    </w:p>
    <w:p w14:paraId="5316DC8E" w14:textId="3B87EF5D" w:rsidR="00DF7D81" w:rsidRPr="005D3BFB" w:rsidRDefault="00E64E4A" w:rsidP="00D01271">
      <w:pPr>
        <w:pStyle w:val="Bullet2"/>
        <w:spacing w:after="100"/>
        <w:ind w:left="714" w:hanging="357"/>
      </w:pPr>
      <w:r w:rsidRPr="005D3BFB">
        <w:t>VPS o</w:t>
      </w:r>
      <w:r w:rsidR="00DF7D81" w:rsidRPr="005D3BFB">
        <w:t xml:space="preserve">rganisations </w:t>
      </w:r>
      <w:r w:rsidR="00123879" w:rsidRPr="005D3BFB">
        <w:t>should</w:t>
      </w:r>
      <w:r w:rsidR="00DF7D81" w:rsidRPr="005D3BFB">
        <w:t xml:space="preserve"> remain mindful of the ongoing need to continually monitor:</w:t>
      </w:r>
    </w:p>
    <w:p w14:paraId="2F18204F" w14:textId="713CE23A" w:rsidR="00DF7D81" w:rsidRPr="005D3BFB" w:rsidRDefault="0012200B" w:rsidP="00D01271">
      <w:pPr>
        <w:pStyle w:val="Bullet2"/>
        <w:spacing w:after="100"/>
        <w:ind w:left="714" w:hanging="357"/>
      </w:pPr>
      <w:r w:rsidRPr="005D3BFB">
        <w:t xml:space="preserve">their </w:t>
      </w:r>
      <w:r w:rsidR="00DF7D81" w:rsidRPr="005D3BFB">
        <w:t>information security programs;</w:t>
      </w:r>
    </w:p>
    <w:p w14:paraId="4B9C3FAE" w14:textId="1967642E" w:rsidR="00DF7D81" w:rsidRPr="005D3BFB" w:rsidRDefault="0012200B" w:rsidP="00D01271">
      <w:pPr>
        <w:pStyle w:val="Bullet2"/>
        <w:spacing w:after="100"/>
        <w:ind w:left="714" w:hanging="357"/>
      </w:pPr>
      <w:r w:rsidRPr="005D3BFB">
        <w:t xml:space="preserve">their </w:t>
      </w:r>
      <w:r w:rsidR="00DF7D81" w:rsidRPr="005D3BFB">
        <w:t>adherence to the Standards;</w:t>
      </w:r>
    </w:p>
    <w:p w14:paraId="4443CCE7" w14:textId="6091046B" w:rsidR="00DF7D81" w:rsidRPr="005D3BFB" w:rsidRDefault="00CA678F" w:rsidP="00D01271">
      <w:pPr>
        <w:pStyle w:val="Bullet2"/>
        <w:spacing w:after="100"/>
        <w:ind w:left="714" w:hanging="357"/>
      </w:pPr>
      <w:r w:rsidRPr="005D3BFB">
        <w:t>CSPs’</w:t>
      </w:r>
      <w:r w:rsidR="003B71C3" w:rsidRPr="005D3BFB">
        <w:t xml:space="preserve"> </w:t>
      </w:r>
      <w:r w:rsidR="00DF7D81" w:rsidRPr="005D3BFB">
        <w:t>adherence to the Standards;</w:t>
      </w:r>
    </w:p>
    <w:p w14:paraId="781899D3" w14:textId="77777777" w:rsidR="00DF7D81" w:rsidRPr="005D3BFB" w:rsidRDefault="00DF7D81" w:rsidP="00D01271">
      <w:pPr>
        <w:pStyle w:val="Bullet2"/>
        <w:spacing w:after="100"/>
        <w:ind w:left="714" w:hanging="357"/>
      </w:pPr>
      <w:r w:rsidRPr="005D3BFB">
        <w:t>obligations under the Framework; and</w:t>
      </w:r>
    </w:p>
    <w:p w14:paraId="62D220AC" w14:textId="654FF5FF" w:rsidR="00DF7D81" w:rsidRPr="005D3BFB" w:rsidRDefault="00DF7D81" w:rsidP="00D01271">
      <w:pPr>
        <w:pStyle w:val="Bullet2"/>
        <w:spacing w:after="100"/>
        <w:ind w:left="714" w:hanging="357"/>
      </w:pPr>
      <w:r w:rsidRPr="005D3BFB">
        <w:t>compliance with the PDP Act.</w:t>
      </w:r>
    </w:p>
    <w:p w14:paraId="0F31E254" w14:textId="67D49346" w:rsidR="00D740DB" w:rsidRDefault="00D740DB" w:rsidP="007750D6">
      <w:pPr>
        <w:pStyle w:val="Body"/>
        <w:spacing w:after="360"/>
        <w:rPr>
          <w:rFonts w:eastAsia="Arial Unicode MS"/>
        </w:rPr>
      </w:pPr>
      <w:r>
        <w:rPr>
          <w:rFonts w:eastAsia="Arial Unicode MS"/>
        </w:rPr>
        <w:t>In support of these requirements, OVIC recommends VPS organisations reference the Five Step Action Plan.</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14"/>
        <w:gridCol w:w="1914"/>
        <w:gridCol w:w="1914"/>
        <w:gridCol w:w="1915"/>
        <w:gridCol w:w="1915"/>
      </w:tblGrid>
      <w:tr w:rsidR="007750D6" w14:paraId="2DCE4EE6" w14:textId="77777777" w:rsidTr="007750D6">
        <w:trPr>
          <w:trHeight w:val="737"/>
        </w:trPr>
        <w:tc>
          <w:tcPr>
            <w:tcW w:w="9572" w:type="dxa"/>
            <w:gridSpan w:val="5"/>
            <w:shd w:val="clear" w:color="auto" w:fill="430098"/>
            <w:vAlign w:val="center"/>
          </w:tcPr>
          <w:p w14:paraId="6DF6BD6F" w14:textId="6BE6F8C7" w:rsidR="007750D6" w:rsidRPr="007750D6" w:rsidRDefault="007750D6" w:rsidP="007750D6">
            <w:pPr>
              <w:pStyle w:val="Body"/>
              <w:spacing w:after="0"/>
              <w:jc w:val="center"/>
              <w:rPr>
                <w:rFonts w:eastAsia="Arial Unicode MS"/>
                <w:sz w:val="20"/>
                <w:szCs w:val="20"/>
              </w:rPr>
            </w:pPr>
            <w:r w:rsidRPr="007750D6">
              <w:rPr>
                <w:rFonts w:eastAsia="Arial Unicode MS"/>
                <w:color w:val="FFFFFF" w:themeColor="background1"/>
                <w:sz w:val="20"/>
                <w:szCs w:val="20"/>
              </w:rPr>
              <w:t>Five Step Action Plan</w:t>
            </w:r>
          </w:p>
        </w:tc>
      </w:tr>
      <w:tr w:rsidR="007750D6" w14:paraId="24654946" w14:textId="77777777" w:rsidTr="007750D6">
        <w:trPr>
          <w:trHeight w:val="20"/>
        </w:trPr>
        <w:tc>
          <w:tcPr>
            <w:tcW w:w="1914" w:type="dxa"/>
            <w:shd w:val="clear" w:color="auto" w:fill="A2A2A2"/>
            <w:vAlign w:val="center"/>
          </w:tcPr>
          <w:p w14:paraId="5EB5A5E5" w14:textId="77777777" w:rsidR="007750D6" w:rsidRPr="00DC6E05" w:rsidRDefault="007750D6" w:rsidP="007750D6">
            <w:pPr>
              <w:pStyle w:val="Body"/>
              <w:spacing w:before="160" w:after="160"/>
              <w:jc w:val="center"/>
              <w:rPr>
                <w:rFonts w:eastAsia="Arial Unicode MS"/>
                <w:b/>
                <w:bCs/>
                <w:color w:val="FFFFFF" w:themeColor="background1"/>
              </w:rPr>
            </w:pPr>
            <w:r w:rsidRPr="00DC6E05">
              <w:rPr>
                <w:rFonts w:eastAsia="Arial Unicode MS"/>
                <w:b/>
                <w:bCs/>
                <w:color w:val="FFFFFF" w:themeColor="background1"/>
              </w:rPr>
              <w:t>01</w:t>
            </w:r>
          </w:p>
        </w:tc>
        <w:tc>
          <w:tcPr>
            <w:tcW w:w="1914" w:type="dxa"/>
            <w:shd w:val="clear" w:color="auto" w:fill="A2A2A2"/>
            <w:vAlign w:val="center"/>
          </w:tcPr>
          <w:p w14:paraId="79AA21F2" w14:textId="77777777" w:rsidR="007750D6" w:rsidRPr="00DC6E05" w:rsidRDefault="007750D6" w:rsidP="007750D6">
            <w:pPr>
              <w:pStyle w:val="Body"/>
              <w:spacing w:before="160" w:after="160"/>
              <w:jc w:val="center"/>
              <w:rPr>
                <w:rFonts w:eastAsia="Arial Unicode MS"/>
                <w:b/>
                <w:bCs/>
                <w:color w:val="FFFFFF" w:themeColor="background1"/>
              </w:rPr>
            </w:pPr>
            <w:r w:rsidRPr="00DC6E05">
              <w:rPr>
                <w:rFonts w:eastAsia="Arial Unicode MS"/>
                <w:b/>
                <w:bCs/>
                <w:color w:val="FFFFFF" w:themeColor="background1"/>
              </w:rPr>
              <w:t>02</w:t>
            </w:r>
          </w:p>
        </w:tc>
        <w:tc>
          <w:tcPr>
            <w:tcW w:w="1914" w:type="dxa"/>
            <w:shd w:val="clear" w:color="auto" w:fill="A2A2A2"/>
            <w:vAlign w:val="center"/>
          </w:tcPr>
          <w:p w14:paraId="0EE5465D" w14:textId="77777777" w:rsidR="007750D6" w:rsidRPr="00DC6E05" w:rsidRDefault="007750D6" w:rsidP="007750D6">
            <w:pPr>
              <w:pStyle w:val="Body"/>
              <w:spacing w:before="160" w:after="160"/>
              <w:jc w:val="center"/>
              <w:rPr>
                <w:rFonts w:eastAsia="Arial Unicode MS"/>
                <w:b/>
                <w:bCs/>
                <w:color w:val="FFFFFF" w:themeColor="background1"/>
              </w:rPr>
            </w:pPr>
            <w:r w:rsidRPr="00DC6E05">
              <w:rPr>
                <w:rFonts w:eastAsia="Arial Unicode MS"/>
                <w:b/>
                <w:bCs/>
                <w:color w:val="FFFFFF" w:themeColor="background1"/>
              </w:rPr>
              <w:t>03</w:t>
            </w:r>
          </w:p>
        </w:tc>
        <w:tc>
          <w:tcPr>
            <w:tcW w:w="1915" w:type="dxa"/>
            <w:shd w:val="clear" w:color="auto" w:fill="A2A2A2"/>
            <w:vAlign w:val="center"/>
          </w:tcPr>
          <w:p w14:paraId="0CC92499" w14:textId="77777777" w:rsidR="007750D6" w:rsidRPr="00DC6E05" w:rsidRDefault="007750D6" w:rsidP="007750D6">
            <w:pPr>
              <w:pStyle w:val="Body"/>
              <w:spacing w:before="160" w:after="160"/>
              <w:jc w:val="center"/>
              <w:rPr>
                <w:rFonts w:eastAsia="Arial Unicode MS"/>
                <w:b/>
                <w:bCs/>
                <w:color w:val="FFFFFF" w:themeColor="background1"/>
              </w:rPr>
            </w:pPr>
            <w:r w:rsidRPr="00DC6E05">
              <w:rPr>
                <w:rFonts w:eastAsia="Arial Unicode MS"/>
                <w:b/>
                <w:bCs/>
                <w:color w:val="FFFFFF" w:themeColor="background1"/>
              </w:rPr>
              <w:t>04</w:t>
            </w:r>
          </w:p>
        </w:tc>
        <w:tc>
          <w:tcPr>
            <w:tcW w:w="1915" w:type="dxa"/>
            <w:shd w:val="clear" w:color="auto" w:fill="A2A2A2"/>
            <w:vAlign w:val="center"/>
          </w:tcPr>
          <w:p w14:paraId="1B8DA7A6" w14:textId="77777777" w:rsidR="007750D6" w:rsidRPr="00DC6E05" w:rsidRDefault="007750D6" w:rsidP="007750D6">
            <w:pPr>
              <w:pStyle w:val="Body"/>
              <w:spacing w:before="160" w:after="160"/>
              <w:jc w:val="center"/>
              <w:rPr>
                <w:rFonts w:eastAsia="Arial Unicode MS"/>
                <w:b/>
                <w:bCs/>
                <w:color w:val="FFFFFF" w:themeColor="background1"/>
              </w:rPr>
            </w:pPr>
            <w:r w:rsidRPr="00DC6E05">
              <w:rPr>
                <w:rFonts w:eastAsia="Arial Unicode MS"/>
                <w:b/>
                <w:bCs/>
                <w:color w:val="FFFFFF" w:themeColor="background1"/>
              </w:rPr>
              <w:t>05</w:t>
            </w:r>
          </w:p>
        </w:tc>
      </w:tr>
      <w:tr w:rsidR="007750D6" w14:paraId="49F9BF67" w14:textId="77777777" w:rsidTr="007750D6">
        <w:trPr>
          <w:trHeight w:val="20"/>
        </w:trPr>
        <w:tc>
          <w:tcPr>
            <w:tcW w:w="1914" w:type="dxa"/>
            <w:shd w:val="clear" w:color="auto" w:fill="E9E5E2"/>
            <w:vAlign w:val="center"/>
          </w:tcPr>
          <w:p w14:paraId="5CB8BE39" w14:textId="77777777" w:rsidR="007750D6" w:rsidRPr="00E136E1" w:rsidRDefault="007750D6" w:rsidP="007750D6">
            <w:pPr>
              <w:pStyle w:val="Body"/>
              <w:spacing w:before="160" w:after="160"/>
              <w:ind w:left="57" w:right="57"/>
              <w:jc w:val="center"/>
              <w:rPr>
                <w:rFonts w:eastAsia="Arial Unicode MS"/>
                <w:color w:val="595959" w:themeColor="text1" w:themeTint="A6"/>
              </w:rPr>
            </w:pPr>
            <w:r w:rsidRPr="00E136E1">
              <w:rPr>
                <w:rFonts w:eastAsia="Arial Unicode MS"/>
                <w:b/>
                <w:bCs/>
                <w:color w:val="595959" w:themeColor="text1" w:themeTint="A6"/>
              </w:rPr>
              <w:t>Identify</w:t>
            </w:r>
            <w:r w:rsidRPr="00E136E1">
              <w:rPr>
                <w:rFonts w:eastAsia="Arial Unicode MS"/>
                <w:color w:val="595959" w:themeColor="text1" w:themeTint="A6"/>
              </w:rPr>
              <w:t xml:space="preserve"> your information assets</w:t>
            </w:r>
          </w:p>
        </w:tc>
        <w:tc>
          <w:tcPr>
            <w:tcW w:w="1914" w:type="dxa"/>
            <w:shd w:val="clear" w:color="auto" w:fill="E9E5E2"/>
            <w:vAlign w:val="center"/>
          </w:tcPr>
          <w:p w14:paraId="36666899" w14:textId="77777777" w:rsidR="007750D6" w:rsidRPr="00E136E1" w:rsidRDefault="007750D6" w:rsidP="007750D6">
            <w:pPr>
              <w:pStyle w:val="Body"/>
              <w:spacing w:before="160" w:after="160"/>
              <w:ind w:left="57" w:right="57"/>
              <w:jc w:val="center"/>
              <w:rPr>
                <w:rFonts w:eastAsia="Arial Unicode MS"/>
                <w:color w:val="595959" w:themeColor="text1" w:themeTint="A6"/>
              </w:rPr>
            </w:pPr>
            <w:r w:rsidRPr="00E136E1">
              <w:rPr>
                <w:rFonts w:eastAsia="Arial Unicode MS"/>
                <w:color w:val="595959" w:themeColor="text1" w:themeTint="A6"/>
              </w:rPr>
              <w:t>Determine the ‘</w:t>
            </w:r>
            <w:r w:rsidRPr="00E136E1">
              <w:rPr>
                <w:rFonts w:eastAsia="Arial Unicode MS"/>
                <w:b/>
                <w:bCs/>
                <w:color w:val="595959" w:themeColor="text1" w:themeTint="A6"/>
              </w:rPr>
              <w:t>value’</w:t>
            </w:r>
            <w:r w:rsidRPr="00E136E1">
              <w:rPr>
                <w:rFonts w:eastAsia="Arial Unicode MS"/>
                <w:color w:val="595959" w:themeColor="text1" w:themeTint="A6"/>
              </w:rPr>
              <w:t xml:space="preserve"> of this information</w:t>
            </w:r>
          </w:p>
        </w:tc>
        <w:tc>
          <w:tcPr>
            <w:tcW w:w="1914" w:type="dxa"/>
            <w:shd w:val="clear" w:color="auto" w:fill="E9E5E2"/>
            <w:vAlign w:val="center"/>
          </w:tcPr>
          <w:p w14:paraId="11C791E6" w14:textId="77777777" w:rsidR="007750D6" w:rsidRPr="00E136E1" w:rsidRDefault="007750D6" w:rsidP="007750D6">
            <w:pPr>
              <w:pStyle w:val="Body"/>
              <w:spacing w:before="160" w:after="160"/>
              <w:ind w:left="57" w:right="57"/>
              <w:jc w:val="center"/>
              <w:rPr>
                <w:rFonts w:eastAsia="Arial Unicode MS"/>
                <w:color w:val="595959" w:themeColor="text1" w:themeTint="A6"/>
              </w:rPr>
            </w:pPr>
            <w:r w:rsidRPr="00E136E1">
              <w:rPr>
                <w:rFonts w:eastAsia="Arial Unicode MS"/>
                <w:color w:val="595959" w:themeColor="text1" w:themeTint="A6"/>
              </w:rPr>
              <w:t xml:space="preserve">Identify any </w:t>
            </w:r>
            <w:r w:rsidRPr="00E136E1">
              <w:rPr>
                <w:rFonts w:eastAsia="Arial Unicode MS"/>
                <w:b/>
                <w:bCs/>
                <w:color w:val="595959" w:themeColor="text1" w:themeTint="A6"/>
              </w:rPr>
              <w:t>risks</w:t>
            </w:r>
            <w:r w:rsidRPr="00E136E1">
              <w:rPr>
                <w:rFonts w:eastAsia="Arial Unicode MS"/>
                <w:color w:val="595959" w:themeColor="text1" w:themeTint="A6"/>
              </w:rPr>
              <w:t xml:space="preserve"> to this information</w:t>
            </w:r>
          </w:p>
        </w:tc>
        <w:tc>
          <w:tcPr>
            <w:tcW w:w="1915" w:type="dxa"/>
            <w:shd w:val="clear" w:color="auto" w:fill="E9E5E2"/>
            <w:vAlign w:val="center"/>
          </w:tcPr>
          <w:p w14:paraId="3034CFA4" w14:textId="77777777" w:rsidR="007750D6" w:rsidRPr="00E136E1" w:rsidRDefault="007750D6" w:rsidP="007750D6">
            <w:pPr>
              <w:pStyle w:val="Body"/>
              <w:spacing w:before="160" w:after="160"/>
              <w:ind w:left="57" w:right="57"/>
              <w:jc w:val="center"/>
              <w:rPr>
                <w:rFonts w:eastAsia="Arial Unicode MS"/>
                <w:color w:val="595959" w:themeColor="text1" w:themeTint="A6"/>
              </w:rPr>
            </w:pPr>
            <w:r w:rsidRPr="00E136E1">
              <w:rPr>
                <w:rFonts w:eastAsia="Arial Unicode MS"/>
                <w:b/>
                <w:bCs/>
                <w:color w:val="595959" w:themeColor="text1" w:themeTint="A6"/>
              </w:rPr>
              <w:t xml:space="preserve">Apply </w:t>
            </w:r>
            <w:r w:rsidRPr="00E136E1">
              <w:rPr>
                <w:rFonts w:eastAsia="Arial Unicode MS"/>
                <w:color w:val="595959" w:themeColor="text1" w:themeTint="A6"/>
              </w:rPr>
              <w:t>security measures to protect the information</w:t>
            </w:r>
          </w:p>
        </w:tc>
        <w:tc>
          <w:tcPr>
            <w:tcW w:w="1915" w:type="dxa"/>
            <w:shd w:val="clear" w:color="auto" w:fill="E9E5E2"/>
            <w:vAlign w:val="center"/>
          </w:tcPr>
          <w:p w14:paraId="750E8B0F" w14:textId="77777777" w:rsidR="007750D6" w:rsidRPr="00E136E1" w:rsidRDefault="007750D6" w:rsidP="007750D6">
            <w:pPr>
              <w:pStyle w:val="Body"/>
              <w:spacing w:before="160" w:after="160"/>
              <w:ind w:left="57" w:right="57"/>
              <w:jc w:val="center"/>
              <w:rPr>
                <w:rFonts w:eastAsia="Arial Unicode MS"/>
                <w:color w:val="595959" w:themeColor="text1" w:themeTint="A6"/>
              </w:rPr>
            </w:pPr>
            <w:r w:rsidRPr="00E136E1">
              <w:rPr>
                <w:rFonts w:eastAsia="Arial Unicode MS"/>
                <w:b/>
                <w:bCs/>
                <w:color w:val="595959" w:themeColor="text1" w:themeTint="A6"/>
              </w:rPr>
              <w:t>Manage</w:t>
            </w:r>
            <w:r w:rsidRPr="00E136E1">
              <w:rPr>
                <w:rFonts w:eastAsia="Arial Unicode MS"/>
                <w:color w:val="595959" w:themeColor="text1" w:themeTint="A6"/>
              </w:rPr>
              <w:t xml:space="preserve"> risks across the information lifecycle</w:t>
            </w:r>
          </w:p>
        </w:tc>
      </w:tr>
    </w:tbl>
    <w:p w14:paraId="0D79819F" w14:textId="16E2DFEF" w:rsidR="009254A3" w:rsidRDefault="00D740DB" w:rsidP="007750D6">
      <w:pPr>
        <w:pStyle w:val="Body"/>
        <w:spacing w:before="360"/>
        <w:rPr>
          <w:rFonts w:eastAsia="Arial Unicode MS"/>
        </w:rPr>
      </w:pPr>
      <w:r>
        <w:rPr>
          <w:rFonts w:eastAsia="Arial Unicode MS"/>
        </w:rPr>
        <w:t xml:space="preserve">For more information on the Five Step Action Plan, refer to the </w:t>
      </w:r>
      <w:hyperlink r:id="rId29" w:history="1">
        <w:r w:rsidRPr="00931BEA">
          <w:rPr>
            <w:rStyle w:val="Hyperlink"/>
            <w:rFonts w:eastAsia="Arial Unicode MS"/>
          </w:rPr>
          <w:t xml:space="preserve">VPDSF </w:t>
        </w:r>
        <w:r w:rsidR="00432AFE">
          <w:rPr>
            <w:rStyle w:val="Hyperlink"/>
            <w:rFonts w:eastAsia="Arial Unicode MS"/>
          </w:rPr>
          <w:t>r</w:t>
        </w:r>
        <w:r w:rsidRPr="00931BEA">
          <w:rPr>
            <w:rStyle w:val="Hyperlink"/>
            <w:rFonts w:eastAsia="Arial Unicode MS"/>
          </w:rPr>
          <w:t>esources</w:t>
        </w:r>
      </w:hyperlink>
      <w:r>
        <w:rPr>
          <w:rFonts w:eastAsia="Arial Unicode MS"/>
        </w:rPr>
        <w:t xml:space="preserve"> section of the OVIC website. </w:t>
      </w:r>
    </w:p>
    <w:p w14:paraId="0C161A2C" w14:textId="25D7BAAC" w:rsidR="00DF7D81" w:rsidRPr="009E3C26" w:rsidRDefault="009254A3" w:rsidP="007750D6">
      <w:pPr>
        <w:pStyle w:val="SectionSubhead"/>
        <w:ind w:left="0"/>
        <w:rPr>
          <w:rFonts w:eastAsia="Arial Unicode MS"/>
        </w:rPr>
      </w:pPr>
      <w:bookmarkStart w:id="62" w:name="_Toc33019536"/>
      <w:r>
        <w:rPr>
          <w:rFonts w:eastAsia="Arial Unicode MS"/>
        </w:rPr>
        <w:t xml:space="preserve">Contracted </w:t>
      </w:r>
      <w:r w:rsidR="009D3138">
        <w:rPr>
          <w:rFonts w:eastAsia="Arial Unicode MS"/>
        </w:rPr>
        <w:t>s</w:t>
      </w:r>
      <w:r>
        <w:rPr>
          <w:rFonts w:eastAsia="Arial Unicode MS"/>
        </w:rPr>
        <w:t xml:space="preserve">ervice </w:t>
      </w:r>
      <w:r w:rsidR="009D3138">
        <w:rPr>
          <w:rFonts w:eastAsia="Arial Unicode MS"/>
        </w:rPr>
        <w:t>p</w:t>
      </w:r>
      <w:r>
        <w:rPr>
          <w:rFonts w:eastAsia="Arial Unicode MS"/>
        </w:rPr>
        <w:t xml:space="preserve">rovider / </w:t>
      </w:r>
      <w:r w:rsidR="009D3138">
        <w:rPr>
          <w:rFonts w:eastAsia="Arial Unicode MS"/>
        </w:rPr>
        <w:t>t</w:t>
      </w:r>
      <w:r w:rsidR="00DF7D81">
        <w:rPr>
          <w:rFonts w:eastAsia="Arial Unicode MS"/>
        </w:rPr>
        <w:t xml:space="preserve">hird </w:t>
      </w:r>
      <w:r w:rsidR="009D3138">
        <w:rPr>
          <w:rFonts w:eastAsia="Arial Unicode MS"/>
        </w:rPr>
        <w:t>p</w:t>
      </w:r>
      <w:r w:rsidR="00DF7D81">
        <w:rPr>
          <w:rFonts w:eastAsia="Arial Unicode MS"/>
        </w:rPr>
        <w:t xml:space="preserve">arty </w:t>
      </w:r>
      <w:r w:rsidR="009D3138">
        <w:rPr>
          <w:rFonts w:eastAsia="Arial Unicode MS"/>
        </w:rPr>
        <w:t>a</w:t>
      </w:r>
      <w:r w:rsidR="00DF7D81">
        <w:rPr>
          <w:rFonts w:eastAsia="Arial Unicode MS"/>
        </w:rPr>
        <w:t>ssurance</w:t>
      </w:r>
      <w:bookmarkEnd w:id="62"/>
    </w:p>
    <w:p w14:paraId="3B4B21C3" w14:textId="1BA65410" w:rsidR="00DF7D81" w:rsidRPr="00DF7D81" w:rsidRDefault="00E64E4A" w:rsidP="007750D6">
      <w:pPr>
        <w:pStyle w:val="Body"/>
      </w:pPr>
      <w:r>
        <w:t>VPS o</w:t>
      </w:r>
      <w:r w:rsidR="00DF7D81" w:rsidRPr="00DF7D81">
        <w:t xml:space="preserve">rganisations should seek advice and input from partnering entities and relevant stakeholders </w:t>
      </w:r>
      <w:r w:rsidR="004A1A9C">
        <w:t xml:space="preserve">(including CSPs and other </w:t>
      </w:r>
      <w:r w:rsidR="009D3138">
        <w:t>g</w:t>
      </w:r>
      <w:r w:rsidR="004A1A9C">
        <w:t xml:space="preserve">overnment organisations) </w:t>
      </w:r>
      <w:r w:rsidR="00DF7D81" w:rsidRPr="00DF7D81">
        <w:t xml:space="preserve">who have direct, or in-direct access to the </w:t>
      </w:r>
      <w:r>
        <w:t xml:space="preserve">VPS </w:t>
      </w:r>
      <w:r w:rsidR="00DF7D81" w:rsidRPr="00DF7D81">
        <w:t>organisation’s information assets.</w:t>
      </w:r>
      <w:r w:rsidR="00123879">
        <w:t xml:space="preserve"> </w:t>
      </w:r>
      <w:r w:rsidR="00DF7D81" w:rsidRPr="00DF7D81">
        <w:t xml:space="preserve">These parties can introduce new risks when handling public sector information which need to be identified and captured as part of the </w:t>
      </w:r>
      <w:r>
        <w:t xml:space="preserve">VPS </w:t>
      </w:r>
      <w:r w:rsidR="00DF7D81" w:rsidRPr="00DF7D81">
        <w:t>organisation</w:t>
      </w:r>
      <w:r w:rsidR="009D3138">
        <w:t>’</w:t>
      </w:r>
      <w:r w:rsidR="00DF7D81" w:rsidRPr="00DF7D81">
        <w:t xml:space="preserve">s SRPA, and subsequently managed via the </w:t>
      </w:r>
      <w:r>
        <w:t xml:space="preserve">VPS </w:t>
      </w:r>
      <w:r w:rsidR="00DF7D81" w:rsidRPr="00DF7D81">
        <w:t>organisation</w:t>
      </w:r>
      <w:r w:rsidR="00C24450">
        <w:t>’</w:t>
      </w:r>
      <w:r w:rsidR="00DF7D81" w:rsidRPr="00DF7D81">
        <w:t xml:space="preserve">s PDSP. </w:t>
      </w:r>
    </w:p>
    <w:p w14:paraId="46F6C45A" w14:textId="47D73B21" w:rsidR="00795F1D" w:rsidRDefault="00E64E4A" w:rsidP="007750D6">
      <w:pPr>
        <w:pStyle w:val="Body"/>
        <w:rPr>
          <w:rFonts w:cstheme="minorHAnsi"/>
        </w:rPr>
      </w:pPr>
      <w:r>
        <w:t>VPS o</w:t>
      </w:r>
      <w:r w:rsidR="00DF7D81" w:rsidRPr="006B19F5">
        <w:t xml:space="preserve">rganisations may consider taking a risk-prioritised approach when scoping third-party assurance activities. Prior to entering into any third-party arrangement, it is expected that </w:t>
      </w:r>
      <w:r w:rsidR="00DF7D81" w:rsidRPr="006B19F5">
        <w:rPr>
          <w:rFonts w:cstheme="minorHAnsi"/>
        </w:rPr>
        <w:t xml:space="preserve">the </w:t>
      </w:r>
      <w:r>
        <w:rPr>
          <w:rFonts w:cstheme="minorHAnsi"/>
        </w:rPr>
        <w:t xml:space="preserve">VPS </w:t>
      </w:r>
      <w:r w:rsidR="00DF7D81" w:rsidRPr="006B19F5">
        <w:rPr>
          <w:rFonts w:cstheme="minorHAnsi"/>
        </w:rPr>
        <w:t>organisation undertakes an information security risk assessment of the third party's service offering and addresses any residual risks prior to finalising the arrangement.</w:t>
      </w:r>
    </w:p>
    <w:p w14:paraId="27042C38" w14:textId="77777777" w:rsidR="00795F1D" w:rsidRDefault="00795F1D">
      <w:pPr>
        <w:rPr>
          <w:rFonts w:ascii="Calibri" w:hAnsi="Calibri" w:cstheme="minorHAnsi"/>
          <w:color w:val="000000"/>
          <w:sz w:val="22"/>
          <w:lang w:val="en-GB"/>
        </w:rPr>
      </w:pPr>
      <w:r>
        <w:rPr>
          <w:rFonts w:cstheme="minorHAnsi"/>
        </w:rPr>
        <w:br w:type="page"/>
      </w:r>
    </w:p>
    <w:p w14:paraId="03D79DA5" w14:textId="447EBEEC" w:rsidR="00DF7D81" w:rsidRPr="001D0FDE" w:rsidRDefault="004A1A9C" w:rsidP="007750D6">
      <w:pPr>
        <w:pStyle w:val="Body"/>
      </w:pPr>
      <w:r>
        <w:lastRenderedPageBreak/>
        <w:t xml:space="preserve">When undertaking this assessment, </w:t>
      </w:r>
      <w:r w:rsidR="00BD6439">
        <w:t xml:space="preserve">VPS </w:t>
      </w:r>
      <w:r w:rsidR="00547D9C">
        <w:t>organisations</w:t>
      </w:r>
      <w:r>
        <w:t xml:space="preserve"> should take into account</w:t>
      </w:r>
      <w:r w:rsidR="00DF7D81" w:rsidRPr="001D0FDE">
        <w:t>:</w:t>
      </w:r>
    </w:p>
    <w:p w14:paraId="01C77A78" w14:textId="0D0CEFD7" w:rsidR="00DF7D81" w:rsidRPr="007750D6" w:rsidRDefault="0012200B" w:rsidP="007750D6">
      <w:pPr>
        <w:pStyle w:val="Bullet2"/>
      </w:pPr>
      <w:r w:rsidRPr="007750D6">
        <w:t xml:space="preserve">the </w:t>
      </w:r>
      <w:r w:rsidR="00DF7D81" w:rsidRPr="007750D6">
        <w:t xml:space="preserve">type, nature and priority of the third-party arrangement; </w:t>
      </w:r>
    </w:p>
    <w:p w14:paraId="5CB1F18F" w14:textId="6BB968AA" w:rsidR="00DF7D81" w:rsidRPr="007750D6" w:rsidRDefault="0012200B" w:rsidP="007750D6">
      <w:pPr>
        <w:pStyle w:val="Bullet2"/>
      </w:pPr>
      <w:r w:rsidRPr="007750D6">
        <w:t xml:space="preserve">the </w:t>
      </w:r>
      <w:r w:rsidR="00DF7D81" w:rsidRPr="007750D6">
        <w:t>security value of the information access</w:t>
      </w:r>
      <w:r w:rsidR="00C24450" w:rsidRPr="007750D6">
        <w:t>ed</w:t>
      </w:r>
      <w:r w:rsidR="00DF7D81" w:rsidRPr="007750D6">
        <w:t xml:space="preserve"> or used under that arrangement; and</w:t>
      </w:r>
    </w:p>
    <w:p w14:paraId="318CDBFC" w14:textId="0CB09D56" w:rsidR="00DF7D81" w:rsidRPr="007750D6" w:rsidRDefault="0012200B" w:rsidP="007750D6">
      <w:pPr>
        <w:pStyle w:val="Bullet2"/>
      </w:pPr>
      <w:r w:rsidRPr="007750D6">
        <w:t xml:space="preserve">the </w:t>
      </w:r>
      <w:r w:rsidR="00DF7D81" w:rsidRPr="007750D6">
        <w:t xml:space="preserve">level of access and ongoing oversight of the CSP or third-party throughout the engagement. </w:t>
      </w:r>
    </w:p>
    <w:p w14:paraId="03E025A5" w14:textId="708ADF63" w:rsidR="00DF7D81" w:rsidRPr="007750D6" w:rsidRDefault="00DF7D81" w:rsidP="007750D6">
      <w:pPr>
        <w:pStyle w:val="Bullet2"/>
      </w:pPr>
      <w:r w:rsidRPr="007750D6">
        <w:t xml:space="preserve">Once an engagement is in place, </w:t>
      </w:r>
      <w:r w:rsidR="00E64E4A" w:rsidRPr="007750D6">
        <w:t xml:space="preserve">VPS </w:t>
      </w:r>
      <w:r w:rsidRPr="007750D6">
        <w:t>organisations may seek ongoing assurance via scalable activities such as:</w:t>
      </w:r>
    </w:p>
    <w:p w14:paraId="4910EF47" w14:textId="584BD9B4" w:rsidR="00DF7D81" w:rsidRPr="007750D6" w:rsidRDefault="00DF7D81" w:rsidP="007750D6">
      <w:pPr>
        <w:pStyle w:val="Bullet2"/>
      </w:pPr>
      <w:r w:rsidRPr="007750D6">
        <w:t>obtaining a ‘letter of comfort’</w:t>
      </w:r>
      <w:r w:rsidR="005B592D" w:rsidRPr="007750D6">
        <w:t>/annual confirmation letter/self-assessment</w:t>
      </w:r>
      <w:r w:rsidRPr="007750D6">
        <w:t>;</w:t>
      </w:r>
    </w:p>
    <w:p w14:paraId="29B84372" w14:textId="4315AEA3" w:rsidR="00DF7D81" w:rsidRPr="007750D6" w:rsidRDefault="00DF7D81" w:rsidP="007750D6">
      <w:pPr>
        <w:pStyle w:val="Bullet2"/>
      </w:pPr>
      <w:r w:rsidRPr="007750D6">
        <w:t xml:space="preserve">conducting a </w:t>
      </w:r>
      <w:r w:rsidR="004A1A9C" w:rsidRPr="007750D6">
        <w:t>desktop</w:t>
      </w:r>
      <w:r w:rsidRPr="007750D6">
        <w:t xml:space="preserve"> audit</w:t>
      </w:r>
      <w:r w:rsidR="004A1A9C" w:rsidRPr="007750D6">
        <w:t xml:space="preserve"> of processes and practices</w:t>
      </w:r>
      <w:r w:rsidRPr="007750D6">
        <w:t>;</w:t>
      </w:r>
    </w:p>
    <w:p w14:paraId="1D003F4A" w14:textId="77777777" w:rsidR="00DF7D81" w:rsidRPr="007750D6" w:rsidRDefault="00DF7D81" w:rsidP="007750D6">
      <w:pPr>
        <w:pStyle w:val="Bullet2"/>
      </w:pPr>
      <w:r w:rsidRPr="007750D6">
        <w:t>conducting an onsite audit; and/or</w:t>
      </w:r>
    </w:p>
    <w:p w14:paraId="244030DC" w14:textId="5600AF45" w:rsidR="007750D6" w:rsidRDefault="00DF7D81" w:rsidP="007750D6">
      <w:pPr>
        <w:pStyle w:val="Bullet2"/>
      </w:pPr>
      <w:r w:rsidRPr="007750D6">
        <w:t>undertaking an investigation.</w:t>
      </w:r>
    </w:p>
    <w:p w14:paraId="1909886F" w14:textId="3BDF9A14" w:rsidR="00E515BF" w:rsidRPr="00770A2A" w:rsidRDefault="00177A43" w:rsidP="00E515BF">
      <w:pPr>
        <w:pStyle w:val="SectionHeading"/>
        <w:rPr>
          <w:rFonts w:eastAsia="Arial Unicode MS"/>
        </w:rPr>
      </w:pPr>
      <w:bookmarkStart w:id="63" w:name="_Toc33019537"/>
      <w:r>
        <w:rPr>
          <w:rFonts w:eastAsia="Arial Unicode MS"/>
        </w:rPr>
        <w:t xml:space="preserve">Undertaking </w:t>
      </w:r>
      <w:r w:rsidR="009D3138">
        <w:rPr>
          <w:rFonts w:eastAsia="Arial Unicode MS"/>
        </w:rPr>
        <w:t>o</w:t>
      </w:r>
      <w:r>
        <w:rPr>
          <w:rFonts w:eastAsia="Arial Unicode MS"/>
        </w:rPr>
        <w:t>rganisational</w:t>
      </w:r>
      <w:r w:rsidR="00456C15">
        <w:rPr>
          <w:rFonts w:eastAsia="Arial Unicode MS"/>
        </w:rPr>
        <w:t xml:space="preserve"> </w:t>
      </w:r>
      <w:r w:rsidR="009D3138">
        <w:rPr>
          <w:rFonts w:eastAsia="Arial Unicode MS"/>
        </w:rPr>
        <w:t>m</w:t>
      </w:r>
      <w:r w:rsidR="00E515BF" w:rsidRPr="0089427D">
        <w:rPr>
          <w:rFonts w:eastAsia="Arial Unicode MS"/>
        </w:rPr>
        <w:t xml:space="preserve">onitoring </w:t>
      </w:r>
      <w:r w:rsidR="00E515BF">
        <w:rPr>
          <w:rFonts w:eastAsia="Arial Unicode MS"/>
        </w:rPr>
        <w:t xml:space="preserve">and </w:t>
      </w:r>
      <w:r w:rsidR="009D3138">
        <w:rPr>
          <w:rFonts w:eastAsia="Arial Unicode MS"/>
        </w:rPr>
        <w:t>a</w:t>
      </w:r>
      <w:r w:rsidR="00E515BF">
        <w:rPr>
          <w:rFonts w:eastAsia="Arial Unicode MS"/>
        </w:rPr>
        <w:t xml:space="preserve">ssurance </w:t>
      </w:r>
      <w:r w:rsidR="009D3138">
        <w:rPr>
          <w:rFonts w:eastAsia="Arial Unicode MS"/>
        </w:rPr>
        <w:t>a</w:t>
      </w:r>
      <w:r w:rsidR="00E515BF">
        <w:rPr>
          <w:rFonts w:eastAsia="Arial Unicode MS"/>
        </w:rPr>
        <w:t>ctivities</w:t>
      </w:r>
      <w:bookmarkEnd w:id="63"/>
    </w:p>
    <w:p w14:paraId="511DD822" w14:textId="5AEBB14B" w:rsidR="00667B3D" w:rsidRDefault="00E64E4A" w:rsidP="00667B3D">
      <w:pPr>
        <w:pStyle w:val="Body"/>
      </w:pPr>
      <w:r>
        <w:t>VPS o</w:t>
      </w:r>
      <w:r w:rsidR="00DD6200">
        <w:t>rganisations</w:t>
      </w:r>
      <w:r w:rsidR="00667B3D">
        <w:t xml:space="preserve"> are expected to perform the following monitoring and assurance activities</w:t>
      </w:r>
      <w:r w:rsidR="00F54F51">
        <w:t xml:space="preserve"> t</w:t>
      </w:r>
      <w:r w:rsidR="009D3138">
        <w:t>o</w:t>
      </w:r>
      <w:r w:rsidR="00F54F51">
        <w:t xml:space="preserve"> help </w:t>
      </w:r>
      <w:r w:rsidR="00667B3D">
        <w:t>demonstrat</w:t>
      </w:r>
      <w:r w:rsidR="00F54F51">
        <w:t>e their</w:t>
      </w:r>
      <w:r w:rsidR="00667B3D">
        <w:t xml:space="preserve"> adherence to the Standards and </w:t>
      </w:r>
      <w:r w:rsidR="00667B3D" w:rsidRPr="0012296B">
        <w:t>Framework</w:t>
      </w:r>
      <w:r w:rsidR="00DD6200">
        <w:t xml:space="preserve">, </w:t>
      </w:r>
      <w:r w:rsidR="00F54F51">
        <w:t>as well as their</w:t>
      </w:r>
      <w:r w:rsidR="00DD6200">
        <w:t xml:space="preserve"> compliance with </w:t>
      </w:r>
      <w:r w:rsidR="005B592D">
        <w:t xml:space="preserve">the </w:t>
      </w:r>
      <w:r w:rsidR="00F54F51">
        <w:t xml:space="preserve">requirements in </w:t>
      </w:r>
      <w:r w:rsidR="00DD6200">
        <w:t>the PDP Act. These activities include</w:t>
      </w:r>
      <w:r w:rsidR="00E515BF">
        <w:t xml:space="preserve">: </w:t>
      </w:r>
    </w:p>
    <w:p w14:paraId="7632D395" w14:textId="4922E90D" w:rsidR="00524463" w:rsidRPr="00524463" w:rsidRDefault="00CB2042" w:rsidP="007750D6">
      <w:pPr>
        <w:pStyle w:val="Bullet2"/>
      </w:pPr>
      <w:r>
        <w:t>a</w:t>
      </w:r>
      <w:r w:rsidR="00524463" w:rsidRPr="00524463">
        <w:t>ssess</w:t>
      </w:r>
      <w:r w:rsidR="00786E75">
        <w:t>ing</w:t>
      </w:r>
      <w:r w:rsidR="00524463" w:rsidRPr="00524463">
        <w:t xml:space="preserve"> the security value of their information assets</w:t>
      </w:r>
      <w:r w:rsidR="00321457">
        <w:rPr>
          <w:rStyle w:val="FootnoteReference"/>
          <w:b/>
        </w:rPr>
        <w:footnoteReference w:id="25"/>
      </w:r>
      <w:r w:rsidR="00F249A2">
        <w:t>;</w:t>
      </w:r>
    </w:p>
    <w:p w14:paraId="16EBF1E5" w14:textId="75C6FEA9" w:rsidR="00524463" w:rsidRPr="00524463" w:rsidRDefault="00CB2042" w:rsidP="007750D6">
      <w:pPr>
        <w:pStyle w:val="Bullet2"/>
      </w:pPr>
      <w:r>
        <w:t>u</w:t>
      </w:r>
      <w:r w:rsidR="00524463" w:rsidRPr="00524463">
        <w:t>ndertak</w:t>
      </w:r>
      <w:r w:rsidR="00786E75">
        <w:t>ing</w:t>
      </w:r>
      <w:r w:rsidR="00524463" w:rsidRPr="00524463">
        <w:t xml:space="preserve"> a S</w:t>
      </w:r>
      <w:r w:rsidR="004A1A9C">
        <w:t>RPA</w:t>
      </w:r>
      <w:r w:rsidR="007F041F">
        <w:t xml:space="preserve"> (at least annually)</w:t>
      </w:r>
      <w:r w:rsidR="00F249A2">
        <w:t>;</w:t>
      </w:r>
    </w:p>
    <w:p w14:paraId="74AB8DEB" w14:textId="441B8FB8" w:rsidR="00524463" w:rsidRPr="00524463" w:rsidRDefault="00CB2042" w:rsidP="007750D6">
      <w:pPr>
        <w:pStyle w:val="Bullet2"/>
      </w:pPr>
      <w:r>
        <w:t>r</w:t>
      </w:r>
      <w:r w:rsidR="00524463" w:rsidRPr="00524463">
        <w:t>eview</w:t>
      </w:r>
      <w:r w:rsidR="00203AFD">
        <w:t>ing</w:t>
      </w:r>
      <w:r w:rsidR="00524463">
        <w:t xml:space="preserve">, </w:t>
      </w:r>
      <w:r w:rsidR="00524463" w:rsidRPr="00524463">
        <w:t>validat</w:t>
      </w:r>
      <w:r w:rsidR="00786E75">
        <w:t>ing</w:t>
      </w:r>
      <w:r w:rsidR="00524463" w:rsidRPr="00524463">
        <w:t xml:space="preserve"> </w:t>
      </w:r>
      <w:r w:rsidR="00524463">
        <w:t>and updat</w:t>
      </w:r>
      <w:r w:rsidR="00786E75">
        <w:t>ing</w:t>
      </w:r>
      <w:r w:rsidR="00524463">
        <w:t xml:space="preserve"> internal</w:t>
      </w:r>
      <w:r w:rsidR="00524463" w:rsidRPr="00524463">
        <w:t xml:space="preserve"> control libraries</w:t>
      </w:r>
      <w:r w:rsidR="00DD6200">
        <w:rPr>
          <w:rStyle w:val="FootnoteReference"/>
        </w:rPr>
        <w:footnoteReference w:id="26"/>
      </w:r>
      <w:r w:rsidR="00524463" w:rsidRPr="00524463">
        <w:t xml:space="preserve"> (including </w:t>
      </w:r>
      <w:r w:rsidR="00524463">
        <w:t>validating the</w:t>
      </w:r>
      <w:r w:rsidR="00524463" w:rsidRPr="00524463">
        <w:t xml:space="preserve"> appropriateness of security controls)</w:t>
      </w:r>
      <w:r w:rsidR="00F249A2">
        <w:t>;</w:t>
      </w:r>
    </w:p>
    <w:p w14:paraId="16E97C9B" w14:textId="3CB6839F" w:rsidR="00524463" w:rsidRPr="00524463" w:rsidRDefault="00CB2042" w:rsidP="007750D6">
      <w:pPr>
        <w:pStyle w:val="Bullet2"/>
      </w:pPr>
      <w:r>
        <w:t>d</w:t>
      </w:r>
      <w:r w:rsidR="00524463" w:rsidRPr="00524463">
        <w:t>evelop</w:t>
      </w:r>
      <w:r w:rsidR="00786E75">
        <w:t>ing</w:t>
      </w:r>
      <w:r w:rsidR="00524463" w:rsidRPr="00524463">
        <w:t xml:space="preserve"> a </w:t>
      </w:r>
      <w:r w:rsidR="004A1A9C">
        <w:t xml:space="preserve">PDSP </w:t>
      </w:r>
      <w:r w:rsidR="00524463" w:rsidRPr="00524463">
        <w:t xml:space="preserve">that: </w:t>
      </w:r>
    </w:p>
    <w:p w14:paraId="165E01E1" w14:textId="6D022CD9" w:rsidR="00524463" w:rsidRPr="00524463" w:rsidRDefault="00A97F8C" w:rsidP="00804A2D">
      <w:pPr>
        <w:pStyle w:val="Body"/>
        <w:numPr>
          <w:ilvl w:val="1"/>
          <w:numId w:val="18"/>
        </w:numPr>
      </w:pPr>
      <w:r>
        <w:t>a</w:t>
      </w:r>
      <w:r w:rsidR="00524463" w:rsidRPr="00524463">
        <w:t>ssesses the information security capability</w:t>
      </w:r>
      <w:r w:rsidR="00E64E4A">
        <w:t xml:space="preserve"> of the VPS organisation</w:t>
      </w:r>
      <w:r w:rsidR="00F249A2">
        <w:t>;</w:t>
      </w:r>
    </w:p>
    <w:p w14:paraId="2F7AD7BA" w14:textId="077F7067" w:rsidR="00524463" w:rsidRPr="00524463" w:rsidRDefault="00A97F8C" w:rsidP="00804A2D">
      <w:pPr>
        <w:pStyle w:val="Body"/>
        <w:numPr>
          <w:ilvl w:val="1"/>
          <w:numId w:val="18"/>
        </w:numPr>
      </w:pPr>
      <w:r>
        <w:t>s</w:t>
      </w:r>
      <w:r w:rsidR="00524463" w:rsidRPr="00524463">
        <w:t xml:space="preserve">ummarises </w:t>
      </w:r>
      <w:r w:rsidR="00E64E4A">
        <w:t xml:space="preserve">their </w:t>
      </w:r>
      <w:r w:rsidR="00524463" w:rsidRPr="00524463">
        <w:t>progress towards implementation of the Standards</w:t>
      </w:r>
      <w:r w:rsidR="00F249A2">
        <w:t>; and</w:t>
      </w:r>
    </w:p>
    <w:p w14:paraId="16B2BCE2" w14:textId="3F07E4BA" w:rsidR="00524463" w:rsidRPr="00524463" w:rsidRDefault="00A97F8C" w:rsidP="00804A2D">
      <w:pPr>
        <w:pStyle w:val="Body"/>
        <w:numPr>
          <w:ilvl w:val="1"/>
          <w:numId w:val="18"/>
        </w:numPr>
      </w:pPr>
      <w:r>
        <w:t>provides</w:t>
      </w:r>
      <w:r w:rsidR="00524463" w:rsidRPr="00524463">
        <w:t xml:space="preserve"> </w:t>
      </w:r>
      <w:r>
        <w:t xml:space="preserve">a level of </w:t>
      </w:r>
      <w:r w:rsidR="00524463" w:rsidRPr="00524463">
        <w:t>assurance to OVIC that the</w:t>
      </w:r>
      <w:r w:rsidR="00E64E4A">
        <w:t xml:space="preserve"> they are</w:t>
      </w:r>
      <w:r w:rsidR="00524463" w:rsidRPr="00524463">
        <w:t xml:space="preserve"> making progress towards improving information security</w:t>
      </w:r>
      <w:r w:rsidR="00203AFD">
        <w:t>;</w:t>
      </w:r>
    </w:p>
    <w:p w14:paraId="6204FA6C" w14:textId="3DC4B49F" w:rsidR="00524463" w:rsidRPr="00524463" w:rsidRDefault="00CB2042" w:rsidP="007750D6">
      <w:pPr>
        <w:pStyle w:val="Bullet2"/>
      </w:pPr>
      <w:r>
        <w:t>r</w:t>
      </w:r>
      <w:r w:rsidR="00524463" w:rsidRPr="00524463">
        <w:t>eview</w:t>
      </w:r>
      <w:r w:rsidR="00786E75">
        <w:t>ing</w:t>
      </w:r>
      <w:r w:rsidR="00524463" w:rsidRPr="00524463">
        <w:t xml:space="preserve"> </w:t>
      </w:r>
      <w:r w:rsidR="00F050DC">
        <w:t>their</w:t>
      </w:r>
      <w:r w:rsidR="00524463" w:rsidRPr="00524463">
        <w:t xml:space="preserve"> PDSP at least every two years (or sooner if there is significant organisational change)</w:t>
      </w:r>
      <w:r w:rsidR="00F249A2">
        <w:t>;</w:t>
      </w:r>
      <w:r w:rsidR="00667B3D">
        <w:t xml:space="preserve"> </w:t>
      </w:r>
    </w:p>
    <w:p w14:paraId="41FB7581" w14:textId="218671B3" w:rsidR="004C38F7" w:rsidRDefault="00CB2042" w:rsidP="007750D6">
      <w:pPr>
        <w:pStyle w:val="Bullet2"/>
      </w:pPr>
      <w:r>
        <w:t>m</w:t>
      </w:r>
      <w:r w:rsidR="00524463" w:rsidRPr="00524463">
        <w:t>onitor</w:t>
      </w:r>
      <w:r w:rsidR="00786E75">
        <w:t>ing</w:t>
      </w:r>
      <w:r w:rsidR="00524463" w:rsidRPr="00524463">
        <w:t xml:space="preserve"> for information security incidents </w:t>
      </w:r>
      <w:r w:rsidR="00A97F8C">
        <w:t>and notify</w:t>
      </w:r>
      <w:r w:rsidR="00786E75">
        <w:t>ing</w:t>
      </w:r>
      <w:r w:rsidR="00A97F8C">
        <w:t xml:space="preserve"> OVIC if required</w:t>
      </w:r>
      <w:r w:rsidR="00667B3D">
        <w:t xml:space="preserve"> </w:t>
      </w:r>
      <w:r w:rsidR="00A97F8C">
        <w:t>under the Information Security Incident Notification Scheme</w:t>
      </w:r>
      <w:r w:rsidR="00A97F8C">
        <w:rPr>
          <w:rStyle w:val="FootnoteReference"/>
          <w:b/>
        </w:rPr>
        <w:footnoteReference w:id="27"/>
      </w:r>
      <w:r w:rsidR="007D483B">
        <w:t>; and</w:t>
      </w:r>
    </w:p>
    <w:p w14:paraId="6807FCEE" w14:textId="0E73FD06" w:rsidR="0090410A" w:rsidRDefault="007D483B" w:rsidP="007750D6">
      <w:pPr>
        <w:pStyle w:val="Bullet2"/>
        <w:rPr>
          <w:rFonts w:eastAsia="Arial Unicode MS"/>
        </w:rPr>
      </w:pPr>
      <w:r w:rsidRPr="006B19F5">
        <w:rPr>
          <w:rFonts w:eastAsia="Arial Unicode MS"/>
        </w:rPr>
        <w:t>providing assurance through Attestation to OVIC (annually)</w:t>
      </w:r>
      <w:r>
        <w:rPr>
          <w:rFonts w:eastAsia="Arial Unicode MS"/>
        </w:rPr>
        <w:t>.</w:t>
      </w:r>
    </w:p>
    <w:p w14:paraId="16C38226" w14:textId="65649E87" w:rsidR="009254A3" w:rsidRDefault="009254A3">
      <w:pPr>
        <w:rPr>
          <w:rFonts w:ascii="Calibri" w:eastAsia="Arial Unicode MS" w:hAnsi="Calibri"/>
          <w:color w:val="000000"/>
          <w:sz w:val="22"/>
          <w:lang w:val="en-GB"/>
        </w:rPr>
      </w:pPr>
      <w:r>
        <w:rPr>
          <w:rFonts w:eastAsia="Arial Unicode MS"/>
        </w:rPr>
        <w:br w:type="page"/>
      </w:r>
    </w:p>
    <w:p w14:paraId="3DFC72C4" w14:textId="77777777" w:rsidR="00925519" w:rsidRDefault="00F7023A" w:rsidP="00F7023A">
      <w:pPr>
        <w:pStyle w:val="DocumentTitle"/>
      </w:pPr>
      <w:r>
        <w:lastRenderedPageBreak/>
        <w:t xml:space="preserve">Part </w:t>
      </w:r>
      <w:r w:rsidR="002A3225">
        <w:t>Three</w:t>
      </w:r>
    </w:p>
    <w:p w14:paraId="7C582168" w14:textId="07114E7B" w:rsidR="00F7023A" w:rsidRDefault="00F7023A" w:rsidP="00925519">
      <w:pPr>
        <w:pStyle w:val="DocumentTitle"/>
        <w:spacing w:after="360"/>
      </w:pPr>
      <w:r>
        <w:t xml:space="preserve">OVIC </w:t>
      </w:r>
      <w:r w:rsidR="009D3138">
        <w:t>m</w:t>
      </w:r>
      <w:r>
        <w:t xml:space="preserve">onitoring </w:t>
      </w:r>
      <w:r w:rsidR="00D2522A">
        <w:t xml:space="preserve">and </w:t>
      </w:r>
      <w:r w:rsidR="009D3138">
        <w:t>a</w:t>
      </w:r>
      <w:r w:rsidR="00D2522A">
        <w:t xml:space="preserve">ssurance </w:t>
      </w:r>
    </w:p>
    <w:p w14:paraId="57205853" w14:textId="3E62D03F" w:rsidR="002A3225" w:rsidRPr="001623EB" w:rsidRDefault="002A3225" w:rsidP="002A3225">
      <w:pPr>
        <w:pStyle w:val="SectionHeading"/>
      </w:pPr>
      <w:bookmarkStart w:id="64" w:name="_Toc33019538"/>
      <w:r w:rsidRPr="001623EB">
        <w:t>OVIC</w:t>
      </w:r>
      <w:r>
        <w:t xml:space="preserve">’s </w:t>
      </w:r>
      <w:r w:rsidR="009D3138">
        <w:t>r</w:t>
      </w:r>
      <w:r>
        <w:t xml:space="preserve">egulatory </w:t>
      </w:r>
      <w:r w:rsidR="009D3138">
        <w:t>a</w:t>
      </w:r>
      <w:r>
        <w:t>pproach</w:t>
      </w:r>
      <w:bookmarkEnd w:id="64"/>
      <w:r>
        <w:t xml:space="preserve"> </w:t>
      </w:r>
    </w:p>
    <w:p w14:paraId="0EE95D0B" w14:textId="70FDA5A6" w:rsidR="002A3225" w:rsidRDefault="002A3225" w:rsidP="002A3225">
      <w:pPr>
        <w:pStyle w:val="Body"/>
        <w:rPr>
          <w:shd w:val="clear" w:color="auto" w:fill="FFFFFF"/>
        </w:rPr>
      </w:pPr>
      <w:r>
        <w:rPr>
          <w:shd w:val="clear" w:color="auto" w:fill="FFFFFF"/>
        </w:rPr>
        <w:t>OVIC employs an outcome</w:t>
      </w:r>
      <w:r w:rsidR="00320DF0">
        <w:rPr>
          <w:shd w:val="clear" w:color="auto" w:fill="FFFFFF"/>
        </w:rPr>
        <w:t>-</w:t>
      </w:r>
      <w:r>
        <w:rPr>
          <w:shd w:val="clear" w:color="auto" w:fill="FFFFFF"/>
        </w:rPr>
        <w:t>focused regulatory model</w:t>
      </w:r>
      <w:r w:rsidR="00320DF0">
        <w:rPr>
          <w:shd w:val="clear" w:color="auto" w:fill="FFFFFF"/>
        </w:rPr>
        <w:t>. It</w:t>
      </w:r>
      <w:r>
        <w:rPr>
          <w:shd w:val="clear" w:color="auto" w:fill="FFFFFF"/>
        </w:rPr>
        <w:t xml:space="preserve"> concentrates on high-level assurance principles, supported by risk-informed monitoring activities. This model is aimed at delivering efficient, effective and economic security outcomes, is scalable in its implementation, and is backed by firm enforcement action where required.</w:t>
      </w:r>
    </w:p>
    <w:p w14:paraId="29A33043" w14:textId="0071308D" w:rsidR="002A3225" w:rsidRDefault="002A3225" w:rsidP="002A3225">
      <w:pPr>
        <w:pStyle w:val="Body"/>
      </w:pPr>
      <w:r>
        <w:rPr>
          <w:shd w:val="clear" w:color="auto" w:fill="FFFFFF"/>
        </w:rPr>
        <w:t xml:space="preserve">In support of this regulatory approach, </w:t>
      </w:r>
      <w:r w:rsidRPr="002612A1">
        <w:rPr>
          <w:shd w:val="clear" w:color="auto" w:fill="FFFFFF"/>
        </w:rPr>
        <w:t xml:space="preserve">OVIC </w:t>
      </w:r>
      <w:r w:rsidR="00C121E5">
        <w:rPr>
          <w:shd w:val="clear" w:color="auto" w:fill="FFFFFF"/>
        </w:rPr>
        <w:t xml:space="preserve">educates and supports </w:t>
      </w:r>
      <w:r w:rsidR="00BD6439">
        <w:rPr>
          <w:shd w:val="clear" w:color="auto" w:fill="FFFFFF"/>
        </w:rPr>
        <w:t>VPS</w:t>
      </w:r>
      <w:r w:rsidRPr="002612A1">
        <w:rPr>
          <w:shd w:val="clear" w:color="auto" w:fill="FFFFFF"/>
        </w:rPr>
        <w:t xml:space="preserve"> </w:t>
      </w:r>
      <w:r>
        <w:rPr>
          <w:shd w:val="clear" w:color="auto" w:fill="FFFFFF"/>
        </w:rPr>
        <w:t xml:space="preserve">organisations, </w:t>
      </w:r>
      <w:r w:rsidRPr="002612A1">
        <w:rPr>
          <w:shd w:val="clear" w:color="auto" w:fill="FFFFFF"/>
        </w:rPr>
        <w:t>promot</w:t>
      </w:r>
      <w:r>
        <w:rPr>
          <w:shd w:val="clear" w:color="auto" w:fill="FFFFFF"/>
        </w:rPr>
        <w:t>ing</w:t>
      </w:r>
      <w:r w:rsidRPr="002612A1">
        <w:rPr>
          <w:shd w:val="clear" w:color="auto" w:fill="FFFFFF"/>
        </w:rPr>
        <w:t xml:space="preserve"> understanding </w:t>
      </w:r>
      <w:r>
        <w:rPr>
          <w:shd w:val="clear" w:color="auto" w:fill="FFFFFF"/>
        </w:rPr>
        <w:t>of</w:t>
      </w:r>
      <w:r w:rsidR="00320DF0">
        <w:rPr>
          <w:shd w:val="clear" w:color="auto" w:fill="FFFFFF"/>
        </w:rPr>
        <w:t xml:space="preserve"> </w:t>
      </w:r>
      <w:r w:rsidRPr="002612A1">
        <w:rPr>
          <w:shd w:val="clear" w:color="auto" w:fill="FFFFFF"/>
        </w:rPr>
        <w:t>the PDP Act</w:t>
      </w:r>
      <w:r>
        <w:rPr>
          <w:shd w:val="clear" w:color="auto" w:fill="FFFFFF"/>
        </w:rPr>
        <w:t xml:space="preserve"> and adherence to the Standards</w:t>
      </w:r>
      <w:r>
        <w:t xml:space="preserve">. Given this, the monitoring and assurance activities outlined in the Framework are typically based on a </w:t>
      </w:r>
      <w:r w:rsidR="00320DF0">
        <w:t xml:space="preserve">coordinated </w:t>
      </w:r>
      <w:r>
        <w:t xml:space="preserve">approach between OVIC and VPS organisations. </w:t>
      </w:r>
    </w:p>
    <w:p w14:paraId="747F35D4" w14:textId="4D0C87E4" w:rsidR="002A3225" w:rsidRPr="008B35A4" w:rsidRDefault="002A3225" w:rsidP="002A3225">
      <w:pPr>
        <w:pStyle w:val="Body"/>
      </w:pPr>
      <w:r w:rsidRPr="002612A1">
        <w:rPr>
          <w:shd w:val="clear" w:color="auto" w:fill="FFFFFF"/>
        </w:rPr>
        <w:t xml:space="preserve">Nevertheless, OVIC </w:t>
      </w:r>
      <w:r>
        <w:rPr>
          <w:shd w:val="clear" w:color="auto" w:fill="FFFFFF"/>
        </w:rPr>
        <w:t xml:space="preserve">has a legislative function to </w:t>
      </w:r>
      <w:r w:rsidRPr="002612A1">
        <w:rPr>
          <w:shd w:val="clear" w:color="auto" w:fill="FFFFFF"/>
        </w:rPr>
        <w:t xml:space="preserve">monitor </w:t>
      </w:r>
      <w:r>
        <w:rPr>
          <w:shd w:val="clear" w:color="auto" w:fill="FFFFFF"/>
        </w:rPr>
        <w:t xml:space="preserve">organisational </w:t>
      </w:r>
      <w:r w:rsidRPr="002612A1">
        <w:rPr>
          <w:shd w:val="clear" w:color="auto" w:fill="FFFFFF"/>
        </w:rPr>
        <w:t>complianc</w:t>
      </w:r>
      <w:r>
        <w:rPr>
          <w:shd w:val="clear" w:color="auto" w:fill="FFFFFF"/>
        </w:rPr>
        <w:t>e with the PDP Act and adherence to the Standards</w:t>
      </w:r>
      <w:r>
        <w:t xml:space="preserve">. OVIC is also required to provide </w:t>
      </w:r>
      <w:r w:rsidR="009D3138">
        <w:t xml:space="preserve">the </w:t>
      </w:r>
      <w:r>
        <w:t xml:space="preserve">Victorian Government with a level of assurance </w:t>
      </w:r>
      <w:r>
        <w:rPr>
          <w:shd w:val="clear" w:color="auto" w:fill="FFFFFF"/>
        </w:rPr>
        <w:t xml:space="preserve">around the state of information security across the VPS.  </w:t>
      </w:r>
    </w:p>
    <w:p w14:paraId="687E260A" w14:textId="0D0F8A0D" w:rsidR="00C121E5" w:rsidRDefault="002A3225" w:rsidP="00C121E5">
      <w:pPr>
        <w:pStyle w:val="Body"/>
      </w:pPr>
      <w:r>
        <w:t>The monitoring and assurance activities outlined in the Framework are based on a scalable approach</w:t>
      </w:r>
      <w:r w:rsidR="00320DF0">
        <w:t xml:space="preserve"> including</w:t>
      </w:r>
      <w:r>
        <w:t xml:space="preserve"> consultation, engagements, site walk-throughs and reviews, </w:t>
      </w:r>
      <w:r w:rsidR="00320DF0">
        <w:t>and</w:t>
      </w:r>
      <w:r>
        <w:t xml:space="preserve"> more formal audits or investigations if warranted. These activities aim to drive improvements in information security practices, using a continuous improvement model</w:t>
      </w:r>
      <w:r>
        <w:rPr>
          <w:rStyle w:val="FootnoteReference"/>
        </w:rPr>
        <w:footnoteReference w:id="28"/>
      </w:r>
      <w:r>
        <w:t>.</w:t>
      </w:r>
      <w:r w:rsidR="00C121E5">
        <w:t xml:space="preserve"> </w:t>
      </w:r>
    </w:p>
    <w:p w14:paraId="3D243134" w14:textId="20CDB9BB" w:rsidR="00C121E5" w:rsidRDefault="00C121E5" w:rsidP="00C121E5">
      <w:pPr>
        <w:pStyle w:val="Body"/>
      </w:pPr>
      <w:r w:rsidRPr="00956EA8">
        <w:t>OVIC</w:t>
      </w:r>
      <w:r>
        <w:t>’</w:t>
      </w:r>
      <w:r w:rsidRPr="00956EA8">
        <w:t xml:space="preserve">s Regulatory Action Policy </w:t>
      </w:r>
      <w:r>
        <w:t xml:space="preserve">articulates the conditions under which </w:t>
      </w:r>
      <w:r w:rsidRPr="00956EA8">
        <w:t xml:space="preserve">OVIC led </w:t>
      </w:r>
      <w:r>
        <w:t xml:space="preserve">monitoring and </w:t>
      </w:r>
      <w:r w:rsidRPr="00956EA8">
        <w:t>assurance activitie</w:t>
      </w:r>
      <w:r>
        <w:t>s</w:t>
      </w:r>
      <w:r w:rsidRPr="00956EA8">
        <w:t xml:space="preserve"> </w:t>
      </w:r>
      <w:r>
        <w:t>may be</w:t>
      </w:r>
      <w:r w:rsidRPr="00956EA8">
        <w:t xml:space="preserve"> </w:t>
      </w:r>
      <w:r>
        <w:t>triggered. F</w:t>
      </w:r>
      <w:r w:rsidRPr="007560B3">
        <w:t xml:space="preserve">or </w:t>
      </w:r>
      <w:r>
        <w:t>a full</w:t>
      </w:r>
      <w:r w:rsidRPr="007560B3">
        <w:t xml:space="preserve"> outline of </w:t>
      </w:r>
      <w:r>
        <w:t>OVIC’s regulatory assurance functions, powers and associated triggers, r</w:t>
      </w:r>
      <w:r w:rsidRPr="007560B3">
        <w:t xml:space="preserve">efer to the </w:t>
      </w:r>
      <w:hyperlink r:id="rId30" w:history="1">
        <w:r w:rsidRPr="0012296B">
          <w:rPr>
            <w:rStyle w:val="Hyperlink"/>
            <w:i/>
            <w:iCs/>
          </w:rPr>
          <w:t>Regulatory Action Policy</w:t>
        </w:r>
      </w:hyperlink>
      <w:r>
        <w:t xml:space="preserve"> available on </w:t>
      </w:r>
      <w:r w:rsidRPr="007560B3">
        <w:t>the OVIC website.</w:t>
      </w:r>
    </w:p>
    <w:p w14:paraId="3E2FBE41" w14:textId="0A3EB941" w:rsidR="00C3714F" w:rsidRPr="00AE24FD" w:rsidRDefault="00556723" w:rsidP="00C3714F">
      <w:pPr>
        <w:pStyle w:val="SectionHeading"/>
        <w:rPr>
          <w:rFonts w:eastAsia="Arial Unicode MS"/>
        </w:rPr>
      </w:pPr>
      <w:bookmarkStart w:id="65" w:name="_Toc33019539"/>
      <w:r>
        <w:rPr>
          <w:rFonts w:eastAsia="Arial Unicode MS"/>
        </w:rPr>
        <w:t>Overview</w:t>
      </w:r>
      <w:r w:rsidR="00D2522A">
        <w:rPr>
          <w:rFonts w:eastAsia="Arial Unicode MS"/>
        </w:rPr>
        <w:t xml:space="preserve"> of OVIC’s </w:t>
      </w:r>
      <w:r w:rsidR="00156B23">
        <w:rPr>
          <w:rFonts w:eastAsia="Arial Unicode MS"/>
        </w:rPr>
        <w:t>m</w:t>
      </w:r>
      <w:r w:rsidR="00D2522A">
        <w:rPr>
          <w:rFonts w:eastAsia="Arial Unicode MS"/>
        </w:rPr>
        <w:t xml:space="preserve">onitoring and </w:t>
      </w:r>
      <w:r w:rsidR="00156B23">
        <w:rPr>
          <w:rFonts w:eastAsia="Arial Unicode MS"/>
        </w:rPr>
        <w:t>a</w:t>
      </w:r>
      <w:r w:rsidR="00D2522A">
        <w:rPr>
          <w:rFonts w:eastAsia="Arial Unicode MS"/>
        </w:rPr>
        <w:t xml:space="preserve">ssurance </w:t>
      </w:r>
      <w:r w:rsidR="00156B23">
        <w:rPr>
          <w:rFonts w:eastAsia="Arial Unicode MS"/>
        </w:rPr>
        <w:t>a</w:t>
      </w:r>
      <w:r w:rsidR="00D2522A">
        <w:rPr>
          <w:rFonts w:eastAsia="Arial Unicode MS"/>
        </w:rPr>
        <w:t>ctivities</w:t>
      </w:r>
      <w:bookmarkEnd w:id="65"/>
    </w:p>
    <w:p w14:paraId="6D812377" w14:textId="217C4588" w:rsidR="006F00CF" w:rsidRDefault="00EE77EC" w:rsidP="00282DA8">
      <w:pPr>
        <w:pStyle w:val="Body"/>
      </w:pPr>
      <w:r>
        <w:t xml:space="preserve">As an information security regulator, OVIC has a duty to oversee </w:t>
      </w:r>
      <w:r w:rsidR="001F31C1">
        <w:t xml:space="preserve">and support </w:t>
      </w:r>
      <w:r w:rsidR="00BD6439">
        <w:t xml:space="preserve">VPS </w:t>
      </w:r>
      <w:r>
        <w:t>organisations</w:t>
      </w:r>
      <w:r w:rsidR="009C0F45">
        <w:t>’</w:t>
      </w:r>
      <w:r>
        <w:t xml:space="preserve"> </w:t>
      </w:r>
      <w:r w:rsidR="00282DA8">
        <w:t>adherence to the Standards and</w:t>
      </w:r>
      <w:r w:rsidR="00282DA8" w:rsidRPr="00334EFF">
        <w:t xml:space="preserve"> Framework</w:t>
      </w:r>
      <w:r w:rsidR="00E35DD6">
        <w:t>,</w:t>
      </w:r>
      <w:r w:rsidR="00282DA8">
        <w:t xml:space="preserve"> </w:t>
      </w:r>
      <w:r w:rsidR="00E35DD6">
        <w:t xml:space="preserve">as well as </w:t>
      </w:r>
      <w:r>
        <w:t>compliance with the PDP Act.</w:t>
      </w:r>
      <w:r w:rsidRPr="00EE77EC">
        <w:t xml:space="preserve"> </w:t>
      </w:r>
    </w:p>
    <w:p w14:paraId="33707BAD" w14:textId="0D7F7390" w:rsidR="00556723" w:rsidRDefault="00EE77EC" w:rsidP="00282DA8">
      <w:pPr>
        <w:pStyle w:val="Body"/>
      </w:pPr>
      <w:r>
        <w:t xml:space="preserve">To fulfil </w:t>
      </w:r>
      <w:r w:rsidR="009B7BEE">
        <w:t>its</w:t>
      </w:r>
      <w:r>
        <w:t xml:space="preserve"> </w:t>
      </w:r>
      <w:r w:rsidR="00404E03">
        <w:t xml:space="preserve">regulatory </w:t>
      </w:r>
      <w:r>
        <w:t>functions OVIC performs</w:t>
      </w:r>
      <w:r w:rsidR="00334EFF">
        <w:t xml:space="preserve"> a variety of</w:t>
      </w:r>
      <w:r>
        <w:t xml:space="preserve"> </w:t>
      </w:r>
      <w:r w:rsidRPr="007768A5">
        <w:t xml:space="preserve">monitoring </w:t>
      </w:r>
      <w:r w:rsidR="00556723">
        <w:t xml:space="preserve">and assurance </w:t>
      </w:r>
      <w:r>
        <w:t>activities</w:t>
      </w:r>
      <w:r w:rsidR="00556723">
        <w:t>,</w:t>
      </w:r>
      <w:r>
        <w:t xml:space="preserve"> designed to</w:t>
      </w:r>
      <w:r w:rsidR="00556723">
        <w:t>:</w:t>
      </w:r>
    </w:p>
    <w:p w14:paraId="042BE8D8" w14:textId="77777777" w:rsidR="00556723" w:rsidRPr="0092414B" w:rsidRDefault="00556723" w:rsidP="0021770B">
      <w:pPr>
        <w:pStyle w:val="Bullet2"/>
        <w:spacing w:after="100" w:line="216" w:lineRule="auto"/>
        <w:ind w:left="714" w:hanging="357"/>
      </w:pPr>
      <w:r w:rsidRPr="0092414B">
        <w:t>foster confidence in the information security practices of Victorian Government;</w:t>
      </w:r>
    </w:p>
    <w:p w14:paraId="55ED5517" w14:textId="12CBF197" w:rsidR="00556723" w:rsidRDefault="00556723" w:rsidP="0021770B">
      <w:pPr>
        <w:pStyle w:val="Bullet2"/>
        <w:spacing w:after="100" w:line="216" w:lineRule="auto"/>
        <w:ind w:left="714" w:hanging="357"/>
      </w:pPr>
      <w:r>
        <w:t xml:space="preserve">uplift </w:t>
      </w:r>
      <w:r w:rsidR="00BD6439">
        <w:t xml:space="preserve">VPS </w:t>
      </w:r>
      <w:r>
        <w:t>organisations</w:t>
      </w:r>
      <w:r w:rsidR="009C0F45">
        <w:t>’</w:t>
      </w:r>
      <w:r>
        <w:t xml:space="preserve"> information security capability and maturity;</w:t>
      </w:r>
    </w:p>
    <w:p w14:paraId="232F4F48" w14:textId="2E9EC93F" w:rsidR="00556723" w:rsidRDefault="00556723" w:rsidP="0021770B">
      <w:pPr>
        <w:pStyle w:val="Bullet2"/>
        <w:spacing w:after="100" w:line="216" w:lineRule="auto"/>
        <w:ind w:left="714" w:hanging="357"/>
      </w:pPr>
      <w:r w:rsidRPr="0092414B">
        <w:t xml:space="preserve">promote accountability, integrity and continuous improvement within the </w:t>
      </w:r>
      <w:r>
        <w:t>VPS</w:t>
      </w:r>
      <w:r w:rsidRPr="0092414B">
        <w:t xml:space="preserve"> regarding information security; </w:t>
      </w:r>
    </w:p>
    <w:p w14:paraId="5607F08D" w14:textId="22E29D14" w:rsidR="00556723" w:rsidRDefault="00556723" w:rsidP="0021770B">
      <w:pPr>
        <w:pStyle w:val="Bullet2"/>
        <w:spacing w:after="100" w:line="216" w:lineRule="auto"/>
        <w:ind w:left="714" w:hanging="357"/>
      </w:pPr>
      <w:r w:rsidRPr="0092414B">
        <w:t xml:space="preserve">empower risk-based decisions within the </w:t>
      </w:r>
      <w:r>
        <w:t>VPS</w:t>
      </w:r>
      <w:r w:rsidRPr="0092414B">
        <w:t xml:space="preserve"> regarding information security practices</w:t>
      </w:r>
      <w:r>
        <w:t>;</w:t>
      </w:r>
    </w:p>
    <w:p w14:paraId="5A38540E" w14:textId="5D2E0038" w:rsidR="00556723" w:rsidRPr="0092414B" w:rsidRDefault="00556723" w:rsidP="0021770B">
      <w:pPr>
        <w:pStyle w:val="Bullet2"/>
        <w:spacing w:after="100" w:line="216" w:lineRule="auto"/>
        <w:ind w:left="714" w:hanging="357"/>
      </w:pPr>
      <w:r w:rsidRPr="0092414B">
        <w:t xml:space="preserve">measure eﬀectiveness, eﬃciency and economic implementation of information security practices within the </w:t>
      </w:r>
      <w:r>
        <w:t>VPS</w:t>
      </w:r>
      <w:r w:rsidRPr="0092414B">
        <w:t>;</w:t>
      </w:r>
    </w:p>
    <w:p w14:paraId="744A6569" w14:textId="34DCCA73" w:rsidR="00556723" w:rsidRPr="0092414B" w:rsidRDefault="00556723" w:rsidP="0021770B">
      <w:pPr>
        <w:pStyle w:val="Bullet2"/>
        <w:spacing w:after="100" w:line="216" w:lineRule="auto"/>
        <w:ind w:left="714" w:hanging="357"/>
      </w:pPr>
      <w:r w:rsidRPr="0092414B">
        <w:t>support</w:t>
      </w:r>
      <w:r w:rsidR="00BD6439">
        <w:t xml:space="preserve"> VPS</w:t>
      </w:r>
      <w:r w:rsidRPr="0092414B">
        <w:t xml:space="preserve"> organisations’ compliance with</w:t>
      </w:r>
      <w:r w:rsidR="009D3138">
        <w:t xml:space="preserve"> requirements of</w:t>
      </w:r>
      <w:r w:rsidRPr="0092414B">
        <w:t xml:space="preserve"> Part 4 </w:t>
      </w:r>
      <w:r w:rsidR="009D3138">
        <w:t xml:space="preserve">of the </w:t>
      </w:r>
      <w:r w:rsidRPr="0092414B">
        <w:t>PDP Act and adherence to the Standards;</w:t>
      </w:r>
    </w:p>
    <w:p w14:paraId="6D84E8F6" w14:textId="2AA63268" w:rsidR="00556723" w:rsidRPr="0092414B" w:rsidRDefault="00556723" w:rsidP="0021770B">
      <w:pPr>
        <w:pStyle w:val="Bullet2"/>
        <w:spacing w:after="100" w:line="216" w:lineRule="auto"/>
        <w:ind w:left="714" w:hanging="357"/>
      </w:pPr>
      <w:r w:rsidRPr="0092414B">
        <w:t xml:space="preserve">verify and validate </w:t>
      </w:r>
      <w:r w:rsidR="00BD6439">
        <w:t xml:space="preserve">VPS </w:t>
      </w:r>
      <w:r>
        <w:t>organisations</w:t>
      </w:r>
      <w:r w:rsidR="009C0F45">
        <w:t>’</w:t>
      </w:r>
      <w:r w:rsidRPr="0092414B">
        <w:t xml:space="preserve"> information security practices</w:t>
      </w:r>
      <w:r>
        <w:t>;</w:t>
      </w:r>
    </w:p>
    <w:p w14:paraId="3F44C743" w14:textId="4B540762" w:rsidR="00556723" w:rsidRDefault="00556723" w:rsidP="0021770B">
      <w:pPr>
        <w:pStyle w:val="Bullet2"/>
        <w:spacing w:after="100" w:line="216" w:lineRule="auto"/>
        <w:ind w:left="714" w:hanging="357"/>
      </w:pPr>
      <w:r w:rsidRPr="0092414B">
        <w:t xml:space="preserve">investigate </w:t>
      </w:r>
      <w:r w:rsidR="00C121E5">
        <w:t>breaches</w:t>
      </w:r>
      <w:r w:rsidR="00C121E5" w:rsidRPr="0092414B">
        <w:t xml:space="preserve"> </w:t>
      </w:r>
      <w:r w:rsidRPr="0092414B">
        <w:t>of the Standards</w:t>
      </w:r>
      <w:r w:rsidR="00C121E5">
        <w:t xml:space="preserve"> or </w:t>
      </w:r>
      <w:r w:rsidRPr="0092414B">
        <w:t>PDP Act</w:t>
      </w:r>
      <w:r>
        <w:t>; and</w:t>
      </w:r>
    </w:p>
    <w:p w14:paraId="38FD128C" w14:textId="4779E32F" w:rsidR="00556723" w:rsidRDefault="00556723" w:rsidP="0021770B">
      <w:pPr>
        <w:pStyle w:val="Bullet2"/>
        <w:spacing w:after="100" w:line="216" w:lineRule="auto"/>
        <w:ind w:left="714" w:hanging="357"/>
      </w:pPr>
      <w:r w:rsidRPr="0092414B">
        <w:t>regulate the information security environment across the Victorian public sector.</w:t>
      </w:r>
    </w:p>
    <w:p w14:paraId="1B422A60" w14:textId="3A278A36" w:rsidR="00D454CA" w:rsidRDefault="0084653A" w:rsidP="00282DA8">
      <w:pPr>
        <w:pStyle w:val="Body"/>
      </w:pPr>
      <w:r>
        <w:lastRenderedPageBreak/>
        <w:t xml:space="preserve">By conducting these </w:t>
      </w:r>
      <w:r w:rsidR="00556723">
        <w:t xml:space="preserve">monitoring and </w:t>
      </w:r>
      <w:r w:rsidR="00556723" w:rsidRPr="004E677E">
        <w:t xml:space="preserve">assurance </w:t>
      </w:r>
      <w:r>
        <w:t>activities, OVIC can identify</w:t>
      </w:r>
      <w:r w:rsidR="00556723">
        <w:t xml:space="preserve"> trends and themes</w:t>
      </w:r>
      <w:r>
        <w:t xml:space="preserve"> in information security</w:t>
      </w:r>
      <w:r w:rsidR="00556723">
        <w:t xml:space="preserve">, </w:t>
      </w:r>
      <w:r>
        <w:t>issue</w:t>
      </w:r>
      <w:r w:rsidR="00556723">
        <w:t xml:space="preserve"> advice or recommendations to </w:t>
      </w:r>
      <w:r>
        <w:t>VPS</w:t>
      </w:r>
      <w:r w:rsidR="00556723">
        <w:t xml:space="preserve"> organisations, </w:t>
      </w:r>
      <w:r w:rsidR="00CF0B90">
        <w:t xml:space="preserve">and </w:t>
      </w:r>
      <w:r>
        <w:t>report</w:t>
      </w:r>
      <w:r w:rsidR="00CF0B90">
        <w:t xml:space="preserve"> to government on the state of information security across the VPS</w:t>
      </w:r>
      <w:r w:rsidR="00556723" w:rsidRPr="004E677E">
        <w:t xml:space="preserve">. </w:t>
      </w:r>
    </w:p>
    <w:p w14:paraId="007112C4" w14:textId="6DF8CC4F" w:rsidR="00AC1893" w:rsidRPr="00AC1893" w:rsidRDefault="00AC1893" w:rsidP="0075629E">
      <w:pPr>
        <w:pStyle w:val="SectionHeading"/>
        <w:rPr>
          <w:rFonts w:eastAsia="Arial Unicode MS"/>
        </w:rPr>
      </w:pPr>
      <w:bookmarkStart w:id="66" w:name="_Toc33019540"/>
      <w:r>
        <w:rPr>
          <w:rFonts w:eastAsia="Arial Unicode MS"/>
        </w:rPr>
        <w:t xml:space="preserve">Outline of OVIC’s </w:t>
      </w:r>
      <w:r w:rsidR="00156B23">
        <w:rPr>
          <w:rFonts w:eastAsia="Arial Unicode MS"/>
        </w:rPr>
        <w:t>m</w:t>
      </w:r>
      <w:r>
        <w:rPr>
          <w:rFonts w:eastAsia="Arial Unicode MS"/>
        </w:rPr>
        <w:t xml:space="preserve">onitoring </w:t>
      </w:r>
      <w:r w:rsidR="00156B23">
        <w:rPr>
          <w:rFonts w:eastAsia="Arial Unicode MS"/>
        </w:rPr>
        <w:t>a</w:t>
      </w:r>
      <w:r>
        <w:rPr>
          <w:rFonts w:eastAsia="Arial Unicode MS"/>
        </w:rPr>
        <w:t>ctivities</w:t>
      </w:r>
      <w:bookmarkEnd w:id="66"/>
    </w:p>
    <w:p w14:paraId="6D2D6C9F" w14:textId="29A74F16" w:rsidR="00FE78A9" w:rsidRDefault="009B7BEE" w:rsidP="0075629E">
      <w:pPr>
        <w:pStyle w:val="Body"/>
      </w:pPr>
      <w:r>
        <w:t xml:space="preserve">OVIC’s monitoring </w:t>
      </w:r>
      <w:r w:rsidR="00293B0E">
        <w:t xml:space="preserve">and assurance </w:t>
      </w:r>
      <w:r>
        <w:t>activities</w:t>
      </w:r>
      <w:r w:rsidR="00AD396E">
        <w:t xml:space="preserve"> include:</w:t>
      </w:r>
    </w:p>
    <w:p w14:paraId="13A1269A" w14:textId="1054180A" w:rsidR="004108D7" w:rsidRDefault="00914B7D" w:rsidP="007750D6">
      <w:pPr>
        <w:pStyle w:val="Bullet2"/>
      </w:pPr>
      <w:r>
        <w:t>c</w:t>
      </w:r>
      <w:r w:rsidR="004108D7">
        <w:t>larifying requirements of the PDP Act</w:t>
      </w:r>
      <w:r w:rsidR="001F31C1">
        <w:t>;</w:t>
      </w:r>
    </w:p>
    <w:p w14:paraId="40A835AF" w14:textId="0BBF7D73" w:rsidR="009901A1" w:rsidRPr="00AD396E" w:rsidRDefault="00914B7D" w:rsidP="007750D6">
      <w:pPr>
        <w:pStyle w:val="Bullet2"/>
      </w:pPr>
      <w:r>
        <w:t>a</w:t>
      </w:r>
      <w:r w:rsidR="00C31EFD" w:rsidRPr="00AD396E">
        <w:t>ssist</w:t>
      </w:r>
      <w:r w:rsidR="00AD396E" w:rsidRPr="00AD396E">
        <w:t>ing</w:t>
      </w:r>
      <w:r w:rsidR="00C31EFD" w:rsidRPr="00AD396E">
        <w:t xml:space="preserve"> with enquiries </w:t>
      </w:r>
      <w:r w:rsidR="00AD396E" w:rsidRPr="00AD396E">
        <w:t>regarding</w:t>
      </w:r>
      <w:r w:rsidR="00D7198A" w:rsidRPr="00AD396E">
        <w:t xml:space="preserve"> the</w:t>
      </w:r>
      <w:r w:rsidR="009901A1" w:rsidRPr="00AD396E">
        <w:t xml:space="preserve"> intent of the Framework and Standards</w:t>
      </w:r>
      <w:r w:rsidR="00AD396E" w:rsidRPr="00AD396E">
        <w:t>;</w:t>
      </w:r>
    </w:p>
    <w:p w14:paraId="72ED1B82" w14:textId="14B86563" w:rsidR="0042138B" w:rsidRPr="00AD396E" w:rsidRDefault="00914B7D" w:rsidP="007750D6">
      <w:pPr>
        <w:pStyle w:val="Bullet2"/>
      </w:pPr>
      <w:r>
        <w:t>o</w:t>
      </w:r>
      <w:r w:rsidR="004108D7">
        <w:t>verseeing</w:t>
      </w:r>
      <w:r w:rsidR="00D7198A" w:rsidRPr="00AD396E">
        <w:t xml:space="preserve"> </w:t>
      </w:r>
      <w:r w:rsidR="00BD6439">
        <w:t xml:space="preserve">VPS </w:t>
      </w:r>
      <w:r w:rsidR="00D7198A" w:rsidRPr="00AD396E">
        <w:t>o</w:t>
      </w:r>
      <w:r w:rsidR="0042138B" w:rsidRPr="00AD396E">
        <w:t>rganisation</w:t>
      </w:r>
      <w:r w:rsidR="00AD396E" w:rsidRPr="00AD396E">
        <w:t>s</w:t>
      </w:r>
      <w:r w:rsidR="0023183E">
        <w:t>’</w:t>
      </w:r>
      <w:r w:rsidR="00AD396E" w:rsidRPr="00AD396E">
        <w:t xml:space="preserve"> </w:t>
      </w:r>
      <w:r w:rsidR="0042138B" w:rsidRPr="00AD396E">
        <w:t>application of the Standards</w:t>
      </w:r>
      <w:r w:rsidR="00AD396E" w:rsidRPr="00AD396E">
        <w:t xml:space="preserve">, </w:t>
      </w:r>
      <w:r w:rsidR="0042138B" w:rsidRPr="00AD396E">
        <w:t>adherence to the</w:t>
      </w:r>
      <w:r w:rsidR="00AD396E" w:rsidRPr="00AD396E">
        <w:t xml:space="preserve"> requirements of the</w:t>
      </w:r>
      <w:r w:rsidR="0042138B" w:rsidRPr="00AD396E">
        <w:t xml:space="preserve"> Framework </w:t>
      </w:r>
      <w:r w:rsidR="00AD396E" w:rsidRPr="00AD396E">
        <w:t xml:space="preserve">and </w:t>
      </w:r>
      <w:r w:rsidR="00D7198A" w:rsidRPr="00AD396E">
        <w:t xml:space="preserve">compliance with </w:t>
      </w:r>
      <w:r w:rsidR="0042138B" w:rsidRPr="00AD396E">
        <w:t xml:space="preserve">Part 4 PDP Act </w:t>
      </w:r>
      <w:r w:rsidR="00AD396E" w:rsidRPr="00AD396E">
        <w:t>obligations;</w:t>
      </w:r>
    </w:p>
    <w:p w14:paraId="6A112CB4" w14:textId="24294055" w:rsidR="004D1951" w:rsidRDefault="00914B7D" w:rsidP="007750D6">
      <w:pPr>
        <w:pStyle w:val="Bullet2"/>
      </w:pPr>
      <w:r>
        <w:t>m</w:t>
      </w:r>
      <w:r w:rsidR="001977E9" w:rsidRPr="00AD396E">
        <w:t>aintain</w:t>
      </w:r>
      <w:r w:rsidR="00AD396E" w:rsidRPr="00AD396E">
        <w:t>ing</w:t>
      </w:r>
      <w:r w:rsidR="001977E9" w:rsidRPr="00AD396E">
        <w:t xml:space="preserve"> o</w:t>
      </w:r>
      <w:r w:rsidR="00223E16" w:rsidRPr="00AD396E">
        <w:t xml:space="preserve">versight </w:t>
      </w:r>
      <w:r w:rsidR="004D1951" w:rsidRPr="00AD396E">
        <w:t>of</w:t>
      </w:r>
      <w:r w:rsidR="001977E9" w:rsidRPr="00AD396E">
        <w:t xml:space="preserve"> </w:t>
      </w:r>
      <w:r w:rsidR="004D1951" w:rsidRPr="00AD396E">
        <w:t>information security incident</w:t>
      </w:r>
      <w:r w:rsidR="00223E16" w:rsidRPr="00AD396E">
        <w:t xml:space="preserve"> notification</w:t>
      </w:r>
      <w:r w:rsidR="001977E9" w:rsidRPr="00AD396E">
        <w:t>s</w:t>
      </w:r>
      <w:r w:rsidR="00AD396E">
        <w:t xml:space="preserve">; </w:t>
      </w:r>
    </w:p>
    <w:p w14:paraId="4345E01D" w14:textId="5478F77B" w:rsidR="009B7BEE" w:rsidRDefault="00914B7D" w:rsidP="007750D6">
      <w:pPr>
        <w:pStyle w:val="Bullet2"/>
      </w:pPr>
      <w:r>
        <w:t>h</w:t>
      </w:r>
      <w:r w:rsidR="009B7BEE">
        <w:t>osting</w:t>
      </w:r>
      <w:r w:rsidR="00327345">
        <w:t xml:space="preserve"> awareness sessions in support of the Framework and Standards</w:t>
      </w:r>
      <w:r w:rsidR="00131D4C">
        <w:t>;</w:t>
      </w:r>
    </w:p>
    <w:p w14:paraId="2E895837" w14:textId="1D34956A" w:rsidR="001977E9" w:rsidRDefault="00914B7D" w:rsidP="007750D6">
      <w:pPr>
        <w:pStyle w:val="Bullet2"/>
      </w:pPr>
      <w:r>
        <w:t>f</w:t>
      </w:r>
      <w:r w:rsidR="00DF28C9">
        <w:t>acilitating</w:t>
      </w:r>
      <w:r w:rsidR="009B7BEE">
        <w:t xml:space="preserve"> </w:t>
      </w:r>
      <w:r w:rsidR="00707D3E">
        <w:t>a</w:t>
      </w:r>
      <w:r w:rsidR="00DF28C9">
        <w:t>n outreach program through its</w:t>
      </w:r>
      <w:r w:rsidR="009B7BEE">
        <w:t xml:space="preserve"> business engagement </w:t>
      </w:r>
      <w:r w:rsidR="00DF28C9">
        <w:t>officers</w:t>
      </w:r>
      <w:r w:rsidR="00282DA8">
        <w:t xml:space="preserve">; </w:t>
      </w:r>
    </w:p>
    <w:p w14:paraId="0554B2CB" w14:textId="19EE11CF" w:rsidR="00141588" w:rsidRDefault="00141588" w:rsidP="007750D6">
      <w:pPr>
        <w:pStyle w:val="Bullet2"/>
      </w:pPr>
      <w:r>
        <w:t xml:space="preserve">conducting </w:t>
      </w:r>
      <w:r w:rsidR="00C057E2">
        <w:t>site walk-throughs, preliminary enquiries or reviews of a</w:t>
      </w:r>
      <w:r w:rsidR="00BD6439">
        <w:t xml:space="preserve"> VPS </w:t>
      </w:r>
      <w:r w:rsidR="00A37A28">
        <w:t>organisation’s</w:t>
      </w:r>
      <w:r>
        <w:t xml:space="preserve"> information security practices;</w:t>
      </w:r>
    </w:p>
    <w:p w14:paraId="19B6159A" w14:textId="77777777" w:rsidR="00293B0E" w:rsidRDefault="00997801" w:rsidP="007750D6">
      <w:pPr>
        <w:pStyle w:val="Bullet2"/>
      </w:pPr>
      <w:r>
        <w:t>staying abreast of information security trends and themes</w:t>
      </w:r>
      <w:r w:rsidR="00293B0E">
        <w:t>;</w:t>
      </w:r>
    </w:p>
    <w:p w14:paraId="521B4AFE" w14:textId="5A61219F" w:rsidR="00997801" w:rsidRDefault="00997801" w:rsidP="007750D6">
      <w:pPr>
        <w:pStyle w:val="Bullet2"/>
      </w:pPr>
      <w:r>
        <w:t xml:space="preserve">identifying emerging issues and proactively consulting with </w:t>
      </w:r>
      <w:r w:rsidR="00BD6439">
        <w:t xml:space="preserve">VPS </w:t>
      </w:r>
      <w:r>
        <w:t>organisations on these matters;</w:t>
      </w:r>
      <w:r w:rsidR="009C74FE">
        <w:t xml:space="preserve"> and</w:t>
      </w:r>
    </w:p>
    <w:p w14:paraId="05ABC47C" w14:textId="5D2E0405" w:rsidR="009C74FE" w:rsidRDefault="00914B7D" w:rsidP="007750D6">
      <w:pPr>
        <w:pStyle w:val="Bullet2"/>
      </w:pPr>
      <w:r>
        <w:t>e</w:t>
      </w:r>
      <w:r w:rsidR="00282DA8" w:rsidRPr="00282DA8">
        <w:t>nsuring the Standards are as consistent as possible with standards relating to information security (including international standards</w:t>
      </w:r>
      <w:r w:rsidR="00282DA8" w:rsidRPr="00282DA8">
        <w:rPr>
          <w:rStyle w:val="FootnoteReference"/>
          <w:b/>
          <w:bCs/>
          <w:color w:val="000000" w:themeColor="text1"/>
        </w:rPr>
        <w:footnoteReference w:id="29"/>
      </w:r>
      <w:r w:rsidR="00282DA8" w:rsidRPr="00282DA8">
        <w:rPr>
          <w:color w:val="000000" w:themeColor="text1"/>
        </w:rPr>
        <w:t>).</w:t>
      </w:r>
    </w:p>
    <w:p w14:paraId="2305C6F9" w14:textId="17F3DC78" w:rsidR="006F00CF" w:rsidRDefault="006F00CF" w:rsidP="006F00CF">
      <w:pPr>
        <w:pStyle w:val="Body"/>
      </w:pPr>
      <w:r>
        <w:t xml:space="preserve">In addition to this, </w:t>
      </w:r>
      <w:r w:rsidRPr="00DB4CC9">
        <w:t xml:space="preserve">OVIC </w:t>
      </w:r>
      <w:r>
        <w:t xml:space="preserve">regularly reviews its own information security product suite </w:t>
      </w:r>
      <w:r w:rsidR="003A0618">
        <w:t>(</w:t>
      </w:r>
      <w:r w:rsidR="005F476D">
        <w:t>Framework</w:t>
      </w:r>
      <w:r w:rsidR="003A0618">
        <w:t xml:space="preserve">, </w:t>
      </w:r>
      <w:r w:rsidR="005F476D">
        <w:t>Standards</w:t>
      </w:r>
      <w:r w:rsidR="003A0618">
        <w:t xml:space="preserve"> and supporting material) </w:t>
      </w:r>
      <w:r>
        <w:t xml:space="preserve">to validate </w:t>
      </w:r>
      <w:r w:rsidR="00FE6A97">
        <w:t>the content and its</w:t>
      </w:r>
      <w:r>
        <w:t xml:space="preserve"> currency. These reviews occur:</w:t>
      </w:r>
    </w:p>
    <w:p w14:paraId="2FAF032B" w14:textId="62AC1526" w:rsidR="006F00CF" w:rsidRDefault="006F00CF" w:rsidP="007750D6">
      <w:pPr>
        <w:pStyle w:val="Bullet2"/>
      </w:pPr>
      <w:r>
        <w:t>on an annual basis;</w:t>
      </w:r>
    </w:p>
    <w:p w14:paraId="681951C0" w14:textId="77777777" w:rsidR="006F00CF" w:rsidRDefault="006F00CF" w:rsidP="007750D6">
      <w:pPr>
        <w:pStyle w:val="Bullet2"/>
      </w:pPr>
      <w:r>
        <w:t>as the threat environment changes;</w:t>
      </w:r>
    </w:p>
    <w:p w14:paraId="2E621761" w14:textId="1EFC1385" w:rsidR="006F00CF" w:rsidRDefault="006F00CF" w:rsidP="007750D6">
      <w:pPr>
        <w:pStyle w:val="Bullet2"/>
      </w:pPr>
      <w:r>
        <w:t xml:space="preserve">if there are legislative or administrative changes to intersecting products that </w:t>
      </w:r>
      <w:r w:rsidR="00D2522A">
        <w:t>highlight</w:t>
      </w:r>
      <w:r>
        <w:t xml:space="preserve"> the need for a review of the Framework or Standards; </w:t>
      </w:r>
      <w:r w:rsidR="009C74FE">
        <w:t>and/</w:t>
      </w:r>
      <w:r>
        <w:t>or</w:t>
      </w:r>
    </w:p>
    <w:p w14:paraId="0427BBE9" w14:textId="2C3B9CA5" w:rsidR="006F00CF" w:rsidRDefault="006F00CF" w:rsidP="007750D6">
      <w:pPr>
        <w:pStyle w:val="Bullet2"/>
      </w:pPr>
      <w:r>
        <w:t>as required.</w:t>
      </w:r>
    </w:p>
    <w:p w14:paraId="2168063F" w14:textId="04C53F8C" w:rsidR="006F00CF" w:rsidRPr="006F00CF" w:rsidRDefault="00FE6A97" w:rsidP="006F00CF">
      <w:pPr>
        <w:pStyle w:val="SectionHeading"/>
        <w:rPr>
          <w:rFonts w:eastAsia="Arial Unicode MS"/>
        </w:rPr>
      </w:pPr>
      <w:bookmarkStart w:id="67" w:name="_Toc33019541"/>
      <w:r>
        <w:rPr>
          <w:rFonts w:eastAsia="Arial Unicode MS"/>
        </w:rPr>
        <w:t>Risk-prioritised</w:t>
      </w:r>
      <w:r w:rsidR="006F00CF">
        <w:rPr>
          <w:rFonts w:eastAsia="Arial Unicode MS"/>
        </w:rPr>
        <w:t xml:space="preserve"> </w:t>
      </w:r>
      <w:r w:rsidR="00156B23">
        <w:rPr>
          <w:rFonts w:eastAsia="Arial Unicode MS"/>
        </w:rPr>
        <w:t>m</w:t>
      </w:r>
      <w:r>
        <w:rPr>
          <w:rFonts w:eastAsia="Arial Unicode MS"/>
        </w:rPr>
        <w:t xml:space="preserve">onitoring and </w:t>
      </w:r>
      <w:r w:rsidR="00156B23">
        <w:rPr>
          <w:rFonts w:eastAsia="Arial Unicode MS"/>
        </w:rPr>
        <w:t>a</w:t>
      </w:r>
      <w:r w:rsidR="006F00CF">
        <w:rPr>
          <w:rFonts w:eastAsia="Arial Unicode MS"/>
        </w:rPr>
        <w:t xml:space="preserve">ssurance </w:t>
      </w:r>
      <w:r w:rsidR="00156B23">
        <w:rPr>
          <w:rFonts w:eastAsia="Arial Unicode MS"/>
        </w:rPr>
        <w:t>a</w:t>
      </w:r>
      <w:r w:rsidR="006F00CF">
        <w:rPr>
          <w:rFonts w:eastAsia="Arial Unicode MS"/>
        </w:rPr>
        <w:t>ctivities</w:t>
      </w:r>
      <w:bookmarkEnd w:id="67"/>
    </w:p>
    <w:p w14:paraId="4CEA97A6" w14:textId="309C52D1" w:rsidR="006F00CF" w:rsidRDefault="006F00CF" w:rsidP="006F00CF">
      <w:pPr>
        <w:pStyle w:val="Body"/>
      </w:pPr>
      <w:r>
        <w:t>OVIC takes a risk-prioritised approach in scoping its assurance activities, considering:</w:t>
      </w:r>
    </w:p>
    <w:p w14:paraId="5EC89BAA" w14:textId="18545541" w:rsidR="006F00CF" w:rsidRDefault="006F00CF" w:rsidP="007750D6">
      <w:pPr>
        <w:pStyle w:val="Bullet2"/>
      </w:pPr>
      <w:r>
        <w:t xml:space="preserve">the security value of the </w:t>
      </w:r>
      <w:r w:rsidR="00BD6439">
        <w:t xml:space="preserve">VPS </w:t>
      </w:r>
      <w:r w:rsidR="009C74FE">
        <w:t>organisation’s</w:t>
      </w:r>
      <w:r>
        <w:t xml:space="preserve"> information;</w:t>
      </w:r>
    </w:p>
    <w:p w14:paraId="5108A9DD" w14:textId="24D3C21A" w:rsidR="006F00CF" w:rsidRDefault="006F00CF" w:rsidP="007750D6">
      <w:pPr>
        <w:pStyle w:val="Bullet2"/>
      </w:pPr>
      <w:r>
        <w:t>the</w:t>
      </w:r>
      <w:r w:rsidR="00BD6439">
        <w:t>ir</w:t>
      </w:r>
      <w:r>
        <w:t xml:space="preserve"> security risk profile;</w:t>
      </w:r>
    </w:p>
    <w:p w14:paraId="54696CB5" w14:textId="6ACA2461" w:rsidR="006F00CF" w:rsidRDefault="006F00CF" w:rsidP="007750D6">
      <w:pPr>
        <w:pStyle w:val="Bullet2"/>
      </w:pPr>
      <w:r>
        <w:t>the</w:t>
      </w:r>
      <w:r w:rsidR="00BD6439">
        <w:t xml:space="preserve"> VPS organisation’s</w:t>
      </w:r>
      <w:r>
        <w:t xml:space="preserve"> control environment;</w:t>
      </w:r>
    </w:p>
    <w:p w14:paraId="6B7C4B65" w14:textId="67E27B45" w:rsidR="006F00CF" w:rsidRDefault="006F00CF" w:rsidP="007750D6">
      <w:pPr>
        <w:pStyle w:val="Bullet2"/>
      </w:pPr>
      <w:r>
        <w:t xml:space="preserve">notifications of any information security incidents of </w:t>
      </w:r>
      <w:r w:rsidR="00BD6439">
        <w:t xml:space="preserve">the VPS </w:t>
      </w:r>
      <w:r>
        <w:t>organisation; and</w:t>
      </w:r>
    </w:p>
    <w:p w14:paraId="1A655442" w14:textId="77777777" w:rsidR="006F00CF" w:rsidRDefault="006F00CF" w:rsidP="007750D6">
      <w:pPr>
        <w:pStyle w:val="Bullet2"/>
      </w:pPr>
      <w:r>
        <w:t>the harm or damage that the PDP Act aims to reduce.</w:t>
      </w:r>
    </w:p>
    <w:p w14:paraId="3A067BE3" w14:textId="77777777" w:rsidR="00067F0F" w:rsidRDefault="00067F0F">
      <w:pPr>
        <w:rPr>
          <w:rFonts w:ascii="Calibri" w:hAnsi="Calibri"/>
          <w:color w:val="000000"/>
          <w:sz w:val="22"/>
          <w:lang w:val="en-GB"/>
        </w:rPr>
      </w:pPr>
      <w:r>
        <w:br w:type="page"/>
      </w:r>
    </w:p>
    <w:p w14:paraId="3C5E377A" w14:textId="3728F9DE" w:rsidR="006F00CF" w:rsidRDefault="006F00CF" w:rsidP="006F00CF">
      <w:pPr>
        <w:pStyle w:val="Body"/>
      </w:pPr>
      <w:r>
        <w:lastRenderedPageBreak/>
        <w:t>OVIC subsequently applies assurance resources to areas where:</w:t>
      </w:r>
    </w:p>
    <w:p w14:paraId="05831273" w14:textId="4AAF7E86" w:rsidR="006F00CF" w:rsidRDefault="00016DB7" w:rsidP="007750D6">
      <w:pPr>
        <w:pStyle w:val="Bullet2"/>
      </w:pPr>
      <w:r>
        <w:t xml:space="preserve">the </w:t>
      </w:r>
      <w:r w:rsidR="006F00CF">
        <w:t>risk is deemed the greatest</w:t>
      </w:r>
      <w:r w:rsidR="00156B23">
        <w:t xml:space="preserve">; </w:t>
      </w:r>
      <w:r w:rsidR="006F00CF">
        <w:t xml:space="preserve">or </w:t>
      </w:r>
    </w:p>
    <w:p w14:paraId="10677210" w14:textId="36104905" w:rsidR="006F00CF" w:rsidRDefault="00016DB7" w:rsidP="007750D6">
      <w:pPr>
        <w:pStyle w:val="Bullet2"/>
      </w:pPr>
      <w:r>
        <w:t xml:space="preserve">the </w:t>
      </w:r>
      <w:r w:rsidR="006F00CF">
        <w:t xml:space="preserve">harm or damage would have the greatest impact. </w:t>
      </w:r>
    </w:p>
    <w:p w14:paraId="7DAF0867" w14:textId="7FE52581" w:rsidR="006F00CF" w:rsidRPr="00254D17" w:rsidRDefault="006F00CF" w:rsidP="006F00CF">
      <w:pPr>
        <w:pStyle w:val="Body"/>
      </w:pPr>
      <w:r>
        <w:t>Each of these factors help OVIC make informed decisions regarding the type, nature</w:t>
      </w:r>
      <w:r w:rsidR="00FE6A97">
        <w:t xml:space="preserve">, scale, </w:t>
      </w:r>
      <w:r>
        <w:t xml:space="preserve">priority </w:t>
      </w:r>
      <w:r w:rsidR="00FE6A97">
        <w:t xml:space="preserve">and timing </w:t>
      </w:r>
      <w:r>
        <w:t xml:space="preserve">of </w:t>
      </w:r>
      <w:r w:rsidR="00D2522A">
        <w:t xml:space="preserve">relevant </w:t>
      </w:r>
      <w:r w:rsidR="00FE6A97">
        <w:t xml:space="preserve">monitoring and </w:t>
      </w:r>
      <w:r w:rsidR="00D2522A">
        <w:t>assurance</w:t>
      </w:r>
      <w:r>
        <w:t xml:space="preserve"> activities. These</w:t>
      </w:r>
      <w:r w:rsidRPr="00254D17">
        <w:t xml:space="preserve"> </w:t>
      </w:r>
      <w:r w:rsidR="00FE6A97">
        <w:t xml:space="preserve">monitoring and </w:t>
      </w:r>
      <w:r>
        <w:t>assurance activities include</w:t>
      </w:r>
      <w:r w:rsidRPr="00254D17">
        <w:t>:</w:t>
      </w:r>
    </w:p>
    <w:p w14:paraId="7084CCB3" w14:textId="69D98B70" w:rsidR="00FE6A97" w:rsidRPr="00FE6A97" w:rsidRDefault="00FE6A97" w:rsidP="007750D6">
      <w:pPr>
        <w:pStyle w:val="Bullet2"/>
      </w:pPr>
      <w:r w:rsidRPr="00FE6A97">
        <w:t xml:space="preserve">consultations with </w:t>
      </w:r>
      <w:r w:rsidR="00BD6439">
        <w:t xml:space="preserve">VPS </w:t>
      </w:r>
      <w:r w:rsidRPr="00FE6A97">
        <w:t>organisations;</w:t>
      </w:r>
    </w:p>
    <w:p w14:paraId="31ADEF28" w14:textId="7B3B2568" w:rsidR="00FE6A97" w:rsidRPr="00FE6A97" w:rsidRDefault="00FE6A97" w:rsidP="007750D6">
      <w:pPr>
        <w:pStyle w:val="Bullet2"/>
      </w:pPr>
      <w:r w:rsidRPr="00FE6A97">
        <w:t>outreach activities via business engagement officers;</w:t>
      </w:r>
    </w:p>
    <w:p w14:paraId="78BC9C62" w14:textId="77777777" w:rsidR="00FE6A97" w:rsidRPr="00FE6A97" w:rsidRDefault="00FE6A97" w:rsidP="007750D6">
      <w:pPr>
        <w:pStyle w:val="Bullet2"/>
      </w:pPr>
      <w:r w:rsidRPr="00FE6A97">
        <w:t>research projects and initiatives;</w:t>
      </w:r>
    </w:p>
    <w:p w14:paraId="76C8470C" w14:textId="77777777" w:rsidR="00FE6A97" w:rsidRPr="00FE6A97" w:rsidRDefault="00FE6A97" w:rsidP="007750D6">
      <w:pPr>
        <w:pStyle w:val="Bullet2"/>
      </w:pPr>
      <w:r w:rsidRPr="00FE6A97">
        <w:t>monitoring developments in national and international standards;</w:t>
      </w:r>
    </w:p>
    <w:p w14:paraId="7C5A837A" w14:textId="77777777" w:rsidR="00FE6A97" w:rsidRPr="00FE6A97" w:rsidRDefault="00FE6A97" w:rsidP="007750D6">
      <w:pPr>
        <w:pStyle w:val="Bullet2"/>
      </w:pPr>
      <w:r w:rsidRPr="00FE6A97">
        <w:t>monitoring the current threat environment;</w:t>
      </w:r>
    </w:p>
    <w:p w14:paraId="3772E3B8" w14:textId="2328AE27" w:rsidR="00FE6A97" w:rsidRPr="00FE6A97" w:rsidRDefault="00FE6A97" w:rsidP="007750D6">
      <w:pPr>
        <w:pStyle w:val="Bullet2"/>
      </w:pPr>
      <w:r w:rsidRPr="00FE6A97">
        <w:t>information security incident notifications;</w:t>
      </w:r>
    </w:p>
    <w:p w14:paraId="4D96E22F" w14:textId="79D44086" w:rsidR="00FE6A97" w:rsidRPr="00FE6A97" w:rsidRDefault="00FE6A97" w:rsidP="007750D6">
      <w:pPr>
        <w:pStyle w:val="Bullet2"/>
      </w:pPr>
      <w:r w:rsidRPr="00FE6A97">
        <w:t>review of</w:t>
      </w:r>
      <w:r w:rsidR="00BD6439">
        <w:t xml:space="preserve"> VPS</w:t>
      </w:r>
      <w:r w:rsidRPr="00FE6A97">
        <w:t xml:space="preserve"> organisational PDSP reporting;</w:t>
      </w:r>
    </w:p>
    <w:p w14:paraId="307004D5" w14:textId="0CA789EB" w:rsidR="00FE6A97" w:rsidRPr="00FE6A97" w:rsidRDefault="00FE6A97" w:rsidP="007750D6">
      <w:pPr>
        <w:pStyle w:val="Bullet2"/>
      </w:pPr>
      <w:r w:rsidRPr="00FE6A97">
        <w:t xml:space="preserve">failures by </w:t>
      </w:r>
      <w:r w:rsidR="00BD6439">
        <w:t xml:space="preserve">VPS </w:t>
      </w:r>
      <w:r w:rsidRPr="00FE6A97">
        <w:t>organisations to report; and</w:t>
      </w:r>
    </w:p>
    <w:p w14:paraId="4962DB53" w14:textId="45BF7AF1" w:rsidR="00FE6A97" w:rsidRPr="00FE6A97" w:rsidRDefault="00FE6A97" w:rsidP="007750D6">
      <w:pPr>
        <w:pStyle w:val="Bullet2"/>
      </w:pPr>
      <w:r w:rsidRPr="00FE6A97">
        <w:t>referrals from other regulators or administrative bodies.</w:t>
      </w:r>
    </w:p>
    <w:p w14:paraId="4F481504" w14:textId="7C1E4B26" w:rsidR="00FE6A97" w:rsidRPr="00FE6A97" w:rsidRDefault="00FE6A97" w:rsidP="00FE6A97">
      <w:pPr>
        <w:pStyle w:val="Body"/>
      </w:pPr>
      <w:r w:rsidRPr="00310057">
        <w:t xml:space="preserve">Outcomes </w:t>
      </w:r>
      <w:r>
        <w:t xml:space="preserve">of these </w:t>
      </w:r>
      <w:r w:rsidRPr="00310057">
        <w:t>monitoring activities inform subsequent assurance activities</w:t>
      </w:r>
      <w:r>
        <w:t xml:space="preserve">, such as: </w:t>
      </w:r>
    </w:p>
    <w:p w14:paraId="52CDFF63" w14:textId="5E4DC42C" w:rsidR="00FE6A97" w:rsidRDefault="00FE6A97" w:rsidP="007750D6">
      <w:pPr>
        <w:pStyle w:val="Bullet2"/>
      </w:pPr>
      <w:r>
        <w:t xml:space="preserve">site walkthroughs; </w:t>
      </w:r>
    </w:p>
    <w:p w14:paraId="3EE24E7B" w14:textId="589B2457" w:rsidR="006F00CF" w:rsidRPr="00EF00C5" w:rsidRDefault="006F00CF" w:rsidP="007750D6">
      <w:pPr>
        <w:pStyle w:val="Bullet2"/>
      </w:pPr>
      <w:r w:rsidRPr="00EF00C5">
        <w:t>conducting an audit;</w:t>
      </w:r>
    </w:p>
    <w:p w14:paraId="0AE9904A" w14:textId="77777777" w:rsidR="006F00CF" w:rsidRPr="00EF00C5" w:rsidRDefault="006F00CF" w:rsidP="007750D6">
      <w:pPr>
        <w:pStyle w:val="Bullet2"/>
      </w:pPr>
      <w:r w:rsidRPr="00EF00C5">
        <w:t>undertaking an investigation;</w:t>
      </w:r>
    </w:p>
    <w:p w14:paraId="3D5124ED" w14:textId="77777777" w:rsidR="006F00CF" w:rsidRPr="00EF00C5" w:rsidRDefault="006F00CF" w:rsidP="007750D6">
      <w:pPr>
        <w:pStyle w:val="Bullet2"/>
      </w:pPr>
      <w:r w:rsidRPr="00EF00C5">
        <w:t>referring a matter</w:t>
      </w:r>
      <w:r>
        <w:t>,</w:t>
      </w:r>
      <w:r w:rsidRPr="00EF00C5">
        <w:t xml:space="preserve"> or finding</w:t>
      </w:r>
      <w:r>
        <w:t>s,</w:t>
      </w:r>
      <w:r w:rsidRPr="00EF00C5">
        <w:t xml:space="preserve"> to a partnering regulatory or administrative body;</w:t>
      </w:r>
    </w:p>
    <w:p w14:paraId="6D025ADB" w14:textId="10F6D5A9" w:rsidR="006F00CF" w:rsidRPr="00EF00C5" w:rsidRDefault="006F00CF" w:rsidP="007750D6">
      <w:pPr>
        <w:pStyle w:val="Bullet2"/>
      </w:pPr>
      <w:r w:rsidRPr="00EF00C5">
        <w:t xml:space="preserve">reporting to government on </w:t>
      </w:r>
      <w:r w:rsidR="00BD6439">
        <w:t xml:space="preserve">VPS </w:t>
      </w:r>
      <w:r w:rsidRPr="00EF00C5">
        <w:t>organisation</w:t>
      </w:r>
      <w:r>
        <w:t>al</w:t>
      </w:r>
      <w:r w:rsidR="00CE1D7D">
        <w:t xml:space="preserve"> compliance with the PDP Act, or</w:t>
      </w:r>
      <w:r w:rsidRPr="00EF00C5">
        <w:t xml:space="preserve"> adherence to the Standards and</w:t>
      </w:r>
      <w:r>
        <w:t>/or</w:t>
      </w:r>
      <w:r w:rsidRPr="00EF00C5">
        <w:t xml:space="preserve"> Framework;</w:t>
      </w:r>
    </w:p>
    <w:p w14:paraId="0E647DB2" w14:textId="77777777" w:rsidR="006F00CF" w:rsidRPr="00EF00C5" w:rsidRDefault="006F00CF" w:rsidP="007750D6">
      <w:pPr>
        <w:pStyle w:val="Bullet2"/>
      </w:pPr>
      <w:r w:rsidRPr="00EF00C5">
        <w:t>reporting to a Minister</w:t>
      </w:r>
      <w:r>
        <w:t xml:space="preserve"> on an information security matter</w:t>
      </w:r>
      <w:r w:rsidRPr="00EF00C5">
        <w:t>; or</w:t>
      </w:r>
    </w:p>
    <w:p w14:paraId="4036CC23" w14:textId="68A62E54" w:rsidR="006F00CF" w:rsidRDefault="006F00CF" w:rsidP="007750D6">
      <w:pPr>
        <w:pStyle w:val="Bullet2"/>
      </w:pPr>
      <w:r w:rsidRPr="00EF00C5">
        <w:t>publishing a public report</w:t>
      </w:r>
      <w:r w:rsidRPr="004E677E">
        <w:t xml:space="preserve"> </w:t>
      </w:r>
      <w:r>
        <w:t>on an information security matter</w:t>
      </w:r>
      <w:r w:rsidRPr="00EF00C5">
        <w:t>.</w:t>
      </w:r>
    </w:p>
    <w:p w14:paraId="11423695" w14:textId="73E3D952" w:rsidR="006F00CF" w:rsidRPr="004E677E" w:rsidRDefault="00BD6439" w:rsidP="006F00CF">
      <w:pPr>
        <w:pStyle w:val="Body"/>
      </w:pPr>
      <w:r>
        <w:t>VPS o</w:t>
      </w:r>
      <w:r w:rsidR="006F00CF">
        <w:t xml:space="preserve">rganisations </w:t>
      </w:r>
      <w:r w:rsidR="00CE1D7D">
        <w:t xml:space="preserve">are expected to </w:t>
      </w:r>
      <w:r w:rsidR="006F00CF">
        <w:t xml:space="preserve">cooperate during </w:t>
      </w:r>
      <w:r w:rsidR="00CE1D7D">
        <w:t xml:space="preserve">any monitoring and </w:t>
      </w:r>
      <w:r w:rsidR="006F00CF">
        <w:t>assurance activit</w:t>
      </w:r>
      <w:r w:rsidR="00CE1D7D">
        <w:t>y</w:t>
      </w:r>
      <w:r w:rsidR="00156B23">
        <w:t xml:space="preserve"> led by OVIC</w:t>
      </w:r>
      <w:r w:rsidR="006F00CF">
        <w:t>.</w:t>
      </w:r>
    </w:p>
    <w:p w14:paraId="60FBD16A" w14:textId="77777777" w:rsidR="006F00CF" w:rsidRPr="009E4897" w:rsidRDefault="006F00CF" w:rsidP="007750D6">
      <w:pPr>
        <w:pStyle w:val="SectionSubhead"/>
        <w:ind w:left="0"/>
        <w:rPr>
          <w:rFonts w:eastAsia="Arial Unicode MS"/>
        </w:rPr>
      </w:pPr>
      <w:bookmarkStart w:id="68" w:name="_Toc33019542"/>
      <w:r>
        <w:rPr>
          <w:rFonts w:eastAsia="Arial Unicode MS"/>
        </w:rPr>
        <w:t>Referral of findings or matters</w:t>
      </w:r>
      <w:bookmarkEnd w:id="68"/>
    </w:p>
    <w:p w14:paraId="379DA7D9" w14:textId="77777777" w:rsidR="006F00CF" w:rsidRDefault="006F00CF" w:rsidP="007750D6">
      <w:pPr>
        <w:pStyle w:val="Body"/>
        <w:rPr>
          <w:rFonts w:eastAsia="Arial Unicode MS"/>
        </w:rPr>
      </w:pPr>
      <w:r>
        <w:rPr>
          <w:rFonts w:eastAsia="Arial Unicode MS"/>
        </w:rPr>
        <w:t xml:space="preserve">Information obtained by OVIC can be referred to responsible parties (i.e. Victoria Police, Independent Broad-based Anti-Corruption Commission, Cyber Safety Unit) for urgent investigation or attention. </w:t>
      </w:r>
    </w:p>
    <w:p w14:paraId="04649892" w14:textId="517BEA08" w:rsidR="00E136E1" w:rsidRDefault="00E136E1" w:rsidP="007303B8">
      <w:pPr>
        <w:pStyle w:val="BodyText"/>
        <w:rPr>
          <w:rFonts w:ascii="Calibri" w:eastAsia="Arial Unicode MS" w:hAnsi="Calibri" w:cs="Times New Roman"/>
          <w:color w:val="000000"/>
          <w:sz w:val="22"/>
          <w:szCs w:val="24"/>
          <w:lang w:val="en-GB" w:eastAsia="en-GB" w:bidi="ar-SA"/>
        </w:rPr>
      </w:pPr>
    </w:p>
    <w:p w14:paraId="19CE2839" w14:textId="77777777" w:rsidR="00E136E1" w:rsidRDefault="00E136E1">
      <w:pPr>
        <w:rPr>
          <w:rFonts w:ascii="Calibri" w:eastAsia="Arial Unicode MS" w:hAnsi="Calibri"/>
          <w:color w:val="000000"/>
          <w:sz w:val="22"/>
          <w:lang w:val="en-GB"/>
        </w:rPr>
      </w:pPr>
      <w:r>
        <w:rPr>
          <w:rFonts w:ascii="Calibri" w:eastAsia="Arial Unicode MS" w:hAnsi="Calibri"/>
          <w:color w:val="000000"/>
          <w:sz w:val="22"/>
          <w:lang w:val="en-GB"/>
        </w:rPr>
        <w:br w:type="page"/>
      </w:r>
    </w:p>
    <w:p w14:paraId="321D9379" w14:textId="77777777" w:rsidR="00E136E1" w:rsidRDefault="00E136E1" w:rsidP="00E136E1">
      <w:pPr>
        <w:pStyle w:val="BodyText"/>
        <w:jc w:val="center"/>
        <w:rPr>
          <w:rFonts w:ascii="Calibri" w:eastAsia="Arial Unicode MS" w:hAnsi="Calibri" w:cs="Times New Roman"/>
          <w:color w:val="000000"/>
          <w:sz w:val="22"/>
          <w:szCs w:val="24"/>
          <w:lang w:val="en-GB" w:eastAsia="en-GB" w:bidi="ar-SA"/>
        </w:rPr>
      </w:pPr>
    </w:p>
    <w:p w14:paraId="7D917D2C" w14:textId="6C67D9F9" w:rsidR="00FF0BB3" w:rsidRDefault="00E136E1" w:rsidP="00E136E1">
      <w:pPr>
        <w:pStyle w:val="BodyText"/>
        <w:spacing w:before="5160"/>
        <w:jc w:val="center"/>
        <w:rPr>
          <w:rFonts w:ascii="Calibri" w:eastAsia="Arial Unicode MS" w:hAnsi="Calibri" w:cs="Times New Roman"/>
          <w:color w:val="595959" w:themeColor="text1" w:themeTint="A6"/>
          <w:sz w:val="22"/>
          <w:szCs w:val="24"/>
          <w:lang w:val="en-GB" w:eastAsia="en-GB" w:bidi="ar-SA"/>
        </w:rPr>
      </w:pPr>
      <w:r w:rsidRPr="00E136E1">
        <w:rPr>
          <w:rFonts w:ascii="Calibri" w:eastAsia="Arial Unicode MS" w:hAnsi="Calibri" w:cs="Times New Roman"/>
          <w:color w:val="595959" w:themeColor="text1" w:themeTint="A6"/>
          <w:sz w:val="22"/>
          <w:szCs w:val="24"/>
          <w:lang w:val="en-GB" w:eastAsia="en-GB" w:bidi="ar-SA"/>
        </w:rPr>
        <w:t>End of document</w:t>
      </w:r>
    </w:p>
    <w:p w14:paraId="67221E8A" w14:textId="726BC527" w:rsidR="00E136E1" w:rsidRPr="00E136E1" w:rsidRDefault="00E136E1" w:rsidP="00E136E1">
      <w:pPr>
        <w:pStyle w:val="BodyText"/>
        <w:spacing w:before="480"/>
        <w:ind w:left="57"/>
        <w:jc w:val="center"/>
        <w:rPr>
          <w:rFonts w:ascii="Calibri" w:eastAsia="Arial Unicode MS" w:hAnsi="Calibri" w:cs="Times New Roman"/>
          <w:color w:val="595959" w:themeColor="text1" w:themeTint="A6"/>
          <w:sz w:val="22"/>
          <w:szCs w:val="24"/>
          <w:lang w:val="en-GB" w:eastAsia="en-GB" w:bidi="ar-SA"/>
        </w:rPr>
      </w:pPr>
      <w:r>
        <w:rPr>
          <w:rFonts w:ascii="Calibri" w:eastAsia="Arial Unicode MS" w:hAnsi="Calibri" w:cs="Times New Roman"/>
          <w:noProof/>
          <w:color w:val="000000" w:themeColor="text1"/>
          <w:sz w:val="22"/>
          <w:szCs w:val="24"/>
          <w:lang w:val="en-GB" w:eastAsia="en-GB" w:bidi="ar-SA"/>
        </w:rPr>
        <w:drawing>
          <wp:anchor distT="0" distB="0" distL="114300" distR="114300" simplePos="0" relativeHeight="251658240" behindDoc="0" locked="0" layoutInCell="1" allowOverlap="1" wp14:anchorId="7A4169FB" wp14:editId="39B55641">
            <wp:simplePos x="0" y="0"/>
            <wp:positionH relativeFrom="margin">
              <wp:align>center</wp:align>
            </wp:positionH>
            <wp:positionV relativeFrom="margin">
              <wp:align>center</wp:align>
            </wp:positionV>
            <wp:extent cx="1991089" cy="677334"/>
            <wp:effectExtent l="0" t="0" r="0" b="0"/>
            <wp:wrapSquare wrapText="bothSides"/>
            <wp:docPr id="13" name="Picture 1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board 1 copy 1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91089" cy="677334"/>
                    </a:xfrm>
                    <a:prstGeom prst="rect">
                      <a:avLst/>
                    </a:prstGeom>
                  </pic:spPr>
                </pic:pic>
              </a:graphicData>
            </a:graphic>
          </wp:anchor>
        </w:drawing>
      </w:r>
    </w:p>
    <w:sectPr w:rsidR="00E136E1" w:rsidRPr="00E136E1" w:rsidSect="00CB6AB0">
      <w:pgSz w:w="11900" w:h="16840"/>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4994" w14:textId="77777777" w:rsidR="00162F99" w:rsidRDefault="00162F99" w:rsidP="00F75F73">
      <w:r>
        <w:separator/>
      </w:r>
    </w:p>
  </w:endnote>
  <w:endnote w:type="continuationSeparator" w:id="0">
    <w:p w14:paraId="571724F7" w14:textId="77777777" w:rsidR="00162F99" w:rsidRDefault="00162F99"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useoSans-700">
    <w:altName w:val="Calibri"/>
    <w:panose1 w:val="020B0604020202020204"/>
    <w:charset w:val="4D"/>
    <w:family w:val="auto"/>
    <w:notTrueType/>
    <w:pitch w:val="variable"/>
    <w:sig w:usb0="A00000AF" w:usb1="4000004A" w:usb2="00000000" w:usb3="00000000" w:csb0="00000093" w:csb1="00000000"/>
  </w:font>
  <w:font w:name="National-Book">
    <w:panose1 w:val="02000503000000020004"/>
    <w:charset w:val="00"/>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auto"/>
    <w:pitch w:val="variable"/>
    <w:sig w:usb0="00000001" w:usb1="4000ACFF" w:usb2="00000001" w:usb3="00000000" w:csb0="0000019F" w:csb1="00000000"/>
  </w:font>
  <w:font w:name="Museo Sans">
    <w:panose1 w:val="02000000000000000000"/>
    <w:charset w:val="00"/>
    <w:family w:val="auto"/>
    <w:pitch w:val="variable"/>
    <w:sig w:usb0="A000002F" w:usb1="40000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9C4" w14:textId="77777777" w:rsidR="005F6E81" w:rsidRDefault="005F6E81" w:rsidP="003A11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5CF5C" w14:textId="77777777" w:rsidR="005F6E81" w:rsidRDefault="005F6E81"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432321228"/>
      <w:docPartObj>
        <w:docPartGallery w:val="Page Numbers (Bottom of Page)"/>
        <w:docPartUnique/>
      </w:docPartObj>
    </w:sdtPr>
    <w:sdtEndPr>
      <w:rPr>
        <w:rStyle w:val="PageNumber"/>
      </w:rPr>
    </w:sdtEndPr>
    <w:sdtContent>
      <w:p w14:paraId="263DC8FE" w14:textId="39E651A7" w:rsidR="005F6E81" w:rsidRPr="00C10E2F" w:rsidRDefault="005F6E81" w:rsidP="00116660">
        <w:pPr>
          <w:pStyle w:val="Footer"/>
          <w:framePr w:wrap="none" w:vAnchor="text" w:hAnchor="margin" w:xAlign="right" w:y="1"/>
          <w:rPr>
            <w:rStyle w:val="PageNumber"/>
            <w:sz w:val="20"/>
            <w:szCs w:val="20"/>
          </w:rPr>
        </w:pPr>
        <w:r w:rsidRPr="00C10E2F">
          <w:rPr>
            <w:rStyle w:val="PageNumber"/>
            <w:sz w:val="20"/>
            <w:szCs w:val="20"/>
          </w:rPr>
          <w:fldChar w:fldCharType="begin"/>
        </w:r>
        <w:r w:rsidRPr="00C10E2F">
          <w:rPr>
            <w:rStyle w:val="PageNumber"/>
            <w:sz w:val="20"/>
            <w:szCs w:val="20"/>
          </w:rPr>
          <w:instrText xml:space="preserve"> PAGE </w:instrText>
        </w:r>
        <w:r w:rsidRPr="00C10E2F">
          <w:rPr>
            <w:rStyle w:val="PageNumber"/>
            <w:sz w:val="20"/>
            <w:szCs w:val="20"/>
          </w:rPr>
          <w:fldChar w:fldCharType="separate"/>
        </w:r>
        <w:r w:rsidRPr="00C10E2F">
          <w:rPr>
            <w:rStyle w:val="PageNumber"/>
            <w:noProof/>
            <w:sz w:val="20"/>
            <w:szCs w:val="20"/>
          </w:rPr>
          <w:t>2</w:t>
        </w:r>
        <w:r w:rsidRPr="00C10E2F">
          <w:rPr>
            <w:rStyle w:val="PageNumber"/>
            <w:sz w:val="20"/>
            <w:szCs w:val="20"/>
          </w:rPr>
          <w:fldChar w:fldCharType="end"/>
        </w:r>
      </w:p>
    </w:sdtContent>
  </w:sdt>
  <w:p w14:paraId="6C9F44F9" w14:textId="77777777" w:rsidR="005F6E81" w:rsidRPr="00C10E2F" w:rsidRDefault="005F6E81" w:rsidP="00CB6AB0">
    <w:pPr>
      <w:pStyle w:val="Footer"/>
      <w:ind w:right="360"/>
      <w:rPr>
        <w:sz w:val="20"/>
        <w:szCs w:val="20"/>
      </w:rPr>
    </w:pPr>
    <w:r w:rsidRPr="00C10E2F">
      <w:rPr>
        <w:rFonts w:cs="Arial"/>
        <w:sz w:val="20"/>
        <w:szCs w:val="20"/>
      </w:rPr>
      <w:t xml:space="preserve">Freedom of Information </w:t>
    </w:r>
    <w:r w:rsidRPr="00C10E2F">
      <w:rPr>
        <w:rFonts w:cs="Arial"/>
        <w:color w:val="E5007D"/>
        <w:sz w:val="20"/>
        <w:szCs w:val="20"/>
      </w:rPr>
      <w:t>|</w:t>
    </w:r>
    <w:r w:rsidRPr="00C10E2F">
      <w:rPr>
        <w:rFonts w:cs="Arial"/>
        <w:sz w:val="20"/>
        <w:szCs w:val="20"/>
      </w:rPr>
      <w:t xml:space="preserve"> Privacy </w:t>
    </w:r>
    <w:r w:rsidRPr="00C10E2F">
      <w:rPr>
        <w:rFonts w:cs="Arial"/>
        <w:color w:val="E5007D"/>
        <w:sz w:val="20"/>
        <w:szCs w:val="20"/>
      </w:rPr>
      <w:t>|</w:t>
    </w:r>
    <w:r w:rsidRPr="00C10E2F">
      <w:rPr>
        <w:rFonts w:cs="Arial"/>
        <w:sz w:val="20"/>
        <w:szCs w:val="20"/>
      </w:rPr>
      <w:t xml:space="preserve"> 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64D5" w14:textId="77777777" w:rsidR="005F6E81" w:rsidRPr="00C10E2F" w:rsidRDefault="005F6E81" w:rsidP="00C10E2F">
    <w:pPr>
      <w:pStyle w:val="Footer"/>
    </w:pPr>
    <w:r w:rsidRPr="00A01D5A">
      <w:rPr>
        <w:rFonts w:cs="Arial"/>
        <w:sz w:val="20"/>
      </w:rPr>
      <w:t xml:space="preserve">Freedom of Information </w:t>
    </w:r>
    <w:r w:rsidRPr="00A01D5A">
      <w:rPr>
        <w:rFonts w:cs="Arial"/>
        <w:color w:val="E5007D"/>
        <w:sz w:val="20"/>
      </w:rPr>
      <w:t>|</w:t>
    </w:r>
    <w:r w:rsidRPr="00A01D5A">
      <w:rPr>
        <w:rFonts w:cs="Arial"/>
        <w:sz w:val="20"/>
      </w:rPr>
      <w:t xml:space="preserve"> Privacy </w:t>
    </w:r>
    <w:r w:rsidRPr="00A01D5A">
      <w:rPr>
        <w:rFonts w:cs="Arial"/>
        <w:color w:val="E5007D"/>
        <w:sz w:val="20"/>
      </w:rPr>
      <w:t>|</w:t>
    </w:r>
    <w:r w:rsidRPr="00A01D5A">
      <w:rPr>
        <w:rFonts w:cs="Arial"/>
        <w:sz w:val="20"/>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C063" w14:textId="77777777" w:rsidR="00162F99" w:rsidRPr="00E66D0B" w:rsidRDefault="00162F99" w:rsidP="007E207F">
      <w:pPr>
        <w:pStyle w:val="Footer"/>
        <w:pBdr>
          <w:top w:val="single" w:sz="8" w:space="1" w:color="auto"/>
        </w:pBdr>
      </w:pPr>
    </w:p>
  </w:footnote>
  <w:footnote w:type="continuationSeparator" w:id="0">
    <w:p w14:paraId="0E7A7897" w14:textId="77777777" w:rsidR="00162F99" w:rsidRDefault="00162F99" w:rsidP="00F75F73">
      <w:r>
        <w:continuationSeparator/>
      </w:r>
    </w:p>
  </w:footnote>
  <w:footnote w:id="1">
    <w:p w14:paraId="616F6767" w14:textId="7647051E" w:rsidR="005F6E81" w:rsidRPr="006F5ADF" w:rsidRDefault="005F6E81" w:rsidP="00692598">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Commissioners functions set out under Part 6 – Division 2, s 103(2) of the PDP Act</w:t>
      </w:r>
    </w:p>
  </w:footnote>
  <w:footnote w:id="2">
    <w:p w14:paraId="4818AF84" w14:textId="2D15E961" w:rsidR="005F6E81" w:rsidRPr="006F5ADF" w:rsidRDefault="005F6E81" w:rsidP="001E27B8">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For a current copy of the Standards, or VPDSS Implementation Guide, refer to the </w:t>
      </w:r>
      <w:hyperlink r:id="rId1" w:history="1">
        <w:r w:rsidRPr="006F5ADF">
          <w:rPr>
            <w:rStyle w:val="Hyperlink"/>
            <w:rFonts w:asciiTheme="minorHAnsi" w:hAnsiTheme="minorHAnsi" w:cstheme="minorHAnsi"/>
            <w:sz w:val="18"/>
            <w:szCs w:val="18"/>
          </w:rPr>
          <w:t>VPDSF resources</w:t>
        </w:r>
      </w:hyperlink>
      <w:r w:rsidRPr="006F5ADF">
        <w:rPr>
          <w:rFonts w:asciiTheme="minorHAnsi" w:hAnsiTheme="minorHAnsi" w:cstheme="minorHAnsi"/>
          <w:sz w:val="18"/>
          <w:szCs w:val="18"/>
        </w:rPr>
        <w:t xml:space="preserve"> section of the OVIC website.</w:t>
      </w:r>
    </w:p>
  </w:footnote>
  <w:footnote w:id="3">
    <w:p w14:paraId="5AAA22EE" w14:textId="77777777" w:rsidR="005F6E81" w:rsidRPr="006F5ADF" w:rsidRDefault="005F6E81" w:rsidP="00F82E2C">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Part 4S, Section 88 and Section 89, of the PDP Act </w:t>
      </w:r>
    </w:p>
  </w:footnote>
  <w:footnote w:id="4">
    <w:p w14:paraId="4C0AD801" w14:textId="77777777" w:rsidR="005F6E81" w:rsidRPr="006F5ADF" w:rsidRDefault="005F6E81" w:rsidP="00F82E2C">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Commissioners functions set out under Part 6 – Division 2, s 103(2) of the PDP Act</w:t>
      </w:r>
    </w:p>
  </w:footnote>
  <w:footnote w:id="5">
    <w:p w14:paraId="54F45603" w14:textId="7F44F51A" w:rsidR="005F6E81" w:rsidRPr="006F5ADF" w:rsidRDefault="005F6E81" w:rsidP="00A21F15">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Part 4, Section 88 and Section 89, of the PDP Act.</w:t>
      </w:r>
    </w:p>
  </w:footnote>
  <w:footnote w:id="6">
    <w:p w14:paraId="3C9484EF" w14:textId="0DF4ADE4" w:rsidR="005F6E81" w:rsidRPr="006F5ADF" w:rsidRDefault="005F6E81" w:rsidP="00A21F15">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Commissioners functions set out under Part 6 – Division 2, s 103(2) of the PDP Act.</w:t>
      </w:r>
    </w:p>
  </w:footnote>
  <w:footnote w:id="7">
    <w:p w14:paraId="02355283" w14:textId="61A1CCA8" w:rsidR="005F6E81" w:rsidRPr="006F5ADF" w:rsidRDefault="005F6E81">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Part 1, Section 3 of the PDP Act</w:t>
      </w:r>
    </w:p>
  </w:footnote>
  <w:footnote w:id="8">
    <w:p w14:paraId="088A36C8" w14:textId="170D3867" w:rsidR="005F6E81" w:rsidRPr="006F5ADF" w:rsidRDefault="005F6E81" w:rsidP="00BD5637">
      <w:pPr>
        <w:pStyle w:val="FootnoteText"/>
        <w:rPr>
          <w:rFonts w:asciiTheme="minorHAnsi" w:hAnsiTheme="minorHAnsi" w:cstheme="minorHAnsi"/>
          <w:sz w:val="18"/>
          <w:szCs w:val="18"/>
        </w:rPr>
      </w:pPr>
      <w:r w:rsidRPr="00ED550E">
        <w:rPr>
          <w:rFonts w:asciiTheme="minorHAnsi" w:hAnsiTheme="minorHAnsi" w:cstheme="minorHAnsi"/>
          <w:sz w:val="18"/>
          <w:szCs w:val="18"/>
          <w:vertAlign w:val="superscript"/>
        </w:rPr>
        <w:footnoteRef/>
      </w:r>
      <w:r w:rsidRPr="006F5ADF">
        <w:rPr>
          <w:rFonts w:asciiTheme="minorHAnsi" w:hAnsiTheme="minorHAnsi" w:cstheme="minorHAnsi"/>
          <w:sz w:val="18"/>
          <w:szCs w:val="18"/>
        </w:rPr>
        <w:t xml:space="preserve"> Defined In section 5 of the Public Administration Act 2004 (Vic).</w:t>
      </w:r>
    </w:p>
  </w:footnote>
  <w:footnote w:id="9">
    <w:p w14:paraId="3964417A" w14:textId="1A6349DE" w:rsidR="005F6E81" w:rsidRPr="006F5ADF" w:rsidRDefault="005F6E81" w:rsidP="00BD5637">
      <w:pPr>
        <w:pStyle w:val="FootnoteText"/>
        <w:rPr>
          <w:rFonts w:asciiTheme="minorHAnsi" w:hAnsiTheme="minorHAnsi" w:cstheme="minorHAnsi"/>
          <w:sz w:val="18"/>
          <w:szCs w:val="18"/>
        </w:rPr>
      </w:pPr>
      <w:r w:rsidRPr="00ED550E">
        <w:rPr>
          <w:rFonts w:asciiTheme="minorHAnsi" w:hAnsiTheme="minorHAnsi" w:cstheme="minorHAnsi"/>
          <w:sz w:val="18"/>
          <w:szCs w:val="18"/>
          <w:vertAlign w:val="superscript"/>
        </w:rPr>
        <w:footnoteRef/>
      </w:r>
      <w:r w:rsidRPr="006F5ADF">
        <w:rPr>
          <w:rFonts w:asciiTheme="minorHAnsi" w:hAnsiTheme="minorHAnsi" w:cstheme="minorHAnsi"/>
          <w:sz w:val="18"/>
          <w:szCs w:val="18"/>
        </w:rPr>
        <w:t xml:space="preserve"> Part 5 of the PDP Act specifically regulates information security of Victoria Police and the Crime Statistics Agency. Nevertheless, in 2017, the Victorian Information Commissioner transitioned Victoria Police and the Crime Statistics Agency to the Framework and Standards under Part 4 of the PDP Act.</w:t>
      </w:r>
    </w:p>
  </w:footnote>
  <w:footnote w:id="10">
    <w:p w14:paraId="0BAB5D08" w14:textId="32D0A0E7" w:rsidR="005F6E81" w:rsidRPr="006F5ADF" w:rsidRDefault="005F6E81">
      <w:pPr>
        <w:pStyle w:val="FootnoteText"/>
        <w:rPr>
          <w:rFonts w:asciiTheme="minorHAnsi" w:hAnsiTheme="minorHAnsi" w:cstheme="minorHAnsi"/>
          <w:i/>
          <w:iCs/>
          <w:sz w:val="18"/>
          <w:szCs w:val="18"/>
        </w:rPr>
      </w:pPr>
      <w:r w:rsidRPr="00ED550E">
        <w:rPr>
          <w:rFonts w:asciiTheme="minorHAnsi" w:hAnsiTheme="minorHAnsi" w:cstheme="minorHAnsi"/>
          <w:sz w:val="18"/>
          <w:szCs w:val="18"/>
          <w:vertAlign w:val="superscript"/>
        </w:rPr>
        <w:footnoteRef/>
      </w:r>
      <w:r w:rsidRPr="006F5ADF">
        <w:rPr>
          <w:rFonts w:asciiTheme="minorHAnsi" w:hAnsiTheme="minorHAnsi" w:cstheme="minorHAnsi"/>
          <w:sz w:val="18"/>
          <w:szCs w:val="18"/>
        </w:rPr>
        <w:t xml:space="preserve"> While Section 84 (2) provides exemptions from Part 4 of the PDP Act, for particular VPS organisations, these exemptions need to be applied with care. If exempt entities are performing a public function on behalf of a regulated VPS organisation, they may have obligations under the PDP Act. For further clarification refer to </w:t>
      </w:r>
      <w:hyperlink r:id="rId2" w:history="1">
        <w:r w:rsidRPr="006F5ADF">
          <w:rPr>
            <w:rStyle w:val="Hyperlink"/>
            <w:rFonts w:asciiTheme="minorHAnsi" w:hAnsiTheme="minorHAnsi" w:cstheme="minorHAnsi"/>
            <w:sz w:val="18"/>
            <w:szCs w:val="18"/>
          </w:rPr>
          <w:t>VPDSF resources</w:t>
        </w:r>
      </w:hyperlink>
      <w:r w:rsidRPr="006F5ADF">
        <w:rPr>
          <w:rFonts w:asciiTheme="minorHAnsi" w:hAnsiTheme="minorHAnsi" w:cstheme="minorHAnsi"/>
          <w:sz w:val="18"/>
          <w:szCs w:val="18"/>
        </w:rPr>
        <w:t xml:space="preserve"> section of the OVIC website, and resource ‘</w:t>
      </w:r>
      <w:r w:rsidRPr="006F5ADF">
        <w:rPr>
          <w:rFonts w:asciiTheme="minorHAnsi" w:hAnsiTheme="minorHAnsi" w:cstheme="minorHAnsi"/>
          <w:i/>
          <w:iCs/>
          <w:sz w:val="18"/>
          <w:szCs w:val="18"/>
        </w:rPr>
        <w:t>Does the VPDSF apply to your organisation</w:t>
      </w:r>
      <w:r w:rsidRPr="006F5ADF">
        <w:rPr>
          <w:rFonts w:asciiTheme="minorHAnsi" w:hAnsiTheme="minorHAnsi" w:cstheme="minorHAnsi"/>
          <w:sz w:val="18"/>
          <w:szCs w:val="18"/>
        </w:rPr>
        <w:t>?’</w:t>
      </w:r>
    </w:p>
  </w:footnote>
  <w:footnote w:id="11">
    <w:p w14:paraId="443B825D" w14:textId="3D3F0BF9" w:rsidR="005F6E81" w:rsidRPr="006F5ADF" w:rsidRDefault="005F6E81">
      <w:pPr>
        <w:pStyle w:val="FootnoteText"/>
        <w:rPr>
          <w:rFonts w:asciiTheme="minorHAnsi" w:hAnsiTheme="minorHAnsi" w:cstheme="minorHAnsi"/>
          <w:sz w:val="18"/>
          <w:szCs w:val="18"/>
        </w:rPr>
      </w:pPr>
      <w:r w:rsidRPr="00ED550E">
        <w:rPr>
          <w:rStyle w:val="FootnoteReference"/>
          <w:rFonts w:cstheme="minorHAnsi"/>
          <w:szCs w:val="18"/>
          <w:vertAlign w:val="superscript"/>
        </w:rPr>
        <w:footnoteRef/>
      </w:r>
      <w:r w:rsidRPr="006F5ADF">
        <w:rPr>
          <w:rFonts w:asciiTheme="minorHAnsi" w:hAnsiTheme="minorHAnsi" w:cstheme="minorHAnsi"/>
          <w:sz w:val="18"/>
          <w:szCs w:val="18"/>
        </w:rPr>
        <w:t xml:space="preserve"> See section 9.1 of this document for more information and refer to Practitioner Guides: Information Security Risk Management available under the </w:t>
      </w:r>
      <w:hyperlink r:id="rId3" w:history="1">
        <w:r w:rsidRPr="006F5ADF">
          <w:rPr>
            <w:rStyle w:val="Hyperlink"/>
            <w:rFonts w:asciiTheme="minorHAnsi" w:hAnsiTheme="minorHAnsi" w:cstheme="minorHAnsi"/>
            <w:sz w:val="18"/>
            <w:szCs w:val="18"/>
          </w:rPr>
          <w:t>VPDSF resources</w:t>
        </w:r>
      </w:hyperlink>
      <w:r w:rsidRPr="006F5ADF">
        <w:rPr>
          <w:rFonts w:asciiTheme="minorHAnsi" w:hAnsiTheme="minorHAnsi" w:cstheme="minorHAnsi"/>
          <w:sz w:val="18"/>
          <w:szCs w:val="18"/>
        </w:rPr>
        <w:t xml:space="preserve"> section of the OVIC website</w:t>
      </w:r>
    </w:p>
  </w:footnote>
  <w:footnote w:id="12">
    <w:p w14:paraId="6120BC02" w14:textId="57F1C126" w:rsidR="005F6E81" w:rsidRPr="006F5ADF" w:rsidRDefault="005F6E81">
      <w:pPr>
        <w:pStyle w:val="FootnoteText"/>
        <w:rPr>
          <w:rFonts w:asciiTheme="minorHAnsi" w:hAnsiTheme="minorHAnsi" w:cstheme="minorHAnsi"/>
          <w:sz w:val="18"/>
          <w:szCs w:val="18"/>
        </w:rPr>
      </w:pPr>
      <w:r w:rsidRPr="002068DC">
        <w:rPr>
          <w:rStyle w:val="FootnoteReference"/>
          <w:rFonts w:cstheme="minorHAnsi"/>
          <w:szCs w:val="18"/>
          <w:vertAlign w:val="superscript"/>
        </w:rPr>
        <w:footnoteRef/>
      </w:r>
      <w:r w:rsidRPr="006F5ADF">
        <w:rPr>
          <w:rFonts w:asciiTheme="minorHAnsi" w:hAnsiTheme="minorHAnsi" w:cstheme="minorHAnsi"/>
          <w:sz w:val="18"/>
          <w:szCs w:val="18"/>
        </w:rPr>
        <w:t xml:space="preserve"> Part 4 s85 (1) of the PDP Act</w:t>
      </w:r>
    </w:p>
  </w:footnote>
  <w:footnote w:id="13">
    <w:p w14:paraId="60700E51" w14:textId="4A6F8029" w:rsidR="005F6E81" w:rsidRPr="006F5ADF" w:rsidRDefault="005F6E81">
      <w:pPr>
        <w:pStyle w:val="FootnoteText"/>
        <w:rPr>
          <w:rFonts w:asciiTheme="minorHAnsi" w:hAnsiTheme="minorHAnsi" w:cstheme="minorHAnsi"/>
          <w:sz w:val="18"/>
          <w:szCs w:val="18"/>
        </w:rPr>
      </w:pPr>
      <w:r w:rsidRPr="002068DC">
        <w:rPr>
          <w:rStyle w:val="FootnoteReference"/>
          <w:rFonts w:cstheme="minorHAnsi"/>
          <w:szCs w:val="18"/>
          <w:vertAlign w:val="superscript"/>
        </w:rPr>
        <w:footnoteRef/>
      </w:r>
      <w:r w:rsidRPr="006F5ADF">
        <w:rPr>
          <w:rStyle w:val="FootnoteReference"/>
          <w:rFonts w:cstheme="minorHAnsi"/>
          <w:szCs w:val="18"/>
        </w:rPr>
        <w:t xml:space="preserve"> Agencies and bodies identified in Part 4 (s84) of the PDP Act</w:t>
      </w:r>
    </w:p>
  </w:footnote>
  <w:footnote w:id="14">
    <w:p w14:paraId="5EB6CCCA" w14:textId="1A85538C" w:rsidR="005F6E81" w:rsidRPr="006F5ADF" w:rsidRDefault="005F6E81">
      <w:pPr>
        <w:pStyle w:val="FootnoteText"/>
        <w:rPr>
          <w:rStyle w:val="FootnoteReference"/>
          <w:rFonts w:cstheme="minorHAnsi"/>
          <w:szCs w:val="18"/>
        </w:rPr>
      </w:pPr>
      <w:r w:rsidRPr="002068DC">
        <w:rPr>
          <w:rStyle w:val="FootnoteReference"/>
          <w:rFonts w:cstheme="minorHAnsi"/>
          <w:szCs w:val="18"/>
          <w:vertAlign w:val="superscript"/>
        </w:rPr>
        <w:footnoteRef/>
      </w:r>
      <w:r w:rsidRPr="006F5ADF">
        <w:rPr>
          <w:rStyle w:val="FootnoteReference"/>
          <w:rFonts w:cstheme="minorHAnsi"/>
          <w:szCs w:val="18"/>
        </w:rPr>
        <w:t xml:space="preserve"> Part 6, Division 1, section 106 of the PDP Act</w:t>
      </w:r>
    </w:p>
  </w:footnote>
  <w:footnote w:id="15">
    <w:p w14:paraId="235D0351" w14:textId="7F2BAA23" w:rsidR="005F6E81" w:rsidRPr="006F5ADF" w:rsidRDefault="005F6E81">
      <w:pPr>
        <w:pStyle w:val="FootnoteText"/>
        <w:rPr>
          <w:rStyle w:val="FootnoteReference"/>
          <w:rFonts w:cstheme="minorHAnsi"/>
          <w:szCs w:val="18"/>
        </w:rPr>
      </w:pPr>
      <w:r w:rsidRPr="002068DC">
        <w:rPr>
          <w:rStyle w:val="FootnoteReference"/>
          <w:rFonts w:cstheme="minorHAnsi"/>
          <w:szCs w:val="18"/>
          <w:vertAlign w:val="superscript"/>
        </w:rPr>
        <w:footnoteRef/>
      </w:r>
      <w:r w:rsidRPr="006F5ADF">
        <w:rPr>
          <w:rStyle w:val="FootnoteReference"/>
          <w:rFonts w:cstheme="minorHAnsi"/>
          <w:szCs w:val="18"/>
        </w:rPr>
        <w:t xml:space="preserve"> </w:t>
      </w:r>
      <w:r w:rsidRPr="00795F1D">
        <w:rPr>
          <w:rStyle w:val="FootnoteReference"/>
          <w:rFonts w:cstheme="minorHAnsi"/>
          <w:sz w:val="17"/>
          <w:szCs w:val="17"/>
        </w:rPr>
        <w:t xml:space="preserve">Refer to the </w:t>
      </w:r>
      <w:hyperlink r:id="rId4" w:history="1">
        <w:r w:rsidRPr="00C72471">
          <w:rPr>
            <w:rStyle w:val="Hyperlink"/>
            <w:rFonts w:asciiTheme="minorHAnsi" w:hAnsiTheme="minorHAnsi" w:cstheme="minorHAnsi"/>
            <w:sz w:val="18"/>
            <w:szCs w:val="18"/>
          </w:rPr>
          <w:t>VPDSF resources</w:t>
        </w:r>
      </w:hyperlink>
      <w:r w:rsidRPr="00795F1D">
        <w:rPr>
          <w:rStyle w:val="FootnoteReference"/>
          <w:rFonts w:cstheme="minorHAnsi"/>
          <w:sz w:val="17"/>
          <w:szCs w:val="17"/>
        </w:rPr>
        <w:t xml:space="preserve"> section on the OVIC website for more information on the Information Security Incident Notification Scheme</w:t>
      </w:r>
    </w:p>
  </w:footnote>
  <w:footnote w:id="16">
    <w:p w14:paraId="7AE89FF7" w14:textId="492AFC1F" w:rsidR="005F6E81" w:rsidRPr="006F5ADF" w:rsidRDefault="005F6E81">
      <w:pPr>
        <w:pStyle w:val="FootnoteText"/>
        <w:rPr>
          <w:rFonts w:asciiTheme="minorHAnsi" w:hAnsiTheme="minorHAnsi" w:cstheme="minorHAnsi"/>
          <w:sz w:val="18"/>
          <w:szCs w:val="18"/>
        </w:rPr>
      </w:pPr>
      <w:r w:rsidRPr="002068DC">
        <w:rPr>
          <w:rStyle w:val="FootnoteReference"/>
          <w:rFonts w:cstheme="minorHAnsi"/>
          <w:szCs w:val="18"/>
          <w:vertAlign w:val="superscript"/>
        </w:rPr>
        <w:footnoteRef/>
      </w:r>
      <w:r w:rsidRPr="006F5ADF">
        <w:rPr>
          <w:rStyle w:val="FootnoteReference"/>
          <w:rFonts w:cstheme="minorHAnsi"/>
          <w:szCs w:val="18"/>
        </w:rPr>
        <w:t xml:space="preserve"> Refer to the </w:t>
      </w:r>
      <w:hyperlink r:id="rId5" w:history="1">
        <w:r w:rsidRPr="00C72471">
          <w:rPr>
            <w:rStyle w:val="Hyperlink"/>
            <w:rFonts w:asciiTheme="minorHAnsi" w:hAnsiTheme="minorHAnsi" w:cstheme="minorHAnsi"/>
            <w:sz w:val="18"/>
            <w:szCs w:val="18"/>
          </w:rPr>
          <w:t>VPDSF resources</w:t>
        </w:r>
      </w:hyperlink>
      <w:r w:rsidRPr="006F5ADF">
        <w:rPr>
          <w:rFonts w:asciiTheme="minorHAnsi" w:hAnsiTheme="minorHAnsi" w:cstheme="minorHAnsi"/>
          <w:sz w:val="18"/>
          <w:szCs w:val="18"/>
        </w:rPr>
        <w:t xml:space="preserve"> </w:t>
      </w:r>
      <w:r w:rsidRPr="006F5ADF">
        <w:rPr>
          <w:rStyle w:val="FootnoteReference"/>
          <w:rFonts w:cstheme="minorHAnsi"/>
          <w:szCs w:val="18"/>
        </w:rPr>
        <w:t>section on the OVIC website to access this document</w:t>
      </w:r>
      <w:r w:rsidRPr="006F5ADF">
        <w:rPr>
          <w:rFonts w:asciiTheme="minorHAnsi" w:hAnsiTheme="minorHAnsi" w:cstheme="minorHAnsi"/>
          <w:sz w:val="18"/>
          <w:szCs w:val="18"/>
        </w:rPr>
        <w:t xml:space="preserve"> </w:t>
      </w:r>
    </w:p>
  </w:footnote>
  <w:footnote w:id="17">
    <w:p w14:paraId="2AC3E8CA" w14:textId="0109E3E0" w:rsidR="005F6E81" w:rsidRPr="006F5ADF" w:rsidRDefault="005F6E81" w:rsidP="00AA25FA">
      <w:pPr>
        <w:pStyle w:val="FootnoteText"/>
        <w:rPr>
          <w:rStyle w:val="FootnoteReference"/>
          <w:rFonts w:cstheme="minorHAnsi"/>
          <w:szCs w:val="18"/>
        </w:rPr>
      </w:pPr>
      <w:r w:rsidRPr="002068DC">
        <w:rPr>
          <w:rStyle w:val="FootnoteReference"/>
          <w:rFonts w:cstheme="minorHAnsi"/>
          <w:szCs w:val="18"/>
          <w:vertAlign w:val="superscript"/>
        </w:rPr>
        <w:footnoteRef/>
      </w:r>
      <w:r w:rsidRPr="006F5ADF">
        <w:rPr>
          <w:rStyle w:val="FootnoteReference"/>
          <w:rFonts w:cstheme="minorHAnsi"/>
          <w:szCs w:val="18"/>
        </w:rPr>
        <w:t xml:space="preserve"> As outlined under Section 88(1) and (2) of the PDP Act</w:t>
      </w:r>
    </w:p>
  </w:footnote>
  <w:footnote w:id="18">
    <w:p w14:paraId="38C64DAC" w14:textId="43045250" w:rsidR="005F6E81" w:rsidRPr="006F5ADF" w:rsidRDefault="005F6E81" w:rsidP="00AA25FA">
      <w:pPr>
        <w:pStyle w:val="FootnoteText"/>
        <w:rPr>
          <w:rStyle w:val="FootnoteReference"/>
          <w:rFonts w:cstheme="minorHAnsi"/>
          <w:szCs w:val="18"/>
        </w:rPr>
      </w:pPr>
      <w:r w:rsidRPr="002068DC">
        <w:rPr>
          <w:rStyle w:val="FootnoteReference"/>
          <w:rFonts w:cstheme="minorHAnsi"/>
          <w:szCs w:val="18"/>
          <w:vertAlign w:val="superscript"/>
        </w:rPr>
        <w:footnoteRef/>
      </w:r>
      <w:r w:rsidRPr="006F5ADF">
        <w:rPr>
          <w:rStyle w:val="FootnoteReference"/>
          <w:rFonts w:cstheme="minorHAnsi"/>
          <w:szCs w:val="18"/>
        </w:rPr>
        <w:t xml:space="preserve"> As outlined in Standard Nine – Information Security Reporting</w:t>
      </w:r>
    </w:p>
  </w:footnote>
  <w:footnote w:id="19">
    <w:p w14:paraId="0EF2B290" w14:textId="05ABB183" w:rsidR="005F6E81" w:rsidRPr="006F5ADF" w:rsidRDefault="005F6E81" w:rsidP="009254A3">
      <w:pPr>
        <w:pStyle w:val="FootnoteText"/>
        <w:rPr>
          <w:rFonts w:asciiTheme="minorHAnsi" w:hAnsiTheme="minorHAnsi" w:cstheme="minorHAnsi"/>
          <w:sz w:val="18"/>
          <w:szCs w:val="18"/>
        </w:rPr>
      </w:pPr>
      <w:r w:rsidRPr="002068DC">
        <w:rPr>
          <w:rStyle w:val="FootnoteReference"/>
          <w:rFonts w:cstheme="minorHAnsi"/>
          <w:szCs w:val="18"/>
          <w:vertAlign w:val="superscript"/>
        </w:rPr>
        <w:footnoteRef/>
      </w:r>
      <w:r w:rsidRPr="006F5ADF">
        <w:rPr>
          <w:rStyle w:val="FootnoteReference"/>
          <w:rFonts w:cstheme="minorHAnsi"/>
          <w:szCs w:val="18"/>
        </w:rPr>
        <w:t xml:space="preserve"> This includes where a third party collects, holds, uses, manages, discloses or transfers public sector information on behalf of the VPS </w:t>
      </w:r>
      <w:proofErr w:type="spellStart"/>
      <w:r w:rsidRPr="006F5ADF">
        <w:rPr>
          <w:rStyle w:val="FootnoteReference"/>
          <w:rFonts w:cstheme="minorHAnsi"/>
          <w:szCs w:val="18"/>
        </w:rPr>
        <w:t>organisation</w:t>
      </w:r>
      <w:proofErr w:type="spellEnd"/>
      <w:r w:rsidRPr="006F5ADF">
        <w:rPr>
          <w:rStyle w:val="FootnoteReference"/>
          <w:rFonts w:cstheme="minorHAnsi"/>
          <w:szCs w:val="18"/>
        </w:rPr>
        <w:t>, as outlined in Section 88 and 89 of the PDP Act.</w:t>
      </w:r>
      <w:r w:rsidRPr="006F5ADF">
        <w:rPr>
          <w:rFonts w:asciiTheme="minorHAnsi" w:hAnsiTheme="minorHAnsi" w:cstheme="minorHAnsi"/>
          <w:sz w:val="18"/>
          <w:szCs w:val="18"/>
        </w:rPr>
        <w:t xml:space="preserve"> </w:t>
      </w:r>
    </w:p>
  </w:footnote>
  <w:footnote w:id="20">
    <w:p w14:paraId="08BFE748" w14:textId="1FCAEAC1" w:rsidR="005F6E81" w:rsidRPr="006F5ADF" w:rsidRDefault="005F6E81">
      <w:pPr>
        <w:pStyle w:val="FootnoteText"/>
        <w:rPr>
          <w:rFonts w:asciiTheme="minorHAnsi" w:hAnsiTheme="minorHAnsi" w:cstheme="minorHAnsi"/>
          <w:sz w:val="18"/>
          <w:szCs w:val="18"/>
        </w:rPr>
      </w:pPr>
      <w:r w:rsidRPr="006F5ADF">
        <w:rPr>
          <w:rStyle w:val="FootnoteReference"/>
          <w:rFonts w:cstheme="minorHAnsi"/>
          <w:szCs w:val="18"/>
          <w:vertAlign w:val="superscript"/>
        </w:rPr>
        <w:footnoteRef/>
      </w:r>
      <w:r w:rsidRPr="006F5ADF">
        <w:rPr>
          <w:rStyle w:val="FootnoteReference"/>
          <w:rFonts w:cstheme="minorHAnsi"/>
          <w:szCs w:val="18"/>
        </w:rPr>
        <w:t xml:space="preserve"> s106, 109, 110 of the PDP Act</w:t>
      </w:r>
    </w:p>
  </w:footnote>
  <w:footnote w:id="21">
    <w:p w14:paraId="6DF4EA6E" w14:textId="21E9C013" w:rsidR="005F6E81" w:rsidRPr="006F5ADF" w:rsidRDefault="005F6E81" w:rsidP="009C26B8">
      <w:pPr>
        <w:pStyle w:val="FootnoteText"/>
        <w:rPr>
          <w:rStyle w:val="FootnoteReference"/>
          <w:rFonts w:cstheme="minorHAnsi"/>
          <w:szCs w:val="18"/>
        </w:rPr>
      </w:pPr>
      <w:r w:rsidRPr="006F5ADF">
        <w:rPr>
          <w:rStyle w:val="FootnoteReference"/>
          <w:rFonts w:cstheme="minorHAnsi"/>
          <w:szCs w:val="18"/>
          <w:vertAlign w:val="superscript"/>
        </w:rPr>
        <w:footnoteRef/>
      </w:r>
      <w:r w:rsidRPr="006F5ADF">
        <w:rPr>
          <w:rStyle w:val="FootnoteReference"/>
          <w:rFonts w:cstheme="minorHAnsi"/>
          <w:szCs w:val="18"/>
        </w:rPr>
        <w:t xml:space="preserve"> As outlined under s89 (2) of the PDP Act</w:t>
      </w:r>
    </w:p>
  </w:footnote>
  <w:footnote w:id="22">
    <w:p w14:paraId="016E29F1" w14:textId="7D850410" w:rsidR="005F6E81" w:rsidRPr="006F5ADF" w:rsidRDefault="005F6E81" w:rsidP="00CB290A">
      <w:pPr>
        <w:pStyle w:val="FootnoteText"/>
        <w:rPr>
          <w:rFonts w:asciiTheme="minorHAnsi" w:hAnsiTheme="minorHAnsi" w:cstheme="minorHAnsi"/>
          <w:sz w:val="18"/>
          <w:szCs w:val="18"/>
        </w:rPr>
      </w:pPr>
      <w:r w:rsidRPr="006F5ADF">
        <w:rPr>
          <w:rStyle w:val="FootnoteReference"/>
          <w:rFonts w:cstheme="minorHAnsi"/>
          <w:szCs w:val="18"/>
          <w:vertAlign w:val="superscript"/>
        </w:rPr>
        <w:footnoteRef/>
      </w:r>
      <w:r w:rsidRPr="006F5ADF">
        <w:rPr>
          <w:rStyle w:val="FootnoteReference"/>
          <w:rFonts w:cstheme="minorHAnsi"/>
          <w:szCs w:val="18"/>
        </w:rPr>
        <w:t xml:space="preserve"> Part A of the PDSP template contains a section for an ‘Organisation Profile Assessment’. For a current copy of the PDSP template, refer to the </w:t>
      </w:r>
      <w:hyperlink r:id="rId6" w:history="1">
        <w:r w:rsidRPr="006F5ADF">
          <w:rPr>
            <w:rStyle w:val="Hyperlink"/>
            <w:rFonts w:asciiTheme="minorHAnsi" w:hAnsiTheme="minorHAnsi" w:cstheme="minorHAnsi"/>
            <w:sz w:val="18"/>
            <w:szCs w:val="18"/>
          </w:rPr>
          <w:t>VPDSF resources</w:t>
        </w:r>
      </w:hyperlink>
      <w:r w:rsidRPr="006F5ADF">
        <w:rPr>
          <w:rStyle w:val="FootnoteReference"/>
          <w:rFonts w:cstheme="minorHAnsi"/>
          <w:szCs w:val="18"/>
        </w:rPr>
        <w:t xml:space="preserve"> section of the OVIC website.</w:t>
      </w:r>
    </w:p>
  </w:footnote>
  <w:footnote w:id="23">
    <w:p w14:paraId="38DEA6F4" w14:textId="77777777" w:rsidR="005F6E81" w:rsidRPr="006F5ADF" w:rsidRDefault="005F6E81" w:rsidP="009D0AF7">
      <w:pPr>
        <w:pStyle w:val="FootnoteText"/>
        <w:rPr>
          <w:rFonts w:asciiTheme="minorHAnsi" w:hAnsiTheme="minorHAnsi" w:cstheme="minorHAnsi"/>
          <w:sz w:val="18"/>
          <w:szCs w:val="18"/>
        </w:rPr>
      </w:pPr>
      <w:r w:rsidRPr="002068DC">
        <w:rPr>
          <w:rStyle w:val="FootnoteReference"/>
          <w:rFonts w:cstheme="minorHAnsi"/>
          <w:szCs w:val="18"/>
          <w:vertAlign w:val="superscript"/>
        </w:rPr>
        <w:footnoteRef/>
      </w:r>
      <w:r w:rsidRPr="006F5ADF">
        <w:rPr>
          <w:rFonts w:asciiTheme="minorHAnsi" w:hAnsiTheme="minorHAnsi" w:cstheme="minorHAnsi"/>
          <w:sz w:val="18"/>
          <w:szCs w:val="18"/>
        </w:rPr>
        <w:t xml:space="preserve"> For more information on the </w:t>
      </w:r>
      <w:r w:rsidRPr="006F5ADF">
        <w:rPr>
          <w:rFonts w:asciiTheme="minorHAnsi" w:hAnsiTheme="minorHAnsi" w:cstheme="minorHAnsi"/>
          <w:i/>
          <w:iCs/>
          <w:sz w:val="18"/>
          <w:szCs w:val="18"/>
        </w:rPr>
        <w:t>Information Security Incident Notification Scheme</w:t>
      </w:r>
      <w:r w:rsidRPr="006F5ADF">
        <w:rPr>
          <w:rFonts w:asciiTheme="minorHAnsi" w:hAnsiTheme="minorHAnsi" w:cstheme="minorHAnsi"/>
          <w:sz w:val="18"/>
          <w:szCs w:val="18"/>
        </w:rPr>
        <w:t xml:space="preserve">, refer to the Incident Notification section of the OVIC website. </w:t>
      </w:r>
    </w:p>
  </w:footnote>
  <w:footnote w:id="24">
    <w:p w14:paraId="6ED43B13" w14:textId="1F6C2DE0" w:rsidR="005F6E81" w:rsidRPr="006F5ADF" w:rsidRDefault="005F6E81" w:rsidP="00DF7D81">
      <w:pPr>
        <w:pStyle w:val="FootnoteText"/>
        <w:rPr>
          <w:rFonts w:asciiTheme="minorHAnsi" w:hAnsiTheme="minorHAnsi" w:cstheme="minorHAnsi"/>
          <w:sz w:val="18"/>
          <w:szCs w:val="18"/>
        </w:rPr>
      </w:pPr>
      <w:r w:rsidRPr="00FE22F6">
        <w:rPr>
          <w:rStyle w:val="FootnoteReference"/>
          <w:rFonts w:cstheme="minorHAnsi"/>
          <w:szCs w:val="18"/>
          <w:vertAlign w:val="superscript"/>
        </w:rPr>
        <w:footnoteRef/>
      </w:r>
      <w:r w:rsidRPr="006F5ADF">
        <w:rPr>
          <w:rFonts w:asciiTheme="minorHAnsi" w:hAnsiTheme="minorHAnsi" w:cstheme="minorHAnsi"/>
          <w:sz w:val="18"/>
          <w:szCs w:val="18"/>
        </w:rPr>
        <w:t xml:space="preserve"> For more information on this activity, refer to Practitioner Guide: Assessing the Security Value of Public Sector Information available under the </w:t>
      </w:r>
      <w:hyperlink r:id="rId7" w:history="1">
        <w:r w:rsidRPr="006F5ADF">
          <w:rPr>
            <w:rStyle w:val="Hyperlink"/>
            <w:rFonts w:asciiTheme="minorHAnsi" w:hAnsiTheme="minorHAnsi" w:cstheme="minorHAnsi"/>
            <w:sz w:val="18"/>
            <w:szCs w:val="18"/>
          </w:rPr>
          <w:t>VPDSF resources</w:t>
        </w:r>
      </w:hyperlink>
      <w:r w:rsidRPr="006F5ADF">
        <w:rPr>
          <w:rFonts w:asciiTheme="minorHAnsi" w:hAnsiTheme="minorHAnsi" w:cstheme="minorHAnsi"/>
          <w:sz w:val="18"/>
          <w:szCs w:val="18"/>
        </w:rPr>
        <w:t xml:space="preserve"> section of the OVIC website</w:t>
      </w:r>
    </w:p>
  </w:footnote>
  <w:footnote w:id="25">
    <w:p w14:paraId="4FA0BE45" w14:textId="72F9D6F1" w:rsidR="005F6E81" w:rsidRPr="006F5ADF" w:rsidRDefault="005F6E81">
      <w:pPr>
        <w:pStyle w:val="FootnoteText"/>
        <w:rPr>
          <w:rFonts w:asciiTheme="minorHAnsi" w:hAnsiTheme="minorHAnsi" w:cstheme="minorHAnsi"/>
          <w:sz w:val="18"/>
          <w:szCs w:val="18"/>
        </w:rPr>
      </w:pPr>
      <w:r w:rsidRPr="00FE22F6">
        <w:rPr>
          <w:rFonts w:asciiTheme="minorHAnsi" w:hAnsiTheme="minorHAnsi" w:cstheme="minorHAnsi"/>
          <w:sz w:val="18"/>
          <w:szCs w:val="18"/>
          <w:vertAlign w:val="superscript"/>
        </w:rPr>
        <w:footnoteRef/>
      </w:r>
      <w:r w:rsidRPr="006F5ADF">
        <w:rPr>
          <w:rFonts w:asciiTheme="minorHAnsi" w:hAnsiTheme="minorHAnsi" w:cstheme="minorHAnsi"/>
          <w:sz w:val="18"/>
          <w:szCs w:val="18"/>
        </w:rPr>
        <w:t xml:space="preserve"> For more information on this activity, refer to Practitioner Guide: Assessing the Security Value of Public Sector Information available under the </w:t>
      </w:r>
      <w:hyperlink r:id="rId8" w:history="1">
        <w:r w:rsidRPr="006F5ADF">
          <w:rPr>
            <w:rStyle w:val="Hyperlink"/>
            <w:rFonts w:asciiTheme="minorHAnsi" w:hAnsiTheme="minorHAnsi" w:cstheme="minorHAnsi"/>
            <w:sz w:val="18"/>
            <w:szCs w:val="18"/>
          </w:rPr>
          <w:t>VPDSF resources</w:t>
        </w:r>
      </w:hyperlink>
      <w:r w:rsidRPr="006F5ADF">
        <w:rPr>
          <w:rFonts w:asciiTheme="minorHAnsi" w:hAnsiTheme="minorHAnsi" w:cstheme="minorHAnsi"/>
          <w:sz w:val="18"/>
          <w:szCs w:val="18"/>
        </w:rPr>
        <w:t xml:space="preserve"> section of the OVIC website.</w:t>
      </w:r>
    </w:p>
  </w:footnote>
  <w:footnote w:id="26">
    <w:p w14:paraId="7C22ACFF" w14:textId="4EDFA685" w:rsidR="005F6E81" w:rsidRPr="006F5ADF" w:rsidRDefault="005F6E81">
      <w:pPr>
        <w:pStyle w:val="FootnoteText"/>
        <w:rPr>
          <w:rFonts w:asciiTheme="minorHAnsi" w:hAnsiTheme="minorHAnsi" w:cstheme="minorHAnsi"/>
          <w:sz w:val="18"/>
          <w:szCs w:val="18"/>
        </w:rPr>
      </w:pPr>
      <w:r w:rsidRPr="00FE22F6">
        <w:rPr>
          <w:rFonts w:asciiTheme="minorHAnsi" w:hAnsiTheme="minorHAnsi" w:cstheme="minorHAnsi"/>
          <w:sz w:val="18"/>
          <w:szCs w:val="18"/>
          <w:vertAlign w:val="superscript"/>
        </w:rPr>
        <w:footnoteRef/>
      </w:r>
      <w:r w:rsidRPr="006F5ADF">
        <w:rPr>
          <w:rFonts w:asciiTheme="minorHAnsi" w:hAnsiTheme="minorHAnsi" w:cstheme="minorHAnsi"/>
          <w:sz w:val="18"/>
          <w:szCs w:val="18"/>
        </w:rPr>
        <w:t xml:space="preserve"> An internal control library is a collection of documented specific security measures as selected by the VPS organisation. This internal control library is based on the VPDSS Elements and the organisation’s unique operating requirements.</w:t>
      </w:r>
    </w:p>
  </w:footnote>
  <w:footnote w:id="27">
    <w:p w14:paraId="74F3B5DD" w14:textId="6F887552" w:rsidR="005F6E81" w:rsidRPr="006F5ADF" w:rsidRDefault="005F6E81" w:rsidP="00BE7FE4">
      <w:pPr>
        <w:rPr>
          <w:rFonts w:asciiTheme="minorHAnsi" w:eastAsia="Museo Sans" w:hAnsiTheme="minorHAnsi" w:cstheme="minorHAnsi"/>
          <w:sz w:val="18"/>
          <w:szCs w:val="18"/>
          <w:lang w:val="en-US" w:eastAsia="en-US" w:bidi="en-US"/>
        </w:rPr>
      </w:pPr>
      <w:r w:rsidRPr="00FE22F6">
        <w:rPr>
          <w:rFonts w:asciiTheme="minorHAnsi" w:eastAsia="Museo Sans" w:hAnsiTheme="minorHAnsi" w:cstheme="minorHAnsi"/>
          <w:sz w:val="18"/>
          <w:szCs w:val="18"/>
          <w:vertAlign w:val="superscript"/>
          <w:lang w:val="en-US" w:eastAsia="en-US" w:bidi="en-US"/>
        </w:rPr>
        <w:footnoteRef/>
      </w:r>
      <w:r w:rsidRPr="006F5ADF">
        <w:rPr>
          <w:rFonts w:asciiTheme="minorHAnsi" w:eastAsia="Museo Sans" w:hAnsiTheme="minorHAnsi" w:cstheme="minorHAnsi"/>
          <w:sz w:val="18"/>
          <w:szCs w:val="18"/>
          <w:lang w:val="en-US" w:eastAsia="en-US" w:bidi="en-US"/>
        </w:rPr>
        <w:t xml:space="preserve"> VPS organisations must notify OVIC of incidents that compromise the confidentiality, integrity or availability of public sector information with a ‘limited’ business impact (BIL of 2) or higher on government operations, organisations or individuals, as soon as practical and no later than 30 days after an incident has been identified.</w:t>
      </w:r>
      <w:r w:rsidRPr="006F5ADF">
        <w:rPr>
          <w:rFonts w:asciiTheme="minorHAnsi" w:hAnsiTheme="minorHAnsi" w:cstheme="minorHAnsi"/>
          <w:bCs/>
          <w:sz w:val="18"/>
          <w:szCs w:val="18"/>
        </w:rPr>
        <w:t xml:space="preserve"> </w:t>
      </w:r>
      <w:r w:rsidRPr="006F5ADF">
        <w:rPr>
          <w:rFonts w:asciiTheme="minorHAnsi" w:eastAsia="Museo Sans" w:hAnsiTheme="minorHAnsi" w:cstheme="minorHAnsi"/>
          <w:sz w:val="18"/>
          <w:szCs w:val="18"/>
          <w:lang w:val="en-US" w:eastAsia="en-US" w:bidi="en-US"/>
        </w:rPr>
        <w:t>To download a current copy of the incident notification form and corresponding instructions, refer to the Incident Notification section of the OVIC website.</w:t>
      </w:r>
    </w:p>
  </w:footnote>
  <w:footnote w:id="28">
    <w:p w14:paraId="55B83BB3" w14:textId="24F10841" w:rsidR="005F6E81" w:rsidRPr="006F5ADF" w:rsidRDefault="005F6E81" w:rsidP="002A3225">
      <w:pPr>
        <w:pStyle w:val="FootnoteText"/>
        <w:rPr>
          <w:rFonts w:asciiTheme="minorHAnsi" w:hAnsiTheme="minorHAnsi" w:cstheme="minorHAnsi"/>
          <w:sz w:val="18"/>
          <w:szCs w:val="18"/>
        </w:rPr>
      </w:pPr>
      <w:r w:rsidRPr="00FE22F6">
        <w:rPr>
          <w:rStyle w:val="FootnoteReference"/>
          <w:rFonts w:cstheme="minorHAnsi"/>
          <w:szCs w:val="18"/>
          <w:vertAlign w:val="superscript"/>
        </w:rPr>
        <w:footnoteRef/>
      </w:r>
      <w:r w:rsidRPr="006F5ADF">
        <w:rPr>
          <w:rFonts w:asciiTheme="minorHAnsi" w:hAnsiTheme="minorHAnsi" w:cstheme="minorHAnsi"/>
          <w:sz w:val="18"/>
          <w:szCs w:val="18"/>
        </w:rPr>
        <w:t xml:space="preserve"> </w:t>
      </w:r>
      <w:r w:rsidRPr="006F5ADF">
        <w:rPr>
          <w:rFonts w:asciiTheme="minorHAnsi" w:hAnsiTheme="minorHAnsi" w:cstheme="minorHAnsi"/>
          <w:color w:val="000000" w:themeColor="text1"/>
          <w:sz w:val="18"/>
          <w:szCs w:val="18"/>
        </w:rPr>
        <w:t xml:space="preserve">Refer to </w:t>
      </w:r>
      <w:r w:rsidRPr="006F5ADF">
        <w:rPr>
          <w:rFonts w:asciiTheme="minorHAnsi" w:hAnsiTheme="minorHAnsi" w:cstheme="minorHAnsi"/>
          <w:i/>
          <w:iCs/>
          <w:color w:val="000000" w:themeColor="text1"/>
          <w:sz w:val="18"/>
          <w:szCs w:val="18"/>
        </w:rPr>
        <w:t xml:space="preserve">Info Sheet: Guiding Principles of the Framework and Standards </w:t>
      </w:r>
      <w:r w:rsidRPr="006F5ADF">
        <w:rPr>
          <w:rFonts w:asciiTheme="minorHAnsi" w:hAnsiTheme="minorHAnsi" w:cstheme="minorHAnsi"/>
          <w:color w:val="000000" w:themeColor="text1"/>
          <w:sz w:val="18"/>
          <w:szCs w:val="18"/>
        </w:rPr>
        <w:t xml:space="preserve">available under the </w:t>
      </w:r>
      <w:hyperlink r:id="rId9" w:history="1">
        <w:r w:rsidRPr="006F5ADF">
          <w:rPr>
            <w:rStyle w:val="Hyperlink"/>
            <w:rFonts w:asciiTheme="minorHAnsi" w:hAnsiTheme="minorHAnsi" w:cstheme="minorHAnsi"/>
            <w:sz w:val="18"/>
            <w:szCs w:val="18"/>
          </w:rPr>
          <w:t>VPDSF resources</w:t>
        </w:r>
      </w:hyperlink>
      <w:r w:rsidRPr="006F5ADF">
        <w:rPr>
          <w:rFonts w:asciiTheme="minorHAnsi" w:hAnsiTheme="minorHAnsi" w:cstheme="minorHAnsi"/>
          <w:color w:val="000000" w:themeColor="text1"/>
          <w:sz w:val="18"/>
          <w:szCs w:val="18"/>
        </w:rPr>
        <w:t xml:space="preserve"> section of the OVIC website</w:t>
      </w:r>
    </w:p>
  </w:footnote>
  <w:footnote w:id="29">
    <w:p w14:paraId="465FB7F5" w14:textId="77777777" w:rsidR="005F6E81" w:rsidRDefault="005F6E81" w:rsidP="00282DA8">
      <w:pPr>
        <w:pStyle w:val="FootnoteText"/>
      </w:pPr>
      <w:r w:rsidRPr="008B6CD5">
        <w:rPr>
          <w:rStyle w:val="FootnoteReference"/>
          <w:rFonts w:cstheme="minorHAnsi"/>
          <w:szCs w:val="18"/>
          <w:vertAlign w:val="superscript"/>
        </w:rPr>
        <w:footnoteRef/>
      </w:r>
      <w:r w:rsidRPr="006F5ADF">
        <w:rPr>
          <w:rFonts w:asciiTheme="minorHAnsi" w:hAnsiTheme="minorHAnsi" w:cstheme="minorHAnsi"/>
          <w:sz w:val="18"/>
          <w:szCs w:val="18"/>
        </w:rPr>
        <w:t xml:space="preserve"> Division 2, Section 85 (2) of the PDP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5D6F" w14:textId="2B6B8FB4" w:rsidR="005F6E81" w:rsidRPr="00335BF6" w:rsidRDefault="005F6E81" w:rsidP="0087351B">
    <w:pPr>
      <w:pStyle w:val="DocumentTitle"/>
      <w:tabs>
        <w:tab w:val="clear" w:pos="4513"/>
        <w:tab w:val="clear" w:pos="6946"/>
        <w:tab w:val="right" w:pos="2835"/>
      </w:tabs>
      <w:spacing w:after="600"/>
      <w:rPr>
        <w:rFonts w:ascii="Calibri" w:hAnsi="Calibri"/>
        <w:b w:val="0"/>
        <w:bCs/>
        <w:color w:val="5620A9"/>
        <w:sz w:val="24"/>
        <w:szCs w:val="24"/>
        <w:lang w:val="en-US"/>
      </w:rPr>
    </w:pPr>
    <w:r>
      <w:rPr>
        <w:rFonts w:ascii="Calibri" w:hAnsi="Calibri"/>
        <w:b w:val="0"/>
        <w:bCs/>
        <w:color w:val="5620A9"/>
        <w:sz w:val="24"/>
        <w:szCs w:val="24"/>
      </w:rPr>
      <w:t xml:space="preserve">Victorian Protective Data Security Framework </w:t>
    </w:r>
    <w:r w:rsidRPr="00BD11CA">
      <w:rPr>
        <w:rFonts w:ascii="Calibri" w:hAnsi="Calibri"/>
        <w:b w:val="0"/>
        <w:bCs/>
        <w:color w:val="EC008C"/>
        <w:sz w:val="24"/>
        <w:szCs w:val="24"/>
      </w:rPr>
      <w:t>|</w:t>
    </w:r>
    <w:r w:rsidRPr="00BD11CA">
      <w:rPr>
        <w:rFonts w:ascii="Calibri" w:hAnsi="Calibri"/>
        <w:b w:val="0"/>
        <w:bCs/>
        <w:color w:val="5620A9"/>
        <w:sz w:val="24"/>
        <w:szCs w:val="24"/>
      </w:rPr>
      <w:t xml:space="preserve"> </w:t>
    </w:r>
    <w:r>
      <w:rPr>
        <w:rFonts w:ascii="Calibri" w:hAnsi="Calibri"/>
        <w:b w:val="0"/>
        <w:bCs/>
        <w:color w:val="5620A9"/>
        <w:sz w:val="24"/>
        <w:szCs w:val="24"/>
      </w:rPr>
      <w:t>Version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5F86" w14:textId="74DB57EB" w:rsidR="005F6E81" w:rsidRDefault="005F6E81" w:rsidP="000F0B1D">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3293C5B8" wp14:editId="642AB9E5">
          <wp:simplePos x="0" y="0"/>
          <wp:positionH relativeFrom="column">
            <wp:posOffset>5234305</wp:posOffset>
          </wp:positionH>
          <wp:positionV relativeFrom="paragraph">
            <wp:posOffset>-454660</wp:posOffset>
          </wp:positionV>
          <wp:extent cx="1600200" cy="1067181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357A89B" wp14:editId="40D17AB5">
          <wp:simplePos x="0" y="0"/>
          <wp:positionH relativeFrom="column">
            <wp:posOffset>19050</wp:posOffset>
          </wp:positionH>
          <wp:positionV relativeFrom="paragraph">
            <wp:posOffset>233680</wp:posOffset>
          </wp:positionV>
          <wp:extent cx="2578100" cy="1190625"/>
          <wp:effectExtent l="0" t="0" r="0" b="0"/>
          <wp:wrapThrough wrapText="bothSides">
            <wp:wrapPolygon edited="0">
              <wp:start x="1809" y="0"/>
              <wp:lineTo x="1064" y="691"/>
              <wp:lineTo x="0" y="2995"/>
              <wp:lineTo x="0" y="8755"/>
              <wp:lineTo x="1064" y="11059"/>
              <wp:lineTo x="106" y="14746"/>
              <wp:lineTo x="106" y="20966"/>
              <wp:lineTo x="21387" y="20966"/>
              <wp:lineTo x="21494" y="19354"/>
              <wp:lineTo x="21494" y="18432"/>
              <wp:lineTo x="19153" y="15898"/>
              <wp:lineTo x="17982" y="14746"/>
              <wp:lineTo x="17344" y="11059"/>
              <wp:lineTo x="17876" y="10829"/>
              <wp:lineTo x="17769" y="9907"/>
              <wp:lineTo x="16705" y="7373"/>
              <wp:lineTo x="17025" y="3686"/>
              <wp:lineTo x="17876" y="2074"/>
              <wp:lineTo x="17769" y="1152"/>
              <wp:lineTo x="16599" y="0"/>
              <wp:lineTo x="1809" y="0"/>
            </wp:wrapPolygon>
          </wp:wrapThrough>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890C" w14:textId="77777777" w:rsidR="005F6E81" w:rsidRDefault="005F6E81" w:rsidP="000F0B1D">
    <w:pPr>
      <w:pStyle w:val="Header"/>
      <w:tabs>
        <w:tab w:val="clear" w:pos="4513"/>
        <w:tab w:val="clear" w:pos="9026"/>
        <w:tab w:val="left" w:pos="6946"/>
      </w:tabs>
      <w:spacing w:after="180"/>
      <w:rPr>
        <w:color w:val="7F7F7F"/>
        <w:sz w:val="26"/>
        <w:szCs w:val="26"/>
      </w:rPr>
    </w:pPr>
  </w:p>
  <w:p w14:paraId="2D606462" w14:textId="77777777" w:rsidR="005F6E81" w:rsidRDefault="005F6E81" w:rsidP="000F0B1D">
    <w:pPr>
      <w:pStyle w:val="Header"/>
      <w:tabs>
        <w:tab w:val="clear" w:pos="4513"/>
        <w:tab w:val="clear" w:pos="9026"/>
        <w:tab w:val="left" w:pos="6946"/>
      </w:tabs>
      <w:spacing w:after="180"/>
      <w:rPr>
        <w:color w:val="7F7F7F"/>
        <w:sz w:val="26"/>
        <w:szCs w:val="26"/>
      </w:rPr>
    </w:pPr>
  </w:p>
  <w:p w14:paraId="65F7C0F7" w14:textId="77777777" w:rsidR="005F6E81" w:rsidRDefault="005F6E81" w:rsidP="000F0B1D">
    <w:pPr>
      <w:pStyle w:val="Header"/>
      <w:tabs>
        <w:tab w:val="clear" w:pos="4513"/>
        <w:tab w:val="clear" w:pos="9026"/>
        <w:tab w:val="left" w:pos="6946"/>
      </w:tabs>
      <w:spacing w:after="180"/>
      <w:rPr>
        <w:color w:val="7F7F7F"/>
        <w:sz w:val="26"/>
        <w:szCs w:val="26"/>
      </w:rPr>
    </w:pPr>
  </w:p>
  <w:p w14:paraId="6CB2BADD" w14:textId="7DC782DE" w:rsidR="005F6E81" w:rsidRDefault="005F6E81" w:rsidP="000F0B1D">
    <w:pPr>
      <w:pStyle w:val="Header"/>
      <w:tabs>
        <w:tab w:val="clear" w:pos="4513"/>
        <w:tab w:val="clear" w:pos="9026"/>
        <w:tab w:val="left" w:pos="6946"/>
      </w:tabs>
      <w:spacing w:after="180"/>
      <w:rPr>
        <w:color w:val="7F7F7F"/>
        <w:sz w:val="26"/>
        <w:szCs w:val="26"/>
      </w:rPr>
    </w:pPr>
  </w:p>
  <w:p w14:paraId="1FB7A926" w14:textId="3BB82E42" w:rsidR="005F6E81" w:rsidRDefault="005F6E81" w:rsidP="000F0B1D">
    <w:pPr>
      <w:pStyle w:val="Header"/>
      <w:tabs>
        <w:tab w:val="clear" w:pos="4513"/>
        <w:tab w:val="clear" w:pos="9026"/>
        <w:tab w:val="left" w:pos="6946"/>
      </w:tabs>
      <w:spacing w:after="180"/>
      <w:rPr>
        <w:color w:val="7F7F7F"/>
        <w:sz w:val="26"/>
        <w:szCs w:val="26"/>
      </w:rPr>
    </w:pPr>
  </w:p>
  <w:p w14:paraId="63E0C9D4" w14:textId="3240C120" w:rsidR="005F6E81" w:rsidRDefault="005F6E81" w:rsidP="000F0B1D">
    <w:pPr>
      <w:pStyle w:val="Header"/>
      <w:tabs>
        <w:tab w:val="clear" w:pos="4513"/>
        <w:tab w:val="clear" w:pos="9026"/>
        <w:tab w:val="left" w:pos="6946"/>
      </w:tabs>
      <w:spacing w:after="180"/>
      <w:rPr>
        <w:color w:val="7F7F7F"/>
        <w:sz w:val="26"/>
        <w:szCs w:val="26"/>
      </w:rPr>
    </w:pPr>
  </w:p>
  <w:p w14:paraId="41ABBE9B" w14:textId="22C35626" w:rsidR="005F6E81" w:rsidRDefault="005F6E81" w:rsidP="000F0B1D">
    <w:pPr>
      <w:pStyle w:val="Header"/>
      <w:tabs>
        <w:tab w:val="clear" w:pos="4513"/>
        <w:tab w:val="clear" w:pos="9026"/>
        <w:tab w:val="left" w:pos="6946"/>
      </w:tabs>
      <w:spacing w:after="180"/>
      <w:rPr>
        <w:color w:val="7F7F7F"/>
        <w:sz w:val="26"/>
        <w:szCs w:val="26"/>
      </w:rPr>
    </w:pPr>
  </w:p>
  <w:p w14:paraId="74BC0C0F" w14:textId="6929654C" w:rsidR="005F6E81" w:rsidRPr="00F87792" w:rsidRDefault="005F6E81" w:rsidP="000F0B1D">
    <w:pPr>
      <w:pStyle w:val="Header"/>
      <w:tabs>
        <w:tab w:val="left" w:pos="6946"/>
      </w:tabs>
      <w:spacing w:after="120"/>
      <w:rPr>
        <w:rFonts w:ascii="Arial" w:hAnsi="Arial" w:cs="Arial"/>
        <w:color w:val="555559"/>
        <w:sz w:val="30"/>
        <w:szCs w:val="30"/>
      </w:rPr>
    </w:pPr>
  </w:p>
  <w:p w14:paraId="6D278DCA" w14:textId="29481C7B" w:rsidR="005F6E81" w:rsidRPr="00EF06C1" w:rsidRDefault="005F6E81" w:rsidP="000F0B1D">
    <w:pPr>
      <w:pStyle w:val="Header"/>
      <w:tabs>
        <w:tab w:val="clear" w:pos="4513"/>
        <w:tab w:val="clear" w:pos="9026"/>
        <w:tab w:val="left" w:pos="6946"/>
      </w:tabs>
      <w:spacing w:after="180"/>
      <w:rPr>
        <w:color w:val="7F7F7F"/>
        <w:sz w:val="26"/>
        <w:szCs w:val="26"/>
      </w:rPr>
    </w:pPr>
  </w:p>
  <w:p w14:paraId="21775F6B" w14:textId="4E79592C" w:rsidR="005F6E81" w:rsidRDefault="005F6E81">
    <w:pPr>
      <w:pStyle w:val="Header"/>
    </w:pPr>
    <w:r>
      <w:rPr>
        <w:noProof/>
      </w:rPr>
      <mc:AlternateContent>
        <mc:Choice Requires="wps">
          <w:drawing>
            <wp:anchor distT="0" distB="0" distL="114300" distR="114300" simplePos="0" relativeHeight="251658752" behindDoc="0" locked="0" layoutInCell="1" allowOverlap="1" wp14:anchorId="42D81A44" wp14:editId="6247CD2A">
              <wp:simplePos x="0" y="0"/>
              <wp:positionH relativeFrom="column">
                <wp:posOffset>-28974</wp:posOffset>
              </wp:positionH>
              <wp:positionV relativeFrom="paragraph">
                <wp:posOffset>201088</wp:posOffset>
              </wp:positionV>
              <wp:extent cx="5257800" cy="5847907"/>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5847907"/>
                      </a:xfrm>
                      <a:prstGeom prst="rect">
                        <a:avLst/>
                      </a:prstGeom>
                      <a:noFill/>
                      <a:ln>
                        <a:noFill/>
                      </a:ln>
                      <a:effectLst/>
                    </wps:spPr>
                    <wps:txbx>
                      <w:txbxContent>
                        <w:p w14:paraId="09A2E0F2" w14:textId="143CB9E8" w:rsidR="005F6E81" w:rsidRPr="00AC0E77" w:rsidRDefault="005F6E81" w:rsidP="00C21837">
                          <w:pPr>
                            <w:pStyle w:val="Header"/>
                            <w:rPr>
                              <w:b/>
                              <w:bCs/>
                              <w:color w:val="404040" w:themeColor="text1" w:themeTint="BF"/>
                              <w:sz w:val="34"/>
                              <w:szCs w:val="34"/>
                            </w:rPr>
                          </w:pPr>
                        </w:p>
                        <w:p w14:paraId="489C6181" w14:textId="69D7F82C" w:rsidR="005F6E81" w:rsidRPr="00DF5013" w:rsidRDefault="005F6E81" w:rsidP="00643549">
                          <w:pPr>
                            <w:pStyle w:val="Header"/>
                          </w:pPr>
                          <w:r>
                            <w:br/>
                          </w:r>
                          <w:r>
                            <w:br/>
                          </w:r>
                          <w:r>
                            <w:br/>
                          </w:r>
                          <w:r>
                            <w:br/>
                          </w:r>
                          <w:r>
                            <w:br/>
                          </w:r>
                          <w:r>
                            <w:br/>
                          </w:r>
                          <w:r>
                            <w:br/>
                          </w:r>
                          <w:r>
                            <w:br/>
                          </w:r>
                          <w:r>
                            <w:br/>
                          </w:r>
                          <w:r>
                            <w:br/>
                          </w:r>
                        </w:p>
                        <w:p w14:paraId="3255778B" w14:textId="61866EDE" w:rsidR="005F6E81" w:rsidRPr="006015E3" w:rsidRDefault="005F6E81" w:rsidP="006015E3">
                          <w:pPr>
                            <w:pStyle w:val="BodyCopy"/>
                            <w:spacing w:after="120" w:line="240" w:lineRule="auto"/>
                            <w:rPr>
                              <w:b/>
                              <w:sz w:val="24"/>
                              <w:szCs w:val="24"/>
                            </w:rPr>
                          </w:pPr>
                          <w:r>
                            <w:rPr>
                              <w:b/>
                              <w:sz w:val="56"/>
                              <w:szCs w:val="56"/>
                            </w:rPr>
                            <w:br/>
                            <w:t xml:space="preserve">Victorian Protective Data </w:t>
                          </w:r>
                          <w:r>
                            <w:rPr>
                              <w:b/>
                              <w:sz w:val="56"/>
                              <w:szCs w:val="56"/>
                            </w:rPr>
                            <w:br/>
                            <w:t>Security Framework</w:t>
                          </w:r>
                          <w:r>
                            <w:rPr>
                              <w:b/>
                              <w:sz w:val="56"/>
                              <w:szCs w:val="56"/>
                            </w:rPr>
                            <w:br/>
                          </w:r>
                        </w:p>
                        <w:p w14:paraId="58F77FE1" w14:textId="15776C6E" w:rsidR="005F6E81" w:rsidRPr="00DA4E48" w:rsidRDefault="005F6E81" w:rsidP="00367B0F">
                          <w:pPr>
                            <w:pStyle w:val="Intro"/>
                            <w:rPr>
                              <w:b/>
                              <w:bCs/>
                              <w:color w:val="7F7F7F" w:themeColor="text1" w:themeTint="80"/>
                              <w:sz w:val="24"/>
                              <w:szCs w:val="24"/>
                              <w:lang w:val="en-GB"/>
                            </w:rPr>
                          </w:pPr>
                          <w:r w:rsidRPr="00DA4E48">
                            <w:rPr>
                              <w:b/>
                              <w:bCs/>
                              <w:color w:val="7F7F7F" w:themeColor="text1" w:themeTint="80"/>
                              <w:sz w:val="24"/>
                              <w:szCs w:val="24"/>
                              <w:lang w:val="en-GB"/>
                            </w:rPr>
                            <w:t xml:space="preserve">Version 2.0 </w:t>
                          </w:r>
                          <w:r>
                            <w:rPr>
                              <w:b/>
                              <w:bCs/>
                              <w:color w:val="7F7F7F" w:themeColor="text1" w:themeTint="80"/>
                              <w:sz w:val="24"/>
                              <w:szCs w:val="24"/>
                              <w:lang w:val="en-GB"/>
                            </w:rPr>
                            <w:t>February</w:t>
                          </w:r>
                          <w:r w:rsidRPr="00DA4E48">
                            <w:rPr>
                              <w:b/>
                              <w:bCs/>
                              <w:color w:val="7F7F7F" w:themeColor="text1" w:themeTint="80"/>
                              <w:sz w:val="24"/>
                              <w:szCs w:val="24"/>
                              <w:lang w:val="en-GB"/>
                            </w:rPr>
                            <w:t xml:space="preserve"> 20</w:t>
                          </w:r>
                          <w:r>
                            <w:rPr>
                              <w:b/>
                              <w:bCs/>
                              <w:color w:val="7F7F7F" w:themeColor="text1" w:themeTint="80"/>
                              <w:sz w:val="24"/>
                              <w:szCs w:val="24"/>
                              <w:lang w:val="en-G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81A44" id="_x0000_t202" coordsize="21600,21600" o:spt="202" path="m,l,21600r21600,l21600,xe">
              <v:stroke joinstyle="miter"/>
              <v:path gradientshapeok="t" o:connecttype="rect"/>
            </v:shapetype>
            <v:shape id="Text Box 7" o:spid="_x0000_s1026" type="#_x0000_t202" style="position:absolute;margin-left:-2.3pt;margin-top:15.85pt;width:414pt;height:4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" filled="f" stroked="f">
              <v:textbox>
                <w:txbxContent>
                  <w:p w14:paraId="09A2E0F2" w14:textId="143CB9E8" w:rsidR="005F6E81" w:rsidRPr="00AC0E77" w:rsidRDefault="005F6E81" w:rsidP="00C21837">
                    <w:pPr>
                      <w:pStyle w:val="Header"/>
                      <w:rPr>
                        <w:b/>
                        <w:bCs/>
                        <w:color w:val="404040" w:themeColor="text1" w:themeTint="BF"/>
                        <w:sz w:val="34"/>
                        <w:szCs w:val="34"/>
                      </w:rPr>
                    </w:pPr>
                  </w:p>
                  <w:p w14:paraId="489C6181" w14:textId="69D7F82C" w:rsidR="005F6E81" w:rsidRPr="00DF5013" w:rsidRDefault="005F6E81" w:rsidP="00643549">
                    <w:pPr>
                      <w:pStyle w:val="Header"/>
                    </w:pPr>
                    <w:r>
                      <w:br/>
                    </w:r>
                    <w:r>
                      <w:br/>
                    </w:r>
                    <w:r>
                      <w:br/>
                    </w:r>
                    <w:r>
                      <w:br/>
                    </w:r>
                    <w:r>
                      <w:br/>
                    </w:r>
                    <w:r>
                      <w:br/>
                    </w:r>
                    <w:r>
                      <w:br/>
                    </w:r>
                    <w:r>
                      <w:br/>
                    </w:r>
                    <w:r>
                      <w:br/>
                    </w:r>
                    <w:r>
                      <w:br/>
                    </w:r>
                  </w:p>
                  <w:p w14:paraId="3255778B" w14:textId="61866EDE" w:rsidR="005F6E81" w:rsidRPr="006015E3" w:rsidRDefault="005F6E81" w:rsidP="006015E3">
                    <w:pPr>
                      <w:pStyle w:val="BodyCopy"/>
                      <w:spacing w:after="120" w:line="240" w:lineRule="auto"/>
                      <w:rPr>
                        <w:b/>
                        <w:sz w:val="24"/>
                        <w:szCs w:val="24"/>
                      </w:rPr>
                    </w:pPr>
                    <w:r>
                      <w:rPr>
                        <w:b/>
                        <w:sz w:val="56"/>
                        <w:szCs w:val="56"/>
                      </w:rPr>
                      <w:br/>
                      <w:t xml:space="preserve">Victorian Protective Data </w:t>
                    </w:r>
                    <w:r>
                      <w:rPr>
                        <w:b/>
                        <w:sz w:val="56"/>
                        <w:szCs w:val="56"/>
                      </w:rPr>
                      <w:br/>
                      <w:t>Security Framework</w:t>
                    </w:r>
                    <w:r>
                      <w:rPr>
                        <w:b/>
                        <w:sz w:val="56"/>
                        <w:szCs w:val="56"/>
                      </w:rPr>
                      <w:br/>
                    </w:r>
                  </w:p>
                  <w:p w14:paraId="58F77FE1" w14:textId="15776C6E" w:rsidR="005F6E81" w:rsidRPr="00DA4E48" w:rsidRDefault="005F6E81" w:rsidP="00367B0F">
                    <w:pPr>
                      <w:pStyle w:val="Intro"/>
                      <w:rPr>
                        <w:b/>
                        <w:bCs/>
                        <w:color w:val="7F7F7F" w:themeColor="text1" w:themeTint="80"/>
                        <w:sz w:val="24"/>
                        <w:szCs w:val="24"/>
                        <w:lang w:val="en-GB"/>
                      </w:rPr>
                    </w:pPr>
                    <w:r w:rsidRPr="00DA4E48">
                      <w:rPr>
                        <w:b/>
                        <w:bCs/>
                        <w:color w:val="7F7F7F" w:themeColor="text1" w:themeTint="80"/>
                        <w:sz w:val="24"/>
                        <w:szCs w:val="24"/>
                        <w:lang w:val="en-GB"/>
                      </w:rPr>
                      <w:t xml:space="preserve">Version 2.0 </w:t>
                    </w:r>
                    <w:r>
                      <w:rPr>
                        <w:b/>
                        <w:bCs/>
                        <w:color w:val="7F7F7F" w:themeColor="text1" w:themeTint="80"/>
                        <w:sz w:val="24"/>
                        <w:szCs w:val="24"/>
                        <w:lang w:val="en-GB"/>
                      </w:rPr>
                      <w:t>February</w:t>
                    </w:r>
                    <w:r w:rsidRPr="00DA4E48">
                      <w:rPr>
                        <w:b/>
                        <w:bCs/>
                        <w:color w:val="7F7F7F" w:themeColor="text1" w:themeTint="80"/>
                        <w:sz w:val="24"/>
                        <w:szCs w:val="24"/>
                        <w:lang w:val="en-GB"/>
                      </w:rPr>
                      <w:t xml:space="preserve"> 20</w:t>
                    </w:r>
                    <w:r>
                      <w:rPr>
                        <w:b/>
                        <w:bCs/>
                        <w:color w:val="7F7F7F" w:themeColor="text1" w:themeTint="80"/>
                        <w:sz w:val="24"/>
                        <w:szCs w:val="24"/>
                        <w:lang w:val="en-GB"/>
                      </w:rPr>
                      <w:t>20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84B8" w14:textId="0B3D641E" w:rsidR="005F6E81" w:rsidRPr="00C33267" w:rsidRDefault="005F6E81" w:rsidP="00C33267">
    <w:pPr>
      <w:pStyle w:val="DocumentTitle"/>
      <w:tabs>
        <w:tab w:val="clear" w:pos="4513"/>
        <w:tab w:val="clear" w:pos="6946"/>
        <w:tab w:val="right" w:pos="2835"/>
      </w:tabs>
      <w:spacing w:after="600"/>
      <w:rPr>
        <w:rFonts w:ascii="Calibri" w:hAnsi="Calibri"/>
        <w:b w:val="0"/>
        <w:bCs/>
        <w:color w:val="5620A9"/>
        <w:sz w:val="24"/>
        <w:szCs w:val="24"/>
        <w:lang w:val="en-US"/>
      </w:rPr>
    </w:pPr>
    <w:r>
      <w:rPr>
        <w:rFonts w:ascii="Calibri" w:hAnsi="Calibri"/>
        <w:b w:val="0"/>
        <w:bCs/>
        <w:color w:val="5620A9"/>
        <w:sz w:val="24"/>
        <w:szCs w:val="24"/>
      </w:rPr>
      <w:t xml:space="preserve">Victorian Protective Data Security Framework </w:t>
    </w:r>
    <w:r w:rsidRPr="00BD11CA">
      <w:rPr>
        <w:rFonts w:ascii="Calibri" w:hAnsi="Calibri"/>
        <w:b w:val="0"/>
        <w:bCs/>
        <w:color w:val="EC008C"/>
        <w:sz w:val="24"/>
        <w:szCs w:val="24"/>
      </w:rPr>
      <w:t>|</w:t>
    </w:r>
    <w:r w:rsidRPr="00BD11CA">
      <w:rPr>
        <w:rFonts w:ascii="Calibri" w:hAnsi="Calibri"/>
        <w:b w:val="0"/>
        <w:bCs/>
        <w:color w:val="5620A9"/>
        <w:sz w:val="24"/>
        <w:szCs w:val="24"/>
      </w:rPr>
      <w:t xml:space="preserve"> </w:t>
    </w:r>
    <w:r>
      <w:rPr>
        <w:rFonts w:ascii="Calibri" w:hAnsi="Calibri"/>
        <w:b w:val="0"/>
        <w:bCs/>
        <w:color w:val="5620A9"/>
        <w:sz w:val="24"/>
        <w:szCs w:val="24"/>
      </w:rPr>
      <w:t>Version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A48"/>
    <w:multiLevelType w:val="hybridMultilevel"/>
    <w:tmpl w:val="D5AA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C6E86"/>
    <w:multiLevelType w:val="hybridMultilevel"/>
    <w:tmpl w:val="B48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57DE"/>
    <w:multiLevelType w:val="hybridMultilevel"/>
    <w:tmpl w:val="695E96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4FF5FDE"/>
    <w:multiLevelType w:val="hybridMultilevel"/>
    <w:tmpl w:val="41C8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17080"/>
    <w:multiLevelType w:val="hybridMultilevel"/>
    <w:tmpl w:val="5072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1254D"/>
    <w:multiLevelType w:val="hybridMultilevel"/>
    <w:tmpl w:val="64BA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C027D"/>
    <w:multiLevelType w:val="hybridMultilevel"/>
    <w:tmpl w:val="427C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A56D7"/>
    <w:multiLevelType w:val="multilevel"/>
    <w:tmpl w:val="B3729A46"/>
    <w:numStyleLink w:val="111111"/>
  </w:abstractNum>
  <w:abstractNum w:abstractNumId="8" w15:restartNumberingAfterBreak="0">
    <w:nsid w:val="11964833"/>
    <w:multiLevelType w:val="hybridMultilevel"/>
    <w:tmpl w:val="6C58C454"/>
    <w:lvl w:ilvl="0" w:tplc="5736095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95EB5"/>
    <w:multiLevelType w:val="hybridMultilevel"/>
    <w:tmpl w:val="1E74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7652"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2F12FD"/>
    <w:multiLevelType w:val="multilevel"/>
    <w:tmpl w:val="0809001D"/>
    <w:numStyleLink w:val="OVICbullet"/>
  </w:abstractNum>
  <w:abstractNum w:abstractNumId="12"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DB556B"/>
    <w:multiLevelType w:val="hybridMultilevel"/>
    <w:tmpl w:val="43D8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74C2E"/>
    <w:multiLevelType w:val="hybridMultilevel"/>
    <w:tmpl w:val="8DBA842E"/>
    <w:lvl w:ilvl="0" w:tplc="47784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B4F52"/>
    <w:multiLevelType w:val="hybridMultilevel"/>
    <w:tmpl w:val="813E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C3359"/>
    <w:multiLevelType w:val="hybridMultilevel"/>
    <w:tmpl w:val="290A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03061E"/>
    <w:multiLevelType w:val="hybridMultilevel"/>
    <w:tmpl w:val="DDD2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B7F41"/>
    <w:multiLevelType w:val="hybridMultilevel"/>
    <w:tmpl w:val="53AA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D6517"/>
    <w:multiLevelType w:val="hybridMultilevel"/>
    <w:tmpl w:val="BB04071C"/>
    <w:lvl w:ilvl="0" w:tplc="98601C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A2A1F"/>
    <w:multiLevelType w:val="multilevel"/>
    <w:tmpl w:val="3BA699FA"/>
    <w:numStyleLink w:val="1ai"/>
  </w:abstractNum>
  <w:abstractNum w:abstractNumId="23" w15:restartNumberingAfterBreak="0">
    <w:nsid w:val="525B2E63"/>
    <w:multiLevelType w:val="hybridMultilevel"/>
    <w:tmpl w:val="85CEA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21718"/>
    <w:multiLevelType w:val="hybridMultilevel"/>
    <w:tmpl w:val="7222F2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6757C76"/>
    <w:multiLevelType w:val="hybridMultilevel"/>
    <w:tmpl w:val="05C83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46143"/>
    <w:multiLevelType w:val="hybridMultilevel"/>
    <w:tmpl w:val="0EF42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008CB"/>
    <w:multiLevelType w:val="hybridMultilevel"/>
    <w:tmpl w:val="1DE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96E05"/>
    <w:multiLevelType w:val="hybridMultilevel"/>
    <w:tmpl w:val="F41462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36033CC"/>
    <w:multiLevelType w:val="hybridMultilevel"/>
    <w:tmpl w:val="4A809550"/>
    <w:lvl w:ilvl="0" w:tplc="A984CF9A">
      <w:start w:val="1"/>
      <w:numFmt w:val="bullet"/>
      <w:pStyle w:val="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155"/>
    <w:multiLevelType w:val="hybridMultilevel"/>
    <w:tmpl w:val="B1C8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F7FE8"/>
    <w:multiLevelType w:val="hybridMultilevel"/>
    <w:tmpl w:val="9126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C25A6"/>
    <w:multiLevelType w:val="hybridMultilevel"/>
    <w:tmpl w:val="FF98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A5BFD"/>
    <w:multiLevelType w:val="hybridMultilevel"/>
    <w:tmpl w:val="6E28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E249D"/>
    <w:multiLevelType w:val="hybridMultilevel"/>
    <w:tmpl w:val="A38A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7D3EFF"/>
    <w:multiLevelType w:val="hybridMultilevel"/>
    <w:tmpl w:val="E9A4F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A4E88"/>
    <w:multiLevelType w:val="hybridMultilevel"/>
    <w:tmpl w:val="DBAE3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5"/>
  </w:num>
  <w:num w:numId="2">
    <w:abstractNumId w:val="11"/>
  </w:num>
  <w:num w:numId="3">
    <w:abstractNumId w:val="10"/>
  </w:num>
  <w:num w:numId="4">
    <w:abstractNumId w:val="14"/>
  </w:num>
  <w:num w:numId="5">
    <w:abstractNumId w:val="13"/>
  </w:num>
  <w:num w:numId="6">
    <w:abstractNumId w:val="7"/>
  </w:num>
  <w:num w:numId="7">
    <w:abstractNumId w:val="12"/>
  </w:num>
  <w:num w:numId="8">
    <w:abstractNumId w:val="22"/>
  </w:num>
  <w:num w:numId="9">
    <w:abstractNumId w:val="21"/>
  </w:num>
  <w:num w:numId="10">
    <w:abstractNumId w:val="16"/>
  </w:num>
  <w:num w:numId="11">
    <w:abstractNumId w:val="29"/>
  </w:num>
  <w:num w:numId="12">
    <w:abstractNumId w:val="34"/>
  </w:num>
  <w:num w:numId="13">
    <w:abstractNumId w:val="23"/>
  </w:num>
  <w:num w:numId="14">
    <w:abstractNumId w:val="24"/>
  </w:num>
  <w:num w:numId="15">
    <w:abstractNumId w:val="26"/>
  </w:num>
  <w:num w:numId="16">
    <w:abstractNumId w:val="31"/>
  </w:num>
  <w:num w:numId="17">
    <w:abstractNumId w:val="30"/>
  </w:num>
  <w:num w:numId="18">
    <w:abstractNumId w:val="36"/>
  </w:num>
  <w:num w:numId="19">
    <w:abstractNumId w:val="15"/>
  </w:num>
  <w:num w:numId="20">
    <w:abstractNumId w:val="8"/>
  </w:num>
  <w:num w:numId="21">
    <w:abstractNumId w:val="33"/>
  </w:num>
  <w:num w:numId="22">
    <w:abstractNumId w:val="4"/>
  </w:num>
  <w:num w:numId="23">
    <w:abstractNumId w:val="28"/>
  </w:num>
  <w:num w:numId="24">
    <w:abstractNumId w:val="1"/>
  </w:num>
  <w:num w:numId="25">
    <w:abstractNumId w:val="6"/>
  </w:num>
  <w:num w:numId="26">
    <w:abstractNumId w:val="37"/>
  </w:num>
  <w:num w:numId="27">
    <w:abstractNumId w:val="19"/>
  </w:num>
  <w:num w:numId="28">
    <w:abstractNumId w:val="2"/>
  </w:num>
  <w:num w:numId="29">
    <w:abstractNumId w:val="9"/>
  </w:num>
  <w:num w:numId="30">
    <w:abstractNumId w:val="5"/>
  </w:num>
  <w:num w:numId="31">
    <w:abstractNumId w:val="27"/>
  </w:num>
  <w:num w:numId="32">
    <w:abstractNumId w:val="32"/>
  </w:num>
  <w:num w:numId="33">
    <w:abstractNumId w:val="0"/>
  </w:num>
  <w:num w:numId="34">
    <w:abstractNumId w:val="25"/>
  </w:num>
  <w:num w:numId="35">
    <w:abstractNumId w:val="18"/>
  </w:num>
  <w:num w:numId="36">
    <w:abstractNumId w:val="20"/>
  </w:num>
  <w:num w:numId="37">
    <w:abstractNumId w:val="17"/>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EB"/>
    <w:rsid w:val="00000A0D"/>
    <w:rsid w:val="00003FDE"/>
    <w:rsid w:val="00005D6F"/>
    <w:rsid w:val="00006BC0"/>
    <w:rsid w:val="000073CA"/>
    <w:rsid w:val="00007C33"/>
    <w:rsid w:val="000123E6"/>
    <w:rsid w:val="0001494E"/>
    <w:rsid w:val="00015994"/>
    <w:rsid w:val="00016DB7"/>
    <w:rsid w:val="00017F6F"/>
    <w:rsid w:val="00020A5A"/>
    <w:rsid w:val="00020D51"/>
    <w:rsid w:val="000230DA"/>
    <w:rsid w:val="00023988"/>
    <w:rsid w:val="00026663"/>
    <w:rsid w:val="000324BD"/>
    <w:rsid w:val="00033565"/>
    <w:rsid w:val="00034521"/>
    <w:rsid w:val="0003484F"/>
    <w:rsid w:val="00037A06"/>
    <w:rsid w:val="00040B74"/>
    <w:rsid w:val="00043649"/>
    <w:rsid w:val="000436AD"/>
    <w:rsid w:val="000465DB"/>
    <w:rsid w:val="00051C56"/>
    <w:rsid w:val="000539CF"/>
    <w:rsid w:val="00054B20"/>
    <w:rsid w:val="00055189"/>
    <w:rsid w:val="0005546F"/>
    <w:rsid w:val="000563AC"/>
    <w:rsid w:val="000566C5"/>
    <w:rsid w:val="0005723C"/>
    <w:rsid w:val="0006015B"/>
    <w:rsid w:val="00065D32"/>
    <w:rsid w:val="00067F0F"/>
    <w:rsid w:val="00067F1D"/>
    <w:rsid w:val="00070249"/>
    <w:rsid w:val="00070899"/>
    <w:rsid w:val="0007430F"/>
    <w:rsid w:val="00074702"/>
    <w:rsid w:val="0007485C"/>
    <w:rsid w:val="00074D50"/>
    <w:rsid w:val="00090067"/>
    <w:rsid w:val="0009040A"/>
    <w:rsid w:val="00090E03"/>
    <w:rsid w:val="00092BFE"/>
    <w:rsid w:val="00093318"/>
    <w:rsid w:val="000935B9"/>
    <w:rsid w:val="00094FD4"/>
    <w:rsid w:val="00095DA3"/>
    <w:rsid w:val="000960A5"/>
    <w:rsid w:val="00097344"/>
    <w:rsid w:val="00097908"/>
    <w:rsid w:val="000A32DB"/>
    <w:rsid w:val="000A5B9D"/>
    <w:rsid w:val="000B1E4C"/>
    <w:rsid w:val="000B4A9F"/>
    <w:rsid w:val="000C07BD"/>
    <w:rsid w:val="000C0860"/>
    <w:rsid w:val="000C0A00"/>
    <w:rsid w:val="000C2D2B"/>
    <w:rsid w:val="000C6486"/>
    <w:rsid w:val="000D084B"/>
    <w:rsid w:val="000D19E8"/>
    <w:rsid w:val="000D1C5C"/>
    <w:rsid w:val="000D2F12"/>
    <w:rsid w:val="000D3628"/>
    <w:rsid w:val="000D457F"/>
    <w:rsid w:val="000E0EE1"/>
    <w:rsid w:val="000E2898"/>
    <w:rsid w:val="000E3042"/>
    <w:rsid w:val="000E7A53"/>
    <w:rsid w:val="000F0B1D"/>
    <w:rsid w:val="000F3106"/>
    <w:rsid w:val="000F3D5A"/>
    <w:rsid w:val="000F5D1F"/>
    <w:rsid w:val="000F70C7"/>
    <w:rsid w:val="00100C2F"/>
    <w:rsid w:val="00101B30"/>
    <w:rsid w:val="00102F68"/>
    <w:rsid w:val="001059A4"/>
    <w:rsid w:val="00106757"/>
    <w:rsid w:val="00107BBE"/>
    <w:rsid w:val="00107CBE"/>
    <w:rsid w:val="00110068"/>
    <w:rsid w:val="001123E1"/>
    <w:rsid w:val="00114534"/>
    <w:rsid w:val="0011662E"/>
    <w:rsid w:val="00116660"/>
    <w:rsid w:val="00116A39"/>
    <w:rsid w:val="00120F99"/>
    <w:rsid w:val="0012200B"/>
    <w:rsid w:val="0012296B"/>
    <w:rsid w:val="00123879"/>
    <w:rsid w:val="00127586"/>
    <w:rsid w:val="00127C50"/>
    <w:rsid w:val="00130F69"/>
    <w:rsid w:val="00131367"/>
    <w:rsid w:val="00131D4C"/>
    <w:rsid w:val="001329E1"/>
    <w:rsid w:val="00132F6D"/>
    <w:rsid w:val="00133D67"/>
    <w:rsid w:val="001347C4"/>
    <w:rsid w:val="00136141"/>
    <w:rsid w:val="00141588"/>
    <w:rsid w:val="00143296"/>
    <w:rsid w:val="00144FDA"/>
    <w:rsid w:val="0014601E"/>
    <w:rsid w:val="001471B0"/>
    <w:rsid w:val="00151D54"/>
    <w:rsid w:val="0015264B"/>
    <w:rsid w:val="00156B23"/>
    <w:rsid w:val="00156F9C"/>
    <w:rsid w:val="00160681"/>
    <w:rsid w:val="001623EB"/>
    <w:rsid w:val="00162F99"/>
    <w:rsid w:val="00163213"/>
    <w:rsid w:val="00167D45"/>
    <w:rsid w:val="0017322E"/>
    <w:rsid w:val="0017434D"/>
    <w:rsid w:val="00175C63"/>
    <w:rsid w:val="001775A9"/>
    <w:rsid w:val="00177A43"/>
    <w:rsid w:val="00177BB1"/>
    <w:rsid w:val="00180349"/>
    <w:rsid w:val="00180F68"/>
    <w:rsid w:val="001843C8"/>
    <w:rsid w:val="0018556B"/>
    <w:rsid w:val="00186BBC"/>
    <w:rsid w:val="001932C1"/>
    <w:rsid w:val="001932E1"/>
    <w:rsid w:val="00195C2E"/>
    <w:rsid w:val="001977E9"/>
    <w:rsid w:val="001A1BA6"/>
    <w:rsid w:val="001A1C17"/>
    <w:rsid w:val="001A4031"/>
    <w:rsid w:val="001A4C9F"/>
    <w:rsid w:val="001B03B2"/>
    <w:rsid w:val="001B3A0E"/>
    <w:rsid w:val="001B3B16"/>
    <w:rsid w:val="001B42DA"/>
    <w:rsid w:val="001B4887"/>
    <w:rsid w:val="001B54DC"/>
    <w:rsid w:val="001B66F3"/>
    <w:rsid w:val="001B7C10"/>
    <w:rsid w:val="001C0D4C"/>
    <w:rsid w:val="001C76D5"/>
    <w:rsid w:val="001C7A9A"/>
    <w:rsid w:val="001D0FDE"/>
    <w:rsid w:val="001D43A5"/>
    <w:rsid w:val="001D450C"/>
    <w:rsid w:val="001E18F7"/>
    <w:rsid w:val="001E2380"/>
    <w:rsid w:val="001E27B8"/>
    <w:rsid w:val="001E5AB6"/>
    <w:rsid w:val="001F034A"/>
    <w:rsid w:val="001F20ED"/>
    <w:rsid w:val="001F2568"/>
    <w:rsid w:val="001F31C1"/>
    <w:rsid w:val="001F4FFA"/>
    <w:rsid w:val="001F57CE"/>
    <w:rsid w:val="00203AFD"/>
    <w:rsid w:val="00205C10"/>
    <w:rsid w:val="002068DC"/>
    <w:rsid w:val="00210180"/>
    <w:rsid w:val="00214D0A"/>
    <w:rsid w:val="00214FBE"/>
    <w:rsid w:val="00215D7E"/>
    <w:rsid w:val="0021770B"/>
    <w:rsid w:val="00221383"/>
    <w:rsid w:val="0022248B"/>
    <w:rsid w:val="00222AB6"/>
    <w:rsid w:val="00223E16"/>
    <w:rsid w:val="00224DFB"/>
    <w:rsid w:val="0023045E"/>
    <w:rsid w:val="0023183E"/>
    <w:rsid w:val="00232121"/>
    <w:rsid w:val="0023444D"/>
    <w:rsid w:val="00235904"/>
    <w:rsid w:val="002429D7"/>
    <w:rsid w:val="002441ED"/>
    <w:rsid w:val="00250A35"/>
    <w:rsid w:val="002525B8"/>
    <w:rsid w:val="00254D17"/>
    <w:rsid w:val="00255641"/>
    <w:rsid w:val="002612A1"/>
    <w:rsid w:val="00263D98"/>
    <w:rsid w:val="002646CE"/>
    <w:rsid w:val="00266E56"/>
    <w:rsid w:val="00267665"/>
    <w:rsid w:val="00271579"/>
    <w:rsid w:val="0027332C"/>
    <w:rsid w:val="00275BFB"/>
    <w:rsid w:val="0027654F"/>
    <w:rsid w:val="00282B14"/>
    <w:rsid w:val="00282DA8"/>
    <w:rsid w:val="00283762"/>
    <w:rsid w:val="00284B0A"/>
    <w:rsid w:val="002856D5"/>
    <w:rsid w:val="0029103C"/>
    <w:rsid w:val="0029238A"/>
    <w:rsid w:val="00293B0E"/>
    <w:rsid w:val="00293C9B"/>
    <w:rsid w:val="0029755A"/>
    <w:rsid w:val="002A0B43"/>
    <w:rsid w:val="002A2872"/>
    <w:rsid w:val="002A3225"/>
    <w:rsid w:val="002A5998"/>
    <w:rsid w:val="002A6FCB"/>
    <w:rsid w:val="002B00DA"/>
    <w:rsid w:val="002B0C0A"/>
    <w:rsid w:val="002C095C"/>
    <w:rsid w:val="002C47EB"/>
    <w:rsid w:val="002C4BFD"/>
    <w:rsid w:val="002D2DBB"/>
    <w:rsid w:val="002D778E"/>
    <w:rsid w:val="002E048A"/>
    <w:rsid w:val="002E1D94"/>
    <w:rsid w:val="002E3041"/>
    <w:rsid w:val="002F1E1A"/>
    <w:rsid w:val="002F4480"/>
    <w:rsid w:val="002F7DA6"/>
    <w:rsid w:val="003021F9"/>
    <w:rsid w:val="00304AA7"/>
    <w:rsid w:val="003058BB"/>
    <w:rsid w:val="00305EA6"/>
    <w:rsid w:val="00310057"/>
    <w:rsid w:val="003101FF"/>
    <w:rsid w:val="00310D78"/>
    <w:rsid w:val="0031196F"/>
    <w:rsid w:val="00312AA0"/>
    <w:rsid w:val="00313554"/>
    <w:rsid w:val="003203C0"/>
    <w:rsid w:val="00320DF0"/>
    <w:rsid w:val="00321457"/>
    <w:rsid w:val="00322A4B"/>
    <w:rsid w:val="00327345"/>
    <w:rsid w:val="003276A4"/>
    <w:rsid w:val="003340EA"/>
    <w:rsid w:val="003341B4"/>
    <w:rsid w:val="00334C88"/>
    <w:rsid w:val="00334EFF"/>
    <w:rsid w:val="00335BF6"/>
    <w:rsid w:val="00336FEB"/>
    <w:rsid w:val="003371F1"/>
    <w:rsid w:val="00337826"/>
    <w:rsid w:val="0034054C"/>
    <w:rsid w:val="0034157D"/>
    <w:rsid w:val="00341FC3"/>
    <w:rsid w:val="00342B38"/>
    <w:rsid w:val="003461C8"/>
    <w:rsid w:val="00351B13"/>
    <w:rsid w:val="00353ADC"/>
    <w:rsid w:val="00356982"/>
    <w:rsid w:val="0035734B"/>
    <w:rsid w:val="00360719"/>
    <w:rsid w:val="00361E8E"/>
    <w:rsid w:val="00362592"/>
    <w:rsid w:val="00364A93"/>
    <w:rsid w:val="00366B29"/>
    <w:rsid w:val="00366FFF"/>
    <w:rsid w:val="00367B0F"/>
    <w:rsid w:val="0037067A"/>
    <w:rsid w:val="003709A4"/>
    <w:rsid w:val="00372DC6"/>
    <w:rsid w:val="00373B13"/>
    <w:rsid w:val="00374F82"/>
    <w:rsid w:val="00374FB7"/>
    <w:rsid w:val="00375893"/>
    <w:rsid w:val="00376E1F"/>
    <w:rsid w:val="00381C38"/>
    <w:rsid w:val="003850B4"/>
    <w:rsid w:val="0038572E"/>
    <w:rsid w:val="00385776"/>
    <w:rsid w:val="00385AA4"/>
    <w:rsid w:val="00387B7C"/>
    <w:rsid w:val="00387EA7"/>
    <w:rsid w:val="00390D10"/>
    <w:rsid w:val="00391CCA"/>
    <w:rsid w:val="00393D60"/>
    <w:rsid w:val="003941BD"/>
    <w:rsid w:val="00396650"/>
    <w:rsid w:val="00397205"/>
    <w:rsid w:val="0039730E"/>
    <w:rsid w:val="003A0618"/>
    <w:rsid w:val="003A0B08"/>
    <w:rsid w:val="003A116B"/>
    <w:rsid w:val="003A44AF"/>
    <w:rsid w:val="003A5B51"/>
    <w:rsid w:val="003A6D22"/>
    <w:rsid w:val="003B00B8"/>
    <w:rsid w:val="003B2268"/>
    <w:rsid w:val="003B268F"/>
    <w:rsid w:val="003B69CF"/>
    <w:rsid w:val="003B71C3"/>
    <w:rsid w:val="003C08A8"/>
    <w:rsid w:val="003C3861"/>
    <w:rsid w:val="003C434D"/>
    <w:rsid w:val="003C46EF"/>
    <w:rsid w:val="003C508F"/>
    <w:rsid w:val="003C688E"/>
    <w:rsid w:val="003D27D5"/>
    <w:rsid w:val="003D5036"/>
    <w:rsid w:val="003E01A2"/>
    <w:rsid w:val="003E0AB3"/>
    <w:rsid w:val="003E2B49"/>
    <w:rsid w:val="003E672C"/>
    <w:rsid w:val="003F4959"/>
    <w:rsid w:val="003F4EBA"/>
    <w:rsid w:val="00400394"/>
    <w:rsid w:val="0040151D"/>
    <w:rsid w:val="00402206"/>
    <w:rsid w:val="00404A76"/>
    <w:rsid w:val="00404E03"/>
    <w:rsid w:val="00405932"/>
    <w:rsid w:val="004108D7"/>
    <w:rsid w:val="00412CAF"/>
    <w:rsid w:val="00414EE4"/>
    <w:rsid w:val="00415217"/>
    <w:rsid w:val="004162F0"/>
    <w:rsid w:val="0042138B"/>
    <w:rsid w:val="0042438F"/>
    <w:rsid w:val="00432ABD"/>
    <w:rsid w:val="00432AFE"/>
    <w:rsid w:val="00432F3E"/>
    <w:rsid w:val="0043422C"/>
    <w:rsid w:val="00435B0C"/>
    <w:rsid w:val="004368A9"/>
    <w:rsid w:val="00437380"/>
    <w:rsid w:val="0044165A"/>
    <w:rsid w:val="00445A00"/>
    <w:rsid w:val="00445CCD"/>
    <w:rsid w:val="00450A49"/>
    <w:rsid w:val="00450A7B"/>
    <w:rsid w:val="004515D6"/>
    <w:rsid w:val="00451FE1"/>
    <w:rsid w:val="004559C6"/>
    <w:rsid w:val="00455FAE"/>
    <w:rsid w:val="00456C15"/>
    <w:rsid w:val="00461B55"/>
    <w:rsid w:val="00462B4C"/>
    <w:rsid w:val="00463024"/>
    <w:rsid w:val="004643ED"/>
    <w:rsid w:val="0047093A"/>
    <w:rsid w:val="0047232C"/>
    <w:rsid w:val="00474A3F"/>
    <w:rsid w:val="00475BAA"/>
    <w:rsid w:val="00476E5E"/>
    <w:rsid w:val="00480A70"/>
    <w:rsid w:val="00482049"/>
    <w:rsid w:val="00483542"/>
    <w:rsid w:val="00483FDE"/>
    <w:rsid w:val="004851B6"/>
    <w:rsid w:val="00490859"/>
    <w:rsid w:val="00490DCA"/>
    <w:rsid w:val="004940C9"/>
    <w:rsid w:val="00494687"/>
    <w:rsid w:val="00497D48"/>
    <w:rsid w:val="004A117D"/>
    <w:rsid w:val="004A1A9C"/>
    <w:rsid w:val="004A489C"/>
    <w:rsid w:val="004B2419"/>
    <w:rsid w:val="004B2F22"/>
    <w:rsid w:val="004B388A"/>
    <w:rsid w:val="004B44CE"/>
    <w:rsid w:val="004B5AA5"/>
    <w:rsid w:val="004B767D"/>
    <w:rsid w:val="004C10A7"/>
    <w:rsid w:val="004C38F7"/>
    <w:rsid w:val="004C614E"/>
    <w:rsid w:val="004C79E2"/>
    <w:rsid w:val="004D1951"/>
    <w:rsid w:val="004D1FDD"/>
    <w:rsid w:val="004D213A"/>
    <w:rsid w:val="004D283D"/>
    <w:rsid w:val="004D39E2"/>
    <w:rsid w:val="004D4B0F"/>
    <w:rsid w:val="004E1449"/>
    <w:rsid w:val="004E37D6"/>
    <w:rsid w:val="004E64D3"/>
    <w:rsid w:val="004E677E"/>
    <w:rsid w:val="004E77CF"/>
    <w:rsid w:val="004E79C4"/>
    <w:rsid w:val="004E7A78"/>
    <w:rsid w:val="004E7BA7"/>
    <w:rsid w:val="004F0C2F"/>
    <w:rsid w:val="004F1561"/>
    <w:rsid w:val="004F2D32"/>
    <w:rsid w:val="004F34BD"/>
    <w:rsid w:val="004F454A"/>
    <w:rsid w:val="004F595E"/>
    <w:rsid w:val="004F6735"/>
    <w:rsid w:val="004F6DE0"/>
    <w:rsid w:val="00500D67"/>
    <w:rsid w:val="00505EC3"/>
    <w:rsid w:val="00510737"/>
    <w:rsid w:val="00512F63"/>
    <w:rsid w:val="00514DA3"/>
    <w:rsid w:val="00516A3B"/>
    <w:rsid w:val="00517487"/>
    <w:rsid w:val="00521E26"/>
    <w:rsid w:val="005225BA"/>
    <w:rsid w:val="005226D3"/>
    <w:rsid w:val="005235D4"/>
    <w:rsid w:val="00523ABC"/>
    <w:rsid w:val="00524463"/>
    <w:rsid w:val="00526481"/>
    <w:rsid w:val="005269F3"/>
    <w:rsid w:val="005326EE"/>
    <w:rsid w:val="00535A43"/>
    <w:rsid w:val="00537725"/>
    <w:rsid w:val="00537E5A"/>
    <w:rsid w:val="005407F9"/>
    <w:rsid w:val="00543C5A"/>
    <w:rsid w:val="00546602"/>
    <w:rsid w:val="005470C5"/>
    <w:rsid w:val="00547D9C"/>
    <w:rsid w:val="00553F33"/>
    <w:rsid w:val="005544D8"/>
    <w:rsid w:val="005546FF"/>
    <w:rsid w:val="00554A1F"/>
    <w:rsid w:val="005561DC"/>
    <w:rsid w:val="00556723"/>
    <w:rsid w:val="00556989"/>
    <w:rsid w:val="0056167C"/>
    <w:rsid w:val="005735A4"/>
    <w:rsid w:val="0058098F"/>
    <w:rsid w:val="00580CC1"/>
    <w:rsid w:val="00591D08"/>
    <w:rsid w:val="00592838"/>
    <w:rsid w:val="00592F76"/>
    <w:rsid w:val="00594D4B"/>
    <w:rsid w:val="005956EE"/>
    <w:rsid w:val="005A044B"/>
    <w:rsid w:val="005A0820"/>
    <w:rsid w:val="005A30EF"/>
    <w:rsid w:val="005A3494"/>
    <w:rsid w:val="005A5DF9"/>
    <w:rsid w:val="005A66F3"/>
    <w:rsid w:val="005A6BEF"/>
    <w:rsid w:val="005A6C31"/>
    <w:rsid w:val="005A6F1C"/>
    <w:rsid w:val="005A7FEE"/>
    <w:rsid w:val="005B0D41"/>
    <w:rsid w:val="005B2DE7"/>
    <w:rsid w:val="005B3964"/>
    <w:rsid w:val="005B592D"/>
    <w:rsid w:val="005B7B47"/>
    <w:rsid w:val="005C55A5"/>
    <w:rsid w:val="005C5C57"/>
    <w:rsid w:val="005C6F0B"/>
    <w:rsid w:val="005D3BFB"/>
    <w:rsid w:val="005D63BD"/>
    <w:rsid w:val="005D7CC2"/>
    <w:rsid w:val="005D7DC2"/>
    <w:rsid w:val="005E2C0A"/>
    <w:rsid w:val="005E5149"/>
    <w:rsid w:val="005F0FBE"/>
    <w:rsid w:val="005F476D"/>
    <w:rsid w:val="005F5065"/>
    <w:rsid w:val="005F6A12"/>
    <w:rsid w:val="005F6E81"/>
    <w:rsid w:val="00600EFD"/>
    <w:rsid w:val="006015E3"/>
    <w:rsid w:val="00602A28"/>
    <w:rsid w:val="00604E26"/>
    <w:rsid w:val="00605619"/>
    <w:rsid w:val="00612B3F"/>
    <w:rsid w:val="00613F8B"/>
    <w:rsid w:val="00614A5A"/>
    <w:rsid w:val="00615A55"/>
    <w:rsid w:val="006160A5"/>
    <w:rsid w:val="00616391"/>
    <w:rsid w:val="0062098E"/>
    <w:rsid w:val="00620F24"/>
    <w:rsid w:val="00623CC5"/>
    <w:rsid w:val="00623F08"/>
    <w:rsid w:val="006248EB"/>
    <w:rsid w:val="0062662C"/>
    <w:rsid w:val="00627D2D"/>
    <w:rsid w:val="006321BD"/>
    <w:rsid w:val="00632B2B"/>
    <w:rsid w:val="0063603B"/>
    <w:rsid w:val="006365D9"/>
    <w:rsid w:val="006371A8"/>
    <w:rsid w:val="0063753E"/>
    <w:rsid w:val="00640746"/>
    <w:rsid w:val="0064241B"/>
    <w:rsid w:val="0064288D"/>
    <w:rsid w:val="00643549"/>
    <w:rsid w:val="00645753"/>
    <w:rsid w:val="00645E64"/>
    <w:rsid w:val="006467D9"/>
    <w:rsid w:val="00646C2E"/>
    <w:rsid w:val="00650648"/>
    <w:rsid w:val="00650AEA"/>
    <w:rsid w:val="00651BF6"/>
    <w:rsid w:val="0065444B"/>
    <w:rsid w:val="00654FE1"/>
    <w:rsid w:val="0065561B"/>
    <w:rsid w:val="00657967"/>
    <w:rsid w:val="00660CEE"/>
    <w:rsid w:val="00661E52"/>
    <w:rsid w:val="006622BF"/>
    <w:rsid w:val="00662D2E"/>
    <w:rsid w:val="00663732"/>
    <w:rsid w:val="00664501"/>
    <w:rsid w:val="006650F6"/>
    <w:rsid w:val="0066512C"/>
    <w:rsid w:val="0066652B"/>
    <w:rsid w:val="00667066"/>
    <w:rsid w:val="00667B3D"/>
    <w:rsid w:val="006723C7"/>
    <w:rsid w:val="00672871"/>
    <w:rsid w:val="00676552"/>
    <w:rsid w:val="00676AD5"/>
    <w:rsid w:val="0068310B"/>
    <w:rsid w:val="00685C86"/>
    <w:rsid w:val="00687565"/>
    <w:rsid w:val="0069153C"/>
    <w:rsid w:val="00692598"/>
    <w:rsid w:val="00697FF8"/>
    <w:rsid w:val="006A0267"/>
    <w:rsid w:val="006A36EE"/>
    <w:rsid w:val="006A3BD4"/>
    <w:rsid w:val="006A4E3B"/>
    <w:rsid w:val="006A5C95"/>
    <w:rsid w:val="006A60E9"/>
    <w:rsid w:val="006B19F5"/>
    <w:rsid w:val="006B1F27"/>
    <w:rsid w:val="006B269D"/>
    <w:rsid w:val="006B45B2"/>
    <w:rsid w:val="006B696B"/>
    <w:rsid w:val="006B6DB6"/>
    <w:rsid w:val="006C086B"/>
    <w:rsid w:val="006C16B1"/>
    <w:rsid w:val="006C20AE"/>
    <w:rsid w:val="006C211D"/>
    <w:rsid w:val="006C42D0"/>
    <w:rsid w:val="006C4D6D"/>
    <w:rsid w:val="006C4E8B"/>
    <w:rsid w:val="006C52CB"/>
    <w:rsid w:val="006C6BC6"/>
    <w:rsid w:val="006C6BCC"/>
    <w:rsid w:val="006D085A"/>
    <w:rsid w:val="006D0AA4"/>
    <w:rsid w:val="006D0F42"/>
    <w:rsid w:val="006D1A9A"/>
    <w:rsid w:val="006D4B80"/>
    <w:rsid w:val="006D6008"/>
    <w:rsid w:val="006E0EEC"/>
    <w:rsid w:val="006E6CB1"/>
    <w:rsid w:val="006E7BC4"/>
    <w:rsid w:val="006F00CF"/>
    <w:rsid w:val="006F260C"/>
    <w:rsid w:val="006F5ADF"/>
    <w:rsid w:val="006F7A57"/>
    <w:rsid w:val="007013F6"/>
    <w:rsid w:val="00703EEA"/>
    <w:rsid w:val="007046B1"/>
    <w:rsid w:val="00707D3E"/>
    <w:rsid w:val="00710E72"/>
    <w:rsid w:val="0071332C"/>
    <w:rsid w:val="007139B9"/>
    <w:rsid w:val="0071435C"/>
    <w:rsid w:val="00716417"/>
    <w:rsid w:val="00716C8A"/>
    <w:rsid w:val="00723B06"/>
    <w:rsid w:val="00726679"/>
    <w:rsid w:val="0073007A"/>
    <w:rsid w:val="007303B8"/>
    <w:rsid w:val="00730541"/>
    <w:rsid w:val="0073076D"/>
    <w:rsid w:val="00732947"/>
    <w:rsid w:val="00735B1F"/>
    <w:rsid w:val="00736B79"/>
    <w:rsid w:val="00737513"/>
    <w:rsid w:val="00742A1A"/>
    <w:rsid w:val="0074383A"/>
    <w:rsid w:val="00747F16"/>
    <w:rsid w:val="00750B25"/>
    <w:rsid w:val="00751E8E"/>
    <w:rsid w:val="00752456"/>
    <w:rsid w:val="00752779"/>
    <w:rsid w:val="00752924"/>
    <w:rsid w:val="00752B1C"/>
    <w:rsid w:val="00753E02"/>
    <w:rsid w:val="007560B3"/>
    <w:rsid w:val="0075629E"/>
    <w:rsid w:val="00757CAA"/>
    <w:rsid w:val="00757CFB"/>
    <w:rsid w:val="0076090A"/>
    <w:rsid w:val="00760DDC"/>
    <w:rsid w:val="00761F7C"/>
    <w:rsid w:val="007628A1"/>
    <w:rsid w:val="00763E64"/>
    <w:rsid w:val="0076606E"/>
    <w:rsid w:val="007664F0"/>
    <w:rsid w:val="0076662D"/>
    <w:rsid w:val="00770A2A"/>
    <w:rsid w:val="007710F7"/>
    <w:rsid w:val="007715B6"/>
    <w:rsid w:val="007750D6"/>
    <w:rsid w:val="007768A5"/>
    <w:rsid w:val="007805BF"/>
    <w:rsid w:val="00780EEF"/>
    <w:rsid w:val="00782EEE"/>
    <w:rsid w:val="00783001"/>
    <w:rsid w:val="00786E75"/>
    <w:rsid w:val="007935FB"/>
    <w:rsid w:val="007955E0"/>
    <w:rsid w:val="00795F1D"/>
    <w:rsid w:val="007A02F7"/>
    <w:rsid w:val="007A0B15"/>
    <w:rsid w:val="007A10BC"/>
    <w:rsid w:val="007A1FC3"/>
    <w:rsid w:val="007A5254"/>
    <w:rsid w:val="007B36BC"/>
    <w:rsid w:val="007B4016"/>
    <w:rsid w:val="007B542C"/>
    <w:rsid w:val="007B724A"/>
    <w:rsid w:val="007B793E"/>
    <w:rsid w:val="007C0845"/>
    <w:rsid w:val="007C3339"/>
    <w:rsid w:val="007C3A34"/>
    <w:rsid w:val="007C475C"/>
    <w:rsid w:val="007C67CE"/>
    <w:rsid w:val="007D147B"/>
    <w:rsid w:val="007D3D7B"/>
    <w:rsid w:val="007D483B"/>
    <w:rsid w:val="007D4E1F"/>
    <w:rsid w:val="007D57CD"/>
    <w:rsid w:val="007D74A7"/>
    <w:rsid w:val="007E207F"/>
    <w:rsid w:val="007E295F"/>
    <w:rsid w:val="007E327F"/>
    <w:rsid w:val="007E5331"/>
    <w:rsid w:val="007E5B10"/>
    <w:rsid w:val="007E614A"/>
    <w:rsid w:val="007E7DE3"/>
    <w:rsid w:val="007F041F"/>
    <w:rsid w:val="007F1895"/>
    <w:rsid w:val="007F29E8"/>
    <w:rsid w:val="007F2D9D"/>
    <w:rsid w:val="007F36A1"/>
    <w:rsid w:val="007F4168"/>
    <w:rsid w:val="007F478D"/>
    <w:rsid w:val="007F65C2"/>
    <w:rsid w:val="007F701F"/>
    <w:rsid w:val="007F7AE3"/>
    <w:rsid w:val="00800B1D"/>
    <w:rsid w:val="00804A2D"/>
    <w:rsid w:val="00804DB6"/>
    <w:rsid w:val="00805B96"/>
    <w:rsid w:val="008076A7"/>
    <w:rsid w:val="008137EF"/>
    <w:rsid w:val="00814E0E"/>
    <w:rsid w:val="00815D94"/>
    <w:rsid w:val="00820BD8"/>
    <w:rsid w:val="008218F2"/>
    <w:rsid w:val="008229C0"/>
    <w:rsid w:val="008255E2"/>
    <w:rsid w:val="0083010F"/>
    <w:rsid w:val="00832944"/>
    <w:rsid w:val="00833E89"/>
    <w:rsid w:val="0083535B"/>
    <w:rsid w:val="00835F63"/>
    <w:rsid w:val="008367B5"/>
    <w:rsid w:val="00840888"/>
    <w:rsid w:val="00840BBC"/>
    <w:rsid w:val="00840C21"/>
    <w:rsid w:val="00842C00"/>
    <w:rsid w:val="008433EF"/>
    <w:rsid w:val="0084585C"/>
    <w:rsid w:val="0084608D"/>
    <w:rsid w:val="0084653A"/>
    <w:rsid w:val="0084675B"/>
    <w:rsid w:val="0084739B"/>
    <w:rsid w:val="00853B2C"/>
    <w:rsid w:val="00853C14"/>
    <w:rsid w:val="00856F12"/>
    <w:rsid w:val="0086225F"/>
    <w:rsid w:val="00864AE8"/>
    <w:rsid w:val="0087351B"/>
    <w:rsid w:val="00873F06"/>
    <w:rsid w:val="00876A4E"/>
    <w:rsid w:val="008800FC"/>
    <w:rsid w:val="00881B6A"/>
    <w:rsid w:val="00883D15"/>
    <w:rsid w:val="0088729E"/>
    <w:rsid w:val="00887445"/>
    <w:rsid w:val="008878F8"/>
    <w:rsid w:val="0089427D"/>
    <w:rsid w:val="00895CD9"/>
    <w:rsid w:val="008967ED"/>
    <w:rsid w:val="008A089D"/>
    <w:rsid w:val="008A236E"/>
    <w:rsid w:val="008A2C7B"/>
    <w:rsid w:val="008A2EDE"/>
    <w:rsid w:val="008A311D"/>
    <w:rsid w:val="008A4DB9"/>
    <w:rsid w:val="008A5E81"/>
    <w:rsid w:val="008A62FC"/>
    <w:rsid w:val="008B0947"/>
    <w:rsid w:val="008B20FB"/>
    <w:rsid w:val="008B35A4"/>
    <w:rsid w:val="008B370F"/>
    <w:rsid w:val="008B4838"/>
    <w:rsid w:val="008B6CD5"/>
    <w:rsid w:val="008B75B1"/>
    <w:rsid w:val="008C1EFF"/>
    <w:rsid w:val="008C278B"/>
    <w:rsid w:val="008C77B2"/>
    <w:rsid w:val="008D03ED"/>
    <w:rsid w:val="008D0ED7"/>
    <w:rsid w:val="008E164F"/>
    <w:rsid w:val="008E2D9D"/>
    <w:rsid w:val="008E30EF"/>
    <w:rsid w:val="008E3F7B"/>
    <w:rsid w:val="008E7579"/>
    <w:rsid w:val="008F0845"/>
    <w:rsid w:val="008F1EB1"/>
    <w:rsid w:val="008F2771"/>
    <w:rsid w:val="008F400E"/>
    <w:rsid w:val="008F572B"/>
    <w:rsid w:val="008F5ED3"/>
    <w:rsid w:val="008F707B"/>
    <w:rsid w:val="008F7318"/>
    <w:rsid w:val="00900FA2"/>
    <w:rsid w:val="0090410A"/>
    <w:rsid w:val="009064D0"/>
    <w:rsid w:val="00906BDF"/>
    <w:rsid w:val="009100AE"/>
    <w:rsid w:val="00912A9C"/>
    <w:rsid w:val="00914861"/>
    <w:rsid w:val="00914B7D"/>
    <w:rsid w:val="00914ECD"/>
    <w:rsid w:val="00921A4F"/>
    <w:rsid w:val="0092414B"/>
    <w:rsid w:val="009254A3"/>
    <w:rsid w:val="00925519"/>
    <w:rsid w:val="00925798"/>
    <w:rsid w:val="009273DD"/>
    <w:rsid w:val="00927AB9"/>
    <w:rsid w:val="009308F9"/>
    <w:rsid w:val="00931BEA"/>
    <w:rsid w:val="00936207"/>
    <w:rsid w:val="00936412"/>
    <w:rsid w:val="00942302"/>
    <w:rsid w:val="00943A1E"/>
    <w:rsid w:val="00943CBB"/>
    <w:rsid w:val="0094563D"/>
    <w:rsid w:val="00946482"/>
    <w:rsid w:val="00946A13"/>
    <w:rsid w:val="00946A3A"/>
    <w:rsid w:val="00950412"/>
    <w:rsid w:val="0095074F"/>
    <w:rsid w:val="00952D90"/>
    <w:rsid w:val="009538BE"/>
    <w:rsid w:val="00956EA8"/>
    <w:rsid w:val="00961793"/>
    <w:rsid w:val="009628F7"/>
    <w:rsid w:val="00962BC0"/>
    <w:rsid w:val="009634CB"/>
    <w:rsid w:val="00963D2A"/>
    <w:rsid w:val="009645CA"/>
    <w:rsid w:val="00964FFD"/>
    <w:rsid w:val="009650C0"/>
    <w:rsid w:val="00971E1B"/>
    <w:rsid w:val="009729A6"/>
    <w:rsid w:val="00972F2A"/>
    <w:rsid w:val="00973A5E"/>
    <w:rsid w:val="009773E2"/>
    <w:rsid w:val="00981D16"/>
    <w:rsid w:val="00985281"/>
    <w:rsid w:val="009901A1"/>
    <w:rsid w:val="009933FD"/>
    <w:rsid w:val="00995965"/>
    <w:rsid w:val="00997801"/>
    <w:rsid w:val="00997B0B"/>
    <w:rsid w:val="009A16C5"/>
    <w:rsid w:val="009A54CA"/>
    <w:rsid w:val="009A68E3"/>
    <w:rsid w:val="009A6DA4"/>
    <w:rsid w:val="009A755F"/>
    <w:rsid w:val="009B0622"/>
    <w:rsid w:val="009B7A6E"/>
    <w:rsid w:val="009B7BEE"/>
    <w:rsid w:val="009C0F45"/>
    <w:rsid w:val="009C26B8"/>
    <w:rsid w:val="009C5174"/>
    <w:rsid w:val="009C74FE"/>
    <w:rsid w:val="009D0782"/>
    <w:rsid w:val="009D0AF7"/>
    <w:rsid w:val="009D29D6"/>
    <w:rsid w:val="009D3138"/>
    <w:rsid w:val="009E3121"/>
    <w:rsid w:val="009E3600"/>
    <w:rsid w:val="009E3C26"/>
    <w:rsid w:val="009E4897"/>
    <w:rsid w:val="009E48FA"/>
    <w:rsid w:val="009E49B1"/>
    <w:rsid w:val="009E5244"/>
    <w:rsid w:val="009F2D9A"/>
    <w:rsid w:val="009F5D80"/>
    <w:rsid w:val="009F6CA7"/>
    <w:rsid w:val="009F6D3B"/>
    <w:rsid w:val="00A01242"/>
    <w:rsid w:val="00A016D1"/>
    <w:rsid w:val="00A01D5A"/>
    <w:rsid w:val="00A10004"/>
    <w:rsid w:val="00A10A31"/>
    <w:rsid w:val="00A13EAF"/>
    <w:rsid w:val="00A16876"/>
    <w:rsid w:val="00A179B2"/>
    <w:rsid w:val="00A21B79"/>
    <w:rsid w:val="00A21F15"/>
    <w:rsid w:val="00A23EA6"/>
    <w:rsid w:val="00A24C9E"/>
    <w:rsid w:val="00A259E3"/>
    <w:rsid w:val="00A26311"/>
    <w:rsid w:val="00A275A6"/>
    <w:rsid w:val="00A300D9"/>
    <w:rsid w:val="00A34257"/>
    <w:rsid w:val="00A37A28"/>
    <w:rsid w:val="00A40B70"/>
    <w:rsid w:val="00A40E11"/>
    <w:rsid w:val="00A41EF4"/>
    <w:rsid w:val="00A46DB5"/>
    <w:rsid w:val="00A47BDA"/>
    <w:rsid w:val="00A50CFC"/>
    <w:rsid w:val="00A562B9"/>
    <w:rsid w:val="00A56E82"/>
    <w:rsid w:val="00A57236"/>
    <w:rsid w:val="00A610A9"/>
    <w:rsid w:val="00A67D7E"/>
    <w:rsid w:val="00A71EDD"/>
    <w:rsid w:val="00A741A2"/>
    <w:rsid w:val="00A82DD9"/>
    <w:rsid w:val="00A83A14"/>
    <w:rsid w:val="00A86772"/>
    <w:rsid w:val="00A91100"/>
    <w:rsid w:val="00A93282"/>
    <w:rsid w:val="00A94E97"/>
    <w:rsid w:val="00A95479"/>
    <w:rsid w:val="00A95932"/>
    <w:rsid w:val="00A975D5"/>
    <w:rsid w:val="00A977D7"/>
    <w:rsid w:val="00A97F8C"/>
    <w:rsid w:val="00AA0007"/>
    <w:rsid w:val="00AA0026"/>
    <w:rsid w:val="00AA0428"/>
    <w:rsid w:val="00AA25FA"/>
    <w:rsid w:val="00AA5C2E"/>
    <w:rsid w:val="00AB0A70"/>
    <w:rsid w:val="00AB4CBA"/>
    <w:rsid w:val="00AC0E77"/>
    <w:rsid w:val="00AC1489"/>
    <w:rsid w:val="00AC1893"/>
    <w:rsid w:val="00AC1EE0"/>
    <w:rsid w:val="00AC27AE"/>
    <w:rsid w:val="00AC2E88"/>
    <w:rsid w:val="00AD119F"/>
    <w:rsid w:val="00AD14C1"/>
    <w:rsid w:val="00AD2040"/>
    <w:rsid w:val="00AD2199"/>
    <w:rsid w:val="00AD2BA6"/>
    <w:rsid w:val="00AD2C61"/>
    <w:rsid w:val="00AD2CBE"/>
    <w:rsid w:val="00AD396E"/>
    <w:rsid w:val="00AD5FE7"/>
    <w:rsid w:val="00AD74B7"/>
    <w:rsid w:val="00AE0A30"/>
    <w:rsid w:val="00AE144F"/>
    <w:rsid w:val="00AE1D66"/>
    <w:rsid w:val="00AE24FD"/>
    <w:rsid w:val="00AF3633"/>
    <w:rsid w:val="00AF748B"/>
    <w:rsid w:val="00AF78F2"/>
    <w:rsid w:val="00B02A05"/>
    <w:rsid w:val="00B03503"/>
    <w:rsid w:val="00B05A05"/>
    <w:rsid w:val="00B07E65"/>
    <w:rsid w:val="00B07FA9"/>
    <w:rsid w:val="00B155D4"/>
    <w:rsid w:val="00B2040D"/>
    <w:rsid w:val="00B230D8"/>
    <w:rsid w:val="00B239F0"/>
    <w:rsid w:val="00B23BA2"/>
    <w:rsid w:val="00B30744"/>
    <w:rsid w:val="00B3188A"/>
    <w:rsid w:val="00B31E82"/>
    <w:rsid w:val="00B32F40"/>
    <w:rsid w:val="00B3445D"/>
    <w:rsid w:val="00B4628E"/>
    <w:rsid w:val="00B5407E"/>
    <w:rsid w:val="00B540B4"/>
    <w:rsid w:val="00B55F3E"/>
    <w:rsid w:val="00B5612C"/>
    <w:rsid w:val="00B56571"/>
    <w:rsid w:val="00B648F3"/>
    <w:rsid w:val="00B66C6F"/>
    <w:rsid w:val="00B66F23"/>
    <w:rsid w:val="00B6766A"/>
    <w:rsid w:val="00B71194"/>
    <w:rsid w:val="00B712E0"/>
    <w:rsid w:val="00B73BC7"/>
    <w:rsid w:val="00B7491E"/>
    <w:rsid w:val="00B74CF3"/>
    <w:rsid w:val="00B764A3"/>
    <w:rsid w:val="00B82E06"/>
    <w:rsid w:val="00B84066"/>
    <w:rsid w:val="00B862B6"/>
    <w:rsid w:val="00B905A9"/>
    <w:rsid w:val="00B90DA1"/>
    <w:rsid w:val="00B92488"/>
    <w:rsid w:val="00B924FE"/>
    <w:rsid w:val="00B928A3"/>
    <w:rsid w:val="00B936C7"/>
    <w:rsid w:val="00B96378"/>
    <w:rsid w:val="00BA2100"/>
    <w:rsid w:val="00BA2200"/>
    <w:rsid w:val="00BA5194"/>
    <w:rsid w:val="00BB2853"/>
    <w:rsid w:val="00BB302A"/>
    <w:rsid w:val="00BB6B45"/>
    <w:rsid w:val="00BC09F5"/>
    <w:rsid w:val="00BC1F8B"/>
    <w:rsid w:val="00BC42D9"/>
    <w:rsid w:val="00BC5C19"/>
    <w:rsid w:val="00BC5C76"/>
    <w:rsid w:val="00BC5E3A"/>
    <w:rsid w:val="00BD11CA"/>
    <w:rsid w:val="00BD3FD4"/>
    <w:rsid w:val="00BD4503"/>
    <w:rsid w:val="00BD5637"/>
    <w:rsid w:val="00BD62DE"/>
    <w:rsid w:val="00BD6439"/>
    <w:rsid w:val="00BD64EB"/>
    <w:rsid w:val="00BE4C37"/>
    <w:rsid w:val="00BE6370"/>
    <w:rsid w:val="00BE7FE4"/>
    <w:rsid w:val="00BF1E40"/>
    <w:rsid w:val="00BF26EB"/>
    <w:rsid w:val="00BF38FB"/>
    <w:rsid w:val="00BF405E"/>
    <w:rsid w:val="00BF5FC6"/>
    <w:rsid w:val="00C016F6"/>
    <w:rsid w:val="00C057E2"/>
    <w:rsid w:val="00C07252"/>
    <w:rsid w:val="00C1023E"/>
    <w:rsid w:val="00C10E2F"/>
    <w:rsid w:val="00C121E5"/>
    <w:rsid w:val="00C14976"/>
    <w:rsid w:val="00C15972"/>
    <w:rsid w:val="00C21837"/>
    <w:rsid w:val="00C24450"/>
    <w:rsid w:val="00C24579"/>
    <w:rsid w:val="00C25EDD"/>
    <w:rsid w:val="00C31EFD"/>
    <w:rsid w:val="00C32D68"/>
    <w:rsid w:val="00C33267"/>
    <w:rsid w:val="00C3484A"/>
    <w:rsid w:val="00C3505F"/>
    <w:rsid w:val="00C357BC"/>
    <w:rsid w:val="00C361E5"/>
    <w:rsid w:val="00C3714F"/>
    <w:rsid w:val="00C4077C"/>
    <w:rsid w:val="00C431B4"/>
    <w:rsid w:val="00C43471"/>
    <w:rsid w:val="00C44582"/>
    <w:rsid w:val="00C460B2"/>
    <w:rsid w:val="00C5212B"/>
    <w:rsid w:val="00C53C56"/>
    <w:rsid w:val="00C611F5"/>
    <w:rsid w:val="00C637FF"/>
    <w:rsid w:val="00C646B1"/>
    <w:rsid w:val="00C66B5F"/>
    <w:rsid w:val="00C67A51"/>
    <w:rsid w:val="00C7127B"/>
    <w:rsid w:val="00C716EA"/>
    <w:rsid w:val="00C72471"/>
    <w:rsid w:val="00C73127"/>
    <w:rsid w:val="00C759F9"/>
    <w:rsid w:val="00C805FD"/>
    <w:rsid w:val="00C8086F"/>
    <w:rsid w:val="00C8091B"/>
    <w:rsid w:val="00C81162"/>
    <w:rsid w:val="00C81BB1"/>
    <w:rsid w:val="00C8372E"/>
    <w:rsid w:val="00C92216"/>
    <w:rsid w:val="00C97DB1"/>
    <w:rsid w:val="00CA0960"/>
    <w:rsid w:val="00CA148C"/>
    <w:rsid w:val="00CA52A5"/>
    <w:rsid w:val="00CA678F"/>
    <w:rsid w:val="00CB017C"/>
    <w:rsid w:val="00CB0A50"/>
    <w:rsid w:val="00CB101D"/>
    <w:rsid w:val="00CB1E6A"/>
    <w:rsid w:val="00CB2042"/>
    <w:rsid w:val="00CB290A"/>
    <w:rsid w:val="00CB314A"/>
    <w:rsid w:val="00CB6AB0"/>
    <w:rsid w:val="00CC0035"/>
    <w:rsid w:val="00CC2982"/>
    <w:rsid w:val="00CC3823"/>
    <w:rsid w:val="00CC682C"/>
    <w:rsid w:val="00CD3913"/>
    <w:rsid w:val="00CD459F"/>
    <w:rsid w:val="00CD5AF1"/>
    <w:rsid w:val="00CD602B"/>
    <w:rsid w:val="00CD7798"/>
    <w:rsid w:val="00CE0BA3"/>
    <w:rsid w:val="00CE0EB0"/>
    <w:rsid w:val="00CE1D7D"/>
    <w:rsid w:val="00CE2196"/>
    <w:rsid w:val="00CE3094"/>
    <w:rsid w:val="00CE63C5"/>
    <w:rsid w:val="00CE64ED"/>
    <w:rsid w:val="00CE66E8"/>
    <w:rsid w:val="00CE6E53"/>
    <w:rsid w:val="00CF0B90"/>
    <w:rsid w:val="00CF22F9"/>
    <w:rsid w:val="00CF2C0F"/>
    <w:rsid w:val="00CF2CE4"/>
    <w:rsid w:val="00CF336D"/>
    <w:rsid w:val="00CF6A28"/>
    <w:rsid w:val="00CF6BAF"/>
    <w:rsid w:val="00D01271"/>
    <w:rsid w:val="00D02509"/>
    <w:rsid w:val="00D0719E"/>
    <w:rsid w:val="00D124D2"/>
    <w:rsid w:val="00D12784"/>
    <w:rsid w:val="00D16261"/>
    <w:rsid w:val="00D168C1"/>
    <w:rsid w:val="00D20334"/>
    <w:rsid w:val="00D20663"/>
    <w:rsid w:val="00D2522A"/>
    <w:rsid w:val="00D254D1"/>
    <w:rsid w:val="00D269B7"/>
    <w:rsid w:val="00D300E2"/>
    <w:rsid w:val="00D32E66"/>
    <w:rsid w:val="00D37F16"/>
    <w:rsid w:val="00D41928"/>
    <w:rsid w:val="00D43E85"/>
    <w:rsid w:val="00D44A5C"/>
    <w:rsid w:val="00D454CA"/>
    <w:rsid w:val="00D4553F"/>
    <w:rsid w:val="00D45C14"/>
    <w:rsid w:val="00D53C5C"/>
    <w:rsid w:val="00D55353"/>
    <w:rsid w:val="00D55AF4"/>
    <w:rsid w:val="00D56549"/>
    <w:rsid w:val="00D617B1"/>
    <w:rsid w:val="00D636FB"/>
    <w:rsid w:val="00D64269"/>
    <w:rsid w:val="00D6639D"/>
    <w:rsid w:val="00D66D5C"/>
    <w:rsid w:val="00D70C08"/>
    <w:rsid w:val="00D71808"/>
    <w:rsid w:val="00D7198A"/>
    <w:rsid w:val="00D730D5"/>
    <w:rsid w:val="00D740DB"/>
    <w:rsid w:val="00D815C8"/>
    <w:rsid w:val="00D82DE9"/>
    <w:rsid w:val="00D84F81"/>
    <w:rsid w:val="00D8501F"/>
    <w:rsid w:val="00D87055"/>
    <w:rsid w:val="00DA18EB"/>
    <w:rsid w:val="00DA234D"/>
    <w:rsid w:val="00DA3ECD"/>
    <w:rsid w:val="00DA4E48"/>
    <w:rsid w:val="00DA72B2"/>
    <w:rsid w:val="00DB10F6"/>
    <w:rsid w:val="00DB46F0"/>
    <w:rsid w:val="00DB4CC9"/>
    <w:rsid w:val="00DB4CEE"/>
    <w:rsid w:val="00DB4DF4"/>
    <w:rsid w:val="00DB50A5"/>
    <w:rsid w:val="00DC202A"/>
    <w:rsid w:val="00DC277D"/>
    <w:rsid w:val="00DC57A4"/>
    <w:rsid w:val="00DC7BF2"/>
    <w:rsid w:val="00DD17AE"/>
    <w:rsid w:val="00DD4CA7"/>
    <w:rsid w:val="00DD5478"/>
    <w:rsid w:val="00DD5622"/>
    <w:rsid w:val="00DD5AE3"/>
    <w:rsid w:val="00DD6200"/>
    <w:rsid w:val="00DE313B"/>
    <w:rsid w:val="00DE320E"/>
    <w:rsid w:val="00DE4C9F"/>
    <w:rsid w:val="00DE5802"/>
    <w:rsid w:val="00DF0616"/>
    <w:rsid w:val="00DF28C9"/>
    <w:rsid w:val="00DF49CB"/>
    <w:rsid w:val="00DF4F4D"/>
    <w:rsid w:val="00DF5013"/>
    <w:rsid w:val="00DF7D81"/>
    <w:rsid w:val="00E0730D"/>
    <w:rsid w:val="00E07548"/>
    <w:rsid w:val="00E07726"/>
    <w:rsid w:val="00E07FC2"/>
    <w:rsid w:val="00E12CC5"/>
    <w:rsid w:val="00E13032"/>
    <w:rsid w:val="00E136E1"/>
    <w:rsid w:val="00E13E5A"/>
    <w:rsid w:val="00E14BF9"/>
    <w:rsid w:val="00E202D9"/>
    <w:rsid w:val="00E22654"/>
    <w:rsid w:val="00E262B8"/>
    <w:rsid w:val="00E26AD6"/>
    <w:rsid w:val="00E275AB"/>
    <w:rsid w:val="00E320EB"/>
    <w:rsid w:val="00E3270C"/>
    <w:rsid w:val="00E3422A"/>
    <w:rsid w:val="00E35DD6"/>
    <w:rsid w:val="00E40956"/>
    <w:rsid w:val="00E40B5C"/>
    <w:rsid w:val="00E415C4"/>
    <w:rsid w:val="00E42960"/>
    <w:rsid w:val="00E45CC5"/>
    <w:rsid w:val="00E46BC3"/>
    <w:rsid w:val="00E470EE"/>
    <w:rsid w:val="00E5129A"/>
    <w:rsid w:val="00E515BF"/>
    <w:rsid w:val="00E549EB"/>
    <w:rsid w:val="00E56368"/>
    <w:rsid w:val="00E57032"/>
    <w:rsid w:val="00E5789B"/>
    <w:rsid w:val="00E608B3"/>
    <w:rsid w:val="00E63E57"/>
    <w:rsid w:val="00E64E4A"/>
    <w:rsid w:val="00E66D0B"/>
    <w:rsid w:val="00E751B0"/>
    <w:rsid w:val="00E75592"/>
    <w:rsid w:val="00E771F1"/>
    <w:rsid w:val="00E774E9"/>
    <w:rsid w:val="00E7787D"/>
    <w:rsid w:val="00E80FD0"/>
    <w:rsid w:val="00E81B38"/>
    <w:rsid w:val="00E831D1"/>
    <w:rsid w:val="00E83884"/>
    <w:rsid w:val="00E83BAA"/>
    <w:rsid w:val="00E84371"/>
    <w:rsid w:val="00E84C09"/>
    <w:rsid w:val="00E856FC"/>
    <w:rsid w:val="00E87882"/>
    <w:rsid w:val="00E94CD0"/>
    <w:rsid w:val="00E94DC8"/>
    <w:rsid w:val="00EA2DD3"/>
    <w:rsid w:val="00EA3873"/>
    <w:rsid w:val="00EA4D01"/>
    <w:rsid w:val="00EB25F7"/>
    <w:rsid w:val="00EB263F"/>
    <w:rsid w:val="00EB2CE3"/>
    <w:rsid w:val="00EB416E"/>
    <w:rsid w:val="00EB74AE"/>
    <w:rsid w:val="00EC0137"/>
    <w:rsid w:val="00EC1365"/>
    <w:rsid w:val="00EC2531"/>
    <w:rsid w:val="00EC5B52"/>
    <w:rsid w:val="00ED2CC7"/>
    <w:rsid w:val="00ED4721"/>
    <w:rsid w:val="00ED50E6"/>
    <w:rsid w:val="00ED550E"/>
    <w:rsid w:val="00ED5CB0"/>
    <w:rsid w:val="00ED689B"/>
    <w:rsid w:val="00ED7965"/>
    <w:rsid w:val="00EE14FD"/>
    <w:rsid w:val="00EE1954"/>
    <w:rsid w:val="00EE1D54"/>
    <w:rsid w:val="00EE2D52"/>
    <w:rsid w:val="00EE2E03"/>
    <w:rsid w:val="00EE5668"/>
    <w:rsid w:val="00EE5778"/>
    <w:rsid w:val="00EE57E2"/>
    <w:rsid w:val="00EE5D2A"/>
    <w:rsid w:val="00EE717C"/>
    <w:rsid w:val="00EE77EC"/>
    <w:rsid w:val="00EE7C9C"/>
    <w:rsid w:val="00EF00C5"/>
    <w:rsid w:val="00EF081D"/>
    <w:rsid w:val="00EF341B"/>
    <w:rsid w:val="00EF66D5"/>
    <w:rsid w:val="00EF7654"/>
    <w:rsid w:val="00F033FE"/>
    <w:rsid w:val="00F0351E"/>
    <w:rsid w:val="00F04890"/>
    <w:rsid w:val="00F050DC"/>
    <w:rsid w:val="00F06BDA"/>
    <w:rsid w:val="00F10530"/>
    <w:rsid w:val="00F1168C"/>
    <w:rsid w:val="00F129FC"/>
    <w:rsid w:val="00F14C6D"/>
    <w:rsid w:val="00F14F59"/>
    <w:rsid w:val="00F165BD"/>
    <w:rsid w:val="00F167D4"/>
    <w:rsid w:val="00F21C84"/>
    <w:rsid w:val="00F22189"/>
    <w:rsid w:val="00F249A2"/>
    <w:rsid w:val="00F260E9"/>
    <w:rsid w:val="00F265B5"/>
    <w:rsid w:val="00F30745"/>
    <w:rsid w:val="00F3226A"/>
    <w:rsid w:val="00F37F9E"/>
    <w:rsid w:val="00F425F1"/>
    <w:rsid w:val="00F43939"/>
    <w:rsid w:val="00F467C7"/>
    <w:rsid w:val="00F5199D"/>
    <w:rsid w:val="00F51C27"/>
    <w:rsid w:val="00F52190"/>
    <w:rsid w:val="00F52ABE"/>
    <w:rsid w:val="00F54D72"/>
    <w:rsid w:val="00F54F51"/>
    <w:rsid w:val="00F577B0"/>
    <w:rsid w:val="00F62A7F"/>
    <w:rsid w:val="00F655C8"/>
    <w:rsid w:val="00F7023A"/>
    <w:rsid w:val="00F7239A"/>
    <w:rsid w:val="00F73AF6"/>
    <w:rsid w:val="00F75F73"/>
    <w:rsid w:val="00F76B4B"/>
    <w:rsid w:val="00F80937"/>
    <w:rsid w:val="00F81103"/>
    <w:rsid w:val="00F828A7"/>
    <w:rsid w:val="00F82E2C"/>
    <w:rsid w:val="00F858FE"/>
    <w:rsid w:val="00F86F71"/>
    <w:rsid w:val="00F87B57"/>
    <w:rsid w:val="00F92720"/>
    <w:rsid w:val="00F9362E"/>
    <w:rsid w:val="00F937E5"/>
    <w:rsid w:val="00F951F0"/>
    <w:rsid w:val="00F966B0"/>
    <w:rsid w:val="00F97398"/>
    <w:rsid w:val="00F97EE7"/>
    <w:rsid w:val="00FA0227"/>
    <w:rsid w:val="00FA3204"/>
    <w:rsid w:val="00FA3A78"/>
    <w:rsid w:val="00FA4DDC"/>
    <w:rsid w:val="00FA785B"/>
    <w:rsid w:val="00FA7AC1"/>
    <w:rsid w:val="00FB11A2"/>
    <w:rsid w:val="00FB2163"/>
    <w:rsid w:val="00FB2572"/>
    <w:rsid w:val="00FB3DCC"/>
    <w:rsid w:val="00FB4050"/>
    <w:rsid w:val="00FB6A21"/>
    <w:rsid w:val="00FB6AAA"/>
    <w:rsid w:val="00FC4895"/>
    <w:rsid w:val="00FC542E"/>
    <w:rsid w:val="00FC620F"/>
    <w:rsid w:val="00FC65AD"/>
    <w:rsid w:val="00FD1834"/>
    <w:rsid w:val="00FD4529"/>
    <w:rsid w:val="00FD536A"/>
    <w:rsid w:val="00FD6155"/>
    <w:rsid w:val="00FE22F6"/>
    <w:rsid w:val="00FE28DF"/>
    <w:rsid w:val="00FE2998"/>
    <w:rsid w:val="00FE2D24"/>
    <w:rsid w:val="00FE30A0"/>
    <w:rsid w:val="00FE6A97"/>
    <w:rsid w:val="00FE758F"/>
    <w:rsid w:val="00FE78A9"/>
    <w:rsid w:val="00FF0BB3"/>
    <w:rsid w:val="00FF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562D"/>
  <w15:chartTrackingRefBased/>
  <w15:docId w15:val="{0D801C83-4486-F644-97CF-C61C1C78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67C"/>
    <w:rPr>
      <w:rFonts w:ascii="Times New Roman" w:eastAsia="Times New Roman" w:hAnsi="Times New Roman"/>
      <w:sz w:val="24"/>
      <w:szCs w:val="24"/>
      <w:lang w:val="en-AU" w:eastAsia="en-GB"/>
    </w:rPr>
  </w:style>
  <w:style w:type="paragraph" w:styleId="Heading1">
    <w:name w:val="heading 1"/>
    <w:basedOn w:val="Normal"/>
    <w:next w:val="Normal"/>
    <w:link w:val="Heading1Char"/>
    <w:uiPriority w:val="9"/>
    <w:qFormat/>
    <w:rsid w:val="00883D15"/>
    <w:pPr>
      <w:keepNext/>
      <w:keepLines/>
      <w:spacing w:before="240"/>
      <w:outlineLvl w:val="0"/>
    </w:pPr>
    <w:rPr>
      <w:rFonts w:ascii="Calibri Light" w:hAnsi="Calibri Light"/>
      <w:color w:val="3F3F42"/>
      <w:sz w:val="32"/>
      <w:szCs w:val="32"/>
      <w:lang w:val="en-GB" w:eastAsia="en-US"/>
    </w:rPr>
  </w:style>
  <w:style w:type="paragraph" w:styleId="Heading2">
    <w:name w:val="heading 2"/>
    <w:basedOn w:val="Normal"/>
    <w:next w:val="Normal"/>
    <w:link w:val="Heading2Char"/>
    <w:uiPriority w:val="9"/>
    <w:unhideWhenUsed/>
    <w:qFormat/>
    <w:rsid w:val="00883D15"/>
    <w:pPr>
      <w:keepNext/>
      <w:keepLines/>
      <w:spacing w:before="40"/>
      <w:outlineLvl w:val="1"/>
    </w:pPr>
    <w:rPr>
      <w:rFonts w:ascii="Calibri Light" w:hAnsi="Calibri Light"/>
      <w:color w:val="3F3F42"/>
      <w:sz w:val="26"/>
      <w:szCs w:val="26"/>
      <w:lang w:val="en-GB" w:eastAsia="en-US"/>
    </w:rPr>
  </w:style>
  <w:style w:type="paragraph" w:styleId="Heading3">
    <w:name w:val="heading 3"/>
    <w:aliases w:val="Subhead2"/>
    <w:next w:val="Normal"/>
    <w:link w:val="Heading3Char"/>
    <w:uiPriority w:val="9"/>
    <w:unhideWhenUsed/>
    <w:qFormat/>
    <w:rsid w:val="00883D15"/>
    <w:pPr>
      <w:numPr>
        <w:ilvl w:val="2"/>
        <w:numId w:val="5"/>
      </w:numPr>
      <w:spacing w:before="240" w:after="120"/>
      <w:outlineLvl w:val="2"/>
    </w:pPr>
    <w:rPr>
      <w:rFonts w:eastAsia="Times New Roman" w:cs="Calibri"/>
      <w:color w:val="BFBFBF"/>
      <w:sz w:val="28"/>
      <w:szCs w:val="28"/>
      <w:lang w:val="en-GB"/>
    </w:rPr>
  </w:style>
  <w:style w:type="paragraph" w:styleId="Heading4">
    <w:name w:val="heading 4"/>
    <w:basedOn w:val="Normal"/>
    <w:next w:val="Normal"/>
    <w:link w:val="Heading4Char"/>
    <w:uiPriority w:val="9"/>
    <w:unhideWhenUsed/>
    <w:qFormat/>
    <w:rsid w:val="00883D15"/>
    <w:pPr>
      <w:keepNext/>
      <w:keepLines/>
      <w:spacing w:before="40"/>
      <w:outlineLvl w:val="3"/>
    </w:pPr>
    <w:rPr>
      <w:rFonts w:ascii="Calibri Light" w:hAnsi="Calibri Light"/>
      <w:i/>
      <w:iCs/>
      <w:color w:val="3F3F42"/>
      <w:lang w:val="en-GB" w:eastAsia="en-US"/>
    </w:rPr>
  </w:style>
  <w:style w:type="paragraph" w:styleId="Heading5">
    <w:name w:val="heading 5"/>
    <w:basedOn w:val="Normal"/>
    <w:next w:val="Normal"/>
    <w:link w:val="Heading5Char"/>
    <w:uiPriority w:val="9"/>
    <w:unhideWhenUsed/>
    <w:qFormat/>
    <w:rsid w:val="0094563D"/>
    <w:pPr>
      <w:keepNext/>
      <w:keepLines/>
      <w:spacing w:before="40"/>
      <w:outlineLvl w:val="4"/>
    </w:pPr>
    <w:rPr>
      <w:rFonts w:asciiTheme="majorHAnsi" w:eastAsiaTheme="majorEastAsia" w:hAnsiTheme="majorHAnsi" w:cstheme="majorBidi"/>
      <w:color w:val="2F5496" w:themeColor="accent1" w:themeShade="BF"/>
      <w:lang w:val="en-GB" w:eastAsia="en-US"/>
    </w:rPr>
  </w:style>
  <w:style w:type="paragraph" w:styleId="Heading6">
    <w:name w:val="heading 6"/>
    <w:basedOn w:val="Normal"/>
    <w:link w:val="Heading6Char"/>
    <w:uiPriority w:val="9"/>
    <w:unhideWhenUsed/>
    <w:qFormat/>
    <w:rsid w:val="0094563D"/>
    <w:pPr>
      <w:widowControl w:val="0"/>
      <w:autoSpaceDE w:val="0"/>
      <w:autoSpaceDN w:val="0"/>
      <w:jc w:val="right"/>
      <w:outlineLvl w:val="5"/>
    </w:pPr>
    <w:rPr>
      <w:rFonts w:ascii="MuseoSans-700" w:eastAsia="MuseoSans-700" w:hAnsi="MuseoSans-700" w:cs="MuseoSans-700"/>
      <w:b/>
      <w:bCs/>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C24579"/>
    <w:pPr>
      <w:widowControl w:val="0"/>
      <w:suppressAutoHyphens/>
      <w:autoSpaceDE w:val="0"/>
      <w:autoSpaceDN w:val="0"/>
      <w:adjustRightInd w:val="0"/>
      <w:spacing w:before="120" w:after="200" w:line="264" w:lineRule="auto"/>
      <w:textAlignment w:val="center"/>
    </w:pPr>
    <w:rPr>
      <w:rFonts w:ascii="Calibri" w:eastAsia="Calibri" w:hAnsi="Calibri" w:cs="National-Book"/>
      <w:color w:val="55565A"/>
      <w:sz w:val="22"/>
      <w:szCs w:val="22"/>
      <w:lang w:val="en-US" w:eastAsia="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textAlignment w:val="center"/>
    </w:pPr>
    <w:rPr>
      <w:rFonts w:cs="National-Book"/>
      <w:color w:val="55565A"/>
      <w:sz w:val="22"/>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ascii="Calibri" w:eastAsia="Calibri" w:hAnsi="Calibri" w:cs="National-Book"/>
      <w:color w:val="380094"/>
      <w:sz w:val="28"/>
      <w:szCs w:val="28"/>
      <w:lang w:val="en-US" w:eastAsia="en-US"/>
    </w:rPr>
  </w:style>
  <w:style w:type="paragraph" w:styleId="Header">
    <w:name w:val="header"/>
    <w:basedOn w:val="Normal"/>
    <w:link w:val="HeaderChar"/>
    <w:uiPriority w:val="99"/>
    <w:unhideWhenUsed/>
    <w:rsid w:val="00F75F73"/>
    <w:pPr>
      <w:tabs>
        <w:tab w:val="center" w:pos="4513"/>
        <w:tab w:val="right" w:pos="9026"/>
      </w:tabs>
    </w:pPr>
    <w:rPr>
      <w:rFonts w:ascii="Calibri" w:eastAsia="Calibri" w:hAnsi="Calibri"/>
      <w:lang w:val="en-GB" w:eastAsia="en-US"/>
    </w:r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qFormat/>
    <w:rsid w:val="00B5612C"/>
    <w:pPr>
      <w:tabs>
        <w:tab w:val="center" w:pos="4513"/>
        <w:tab w:val="right" w:pos="9026"/>
      </w:tabs>
    </w:pPr>
    <w:rPr>
      <w:rFonts w:ascii="Calibri" w:eastAsia="Calibri" w:hAnsi="Calibri"/>
      <w:color w:val="430098"/>
      <w:lang w:val="en-GB" w:eastAsia="en-US"/>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eastAsia="Calibri" w:hAnsi="Calibri-Bold" w:cs="Calibri-Bold"/>
      <w:b/>
      <w:bCs/>
      <w:color w:val="555559"/>
      <w:sz w:val="28"/>
      <w:szCs w:val="28"/>
      <w:lang w:val="en-GB" w:eastAsia="en-US"/>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ascii="Calibri" w:eastAsia="Calibri" w:hAnsi="Calibri" w:cs="Calibri"/>
      <w:color w:val="555559"/>
      <w:sz w:val="28"/>
      <w:szCs w:val="28"/>
      <w:lang w:val="en-GB" w:eastAsia="en-US"/>
    </w:rPr>
  </w:style>
  <w:style w:type="paragraph" w:styleId="TOC1">
    <w:name w:val="toc 1"/>
    <w:basedOn w:val="ContentsSection1"/>
    <w:next w:val="Normal"/>
    <w:autoRedefine/>
    <w:uiPriority w:val="39"/>
    <w:unhideWhenUsed/>
    <w:qFormat/>
    <w:rsid w:val="00EF081D"/>
    <w:pPr>
      <w:widowControl/>
      <w:tabs>
        <w:tab w:val="clear" w:pos="360"/>
        <w:tab w:val="clear" w:pos="6340"/>
        <w:tab w:val="right" w:leader="dot" w:pos="9356"/>
      </w:tabs>
      <w:autoSpaceDE/>
      <w:autoSpaceDN/>
      <w:adjustRightInd/>
      <w:spacing w:before="120" w:line="240" w:lineRule="auto"/>
      <w:ind w:left="0" w:right="1271" w:firstLine="0"/>
      <w:textAlignment w:val="auto"/>
    </w:pPr>
    <w:rPr>
      <w:rFonts w:asciiTheme="minorHAnsi" w:hAnsiTheme="minorHAnsi" w:cstheme="minorHAnsi"/>
      <w:i/>
      <w:iCs/>
      <w:color w:val="auto"/>
      <w:sz w:val="24"/>
      <w:szCs w:val="24"/>
    </w:rPr>
  </w:style>
  <w:style w:type="paragraph" w:styleId="TOC2">
    <w:name w:val="toc 2"/>
    <w:basedOn w:val="ContentsSubsection1"/>
    <w:next w:val="Normal"/>
    <w:autoRedefine/>
    <w:uiPriority w:val="39"/>
    <w:unhideWhenUsed/>
    <w:qFormat/>
    <w:rsid w:val="003850B4"/>
    <w:pPr>
      <w:widowControl/>
      <w:tabs>
        <w:tab w:val="clear" w:pos="360"/>
        <w:tab w:val="clear" w:pos="6340"/>
        <w:tab w:val="right" w:leader="dot" w:pos="9498"/>
        <w:tab w:val="right" w:leader="dot" w:pos="10900"/>
      </w:tabs>
      <w:autoSpaceDE/>
      <w:autoSpaceDN/>
      <w:adjustRightInd/>
      <w:spacing w:before="120" w:line="240" w:lineRule="auto"/>
      <w:ind w:left="240" w:right="1271"/>
      <w:textAlignment w:val="auto"/>
    </w:pPr>
    <w:rPr>
      <w:rFonts w:asciiTheme="minorHAnsi" w:hAnsiTheme="minorHAnsi" w:cstheme="minorHAnsi"/>
      <w:b/>
      <w:bCs/>
      <w:color w:val="auto"/>
      <w:sz w:val="22"/>
      <w:szCs w:val="22"/>
    </w:rPr>
  </w:style>
  <w:style w:type="paragraph" w:styleId="TOC3">
    <w:name w:val="toc 3"/>
    <w:basedOn w:val="Normal"/>
    <w:next w:val="Normal"/>
    <w:autoRedefine/>
    <w:uiPriority w:val="39"/>
    <w:unhideWhenUsed/>
    <w:rsid w:val="00F265B5"/>
    <w:pPr>
      <w:ind w:left="480"/>
    </w:pPr>
    <w:rPr>
      <w:rFonts w:asciiTheme="minorHAnsi" w:eastAsia="Calibri" w:hAnsiTheme="minorHAnsi" w:cstheme="minorHAnsi"/>
      <w:sz w:val="20"/>
      <w:szCs w:val="20"/>
      <w:lang w:val="en-GB" w:eastAsia="en-US"/>
    </w:rPr>
  </w:style>
  <w:style w:type="paragraph" w:styleId="TOC4">
    <w:name w:val="toc 4"/>
    <w:basedOn w:val="Normal"/>
    <w:next w:val="Normal"/>
    <w:autoRedefine/>
    <w:uiPriority w:val="39"/>
    <w:unhideWhenUsed/>
    <w:rsid w:val="008E2D9D"/>
    <w:pPr>
      <w:ind w:left="720"/>
    </w:pPr>
    <w:rPr>
      <w:rFonts w:asciiTheme="minorHAnsi" w:eastAsia="Calibri" w:hAnsiTheme="minorHAnsi" w:cstheme="minorHAnsi"/>
      <w:sz w:val="20"/>
      <w:szCs w:val="20"/>
      <w:lang w:val="en-GB" w:eastAsia="en-US"/>
    </w:rPr>
  </w:style>
  <w:style w:type="paragraph" w:styleId="TOC5">
    <w:name w:val="toc 5"/>
    <w:basedOn w:val="Normal"/>
    <w:next w:val="Normal"/>
    <w:autoRedefine/>
    <w:uiPriority w:val="39"/>
    <w:unhideWhenUsed/>
    <w:rsid w:val="008E2D9D"/>
    <w:pPr>
      <w:ind w:left="960"/>
    </w:pPr>
    <w:rPr>
      <w:rFonts w:asciiTheme="minorHAnsi" w:eastAsia="Calibri" w:hAnsiTheme="minorHAnsi" w:cstheme="minorHAnsi"/>
      <w:sz w:val="20"/>
      <w:szCs w:val="20"/>
      <w:lang w:val="en-GB" w:eastAsia="en-US"/>
    </w:rPr>
  </w:style>
  <w:style w:type="paragraph" w:styleId="TOC6">
    <w:name w:val="toc 6"/>
    <w:basedOn w:val="Normal"/>
    <w:next w:val="Normal"/>
    <w:autoRedefine/>
    <w:uiPriority w:val="39"/>
    <w:unhideWhenUsed/>
    <w:rsid w:val="008E2D9D"/>
    <w:pPr>
      <w:ind w:left="1200"/>
    </w:pPr>
    <w:rPr>
      <w:rFonts w:asciiTheme="minorHAnsi" w:eastAsia="Calibri" w:hAnsiTheme="minorHAnsi" w:cstheme="minorHAnsi"/>
      <w:sz w:val="20"/>
      <w:szCs w:val="20"/>
      <w:lang w:val="en-GB" w:eastAsia="en-US"/>
    </w:rPr>
  </w:style>
  <w:style w:type="paragraph" w:styleId="TOC7">
    <w:name w:val="toc 7"/>
    <w:basedOn w:val="Normal"/>
    <w:next w:val="Normal"/>
    <w:autoRedefine/>
    <w:uiPriority w:val="39"/>
    <w:unhideWhenUsed/>
    <w:rsid w:val="008E2D9D"/>
    <w:pPr>
      <w:ind w:left="1440"/>
    </w:pPr>
    <w:rPr>
      <w:rFonts w:asciiTheme="minorHAnsi" w:eastAsia="Calibri" w:hAnsiTheme="minorHAnsi" w:cstheme="minorHAnsi"/>
      <w:sz w:val="20"/>
      <w:szCs w:val="20"/>
      <w:lang w:val="en-GB" w:eastAsia="en-US"/>
    </w:rPr>
  </w:style>
  <w:style w:type="paragraph" w:styleId="TOC8">
    <w:name w:val="toc 8"/>
    <w:basedOn w:val="Normal"/>
    <w:next w:val="Normal"/>
    <w:autoRedefine/>
    <w:uiPriority w:val="39"/>
    <w:unhideWhenUsed/>
    <w:rsid w:val="008E2D9D"/>
    <w:pPr>
      <w:ind w:left="1680"/>
    </w:pPr>
    <w:rPr>
      <w:rFonts w:asciiTheme="minorHAnsi" w:eastAsia="Calibri" w:hAnsiTheme="minorHAnsi" w:cstheme="minorHAnsi"/>
      <w:sz w:val="20"/>
      <w:szCs w:val="20"/>
      <w:lang w:val="en-GB" w:eastAsia="en-US"/>
    </w:rPr>
  </w:style>
  <w:style w:type="paragraph" w:styleId="TOC9">
    <w:name w:val="toc 9"/>
    <w:basedOn w:val="Normal"/>
    <w:next w:val="Normal"/>
    <w:autoRedefine/>
    <w:uiPriority w:val="39"/>
    <w:unhideWhenUsed/>
    <w:rsid w:val="008E2D9D"/>
    <w:pPr>
      <w:ind w:left="1920"/>
    </w:pPr>
    <w:rPr>
      <w:rFonts w:asciiTheme="minorHAnsi" w:eastAsia="Calibri" w:hAnsiTheme="minorHAnsi" w:cstheme="minorHAnsi"/>
      <w:sz w:val="20"/>
      <w:szCs w:val="20"/>
      <w:lang w:val="en-GB" w:eastAsia="en-US"/>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unhideWhenUsed/>
    <w:rsid w:val="00BE6370"/>
    <w:pPr>
      <w:spacing w:before="100" w:beforeAutospacing="1" w:after="100" w:afterAutospacing="1"/>
    </w:pPr>
    <w:rPr>
      <w:rFonts w:eastAsia="Calibri"/>
      <w:lang w:val="en-GB"/>
    </w:rPr>
  </w:style>
  <w:style w:type="paragraph" w:customStyle="1" w:styleId="DocumentSubtitle">
    <w:name w:val="Document Subtitle"/>
    <w:next w:val="Intro"/>
    <w:rsid w:val="00BE6370"/>
    <w:pPr>
      <w:spacing w:after="600"/>
    </w:pPr>
    <w:rPr>
      <w:color w:val="555559"/>
      <w:sz w:val="32"/>
      <w:szCs w:val="32"/>
      <w:lang w:val="en-GB"/>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qFormat/>
    <w:rsid w:val="00883D15"/>
    <w:pPr>
      <w:spacing w:after="120"/>
    </w:pPr>
    <w:rPr>
      <w:rFonts w:ascii="Calibri" w:hAnsi="Calibri"/>
      <w:color w:val="000000"/>
      <w:sz w:val="22"/>
      <w:lang w:val="en-GB"/>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067F0F"/>
    <w:pPr>
      <w:keepNext w:val="0"/>
      <w:keepLines w:val="0"/>
      <w:numPr>
        <w:numId w:val="6"/>
      </w:numPr>
      <w:spacing w:after="160" w:line="264" w:lineRule="auto"/>
      <w:ind w:left="357" w:hanging="357"/>
    </w:pPr>
    <w:rPr>
      <w:rFonts w:ascii="Calibri" w:hAnsi="Calibri"/>
      <w:b/>
      <w:color w:val="5620A9"/>
      <w:sz w:val="22"/>
    </w:rPr>
  </w:style>
  <w:style w:type="paragraph" w:customStyle="1" w:styleId="SectionSubhead">
    <w:name w:val="Section Subhead"/>
    <w:basedOn w:val="Heading2"/>
    <w:qFormat/>
    <w:rsid w:val="00067F0F"/>
    <w:pPr>
      <w:keepNext w:val="0"/>
      <w:keepLines w:val="0"/>
      <w:numPr>
        <w:ilvl w:val="1"/>
        <w:numId w:val="6"/>
      </w:numPr>
      <w:spacing w:before="240" w:after="160" w:line="264" w:lineRule="auto"/>
      <w:ind w:left="357" w:firstLine="6"/>
    </w:pPr>
    <w:rPr>
      <w:rFonts w:ascii="Calibri" w:hAnsi="Calibri"/>
      <w:b/>
      <w:color w:val="55565A"/>
      <w:sz w:val="22"/>
    </w:rPr>
  </w:style>
  <w:style w:type="paragraph" w:styleId="NoSpacing">
    <w:name w:val="No Spacing"/>
    <w:uiPriority w:val="1"/>
    <w:rsid w:val="00A01242"/>
    <w:rPr>
      <w:sz w:val="24"/>
      <w:szCs w:val="24"/>
      <w:lang w:val="en-GB"/>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rPr>
  </w:style>
  <w:style w:type="numbering" w:styleId="1ai">
    <w:name w:val="Outline List 1"/>
    <w:basedOn w:val="NoList"/>
    <w:uiPriority w:val="99"/>
    <w:semiHidden/>
    <w:unhideWhenUsed/>
    <w:rsid w:val="005226D3"/>
    <w:pPr>
      <w:numPr>
        <w:numId w:val="7"/>
      </w:numPr>
    </w:pPr>
  </w:style>
  <w:style w:type="paragraph" w:customStyle="1" w:styleId="OVICList">
    <w:name w:val="OVIC List"/>
    <w:rsid w:val="005226D3"/>
    <w:pPr>
      <w:numPr>
        <w:numId w:val="8"/>
      </w:numPr>
    </w:pPr>
    <w:rPr>
      <w:rFonts w:cs="National-Book"/>
      <w:color w:val="55565A"/>
      <w:sz w:val="22"/>
      <w:szCs w:val="22"/>
    </w:rPr>
  </w:style>
  <w:style w:type="paragraph" w:styleId="ListParagraph">
    <w:name w:val="List Paragraph"/>
    <w:basedOn w:val="Normal"/>
    <w:uiPriority w:val="34"/>
    <w:qFormat/>
    <w:rsid w:val="003B2268"/>
    <w:pPr>
      <w:spacing w:before="120" w:after="200" w:line="276" w:lineRule="auto"/>
      <w:ind w:left="720"/>
    </w:pPr>
    <w:rPr>
      <w:rFonts w:ascii="Calibri" w:eastAsia="Calibri" w:hAnsi="Calibri"/>
      <w:sz w:val="20"/>
      <w:szCs w:val="20"/>
      <w:lang w:eastAsia="en-US"/>
    </w:rPr>
  </w:style>
  <w:style w:type="paragraph" w:styleId="TOCHeading">
    <w:name w:val="TOC Heading"/>
    <w:basedOn w:val="Heading1"/>
    <w:next w:val="Normal"/>
    <w:uiPriority w:val="39"/>
    <w:unhideWhenUsed/>
    <w:qFormat/>
    <w:rsid w:val="008E7579"/>
    <w:pPr>
      <w:spacing w:before="480" w:line="276" w:lineRule="auto"/>
      <w:outlineLvl w:val="9"/>
    </w:pPr>
    <w:rPr>
      <w:rFonts w:asciiTheme="majorHAnsi" w:eastAsiaTheme="majorEastAsia" w:hAnsiTheme="majorHAnsi" w:cstheme="majorBidi"/>
      <w:b/>
      <w:bCs/>
      <w:color w:val="2F5496" w:themeColor="accent1" w:themeShade="BF"/>
      <w:sz w:val="28"/>
      <w:szCs w:val="28"/>
      <w:lang w:val="en-US"/>
    </w:rPr>
  </w:style>
  <w:style w:type="paragraph" w:styleId="BalloonText">
    <w:name w:val="Balloon Text"/>
    <w:basedOn w:val="Normal"/>
    <w:link w:val="BalloonTextChar"/>
    <w:uiPriority w:val="99"/>
    <w:semiHidden/>
    <w:unhideWhenUsed/>
    <w:rsid w:val="00351B13"/>
    <w:rPr>
      <w:rFonts w:eastAsia="Calibri"/>
      <w:sz w:val="18"/>
      <w:szCs w:val="18"/>
      <w:lang w:val="en-GB" w:eastAsia="en-US"/>
    </w:rPr>
  </w:style>
  <w:style w:type="character" w:customStyle="1" w:styleId="BalloonTextChar">
    <w:name w:val="Balloon Text Char"/>
    <w:basedOn w:val="DefaultParagraphFont"/>
    <w:link w:val="BalloonText"/>
    <w:uiPriority w:val="99"/>
    <w:semiHidden/>
    <w:rsid w:val="00351B13"/>
    <w:rPr>
      <w:rFonts w:ascii="Times New Roman" w:hAnsi="Times New Roman"/>
      <w:sz w:val="18"/>
      <w:szCs w:val="18"/>
      <w:lang w:val="en-GB"/>
    </w:rPr>
  </w:style>
  <w:style w:type="paragraph" w:styleId="Quote">
    <w:name w:val="Quote"/>
    <w:basedOn w:val="Normal"/>
    <w:next w:val="Normal"/>
    <w:link w:val="QuoteChar"/>
    <w:uiPriority w:val="29"/>
    <w:qFormat/>
    <w:rsid w:val="00B924FE"/>
    <w:rPr>
      <w:rFonts w:asciiTheme="minorHAnsi" w:eastAsiaTheme="minorEastAsia" w:hAnsiTheme="minorHAnsi" w:cstheme="minorBidi"/>
      <w:i/>
      <w:iCs/>
      <w:color w:val="000000" w:themeColor="text1"/>
      <w:lang w:eastAsia="en-US"/>
    </w:rPr>
  </w:style>
  <w:style w:type="character" w:customStyle="1" w:styleId="QuoteChar">
    <w:name w:val="Quote Char"/>
    <w:basedOn w:val="DefaultParagraphFont"/>
    <w:link w:val="Quote"/>
    <w:uiPriority w:val="29"/>
    <w:rsid w:val="00B924FE"/>
    <w:rPr>
      <w:rFonts w:asciiTheme="minorHAnsi" w:eastAsiaTheme="minorEastAsia" w:hAnsiTheme="minorHAnsi" w:cstheme="minorBidi"/>
      <w:i/>
      <w:iCs/>
      <w:color w:val="000000" w:themeColor="text1"/>
      <w:sz w:val="24"/>
      <w:szCs w:val="24"/>
      <w:lang w:val="en-AU"/>
    </w:rPr>
  </w:style>
  <w:style w:type="table" w:styleId="ListTable7ColourfulAccent1">
    <w:name w:val="List Table 7 Colorful Accent 1"/>
    <w:basedOn w:val="TableNormal"/>
    <w:uiPriority w:val="52"/>
    <w:rsid w:val="00EE7C9C"/>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AD14C1"/>
    <w:rPr>
      <w:color w:val="605E5C"/>
      <w:shd w:val="clear" w:color="auto" w:fill="E1DFDD"/>
    </w:rPr>
  </w:style>
  <w:style w:type="character" w:styleId="FollowedHyperlink">
    <w:name w:val="FollowedHyperlink"/>
    <w:basedOn w:val="DefaultParagraphFont"/>
    <w:uiPriority w:val="99"/>
    <w:semiHidden/>
    <w:unhideWhenUsed/>
    <w:rsid w:val="005F5065"/>
    <w:rPr>
      <w:color w:val="954F72" w:themeColor="followedHyperlink"/>
      <w:u w:val="single"/>
    </w:rPr>
  </w:style>
  <w:style w:type="paragraph" w:styleId="BodyText">
    <w:name w:val="Body Text"/>
    <w:basedOn w:val="Normal"/>
    <w:link w:val="BodyTextChar"/>
    <w:uiPriority w:val="1"/>
    <w:qFormat/>
    <w:rsid w:val="00367B0F"/>
    <w:pPr>
      <w:widowControl w:val="0"/>
      <w:autoSpaceDE w:val="0"/>
      <w:autoSpaceDN w:val="0"/>
    </w:pPr>
    <w:rPr>
      <w:rFonts w:ascii="Museo Sans" w:eastAsia="Museo Sans" w:hAnsi="Museo Sans" w:cs="Museo Sans"/>
      <w:sz w:val="18"/>
      <w:szCs w:val="18"/>
      <w:lang w:val="en-US" w:eastAsia="en-US" w:bidi="en-US"/>
    </w:rPr>
  </w:style>
  <w:style w:type="character" w:customStyle="1" w:styleId="BodyTextChar">
    <w:name w:val="Body Text Char"/>
    <w:basedOn w:val="DefaultParagraphFont"/>
    <w:link w:val="BodyText"/>
    <w:uiPriority w:val="1"/>
    <w:rsid w:val="00367B0F"/>
    <w:rPr>
      <w:rFonts w:ascii="Museo Sans" w:eastAsia="Museo Sans" w:hAnsi="Museo Sans" w:cs="Museo Sans"/>
      <w:sz w:val="18"/>
      <w:szCs w:val="18"/>
      <w:lang w:bidi="en-US"/>
    </w:rPr>
  </w:style>
  <w:style w:type="paragraph" w:styleId="CommentText">
    <w:name w:val="annotation text"/>
    <w:basedOn w:val="Normal"/>
    <w:link w:val="CommentTextChar"/>
    <w:uiPriority w:val="99"/>
    <w:unhideWhenUsed/>
    <w:rsid w:val="00367B0F"/>
    <w:pPr>
      <w:widowControl w:val="0"/>
      <w:autoSpaceDE w:val="0"/>
      <w:autoSpaceDN w:val="0"/>
    </w:pPr>
    <w:rPr>
      <w:rFonts w:ascii="Museo Sans" w:eastAsia="Museo Sans" w:hAnsi="Museo Sans" w:cs="Museo Sans"/>
      <w:sz w:val="20"/>
      <w:szCs w:val="20"/>
      <w:lang w:val="en-US" w:eastAsia="en-US" w:bidi="en-US"/>
    </w:rPr>
  </w:style>
  <w:style w:type="character" w:customStyle="1" w:styleId="CommentTextChar">
    <w:name w:val="Comment Text Char"/>
    <w:basedOn w:val="DefaultParagraphFont"/>
    <w:link w:val="CommentText"/>
    <w:uiPriority w:val="99"/>
    <w:rsid w:val="00367B0F"/>
    <w:rPr>
      <w:rFonts w:ascii="Museo Sans" w:eastAsia="Museo Sans" w:hAnsi="Museo Sans" w:cs="Museo Sans"/>
      <w:lang w:bidi="en-US"/>
    </w:rPr>
  </w:style>
  <w:style w:type="paragraph" w:customStyle="1" w:styleId="TableParagraph">
    <w:name w:val="Table Paragraph"/>
    <w:basedOn w:val="Normal"/>
    <w:uiPriority w:val="1"/>
    <w:qFormat/>
    <w:rsid w:val="00367B0F"/>
    <w:pPr>
      <w:widowControl w:val="0"/>
      <w:autoSpaceDE w:val="0"/>
      <w:autoSpaceDN w:val="0"/>
    </w:pPr>
    <w:rPr>
      <w:rFonts w:ascii="Museo Sans" w:eastAsia="Museo Sans" w:hAnsi="Museo Sans" w:cs="Museo Sans"/>
      <w:sz w:val="22"/>
      <w:szCs w:val="22"/>
      <w:lang w:val="en-US" w:eastAsia="en-US" w:bidi="en-US"/>
    </w:rPr>
  </w:style>
  <w:style w:type="character" w:customStyle="1" w:styleId="Heading5Char">
    <w:name w:val="Heading 5 Char"/>
    <w:basedOn w:val="DefaultParagraphFont"/>
    <w:link w:val="Heading5"/>
    <w:uiPriority w:val="9"/>
    <w:rsid w:val="0094563D"/>
    <w:rPr>
      <w:rFonts w:asciiTheme="majorHAnsi" w:eastAsiaTheme="majorEastAsia" w:hAnsiTheme="maj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rsid w:val="0094563D"/>
    <w:rPr>
      <w:rFonts w:ascii="MuseoSans-700" w:eastAsia="MuseoSans-700" w:hAnsi="MuseoSans-700" w:cs="MuseoSans-700"/>
      <w:b/>
      <w:bCs/>
      <w:sz w:val="18"/>
      <w:szCs w:val="18"/>
      <w:lang w:bidi="en-US"/>
    </w:rPr>
  </w:style>
  <w:style w:type="paragraph" w:styleId="CommentSubject">
    <w:name w:val="annotation subject"/>
    <w:basedOn w:val="CommentText"/>
    <w:next w:val="CommentText"/>
    <w:link w:val="CommentSubjectChar"/>
    <w:uiPriority w:val="99"/>
    <w:semiHidden/>
    <w:unhideWhenUsed/>
    <w:rsid w:val="0094563D"/>
    <w:pPr>
      <w:widowControl/>
      <w:autoSpaceDE/>
      <w:autoSpaceDN/>
    </w:pPr>
    <w:rPr>
      <w:rFonts w:ascii="Calibri" w:eastAsia="Calibri" w:hAnsi="Calibri" w:cs="Times New Roman"/>
      <w:b/>
      <w:bCs/>
      <w:lang w:val="en-GB" w:bidi="ar-SA"/>
    </w:rPr>
  </w:style>
  <w:style w:type="character" w:customStyle="1" w:styleId="CommentSubjectChar">
    <w:name w:val="Comment Subject Char"/>
    <w:basedOn w:val="CommentTextChar"/>
    <w:link w:val="CommentSubject"/>
    <w:uiPriority w:val="99"/>
    <w:semiHidden/>
    <w:rsid w:val="0094563D"/>
    <w:rPr>
      <w:rFonts w:ascii="Museo Sans" w:eastAsia="Museo Sans" w:hAnsi="Museo Sans" w:cs="Museo Sans"/>
      <w:b/>
      <w:bCs/>
      <w:lang w:val="en-GB" w:bidi="en-US"/>
    </w:rPr>
  </w:style>
  <w:style w:type="paragraph" w:styleId="Revision">
    <w:name w:val="Revision"/>
    <w:hidden/>
    <w:uiPriority w:val="99"/>
    <w:semiHidden/>
    <w:rsid w:val="0094563D"/>
    <w:rPr>
      <w:rFonts w:ascii="Museo Sans" w:eastAsia="Museo Sans" w:hAnsi="Museo Sans" w:cs="Museo Sans"/>
      <w:sz w:val="22"/>
      <w:szCs w:val="22"/>
      <w:lang w:bidi="en-US"/>
    </w:rPr>
  </w:style>
  <w:style w:type="paragraph" w:styleId="FootnoteText">
    <w:name w:val="footnote text"/>
    <w:basedOn w:val="Normal"/>
    <w:link w:val="FootnoteTextChar"/>
    <w:uiPriority w:val="99"/>
    <w:semiHidden/>
    <w:unhideWhenUsed/>
    <w:rsid w:val="0094563D"/>
    <w:pPr>
      <w:widowControl w:val="0"/>
      <w:autoSpaceDE w:val="0"/>
      <w:autoSpaceDN w:val="0"/>
    </w:pPr>
    <w:rPr>
      <w:rFonts w:ascii="Museo Sans" w:eastAsia="Museo Sans" w:hAnsi="Museo Sans" w:cs="Museo Sans"/>
      <w:sz w:val="20"/>
      <w:szCs w:val="20"/>
      <w:lang w:val="en-US" w:eastAsia="en-US" w:bidi="en-US"/>
    </w:rPr>
  </w:style>
  <w:style w:type="character" w:customStyle="1" w:styleId="FootnoteTextChar">
    <w:name w:val="Footnote Text Char"/>
    <w:basedOn w:val="DefaultParagraphFont"/>
    <w:link w:val="FootnoteText"/>
    <w:uiPriority w:val="99"/>
    <w:semiHidden/>
    <w:rsid w:val="0094563D"/>
    <w:rPr>
      <w:rFonts w:ascii="Museo Sans" w:eastAsia="Museo Sans" w:hAnsi="Museo Sans" w:cs="Museo Sans"/>
      <w:lang w:bidi="en-US"/>
    </w:rPr>
  </w:style>
  <w:style w:type="character" w:styleId="FootnoteReference">
    <w:name w:val="footnote reference"/>
    <w:basedOn w:val="DefaultParagraphFont"/>
    <w:uiPriority w:val="99"/>
    <w:unhideWhenUsed/>
    <w:rsid w:val="00CB290A"/>
    <w:rPr>
      <w:rFonts w:asciiTheme="minorHAnsi" w:hAnsiTheme="minorHAnsi"/>
      <w:sz w:val="18"/>
      <w:bdr w:val="none" w:sz="0" w:space="0" w:color="auto"/>
      <w:vertAlign w:val="baseline"/>
    </w:rPr>
  </w:style>
  <w:style w:type="paragraph" w:styleId="EndnoteText">
    <w:name w:val="endnote text"/>
    <w:basedOn w:val="Normal"/>
    <w:link w:val="EndnoteTextChar"/>
    <w:uiPriority w:val="99"/>
    <w:semiHidden/>
    <w:unhideWhenUsed/>
    <w:rsid w:val="003C688E"/>
    <w:rPr>
      <w:sz w:val="20"/>
      <w:szCs w:val="20"/>
    </w:rPr>
  </w:style>
  <w:style w:type="character" w:customStyle="1" w:styleId="EndnoteTextChar">
    <w:name w:val="Endnote Text Char"/>
    <w:basedOn w:val="DefaultParagraphFont"/>
    <w:link w:val="EndnoteText"/>
    <w:uiPriority w:val="99"/>
    <w:semiHidden/>
    <w:rsid w:val="003C688E"/>
    <w:rPr>
      <w:lang w:val="en-GB"/>
    </w:rPr>
  </w:style>
  <w:style w:type="character" w:styleId="EndnoteReference">
    <w:name w:val="endnote reference"/>
    <w:basedOn w:val="DefaultParagraphFont"/>
    <w:uiPriority w:val="99"/>
    <w:semiHidden/>
    <w:unhideWhenUsed/>
    <w:rsid w:val="003C688E"/>
    <w:rPr>
      <w:vertAlign w:val="superscript"/>
    </w:rPr>
  </w:style>
  <w:style w:type="character" w:styleId="Strong">
    <w:name w:val="Strong"/>
    <w:basedOn w:val="DefaultParagraphFont"/>
    <w:uiPriority w:val="22"/>
    <w:qFormat/>
    <w:rsid w:val="00FD1834"/>
    <w:rPr>
      <w:b/>
      <w:bCs/>
    </w:rPr>
  </w:style>
  <w:style w:type="character" w:styleId="SubtleEmphasis">
    <w:name w:val="Subtle Emphasis"/>
    <w:basedOn w:val="DefaultParagraphFont"/>
    <w:uiPriority w:val="19"/>
    <w:rsid w:val="00FD1834"/>
    <w:rPr>
      <w:i/>
      <w:iCs/>
      <w:color w:val="404040" w:themeColor="text1" w:themeTint="BF"/>
    </w:rPr>
  </w:style>
  <w:style w:type="character" w:customStyle="1" w:styleId="apple-converted-space">
    <w:name w:val="apple-converted-space"/>
    <w:basedOn w:val="DefaultParagraphFont"/>
    <w:rsid w:val="00B56571"/>
  </w:style>
  <w:style w:type="paragraph" w:styleId="Caption">
    <w:name w:val="caption"/>
    <w:basedOn w:val="Normal"/>
    <w:next w:val="Normal"/>
    <w:uiPriority w:val="35"/>
    <w:unhideWhenUsed/>
    <w:qFormat/>
    <w:rsid w:val="00DA72B2"/>
    <w:pPr>
      <w:spacing w:after="200"/>
      <w:contextualSpacing/>
    </w:pPr>
    <w:rPr>
      <w:rFonts w:asciiTheme="minorHAnsi" w:eastAsiaTheme="minorHAnsi" w:hAnsiTheme="minorHAnsi" w:cstheme="minorBidi"/>
      <w:i/>
      <w:iCs/>
      <w:color w:val="44546A" w:themeColor="text2"/>
      <w:sz w:val="18"/>
      <w:szCs w:val="18"/>
      <w:lang w:eastAsia="en-US"/>
    </w:rPr>
  </w:style>
  <w:style w:type="paragraph" w:customStyle="1" w:styleId="body0">
    <w:name w:val="body"/>
    <w:basedOn w:val="Normal"/>
    <w:rsid w:val="009C26B8"/>
    <w:pPr>
      <w:spacing w:before="100" w:beforeAutospacing="1" w:after="100" w:afterAutospacing="1"/>
    </w:pPr>
  </w:style>
  <w:style w:type="paragraph" w:customStyle="1" w:styleId="Bullet2">
    <w:name w:val="Bullet 2"/>
    <w:basedOn w:val="Body"/>
    <w:qFormat/>
    <w:rsid w:val="00070899"/>
    <w:pPr>
      <w:numPr>
        <w:numId w:val="11"/>
      </w:numPr>
    </w:pPr>
    <w:rPr>
      <w:rFonts w:eastAsia="Calibri"/>
      <w:lang w:eastAsia="en-US"/>
    </w:rPr>
  </w:style>
  <w:style w:type="paragraph" w:customStyle="1" w:styleId="imagecaption">
    <w:name w:val="image caption"/>
    <w:basedOn w:val="Body"/>
    <w:qFormat/>
    <w:rsid w:val="005A6C31"/>
    <w:pPr>
      <w:spacing w:after="480"/>
    </w:pPr>
    <w:rPr>
      <w:i/>
      <w:iCs/>
      <w:sz w:val="20"/>
      <w:szCs w:val="18"/>
    </w:rPr>
  </w:style>
  <w:style w:type="paragraph" w:customStyle="1" w:styleId="Quote1">
    <w:name w:val="Quote1"/>
    <w:basedOn w:val="Body"/>
    <w:qFormat/>
    <w:rsid w:val="00973A5E"/>
    <w:pPr>
      <w:ind w:left="567"/>
    </w:pPr>
    <w:rPr>
      <w:rFonts w:eastAsia="Calibri"/>
      <w:i/>
      <w:iCs/>
      <w:color w:val="595959" w:themeColor="text1" w:themeTint="A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8416">
      <w:bodyDiv w:val="1"/>
      <w:marLeft w:val="0"/>
      <w:marRight w:val="0"/>
      <w:marTop w:val="0"/>
      <w:marBottom w:val="0"/>
      <w:divBdr>
        <w:top w:val="none" w:sz="0" w:space="0" w:color="auto"/>
        <w:left w:val="none" w:sz="0" w:space="0" w:color="auto"/>
        <w:bottom w:val="none" w:sz="0" w:space="0" w:color="auto"/>
        <w:right w:val="none" w:sz="0" w:space="0" w:color="auto"/>
      </w:divBdr>
    </w:div>
    <w:div w:id="275598698">
      <w:bodyDiv w:val="1"/>
      <w:marLeft w:val="0"/>
      <w:marRight w:val="0"/>
      <w:marTop w:val="0"/>
      <w:marBottom w:val="0"/>
      <w:divBdr>
        <w:top w:val="none" w:sz="0" w:space="0" w:color="auto"/>
        <w:left w:val="none" w:sz="0" w:space="0" w:color="auto"/>
        <w:bottom w:val="none" w:sz="0" w:space="0" w:color="auto"/>
        <w:right w:val="none" w:sz="0" w:space="0" w:color="auto"/>
      </w:divBdr>
    </w:div>
    <w:div w:id="294258690">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374886659">
      <w:bodyDiv w:val="1"/>
      <w:marLeft w:val="0"/>
      <w:marRight w:val="0"/>
      <w:marTop w:val="0"/>
      <w:marBottom w:val="0"/>
      <w:divBdr>
        <w:top w:val="none" w:sz="0" w:space="0" w:color="auto"/>
        <w:left w:val="none" w:sz="0" w:space="0" w:color="auto"/>
        <w:bottom w:val="none" w:sz="0" w:space="0" w:color="auto"/>
        <w:right w:val="none" w:sz="0" w:space="0" w:color="auto"/>
      </w:divBdr>
    </w:div>
    <w:div w:id="385615959">
      <w:bodyDiv w:val="1"/>
      <w:marLeft w:val="0"/>
      <w:marRight w:val="0"/>
      <w:marTop w:val="0"/>
      <w:marBottom w:val="0"/>
      <w:divBdr>
        <w:top w:val="none" w:sz="0" w:space="0" w:color="auto"/>
        <w:left w:val="none" w:sz="0" w:space="0" w:color="auto"/>
        <w:bottom w:val="none" w:sz="0" w:space="0" w:color="auto"/>
        <w:right w:val="none" w:sz="0" w:space="0" w:color="auto"/>
      </w:divBdr>
    </w:div>
    <w:div w:id="410350871">
      <w:bodyDiv w:val="1"/>
      <w:marLeft w:val="0"/>
      <w:marRight w:val="0"/>
      <w:marTop w:val="0"/>
      <w:marBottom w:val="0"/>
      <w:divBdr>
        <w:top w:val="none" w:sz="0" w:space="0" w:color="auto"/>
        <w:left w:val="none" w:sz="0" w:space="0" w:color="auto"/>
        <w:bottom w:val="none" w:sz="0" w:space="0" w:color="auto"/>
        <w:right w:val="none" w:sz="0" w:space="0" w:color="auto"/>
      </w:divBdr>
    </w:div>
    <w:div w:id="574510169">
      <w:bodyDiv w:val="1"/>
      <w:marLeft w:val="0"/>
      <w:marRight w:val="0"/>
      <w:marTop w:val="0"/>
      <w:marBottom w:val="0"/>
      <w:divBdr>
        <w:top w:val="none" w:sz="0" w:space="0" w:color="auto"/>
        <w:left w:val="none" w:sz="0" w:space="0" w:color="auto"/>
        <w:bottom w:val="none" w:sz="0" w:space="0" w:color="auto"/>
        <w:right w:val="none" w:sz="0" w:space="0" w:color="auto"/>
      </w:divBdr>
    </w:div>
    <w:div w:id="660623246">
      <w:bodyDiv w:val="1"/>
      <w:marLeft w:val="0"/>
      <w:marRight w:val="0"/>
      <w:marTop w:val="0"/>
      <w:marBottom w:val="0"/>
      <w:divBdr>
        <w:top w:val="none" w:sz="0" w:space="0" w:color="auto"/>
        <w:left w:val="none" w:sz="0" w:space="0" w:color="auto"/>
        <w:bottom w:val="none" w:sz="0" w:space="0" w:color="auto"/>
        <w:right w:val="none" w:sz="0" w:space="0" w:color="auto"/>
      </w:divBdr>
    </w:div>
    <w:div w:id="704911401">
      <w:bodyDiv w:val="1"/>
      <w:marLeft w:val="0"/>
      <w:marRight w:val="0"/>
      <w:marTop w:val="0"/>
      <w:marBottom w:val="0"/>
      <w:divBdr>
        <w:top w:val="none" w:sz="0" w:space="0" w:color="auto"/>
        <w:left w:val="none" w:sz="0" w:space="0" w:color="auto"/>
        <w:bottom w:val="none" w:sz="0" w:space="0" w:color="auto"/>
        <w:right w:val="none" w:sz="0" w:space="0" w:color="auto"/>
      </w:divBdr>
    </w:div>
    <w:div w:id="726951679">
      <w:bodyDiv w:val="1"/>
      <w:marLeft w:val="0"/>
      <w:marRight w:val="0"/>
      <w:marTop w:val="0"/>
      <w:marBottom w:val="0"/>
      <w:divBdr>
        <w:top w:val="none" w:sz="0" w:space="0" w:color="auto"/>
        <w:left w:val="none" w:sz="0" w:space="0" w:color="auto"/>
        <w:bottom w:val="none" w:sz="0" w:space="0" w:color="auto"/>
        <w:right w:val="none" w:sz="0" w:space="0" w:color="auto"/>
      </w:divBdr>
    </w:div>
    <w:div w:id="919871670">
      <w:bodyDiv w:val="1"/>
      <w:marLeft w:val="0"/>
      <w:marRight w:val="0"/>
      <w:marTop w:val="0"/>
      <w:marBottom w:val="0"/>
      <w:divBdr>
        <w:top w:val="none" w:sz="0" w:space="0" w:color="auto"/>
        <w:left w:val="none" w:sz="0" w:space="0" w:color="auto"/>
        <w:bottom w:val="none" w:sz="0" w:space="0" w:color="auto"/>
        <w:right w:val="none" w:sz="0" w:space="0" w:color="auto"/>
      </w:divBdr>
    </w:div>
    <w:div w:id="1080172951">
      <w:bodyDiv w:val="1"/>
      <w:marLeft w:val="0"/>
      <w:marRight w:val="0"/>
      <w:marTop w:val="0"/>
      <w:marBottom w:val="0"/>
      <w:divBdr>
        <w:top w:val="none" w:sz="0" w:space="0" w:color="auto"/>
        <w:left w:val="none" w:sz="0" w:space="0" w:color="auto"/>
        <w:bottom w:val="none" w:sz="0" w:space="0" w:color="auto"/>
        <w:right w:val="none" w:sz="0" w:space="0" w:color="auto"/>
      </w:divBdr>
    </w:div>
    <w:div w:id="1300572587">
      <w:bodyDiv w:val="1"/>
      <w:marLeft w:val="0"/>
      <w:marRight w:val="0"/>
      <w:marTop w:val="0"/>
      <w:marBottom w:val="0"/>
      <w:divBdr>
        <w:top w:val="none" w:sz="0" w:space="0" w:color="auto"/>
        <w:left w:val="none" w:sz="0" w:space="0" w:color="auto"/>
        <w:bottom w:val="none" w:sz="0" w:space="0" w:color="auto"/>
        <w:right w:val="none" w:sz="0" w:space="0" w:color="auto"/>
      </w:divBdr>
    </w:div>
    <w:div w:id="1369376783">
      <w:bodyDiv w:val="1"/>
      <w:marLeft w:val="0"/>
      <w:marRight w:val="0"/>
      <w:marTop w:val="0"/>
      <w:marBottom w:val="0"/>
      <w:divBdr>
        <w:top w:val="none" w:sz="0" w:space="0" w:color="auto"/>
        <w:left w:val="none" w:sz="0" w:space="0" w:color="auto"/>
        <w:bottom w:val="none" w:sz="0" w:space="0" w:color="auto"/>
        <w:right w:val="none" w:sz="0" w:space="0" w:color="auto"/>
      </w:divBdr>
    </w:div>
    <w:div w:id="1389691041">
      <w:bodyDiv w:val="1"/>
      <w:marLeft w:val="0"/>
      <w:marRight w:val="0"/>
      <w:marTop w:val="0"/>
      <w:marBottom w:val="0"/>
      <w:divBdr>
        <w:top w:val="none" w:sz="0" w:space="0" w:color="auto"/>
        <w:left w:val="none" w:sz="0" w:space="0" w:color="auto"/>
        <w:bottom w:val="none" w:sz="0" w:space="0" w:color="auto"/>
        <w:right w:val="none" w:sz="0" w:space="0" w:color="auto"/>
      </w:divBdr>
    </w:div>
    <w:div w:id="1452820994">
      <w:bodyDiv w:val="1"/>
      <w:marLeft w:val="0"/>
      <w:marRight w:val="0"/>
      <w:marTop w:val="0"/>
      <w:marBottom w:val="0"/>
      <w:divBdr>
        <w:top w:val="none" w:sz="0" w:space="0" w:color="auto"/>
        <w:left w:val="none" w:sz="0" w:space="0" w:color="auto"/>
        <w:bottom w:val="none" w:sz="0" w:space="0" w:color="auto"/>
        <w:right w:val="none" w:sz="0" w:space="0" w:color="auto"/>
      </w:divBdr>
    </w:div>
    <w:div w:id="1537812996">
      <w:bodyDiv w:val="1"/>
      <w:marLeft w:val="0"/>
      <w:marRight w:val="0"/>
      <w:marTop w:val="0"/>
      <w:marBottom w:val="0"/>
      <w:divBdr>
        <w:top w:val="none" w:sz="0" w:space="0" w:color="auto"/>
        <w:left w:val="none" w:sz="0" w:space="0" w:color="auto"/>
        <w:bottom w:val="none" w:sz="0" w:space="0" w:color="auto"/>
        <w:right w:val="none" w:sz="0" w:space="0" w:color="auto"/>
      </w:divBdr>
    </w:div>
    <w:div w:id="1841240213">
      <w:bodyDiv w:val="1"/>
      <w:marLeft w:val="0"/>
      <w:marRight w:val="0"/>
      <w:marTop w:val="0"/>
      <w:marBottom w:val="0"/>
      <w:divBdr>
        <w:top w:val="none" w:sz="0" w:space="0" w:color="auto"/>
        <w:left w:val="none" w:sz="0" w:space="0" w:color="auto"/>
        <w:bottom w:val="none" w:sz="0" w:space="0" w:color="auto"/>
        <w:right w:val="none" w:sz="0" w:space="0" w:color="auto"/>
      </w:divBdr>
    </w:div>
    <w:div w:id="1926911231">
      <w:bodyDiv w:val="1"/>
      <w:marLeft w:val="0"/>
      <w:marRight w:val="0"/>
      <w:marTop w:val="0"/>
      <w:marBottom w:val="0"/>
      <w:divBdr>
        <w:top w:val="none" w:sz="0" w:space="0" w:color="auto"/>
        <w:left w:val="none" w:sz="0" w:space="0" w:color="auto"/>
        <w:bottom w:val="none" w:sz="0" w:space="0" w:color="auto"/>
        <w:right w:val="none" w:sz="0" w:space="0" w:color="auto"/>
      </w:divBdr>
    </w:div>
    <w:div w:id="1956718138">
      <w:bodyDiv w:val="1"/>
      <w:marLeft w:val="0"/>
      <w:marRight w:val="0"/>
      <w:marTop w:val="0"/>
      <w:marBottom w:val="0"/>
      <w:divBdr>
        <w:top w:val="none" w:sz="0" w:space="0" w:color="auto"/>
        <w:left w:val="none" w:sz="0" w:space="0" w:color="auto"/>
        <w:bottom w:val="none" w:sz="0" w:space="0" w:color="auto"/>
        <w:right w:val="none" w:sz="0" w:space="0" w:color="auto"/>
      </w:divBdr>
    </w:div>
    <w:div w:id="198738936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ic.vic.gov.au/" TargetMode="Externa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ovic.vic.gov.au/data-protection/for-agencies/vpdsf-resources/"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urity@ovic.vic.gov.au" TargetMode="External"/><Relationship Id="rId20" Type="http://schemas.openxmlformats.org/officeDocument/2006/relationships/hyperlink" Target="https://ovic.vic.gov.au/data-protection/for-agencies/vpdsf-resources/" TargetMode="External"/><Relationship Id="rId29" Type="http://schemas.openxmlformats.org/officeDocument/2006/relationships/hyperlink" Target="https://ovic.vic.gov.au/data-protection/for-agencies/vpdsf-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vic.vic.gov.au/data-protection/for-agencies/vpdsf-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ovic.vic.gov.au/data-protection/for-agencies/vpdsf-resources/" TargetMode="External"/><Relationship Id="rId28" Type="http://schemas.openxmlformats.org/officeDocument/2006/relationships/hyperlink" Target="https://ovic.vic.gov.au/data-protection/agency-reporting-obligations/" TargetMode="Externa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ovic.vic.gov.au/regulatory-action-policy/" TargetMode="External"/><Relationship Id="rId27" Type="http://schemas.openxmlformats.org/officeDocument/2006/relationships/hyperlink" Target="https://ovic.vic.gov.au/data-protection/for-agencies/vpdsf-resources/" TargetMode="External"/><Relationship Id="rId30" Type="http://schemas.openxmlformats.org/officeDocument/2006/relationships/hyperlink" Target="https://ovic.vic.gov.au/regulatory-action-policy/?highlight=regulatory%20action%20policy"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ovic.vic.gov.au/data-protection/for-agencies/vpdsf-resources/" TargetMode="External"/><Relationship Id="rId3" Type="http://schemas.openxmlformats.org/officeDocument/2006/relationships/hyperlink" Target="https://ovic.vic.gov.au/data-protection/for-agencies/vpdsf-resources/" TargetMode="External"/><Relationship Id="rId7" Type="http://schemas.openxmlformats.org/officeDocument/2006/relationships/hyperlink" Target="https://ovic.vic.gov.au/data-protection/for-agencies/vpdsf-resources/" TargetMode="External"/><Relationship Id="rId2" Type="http://schemas.openxmlformats.org/officeDocument/2006/relationships/hyperlink" Target="https://ovic.vic.gov.au/data-protection/for-agencies/vpdsf-resources/" TargetMode="External"/><Relationship Id="rId1" Type="http://schemas.openxmlformats.org/officeDocument/2006/relationships/hyperlink" Target="https://ovic.vic.gov.au/data-protection/for-agencies/vpdsf-resources/" TargetMode="External"/><Relationship Id="rId6" Type="http://schemas.openxmlformats.org/officeDocument/2006/relationships/hyperlink" Target="https://ovic.vic.gov.au/data-protection/for-agencies/vpdsf-resources/" TargetMode="External"/><Relationship Id="rId5" Type="http://schemas.openxmlformats.org/officeDocument/2006/relationships/hyperlink" Target="https://ovic.vic.gov.au/data-protection/for-agencies/vpdsf-resources/" TargetMode="External"/><Relationship Id="rId4" Type="http://schemas.openxmlformats.org/officeDocument/2006/relationships/hyperlink" Target="https://ovic.vic.gov.au/data-protection/for-agencies/vpdsf-resources/" TargetMode="External"/><Relationship Id="rId9" Type="http://schemas.openxmlformats.org/officeDocument/2006/relationships/hyperlink" Target="https://ovic.vic.gov.au/data-protection/for-agencies/vpdsf-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F72F-4DA1-6E4E-ADB7-66DC54C7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 BW</cp:lastModifiedBy>
  <cp:revision>5</cp:revision>
  <cp:lastPrinted>2020-01-20T21:20:00Z</cp:lastPrinted>
  <dcterms:created xsi:type="dcterms:W3CDTF">2020-02-25T22:47:00Z</dcterms:created>
  <dcterms:modified xsi:type="dcterms:W3CDTF">2020-02-26T00:03:00Z</dcterms:modified>
</cp:coreProperties>
</file>