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58A5" w14:textId="77777777" w:rsidR="00F36C34" w:rsidRPr="00863040" w:rsidRDefault="00F36C34" w:rsidP="00F36C34">
      <w:pPr>
        <w:ind w:right="-7"/>
        <w:rPr>
          <w:color w:val="555559"/>
          <w:lang w:val="en-US"/>
        </w:rPr>
        <w:sectPr w:rsidR="00F36C34" w:rsidRPr="00863040" w:rsidSect="00C573C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964" w:footer="510" w:gutter="0"/>
          <w:cols w:space="708"/>
          <w:titlePg/>
          <w:docGrid w:linePitch="360"/>
        </w:sectPr>
      </w:pPr>
      <w:bookmarkStart w:id="0" w:name="_GoBack"/>
      <w:bookmarkEnd w:id="0"/>
    </w:p>
    <w:p w14:paraId="12237AB3" w14:textId="4A31AA3F" w:rsidR="00C736EC" w:rsidRDefault="00A14089" w:rsidP="00C736EC">
      <w:pPr>
        <w:pStyle w:val="SectionHeading1"/>
      </w:pPr>
      <w:r>
        <w:t>Overview</w:t>
      </w:r>
    </w:p>
    <w:p w14:paraId="259E6EA8" w14:textId="1FB4DE09" w:rsidR="00A14089" w:rsidRDefault="00A14089" w:rsidP="00A14089">
      <w:pPr>
        <w:pStyle w:val="Body"/>
      </w:pPr>
      <w:r>
        <w:t>OVIC’s information security efforts are supported by a range of partnering V</w:t>
      </w:r>
      <w:r w:rsidR="001A6721">
        <w:t>ictorian public sector (</w:t>
      </w:r>
      <w:r w:rsidR="001A6721" w:rsidRPr="00E72661">
        <w:rPr>
          <w:b/>
          <w:bCs/>
        </w:rPr>
        <w:t>V</w:t>
      </w:r>
      <w:r w:rsidRPr="00E72661">
        <w:rPr>
          <w:b/>
          <w:bCs/>
        </w:rPr>
        <w:t>PS</w:t>
      </w:r>
      <w:r w:rsidR="001A6721">
        <w:t>)</w:t>
      </w:r>
      <w:r>
        <w:t xml:space="preserve"> organisations. </w:t>
      </w:r>
    </w:p>
    <w:p w14:paraId="590559C0" w14:textId="0669916D" w:rsidR="00A14089" w:rsidRDefault="00A14089" w:rsidP="00A14089">
      <w:pPr>
        <w:pStyle w:val="Body"/>
      </w:pPr>
      <w:r>
        <w:t xml:space="preserve">A brief outline of these entities, including a summary of their functions and services </w:t>
      </w:r>
      <w:r w:rsidR="001A6721">
        <w:t>and their relationship to the Framework and Standards</w:t>
      </w:r>
      <w:r>
        <w:t xml:space="preserve"> is </w:t>
      </w:r>
      <w:r w:rsidR="001A6721">
        <w:t xml:space="preserve">outlined </w:t>
      </w:r>
      <w:r>
        <w:t xml:space="preserve">below. </w:t>
      </w:r>
    </w:p>
    <w:p w14:paraId="73FFB7EA" w14:textId="659D40EB" w:rsidR="00557082" w:rsidRDefault="00E2661A" w:rsidP="00E2661A">
      <w:pPr>
        <w:pStyle w:val="Body"/>
        <w:spacing w:before="600" w:after="360"/>
        <w:jc w:val="center"/>
        <w:rPr>
          <w:b/>
          <w:bCs/>
        </w:rPr>
      </w:pPr>
      <w:r>
        <w:rPr>
          <w:b/>
          <w:bCs/>
          <w:noProof/>
        </w:rPr>
        <w:drawing>
          <wp:inline distT="0" distB="0" distL="0" distR="0" wp14:anchorId="11320344" wp14:editId="04846181">
            <wp:extent cx="6116320" cy="4383405"/>
            <wp:effectExtent l="0" t="0" r="0" b="0"/>
            <wp:docPr id="14" name="Picture 1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ZOO.png"/>
                    <pic:cNvPicPr/>
                  </pic:nvPicPr>
                  <pic:blipFill>
                    <a:blip r:embed="rId14">
                      <a:extLst>
                        <a:ext uri="{28A0092B-C50C-407E-A947-70E740481C1C}">
                          <a14:useLocalDpi xmlns:a14="http://schemas.microsoft.com/office/drawing/2010/main" val="0"/>
                        </a:ext>
                      </a:extLst>
                    </a:blip>
                    <a:stretch>
                      <a:fillRect/>
                    </a:stretch>
                  </pic:blipFill>
                  <pic:spPr>
                    <a:xfrm>
                      <a:off x="0" y="0"/>
                      <a:ext cx="6116320" cy="4383405"/>
                    </a:xfrm>
                    <a:prstGeom prst="rect">
                      <a:avLst/>
                    </a:prstGeom>
                  </pic:spPr>
                </pic:pic>
              </a:graphicData>
            </a:graphic>
          </wp:inline>
        </w:drawing>
      </w:r>
    </w:p>
    <w:p w14:paraId="3D510320" w14:textId="061FDC3C" w:rsidR="00E2661A" w:rsidRDefault="00E2661A">
      <w:pPr>
        <w:rPr>
          <w:rFonts w:ascii="AppleSystemUIFont" w:eastAsia="Museo Sans" w:hAnsi="AppleSystemUIFont" w:cs="AppleSystemUIFont"/>
          <w:color w:val="FF0000"/>
          <w:sz w:val="18"/>
          <w:szCs w:val="18"/>
          <w:lang w:val="en-US" w:bidi="en-US"/>
        </w:rPr>
      </w:pPr>
      <w:r>
        <w:rPr>
          <w:rFonts w:ascii="AppleSystemUIFont" w:eastAsia="Museo Sans" w:hAnsi="AppleSystemUIFont" w:cs="AppleSystemUIFont"/>
          <w:color w:val="FF0000"/>
          <w:sz w:val="18"/>
          <w:szCs w:val="18"/>
          <w:lang w:val="en-US" w:bidi="en-US"/>
        </w:rPr>
        <w:br w:type="page"/>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9E5E2"/>
        <w:tblLayout w:type="fixed"/>
        <w:tblCellMar>
          <w:left w:w="284" w:type="dxa"/>
          <w:right w:w="284" w:type="dxa"/>
        </w:tblCellMar>
        <w:tblLook w:val="01E0" w:firstRow="1" w:lastRow="1" w:firstColumn="1" w:lastColumn="1" w:noHBand="0" w:noVBand="0"/>
      </w:tblPr>
      <w:tblGrid>
        <w:gridCol w:w="2268"/>
        <w:gridCol w:w="7224"/>
      </w:tblGrid>
      <w:tr w:rsidR="00A14089" w:rsidRPr="007776A0" w14:paraId="7421C1E2" w14:textId="77777777" w:rsidTr="007B1883">
        <w:trPr>
          <w:trHeight w:val="686"/>
          <w:tblHeader/>
        </w:trPr>
        <w:tc>
          <w:tcPr>
            <w:tcW w:w="2268" w:type="dxa"/>
            <w:tcBorders>
              <w:top w:val="nil"/>
              <w:left w:val="nil"/>
            </w:tcBorders>
            <w:shd w:val="clear" w:color="auto" w:fill="5620A9"/>
            <w:vAlign w:val="center"/>
          </w:tcPr>
          <w:p w14:paraId="67F1BD70" w14:textId="77777777" w:rsidR="00A14089" w:rsidRPr="00AF13C6" w:rsidRDefault="00A14089" w:rsidP="007B1883">
            <w:pPr>
              <w:pStyle w:val="TableParagraph"/>
              <w:ind w:left="110"/>
              <w:rPr>
                <w:rFonts w:asciiTheme="minorHAnsi" w:eastAsia="Arial Unicode MS" w:hAnsiTheme="minorHAnsi" w:cstheme="minorHAnsi"/>
                <w:b/>
                <w:bCs/>
              </w:rPr>
            </w:pPr>
            <w:r w:rsidRPr="00AF13C6">
              <w:rPr>
                <w:rFonts w:asciiTheme="minorHAnsi" w:eastAsia="Arial Unicode MS" w:hAnsiTheme="minorHAnsi" w:cstheme="minorHAnsi"/>
                <w:b/>
                <w:bCs/>
                <w:color w:val="FFFFFF"/>
              </w:rPr>
              <w:lastRenderedPageBreak/>
              <w:t>Entity</w:t>
            </w:r>
          </w:p>
        </w:tc>
        <w:tc>
          <w:tcPr>
            <w:tcW w:w="7224" w:type="dxa"/>
            <w:tcBorders>
              <w:top w:val="nil"/>
              <w:left w:val="nil"/>
            </w:tcBorders>
            <w:shd w:val="clear" w:color="auto" w:fill="5620A9"/>
            <w:vAlign w:val="center"/>
          </w:tcPr>
          <w:p w14:paraId="3FFD5139" w14:textId="77777777" w:rsidR="00A14089" w:rsidRPr="00AF13C6" w:rsidRDefault="00A14089" w:rsidP="007B1883">
            <w:pPr>
              <w:pStyle w:val="TableParagraph"/>
              <w:ind w:left="110"/>
              <w:rPr>
                <w:rFonts w:asciiTheme="minorHAnsi" w:eastAsia="Arial Unicode MS" w:hAnsiTheme="minorHAnsi" w:cstheme="minorHAnsi"/>
                <w:b/>
                <w:bCs/>
              </w:rPr>
            </w:pPr>
            <w:r w:rsidRPr="00AF13C6">
              <w:rPr>
                <w:rFonts w:asciiTheme="minorHAnsi" w:eastAsia="Arial Unicode MS" w:hAnsiTheme="minorHAnsi" w:cstheme="minorHAnsi"/>
                <w:b/>
                <w:bCs/>
                <w:color w:val="FFFFFF" w:themeColor="background1"/>
              </w:rPr>
              <w:t xml:space="preserve">Description </w:t>
            </w:r>
          </w:p>
        </w:tc>
      </w:tr>
      <w:tr w:rsidR="00A14089" w:rsidRPr="007776A0" w14:paraId="6506D1E1" w14:textId="77777777" w:rsidTr="007B1883">
        <w:trPr>
          <w:trHeight w:val="1297"/>
        </w:trPr>
        <w:tc>
          <w:tcPr>
            <w:tcW w:w="2268" w:type="dxa"/>
            <w:tcBorders>
              <w:left w:val="nil"/>
            </w:tcBorders>
            <w:shd w:val="clear" w:color="auto" w:fill="E9E5E2"/>
            <w:vAlign w:val="center"/>
          </w:tcPr>
          <w:p w14:paraId="4E17F48F" w14:textId="77777777" w:rsidR="00A14089" w:rsidRPr="007776A0" w:rsidRDefault="00A14089" w:rsidP="00A14089">
            <w:pPr>
              <w:pStyle w:val="SectionSubhead"/>
              <w:numPr>
                <w:ilvl w:val="0"/>
                <w:numId w:val="0"/>
              </w:numPr>
              <w:ind w:left="3"/>
              <w:rPr>
                <w:rFonts w:eastAsia="Arial Unicode MS"/>
                <w:sz w:val="20"/>
              </w:rPr>
            </w:pPr>
            <w:bookmarkStart w:id="1" w:name="_Toc31985240"/>
            <w:r w:rsidRPr="007776A0">
              <w:rPr>
                <w:rFonts w:eastAsia="Calibri"/>
              </w:rPr>
              <w:t>Public Record Office Victoria (PROV)</w:t>
            </w:r>
            <w:bookmarkEnd w:id="1"/>
          </w:p>
        </w:tc>
        <w:tc>
          <w:tcPr>
            <w:tcW w:w="7224" w:type="dxa"/>
            <w:tcBorders>
              <w:right w:val="nil"/>
            </w:tcBorders>
            <w:shd w:val="clear" w:color="auto" w:fill="E9E5E2"/>
            <w:vAlign w:val="center"/>
          </w:tcPr>
          <w:p w14:paraId="080DFCBA" w14:textId="77777777" w:rsidR="00A14089" w:rsidRPr="00A14089" w:rsidRDefault="00A14089" w:rsidP="007B1883">
            <w:pPr>
              <w:rPr>
                <w:rFonts w:cstheme="minorHAnsi"/>
                <w:color w:val="55565A"/>
                <w:sz w:val="22"/>
                <w:szCs w:val="22"/>
              </w:rPr>
            </w:pPr>
            <w:r w:rsidRPr="00A14089">
              <w:rPr>
                <w:rFonts w:cstheme="minorHAnsi"/>
                <w:color w:val="55565A"/>
                <w:sz w:val="22"/>
                <w:szCs w:val="22"/>
              </w:rPr>
              <w:t>Under the </w:t>
            </w:r>
            <w:r w:rsidRPr="00E72661">
              <w:rPr>
                <w:rFonts w:cstheme="minorHAnsi"/>
                <w:i/>
                <w:iCs/>
                <w:color w:val="55565A"/>
                <w:sz w:val="22"/>
                <w:szCs w:val="22"/>
              </w:rPr>
              <w:t>Public Records Act 1973</w:t>
            </w:r>
            <w:r w:rsidRPr="00A14089">
              <w:rPr>
                <w:rFonts w:cstheme="minorHAnsi"/>
                <w:color w:val="55565A"/>
                <w:sz w:val="22"/>
                <w:szCs w:val="22"/>
              </w:rPr>
              <w:t xml:space="preserve">, PROV is responsible for setting standards for recordkeeping which all Victorian public offices must comply with. </w:t>
            </w:r>
          </w:p>
          <w:p w14:paraId="1BA518D4" w14:textId="77777777" w:rsidR="00A14089" w:rsidRPr="00A14089" w:rsidRDefault="00A14089" w:rsidP="007B1883">
            <w:pPr>
              <w:rPr>
                <w:rFonts w:cstheme="minorHAnsi"/>
                <w:color w:val="55565A"/>
                <w:sz w:val="22"/>
                <w:szCs w:val="22"/>
              </w:rPr>
            </w:pPr>
          </w:p>
          <w:p w14:paraId="27B64BC4" w14:textId="77777777" w:rsidR="00A14089" w:rsidRPr="00A14089" w:rsidRDefault="00A14089" w:rsidP="007B1883">
            <w:pPr>
              <w:rPr>
                <w:rFonts w:cstheme="minorHAnsi"/>
                <w:color w:val="55565A"/>
                <w:sz w:val="22"/>
                <w:szCs w:val="22"/>
              </w:rPr>
            </w:pPr>
            <w:r w:rsidRPr="00A14089">
              <w:rPr>
                <w:rFonts w:cstheme="minorHAnsi"/>
                <w:color w:val="55565A"/>
                <w:sz w:val="22"/>
                <w:szCs w:val="22"/>
              </w:rPr>
              <w:t>PROV issues standards regulating the creation, maintenance, security and disposal of public records in all formats. This includes standards specifying the minimum retention periods for different classes of records and those of permanent value which must be transferred to PROV custody. </w:t>
            </w:r>
          </w:p>
          <w:p w14:paraId="17857460" w14:textId="77777777" w:rsidR="00A14089" w:rsidRPr="00A14089" w:rsidRDefault="00A14089" w:rsidP="007B1883">
            <w:pPr>
              <w:rPr>
                <w:rFonts w:cstheme="minorHAnsi"/>
                <w:color w:val="55565A"/>
                <w:sz w:val="22"/>
                <w:szCs w:val="22"/>
              </w:rPr>
            </w:pPr>
          </w:p>
          <w:p w14:paraId="75CE3600" w14:textId="72D510CA" w:rsidR="00A14089" w:rsidRPr="00A14089" w:rsidRDefault="00A14089" w:rsidP="007B1883">
            <w:pPr>
              <w:rPr>
                <w:rFonts w:cstheme="minorHAnsi"/>
                <w:color w:val="55565A"/>
                <w:sz w:val="22"/>
                <w:szCs w:val="22"/>
              </w:rPr>
            </w:pPr>
            <w:r w:rsidRPr="00A14089">
              <w:rPr>
                <w:rFonts w:cstheme="minorHAnsi"/>
                <w:color w:val="55565A"/>
                <w:sz w:val="22"/>
                <w:szCs w:val="22"/>
              </w:rPr>
              <w:t>PROV provide</w:t>
            </w:r>
            <w:r w:rsidR="001A6721">
              <w:rPr>
                <w:rFonts w:cstheme="minorHAnsi"/>
                <w:color w:val="55565A"/>
                <w:sz w:val="22"/>
                <w:szCs w:val="22"/>
              </w:rPr>
              <w:t>s</w:t>
            </w:r>
            <w:r w:rsidRPr="00A14089">
              <w:rPr>
                <w:rFonts w:cstheme="minorHAnsi"/>
                <w:color w:val="55565A"/>
                <w:sz w:val="22"/>
                <w:szCs w:val="22"/>
              </w:rPr>
              <w:t xml:space="preserve"> guidance on records management practices that supports the Standards.</w:t>
            </w:r>
          </w:p>
          <w:p w14:paraId="02FAA7DF" w14:textId="77777777" w:rsidR="00A14089" w:rsidRPr="007776A0" w:rsidRDefault="00A14089" w:rsidP="007B1883">
            <w:pPr>
              <w:rPr>
                <w:rFonts w:asciiTheme="minorHAnsi" w:hAnsiTheme="minorHAnsi" w:cstheme="minorHAnsi"/>
                <w:color w:val="55565A"/>
                <w:sz w:val="22"/>
                <w:szCs w:val="22"/>
                <w:lang w:val="en-US"/>
              </w:rPr>
            </w:pPr>
          </w:p>
        </w:tc>
      </w:tr>
      <w:tr w:rsidR="00A14089" w:rsidRPr="007776A0" w14:paraId="3AC6F9BB" w14:textId="77777777" w:rsidTr="007B1883">
        <w:trPr>
          <w:trHeight w:val="5469"/>
        </w:trPr>
        <w:tc>
          <w:tcPr>
            <w:tcW w:w="2268" w:type="dxa"/>
            <w:tcBorders>
              <w:left w:val="nil"/>
            </w:tcBorders>
            <w:shd w:val="clear" w:color="auto" w:fill="E9E5E2"/>
            <w:vAlign w:val="center"/>
          </w:tcPr>
          <w:p w14:paraId="51AE8399" w14:textId="77777777" w:rsidR="00A14089" w:rsidRPr="007776A0" w:rsidRDefault="00A14089" w:rsidP="00A14089">
            <w:pPr>
              <w:pStyle w:val="SectionSubhead"/>
              <w:numPr>
                <w:ilvl w:val="0"/>
                <w:numId w:val="0"/>
              </w:numPr>
              <w:ind w:left="-4"/>
              <w:rPr>
                <w:rFonts w:eastAsia="Calibri"/>
              </w:rPr>
            </w:pPr>
            <w:bookmarkStart w:id="2" w:name="_Toc31985241"/>
            <w:r w:rsidRPr="007776A0">
              <w:rPr>
                <w:rFonts w:eastAsia="Calibri"/>
              </w:rPr>
              <w:t>Enterprise Solutions Branch (ESB)</w:t>
            </w:r>
            <w:bookmarkEnd w:id="2"/>
            <w:r w:rsidRPr="007776A0">
              <w:rPr>
                <w:rFonts w:eastAsia="Calibri"/>
              </w:rPr>
              <w:t xml:space="preserve"> </w:t>
            </w:r>
          </w:p>
          <w:p w14:paraId="2EFB73C7" w14:textId="77777777" w:rsidR="00A14089" w:rsidRPr="007776A0" w:rsidRDefault="00A14089" w:rsidP="007B1883">
            <w:pPr>
              <w:pStyle w:val="Body"/>
              <w:rPr>
                <w:rFonts w:asciiTheme="minorHAnsi" w:hAnsiTheme="minorHAnsi" w:cstheme="minorHAnsi"/>
                <w:b/>
                <w:bCs/>
                <w:lang w:val="en-US"/>
              </w:rPr>
            </w:pPr>
          </w:p>
          <w:p w14:paraId="7F95620B" w14:textId="77777777" w:rsidR="00A14089" w:rsidRPr="007776A0" w:rsidRDefault="00A14089" w:rsidP="007B1883">
            <w:pPr>
              <w:pStyle w:val="Body"/>
              <w:rPr>
                <w:rFonts w:asciiTheme="minorHAnsi" w:eastAsia="Arial Unicode MS" w:hAnsiTheme="minorHAnsi" w:cstheme="minorHAnsi"/>
                <w:i/>
                <w:iCs/>
                <w:sz w:val="20"/>
              </w:rPr>
            </w:pPr>
            <w:r w:rsidRPr="007776A0">
              <w:rPr>
                <w:rFonts w:asciiTheme="minorHAnsi" w:hAnsiTheme="minorHAnsi" w:cstheme="minorHAnsi"/>
                <w:i/>
                <w:iCs/>
                <w:lang w:val="en-US"/>
              </w:rPr>
              <w:t>Department of Premier and Cabinet</w:t>
            </w:r>
          </w:p>
        </w:tc>
        <w:tc>
          <w:tcPr>
            <w:tcW w:w="7224" w:type="dxa"/>
            <w:tcBorders>
              <w:right w:val="nil"/>
            </w:tcBorders>
            <w:shd w:val="clear" w:color="auto" w:fill="E9E5E2"/>
            <w:vAlign w:val="center"/>
          </w:tcPr>
          <w:p w14:paraId="20DF4E83" w14:textId="16FA7A44"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ESB </w:t>
            </w:r>
            <w:r w:rsidR="001A6721">
              <w:rPr>
                <w:rFonts w:asciiTheme="minorHAnsi" w:hAnsiTheme="minorHAnsi" w:cstheme="minorHAnsi"/>
                <w:lang w:val="en-US"/>
              </w:rPr>
              <w:t xml:space="preserve">issues </w:t>
            </w:r>
            <w:r w:rsidRPr="007776A0">
              <w:rPr>
                <w:rFonts w:asciiTheme="minorHAnsi" w:hAnsiTheme="minorHAnsi" w:cstheme="minorHAnsi"/>
                <w:lang w:val="en-US"/>
              </w:rPr>
              <w:t>the:</w:t>
            </w:r>
          </w:p>
          <w:p w14:paraId="31D3BDA6"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Victorian Government Information Technology Strategy; </w:t>
            </w:r>
          </w:p>
          <w:p w14:paraId="231F5CC7"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Statements of Direction; </w:t>
            </w:r>
          </w:p>
          <w:p w14:paraId="0536FF1C"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Information Management Framework, including associated Statements of Direction, policies, standards and guidelines; and</w:t>
            </w:r>
          </w:p>
          <w:p w14:paraId="29E58D38"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Workforce Identity and Access Management (</w:t>
            </w:r>
            <w:r w:rsidRPr="00E72661">
              <w:rPr>
                <w:rFonts w:asciiTheme="minorHAnsi" w:hAnsiTheme="minorHAnsi" w:cstheme="minorHAnsi"/>
                <w:b/>
                <w:bCs/>
                <w:lang w:val="en-US"/>
              </w:rPr>
              <w:t>IDAM</w:t>
            </w:r>
            <w:r w:rsidRPr="007776A0">
              <w:rPr>
                <w:rFonts w:asciiTheme="minorHAnsi" w:hAnsiTheme="minorHAnsi" w:cstheme="minorHAnsi"/>
                <w:lang w:val="en-US"/>
              </w:rPr>
              <w:t xml:space="preserve">) Statement of Direction and Strategy. </w:t>
            </w:r>
          </w:p>
          <w:p w14:paraId="66677216" w14:textId="7D2A1E71"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ESB is made up of a variety of functional areas including the strategy and policy team </w:t>
            </w:r>
            <w:r w:rsidR="001A6721">
              <w:rPr>
                <w:rFonts w:asciiTheme="minorHAnsi" w:hAnsiTheme="minorHAnsi" w:cstheme="minorHAnsi"/>
                <w:lang w:val="en-US"/>
              </w:rPr>
              <w:t>including</w:t>
            </w:r>
            <w:r w:rsidRPr="007776A0">
              <w:rPr>
                <w:rFonts w:asciiTheme="minorHAnsi" w:hAnsiTheme="minorHAnsi" w:cstheme="minorHAnsi"/>
                <w:lang w:val="en-US"/>
              </w:rPr>
              <w:t xml:space="preserve">: </w:t>
            </w:r>
          </w:p>
          <w:p w14:paraId="2990A08B" w14:textId="77777777" w:rsidR="00A14089" w:rsidRPr="007776A0" w:rsidRDefault="00A14089" w:rsidP="00A14089">
            <w:pPr>
              <w:pStyle w:val="Body"/>
              <w:widowControl/>
              <w:numPr>
                <w:ilvl w:val="0"/>
                <w:numId w:val="11"/>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Information Management advisors who can assist organisations with guidance on the implementation of the information management related aspects of the Standards; and</w:t>
            </w:r>
          </w:p>
          <w:p w14:paraId="2C6BB336" w14:textId="2532412D" w:rsidR="00A14089" w:rsidRPr="007776A0" w:rsidRDefault="00A14089" w:rsidP="00A14089">
            <w:pPr>
              <w:pStyle w:val="Body"/>
              <w:widowControl/>
              <w:numPr>
                <w:ilvl w:val="0"/>
                <w:numId w:val="11"/>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Identity and Access Management </w:t>
            </w:r>
            <w:r w:rsidR="00E72661">
              <w:rPr>
                <w:rFonts w:asciiTheme="minorHAnsi" w:hAnsiTheme="minorHAnsi" w:cstheme="minorHAnsi"/>
                <w:lang w:val="en-US"/>
              </w:rPr>
              <w:t>(</w:t>
            </w:r>
            <w:r w:rsidRPr="00E72661">
              <w:rPr>
                <w:rFonts w:asciiTheme="minorHAnsi" w:hAnsiTheme="minorHAnsi" w:cstheme="minorHAnsi"/>
                <w:b/>
                <w:bCs/>
                <w:lang w:val="en-US"/>
              </w:rPr>
              <w:t>IDAM</w:t>
            </w:r>
            <w:r w:rsidR="00E72661">
              <w:rPr>
                <w:rFonts w:asciiTheme="minorHAnsi" w:hAnsiTheme="minorHAnsi" w:cstheme="minorHAnsi"/>
                <w:lang w:val="en-US"/>
              </w:rPr>
              <w:t>)</w:t>
            </w:r>
            <w:r w:rsidRPr="007776A0">
              <w:rPr>
                <w:rFonts w:asciiTheme="minorHAnsi" w:hAnsiTheme="minorHAnsi" w:cstheme="minorHAnsi"/>
                <w:lang w:val="en-US"/>
              </w:rPr>
              <w:t xml:space="preserve"> advisors who can assist organisations with guidance on identity and access management practices related to the Standards and IDAM technology policy and frameworks more broadly. </w:t>
            </w:r>
          </w:p>
        </w:tc>
      </w:tr>
      <w:tr w:rsidR="00A14089" w:rsidRPr="007776A0" w14:paraId="622256B2" w14:textId="77777777" w:rsidTr="007B1883">
        <w:trPr>
          <w:trHeight w:val="1297"/>
        </w:trPr>
        <w:tc>
          <w:tcPr>
            <w:tcW w:w="2268" w:type="dxa"/>
            <w:tcBorders>
              <w:left w:val="nil"/>
            </w:tcBorders>
            <w:shd w:val="clear" w:color="auto" w:fill="E9E5E2"/>
            <w:vAlign w:val="center"/>
          </w:tcPr>
          <w:p w14:paraId="7E674FF9" w14:textId="7A19F8E0" w:rsidR="00A14089" w:rsidRPr="007776A0" w:rsidRDefault="00A14089" w:rsidP="00A14089">
            <w:pPr>
              <w:pStyle w:val="SectionSubhead"/>
              <w:numPr>
                <w:ilvl w:val="0"/>
                <w:numId w:val="0"/>
              </w:numPr>
              <w:ind w:left="3"/>
              <w:rPr>
                <w:rFonts w:eastAsia="Calibri"/>
              </w:rPr>
            </w:pPr>
            <w:bookmarkStart w:id="3" w:name="_Toc31985242"/>
            <w:r w:rsidRPr="007776A0">
              <w:rPr>
                <w:rFonts w:eastAsia="Calibri"/>
              </w:rPr>
              <w:t>Cyber Safety Unit (CSU)</w:t>
            </w:r>
            <w:r w:rsidRPr="007776A0">
              <w:rPr>
                <w:rStyle w:val="FootnoteReference"/>
                <w:rFonts w:asciiTheme="minorHAnsi" w:eastAsia="Calibri" w:hAnsiTheme="minorHAnsi" w:cstheme="minorHAnsi"/>
                <w:bCs/>
                <w:szCs w:val="22"/>
                <w:lang w:val="en-US"/>
              </w:rPr>
              <w:footnoteReference w:id="1"/>
            </w:r>
            <w:bookmarkEnd w:id="3"/>
          </w:p>
          <w:p w14:paraId="5C7409E1" w14:textId="77777777" w:rsidR="00A14089" w:rsidRPr="007776A0" w:rsidRDefault="00A14089" w:rsidP="007B1883">
            <w:pPr>
              <w:pStyle w:val="Body"/>
              <w:rPr>
                <w:rFonts w:asciiTheme="minorHAnsi" w:hAnsiTheme="minorHAnsi" w:cstheme="minorHAnsi"/>
                <w:b/>
                <w:bCs/>
                <w:lang w:val="en-US"/>
              </w:rPr>
            </w:pPr>
          </w:p>
          <w:p w14:paraId="6AABD17B" w14:textId="77777777" w:rsidR="00A14089" w:rsidRPr="007776A0" w:rsidRDefault="00A14089" w:rsidP="007B1883">
            <w:pPr>
              <w:pStyle w:val="TableParagraph"/>
              <w:rPr>
                <w:rFonts w:asciiTheme="minorHAnsi" w:eastAsia="Calibri" w:hAnsiTheme="minorHAnsi" w:cstheme="minorHAnsi"/>
                <w:b/>
                <w:bCs/>
                <w:color w:val="55565A"/>
                <w:lang w:bidi="ar-SA"/>
              </w:rPr>
            </w:pPr>
            <w:r w:rsidRPr="007776A0">
              <w:rPr>
                <w:rFonts w:asciiTheme="minorHAnsi" w:eastAsia="Calibri" w:hAnsiTheme="minorHAnsi" w:cstheme="minorHAnsi"/>
                <w:i/>
                <w:iCs/>
                <w:color w:val="55565A"/>
              </w:rPr>
              <w:t>Department of Premier and Cabinet</w:t>
            </w:r>
          </w:p>
        </w:tc>
        <w:tc>
          <w:tcPr>
            <w:tcW w:w="7224" w:type="dxa"/>
            <w:tcBorders>
              <w:right w:val="nil"/>
            </w:tcBorders>
            <w:shd w:val="clear" w:color="auto" w:fill="E9E5E2"/>
            <w:vAlign w:val="center"/>
          </w:tcPr>
          <w:p w14:paraId="5C90463B" w14:textId="474C81FF" w:rsidR="00A14089" w:rsidRPr="007776A0" w:rsidRDefault="001A6721" w:rsidP="007B1883">
            <w:pPr>
              <w:pStyle w:val="Body"/>
              <w:rPr>
                <w:rFonts w:asciiTheme="minorHAnsi" w:hAnsiTheme="minorHAnsi" w:cstheme="minorHAnsi"/>
                <w:lang w:val="en-US"/>
              </w:rPr>
            </w:pPr>
            <w:r>
              <w:rPr>
                <w:rFonts w:asciiTheme="minorHAnsi" w:hAnsiTheme="minorHAnsi" w:cstheme="minorHAnsi"/>
                <w:lang w:val="en-US"/>
              </w:rPr>
              <w:br/>
            </w:r>
            <w:r w:rsidRPr="001A6721">
              <w:rPr>
                <w:rFonts w:asciiTheme="minorHAnsi" w:hAnsiTheme="minorHAnsi" w:cstheme="minorHAnsi"/>
              </w:rPr>
              <w:t>CSU supports the Victorian Government to prepare, prevent and respond to cyber security incidents. </w:t>
            </w:r>
            <w:r w:rsidR="005465AD">
              <w:rPr>
                <w:rFonts w:asciiTheme="minorHAnsi" w:hAnsiTheme="minorHAnsi" w:cstheme="minorHAnsi"/>
                <w:lang w:val="en-US"/>
              </w:rPr>
              <w:t xml:space="preserve"> </w:t>
            </w:r>
            <w:r w:rsidR="00A14089" w:rsidRPr="007776A0">
              <w:rPr>
                <w:rFonts w:asciiTheme="minorHAnsi" w:hAnsiTheme="minorHAnsi" w:cstheme="minorHAnsi"/>
                <w:lang w:val="en-US"/>
              </w:rPr>
              <w:t>CSU issue</w:t>
            </w:r>
            <w:r>
              <w:rPr>
                <w:rFonts w:asciiTheme="minorHAnsi" w:hAnsiTheme="minorHAnsi" w:cstheme="minorHAnsi"/>
                <w:lang w:val="en-US"/>
              </w:rPr>
              <w:t>s</w:t>
            </w:r>
            <w:r w:rsidR="00A14089" w:rsidRPr="007776A0">
              <w:rPr>
                <w:rFonts w:asciiTheme="minorHAnsi" w:hAnsiTheme="minorHAnsi" w:cstheme="minorHAnsi"/>
                <w:lang w:val="en-US"/>
              </w:rPr>
              <w:t xml:space="preserve"> </w:t>
            </w:r>
            <w:r>
              <w:rPr>
                <w:rFonts w:asciiTheme="minorHAnsi" w:hAnsiTheme="minorHAnsi" w:cstheme="minorHAnsi"/>
                <w:lang w:val="en-US"/>
              </w:rPr>
              <w:t>the</w:t>
            </w:r>
            <w:r w:rsidR="00A14089" w:rsidRPr="007776A0">
              <w:rPr>
                <w:rFonts w:asciiTheme="minorHAnsi" w:hAnsiTheme="minorHAnsi" w:cstheme="minorHAnsi"/>
                <w:lang w:val="en-US"/>
              </w:rPr>
              <w:t xml:space="preserve">: </w:t>
            </w:r>
          </w:p>
          <w:p w14:paraId="25E32A84" w14:textId="77777777" w:rsidR="00A14089" w:rsidRPr="007776A0" w:rsidRDefault="00A14089" w:rsidP="00A14089">
            <w:pPr>
              <w:pStyle w:val="Body"/>
              <w:widowControl/>
              <w:numPr>
                <w:ilvl w:val="0"/>
                <w:numId w:val="15"/>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Victorian Government Cyber Security Strategy. </w:t>
            </w:r>
          </w:p>
          <w:p w14:paraId="16E2BEB5"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CSU is made up of a variety of functional areas including: </w:t>
            </w:r>
          </w:p>
          <w:p w14:paraId="13BAD470" w14:textId="77777777" w:rsidR="00A14089" w:rsidRPr="007776A0" w:rsidRDefault="00A14089" w:rsidP="00A14089">
            <w:pPr>
              <w:pStyle w:val="Body"/>
              <w:widowControl/>
              <w:numPr>
                <w:ilvl w:val="0"/>
                <w:numId w:val="15"/>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Cyber Security team who provide guidance on the implementation of the ICT security, logical access management and disaster recovery related aspects of the Standards; </w:t>
            </w:r>
          </w:p>
          <w:p w14:paraId="01748663" w14:textId="77777777" w:rsidR="00A14089" w:rsidRPr="007776A0" w:rsidRDefault="00A14089" w:rsidP="00A14089">
            <w:pPr>
              <w:pStyle w:val="Body"/>
              <w:widowControl/>
              <w:numPr>
                <w:ilvl w:val="0"/>
                <w:numId w:val="15"/>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lastRenderedPageBreak/>
              <w:t xml:space="preserve">Cyber Security Awareness team create and implement a of whole of Victorian Government cyber culture uplift and awareness programs; and </w:t>
            </w:r>
          </w:p>
          <w:p w14:paraId="6E543231"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Cyber Incident Response Service (</w:t>
            </w:r>
            <w:r w:rsidRPr="00E72661">
              <w:rPr>
                <w:rFonts w:asciiTheme="minorHAnsi" w:hAnsiTheme="minorHAnsi" w:cstheme="minorHAnsi"/>
                <w:b/>
                <w:bCs/>
                <w:lang w:val="en-US"/>
              </w:rPr>
              <w:t>CIRS</w:t>
            </w:r>
            <w:r w:rsidRPr="007776A0">
              <w:rPr>
                <w:rFonts w:asciiTheme="minorHAnsi" w:hAnsiTheme="minorHAnsi" w:cstheme="minorHAnsi"/>
                <w:lang w:val="en-US"/>
              </w:rPr>
              <w:t>) who provide assistance to VPS organisations when responding to cyber security incidents.</w:t>
            </w:r>
          </w:p>
          <w:p w14:paraId="774EA1AA" w14:textId="77777777" w:rsidR="00A14089"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 xml:space="preserve">CSU can assist organisations by providing guidance on aspects of </w:t>
            </w:r>
            <w:r w:rsidRPr="00E72661">
              <w:rPr>
                <w:rFonts w:asciiTheme="minorHAnsi" w:hAnsiTheme="minorHAnsi" w:cstheme="minorHAnsi"/>
                <w:b/>
                <w:bCs/>
                <w:color w:val="55565A"/>
                <w:sz w:val="22"/>
                <w:szCs w:val="22"/>
                <w:lang w:val="en-US"/>
              </w:rPr>
              <w:t>Standards 4</w:t>
            </w:r>
            <w:r w:rsidRPr="007776A0">
              <w:rPr>
                <w:rFonts w:asciiTheme="minorHAnsi" w:hAnsiTheme="minorHAnsi" w:cstheme="minorHAnsi"/>
                <w:color w:val="55565A"/>
                <w:sz w:val="22"/>
                <w:szCs w:val="22"/>
                <w:lang w:val="en-US"/>
              </w:rPr>
              <w:t xml:space="preserve"> - Information Access, </w:t>
            </w:r>
            <w:r w:rsidR="005465AD" w:rsidRPr="00E72661">
              <w:rPr>
                <w:rFonts w:asciiTheme="minorHAnsi" w:hAnsiTheme="minorHAnsi" w:cstheme="minorHAnsi"/>
                <w:b/>
                <w:bCs/>
                <w:color w:val="55565A"/>
                <w:sz w:val="22"/>
                <w:szCs w:val="22"/>
                <w:lang w:val="en-US"/>
              </w:rPr>
              <w:t xml:space="preserve">Standard </w:t>
            </w:r>
            <w:r w:rsidRPr="00E72661">
              <w:rPr>
                <w:rFonts w:asciiTheme="minorHAnsi" w:hAnsiTheme="minorHAnsi" w:cstheme="minorHAnsi"/>
                <w:b/>
                <w:bCs/>
                <w:color w:val="55565A"/>
                <w:sz w:val="22"/>
                <w:szCs w:val="22"/>
                <w:lang w:val="en-US"/>
              </w:rPr>
              <w:t>6</w:t>
            </w:r>
            <w:r w:rsidRPr="007776A0">
              <w:rPr>
                <w:rFonts w:asciiTheme="minorHAnsi" w:hAnsiTheme="minorHAnsi" w:cstheme="minorHAnsi"/>
                <w:color w:val="55565A"/>
                <w:sz w:val="22"/>
                <w:szCs w:val="22"/>
                <w:lang w:val="en-US"/>
              </w:rPr>
              <w:t xml:space="preserve"> – Information Security Incident Management</w:t>
            </w:r>
            <w:r w:rsidR="005465AD">
              <w:rPr>
                <w:rFonts w:asciiTheme="minorHAnsi" w:hAnsiTheme="minorHAnsi" w:cstheme="minorHAnsi"/>
                <w:color w:val="55565A"/>
                <w:sz w:val="22"/>
                <w:szCs w:val="22"/>
                <w:lang w:val="en-US"/>
              </w:rPr>
              <w:t xml:space="preserve">, </w:t>
            </w:r>
            <w:r w:rsidR="005465AD" w:rsidRPr="00E72661">
              <w:rPr>
                <w:rFonts w:asciiTheme="minorHAnsi" w:hAnsiTheme="minorHAnsi" w:cstheme="minorHAnsi"/>
                <w:b/>
                <w:bCs/>
                <w:color w:val="55565A"/>
                <w:sz w:val="22"/>
                <w:szCs w:val="22"/>
                <w:lang w:val="en-US"/>
              </w:rPr>
              <w:t>Standard</w:t>
            </w:r>
            <w:r w:rsidR="00E72661">
              <w:rPr>
                <w:rFonts w:asciiTheme="minorHAnsi" w:hAnsiTheme="minorHAnsi" w:cstheme="minorHAnsi"/>
                <w:b/>
                <w:bCs/>
                <w:color w:val="55565A"/>
                <w:sz w:val="22"/>
                <w:szCs w:val="22"/>
                <w:lang w:val="en-US"/>
              </w:rPr>
              <w:t xml:space="preserve"> </w:t>
            </w:r>
            <w:r w:rsidRPr="00E72661">
              <w:rPr>
                <w:rFonts w:asciiTheme="minorHAnsi" w:hAnsiTheme="minorHAnsi" w:cstheme="minorHAnsi"/>
                <w:b/>
                <w:bCs/>
                <w:color w:val="55565A"/>
                <w:sz w:val="22"/>
                <w:szCs w:val="22"/>
                <w:lang w:val="en-US"/>
              </w:rPr>
              <w:t>7</w:t>
            </w:r>
            <w:r w:rsidRPr="007776A0">
              <w:rPr>
                <w:rFonts w:asciiTheme="minorHAnsi" w:hAnsiTheme="minorHAnsi" w:cstheme="minorHAnsi"/>
                <w:color w:val="55565A"/>
                <w:sz w:val="22"/>
                <w:szCs w:val="22"/>
                <w:lang w:val="en-US"/>
              </w:rPr>
              <w:t xml:space="preserve"> – Information Security Aspects of Business Continuity and Disaster Recovery, and </w:t>
            </w:r>
            <w:r w:rsidR="005465AD" w:rsidRPr="00E72661">
              <w:rPr>
                <w:rFonts w:asciiTheme="minorHAnsi" w:hAnsiTheme="minorHAnsi" w:cstheme="minorHAnsi"/>
                <w:b/>
                <w:bCs/>
                <w:color w:val="55565A"/>
                <w:sz w:val="22"/>
                <w:szCs w:val="22"/>
                <w:lang w:val="en-US"/>
              </w:rPr>
              <w:t xml:space="preserve">Standard </w:t>
            </w:r>
            <w:r w:rsidRPr="00E72661">
              <w:rPr>
                <w:rFonts w:asciiTheme="minorHAnsi" w:hAnsiTheme="minorHAnsi" w:cstheme="minorHAnsi"/>
                <w:b/>
                <w:bCs/>
                <w:color w:val="55565A"/>
                <w:sz w:val="22"/>
                <w:szCs w:val="22"/>
                <w:lang w:val="en-US"/>
              </w:rPr>
              <w:t>11</w:t>
            </w:r>
            <w:r w:rsidRPr="007776A0">
              <w:rPr>
                <w:rFonts w:asciiTheme="minorHAnsi" w:hAnsiTheme="minorHAnsi" w:cstheme="minorHAnsi"/>
                <w:color w:val="55565A"/>
                <w:sz w:val="22"/>
                <w:szCs w:val="22"/>
                <w:lang w:val="en-US"/>
              </w:rPr>
              <w:t xml:space="preserve"> – Information Communications Technology (</w:t>
            </w:r>
            <w:r w:rsidRPr="00E72661">
              <w:rPr>
                <w:rFonts w:asciiTheme="minorHAnsi" w:hAnsiTheme="minorHAnsi" w:cstheme="minorHAnsi"/>
                <w:b/>
                <w:bCs/>
                <w:color w:val="55565A"/>
                <w:sz w:val="22"/>
                <w:szCs w:val="22"/>
                <w:lang w:val="en-US"/>
              </w:rPr>
              <w:t>ICT</w:t>
            </w:r>
            <w:r w:rsidRPr="007776A0">
              <w:rPr>
                <w:rFonts w:asciiTheme="minorHAnsi" w:hAnsiTheme="minorHAnsi" w:cstheme="minorHAnsi"/>
                <w:color w:val="55565A"/>
                <w:sz w:val="22"/>
                <w:szCs w:val="22"/>
                <w:lang w:val="en-US"/>
              </w:rPr>
              <w:t>) Security</w:t>
            </w:r>
            <w:r w:rsidR="005465AD" w:rsidRPr="007776A0" w:rsidDel="005465AD">
              <w:rPr>
                <w:rFonts w:asciiTheme="minorHAnsi" w:hAnsiTheme="minorHAnsi" w:cstheme="minorHAnsi"/>
                <w:color w:val="55565A"/>
                <w:sz w:val="22"/>
                <w:szCs w:val="22"/>
                <w:lang w:val="en-US"/>
              </w:rPr>
              <w:t>.</w:t>
            </w:r>
          </w:p>
          <w:p w14:paraId="0DF098CB" w14:textId="516DAB3A" w:rsidR="00E72661" w:rsidRPr="007776A0" w:rsidRDefault="00E72661" w:rsidP="007B1883">
            <w:pPr>
              <w:rPr>
                <w:rFonts w:asciiTheme="minorHAnsi" w:hAnsiTheme="minorHAnsi" w:cstheme="minorHAnsi"/>
                <w:color w:val="55565A"/>
                <w:sz w:val="22"/>
                <w:szCs w:val="22"/>
                <w:lang w:val="en-US"/>
              </w:rPr>
            </w:pPr>
          </w:p>
        </w:tc>
      </w:tr>
      <w:tr w:rsidR="00A14089" w:rsidRPr="007776A0" w14:paraId="2BF4BD2D" w14:textId="77777777" w:rsidTr="007B1883">
        <w:trPr>
          <w:trHeight w:val="933"/>
        </w:trPr>
        <w:tc>
          <w:tcPr>
            <w:tcW w:w="2268" w:type="dxa"/>
            <w:tcBorders>
              <w:left w:val="nil"/>
            </w:tcBorders>
            <w:shd w:val="clear" w:color="auto" w:fill="E9E5E2"/>
            <w:vAlign w:val="center"/>
          </w:tcPr>
          <w:p w14:paraId="5A64D848" w14:textId="7CEFC012" w:rsidR="00A14089" w:rsidRPr="007776A0" w:rsidRDefault="00A14089" w:rsidP="00A14089">
            <w:pPr>
              <w:pStyle w:val="SectionSubhead"/>
              <w:numPr>
                <w:ilvl w:val="0"/>
                <w:numId w:val="0"/>
              </w:numPr>
              <w:ind w:left="-4"/>
              <w:rPr>
                <w:rFonts w:eastAsia="Calibri"/>
              </w:rPr>
            </w:pPr>
            <w:bookmarkStart w:id="4" w:name="_Toc31985243"/>
            <w:r w:rsidRPr="007776A0">
              <w:rPr>
                <w:rFonts w:eastAsia="Calibri"/>
              </w:rPr>
              <w:lastRenderedPageBreak/>
              <w:t>Community Security Emergency Management Branch (CSEMB)</w:t>
            </w:r>
            <w:bookmarkEnd w:id="4"/>
            <w:r w:rsidRPr="007776A0">
              <w:rPr>
                <w:rFonts w:eastAsia="Calibri"/>
              </w:rPr>
              <w:t xml:space="preserve"> </w:t>
            </w:r>
          </w:p>
          <w:p w14:paraId="69CA3864" w14:textId="77777777" w:rsidR="00A14089" w:rsidRPr="007776A0" w:rsidRDefault="00A14089" w:rsidP="007B1883">
            <w:pPr>
              <w:pStyle w:val="TableParagraph"/>
              <w:rPr>
                <w:rFonts w:asciiTheme="minorHAnsi" w:eastAsia="Calibri" w:hAnsiTheme="minorHAnsi" w:cstheme="minorHAnsi"/>
                <w:b/>
                <w:bCs/>
                <w:color w:val="55565A"/>
                <w:lang w:bidi="ar-SA"/>
              </w:rPr>
            </w:pPr>
          </w:p>
          <w:p w14:paraId="0DE2464C" w14:textId="77777777" w:rsidR="00A14089" w:rsidRPr="007776A0" w:rsidRDefault="00A14089" w:rsidP="007B1883">
            <w:pPr>
              <w:pStyle w:val="TableParagraph"/>
              <w:rPr>
                <w:rFonts w:asciiTheme="minorHAnsi" w:eastAsia="Arial Unicode MS" w:hAnsiTheme="minorHAnsi" w:cstheme="minorHAnsi"/>
                <w:i/>
                <w:iCs/>
                <w:sz w:val="20"/>
              </w:rPr>
            </w:pPr>
            <w:r w:rsidRPr="007776A0">
              <w:rPr>
                <w:rFonts w:asciiTheme="minorHAnsi" w:eastAsia="Calibri" w:hAnsiTheme="minorHAnsi" w:cstheme="minorHAnsi"/>
                <w:i/>
                <w:iCs/>
                <w:color w:val="55565A"/>
                <w:lang w:bidi="ar-SA"/>
              </w:rPr>
              <w:t>Department of Premier and Cabinet</w:t>
            </w:r>
            <w:r w:rsidRPr="007776A0">
              <w:rPr>
                <w:rFonts w:asciiTheme="minorHAnsi" w:eastAsia="Arial Unicode MS" w:hAnsiTheme="minorHAnsi" w:cstheme="minorHAnsi"/>
                <w:i/>
                <w:iCs/>
                <w:sz w:val="20"/>
              </w:rPr>
              <w:t xml:space="preserve"> </w:t>
            </w:r>
          </w:p>
        </w:tc>
        <w:tc>
          <w:tcPr>
            <w:tcW w:w="7224" w:type="dxa"/>
            <w:tcBorders>
              <w:right w:val="nil"/>
            </w:tcBorders>
            <w:shd w:val="clear" w:color="auto" w:fill="E9E5E2"/>
            <w:vAlign w:val="center"/>
          </w:tcPr>
          <w:p w14:paraId="3CAF8FA7" w14:textId="77777777"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 xml:space="preserve">CSEMB leads a range of whole of Victorian Government security and emergency management policy, strategy and projects.   </w:t>
            </w:r>
          </w:p>
          <w:p w14:paraId="3626BC6E" w14:textId="77777777" w:rsidR="00A14089" w:rsidRPr="007776A0" w:rsidRDefault="00A14089" w:rsidP="007B1883">
            <w:pPr>
              <w:rPr>
                <w:rFonts w:asciiTheme="minorHAnsi" w:hAnsiTheme="minorHAnsi" w:cstheme="minorHAnsi"/>
                <w:color w:val="55565A"/>
                <w:sz w:val="22"/>
                <w:szCs w:val="22"/>
                <w:lang w:val="en-US"/>
              </w:rPr>
            </w:pPr>
          </w:p>
          <w:p w14:paraId="07179BBC" w14:textId="699A42D3"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The CSEMB team lead and deliver protective security policy in relation to the application and use of the Australian Government’s Protective Security Policy Framework</w:t>
            </w:r>
            <w:r w:rsidR="005465AD">
              <w:rPr>
                <w:rFonts w:asciiTheme="minorHAnsi" w:hAnsiTheme="minorHAnsi" w:cstheme="minorHAnsi"/>
                <w:color w:val="55565A"/>
                <w:sz w:val="22"/>
                <w:szCs w:val="22"/>
                <w:lang w:val="en-US"/>
              </w:rPr>
              <w:t>.</w:t>
            </w:r>
            <w:r w:rsidRPr="007776A0">
              <w:rPr>
                <w:rFonts w:asciiTheme="minorHAnsi" w:hAnsiTheme="minorHAnsi" w:cstheme="minorHAnsi"/>
                <w:color w:val="55565A"/>
                <w:sz w:val="22"/>
                <w:szCs w:val="22"/>
                <w:lang w:val="en-US"/>
              </w:rPr>
              <w:t xml:space="preserve"> </w:t>
            </w:r>
            <w:r w:rsidR="005465AD">
              <w:rPr>
                <w:rFonts w:asciiTheme="minorHAnsi" w:hAnsiTheme="minorHAnsi" w:cstheme="minorHAnsi"/>
                <w:color w:val="55565A"/>
                <w:sz w:val="22"/>
                <w:szCs w:val="22"/>
                <w:lang w:val="en-US"/>
              </w:rPr>
              <w:t>CSEMB</w:t>
            </w:r>
            <w:r w:rsidRPr="007776A0">
              <w:rPr>
                <w:rFonts w:asciiTheme="minorHAnsi" w:hAnsiTheme="minorHAnsi" w:cstheme="minorHAnsi"/>
                <w:color w:val="55565A"/>
                <w:sz w:val="22"/>
                <w:szCs w:val="22"/>
                <w:lang w:val="en-US"/>
              </w:rPr>
              <w:t xml:space="preserve"> can assist with enquiries relating to matters of national interest and protecting national security information.</w:t>
            </w:r>
          </w:p>
          <w:p w14:paraId="2FBE319F" w14:textId="77777777" w:rsidR="00A14089" w:rsidRPr="007776A0" w:rsidRDefault="00A14089" w:rsidP="007B1883">
            <w:pPr>
              <w:rPr>
                <w:rFonts w:asciiTheme="minorHAnsi" w:hAnsiTheme="minorHAnsi" w:cstheme="minorHAnsi"/>
                <w:color w:val="55565A"/>
                <w:sz w:val="22"/>
                <w:szCs w:val="22"/>
                <w:lang w:val="en-US"/>
              </w:rPr>
            </w:pPr>
          </w:p>
          <w:p w14:paraId="2E826EB0" w14:textId="77777777"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 xml:space="preserve">CSEMB facilitates and manages national security clearances for VPS staff, as outlined in the current Memorandum of Understanding for National Security Information and can also assist organisations by providing guidance on personnel security practices that supports </w:t>
            </w:r>
            <w:r w:rsidRPr="00E72661">
              <w:rPr>
                <w:rFonts w:asciiTheme="minorHAnsi" w:hAnsiTheme="minorHAnsi" w:cstheme="minorHAnsi"/>
                <w:b/>
                <w:bCs/>
                <w:color w:val="55565A"/>
                <w:sz w:val="22"/>
                <w:szCs w:val="22"/>
                <w:lang w:val="en-US"/>
              </w:rPr>
              <w:t xml:space="preserve">Standard 10 – </w:t>
            </w:r>
            <w:r w:rsidRPr="005465AD">
              <w:rPr>
                <w:rFonts w:asciiTheme="minorHAnsi" w:hAnsiTheme="minorHAnsi" w:cstheme="minorHAnsi"/>
                <w:color w:val="55565A"/>
                <w:sz w:val="22"/>
                <w:szCs w:val="22"/>
                <w:lang w:val="en-US"/>
              </w:rPr>
              <w:t>Personnel Security</w:t>
            </w:r>
            <w:r w:rsidRPr="007776A0">
              <w:rPr>
                <w:rFonts w:asciiTheme="minorHAnsi" w:hAnsiTheme="minorHAnsi" w:cstheme="minorHAnsi"/>
                <w:color w:val="55565A"/>
                <w:sz w:val="22"/>
                <w:szCs w:val="22"/>
                <w:lang w:val="en-US"/>
              </w:rPr>
              <w:t>.</w:t>
            </w:r>
          </w:p>
          <w:p w14:paraId="5CDD2C2E" w14:textId="77777777" w:rsidR="00A14089" w:rsidRPr="007776A0" w:rsidRDefault="00A14089" w:rsidP="007B1883">
            <w:pPr>
              <w:rPr>
                <w:rFonts w:asciiTheme="minorHAnsi" w:hAnsiTheme="minorHAnsi" w:cstheme="minorHAnsi"/>
                <w:color w:val="55565A"/>
                <w:sz w:val="22"/>
                <w:szCs w:val="22"/>
                <w:lang w:val="en-US"/>
              </w:rPr>
            </w:pPr>
          </w:p>
        </w:tc>
      </w:tr>
      <w:tr w:rsidR="00A14089" w:rsidRPr="007776A0" w14:paraId="1BD4D0E3" w14:textId="77777777" w:rsidTr="007B1883">
        <w:trPr>
          <w:trHeight w:val="1297"/>
        </w:trPr>
        <w:tc>
          <w:tcPr>
            <w:tcW w:w="2268" w:type="dxa"/>
            <w:tcBorders>
              <w:left w:val="nil"/>
            </w:tcBorders>
            <w:shd w:val="clear" w:color="auto" w:fill="E9E5E2"/>
            <w:vAlign w:val="center"/>
          </w:tcPr>
          <w:p w14:paraId="670A205E" w14:textId="77777777" w:rsidR="00A14089" w:rsidRPr="007776A0" w:rsidRDefault="00A14089" w:rsidP="00A14089">
            <w:pPr>
              <w:pStyle w:val="SectionSubhead"/>
              <w:numPr>
                <w:ilvl w:val="0"/>
                <w:numId w:val="0"/>
              </w:numPr>
              <w:ind w:left="3"/>
              <w:rPr>
                <w:rFonts w:eastAsia="Arial Unicode MS"/>
                <w:color w:val="FF0000"/>
                <w:sz w:val="20"/>
              </w:rPr>
            </w:pPr>
            <w:bookmarkStart w:id="5" w:name="_Toc31985244"/>
            <w:r w:rsidRPr="007776A0">
              <w:rPr>
                <w:rFonts w:eastAsia="Calibri"/>
              </w:rPr>
              <w:t>Victorian Public Sector Commission (VPSC)</w:t>
            </w:r>
            <w:bookmarkEnd w:id="5"/>
          </w:p>
        </w:tc>
        <w:tc>
          <w:tcPr>
            <w:tcW w:w="7224" w:type="dxa"/>
            <w:tcBorders>
              <w:right w:val="nil"/>
            </w:tcBorders>
            <w:shd w:val="clear" w:color="auto" w:fill="E9E5E2"/>
            <w:vAlign w:val="center"/>
          </w:tcPr>
          <w:p w14:paraId="0A8898C2"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The VPSC help strengthen public sector efficiency, effectiveness and capability by:</w:t>
            </w:r>
          </w:p>
          <w:p w14:paraId="3558FF74"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assessing, researching and providing advice and support on issues relevant to public sector administration, governance, service delivery and workforce management and development;</w:t>
            </w:r>
          </w:p>
          <w:p w14:paraId="324CC8BA" w14:textId="7777777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collecting and reporting on whole of government data; and</w:t>
            </w:r>
          </w:p>
          <w:p w14:paraId="46BD5B44" w14:textId="6484F237" w:rsidR="00A14089" w:rsidRPr="007776A0" w:rsidRDefault="00A14089" w:rsidP="00A14089">
            <w:pPr>
              <w:pStyle w:val="Body"/>
              <w:widowControl/>
              <w:numPr>
                <w:ilvl w:val="0"/>
                <w:numId w:val="10"/>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conducting enquiries as directed under the </w:t>
            </w:r>
            <w:r w:rsidR="005465AD" w:rsidRPr="00E72661">
              <w:rPr>
                <w:rFonts w:asciiTheme="minorHAnsi" w:hAnsiTheme="minorHAnsi" w:cstheme="minorHAnsi"/>
                <w:i/>
                <w:iCs/>
                <w:lang w:val="en-US"/>
              </w:rPr>
              <w:t xml:space="preserve">Public Administration </w:t>
            </w:r>
            <w:r w:rsidRPr="00E72661">
              <w:rPr>
                <w:rFonts w:asciiTheme="minorHAnsi" w:hAnsiTheme="minorHAnsi" w:cstheme="minorHAnsi"/>
                <w:i/>
                <w:iCs/>
                <w:lang w:val="en-US"/>
              </w:rPr>
              <w:t>Act</w:t>
            </w:r>
            <w:r w:rsidR="005465AD" w:rsidRPr="00E72661">
              <w:rPr>
                <w:rFonts w:asciiTheme="minorHAnsi" w:hAnsiTheme="minorHAnsi" w:cstheme="minorHAnsi"/>
                <w:i/>
                <w:iCs/>
                <w:lang w:val="en-US"/>
              </w:rPr>
              <w:t xml:space="preserve"> 2004</w:t>
            </w:r>
            <w:r w:rsidR="005465AD">
              <w:rPr>
                <w:rFonts w:asciiTheme="minorHAnsi" w:hAnsiTheme="minorHAnsi" w:cstheme="minorHAnsi"/>
                <w:lang w:val="en-US"/>
              </w:rPr>
              <w:t xml:space="preserve"> (Vic)</w:t>
            </w:r>
            <w:r w:rsidRPr="007776A0">
              <w:rPr>
                <w:rFonts w:asciiTheme="minorHAnsi" w:hAnsiTheme="minorHAnsi" w:cstheme="minorHAnsi"/>
                <w:lang w:val="en-US"/>
              </w:rPr>
              <w:t xml:space="preserve"> by the Premier</w:t>
            </w:r>
            <w:r w:rsidR="005465AD">
              <w:rPr>
                <w:rFonts w:asciiTheme="minorHAnsi" w:hAnsiTheme="minorHAnsi" w:cstheme="minorHAnsi"/>
                <w:lang w:val="en-US"/>
              </w:rPr>
              <w:t>.</w:t>
            </w:r>
          </w:p>
          <w:p w14:paraId="6963156B" w14:textId="77777777"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 xml:space="preserve">A central initiative of VPSC is to promote and apply the public sector values, and ensure governance, standards and equity are upheld and maintained. </w:t>
            </w:r>
          </w:p>
          <w:p w14:paraId="1939A249" w14:textId="77777777" w:rsidR="00A14089" w:rsidRPr="007776A0" w:rsidRDefault="00A14089" w:rsidP="007B1883">
            <w:pPr>
              <w:rPr>
                <w:rFonts w:asciiTheme="minorHAnsi" w:hAnsiTheme="minorHAnsi" w:cstheme="minorHAnsi"/>
                <w:color w:val="55565A"/>
                <w:sz w:val="22"/>
                <w:szCs w:val="22"/>
                <w:lang w:val="en-US"/>
              </w:rPr>
            </w:pPr>
          </w:p>
          <w:p w14:paraId="53137A06" w14:textId="1AFCA6DE"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 xml:space="preserve">The VPSC provides Human Resources managers and staff with information, tools and resources to assist them in their own roles and help them guide and inform employees within their organisation. The work that VPSC does supports </w:t>
            </w:r>
            <w:r w:rsidRPr="00E72661">
              <w:rPr>
                <w:rFonts w:asciiTheme="minorHAnsi" w:hAnsiTheme="minorHAnsi" w:cstheme="minorHAnsi"/>
                <w:b/>
                <w:bCs/>
                <w:color w:val="55565A"/>
                <w:sz w:val="22"/>
                <w:szCs w:val="22"/>
                <w:lang w:val="en-US"/>
              </w:rPr>
              <w:t xml:space="preserve">Standard 10 – </w:t>
            </w:r>
            <w:r w:rsidRPr="005465AD">
              <w:rPr>
                <w:rFonts w:asciiTheme="minorHAnsi" w:hAnsiTheme="minorHAnsi" w:cstheme="minorHAnsi"/>
                <w:color w:val="55565A"/>
                <w:sz w:val="22"/>
                <w:szCs w:val="22"/>
                <w:lang w:val="en-US"/>
              </w:rPr>
              <w:t>Personnel Security</w:t>
            </w:r>
            <w:r w:rsidRPr="00783994">
              <w:rPr>
                <w:rFonts w:asciiTheme="minorHAnsi" w:hAnsiTheme="minorHAnsi" w:cstheme="minorHAnsi"/>
                <w:color w:val="55565A"/>
                <w:sz w:val="22"/>
                <w:szCs w:val="22"/>
                <w:lang w:val="en-US"/>
              </w:rPr>
              <w:t>.</w:t>
            </w:r>
          </w:p>
          <w:p w14:paraId="2D3D182A" w14:textId="77777777" w:rsidR="00A14089" w:rsidRPr="007776A0" w:rsidRDefault="00A14089" w:rsidP="007B1883">
            <w:pPr>
              <w:rPr>
                <w:rFonts w:asciiTheme="minorHAnsi" w:hAnsiTheme="minorHAnsi" w:cstheme="minorHAnsi"/>
                <w:color w:val="55565A"/>
                <w:sz w:val="22"/>
                <w:szCs w:val="22"/>
                <w:lang w:val="en-US"/>
              </w:rPr>
            </w:pPr>
          </w:p>
        </w:tc>
      </w:tr>
      <w:tr w:rsidR="00A14089" w:rsidRPr="007776A0" w14:paraId="4D48BDF6" w14:textId="77777777" w:rsidTr="007B1883">
        <w:trPr>
          <w:trHeight w:val="1297"/>
        </w:trPr>
        <w:tc>
          <w:tcPr>
            <w:tcW w:w="2268" w:type="dxa"/>
            <w:tcBorders>
              <w:left w:val="nil"/>
            </w:tcBorders>
            <w:shd w:val="clear" w:color="auto" w:fill="E9E5E2"/>
            <w:vAlign w:val="center"/>
          </w:tcPr>
          <w:p w14:paraId="4E5E4ED5" w14:textId="635756D4" w:rsidR="00A14089" w:rsidRPr="007776A0" w:rsidRDefault="00A14089" w:rsidP="00A14089">
            <w:pPr>
              <w:pStyle w:val="SectionSubhead"/>
              <w:numPr>
                <w:ilvl w:val="0"/>
                <w:numId w:val="0"/>
              </w:numPr>
              <w:ind w:left="-4"/>
              <w:rPr>
                <w:rFonts w:eastAsia="Calibri"/>
              </w:rPr>
            </w:pPr>
            <w:bookmarkStart w:id="6" w:name="_Toc31985245"/>
            <w:r w:rsidRPr="007776A0">
              <w:rPr>
                <w:rFonts w:eastAsia="Calibri"/>
              </w:rPr>
              <w:lastRenderedPageBreak/>
              <w:t>Victorian Ombudsman (VO)</w:t>
            </w:r>
            <w:bookmarkEnd w:id="6"/>
          </w:p>
        </w:tc>
        <w:tc>
          <w:tcPr>
            <w:tcW w:w="7224" w:type="dxa"/>
            <w:tcBorders>
              <w:right w:val="nil"/>
            </w:tcBorders>
            <w:shd w:val="clear" w:color="auto" w:fill="E9E5E2"/>
            <w:vAlign w:val="center"/>
          </w:tcPr>
          <w:p w14:paraId="050F8FA0" w14:textId="77777777" w:rsidR="00857369" w:rsidRPr="00857369" w:rsidRDefault="00857369" w:rsidP="00857369">
            <w:pPr>
              <w:pStyle w:val="vo-icon-list-item"/>
              <w:rPr>
                <w:rFonts w:asciiTheme="minorHAnsi" w:eastAsia="Calibri" w:hAnsiTheme="minorHAnsi" w:cstheme="minorHAnsi"/>
                <w:color w:val="55565A"/>
                <w:sz w:val="22"/>
                <w:szCs w:val="22"/>
                <w:lang w:val="en-US" w:eastAsia="en-US"/>
              </w:rPr>
            </w:pPr>
            <w:r w:rsidRPr="00857369">
              <w:rPr>
                <w:rFonts w:asciiTheme="minorHAnsi" w:eastAsia="Calibri" w:hAnsiTheme="minorHAnsi" w:cstheme="minorHAnsi"/>
                <w:color w:val="55565A"/>
                <w:sz w:val="22"/>
                <w:szCs w:val="22"/>
                <w:lang w:val="en-US" w:eastAsia="en-US"/>
              </w:rPr>
              <w:t>The Ombudsman</w:t>
            </w:r>
            <w:r w:rsidRPr="00857369">
              <w:rPr>
                <w:rFonts w:asciiTheme="minorHAnsi" w:eastAsia="Calibri" w:hAnsiTheme="minorHAnsi" w:cstheme="minorHAnsi"/>
                <w:color w:val="55565A"/>
                <w:lang w:eastAsia="en-US"/>
              </w:rPr>
              <w:t> </w:t>
            </w:r>
            <w:r w:rsidRPr="00857369">
              <w:rPr>
                <w:rFonts w:asciiTheme="minorHAnsi" w:eastAsia="Calibri" w:hAnsiTheme="minorHAnsi" w:cstheme="minorHAnsi"/>
                <w:color w:val="55565A"/>
                <w:sz w:val="22"/>
                <w:szCs w:val="22"/>
                <w:lang w:val="en-US" w:eastAsia="en-US"/>
              </w:rPr>
              <w:t>investigates complaints about actions or decisions made by Victorian public organisations (including government departments, statutory bodies, local councils and publicly funded community services). We also investigate allegations of improper conduct, made under the Public Interest Disclosure Act.  </w:t>
            </w:r>
          </w:p>
          <w:p w14:paraId="4105997C" w14:textId="77777777" w:rsidR="00857369" w:rsidRPr="00857369" w:rsidRDefault="00857369" w:rsidP="00857369">
            <w:pPr>
              <w:rPr>
                <w:rFonts w:asciiTheme="minorHAnsi" w:hAnsiTheme="minorHAnsi" w:cstheme="minorHAnsi"/>
                <w:color w:val="55565A"/>
                <w:sz w:val="22"/>
                <w:szCs w:val="22"/>
                <w:lang w:val="en-US"/>
              </w:rPr>
            </w:pPr>
            <w:r w:rsidRPr="00857369">
              <w:rPr>
                <w:rFonts w:asciiTheme="minorHAnsi" w:hAnsiTheme="minorHAnsi" w:cstheme="minorHAnsi"/>
                <w:color w:val="55565A"/>
                <w:sz w:val="22"/>
                <w:szCs w:val="22"/>
                <w:lang w:val="en-US"/>
              </w:rPr>
              <w:t>The Ombudsman's powers to conduct investigations are deliberately broad. The Ombudsman and OVIC work towards the same goal (keeping state and local government agencies accountable).</w:t>
            </w:r>
            <w:r w:rsidRPr="00857369">
              <w:rPr>
                <w:rFonts w:asciiTheme="minorHAnsi" w:hAnsiTheme="minorHAnsi" w:cstheme="minorHAnsi"/>
                <w:sz w:val="22"/>
                <w:szCs w:val="22"/>
              </w:rPr>
              <w:t> </w:t>
            </w:r>
            <w:r w:rsidRPr="00857369">
              <w:rPr>
                <w:rFonts w:asciiTheme="minorHAnsi" w:hAnsiTheme="minorHAnsi" w:cstheme="minorHAnsi"/>
                <w:color w:val="55565A"/>
                <w:sz w:val="22"/>
                <w:szCs w:val="22"/>
                <w:lang w:val="en-US"/>
              </w:rPr>
              <w:t>The functions and powers of the Ombudsman broadly support the monitoring and assurance efforts of OVIC, whilst maintaining their independence.</w:t>
            </w:r>
          </w:p>
          <w:p w14:paraId="7C150409" w14:textId="5498CD79" w:rsidR="00A14089" w:rsidRPr="007776A0" w:rsidRDefault="00A14089" w:rsidP="007B1883">
            <w:pPr>
              <w:pStyle w:val="Body"/>
              <w:rPr>
                <w:rFonts w:asciiTheme="minorHAnsi" w:hAnsiTheme="minorHAnsi" w:cstheme="minorHAnsi"/>
                <w:lang w:val="en-US"/>
              </w:rPr>
            </w:pPr>
          </w:p>
        </w:tc>
      </w:tr>
      <w:tr w:rsidR="00A14089" w:rsidRPr="007776A0" w14:paraId="58383513" w14:textId="77777777" w:rsidTr="006D08EE">
        <w:trPr>
          <w:trHeight w:val="803"/>
        </w:trPr>
        <w:tc>
          <w:tcPr>
            <w:tcW w:w="2268" w:type="dxa"/>
            <w:tcBorders>
              <w:left w:val="nil"/>
            </w:tcBorders>
            <w:shd w:val="clear" w:color="auto" w:fill="E9E5E2"/>
            <w:vAlign w:val="center"/>
          </w:tcPr>
          <w:p w14:paraId="7AAC6765" w14:textId="77777777" w:rsidR="00A14089" w:rsidRPr="007776A0" w:rsidRDefault="00A14089" w:rsidP="00A14089">
            <w:pPr>
              <w:pStyle w:val="SectionSubhead"/>
              <w:numPr>
                <w:ilvl w:val="0"/>
                <w:numId w:val="0"/>
              </w:numPr>
              <w:ind w:left="3"/>
              <w:rPr>
                <w:rFonts w:eastAsia="Calibri"/>
              </w:rPr>
            </w:pPr>
            <w:bookmarkStart w:id="7" w:name="_Toc31985246"/>
            <w:r w:rsidRPr="007776A0">
              <w:rPr>
                <w:rFonts w:eastAsia="Calibri"/>
              </w:rPr>
              <w:t>Independent Broad-based Anti-Corruption Commission (IBAC)</w:t>
            </w:r>
            <w:bookmarkEnd w:id="7"/>
            <w:r w:rsidRPr="007776A0">
              <w:rPr>
                <w:rFonts w:eastAsia="Calibri"/>
              </w:rPr>
              <w:t xml:space="preserve"> </w:t>
            </w:r>
          </w:p>
          <w:p w14:paraId="43079683" w14:textId="77777777" w:rsidR="00A14089" w:rsidRPr="007776A0" w:rsidRDefault="00A14089" w:rsidP="007B1883">
            <w:pPr>
              <w:pStyle w:val="TableParagraph"/>
              <w:rPr>
                <w:rFonts w:asciiTheme="minorHAnsi" w:eastAsia="Calibri" w:hAnsiTheme="minorHAnsi" w:cstheme="minorHAnsi"/>
                <w:b/>
                <w:bCs/>
                <w:color w:val="FF0000"/>
                <w:lang w:bidi="ar-SA"/>
              </w:rPr>
            </w:pPr>
          </w:p>
        </w:tc>
        <w:tc>
          <w:tcPr>
            <w:tcW w:w="7224" w:type="dxa"/>
            <w:tcBorders>
              <w:right w:val="nil"/>
            </w:tcBorders>
            <w:shd w:val="clear" w:color="auto" w:fill="E9E5E2"/>
            <w:vAlign w:val="center"/>
          </w:tcPr>
          <w:p w14:paraId="1525ED25"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As Victoria’s anti-corruption agency, IBAC:</w:t>
            </w:r>
          </w:p>
          <w:p w14:paraId="6B0757D7" w14:textId="77777777" w:rsidR="00A14089" w:rsidRPr="007776A0" w:rsidRDefault="00A14089" w:rsidP="00A14089">
            <w:pPr>
              <w:pStyle w:val="Body"/>
              <w:widowControl/>
              <w:numPr>
                <w:ilvl w:val="0"/>
                <w:numId w:val="16"/>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receives complaints and notifications of public sector corruption and police misconduct;</w:t>
            </w:r>
          </w:p>
          <w:p w14:paraId="13C1C42D" w14:textId="77777777" w:rsidR="00A14089" w:rsidRPr="007776A0" w:rsidRDefault="00A14089" w:rsidP="00A14089">
            <w:pPr>
              <w:pStyle w:val="Body"/>
              <w:widowControl/>
              <w:numPr>
                <w:ilvl w:val="0"/>
                <w:numId w:val="16"/>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investigates and exposes corruption and police misconduct; and</w:t>
            </w:r>
          </w:p>
          <w:p w14:paraId="0B8FA993" w14:textId="5E0290FC" w:rsidR="00A14089" w:rsidRPr="007776A0" w:rsidRDefault="00A14089" w:rsidP="00A14089">
            <w:pPr>
              <w:pStyle w:val="Body"/>
              <w:widowControl/>
              <w:numPr>
                <w:ilvl w:val="0"/>
                <w:numId w:val="16"/>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 xml:space="preserve">informs the public sector and community about the risks and impacts of corruption and police misconduct, and </w:t>
            </w:r>
            <w:r w:rsidR="005465AD">
              <w:rPr>
                <w:rFonts w:asciiTheme="minorHAnsi" w:hAnsiTheme="minorHAnsi" w:cstheme="minorHAnsi"/>
                <w:lang w:val="en-US"/>
              </w:rPr>
              <w:t>how</w:t>
            </w:r>
            <w:r w:rsidR="005465AD" w:rsidRPr="007776A0">
              <w:rPr>
                <w:rFonts w:asciiTheme="minorHAnsi" w:hAnsiTheme="minorHAnsi" w:cstheme="minorHAnsi"/>
                <w:lang w:val="en-US"/>
              </w:rPr>
              <w:t xml:space="preserve"> </w:t>
            </w:r>
            <w:r w:rsidRPr="007776A0">
              <w:rPr>
                <w:rFonts w:asciiTheme="minorHAnsi" w:hAnsiTheme="minorHAnsi" w:cstheme="minorHAnsi"/>
                <w:lang w:val="en-US"/>
              </w:rPr>
              <w:t>it can be prevented.</w:t>
            </w:r>
          </w:p>
          <w:p w14:paraId="21691ADC" w14:textId="11023AB9"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The functions and powers of IBAC </w:t>
            </w:r>
            <w:r w:rsidR="006D08EE">
              <w:rPr>
                <w:rFonts w:asciiTheme="minorHAnsi" w:hAnsiTheme="minorHAnsi" w:cstheme="minorHAnsi"/>
                <w:lang w:val="en-US"/>
              </w:rPr>
              <w:t xml:space="preserve">are aligned with the objectives of </w:t>
            </w:r>
            <w:r w:rsidR="0076762C">
              <w:rPr>
                <w:rFonts w:asciiTheme="minorHAnsi" w:hAnsiTheme="minorHAnsi" w:cstheme="minorHAnsi"/>
                <w:lang w:val="en-US"/>
              </w:rPr>
              <w:t>the Framework and Standards</w:t>
            </w:r>
            <w:r w:rsidRPr="007776A0">
              <w:rPr>
                <w:rFonts w:asciiTheme="minorHAnsi" w:hAnsiTheme="minorHAnsi" w:cstheme="minorHAnsi"/>
                <w:lang w:val="en-US"/>
              </w:rPr>
              <w:t>, whilst maintaining their independence.</w:t>
            </w:r>
          </w:p>
        </w:tc>
      </w:tr>
      <w:tr w:rsidR="00A14089" w:rsidRPr="007776A0" w14:paraId="2FB0FC56" w14:textId="77777777" w:rsidTr="007B1883">
        <w:trPr>
          <w:trHeight w:val="1297"/>
        </w:trPr>
        <w:tc>
          <w:tcPr>
            <w:tcW w:w="2268" w:type="dxa"/>
            <w:tcBorders>
              <w:left w:val="nil"/>
            </w:tcBorders>
            <w:shd w:val="clear" w:color="auto" w:fill="E9E5E2"/>
            <w:vAlign w:val="center"/>
          </w:tcPr>
          <w:p w14:paraId="7F58FADB" w14:textId="77777777" w:rsidR="00A14089" w:rsidRPr="007776A0" w:rsidRDefault="00A14089" w:rsidP="00A14089">
            <w:pPr>
              <w:pStyle w:val="SectionSubhead"/>
              <w:numPr>
                <w:ilvl w:val="0"/>
                <w:numId w:val="0"/>
              </w:numPr>
              <w:ind w:left="-4"/>
              <w:rPr>
                <w:rFonts w:eastAsia="Calibri"/>
              </w:rPr>
            </w:pPr>
            <w:bookmarkStart w:id="8" w:name="_Toc31985247"/>
            <w:r w:rsidRPr="007776A0">
              <w:rPr>
                <w:rFonts w:eastAsia="Calibri"/>
              </w:rPr>
              <w:t>Department of Treasury and Finance (DTF)</w:t>
            </w:r>
            <w:bookmarkEnd w:id="8"/>
          </w:p>
        </w:tc>
        <w:tc>
          <w:tcPr>
            <w:tcW w:w="7224" w:type="dxa"/>
            <w:tcBorders>
              <w:right w:val="nil"/>
            </w:tcBorders>
            <w:shd w:val="clear" w:color="auto" w:fill="E9E5E2"/>
            <w:vAlign w:val="center"/>
          </w:tcPr>
          <w:p w14:paraId="139CA56A" w14:textId="77777777"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DTF issues the:</w:t>
            </w:r>
          </w:p>
          <w:p w14:paraId="7B827EBD" w14:textId="63DA1212" w:rsidR="00A14089" w:rsidRPr="007776A0" w:rsidRDefault="00A14089" w:rsidP="00A14089">
            <w:pPr>
              <w:pStyle w:val="ListParagraph"/>
              <w:numPr>
                <w:ilvl w:val="0"/>
                <w:numId w:val="10"/>
              </w:numPr>
              <w:spacing w:before="120"/>
              <w:contextualSpacing w:val="0"/>
              <w:rPr>
                <w:rFonts w:asciiTheme="minorHAnsi" w:hAnsiTheme="minorHAnsi" w:cstheme="minorHAnsi"/>
                <w:color w:val="55565A"/>
                <w:lang w:val="en-US"/>
              </w:rPr>
            </w:pPr>
            <w:r w:rsidRPr="007776A0">
              <w:rPr>
                <w:rFonts w:asciiTheme="minorHAnsi" w:hAnsiTheme="minorHAnsi" w:cstheme="minorHAnsi"/>
                <w:color w:val="55565A"/>
                <w:lang w:val="en-US"/>
              </w:rPr>
              <w:t xml:space="preserve">Standing Directions 2018 under the </w:t>
            </w:r>
            <w:r w:rsidRPr="00E72661">
              <w:rPr>
                <w:rFonts w:asciiTheme="minorHAnsi" w:hAnsiTheme="minorHAnsi" w:cstheme="minorHAnsi"/>
                <w:i/>
                <w:iCs/>
                <w:color w:val="55565A"/>
                <w:lang w:val="en-US"/>
              </w:rPr>
              <w:t>Financial Management Act 1994</w:t>
            </w:r>
            <w:r w:rsidR="00783994">
              <w:rPr>
                <w:rFonts w:asciiTheme="minorHAnsi" w:hAnsiTheme="minorHAnsi" w:cstheme="minorHAnsi"/>
                <w:i/>
                <w:iCs/>
                <w:color w:val="55565A"/>
                <w:lang w:val="en-US"/>
              </w:rPr>
              <w:t xml:space="preserve"> </w:t>
            </w:r>
            <w:r w:rsidR="00783994" w:rsidRPr="00E72661">
              <w:rPr>
                <w:rFonts w:asciiTheme="minorHAnsi" w:hAnsiTheme="minorHAnsi" w:cstheme="minorHAnsi"/>
                <w:color w:val="55565A"/>
                <w:lang w:val="en-US"/>
              </w:rPr>
              <w:t>(Vic)</w:t>
            </w:r>
            <w:r w:rsidRPr="00783994">
              <w:rPr>
                <w:rFonts w:asciiTheme="minorHAnsi" w:hAnsiTheme="minorHAnsi" w:cstheme="minorHAnsi"/>
                <w:color w:val="55565A"/>
                <w:lang w:val="en-US"/>
              </w:rPr>
              <w:t>,</w:t>
            </w:r>
            <w:r w:rsidRPr="007776A0">
              <w:rPr>
                <w:rFonts w:asciiTheme="minorHAnsi" w:hAnsiTheme="minorHAnsi" w:cstheme="minorHAnsi"/>
                <w:color w:val="55565A"/>
                <w:lang w:val="en-US"/>
              </w:rPr>
              <w:t xml:space="preserve"> which sets the standard for financial management by Victorian government departments and agencies;</w:t>
            </w:r>
          </w:p>
          <w:p w14:paraId="58451172" w14:textId="77777777" w:rsidR="00A14089" w:rsidRPr="007776A0" w:rsidRDefault="00A14089" w:rsidP="00A14089">
            <w:pPr>
              <w:pStyle w:val="ListParagraph"/>
              <w:numPr>
                <w:ilvl w:val="0"/>
                <w:numId w:val="10"/>
              </w:numPr>
              <w:spacing w:before="120"/>
              <w:contextualSpacing w:val="0"/>
              <w:rPr>
                <w:rFonts w:asciiTheme="minorHAnsi" w:hAnsiTheme="minorHAnsi" w:cstheme="minorHAnsi"/>
                <w:color w:val="55565A"/>
                <w:lang w:val="en-US"/>
              </w:rPr>
            </w:pPr>
            <w:r w:rsidRPr="007776A0">
              <w:rPr>
                <w:rFonts w:asciiTheme="minorHAnsi" w:hAnsiTheme="minorHAnsi" w:cstheme="minorHAnsi"/>
                <w:color w:val="55565A"/>
                <w:lang w:val="en-US"/>
              </w:rPr>
              <w:t>Victorian Government Risk Management Framework (</w:t>
            </w:r>
            <w:r w:rsidRPr="00E72661">
              <w:rPr>
                <w:rFonts w:asciiTheme="minorHAnsi" w:hAnsiTheme="minorHAnsi" w:cstheme="minorHAnsi"/>
                <w:b/>
                <w:bCs/>
                <w:color w:val="55565A"/>
                <w:lang w:val="en-US"/>
              </w:rPr>
              <w:t>VGRMF</w:t>
            </w:r>
            <w:r w:rsidRPr="007776A0">
              <w:rPr>
                <w:rFonts w:asciiTheme="minorHAnsi" w:hAnsiTheme="minorHAnsi" w:cstheme="minorHAnsi"/>
                <w:color w:val="55565A"/>
                <w:lang w:val="en-US"/>
              </w:rPr>
              <w:t>) which supports risk management across Victorian government departments and agencies; and</w:t>
            </w:r>
          </w:p>
          <w:p w14:paraId="6CBB14C2" w14:textId="77777777" w:rsidR="00A14089" w:rsidRPr="007776A0" w:rsidRDefault="00A14089" w:rsidP="00A14089">
            <w:pPr>
              <w:pStyle w:val="ListParagraph"/>
              <w:numPr>
                <w:ilvl w:val="0"/>
                <w:numId w:val="10"/>
              </w:numPr>
              <w:spacing w:before="120"/>
              <w:contextualSpacing w:val="0"/>
              <w:rPr>
                <w:rFonts w:asciiTheme="minorHAnsi" w:hAnsiTheme="minorHAnsi" w:cstheme="minorHAnsi"/>
                <w:color w:val="55565A"/>
                <w:lang w:val="en-US"/>
              </w:rPr>
            </w:pPr>
            <w:r w:rsidRPr="007776A0">
              <w:rPr>
                <w:rFonts w:asciiTheme="minorHAnsi" w:hAnsiTheme="minorHAnsi" w:cstheme="minorHAnsi"/>
                <w:color w:val="55565A"/>
                <w:lang w:val="en-US"/>
              </w:rPr>
              <w:t xml:space="preserve">Asset management accountability framework. </w:t>
            </w:r>
          </w:p>
          <w:p w14:paraId="60184837" w14:textId="238108D0"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DTF assist</w:t>
            </w:r>
            <w:r w:rsidR="005465AD">
              <w:rPr>
                <w:rFonts w:asciiTheme="minorHAnsi" w:hAnsiTheme="minorHAnsi" w:cstheme="minorHAnsi"/>
                <w:lang w:val="en-US"/>
              </w:rPr>
              <w:t>s</w:t>
            </w:r>
            <w:r w:rsidRPr="007776A0">
              <w:rPr>
                <w:rFonts w:asciiTheme="minorHAnsi" w:hAnsiTheme="minorHAnsi" w:cstheme="minorHAnsi"/>
                <w:lang w:val="en-US"/>
              </w:rPr>
              <w:t xml:space="preserve"> organisations by setting direction on risk management for the VPS, directly supporting </w:t>
            </w:r>
            <w:r w:rsidRPr="00E72661">
              <w:rPr>
                <w:rFonts w:asciiTheme="minorHAnsi" w:hAnsiTheme="minorHAnsi" w:cstheme="minorHAnsi"/>
                <w:b/>
                <w:bCs/>
                <w:lang w:val="en-US"/>
              </w:rPr>
              <w:t>Standard 3</w:t>
            </w:r>
            <w:r w:rsidRPr="007776A0">
              <w:rPr>
                <w:rFonts w:asciiTheme="minorHAnsi" w:hAnsiTheme="minorHAnsi" w:cstheme="minorHAnsi"/>
                <w:lang w:val="en-US"/>
              </w:rPr>
              <w:t xml:space="preserve"> – Information Security Risk Management. </w:t>
            </w:r>
          </w:p>
          <w:p w14:paraId="1E975BFF" w14:textId="77777777" w:rsidR="00A14089" w:rsidRPr="007776A0" w:rsidRDefault="00A14089" w:rsidP="007B1883">
            <w:pPr>
              <w:rPr>
                <w:rFonts w:asciiTheme="minorHAnsi" w:hAnsiTheme="minorHAnsi" w:cstheme="minorHAnsi"/>
                <w:color w:val="55565A"/>
                <w:sz w:val="22"/>
                <w:szCs w:val="22"/>
                <w:lang w:val="en-US"/>
              </w:rPr>
            </w:pPr>
          </w:p>
        </w:tc>
      </w:tr>
      <w:tr w:rsidR="00A14089" w:rsidRPr="007776A0" w14:paraId="531032B8" w14:textId="77777777" w:rsidTr="007B1883">
        <w:trPr>
          <w:trHeight w:val="791"/>
        </w:trPr>
        <w:tc>
          <w:tcPr>
            <w:tcW w:w="2268" w:type="dxa"/>
            <w:tcBorders>
              <w:left w:val="nil"/>
            </w:tcBorders>
            <w:shd w:val="clear" w:color="auto" w:fill="E9E5E2"/>
            <w:vAlign w:val="center"/>
          </w:tcPr>
          <w:p w14:paraId="33CD39A6" w14:textId="77777777" w:rsidR="00A14089" w:rsidRPr="007776A0" w:rsidRDefault="00A14089" w:rsidP="00A14089">
            <w:pPr>
              <w:pStyle w:val="SectionSubhead"/>
              <w:numPr>
                <w:ilvl w:val="0"/>
                <w:numId w:val="0"/>
              </w:numPr>
              <w:ind w:left="-4"/>
              <w:rPr>
                <w:rFonts w:eastAsia="Calibri"/>
              </w:rPr>
            </w:pPr>
            <w:bookmarkStart w:id="9" w:name="_Toc31985248"/>
            <w:r w:rsidRPr="007776A0">
              <w:rPr>
                <w:rFonts w:eastAsia="Calibri"/>
              </w:rPr>
              <w:t>Victorian Managed Insurance Authority (VMIA)</w:t>
            </w:r>
            <w:bookmarkEnd w:id="9"/>
          </w:p>
          <w:p w14:paraId="632956F1" w14:textId="77777777" w:rsidR="00A14089" w:rsidRPr="007776A0" w:rsidRDefault="00A14089" w:rsidP="007B1883">
            <w:pPr>
              <w:pStyle w:val="TableParagraph"/>
              <w:ind w:left="-150"/>
              <w:rPr>
                <w:rFonts w:asciiTheme="minorHAnsi" w:eastAsia="Calibri" w:hAnsiTheme="minorHAnsi" w:cstheme="minorHAnsi"/>
                <w:b/>
                <w:bCs/>
                <w:color w:val="55565A"/>
                <w:lang w:bidi="ar-SA"/>
              </w:rPr>
            </w:pPr>
          </w:p>
        </w:tc>
        <w:tc>
          <w:tcPr>
            <w:tcW w:w="7224" w:type="dxa"/>
            <w:tcBorders>
              <w:right w:val="nil"/>
            </w:tcBorders>
            <w:shd w:val="clear" w:color="auto" w:fill="E9E5E2"/>
            <w:vAlign w:val="center"/>
          </w:tcPr>
          <w:p w14:paraId="43F939E3"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lastRenderedPageBreak/>
              <w:t>VMIA is the Victorian Government’s insurer and risk adviser, covering the people, places and projects that help Victorians thrive.</w:t>
            </w:r>
          </w:p>
          <w:p w14:paraId="4B2E873D" w14:textId="06CF35DE"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As the government’s insurer and risk adviser, VMIA assists its clients to put the VGRMF into practice. VMIA offers everything from risk advice and </w:t>
            </w:r>
            <w:r w:rsidRPr="007776A0">
              <w:rPr>
                <w:rFonts w:asciiTheme="minorHAnsi" w:hAnsiTheme="minorHAnsi" w:cstheme="minorHAnsi"/>
                <w:lang w:val="en-US"/>
              </w:rPr>
              <w:lastRenderedPageBreak/>
              <w:t>thought leadership, to coordinating risk prevention and recovery.</w:t>
            </w:r>
          </w:p>
          <w:p w14:paraId="53071DD4" w14:textId="4A8D6B6C"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The team at VMIA can assist organisations by providing guidance and training on risk management practices that support </w:t>
            </w:r>
            <w:r w:rsidRPr="00E72661">
              <w:rPr>
                <w:rFonts w:asciiTheme="minorHAnsi" w:hAnsiTheme="minorHAnsi" w:cstheme="minorHAnsi"/>
                <w:b/>
                <w:bCs/>
                <w:lang w:val="en-US"/>
              </w:rPr>
              <w:t>Standard 3</w:t>
            </w:r>
            <w:r w:rsidRPr="007776A0">
              <w:rPr>
                <w:rFonts w:asciiTheme="minorHAnsi" w:hAnsiTheme="minorHAnsi" w:cstheme="minorHAnsi"/>
                <w:lang w:val="en-US"/>
              </w:rPr>
              <w:t xml:space="preserve"> – Information Security Risk Management and </w:t>
            </w:r>
            <w:r w:rsidR="00783994">
              <w:rPr>
                <w:rFonts w:asciiTheme="minorHAnsi" w:hAnsiTheme="minorHAnsi" w:cstheme="minorHAnsi"/>
                <w:lang w:val="en-US"/>
              </w:rPr>
              <w:t xml:space="preserve">the </w:t>
            </w:r>
            <w:r w:rsidRPr="007776A0">
              <w:rPr>
                <w:rFonts w:asciiTheme="minorHAnsi" w:hAnsiTheme="minorHAnsi" w:cstheme="minorHAnsi"/>
                <w:lang w:val="en-US"/>
              </w:rPr>
              <w:t>general risk management approach of the Framework.</w:t>
            </w:r>
          </w:p>
        </w:tc>
      </w:tr>
      <w:tr w:rsidR="00A14089" w:rsidRPr="007776A0" w14:paraId="46971CEB" w14:textId="77777777" w:rsidTr="007B1883">
        <w:trPr>
          <w:trHeight w:val="1297"/>
        </w:trPr>
        <w:tc>
          <w:tcPr>
            <w:tcW w:w="2268" w:type="dxa"/>
            <w:tcBorders>
              <w:left w:val="nil"/>
            </w:tcBorders>
            <w:shd w:val="clear" w:color="auto" w:fill="E9E5E2"/>
            <w:vAlign w:val="center"/>
          </w:tcPr>
          <w:p w14:paraId="2F769B7B" w14:textId="77777777" w:rsidR="00A14089" w:rsidRPr="007776A0" w:rsidRDefault="00A14089" w:rsidP="00A14089">
            <w:pPr>
              <w:pStyle w:val="SectionSubhead"/>
              <w:numPr>
                <w:ilvl w:val="0"/>
                <w:numId w:val="0"/>
              </w:numPr>
              <w:ind w:left="-4"/>
              <w:rPr>
                <w:rFonts w:eastAsia="Calibri"/>
              </w:rPr>
            </w:pPr>
            <w:bookmarkStart w:id="10" w:name="_Toc31985249"/>
            <w:r w:rsidRPr="007776A0">
              <w:rPr>
                <w:rFonts w:eastAsia="Calibri"/>
              </w:rPr>
              <w:lastRenderedPageBreak/>
              <w:t>Victorian Auditor- General’s Office (VAGO)</w:t>
            </w:r>
            <w:bookmarkEnd w:id="10"/>
          </w:p>
        </w:tc>
        <w:tc>
          <w:tcPr>
            <w:tcW w:w="7224" w:type="dxa"/>
            <w:tcBorders>
              <w:right w:val="nil"/>
            </w:tcBorders>
            <w:shd w:val="clear" w:color="auto" w:fill="E9E5E2"/>
            <w:vAlign w:val="center"/>
          </w:tcPr>
          <w:p w14:paraId="743780F7" w14:textId="77777777"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 xml:space="preserve">The Auditor General is an independent oﬃcer of the Victorian Parliament, appointed to examine the management of resources within the public sector on behalf of Parliament and Victorians. </w:t>
            </w:r>
          </w:p>
          <w:p w14:paraId="105B8848" w14:textId="77777777" w:rsidR="00A14089" w:rsidRPr="007776A0" w:rsidRDefault="00A14089" w:rsidP="007B1883">
            <w:pPr>
              <w:rPr>
                <w:rFonts w:asciiTheme="minorHAnsi" w:hAnsiTheme="minorHAnsi" w:cstheme="minorHAnsi"/>
                <w:color w:val="55565A"/>
                <w:sz w:val="22"/>
                <w:szCs w:val="22"/>
                <w:lang w:val="en-US"/>
              </w:rPr>
            </w:pPr>
          </w:p>
          <w:p w14:paraId="2287F212" w14:textId="77777777" w:rsidR="00A14089" w:rsidRPr="007776A0" w:rsidRDefault="00A14089" w:rsidP="007B1883">
            <w:pPr>
              <w:rPr>
                <w:rFonts w:asciiTheme="minorHAnsi" w:hAnsiTheme="minorHAnsi" w:cstheme="minorHAnsi"/>
                <w:color w:val="55565A"/>
                <w:sz w:val="22"/>
                <w:szCs w:val="22"/>
                <w:lang w:val="en-US"/>
              </w:rPr>
            </w:pPr>
            <w:r w:rsidRPr="007776A0">
              <w:rPr>
                <w:rFonts w:asciiTheme="minorHAnsi" w:hAnsiTheme="minorHAnsi" w:cstheme="minorHAnsi"/>
                <w:color w:val="55565A"/>
                <w:sz w:val="22"/>
                <w:szCs w:val="22"/>
                <w:lang w:val="en-US"/>
              </w:rPr>
              <w:t>VAGO may conduct independent performance audits of any information security area, supporting the broader monitoring and assurance efforts of OVIC, whilst maintaining their independence.</w:t>
            </w:r>
          </w:p>
          <w:p w14:paraId="545E740E" w14:textId="77777777" w:rsidR="00A14089" w:rsidRPr="007776A0" w:rsidRDefault="00A14089" w:rsidP="007B1883">
            <w:pPr>
              <w:rPr>
                <w:rFonts w:asciiTheme="minorHAnsi" w:hAnsiTheme="minorHAnsi" w:cstheme="minorHAnsi"/>
                <w:color w:val="55565A"/>
                <w:sz w:val="22"/>
                <w:szCs w:val="22"/>
                <w:lang w:val="en-US"/>
              </w:rPr>
            </w:pPr>
          </w:p>
        </w:tc>
      </w:tr>
      <w:tr w:rsidR="00A14089" w:rsidRPr="007776A0" w14:paraId="667065FA" w14:textId="77777777" w:rsidTr="007B1883">
        <w:trPr>
          <w:trHeight w:val="933"/>
        </w:trPr>
        <w:tc>
          <w:tcPr>
            <w:tcW w:w="2268" w:type="dxa"/>
            <w:tcBorders>
              <w:left w:val="nil"/>
            </w:tcBorders>
            <w:shd w:val="clear" w:color="auto" w:fill="E9E5E2"/>
            <w:vAlign w:val="center"/>
          </w:tcPr>
          <w:p w14:paraId="2E3D496D" w14:textId="77777777" w:rsidR="00A14089" w:rsidRPr="007776A0" w:rsidRDefault="00A14089" w:rsidP="00A14089">
            <w:pPr>
              <w:pStyle w:val="SectionSubhead"/>
              <w:numPr>
                <w:ilvl w:val="0"/>
                <w:numId w:val="0"/>
              </w:numPr>
              <w:ind w:left="-4"/>
              <w:rPr>
                <w:rFonts w:eastAsia="Calibri"/>
              </w:rPr>
            </w:pPr>
            <w:bookmarkStart w:id="11" w:name="_Toc31985250"/>
            <w:r w:rsidRPr="007776A0">
              <w:rPr>
                <w:rFonts w:eastAsia="Calibri"/>
              </w:rPr>
              <w:t>Shared Services Office Accommodation within WoVG</w:t>
            </w:r>
            <w:bookmarkEnd w:id="11"/>
          </w:p>
          <w:p w14:paraId="00369D37" w14:textId="77777777" w:rsidR="00A14089" w:rsidRPr="007776A0" w:rsidRDefault="00A14089" w:rsidP="007B1883">
            <w:pPr>
              <w:rPr>
                <w:rFonts w:asciiTheme="minorHAnsi" w:hAnsiTheme="minorHAnsi" w:cstheme="minorHAnsi"/>
                <w:b/>
                <w:bCs/>
                <w:color w:val="55565A"/>
                <w:sz w:val="22"/>
                <w:szCs w:val="22"/>
                <w:lang w:val="en-US"/>
              </w:rPr>
            </w:pPr>
          </w:p>
          <w:p w14:paraId="4A39E673" w14:textId="77777777" w:rsidR="00A14089" w:rsidRPr="007776A0" w:rsidRDefault="00A14089" w:rsidP="007B1883">
            <w:pPr>
              <w:rPr>
                <w:rFonts w:asciiTheme="minorHAnsi" w:hAnsiTheme="minorHAnsi" w:cstheme="minorHAnsi"/>
                <w:i/>
                <w:iCs/>
                <w:color w:val="55565A"/>
                <w:sz w:val="22"/>
              </w:rPr>
            </w:pPr>
            <w:r w:rsidRPr="007776A0">
              <w:rPr>
                <w:rFonts w:asciiTheme="minorHAnsi" w:hAnsiTheme="minorHAnsi" w:cstheme="minorHAnsi"/>
                <w:i/>
                <w:iCs/>
                <w:color w:val="55565A"/>
                <w:sz w:val="22"/>
              </w:rPr>
              <w:t>Shared Services Provider (</w:t>
            </w:r>
            <w:r w:rsidRPr="00E72661">
              <w:rPr>
                <w:rFonts w:asciiTheme="minorHAnsi" w:hAnsiTheme="minorHAnsi" w:cstheme="minorHAnsi"/>
                <w:b/>
                <w:bCs/>
                <w:i/>
                <w:iCs/>
                <w:color w:val="55565A"/>
                <w:sz w:val="22"/>
              </w:rPr>
              <w:t>SSP</w:t>
            </w:r>
            <w:r w:rsidRPr="007776A0">
              <w:rPr>
                <w:rFonts w:asciiTheme="minorHAnsi" w:hAnsiTheme="minorHAnsi" w:cstheme="minorHAnsi"/>
                <w:i/>
                <w:iCs/>
                <w:color w:val="55565A"/>
                <w:sz w:val="22"/>
              </w:rPr>
              <w:t>) of Department of Treasury and Finance</w:t>
            </w:r>
          </w:p>
          <w:p w14:paraId="2A4AAEB5" w14:textId="77777777" w:rsidR="00A14089" w:rsidRPr="007776A0" w:rsidRDefault="00A14089" w:rsidP="007B1883">
            <w:pPr>
              <w:rPr>
                <w:rFonts w:asciiTheme="minorHAnsi" w:hAnsiTheme="minorHAnsi" w:cstheme="minorHAnsi"/>
                <w:b/>
                <w:bCs/>
                <w:color w:val="55565A"/>
                <w:sz w:val="22"/>
                <w:szCs w:val="22"/>
                <w:lang w:val="en-US"/>
              </w:rPr>
            </w:pPr>
          </w:p>
          <w:p w14:paraId="0E1D3152" w14:textId="77777777" w:rsidR="00A14089" w:rsidRPr="007776A0" w:rsidRDefault="00A14089" w:rsidP="007B1883">
            <w:pPr>
              <w:pStyle w:val="TableParagraph"/>
              <w:ind w:left="-150"/>
              <w:jc w:val="center"/>
              <w:rPr>
                <w:rFonts w:asciiTheme="minorHAnsi" w:eastAsia="Arial Unicode MS" w:hAnsiTheme="minorHAnsi" w:cstheme="minorHAnsi"/>
                <w:sz w:val="20"/>
              </w:rPr>
            </w:pPr>
          </w:p>
        </w:tc>
        <w:tc>
          <w:tcPr>
            <w:tcW w:w="7224" w:type="dxa"/>
            <w:tcBorders>
              <w:right w:val="nil"/>
            </w:tcBorders>
            <w:shd w:val="clear" w:color="auto" w:fill="E9E5E2"/>
            <w:vAlign w:val="center"/>
          </w:tcPr>
          <w:p w14:paraId="10F9C8EB" w14:textId="1BECDA94"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SSP issue</w:t>
            </w:r>
            <w:r w:rsidR="00783994">
              <w:rPr>
                <w:rFonts w:asciiTheme="minorHAnsi" w:hAnsiTheme="minorHAnsi" w:cstheme="minorHAnsi"/>
                <w:lang w:val="en-US"/>
              </w:rPr>
              <w:t xml:space="preserve">s </w:t>
            </w:r>
            <w:r w:rsidRPr="007776A0">
              <w:rPr>
                <w:rFonts w:asciiTheme="minorHAnsi" w:hAnsiTheme="minorHAnsi" w:cstheme="minorHAnsi"/>
                <w:lang w:val="en-US"/>
              </w:rPr>
              <w:t xml:space="preserve">the </w:t>
            </w:r>
            <w:r w:rsidRPr="007776A0">
              <w:rPr>
                <w:rFonts w:asciiTheme="minorHAnsi" w:hAnsiTheme="minorHAnsi" w:cstheme="minorHAnsi"/>
                <w:i/>
                <w:iCs/>
                <w:lang w:val="en-US"/>
              </w:rPr>
              <w:t>Security Design Guide for Victoria’s State Owned and /or Occupied Office Accommodation Buildings 2007</w:t>
            </w:r>
            <w:r w:rsidRPr="007776A0">
              <w:rPr>
                <w:rFonts w:asciiTheme="minorHAnsi" w:hAnsiTheme="minorHAnsi" w:cstheme="minorHAnsi"/>
                <w:lang w:val="en-US"/>
              </w:rPr>
              <w:t>.</w:t>
            </w:r>
          </w:p>
          <w:p w14:paraId="599DA6B4"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Shared services office accommodation guidelines and building standards reference:</w:t>
            </w:r>
          </w:p>
          <w:p w14:paraId="10111E3C" w14:textId="77777777" w:rsidR="00A14089" w:rsidRPr="007776A0" w:rsidRDefault="00A14089" w:rsidP="00A14089">
            <w:pPr>
              <w:pStyle w:val="Body"/>
              <w:widowControl/>
              <w:numPr>
                <w:ilvl w:val="0"/>
                <w:numId w:val="14"/>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the principles of Crime Prevention Through Environmental Design (</w:t>
            </w:r>
            <w:r w:rsidRPr="00E72661">
              <w:rPr>
                <w:rFonts w:asciiTheme="minorHAnsi" w:hAnsiTheme="minorHAnsi" w:cstheme="minorHAnsi"/>
                <w:b/>
                <w:bCs/>
                <w:lang w:val="en-US"/>
              </w:rPr>
              <w:t>CPTED</w:t>
            </w:r>
            <w:r w:rsidRPr="007776A0">
              <w:rPr>
                <w:rFonts w:asciiTheme="minorHAnsi" w:hAnsiTheme="minorHAnsi" w:cstheme="minorHAnsi"/>
                <w:lang w:val="en-US"/>
              </w:rPr>
              <w:t>) which assist in the design and management of the physical environment;</w:t>
            </w:r>
          </w:p>
          <w:p w14:paraId="7BC1AB46" w14:textId="77777777" w:rsidR="00A14089" w:rsidRPr="007776A0" w:rsidRDefault="00A14089" w:rsidP="00A14089">
            <w:pPr>
              <w:pStyle w:val="Body"/>
              <w:widowControl/>
              <w:numPr>
                <w:ilvl w:val="0"/>
                <w:numId w:val="14"/>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a range of risk management strategies drawing on defence-in-depth principles; and</w:t>
            </w:r>
          </w:p>
          <w:p w14:paraId="4FD4A792" w14:textId="554F2BBF" w:rsidR="00A14089" w:rsidRPr="007776A0" w:rsidRDefault="00A14089" w:rsidP="00A14089">
            <w:pPr>
              <w:pStyle w:val="Body"/>
              <w:widowControl/>
              <w:numPr>
                <w:ilvl w:val="0"/>
                <w:numId w:val="14"/>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the use of recommended security hardware and technology installed in accordance with published guidelines (e.g. Australian Standards and Commonwealth’s Security Equipment Catalogue (</w:t>
            </w:r>
            <w:r w:rsidRPr="00E72661">
              <w:rPr>
                <w:rFonts w:asciiTheme="minorHAnsi" w:hAnsiTheme="minorHAnsi" w:cstheme="minorHAnsi"/>
                <w:b/>
                <w:bCs/>
                <w:lang w:val="en-US"/>
              </w:rPr>
              <w:t>SCEC</w:t>
            </w:r>
            <w:r w:rsidRPr="007776A0">
              <w:rPr>
                <w:rFonts w:asciiTheme="minorHAnsi" w:hAnsiTheme="minorHAnsi" w:cstheme="minorHAnsi"/>
                <w:lang w:val="en-US"/>
              </w:rPr>
              <w:t>)</w:t>
            </w:r>
            <w:r w:rsidR="00F305BA">
              <w:rPr>
                <w:rFonts w:asciiTheme="minorHAnsi" w:hAnsiTheme="minorHAnsi" w:cstheme="minorHAnsi"/>
                <w:lang w:val="en-US"/>
              </w:rPr>
              <w:t>)</w:t>
            </w:r>
            <w:r w:rsidRPr="007776A0">
              <w:rPr>
                <w:rFonts w:asciiTheme="minorHAnsi" w:hAnsiTheme="minorHAnsi" w:cstheme="minorHAnsi"/>
                <w:lang w:val="en-US"/>
              </w:rPr>
              <w:t>.</w:t>
            </w:r>
          </w:p>
          <w:p w14:paraId="2C2D71B8" w14:textId="69AE6D61"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t xml:space="preserve"> </w:t>
            </w:r>
            <w:r w:rsidRPr="00E72661">
              <w:rPr>
                <w:rFonts w:asciiTheme="minorHAnsi" w:hAnsiTheme="minorHAnsi" w:cstheme="minorHAnsi"/>
                <w:lang w:val="en-US"/>
              </w:rPr>
              <w:t>SSP</w:t>
            </w:r>
            <w:r w:rsidR="00F305BA">
              <w:rPr>
                <w:rFonts w:asciiTheme="minorHAnsi" w:hAnsiTheme="minorHAnsi" w:cstheme="minorHAnsi"/>
                <w:b/>
                <w:bCs/>
                <w:lang w:val="en-US"/>
              </w:rPr>
              <w:t>’s</w:t>
            </w:r>
            <w:r w:rsidRPr="007776A0">
              <w:rPr>
                <w:rFonts w:asciiTheme="minorHAnsi" w:hAnsiTheme="minorHAnsi" w:cstheme="minorHAnsi"/>
                <w:lang w:val="en-US"/>
              </w:rPr>
              <w:t xml:space="preserve"> Security team within DTF can assist organisations by providing guidance on the implementation of some aspects of </w:t>
            </w:r>
            <w:r w:rsidRPr="00E72661">
              <w:rPr>
                <w:rFonts w:asciiTheme="minorHAnsi" w:hAnsiTheme="minorHAnsi" w:cstheme="minorHAnsi"/>
                <w:b/>
                <w:bCs/>
                <w:lang w:val="en-US"/>
              </w:rPr>
              <w:t>Standard 12</w:t>
            </w:r>
            <w:r w:rsidRPr="007776A0">
              <w:rPr>
                <w:rFonts w:asciiTheme="minorHAnsi" w:hAnsiTheme="minorHAnsi" w:cstheme="minorHAnsi"/>
                <w:lang w:val="en-US"/>
              </w:rPr>
              <w:t xml:space="preserve"> – Physical Security for office accommodation.</w:t>
            </w:r>
          </w:p>
        </w:tc>
      </w:tr>
      <w:tr w:rsidR="00A14089" w:rsidRPr="007776A0" w14:paraId="3B22C49C" w14:textId="77777777" w:rsidTr="007B1883">
        <w:trPr>
          <w:trHeight w:val="1297"/>
        </w:trPr>
        <w:tc>
          <w:tcPr>
            <w:tcW w:w="2268" w:type="dxa"/>
            <w:tcBorders>
              <w:left w:val="nil"/>
            </w:tcBorders>
            <w:shd w:val="clear" w:color="auto" w:fill="E9E5E2"/>
            <w:vAlign w:val="center"/>
          </w:tcPr>
          <w:p w14:paraId="01050243" w14:textId="77777777" w:rsidR="00A14089" w:rsidRPr="007776A0" w:rsidRDefault="00A14089" w:rsidP="00A14089">
            <w:pPr>
              <w:pStyle w:val="SectionSubhead"/>
              <w:numPr>
                <w:ilvl w:val="0"/>
                <w:numId w:val="0"/>
              </w:numPr>
              <w:ind w:left="-4"/>
              <w:rPr>
                <w:rFonts w:eastAsia="Calibri"/>
              </w:rPr>
            </w:pPr>
            <w:bookmarkStart w:id="12" w:name="_Toc31985251"/>
            <w:r w:rsidRPr="007776A0">
              <w:rPr>
                <w:rFonts w:eastAsia="Calibri"/>
              </w:rPr>
              <w:t>Shared Service Library – Victorian Government Library Service (VGLS)</w:t>
            </w:r>
            <w:bookmarkEnd w:id="12"/>
          </w:p>
          <w:p w14:paraId="38348108" w14:textId="77777777" w:rsidR="00A14089" w:rsidRPr="007776A0" w:rsidRDefault="00A14089" w:rsidP="007B1883">
            <w:pPr>
              <w:pStyle w:val="Body"/>
              <w:rPr>
                <w:rFonts w:asciiTheme="minorHAnsi" w:hAnsiTheme="minorHAnsi" w:cstheme="minorHAnsi"/>
                <w:b/>
                <w:bCs/>
                <w:lang w:val="en-US"/>
              </w:rPr>
            </w:pPr>
          </w:p>
          <w:p w14:paraId="5146EEB1" w14:textId="77777777" w:rsidR="00A14089" w:rsidRPr="007776A0" w:rsidRDefault="00A14089" w:rsidP="007B1883">
            <w:pPr>
              <w:pStyle w:val="Body"/>
              <w:rPr>
                <w:rFonts w:asciiTheme="minorHAnsi" w:hAnsiTheme="minorHAnsi" w:cstheme="minorHAnsi"/>
                <w:b/>
                <w:bCs/>
                <w:lang w:val="en-US"/>
              </w:rPr>
            </w:pPr>
            <w:r w:rsidRPr="007776A0">
              <w:rPr>
                <w:rFonts w:asciiTheme="minorHAnsi" w:hAnsiTheme="minorHAnsi" w:cstheme="minorHAnsi"/>
                <w:i/>
                <w:iCs/>
              </w:rPr>
              <w:t>Department of Treasury and Finance</w:t>
            </w:r>
          </w:p>
          <w:p w14:paraId="293FD8FD" w14:textId="77777777" w:rsidR="00A14089" w:rsidRPr="007776A0" w:rsidRDefault="00A14089" w:rsidP="007B1883">
            <w:pPr>
              <w:pStyle w:val="Body"/>
              <w:rPr>
                <w:rFonts w:asciiTheme="minorHAnsi" w:hAnsiTheme="minorHAnsi" w:cstheme="minorHAnsi"/>
                <w:b/>
                <w:bCs/>
                <w:lang w:val="en-US"/>
              </w:rPr>
            </w:pPr>
          </w:p>
          <w:p w14:paraId="11742FD7" w14:textId="77777777" w:rsidR="00A14089" w:rsidRPr="007776A0" w:rsidRDefault="00A14089" w:rsidP="007B1883">
            <w:pPr>
              <w:pStyle w:val="Body"/>
              <w:rPr>
                <w:rFonts w:asciiTheme="minorHAnsi" w:hAnsiTheme="minorHAnsi" w:cstheme="minorHAnsi"/>
                <w:b/>
                <w:bCs/>
                <w:lang w:val="en-US"/>
              </w:rPr>
            </w:pPr>
          </w:p>
        </w:tc>
        <w:tc>
          <w:tcPr>
            <w:tcW w:w="7224" w:type="dxa"/>
            <w:tcBorders>
              <w:right w:val="nil"/>
            </w:tcBorders>
            <w:shd w:val="clear" w:color="auto" w:fill="E9E5E2"/>
            <w:vAlign w:val="center"/>
          </w:tcPr>
          <w:p w14:paraId="315BFAFC"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lastRenderedPageBreak/>
              <w:t>The VGLS enables Victorian Government staff and clients to gain access to information resources required to provide evidence-based information to deliver policy and research across government. This includes:</w:t>
            </w:r>
          </w:p>
          <w:p w14:paraId="30B87202" w14:textId="77777777" w:rsidR="00A14089" w:rsidRPr="007776A0" w:rsidRDefault="00A14089" w:rsidP="00A14089">
            <w:pPr>
              <w:pStyle w:val="Body"/>
              <w:widowControl/>
              <w:numPr>
                <w:ilvl w:val="0"/>
                <w:numId w:val="13"/>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access to collections of licensed electronic resources;</w:t>
            </w:r>
          </w:p>
          <w:p w14:paraId="2EFA961D" w14:textId="77777777" w:rsidR="00A14089" w:rsidRPr="007776A0" w:rsidRDefault="00A14089" w:rsidP="00A14089">
            <w:pPr>
              <w:pStyle w:val="Body"/>
              <w:widowControl/>
              <w:numPr>
                <w:ilvl w:val="0"/>
                <w:numId w:val="13"/>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enabling loans and documents from the Whole of Victorian Government library collection;</w:t>
            </w:r>
          </w:p>
          <w:p w14:paraId="5E5D92C7" w14:textId="77777777" w:rsidR="00A14089" w:rsidRPr="007776A0" w:rsidRDefault="00A14089" w:rsidP="00A14089">
            <w:pPr>
              <w:pStyle w:val="Body"/>
              <w:widowControl/>
              <w:numPr>
                <w:ilvl w:val="0"/>
                <w:numId w:val="13"/>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assistance and research from a team of information professionals;</w:t>
            </w:r>
          </w:p>
          <w:p w14:paraId="46D4B7A1" w14:textId="77777777" w:rsidR="00A14089" w:rsidRPr="007776A0" w:rsidRDefault="00A14089" w:rsidP="00A14089">
            <w:pPr>
              <w:pStyle w:val="Body"/>
              <w:widowControl/>
              <w:numPr>
                <w:ilvl w:val="0"/>
                <w:numId w:val="13"/>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an extensive information skills program; and</w:t>
            </w:r>
          </w:p>
          <w:p w14:paraId="6995856F" w14:textId="77777777" w:rsidR="00A14089" w:rsidRPr="007776A0" w:rsidRDefault="00A14089" w:rsidP="00A14089">
            <w:pPr>
              <w:pStyle w:val="Body"/>
              <w:widowControl/>
              <w:numPr>
                <w:ilvl w:val="0"/>
                <w:numId w:val="13"/>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access to a global network of libraries and suppliers.</w:t>
            </w:r>
          </w:p>
          <w:p w14:paraId="282CED62" w14:textId="77777777" w:rsidR="00A14089" w:rsidRPr="007776A0" w:rsidRDefault="00A14089" w:rsidP="007B1883">
            <w:pPr>
              <w:pStyle w:val="Body"/>
              <w:rPr>
                <w:rFonts w:asciiTheme="minorHAnsi" w:hAnsiTheme="minorHAnsi" w:cstheme="minorHAnsi"/>
                <w:lang w:val="en-US"/>
              </w:rPr>
            </w:pPr>
            <w:r w:rsidRPr="007776A0">
              <w:rPr>
                <w:rFonts w:asciiTheme="minorHAnsi" w:hAnsiTheme="minorHAnsi" w:cstheme="minorHAnsi"/>
                <w:lang w:val="en-US"/>
              </w:rPr>
              <w:lastRenderedPageBreak/>
              <w:t>VGLS clients have access to:</w:t>
            </w:r>
          </w:p>
          <w:p w14:paraId="5E9B9E51" w14:textId="77777777" w:rsidR="00A14089" w:rsidRPr="007776A0" w:rsidRDefault="00A14089" w:rsidP="00A14089">
            <w:pPr>
              <w:pStyle w:val="Body"/>
              <w:widowControl/>
              <w:numPr>
                <w:ilvl w:val="0"/>
                <w:numId w:val="12"/>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print and online resources, including books, e-books, journals and reports not available elsewhere; and</w:t>
            </w:r>
          </w:p>
          <w:p w14:paraId="131581D7" w14:textId="77777777" w:rsidR="00A14089" w:rsidRPr="007776A0" w:rsidRDefault="00A14089" w:rsidP="00A14089">
            <w:pPr>
              <w:pStyle w:val="Body"/>
              <w:widowControl/>
              <w:numPr>
                <w:ilvl w:val="0"/>
                <w:numId w:val="12"/>
              </w:numPr>
              <w:suppressAutoHyphens w:val="0"/>
              <w:autoSpaceDE/>
              <w:autoSpaceDN/>
              <w:adjustRightInd/>
              <w:spacing w:after="120"/>
              <w:textAlignment w:val="auto"/>
              <w:rPr>
                <w:rFonts w:asciiTheme="minorHAnsi" w:hAnsiTheme="minorHAnsi" w:cstheme="minorHAnsi"/>
                <w:lang w:val="en-US"/>
              </w:rPr>
            </w:pPr>
            <w:r w:rsidRPr="007776A0">
              <w:rPr>
                <w:rFonts w:asciiTheme="minorHAnsi" w:hAnsiTheme="minorHAnsi" w:cstheme="minorHAnsi"/>
                <w:lang w:val="en-US"/>
              </w:rPr>
              <w:t>specialised databases containing subject specific journals, media, legal resources, standards and conference papers.</w:t>
            </w:r>
          </w:p>
        </w:tc>
      </w:tr>
    </w:tbl>
    <w:p w14:paraId="7F316100" w14:textId="77777777" w:rsidR="00176B1A" w:rsidRPr="00C736EC" w:rsidRDefault="00176B1A" w:rsidP="00C736EC">
      <w:pPr>
        <w:pStyle w:val="Body"/>
      </w:pPr>
    </w:p>
    <w:p w14:paraId="24632DB2" w14:textId="77777777" w:rsidR="00C736EC" w:rsidRPr="0086734F" w:rsidRDefault="00C736EC" w:rsidP="00C736EC">
      <w:pPr>
        <w:pStyle w:val="FurtherInfo"/>
        <w:outlineLvl w:val="0"/>
      </w:pPr>
      <w:r w:rsidRPr="0086734F">
        <w:t>Further Infor</w:t>
      </w:r>
      <w:r w:rsidRPr="00372C3E">
        <w:t>mat</w:t>
      </w:r>
      <w:r w:rsidRPr="0086734F">
        <w:t>ion</w:t>
      </w:r>
    </w:p>
    <w:p w14:paraId="0BDCC056"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headerReference w:type="even" r:id="rId15"/>
          <w:headerReference w:type="default" r:id="rId16"/>
          <w:footerReference w:type="default" r:id="rId17"/>
          <w:headerReference w:type="first" r:id="rId18"/>
          <w:footerReference w:type="first" r:id="rId19"/>
          <w:type w:val="continuous"/>
          <w:pgSz w:w="11900" w:h="16840"/>
          <w:pgMar w:top="1134" w:right="1134" w:bottom="1134" w:left="1134" w:header="1134" w:footer="709" w:gutter="0"/>
          <w:cols w:space="720"/>
          <w:titlePg/>
          <w:docGrid w:linePitch="360"/>
        </w:sectPr>
      </w:pPr>
    </w:p>
    <w:p w14:paraId="2ECB5F56"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4B1533A5" w14:textId="77777777" w:rsidR="00C736EC" w:rsidRPr="00780584" w:rsidRDefault="00C736EC" w:rsidP="00C736EC">
      <w:pPr>
        <w:widowControl w:val="0"/>
        <w:tabs>
          <w:tab w:val="left" w:pos="284"/>
          <w:tab w:val="left" w:pos="709"/>
        </w:tabs>
        <w:suppressAutoHyphens/>
        <w:autoSpaceDE w:val="0"/>
        <w:autoSpaceDN w:val="0"/>
        <w:adjustRightInd w:val="0"/>
        <w:spacing w:after="240"/>
        <w:textAlignment w:val="center"/>
        <w:rPr>
          <w:rFonts w:cs="PostGrotesk-Book"/>
          <w:color w:val="55565A"/>
          <w:sz w:val="22"/>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r w:rsidRPr="00780584">
        <w:rPr>
          <w:rFonts w:cs="PostGrotesk-Medium"/>
          <w:b/>
          <w:color w:val="55565A"/>
        </w:rPr>
        <w:t xml:space="preserve">Disclaimer </w:t>
      </w:r>
    </w:p>
    <w:p w14:paraId="076B0CC6" w14:textId="02595AD3" w:rsidR="00C736EC" w:rsidRPr="00780584" w:rsidRDefault="00C736EC" w:rsidP="00C736EC">
      <w:pPr>
        <w:widowControl w:val="0"/>
        <w:suppressAutoHyphens/>
        <w:autoSpaceDE w:val="0"/>
        <w:autoSpaceDN w:val="0"/>
        <w:adjustRightInd w:val="0"/>
        <w:textAlignment w:val="center"/>
        <w:rPr>
          <w:rFonts w:cs="PostGrotesk-Book"/>
          <w:color w:val="55565A"/>
          <w:sz w:val="18"/>
          <w:szCs w:val="22"/>
        </w:rPr>
      </w:pPr>
      <w:r w:rsidRPr="00780584">
        <w:rPr>
          <w:rFonts w:cs="PostGrotesk-Book"/>
          <w:color w:val="55565A"/>
          <w:sz w:val="16"/>
          <w:szCs w:val="22"/>
        </w:rPr>
        <w:t>This fact sheet does not constitute legal advice and should not be used as a substitute for applying the provisions of the Freedom of Information Act 1982</w:t>
      </w:r>
      <w:r w:rsidR="00A14089">
        <w:rPr>
          <w:rFonts w:cs="PostGrotesk-Book"/>
          <w:color w:val="55565A"/>
          <w:sz w:val="16"/>
          <w:szCs w:val="22"/>
        </w:rPr>
        <w:t xml:space="preserve"> Privacy and Data Protection Act 2014</w:t>
      </w:r>
      <w:r w:rsidRPr="00780584">
        <w:rPr>
          <w:rFonts w:cs="PostGrotesk-Book"/>
          <w:color w:val="55565A"/>
          <w:sz w:val="16"/>
          <w:szCs w:val="22"/>
        </w:rPr>
        <w:t>, or any other legal requirement, to individual cases</w:t>
      </w:r>
      <w:r w:rsidRPr="00780584">
        <w:rPr>
          <w:rFonts w:cs="PostGrotesk-Book"/>
          <w:color w:val="55565A"/>
          <w:sz w:val="18"/>
          <w:szCs w:val="22"/>
        </w:rPr>
        <w:t>.</w:t>
      </w:r>
    </w:p>
    <w:p w14:paraId="30D5B483" w14:textId="77777777" w:rsidR="00C736EC" w:rsidRDefault="00C736EC" w:rsidP="00C736EC">
      <w:pPr>
        <w:pStyle w:val="Disclaimer"/>
      </w:pPr>
    </w:p>
    <w:p w14:paraId="117AE25B" w14:textId="77777777" w:rsidR="00C736EC" w:rsidRDefault="00C736EC" w:rsidP="00C736EC">
      <w:pPr>
        <w:pStyle w:val="SectionHeading1"/>
        <w:outlineLvl w:val="0"/>
        <w:sectPr w:rsidR="00C736EC" w:rsidSect="00C736EC">
          <w:headerReference w:type="even" r:id="rId20"/>
          <w:headerReference w:type="default" r:id="rId21"/>
          <w:headerReference w:type="first" r:id="rId22"/>
          <w:footerReference w:type="first" r:id="rId23"/>
          <w:type w:val="continuous"/>
          <w:pgSz w:w="11900" w:h="16840"/>
          <w:pgMar w:top="1134" w:right="1134" w:bottom="1134" w:left="1134" w:header="1134" w:footer="510" w:gutter="0"/>
          <w:cols w:num="2" w:space="720"/>
          <w:titlePg/>
          <w:docGrid w:linePitch="360"/>
        </w:sectPr>
      </w:pPr>
    </w:p>
    <w:p w14:paraId="324A6B97" w14:textId="77777777" w:rsidR="000677DA" w:rsidRDefault="000677DA" w:rsidP="00C736EC">
      <w:pPr>
        <w:pStyle w:val="SectionHeading1"/>
        <w:outlineLvl w:val="0"/>
      </w:pPr>
    </w:p>
    <w:sectPr w:rsidR="000677DA" w:rsidSect="009236D4">
      <w:type w:val="continuous"/>
      <w:pgSz w:w="11900" w:h="16840"/>
      <w:pgMar w:top="1134" w:right="1134" w:bottom="1134" w:left="1134" w:header="113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1DE2" w14:textId="77777777" w:rsidR="00985005" w:rsidRDefault="00985005" w:rsidP="00B53C78">
      <w:r>
        <w:separator/>
      </w:r>
    </w:p>
  </w:endnote>
  <w:endnote w:type="continuationSeparator" w:id="0">
    <w:p w14:paraId="2289112A" w14:textId="77777777" w:rsidR="00985005" w:rsidRDefault="00985005"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useo Sans">
    <w:panose1 w:val="02000000000000000000"/>
    <w:charset w:val="00"/>
    <w:family w:val="auto"/>
    <w:pitch w:val="variable"/>
    <w:sig w:usb0="A000002F" w:usb1="4000004B"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3BDC" w14:textId="77777777" w:rsidR="00782288" w:rsidRDefault="0078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EB41" w14:textId="77777777" w:rsidR="008B4992" w:rsidRPr="00F4301B" w:rsidRDefault="00ED7EF6" w:rsidP="00F4301B">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9E63" w14:textId="2415D35F" w:rsidR="00A14089" w:rsidRPr="00A14089" w:rsidRDefault="00A14089" w:rsidP="00A14089">
    <w:pPr>
      <w:pStyle w:val="Footer"/>
      <w:spacing w:before="120"/>
      <w:rPr>
        <w:rFonts w:cs="Arial"/>
        <w:i/>
        <w:iCs/>
        <w:sz w:val="20"/>
      </w:rPr>
    </w:pPr>
    <w:r w:rsidRPr="00A14089">
      <w:rPr>
        <w:rFonts w:cs="Arial"/>
        <w:i/>
        <w:iCs/>
        <w:sz w:val="20"/>
      </w:rPr>
      <w:t xml:space="preserve">February 2020 – </w:t>
    </w:r>
    <w:r w:rsidRPr="00CD14CF">
      <w:rPr>
        <w:rFonts w:cs="Arial"/>
        <w:i/>
        <w:iCs/>
        <w:sz w:val="20"/>
      </w:rPr>
      <w:t xml:space="preserve">Version </w:t>
    </w:r>
    <w:r w:rsidR="00CD14CF" w:rsidRPr="00CD14CF">
      <w:rPr>
        <w:rFonts w:cs="Arial"/>
        <w:i/>
        <w:iCs/>
        <w:sz w:val="20"/>
      </w:rPr>
      <w:t>1.0</w:t>
    </w:r>
  </w:p>
  <w:p w14:paraId="37C19C43" w14:textId="6E19E2E0" w:rsidR="00CE7458" w:rsidRPr="009C5614" w:rsidRDefault="00ED7EF6" w:rsidP="009C5614">
    <w:pPr>
      <w:pStyle w:val="Footer"/>
      <w:spacing w:before="120"/>
      <w:jc w:val="right"/>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AF69" w14:textId="410BBFD6" w:rsidR="00A14089" w:rsidRPr="00A14089" w:rsidRDefault="00A14089" w:rsidP="00C22BF5">
    <w:pPr>
      <w:pStyle w:val="Footer"/>
      <w:spacing w:before="120"/>
      <w:rPr>
        <w:rFonts w:cs="Arial"/>
        <w:i/>
        <w:iCs/>
        <w:sz w:val="20"/>
      </w:rPr>
    </w:pPr>
    <w:r w:rsidRPr="00A14089">
      <w:rPr>
        <w:rFonts w:cs="Arial"/>
        <w:i/>
        <w:iCs/>
        <w:sz w:val="20"/>
      </w:rPr>
      <w:t xml:space="preserve">February 2020 – </w:t>
    </w:r>
    <w:r w:rsidRPr="00CD14CF">
      <w:rPr>
        <w:rFonts w:cs="Arial"/>
        <w:i/>
        <w:iCs/>
        <w:sz w:val="20"/>
      </w:rPr>
      <w:t xml:space="preserve">Version </w:t>
    </w:r>
    <w:r w:rsidR="00CD14CF">
      <w:rPr>
        <w:rFonts w:cs="Arial"/>
        <w:i/>
        <w:iCs/>
        <w:sz w:val="20"/>
      </w:rPr>
      <w:t>1.0</w:t>
    </w:r>
  </w:p>
  <w:p w14:paraId="72B6EE87" w14:textId="43AE7F5B" w:rsidR="00C736EC" w:rsidRDefault="008536E9" w:rsidP="00C22BF5">
    <w:pPr>
      <w:pStyle w:val="Footer"/>
      <w:spacing w:before="120"/>
    </w:pPr>
    <w:r>
      <w:rPr>
        <w:noProof/>
        <w:lang w:val="en-AU" w:eastAsia="en-AU"/>
      </w:rPr>
      <w:drawing>
        <wp:inline distT="0" distB="0" distL="0" distR="0" wp14:anchorId="0519E2F1" wp14:editId="4D23EB8D">
          <wp:extent cx="3339465" cy="179070"/>
          <wp:effectExtent l="0" t="0" r="0" b="0"/>
          <wp:docPr id="25" name="Picture 25"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4A51" w14:textId="77777777" w:rsidR="00C736EC" w:rsidRDefault="008536E9" w:rsidP="00D70A8A">
    <w:pPr>
      <w:pStyle w:val="Footer"/>
      <w:spacing w:before="120"/>
    </w:pPr>
    <w:r>
      <w:rPr>
        <w:noProof/>
        <w:lang w:val="en-AU" w:eastAsia="en-AU"/>
      </w:rPr>
      <w:drawing>
        <wp:inline distT="0" distB="0" distL="0" distR="0" wp14:anchorId="28C662B4" wp14:editId="5DC556E6">
          <wp:extent cx="3339465" cy="179070"/>
          <wp:effectExtent l="0" t="0" r="0" b="0"/>
          <wp:docPr id="26" name="Picture 26"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A3B5" w14:textId="77777777" w:rsidR="00BD07DC" w:rsidRDefault="00BD07DC" w:rsidP="00BD07DC">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1B34" w14:textId="77777777" w:rsidR="00985005" w:rsidRDefault="00985005" w:rsidP="00B53C78">
      <w:r>
        <w:separator/>
      </w:r>
    </w:p>
  </w:footnote>
  <w:footnote w:type="continuationSeparator" w:id="0">
    <w:p w14:paraId="61FBBE9A" w14:textId="77777777" w:rsidR="00985005" w:rsidRDefault="00985005" w:rsidP="00B53C78">
      <w:r>
        <w:continuationSeparator/>
      </w:r>
    </w:p>
  </w:footnote>
  <w:footnote w:id="1">
    <w:p w14:paraId="0F967A13" w14:textId="23956A15" w:rsidR="00A14089" w:rsidRDefault="00A14089" w:rsidP="00A14089">
      <w:pPr>
        <w:pStyle w:val="FootnoteText"/>
      </w:pPr>
      <w:r>
        <w:rPr>
          <w:rStyle w:val="FootnoteReference"/>
        </w:rPr>
        <w:footnoteRef/>
      </w:r>
      <w:r>
        <w:t xml:space="preserve"> CSU operates </w:t>
      </w:r>
      <w:r w:rsidR="001A6721">
        <w:t>within ESB</w:t>
      </w:r>
      <w:r>
        <w:t xml:space="preserve">, with a specific focus on cyber </w:t>
      </w:r>
      <w:r w:rsidR="00E72661">
        <w:t>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EE76" w14:textId="63342E8F" w:rsidR="002867F0" w:rsidRDefault="0028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8E81" w14:textId="63EB1AB5" w:rsidR="002867F0" w:rsidRDefault="0028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CDEE" w14:textId="7A6DD93F" w:rsidR="00C736EC" w:rsidRPr="00D70A8A" w:rsidRDefault="008536E9" w:rsidP="00C736EC">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58240" behindDoc="1" locked="0" layoutInCell="1" allowOverlap="1" wp14:anchorId="27D0EB20" wp14:editId="14D8E453">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6" name="Picture 6"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78" w:rsidRPr="00B37C5F">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0E6BDD">
      <w:rPr>
        <w:color w:val="430098"/>
        <w:sz w:val="26"/>
        <w:szCs w:val="26"/>
      </w:rPr>
      <w:t>AGENCIES and BODIES</w:t>
    </w:r>
  </w:p>
  <w:p w14:paraId="71721AAB" w14:textId="77777777" w:rsidR="00C736EC" w:rsidRPr="00B37C5F" w:rsidRDefault="00C736EC" w:rsidP="00C736EC">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41761206" w14:textId="77777777" w:rsidR="00B53C78" w:rsidRPr="00B37C5F" w:rsidRDefault="008536E9" w:rsidP="00C736EC">
    <w:pPr>
      <w:pStyle w:val="Header"/>
      <w:tabs>
        <w:tab w:val="clear" w:pos="4513"/>
        <w:tab w:val="clear" w:pos="9026"/>
        <w:tab w:val="left" w:pos="6946"/>
      </w:tabs>
      <w:spacing w:after="180"/>
      <w:rPr>
        <w:color w:val="7F7F7F"/>
        <w:sz w:val="20"/>
        <w:szCs w:val="20"/>
      </w:rPr>
    </w:pPr>
    <w:r>
      <w:rPr>
        <w:noProof/>
        <w:lang w:val="en-AU" w:eastAsia="en-AU"/>
      </w:rPr>
      <w:drawing>
        <wp:anchor distT="0" distB="0" distL="114300" distR="114300" simplePos="0" relativeHeight="251657216" behindDoc="0" locked="0" layoutInCell="1" allowOverlap="1" wp14:anchorId="5FBBF262" wp14:editId="484E7636">
          <wp:simplePos x="0" y="0"/>
          <wp:positionH relativeFrom="column">
            <wp:posOffset>-20955</wp:posOffset>
          </wp:positionH>
          <wp:positionV relativeFrom="paragraph">
            <wp:posOffset>172085</wp:posOffset>
          </wp:positionV>
          <wp:extent cx="6119495" cy="70485"/>
          <wp:effectExtent l="0" t="0" r="0" b="5715"/>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E4C6A" w14:textId="19C1623C" w:rsidR="00C736EC" w:rsidRPr="002F0938" w:rsidRDefault="00A14089" w:rsidP="00C736EC">
    <w:pPr>
      <w:pStyle w:val="DocumentTitle"/>
      <w:spacing w:before="475"/>
      <w:rPr>
        <w:sz w:val="36"/>
        <w:szCs w:val="36"/>
      </w:rPr>
    </w:pPr>
    <w:r>
      <w:rPr>
        <w:sz w:val="36"/>
        <w:szCs w:val="36"/>
      </w:rPr>
      <w:t>Partnering Entities</w:t>
    </w:r>
  </w:p>
  <w:p w14:paraId="78E66F59" w14:textId="14F3AB5F" w:rsidR="00B53C78" w:rsidRPr="00F87792" w:rsidRDefault="00A14089" w:rsidP="00C736EC">
    <w:pPr>
      <w:pStyle w:val="Header"/>
      <w:tabs>
        <w:tab w:val="left" w:pos="6946"/>
      </w:tabs>
      <w:spacing w:after="120"/>
      <w:rPr>
        <w:rFonts w:ascii="Arial" w:hAnsi="Arial" w:cs="Arial"/>
        <w:color w:val="555559"/>
        <w:sz w:val="30"/>
        <w:szCs w:val="30"/>
      </w:rPr>
    </w:pPr>
    <w:r>
      <w:rPr>
        <w:rFonts w:ascii="Arial" w:hAnsi="Arial" w:cs="Arial"/>
        <w:color w:val="555559"/>
        <w:sz w:val="30"/>
        <w:szCs w:val="30"/>
      </w:rPr>
      <w:t>of the Framework and the Standards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4D76" w14:textId="58959C45" w:rsidR="002867F0" w:rsidRDefault="00286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895F" w14:textId="7E98EECF" w:rsidR="002867F0" w:rsidRDefault="002867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3FE1" w14:textId="4D6C8E22" w:rsidR="00C736EC" w:rsidRPr="00D70A8A" w:rsidRDefault="008536E9" w:rsidP="003768DA">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61312" behindDoc="1" locked="0" layoutInCell="1" allowOverlap="1" wp14:anchorId="76105C4E" wp14:editId="6CB2259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12" name="Picture 1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EC" w:rsidRPr="0070388B">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C736EC" w:rsidRPr="00D70A8A">
      <w:rPr>
        <w:color w:val="430098"/>
        <w:sz w:val="26"/>
        <w:szCs w:val="26"/>
      </w:rPr>
      <w:t>THE PUBLIC/AGENCIES</w:t>
    </w:r>
  </w:p>
  <w:p w14:paraId="13D145D3" w14:textId="77777777" w:rsidR="00C736EC" w:rsidRPr="00B37C5F" w:rsidRDefault="00C736EC" w:rsidP="003768DA">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5E707423" w14:textId="77777777" w:rsidR="00C736EC" w:rsidRPr="0070388B" w:rsidRDefault="008536E9" w:rsidP="003768DA">
    <w:pPr>
      <w:pStyle w:val="Header"/>
      <w:tabs>
        <w:tab w:val="clear" w:pos="4513"/>
        <w:tab w:val="clear" w:pos="9026"/>
        <w:tab w:val="left" w:pos="6946"/>
      </w:tabs>
      <w:spacing w:before="120"/>
      <w:rPr>
        <w:color w:val="7F7F7F"/>
        <w:sz w:val="20"/>
        <w:szCs w:val="20"/>
      </w:rPr>
    </w:pPr>
    <w:r>
      <w:rPr>
        <w:noProof/>
        <w:color w:val="7F7F7F"/>
        <w:sz w:val="20"/>
        <w:szCs w:val="20"/>
        <w:lang w:val="en-AU" w:eastAsia="en-AU"/>
      </w:rPr>
      <w:drawing>
        <wp:anchor distT="0" distB="0" distL="114300" distR="114300" simplePos="0" relativeHeight="251660288" behindDoc="0" locked="0" layoutInCell="1" allowOverlap="1" wp14:anchorId="09597C29" wp14:editId="48FCE41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11" name="Picture 1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3D4E" w14:textId="77777777" w:rsidR="00C736EC" w:rsidRPr="002F0938" w:rsidRDefault="00C736EC" w:rsidP="00D70A8A">
    <w:pPr>
      <w:pStyle w:val="DocumentTitle"/>
      <w:spacing w:before="475"/>
      <w:rPr>
        <w:sz w:val="36"/>
        <w:szCs w:val="36"/>
      </w:rPr>
    </w:pPr>
    <w:r w:rsidRPr="002F0938">
      <w:rPr>
        <w:sz w:val="36"/>
        <w:szCs w:val="36"/>
      </w:rPr>
      <w:t>Document Title</w:t>
    </w:r>
  </w:p>
  <w:p w14:paraId="5850A3F7" w14:textId="77777777" w:rsidR="00C736EC" w:rsidRPr="002F0938" w:rsidRDefault="00C736EC" w:rsidP="003768DA">
    <w:pPr>
      <w:pStyle w:val="Header"/>
      <w:tabs>
        <w:tab w:val="left" w:pos="6946"/>
      </w:tabs>
      <w:spacing w:after="120"/>
      <w:rPr>
        <w:rFonts w:ascii="Arial" w:hAnsi="Arial" w:cs="Arial"/>
        <w:color w:val="555559"/>
        <w:sz w:val="30"/>
        <w:szCs w:val="30"/>
      </w:rPr>
    </w:pPr>
    <w:r w:rsidRPr="002F0938">
      <w:rPr>
        <w:rFonts w:ascii="Arial" w:hAnsi="Arial" w:cs="Arial"/>
        <w:color w:val="555559"/>
        <w:sz w:val="30"/>
        <w:szCs w:val="30"/>
      </w:rPr>
      <w:t>Document Subtitle</w:t>
    </w:r>
  </w:p>
  <w:p w14:paraId="28AF1146" w14:textId="77777777" w:rsidR="00C736EC" w:rsidRDefault="00C736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550B" w14:textId="63C622F9" w:rsidR="002867F0" w:rsidRDefault="002867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98AA" w14:textId="43388C77" w:rsidR="002867F0" w:rsidRDefault="002867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D3A9" w14:textId="4C0E830B"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3E0"/>
    <w:multiLevelType w:val="hybridMultilevel"/>
    <w:tmpl w:val="034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6D7"/>
    <w:multiLevelType w:val="multilevel"/>
    <w:tmpl w:val="B3729A46"/>
    <w:numStyleLink w:val="111111"/>
  </w:abstractNum>
  <w:abstractNum w:abstractNumId="2"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12C07EE1"/>
    <w:multiLevelType w:val="hybridMultilevel"/>
    <w:tmpl w:val="1CEC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02E7D"/>
    <w:multiLevelType w:val="hybridMultilevel"/>
    <w:tmpl w:val="486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25B1C"/>
    <w:multiLevelType w:val="hybridMultilevel"/>
    <w:tmpl w:val="3424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004D3F"/>
    <w:multiLevelType w:val="hybridMultilevel"/>
    <w:tmpl w:val="59E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46E3B"/>
    <w:multiLevelType w:val="hybridMultilevel"/>
    <w:tmpl w:val="DE7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CE2C5F"/>
    <w:multiLevelType w:val="hybridMultilevel"/>
    <w:tmpl w:val="E684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4"/>
  </w:num>
  <w:num w:numId="5">
    <w:abstractNumId w:val="11"/>
  </w:num>
  <w:num w:numId="6">
    <w:abstractNumId w:val="12"/>
  </w:num>
  <w:num w:numId="7">
    <w:abstractNumId w:val="2"/>
  </w:num>
  <w:num w:numId="8">
    <w:abstractNumId w:val="7"/>
  </w:num>
  <w:num w:numId="9">
    <w:abstractNumId w:val="1"/>
  </w:num>
  <w:num w:numId="10">
    <w:abstractNumId w:val="3"/>
  </w:num>
  <w:num w:numId="11">
    <w:abstractNumId w:val="5"/>
  </w:num>
  <w:num w:numId="12">
    <w:abstractNumId w:val="15"/>
  </w:num>
  <w:num w:numId="13">
    <w:abstractNumId w:val="8"/>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93"/>
    <w:rsid w:val="00064688"/>
    <w:rsid w:val="000677DA"/>
    <w:rsid w:val="00077961"/>
    <w:rsid w:val="00091CB4"/>
    <w:rsid w:val="00097FEE"/>
    <w:rsid w:val="000E6BDD"/>
    <w:rsid w:val="000E7FAE"/>
    <w:rsid w:val="000F3A12"/>
    <w:rsid w:val="001159CB"/>
    <w:rsid w:val="00164A42"/>
    <w:rsid w:val="00176B1A"/>
    <w:rsid w:val="001A6721"/>
    <w:rsid w:val="0025217E"/>
    <w:rsid w:val="00262621"/>
    <w:rsid w:val="002867F0"/>
    <w:rsid w:val="002A48A0"/>
    <w:rsid w:val="002F5093"/>
    <w:rsid w:val="00305D40"/>
    <w:rsid w:val="00322784"/>
    <w:rsid w:val="0036085D"/>
    <w:rsid w:val="00370F3D"/>
    <w:rsid w:val="00372C3E"/>
    <w:rsid w:val="003A7085"/>
    <w:rsid w:val="003B648E"/>
    <w:rsid w:val="003F5DA4"/>
    <w:rsid w:val="004F6418"/>
    <w:rsid w:val="005036E0"/>
    <w:rsid w:val="005465AD"/>
    <w:rsid w:val="00555602"/>
    <w:rsid w:val="00557082"/>
    <w:rsid w:val="005870C5"/>
    <w:rsid w:val="005A7D4B"/>
    <w:rsid w:val="0061581B"/>
    <w:rsid w:val="00620D36"/>
    <w:rsid w:val="00635E9F"/>
    <w:rsid w:val="006713D1"/>
    <w:rsid w:val="006B1C0F"/>
    <w:rsid w:val="006D08EE"/>
    <w:rsid w:val="006D60FD"/>
    <w:rsid w:val="00723ACA"/>
    <w:rsid w:val="00760DDC"/>
    <w:rsid w:val="00765158"/>
    <w:rsid w:val="0076762C"/>
    <w:rsid w:val="00775B99"/>
    <w:rsid w:val="00782288"/>
    <w:rsid w:val="00783994"/>
    <w:rsid w:val="007A211E"/>
    <w:rsid w:val="007A3757"/>
    <w:rsid w:val="007A6964"/>
    <w:rsid w:val="007B268F"/>
    <w:rsid w:val="00801FE8"/>
    <w:rsid w:val="00844611"/>
    <w:rsid w:val="008536E9"/>
    <w:rsid w:val="00857369"/>
    <w:rsid w:val="00863040"/>
    <w:rsid w:val="0086734F"/>
    <w:rsid w:val="00870FF3"/>
    <w:rsid w:val="008B4992"/>
    <w:rsid w:val="008B7923"/>
    <w:rsid w:val="008F106C"/>
    <w:rsid w:val="009236D4"/>
    <w:rsid w:val="00940F43"/>
    <w:rsid w:val="009445F4"/>
    <w:rsid w:val="00985005"/>
    <w:rsid w:val="009B32E9"/>
    <w:rsid w:val="009C24DB"/>
    <w:rsid w:val="009C5614"/>
    <w:rsid w:val="009F4967"/>
    <w:rsid w:val="00A14089"/>
    <w:rsid w:val="00A33D6F"/>
    <w:rsid w:val="00AC42E9"/>
    <w:rsid w:val="00AE13A1"/>
    <w:rsid w:val="00B177DA"/>
    <w:rsid w:val="00B37C5F"/>
    <w:rsid w:val="00B53C78"/>
    <w:rsid w:val="00BD07DC"/>
    <w:rsid w:val="00BD7D42"/>
    <w:rsid w:val="00C24EA7"/>
    <w:rsid w:val="00C301F7"/>
    <w:rsid w:val="00C573CD"/>
    <w:rsid w:val="00C70965"/>
    <w:rsid w:val="00C736EC"/>
    <w:rsid w:val="00CD14CF"/>
    <w:rsid w:val="00CE7458"/>
    <w:rsid w:val="00D16793"/>
    <w:rsid w:val="00D267EC"/>
    <w:rsid w:val="00D32D00"/>
    <w:rsid w:val="00D41EFF"/>
    <w:rsid w:val="00D723C1"/>
    <w:rsid w:val="00DA234D"/>
    <w:rsid w:val="00DB13A1"/>
    <w:rsid w:val="00DB55DB"/>
    <w:rsid w:val="00DE3BA2"/>
    <w:rsid w:val="00E2661A"/>
    <w:rsid w:val="00E45B00"/>
    <w:rsid w:val="00E61AAE"/>
    <w:rsid w:val="00E72661"/>
    <w:rsid w:val="00E91DBD"/>
    <w:rsid w:val="00ED7EF6"/>
    <w:rsid w:val="00EF06C1"/>
    <w:rsid w:val="00EF65B2"/>
    <w:rsid w:val="00F305BA"/>
    <w:rsid w:val="00F36C34"/>
    <w:rsid w:val="00F4301B"/>
    <w:rsid w:val="00F8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64DA"/>
  <w14:defaultImageDpi w14:val="32767"/>
  <w15:docId w15:val="{BD013E3D-EF70-C849-8ED9-ECE6789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A14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0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unhideWhenUsed/>
    <w:rsid w:val="0061581B"/>
    <w:rPr>
      <w:vertAlign w:val="superscript"/>
    </w:rPr>
  </w:style>
  <w:style w:type="paragraph" w:styleId="BalloonText">
    <w:name w:val="Balloon Text"/>
    <w:basedOn w:val="Normal"/>
    <w:link w:val="BalloonTextChar"/>
    <w:uiPriority w:val="99"/>
    <w:semiHidden/>
    <w:unhideWhenUsed/>
    <w:rsid w:val="00A1408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4089"/>
    <w:rPr>
      <w:rFonts w:ascii="Times New Roman" w:hAnsi="Times New Roman"/>
      <w:sz w:val="18"/>
      <w:szCs w:val="18"/>
      <w:lang w:val="en-GB" w:eastAsia="en-US"/>
    </w:rPr>
  </w:style>
  <w:style w:type="character" w:styleId="CommentReference">
    <w:name w:val="annotation reference"/>
    <w:uiPriority w:val="99"/>
    <w:rsid w:val="00A14089"/>
    <w:rPr>
      <w:w w:val="100"/>
      <w:sz w:val="16"/>
      <w:szCs w:val="16"/>
    </w:rPr>
  </w:style>
  <w:style w:type="numbering" w:styleId="111111">
    <w:name w:val="Outline List 2"/>
    <w:basedOn w:val="NoList"/>
    <w:uiPriority w:val="99"/>
    <w:semiHidden/>
    <w:unhideWhenUsed/>
    <w:rsid w:val="00A14089"/>
    <w:pPr>
      <w:numPr>
        <w:numId w:val="8"/>
      </w:numPr>
    </w:pPr>
  </w:style>
  <w:style w:type="paragraph" w:customStyle="1" w:styleId="SectionHeading">
    <w:name w:val="Section Heading"/>
    <w:basedOn w:val="Heading1"/>
    <w:qFormat/>
    <w:rsid w:val="00A14089"/>
    <w:pPr>
      <w:keepNext w:val="0"/>
      <w:keepLines w:val="0"/>
      <w:numPr>
        <w:numId w:val="9"/>
      </w:numPr>
      <w:spacing w:before="120" w:after="160" w:line="264" w:lineRule="auto"/>
      <w:ind w:left="720"/>
    </w:pPr>
    <w:rPr>
      <w:rFonts w:ascii="Calibri" w:eastAsia="Times New Roman" w:hAnsi="Calibri" w:cs="Times New Roman"/>
      <w:b/>
      <w:color w:val="5620A9"/>
      <w:sz w:val="22"/>
    </w:rPr>
  </w:style>
  <w:style w:type="paragraph" w:customStyle="1" w:styleId="SectionSubhead">
    <w:name w:val="Section Subhead"/>
    <w:basedOn w:val="Heading2"/>
    <w:qFormat/>
    <w:rsid w:val="00A14089"/>
    <w:pPr>
      <w:keepNext w:val="0"/>
      <w:keepLines w:val="0"/>
      <w:numPr>
        <w:ilvl w:val="1"/>
        <w:numId w:val="9"/>
      </w:numPr>
      <w:spacing w:before="120" w:after="160" w:line="264" w:lineRule="auto"/>
      <w:ind w:left="1440" w:hanging="360"/>
    </w:pPr>
    <w:rPr>
      <w:rFonts w:ascii="Calibri" w:eastAsia="Times New Roman" w:hAnsi="Calibri" w:cs="Times New Roman"/>
      <w:b/>
      <w:color w:val="55565A"/>
      <w:sz w:val="22"/>
    </w:rPr>
  </w:style>
  <w:style w:type="paragraph" w:styleId="CommentText">
    <w:name w:val="annotation text"/>
    <w:basedOn w:val="Normal"/>
    <w:link w:val="CommentTextChar"/>
    <w:uiPriority w:val="99"/>
    <w:unhideWhenUsed/>
    <w:rsid w:val="00A14089"/>
    <w:pPr>
      <w:widowControl w:val="0"/>
      <w:autoSpaceDE w:val="0"/>
      <w:autoSpaceDN w:val="0"/>
    </w:pPr>
    <w:rPr>
      <w:rFonts w:ascii="Museo Sans" w:eastAsia="Museo Sans" w:hAnsi="Museo Sans" w:cs="Museo Sans"/>
      <w:sz w:val="20"/>
      <w:szCs w:val="20"/>
      <w:lang w:val="en-US" w:bidi="en-US"/>
    </w:rPr>
  </w:style>
  <w:style w:type="character" w:customStyle="1" w:styleId="CommentTextChar">
    <w:name w:val="Comment Text Char"/>
    <w:basedOn w:val="DefaultParagraphFont"/>
    <w:link w:val="CommentText"/>
    <w:uiPriority w:val="99"/>
    <w:rsid w:val="00A14089"/>
    <w:rPr>
      <w:rFonts w:ascii="Museo Sans" w:eastAsia="Museo Sans" w:hAnsi="Museo Sans" w:cs="Museo Sans"/>
      <w:lang w:val="en-US" w:eastAsia="en-US" w:bidi="en-US"/>
    </w:rPr>
  </w:style>
  <w:style w:type="paragraph" w:customStyle="1" w:styleId="TableParagraph">
    <w:name w:val="Table Paragraph"/>
    <w:basedOn w:val="Normal"/>
    <w:uiPriority w:val="1"/>
    <w:qFormat/>
    <w:rsid w:val="00A14089"/>
    <w:pPr>
      <w:widowControl w:val="0"/>
      <w:autoSpaceDE w:val="0"/>
      <w:autoSpaceDN w:val="0"/>
    </w:pPr>
    <w:rPr>
      <w:rFonts w:ascii="Museo Sans" w:eastAsia="Museo Sans" w:hAnsi="Museo Sans" w:cs="Museo Sans"/>
      <w:sz w:val="22"/>
      <w:szCs w:val="22"/>
      <w:lang w:val="en-US" w:bidi="en-US"/>
    </w:rPr>
  </w:style>
  <w:style w:type="character" w:customStyle="1" w:styleId="Heading1Char">
    <w:name w:val="Heading 1 Char"/>
    <w:basedOn w:val="DefaultParagraphFont"/>
    <w:link w:val="Heading1"/>
    <w:uiPriority w:val="9"/>
    <w:rsid w:val="00A14089"/>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semiHidden/>
    <w:rsid w:val="00A14089"/>
    <w:rPr>
      <w:rFonts w:asciiTheme="majorHAnsi" w:eastAsiaTheme="majorEastAsia" w:hAnsiTheme="majorHAnsi" w:cstheme="majorBidi"/>
      <w:color w:val="365F91" w:themeColor="accent1" w:themeShade="BF"/>
      <w:sz w:val="26"/>
      <w:szCs w:val="26"/>
      <w:lang w:val="en-GB" w:eastAsia="en-US"/>
    </w:rPr>
  </w:style>
  <w:style w:type="paragraph" w:styleId="CommentSubject">
    <w:name w:val="annotation subject"/>
    <w:basedOn w:val="CommentText"/>
    <w:next w:val="CommentText"/>
    <w:link w:val="CommentSubjectChar"/>
    <w:uiPriority w:val="99"/>
    <w:semiHidden/>
    <w:unhideWhenUsed/>
    <w:rsid w:val="001A6721"/>
    <w:pPr>
      <w:widowControl/>
      <w:autoSpaceDE/>
      <w:autoSpaceDN/>
    </w:pPr>
    <w:rPr>
      <w:rFonts w:ascii="Calibri" w:eastAsia="Calibri" w:hAnsi="Calibri" w:cs="Times New Roman"/>
      <w:b/>
      <w:bCs/>
      <w:lang w:val="en-GB" w:bidi="ar-SA"/>
    </w:rPr>
  </w:style>
  <w:style w:type="character" w:customStyle="1" w:styleId="CommentSubjectChar">
    <w:name w:val="Comment Subject Char"/>
    <w:basedOn w:val="CommentTextChar"/>
    <w:link w:val="CommentSubject"/>
    <w:uiPriority w:val="99"/>
    <w:semiHidden/>
    <w:rsid w:val="001A6721"/>
    <w:rPr>
      <w:rFonts w:ascii="Museo Sans" w:eastAsia="Museo Sans" w:hAnsi="Museo Sans" w:cs="Museo Sans"/>
      <w:b/>
      <w:bCs/>
      <w:lang w:val="en-GB" w:eastAsia="en-US" w:bidi="en-US"/>
    </w:rPr>
  </w:style>
  <w:style w:type="paragraph" w:customStyle="1" w:styleId="vo-icon-list-item">
    <w:name w:val="vo-icon-list-item"/>
    <w:basedOn w:val="Normal"/>
    <w:rsid w:val="00857369"/>
    <w:pPr>
      <w:spacing w:before="100" w:beforeAutospacing="1" w:after="100" w:afterAutospacing="1"/>
    </w:pPr>
    <w:rPr>
      <w:rFonts w:ascii="Times New Roman" w:eastAsia="Times New Roman" w:hAnsi="Times New Roman"/>
      <w:lang w:val="en-AU" w:eastAsia="en-GB"/>
    </w:rPr>
  </w:style>
  <w:style w:type="character" w:customStyle="1" w:styleId="apple-converted-space">
    <w:name w:val="apple-converted-space"/>
    <w:basedOn w:val="DefaultParagraphFont"/>
    <w:rsid w:val="0085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9554">
      <w:bodyDiv w:val="1"/>
      <w:marLeft w:val="0"/>
      <w:marRight w:val="0"/>
      <w:marTop w:val="0"/>
      <w:marBottom w:val="0"/>
      <w:divBdr>
        <w:top w:val="none" w:sz="0" w:space="0" w:color="auto"/>
        <w:left w:val="none" w:sz="0" w:space="0" w:color="auto"/>
        <w:bottom w:val="none" w:sz="0" w:space="0" w:color="auto"/>
        <w:right w:val="none" w:sz="0" w:space="0" w:color="auto"/>
      </w:divBdr>
    </w:div>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9.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0E7C-4DA2-1647-BE65-9698E07A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 BW</cp:lastModifiedBy>
  <cp:revision>5</cp:revision>
  <cp:lastPrinted>2017-12-19T01:45:00Z</cp:lastPrinted>
  <dcterms:created xsi:type="dcterms:W3CDTF">2020-02-25T04:57:00Z</dcterms:created>
  <dcterms:modified xsi:type="dcterms:W3CDTF">2020-02-26T04:44:00Z</dcterms:modified>
</cp:coreProperties>
</file>